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imes New Roman" w:hAnsi="Times New Roman"/>
          <w:b/>
          <w:color w:val="auto"/>
          <w:sz w:val="48"/>
          <w:szCs w:val="48"/>
          <w:highlight w:val="none"/>
        </w:rPr>
      </w:pPr>
      <w:bookmarkStart w:id="1592" w:name="_GoBack"/>
    </w:p>
    <w:p>
      <w:pPr>
        <w:jc w:val="center"/>
        <w:rPr>
          <w:rFonts w:ascii="Times New Roman" w:hAnsi="Times New Roman"/>
          <w:b/>
          <w:color w:val="auto"/>
          <w:sz w:val="52"/>
          <w:szCs w:val="52"/>
          <w:highlight w:val="none"/>
        </w:rPr>
      </w:pPr>
      <w:r>
        <w:rPr>
          <w:rFonts w:hint="eastAsia" w:ascii="Times New Roman" w:hAnsi="Times New Roman"/>
          <w:b/>
          <w:color w:val="auto"/>
          <w:sz w:val="52"/>
          <w:szCs w:val="52"/>
          <w:highlight w:val="none"/>
        </w:rPr>
        <w:drawing>
          <wp:inline distT="0" distB="0" distL="114300" distR="114300">
            <wp:extent cx="2538095" cy="1259840"/>
            <wp:effectExtent l="0" t="0" r="5080" b="6985"/>
            <wp:docPr id="1" name="图片 1" descr="ec4d750640f7f13aadd63a2971904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c4d750640f7f13aadd63a29719046a"/>
                    <pic:cNvPicPr>
                      <a:picLocks noChangeAspect="1"/>
                    </pic:cNvPicPr>
                  </pic:nvPicPr>
                  <pic:blipFill>
                    <a:blip r:embed="rId13"/>
                    <a:stretch>
                      <a:fillRect/>
                    </a:stretch>
                  </pic:blipFill>
                  <pic:spPr>
                    <a:xfrm>
                      <a:off x="0" y="0"/>
                      <a:ext cx="2538095" cy="1259840"/>
                    </a:xfrm>
                    <a:prstGeom prst="rect">
                      <a:avLst/>
                    </a:prstGeom>
                  </pic:spPr>
                </pic:pic>
              </a:graphicData>
            </a:graphic>
          </wp:inline>
        </w:drawing>
      </w:r>
    </w:p>
    <w:p>
      <w:pPr>
        <w:jc w:val="center"/>
        <w:rPr>
          <w:rFonts w:ascii="Times New Roman" w:hAnsi="Times New Roman"/>
          <w:b/>
          <w:color w:val="auto"/>
          <w:sz w:val="48"/>
          <w:szCs w:val="48"/>
          <w:highlight w:val="none"/>
        </w:rPr>
      </w:pPr>
    </w:p>
    <w:p>
      <w:pPr>
        <w:jc w:val="center"/>
        <w:rPr>
          <w:rFonts w:ascii="Times New Roman" w:hAnsi="Times New Roman"/>
          <w:b/>
          <w:color w:val="auto"/>
          <w:sz w:val="48"/>
          <w:szCs w:val="48"/>
          <w:highlight w:val="none"/>
        </w:rPr>
      </w:pPr>
    </w:p>
    <w:p>
      <w:pPr>
        <w:spacing w:line="360" w:lineRule="auto"/>
        <w:jc w:val="center"/>
        <w:rPr>
          <w:rFonts w:hint="eastAsia" w:ascii="Times New Roman" w:hAnsi="Times New Roman" w:eastAsia="宋体"/>
          <w:b/>
          <w:bCs/>
          <w:color w:val="auto"/>
          <w:sz w:val="44"/>
          <w:szCs w:val="44"/>
          <w:highlight w:val="none"/>
          <w:lang w:eastAsia="zh-CN"/>
        </w:rPr>
      </w:pPr>
      <w:r>
        <w:rPr>
          <w:rFonts w:hint="eastAsia" w:ascii="Times New Roman" w:hAnsi="Times New Roman"/>
          <w:b/>
          <w:bCs/>
          <w:color w:val="auto"/>
          <w:sz w:val="44"/>
          <w:szCs w:val="44"/>
          <w:highlight w:val="none"/>
          <w:lang w:eastAsia="zh-CN"/>
        </w:rPr>
        <w:t>粤海江门甘化厂项目</w:t>
      </w:r>
    </w:p>
    <w:p>
      <w:pPr>
        <w:spacing w:line="360" w:lineRule="auto"/>
        <w:jc w:val="center"/>
        <w:rPr>
          <w:rFonts w:hint="eastAsia" w:ascii="Times New Roman" w:hAnsi="Times New Roman" w:eastAsia="宋体"/>
          <w:color w:val="auto"/>
          <w:sz w:val="52"/>
          <w:szCs w:val="52"/>
          <w:highlight w:val="none"/>
          <w:lang w:eastAsia="zh-CN"/>
        </w:rPr>
      </w:pPr>
      <w:r>
        <w:rPr>
          <w:rFonts w:hint="eastAsia" w:ascii="Times New Roman" w:hAnsi="Times New Roman"/>
          <w:b/>
          <w:bCs/>
          <w:color w:val="auto"/>
          <w:sz w:val="44"/>
          <w:szCs w:val="44"/>
          <w:highlight w:val="none"/>
          <w:lang w:eastAsia="zh-CN"/>
        </w:rPr>
        <w:t>新宁街道路及天桥工程</w:t>
      </w:r>
      <w:r>
        <w:rPr>
          <w:rFonts w:ascii="Times New Roman" w:hAnsi="Times New Roman"/>
          <w:b/>
          <w:bCs/>
          <w:color w:val="auto"/>
          <w:sz w:val="44"/>
          <w:szCs w:val="44"/>
          <w:highlight w:val="none"/>
        </w:rPr>
        <w:t>施工合同</w:t>
      </w:r>
    </w:p>
    <w:p>
      <w:pPr>
        <w:pStyle w:val="34"/>
        <w:rPr>
          <w:rFonts w:hint="eastAsia"/>
          <w:color w:val="auto"/>
          <w:highlight w:val="none"/>
          <w:lang w:eastAsia="zh-CN"/>
        </w:rPr>
      </w:pPr>
    </w:p>
    <w:p>
      <w:pPr>
        <w:pStyle w:val="2"/>
        <w:spacing w:line="360" w:lineRule="auto"/>
        <w:ind w:firstLine="0"/>
        <w:jc w:val="center"/>
        <w:rPr>
          <w:b/>
          <w:color w:val="auto"/>
          <w:sz w:val="30"/>
          <w:szCs w:val="30"/>
          <w:highlight w:val="none"/>
        </w:rPr>
      </w:pPr>
      <w:r>
        <w:rPr>
          <w:b/>
          <w:color w:val="auto"/>
          <w:sz w:val="30"/>
          <w:szCs w:val="30"/>
          <w:highlight w:val="none"/>
        </w:rPr>
        <w:t>合同编号：</w:t>
      </w:r>
      <w:r>
        <w:rPr>
          <w:rFonts w:hint="eastAsia"/>
          <w:b/>
          <w:color w:val="auto"/>
          <w:sz w:val="30"/>
          <w:szCs w:val="30"/>
          <w:highlight w:val="none"/>
          <w:u w:val="single"/>
        </w:rPr>
        <w:t xml:space="preserve">        </w:t>
      </w:r>
    </w:p>
    <w:p>
      <w:pPr>
        <w:rPr>
          <w:rFonts w:ascii="Times New Roman" w:hAnsi="Times New Roman"/>
          <w:b/>
          <w:color w:val="auto"/>
          <w:sz w:val="48"/>
          <w:szCs w:val="48"/>
          <w:highlight w:val="none"/>
        </w:rPr>
      </w:pPr>
    </w:p>
    <w:p>
      <w:pPr>
        <w:pStyle w:val="2"/>
        <w:spacing w:line="240" w:lineRule="auto"/>
        <w:rPr>
          <w:color w:val="auto"/>
          <w:sz w:val="48"/>
          <w:szCs w:val="48"/>
          <w:highlight w:val="none"/>
        </w:rPr>
      </w:pPr>
    </w:p>
    <w:p>
      <w:pPr>
        <w:pStyle w:val="2"/>
        <w:spacing w:line="480" w:lineRule="auto"/>
        <w:ind w:firstLine="602" w:firstLineChars="200"/>
        <w:rPr>
          <w:b/>
          <w:color w:val="auto"/>
          <w:sz w:val="30"/>
          <w:szCs w:val="30"/>
          <w:highlight w:val="none"/>
        </w:rPr>
      </w:pPr>
      <w:r>
        <w:rPr>
          <w:b/>
          <w:color w:val="auto"/>
          <w:sz w:val="30"/>
          <w:szCs w:val="30"/>
          <w:highlight w:val="none"/>
        </w:rPr>
        <w:t>工程名称：</w:t>
      </w:r>
      <w:r>
        <w:rPr>
          <w:rFonts w:hint="eastAsia"/>
          <w:b/>
          <w:color w:val="auto"/>
          <w:sz w:val="30"/>
          <w:szCs w:val="30"/>
          <w:highlight w:val="none"/>
          <w:u w:val="single"/>
          <w:lang w:eastAsia="zh-CN"/>
        </w:rPr>
        <w:t>粤海江门甘化厂项目新宁街道路及天桥工程</w:t>
      </w:r>
    </w:p>
    <w:p>
      <w:pPr>
        <w:spacing w:line="480" w:lineRule="auto"/>
        <w:ind w:firstLine="602" w:firstLineChars="200"/>
        <w:rPr>
          <w:rFonts w:ascii="Times New Roman" w:hAnsi="Times New Roman"/>
          <w:b/>
          <w:color w:val="auto"/>
          <w:sz w:val="30"/>
          <w:szCs w:val="30"/>
          <w:highlight w:val="none"/>
          <w:u w:val="single"/>
        </w:rPr>
      </w:pPr>
      <w:r>
        <w:rPr>
          <w:b/>
          <w:color w:val="auto"/>
          <w:sz w:val="30"/>
          <w:szCs w:val="30"/>
          <w:highlight w:val="none"/>
        </w:rPr>
        <w:t>工程地点：</w:t>
      </w:r>
      <w:r>
        <w:rPr>
          <w:rFonts w:hint="eastAsia" w:ascii="Times New Roman" w:hAnsi="Times New Roman"/>
          <w:b/>
          <w:color w:val="auto"/>
          <w:sz w:val="30"/>
          <w:szCs w:val="30"/>
          <w:highlight w:val="none"/>
          <w:u w:val="single"/>
        </w:rPr>
        <w:t>江门市蓬江区白沙街道甘北路东侧、西江西侧、</w:t>
      </w:r>
    </w:p>
    <w:p>
      <w:pPr>
        <w:spacing w:line="480" w:lineRule="auto"/>
        <w:ind w:firstLine="2108" w:firstLineChars="700"/>
        <w:rPr>
          <w:rFonts w:ascii="Times New Roman" w:hAnsi="Times New Roman"/>
          <w:b/>
          <w:color w:val="auto"/>
          <w:sz w:val="30"/>
          <w:szCs w:val="30"/>
          <w:highlight w:val="none"/>
          <w:u w:val="single"/>
        </w:rPr>
      </w:pPr>
      <w:r>
        <w:rPr>
          <w:rFonts w:hint="eastAsia" w:ascii="Times New Roman" w:hAnsi="Times New Roman"/>
          <w:b/>
          <w:color w:val="auto"/>
          <w:sz w:val="30"/>
          <w:szCs w:val="30"/>
          <w:highlight w:val="none"/>
          <w:u w:val="single"/>
        </w:rPr>
        <w:t>泮边街南侧、北新街北侧地段</w:t>
      </w:r>
    </w:p>
    <w:p>
      <w:pPr>
        <w:adjustRightInd w:val="0"/>
        <w:spacing w:line="480" w:lineRule="auto"/>
        <w:ind w:firstLine="602" w:firstLineChars="200"/>
        <w:textAlignment w:val="baseline"/>
        <w:rPr>
          <w:rFonts w:ascii="Times New Roman" w:hAnsi="Times New Roman"/>
          <w:b/>
          <w:color w:val="auto"/>
          <w:kern w:val="0"/>
          <w:sz w:val="30"/>
          <w:szCs w:val="30"/>
          <w:highlight w:val="none"/>
        </w:rPr>
      </w:pPr>
      <w:r>
        <w:rPr>
          <w:rFonts w:ascii="Times New Roman" w:hAnsi="Times New Roman"/>
          <w:b/>
          <w:color w:val="auto"/>
          <w:kern w:val="0"/>
          <w:sz w:val="30"/>
          <w:szCs w:val="30"/>
          <w:highlight w:val="none"/>
        </w:rPr>
        <w:t>发 包 人：</w:t>
      </w:r>
      <w:r>
        <w:rPr>
          <w:rFonts w:hint="eastAsia" w:ascii="Times New Roman" w:hAnsi="Times New Roman"/>
          <w:b/>
          <w:color w:val="auto"/>
          <w:sz w:val="30"/>
          <w:szCs w:val="30"/>
          <w:highlight w:val="none"/>
          <w:u w:val="single"/>
        </w:rPr>
        <w:t>江门粤海置地有限公司</w:t>
      </w:r>
    </w:p>
    <w:p>
      <w:pPr>
        <w:adjustRightInd w:val="0"/>
        <w:spacing w:line="480" w:lineRule="auto"/>
        <w:ind w:firstLine="602" w:firstLineChars="200"/>
        <w:textAlignment w:val="baseline"/>
        <w:rPr>
          <w:rFonts w:hint="default" w:ascii="Times New Roman" w:hAnsi="Times New Roman" w:eastAsia="宋体"/>
          <w:b/>
          <w:color w:val="auto"/>
          <w:kern w:val="0"/>
          <w:sz w:val="30"/>
          <w:szCs w:val="30"/>
          <w:highlight w:val="none"/>
          <w:lang w:val="en-US" w:eastAsia="zh-CN"/>
        </w:rPr>
      </w:pPr>
      <w:r>
        <w:rPr>
          <w:rFonts w:ascii="Times New Roman" w:hAnsi="Times New Roman"/>
          <w:b/>
          <w:color w:val="auto"/>
          <w:kern w:val="0"/>
          <w:sz w:val="30"/>
          <w:szCs w:val="30"/>
          <w:highlight w:val="none"/>
        </w:rPr>
        <w:t>承 包 人：</w:t>
      </w:r>
      <w:r>
        <w:rPr>
          <w:rFonts w:hint="eastAsia" w:ascii="Times New Roman" w:hAnsi="Times New Roman" w:cs="Times New Roman"/>
          <w:b/>
          <w:i w:val="0"/>
          <w:iCs w:val="0"/>
          <w:color w:val="auto"/>
          <w:kern w:val="2"/>
          <w:sz w:val="30"/>
          <w:szCs w:val="30"/>
          <w:highlight w:val="none"/>
          <w:u w:val="single"/>
          <w:lang w:val="en-US" w:eastAsia="zh-CN" w:bidi="ar"/>
        </w:rPr>
        <w:t xml:space="preserve">                    </w:t>
      </w:r>
    </w:p>
    <w:p>
      <w:pPr>
        <w:pStyle w:val="2"/>
        <w:rPr>
          <w:b/>
          <w:color w:val="auto"/>
          <w:sz w:val="52"/>
          <w:szCs w:val="52"/>
          <w:highlight w:val="none"/>
        </w:rPr>
      </w:pPr>
    </w:p>
    <w:p>
      <w:pPr>
        <w:pStyle w:val="2"/>
        <w:rPr>
          <w:b/>
          <w:color w:val="auto"/>
          <w:sz w:val="52"/>
          <w:szCs w:val="52"/>
          <w:highlight w:val="none"/>
        </w:rPr>
      </w:pPr>
    </w:p>
    <w:p>
      <w:pPr>
        <w:autoSpaceDE w:val="0"/>
        <w:autoSpaceDN w:val="0"/>
        <w:adjustRightInd w:val="0"/>
        <w:spacing w:line="480" w:lineRule="auto"/>
        <w:ind w:firstLine="602" w:firstLineChars="200"/>
        <w:rPr>
          <w:rFonts w:ascii="Times New Roman" w:hAnsi="Times New Roman"/>
          <w:b/>
          <w:color w:val="auto"/>
          <w:sz w:val="30"/>
          <w:szCs w:val="30"/>
          <w:highlight w:val="none"/>
          <w:u w:val="single"/>
        </w:rPr>
      </w:pPr>
      <w:r>
        <w:rPr>
          <w:rFonts w:ascii="Times New Roman" w:hAnsi="Times New Roman"/>
          <w:b/>
          <w:color w:val="auto"/>
          <w:sz w:val="30"/>
          <w:szCs w:val="30"/>
          <w:highlight w:val="none"/>
        </w:rPr>
        <w:t>签订地点：广东省</w:t>
      </w:r>
      <w:r>
        <w:rPr>
          <w:rFonts w:hint="eastAsia" w:ascii="Times New Roman" w:hAnsi="Times New Roman"/>
          <w:b/>
          <w:color w:val="auto"/>
          <w:sz w:val="30"/>
          <w:szCs w:val="30"/>
          <w:highlight w:val="none"/>
          <w:u w:val="single"/>
        </w:rPr>
        <w:t>江门市</w:t>
      </w:r>
    </w:p>
    <w:p>
      <w:pPr>
        <w:autoSpaceDE w:val="0"/>
        <w:autoSpaceDN w:val="0"/>
        <w:adjustRightInd w:val="0"/>
        <w:spacing w:line="480" w:lineRule="auto"/>
        <w:ind w:firstLine="602" w:firstLineChars="200"/>
        <w:rPr>
          <w:rFonts w:ascii="Times New Roman" w:hAnsi="Times New Roman"/>
          <w:color w:val="auto"/>
          <w:kern w:val="0"/>
          <w:sz w:val="30"/>
          <w:szCs w:val="30"/>
          <w:highlight w:val="none"/>
        </w:rPr>
      </w:pPr>
      <w:r>
        <w:rPr>
          <w:rFonts w:ascii="Times New Roman" w:hAnsi="Times New Roman"/>
          <w:b/>
          <w:color w:val="auto"/>
          <w:sz w:val="30"/>
          <w:szCs w:val="30"/>
          <w:highlight w:val="none"/>
        </w:rPr>
        <w:t>签订时间：202</w:t>
      </w:r>
      <w:r>
        <w:rPr>
          <w:rFonts w:hint="eastAsia" w:ascii="Times New Roman" w:hAnsi="Times New Roman"/>
          <w:b/>
          <w:color w:val="auto"/>
          <w:sz w:val="30"/>
          <w:szCs w:val="30"/>
          <w:highlight w:val="none"/>
          <w:u w:val="single"/>
        </w:rPr>
        <w:t xml:space="preserve">  </w:t>
      </w:r>
      <w:r>
        <w:rPr>
          <w:rFonts w:ascii="Times New Roman" w:hAnsi="Times New Roman"/>
          <w:b/>
          <w:color w:val="auto"/>
          <w:sz w:val="30"/>
          <w:szCs w:val="30"/>
          <w:highlight w:val="none"/>
        </w:rPr>
        <w:t>年</w:t>
      </w:r>
      <w:r>
        <w:rPr>
          <w:rFonts w:hint="eastAsia" w:ascii="Times New Roman" w:hAnsi="Times New Roman"/>
          <w:b/>
          <w:color w:val="auto"/>
          <w:sz w:val="30"/>
          <w:szCs w:val="30"/>
          <w:highlight w:val="none"/>
          <w:u w:val="single"/>
        </w:rPr>
        <w:t xml:space="preserve">    </w:t>
      </w:r>
      <w:r>
        <w:rPr>
          <w:rFonts w:ascii="Times New Roman" w:hAnsi="Times New Roman"/>
          <w:b/>
          <w:color w:val="auto"/>
          <w:sz w:val="30"/>
          <w:szCs w:val="30"/>
          <w:highlight w:val="none"/>
        </w:rPr>
        <w:t>月</w:t>
      </w:r>
      <w:r>
        <w:rPr>
          <w:rFonts w:hint="eastAsia" w:ascii="Times New Roman" w:hAnsi="Times New Roman"/>
          <w:b/>
          <w:color w:val="auto"/>
          <w:sz w:val="30"/>
          <w:szCs w:val="30"/>
          <w:highlight w:val="none"/>
          <w:u w:val="single"/>
        </w:rPr>
        <w:t xml:space="preserve">    </w:t>
      </w:r>
      <w:r>
        <w:rPr>
          <w:rFonts w:ascii="Times New Roman" w:hAnsi="Times New Roman"/>
          <w:b/>
          <w:color w:val="auto"/>
          <w:sz w:val="30"/>
          <w:szCs w:val="30"/>
          <w:highlight w:val="none"/>
        </w:rPr>
        <w:t>日</w:t>
      </w:r>
    </w:p>
    <w:p>
      <w:pPr>
        <w:pStyle w:val="3"/>
        <w:jc w:val="center"/>
        <w:rPr>
          <w:rFonts w:ascii="宋体" w:hAnsi="宋体"/>
          <w:color w:val="auto"/>
          <w:highlight w:val="none"/>
          <w:lang w:val="zh-CN"/>
        </w:rPr>
      </w:pPr>
      <w:bookmarkStart w:id="0" w:name="_Toc24858"/>
      <w:bookmarkStart w:id="1" w:name="_Toc9342"/>
      <w:bookmarkStart w:id="2" w:name="_Toc40186509"/>
      <w:bookmarkStart w:id="3" w:name="_Toc7445"/>
      <w:bookmarkStart w:id="4" w:name="_Toc402450430"/>
      <w:bookmarkStart w:id="5" w:name="_Toc67300355"/>
      <w:bookmarkStart w:id="6" w:name="_Toc351203480"/>
      <w:bookmarkStart w:id="7" w:name="_Toc44227948"/>
      <w:bookmarkStart w:id="8" w:name="_Toc31614"/>
      <w:bookmarkStart w:id="9" w:name="_Toc20399"/>
      <w:bookmarkStart w:id="10" w:name="_Toc44492398"/>
      <w:r>
        <w:rPr>
          <w:rFonts w:hint="eastAsia" w:ascii="宋体" w:hAnsi="宋体"/>
          <w:color w:val="auto"/>
          <w:highlight w:val="none"/>
          <w:lang w:val="zh-CN"/>
        </w:rPr>
        <w:t>第一部分 协议书</w:t>
      </w:r>
      <w:bookmarkEnd w:id="0"/>
      <w:bookmarkEnd w:id="1"/>
      <w:bookmarkEnd w:id="2"/>
      <w:bookmarkEnd w:id="3"/>
      <w:bookmarkEnd w:id="4"/>
      <w:bookmarkEnd w:id="5"/>
      <w:bookmarkEnd w:id="6"/>
      <w:bookmarkEnd w:id="7"/>
      <w:bookmarkEnd w:id="8"/>
      <w:bookmarkEnd w:id="9"/>
      <w:bookmarkEnd w:id="10"/>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发包人（全称）：</w:t>
      </w:r>
      <w:r>
        <w:rPr>
          <w:rFonts w:hint="eastAsia" w:ascii="宋体" w:hAnsi="宋体" w:cs="宋体"/>
          <w:color w:val="auto"/>
          <w:sz w:val="24"/>
          <w:szCs w:val="24"/>
          <w:highlight w:val="none"/>
          <w:u w:val="single" w:color="FF0000"/>
        </w:rPr>
        <w:t>江门粤海置地有限公司</w:t>
      </w:r>
      <w:r>
        <w:rPr>
          <w:rFonts w:hint="eastAsia" w:ascii="宋体" w:hAnsi="宋体" w:cs="宋体"/>
          <w:color w:val="auto"/>
          <w:sz w:val="24"/>
          <w:highlight w:val="none"/>
        </w:rPr>
        <w:t xml:space="preserve">（以下简称“发包人”）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承包人（全称）：</w:t>
      </w:r>
      <w:r>
        <w:rPr>
          <w:rFonts w:hint="eastAsia" w:ascii="宋体" w:hAnsi="宋体" w:cs="宋体"/>
          <w:i w:val="0"/>
          <w:iCs w:val="0"/>
          <w:color w:val="auto"/>
          <w:kern w:val="2"/>
          <w:sz w:val="24"/>
          <w:szCs w:val="24"/>
          <w:highlight w:val="none"/>
          <w:u w:val="single" w:color="FF0000"/>
          <w:lang w:val="en-US" w:eastAsia="zh-CN" w:bidi="ar"/>
        </w:rPr>
        <w:t xml:space="preserve">                    </w:t>
      </w:r>
      <w:r>
        <w:rPr>
          <w:rFonts w:hint="eastAsia" w:ascii="宋体" w:hAnsi="宋体" w:cs="宋体"/>
          <w:color w:val="auto"/>
          <w:sz w:val="24"/>
          <w:highlight w:val="none"/>
        </w:rPr>
        <w:t>（以下简称“承包人”）</w:t>
      </w:r>
    </w:p>
    <w:p>
      <w:pPr>
        <w:pStyle w:val="52"/>
        <w:ind w:firstLine="480"/>
        <w:jc w:val="both"/>
        <w:rPr>
          <w:rFonts w:eastAsia="宋体"/>
          <w:color w:val="auto"/>
          <w:sz w:val="24"/>
          <w:szCs w:val="24"/>
          <w:highlight w:val="none"/>
        </w:rPr>
      </w:pPr>
      <w:r>
        <w:rPr>
          <w:rFonts w:eastAsia="宋体"/>
          <w:color w:val="auto"/>
          <w:sz w:val="24"/>
          <w:szCs w:val="24"/>
          <w:highlight w:val="none"/>
        </w:rPr>
        <w:t>依照《中华人民共和国民法典》《中华人民共和国建筑法》及其他有关法律、行政法规，遵循平等、自愿、公平和诚实信用的原则，双方就本建设工程施工事项协商一致，订立本合同。</w:t>
      </w:r>
    </w:p>
    <w:p>
      <w:pPr>
        <w:pStyle w:val="4"/>
        <w:ind w:left="0" w:firstLine="480" w:firstLineChars="200"/>
        <w:rPr>
          <w:color w:val="auto"/>
          <w:highlight w:val="none"/>
        </w:rPr>
      </w:pPr>
      <w:bookmarkStart w:id="11" w:name="_Toc351203481"/>
      <w:bookmarkStart w:id="12" w:name="_Toc402450431"/>
      <w:bookmarkStart w:id="13" w:name="_Toc31787"/>
      <w:bookmarkStart w:id="14" w:name="_Toc44492399"/>
      <w:bookmarkStart w:id="15" w:name="_Toc30191"/>
      <w:r>
        <w:rPr>
          <w:color w:val="auto"/>
          <w:highlight w:val="none"/>
        </w:rPr>
        <w:t>工程概况</w:t>
      </w:r>
      <w:bookmarkEnd w:id="11"/>
      <w:bookmarkEnd w:id="12"/>
      <w:bookmarkEnd w:id="13"/>
      <w:bookmarkEnd w:id="14"/>
      <w:bookmarkEnd w:id="15"/>
    </w:p>
    <w:p>
      <w:pPr>
        <w:pStyle w:val="5"/>
        <w:ind w:firstLine="480"/>
        <w:rPr>
          <w:color w:val="auto"/>
          <w:highlight w:val="none"/>
        </w:rPr>
      </w:pPr>
      <w:r>
        <w:rPr>
          <w:color w:val="auto"/>
          <w:highlight w:val="none"/>
        </w:rPr>
        <w:t>工程名称：</w:t>
      </w:r>
      <w:r>
        <w:rPr>
          <w:rFonts w:hint="eastAsia" w:ascii="宋体" w:hAnsi="宋体" w:cs="宋体"/>
          <w:color w:val="auto"/>
          <w:highlight w:val="none"/>
          <w:u w:val="single" w:color="FF0000"/>
          <w:lang w:eastAsia="zh-CN"/>
        </w:rPr>
        <w:t>粤海江门甘化厂项目新宁街道路及天桥工程</w:t>
      </w:r>
      <w:r>
        <w:rPr>
          <w:color w:val="auto"/>
          <w:highlight w:val="none"/>
        </w:rPr>
        <w:t>（以下简称“本工程”）</w:t>
      </w:r>
    </w:p>
    <w:p>
      <w:pPr>
        <w:pStyle w:val="5"/>
        <w:ind w:firstLine="480"/>
        <w:rPr>
          <w:color w:val="auto"/>
          <w:highlight w:val="none"/>
        </w:rPr>
      </w:pPr>
      <w:r>
        <w:rPr>
          <w:color w:val="auto"/>
          <w:highlight w:val="none"/>
        </w:rPr>
        <w:t>工程地点：</w:t>
      </w:r>
      <w:r>
        <w:rPr>
          <w:rFonts w:hint="eastAsia" w:ascii="宋体" w:hAnsi="宋体" w:cs="宋体"/>
          <w:color w:val="auto"/>
          <w:highlight w:val="none"/>
          <w:u w:val="single" w:color="FF0000"/>
        </w:rPr>
        <w:t>江门市蓬江区白沙街道甘北路东侧、西江西侧、泮边街南侧、北新街北侧地段</w:t>
      </w:r>
      <w:r>
        <w:rPr>
          <w:rFonts w:hint="eastAsia"/>
          <w:color w:val="auto"/>
          <w:highlight w:val="none"/>
        </w:rPr>
        <w:fldChar w:fldCharType="begin">
          <w:ffData>
            <w:name w:val="Text143"/>
            <w:enabled/>
            <w:calcOnExit w:val="0"/>
            <w:textInput/>
          </w:ffData>
        </w:fldChar>
      </w:r>
      <w:r>
        <w:rPr>
          <w:rFonts w:hint="eastAsia"/>
          <w:color w:val="auto"/>
          <w:highlight w:val="none"/>
        </w:rPr>
        <w:instrText xml:space="preserve"> FORMTEXT </w:instrText>
      </w:r>
      <w:r>
        <w:rPr>
          <w:rFonts w:hint="eastAsia"/>
          <w:color w:val="auto"/>
          <w:highlight w:val="none"/>
        </w:rPr>
        <w:fldChar w:fldCharType="separate"/>
      </w:r>
      <w:r>
        <w:rPr>
          <w:rFonts w:hint="eastAsia"/>
          <w:color w:val="auto"/>
          <w:highlight w:val="none"/>
        </w:rPr>
        <w:t>     </w:t>
      </w:r>
      <w:r>
        <w:rPr>
          <w:rFonts w:hint="eastAsia"/>
          <w:color w:val="auto"/>
          <w:highlight w:val="none"/>
        </w:rPr>
        <w:fldChar w:fldCharType="end"/>
      </w:r>
      <w:r>
        <w:rPr>
          <w:rFonts w:hint="eastAsia"/>
          <w:color w:val="auto"/>
          <w:highlight w:val="none"/>
        </w:rPr>
        <w:fldChar w:fldCharType="begin">
          <w:ffData>
            <w:name w:val="Text143"/>
            <w:enabled/>
            <w:calcOnExit w:val="0"/>
            <w:textInput/>
          </w:ffData>
        </w:fldChar>
      </w:r>
      <w:r>
        <w:rPr>
          <w:rFonts w:hint="eastAsia"/>
          <w:color w:val="auto"/>
          <w:highlight w:val="none"/>
        </w:rPr>
        <w:instrText xml:space="preserve"> FORMTEXT </w:instrText>
      </w:r>
      <w:r>
        <w:rPr>
          <w:rFonts w:hint="eastAsia"/>
          <w:color w:val="auto"/>
          <w:highlight w:val="none"/>
        </w:rPr>
        <w:fldChar w:fldCharType="separate"/>
      </w:r>
      <w:r>
        <w:rPr>
          <w:rFonts w:hint="eastAsia"/>
          <w:color w:val="auto"/>
          <w:highlight w:val="none"/>
        </w:rPr>
        <w:t>     </w:t>
      </w:r>
      <w:r>
        <w:rPr>
          <w:rFonts w:hint="eastAsia"/>
          <w:color w:val="auto"/>
          <w:highlight w:val="none"/>
        </w:rPr>
        <w:fldChar w:fldCharType="end"/>
      </w:r>
    </w:p>
    <w:p>
      <w:pPr>
        <w:pStyle w:val="5"/>
        <w:ind w:firstLine="480"/>
        <w:rPr>
          <w:bCs/>
          <w:color w:val="auto"/>
          <w:highlight w:val="none"/>
        </w:rPr>
      </w:pPr>
      <w:r>
        <w:rPr>
          <w:bCs/>
          <w:color w:val="auto"/>
          <w:highlight w:val="none"/>
        </w:rPr>
        <w:t>工程概况：</w:t>
      </w:r>
      <w:r>
        <w:rPr>
          <w:rFonts w:hint="eastAsia"/>
          <w:bCs/>
          <w:color w:val="auto"/>
          <w:highlight w:val="none"/>
          <w:u w:val="none" w:color="auto"/>
        </w:rPr>
        <w:t>本工程位于江门市新宁街附近，天桥主桥主跨布置为简支梁，采用钢箱梁+混凝土结构，桥梁全长约28.</w:t>
      </w:r>
      <w:r>
        <w:rPr>
          <w:rFonts w:hint="eastAsia"/>
          <w:bCs/>
          <w:color w:val="auto"/>
          <w:highlight w:val="none"/>
          <w:u w:val="none" w:color="auto"/>
          <w:lang w:val="en-US" w:eastAsia="zh-CN"/>
        </w:rPr>
        <w:t>93</w:t>
      </w:r>
      <w:r>
        <w:rPr>
          <w:rFonts w:hint="eastAsia"/>
          <w:bCs/>
          <w:color w:val="auto"/>
          <w:highlight w:val="none"/>
          <w:u w:val="none" w:color="auto"/>
        </w:rPr>
        <w:t>米（含4.3</w:t>
      </w:r>
      <w:r>
        <w:rPr>
          <w:rFonts w:hint="eastAsia"/>
          <w:bCs/>
          <w:color w:val="auto"/>
          <w:highlight w:val="none"/>
          <w:u w:val="none" w:color="auto"/>
          <w:lang w:val="en-US" w:eastAsia="zh-CN"/>
        </w:rPr>
        <w:t>6</w:t>
      </w:r>
      <w:r>
        <w:rPr>
          <w:rFonts w:hint="eastAsia"/>
          <w:bCs/>
          <w:color w:val="auto"/>
          <w:highlight w:val="none"/>
          <w:u w:val="none" w:color="auto"/>
        </w:rPr>
        <w:t>米悬臂），桥梁跨径布置跨度为22.57m(单跨)，桥梁高度净空为4.5m，主跨跨越新宁街</w:t>
      </w:r>
      <w:r>
        <w:rPr>
          <w:rFonts w:hint="eastAsia"/>
          <w:bCs/>
          <w:color w:val="auto"/>
          <w:highlight w:val="none"/>
          <w:u w:val="none" w:color="auto"/>
          <w:lang w:eastAsia="zh-CN"/>
        </w:rPr>
        <w:t>；</w:t>
      </w:r>
      <w:r>
        <w:rPr>
          <w:rFonts w:hint="eastAsia" w:cs="Times New Roman"/>
          <w:color w:val="auto"/>
          <w:highlight w:val="none"/>
          <w:u w:val="none" w:color="auto"/>
          <w:lang w:val="en-US" w:eastAsia="zh-CN"/>
        </w:rPr>
        <w:t>新宁街道路</w:t>
      </w:r>
      <w:r>
        <w:rPr>
          <w:rFonts w:hint="eastAsia"/>
          <w:bCs/>
          <w:color w:val="auto"/>
          <w:highlight w:val="none"/>
          <w:u w:val="none" w:color="auto"/>
        </w:rPr>
        <w:t>属于城市支路，道路长度约172</w:t>
      </w:r>
      <w:r>
        <w:rPr>
          <w:rFonts w:hint="eastAsia"/>
          <w:bCs/>
          <w:color w:val="auto"/>
          <w:highlight w:val="none"/>
          <w:u w:val="none" w:color="auto"/>
          <w:lang w:val="en-US" w:eastAsia="zh-CN"/>
        </w:rPr>
        <w:t>m</w:t>
      </w:r>
      <w:r>
        <w:rPr>
          <w:rFonts w:hint="eastAsia"/>
          <w:bCs/>
          <w:color w:val="auto"/>
          <w:highlight w:val="none"/>
          <w:u w:val="none" w:color="auto"/>
        </w:rPr>
        <w:t>，道路宽度为</w:t>
      </w:r>
      <w:r>
        <w:rPr>
          <w:rFonts w:hint="eastAsia"/>
          <w:bCs/>
          <w:color w:val="auto"/>
          <w:highlight w:val="none"/>
          <w:u w:val="none" w:color="auto"/>
          <w:lang w:val="en-US" w:eastAsia="zh-CN"/>
        </w:rPr>
        <w:t>20m，</w:t>
      </w:r>
      <w:r>
        <w:rPr>
          <w:rFonts w:hint="eastAsia"/>
          <w:bCs/>
          <w:color w:val="auto"/>
          <w:highlight w:val="none"/>
          <w:u w:val="none" w:color="auto"/>
        </w:rPr>
        <w:t>机动车道路面结构类型均为沥青混凝土路面，人行道路面结构类型均为铺砖路面。</w:t>
      </w:r>
    </w:p>
    <w:p>
      <w:pPr>
        <w:pStyle w:val="4"/>
        <w:ind w:left="0" w:firstLine="480" w:firstLineChars="200"/>
        <w:rPr>
          <w:color w:val="auto"/>
          <w:highlight w:val="none"/>
        </w:rPr>
      </w:pPr>
      <w:r>
        <w:rPr>
          <w:color w:val="auto"/>
          <w:highlight w:val="none"/>
        </w:rPr>
        <w:t>承包方式</w:t>
      </w:r>
      <w:r>
        <w:rPr>
          <w:rFonts w:hint="eastAsia"/>
          <w:color w:val="auto"/>
          <w:highlight w:val="none"/>
        </w:rPr>
        <w:t>：</w:t>
      </w:r>
    </w:p>
    <w:p>
      <w:pPr>
        <w:snapToGrid w:val="0"/>
        <w:spacing w:line="360" w:lineRule="auto"/>
        <w:ind w:firstLine="480" w:firstLineChars="200"/>
        <w:rPr>
          <w:color w:val="auto"/>
          <w:highlight w:val="none"/>
        </w:rPr>
      </w:pPr>
      <w:r>
        <w:rPr>
          <w:rFonts w:ascii="Times New Roman" w:hAnsi="Times New Roman"/>
          <w:bCs/>
          <w:color w:val="auto"/>
          <w:sz w:val="24"/>
          <w:szCs w:val="24"/>
          <w:highlight w:val="none"/>
        </w:rPr>
        <w:t>2.1按照本合同约定范围、招标文件、图纸内容、工程技术文件、工程量清单等有关资料及说明实行工程</w:t>
      </w:r>
      <w:r>
        <w:rPr>
          <w:rFonts w:hint="eastAsia" w:ascii="Times New Roman" w:hAnsi="Times New Roman"/>
          <w:bCs/>
          <w:color w:val="auto"/>
          <w:sz w:val="24"/>
          <w:szCs w:val="24"/>
          <w:highlight w:val="none"/>
          <w:lang w:val="en-US" w:eastAsia="zh-CN"/>
        </w:rPr>
        <w:t>施工总</w:t>
      </w:r>
      <w:r>
        <w:rPr>
          <w:rFonts w:ascii="Times New Roman" w:hAnsi="Times New Roman"/>
          <w:bCs/>
          <w:color w:val="auto"/>
          <w:sz w:val="24"/>
          <w:szCs w:val="24"/>
          <w:highlight w:val="none"/>
        </w:rPr>
        <w:t>承包</w:t>
      </w:r>
      <w:r>
        <w:rPr>
          <w:rFonts w:hint="eastAsia" w:ascii="Times New Roman" w:hAnsi="Times New Roman"/>
          <w:bCs/>
          <w:color w:val="auto"/>
          <w:sz w:val="24"/>
          <w:szCs w:val="24"/>
          <w:highlight w:val="none"/>
          <w:lang w:val="en-US" w:eastAsia="zh-CN"/>
        </w:rPr>
        <w:t>模式</w:t>
      </w:r>
      <w:r>
        <w:rPr>
          <w:rFonts w:ascii="Times New Roman" w:hAnsi="Times New Roman"/>
          <w:bCs/>
          <w:color w:val="auto"/>
          <w:sz w:val="24"/>
          <w:szCs w:val="24"/>
          <w:highlight w:val="none"/>
        </w:rPr>
        <w:t>，即包括但不限于包深化设计（优化设计）、包人工、包材料</w:t>
      </w:r>
      <w:r>
        <w:rPr>
          <w:rFonts w:hint="eastAsia" w:ascii="Times New Roman" w:hAnsi="Times New Roman" w:eastAsia="宋体"/>
          <w:bCs/>
          <w:color w:val="auto"/>
          <w:kern w:val="2"/>
          <w:sz w:val="24"/>
          <w:szCs w:val="24"/>
          <w:highlight w:val="none"/>
          <w:lang w:eastAsia="zh-CN"/>
        </w:rPr>
        <w:t>、</w:t>
      </w:r>
      <w:r>
        <w:rPr>
          <w:rFonts w:ascii="Times New Roman" w:hAnsi="Times New Roman"/>
          <w:bCs/>
          <w:color w:val="auto"/>
          <w:sz w:val="24"/>
          <w:szCs w:val="24"/>
          <w:highlight w:val="none"/>
        </w:rPr>
        <w:t>包机械、包工期、包质量、包安全生产、包文明施工、包材料检验检测、包</w:t>
      </w:r>
      <w:r>
        <w:rPr>
          <w:rFonts w:hint="eastAsia" w:ascii="Times New Roman" w:hAnsi="Times New Roman"/>
          <w:bCs/>
          <w:color w:val="auto"/>
          <w:sz w:val="24"/>
          <w:szCs w:val="24"/>
          <w:highlight w:val="none"/>
          <w:lang w:eastAsia="zh-CN"/>
        </w:rPr>
        <w:t>与本工程相关的第三方检测、</w:t>
      </w:r>
      <w:r>
        <w:rPr>
          <w:rFonts w:ascii="Times New Roman" w:hAnsi="Times New Roman"/>
          <w:bCs/>
          <w:color w:val="auto"/>
          <w:sz w:val="24"/>
          <w:szCs w:val="24"/>
          <w:highlight w:val="none"/>
        </w:rPr>
        <w:t>包成品保护、包施工用水用电、包措施费、</w:t>
      </w:r>
      <w:r>
        <w:rPr>
          <w:rFonts w:hint="eastAsia" w:ascii="Times New Roman" w:hAnsi="Times New Roman"/>
          <w:bCs/>
          <w:color w:val="auto"/>
          <w:sz w:val="24"/>
          <w:szCs w:val="24"/>
          <w:highlight w:val="none"/>
          <w:lang w:val="en-US" w:eastAsia="zh-CN"/>
        </w:rPr>
        <w:t>包</w:t>
      </w:r>
      <w:r>
        <w:rPr>
          <w:rFonts w:hint="eastAsia" w:ascii="Times New Roman" w:hAnsi="Times New Roman"/>
          <w:bCs/>
          <w:color w:val="auto"/>
          <w:sz w:val="24"/>
          <w:szCs w:val="24"/>
          <w:highlight w:val="none"/>
          <w:lang w:eastAsia="zh-CN"/>
        </w:rPr>
        <w:t>围挡的拆改迁移及新建、</w:t>
      </w:r>
      <w:r>
        <w:rPr>
          <w:rFonts w:hint="eastAsia" w:ascii="Times New Roman" w:hAnsi="Times New Roman"/>
          <w:bCs/>
          <w:color w:val="auto"/>
          <w:sz w:val="24"/>
          <w:szCs w:val="24"/>
          <w:highlight w:val="none"/>
          <w:lang w:val="en-US" w:eastAsia="zh-CN"/>
        </w:rPr>
        <w:t>包专家论证费、包交通疏导和交通调节费、</w:t>
      </w:r>
      <w:r>
        <w:rPr>
          <w:rFonts w:ascii="Times New Roman" w:hAnsi="Times New Roman"/>
          <w:bCs/>
          <w:color w:val="auto"/>
          <w:sz w:val="24"/>
          <w:szCs w:val="24"/>
          <w:highlight w:val="none"/>
        </w:rPr>
        <w:t>包利润及税金、包承包范围内工程竣工验收及竣工验收备案通过、包移交</w:t>
      </w:r>
      <w:r>
        <w:rPr>
          <w:rFonts w:hint="eastAsia" w:ascii="Times New Roman" w:hAnsi="Times New Roman"/>
          <w:bCs/>
          <w:color w:val="auto"/>
          <w:sz w:val="24"/>
          <w:szCs w:val="24"/>
          <w:highlight w:val="none"/>
          <w:lang w:val="en-US" w:eastAsia="zh-CN"/>
        </w:rPr>
        <w:t>发包人及政府相关部门</w:t>
      </w:r>
      <w:r>
        <w:rPr>
          <w:rFonts w:ascii="Times New Roman" w:hAnsi="Times New Roman"/>
          <w:bCs/>
          <w:color w:val="auto"/>
          <w:sz w:val="24"/>
          <w:szCs w:val="24"/>
          <w:highlight w:val="none"/>
        </w:rPr>
        <w:t>、包结算、包保修和资料整理、包施工管理和现场组织、</w:t>
      </w:r>
      <w:r>
        <w:rPr>
          <w:rFonts w:hint="eastAsia" w:ascii="Times New Roman" w:hAnsi="Times New Roman"/>
          <w:bCs/>
          <w:color w:val="auto"/>
          <w:sz w:val="24"/>
          <w:szCs w:val="24"/>
          <w:highlight w:val="none"/>
          <w:lang w:val="en-US" w:eastAsia="zh-CN"/>
        </w:rPr>
        <w:t>包</w:t>
      </w:r>
      <w:r>
        <w:rPr>
          <w:rFonts w:hint="eastAsia" w:ascii="Times New Roman" w:hAnsi="Times New Roman" w:eastAsia="宋体"/>
          <w:bCs/>
          <w:color w:val="auto"/>
          <w:kern w:val="2"/>
          <w:sz w:val="24"/>
          <w:szCs w:val="24"/>
          <w:highlight w:val="none"/>
        </w:rPr>
        <w:t>办理</w:t>
      </w:r>
      <w:r>
        <w:rPr>
          <w:rFonts w:hint="eastAsia" w:ascii="Times New Roman" w:hAnsi="Times New Roman"/>
          <w:bCs/>
          <w:color w:val="auto"/>
          <w:kern w:val="2"/>
          <w:sz w:val="24"/>
          <w:szCs w:val="24"/>
          <w:highlight w:val="none"/>
          <w:lang w:val="en-US" w:eastAsia="zh-CN"/>
        </w:rPr>
        <w:t>政府相关</w:t>
      </w:r>
      <w:r>
        <w:rPr>
          <w:rFonts w:hint="eastAsia" w:ascii="Times New Roman" w:hAnsi="Times New Roman" w:eastAsia="宋体"/>
          <w:bCs/>
          <w:color w:val="auto"/>
          <w:kern w:val="2"/>
          <w:sz w:val="24"/>
          <w:szCs w:val="24"/>
          <w:highlight w:val="none"/>
        </w:rPr>
        <w:t>部门规定的从开工至竣工验收符合合同要求所需的各种手续</w:t>
      </w:r>
      <w:r>
        <w:rPr>
          <w:rFonts w:hint="eastAsia" w:ascii="Times New Roman" w:hAnsi="Times New Roman" w:eastAsia="宋体"/>
          <w:bCs/>
          <w:color w:val="auto"/>
          <w:kern w:val="2"/>
          <w:sz w:val="24"/>
          <w:szCs w:val="24"/>
          <w:highlight w:val="none"/>
          <w:lang w:eastAsia="zh-CN"/>
        </w:rPr>
        <w:t>、</w:t>
      </w:r>
      <w:r>
        <w:rPr>
          <w:rFonts w:ascii="Times New Roman" w:hAnsi="Times New Roman"/>
          <w:bCs/>
          <w:color w:val="auto"/>
          <w:sz w:val="24"/>
          <w:szCs w:val="24"/>
          <w:highlight w:val="none"/>
        </w:rPr>
        <w:t>包对本工程相关的其他各专业工程提供协调及配合服务等与本工程相关的一切内容。</w:t>
      </w:r>
    </w:p>
    <w:p>
      <w:pPr>
        <w:adjustRightInd w:val="0"/>
        <w:snapToGrid w:val="0"/>
        <w:spacing w:line="360" w:lineRule="auto"/>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2.2</w:t>
      </w:r>
      <w:bookmarkStart w:id="16" w:name="_Toc15151"/>
      <w:bookmarkStart w:id="17" w:name="_Toc402450432"/>
      <w:bookmarkStart w:id="18" w:name="_Toc44492400"/>
      <w:bookmarkStart w:id="19" w:name="_Toc1181"/>
      <w:r>
        <w:rPr>
          <w:rFonts w:hint="default" w:ascii="Times New Roman" w:hAnsi="Times New Roman"/>
          <w:bCs/>
          <w:color w:val="auto"/>
          <w:sz w:val="24"/>
          <w:szCs w:val="24"/>
          <w:highlight w:val="none"/>
        </w:rPr>
        <w:t>.本工程暂定总价采用分部分项工程清单综合单价包干；措施项目费（除以费率计算的绿色施工安全防护措施费</w:t>
      </w:r>
      <w:r>
        <w:rPr>
          <w:rFonts w:hint="eastAsia" w:ascii="Times New Roman" w:hAnsi="Times New Roman"/>
          <w:bCs/>
          <w:color w:val="auto"/>
          <w:sz w:val="24"/>
          <w:szCs w:val="24"/>
          <w:highlight w:val="none"/>
          <w:lang w:val="en-US" w:eastAsia="zh-CN"/>
        </w:rPr>
        <w:t>及围挡相关费用</w:t>
      </w:r>
      <w:r>
        <w:rPr>
          <w:rFonts w:hint="default" w:ascii="Times New Roman" w:hAnsi="Times New Roman"/>
          <w:bCs/>
          <w:color w:val="auto"/>
          <w:sz w:val="24"/>
          <w:szCs w:val="24"/>
          <w:highlight w:val="none"/>
        </w:rPr>
        <w:t>外）固定总价包干（特别地，临时支撑相关费用在措施项目费中单独列项，总价包干；交通疏导和</w:t>
      </w:r>
      <w:r>
        <w:rPr>
          <w:rFonts w:hint="eastAsia" w:ascii="Times New Roman" w:hAnsi="Times New Roman"/>
          <w:bCs/>
          <w:color w:val="auto"/>
          <w:sz w:val="24"/>
          <w:szCs w:val="24"/>
          <w:highlight w:val="none"/>
          <w:lang w:eastAsia="zh-CN"/>
        </w:rPr>
        <w:t>交通调节</w:t>
      </w:r>
      <w:r>
        <w:rPr>
          <w:rFonts w:hint="default" w:ascii="Times New Roman" w:hAnsi="Times New Roman"/>
          <w:bCs/>
          <w:color w:val="auto"/>
          <w:sz w:val="24"/>
          <w:szCs w:val="24"/>
          <w:highlight w:val="none"/>
        </w:rPr>
        <w:t>费已包含在固定总价包干的措施项目费中，不再单独计取）；其他项目费和发包人供应材料设备的保管费以费率包干的承包方式；以费率计算的绿色施工安全防护措施费如按合同计算的费率超出定额规定的费率时，进度支付和结算按定额规定的费率计算；如按合同计算的费率低于定额规定的费率时，则按合同计算的费率计算</w:t>
      </w:r>
      <w:r>
        <w:rPr>
          <w:rFonts w:ascii="Times New Roman" w:hAnsi="Times New Roman"/>
          <w:bCs/>
          <w:color w:val="auto"/>
          <w:sz w:val="24"/>
          <w:szCs w:val="24"/>
          <w:highlight w:val="none"/>
        </w:rPr>
        <w:t>。</w:t>
      </w:r>
    </w:p>
    <w:p>
      <w:pPr>
        <w:pStyle w:val="4"/>
        <w:ind w:left="0" w:firstLine="480" w:firstLineChars="200"/>
        <w:rPr>
          <w:color w:val="auto"/>
          <w:highlight w:val="none"/>
        </w:rPr>
      </w:pPr>
      <w:r>
        <w:rPr>
          <w:color w:val="auto"/>
          <w:highlight w:val="none"/>
        </w:rPr>
        <w:t>承包范围</w:t>
      </w:r>
    </w:p>
    <w:p>
      <w:pPr>
        <w:pStyle w:val="4"/>
        <w:numPr>
          <w:ilvl w:val="1"/>
          <w:numId w:val="1"/>
        </w:numPr>
        <w:ind w:firstLine="480" w:firstLineChars="200"/>
        <w:rPr>
          <w:color w:val="auto"/>
          <w:highlight w:val="none"/>
          <w:u w:val="single"/>
        </w:rPr>
      </w:pPr>
      <w:r>
        <w:rPr>
          <w:color w:val="auto"/>
          <w:highlight w:val="none"/>
        </w:rPr>
        <w:t>承包范围：依据招标文件、图纸、工程量清单及有关资料及说明</w:t>
      </w:r>
      <w:r>
        <w:rPr>
          <w:rFonts w:hint="eastAsia" w:ascii="宋体" w:hAnsi="宋体"/>
          <w:color w:val="auto"/>
          <w:kern w:val="0"/>
          <w:szCs w:val="21"/>
          <w:highlight w:val="none"/>
        </w:rPr>
        <w:t>，具体内容以招标文件及工程量清单、招标图纸为准，</w:t>
      </w:r>
      <w:r>
        <w:rPr>
          <w:color w:val="auto"/>
          <w:highlight w:val="none"/>
        </w:rPr>
        <w:t>主要包括（但不限于）如下内容：</w:t>
      </w:r>
    </w:p>
    <w:p>
      <w:pPr>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1）道路工程；</w:t>
      </w:r>
    </w:p>
    <w:p>
      <w:pPr>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2）排水工程；</w:t>
      </w:r>
    </w:p>
    <w:p>
      <w:pPr>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3）交通工程；</w:t>
      </w:r>
    </w:p>
    <w:p>
      <w:pPr>
        <w:pStyle w:val="2"/>
        <w:spacing w:line="360" w:lineRule="auto"/>
        <w:ind w:firstLine="480" w:firstLineChars="200"/>
        <w:rPr>
          <w:rFonts w:hint="eastAsia"/>
          <w:color w:val="auto"/>
          <w:szCs w:val="24"/>
          <w:highlight w:val="none"/>
        </w:rPr>
      </w:pPr>
      <w:r>
        <w:rPr>
          <w:rFonts w:hint="default"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z w:val="24"/>
          <w:szCs w:val="24"/>
          <w:highlight w:val="none"/>
        </w:rPr>
        <w:t>消防给水工程</w:t>
      </w:r>
      <w:r>
        <w:rPr>
          <w:rFonts w:hint="default" w:cs="Times New Roman"/>
          <w:color w:val="auto"/>
          <w:sz w:val="24"/>
          <w:szCs w:val="24"/>
          <w:highlight w:val="none"/>
          <w:lang w:eastAsia="zh-CN"/>
        </w:rPr>
        <w:t>；</w:t>
      </w:r>
    </w:p>
    <w:p>
      <w:pPr>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）照明工程；</w:t>
      </w:r>
    </w:p>
    <w:p>
      <w:pPr>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rPr>
        <w:t>）绿化工程；</w:t>
      </w:r>
    </w:p>
    <w:p>
      <w:pPr>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rPr>
        <w:t>）管线综合工程；</w:t>
      </w:r>
    </w:p>
    <w:p>
      <w:pPr>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rPr>
        <w:t>）环卫设施工程；</w:t>
      </w:r>
    </w:p>
    <w:p>
      <w:pPr>
        <w:wordWrap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rPr>
        <w:t>）人行天桥及附属工程；</w:t>
      </w:r>
    </w:p>
    <w:p>
      <w:pPr>
        <w:wordWrap w:val="0"/>
        <w:adjustRightInd w:val="0"/>
        <w:snapToGrid w:val="0"/>
        <w:spacing w:line="360" w:lineRule="auto"/>
        <w:ind w:firstLine="480" w:firstLineChars="200"/>
        <w:jc w:val="left"/>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10）围挡工程</w:t>
      </w:r>
      <w:r>
        <w:rPr>
          <w:rFonts w:hint="eastAsia"/>
          <w:color w:val="auto"/>
          <w:highlight w:val="none"/>
          <w:lang w:eastAsia="zh-CN"/>
        </w:rPr>
        <w:t>；</w:t>
      </w:r>
    </w:p>
    <w:p>
      <w:pPr>
        <w:wordWrap w:val="0"/>
        <w:adjustRightInd w:val="0"/>
        <w:snapToGrid w:val="0"/>
        <w:spacing w:line="360" w:lineRule="auto"/>
        <w:ind w:firstLine="480" w:firstLineChars="200"/>
        <w:jc w:val="left"/>
        <w:rPr>
          <w:rFonts w:hint="eastAsia" w:ascii="Times New Roman" w:hAnsi="Times New Roman" w:eastAsia="宋体" w:cs="Times New Roman"/>
          <w:color w:val="auto"/>
          <w:highlight w:val="none"/>
        </w:rPr>
      </w:pPr>
      <w:r>
        <w:rPr>
          <w:rFonts w:hint="eastAsia" w:ascii="Times New Roman" w:hAnsi="Times New Roman" w:cs="Times New Roman"/>
          <w:color w:val="auto"/>
          <w:kern w:val="0"/>
          <w:sz w:val="24"/>
          <w:szCs w:val="24"/>
          <w:highlight w:val="none"/>
          <w:lang w:val="en-US" w:eastAsia="zh-CN"/>
        </w:rPr>
        <w:t>11</w:t>
      </w:r>
      <w:r>
        <w:rPr>
          <w:rFonts w:hint="default" w:ascii="Times New Roman" w:hAnsi="Times New Roman" w:eastAsia="宋体" w:cs="Times New Roman"/>
          <w:color w:val="auto"/>
          <w:kern w:val="0"/>
          <w:sz w:val="24"/>
          <w:szCs w:val="24"/>
          <w:highlight w:val="none"/>
        </w:rPr>
        <w:t>）其他招标文件与本合同约定的事项。</w:t>
      </w:r>
    </w:p>
    <w:p>
      <w:pPr>
        <w:spacing w:line="360" w:lineRule="auto"/>
        <w:ind w:firstLine="480" w:firstLineChars="200"/>
        <w:rPr>
          <w:rFonts w:hint="eastAsia" w:ascii="Times New Roman" w:hAnsi="Times New Roman" w:eastAsia="宋体"/>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3.1.2</w:t>
      </w:r>
      <w:r>
        <w:rPr>
          <w:rFonts w:hint="default" w:eastAsia="宋体" w:cs="Times New Roman"/>
          <w:color w:val="auto"/>
          <w:sz w:val="24"/>
          <w:szCs w:val="24"/>
          <w:highlight w:val="none"/>
        </w:rPr>
        <w:t>发包人</w:t>
      </w:r>
      <w:r>
        <w:rPr>
          <w:rFonts w:hint="eastAsia" w:cs="Times New Roman"/>
          <w:color w:val="auto"/>
          <w:sz w:val="24"/>
          <w:szCs w:val="24"/>
          <w:highlight w:val="none"/>
          <w:lang w:val="en-US" w:eastAsia="zh-CN"/>
        </w:rPr>
        <w:t>另行</w:t>
      </w:r>
      <w:r>
        <w:rPr>
          <w:rFonts w:hint="default" w:eastAsia="宋体" w:cs="Times New Roman"/>
          <w:color w:val="auto"/>
          <w:sz w:val="24"/>
          <w:szCs w:val="24"/>
          <w:highlight w:val="none"/>
        </w:rPr>
        <w:t>发包</w:t>
      </w:r>
      <w:r>
        <w:rPr>
          <w:rFonts w:hint="eastAsia" w:eastAsia="宋体" w:cs="Times New Roman"/>
          <w:color w:val="auto"/>
          <w:sz w:val="24"/>
          <w:szCs w:val="24"/>
          <w:highlight w:val="none"/>
          <w:lang w:val="en-US" w:eastAsia="zh-CN"/>
        </w:rPr>
        <w:t>的</w:t>
      </w:r>
      <w:r>
        <w:rPr>
          <w:rFonts w:hint="eastAsia" w:cs="Times New Roman"/>
          <w:color w:val="auto"/>
          <w:sz w:val="24"/>
          <w:szCs w:val="24"/>
          <w:highlight w:val="none"/>
          <w:lang w:val="en-US" w:eastAsia="zh-CN"/>
        </w:rPr>
        <w:t>新宁街天桥</w:t>
      </w:r>
      <w:r>
        <w:rPr>
          <w:rFonts w:hint="eastAsia" w:eastAsia="宋体" w:cs="Times New Roman"/>
          <w:color w:val="auto"/>
          <w:sz w:val="24"/>
          <w:szCs w:val="24"/>
          <w:highlight w:val="none"/>
          <w:lang w:val="en-US" w:eastAsia="zh-CN"/>
        </w:rPr>
        <w:t>电梯</w:t>
      </w:r>
      <w:r>
        <w:rPr>
          <w:rFonts w:hint="eastAsia" w:cs="Times New Roman"/>
          <w:color w:val="auto"/>
          <w:sz w:val="24"/>
          <w:szCs w:val="24"/>
          <w:highlight w:val="none"/>
          <w:lang w:val="en-US" w:eastAsia="zh-CN"/>
        </w:rPr>
        <w:t>设备</w:t>
      </w:r>
      <w:r>
        <w:rPr>
          <w:rFonts w:hint="eastAsia" w:eastAsia="宋体" w:cs="Times New Roman"/>
          <w:color w:val="auto"/>
          <w:sz w:val="24"/>
          <w:szCs w:val="24"/>
          <w:highlight w:val="none"/>
          <w:lang w:val="en-US" w:eastAsia="zh-CN"/>
        </w:rPr>
        <w:t>安装</w:t>
      </w:r>
      <w:r>
        <w:rPr>
          <w:rFonts w:hint="default" w:eastAsia="宋体" w:cs="Times New Roman"/>
          <w:color w:val="auto"/>
          <w:sz w:val="24"/>
          <w:szCs w:val="24"/>
          <w:highlight w:val="none"/>
        </w:rPr>
        <w:t>工程</w:t>
      </w:r>
      <w:r>
        <w:rPr>
          <w:rFonts w:hint="eastAsia" w:cs="Times New Roman"/>
          <w:color w:val="auto"/>
          <w:sz w:val="24"/>
          <w:szCs w:val="24"/>
          <w:highlight w:val="none"/>
          <w:lang w:val="en-US" w:eastAsia="zh-CN"/>
        </w:rPr>
        <w:t>的管理、协调及配合服务以及交界面收口，相关费用已包含在合同综合单价中，发包人不再另行支付</w:t>
      </w:r>
      <w:r>
        <w:rPr>
          <w:rFonts w:hint="eastAsia" w:ascii="Times New Roman" w:hAnsi="Times New Roman" w:eastAsia="宋体" w:cs="Times New Roman"/>
          <w:color w:val="auto"/>
          <w:highlight w:val="none"/>
        </w:rPr>
        <w:t>。</w:t>
      </w:r>
    </w:p>
    <w:p>
      <w:pPr>
        <w:pStyle w:val="4"/>
        <w:numPr>
          <w:ilvl w:val="255"/>
          <w:numId w:val="0"/>
        </w:numPr>
        <w:ind w:firstLine="480" w:firstLineChars="200"/>
        <w:rPr>
          <w:color w:val="auto"/>
          <w:highlight w:val="none"/>
        </w:rPr>
      </w:pPr>
      <w:r>
        <w:rPr>
          <w:rFonts w:hint="eastAsia"/>
          <w:color w:val="auto"/>
          <w:highlight w:val="none"/>
        </w:rPr>
        <w:t>3.</w:t>
      </w:r>
      <w:r>
        <w:rPr>
          <w:rFonts w:hint="eastAsia"/>
          <w:color w:val="auto"/>
          <w:highlight w:val="none"/>
          <w:lang w:val="en-US" w:eastAsia="zh-CN"/>
        </w:rPr>
        <w:t>2</w:t>
      </w:r>
      <w:r>
        <w:rPr>
          <w:color w:val="auto"/>
          <w:highlight w:val="none"/>
        </w:rPr>
        <w:t>发包</w:t>
      </w:r>
      <w:r>
        <w:rPr>
          <w:bCs/>
          <w:color w:val="auto"/>
          <w:highlight w:val="none"/>
        </w:rPr>
        <w:t>人</w:t>
      </w:r>
      <w:r>
        <w:rPr>
          <w:bCs/>
          <w:color w:val="auto"/>
          <w:highlight w:val="none"/>
          <w:lang w:val="sq-AL"/>
        </w:rPr>
        <w:t>有权对本</w:t>
      </w:r>
      <w:r>
        <w:rPr>
          <w:bCs/>
          <w:color w:val="auto"/>
          <w:highlight w:val="none"/>
        </w:rPr>
        <w:t>合同承包范围</w:t>
      </w:r>
      <w:r>
        <w:rPr>
          <w:bCs/>
          <w:color w:val="auto"/>
          <w:highlight w:val="none"/>
          <w:lang w:val="sq-AL"/>
        </w:rPr>
        <w:t>、</w:t>
      </w:r>
      <w:r>
        <w:rPr>
          <w:bCs/>
          <w:color w:val="auto"/>
          <w:highlight w:val="none"/>
        </w:rPr>
        <w:t>工程</w:t>
      </w:r>
      <w:r>
        <w:rPr>
          <w:bCs/>
          <w:color w:val="auto"/>
          <w:highlight w:val="none"/>
          <w:lang w:val="sq-AL"/>
        </w:rPr>
        <w:t>内容、工程量进行调整，</w:t>
      </w:r>
      <w:r>
        <w:rPr>
          <w:bCs/>
          <w:color w:val="auto"/>
          <w:highlight w:val="none"/>
        </w:rPr>
        <w:t>承包人对此无异议。</w:t>
      </w:r>
    </w:p>
    <w:p>
      <w:pPr>
        <w:pStyle w:val="4"/>
        <w:numPr>
          <w:ilvl w:val="255"/>
          <w:numId w:val="0"/>
        </w:numPr>
        <w:ind w:firstLine="480" w:firstLineChars="200"/>
        <w:rPr>
          <w:color w:val="auto"/>
          <w:highlight w:val="none"/>
        </w:rPr>
      </w:pPr>
      <w:r>
        <w:rPr>
          <w:rFonts w:hint="eastAsia"/>
          <w:color w:val="auto"/>
          <w:highlight w:val="none"/>
        </w:rPr>
        <w:t>3.</w:t>
      </w:r>
      <w:r>
        <w:rPr>
          <w:rFonts w:hint="eastAsia"/>
          <w:color w:val="auto"/>
          <w:highlight w:val="none"/>
          <w:lang w:val="en-US" w:eastAsia="zh-CN"/>
        </w:rPr>
        <w:t>3</w:t>
      </w:r>
      <w:r>
        <w:rPr>
          <w:color w:val="auto"/>
          <w:highlight w:val="none"/>
        </w:rPr>
        <w:t>承包人详细承包范围及施工界面划分详见本合同附件1《合同范围及边界》。</w:t>
      </w:r>
    </w:p>
    <w:p>
      <w:pPr>
        <w:pStyle w:val="4"/>
        <w:numPr>
          <w:ilvl w:val="255"/>
          <w:numId w:val="0"/>
        </w:numPr>
        <w:ind w:firstLine="480" w:firstLineChars="200"/>
        <w:rPr>
          <w:color w:val="auto"/>
          <w:highlight w:val="none"/>
        </w:rPr>
      </w:pPr>
      <w:r>
        <w:rPr>
          <w:color w:val="auto"/>
          <w:highlight w:val="none"/>
        </w:rPr>
        <w:t>上述所描述的承包范围仅是概括性的，不能视为是完整无缺的。承包人应参阅合同文件中的其他部分，去完全了解工程的实际范围与工作内容。根据本合同所需进行施工的工程包括合同文件、合同图纸、工程技术要求及工程量清单内所显示的一切项目。承包人有责任现场踏勘，细阅合同图纸及工程技术要求，务求对所有施工工程的所有内容做到完全清楚了解。此外承包人还须负责与本合同工程施工有关的环境清理、市容维护、交通、噪音、民扰调停及</w:t>
      </w:r>
      <w:r>
        <w:rPr>
          <w:rStyle w:val="45"/>
          <w:color w:val="auto"/>
          <w:sz w:val="24"/>
          <w:szCs w:val="24"/>
          <w:highlight w:val="none"/>
        </w:rPr>
        <w:t>垃圾清理外运</w:t>
      </w:r>
      <w:r>
        <w:rPr>
          <w:rStyle w:val="45"/>
          <w:rFonts w:hint="eastAsia"/>
          <w:color w:val="auto"/>
          <w:sz w:val="24"/>
          <w:szCs w:val="24"/>
          <w:highlight w:val="none"/>
          <w:lang w:eastAsia="zh-CN"/>
        </w:rPr>
        <w:t>，</w:t>
      </w:r>
      <w:r>
        <w:rPr>
          <w:rStyle w:val="45"/>
          <w:rFonts w:hint="eastAsia"/>
          <w:color w:val="auto"/>
          <w:sz w:val="24"/>
          <w:szCs w:val="24"/>
          <w:highlight w:val="none"/>
          <w:lang w:val="en-US" w:eastAsia="zh-CN"/>
        </w:rPr>
        <w:t>相关工作及费用由承包人自行承担</w:t>
      </w:r>
      <w:r>
        <w:rPr>
          <w:color w:val="auto"/>
          <w:highlight w:val="none"/>
        </w:rPr>
        <w:t>。</w:t>
      </w:r>
    </w:p>
    <w:bookmarkEnd w:id="16"/>
    <w:bookmarkEnd w:id="17"/>
    <w:bookmarkEnd w:id="18"/>
    <w:bookmarkEnd w:id="19"/>
    <w:p>
      <w:pPr>
        <w:pStyle w:val="4"/>
        <w:numPr>
          <w:ilvl w:val="255"/>
          <w:numId w:val="0"/>
          <w:ins w:id="0" w:author="薛工" w:date="2022-04-01T22:38:00Z"/>
        </w:numPr>
        <w:ind w:firstLine="480" w:firstLineChars="200"/>
        <w:rPr>
          <w:color w:val="auto"/>
          <w:highlight w:val="none"/>
        </w:rPr>
      </w:pPr>
      <w:bookmarkStart w:id="20" w:name="_Toc26249"/>
      <w:bookmarkStart w:id="21" w:name="_Toc6945"/>
      <w:bookmarkStart w:id="22" w:name="_Toc44492401"/>
      <w:r>
        <w:rPr>
          <w:rFonts w:hint="eastAsia"/>
          <w:color w:val="auto"/>
          <w:highlight w:val="none"/>
        </w:rPr>
        <w:t>4.</w:t>
      </w:r>
      <w:r>
        <w:rPr>
          <w:color w:val="auto"/>
          <w:highlight w:val="none"/>
        </w:rPr>
        <w:t>合同工期</w:t>
      </w:r>
      <w:bookmarkEnd w:id="20"/>
      <w:bookmarkEnd w:id="21"/>
      <w:bookmarkEnd w:id="22"/>
    </w:p>
    <w:p>
      <w:pPr>
        <w:pStyle w:val="4"/>
        <w:numPr>
          <w:ilvl w:val="0"/>
          <w:numId w:val="0"/>
        </w:numPr>
        <w:ind w:firstLine="480" w:firstLineChars="200"/>
        <w:rPr>
          <w:color w:val="auto"/>
          <w:highlight w:val="none"/>
        </w:rPr>
      </w:pPr>
      <w:r>
        <w:rPr>
          <w:rFonts w:hint="eastAsia"/>
          <w:color w:val="auto"/>
          <w:highlight w:val="none"/>
        </w:rPr>
        <w:t>4.1</w:t>
      </w:r>
      <w:r>
        <w:rPr>
          <w:color w:val="auto"/>
          <w:highlight w:val="none"/>
        </w:rPr>
        <w:t>合同工期：</w:t>
      </w:r>
      <w:r>
        <w:rPr>
          <w:rFonts w:hint="eastAsia"/>
          <w:color w:val="auto"/>
          <w:highlight w:val="none"/>
          <w:u w:val="single"/>
          <w:lang w:val="en-US" w:eastAsia="zh-CN"/>
        </w:rPr>
        <w:t>153</w:t>
      </w:r>
      <w:r>
        <w:rPr>
          <w:color w:val="auto"/>
          <w:highlight w:val="none"/>
        </w:rPr>
        <w:t>日历天(除非合同另有明确约定,合同工期不做任何调整)，</w:t>
      </w:r>
      <w:r>
        <w:rPr>
          <w:bCs/>
          <w:color w:val="auto"/>
          <w:highlight w:val="none"/>
        </w:rPr>
        <w:t>工期自</w:t>
      </w:r>
      <w:r>
        <w:rPr>
          <w:color w:val="auto"/>
          <w:highlight w:val="none"/>
        </w:rPr>
        <w:t>发包人书面下发的开工通知中载明的日期</w:t>
      </w:r>
      <w:r>
        <w:rPr>
          <w:bCs/>
          <w:color w:val="auto"/>
          <w:highlight w:val="none"/>
        </w:rPr>
        <w:t>起开始计算</w:t>
      </w:r>
      <w:r>
        <w:rPr>
          <w:color w:val="auto"/>
          <w:highlight w:val="none"/>
        </w:rPr>
        <w:t>。</w:t>
      </w:r>
    </w:p>
    <w:p>
      <w:pPr>
        <w:pStyle w:val="15"/>
        <w:numPr>
          <w:ilvl w:val="255"/>
          <w:numId w:val="0"/>
        </w:numPr>
        <w:spacing w:line="360" w:lineRule="auto"/>
        <w:ind w:firstLine="480" w:firstLineChars="200"/>
        <w:rPr>
          <w:color w:val="auto"/>
          <w:sz w:val="24"/>
          <w:szCs w:val="24"/>
          <w:highlight w:val="none"/>
        </w:rPr>
      </w:pPr>
      <w:r>
        <w:rPr>
          <w:color w:val="auto"/>
          <w:sz w:val="24"/>
          <w:szCs w:val="24"/>
          <w:highlight w:val="none"/>
        </w:rPr>
        <w:t>以上工期已充分考虑各种形式的雨雪、冰雹、大风、停水、停电、节假日、国家庆典、外交来访、重大活动（如国际会议、大型运动会、大型阅兵庆典等）、中考、高考期间、召开“两会”期间的施工管制、交通管制、扰民、道路施工影响等不利因素，并已考虑承包人与其他承包单位之间的配合时间</w:t>
      </w:r>
      <w:r>
        <w:rPr>
          <w:rFonts w:hint="eastAsia"/>
          <w:color w:val="auto"/>
          <w:sz w:val="24"/>
          <w:szCs w:val="24"/>
          <w:highlight w:val="none"/>
        </w:rPr>
        <w:t>（已包括</w:t>
      </w:r>
      <w:r>
        <w:rPr>
          <w:color w:val="auto"/>
          <w:sz w:val="24"/>
          <w:szCs w:val="24"/>
          <w:highlight w:val="none"/>
        </w:rPr>
        <w:t>材料订货</w:t>
      </w:r>
      <w:r>
        <w:rPr>
          <w:rFonts w:hint="eastAsia"/>
          <w:color w:val="auto"/>
          <w:sz w:val="24"/>
          <w:szCs w:val="24"/>
          <w:highlight w:val="none"/>
        </w:rPr>
        <w:t>时间</w:t>
      </w:r>
      <w:r>
        <w:rPr>
          <w:color w:val="auto"/>
          <w:sz w:val="24"/>
          <w:szCs w:val="24"/>
          <w:highlight w:val="none"/>
        </w:rPr>
        <w:t>、各分部分项及施工工序之间的交叉配合时间等原因</w:t>
      </w:r>
      <w:r>
        <w:rPr>
          <w:rFonts w:hint="eastAsia"/>
          <w:color w:val="auto"/>
          <w:sz w:val="24"/>
          <w:szCs w:val="24"/>
          <w:highlight w:val="none"/>
        </w:rPr>
        <w:t>）</w:t>
      </w:r>
      <w:r>
        <w:rPr>
          <w:color w:val="auto"/>
          <w:sz w:val="24"/>
          <w:szCs w:val="24"/>
          <w:highlight w:val="none"/>
        </w:rPr>
        <w:t>，承包人不得以上述因素申请工期的延长。承包人已到工地考察并充分了解工地位置、情况、道路、储存空间、装卸限制、脚手架或吊栏施工设置及任何其他足以影响投标报价的情况，任何因忽视或误解工地情况而导致的索赔或工期延长申请将不被批准。</w:t>
      </w:r>
    </w:p>
    <w:p>
      <w:pPr>
        <w:pStyle w:val="4"/>
        <w:numPr>
          <w:ilvl w:val="0"/>
          <w:numId w:val="0"/>
        </w:numPr>
        <w:ind w:firstLine="480" w:firstLineChars="200"/>
        <w:rPr>
          <w:color w:val="auto"/>
          <w:highlight w:val="none"/>
        </w:rPr>
      </w:pPr>
      <w:r>
        <w:rPr>
          <w:rFonts w:hint="eastAsia"/>
          <w:color w:val="auto"/>
          <w:highlight w:val="none"/>
        </w:rPr>
        <w:t>4.2</w:t>
      </w:r>
      <w:r>
        <w:rPr>
          <w:color w:val="auto"/>
          <w:highlight w:val="none"/>
        </w:rPr>
        <w:t>开工日期、竣工日期：</w:t>
      </w:r>
    </w:p>
    <w:p>
      <w:pPr>
        <w:pStyle w:val="52"/>
        <w:ind w:firstLine="480"/>
        <w:jc w:val="both"/>
        <w:rPr>
          <w:rFonts w:hint="eastAsia" w:eastAsia="宋体"/>
          <w:color w:val="auto"/>
          <w:kern w:val="2"/>
          <w:sz w:val="24"/>
          <w:szCs w:val="24"/>
          <w:highlight w:val="none"/>
          <w:lang w:eastAsia="zh-CN"/>
        </w:rPr>
      </w:pPr>
      <w:r>
        <w:rPr>
          <w:rFonts w:hint="eastAsia" w:eastAsia="宋体"/>
          <w:color w:val="auto"/>
          <w:kern w:val="2"/>
          <w:sz w:val="24"/>
          <w:szCs w:val="24"/>
          <w:highlight w:val="none"/>
          <w:lang w:val="en-US" w:eastAsia="zh-CN"/>
        </w:rPr>
        <w:t>工程</w:t>
      </w:r>
      <w:r>
        <w:rPr>
          <w:rFonts w:eastAsia="宋体"/>
          <w:color w:val="auto"/>
          <w:kern w:val="2"/>
          <w:sz w:val="24"/>
          <w:szCs w:val="24"/>
          <w:highlight w:val="none"/>
        </w:rPr>
        <w:t>开工日期暂定为</w:t>
      </w:r>
      <w:r>
        <w:rPr>
          <w:rFonts w:hint="eastAsia" w:eastAsia="宋体"/>
          <w:color w:val="auto"/>
          <w:kern w:val="2"/>
          <w:sz w:val="24"/>
          <w:szCs w:val="24"/>
          <w:highlight w:val="none"/>
          <w:lang w:eastAsia="zh-CN"/>
        </w:rPr>
        <w:t>2023</w:t>
      </w:r>
      <w:r>
        <w:rPr>
          <w:rFonts w:eastAsia="宋体"/>
          <w:color w:val="auto"/>
          <w:kern w:val="2"/>
          <w:sz w:val="24"/>
          <w:szCs w:val="24"/>
          <w:highlight w:val="none"/>
        </w:rPr>
        <w:t>年</w:t>
      </w:r>
      <w:r>
        <w:rPr>
          <w:rFonts w:hint="eastAsia" w:eastAsia="宋体"/>
          <w:color w:val="auto"/>
          <w:kern w:val="2"/>
          <w:sz w:val="24"/>
          <w:szCs w:val="24"/>
          <w:highlight w:val="none"/>
          <w:u w:val="single"/>
          <w:lang w:val="en-US" w:eastAsia="zh-CN"/>
        </w:rPr>
        <w:t>6</w:t>
      </w:r>
      <w:r>
        <w:rPr>
          <w:rFonts w:eastAsia="宋体"/>
          <w:color w:val="auto"/>
          <w:kern w:val="2"/>
          <w:sz w:val="24"/>
          <w:szCs w:val="24"/>
          <w:highlight w:val="none"/>
        </w:rPr>
        <w:t>月</w:t>
      </w:r>
      <w:r>
        <w:rPr>
          <w:rFonts w:hint="eastAsia" w:eastAsia="宋体"/>
          <w:color w:val="auto"/>
          <w:kern w:val="2"/>
          <w:sz w:val="24"/>
          <w:szCs w:val="24"/>
          <w:highlight w:val="none"/>
          <w:u w:val="single"/>
          <w:lang w:val="en-US" w:eastAsia="zh-CN"/>
        </w:rPr>
        <w:t>25</w:t>
      </w:r>
      <w:r>
        <w:rPr>
          <w:rFonts w:eastAsia="宋体"/>
          <w:color w:val="auto"/>
          <w:kern w:val="2"/>
          <w:sz w:val="24"/>
          <w:szCs w:val="24"/>
          <w:highlight w:val="none"/>
        </w:rPr>
        <w:t>日（以发包人书面下发的开工通知中载明的日期为准</w:t>
      </w:r>
      <w:r>
        <w:rPr>
          <w:rFonts w:hint="eastAsia" w:eastAsia="宋体"/>
          <w:color w:val="auto"/>
          <w:kern w:val="2"/>
          <w:sz w:val="24"/>
          <w:szCs w:val="24"/>
          <w:highlight w:val="none"/>
        </w:rPr>
        <w:t>，若</w:t>
      </w:r>
      <w:r>
        <w:rPr>
          <w:rFonts w:hint="eastAsia" w:eastAsia="宋体"/>
          <w:color w:val="auto"/>
          <w:kern w:val="2"/>
          <w:sz w:val="24"/>
          <w:szCs w:val="24"/>
          <w:highlight w:val="none"/>
          <w:lang w:val="en-US" w:eastAsia="zh-CN"/>
        </w:rPr>
        <w:t>发包人</w:t>
      </w:r>
      <w:r>
        <w:rPr>
          <w:rFonts w:hint="eastAsia" w:eastAsia="宋体"/>
          <w:color w:val="auto"/>
          <w:kern w:val="2"/>
          <w:sz w:val="24"/>
          <w:szCs w:val="24"/>
          <w:highlight w:val="none"/>
        </w:rPr>
        <w:t>无另行开工通知的，</w:t>
      </w:r>
      <w:r>
        <w:rPr>
          <w:rFonts w:hint="eastAsia" w:eastAsia="宋体"/>
          <w:color w:val="auto"/>
          <w:kern w:val="2"/>
          <w:sz w:val="24"/>
          <w:szCs w:val="24"/>
          <w:highlight w:val="none"/>
          <w:lang w:val="en-US" w:eastAsia="zh-CN"/>
        </w:rPr>
        <w:t>承包人</w:t>
      </w:r>
      <w:r>
        <w:rPr>
          <w:rFonts w:hint="eastAsia" w:eastAsia="宋体"/>
          <w:color w:val="auto"/>
          <w:kern w:val="2"/>
          <w:sz w:val="24"/>
          <w:szCs w:val="24"/>
          <w:highlight w:val="none"/>
        </w:rPr>
        <w:t>应</w:t>
      </w:r>
      <w:r>
        <w:rPr>
          <w:rFonts w:hint="eastAsia" w:eastAsia="宋体"/>
          <w:color w:val="auto"/>
          <w:kern w:val="2"/>
          <w:sz w:val="24"/>
          <w:szCs w:val="24"/>
          <w:highlight w:val="none"/>
          <w:lang w:eastAsia="zh-CN"/>
        </w:rPr>
        <w:t>按</w:t>
      </w:r>
      <w:r>
        <w:rPr>
          <w:rFonts w:hint="eastAsia" w:eastAsia="宋体"/>
          <w:color w:val="auto"/>
          <w:kern w:val="2"/>
          <w:sz w:val="24"/>
          <w:szCs w:val="24"/>
          <w:highlight w:val="none"/>
        </w:rPr>
        <w:t>约定日期开工</w:t>
      </w:r>
      <w:r>
        <w:rPr>
          <w:rFonts w:eastAsia="宋体"/>
          <w:color w:val="auto"/>
          <w:kern w:val="2"/>
          <w:sz w:val="24"/>
          <w:szCs w:val="24"/>
          <w:highlight w:val="none"/>
        </w:rPr>
        <w:t>）</w:t>
      </w:r>
      <w:r>
        <w:rPr>
          <w:rFonts w:hint="eastAsia" w:eastAsia="宋体"/>
          <w:color w:val="auto"/>
          <w:kern w:val="2"/>
          <w:sz w:val="24"/>
          <w:szCs w:val="24"/>
          <w:highlight w:val="none"/>
          <w:lang w:eastAsia="zh-CN"/>
        </w:rPr>
        <w:t>；</w:t>
      </w:r>
    </w:p>
    <w:p>
      <w:pPr>
        <w:pStyle w:val="52"/>
        <w:ind w:firstLine="480"/>
        <w:jc w:val="both"/>
        <w:rPr>
          <w:rFonts w:hint="eastAsia" w:eastAsia="宋体" w:cs="Times New Roman"/>
          <w:color w:val="auto"/>
          <w:kern w:val="2"/>
          <w:sz w:val="24"/>
          <w:szCs w:val="24"/>
          <w:highlight w:val="none"/>
          <w:lang w:eastAsia="zh-CN"/>
        </w:rPr>
      </w:pPr>
      <w:r>
        <w:rPr>
          <w:rFonts w:hint="eastAsia" w:eastAsia="宋体" w:cs="Times New Roman"/>
          <w:color w:val="auto"/>
          <w:kern w:val="2"/>
          <w:sz w:val="24"/>
          <w:szCs w:val="24"/>
          <w:highlight w:val="none"/>
        </w:rPr>
        <w:t>工程</w:t>
      </w:r>
      <w:r>
        <w:rPr>
          <w:rFonts w:hint="eastAsia" w:eastAsia="宋体" w:cs="Times New Roman"/>
          <w:color w:val="auto"/>
          <w:kern w:val="2"/>
          <w:sz w:val="24"/>
          <w:szCs w:val="24"/>
          <w:highlight w:val="none"/>
          <w:lang w:val="en-US" w:eastAsia="zh-CN"/>
        </w:rPr>
        <w:t>完工日期暂定为</w:t>
      </w:r>
      <w:r>
        <w:rPr>
          <w:rFonts w:hint="eastAsia" w:eastAsia="宋体" w:cs="Times New Roman"/>
          <w:b w:val="0"/>
          <w:bCs w:val="0"/>
          <w:color w:val="auto"/>
          <w:kern w:val="2"/>
          <w:sz w:val="24"/>
          <w:szCs w:val="24"/>
          <w:highlight w:val="none"/>
          <w:u w:val="single"/>
          <w:lang w:val="en-US" w:eastAsia="zh-CN"/>
        </w:rPr>
        <w:t>2023</w:t>
      </w:r>
      <w:r>
        <w:rPr>
          <w:rFonts w:hint="eastAsia" w:eastAsia="宋体" w:cs="Times New Roman"/>
          <w:color w:val="auto"/>
          <w:kern w:val="2"/>
          <w:sz w:val="24"/>
          <w:szCs w:val="24"/>
          <w:highlight w:val="none"/>
        </w:rPr>
        <w:t>年</w:t>
      </w:r>
      <w:r>
        <w:rPr>
          <w:rFonts w:hint="eastAsia" w:eastAsia="宋体"/>
          <w:color w:val="auto"/>
          <w:kern w:val="2"/>
          <w:sz w:val="24"/>
          <w:szCs w:val="24"/>
          <w:highlight w:val="none"/>
          <w:u w:val="single"/>
          <w:lang w:val="en-US" w:eastAsia="zh-CN"/>
        </w:rPr>
        <w:t>10</w:t>
      </w:r>
      <w:r>
        <w:rPr>
          <w:rFonts w:hint="eastAsia" w:eastAsia="宋体" w:cs="Times New Roman"/>
          <w:color w:val="auto"/>
          <w:kern w:val="2"/>
          <w:sz w:val="24"/>
          <w:szCs w:val="24"/>
          <w:highlight w:val="none"/>
        </w:rPr>
        <w:t>月</w:t>
      </w:r>
      <w:r>
        <w:rPr>
          <w:rFonts w:hint="eastAsia" w:eastAsia="宋体"/>
          <w:color w:val="auto"/>
          <w:kern w:val="2"/>
          <w:sz w:val="24"/>
          <w:szCs w:val="24"/>
          <w:highlight w:val="none"/>
          <w:u w:val="single"/>
          <w:lang w:val="en-US" w:eastAsia="zh-CN"/>
        </w:rPr>
        <w:t>22</w:t>
      </w:r>
      <w:r>
        <w:rPr>
          <w:rFonts w:hint="eastAsia" w:eastAsia="宋体" w:cs="Times New Roman"/>
          <w:color w:val="auto"/>
          <w:kern w:val="2"/>
          <w:sz w:val="24"/>
          <w:szCs w:val="24"/>
          <w:highlight w:val="none"/>
        </w:rPr>
        <w:t>日</w:t>
      </w:r>
      <w:r>
        <w:rPr>
          <w:rFonts w:hint="eastAsia" w:eastAsia="宋体" w:cs="Times New Roman"/>
          <w:color w:val="auto"/>
          <w:kern w:val="2"/>
          <w:sz w:val="24"/>
          <w:szCs w:val="24"/>
          <w:highlight w:val="none"/>
          <w:lang w:eastAsia="zh-CN"/>
        </w:rPr>
        <w:t>；</w:t>
      </w:r>
      <w:r>
        <w:rPr>
          <w:rFonts w:hint="eastAsia" w:eastAsia="宋体" w:cs="Times New Roman"/>
          <w:color w:val="auto"/>
          <w:kern w:val="2"/>
          <w:sz w:val="24"/>
          <w:szCs w:val="24"/>
          <w:highlight w:val="none"/>
        </w:rPr>
        <w:t>整体竣工验收合格</w:t>
      </w:r>
      <w:r>
        <w:rPr>
          <w:rFonts w:hint="eastAsia" w:eastAsia="宋体" w:cs="Times New Roman"/>
          <w:color w:val="auto"/>
          <w:kern w:val="2"/>
          <w:sz w:val="24"/>
          <w:szCs w:val="24"/>
          <w:highlight w:val="none"/>
          <w:lang w:val="en-US" w:eastAsia="zh-CN"/>
        </w:rPr>
        <w:t>及竣工备案通过</w:t>
      </w:r>
      <w:r>
        <w:rPr>
          <w:rFonts w:hint="eastAsia" w:eastAsia="宋体" w:cs="Times New Roman"/>
          <w:color w:val="auto"/>
          <w:kern w:val="2"/>
          <w:sz w:val="24"/>
          <w:szCs w:val="24"/>
          <w:highlight w:val="none"/>
        </w:rPr>
        <w:t>日期暂定为</w:t>
      </w:r>
      <w:r>
        <w:rPr>
          <w:rFonts w:hint="eastAsia" w:eastAsia="宋体" w:cs="Times New Roman"/>
          <w:b w:val="0"/>
          <w:bCs w:val="0"/>
          <w:color w:val="auto"/>
          <w:kern w:val="2"/>
          <w:sz w:val="24"/>
          <w:szCs w:val="24"/>
          <w:highlight w:val="none"/>
          <w:u w:val="single"/>
          <w:lang w:val="en-US" w:eastAsia="zh-CN"/>
        </w:rPr>
        <w:t>2023</w:t>
      </w:r>
      <w:r>
        <w:rPr>
          <w:rFonts w:hint="eastAsia" w:eastAsia="宋体" w:cs="Times New Roman"/>
          <w:color w:val="auto"/>
          <w:kern w:val="2"/>
          <w:sz w:val="24"/>
          <w:szCs w:val="24"/>
          <w:highlight w:val="none"/>
        </w:rPr>
        <w:t>年</w:t>
      </w:r>
      <w:r>
        <w:rPr>
          <w:rFonts w:hint="eastAsia" w:eastAsia="宋体"/>
          <w:color w:val="auto"/>
          <w:kern w:val="2"/>
          <w:sz w:val="24"/>
          <w:szCs w:val="24"/>
          <w:highlight w:val="none"/>
          <w:u w:val="single"/>
          <w:lang w:val="en-US" w:eastAsia="zh-CN"/>
        </w:rPr>
        <w:t>11</w:t>
      </w:r>
      <w:r>
        <w:rPr>
          <w:rFonts w:hint="eastAsia" w:eastAsia="宋体" w:cs="Times New Roman"/>
          <w:color w:val="auto"/>
          <w:kern w:val="2"/>
          <w:sz w:val="24"/>
          <w:szCs w:val="24"/>
          <w:highlight w:val="none"/>
        </w:rPr>
        <w:t>月</w:t>
      </w:r>
      <w:r>
        <w:rPr>
          <w:rFonts w:hint="eastAsia" w:eastAsia="宋体"/>
          <w:color w:val="auto"/>
          <w:kern w:val="2"/>
          <w:sz w:val="24"/>
          <w:szCs w:val="24"/>
          <w:highlight w:val="none"/>
          <w:u w:val="single"/>
          <w:lang w:val="en-US" w:eastAsia="zh-CN"/>
        </w:rPr>
        <w:t>24</w:t>
      </w:r>
      <w:r>
        <w:rPr>
          <w:rFonts w:hint="eastAsia" w:eastAsia="宋体" w:cs="Times New Roman"/>
          <w:color w:val="auto"/>
          <w:kern w:val="2"/>
          <w:sz w:val="24"/>
          <w:szCs w:val="24"/>
          <w:highlight w:val="none"/>
        </w:rPr>
        <w:t>日</w:t>
      </w:r>
      <w:r>
        <w:rPr>
          <w:rFonts w:eastAsia="宋体"/>
          <w:color w:val="auto"/>
          <w:sz w:val="24"/>
          <w:szCs w:val="24"/>
          <w:highlight w:val="none"/>
        </w:rPr>
        <w:t>。</w:t>
      </w:r>
    </w:p>
    <w:p>
      <w:pPr>
        <w:pStyle w:val="4"/>
        <w:numPr>
          <w:ilvl w:val="0"/>
          <w:numId w:val="0"/>
        </w:numPr>
        <w:ind w:firstLine="480" w:firstLineChars="200"/>
        <w:rPr>
          <w:color w:val="auto"/>
          <w:highlight w:val="none"/>
        </w:rPr>
      </w:pPr>
      <w:r>
        <w:rPr>
          <w:rFonts w:hint="eastAsia"/>
          <w:color w:val="auto"/>
          <w:highlight w:val="none"/>
          <w:u w:val="single"/>
        </w:rPr>
        <w:t>4.3</w:t>
      </w:r>
      <w:r>
        <w:rPr>
          <w:color w:val="auto"/>
          <w:highlight w:val="none"/>
          <w:u w:val="single"/>
        </w:rPr>
        <w:t>若本工程开工日期顺延的，则本工程相应的节点工期相应调整，但工期总天数不变</w:t>
      </w:r>
      <w:r>
        <w:rPr>
          <w:rFonts w:hint="eastAsia"/>
          <w:color w:val="auto"/>
          <w:highlight w:val="none"/>
          <w:u w:val="single"/>
        </w:rPr>
        <w:t>，工程竣工日期以</w:t>
      </w:r>
      <w:r>
        <w:rPr>
          <w:rFonts w:hint="eastAsia"/>
          <w:color w:val="auto"/>
          <w:highlight w:val="none"/>
          <w:u w:val="single"/>
          <w:lang w:val="en-US" w:eastAsia="zh-CN"/>
        </w:rPr>
        <w:t>发包人</w:t>
      </w:r>
      <w:r>
        <w:rPr>
          <w:rFonts w:hint="eastAsia"/>
          <w:color w:val="auto"/>
          <w:highlight w:val="none"/>
          <w:u w:val="single"/>
        </w:rPr>
        <w:t>签发的竣工验收证明书为准</w:t>
      </w:r>
      <w:r>
        <w:rPr>
          <w:color w:val="auto"/>
          <w:highlight w:val="none"/>
          <w:u w:val="single"/>
        </w:rPr>
        <w:t>。</w:t>
      </w:r>
      <w:r>
        <w:rPr>
          <w:color w:val="auto"/>
          <w:highlight w:val="none"/>
          <w:lang w:bidi="ar"/>
        </w:rPr>
        <w:t xml:space="preserve"> </w:t>
      </w:r>
    </w:p>
    <w:p>
      <w:pPr>
        <w:pStyle w:val="4"/>
        <w:numPr>
          <w:ilvl w:val="255"/>
          <w:numId w:val="0"/>
        </w:numPr>
        <w:ind w:left="420" w:leftChars="200"/>
        <w:rPr>
          <w:color w:val="auto"/>
          <w:highlight w:val="none"/>
        </w:rPr>
      </w:pPr>
      <w:r>
        <w:rPr>
          <w:rFonts w:hint="eastAsia"/>
          <w:color w:val="auto"/>
          <w:highlight w:val="none"/>
        </w:rPr>
        <w:t>4.4承包人进场后上报施工组织设计及施工计划，经发包人确定后实施。</w:t>
      </w:r>
      <w:r>
        <w:rPr>
          <w:color w:val="auto"/>
          <w:highlight w:val="none"/>
        </w:rPr>
        <w:t xml:space="preserve">  </w:t>
      </w:r>
    </w:p>
    <w:p>
      <w:pPr>
        <w:pStyle w:val="4"/>
        <w:numPr>
          <w:ilvl w:val="0"/>
          <w:numId w:val="0"/>
        </w:numPr>
        <w:ind w:firstLine="480" w:firstLineChars="200"/>
        <w:rPr>
          <w:color w:val="auto"/>
          <w:highlight w:val="none"/>
        </w:rPr>
      </w:pPr>
      <w:bookmarkStart w:id="23" w:name="_Toc30316"/>
      <w:bookmarkStart w:id="24" w:name="_Toc44492402"/>
      <w:bookmarkStart w:id="25" w:name="_Toc17381"/>
      <w:r>
        <w:rPr>
          <w:rFonts w:hint="eastAsia"/>
          <w:color w:val="auto"/>
          <w:highlight w:val="none"/>
        </w:rPr>
        <w:t>5.</w:t>
      </w:r>
      <w:r>
        <w:rPr>
          <w:color w:val="auto"/>
          <w:highlight w:val="none"/>
        </w:rPr>
        <w:t>质量标准</w:t>
      </w:r>
    </w:p>
    <w:bookmarkEnd w:id="23"/>
    <w:bookmarkEnd w:id="24"/>
    <w:bookmarkEnd w:id="25"/>
    <w:p>
      <w:pPr>
        <w:pStyle w:val="4"/>
        <w:numPr>
          <w:ilvl w:val="1"/>
          <w:numId w:val="4"/>
        </w:numPr>
        <w:tabs>
          <w:tab w:val="clear" w:pos="0"/>
        </w:tabs>
        <w:ind w:firstLine="480" w:firstLineChars="200"/>
        <w:rPr>
          <w:color w:val="auto"/>
          <w:highlight w:val="none"/>
          <w:u w:val="single"/>
        </w:rPr>
      </w:pPr>
      <w:r>
        <w:rPr>
          <w:color w:val="auto"/>
          <w:highlight w:val="none"/>
          <w:u w:val="single"/>
        </w:rPr>
        <w:t>应达到《建筑工程质量标准》、《建筑工程施工质量验收统一标准》、《建筑装饰装修工程质量验收规范》</w:t>
      </w:r>
      <w:r>
        <w:rPr>
          <w:rFonts w:hint="eastAsia"/>
          <w:color w:val="auto"/>
          <w:highlight w:val="none"/>
          <w:u w:val="single"/>
          <w:lang w:eastAsia="zh-CN"/>
        </w:rPr>
        <w:t>、</w:t>
      </w:r>
      <w:r>
        <w:rPr>
          <w:rFonts w:hint="eastAsia"/>
          <w:color w:val="auto"/>
          <w:highlight w:val="none"/>
          <w:u w:val="single"/>
        </w:rPr>
        <w:t>《城市桥梁工程施工与质量验收规范》</w:t>
      </w:r>
      <w:r>
        <w:rPr>
          <w:rFonts w:hint="eastAsia"/>
          <w:color w:val="auto"/>
          <w:highlight w:val="none"/>
          <w:u w:val="single"/>
          <w:lang w:eastAsia="zh-CN"/>
        </w:rPr>
        <w:t>、</w:t>
      </w:r>
      <w:r>
        <w:rPr>
          <w:rFonts w:hint="eastAsia"/>
          <w:color w:val="auto"/>
          <w:highlight w:val="none"/>
          <w:u w:val="single"/>
        </w:rPr>
        <w:t>《城镇道路工程施工与质量验收规范》</w:t>
      </w:r>
      <w:r>
        <w:rPr>
          <w:color w:val="auto"/>
          <w:highlight w:val="none"/>
          <w:u w:val="single"/>
        </w:rPr>
        <w:t>等国家规范、行业标准、地方标准等相关要求，确保分部分项工程达到100%合格，一次性验收合格并通过竣工备案，达到合格质量标准。</w:t>
      </w:r>
    </w:p>
    <w:p>
      <w:pPr>
        <w:pStyle w:val="4"/>
        <w:numPr>
          <w:ilvl w:val="1"/>
          <w:numId w:val="4"/>
        </w:numPr>
        <w:tabs>
          <w:tab w:val="clear" w:pos="0"/>
        </w:tabs>
        <w:ind w:firstLine="480" w:firstLineChars="200"/>
        <w:rPr>
          <w:color w:val="auto"/>
          <w:highlight w:val="none"/>
          <w:u w:val="single"/>
        </w:rPr>
      </w:pPr>
      <w:r>
        <w:rPr>
          <w:color w:val="auto"/>
          <w:highlight w:val="none"/>
          <w:u w:val="single"/>
        </w:rPr>
        <w:t>如技术文件、设计图纸（含设计说明）中确定适用的技术标准或规范要求、检验测试要求及验收要求不一致时，本工程实施按其中标准较高、要求较严格的要求执行。</w:t>
      </w:r>
    </w:p>
    <w:p>
      <w:pPr>
        <w:pStyle w:val="4"/>
        <w:numPr>
          <w:ilvl w:val="255"/>
          <w:numId w:val="0"/>
        </w:numPr>
        <w:tabs>
          <w:tab w:val="clear" w:pos="0"/>
        </w:tabs>
        <w:ind w:left="420" w:leftChars="200"/>
        <w:rPr>
          <w:color w:val="auto"/>
          <w:highlight w:val="none"/>
        </w:rPr>
      </w:pPr>
      <w:bookmarkStart w:id="26" w:name="_Toc44492403"/>
      <w:bookmarkStart w:id="27" w:name="_Toc28544"/>
      <w:bookmarkStart w:id="28" w:name="_Toc10430"/>
      <w:r>
        <w:rPr>
          <w:rFonts w:hint="eastAsia"/>
          <w:color w:val="auto"/>
          <w:highlight w:val="none"/>
        </w:rPr>
        <w:t>6.</w:t>
      </w:r>
      <w:r>
        <w:rPr>
          <w:color w:val="auto"/>
          <w:highlight w:val="none"/>
        </w:rPr>
        <w:t>安全</w:t>
      </w:r>
      <w:bookmarkEnd w:id="26"/>
      <w:bookmarkEnd w:id="27"/>
      <w:bookmarkEnd w:id="28"/>
      <w:r>
        <w:rPr>
          <w:color w:val="auto"/>
          <w:highlight w:val="none"/>
        </w:rPr>
        <w:t>生产目标</w:t>
      </w:r>
    </w:p>
    <w:p>
      <w:pPr>
        <w:pStyle w:val="52"/>
        <w:ind w:firstLine="480"/>
        <w:jc w:val="both"/>
        <w:rPr>
          <w:rFonts w:eastAsia="宋体"/>
          <w:color w:val="auto"/>
          <w:sz w:val="24"/>
          <w:szCs w:val="24"/>
          <w:highlight w:val="none"/>
        </w:rPr>
      </w:pPr>
      <w:r>
        <w:rPr>
          <w:rFonts w:eastAsia="宋体"/>
          <w:color w:val="auto"/>
          <w:sz w:val="24"/>
          <w:szCs w:val="24"/>
          <w:highlight w:val="none"/>
        </w:rPr>
        <w:t>确保责任事故死亡率为零，确保工程无重大安全事故，</w:t>
      </w:r>
      <w:r>
        <w:rPr>
          <w:rFonts w:hint="eastAsia" w:eastAsia="宋体"/>
          <w:color w:val="auto"/>
          <w:sz w:val="24"/>
          <w:szCs w:val="24"/>
          <w:highlight w:val="none"/>
        </w:rPr>
        <w:t>采取必要的安全防护措施，消除事故隐患，因</w:t>
      </w:r>
      <w:r>
        <w:rPr>
          <w:rFonts w:hint="eastAsia" w:eastAsia="宋体"/>
          <w:color w:val="auto"/>
          <w:sz w:val="24"/>
          <w:szCs w:val="24"/>
          <w:highlight w:val="none"/>
          <w:lang w:val="en-US" w:eastAsia="zh-CN"/>
        </w:rPr>
        <w:t>承包人</w:t>
      </w:r>
      <w:r>
        <w:rPr>
          <w:rFonts w:hint="eastAsia" w:eastAsia="宋体"/>
          <w:color w:val="auto"/>
          <w:sz w:val="24"/>
          <w:szCs w:val="24"/>
          <w:highlight w:val="none"/>
        </w:rPr>
        <w:t>安全措施不力造成事故的责任和费用由</w:t>
      </w:r>
      <w:r>
        <w:rPr>
          <w:rFonts w:hint="eastAsia" w:eastAsia="宋体"/>
          <w:color w:val="auto"/>
          <w:sz w:val="24"/>
          <w:szCs w:val="24"/>
          <w:highlight w:val="none"/>
          <w:lang w:val="en-US" w:eastAsia="zh-CN"/>
        </w:rPr>
        <w:t>承包人</w:t>
      </w:r>
      <w:r>
        <w:rPr>
          <w:rFonts w:hint="eastAsia" w:eastAsia="宋体"/>
          <w:color w:val="auto"/>
          <w:sz w:val="24"/>
          <w:szCs w:val="24"/>
          <w:highlight w:val="none"/>
        </w:rPr>
        <w:t>承担</w:t>
      </w:r>
      <w:r>
        <w:rPr>
          <w:rFonts w:eastAsia="宋体"/>
          <w:color w:val="auto"/>
          <w:sz w:val="24"/>
          <w:szCs w:val="24"/>
          <w:highlight w:val="none"/>
        </w:rPr>
        <w:t>。</w:t>
      </w:r>
    </w:p>
    <w:p>
      <w:pPr>
        <w:pStyle w:val="4"/>
        <w:numPr>
          <w:ilvl w:val="255"/>
          <w:numId w:val="0"/>
        </w:numPr>
        <w:tabs>
          <w:tab w:val="clear" w:pos="0"/>
        </w:tabs>
        <w:ind w:left="420" w:leftChars="200"/>
        <w:rPr>
          <w:color w:val="auto"/>
          <w:highlight w:val="none"/>
        </w:rPr>
      </w:pPr>
      <w:bookmarkStart w:id="29" w:name="_Toc27904"/>
      <w:bookmarkStart w:id="30" w:name="_Toc44492404"/>
      <w:bookmarkStart w:id="31" w:name="_Toc29176"/>
      <w:r>
        <w:rPr>
          <w:rFonts w:hint="eastAsia"/>
          <w:color w:val="auto"/>
          <w:highlight w:val="none"/>
        </w:rPr>
        <w:t>7.</w:t>
      </w:r>
      <w:r>
        <w:rPr>
          <w:color w:val="auto"/>
          <w:highlight w:val="none"/>
        </w:rPr>
        <w:t>合同价款</w:t>
      </w:r>
      <w:bookmarkEnd w:id="29"/>
      <w:bookmarkEnd w:id="30"/>
      <w:bookmarkEnd w:id="31"/>
    </w:p>
    <w:p>
      <w:pPr>
        <w:pStyle w:val="52"/>
        <w:ind w:firstLine="48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本合同以上文约定的计价方式确定合同价款，合同暂定总价为人民币</w:t>
      </w:r>
      <w:r>
        <w:rPr>
          <w:rFonts w:hint="eastAsia" w:eastAsia="宋体"/>
          <w:color w:val="auto"/>
          <w:kern w:val="2"/>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none"/>
        </w:rPr>
        <w:t>元</w:t>
      </w:r>
      <w:r>
        <w:rPr>
          <w:rFonts w:hint="default" w:ascii="Times New Roman" w:hAnsi="Times New Roman" w:eastAsia="宋体" w:cs="Times New Roman"/>
          <w:color w:val="auto"/>
          <w:sz w:val="24"/>
          <w:szCs w:val="24"/>
          <w:highlight w:val="none"/>
        </w:rPr>
        <w:t>（大写：人民币</w:t>
      </w:r>
      <w:r>
        <w:rPr>
          <w:rFonts w:hint="eastAsia" w:eastAsia="宋体"/>
          <w:color w:val="auto"/>
          <w:kern w:val="2"/>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），含</w:t>
      </w:r>
      <w:r>
        <w:rPr>
          <w:rFonts w:hint="eastAsia" w:eastAsia="宋体"/>
          <w:color w:val="auto"/>
          <w:kern w:val="2"/>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%增值税（专用发票）。其中：</w:t>
      </w:r>
      <w:r>
        <w:rPr>
          <w:rFonts w:hint="default" w:ascii="Times New Roman" w:hAnsi="Times New Roman" w:eastAsia="宋体" w:cs="Times New Roman"/>
          <w:bCs/>
          <w:color w:val="auto"/>
          <w:sz w:val="24"/>
          <w:szCs w:val="24"/>
          <w:highlight w:val="none"/>
        </w:rPr>
        <w:t>不含增值税的价款为人民币</w:t>
      </w:r>
      <w:r>
        <w:rPr>
          <w:rFonts w:hint="eastAsia" w:eastAsia="宋体"/>
          <w:color w:val="auto"/>
          <w:kern w:val="2"/>
          <w:sz w:val="24"/>
          <w:szCs w:val="24"/>
          <w:highlight w:val="none"/>
          <w:u w:val="single"/>
          <w:lang w:val="en-US" w:eastAsia="zh-CN"/>
        </w:rPr>
        <w:t xml:space="preserve">      </w:t>
      </w:r>
      <w:r>
        <w:rPr>
          <w:rFonts w:hint="default" w:ascii="Times New Roman" w:hAnsi="Times New Roman" w:eastAsia="宋体" w:cs="Times New Roman"/>
          <w:bCs/>
          <w:color w:val="auto"/>
          <w:sz w:val="24"/>
          <w:szCs w:val="24"/>
          <w:highlight w:val="none"/>
        </w:rPr>
        <w:t>元</w:t>
      </w:r>
      <w:r>
        <w:rPr>
          <w:rFonts w:hint="default" w:ascii="Times New Roman" w:hAnsi="Times New Roman" w:eastAsia="宋体" w:cs="Times New Roman"/>
          <w:color w:val="auto"/>
          <w:sz w:val="24"/>
          <w:szCs w:val="24"/>
          <w:highlight w:val="none"/>
        </w:rPr>
        <w:t>（大写：人民币</w:t>
      </w:r>
      <w:r>
        <w:rPr>
          <w:rFonts w:hint="eastAsia" w:eastAsia="宋体"/>
          <w:color w:val="auto"/>
          <w:kern w:val="2"/>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Cs/>
          <w:color w:val="auto"/>
          <w:sz w:val="24"/>
          <w:szCs w:val="24"/>
          <w:highlight w:val="none"/>
        </w:rPr>
        <w:t>，增值税为人民币</w:t>
      </w:r>
      <w:r>
        <w:rPr>
          <w:rFonts w:hint="eastAsia" w:eastAsia="宋体"/>
          <w:color w:val="auto"/>
          <w:kern w:val="2"/>
          <w:sz w:val="24"/>
          <w:szCs w:val="24"/>
          <w:highlight w:val="none"/>
          <w:u w:val="single"/>
          <w:lang w:val="en-US" w:eastAsia="zh-CN"/>
        </w:rPr>
        <w:t xml:space="preserve">      </w:t>
      </w:r>
      <w:r>
        <w:rPr>
          <w:rFonts w:hint="default" w:ascii="Times New Roman" w:hAnsi="Times New Roman" w:eastAsia="宋体" w:cs="Times New Roman"/>
          <w:bCs/>
          <w:color w:val="auto"/>
          <w:sz w:val="24"/>
          <w:szCs w:val="24"/>
          <w:highlight w:val="none"/>
        </w:rPr>
        <w:t>元</w:t>
      </w:r>
      <w:r>
        <w:rPr>
          <w:rFonts w:hint="default" w:ascii="Times New Roman" w:hAnsi="Times New Roman" w:eastAsia="宋体" w:cs="Times New Roman"/>
          <w:color w:val="auto"/>
          <w:sz w:val="24"/>
          <w:szCs w:val="24"/>
          <w:highlight w:val="none"/>
        </w:rPr>
        <w:t>（大写：人民币</w:t>
      </w:r>
      <w:r>
        <w:rPr>
          <w:rFonts w:hint="eastAsia" w:eastAsia="宋体"/>
          <w:color w:val="auto"/>
          <w:kern w:val="2"/>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）。合同价款组成明细具体详见本合同附件</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《已标价工程量清单》</w:t>
      </w:r>
      <w:r>
        <w:rPr>
          <w:rFonts w:hint="default" w:ascii="Times New Roman" w:hAnsi="Times New Roman" w:eastAsia="宋体" w:cs="Times New Roman"/>
          <w:bCs/>
          <w:color w:val="auto"/>
          <w:sz w:val="24"/>
          <w:szCs w:val="24"/>
          <w:highlight w:val="none"/>
        </w:rPr>
        <w:t>,最终结算金额以</w:t>
      </w:r>
      <w:r>
        <w:rPr>
          <w:rFonts w:hint="default" w:ascii="Times New Roman" w:hAnsi="Times New Roman" w:eastAsia="宋体" w:cs="Times New Roman"/>
          <w:color w:val="auto"/>
          <w:sz w:val="24"/>
          <w:szCs w:val="24"/>
          <w:highlight w:val="none"/>
        </w:rPr>
        <w:t>实际发生金额为准。</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如因包括但不限于法律、行政法规、规章、政府政策等的修订或变化导致增值税税率调整的，则增值税税率、税额及合同暂定价格需作相应调整，但不含税价款不因此而调整。</w:t>
      </w:r>
    </w:p>
    <w:p>
      <w:pPr>
        <w:pStyle w:val="4"/>
        <w:numPr>
          <w:ilvl w:val="255"/>
          <w:numId w:val="0"/>
        </w:numPr>
        <w:tabs>
          <w:tab w:val="clear" w:pos="0"/>
        </w:tabs>
        <w:ind w:left="420" w:leftChars="200"/>
        <w:rPr>
          <w:color w:val="auto"/>
          <w:highlight w:val="none"/>
        </w:rPr>
      </w:pPr>
      <w:bookmarkStart w:id="32" w:name="_Toc44492405"/>
      <w:bookmarkStart w:id="33" w:name="_Toc12138"/>
      <w:bookmarkStart w:id="34" w:name="_Toc20860"/>
      <w:r>
        <w:rPr>
          <w:rFonts w:hint="eastAsia"/>
          <w:color w:val="auto"/>
          <w:highlight w:val="none"/>
        </w:rPr>
        <w:t>8.</w:t>
      </w:r>
      <w:r>
        <w:rPr>
          <w:color w:val="auto"/>
          <w:highlight w:val="none"/>
        </w:rPr>
        <w:t>合同份数及生效</w:t>
      </w:r>
      <w:bookmarkEnd w:id="32"/>
      <w:bookmarkEnd w:id="33"/>
      <w:bookmarkEnd w:id="34"/>
    </w:p>
    <w:p>
      <w:pPr>
        <w:widowControl/>
        <w:adjustRightInd/>
        <w:snapToGrid/>
        <w:spacing w:line="360" w:lineRule="auto"/>
        <w:ind w:firstLine="480" w:firstLineChars="200"/>
        <w:rPr>
          <w:rFonts w:ascii="Times New Roman" w:hAnsi="Times New Roman"/>
          <w:color w:val="auto"/>
          <w:kern w:val="0"/>
          <w:szCs w:val="32"/>
          <w:highlight w:val="none"/>
        </w:rPr>
      </w:pPr>
      <w:r>
        <w:rPr>
          <w:rFonts w:ascii="Times New Roman" w:hAnsi="Times New Roman"/>
          <w:color w:val="auto"/>
          <w:sz w:val="24"/>
          <w:szCs w:val="24"/>
          <w:highlight w:val="none"/>
        </w:rPr>
        <w:t>本合同一式</w:t>
      </w:r>
      <w:r>
        <w:rPr>
          <w:rFonts w:hint="eastAsia" w:ascii="Times New Roman" w:hAnsi="Times New Roman"/>
          <w:color w:val="auto"/>
          <w:sz w:val="24"/>
          <w:szCs w:val="24"/>
          <w:highlight w:val="none"/>
          <w:u w:val="single" w:color="FF0000"/>
        </w:rPr>
        <w:t>陆</w:t>
      </w:r>
      <w:r>
        <w:rPr>
          <w:rFonts w:ascii="Times New Roman" w:hAnsi="Times New Roman"/>
          <w:color w:val="auto"/>
          <w:sz w:val="24"/>
          <w:szCs w:val="24"/>
          <w:highlight w:val="none"/>
        </w:rPr>
        <w:t>份，发包人执</w:t>
      </w:r>
      <w:r>
        <w:rPr>
          <w:rFonts w:hint="eastAsia" w:ascii="Times New Roman" w:hAnsi="Times New Roman"/>
          <w:color w:val="auto"/>
          <w:sz w:val="24"/>
          <w:szCs w:val="24"/>
          <w:highlight w:val="none"/>
          <w:u w:val="single" w:color="FF0000"/>
        </w:rPr>
        <w:t>肆</w:t>
      </w:r>
      <w:r>
        <w:rPr>
          <w:rFonts w:ascii="Times New Roman" w:hAnsi="Times New Roman"/>
          <w:color w:val="auto"/>
          <w:sz w:val="24"/>
          <w:szCs w:val="24"/>
          <w:highlight w:val="none"/>
        </w:rPr>
        <w:t>份，承包人执</w:t>
      </w:r>
      <w:r>
        <w:rPr>
          <w:rFonts w:hint="eastAsia" w:ascii="Times New Roman" w:hAnsi="Times New Roman"/>
          <w:color w:val="auto"/>
          <w:sz w:val="24"/>
          <w:szCs w:val="24"/>
          <w:highlight w:val="none"/>
          <w:u w:val="single" w:color="FF0000"/>
        </w:rPr>
        <w:t>贰</w:t>
      </w:r>
      <w:r>
        <w:rPr>
          <w:rFonts w:ascii="Times New Roman" w:hAnsi="Times New Roman"/>
          <w:color w:val="auto"/>
          <w:sz w:val="24"/>
          <w:szCs w:val="24"/>
          <w:highlight w:val="none"/>
        </w:rPr>
        <w:t>份。本合同自发包人和承包人加盖单位公章或合同专用章之日起生效。</w:t>
      </w:r>
      <w:r>
        <w:rPr>
          <w:rFonts w:ascii="Times New Roman" w:hAnsi="Times New Roman"/>
          <w:color w:val="auto"/>
          <w:highlight w:val="none"/>
        </w:rPr>
        <w:br w:type="page"/>
      </w:r>
    </w:p>
    <w:p>
      <w:pPr>
        <w:widowControl/>
        <w:spacing w:line="480" w:lineRule="auto"/>
        <w:jc w:val="center"/>
        <w:rPr>
          <w:rFonts w:ascii="宋体" w:hAnsi="宋体" w:cs="宋体"/>
          <w:b/>
          <w:color w:val="auto"/>
          <w:sz w:val="28"/>
          <w:szCs w:val="24"/>
          <w:highlight w:val="none"/>
        </w:rPr>
      </w:pPr>
      <w:r>
        <w:rPr>
          <w:rFonts w:hint="eastAsia" w:ascii="宋体" w:hAnsi="宋体" w:cs="宋体"/>
          <w:b/>
          <w:color w:val="auto"/>
          <w:sz w:val="28"/>
          <w:szCs w:val="24"/>
          <w:highlight w:val="none"/>
        </w:rPr>
        <w:t>（本页无正文，为双方签署页）</w:t>
      </w:r>
    </w:p>
    <w:p>
      <w:pPr>
        <w:widowControl/>
        <w:rPr>
          <w:rFonts w:ascii="宋体" w:hAnsi="宋体" w:cs="宋体"/>
          <w:b/>
          <w:color w:val="auto"/>
          <w:sz w:val="24"/>
          <w:highlight w:val="none"/>
        </w:rPr>
      </w:pPr>
    </w:p>
    <w:tbl>
      <w:tblPr>
        <w:tblStyle w:val="37"/>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4422" w:type="dxa"/>
            <w:vAlign w:val="center"/>
          </w:tcPr>
          <w:p>
            <w:pPr>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发包人（盖章）：</w:t>
            </w:r>
            <w:r>
              <w:rPr>
                <w:rFonts w:hint="eastAsia" w:eastAsia="宋体"/>
                <w:color w:val="auto"/>
                <w:kern w:val="2"/>
                <w:sz w:val="24"/>
                <w:szCs w:val="24"/>
                <w:highlight w:val="none"/>
                <w:u w:val="single"/>
                <w:lang w:val="en-US" w:eastAsia="zh-CN"/>
              </w:rPr>
              <w:t xml:space="preserve">      </w:t>
            </w:r>
          </w:p>
        </w:tc>
        <w:tc>
          <w:tcPr>
            <w:tcW w:w="5027" w:type="dxa"/>
            <w:vAlign w:val="center"/>
          </w:tcPr>
          <w:p>
            <w:pPr>
              <w:rPr>
                <w:rFonts w:hint="eastAsia" w:ascii="Times New Roman" w:hAnsi="Times New Roman" w:eastAsia="宋体" w:cs="Times New Roman"/>
                <w:color w:val="auto"/>
                <w:sz w:val="24"/>
                <w:highlight w:val="none"/>
                <w:lang w:eastAsia="zh-CN"/>
              </w:rPr>
            </w:pPr>
            <w:r>
              <w:rPr>
                <w:rFonts w:hint="default" w:ascii="Times New Roman" w:hAnsi="Times New Roman" w:cs="Times New Roman"/>
                <w:bCs/>
                <w:color w:val="auto"/>
                <w:sz w:val="24"/>
                <w:szCs w:val="24"/>
                <w:highlight w:val="none"/>
              </w:rPr>
              <w:t>承包人（盖章）：</w:t>
            </w:r>
            <w:r>
              <w:rPr>
                <w:rFonts w:hint="eastAsia" w:eastAsia="宋体"/>
                <w:color w:val="auto"/>
                <w:kern w:val="2"/>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422" w:type="dxa"/>
            <w:vAlign w:val="center"/>
          </w:tcPr>
          <w:p>
            <w:pPr>
              <w:rPr>
                <w:rFonts w:ascii="Times New Roman" w:hAnsi="Times New Roman" w:cs="Times New Roman"/>
                <w:color w:val="auto"/>
                <w:sz w:val="24"/>
                <w:highlight w:val="none"/>
              </w:rPr>
            </w:pPr>
            <w:r>
              <w:rPr>
                <w:rFonts w:ascii="Times New Roman" w:hAnsi="Times New Roman" w:cs="Times New Roman"/>
                <w:snapToGrid w:val="0"/>
                <w:color w:val="auto"/>
                <w:sz w:val="24"/>
                <w:szCs w:val="24"/>
                <w:highlight w:val="none"/>
              </w:rPr>
              <w:t>法定代表人或</w:t>
            </w:r>
            <w:r>
              <w:rPr>
                <w:rFonts w:hint="default" w:ascii="Times New Roman" w:hAnsi="Times New Roman" w:cs="Times New Roman"/>
                <w:snapToGrid w:val="0"/>
                <w:color w:val="auto"/>
                <w:sz w:val="24"/>
                <w:szCs w:val="24"/>
                <w:highlight w:val="none"/>
              </w:rPr>
              <w:t>其</w:t>
            </w:r>
            <w:r>
              <w:rPr>
                <w:rFonts w:hint="default" w:ascii="Times New Roman" w:hAnsi="Times New Roman" w:cs="Times New Roman"/>
                <w:color w:val="auto"/>
                <w:sz w:val="24"/>
                <w:szCs w:val="24"/>
                <w:highlight w:val="none"/>
              </w:rPr>
              <w:t>授权代表</w:t>
            </w:r>
            <w:r>
              <w:rPr>
                <w:rFonts w:ascii="Times New Roman" w:hAnsi="Times New Roman" w:cs="Times New Roman"/>
                <w:snapToGrid w:val="0"/>
                <w:color w:val="auto"/>
                <w:sz w:val="24"/>
                <w:szCs w:val="24"/>
                <w:highlight w:val="none"/>
              </w:rPr>
              <w:t>：</w:t>
            </w:r>
          </w:p>
        </w:tc>
        <w:tc>
          <w:tcPr>
            <w:tcW w:w="5027" w:type="dxa"/>
            <w:vAlign w:val="center"/>
          </w:tcPr>
          <w:p>
            <w:pPr>
              <w:rPr>
                <w:rFonts w:ascii="Times New Roman" w:hAnsi="Times New Roman" w:cs="Times New Roman"/>
                <w:color w:val="auto"/>
                <w:sz w:val="24"/>
                <w:highlight w:val="none"/>
              </w:rPr>
            </w:pPr>
            <w:r>
              <w:rPr>
                <w:rFonts w:ascii="Times New Roman" w:hAnsi="Times New Roman" w:cs="Times New Roman"/>
                <w:snapToGrid w:val="0"/>
                <w:color w:val="auto"/>
                <w:sz w:val="24"/>
                <w:szCs w:val="24"/>
                <w:highlight w:val="none"/>
              </w:rPr>
              <w:t>法定代表人或</w:t>
            </w:r>
            <w:r>
              <w:rPr>
                <w:rFonts w:hint="default" w:ascii="Times New Roman" w:hAnsi="Times New Roman" w:cs="Times New Roman"/>
                <w:snapToGrid w:val="0"/>
                <w:color w:val="auto"/>
                <w:sz w:val="24"/>
                <w:szCs w:val="24"/>
                <w:highlight w:val="none"/>
              </w:rPr>
              <w:t>其</w:t>
            </w:r>
            <w:r>
              <w:rPr>
                <w:rFonts w:hint="default" w:ascii="Times New Roman" w:hAnsi="Times New Roman" w:cs="Times New Roman"/>
                <w:color w:val="auto"/>
                <w:sz w:val="24"/>
                <w:szCs w:val="24"/>
                <w:highlight w:val="none"/>
              </w:rPr>
              <w:t>授权代表</w:t>
            </w:r>
            <w:r>
              <w:rPr>
                <w:rFonts w:ascii="Times New Roman" w:hAnsi="Times New Roman" w:cs="Times New Roman"/>
                <w:snapToGrid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422" w:type="dxa"/>
            <w:vAlign w:val="center"/>
          </w:tcPr>
          <w:p>
            <w:pPr>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地址:</w:t>
            </w:r>
            <w:r>
              <w:rPr>
                <w:rFonts w:hint="eastAsia" w:eastAsia="宋体"/>
                <w:color w:val="auto"/>
                <w:kern w:val="2"/>
                <w:sz w:val="24"/>
                <w:szCs w:val="24"/>
                <w:highlight w:val="none"/>
                <w:u w:val="single"/>
                <w:lang w:val="en-US" w:eastAsia="zh-CN"/>
              </w:rPr>
              <w:t xml:space="preserve">      </w:t>
            </w:r>
          </w:p>
        </w:tc>
        <w:tc>
          <w:tcPr>
            <w:tcW w:w="5027" w:type="dxa"/>
            <w:vAlign w:val="center"/>
          </w:tcPr>
          <w:p>
            <w:pPr>
              <w:rPr>
                <w:rFonts w:hint="default" w:ascii="Times New Roman" w:hAnsi="Times New Roman" w:cs="Times New Roman"/>
                <w:color w:val="auto"/>
                <w:sz w:val="24"/>
                <w:szCs w:val="24"/>
                <w:highlight w:val="none"/>
                <w:u w:val="single" w:color="FF0000"/>
                <w:lang w:val="en-US"/>
              </w:rPr>
            </w:pPr>
            <w:r>
              <w:rPr>
                <w:rFonts w:hint="default" w:ascii="Times New Roman" w:hAnsi="Times New Roman" w:cs="Times New Roman"/>
                <w:color w:val="auto"/>
                <w:sz w:val="24"/>
                <w:szCs w:val="24"/>
                <w:highlight w:val="none"/>
                <w:u w:val="none" w:color="auto"/>
              </w:rPr>
              <w:t>地址:</w:t>
            </w:r>
            <w:r>
              <w:rPr>
                <w:rFonts w:hint="eastAsia" w:eastAsia="宋体"/>
                <w:color w:val="auto"/>
                <w:kern w:val="2"/>
                <w:sz w:val="24"/>
                <w:szCs w:val="24"/>
                <w:highlight w:val="none"/>
                <w:u w:val="single"/>
                <w:lang w:val="en-US" w:eastAsia="zh-CN"/>
              </w:rPr>
              <w:t xml:space="preserve">      </w:t>
            </w:r>
          </w:p>
          <w:p>
            <w:pPr>
              <w:pStyle w:val="34"/>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422" w:type="dxa"/>
            <w:vAlign w:val="center"/>
          </w:tcPr>
          <w:p>
            <w:pPr>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电话：</w:t>
            </w:r>
            <w:r>
              <w:rPr>
                <w:rFonts w:hint="eastAsia" w:eastAsia="宋体"/>
                <w:color w:val="auto"/>
                <w:kern w:val="2"/>
                <w:sz w:val="24"/>
                <w:szCs w:val="24"/>
                <w:highlight w:val="none"/>
                <w:u w:val="single"/>
                <w:lang w:val="en-US" w:eastAsia="zh-CN"/>
              </w:rPr>
              <w:t xml:space="preserve">      </w:t>
            </w:r>
          </w:p>
        </w:tc>
        <w:tc>
          <w:tcPr>
            <w:tcW w:w="5027" w:type="dxa"/>
            <w:vAlign w:val="center"/>
          </w:tcPr>
          <w:p>
            <w:pPr>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电话：</w:t>
            </w:r>
            <w:r>
              <w:rPr>
                <w:rFonts w:hint="eastAsia" w:eastAsia="宋体"/>
                <w:color w:val="auto"/>
                <w:kern w:val="2"/>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422" w:type="dxa"/>
            <w:vAlign w:val="center"/>
          </w:tcPr>
          <w:p>
            <w:pPr>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开户行：</w:t>
            </w:r>
            <w:r>
              <w:rPr>
                <w:rFonts w:hint="eastAsia" w:eastAsia="宋体"/>
                <w:color w:val="auto"/>
                <w:kern w:val="2"/>
                <w:sz w:val="24"/>
                <w:szCs w:val="24"/>
                <w:highlight w:val="none"/>
                <w:u w:val="single"/>
                <w:lang w:val="en-US" w:eastAsia="zh-CN"/>
              </w:rPr>
              <w:t xml:space="preserve">      </w:t>
            </w:r>
          </w:p>
        </w:tc>
        <w:tc>
          <w:tcPr>
            <w:tcW w:w="5027" w:type="dxa"/>
            <w:vAlign w:val="center"/>
          </w:tcPr>
          <w:p>
            <w:pPr>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开户行：</w:t>
            </w:r>
            <w:r>
              <w:rPr>
                <w:rFonts w:hint="eastAsia" w:eastAsia="宋体"/>
                <w:color w:val="auto"/>
                <w:kern w:val="2"/>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422" w:type="dxa"/>
            <w:vAlign w:val="center"/>
          </w:tcPr>
          <w:p>
            <w:pPr>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账号：</w:t>
            </w:r>
            <w:r>
              <w:rPr>
                <w:rFonts w:hint="eastAsia" w:eastAsia="宋体"/>
                <w:color w:val="auto"/>
                <w:kern w:val="2"/>
                <w:sz w:val="24"/>
                <w:szCs w:val="24"/>
                <w:highlight w:val="none"/>
                <w:u w:val="single"/>
                <w:lang w:val="en-US" w:eastAsia="zh-CN"/>
              </w:rPr>
              <w:t xml:space="preserve">      </w:t>
            </w:r>
          </w:p>
        </w:tc>
        <w:tc>
          <w:tcPr>
            <w:tcW w:w="5027" w:type="dxa"/>
            <w:vAlign w:val="center"/>
          </w:tcPr>
          <w:p>
            <w:pPr>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账号：</w:t>
            </w:r>
            <w:r>
              <w:rPr>
                <w:rFonts w:hint="eastAsia" w:eastAsia="宋体"/>
                <w:color w:val="auto"/>
                <w:kern w:val="2"/>
                <w:sz w:val="24"/>
                <w:szCs w:val="24"/>
                <w:highlight w:val="none"/>
                <w:u w:val="single"/>
                <w:lang w:val="en-US" w:eastAsia="zh-CN"/>
              </w:rPr>
              <w:t xml:space="preserve">      </w:t>
            </w:r>
          </w:p>
        </w:tc>
      </w:tr>
    </w:tbl>
    <w:p>
      <w:pPr>
        <w:pStyle w:val="52"/>
        <w:ind w:firstLine="0" w:firstLineChars="0"/>
        <w:jc w:val="both"/>
        <w:rPr>
          <w:rFonts w:eastAsia="宋体"/>
          <w:color w:val="auto"/>
          <w:highlight w:val="none"/>
        </w:rPr>
      </w:pPr>
    </w:p>
    <w:p>
      <w:pPr>
        <w:pStyle w:val="52"/>
        <w:ind w:firstLine="0" w:firstLineChars="0"/>
        <w:jc w:val="both"/>
        <w:rPr>
          <w:rFonts w:eastAsia="宋体"/>
          <w:color w:val="auto"/>
          <w:highlight w:val="none"/>
        </w:rPr>
      </w:pPr>
    </w:p>
    <w:p>
      <w:pPr>
        <w:pStyle w:val="52"/>
        <w:ind w:firstLine="0" w:firstLineChars="0"/>
        <w:jc w:val="both"/>
        <w:rPr>
          <w:rFonts w:eastAsia="宋体"/>
          <w:color w:val="auto"/>
          <w:highlight w:val="none"/>
        </w:rPr>
      </w:pPr>
    </w:p>
    <w:p>
      <w:pPr>
        <w:pStyle w:val="52"/>
        <w:ind w:firstLine="0" w:firstLineChars="0"/>
        <w:jc w:val="both"/>
        <w:rPr>
          <w:rFonts w:eastAsia="宋体"/>
          <w:color w:val="auto"/>
          <w:highlight w:val="none"/>
        </w:rPr>
      </w:pPr>
    </w:p>
    <w:p>
      <w:pPr>
        <w:pStyle w:val="52"/>
        <w:ind w:firstLine="0" w:firstLineChars="0"/>
        <w:jc w:val="both"/>
        <w:rPr>
          <w:rFonts w:eastAsia="宋体"/>
          <w:color w:val="auto"/>
          <w:highlight w:val="none"/>
        </w:rPr>
      </w:pPr>
    </w:p>
    <w:p>
      <w:pPr>
        <w:pStyle w:val="52"/>
        <w:ind w:firstLine="0" w:firstLineChars="0"/>
        <w:jc w:val="both"/>
        <w:rPr>
          <w:rFonts w:eastAsia="宋体"/>
          <w:color w:val="auto"/>
          <w:highlight w:val="none"/>
        </w:rPr>
      </w:pPr>
    </w:p>
    <w:p>
      <w:pPr>
        <w:pStyle w:val="52"/>
        <w:ind w:firstLine="0" w:firstLineChars="0"/>
        <w:jc w:val="both"/>
        <w:rPr>
          <w:rFonts w:eastAsia="宋体"/>
          <w:color w:val="auto"/>
          <w:highlight w:val="none"/>
        </w:rPr>
      </w:pPr>
    </w:p>
    <w:p>
      <w:pPr>
        <w:pStyle w:val="52"/>
        <w:ind w:firstLine="0" w:firstLineChars="0"/>
        <w:jc w:val="both"/>
        <w:rPr>
          <w:rFonts w:eastAsia="宋体"/>
          <w:color w:val="auto"/>
          <w:highlight w:val="none"/>
        </w:rPr>
      </w:pPr>
    </w:p>
    <w:p>
      <w:pPr>
        <w:pStyle w:val="52"/>
        <w:ind w:firstLine="0" w:firstLineChars="0"/>
        <w:jc w:val="both"/>
        <w:rPr>
          <w:rFonts w:eastAsia="宋体"/>
          <w:color w:val="auto"/>
          <w:highlight w:val="none"/>
        </w:rPr>
      </w:pPr>
    </w:p>
    <w:p>
      <w:pPr>
        <w:pStyle w:val="52"/>
        <w:ind w:firstLine="0" w:firstLineChars="0"/>
        <w:jc w:val="both"/>
        <w:rPr>
          <w:rFonts w:eastAsia="宋体"/>
          <w:color w:val="auto"/>
          <w:highlight w:val="none"/>
        </w:rPr>
      </w:pPr>
    </w:p>
    <w:p>
      <w:pPr>
        <w:pStyle w:val="3"/>
        <w:numPr>
          <w:ilvl w:val="255"/>
          <w:numId w:val="0"/>
        </w:numPr>
        <w:jc w:val="center"/>
        <w:rPr>
          <w:rStyle w:val="102"/>
          <w:b/>
          <w:bCs/>
          <w:color w:val="auto"/>
          <w:highlight w:val="none"/>
        </w:rPr>
      </w:pPr>
      <w:bookmarkStart w:id="35" w:name="_Toc19067"/>
      <w:bookmarkStart w:id="36" w:name="_Toc44492406"/>
      <w:bookmarkStart w:id="37" w:name="_Toc27237"/>
      <w:bookmarkStart w:id="38" w:name="_Toc40186510"/>
      <w:bookmarkStart w:id="39" w:name="_Toc44227949"/>
      <w:bookmarkStart w:id="40" w:name="_Toc1924"/>
      <w:bookmarkStart w:id="41" w:name="_Toc402450437"/>
      <w:bookmarkStart w:id="42" w:name="_Toc4504"/>
      <w:bookmarkStart w:id="43" w:name="_Toc11462"/>
      <w:bookmarkStart w:id="44" w:name="_Toc67300356"/>
      <w:r>
        <w:rPr>
          <w:rFonts w:hint="eastAsia" w:ascii="宋体" w:hAnsi="宋体"/>
          <w:color w:val="auto"/>
          <w:highlight w:val="none"/>
          <w:lang w:val="zh-CN"/>
        </w:rPr>
        <w:t>第二部分 通用条款</w:t>
      </w:r>
      <w:bookmarkEnd w:id="35"/>
      <w:bookmarkEnd w:id="36"/>
      <w:bookmarkEnd w:id="37"/>
      <w:bookmarkEnd w:id="38"/>
      <w:bookmarkEnd w:id="39"/>
      <w:bookmarkEnd w:id="40"/>
      <w:bookmarkEnd w:id="41"/>
      <w:bookmarkEnd w:id="42"/>
      <w:bookmarkEnd w:id="43"/>
      <w:bookmarkEnd w:id="44"/>
    </w:p>
    <w:p>
      <w:pPr>
        <w:pStyle w:val="4"/>
        <w:numPr>
          <w:ilvl w:val="0"/>
          <w:numId w:val="5"/>
        </w:numPr>
        <w:rPr>
          <w:color w:val="auto"/>
          <w:highlight w:val="none"/>
        </w:rPr>
      </w:pPr>
      <w:bookmarkStart w:id="45" w:name="_Toc5003"/>
      <w:bookmarkStart w:id="46" w:name="_Toc407355994"/>
      <w:bookmarkStart w:id="47" w:name="_Toc2981"/>
      <w:bookmarkStart w:id="48" w:name="_Toc44492407"/>
      <w:bookmarkStart w:id="49" w:name="_Toc44227982"/>
      <w:bookmarkStart w:id="50" w:name="_Toc402450438"/>
      <w:bookmarkStart w:id="51" w:name="_Toc25459"/>
      <w:bookmarkStart w:id="52" w:name="_Toc47512231"/>
      <w:bookmarkStart w:id="53" w:name="p2"/>
      <w:r>
        <w:rPr>
          <w:rStyle w:val="54"/>
          <w:color w:val="auto"/>
          <w:highlight w:val="none"/>
        </w:rPr>
        <w:t>一般约定</w:t>
      </w:r>
      <w:bookmarkEnd w:id="45"/>
    </w:p>
    <w:bookmarkEnd w:id="46"/>
    <w:bookmarkEnd w:id="47"/>
    <w:bookmarkEnd w:id="48"/>
    <w:bookmarkEnd w:id="49"/>
    <w:bookmarkEnd w:id="50"/>
    <w:bookmarkEnd w:id="51"/>
    <w:bookmarkEnd w:id="52"/>
    <w:p>
      <w:pPr>
        <w:pStyle w:val="4"/>
        <w:numPr>
          <w:ilvl w:val="1"/>
          <w:numId w:val="5"/>
        </w:numPr>
        <w:rPr>
          <w:color w:val="auto"/>
          <w:highlight w:val="none"/>
        </w:rPr>
      </w:pPr>
      <w:bookmarkStart w:id="54" w:name="_Toc23169"/>
      <w:bookmarkStart w:id="55" w:name="_Toc44492408"/>
      <w:bookmarkStart w:id="56" w:name="_Toc1805"/>
      <w:bookmarkStart w:id="57" w:name="_Toc11898"/>
      <w:r>
        <w:rPr>
          <w:color w:val="auto"/>
          <w:highlight w:val="none"/>
        </w:rPr>
        <w:t>词语定义</w:t>
      </w:r>
      <w:bookmarkEnd w:id="54"/>
      <w:bookmarkEnd w:id="55"/>
      <w:bookmarkEnd w:id="56"/>
      <w:bookmarkEnd w:id="57"/>
    </w:p>
    <w:p>
      <w:pPr>
        <w:pStyle w:val="52"/>
        <w:ind w:firstLine="480"/>
        <w:jc w:val="both"/>
        <w:rPr>
          <w:rFonts w:eastAsia="宋体"/>
          <w:color w:val="auto"/>
          <w:sz w:val="24"/>
          <w:szCs w:val="24"/>
          <w:highlight w:val="none"/>
        </w:rPr>
      </w:pPr>
      <w:r>
        <w:rPr>
          <w:rFonts w:eastAsia="宋体"/>
          <w:color w:val="auto"/>
          <w:sz w:val="24"/>
          <w:szCs w:val="24"/>
          <w:highlight w:val="none"/>
        </w:rPr>
        <w:t>下列词语除专用条款另有约定外，应具有本条所赋予的定义：</w:t>
      </w:r>
    </w:p>
    <w:p>
      <w:pPr>
        <w:pStyle w:val="4"/>
        <w:numPr>
          <w:ilvl w:val="2"/>
          <w:numId w:val="5"/>
        </w:numPr>
        <w:rPr>
          <w:color w:val="auto"/>
          <w:highlight w:val="none"/>
        </w:rPr>
      </w:pPr>
      <w:bookmarkStart w:id="58" w:name="_Toc20030"/>
      <w:bookmarkStart w:id="59" w:name="_Toc4440"/>
      <w:r>
        <w:rPr>
          <w:color w:val="auto"/>
          <w:highlight w:val="none"/>
        </w:rPr>
        <w:t>合同</w:t>
      </w:r>
      <w:bookmarkEnd w:id="58"/>
      <w:bookmarkEnd w:id="59"/>
    </w:p>
    <w:p>
      <w:pPr>
        <w:pStyle w:val="52"/>
        <w:numPr>
          <w:ilvl w:val="0"/>
          <w:numId w:val="6"/>
        </w:numPr>
        <w:ind w:left="885" w:leftChars="250" w:hanging="360" w:hangingChars="150"/>
        <w:jc w:val="both"/>
        <w:rPr>
          <w:rFonts w:eastAsia="宋体"/>
          <w:color w:val="auto"/>
          <w:sz w:val="24"/>
          <w:szCs w:val="24"/>
          <w:highlight w:val="none"/>
        </w:rPr>
      </w:pPr>
      <w:r>
        <w:rPr>
          <w:rFonts w:eastAsia="宋体"/>
          <w:color w:val="auto"/>
          <w:sz w:val="24"/>
          <w:szCs w:val="24"/>
          <w:highlight w:val="none"/>
        </w:rPr>
        <w:t>合同文件（或称合同或本合同）：指协议书、补充合同、通用条款、专用条款、合同附件、图纸、已标价工程量及单价清单、招标文件、投标文件以及经双方认可的其他有关书面文件。</w:t>
      </w:r>
    </w:p>
    <w:p>
      <w:pPr>
        <w:pStyle w:val="52"/>
        <w:numPr>
          <w:ilvl w:val="0"/>
          <w:numId w:val="6"/>
        </w:numPr>
        <w:ind w:left="885" w:leftChars="250" w:hanging="360" w:hangingChars="150"/>
        <w:jc w:val="both"/>
        <w:rPr>
          <w:rFonts w:eastAsia="宋体"/>
          <w:color w:val="auto"/>
          <w:sz w:val="24"/>
          <w:szCs w:val="24"/>
          <w:highlight w:val="none"/>
        </w:rPr>
      </w:pPr>
      <w:r>
        <w:rPr>
          <w:rFonts w:eastAsia="宋体"/>
          <w:color w:val="auto"/>
          <w:sz w:val="24"/>
          <w:szCs w:val="24"/>
          <w:highlight w:val="none"/>
        </w:rPr>
        <w:t>技术标准和要求：是指构成合同的、施工应当遵守的或指导施工的国家、行业或地方的技术标准和要求，以及合同约定的技术标准和要求。</w:t>
      </w:r>
    </w:p>
    <w:p>
      <w:pPr>
        <w:pStyle w:val="52"/>
        <w:numPr>
          <w:ilvl w:val="0"/>
          <w:numId w:val="6"/>
        </w:numPr>
        <w:ind w:left="885" w:leftChars="250" w:hanging="360" w:hangingChars="150"/>
        <w:jc w:val="both"/>
        <w:rPr>
          <w:rFonts w:eastAsia="宋体"/>
          <w:color w:val="auto"/>
          <w:sz w:val="24"/>
          <w:szCs w:val="24"/>
          <w:highlight w:val="none"/>
        </w:rPr>
      </w:pPr>
      <w:r>
        <w:rPr>
          <w:rFonts w:eastAsia="宋体"/>
          <w:color w:val="auto"/>
          <w:sz w:val="24"/>
          <w:szCs w:val="24"/>
          <w:highlight w:val="none"/>
        </w:rPr>
        <w:t>图纸：指包含在合同中的工程图纸，以及合同履行中由发包人按合同约定提供或批准的任何补充和修改的图纸，包括配套的说明等。</w:t>
      </w:r>
    </w:p>
    <w:p>
      <w:pPr>
        <w:pStyle w:val="52"/>
        <w:numPr>
          <w:ilvl w:val="0"/>
          <w:numId w:val="6"/>
        </w:numPr>
        <w:ind w:left="885" w:leftChars="250" w:hanging="360" w:hangingChars="150"/>
        <w:jc w:val="both"/>
        <w:rPr>
          <w:rFonts w:eastAsia="宋体"/>
          <w:color w:val="auto"/>
          <w:sz w:val="24"/>
          <w:szCs w:val="24"/>
          <w:highlight w:val="none"/>
        </w:rPr>
      </w:pPr>
      <w:r>
        <w:rPr>
          <w:rFonts w:eastAsia="宋体"/>
          <w:color w:val="auto"/>
          <w:sz w:val="24"/>
          <w:szCs w:val="24"/>
          <w:highlight w:val="none"/>
        </w:rPr>
        <w:t>已标价工程量清单：指构成投标文件组成部分的由承包人按照规定的格式和要求填写并标明价格的工程量清单。</w:t>
      </w:r>
    </w:p>
    <w:p>
      <w:pPr>
        <w:pStyle w:val="52"/>
        <w:numPr>
          <w:ilvl w:val="0"/>
          <w:numId w:val="6"/>
        </w:numPr>
        <w:ind w:left="885" w:leftChars="250" w:hanging="360" w:hangingChars="150"/>
        <w:jc w:val="both"/>
        <w:rPr>
          <w:rFonts w:eastAsia="宋体"/>
          <w:color w:val="auto"/>
          <w:sz w:val="24"/>
          <w:szCs w:val="24"/>
          <w:highlight w:val="none"/>
        </w:rPr>
      </w:pPr>
      <w:r>
        <w:rPr>
          <w:rFonts w:eastAsia="宋体"/>
          <w:color w:val="auto"/>
          <w:sz w:val="24"/>
          <w:szCs w:val="24"/>
          <w:highlight w:val="none"/>
        </w:rPr>
        <w:t xml:space="preserve">中标通知书：指发包人通知承包人中标的函件。 </w:t>
      </w:r>
    </w:p>
    <w:p>
      <w:pPr>
        <w:pStyle w:val="52"/>
        <w:numPr>
          <w:ilvl w:val="0"/>
          <w:numId w:val="6"/>
        </w:numPr>
        <w:ind w:left="885" w:leftChars="250" w:hanging="360" w:hangingChars="150"/>
        <w:jc w:val="both"/>
        <w:rPr>
          <w:rFonts w:eastAsia="宋体"/>
          <w:color w:val="auto"/>
          <w:sz w:val="24"/>
          <w:szCs w:val="24"/>
          <w:highlight w:val="none"/>
        </w:rPr>
      </w:pPr>
      <w:r>
        <w:rPr>
          <w:rFonts w:eastAsia="宋体"/>
          <w:color w:val="auto"/>
          <w:sz w:val="24"/>
          <w:szCs w:val="24"/>
          <w:highlight w:val="none"/>
        </w:rPr>
        <w:t>投标函：指构成投标文件组成部分的由承包人填写并签署的投标函。</w:t>
      </w:r>
    </w:p>
    <w:p>
      <w:pPr>
        <w:pStyle w:val="52"/>
        <w:numPr>
          <w:ilvl w:val="0"/>
          <w:numId w:val="6"/>
        </w:numPr>
        <w:ind w:left="885" w:leftChars="250" w:hanging="360" w:hangingChars="150"/>
        <w:jc w:val="both"/>
        <w:rPr>
          <w:rFonts w:eastAsia="宋体"/>
          <w:color w:val="auto"/>
          <w:sz w:val="24"/>
          <w:szCs w:val="24"/>
          <w:highlight w:val="none"/>
        </w:rPr>
      </w:pPr>
      <w:r>
        <w:rPr>
          <w:rFonts w:eastAsia="宋体"/>
          <w:color w:val="auto"/>
          <w:sz w:val="24"/>
          <w:szCs w:val="24"/>
          <w:highlight w:val="none"/>
        </w:rPr>
        <w:t>投标函附录：指附在投标函后构成合同文件的投标函附录。</w:t>
      </w:r>
    </w:p>
    <w:p>
      <w:pPr>
        <w:pStyle w:val="52"/>
        <w:numPr>
          <w:ilvl w:val="0"/>
          <w:numId w:val="6"/>
        </w:numPr>
        <w:ind w:left="885" w:leftChars="250" w:hanging="360" w:hangingChars="150"/>
        <w:jc w:val="both"/>
        <w:rPr>
          <w:rFonts w:eastAsia="宋体"/>
          <w:color w:val="auto"/>
          <w:sz w:val="24"/>
          <w:szCs w:val="24"/>
          <w:highlight w:val="none"/>
        </w:rPr>
      </w:pPr>
      <w:r>
        <w:rPr>
          <w:rFonts w:eastAsia="宋体"/>
          <w:color w:val="auto"/>
          <w:sz w:val="24"/>
          <w:szCs w:val="24"/>
          <w:highlight w:val="none"/>
        </w:rPr>
        <w:t>签证：指合同双方就当事人在施工过程中涉及的责任事件所作的签认证明。</w:t>
      </w:r>
    </w:p>
    <w:p>
      <w:pPr>
        <w:pStyle w:val="52"/>
        <w:numPr>
          <w:ilvl w:val="0"/>
          <w:numId w:val="6"/>
        </w:numPr>
        <w:ind w:left="885" w:leftChars="250" w:hanging="360" w:hangingChars="150"/>
        <w:jc w:val="both"/>
        <w:rPr>
          <w:rFonts w:eastAsia="宋体"/>
          <w:color w:val="auto"/>
          <w:sz w:val="24"/>
          <w:szCs w:val="24"/>
          <w:highlight w:val="none"/>
        </w:rPr>
      </w:pPr>
      <w:r>
        <w:rPr>
          <w:rFonts w:eastAsia="宋体"/>
          <w:color w:val="auto"/>
          <w:sz w:val="24"/>
          <w:szCs w:val="24"/>
          <w:highlight w:val="none"/>
        </w:rPr>
        <w:t>变更：指图纸、技术标准和要求在设计、质量或数量上的改变包括工作的增减、变化、更换以及因发包人原因造成的施工条件的改变。</w:t>
      </w:r>
    </w:p>
    <w:p>
      <w:pPr>
        <w:pStyle w:val="4"/>
        <w:numPr>
          <w:ilvl w:val="2"/>
          <w:numId w:val="5"/>
        </w:numPr>
        <w:rPr>
          <w:color w:val="auto"/>
          <w:highlight w:val="none"/>
        </w:rPr>
      </w:pPr>
      <w:bookmarkStart w:id="60" w:name="_Toc31796"/>
      <w:bookmarkStart w:id="61" w:name="_Toc16917"/>
      <w:r>
        <w:rPr>
          <w:color w:val="auto"/>
          <w:highlight w:val="none"/>
        </w:rPr>
        <w:t>合同当事人和人员</w:t>
      </w:r>
      <w:bookmarkEnd w:id="60"/>
      <w:bookmarkEnd w:id="61"/>
    </w:p>
    <w:p>
      <w:pPr>
        <w:pStyle w:val="52"/>
        <w:numPr>
          <w:ilvl w:val="0"/>
          <w:numId w:val="7"/>
        </w:numPr>
        <w:ind w:left="885" w:leftChars="250" w:hanging="360" w:hangingChars="150"/>
        <w:jc w:val="both"/>
        <w:rPr>
          <w:rFonts w:eastAsia="宋体"/>
          <w:color w:val="auto"/>
          <w:sz w:val="24"/>
          <w:szCs w:val="24"/>
          <w:highlight w:val="none"/>
        </w:rPr>
      </w:pPr>
      <w:r>
        <w:rPr>
          <w:rFonts w:eastAsia="宋体"/>
          <w:color w:val="auto"/>
          <w:sz w:val="24"/>
          <w:szCs w:val="24"/>
          <w:highlight w:val="none"/>
        </w:rPr>
        <w:t>合同当事人:指发包人和（或）承包人。</w:t>
      </w:r>
    </w:p>
    <w:p>
      <w:pPr>
        <w:pStyle w:val="52"/>
        <w:numPr>
          <w:ilvl w:val="0"/>
          <w:numId w:val="7"/>
        </w:numPr>
        <w:ind w:left="885" w:leftChars="250" w:hanging="360" w:hangingChars="150"/>
        <w:jc w:val="both"/>
        <w:rPr>
          <w:rFonts w:eastAsia="宋体"/>
          <w:color w:val="auto"/>
          <w:sz w:val="24"/>
          <w:szCs w:val="24"/>
          <w:highlight w:val="none"/>
        </w:rPr>
      </w:pPr>
      <w:r>
        <w:rPr>
          <w:rFonts w:eastAsia="宋体"/>
          <w:color w:val="auto"/>
          <w:sz w:val="24"/>
          <w:szCs w:val="24"/>
          <w:highlight w:val="none"/>
        </w:rPr>
        <w:t>发包人：指与承包人签订协议书的当事人。</w:t>
      </w:r>
    </w:p>
    <w:p>
      <w:pPr>
        <w:pStyle w:val="52"/>
        <w:numPr>
          <w:ilvl w:val="0"/>
          <w:numId w:val="7"/>
        </w:numPr>
        <w:ind w:left="885" w:leftChars="250" w:hanging="360" w:hangingChars="150"/>
        <w:jc w:val="both"/>
        <w:rPr>
          <w:rFonts w:eastAsia="宋体"/>
          <w:color w:val="auto"/>
          <w:sz w:val="24"/>
          <w:szCs w:val="24"/>
          <w:highlight w:val="none"/>
        </w:rPr>
      </w:pPr>
      <w:r>
        <w:rPr>
          <w:rFonts w:eastAsia="宋体"/>
          <w:color w:val="auto"/>
          <w:sz w:val="24"/>
          <w:szCs w:val="24"/>
          <w:highlight w:val="none"/>
        </w:rPr>
        <w:t>发包人代表：指在专用条款中指明的，由发包人任命并派驻施工场地,在发包人授权的权限内行使发包人权利的代表。</w:t>
      </w:r>
    </w:p>
    <w:p>
      <w:pPr>
        <w:pStyle w:val="52"/>
        <w:numPr>
          <w:ilvl w:val="0"/>
          <w:numId w:val="7"/>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承包人：指与发包人签订协议书的当事人。</w:t>
      </w:r>
    </w:p>
    <w:p>
      <w:pPr>
        <w:pStyle w:val="52"/>
        <w:numPr>
          <w:ilvl w:val="0"/>
          <w:numId w:val="7"/>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承包人项目经理：指在专用条款中指明的，承包人派驻施工场地的全权负责人。</w:t>
      </w:r>
    </w:p>
    <w:p>
      <w:pPr>
        <w:pStyle w:val="52"/>
        <w:numPr>
          <w:ilvl w:val="0"/>
          <w:numId w:val="7"/>
        </w:numPr>
        <w:ind w:left="885" w:leftChars="250" w:hanging="360" w:hangingChars="150"/>
        <w:jc w:val="both"/>
        <w:rPr>
          <w:rFonts w:eastAsia="宋体"/>
          <w:color w:val="auto"/>
          <w:sz w:val="24"/>
          <w:szCs w:val="24"/>
          <w:highlight w:val="none"/>
        </w:rPr>
      </w:pPr>
      <w:r>
        <w:rPr>
          <w:rFonts w:eastAsia="宋体"/>
          <w:color w:val="auto"/>
          <w:sz w:val="24"/>
          <w:szCs w:val="24"/>
          <w:highlight w:val="none"/>
        </w:rPr>
        <w:t>监理人：指受发包人委托对合同履行实施管理的法人或其他组织。</w:t>
      </w:r>
      <w:r>
        <w:rPr>
          <w:rFonts w:eastAsia="宋体"/>
          <w:b/>
          <w:color w:val="auto"/>
          <w:sz w:val="24"/>
          <w:szCs w:val="24"/>
          <w:highlight w:val="none"/>
        </w:rPr>
        <w:t>（该条不适用于本合同）</w:t>
      </w:r>
    </w:p>
    <w:p>
      <w:pPr>
        <w:pStyle w:val="52"/>
        <w:numPr>
          <w:ilvl w:val="0"/>
          <w:numId w:val="7"/>
        </w:numPr>
        <w:ind w:left="885" w:leftChars="250" w:hanging="360" w:hangingChars="150"/>
        <w:jc w:val="both"/>
        <w:rPr>
          <w:rFonts w:eastAsia="宋体"/>
          <w:color w:val="auto"/>
          <w:sz w:val="24"/>
          <w:szCs w:val="24"/>
          <w:highlight w:val="none"/>
        </w:rPr>
      </w:pPr>
      <w:r>
        <w:rPr>
          <w:rFonts w:eastAsia="宋体"/>
          <w:color w:val="auto"/>
          <w:sz w:val="24"/>
          <w:szCs w:val="24"/>
          <w:highlight w:val="none"/>
        </w:rPr>
        <w:t>总监理工程师（监理总监）：指经发包人同意后由监理人委派，代表监理人履行监理合同的现场负责人。</w:t>
      </w:r>
      <w:r>
        <w:rPr>
          <w:rFonts w:eastAsia="宋体"/>
          <w:b/>
          <w:color w:val="auto"/>
          <w:sz w:val="24"/>
          <w:szCs w:val="24"/>
          <w:highlight w:val="none"/>
        </w:rPr>
        <w:t>（该条不适用于本合同）</w:t>
      </w:r>
    </w:p>
    <w:p>
      <w:pPr>
        <w:pStyle w:val="52"/>
        <w:numPr>
          <w:ilvl w:val="0"/>
          <w:numId w:val="7"/>
        </w:numPr>
        <w:ind w:left="885" w:leftChars="250" w:hanging="360" w:hangingChars="150"/>
        <w:jc w:val="both"/>
        <w:rPr>
          <w:rFonts w:eastAsia="宋体"/>
          <w:color w:val="auto"/>
          <w:sz w:val="24"/>
          <w:szCs w:val="24"/>
          <w:highlight w:val="none"/>
        </w:rPr>
      </w:pPr>
      <w:r>
        <w:rPr>
          <w:rFonts w:eastAsia="宋体"/>
          <w:color w:val="auto"/>
          <w:sz w:val="24"/>
          <w:szCs w:val="24"/>
          <w:highlight w:val="none"/>
        </w:rPr>
        <w:t>造价咨询人：指发包人委托的负责本工程造价控制和管理的组织，以及取得该组织资格的合法继承人。</w:t>
      </w:r>
    </w:p>
    <w:p>
      <w:pPr>
        <w:pStyle w:val="52"/>
        <w:numPr>
          <w:ilvl w:val="0"/>
          <w:numId w:val="7"/>
        </w:numPr>
        <w:ind w:left="885" w:leftChars="250" w:hanging="360" w:hangingChars="150"/>
        <w:jc w:val="both"/>
        <w:rPr>
          <w:rFonts w:eastAsia="宋体"/>
          <w:color w:val="auto"/>
          <w:sz w:val="24"/>
          <w:szCs w:val="24"/>
          <w:highlight w:val="none"/>
        </w:rPr>
      </w:pPr>
      <w:r>
        <w:rPr>
          <w:rFonts w:eastAsia="宋体"/>
          <w:color w:val="auto"/>
          <w:sz w:val="24"/>
          <w:szCs w:val="24"/>
          <w:highlight w:val="none"/>
        </w:rPr>
        <w:t>设计人：指与发包人签订针对本工程设计合同的法人或其他组织。</w:t>
      </w:r>
    </w:p>
    <w:p>
      <w:pPr>
        <w:pStyle w:val="52"/>
        <w:numPr>
          <w:ilvl w:val="0"/>
          <w:numId w:val="7"/>
        </w:numPr>
        <w:ind w:left="885" w:leftChars="250" w:hanging="360" w:hangingChars="150"/>
        <w:jc w:val="both"/>
        <w:rPr>
          <w:rFonts w:eastAsia="宋体"/>
          <w:color w:val="auto"/>
          <w:sz w:val="24"/>
          <w:szCs w:val="24"/>
          <w:highlight w:val="none"/>
        </w:rPr>
      </w:pPr>
      <w:r>
        <w:rPr>
          <w:rFonts w:eastAsia="宋体"/>
          <w:color w:val="auto"/>
          <w:sz w:val="24"/>
          <w:szCs w:val="24"/>
          <w:highlight w:val="none"/>
        </w:rPr>
        <w:t>顾问：指与发包人签订针对本工程顾问服务的法人或其他组织。</w:t>
      </w:r>
    </w:p>
    <w:p>
      <w:pPr>
        <w:pStyle w:val="4"/>
        <w:numPr>
          <w:ilvl w:val="2"/>
          <w:numId w:val="5"/>
        </w:numPr>
        <w:rPr>
          <w:color w:val="auto"/>
          <w:highlight w:val="none"/>
        </w:rPr>
      </w:pPr>
      <w:bookmarkStart w:id="62" w:name="_Toc13780"/>
      <w:bookmarkStart w:id="63" w:name="_Toc11288"/>
      <w:r>
        <w:rPr>
          <w:color w:val="auto"/>
          <w:highlight w:val="none"/>
        </w:rPr>
        <w:t>工程和设备</w:t>
      </w:r>
      <w:bookmarkEnd w:id="62"/>
      <w:bookmarkEnd w:id="63"/>
    </w:p>
    <w:p>
      <w:pPr>
        <w:pStyle w:val="52"/>
        <w:numPr>
          <w:ilvl w:val="0"/>
          <w:numId w:val="8"/>
        </w:numPr>
        <w:ind w:left="885" w:leftChars="250" w:hanging="360" w:hangingChars="150"/>
        <w:jc w:val="both"/>
        <w:rPr>
          <w:rFonts w:eastAsia="宋体"/>
          <w:color w:val="auto"/>
          <w:sz w:val="24"/>
          <w:szCs w:val="24"/>
          <w:highlight w:val="none"/>
        </w:rPr>
      </w:pPr>
      <w:r>
        <w:rPr>
          <w:rFonts w:eastAsia="宋体"/>
          <w:color w:val="auto"/>
          <w:sz w:val="24"/>
          <w:szCs w:val="24"/>
          <w:highlight w:val="none"/>
        </w:rPr>
        <w:t>工程：指永久工程和（或）临时工程。</w:t>
      </w:r>
    </w:p>
    <w:p>
      <w:pPr>
        <w:pStyle w:val="52"/>
        <w:numPr>
          <w:ilvl w:val="0"/>
          <w:numId w:val="8"/>
        </w:numPr>
        <w:ind w:left="885" w:leftChars="250" w:hanging="360" w:hangingChars="150"/>
        <w:jc w:val="both"/>
        <w:rPr>
          <w:rFonts w:eastAsia="宋体"/>
          <w:color w:val="auto"/>
          <w:sz w:val="24"/>
          <w:szCs w:val="24"/>
          <w:highlight w:val="none"/>
        </w:rPr>
      </w:pPr>
      <w:r>
        <w:rPr>
          <w:rFonts w:eastAsia="宋体"/>
          <w:color w:val="auto"/>
          <w:sz w:val="24"/>
          <w:szCs w:val="24"/>
          <w:highlight w:val="none"/>
        </w:rPr>
        <w:t>永久工程：指按合同约定建造并移交给发包人</w:t>
      </w:r>
      <w:r>
        <w:rPr>
          <w:rFonts w:hint="eastAsia" w:eastAsia="宋体"/>
          <w:color w:val="auto"/>
          <w:sz w:val="24"/>
          <w:szCs w:val="24"/>
          <w:highlight w:val="none"/>
          <w:lang w:val="en-US" w:eastAsia="zh-CN"/>
        </w:rPr>
        <w:t>及政府相关部门</w:t>
      </w:r>
      <w:r>
        <w:rPr>
          <w:rFonts w:eastAsia="宋体"/>
          <w:color w:val="auto"/>
          <w:sz w:val="24"/>
          <w:szCs w:val="24"/>
          <w:highlight w:val="none"/>
        </w:rPr>
        <w:t>的工程，包括工程设备。</w:t>
      </w:r>
    </w:p>
    <w:p>
      <w:pPr>
        <w:pStyle w:val="52"/>
        <w:numPr>
          <w:ilvl w:val="0"/>
          <w:numId w:val="8"/>
        </w:numPr>
        <w:ind w:left="885" w:leftChars="250" w:hanging="360" w:hangingChars="150"/>
        <w:jc w:val="both"/>
        <w:rPr>
          <w:rFonts w:eastAsia="宋体"/>
          <w:color w:val="auto"/>
          <w:sz w:val="24"/>
          <w:szCs w:val="24"/>
          <w:highlight w:val="none"/>
        </w:rPr>
      </w:pPr>
      <w:r>
        <w:rPr>
          <w:rFonts w:eastAsia="宋体"/>
          <w:color w:val="auto"/>
          <w:sz w:val="24"/>
          <w:szCs w:val="24"/>
          <w:highlight w:val="none"/>
        </w:rPr>
        <w:t>临时工程：指为完成合同约定的永久工程所修建的各类临时性工程，不包括施工设备。</w:t>
      </w:r>
    </w:p>
    <w:p>
      <w:pPr>
        <w:pStyle w:val="52"/>
        <w:numPr>
          <w:ilvl w:val="0"/>
          <w:numId w:val="8"/>
        </w:numPr>
        <w:ind w:left="885" w:leftChars="250" w:hanging="360" w:hangingChars="150"/>
        <w:jc w:val="both"/>
        <w:rPr>
          <w:rFonts w:eastAsia="宋体"/>
          <w:color w:val="auto"/>
          <w:sz w:val="24"/>
          <w:szCs w:val="24"/>
          <w:highlight w:val="none"/>
        </w:rPr>
      </w:pPr>
      <w:r>
        <w:rPr>
          <w:rFonts w:eastAsia="宋体"/>
          <w:color w:val="auto"/>
          <w:sz w:val="24"/>
          <w:szCs w:val="24"/>
          <w:highlight w:val="none"/>
        </w:rPr>
        <w:t>工程设备：指构成或计划构成永久工程一部分的机电设备、金属结构设备、仪器装置及其他类似的设备和装置。</w:t>
      </w:r>
    </w:p>
    <w:p>
      <w:pPr>
        <w:pStyle w:val="52"/>
        <w:numPr>
          <w:ilvl w:val="0"/>
          <w:numId w:val="8"/>
        </w:numPr>
        <w:ind w:left="885" w:leftChars="250" w:hanging="360" w:hangingChars="150"/>
        <w:jc w:val="both"/>
        <w:rPr>
          <w:rFonts w:eastAsia="宋体"/>
          <w:color w:val="auto"/>
          <w:sz w:val="24"/>
          <w:szCs w:val="24"/>
          <w:highlight w:val="none"/>
        </w:rPr>
      </w:pPr>
      <w:r>
        <w:rPr>
          <w:rFonts w:eastAsia="宋体"/>
          <w:color w:val="auto"/>
          <w:sz w:val="24"/>
          <w:szCs w:val="24"/>
          <w:highlight w:val="none"/>
        </w:rPr>
        <w:t>施工设备：指为完成合同约定的各项工作所需的设备、器具和其他物品，不包括临时工程和材料。</w:t>
      </w:r>
    </w:p>
    <w:p>
      <w:pPr>
        <w:pStyle w:val="52"/>
        <w:numPr>
          <w:ilvl w:val="0"/>
          <w:numId w:val="8"/>
        </w:numPr>
        <w:ind w:left="885" w:leftChars="250" w:hanging="360" w:hangingChars="150"/>
        <w:jc w:val="both"/>
        <w:rPr>
          <w:rFonts w:eastAsia="宋体"/>
          <w:color w:val="auto"/>
          <w:sz w:val="24"/>
          <w:szCs w:val="24"/>
          <w:highlight w:val="none"/>
        </w:rPr>
      </w:pPr>
      <w:r>
        <w:rPr>
          <w:rFonts w:eastAsia="宋体"/>
          <w:color w:val="auto"/>
          <w:sz w:val="24"/>
          <w:szCs w:val="24"/>
          <w:highlight w:val="none"/>
        </w:rPr>
        <w:t>临时设施：指为完成合同约定的各项工作所服务的临时性生产和生活设施。</w:t>
      </w:r>
    </w:p>
    <w:p>
      <w:pPr>
        <w:pStyle w:val="52"/>
        <w:numPr>
          <w:ilvl w:val="0"/>
          <w:numId w:val="8"/>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承包人设备：指承包人自带的施工设备。</w:t>
      </w:r>
    </w:p>
    <w:p>
      <w:pPr>
        <w:pStyle w:val="52"/>
        <w:numPr>
          <w:ilvl w:val="0"/>
          <w:numId w:val="8"/>
        </w:numPr>
        <w:ind w:left="885" w:leftChars="250" w:hanging="360" w:hangingChars="150"/>
        <w:jc w:val="both"/>
        <w:rPr>
          <w:rFonts w:eastAsia="宋体"/>
          <w:color w:val="auto"/>
          <w:sz w:val="24"/>
          <w:szCs w:val="24"/>
          <w:highlight w:val="none"/>
        </w:rPr>
      </w:pPr>
      <w:r>
        <w:rPr>
          <w:rFonts w:eastAsia="宋体"/>
          <w:color w:val="auto"/>
          <w:sz w:val="24"/>
          <w:szCs w:val="24"/>
          <w:highlight w:val="none"/>
        </w:rPr>
        <w:t>施工场地（或称工地、现场）：指用于合同工程施工的场所，以及在合同中指定作为施工场地组成部分的其他场所，包括永久占地和临时占地。</w:t>
      </w:r>
    </w:p>
    <w:p>
      <w:pPr>
        <w:pStyle w:val="52"/>
        <w:numPr>
          <w:ilvl w:val="0"/>
          <w:numId w:val="8"/>
        </w:numPr>
        <w:ind w:left="885" w:leftChars="250" w:hanging="360" w:hangingChars="150"/>
        <w:jc w:val="both"/>
        <w:rPr>
          <w:rFonts w:eastAsia="宋体"/>
          <w:color w:val="auto"/>
          <w:sz w:val="24"/>
          <w:szCs w:val="24"/>
          <w:highlight w:val="none"/>
        </w:rPr>
      </w:pPr>
      <w:r>
        <w:rPr>
          <w:rFonts w:eastAsia="宋体"/>
          <w:color w:val="auto"/>
          <w:sz w:val="24"/>
          <w:szCs w:val="24"/>
          <w:highlight w:val="none"/>
        </w:rPr>
        <w:t>永久占地：指为实施合同工程需永久占用的土地。</w:t>
      </w:r>
    </w:p>
    <w:p>
      <w:pPr>
        <w:pStyle w:val="52"/>
        <w:numPr>
          <w:ilvl w:val="0"/>
          <w:numId w:val="8"/>
        </w:numPr>
        <w:ind w:left="885" w:leftChars="250" w:hanging="360" w:hangingChars="150"/>
        <w:jc w:val="both"/>
        <w:rPr>
          <w:rFonts w:eastAsia="宋体"/>
          <w:color w:val="auto"/>
          <w:sz w:val="24"/>
          <w:szCs w:val="24"/>
          <w:highlight w:val="none"/>
        </w:rPr>
      </w:pPr>
      <w:r>
        <w:rPr>
          <w:rFonts w:eastAsia="宋体"/>
          <w:color w:val="auto"/>
          <w:sz w:val="24"/>
          <w:szCs w:val="24"/>
          <w:highlight w:val="none"/>
        </w:rPr>
        <w:t>临时占地：指为实施合同工程需临时占用的土地。</w:t>
      </w:r>
    </w:p>
    <w:p>
      <w:pPr>
        <w:pStyle w:val="4"/>
        <w:numPr>
          <w:ilvl w:val="2"/>
          <w:numId w:val="5"/>
        </w:numPr>
        <w:rPr>
          <w:color w:val="auto"/>
          <w:highlight w:val="none"/>
        </w:rPr>
      </w:pPr>
      <w:bookmarkStart w:id="64" w:name="_Toc5133"/>
      <w:bookmarkStart w:id="65" w:name="_Toc8362"/>
      <w:r>
        <w:rPr>
          <w:color w:val="auto"/>
          <w:highlight w:val="none"/>
        </w:rPr>
        <w:t>日期</w:t>
      </w:r>
      <w:bookmarkEnd w:id="64"/>
      <w:bookmarkEnd w:id="65"/>
    </w:p>
    <w:p>
      <w:pPr>
        <w:pStyle w:val="52"/>
        <w:numPr>
          <w:ilvl w:val="0"/>
          <w:numId w:val="9"/>
        </w:numPr>
        <w:ind w:left="885" w:leftChars="250" w:hanging="360" w:hangingChars="150"/>
        <w:jc w:val="both"/>
        <w:rPr>
          <w:rFonts w:eastAsia="宋体"/>
          <w:color w:val="auto"/>
          <w:sz w:val="24"/>
          <w:szCs w:val="24"/>
          <w:highlight w:val="none"/>
        </w:rPr>
      </w:pPr>
      <w:r>
        <w:rPr>
          <w:rFonts w:eastAsia="宋体"/>
          <w:color w:val="auto"/>
          <w:sz w:val="24"/>
          <w:szCs w:val="24"/>
          <w:highlight w:val="none"/>
        </w:rPr>
        <w:t>开工通知：指经发包人书面发出的通知承包人开工的函件。</w:t>
      </w:r>
    </w:p>
    <w:p>
      <w:pPr>
        <w:pStyle w:val="52"/>
        <w:numPr>
          <w:ilvl w:val="0"/>
          <w:numId w:val="9"/>
        </w:numPr>
        <w:ind w:left="885" w:leftChars="250" w:hanging="360" w:hangingChars="150"/>
        <w:jc w:val="both"/>
        <w:rPr>
          <w:rFonts w:eastAsia="宋体"/>
          <w:color w:val="auto"/>
          <w:sz w:val="24"/>
          <w:szCs w:val="24"/>
          <w:highlight w:val="none"/>
        </w:rPr>
      </w:pPr>
      <w:r>
        <w:rPr>
          <w:rFonts w:eastAsia="宋体"/>
          <w:color w:val="auto"/>
          <w:sz w:val="24"/>
          <w:szCs w:val="24"/>
          <w:highlight w:val="none"/>
        </w:rPr>
        <w:t>开工日期：指经发包人书面发出的开工通知中写明的开工日期。</w:t>
      </w:r>
    </w:p>
    <w:p>
      <w:pPr>
        <w:pStyle w:val="52"/>
        <w:numPr>
          <w:ilvl w:val="0"/>
          <w:numId w:val="9"/>
        </w:numPr>
        <w:ind w:left="885" w:leftChars="250" w:hanging="360" w:hangingChars="150"/>
        <w:jc w:val="both"/>
        <w:rPr>
          <w:rFonts w:eastAsia="宋体"/>
          <w:color w:val="auto"/>
          <w:sz w:val="24"/>
          <w:szCs w:val="24"/>
          <w:highlight w:val="none"/>
        </w:rPr>
      </w:pPr>
      <w:r>
        <w:rPr>
          <w:rFonts w:eastAsia="宋体"/>
          <w:color w:val="auto"/>
          <w:sz w:val="24"/>
          <w:szCs w:val="24"/>
          <w:highlight w:val="none"/>
        </w:rPr>
        <w:t>工期：发包人和承包人在协议书中约定的，按总日历天数（包括法定节假日及公休日）计算的从开工日期至竣工日期的天数。</w:t>
      </w:r>
    </w:p>
    <w:p>
      <w:pPr>
        <w:pStyle w:val="52"/>
        <w:numPr>
          <w:ilvl w:val="0"/>
          <w:numId w:val="9"/>
        </w:numPr>
        <w:ind w:left="885" w:leftChars="250" w:hanging="360" w:hangingChars="150"/>
        <w:jc w:val="both"/>
        <w:rPr>
          <w:rFonts w:eastAsia="宋体"/>
          <w:color w:val="auto"/>
          <w:sz w:val="24"/>
          <w:szCs w:val="24"/>
          <w:highlight w:val="none"/>
        </w:rPr>
      </w:pPr>
      <w:r>
        <w:rPr>
          <w:rFonts w:eastAsia="宋体"/>
          <w:color w:val="auto"/>
          <w:sz w:val="24"/>
          <w:szCs w:val="24"/>
          <w:highlight w:val="none"/>
        </w:rPr>
        <w:t>竣工日期：指发包人和承包人在协议书中约定的本工程项目整体竣工验收合格日期。</w:t>
      </w:r>
    </w:p>
    <w:p>
      <w:pPr>
        <w:pStyle w:val="52"/>
        <w:numPr>
          <w:ilvl w:val="0"/>
          <w:numId w:val="9"/>
        </w:numPr>
        <w:ind w:left="885" w:leftChars="250" w:hanging="360" w:hangingChars="150"/>
        <w:jc w:val="both"/>
        <w:rPr>
          <w:rFonts w:eastAsia="宋体"/>
          <w:color w:val="auto"/>
          <w:sz w:val="24"/>
          <w:szCs w:val="24"/>
          <w:highlight w:val="none"/>
        </w:rPr>
      </w:pPr>
      <w:r>
        <w:rPr>
          <w:rFonts w:eastAsia="宋体"/>
          <w:color w:val="auto"/>
          <w:sz w:val="24"/>
          <w:szCs w:val="24"/>
          <w:highlight w:val="none"/>
        </w:rPr>
        <w:t>天：除特别指明外，指日历天。合同中按天计算时间的，从开始之日计算，期限最后一天的截止时间为当天24:00。</w:t>
      </w:r>
    </w:p>
    <w:p>
      <w:pPr>
        <w:pStyle w:val="4"/>
        <w:numPr>
          <w:ilvl w:val="2"/>
          <w:numId w:val="5"/>
        </w:numPr>
        <w:rPr>
          <w:color w:val="auto"/>
          <w:highlight w:val="none"/>
        </w:rPr>
      </w:pPr>
      <w:bookmarkStart w:id="66" w:name="_Toc24978"/>
      <w:bookmarkStart w:id="67" w:name="_Toc11017"/>
      <w:r>
        <w:rPr>
          <w:color w:val="auto"/>
          <w:highlight w:val="none"/>
        </w:rPr>
        <w:t>合同总价和费用</w:t>
      </w:r>
      <w:bookmarkEnd w:id="66"/>
      <w:bookmarkEnd w:id="67"/>
    </w:p>
    <w:p>
      <w:pPr>
        <w:pStyle w:val="52"/>
        <w:numPr>
          <w:ilvl w:val="0"/>
          <w:numId w:val="10"/>
        </w:numPr>
        <w:ind w:left="885" w:leftChars="250" w:hanging="360" w:hangingChars="150"/>
        <w:jc w:val="both"/>
        <w:rPr>
          <w:rFonts w:eastAsia="宋体"/>
          <w:color w:val="auto"/>
          <w:sz w:val="24"/>
          <w:szCs w:val="24"/>
          <w:highlight w:val="none"/>
        </w:rPr>
      </w:pPr>
      <w:r>
        <w:rPr>
          <w:rFonts w:eastAsia="宋体"/>
          <w:color w:val="auto"/>
          <w:sz w:val="24"/>
          <w:szCs w:val="24"/>
          <w:highlight w:val="none"/>
        </w:rPr>
        <w:t>合同总价：指签订合同时协议书中写明的暂定合同总价，已包括按已标价工程量清单所列工程量和综合单价所计价款、绿色施工安全防护措施费（又称安全文明施工防护措施费，下同）、暂估价及暂列金额。该暂定合同总价可按合同约定调整。承包人须承担为履行此合同在中华人民共和国境内所必须缴纳的一切直接或间接税费及规费，包括但不限于增值税、企业所得税、个人所得税等以及国家及地方政府规定的其它一切税收及费用。此等税费及规费应已包括于合同价格和合同约定的各种款项内以及可能涉及的合同价格调整。</w:t>
      </w:r>
    </w:p>
    <w:p>
      <w:pPr>
        <w:pStyle w:val="52"/>
        <w:numPr>
          <w:ilvl w:val="0"/>
          <w:numId w:val="10"/>
        </w:numPr>
        <w:ind w:left="885" w:leftChars="250" w:hanging="360" w:hangingChars="150"/>
        <w:jc w:val="both"/>
        <w:rPr>
          <w:rFonts w:eastAsia="宋体"/>
          <w:color w:val="auto"/>
          <w:sz w:val="24"/>
          <w:szCs w:val="24"/>
          <w:highlight w:val="none"/>
        </w:rPr>
      </w:pPr>
      <w:r>
        <w:rPr>
          <w:rFonts w:eastAsia="宋体"/>
          <w:color w:val="auto"/>
          <w:sz w:val="24"/>
          <w:szCs w:val="24"/>
          <w:highlight w:val="none"/>
        </w:rPr>
        <w:t>费用：指为履行合同所发生的或将要发生的所有合理开支，包括管理费和应分摊的其他费用，但不包括利润。</w:t>
      </w:r>
    </w:p>
    <w:p>
      <w:pPr>
        <w:pStyle w:val="52"/>
        <w:numPr>
          <w:ilvl w:val="0"/>
          <w:numId w:val="10"/>
        </w:numPr>
        <w:ind w:left="885" w:leftChars="250" w:hanging="360" w:hangingChars="150"/>
        <w:jc w:val="both"/>
        <w:rPr>
          <w:rFonts w:eastAsia="宋体"/>
          <w:color w:val="auto"/>
          <w:sz w:val="24"/>
          <w:szCs w:val="24"/>
          <w:highlight w:val="none"/>
        </w:rPr>
      </w:pPr>
      <w:r>
        <w:rPr>
          <w:rFonts w:eastAsia="宋体"/>
          <w:color w:val="auto"/>
          <w:sz w:val="24"/>
          <w:szCs w:val="24"/>
          <w:highlight w:val="none"/>
        </w:rPr>
        <w:t>暂估价：指发包人在工程量清单中给定的用于支付发生但暂时不能确定价格的材料、设备以及专业工程、服务的金额。</w:t>
      </w:r>
    </w:p>
    <w:p>
      <w:pPr>
        <w:pStyle w:val="52"/>
        <w:numPr>
          <w:ilvl w:val="0"/>
          <w:numId w:val="10"/>
        </w:numPr>
        <w:ind w:left="885" w:leftChars="250" w:hanging="360" w:hangingChars="150"/>
        <w:jc w:val="both"/>
        <w:rPr>
          <w:rFonts w:eastAsia="宋体"/>
          <w:color w:val="auto"/>
          <w:sz w:val="24"/>
          <w:szCs w:val="24"/>
          <w:highlight w:val="none"/>
        </w:rPr>
      </w:pPr>
      <w:r>
        <w:rPr>
          <w:rFonts w:eastAsia="宋体"/>
          <w:color w:val="auto"/>
          <w:sz w:val="24"/>
          <w:szCs w:val="24"/>
          <w:highlight w:val="none"/>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pStyle w:val="52"/>
        <w:numPr>
          <w:ilvl w:val="0"/>
          <w:numId w:val="10"/>
        </w:numPr>
        <w:ind w:left="885" w:leftChars="250" w:hanging="360" w:hangingChars="150"/>
        <w:jc w:val="both"/>
        <w:rPr>
          <w:rFonts w:eastAsia="宋体"/>
          <w:color w:val="auto"/>
          <w:sz w:val="24"/>
          <w:szCs w:val="24"/>
          <w:highlight w:val="none"/>
        </w:rPr>
      </w:pPr>
      <w:r>
        <w:rPr>
          <w:rFonts w:eastAsia="宋体"/>
          <w:color w:val="auto"/>
          <w:sz w:val="24"/>
          <w:szCs w:val="24"/>
          <w:highlight w:val="none"/>
        </w:rPr>
        <w:t>计日工：指不能以实物量度的方法计价,而需以点工计算的零星工作。</w:t>
      </w:r>
    </w:p>
    <w:p>
      <w:pPr>
        <w:pStyle w:val="52"/>
        <w:numPr>
          <w:ilvl w:val="0"/>
          <w:numId w:val="10"/>
        </w:numPr>
        <w:ind w:left="885" w:leftChars="250" w:hanging="360" w:hangingChars="150"/>
        <w:jc w:val="both"/>
        <w:rPr>
          <w:rFonts w:eastAsia="宋体"/>
          <w:color w:val="auto"/>
          <w:sz w:val="24"/>
          <w:szCs w:val="24"/>
          <w:highlight w:val="none"/>
        </w:rPr>
      </w:pPr>
      <w:r>
        <w:rPr>
          <w:rFonts w:eastAsia="宋体"/>
          <w:color w:val="auto"/>
          <w:sz w:val="24"/>
          <w:szCs w:val="24"/>
          <w:highlight w:val="none"/>
        </w:rPr>
        <w:t>质量保证金：指发包人与承包人在合同中约定，从应付的工程款中预留，用以保证承包人在缺陷责任期内对建设工程出现的缺陷进行维修的资金。</w:t>
      </w:r>
    </w:p>
    <w:p>
      <w:pPr>
        <w:pStyle w:val="4"/>
        <w:numPr>
          <w:ilvl w:val="1"/>
          <w:numId w:val="5"/>
        </w:numPr>
        <w:rPr>
          <w:color w:val="auto"/>
          <w:highlight w:val="none"/>
        </w:rPr>
      </w:pPr>
      <w:bookmarkStart w:id="68" w:name="_Toc12894"/>
      <w:bookmarkStart w:id="69" w:name="_Toc44492409"/>
      <w:bookmarkStart w:id="70" w:name="_Toc24492"/>
      <w:bookmarkStart w:id="71" w:name="_Toc6221"/>
      <w:r>
        <w:rPr>
          <w:color w:val="auto"/>
          <w:highlight w:val="none"/>
        </w:rPr>
        <w:t>语言文字</w:t>
      </w:r>
      <w:bookmarkEnd w:id="68"/>
      <w:bookmarkEnd w:id="69"/>
      <w:bookmarkEnd w:id="70"/>
      <w:bookmarkEnd w:id="71"/>
    </w:p>
    <w:p>
      <w:pPr>
        <w:pStyle w:val="4"/>
        <w:numPr>
          <w:ilvl w:val="2"/>
          <w:numId w:val="5"/>
        </w:numPr>
        <w:ind w:left="658" w:hanging="658"/>
        <w:rPr>
          <w:color w:val="auto"/>
          <w:highlight w:val="none"/>
        </w:rPr>
      </w:pPr>
      <w:bookmarkStart w:id="72" w:name="_Toc9290"/>
      <w:r>
        <w:rPr>
          <w:color w:val="auto"/>
          <w:highlight w:val="none"/>
        </w:rPr>
        <w:t>除专用术语外，合同使用的语言文字为中文，必要时专用术语应附有中文注释。若需要使用中文以外的语言文字，由合同当事人双方在专用条款内约定。</w:t>
      </w:r>
      <w:bookmarkEnd w:id="72"/>
    </w:p>
    <w:p>
      <w:pPr>
        <w:pStyle w:val="4"/>
        <w:numPr>
          <w:ilvl w:val="1"/>
          <w:numId w:val="5"/>
        </w:numPr>
        <w:rPr>
          <w:color w:val="auto"/>
          <w:highlight w:val="none"/>
        </w:rPr>
      </w:pPr>
      <w:bookmarkStart w:id="73" w:name="_Toc3291"/>
      <w:bookmarkStart w:id="74" w:name="_Toc1448"/>
      <w:bookmarkStart w:id="75" w:name="_Toc44492410"/>
      <w:bookmarkStart w:id="76" w:name="_Toc6885"/>
      <w:r>
        <w:rPr>
          <w:color w:val="auto"/>
          <w:highlight w:val="none"/>
        </w:rPr>
        <w:t>适用法律、标准及规范</w:t>
      </w:r>
      <w:bookmarkEnd w:id="73"/>
      <w:bookmarkEnd w:id="74"/>
      <w:bookmarkEnd w:id="75"/>
      <w:bookmarkEnd w:id="76"/>
    </w:p>
    <w:p>
      <w:pPr>
        <w:pStyle w:val="4"/>
        <w:numPr>
          <w:ilvl w:val="2"/>
          <w:numId w:val="5"/>
        </w:numPr>
        <w:ind w:left="658" w:hanging="658"/>
        <w:rPr>
          <w:color w:val="auto"/>
          <w:highlight w:val="none"/>
        </w:rPr>
      </w:pPr>
      <w:bookmarkStart w:id="77" w:name="_Toc3962"/>
      <w:r>
        <w:rPr>
          <w:color w:val="auto"/>
          <w:highlight w:val="none"/>
        </w:rPr>
        <w:t>本合同文件适用《中华人民共和国民法典》、《中华人民共和国建筑法》、《建设工程质量管理条例》、《建设工程安全生产管理条例》等国家现行法律、法规和对本工程有管辖权的各级政府颁布的行政法规。需要特别明示的法律、行政法规由合同当事人双方在专用条款中约定。</w:t>
      </w:r>
      <w:bookmarkEnd w:id="77"/>
    </w:p>
    <w:p>
      <w:pPr>
        <w:pStyle w:val="4"/>
        <w:numPr>
          <w:ilvl w:val="2"/>
          <w:numId w:val="5"/>
        </w:numPr>
        <w:ind w:left="658" w:hanging="658"/>
        <w:rPr>
          <w:color w:val="auto"/>
          <w:highlight w:val="none"/>
        </w:rPr>
      </w:pPr>
      <w:bookmarkStart w:id="78" w:name="_Toc28274"/>
      <w:r>
        <w:rPr>
          <w:color w:val="auto"/>
          <w:highlight w:val="none"/>
        </w:rPr>
        <w:t>合同当事人双方在专用条款内约定适用国家标准、规范的名称；没有国家标准、规范但有行业标准、规范的，约定适用行业标准、规范的名称；没有国家和行业标准、规范的，约定适用工程所在地地方标准、规范的名称。发包人要求使用国外标准、规范的，应负责提供中文译本。</w:t>
      </w:r>
      <w:bookmarkEnd w:id="78"/>
    </w:p>
    <w:p>
      <w:pPr>
        <w:pStyle w:val="4"/>
        <w:numPr>
          <w:ilvl w:val="2"/>
          <w:numId w:val="5"/>
        </w:numPr>
        <w:ind w:left="658" w:hanging="658"/>
        <w:rPr>
          <w:color w:val="auto"/>
          <w:highlight w:val="none"/>
        </w:rPr>
      </w:pPr>
      <w:bookmarkStart w:id="79" w:name="_Toc2484"/>
      <w:r>
        <w:rPr>
          <w:color w:val="auto"/>
          <w:highlight w:val="none"/>
        </w:rPr>
        <w:t>除上述第1.3.1条</w:t>
      </w:r>
      <w:r>
        <w:rPr>
          <w:rFonts w:hint="eastAsia"/>
          <w:color w:val="auto"/>
          <w:highlight w:val="none"/>
        </w:rPr>
        <w:t>款</w:t>
      </w:r>
      <w:r>
        <w:rPr>
          <w:color w:val="auto"/>
          <w:highlight w:val="none"/>
        </w:rPr>
        <w:t>所列技术标准及规范外，按专用条款约定本工程采用的其他技术标准及规范由发包人向承包人提出。</w:t>
      </w:r>
      <w:bookmarkEnd w:id="79"/>
    </w:p>
    <w:p>
      <w:pPr>
        <w:pStyle w:val="4"/>
        <w:numPr>
          <w:ilvl w:val="2"/>
          <w:numId w:val="5"/>
        </w:numPr>
        <w:ind w:left="658" w:hanging="658"/>
        <w:rPr>
          <w:color w:val="auto"/>
          <w:highlight w:val="none"/>
        </w:rPr>
      </w:pPr>
      <w:bookmarkStart w:id="80" w:name="_Toc18206"/>
      <w:r>
        <w:rPr>
          <w:color w:val="auto"/>
          <w:highlight w:val="none"/>
        </w:rPr>
        <w:t>标准、规范之间如有差异，则承包人应无条件执行质量要求高的标准，且发包人无需为此额外支付任何费用，除非发包人另有指示。</w:t>
      </w:r>
      <w:bookmarkEnd w:id="80"/>
    </w:p>
    <w:p>
      <w:pPr>
        <w:pStyle w:val="4"/>
        <w:numPr>
          <w:ilvl w:val="1"/>
          <w:numId w:val="5"/>
        </w:numPr>
        <w:rPr>
          <w:color w:val="auto"/>
          <w:highlight w:val="none"/>
        </w:rPr>
      </w:pPr>
      <w:bookmarkStart w:id="81" w:name="_Toc31294"/>
      <w:bookmarkStart w:id="82" w:name="_Toc4365"/>
      <w:bookmarkStart w:id="83" w:name="_Toc6311"/>
      <w:bookmarkStart w:id="84" w:name="_Toc44492411"/>
      <w:r>
        <w:rPr>
          <w:color w:val="auto"/>
          <w:highlight w:val="none"/>
        </w:rPr>
        <w:t>合同文件的优先顺序</w:t>
      </w:r>
      <w:bookmarkEnd w:id="81"/>
      <w:bookmarkEnd w:id="82"/>
      <w:bookmarkEnd w:id="83"/>
      <w:bookmarkEnd w:id="84"/>
    </w:p>
    <w:p>
      <w:pPr>
        <w:pStyle w:val="4"/>
        <w:numPr>
          <w:ilvl w:val="2"/>
          <w:numId w:val="5"/>
        </w:numPr>
        <w:ind w:left="658" w:hanging="658"/>
        <w:rPr>
          <w:color w:val="auto"/>
          <w:highlight w:val="none"/>
        </w:rPr>
      </w:pPr>
      <w:bookmarkStart w:id="85" w:name="_Toc5115"/>
      <w:r>
        <w:rPr>
          <w:color w:val="auto"/>
          <w:highlight w:val="none"/>
        </w:rPr>
        <w:t>下列文件均为合同的组成部分，互为补充和解释。若合同文件中对本工程质量、进度、安全等要求有不一致的，承包人应在施工前向发包人提出，除发包人明确指示承包人适用何种规定外，以对承包人义务、责任要求高者严者为准；其他内容出现不一致的，除本合同另有明文规定外，按以下排列在前者为准，同一顺序文件出现不一致的，以时间在后者为准；经发包人认定承包人的有关承诺比顺序在前的文件对发包人更有利的，就该承诺事项以该特定承诺为准。</w:t>
      </w:r>
      <w:bookmarkEnd w:id="85"/>
    </w:p>
    <w:p>
      <w:pPr>
        <w:pStyle w:val="52"/>
        <w:numPr>
          <w:ilvl w:val="0"/>
          <w:numId w:val="11"/>
        </w:numPr>
        <w:ind w:left="885" w:leftChars="250" w:hanging="360" w:hangingChars="150"/>
        <w:jc w:val="both"/>
        <w:rPr>
          <w:rFonts w:eastAsia="宋体"/>
          <w:color w:val="auto"/>
          <w:sz w:val="24"/>
          <w:szCs w:val="24"/>
          <w:highlight w:val="none"/>
        </w:rPr>
      </w:pPr>
      <w:r>
        <w:rPr>
          <w:rFonts w:eastAsia="宋体"/>
          <w:color w:val="auto"/>
          <w:sz w:val="24"/>
          <w:szCs w:val="24"/>
          <w:highlight w:val="none"/>
        </w:rPr>
        <w:t>本合同的补充合同（若有）；</w:t>
      </w:r>
    </w:p>
    <w:p>
      <w:pPr>
        <w:pStyle w:val="52"/>
        <w:numPr>
          <w:ilvl w:val="0"/>
          <w:numId w:val="11"/>
        </w:numPr>
        <w:ind w:left="885" w:leftChars="250" w:hanging="360" w:hangingChars="150"/>
        <w:jc w:val="both"/>
        <w:rPr>
          <w:rFonts w:eastAsia="宋体"/>
          <w:color w:val="auto"/>
          <w:sz w:val="24"/>
          <w:szCs w:val="24"/>
          <w:highlight w:val="none"/>
        </w:rPr>
      </w:pPr>
      <w:r>
        <w:rPr>
          <w:rFonts w:eastAsia="宋体"/>
          <w:color w:val="auto"/>
          <w:sz w:val="24"/>
          <w:szCs w:val="24"/>
          <w:highlight w:val="none"/>
        </w:rPr>
        <w:t>协议书、本合同专用条款、通用条款及合同附件（若专用条款和通用条款有不一致的，则按照专用条款执行）；</w:t>
      </w:r>
    </w:p>
    <w:p>
      <w:pPr>
        <w:pStyle w:val="52"/>
        <w:numPr>
          <w:ilvl w:val="0"/>
          <w:numId w:val="11"/>
        </w:numPr>
        <w:ind w:left="885" w:leftChars="250" w:hanging="360" w:hangingChars="150"/>
        <w:jc w:val="both"/>
        <w:rPr>
          <w:rFonts w:eastAsia="宋体"/>
          <w:color w:val="auto"/>
          <w:sz w:val="24"/>
          <w:szCs w:val="24"/>
          <w:highlight w:val="none"/>
        </w:rPr>
      </w:pPr>
      <w:r>
        <w:rPr>
          <w:rFonts w:eastAsia="宋体"/>
          <w:color w:val="auto"/>
          <w:sz w:val="24"/>
          <w:szCs w:val="24"/>
          <w:highlight w:val="none"/>
        </w:rPr>
        <w:t>技术标准和要求；</w:t>
      </w:r>
    </w:p>
    <w:p>
      <w:pPr>
        <w:pStyle w:val="52"/>
        <w:numPr>
          <w:ilvl w:val="0"/>
          <w:numId w:val="11"/>
        </w:numPr>
        <w:ind w:left="885" w:leftChars="250" w:hanging="360" w:hangingChars="150"/>
        <w:jc w:val="both"/>
        <w:rPr>
          <w:rFonts w:eastAsia="宋体"/>
          <w:color w:val="auto"/>
          <w:sz w:val="24"/>
          <w:szCs w:val="24"/>
          <w:highlight w:val="none"/>
        </w:rPr>
      </w:pPr>
      <w:r>
        <w:rPr>
          <w:rFonts w:eastAsia="宋体"/>
          <w:color w:val="auto"/>
          <w:sz w:val="24"/>
          <w:szCs w:val="24"/>
          <w:highlight w:val="none"/>
        </w:rPr>
        <w:t>图纸,已标价的工程量及单价清单（综合单价对应的工作内容及项目特征以已标价的工程量及单价清单为准）（另册）；</w:t>
      </w:r>
    </w:p>
    <w:p>
      <w:pPr>
        <w:pStyle w:val="52"/>
        <w:numPr>
          <w:ilvl w:val="0"/>
          <w:numId w:val="11"/>
        </w:numPr>
        <w:ind w:left="885" w:leftChars="250" w:hanging="360" w:hangingChars="150"/>
        <w:jc w:val="both"/>
        <w:rPr>
          <w:rFonts w:eastAsia="宋体"/>
          <w:color w:val="auto"/>
          <w:sz w:val="24"/>
          <w:szCs w:val="24"/>
          <w:highlight w:val="none"/>
        </w:rPr>
      </w:pPr>
      <w:r>
        <w:rPr>
          <w:rFonts w:eastAsia="宋体"/>
          <w:color w:val="auto"/>
          <w:sz w:val="24"/>
          <w:szCs w:val="24"/>
          <w:highlight w:val="none"/>
        </w:rPr>
        <w:t>中标通知书；</w:t>
      </w:r>
    </w:p>
    <w:p>
      <w:pPr>
        <w:pStyle w:val="52"/>
        <w:numPr>
          <w:ilvl w:val="0"/>
          <w:numId w:val="11"/>
        </w:numPr>
        <w:ind w:left="885" w:leftChars="250" w:hanging="360" w:hangingChars="150"/>
        <w:jc w:val="both"/>
        <w:rPr>
          <w:rFonts w:eastAsia="宋体"/>
          <w:color w:val="auto"/>
          <w:sz w:val="24"/>
          <w:szCs w:val="24"/>
          <w:highlight w:val="none"/>
        </w:rPr>
      </w:pPr>
      <w:r>
        <w:rPr>
          <w:rFonts w:eastAsia="宋体"/>
          <w:color w:val="auto"/>
          <w:sz w:val="24"/>
          <w:szCs w:val="24"/>
          <w:highlight w:val="none"/>
        </w:rPr>
        <w:t>招标文件（另册）；</w:t>
      </w:r>
    </w:p>
    <w:p>
      <w:pPr>
        <w:pStyle w:val="52"/>
        <w:numPr>
          <w:ilvl w:val="0"/>
          <w:numId w:val="11"/>
        </w:numPr>
        <w:ind w:left="885" w:leftChars="250" w:hanging="360" w:hangingChars="150"/>
        <w:jc w:val="both"/>
        <w:rPr>
          <w:rFonts w:eastAsia="宋体"/>
          <w:color w:val="auto"/>
          <w:sz w:val="24"/>
          <w:szCs w:val="24"/>
          <w:highlight w:val="none"/>
        </w:rPr>
      </w:pPr>
      <w:r>
        <w:rPr>
          <w:rFonts w:eastAsia="宋体"/>
          <w:color w:val="auto"/>
          <w:sz w:val="24"/>
          <w:szCs w:val="24"/>
          <w:highlight w:val="none"/>
        </w:rPr>
        <w:t>投标文件（另册，以符合招标文件和经招标人书面同意者为准，但投标文件承诺的投标人的义务、责任比招标文件更高更严者，适用该等对招标人有利的承诺）；</w:t>
      </w:r>
    </w:p>
    <w:p>
      <w:pPr>
        <w:pStyle w:val="52"/>
        <w:numPr>
          <w:ilvl w:val="0"/>
          <w:numId w:val="11"/>
        </w:numPr>
        <w:ind w:left="885" w:leftChars="250" w:hanging="360" w:hangingChars="150"/>
        <w:jc w:val="both"/>
        <w:rPr>
          <w:rFonts w:eastAsia="宋体"/>
          <w:color w:val="auto"/>
          <w:sz w:val="24"/>
          <w:szCs w:val="24"/>
          <w:highlight w:val="none"/>
        </w:rPr>
      </w:pPr>
      <w:r>
        <w:rPr>
          <w:rFonts w:eastAsia="宋体"/>
          <w:color w:val="auto"/>
          <w:sz w:val="24"/>
          <w:szCs w:val="24"/>
          <w:highlight w:val="none"/>
        </w:rPr>
        <w:t>经双方认可的其他有关书面文件。</w:t>
      </w:r>
    </w:p>
    <w:p>
      <w:pPr>
        <w:pStyle w:val="4"/>
        <w:numPr>
          <w:ilvl w:val="2"/>
          <w:numId w:val="5"/>
        </w:numPr>
        <w:ind w:left="658" w:hanging="658"/>
        <w:rPr>
          <w:color w:val="auto"/>
          <w:highlight w:val="none"/>
        </w:rPr>
      </w:pPr>
      <w:bookmarkStart w:id="86" w:name="_Toc3547"/>
      <w:r>
        <w:rPr>
          <w:color w:val="auto"/>
          <w:highlight w:val="none"/>
        </w:rPr>
        <w:t>当本合同条款内容或本合同组成文件含糊不清或不相一致，并且不能依据合同约定的解释顺序阐述清楚时，以发包人的解释为准。</w:t>
      </w:r>
      <w:bookmarkEnd w:id="86"/>
    </w:p>
    <w:p>
      <w:pPr>
        <w:pStyle w:val="4"/>
        <w:numPr>
          <w:ilvl w:val="1"/>
          <w:numId w:val="5"/>
        </w:numPr>
        <w:rPr>
          <w:color w:val="auto"/>
          <w:highlight w:val="none"/>
        </w:rPr>
      </w:pPr>
      <w:bookmarkStart w:id="87" w:name="_Toc6825"/>
      <w:bookmarkStart w:id="88" w:name="_Toc27042"/>
      <w:bookmarkStart w:id="89" w:name="_Toc44492412"/>
      <w:bookmarkStart w:id="90" w:name="_Toc8785"/>
      <w:r>
        <w:rPr>
          <w:color w:val="auto"/>
          <w:highlight w:val="none"/>
        </w:rPr>
        <w:t>协议书</w:t>
      </w:r>
      <w:bookmarkEnd w:id="87"/>
      <w:bookmarkEnd w:id="88"/>
      <w:bookmarkEnd w:id="89"/>
      <w:bookmarkEnd w:id="90"/>
    </w:p>
    <w:p>
      <w:pPr>
        <w:pStyle w:val="4"/>
        <w:numPr>
          <w:ilvl w:val="2"/>
          <w:numId w:val="5"/>
        </w:numPr>
        <w:rPr>
          <w:color w:val="auto"/>
          <w:highlight w:val="none"/>
        </w:rPr>
      </w:pPr>
      <w:bookmarkStart w:id="91" w:name="_Toc24068"/>
      <w:r>
        <w:rPr>
          <w:color w:val="auto"/>
          <w:highlight w:val="none"/>
        </w:rPr>
        <w:t>承包人按中标通知书规定的时间与发包人签订协议书。</w:t>
      </w:r>
      <w:bookmarkEnd w:id="91"/>
    </w:p>
    <w:p>
      <w:pPr>
        <w:pStyle w:val="4"/>
        <w:numPr>
          <w:ilvl w:val="1"/>
          <w:numId w:val="5"/>
        </w:numPr>
        <w:rPr>
          <w:color w:val="auto"/>
          <w:highlight w:val="none"/>
        </w:rPr>
      </w:pPr>
      <w:bookmarkStart w:id="92" w:name="_Toc44492413"/>
      <w:bookmarkStart w:id="93" w:name="_Toc16821"/>
      <w:bookmarkStart w:id="94" w:name="_Toc32232"/>
      <w:bookmarkStart w:id="95" w:name="_Toc20209"/>
      <w:r>
        <w:rPr>
          <w:color w:val="auto"/>
          <w:highlight w:val="none"/>
        </w:rPr>
        <w:t>图纸和承包人文件</w:t>
      </w:r>
      <w:bookmarkEnd w:id="92"/>
      <w:bookmarkEnd w:id="93"/>
      <w:bookmarkEnd w:id="94"/>
      <w:bookmarkEnd w:id="95"/>
    </w:p>
    <w:p>
      <w:pPr>
        <w:pStyle w:val="4"/>
        <w:numPr>
          <w:ilvl w:val="2"/>
          <w:numId w:val="5"/>
        </w:numPr>
        <w:rPr>
          <w:color w:val="auto"/>
          <w:highlight w:val="none"/>
        </w:rPr>
      </w:pPr>
      <w:bookmarkStart w:id="96" w:name="_Toc10895"/>
      <w:r>
        <w:rPr>
          <w:color w:val="auto"/>
          <w:highlight w:val="none"/>
        </w:rPr>
        <w:t>发包人提供的图纸</w:t>
      </w:r>
      <w:bookmarkEnd w:id="96"/>
    </w:p>
    <w:p>
      <w:pPr>
        <w:pStyle w:val="52"/>
        <w:numPr>
          <w:ilvl w:val="0"/>
          <w:numId w:val="12"/>
        </w:numPr>
        <w:ind w:left="885" w:leftChars="250" w:hanging="360" w:hangingChars="150"/>
        <w:jc w:val="both"/>
        <w:rPr>
          <w:rFonts w:eastAsia="宋体"/>
          <w:color w:val="auto"/>
          <w:sz w:val="24"/>
          <w:szCs w:val="24"/>
          <w:highlight w:val="none"/>
        </w:rPr>
      </w:pPr>
      <w:r>
        <w:rPr>
          <w:rFonts w:eastAsia="宋体"/>
          <w:color w:val="auto"/>
          <w:sz w:val="24"/>
          <w:szCs w:val="24"/>
          <w:highlight w:val="none"/>
        </w:rPr>
        <w:t>发包人提供的图纸和资料的数量与日期在专用条款中约定。承包人需要增加图纸套数的，发包人可代为复制，复制费用由承包人承担。</w:t>
      </w:r>
    </w:p>
    <w:p>
      <w:pPr>
        <w:pStyle w:val="52"/>
        <w:numPr>
          <w:ilvl w:val="0"/>
          <w:numId w:val="12"/>
        </w:numPr>
        <w:ind w:left="885" w:leftChars="250" w:hanging="360" w:hangingChars="150"/>
        <w:jc w:val="both"/>
        <w:rPr>
          <w:rFonts w:eastAsia="宋体"/>
          <w:color w:val="auto"/>
          <w:sz w:val="24"/>
          <w:szCs w:val="24"/>
          <w:highlight w:val="none"/>
        </w:rPr>
      </w:pPr>
      <w:r>
        <w:rPr>
          <w:rFonts w:eastAsia="宋体"/>
          <w:color w:val="auto"/>
          <w:sz w:val="24"/>
          <w:szCs w:val="24"/>
          <w:highlight w:val="none"/>
        </w:rPr>
        <w:t>施工设计图纸需要修改和(或)补充的，承包人应及时书面报告发包人。发包人收到书面报告确认需要修改和(或)补充后应及时通知设计人予以修改和(或)补充，并在合理的时间内按照合同当事人双方约定的时间和数量提供给承包人。承包人应按照发包人新提供的经设计人修改和(或)补充后的图纸施工。</w:t>
      </w:r>
    </w:p>
    <w:p>
      <w:pPr>
        <w:pStyle w:val="52"/>
        <w:numPr>
          <w:ilvl w:val="0"/>
          <w:numId w:val="12"/>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应在收到图纸后审查相关图纸中可能存在的不符合法律规定、适用标准、施工规范的任何错误、冲突，并在7天内以书面方式报发包人。对承包人已发现或作为有经验承包人应能发现的任何图纸的错漏碰缺，承包人未发现或发现后未及时报告发包人而造成工程造价增加或工期延误的，由承包人赔偿发包人损失，且工期不予延长。</w:t>
      </w:r>
    </w:p>
    <w:p>
      <w:pPr>
        <w:pStyle w:val="52"/>
        <w:numPr>
          <w:ilvl w:val="0"/>
          <w:numId w:val="12"/>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承包人有责任审核与本工程有关所有图纸，并作出协调和相应的配合，不论该等图纸是发自发包人和其它与本工程有关的施工单位。</w:t>
      </w:r>
    </w:p>
    <w:p>
      <w:pPr>
        <w:pStyle w:val="52"/>
        <w:numPr>
          <w:ilvl w:val="0"/>
          <w:numId w:val="12"/>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承包人保证只将图纸用于本合同履行，不得将图纸的任何部分泄漏给其他无关的第三方。除非因履行合同而必需，否则不经发包人同意，承包人不得为第三方复印、使用、或传输上述文件。</w:t>
      </w:r>
    </w:p>
    <w:p>
      <w:pPr>
        <w:pStyle w:val="4"/>
        <w:numPr>
          <w:ilvl w:val="2"/>
          <w:numId w:val="5"/>
        </w:numPr>
        <w:rPr>
          <w:color w:val="auto"/>
          <w:highlight w:val="none"/>
        </w:rPr>
      </w:pPr>
      <w:bookmarkStart w:id="97" w:name="_Toc13654"/>
      <w:r>
        <w:rPr>
          <w:color w:val="auto"/>
          <w:highlight w:val="none"/>
        </w:rPr>
        <w:t>承包人提供的图纸</w:t>
      </w:r>
      <w:bookmarkEnd w:id="97"/>
    </w:p>
    <w:p>
      <w:pPr>
        <w:pStyle w:val="52"/>
        <w:numPr>
          <w:ilvl w:val="0"/>
          <w:numId w:val="13"/>
        </w:numPr>
        <w:ind w:left="885" w:leftChars="250" w:hanging="360" w:hangingChars="150"/>
        <w:jc w:val="both"/>
        <w:rPr>
          <w:rFonts w:eastAsia="宋体"/>
          <w:color w:val="auto"/>
          <w:sz w:val="24"/>
          <w:szCs w:val="24"/>
          <w:highlight w:val="none"/>
        </w:rPr>
      </w:pPr>
      <w:r>
        <w:rPr>
          <w:rFonts w:eastAsia="宋体"/>
          <w:color w:val="auto"/>
          <w:sz w:val="24"/>
          <w:szCs w:val="24"/>
          <w:highlight w:val="none"/>
        </w:rPr>
        <w:t>需要承包人进行深化设计的，承包人应具有相应的设计资质或委托具有相应设计资质的单位进行设计，并对工程设计的质量负责。承包人应当将相关图纸、规范、计算书及其他资料按专用条款约定的时间及数量报发包人批准。</w:t>
      </w:r>
    </w:p>
    <w:p>
      <w:pPr>
        <w:pStyle w:val="52"/>
        <w:numPr>
          <w:ilvl w:val="0"/>
          <w:numId w:val="13"/>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承包人在本工程竣工后14天内，须按照专用条款约定的数量提交完整的竣工图给发包人使用，并配合竣工资料归档相关工作，此作为发包人进行工程竣工结算的前提条件。</w:t>
      </w:r>
    </w:p>
    <w:p>
      <w:pPr>
        <w:pStyle w:val="4"/>
        <w:numPr>
          <w:ilvl w:val="2"/>
          <w:numId w:val="5"/>
        </w:numPr>
        <w:rPr>
          <w:color w:val="auto"/>
          <w:highlight w:val="none"/>
        </w:rPr>
      </w:pPr>
      <w:bookmarkStart w:id="98" w:name="_Toc447"/>
      <w:r>
        <w:rPr>
          <w:color w:val="auto"/>
          <w:highlight w:val="none"/>
        </w:rPr>
        <w:t>发包人逾期提供图纸</w:t>
      </w:r>
      <w:bookmarkEnd w:id="98"/>
    </w:p>
    <w:p>
      <w:pPr>
        <w:pStyle w:val="52"/>
        <w:numPr>
          <w:ilvl w:val="0"/>
          <w:numId w:val="14"/>
        </w:numPr>
        <w:ind w:left="885" w:leftChars="250" w:hanging="360" w:hangingChars="150"/>
        <w:jc w:val="both"/>
        <w:rPr>
          <w:rFonts w:eastAsia="宋体"/>
          <w:color w:val="auto"/>
          <w:sz w:val="24"/>
          <w:szCs w:val="24"/>
          <w:highlight w:val="none"/>
        </w:rPr>
      </w:pPr>
      <w:r>
        <w:rPr>
          <w:rFonts w:eastAsia="宋体"/>
          <w:color w:val="auto"/>
          <w:sz w:val="24"/>
          <w:szCs w:val="24"/>
          <w:highlight w:val="none"/>
        </w:rPr>
        <w:t>如果发包人未能按照本合同1.6.1项约定的图纸供应计划向承包人提供合同图纸，并且承包人认为这种行为将要对工程进展造成影响，承包人应就此以书面形式通知发包人，同时说明所缺图纸的具体细节并解释该图纸的延误将如何影响工程的进展以及为避免这种影响该图纸必须提供的最晚时间。如果在该最晚时间以前，发包人仍然未能向承包人提供所需的图纸，则承包人应就此进一步通知发包人。如果确实影响了关键线路的施工，双方进行协商。</w:t>
      </w:r>
    </w:p>
    <w:p>
      <w:pPr>
        <w:pStyle w:val="52"/>
        <w:numPr>
          <w:ilvl w:val="0"/>
          <w:numId w:val="14"/>
        </w:numPr>
        <w:ind w:left="885" w:leftChars="250" w:hanging="360" w:hangingChars="150"/>
        <w:jc w:val="both"/>
        <w:rPr>
          <w:rFonts w:eastAsia="宋体"/>
          <w:color w:val="auto"/>
          <w:sz w:val="24"/>
          <w:szCs w:val="24"/>
          <w:highlight w:val="none"/>
        </w:rPr>
      </w:pPr>
      <w:r>
        <w:rPr>
          <w:rFonts w:eastAsia="宋体"/>
          <w:color w:val="auto"/>
          <w:sz w:val="24"/>
          <w:szCs w:val="24"/>
          <w:highlight w:val="none"/>
        </w:rPr>
        <w:t>如果发包人之所以不能按约定提供图纸，是因为承包人未能提交合同约定应由其提交的图纸或提交的图纸有误，或是因为承包人的其他错误、拖延或其它违约所致，承包人无权要求发包人赔偿损失及顺延工期。</w:t>
      </w:r>
    </w:p>
    <w:p>
      <w:pPr>
        <w:pStyle w:val="52"/>
        <w:numPr>
          <w:ilvl w:val="0"/>
          <w:numId w:val="14"/>
        </w:numPr>
        <w:ind w:left="885" w:leftChars="250" w:hanging="360" w:hangingChars="150"/>
        <w:jc w:val="both"/>
        <w:rPr>
          <w:rFonts w:eastAsia="宋体"/>
          <w:color w:val="auto"/>
          <w:sz w:val="24"/>
          <w:szCs w:val="24"/>
          <w:highlight w:val="none"/>
        </w:rPr>
      </w:pPr>
      <w:r>
        <w:rPr>
          <w:rFonts w:eastAsia="宋体"/>
          <w:color w:val="auto"/>
          <w:sz w:val="24"/>
          <w:szCs w:val="24"/>
          <w:highlight w:val="none"/>
        </w:rPr>
        <w:t>如果承包人未能按本项上述约定通知发包人，承包人无权要求延长工期。</w:t>
      </w:r>
    </w:p>
    <w:p>
      <w:pPr>
        <w:pStyle w:val="4"/>
        <w:numPr>
          <w:ilvl w:val="2"/>
          <w:numId w:val="5"/>
        </w:numPr>
        <w:rPr>
          <w:color w:val="auto"/>
          <w:highlight w:val="none"/>
        </w:rPr>
      </w:pPr>
      <w:bookmarkStart w:id="99" w:name="_Toc14710"/>
      <w:r>
        <w:rPr>
          <w:color w:val="auto"/>
          <w:highlight w:val="none"/>
        </w:rPr>
        <w:t>图纸和承包人文件的保管</w:t>
      </w:r>
      <w:bookmarkEnd w:id="99"/>
    </w:p>
    <w:p>
      <w:pPr>
        <w:pStyle w:val="52"/>
        <w:numPr>
          <w:ilvl w:val="0"/>
          <w:numId w:val="15"/>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须把一整套的合同文件包括图纸、规范和已标价的工程量清单连同工程开始后签发的一切指示、附加图纸、补充工料规范、资料表和细节存放在工地，以便发包人及其工程顾问可随时查阅参考。不论本合同因何种原因中止或终止，承包人均应将前述所有资料无条件交付予发包人。此作为发包人进行工程竣工结算的前提条件。</w:t>
      </w:r>
    </w:p>
    <w:p>
      <w:pPr>
        <w:pStyle w:val="52"/>
        <w:numPr>
          <w:ilvl w:val="0"/>
          <w:numId w:val="15"/>
        </w:numPr>
        <w:ind w:left="885" w:leftChars="250" w:hanging="360" w:hangingChars="150"/>
        <w:jc w:val="both"/>
        <w:rPr>
          <w:rFonts w:eastAsia="宋体"/>
          <w:color w:val="auto"/>
          <w:sz w:val="24"/>
          <w:szCs w:val="24"/>
          <w:highlight w:val="none"/>
        </w:rPr>
      </w:pPr>
      <w:r>
        <w:rPr>
          <w:rFonts w:eastAsia="宋体"/>
          <w:color w:val="auto"/>
          <w:sz w:val="24"/>
          <w:szCs w:val="24"/>
          <w:highlight w:val="none"/>
        </w:rPr>
        <w:t>不论是发包人负责提供的还是承包人自费复印或自行深化设计的图纸，其知识产权都属于发包人所有，承包人不得将图纸用于任何本工程施工以外的目的。</w:t>
      </w:r>
    </w:p>
    <w:p>
      <w:pPr>
        <w:pStyle w:val="52"/>
        <w:numPr>
          <w:ilvl w:val="0"/>
          <w:numId w:val="15"/>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作为一个具备相应专业资质及丰富施工经验的承包商，在查阅合同文件或在本工程实施过程中，发现有关的工程设计、工程技术要求、施工图纸或其他资料中有任何差错、遗漏或缺陷，应在施工前不少于三十（30）天前向发包人提出书面意见。如承包人作为一个专业的有经验的承包商本应发现上述差错、遗漏或缺陷而未发现，或已发现却隐瞒不报，并继续施工，因而导致的质量缺陷、返工修复、工期延误、以及发包人、其他承包人和其他人的经济损失与工期延误等责任，由此造成的装修工程损失由承包人承担。如承包人已在上述时间内向发包人提出发现差错、遗漏或缺陷的书面意见，而发包人仍决定按原要求施工的，承包人应予以执行。</w:t>
      </w:r>
    </w:p>
    <w:p>
      <w:pPr>
        <w:pStyle w:val="4"/>
        <w:numPr>
          <w:ilvl w:val="2"/>
          <w:numId w:val="5"/>
        </w:numPr>
        <w:rPr>
          <w:color w:val="auto"/>
          <w:highlight w:val="none"/>
        </w:rPr>
      </w:pPr>
      <w:bookmarkStart w:id="100" w:name="_Toc20970"/>
      <w:r>
        <w:rPr>
          <w:color w:val="auto"/>
          <w:highlight w:val="none"/>
        </w:rPr>
        <w:t>施工方案</w:t>
      </w:r>
      <w:bookmarkEnd w:id="100"/>
      <w:r>
        <w:rPr>
          <w:color w:val="auto"/>
          <w:highlight w:val="none"/>
        </w:rPr>
        <w:t xml:space="preserve"> </w:t>
      </w:r>
    </w:p>
    <w:p>
      <w:pPr>
        <w:pStyle w:val="52"/>
        <w:numPr>
          <w:ilvl w:val="0"/>
          <w:numId w:val="16"/>
        </w:numPr>
        <w:ind w:left="885" w:leftChars="250" w:hanging="360" w:hangingChars="150"/>
        <w:jc w:val="both"/>
        <w:rPr>
          <w:rFonts w:eastAsia="宋体"/>
          <w:color w:val="auto"/>
          <w:sz w:val="24"/>
          <w:szCs w:val="24"/>
          <w:highlight w:val="none"/>
        </w:rPr>
      </w:pPr>
      <w:r>
        <w:rPr>
          <w:rFonts w:eastAsia="宋体"/>
          <w:color w:val="auto"/>
          <w:sz w:val="24"/>
          <w:szCs w:val="24"/>
          <w:highlight w:val="none"/>
        </w:rPr>
        <w:t>施工方案由承包人负责编制</w:t>
      </w:r>
      <w:r>
        <w:rPr>
          <w:rFonts w:hint="eastAsia" w:eastAsia="宋体"/>
          <w:color w:val="auto"/>
          <w:sz w:val="24"/>
          <w:szCs w:val="24"/>
          <w:highlight w:val="none"/>
          <w:lang w:val="en-US" w:eastAsia="zh-CN"/>
        </w:rPr>
        <w:t>并经</w:t>
      </w:r>
      <w:r>
        <w:rPr>
          <w:rFonts w:eastAsia="宋体"/>
          <w:color w:val="auto"/>
          <w:sz w:val="24"/>
          <w:szCs w:val="24"/>
          <w:highlight w:val="none"/>
        </w:rPr>
        <w:t>发包人书面确认后方可实施。</w:t>
      </w:r>
    </w:p>
    <w:p>
      <w:pPr>
        <w:pStyle w:val="52"/>
        <w:numPr>
          <w:ilvl w:val="0"/>
          <w:numId w:val="16"/>
        </w:numPr>
        <w:ind w:left="885" w:leftChars="250" w:hanging="360" w:hangingChars="150"/>
        <w:jc w:val="both"/>
        <w:rPr>
          <w:rFonts w:eastAsia="宋体"/>
          <w:color w:val="auto"/>
          <w:sz w:val="24"/>
          <w:szCs w:val="24"/>
          <w:highlight w:val="none"/>
        </w:rPr>
      </w:pPr>
      <w:r>
        <w:rPr>
          <w:rFonts w:eastAsia="宋体"/>
          <w:color w:val="auto"/>
          <w:sz w:val="24"/>
          <w:szCs w:val="24"/>
          <w:highlight w:val="none"/>
        </w:rPr>
        <w:t>符合以下特点的工作需要编制施工方案：危险性较大、工序较多、工作时间长、涉及多个单位配合、需要协调完成、其他需要报发包人的工作。</w:t>
      </w:r>
    </w:p>
    <w:p>
      <w:pPr>
        <w:pStyle w:val="52"/>
        <w:numPr>
          <w:ilvl w:val="0"/>
          <w:numId w:val="16"/>
        </w:numPr>
        <w:ind w:left="885" w:leftChars="250" w:hanging="360" w:hangingChars="150"/>
        <w:jc w:val="both"/>
        <w:rPr>
          <w:rFonts w:eastAsia="宋体"/>
          <w:color w:val="auto"/>
          <w:sz w:val="24"/>
          <w:szCs w:val="24"/>
          <w:highlight w:val="none"/>
        </w:rPr>
      </w:pPr>
      <w:r>
        <w:rPr>
          <w:rFonts w:eastAsia="宋体"/>
          <w:color w:val="auto"/>
          <w:sz w:val="24"/>
          <w:szCs w:val="24"/>
          <w:highlight w:val="none"/>
        </w:rPr>
        <w:t>施工方案不作为本合同工程变更、价格调整、工程量增减、计价计量方式调整、技术标准调整等的依据。</w:t>
      </w:r>
    </w:p>
    <w:p>
      <w:pPr>
        <w:pStyle w:val="4"/>
        <w:numPr>
          <w:ilvl w:val="1"/>
          <w:numId w:val="5"/>
        </w:numPr>
        <w:rPr>
          <w:bCs/>
          <w:color w:val="auto"/>
          <w:highlight w:val="none"/>
        </w:rPr>
      </w:pPr>
      <w:r>
        <w:rPr>
          <w:bCs/>
          <w:color w:val="auto"/>
          <w:highlight w:val="none"/>
        </w:rPr>
        <w:t>转让</w:t>
      </w:r>
    </w:p>
    <w:p>
      <w:pPr>
        <w:pStyle w:val="4"/>
        <w:numPr>
          <w:ilvl w:val="2"/>
          <w:numId w:val="5"/>
        </w:numPr>
        <w:ind w:left="658" w:hanging="658"/>
        <w:rPr>
          <w:bCs/>
          <w:color w:val="auto"/>
          <w:highlight w:val="none"/>
        </w:rPr>
      </w:pPr>
      <w:r>
        <w:rPr>
          <w:bCs/>
          <w:color w:val="auto"/>
          <w:highlight w:val="none"/>
        </w:rPr>
        <w:t>除合同另有约定外，未经发包人同意，承包人不得将合同权利全部或部分转让给第三人，也不得全部或部分转移合同义务。</w:t>
      </w:r>
    </w:p>
    <w:p>
      <w:pPr>
        <w:pStyle w:val="4"/>
        <w:numPr>
          <w:ilvl w:val="1"/>
          <w:numId w:val="5"/>
        </w:numPr>
        <w:rPr>
          <w:color w:val="auto"/>
          <w:highlight w:val="none"/>
        </w:rPr>
      </w:pPr>
      <w:r>
        <w:rPr>
          <w:color w:val="auto"/>
          <w:highlight w:val="none"/>
        </w:rPr>
        <w:t>严禁贿赂</w:t>
      </w:r>
    </w:p>
    <w:p>
      <w:pPr>
        <w:pStyle w:val="4"/>
        <w:numPr>
          <w:ilvl w:val="2"/>
          <w:numId w:val="5"/>
        </w:numPr>
        <w:ind w:left="658" w:hanging="658"/>
        <w:rPr>
          <w:color w:val="auto"/>
          <w:highlight w:val="none"/>
        </w:rPr>
      </w:pPr>
      <w:r>
        <w:rPr>
          <w:color w:val="auto"/>
          <w:highlight w:val="none"/>
        </w:rPr>
        <w:t>合同当事人双方不得以贿赂或变相贿赂的方式，谋取不当利益或损害对方权益。因贿赂造成对方损失的，行为人应赔偿损失，并承担相应的法律责任。</w:t>
      </w:r>
    </w:p>
    <w:p>
      <w:pPr>
        <w:pStyle w:val="4"/>
        <w:numPr>
          <w:ilvl w:val="1"/>
          <w:numId w:val="5"/>
        </w:numPr>
        <w:rPr>
          <w:color w:val="auto"/>
          <w:highlight w:val="none"/>
        </w:rPr>
      </w:pPr>
      <w:r>
        <w:rPr>
          <w:color w:val="auto"/>
          <w:highlight w:val="none"/>
        </w:rPr>
        <w:t>文物和地下障碍物</w:t>
      </w:r>
    </w:p>
    <w:p>
      <w:pPr>
        <w:pStyle w:val="4"/>
        <w:numPr>
          <w:ilvl w:val="2"/>
          <w:numId w:val="5"/>
        </w:numPr>
        <w:ind w:left="658" w:hanging="658"/>
        <w:rPr>
          <w:color w:val="auto"/>
          <w:highlight w:val="none"/>
        </w:rPr>
      </w:pPr>
      <w:r>
        <w:rPr>
          <w:color w:val="auto"/>
          <w:highlight w:val="none"/>
        </w:rPr>
        <w:t>在施工中发现古墓、古建筑遗址等文物及化石或其他有考古、地质研究等价值的物品时，承包人应立即保护好现场并于4小时内以书面形式通知发包人，发包人应于收到书面通知后24小时内报告当地文物管理部门，合同当事人双方按文物管理部门的要求采取妥善保护措施。由此导致工期延误超过7天的，发包人顺延</w:t>
      </w:r>
      <w:r>
        <w:rPr>
          <w:rFonts w:hint="default" w:cs="Times New Roman"/>
          <w:color w:val="auto"/>
          <w:highlight w:val="none"/>
        </w:rPr>
        <w:t>超过7天（不含本数）所</w:t>
      </w:r>
      <w:r>
        <w:rPr>
          <w:color w:val="auto"/>
          <w:highlight w:val="none"/>
        </w:rPr>
        <w:t>延误的工期。如发现后隐瞒不报，致使文物遭受破坏，责任者依法承担相应责任。</w:t>
      </w:r>
    </w:p>
    <w:p>
      <w:pPr>
        <w:pStyle w:val="52"/>
        <w:numPr>
          <w:ilvl w:val="255"/>
          <w:numId w:val="0"/>
        </w:numPr>
        <w:ind w:left="420" w:leftChars="200"/>
        <w:jc w:val="both"/>
        <w:rPr>
          <w:rFonts w:eastAsia="宋体"/>
          <w:color w:val="auto"/>
          <w:sz w:val="24"/>
          <w:szCs w:val="24"/>
          <w:highlight w:val="none"/>
        </w:rPr>
      </w:pPr>
    </w:p>
    <w:p>
      <w:pPr>
        <w:pStyle w:val="4"/>
        <w:numPr>
          <w:ilvl w:val="2"/>
          <w:numId w:val="5"/>
        </w:numPr>
        <w:ind w:left="658" w:hanging="658"/>
        <w:rPr>
          <w:color w:val="auto"/>
          <w:highlight w:val="none"/>
        </w:rPr>
      </w:pPr>
      <w:bookmarkStart w:id="101" w:name="_Toc7880"/>
      <w:r>
        <w:rPr>
          <w:color w:val="auto"/>
          <w:highlight w:val="none"/>
        </w:rPr>
        <w:t>施工中发现影响施工的地下障碍物时，承包人应于8小时内以书面形式通知发包人，同时提出处置方案，发包人收到处置方案后24小时内予以认可或提出修正方案。发包人顺延延误的工期。所发现的地下障碍物有归属单位时，发包人应报请有关部门协同处置。</w:t>
      </w:r>
      <w:bookmarkEnd w:id="101"/>
    </w:p>
    <w:p>
      <w:pPr>
        <w:pStyle w:val="4"/>
        <w:numPr>
          <w:ilvl w:val="1"/>
          <w:numId w:val="5"/>
        </w:numPr>
        <w:rPr>
          <w:color w:val="auto"/>
          <w:highlight w:val="none"/>
        </w:rPr>
      </w:pPr>
      <w:bookmarkStart w:id="102" w:name="_Toc24791"/>
      <w:bookmarkStart w:id="103" w:name="_Toc21868"/>
      <w:bookmarkStart w:id="104" w:name="_Toc15474"/>
      <w:bookmarkStart w:id="105" w:name="_Toc44492417"/>
      <w:r>
        <w:rPr>
          <w:color w:val="auto"/>
          <w:highlight w:val="none"/>
        </w:rPr>
        <w:t>专利技术及特殊工艺</w:t>
      </w:r>
      <w:bookmarkEnd w:id="102"/>
      <w:bookmarkEnd w:id="103"/>
      <w:bookmarkEnd w:id="104"/>
      <w:bookmarkEnd w:id="105"/>
    </w:p>
    <w:p>
      <w:pPr>
        <w:pStyle w:val="4"/>
        <w:numPr>
          <w:ilvl w:val="2"/>
          <w:numId w:val="5"/>
        </w:numPr>
        <w:ind w:left="782" w:hanging="782"/>
        <w:rPr>
          <w:color w:val="auto"/>
          <w:highlight w:val="none"/>
        </w:rPr>
      </w:pPr>
      <w:bookmarkStart w:id="106" w:name="_Toc13188"/>
      <w:r>
        <w:rPr>
          <w:color w:val="auto"/>
          <w:highlight w:val="none"/>
        </w:rPr>
        <w:t>承包人提出使用专利技术或特殊工艺，应取得发包人认可，承包人负责办理申报手续并承担有关费用。</w:t>
      </w:r>
      <w:bookmarkEnd w:id="106"/>
    </w:p>
    <w:p>
      <w:pPr>
        <w:pStyle w:val="4"/>
        <w:numPr>
          <w:ilvl w:val="2"/>
          <w:numId w:val="5"/>
        </w:numPr>
        <w:ind w:left="782" w:hanging="782"/>
        <w:rPr>
          <w:color w:val="auto"/>
          <w:highlight w:val="none"/>
        </w:rPr>
      </w:pPr>
      <w:bookmarkStart w:id="107" w:name="_Toc24797"/>
      <w:r>
        <w:rPr>
          <w:color w:val="auto"/>
          <w:highlight w:val="none"/>
        </w:rPr>
        <w:t>承包人保证为本工程项目所提交的全部设计文件或产品、设备等未侵犯第三方的知识产权。若承包人所提供的设计文件或产品、设备等涉嫌侵犯第三方知识产权或其他权利的，承包人必须自费负责妥善解决，使发包人免遭任何损失，免于承担任何责任；若发包人被牵连诉讼或仲裁，法院或仲裁机构裁判发包人败诉，或任何调解、和解协议规定发包人需要向第三方支付赔偿或费用及/或承担其他法律责任的，应由承包人全额赔偿及/或承担其他法律责任；承包人须在法院或仲裁机构生效法律文书或该等协议书指定的支付期限到期前，按该等文件指定的款项先行赔付给发包人。</w:t>
      </w:r>
      <w:bookmarkEnd w:id="107"/>
    </w:p>
    <w:p>
      <w:pPr>
        <w:pStyle w:val="4"/>
        <w:numPr>
          <w:ilvl w:val="1"/>
          <w:numId w:val="5"/>
        </w:numPr>
        <w:rPr>
          <w:color w:val="auto"/>
          <w:highlight w:val="none"/>
        </w:rPr>
      </w:pPr>
      <w:bookmarkStart w:id="108" w:name="_Toc44492418"/>
      <w:bookmarkStart w:id="109" w:name="_Toc22758"/>
      <w:bookmarkStart w:id="110" w:name="_Toc6747"/>
      <w:bookmarkStart w:id="111" w:name="_Toc5448"/>
      <w:r>
        <w:rPr>
          <w:color w:val="auto"/>
          <w:highlight w:val="none"/>
        </w:rPr>
        <w:t>图纸和文件的保密</w:t>
      </w:r>
      <w:bookmarkEnd w:id="108"/>
      <w:bookmarkEnd w:id="109"/>
      <w:bookmarkEnd w:id="110"/>
      <w:bookmarkEnd w:id="111"/>
    </w:p>
    <w:p>
      <w:pPr>
        <w:pStyle w:val="4"/>
        <w:numPr>
          <w:ilvl w:val="2"/>
          <w:numId w:val="5"/>
        </w:numPr>
        <w:ind w:left="771" w:hanging="771"/>
        <w:rPr>
          <w:color w:val="auto"/>
          <w:highlight w:val="none"/>
        </w:rPr>
      </w:pPr>
      <w:bookmarkStart w:id="112" w:name="_Toc24572"/>
      <w:r>
        <w:rPr>
          <w:color w:val="auto"/>
          <w:highlight w:val="none"/>
        </w:rPr>
        <w:t>用于本合同的图纸和文件，未经发包人同意，承包人不得为合同以外的目的泄露给他人或公开发表与引用。</w:t>
      </w:r>
      <w:bookmarkEnd w:id="112"/>
    </w:p>
    <w:p>
      <w:pPr>
        <w:pStyle w:val="4"/>
        <w:numPr>
          <w:ilvl w:val="2"/>
          <w:numId w:val="5"/>
        </w:numPr>
        <w:ind w:left="771" w:hanging="771"/>
        <w:rPr>
          <w:color w:val="auto"/>
          <w:highlight w:val="none"/>
        </w:rPr>
      </w:pPr>
      <w:bookmarkStart w:id="113" w:name="_Toc28376"/>
      <w:r>
        <w:rPr>
          <w:color w:val="auto"/>
          <w:highlight w:val="none"/>
        </w:rPr>
        <w:t>承包人提供的文件，未经承包人同意，发包人不得为合同以外的目的泄露给他人或公开发表与引用。</w:t>
      </w:r>
      <w:bookmarkEnd w:id="113"/>
    </w:p>
    <w:p>
      <w:pPr>
        <w:pStyle w:val="4"/>
        <w:numPr>
          <w:ilvl w:val="2"/>
          <w:numId w:val="5"/>
        </w:numPr>
        <w:ind w:left="771" w:hanging="771"/>
        <w:rPr>
          <w:color w:val="auto"/>
          <w:highlight w:val="none"/>
        </w:rPr>
      </w:pPr>
      <w:bookmarkStart w:id="114" w:name="_Toc16603"/>
      <w:r>
        <w:rPr>
          <w:color w:val="auto"/>
          <w:highlight w:val="none"/>
        </w:rPr>
        <w:t>承包人应履行保密义务，未经发包人同意，不得翻印、外传所有有关工程的资料包括文件、图纸、样板等，不得将本工程图纸及发包人提供的样板转给第三</w:t>
      </w:r>
      <w:r>
        <w:rPr>
          <w:rFonts w:hint="eastAsia"/>
          <w:color w:val="auto"/>
          <w:highlight w:val="none"/>
        </w:rPr>
        <w:t>人。</w:t>
      </w:r>
    </w:p>
    <w:bookmarkEnd w:id="114"/>
    <w:p>
      <w:pPr>
        <w:pStyle w:val="4"/>
        <w:numPr>
          <w:ilvl w:val="0"/>
          <w:numId w:val="5"/>
        </w:numPr>
        <w:rPr>
          <w:color w:val="auto"/>
          <w:highlight w:val="none"/>
        </w:rPr>
      </w:pPr>
      <w:bookmarkStart w:id="115" w:name="_Toc27800"/>
      <w:bookmarkStart w:id="116" w:name="_Toc5803"/>
      <w:bookmarkStart w:id="117" w:name="_Toc407355995"/>
      <w:bookmarkStart w:id="118" w:name="_Toc9731"/>
      <w:bookmarkStart w:id="119" w:name="_Toc44492419"/>
      <w:bookmarkStart w:id="120" w:name="_Toc7917"/>
      <w:bookmarkStart w:id="121" w:name="_Toc47512232"/>
      <w:bookmarkStart w:id="122" w:name="_Toc44227983"/>
      <w:bookmarkStart w:id="123" w:name="_Toc20032"/>
      <w:bookmarkStart w:id="124" w:name="_Toc2309"/>
      <w:bookmarkStart w:id="125" w:name="_发包人"/>
      <w:r>
        <w:rPr>
          <w:color w:val="auto"/>
          <w:highlight w:val="none"/>
        </w:rPr>
        <w:t>发包人</w:t>
      </w:r>
      <w:bookmarkEnd w:id="115"/>
      <w:bookmarkEnd w:id="116"/>
      <w:bookmarkEnd w:id="117"/>
      <w:bookmarkEnd w:id="118"/>
      <w:bookmarkEnd w:id="119"/>
      <w:bookmarkEnd w:id="120"/>
      <w:bookmarkEnd w:id="121"/>
      <w:bookmarkEnd w:id="122"/>
      <w:bookmarkEnd w:id="123"/>
      <w:bookmarkEnd w:id="124"/>
    </w:p>
    <w:bookmarkEnd w:id="125"/>
    <w:p>
      <w:pPr>
        <w:pStyle w:val="4"/>
        <w:numPr>
          <w:ilvl w:val="1"/>
          <w:numId w:val="5"/>
        </w:numPr>
        <w:rPr>
          <w:color w:val="auto"/>
          <w:highlight w:val="none"/>
        </w:rPr>
      </w:pPr>
      <w:bookmarkStart w:id="126" w:name="_Toc24119"/>
      <w:bookmarkStart w:id="127" w:name="_Toc12683"/>
      <w:bookmarkStart w:id="128" w:name="_Toc17930"/>
      <w:bookmarkStart w:id="129" w:name="_Toc44492420"/>
      <w:r>
        <w:rPr>
          <w:color w:val="auto"/>
          <w:highlight w:val="none"/>
        </w:rPr>
        <w:t>发包人代表</w:t>
      </w:r>
      <w:bookmarkEnd w:id="126"/>
      <w:bookmarkEnd w:id="127"/>
      <w:bookmarkEnd w:id="128"/>
      <w:bookmarkEnd w:id="129"/>
    </w:p>
    <w:p>
      <w:pPr>
        <w:pStyle w:val="4"/>
        <w:numPr>
          <w:ilvl w:val="2"/>
          <w:numId w:val="5"/>
        </w:numPr>
        <w:ind w:left="658" w:hanging="658"/>
        <w:rPr>
          <w:color w:val="auto"/>
          <w:highlight w:val="none"/>
        </w:rPr>
      </w:pPr>
      <w:bookmarkStart w:id="130" w:name="_Toc32399"/>
      <w:r>
        <w:rPr>
          <w:color w:val="auto"/>
          <w:highlight w:val="none"/>
        </w:rPr>
        <w:t>发包人应任命发包人代表负责处理施工现场与发包人有关的具体事宜。发包人代表在发包人授权的权限内的行为由发包人承担法律责任。发包人代表姓名、职务在专用条款内写明。</w:t>
      </w:r>
      <w:bookmarkEnd w:id="130"/>
    </w:p>
    <w:p>
      <w:pPr>
        <w:pStyle w:val="4"/>
        <w:numPr>
          <w:ilvl w:val="2"/>
          <w:numId w:val="5"/>
        </w:numPr>
        <w:ind w:left="658" w:hanging="658"/>
        <w:rPr>
          <w:color w:val="auto"/>
          <w:highlight w:val="none"/>
        </w:rPr>
      </w:pPr>
      <w:bookmarkStart w:id="131" w:name="_Toc706"/>
      <w:r>
        <w:rPr>
          <w:color w:val="auto"/>
          <w:highlight w:val="none"/>
        </w:rPr>
        <w:t>发包人代表的权限为：负责工程建设的内外部关系协调，对工程建设进行监督管理。发包人赋予的其他权限在专用条款中写明。</w:t>
      </w:r>
      <w:bookmarkEnd w:id="131"/>
    </w:p>
    <w:p>
      <w:pPr>
        <w:pStyle w:val="4"/>
        <w:numPr>
          <w:ilvl w:val="2"/>
          <w:numId w:val="5"/>
        </w:numPr>
        <w:ind w:left="658" w:hanging="658"/>
        <w:rPr>
          <w:color w:val="auto"/>
          <w:highlight w:val="none"/>
        </w:rPr>
      </w:pPr>
      <w:bookmarkStart w:id="132" w:name="_Toc1195"/>
      <w:r>
        <w:rPr>
          <w:color w:val="auto"/>
          <w:highlight w:val="none"/>
        </w:rPr>
        <w:t>对本合同内容的任何修订、增加或减少项目、款项的支付、设计变更与工程签证等，需要另外获得发包人的授权，并加盖发包人公章方可生效。在任何情形下，发包人代表都没有修改本合同的权利。承包人确知，发包人代表签署的可能修改合同条款的任何文件均无效。</w:t>
      </w:r>
      <w:bookmarkEnd w:id="132"/>
    </w:p>
    <w:p>
      <w:pPr>
        <w:pStyle w:val="4"/>
        <w:numPr>
          <w:ilvl w:val="2"/>
          <w:numId w:val="5"/>
        </w:numPr>
        <w:ind w:left="658" w:hanging="658"/>
        <w:rPr>
          <w:color w:val="auto"/>
          <w:highlight w:val="none"/>
        </w:rPr>
      </w:pPr>
      <w:bookmarkStart w:id="133" w:name="_Toc22744"/>
      <w:r>
        <w:rPr>
          <w:color w:val="auto"/>
          <w:highlight w:val="none"/>
        </w:rPr>
        <w:t>如更换发包人代表，发包人应以书面形式通知承包人，后任继续行使合同文件约定的前任的职权，履行前任的义务。</w:t>
      </w:r>
      <w:bookmarkEnd w:id="133"/>
    </w:p>
    <w:p>
      <w:pPr>
        <w:pStyle w:val="4"/>
        <w:numPr>
          <w:ilvl w:val="2"/>
          <w:numId w:val="5"/>
        </w:numPr>
        <w:ind w:left="658" w:hanging="658"/>
        <w:rPr>
          <w:color w:val="auto"/>
          <w:highlight w:val="none"/>
        </w:rPr>
      </w:pPr>
      <w:bookmarkStart w:id="134" w:name="_Toc32329"/>
      <w:r>
        <w:rPr>
          <w:color w:val="auto"/>
          <w:highlight w:val="none"/>
        </w:rPr>
        <w:t>发包人代表可委派代表行使合同约定给自己的职权，并可在必要时撤回，委派和撤回均应以书面形式通知承包人。</w:t>
      </w:r>
      <w:bookmarkEnd w:id="134"/>
    </w:p>
    <w:p>
      <w:pPr>
        <w:pStyle w:val="4"/>
        <w:numPr>
          <w:ilvl w:val="1"/>
          <w:numId w:val="5"/>
        </w:numPr>
        <w:rPr>
          <w:color w:val="auto"/>
          <w:highlight w:val="none"/>
        </w:rPr>
      </w:pPr>
      <w:bookmarkStart w:id="135" w:name="_Toc22783"/>
      <w:bookmarkStart w:id="136" w:name="_Toc26489"/>
      <w:bookmarkStart w:id="137" w:name="_Toc25962"/>
      <w:bookmarkStart w:id="138" w:name="_Toc44492421"/>
      <w:r>
        <w:rPr>
          <w:color w:val="auto"/>
          <w:highlight w:val="none"/>
        </w:rPr>
        <w:t>发包人一般权利义务</w:t>
      </w:r>
      <w:bookmarkEnd w:id="135"/>
      <w:bookmarkEnd w:id="136"/>
      <w:bookmarkEnd w:id="137"/>
      <w:bookmarkEnd w:id="138"/>
    </w:p>
    <w:p>
      <w:pPr>
        <w:pStyle w:val="4"/>
        <w:numPr>
          <w:ilvl w:val="2"/>
          <w:numId w:val="5"/>
        </w:numPr>
        <w:ind w:left="658" w:hanging="658"/>
        <w:rPr>
          <w:color w:val="auto"/>
          <w:highlight w:val="none"/>
        </w:rPr>
      </w:pPr>
      <w:bookmarkStart w:id="139" w:name="_Toc13649"/>
      <w:r>
        <w:rPr>
          <w:color w:val="auto"/>
          <w:highlight w:val="none"/>
        </w:rPr>
        <w:t>为保证进度、质量、绿色施工安全防护措施、销售配合等，发包人有权对所有相关事项发出指令进行变更或调整，包括但不限于：对设计图纸进行变更、调整工程量、调整施工进度、顺序和工艺、施工现场布置等。</w:t>
      </w:r>
      <w:bookmarkEnd w:id="139"/>
    </w:p>
    <w:p>
      <w:pPr>
        <w:pStyle w:val="4"/>
        <w:numPr>
          <w:ilvl w:val="2"/>
          <w:numId w:val="5"/>
        </w:numPr>
        <w:ind w:left="658" w:hanging="658"/>
        <w:rPr>
          <w:color w:val="auto"/>
          <w:highlight w:val="none"/>
        </w:rPr>
      </w:pPr>
      <w:bookmarkStart w:id="140" w:name="_Toc28222"/>
      <w:r>
        <w:rPr>
          <w:color w:val="auto"/>
          <w:highlight w:val="none"/>
        </w:rPr>
        <w:t>如承包人不按合同要求或发包人指令进行施工，发包人有权要求承包人暂停施工，待整改完毕后报发包人验收通过后方可复工，由此造成的工期延误及经济损失由承包人负责。</w:t>
      </w:r>
      <w:bookmarkEnd w:id="140"/>
    </w:p>
    <w:p>
      <w:pPr>
        <w:pStyle w:val="4"/>
        <w:numPr>
          <w:ilvl w:val="2"/>
          <w:numId w:val="5"/>
        </w:numPr>
        <w:ind w:left="658" w:hanging="658"/>
        <w:rPr>
          <w:color w:val="auto"/>
          <w:highlight w:val="none"/>
        </w:rPr>
      </w:pPr>
      <w:bookmarkStart w:id="141" w:name="_Toc28988"/>
      <w:r>
        <w:rPr>
          <w:color w:val="auto"/>
          <w:highlight w:val="none"/>
        </w:rPr>
        <w:t>发包人有权随时向承包人发出任何为达到施工、竣工或保修目的的图纸或指令，承包人应遵照执行并受其约束。</w:t>
      </w:r>
      <w:bookmarkEnd w:id="141"/>
    </w:p>
    <w:p>
      <w:pPr>
        <w:pStyle w:val="4"/>
        <w:numPr>
          <w:ilvl w:val="2"/>
          <w:numId w:val="5"/>
        </w:numPr>
        <w:rPr>
          <w:color w:val="auto"/>
          <w:highlight w:val="none"/>
        </w:rPr>
      </w:pPr>
      <w:bookmarkStart w:id="142" w:name="_Toc11043"/>
      <w:r>
        <w:rPr>
          <w:color w:val="auto"/>
          <w:highlight w:val="none"/>
        </w:rPr>
        <w:t>发包人完成以下工作：</w:t>
      </w:r>
      <w:bookmarkEnd w:id="142"/>
    </w:p>
    <w:p>
      <w:pPr>
        <w:pStyle w:val="52"/>
        <w:numPr>
          <w:ilvl w:val="0"/>
          <w:numId w:val="17"/>
        </w:numPr>
        <w:ind w:left="885" w:leftChars="250" w:hanging="360" w:hangingChars="150"/>
        <w:jc w:val="both"/>
        <w:rPr>
          <w:rFonts w:eastAsia="宋体"/>
          <w:color w:val="auto"/>
          <w:sz w:val="24"/>
          <w:szCs w:val="24"/>
          <w:highlight w:val="none"/>
        </w:rPr>
      </w:pPr>
      <w:r>
        <w:rPr>
          <w:rFonts w:eastAsia="宋体"/>
          <w:color w:val="auto"/>
          <w:sz w:val="24"/>
          <w:szCs w:val="24"/>
          <w:highlight w:val="none"/>
        </w:rPr>
        <w:t xml:space="preserve">在开工前保证施工现场具备开工条件。若不能及时完成，在开工后继续负责解决以上事项及其遗留问题。 </w:t>
      </w:r>
    </w:p>
    <w:p>
      <w:pPr>
        <w:pStyle w:val="52"/>
        <w:numPr>
          <w:ilvl w:val="0"/>
          <w:numId w:val="17"/>
        </w:numPr>
        <w:ind w:left="885" w:leftChars="250" w:hanging="360" w:hangingChars="150"/>
        <w:jc w:val="both"/>
        <w:rPr>
          <w:rFonts w:eastAsia="宋体"/>
          <w:color w:val="auto"/>
          <w:sz w:val="24"/>
          <w:szCs w:val="24"/>
          <w:highlight w:val="none"/>
        </w:rPr>
      </w:pPr>
      <w:r>
        <w:rPr>
          <w:rFonts w:eastAsia="宋体"/>
          <w:color w:val="auto"/>
          <w:sz w:val="24"/>
          <w:szCs w:val="24"/>
          <w:highlight w:val="none"/>
        </w:rPr>
        <w:t>开工前，负责开通施工道路与城乡公共道路的开口，属于承包人的施工道路除外。</w:t>
      </w:r>
    </w:p>
    <w:p>
      <w:pPr>
        <w:pStyle w:val="52"/>
        <w:numPr>
          <w:ilvl w:val="0"/>
          <w:numId w:val="17"/>
        </w:numPr>
        <w:ind w:left="885" w:leftChars="250" w:hanging="360" w:hangingChars="150"/>
        <w:jc w:val="both"/>
        <w:rPr>
          <w:rFonts w:eastAsia="宋体"/>
          <w:color w:val="auto"/>
          <w:sz w:val="24"/>
          <w:szCs w:val="24"/>
          <w:highlight w:val="none"/>
        </w:rPr>
      </w:pPr>
      <w:r>
        <w:rPr>
          <w:rFonts w:hint="default" w:eastAsia="宋体" w:cs="Times New Roman"/>
          <w:color w:val="auto"/>
          <w:sz w:val="24"/>
          <w:szCs w:val="24"/>
          <w:highlight w:val="none"/>
        </w:rPr>
        <w:t>承包人进场后，向承包人提供已有的施工场地的工程地质和地上（下）管线资料，承包人对资料的准确性与完整性进行核实。</w:t>
      </w:r>
    </w:p>
    <w:p>
      <w:pPr>
        <w:pStyle w:val="52"/>
        <w:numPr>
          <w:ilvl w:val="0"/>
          <w:numId w:val="17"/>
        </w:numPr>
        <w:ind w:left="885" w:leftChars="250" w:hanging="360" w:hangingChars="150"/>
        <w:jc w:val="both"/>
        <w:rPr>
          <w:rFonts w:eastAsia="宋体"/>
          <w:color w:val="auto"/>
          <w:sz w:val="24"/>
          <w:szCs w:val="24"/>
          <w:highlight w:val="none"/>
        </w:rPr>
      </w:pPr>
      <w:r>
        <w:rPr>
          <w:rFonts w:eastAsia="宋体"/>
          <w:color w:val="auto"/>
          <w:sz w:val="24"/>
          <w:szCs w:val="24"/>
          <w:highlight w:val="none"/>
        </w:rPr>
        <w:t>完成本工程项目应由发包人完成的各种批准文件，协助承包人办理施工所需证件、批件和临时用地、停水、停电、中断道路交通等的申请批准手续（证明承包人自身资质的证件除外）。</w:t>
      </w:r>
    </w:p>
    <w:p>
      <w:pPr>
        <w:pStyle w:val="52"/>
        <w:numPr>
          <w:ilvl w:val="0"/>
          <w:numId w:val="17"/>
        </w:numPr>
        <w:ind w:left="885" w:leftChars="250" w:hanging="360" w:hangingChars="150"/>
        <w:jc w:val="both"/>
        <w:rPr>
          <w:rFonts w:eastAsia="宋体"/>
          <w:color w:val="auto"/>
          <w:sz w:val="24"/>
          <w:szCs w:val="24"/>
          <w:highlight w:val="none"/>
        </w:rPr>
      </w:pPr>
      <w:r>
        <w:rPr>
          <w:rFonts w:hint="default" w:eastAsia="宋体" w:cs="Times New Roman"/>
          <w:color w:val="auto"/>
          <w:sz w:val="24"/>
          <w:szCs w:val="24"/>
          <w:highlight w:val="none"/>
        </w:rPr>
        <w:t>承包人进场后，发包人提供规划局确定水准点和</w:t>
      </w:r>
      <w:r>
        <w:rPr>
          <w:rFonts w:hint="default" w:eastAsia="宋体" w:cs="Times New Roman"/>
          <w:color w:val="auto"/>
          <w:sz w:val="24"/>
          <w:szCs w:val="24"/>
          <w:highlight w:val="none"/>
          <w:lang w:val="en-US" w:eastAsia="zh-CN"/>
        </w:rPr>
        <w:t>坐标</w:t>
      </w:r>
      <w:r>
        <w:rPr>
          <w:rFonts w:hint="default" w:eastAsia="宋体" w:cs="Times New Roman"/>
          <w:color w:val="auto"/>
          <w:sz w:val="24"/>
          <w:szCs w:val="24"/>
          <w:highlight w:val="none"/>
        </w:rPr>
        <w:t>控制点，以书面形式交给承包人，进行现场交验。</w:t>
      </w:r>
    </w:p>
    <w:p>
      <w:pPr>
        <w:pStyle w:val="52"/>
        <w:numPr>
          <w:ilvl w:val="0"/>
          <w:numId w:val="17"/>
        </w:numPr>
        <w:ind w:left="885" w:leftChars="250" w:hanging="360" w:hangingChars="150"/>
        <w:jc w:val="both"/>
        <w:rPr>
          <w:rFonts w:eastAsia="宋体"/>
          <w:color w:val="auto"/>
          <w:sz w:val="24"/>
          <w:szCs w:val="24"/>
          <w:highlight w:val="none"/>
        </w:rPr>
      </w:pPr>
      <w:r>
        <w:rPr>
          <w:rFonts w:eastAsia="宋体"/>
          <w:color w:val="auto"/>
          <w:sz w:val="24"/>
          <w:szCs w:val="24"/>
          <w:highlight w:val="none"/>
        </w:rPr>
        <w:t>发包人负责向承包人提供具体需要保护项目，由承包人负责做好保护工作，如承包人在施工中发现问题应及时报告发包人，由发包人、设计人出具解决方案，承包人实施。</w:t>
      </w:r>
    </w:p>
    <w:p>
      <w:pPr>
        <w:pStyle w:val="52"/>
        <w:numPr>
          <w:ilvl w:val="0"/>
          <w:numId w:val="17"/>
        </w:numPr>
        <w:ind w:left="885" w:leftChars="250" w:hanging="360" w:hangingChars="150"/>
        <w:jc w:val="both"/>
        <w:rPr>
          <w:rFonts w:eastAsia="宋体"/>
          <w:color w:val="auto"/>
          <w:sz w:val="24"/>
          <w:szCs w:val="24"/>
          <w:highlight w:val="none"/>
        </w:rPr>
      </w:pPr>
      <w:r>
        <w:rPr>
          <w:rFonts w:eastAsia="宋体"/>
          <w:color w:val="auto"/>
          <w:sz w:val="24"/>
          <w:szCs w:val="24"/>
          <w:highlight w:val="none"/>
        </w:rPr>
        <w:t>在承包人应先行充分审图的前提下，发包人组织承包人和设计人进行图纸会审及设计交底。设计交底后，承包人应当继续审查相关图纸中可能存在的不符合法律规定、适用标准、施工规范的任何错误、冲突，并在专用条款约定的时间内以书面方式报发包人。</w:t>
      </w:r>
    </w:p>
    <w:p>
      <w:pPr>
        <w:pStyle w:val="52"/>
        <w:numPr>
          <w:ilvl w:val="0"/>
          <w:numId w:val="17"/>
        </w:numPr>
        <w:ind w:left="885" w:leftChars="250" w:hanging="360" w:hangingChars="150"/>
        <w:jc w:val="both"/>
        <w:rPr>
          <w:rFonts w:eastAsia="宋体"/>
          <w:color w:val="auto"/>
          <w:sz w:val="24"/>
          <w:szCs w:val="24"/>
          <w:highlight w:val="none"/>
        </w:rPr>
      </w:pPr>
      <w:r>
        <w:rPr>
          <w:rFonts w:eastAsia="宋体"/>
          <w:color w:val="auto"/>
          <w:sz w:val="24"/>
          <w:szCs w:val="24"/>
          <w:highlight w:val="none"/>
        </w:rPr>
        <w:t>及时支付合同款项。</w:t>
      </w:r>
    </w:p>
    <w:p>
      <w:pPr>
        <w:pStyle w:val="52"/>
        <w:numPr>
          <w:ilvl w:val="0"/>
          <w:numId w:val="17"/>
        </w:numPr>
        <w:ind w:left="885" w:leftChars="250" w:hanging="360" w:hangingChars="150"/>
        <w:jc w:val="both"/>
        <w:rPr>
          <w:rFonts w:eastAsia="宋体"/>
          <w:color w:val="auto"/>
          <w:sz w:val="24"/>
          <w:szCs w:val="24"/>
          <w:highlight w:val="none"/>
        </w:rPr>
      </w:pPr>
      <w:r>
        <w:rPr>
          <w:rFonts w:eastAsia="宋体"/>
          <w:color w:val="auto"/>
          <w:sz w:val="24"/>
          <w:szCs w:val="24"/>
          <w:highlight w:val="none"/>
        </w:rPr>
        <w:t>其他由发包人完成的工作在专用条款中约定。</w:t>
      </w:r>
    </w:p>
    <w:p>
      <w:pPr>
        <w:pStyle w:val="4"/>
        <w:numPr>
          <w:ilvl w:val="2"/>
          <w:numId w:val="5"/>
        </w:numPr>
        <w:rPr>
          <w:snapToGrid w:val="0"/>
          <w:color w:val="auto"/>
          <w:highlight w:val="none"/>
        </w:rPr>
      </w:pPr>
      <w:bookmarkStart w:id="143" w:name="_Toc4157"/>
      <w:r>
        <w:rPr>
          <w:color w:val="auto"/>
          <w:highlight w:val="none"/>
        </w:rPr>
        <w:t>施工所需水、电、电讯线路说明：</w:t>
      </w:r>
      <w:bookmarkEnd w:id="143"/>
    </w:p>
    <w:p>
      <w:pPr>
        <w:pStyle w:val="52"/>
        <w:numPr>
          <w:ilvl w:val="0"/>
          <w:numId w:val="18"/>
        </w:numPr>
        <w:ind w:left="885" w:leftChars="250" w:hanging="360" w:hangingChars="150"/>
        <w:jc w:val="both"/>
        <w:rPr>
          <w:rFonts w:eastAsia="宋体"/>
          <w:color w:val="auto"/>
          <w:sz w:val="24"/>
          <w:szCs w:val="24"/>
          <w:highlight w:val="none"/>
        </w:rPr>
      </w:pPr>
      <w:r>
        <w:rPr>
          <w:rFonts w:eastAsia="宋体"/>
          <w:color w:val="auto"/>
          <w:sz w:val="24"/>
          <w:szCs w:val="24"/>
          <w:highlight w:val="none"/>
        </w:rPr>
        <w:t>施工所需水、电按专用条款中相关要求提供。</w:t>
      </w:r>
    </w:p>
    <w:p>
      <w:pPr>
        <w:pStyle w:val="52"/>
        <w:numPr>
          <w:ilvl w:val="0"/>
          <w:numId w:val="18"/>
        </w:numPr>
        <w:ind w:left="885" w:leftChars="250" w:hanging="360" w:hangingChars="150"/>
        <w:jc w:val="both"/>
        <w:rPr>
          <w:rFonts w:eastAsia="宋体"/>
          <w:color w:val="auto"/>
          <w:sz w:val="24"/>
          <w:szCs w:val="24"/>
          <w:highlight w:val="none"/>
        </w:rPr>
      </w:pPr>
      <w:r>
        <w:rPr>
          <w:rFonts w:eastAsia="宋体"/>
          <w:color w:val="auto"/>
          <w:sz w:val="24"/>
          <w:szCs w:val="24"/>
          <w:highlight w:val="none"/>
        </w:rPr>
        <w:t>通讯线路由承包人自行解决。</w:t>
      </w:r>
    </w:p>
    <w:p>
      <w:pPr>
        <w:pStyle w:val="4"/>
        <w:numPr>
          <w:ilvl w:val="2"/>
          <w:numId w:val="5"/>
        </w:numPr>
        <w:ind w:left="658" w:hanging="658"/>
        <w:rPr>
          <w:color w:val="auto"/>
          <w:highlight w:val="none"/>
        </w:rPr>
      </w:pPr>
      <w:r>
        <w:rPr>
          <w:color w:val="auto"/>
          <w:highlight w:val="none"/>
        </w:rPr>
        <w:t>发包人委托承包人办理的具体工作内容及费用由合同当事人双方在专用条款内进行约定。</w:t>
      </w:r>
    </w:p>
    <w:p>
      <w:pPr>
        <w:pStyle w:val="4"/>
        <w:numPr>
          <w:ilvl w:val="0"/>
          <w:numId w:val="5"/>
        </w:numPr>
        <w:rPr>
          <w:color w:val="auto"/>
          <w:highlight w:val="none"/>
        </w:rPr>
      </w:pPr>
      <w:r>
        <w:rPr>
          <w:color w:val="auto"/>
          <w:highlight w:val="none"/>
        </w:rPr>
        <w:t>监理人及造价咨询人</w:t>
      </w:r>
    </w:p>
    <w:p>
      <w:pPr>
        <w:pStyle w:val="4"/>
        <w:numPr>
          <w:ilvl w:val="1"/>
          <w:numId w:val="5"/>
        </w:numPr>
        <w:rPr>
          <w:color w:val="auto"/>
          <w:highlight w:val="none"/>
        </w:rPr>
      </w:pPr>
      <w:r>
        <w:rPr>
          <w:color w:val="auto"/>
          <w:highlight w:val="none"/>
        </w:rPr>
        <w:t>监理人</w:t>
      </w:r>
      <w:r>
        <w:rPr>
          <w:rFonts w:eastAsia="宋体"/>
          <w:b/>
          <w:color w:val="auto"/>
          <w:sz w:val="24"/>
          <w:szCs w:val="24"/>
          <w:highlight w:val="none"/>
        </w:rPr>
        <w:t>（该条不适用于本合同）</w:t>
      </w:r>
    </w:p>
    <w:p>
      <w:pPr>
        <w:pStyle w:val="4"/>
        <w:numPr>
          <w:ilvl w:val="2"/>
          <w:numId w:val="5"/>
        </w:numPr>
        <w:ind w:left="658" w:hanging="658"/>
        <w:rPr>
          <w:color w:val="auto"/>
          <w:highlight w:val="none"/>
        </w:rPr>
      </w:pPr>
      <w:r>
        <w:rPr>
          <w:color w:val="auto"/>
          <w:highlight w:val="none"/>
        </w:rPr>
        <w:t>发包人应在实施监理前将委托的监理人名称、监理内容及监理权限以书面形式通知承包人。</w:t>
      </w:r>
    </w:p>
    <w:p>
      <w:pPr>
        <w:pStyle w:val="4"/>
        <w:numPr>
          <w:ilvl w:val="2"/>
          <w:numId w:val="5"/>
        </w:numPr>
        <w:ind w:left="658" w:hanging="658"/>
        <w:rPr>
          <w:color w:val="auto"/>
          <w:highlight w:val="none"/>
        </w:rPr>
      </w:pPr>
      <w:r>
        <w:rPr>
          <w:color w:val="auto"/>
          <w:highlight w:val="none"/>
        </w:rPr>
        <w:t>总监理工程师姓名、职务在专用条款内写明。</w:t>
      </w:r>
    </w:p>
    <w:p>
      <w:pPr>
        <w:pStyle w:val="4"/>
        <w:numPr>
          <w:ilvl w:val="2"/>
          <w:numId w:val="5"/>
        </w:numPr>
        <w:ind w:left="658" w:hanging="658"/>
        <w:rPr>
          <w:color w:val="auto"/>
          <w:highlight w:val="none"/>
        </w:rPr>
      </w:pPr>
      <w:r>
        <w:rPr>
          <w:color w:val="auto"/>
          <w:highlight w:val="none"/>
        </w:rPr>
        <w:t>监理人在任何情况下都无权修改本合同。监理人发出的通知、指示、同意、批准、证书、决定等，只要与本工程的暂定合同总价增减、工程变更、工程量增减、工程款数额、计量、计价、改变技术标准、改变施工方案、工期、改变工期、工程停工复工、索赔、处理事故、建筑使用功能、分包的范围与内容、分包人和供应商的选择、承包人主要管理人员的更换或撤回、工程验收以及其他可能影响发包人利益的事项有关，均须经过发包人的书面审核批准并加盖发包人公章，方可成为发包人与承包人之间有约束力的文件，否则对发包人不具有约束力。监理人需要取得发包人批准才能行使的其他职权在专用条款里说明。</w:t>
      </w:r>
    </w:p>
    <w:p>
      <w:pPr>
        <w:pStyle w:val="4"/>
        <w:numPr>
          <w:ilvl w:val="2"/>
          <w:numId w:val="5"/>
        </w:numPr>
        <w:ind w:left="658" w:hanging="658"/>
        <w:rPr>
          <w:color w:val="auto"/>
          <w:highlight w:val="none"/>
        </w:rPr>
      </w:pPr>
      <w:r>
        <w:rPr>
          <w:color w:val="auto"/>
          <w:highlight w:val="none"/>
        </w:rPr>
        <w:t>本项目所有的监理人往来文件均需经总监理工程师或总监理工程师授权的代表签字、盖章后生效。</w:t>
      </w:r>
    </w:p>
    <w:p>
      <w:pPr>
        <w:pStyle w:val="4"/>
        <w:numPr>
          <w:ilvl w:val="2"/>
          <w:numId w:val="5"/>
        </w:numPr>
        <w:ind w:left="658" w:hanging="658"/>
        <w:rPr>
          <w:color w:val="auto"/>
          <w:highlight w:val="none"/>
        </w:rPr>
      </w:pPr>
      <w:r>
        <w:rPr>
          <w:color w:val="auto"/>
          <w:highlight w:val="none"/>
        </w:rPr>
        <w:t>合同履行中，发生影响合同当事人双方权利或义务的事件时，监理人应依据合同在其职权范围内客观公正地进行处理，一方对监理人的处理有异议时，按本合同关于争议的约定处理。</w:t>
      </w:r>
    </w:p>
    <w:p>
      <w:pPr>
        <w:pStyle w:val="4"/>
        <w:numPr>
          <w:ilvl w:val="2"/>
          <w:numId w:val="5"/>
        </w:numPr>
        <w:ind w:left="658" w:hanging="658"/>
        <w:rPr>
          <w:bCs/>
          <w:color w:val="auto"/>
          <w:highlight w:val="none"/>
        </w:rPr>
      </w:pPr>
      <w:r>
        <w:rPr>
          <w:bCs/>
          <w:color w:val="auto"/>
          <w:highlight w:val="none"/>
        </w:rPr>
        <w:t>除经发包人同意外，监理人无权解除本合同约定的承包人的任何权利与义务。</w:t>
      </w:r>
    </w:p>
    <w:p>
      <w:pPr>
        <w:pStyle w:val="52"/>
        <w:numPr>
          <w:ilvl w:val="255"/>
          <w:numId w:val="0"/>
        </w:numPr>
        <w:ind w:left="420" w:leftChars="200"/>
        <w:jc w:val="both"/>
        <w:rPr>
          <w:rFonts w:eastAsia="宋体"/>
          <w:color w:val="auto"/>
          <w:sz w:val="24"/>
          <w:szCs w:val="24"/>
          <w:highlight w:val="none"/>
        </w:rPr>
      </w:pPr>
    </w:p>
    <w:p>
      <w:pPr>
        <w:pStyle w:val="4"/>
        <w:numPr>
          <w:ilvl w:val="2"/>
          <w:numId w:val="5"/>
        </w:numPr>
        <w:ind w:left="658" w:hanging="658"/>
        <w:rPr>
          <w:color w:val="auto"/>
          <w:highlight w:val="none"/>
        </w:rPr>
      </w:pPr>
      <w:bookmarkStart w:id="144" w:name="_Toc12120"/>
      <w:r>
        <w:rPr>
          <w:color w:val="auto"/>
          <w:highlight w:val="none"/>
        </w:rPr>
        <w:t>如需更换总监理工程师，发包人应以书面形式通知承包人，后任继续行使合同文件约定的前任的职权，履行前任的义务。</w:t>
      </w:r>
      <w:bookmarkEnd w:id="144"/>
    </w:p>
    <w:p>
      <w:pPr>
        <w:pStyle w:val="4"/>
        <w:numPr>
          <w:ilvl w:val="2"/>
          <w:numId w:val="5"/>
        </w:numPr>
        <w:ind w:left="658" w:hanging="658"/>
        <w:rPr>
          <w:color w:val="auto"/>
          <w:highlight w:val="none"/>
        </w:rPr>
      </w:pPr>
      <w:bookmarkStart w:id="145" w:name="_Toc12702"/>
      <w:r>
        <w:rPr>
          <w:color w:val="auto"/>
          <w:highlight w:val="none"/>
        </w:rPr>
        <w:t>总监理工程师可按监理合同的约定委派代表行使合同约定给自己的职权，并可在必要时撤回，委派和撤回均应提前7天以书面形式通知承包人。</w:t>
      </w:r>
      <w:bookmarkEnd w:id="145"/>
    </w:p>
    <w:p>
      <w:pPr>
        <w:pStyle w:val="4"/>
        <w:numPr>
          <w:ilvl w:val="1"/>
          <w:numId w:val="5"/>
        </w:numPr>
        <w:rPr>
          <w:color w:val="auto"/>
          <w:highlight w:val="none"/>
        </w:rPr>
      </w:pPr>
      <w:bookmarkStart w:id="146" w:name="_Toc9075"/>
      <w:bookmarkStart w:id="147" w:name="_Toc24461"/>
      <w:bookmarkStart w:id="148" w:name="_Toc15289"/>
      <w:bookmarkStart w:id="149" w:name="_Toc44492424"/>
      <w:r>
        <w:rPr>
          <w:color w:val="auto"/>
          <w:highlight w:val="none"/>
        </w:rPr>
        <w:t>监理人的指示</w:t>
      </w:r>
      <w:bookmarkEnd w:id="146"/>
      <w:bookmarkEnd w:id="147"/>
      <w:bookmarkEnd w:id="148"/>
      <w:bookmarkEnd w:id="149"/>
      <w:r>
        <w:rPr>
          <w:rFonts w:eastAsia="宋体"/>
          <w:b/>
          <w:color w:val="auto"/>
          <w:sz w:val="24"/>
          <w:szCs w:val="24"/>
          <w:highlight w:val="none"/>
        </w:rPr>
        <w:t>（该条不适用于本合同）</w:t>
      </w:r>
    </w:p>
    <w:p>
      <w:pPr>
        <w:pStyle w:val="4"/>
        <w:numPr>
          <w:ilvl w:val="2"/>
          <w:numId w:val="5"/>
        </w:numPr>
        <w:ind w:left="658" w:hanging="658"/>
        <w:rPr>
          <w:color w:val="auto"/>
          <w:highlight w:val="none"/>
        </w:rPr>
      </w:pPr>
      <w:bookmarkStart w:id="150" w:name="_Toc4820"/>
      <w:r>
        <w:rPr>
          <w:color w:val="auto"/>
          <w:highlight w:val="none"/>
        </w:rPr>
        <w:t>监理人的指令以书面形式交给承包人。确有必要时，监理人可发出口头指令，并在48小时内给予书面确认，承包人对指令应予执行。监理人不能及时给予书面确认的，承包人应于发出口头指令后7天内提出书面确认要求，承包人未提出要求的，责任由承包人承担。</w:t>
      </w:r>
      <w:bookmarkEnd w:id="150"/>
    </w:p>
    <w:p>
      <w:pPr>
        <w:pStyle w:val="4"/>
        <w:numPr>
          <w:ilvl w:val="2"/>
          <w:numId w:val="5"/>
        </w:numPr>
        <w:ind w:left="658" w:hanging="658"/>
        <w:rPr>
          <w:color w:val="auto"/>
          <w:highlight w:val="none"/>
        </w:rPr>
      </w:pPr>
      <w:bookmarkStart w:id="151" w:name="_Toc29874"/>
      <w:r>
        <w:rPr>
          <w:color w:val="auto"/>
          <w:highlight w:val="none"/>
        </w:rPr>
        <w:t>监理人指令的签字、加盖公章的范围要求详见《监理合同》。</w:t>
      </w:r>
      <w:bookmarkEnd w:id="151"/>
    </w:p>
    <w:p>
      <w:pPr>
        <w:pStyle w:val="4"/>
        <w:numPr>
          <w:ilvl w:val="2"/>
          <w:numId w:val="5"/>
        </w:numPr>
        <w:ind w:left="658" w:hanging="658"/>
        <w:rPr>
          <w:color w:val="auto"/>
          <w:highlight w:val="none"/>
        </w:rPr>
      </w:pPr>
      <w:bookmarkStart w:id="152" w:name="_Toc827"/>
      <w:r>
        <w:rPr>
          <w:color w:val="auto"/>
          <w:highlight w:val="none"/>
        </w:rPr>
        <w:t>承包人认为监理人指令不合理的，应在收到指令后24小时内向监理人提出修改指令的书面报告，监理人在收到承包人报告后24小时内做出修改指令或继续执行原指令的决定，并以书面形式通知承包人。紧急情况下，承包人虽有异议，但监理人决定仍继续执行的指令，承包人应予执行，承包人拒不执行指令的，属于承包人违约。</w:t>
      </w:r>
      <w:bookmarkEnd w:id="152"/>
    </w:p>
    <w:p>
      <w:pPr>
        <w:pStyle w:val="4"/>
        <w:numPr>
          <w:ilvl w:val="2"/>
          <w:numId w:val="5"/>
        </w:numPr>
        <w:ind w:left="658" w:hanging="658"/>
        <w:rPr>
          <w:color w:val="auto"/>
          <w:highlight w:val="none"/>
        </w:rPr>
      </w:pPr>
      <w:bookmarkStart w:id="153" w:name="_Toc15908"/>
      <w:r>
        <w:rPr>
          <w:color w:val="auto"/>
          <w:highlight w:val="none"/>
        </w:rPr>
        <w:t>监理人在履行和行使其职权时，其任何行为不免除承包人履行本合同约定的任何职责和义务。</w:t>
      </w:r>
      <w:bookmarkEnd w:id="153"/>
    </w:p>
    <w:p>
      <w:pPr>
        <w:pStyle w:val="4"/>
        <w:numPr>
          <w:ilvl w:val="2"/>
          <w:numId w:val="5"/>
        </w:numPr>
        <w:ind w:left="658" w:hanging="658"/>
        <w:rPr>
          <w:color w:val="auto"/>
          <w:highlight w:val="none"/>
        </w:rPr>
      </w:pPr>
      <w:bookmarkStart w:id="154" w:name="_Toc10202"/>
      <w:r>
        <w:rPr>
          <w:color w:val="auto"/>
          <w:highlight w:val="none"/>
        </w:rPr>
        <w:t>一般情况下，发包人和监理人的决定应是互补的和一致的；除非合同文件中另有约定，在发包人和监理人的决定出现矛盾或不一致时，发包人有最终决定权。</w:t>
      </w:r>
      <w:bookmarkEnd w:id="154"/>
    </w:p>
    <w:p>
      <w:pPr>
        <w:pStyle w:val="4"/>
        <w:numPr>
          <w:ilvl w:val="2"/>
          <w:numId w:val="5"/>
        </w:numPr>
        <w:ind w:left="658" w:hanging="658"/>
        <w:rPr>
          <w:color w:val="auto"/>
          <w:highlight w:val="none"/>
        </w:rPr>
      </w:pPr>
      <w:bookmarkStart w:id="155" w:name="_Toc9618"/>
      <w:r>
        <w:rPr>
          <w:color w:val="auto"/>
          <w:highlight w:val="none"/>
        </w:rPr>
        <w:t>发包人同时享有直接发出任何工程指示、通知、同意、批准、证书、决定的权利，承包人需遵照执行。</w:t>
      </w:r>
      <w:bookmarkEnd w:id="155"/>
    </w:p>
    <w:p>
      <w:pPr>
        <w:pStyle w:val="4"/>
        <w:numPr>
          <w:ilvl w:val="1"/>
          <w:numId w:val="5"/>
        </w:numPr>
        <w:rPr>
          <w:color w:val="auto"/>
          <w:highlight w:val="none"/>
        </w:rPr>
      </w:pPr>
      <w:bookmarkStart w:id="156" w:name="_Toc44492425"/>
      <w:bookmarkStart w:id="157" w:name="_Toc15978"/>
      <w:bookmarkStart w:id="158" w:name="_Toc21490"/>
      <w:bookmarkStart w:id="159" w:name="_Toc28732"/>
      <w:r>
        <w:rPr>
          <w:color w:val="auto"/>
          <w:highlight w:val="none"/>
        </w:rPr>
        <w:t>造价咨询人</w:t>
      </w:r>
      <w:bookmarkEnd w:id="156"/>
      <w:bookmarkEnd w:id="157"/>
      <w:bookmarkEnd w:id="158"/>
      <w:bookmarkEnd w:id="159"/>
    </w:p>
    <w:p>
      <w:pPr>
        <w:pStyle w:val="4"/>
        <w:numPr>
          <w:ilvl w:val="2"/>
          <w:numId w:val="5"/>
        </w:numPr>
        <w:ind w:left="658" w:hanging="658"/>
        <w:rPr>
          <w:color w:val="auto"/>
          <w:highlight w:val="none"/>
        </w:rPr>
      </w:pPr>
      <w:bookmarkStart w:id="160" w:name="_Toc18537"/>
      <w:r>
        <w:rPr>
          <w:color w:val="auto"/>
          <w:highlight w:val="none"/>
        </w:rPr>
        <w:t>发包人有权将工程造价委托给造价咨询人管理。发包人委托造价咨询人的名称在专用条款中进行约定。</w:t>
      </w:r>
      <w:bookmarkEnd w:id="160"/>
    </w:p>
    <w:p>
      <w:pPr>
        <w:pStyle w:val="4"/>
        <w:numPr>
          <w:ilvl w:val="2"/>
          <w:numId w:val="5"/>
        </w:numPr>
        <w:ind w:left="658" w:hanging="658"/>
        <w:rPr>
          <w:color w:val="auto"/>
          <w:highlight w:val="none"/>
        </w:rPr>
      </w:pPr>
      <w:bookmarkStart w:id="161" w:name="_Toc18858"/>
      <w:r>
        <w:rPr>
          <w:color w:val="auto"/>
          <w:highlight w:val="none"/>
        </w:rPr>
        <w:t>发包人委托造价咨询人的职权在专用条款里说明。</w:t>
      </w:r>
      <w:bookmarkEnd w:id="161"/>
    </w:p>
    <w:p>
      <w:pPr>
        <w:pStyle w:val="4"/>
        <w:numPr>
          <w:ilvl w:val="2"/>
          <w:numId w:val="5"/>
        </w:numPr>
        <w:ind w:left="658" w:hanging="658"/>
        <w:rPr>
          <w:color w:val="auto"/>
          <w:highlight w:val="none"/>
        </w:rPr>
      </w:pPr>
      <w:bookmarkStart w:id="162" w:name="_Toc20902"/>
      <w:r>
        <w:rPr>
          <w:color w:val="auto"/>
          <w:highlight w:val="none"/>
        </w:rPr>
        <w:t>造价咨询人就造价确认、工程款结算等问题进行的沟通、协商、确认仅为协商过程性的行为。除非发包人法定代表人签字并加盖发包人公章，任何形式的文件以及任何人的行为都不能视为发包人对工程结算的认可。发包人有权委托第三方进行造价咨询及审核。</w:t>
      </w:r>
      <w:bookmarkEnd w:id="162"/>
    </w:p>
    <w:p>
      <w:pPr>
        <w:pStyle w:val="4"/>
        <w:numPr>
          <w:ilvl w:val="0"/>
          <w:numId w:val="5"/>
        </w:numPr>
        <w:rPr>
          <w:color w:val="auto"/>
          <w:highlight w:val="none"/>
        </w:rPr>
      </w:pPr>
      <w:bookmarkStart w:id="163" w:name="_Toc44492426"/>
      <w:bookmarkStart w:id="164" w:name="_Toc44227985"/>
      <w:bookmarkStart w:id="165" w:name="_Toc8009"/>
      <w:bookmarkStart w:id="166" w:name="_Toc4899"/>
      <w:bookmarkStart w:id="167" w:name="_Toc24425"/>
      <w:bookmarkStart w:id="168" w:name="_Toc27288"/>
      <w:bookmarkStart w:id="169" w:name="_Toc47512234"/>
      <w:bookmarkStart w:id="170" w:name="_Toc407355997"/>
      <w:bookmarkStart w:id="171" w:name="_Toc1200"/>
      <w:bookmarkStart w:id="172" w:name="_Toc22478"/>
      <w:r>
        <w:rPr>
          <w:color w:val="auto"/>
          <w:highlight w:val="none"/>
        </w:rPr>
        <w:t>承包人</w:t>
      </w:r>
      <w:bookmarkEnd w:id="163"/>
      <w:bookmarkEnd w:id="164"/>
      <w:bookmarkEnd w:id="165"/>
      <w:bookmarkEnd w:id="166"/>
      <w:bookmarkEnd w:id="167"/>
      <w:bookmarkEnd w:id="168"/>
      <w:bookmarkEnd w:id="169"/>
      <w:bookmarkEnd w:id="170"/>
      <w:bookmarkEnd w:id="171"/>
      <w:bookmarkEnd w:id="172"/>
    </w:p>
    <w:p>
      <w:pPr>
        <w:pStyle w:val="4"/>
        <w:numPr>
          <w:ilvl w:val="1"/>
          <w:numId w:val="5"/>
        </w:numPr>
        <w:rPr>
          <w:color w:val="auto"/>
          <w:highlight w:val="none"/>
        </w:rPr>
      </w:pPr>
      <w:bookmarkStart w:id="173" w:name="_Toc10793"/>
      <w:bookmarkStart w:id="174" w:name="_Toc20990"/>
      <w:bookmarkStart w:id="175" w:name="_Toc44492427"/>
      <w:bookmarkStart w:id="176" w:name="_Toc26575"/>
      <w:r>
        <w:rPr>
          <w:color w:val="auto"/>
          <w:highlight w:val="none"/>
        </w:rPr>
        <w:t>承包人的一般义务</w:t>
      </w:r>
      <w:bookmarkEnd w:id="173"/>
      <w:bookmarkEnd w:id="174"/>
      <w:bookmarkEnd w:id="175"/>
      <w:bookmarkEnd w:id="176"/>
    </w:p>
    <w:p>
      <w:pPr>
        <w:pStyle w:val="4"/>
        <w:numPr>
          <w:ilvl w:val="2"/>
          <w:numId w:val="5"/>
        </w:numPr>
        <w:rPr>
          <w:color w:val="auto"/>
          <w:highlight w:val="none"/>
        </w:rPr>
      </w:pPr>
      <w:bookmarkStart w:id="177" w:name="_Toc32319"/>
      <w:r>
        <w:rPr>
          <w:color w:val="auto"/>
          <w:highlight w:val="none"/>
        </w:rPr>
        <w:t>完成以下各项承包工作</w:t>
      </w:r>
      <w:bookmarkEnd w:id="177"/>
    </w:p>
    <w:p>
      <w:pPr>
        <w:pStyle w:val="52"/>
        <w:numPr>
          <w:ilvl w:val="0"/>
          <w:numId w:val="19"/>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应按合同约定，实施、完成全部工程，并修补工程中的任何缺陷。除专用条款另有约定外，承包人应提供为完成合同工作所需的劳务、材料、施工设备、工程设备和其他物品，并按合同约定负责临时设施的设计、建造、运行、维护、管理和拆除。</w:t>
      </w:r>
    </w:p>
    <w:p>
      <w:pPr>
        <w:pStyle w:val="52"/>
        <w:numPr>
          <w:ilvl w:val="0"/>
          <w:numId w:val="19"/>
        </w:numPr>
        <w:ind w:left="885" w:leftChars="250" w:hanging="360" w:hangingChars="150"/>
        <w:jc w:val="both"/>
        <w:rPr>
          <w:rFonts w:eastAsia="宋体"/>
          <w:color w:val="auto"/>
          <w:sz w:val="24"/>
          <w:szCs w:val="24"/>
          <w:highlight w:val="none"/>
        </w:rPr>
      </w:pPr>
      <w:r>
        <w:rPr>
          <w:rFonts w:eastAsia="宋体"/>
          <w:color w:val="auto"/>
          <w:sz w:val="24"/>
          <w:szCs w:val="24"/>
          <w:highlight w:val="none"/>
        </w:rPr>
        <w:t>根据发包人委托，在其设计资质等级和业务允许的范围内，完成施工图设计或与工程配套的设计。</w:t>
      </w:r>
    </w:p>
    <w:p>
      <w:pPr>
        <w:pStyle w:val="4"/>
        <w:numPr>
          <w:ilvl w:val="2"/>
          <w:numId w:val="5"/>
        </w:numPr>
        <w:rPr>
          <w:color w:val="auto"/>
          <w:highlight w:val="none"/>
        </w:rPr>
      </w:pPr>
      <w:bookmarkStart w:id="178" w:name="_Toc29617"/>
      <w:r>
        <w:rPr>
          <w:color w:val="auto"/>
          <w:highlight w:val="none"/>
        </w:rPr>
        <w:t>对施工作业和施工方法的完备性负责</w:t>
      </w:r>
      <w:bookmarkEnd w:id="178"/>
    </w:p>
    <w:p>
      <w:pPr>
        <w:pStyle w:val="52"/>
        <w:numPr>
          <w:ilvl w:val="0"/>
          <w:numId w:val="20"/>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承包人应按合同约定的工作内容和施工进度要求，编制施工组织设计和施工方案，并对所有施工作业和施工方法的完备性和安全可靠性负责。</w:t>
      </w:r>
    </w:p>
    <w:p>
      <w:pPr>
        <w:pStyle w:val="52"/>
        <w:numPr>
          <w:ilvl w:val="0"/>
          <w:numId w:val="20"/>
        </w:numPr>
        <w:ind w:left="885" w:leftChars="250" w:hanging="360" w:hangingChars="150"/>
        <w:jc w:val="both"/>
        <w:rPr>
          <w:color w:val="auto"/>
          <w:sz w:val="24"/>
          <w:szCs w:val="24"/>
          <w:highlight w:val="none"/>
        </w:rPr>
      </w:pPr>
      <w:r>
        <w:rPr>
          <w:rFonts w:eastAsia="宋体"/>
          <w:color w:val="auto"/>
          <w:sz w:val="24"/>
          <w:szCs w:val="24"/>
          <w:highlight w:val="none"/>
        </w:rPr>
        <w:t>承包人负责办理各主管部门的相关报批报建验收手续，负责处理周边关系及相关政府部门关系，办理属于承包人承包范围内的有关证件。承包人负责办理施工临时占用道路手续并承担费用，发包人予以配合；使用临时路口、临时场地等保证金或押金由承包人负责缴纳，发包人配合提供有关资料。</w:t>
      </w:r>
    </w:p>
    <w:p>
      <w:pPr>
        <w:pStyle w:val="4"/>
        <w:numPr>
          <w:ilvl w:val="2"/>
          <w:numId w:val="5"/>
        </w:numPr>
        <w:rPr>
          <w:color w:val="auto"/>
          <w:highlight w:val="none"/>
        </w:rPr>
      </w:pPr>
      <w:bookmarkStart w:id="179" w:name="_Toc21038"/>
      <w:r>
        <w:rPr>
          <w:color w:val="auto"/>
          <w:highlight w:val="none"/>
        </w:rPr>
        <w:t>保证工程施工和人员的安全</w:t>
      </w:r>
      <w:bookmarkEnd w:id="179"/>
    </w:p>
    <w:p>
      <w:pPr>
        <w:pStyle w:val="52"/>
        <w:numPr>
          <w:ilvl w:val="0"/>
          <w:numId w:val="21"/>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承包人应按本合同约定采取施工安全措施，确保本合同工程及其人员、材料、设备和设施的安全，防止因工程施工造成的人身伤害和财产损失。</w:t>
      </w:r>
    </w:p>
    <w:p>
      <w:pPr>
        <w:pStyle w:val="52"/>
        <w:numPr>
          <w:ilvl w:val="0"/>
          <w:numId w:val="21"/>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承包人应对所有工地作业和施工方法的适当性、可靠性及安全性负全责。在施工期间由于承包人原因而发生施工质量、安全事故，其责任及费用均由承包人负责并报告发包人及有关部门。</w:t>
      </w:r>
    </w:p>
    <w:p>
      <w:pPr>
        <w:pStyle w:val="4"/>
        <w:numPr>
          <w:ilvl w:val="2"/>
          <w:numId w:val="5"/>
        </w:numPr>
        <w:rPr>
          <w:color w:val="auto"/>
          <w:highlight w:val="none"/>
        </w:rPr>
      </w:pPr>
      <w:bookmarkStart w:id="180" w:name="_Toc32365"/>
      <w:r>
        <w:rPr>
          <w:color w:val="auto"/>
          <w:highlight w:val="none"/>
        </w:rPr>
        <w:t>负责施工场地及其周边环境与生态的保护工作</w:t>
      </w:r>
      <w:bookmarkEnd w:id="180"/>
    </w:p>
    <w:p>
      <w:pPr>
        <w:pStyle w:val="52"/>
        <w:numPr>
          <w:ilvl w:val="0"/>
          <w:numId w:val="22"/>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承包人应按照合同约定负责施工场地及其周边环境与生态的保护工作。</w:t>
      </w:r>
    </w:p>
    <w:p>
      <w:pPr>
        <w:pStyle w:val="52"/>
        <w:numPr>
          <w:ilvl w:val="0"/>
          <w:numId w:val="22"/>
        </w:numPr>
        <w:ind w:left="885" w:leftChars="250" w:hanging="360" w:hangingChars="150"/>
        <w:jc w:val="both"/>
        <w:rPr>
          <w:rFonts w:eastAsia="宋体"/>
          <w:color w:val="auto"/>
          <w:sz w:val="24"/>
          <w:szCs w:val="24"/>
          <w:highlight w:val="none"/>
        </w:rPr>
      </w:pPr>
      <w:r>
        <w:rPr>
          <w:rFonts w:hint="default" w:eastAsia="宋体" w:cs="Times New Roman"/>
          <w:color w:val="auto"/>
          <w:sz w:val="24"/>
          <w:szCs w:val="24"/>
          <w:highlight w:val="none"/>
        </w:rPr>
        <w:t>承包人应做好施工场地地下管线和邻近建筑物、构筑物（包括文物保护建筑）、苗木的保护工作</w:t>
      </w:r>
      <w:r>
        <w:rPr>
          <w:rFonts w:eastAsia="宋体"/>
          <w:color w:val="auto"/>
          <w:sz w:val="24"/>
          <w:szCs w:val="24"/>
          <w:highlight w:val="none"/>
        </w:rPr>
        <w:t>，该等保护、防护措施相关费用已包含在合同价款内</w:t>
      </w:r>
      <w:r>
        <w:rPr>
          <w:rFonts w:hint="default" w:eastAsia="宋体" w:cs="Times New Roman"/>
          <w:color w:val="auto"/>
          <w:sz w:val="24"/>
          <w:szCs w:val="24"/>
          <w:highlight w:val="none"/>
        </w:rPr>
        <w:t>。由于承包人的施工造成污染或损害邻近建筑物、堵塞排水管网、破坏地下管线、古树名木及已完工程等影响，产生的损失由承包人承担。</w:t>
      </w:r>
    </w:p>
    <w:p>
      <w:pPr>
        <w:pStyle w:val="52"/>
        <w:numPr>
          <w:ilvl w:val="0"/>
          <w:numId w:val="22"/>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承包人应遵守政府有关主管部门对施工场地交通、施工噪音以及环境保护、环境卫生和安全生产等的管理规定，按规定办理有关手续，并以书面形式通知发包人，发生的费用由承包人承担。</w:t>
      </w:r>
    </w:p>
    <w:p>
      <w:pPr>
        <w:pStyle w:val="52"/>
        <w:numPr>
          <w:ilvl w:val="0"/>
          <w:numId w:val="22"/>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承包人应保证施工场地清洁符合环境卫生管理的有关要求，做到工完场清，即建筑垃圾须及时清运出场，否则发包人有权另行委托他人清理，发生的费用按在专用条款中约定处理。</w:t>
      </w:r>
    </w:p>
    <w:p>
      <w:pPr>
        <w:pStyle w:val="4"/>
        <w:numPr>
          <w:ilvl w:val="2"/>
          <w:numId w:val="5"/>
        </w:numPr>
        <w:rPr>
          <w:color w:val="auto"/>
          <w:highlight w:val="none"/>
        </w:rPr>
      </w:pPr>
      <w:bookmarkStart w:id="181" w:name="_Toc22012"/>
      <w:r>
        <w:rPr>
          <w:color w:val="auto"/>
          <w:highlight w:val="none"/>
        </w:rPr>
        <w:t>避免施工对公众与他人的利益造成损害</w:t>
      </w:r>
      <w:bookmarkEnd w:id="181"/>
    </w:p>
    <w:p>
      <w:pPr>
        <w:pStyle w:val="52"/>
        <w:numPr>
          <w:ilvl w:val="0"/>
          <w:numId w:val="23"/>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Style w:val="52"/>
        <w:numPr>
          <w:ilvl w:val="0"/>
          <w:numId w:val="23"/>
        </w:numPr>
        <w:ind w:left="885" w:leftChars="250" w:hanging="360" w:hangingChars="150"/>
        <w:jc w:val="both"/>
        <w:rPr>
          <w:rFonts w:eastAsia="宋体"/>
          <w:color w:val="auto"/>
          <w:sz w:val="24"/>
          <w:szCs w:val="24"/>
          <w:highlight w:val="none"/>
        </w:rPr>
      </w:pPr>
      <w:r>
        <w:rPr>
          <w:rFonts w:eastAsia="宋体"/>
          <w:color w:val="auto"/>
          <w:sz w:val="24"/>
          <w:szCs w:val="24"/>
          <w:highlight w:val="none"/>
        </w:rPr>
        <w:t>因实施本工程而应向第三方支付的扰民费、噪音费、夜间施工费等由承包人负责，已经包含在承包人的合同暂定总价内。</w:t>
      </w:r>
    </w:p>
    <w:p>
      <w:pPr>
        <w:pStyle w:val="4"/>
        <w:numPr>
          <w:ilvl w:val="2"/>
          <w:numId w:val="5"/>
        </w:numPr>
        <w:rPr>
          <w:color w:val="auto"/>
          <w:highlight w:val="none"/>
        </w:rPr>
      </w:pPr>
      <w:bookmarkStart w:id="182" w:name="_Toc24598"/>
      <w:r>
        <w:rPr>
          <w:color w:val="auto"/>
          <w:highlight w:val="none"/>
        </w:rPr>
        <w:t>为他人提供方便</w:t>
      </w:r>
      <w:bookmarkEnd w:id="182"/>
    </w:p>
    <w:p>
      <w:pPr>
        <w:pStyle w:val="52"/>
        <w:numPr>
          <w:ilvl w:val="0"/>
          <w:numId w:val="24"/>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承包人应按</w:t>
      </w:r>
      <w:r>
        <w:rPr>
          <w:rFonts w:hint="eastAsia" w:eastAsia="宋体"/>
          <w:color w:val="auto"/>
          <w:sz w:val="24"/>
          <w:szCs w:val="24"/>
          <w:highlight w:val="none"/>
          <w:lang w:val="en-US" w:eastAsia="zh-CN"/>
        </w:rPr>
        <w:t>发包人</w:t>
      </w:r>
      <w:r>
        <w:rPr>
          <w:rFonts w:eastAsia="宋体"/>
          <w:color w:val="auto"/>
          <w:sz w:val="24"/>
          <w:szCs w:val="24"/>
          <w:highlight w:val="none"/>
        </w:rPr>
        <w:t>的指示为他人在施工场地或附近实施与工程有关的其他各项工作提供可能的条件。</w:t>
      </w:r>
    </w:p>
    <w:p>
      <w:pPr>
        <w:pStyle w:val="52"/>
        <w:numPr>
          <w:ilvl w:val="0"/>
          <w:numId w:val="24"/>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承包人有责任在工程隐蔽验收、中间验收、竣工验收、档案验收过程中为发包人提供与政府相关部门的沟通与协调的服务，并协助发包人办理相应手续。</w:t>
      </w:r>
    </w:p>
    <w:p>
      <w:pPr>
        <w:pStyle w:val="52"/>
        <w:numPr>
          <w:ilvl w:val="0"/>
          <w:numId w:val="24"/>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承包人应负责处理好工地周边街道、社区、城管、治安、环保、安监等对本工程有管辖权的政府职能部门及机构的关系，以保证工程的顺利进行。</w:t>
      </w:r>
    </w:p>
    <w:p>
      <w:pPr>
        <w:pStyle w:val="52"/>
        <w:numPr>
          <w:ilvl w:val="0"/>
          <w:numId w:val="24"/>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必须按发包人要求的时间，将施工现场的临时设施及时拆除或清理，将施工人员（特别是施工班组人员）撤离施工现场，如承包人不能及时拆除或清理，发包人有权派人强行拆除并清理，造成的费用及责任均由承包人负责。</w:t>
      </w:r>
    </w:p>
    <w:p>
      <w:pPr>
        <w:pStyle w:val="4"/>
        <w:numPr>
          <w:ilvl w:val="2"/>
          <w:numId w:val="5"/>
        </w:numPr>
        <w:rPr>
          <w:color w:val="auto"/>
          <w:highlight w:val="none"/>
        </w:rPr>
      </w:pPr>
      <w:bookmarkStart w:id="183" w:name="_Toc24165"/>
      <w:r>
        <w:rPr>
          <w:color w:val="auto"/>
          <w:highlight w:val="none"/>
        </w:rPr>
        <w:t>工程的维护和照管</w:t>
      </w:r>
      <w:bookmarkEnd w:id="183"/>
    </w:p>
    <w:p>
      <w:pPr>
        <w:pStyle w:val="52"/>
        <w:numPr>
          <w:ilvl w:val="255"/>
          <w:numId w:val="0"/>
        </w:numPr>
        <w:ind w:firstLine="480" w:firstLineChars="200"/>
        <w:jc w:val="both"/>
        <w:rPr>
          <w:rFonts w:eastAsia="宋体"/>
          <w:color w:val="auto"/>
          <w:sz w:val="24"/>
          <w:szCs w:val="24"/>
          <w:highlight w:val="none"/>
        </w:rPr>
      </w:pPr>
      <w:r>
        <w:rPr>
          <w:rFonts w:eastAsia="宋体"/>
          <w:color w:val="auto"/>
          <w:sz w:val="24"/>
          <w:szCs w:val="24"/>
          <w:highlight w:val="none"/>
        </w:rPr>
        <w:t>整体工程竣工验收合格前，承包人应负责照管和维护本合同工程，承担本合同工程交付前完工工程成品保护责任（具体约定见专用条款）。保护期间已完本合同工程发生损坏，承包人自费予以修复。</w:t>
      </w:r>
    </w:p>
    <w:p>
      <w:pPr>
        <w:pStyle w:val="4"/>
        <w:numPr>
          <w:ilvl w:val="2"/>
          <w:numId w:val="5"/>
        </w:numPr>
        <w:rPr>
          <w:color w:val="auto"/>
          <w:highlight w:val="none"/>
        </w:rPr>
      </w:pPr>
      <w:bookmarkStart w:id="184" w:name="_Toc10194"/>
      <w:r>
        <w:rPr>
          <w:color w:val="auto"/>
          <w:highlight w:val="none"/>
        </w:rPr>
        <w:t>承包人合规缴税和税费纠纷解决条款</w:t>
      </w:r>
      <w:bookmarkEnd w:id="184"/>
    </w:p>
    <w:p>
      <w:pPr>
        <w:pStyle w:val="52"/>
        <w:numPr>
          <w:ilvl w:val="0"/>
          <w:numId w:val="25"/>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承包人须遵从相关政府部门、事业单位的法律、条例和通知(下称法定要求)，并呈交所需的通知及申请，及支付所须的费用和税项(下称法定费用)；</w:t>
      </w:r>
    </w:p>
    <w:p>
      <w:pPr>
        <w:pStyle w:val="52"/>
        <w:numPr>
          <w:ilvl w:val="0"/>
          <w:numId w:val="25"/>
        </w:numPr>
        <w:ind w:left="885" w:leftChars="250" w:hanging="360" w:hangingChars="150"/>
        <w:jc w:val="both"/>
        <w:rPr>
          <w:rFonts w:eastAsia="宋体"/>
          <w:color w:val="auto"/>
          <w:sz w:val="24"/>
          <w:szCs w:val="24"/>
          <w:highlight w:val="none"/>
        </w:rPr>
      </w:pPr>
      <w:r>
        <w:rPr>
          <w:rFonts w:eastAsia="宋体"/>
          <w:color w:val="auto"/>
          <w:sz w:val="24"/>
          <w:szCs w:val="24"/>
          <w:highlight w:val="none"/>
        </w:rPr>
        <w:t>若承包人未缴交其应缴的法定费用，发包人可代缴该等法定费用，并从按本合同应付或将支付予承包人的款项中扣除；或以</w:t>
      </w:r>
      <w:r>
        <w:rPr>
          <w:rFonts w:hint="eastAsia" w:eastAsia="宋体"/>
          <w:color w:val="auto"/>
          <w:sz w:val="24"/>
          <w:szCs w:val="24"/>
          <w:highlight w:val="none"/>
        </w:rPr>
        <w:t>债权</w:t>
      </w:r>
      <w:r>
        <w:rPr>
          <w:rFonts w:eastAsia="宋体"/>
          <w:color w:val="auto"/>
          <w:sz w:val="24"/>
          <w:szCs w:val="24"/>
          <w:highlight w:val="none"/>
        </w:rPr>
        <w:t>形式向承包人追讨；</w:t>
      </w:r>
    </w:p>
    <w:p>
      <w:pPr>
        <w:pStyle w:val="52"/>
        <w:numPr>
          <w:ilvl w:val="0"/>
          <w:numId w:val="25"/>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在收取工程款时，必须向发包人提供合法、有效及发包人按中国有关税务规定入账的发票。因承包人提供的发票不符合税务规定给发包人造成的损失，承包方应承担全部赔偿责任，赔偿包括但不限于：A发包</w:t>
      </w:r>
      <w:r>
        <w:rPr>
          <w:rFonts w:hint="eastAsia" w:eastAsia="宋体"/>
          <w:color w:val="auto"/>
          <w:sz w:val="24"/>
          <w:szCs w:val="24"/>
          <w:highlight w:val="none"/>
        </w:rPr>
        <w:t>人</w:t>
      </w:r>
      <w:r>
        <w:rPr>
          <w:rFonts w:eastAsia="宋体"/>
          <w:color w:val="auto"/>
          <w:sz w:val="24"/>
          <w:szCs w:val="24"/>
          <w:highlight w:val="none"/>
        </w:rPr>
        <w:t>交纳的税款；B相关的滞纳金；C行政主管部门的罚款。</w:t>
      </w:r>
    </w:p>
    <w:p>
      <w:pPr>
        <w:pStyle w:val="4"/>
        <w:numPr>
          <w:ilvl w:val="2"/>
          <w:numId w:val="5"/>
        </w:numPr>
        <w:rPr>
          <w:color w:val="auto"/>
          <w:highlight w:val="none"/>
        </w:rPr>
      </w:pPr>
      <w:bookmarkStart w:id="185" w:name="_Toc21655"/>
      <w:r>
        <w:rPr>
          <w:color w:val="auto"/>
          <w:highlight w:val="none"/>
        </w:rPr>
        <w:t>承包人的其它义务</w:t>
      </w:r>
      <w:bookmarkEnd w:id="185"/>
    </w:p>
    <w:p>
      <w:pPr>
        <w:pStyle w:val="52"/>
        <w:numPr>
          <w:ilvl w:val="0"/>
          <w:numId w:val="26"/>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必须遵从发包人发出的指令，不得以指令所涉及的费用未确定为借口不执行或拖延执行。若承包人未有在合理时间之内执行已发出的指令，且在收到发包人催促执行的书面通知后7天之内仍未执行，则发包人有权聘请第三方执行该指示所要求的工作，由此产生的全部费用由承包人承担，发包人有权从本合同应付给承包人的款项中直接扣除。第三方完成的工作视为承包人完成工作，不减免承包人任何合同义务和责任。</w:t>
      </w:r>
    </w:p>
    <w:p>
      <w:pPr>
        <w:pStyle w:val="52"/>
        <w:numPr>
          <w:ilvl w:val="0"/>
          <w:numId w:val="26"/>
        </w:numPr>
        <w:ind w:left="885" w:leftChars="250" w:hanging="360" w:hangingChars="150"/>
        <w:jc w:val="both"/>
        <w:rPr>
          <w:rFonts w:eastAsia="宋体"/>
          <w:color w:val="auto"/>
          <w:sz w:val="24"/>
          <w:szCs w:val="24"/>
          <w:highlight w:val="none"/>
        </w:rPr>
      </w:pPr>
      <w:r>
        <w:rPr>
          <w:rFonts w:eastAsia="宋体"/>
          <w:color w:val="auto"/>
          <w:sz w:val="24"/>
          <w:szCs w:val="24"/>
          <w:highlight w:val="none"/>
        </w:rPr>
        <w:t>严格遵守国家、地方政府关于劳动合同、劳务用工的法律法规、女工、童工保护条例、职业健康与安全培训相关规定，及时足额支付员工薪酬和社保、劳务用工的劳务报酬</w:t>
      </w:r>
      <w:r>
        <w:rPr>
          <w:rFonts w:hint="eastAsia" w:eastAsia="宋体"/>
          <w:color w:val="auto"/>
          <w:sz w:val="24"/>
          <w:szCs w:val="24"/>
          <w:highlight w:val="none"/>
        </w:rPr>
        <w:t>等</w:t>
      </w:r>
      <w:r>
        <w:rPr>
          <w:rFonts w:eastAsia="宋体"/>
          <w:color w:val="auto"/>
          <w:sz w:val="24"/>
          <w:szCs w:val="24"/>
          <w:highlight w:val="none"/>
        </w:rPr>
        <w:t>。对发包人支付的工程款，承包人须优先用于支付所聘请员工薪酬和社保、劳务用工的劳务报酬。承包人有拖欠、克扣员工薪酬和社保、劳务用工的劳动劳务报酬行为的，发包人有权在承包人工程款中扣除相应款项，并直接支付给承包人所聘请员工、劳务用工。</w:t>
      </w:r>
    </w:p>
    <w:p>
      <w:pPr>
        <w:pStyle w:val="52"/>
        <w:numPr>
          <w:ilvl w:val="0"/>
          <w:numId w:val="26"/>
        </w:numPr>
        <w:ind w:left="885" w:leftChars="250" w:hanging="360" w:hangingChars="150"/>
        <w:jc w:val="both"/>
        <w:rPr>
          <w:rFonts w:eastAsia="宋体"/>
          <w:color w:val="auto"/>
          <w:sz w:val="24"/>
          <w:szCs w:val="24"/>
          <w:highlight w:val="none"/>
        </w:rPr>
      </w:pPr>
      <w:r>
        <w:rPr>
          <w:rFonts w:eastAsia="宋体"/>
          <w:color w:val="auto"/>
          <w:sz w:val="24"/>
          <w:szCs w:val="24"/>
          <w:highlight w:val="none"/>
        </w:rPr>
        <w:t>对于本合同约定承包人应当提交给发包人审批、认可的事项，承包人均须预留给发包人充分合理的时间以便发包人正确的完成审批、认可。若因承包人迟交物料、样本、文件或工作并导致发包人没有充分合理的时间完成审批和认可，承包人需承担一切延误时间责任及经济责任。</w:t>
      </w:r>
    </w:p>
    <w:p>
      <w:pPr>
        <w:pStyle w:val="52"/>
        <w:numPr>
          <w:ilvl w:val="0"/>
          <w:numId w:val="26"/>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承包人应遵守发包人发布的工程管理相关制度，并积极配合发包人的供方评估，评估中发现的问题承包人应积极改进。</w:t>
      </w:r>
    </w:p>
    <w:p>
      <w:pPr>
        <w:pStyle w:val="52"/>
        <w:numPr>
          <w:ilvl w:val="0"/>
          <w:numId w:val="26"/>
        </w:numPr>
        <w:ind w:left="885" w:leftChars="250" w:hanging="360" w:hangingChars="150"/>
        <w:jc w:val="both"/>
        <w:rPr>
          <w:rFonts w:eastAsia="宋体"/>
          <w:color w:val="auto"/>
          <w:sz w:val="24"/>
          <w:szCs w:val="24"/>
          <w:highlight w:val="none"/>
        </w:rPr>
      </w:pPr>
      <w:r>
        <w:rPr>
          <w:rFonts w:eastAsia="宋体"/>
          <w:color w:val="auto"/>
          <w:sz w:val="24"/>
          <w:szCs w:val="24"/>
          <w:highlight w:val="none"/>
        </w:rPr>
        <w:t>由于承包人原因在施工场地内及其毗邻造成的第三方人身伤亡和财产损失，由承包人负责赔偿和处理。</w:t>
      </w:r>
    </w:p>
    <w:p>
      <w:pPr>
        <w:pStyle w:val="52"/>
        <w:numPr>
          <w:ilvl w:val="0"/>
          <w:numId w:val="26"/>
        </w:numPr>
        <w:ind w:left="885" w:leftChars="250" w:hanging="360" w:hangingChars="150"/>
        <w:jc w:val="both"/>
        <w:rPr>
          <w:rFonts w:eastAsia="宋体"/>
          <w:color w:val="auto"/>
          <w:sz w:val="24"/>
          <w:szCs w:val="24"/>
          <w:highlight w:val="none"/>
        </w:rPr>
      </w:pPr>
      <w:r>
        <w:rPr>
          <w:rFonts w:eastAsia="宋体"/>
          <w:color w:val="auto"/>
          <w:sz w:val="24"/>
          <w:szCs w:val="24"/>
          <w:highlight w:val="none"/>
        </w:rPr>
        <w:t>其它义务在专用条款中补充约定。</w:t>
      </w:r>
    </w:p>
    <w:p>
      <w:pPr>
        <w:pStyle w:val="4"/>
        <w:numPr>
          <w:ilvl w:val="1"/>
          <w:numId w:val="5"/>
        </w:numPr>
        <w:rPr>
          <w:color w:val="auto"/>
          <w:highlight w:val="none"/>
        </w:rPr>
      </w:pPr>
      <w:bookmarkStart w:id="186" w:name="_Toc26162"/>
      <w:bookmarkStart w:id="187" w:name="_Toc44492428"/>
      <w:bookmarkStart w:id="188" w:name="_Toc28547"/>
      <w:bookmarkStart w:id="189" w:name="_Toc17176"/>
      <w:r>
        <w:rPr>
          <w:color w:val="auto"/>
          <w:highlight w:val="none"/>
        </w:rPr>
        <w:t>履约担保</w:t>
      </w:r>
      <w:bookmarkEnd w:id="186"/>
      <w:bookmarkEnd w:id="187"/>
      <w:bookmarkEnd w:id="188"/>
      <w:bookmarkEnd w:id="189"/>
    </w:p>
    <w:p>
      <w:pPr>
        <w:pStyle w:val="4"/>
        <w:numPr>
          <w:ilvl w:val="2"/>
          <w:numId w:val="5"/>
        </w:numPr>
        <w:ind w:left="658" w:hanging="658"/>
        <w:rPr>
          <w:color w:val="auto"/>
          <w:highlight w:val="none"/>
        </w:rPr>
      </w:pPr>
      <w:bookmarkStart w:id="190" w:name="_Toc27479"/>
      <w:r>
        <w:rPr>
          <w:color w:val="auto"/>
          <w:highlight w:val="none"/>
        </w:rPr>
        <w:t>承包人应向发包人提供履约</w:t>
      </w:r>
      <w:r>
        <w:rPr>
          <w:rFonts w:hint="eastAsia"/>
          <w:color w:val="auto"/>
          <w:highlight w:val="none"/>
          <w:lang w:val="en-US" w:eastAsia="zh-CN"/>
        </w:rPr>
        <w:t>担保，</w:t>
      </w:r>
      <w:r>
        <w:rPr>
          <w:rFonts w:hint="eastAsia" w:ascii="Times New Roman" w:hAnsi="Times New Roman" w:eastAsia="宋体" w:cs="Times New Roman"/>
          <w:color w:val="auto"/>
          <w:highlight w:val="none"/>
          <w:lang w:val="en-US" w:eastAsia="zh-CN"/>
        </w:rPr>
        <w:t>承包人可选择以</w:t>
      </w:r>
      <w:r>
        <w:rPr>
          <w:rFonts w:hint="eastAsia" w:ascii="Times New Roman" w:hAnsi="Times New Roman" w:eastAsia="宋体" w:cs="Times New Roman"/>
          <w:snapToGrid/>
          <w:color w:val="auto"/>
          <w:sz w:val="24"/>
          <w:szCs w:val="24"/>
          <w:highlight w:val="none"/>
        </w:rPr>
        <w:t>现金或银行保函</w:t>
      </w:r>
      <w:r>
        <w:rPr>
          <w:rFonts w:hint="eastAsia" w:ascii="Times New Roman" w:hAnsi="Times New Roman" w:eastAsia="宋体" w:cs="Times New Roman"/>
          <w:snapToGrid/>
          <w:color w:val="auto"/>
          <w:sz w:val="24"/>
          <w:szCs w:val="24"/>
          <w:highlight w:val="none"/>
          <w:lang w:val="en-US" w:eastAsia="zh-CN"/>
        </w:rPr>
        <w:t>的形式提供履约担保</w:t>
      </w:r>
      <w:r>
        <w:rPr>
          <w:color w:val="auto"/>
          <w:highlight w:val="none"/>
        </w:rPr>
        <w:t>，</w:t>
      </w:r>
      <w:r>
        <w:rPr>
          <w:rFonts w:hint="eastAsia"/>
          <w:color w:val="auto"/>
          <w:highlight w:val="none"/>
          <w:lang w:val="en-US" w:eastAsia="zh-CN"/>
        </w:rPr>
        <w:t>银行保函</w:t>
      </w:r>
      <w:r>
        <w:rPr>
          <w:color w:val="auto"/>
          <w:highlight w:val="none"/>
        </w:rPr>
        <w:t>履约担保的格式见</w:t>
      </w:r>
      <w:r>
        <w:rPr>
          <w:rFonts w:hint="eastAsia"/>
          <w:color w:val="auto"/>
          <w:highlight w:val="none"/>
        </w:rPr>
        <w:t>本合同</w:t>
      </w:r>
      <w:r>
        <w:rPr>
          <w:color w:val="auto"/>
          <w:highlight w:val="none"/>
        </w:rPr>
        <w:t>附件</w:t>
      </w:r>
      <w:r>
        <w:rPr>
          <w:rFonts w:hint="eastAsia"/>
          <w:color w:val="auto"/>
          <w:highlight w:val="none"/>
          <w:lang w:val="en-US" w:eastAsia="zh-CN"/>
        </w:rPr>
        <w:t>2</w:t>
      </w:r>
      <w:r>
        <w:rPr>
          <w:color w:val="auto"/>
          <w:highlight w:val="none"/>
        </w:rPr>
        <w:t>《履约保函》。</w:t>
      </w:r>
      <w:r>
        <w:rPr>
          <w:rFonts w:hint="eastAsia"/>
          <w:color w:val="auto"/>
          <w:highlight w:val="none"/>
          <w:lang w:val="en-US" w:eastAsia="zh-CN"/>
        </w:rPr>
        <w:t>承包人选择以银行保函的形式提供履约担保的，</w:t>
      </w:r>
      <w:r>
        <w:rPr>
          <w:color w:val="auto"/>
          <w:highlight w:val="none"/>
        </w:rPr>
        <w:t>承包人应按本合同所附履约保函格式，在合同签订后10天内向发包人提供发包人认可的银行开具的</w:t>
      </w:r>
      <w:r>
        <w:rPr>
          <w:rFonts w:hint="eastAsia"/>
          <w:color w:val="auto"/>
          <w:highlight w:val="none"/>
        </w:rPr>
        <w:t>见索即付、</w:t>
      </w:r>
      <w:r>
        <w:rPr>
          <w:color w:val="auto"/>
          <w:highlight w:val="none"/>
        </w:rPr>
        <w:t>不可撤销</w:t>
      </w:r>
      <w:r>
        <w:rPr>
          <w:rFonts w:hint="eastAsia"/>
          <w:color w:val="auto"/>
          <w:highlight w:val="none"/>
        </w:rPr>
        <w:t>的</w:t>
      </w:r>
      <w:r>
        <w:rPr>
          <w:color w:val="auto"/>
          <w:highlight w:val="none"/>
        </w:rPr>
        <w:t>银行履约保函，其对发包人的保障不得低于合同所附履约保函格式的要求。履约保函的有效期</w:t>
      </w:r>
      <w:r>
        <w:rPr>
          <w:rFonts w:hint="default" w:ascii="Times New Roman" w:hAnsi="Times New Roman" w:eastAsia="宋体" w:cs="Times New Roman"/>
          <w:color w:val="auto"/>
          <w:sz w:val="24"/>
          <w:szCs w:val="24"/>
          <w:highlight w:val="none"/>
        </w:rPr>
        <w:t>从</w:t>
      </w:r>
      <w:r>
        <w:rPr>
          <w:rFonts w:hint="eastAsia"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rPr>
        <w:t>合同生效之日起至合同项下工程竣工验收合格、结算完成且工程交付发包人（以时间较晚者为准）后第30天止。</w:t>
      </w:r>
      <w:bookmarkEnd w:id="190"/>
    </w:p>
    <w:p>
      <w:pPr>
        <w:pStyle w:val="4"/>
        <w:numPr>
          <w:ilvl w:val="2"/>
          <w:numId w:val="5"/>
        </w:numPr>
        <w:ind w:left="658" w:hanging="658"/>
        <w:rPr>
          <w:color w:val="auto"/>
          <w:highlight w:val="none"/>
        </w:rPr>
      </w:pPr>
      <w:bookmarkStart w:id="191" w:name="_Toc24767"/>
      <w:r>
        <w:rPr>
          <w:color w:val="auto"/>
          <w:highlight w:val="none"/>
        </w:rPr>
        <w:t>承包人未严格按合同规定时间和格式提供履约保函</w:t>
      </w:r>
      <w:r>
        <w:rPr>
          <w:rFonts w:hint="eastAsia"/>
          <w:color w:val="auto"/>
          <w:highlight w:val="none"/>
          <w:lang w:val="en-US" w:eastAsia="zh-CN"/>
        </w:rPr>
        <w:t>或履约保证金（即以现金形式提供履约担保</w:t>
      </w:r>
      <w:r>
        <w:rPr>
          <w:rFonts w:hint="eastAsia" w:ascii="Times New Roman" w:hAnsi="Times New Roman" w:eastAsia="宋体" w:cs="Times New Roman"/>
          <w:i w:val="0"/>
          <w:iCs w:val="0"/>
          <w:caps w:val="0"/>
          <w:color w:val="auto"/>
          <w:spacing w:val="0"/>
          <w:sz w:val="24"/>
          <w:szCs w:val="24"/>
          <w:highlight w:val="none"/>
          <w:shd w:val="clear"/>
        </w:rPr>
        <w:t>，履约保证金金额为合同暂定总价的</w:t>
      </w:r>
      <w:r>
        <w:rPr>
          <w:rFonts w:hint="eastAsia" w:ascii="Times New Roman" w:hAnsi="Times New Roman" w:eastAsia="宋体" w:cs="Times New Roman"/>
          <w:i w:val="0"/>
          <w:iCs w:val="0"/>
          <w:caps w:val="0"/>
          <w:color w:val="auto"/>
          <w:spacing w:val="0"/>
          <w:sz w:val="24"/>
          <w:szCs w:val="24"/>
          <w:highlight w:val="none"/>
          <w:shd w:val="clear"/>
          <w:lang w:val="en-US"/>
        </w:rPr>
        <w:t>10%</w:t>
      </w:r>
      <w:r>
        <w:rPr>
          <w:rFonts w:hint="eastAsia"/>
          <w:color w:val="auto"/>
          <w:highlight w:val="none"/>
          <w:lang w:val="en-US" w:eastAsia="zh-CN"/>
        </w:rPr>
        <w:t>）</w:t>
      </w:r>
      <w:r>
        <w:rPr>
          <w:color w:val="auto"/>
          <w:highlight w:val="none"/>
        </w:rPr>
        <w:t>的，发包人</w:t>
      </w:r>
      <w:r>
        <w:rPr>
          <w:rFonts w:hint="eastAsia"/>
          <w:color w:val="auto"/>
          <w:highlight w:val="none"/>
        </w:rPr>
        <w:t>有权</w:t>
      </w:r>
      <w:r>
        <w:rPr>
          <w:color w:val="auto"/>
          <w:highlight w:val="none"/>
        </w:rPr>
        <w:t>解除本合同。若发包人同意继续履行合同的，可以从应付给承包人的款项中扣除</w:t>
      </w:r>
      <w:r>
        <w:rPr>
          <w:rFonts w:hint="eastAsia"/>
          <w:color w:val="auto"/>
          <w:highlight w:val="none"/>
          <w:lang w:val="en-US" w:eastAsia="zh-CN"/>
        </w:rPr>
        <w:t>等额款项</w:t>
      </w:r>
      <w:r>
        <w:rPr>
          <w:color w:val="auto"/>
          <w:highlight w:val="none"/>
        </w:rPr>
        <w:t>作为履约担保，直至承包人按合同规定格式提供履约担保至履约担保有效期结束时止。若承包人提供的履约保函有效期在4.2.1条款所要求的最长有效期前到期的，承包人应在其提供的履约保函到期前提前7天以上自动续期该履约保函，否则，发包人有权主张履约保函项下的全部金额，或从应付的合同价款中扣除等额款项作为履约担保。</w:t>
      </w:r>
      <w:bookmarkEnd w:id="191"/>
    </w:p>
    <w:p>
      <w:pPr>
        <w:pStyle w:val="4"/>
        <w:numPr>
          <w:ilvl w:val="2"/>
          <w:numId w:val="5"/>
        </w:numPr>
        <w:rPr>
          <w:color w:val="auto"/>
          <w:highlight w:val="none"/>
        </w:rPr>
      </w:pPr>
      <w:bookmarkStart w:id="192" w:name="_Toc6600"/>
      <w:r>
        <w:rPr>
          <w:color w:val="auto"/>
          <w:highlight w:val="none"/>
        </w:rPr>
        <w:t>履约保函的担保额度按专用条款约定。</w:t>
      </w:r>
      <w:bookmarkEnd w:id="192"/>
    </w:p>
    <w:p>
      <w:pPr>
        <w:pStyle w:val="4"/>
        <w:numPr>
          <w:ilvl w:val="1"/>
          <w:numId w:val="5"/>
        </w:numPr>
        <w:rPr>
          <w:bCs/>
          <w:color w:val="auto"/>
          <w:highlight w:val="none"/>
        </w:rPr>
      </w:pPr>
      <w:bookmarkStart w:id="193" w:name="_Toc44492429"/>
      <w:bookmarkStart w:id="194" w:name="_Toc22100"/>
      <w:bookmarkStart w:id="195" w:name="_Toc22278"/>
      <w:bookmarkStart w:id="196" w:name="_Toc14301"/>
      <w:r>
        <w:rPr>
          <w:bCs/>
          <w:color w:val="auto"/>
          <w:highlight w:val="none"/>
        </w:rPr>
        <w:t>分包</w:t>
      </w:r>
      <w:bookmarkEnd w:id="193"/>
      <w:bookmarkEnd w:id="194"/>
      <w:bookmarkEnd w:id="195"/>
      <w:bookmarkEnd w:id="196"/>
    </w:p>
    <w:p>
      <w:pPr>
        <w:pStyle w:val="4"/>
        <w:numPr>
          <w:ilvl w:val="2"/>
          <w:numId w:val="5"/>
        </w:numPr>
        <w:ind w:left="658" w:hanging="658"/>
        <w:rPr>
          <w:bCs/>
          <w:color w:val="auto"/>
          <w:highlight w:val="none"/>
        </w:rPr>
      </w:pPr>
      <w:bookmarkStart w:id="197" w:name="_Toc834"/>
      <w:r>
        <w:rPr>
          <w:bCs/>
          <w:color w:val="auto"/>
          <w:highlight w:val="none"/>
        </w:rPr>
        <w:t>承包人不得将其承包的全部工程转包给第三人，不得将工程主体、关键性工作分包给第三人,或将其承包的全部工程肢解后以分包的名义转包给第三人。承包人将非工程主体、非关键性工作分包给第三人的，须取得发包人的书面同意后方可进行，否则不允许进场。</w:t>
      </w:r>
      <w:bookmarkEnd w:id="197"/>
    </w:p>
    <w:p>
      <w:pPr>
        <w:pStyle w:val="4"/>
        <w:numPr>
          <w:ilvl w:val="2"/>
          <w:numId w:val="5"/>
        </w:numPr>
        <w:ind w:left="658" w:hanging="658"/>
        <w:rPr>
          <w:bCs/>
          <w:color w:val="auto"/>
          <w:highlight w:val="none"/>
        </w:rPr>
      </w:pPr>
      <w:bookmarkStart w:id="198" w:name="_Toc27797"/>
      <w:r>
        <w:rPr>
          <w:bCs/>
          <w:color w:val="auto"/>
          <w:highlight w:val="none"/>
        </w:rPr>
        <w:t>分包人的资格能力应与其分包工程的标准和规模相适应。承包人应与分包人就分包工程向发包人承担连带责任。</w:t>
      </w:r>
      <w:bookmarkEnd w:id="198"/>
    </w:p>
    <w:p>
      <w:pPr>
        <w:pStyle w:val="4"/>
        <w:numPr>
          <w:ilvl w:val="1"/>
          <w:numId w:val="5"/>
        </w:numPr>
        <w:rPr>
          <w:color w:val="auto"/>
          <w:highlight w:val="none"/>
        </w:rPr>
      </w:pPr>
      <w:bookmarkStart w:id="199" w:name="_Toc23812"/>
      <w:bookmarkStart w:id="200" w:name="_Toc44492430"/>
      <w:bookmarkStart w:id="201" w:name="_Toc22723"/>
      <w:bookmarkStart w:id="202" w:name="_Toc13492"/>
      <w:r>
        <w:rPr>
          <w:color w:val="auto"/>
          <w:highlight w:val="none"/>
        </w:rPr>
        <w:t>承包人项目经理</w:t>
      </w:r>
      <w:bookmarkEnd w:id="199"/>
      <w:bookmarkEnd w:id="200"/>
      <w:bookmarkEnd w:id="201"/>
      <w:bookmarkEnd w:id="202"/>
    </w:p>
    <w:p>
      <w:pPr>
        <w:pStyle w:val="4"/>
        <w:numPr>
          <w:ilvl w:val="2"/>
          <w:numId w:val="5"/>
        </w:numPr>
        <w:ind w:left="658" w:hanging="658"/>
        <w:rPr>
          <w:color w:val="auto"/>
          <w:highlight w:val="none"/>
        </w:rPr>
      </w:pPr>
      <w:bookmarkStart w:id="203" w:name="_Toc15283"/>
      <w:r>
        <w:rPr>
          <w:color w:val="auto"/>
          <w:highlight w:val="none"/>
        </w:rPr>
        <w:t>承包人项目经理全权代表承包人对本工程的建设进行全面管理，行使合同约定的权利，履行合同约定的义务。项目经理的姓名、职务在专用条款内写明，项目经理必须常驻工地现场，其全部工作时间应用于本工程的管理，不得兼任其他工作。</w:t>
      </w:r>
      <w:bookmarkEnd w:id="203"/>
    </w:p>
    <w:p>
      <w:pPr>
        <w:pStyle w:val="4"/>
        <w:numPr>
          <w:ilvl w:val="2"/>
          <w:numId w:val="5"/>
        </w:numPr>
        <w:ind w:left="658" w:hanging="658"/>
        <w:rPr>
          <w:color w:val="auto"/>
          <w:highlight w:val="none"/>
        </w:rPr>
      </w:pPr>
      <w:bookmarkStart w:id="204" w:name="_Toc31909"/>
      <w:r>
        <w:rPr>
          <w:color w:val="auto"/>
          <w:highlight w:val="none"/>
        </w:rPr>
        <w:t>发包人及其授权代表给予项目经理的任何指示将视为有效地给予了承包人。</w:t>
      </w:r>
      <w:bookmarkEnd w:id="204"/>
    </w:p>
    <w:p>
      <w:pPr>
        <w:pStyle w:val="4"/>
        <w:numPr>
          <w:ilvl w:val="2"/>
          <w:numId w:val="5"/>
        </w:numPr>
        <w:ind w:left="658" w:hanging="658"/>
        <w:rPr>
          <w:color w:val="auto"/>
          <w:highlight w:val="none"/>
        </w:rPr>
      </w:pPr>
      <w:bookmarkStart w:id="205" w:name="_Toc7165"/>
      <w:r>
        <w:rPr>
          <w:color w:val="auto"/>
          <w:highlight w:val="none"/>
        </w:rPr>
        <w:t>对承包人项目经理的管理要求在专用条款中说明。</w:t>
      </w:r>
      <w:bookmarkEnd w:id="205"/>
    </w:p>
    <w:p>
      <w:pPr>
        <w:pStyle w:val="4"/>
        <w:numPr>
          <w:ilvl w:val="2"/>
          <w:numId w:val="5"/>
        </w:numPr>
        <w:ind w:left="658" w:hanging="658"/>
        <w:rPr>
          <w:color w:val="auto"/>
          <w:highlight w:val="none"/>
        </w:rPr>
      </w:pPr>
      <w:bookmarkStart w:id="206" w:name="_Toc31006"/>
      <w:r>
        <w:rPr>
          <w:color w:val="auto"/>
          <w:highlight w:val="none"/>
        </w:rPr>
        <w:t>承包人如需更换项目经理，应至少提前7天将备选项目经理资料报发包人，征得发包人同意后方可更换项目经理。后任继续行使合同文件约定的前任的职权，履行前任的义务。</w:t>
      </w:r>
      <w:bookmarkEnd w:id="206"/>
    </w:p>
    <w:p>
      <w:pPr>
        <w:pStyle w:val="4"/>
        <w:numPr>
          <w:ilvl w:val="2"/>
          <w:numId w:val="5"/>
        </w:numPr>
        <w:ind w:left="658" w:hanging="658"/>
        <w:rPr>
          <w:color w:val="auto"/>
          <w:highlight w:val="none"/>
        </w:rPr>
      </w:pPr>
      <w:bookmarkStart w:id="207" w:name="_Toc19246"/>
      <w:r>
        <w:rPr>
          <w:color w:val="auto"/>
          <w:highlight w:val="none"/>
        </w:rPr>
        <w:t>承包人为履行合同发出的一切函件均应盖有承包人授权的施工场地管理机构章，并由承包人项目经理或其授权代表签字。</w:t>
      </w:r>
      <w:bookmarkEnd w:id="207"/>
    </w:p>
    <w:p>
      <w:pPr>
        <w:pStyle w:val="4"/>
        <w:numPr>
          <w:ilvl w:val="2"/>
          <w:numId w:val="5"/>
        </w:numPr>
        <w:ind w:left="658" w:hanging="658"/>
        <w:rPr>
          <w:color w:val="auto"/>
          <w:highlight w:val="none"/>
        </w:rPr>
      </w:pPr>
      <w:bookmarkStart w:id="208" w:name="_Toc2008"/>
      <w:r>
        <w:rPr>
          <w:color w:val="auto"/>
          <w:highlight w:val="none"/>
        </w:rPr>
        <w:t>承包人项目经理可以授权其下属人员履行其全部或部分职责，但应提前7</w:t>
      </w:r>
      <w:r>
        <w:rPr>
          <w:rFonts w:hint="eastAsia"/>
          <w:color w:val="auto"/>
          <w:highlight w:val="none"/>
        </w:rPr>
        <w:t>天</w:t>
      </w:r>
      <w:r>
        <w:rPr>
          <w:color w:val="auto"/>
          <w:highlight w:val="none"/>
        </w:rPr>
        <w:t>以上将这些人员的姓名和授权范围书面通知发包人，并经发包人书面同意后方可授权。任何授权或授权的撤销，应在发包人收到项目经理签发的授权委托书或撤销授权的事先书面通知后生效。</w:t>
      </w:r>
      <w:bookmarkEnd w:id="208"/>
    </w:p>
    <w:p>
      <w:pPr>
        <w:pStyle w:val="4"/>
        <w:numPr>
          <w:ilvl w:val="1"/>
          <w:numId w:val="5"/>
        </w:numPr>
        <w:rPr>
          <w:color w:val="auto"/>
          <w:highlight w:val="none"/>
        </w:rPr>
      </w:pPr>
      <w:bookmarkStart w:id="209" w:name="_Toc11195"/>
      <w:bookmarkStart w:id="210" w:name="_Toc11336"/>
      <w:bookmarkStart w:id="211" w:name="_Toc11855"/>
      <w:bookmarkStart w:id="212" w:name="_Toc44492431"/>
      <w:r>
        <w:rPr>
          <w:color w:val="auto"/>
          <w:highlight w:val="none"/>
        </w:rPr>
        <w:t>承包人人员的管理</w:t>
      </w:r>
      <w:bookmarkEnd w:id="209"/>
      <w:bookmarkEnd w:id="210"/>
      <w:bookmarkEnd w:id="211"/>
      <w:bookmarkEnd w:id="212"/>
    </w:p>
    <w:p>
      <w:pPr>
        <w:pStyle w:val="4"/>
        <w:numPr>
          <w:ilvl w:val="2"/>
          <w:numId w:val="5"/>
        </w:numPr>
        <w:ind w:left="658" w:hanging="658"/>
        <w:rPr>
          <w:color w:val="auto"/>
          <w:highlight w:val="none"/>
        </w:rPr>
      </w:pPr>
      <w:bookmarkStart w:id="213" w:name="_Toc6938"/>
      <w:r>
        <w:rPr>
          <w:color w:val="auto"/>
          <w:highlight w:val="none"/>
        </w:rPr>
        <w:t>承包人应在接到开工通知后28天内，向</w:t>
      </w:r>
      <w:r>
        <w:rPr>
          <w:rFonts w:hint="eastAsia"/>
          <w:color w:val="auto"/>
          <w:highlight w:val="none"/>
          <w:lang w:val="en-US" w:eastAsia="zh-CN"/>
        </w:rPr>
        <w:t>发包</w:t>
      </w:r>
      <w:r>
        <w:rPr>
          <w:color w:val="auto"/>
          <w:highlight w:val="none"/>
        </w:rPr>
        <w:t>人提交承包人在施工场地的管理机构以及人员安排的报告，其内容应包括管理机构的设置、各主要岗位的技术和管理人员名单及其资格的安排状况。承包人应向</w:t>
      </w:r>
      <w:r>
        <w:rPr>
          <w:rFonts w:hint="eastAsia"/>
          <w:color w:val="auto"/>
          <w:highlight w:val="none"/>
          <w:lang w:val="en-US" w:eastAsia="zh-CN"/>
        </w:rPr>
        <w:t>发包</w:t>
      </w:r>
      <w:r>
        <w:rPr>
          <w:color w:val="auto"/>
          <w:highlight w:val="none"/>
        </w:rPr>
        <w:t>人提交施工场地人员变动情况的报告。发包人对于其组成人员有异议的，承包人应提供证据证明被质疑人员有能力完成其岗位工作。</w:t>
      </w:r>
      <w:bookmarkEnd w:id="213"/>
    </w:p>
    <w:p>
      <w:pPr>
        <w:pStyle w:val="4"/>
        <w:numPr>
          <w:ilvl w:val="2"/>
          <w:numId w:val="5"/>
        </w:numPr>
        <w:ind w:left="658" w:hanging="658"/>
        <w:rPr>
          <w:color w:val="auto"/>
          <w:highlight w:val="none"/>
        </w:rPr>
      </w:pPr>
      <w:bookmarkStart w:id="214" w:name="_Toc16852"/>
      <w:r>
        <w:rPr>
          <w:color w:val="auto"/>
          <w:highlight w:val="none"/>
        </w:rPr>
        <w:t>为完成合同约定的各项工作，承包人应向施工场地派遣或雇佣足够数量的下列人员：</w:t>
      </w:r>
      <w:bookmarkEnd w:id="214"/>
    </w:p>
    <w:p>
      <w:pPr>
        <w:pStyle w:val="52"/>
        <w:numPr>
          <w:ilvl w:val="0"/>
          <w:numId w:val="27"/>
        </w:numPr>
        <w:ind w:left="885" w:leftChars="250" w:hanging="360" w:hangingChars="150"/>
        <w:jc w:val="both"/>
        <w:rPr>
          <w:rFonts w:eastAsia="宋体"/>
          <w:color w:val="auto"/>
          <w:sz w:val="24"/>
          <w:szCs w:val="24"/>
          <w:highlight w:val="none"/>
        </w:rPr>
      </w:pPr>
      <w:r>
        <w:rPr>
          <w:rFonts w:eastAsia="宋体"/>
          <w:color w:val="auto"/>
          <w:sz w:val="24"/>
          <w:szCs w:val="24"/>
          <w:highlight w:val="none"/>
        </w:rPr>
        <w:t>具有相应资格的专业技工和合格的普工；</w:t>
      </w:r>
    </w:p>
    <w:p>
      <w:pPr>
        <w:pStyle w:val="52"/>
        <w:numPr>
          <w:ilvl w:val="0"/>
          <w:numId w:val="27"/>
        </w:numPr>
        <w:ind w:left="885" w:leftChars="250" w:hanging="360" w:hangingChars="150"/>
        <w:jc w:val="both"/>
        <w:rPr>
          <w:rFonts w:eastAsia="宋体"/>
          <w:color w:val="auto"/>
          <w:sz w:val="24"/>
          <w:szCs w:val="24"/>
          <w:highlight w:val="none"/>
        </w:rPr>
      </w:pPr>
      <w:r>
        <w:rPr>
          <w:rFonts w:eastAsia="宋体"/>
          <w:color w:val="auto"/>
          <w:sz w:val="24"/>
          <w:szCs w:val="24"/>
          <w:highlight w:val="none"/>
        </w:rPr>
        <w:t>具有相应施工经验的技术人员；</w:t>
      </w:r>
    </w:p>
    <w:p>
      <w:pPr>
        <w:pStyle w:val="52"/>
        <w:numPr>
          <w:ilvl w:val="0"/>
          <w:numId w:val="27"/>
        </w:numPr>
        <w:ind w:left="885" w:leftChars="250" w:hanging="360" w:hangingChars="150"/>
        <w:jc w:val="both"/>
        <w:rPr>
          <w:rFonts w:eastAsia="宋体"/>
          <w:color w:val="auto"/>
          <w:sz w:val="24"/>
          <w:szCs w:val="24"/>
          <w:highlight w:val="none"/>
        </w:rPr>
      </w:pPr>
      <w:r>
        <w:rPr>
          <w:rFonts w:eastAsia="宋体"/>
          <w:color w:val="auto"/>
          <w:sz w:val="24"/>
          <w:szCs w:val="24"/>
          <w:highlight w:val="none"/>
        </w:rPr>
        <w:t>具有相应岗位资格的各级管理人员。</w:t>
      </w:r>
    </w:p>
    <w:p>
      <w:pPr>
        <w:pStyle w:val="4"/>
        <w:numPr>
          <w:ilvl w:val="2"/>
          <w:numId w:val="5"/>
        </w:numPr>
        <w:ind w:left="658" w:hanging="658"/>
        <w:rPr>
          <w:color w:val="auto"/>
          <w:highlight w:val="none"/>
        </w:rPr>
      </w:pPr>
      <w:bookmarkStart w:id="215" w:name="_Toc7510"/>
      <w:r>
        <w:rPr>
          <w:color w:val="auto"/>
          <w:highlight w:val="none"/>
        </w:rPr>
        <w:t>承包人安排在施工场地的主要管理人员和技术骨干应相对稳定。承包人更换主要管理人员和技术骨干时，应取得发包人的同意。</w:t>
      </w:r>
      <w:bookmarkEnd w:id="215"/>
    </w:p>
    <w:p>
      <w:pPr>
        <w:pStyle w:val="4"/>
        <w:numPr>
          <w:ilvl w:val="2"/>
          <w:numId w:val="5"/>
        </w:numPr>
        <w:ind w:left="658" w:hanging="658"/>
        <w:rPr>
          <w:color w:val="auto"/>
          <w:highlight w:val="none"/>
        </w:rPr>
      </w:pPr>
      <w:bookmarkStart w:id="216" w:name="_Toc20788"/>
      <w:r>
        <w:rPr>
          <w:color w:val="auto"/>
          <w:highlight w:val="none"/>
        </w:rPr>
        <w:t>特殊岗位的工作人员均应持有相应的资格证明，</w:t>
      </w:r>
      <w:r>
        <w:rPr>
          <w:rFonts w:hint="eastAsia"/>
          <w:color w:val="auto"/>
          <w:highlight w:val="none"/>
          <w:lang w:eastAsia="zh-CN"/>
        </w:rPr>
        <w:t>发包人</w:t>
      </w:r>
      <w:r>
        <w:rPr>
          <w:color w:val="auto"/>
          <w:highlight w:val="none"/>
        </w:rPr>
        <w:t>有权随时检查。</w:t>
      </w:r>
      <w:r>
        <w:rPr>
          <w:rFonts w:hint="eastAsia"/>
          <w:color w:val="auto"/>
          <w:highlight w:val="none"/>
          <w:lang w:eastAsia="zh-CN"/>
        </w:rPr>
        <w:t>发包人</w:t>
      </w:r>
      <w:r>
        <w:rPr>
          <w:color w:val="auto"/>
          <w:highlight w:val="none"/>
        </w:rPr>
        <w:t>认为有必要时，可进行现场考核。</w:t>
      </w:r>
      <w:bookmarkEnd w:id="216"/>
    </w:p>
    <w:p>
      <w:pPr>
        <w:pStyle w:val="4"/>
        <w:numPr>
          <w:ilvl w:val="2"/>
          <w:numId w:val="5"/>
        </w:numPr>
        <w:ind w:left="658" w:hanging="658"/>
        <w:rPr>
          <w:color w:val="auto"/>
          <w:highlight w:val="none"/>
        </w:rPr>
      </w:pPr>
      <w:bookmarkStart w:id="217" w:name="_Toc541"/>
      <w:r>
        <w:rPr>
          <w:color w:val="auto"/>
          <w:highlight w:val="none"/>
        </w:rPr>
        <w:t>承包人和其施工人员之间的劳动、雇佣（劳务）关系一概和发包人无关。承包人应自行承担施工人员的劳动报酬、社会保险和福利待遇等，办理工伤保险。承包人不得拖欠劳动报酬，若因承包人拖欠工人劳动报酬引起的一切法律、经济责任由承包人自行承担，若由此造成工程停工、工期延误和发包人损失的，由承包人负责赔偿。</w:t>
      </w:r>
      <w:bookmarkEnd w:id="217"/>
    </w:p>
    <w:p>
      <w:pPr>
        <w:pStyle w:val="4"/>
        <w:numPr>
          <w:ilvl w:val="1"/>
          <w:numId w:val="5"/>
        </w:numPr>
        <w:rPr>
          <w:color w:val="auto"/>
          <w:highlight w:val="none"/>
        </w:rPr>
      </w:pPr>
      <w:bookmarkStart w:id="218" w:name="_Toc23482"/>
      <w:bookmarkStart w:id="219" w:name="_Toc27334"/>
      <w:bookmarkStart w:id="220" w:name="_Toc44492432"/>
      <w:bookmarkStart w:id="221" w:name="_Toc6831"/>
      <w:r>
        <w:rPr>
          <w:color w:val="auto"/>
          <w:highlight w:val="none"/>
        </w:rPr>
        <w:t>撤换承包人项目经理和其他人员</w:t>
      </w:r>
      <w:bookmarkEnd w:id="218"/>
      <w:bookmarkEnd w:id="219"/>
      <w:bookmarkEnd w:id="220"/>
      <w:bookmarkEnd w:id="221"/>
    </w:p>
    <w:p>
      <w:pPr>
        <w:pStyle w:val="4"/>
        <w:numPr>
          <w:ilvl w:val="2"/>
          <w:numId w:val="5"/>
        </w:numPr>
        <w:ind w:left="658" w:hanging="658"/>
        <w:rPr>
          <w:color w:val="auto"/>
          <w:highlight w:val="none"/>
        </w:rPr>
      </w:pPr>
      <w:bookmarkStart w:id="222" w:name="_Toc23499"/>
      <w:r>
        <w:rPr>
          <w:color w:val="auto"/>
          <w:highlight w:val="none"/>
        </w:rPr>
        <w:t>承包人应对其项目经理和其他人员进行有效管理。发包人要求撤换不能胜任本职工作、行为不端或玩忽职守的承包人项目经理和其他人员的，承包人应予以撤换。</w:t>
      </w:r>
      <w:bookmarkEnd w:id="222"/>
    </w:p>
    <w:p>
      <w:pPr>
        <w:pStyle w:val="4"/>
        <w:numPr>
          <w:ilvl w:val="2"/>
          <w:numId w:val="5"/>
        </w:numPr>
        <w:ind w:left="658" w:hanging="658"/>
        <w:rPr>
          <w:bCs/>
          <w:color w:val="auto"/>
          <w:highlight w:val="none"/>
        </w:rPr>
      </w:pPr>
      <w:bookmarkStart w:id="223" w:name="_Toc867"/>
      <w:r>
        <w:rPr>
          <w:bCs/>
          <w:color w:val="auto"/>
          <w:highlight w:val="none"/>
        </w:rPr>
        <w:t>本合同对于撤换承包人项目经理和其他人员的具体约定见专用条款。</w:t>
      </w:r>
      <w:bookmarkEnd w:id="223"/>
    </w:p>
    <w:p>
      <w:pPr>
        <w:pStyle w:val="4"/>
        <w:numPr>
          <w:ilvl w:val="1"/>
          <w:numId w:val="5"/>
        </w:numPr>
        <w:rPr>
          <w:color w:val="auto"/>
          <w:highlight w:val="none"/>
        </w:rPr>
      </w:pPr>
      <w:bookmarkStart w:id="224" w:name="_Toc1187"/>
      <w:bookmarkStart w:id="225" w:name="_Toc15216"/>
      <w:bookmarkStart w:id="226" w:name="_Toc31508"/>
      <w:bookmarkStart w:id="227" w:name="_Toc44492433"/>
      <w:r>
        <w:rPr>
          <w:color w:val="auto"/>
          <w:highlight w:val="none"/>
        </w:rPr>
        <w:t>保障承包人人员的合法权益</w:t>
      </w:r>
      <w:bookmarkEnd w:id="224"/>
      <w:bookmarkEnd w:id="225"/>
      <w:bookmarkEnd w:id="226"/>
      <w:bookmarkEnd w:id="227"/>
    </w:p>
    <w:p>
      <w:pPr>
        <w:pStyle w:val="4"/>
        <w:numPr>
          <w:ilvl w:val="2"/>
          <w:numId w:val="5"/>
        </w:numPr>
        <w:ind w:left="658" w:hanging="658"/>
        <w:rPr>
          <w:color w:val="auto"/>
          <w:highlight w:val="none"/>
        </w:rPr>
      </w:pPr>
      <w:bookmarkStart w:id="228" w:name="_Toc3183"/>
      <w:r>
        <w:rPr>
          <w:color w:val="auto"/>
          <w:highlight w:val="none"/>
        </w:rPr>
        <w:t>承包人应与其雇佣的人员签订劳动合同，并按时发放工资。</w:t>
      </w:r>
      <w:bookmarkEnd w:id="228"/>
    </w:p>
    <w:p>
      <w:pPr>
        <w:pStyle w:val="4"/>
        <w:numPr>
          <w:ilvl w:val="2"/>
          <w:numId w:val="5"/>
        </w:numPr>
        <w:ind w:left="658" w:hanging="658"/>
        <w:rPr>
          <w:color w:val="auto"/>
          <w:highlight w:val="none"/>
        </w:rPr>
      </w:pPr>
      <w:bookmarkStart w:id="229" w:name="_Toc24021"/>
      <w:r>
        <w:rPr>
          <w:color w:val="auto"/>
          <w:highlight w:val="none"/>
        </w:rPr>
        <w:t>承包人应为其雇佣人员提供必要的食宿条件，以及符合环境保护和卫生要求的生活环境，在远离城镇的施工场地，还应配备必要的伤病防治和急救的医务人员与医疗设施。</w:t>
      </w:r>
      <w:bookmarkEnd w:id="229"/>
    </w:p>
    <w:p>
      <w:pPr>
        <w:pStyle w:val="4"/>
        <w:numPr>
          <w:ilvl w:val="2"/>
          <w:numId w:val="5"/>
        </w:numPr>
        <w:ind w:left="658" w:hanging="658"/>
        <w:rPr>
          <w:color w:val="auto"/>
          <w:highlight w:val="none"/>
        </w:rPr>
      </w:pPr>
      <w:bookmarkStart w:id="230" w:name="_Toc19696"/>
      <w:r>
        <w:rPr>
          <w:color w:val="auto"/>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bookmarkEnd w:id="230"/>
    </w:p>
    <w:p>
      <w:pPr>
        <w:pStyle w:val="4"/>
        <w:numPr>
          <w:ilvl w:val="2"/>
          <w:numId w:val="5"/>
        </w:numPr>
        <w:rPr>
          <w:color w:val="auto"/>
          <w:highlight w:val="none"/>
        </w:rPr>
      </w:pPr>
      <w:bookmarkStart w:id="231" w:name="_Toc15529"/>
      <w:r>
        <w:rPr>
          <w:color w:val="auto"/>
          <w:highlight w:val="none"/>
        </w:rPr>
        <w:t>承包人应按有关法律规定和合同约定，为其雇佣人员办理保险。</w:t>
      </w:r>
      <w:bookmarkEnd w:id="231"/>
    </w:p>
    <w:p>
      <w:pPr>
        <w:pStyle w:val="4"/>
        <w:numPr>
          <w:ilvl w:val="2"/>
          <w:numId w:val="5"/>
        </w:numPr>
        <w:ind w:left="658" w:hanging="658"/>
        <w:rPr>
          <w:color w:val="auto"/>
          <w:highlight w:val="none"/>
        </w:rPr>
      </w:pPr>
      <w:bookmarkStart w:id="232" w:name="_Toc16787"/>
      <w:r>
        <w:rPr>
          <w:color w:val="auto"/>
          <w:highlight w:val="none"/>
        </w:rPr>
        <w:t>承包人应负责处理其雇佣人员因工伤亡事故的善后事宜，保障发包人和本工程不因其遭受任何滋扰，保障发包人不发生任何费用、损失。</w:t>
      </w:r>
      <w:bookmarkEnd w:id="232"/>
    </w:p>
    <w:p>
      <w:pPr>
        <w:pStyle w:val="4"/>
        <w:numPr>
          <w:ilvl w:val="1"/>
          <w:numId w:val="5"/>
        </w:numPr>
        <w:rPr>
          <w:color w:val="auto"/>
          <w:highlight w:val="none"/>
        </w:rPr>
      </w:pPr>
      <w:bookmarkStart w:id="233" w:name="_Toc91"/>
      <w:bookmarkStart w:id="234" w:name="_Toc44492434"/>
      <w:bookmarkStart w:id="235" w:name="_Toc21766"/>
      <w:bookmarkStart w:id="236" w:name="_Toc22152"/>
      <w:r>
        <w:rPr>
          <w:color w:val="auto"/>
          <w:highlight w:val="none"/>
        </w:rPr>
        <w:t>工程价款应专款专用</w:t>
      </w:r>
      <w:bookmarkEnd w:id="233"/>
      <w:bookmarkEnd w:id="234"/>
      <w:bookmarkEnd w:id="235"/>
      <w:bookmarkEnd w:id="236"/>
    </w:p>
    <w:p>
      <w:pPr>
        <w:pStyle w:val="4"/>
        <w:numPr>
          <w:ilvl w:val="2"/>
          <w:numId w:val="5"/>
        </w:numPr>
        <w:rPr>
          <w:color w:val="auto"/>
          <w:highlight w:val="none"/>
        </w:rPr>
      </w:pPr>
      <w:bookmarkStart w:id="237" w:name="_Toc6345"/>
      <w:r>
        <w:rPr>
          <w:color w:val="auto"/>
          <w:highlight w:val="none"/>
        </w:rPr>
        <w:t>发包人按合同约定支付给承包人的各项价款应专用于合同工程。</w:t>
      </w:r>
      <w:bookmarkEnd w:id="237"/>
    </w:p>
    <w:p>
      <w:pPr>
        <w:pStyle w:val="4"/>
        <w:numPr>
          <w:ilvl w:val="1"/>
          <w:numId w:val="5"/>
        </w:numPr>
        <w:rPr>
          <w:color w:val="auto"/>
          <w:highlight w:val="none"/>
        </w:rPr>
      </w:pPr>
      <w:bookmarkStart w:id="238" w:name="_Toc29091"/>
      <w:bookmarkStart w:id="239" w:name="_Toc4079"/>
      <w:bookmarkStart w:id="240" w:name="_Toc44492435"/>
      <w:bookmarkStart w:id="241" w:name="_Toc25885"/>
      <w:r>
        <w:rPr>
          <w:color w:val="auto"/>
          <w:highlight w:val="none"/>
        </w:rPr>
        <w:t>承包人现场查勘</w:t>
      </w:r>
      <w:bookmarkEnd w:id="238"/>
      <w:bookmarkEnd w:id="239"/>
      <w:bookmarkEnd w:id="240"/>
      <w:bookmarkEnd w:id="241"/>
      <w:r>
        <w:rPr>
          <w:color w:val="auto"/>
          <w:highlight w:val="none"/>
        </w:rPr>
        <w:t xml:space="preserve">                                                                                                           </w:t>
      </w:r>
    </w:p>
    <w:p>
      <w:pPr>
        <w:pStyle w:val="4"/>
        <w:numPr>
          <w:ilvl w:val="2"/>
          <w:numId w:val="5"/>
        </w:numPr>
        <w:ind w:left="658" w:hanging="658"/>
        <w:rPr>
          <w:rFonts w:eastAsia="宋体" w:cs="Times New Roman"/>
          <w:color w:val="auto"/>
          <w:kern w:val="2"/>
          <w:sz w:val="24"/>
          <w:szCs w:val="24"/>
          <w:highlight w:val="none"/>
        </w:rPr>
      </w:pPr>
      <w:bookmarkStart w:id="242" w:name="_Toc17273"/>
      <w:r>
        <w:rPr>
          <w:rFonts w:hint="default" w:eastAsia="宋体" w:cs="Times New Roman"/>
          <w:color w:val="auto"/>
          <w:kern w:val="2"/>
          <w:sz w:val="24"/>
          <w:szCs w:val="24"/>
          <w:highlight w:val="none"/>
        </w:rPr>
        <w:t>发包人应提供施工场地的地质勘探资料、地下管网线路、地下构筑物资料、现场水文气象资料。承包人应对其阅读上述有关资料后所作出的解释和推断负责。如因承包人原因造成损坏，由承包人负责维修并承担费用。</w:t>
      </w:r>
    </w:p>
    <w:p>
      <w:pPr>
        <w:pStyle w:val="4"/>
        <w:numPr>
          <w:ilvl w:val="2"/>
          <w:numId w:val="5"/>
        </w:numPr>
        <w:ind w:left="658" w:hanging="658"/>
        <w:rPr>
          <w:color w:val="auto"/>
          <w:highlight w:val="none"/>
        </w:rPr>
      </w:pPr>
      <w:r>
        <w:rPr>
          <w:rFonts w:hint="default" w:eastAsia="宋体" w:cs="Times New Roman"/>
          <w:color w:val="auto"/>
          <w:kern w:val="2"/>
          <w:sz w:val="24"/>
          <w:szCs w:val="24"/>
          <w:highlight w:val="none"/>
        </w:rPr>
        <w:t>发包人将水准点、坐标控制点提供给承包人，并于现场交验。水准点、坐标控制点交验完毕，即由承包人自费负责保护，此后由于破坏或失准带来的重新测量、放点费用及由此造成的其他损失均由承包人负担。</w:t>
      </w:r>
    </w:p>
    <w:p>
      <w:pPr>
        <w:pStyle w:val="4"/>
        <w:numPr>
          <w:ilvl w:val="2"/>
          <w:numId w:val="5"/>
        </w:numPr>
        <w:ind w:left="658" w:hanging="658"/>
        <w:rPr>
          <w:color w:val="auto"/>
          <w:highlight w:val="none"/>
        </w:rPr>
      </w:pPr>
      <w:r>
        <w:rPr>
          <w:color w:val="auto"/>
          <w:highlight w:val="none"/>
        </w:rPr>
        <w:t>承包人应对施工场地和周围环境进行查勘，并收集有关地质、水文、气象条件、交通条件、风俗习惯以及其他为完成合同工作有关的当地资料。在全部合同工作中，应视为承包人已充分估计了应承担的责任和风险，对相关资料进行了认真细致和全面的查勘和检查，并且已经就任何可能存在的疑问向发包人获取了足够的澄清和解答，有关的风险均视为已包括在承包人的暂定合同总价中。</w:t>
      </w:r>
      <w:bookmarkEnd w:id="242"/>
    </w:p>
    <w:p>
      <w:pPr>
        <w:pStyle w:val="4"/>
        <w:numPr>
          <w:ilvl w:val="2"/>
          <w:numId w:val="5"/>
        </w:numPr>
        <w:rPr>
          <w:color w:val="auto"/>
          <w:highlight w:val="none"/>
        </w:rPr>
      </w:pPr>
      <w:bookmarkStart w:id="243" w:name="_Toc32712"/>
      <w:r>
        <w:rPr>
          <w:color w:val="auto"/>
          <w:highlight w:val="none"/>
        </w:rPr>
        <w:t>发包人向承包人提供的其他资料在专用条款里写明。</w:t>
      </w:r>
      <w:bookmarkEnd w:id="243"/>
    </w:p>
    <w:p>
      <w:pPr>
        <w:pStyle w:val="4"/>
        <w:numPr>
          <w:ilvl w:val="1"/>
          <w:numId w:val="5"/>
        </w:numPr>
        <w:rPr>
          <w:color w:val="auto"/>
          <w:highlight w:val="none"/>
        </w:rPr>
      </w:pPr>
      <w:bookmarkStart w:id="244" w:name="_Toc8291"/>
      <w:bookmarkStart w:id="245" w:name="_Toc22819"/>
      <w:bookmarkStart w:id="246" w:name="_Toc44492436"/>
      <w:bookmarkStart w:id="247" w:name="_Toc31588"/>
      <w:r>
        <w:rPr>
          <w:color w:val="auto"/>
          <w:highlight w:val="none"/>
        </w:rPr>
        <w:t>不利物质条件</w:t>
      </w:r>
      <w:bookmarkEnd w:id="244"/>
      <w:bookmarkEnd w:id="245"/>
      <w:bookmarkEnd w:id="246"/>
      <w:bookmarkEnd w:id="247"/>
    </w:p>
    <w:p>
      <w:pPr>
        <w:pStyle w:val="4"/>
        <w:numPr>
          <w:ilvl w:val="2"/>
          <w:numId w:val="5"/>
        </w:numPr>
        <w:ind w:left="777" w:hanging="777"/>
        <w:rPr>
          <w:color w:val="auto"/>
          <w:highlight w:val="none"/>
        </w:rPr>
      </w:pPr>
      <w:bookmarkStart w:id="248" w:name="_Toc27373"/>
      <w:r>
        <w:rPr>
          <w:color w:val="auto"/>
          <w:highlight w:val="none"/>
        </w:rPr>
        <w:t>不利物质条件，除专用条款另有约定外，是指承包人在施工场地遇到的不可预见的自然物质条件、非自然的物质障碍和污染物，包括地下和水文条件，但不包括气候条件。</w:t>
      </w:r>
      <w:bookmarkEnd w:id="248"/>
    </w:p>
    <w:p>
      <w:pPr>
        <w:pStyle w:val="4"/>
        <w:numPr>
          <w:ilvl w:val="2"/>
          <w:numId w:val="5"/>
        </w:numPr>
        <w:ind w:left="777" w:hanging="777"/>
        <w:rPr>
          <w:color w:val="auto"/>
          <w:highlight w:val="none"/>
        </w:rPr>
      </w:pPr>
      <w:bookmarkStart w:id="249" w:name="_Toc16233"/>
      <w:r>
        <w:rPr>
          <w:color w:val="auto"/>
          <w:highlight w:val="none"/>
        </w:rPr>
        <w:t>承包人遇到不利物质条件时，应采取适应不利物质条件的合理措施继续施工，并及时通知</w:t>
      </w:r>
      <w:r>
        <w:rPr>
          <w:rFonts w:hint="eastAsia"/>
          <w:color w:val="auto"/>
          <w:highlight w:val="none"/>
          <w:lang w:eastAsia="zh-CN"/>
        </w:rPr>
        <w:t>发包人</w:t>
      </w:r>
      <w:r>
        <w:rPr>
          <w:color w:val="auto"/>
          <w:highlight w:val="none"/>
        </w:rPr>
        <w:t>。</w:t>
      </w:r>
      <w:r>
        <w:rPr>
          <w:rFonts w:hint="eastAsia"/>
          <w:color w:val="auto"/>
          <w:highlight w:val="none"/>
          <w:lang w:eastAsia="zh-CN"/>
        </w:rPr>
        <w:t>发包人</w:t>
      </w:r>
      <w:r>
        <w:rPr>
          <w:color w:val="auto"/>
          <w:highlight w:val="none"/>
        </w:rPr>
        <w:t>应当及时发出指示，若指示构成变更的，按变更约定办理。</w:t>
      </w:r>
      <w:bookmarkEnd w:id="249"/>
    </w:p>
    <w:p>
      <w:pPr>
        <w:pStyle w:val="4"/>
        <w:numPr>
          <w:ilvl w:val="0"/>
          <w:numId w:val="5"/>
        </w:numPr>
        <w:rPr>
          <w:color w:val="auto"/>
          <w:highlight w:val="none"/>
        </w:rPr>
      </w:pPr>
      <w:bookmarkStart w:id="250" w:name="_Toc17012"/>
      <w:bookmarkStart w:id="251" w:name="_Toc47512235"/>
      <w:bookmarkStart w:id="252" w:name="_Toc14871"/>
      <w:bookmarkStart w:id="253" w:name="_Toc21920"/>
      <w:bookmarkStart w:id="254" w:name="_Toc16694"/>
      <w:bookmarkStart w:id="255" w:name="_Toc14899"/>
      <w:bookmarkStart w:id="256" w:name="_Toc15947"/>
      <w:bookmarkStart w:id="257" w:name="_Toc44492437"/>
      <w:bookmarkStart w:id="258" w:name="_Toc44227986"/>
      <w:bookmarkStart w:id="259" w:name="_Toc407355998"/>
      <w:r>
        <w:rPr>
          <w:color w:val="auto"/>
          <w:highlight w:val="none"/>
        </w:rPr>
        <w:t>材料和工程设备</w:t>
      </w:r>
      <w:bookmarkEnd w:id="250"/>
      <w:bookmarkEnd w:id="251"/>
      <w:bookmarkEnd w:id="252"/>
      <w:bookmarkEnd w:id="253"/>
      <w:bookmarkEnd w:id="254"/>
      <w:bookmarkEnd w:id="255"/>
      <w:bookmarkEnd w:id="256"/>
      <w:bookmarkEnd w:id="257"/>
      <w:bookmarkEnd w:id="258"/>
      <w:bookmarkEnd w:id="259"/>
    </w:p>
    <w:p>
      <w:pPr>
        <w:pStyle w:val="4"/>
        <w:numPr>
          <w:ilvl w:val="1"/>
          <w:numId w:val="5"/>
        </w:numPr>
        <w:rPr>
          <w:color w:val="auto"/>
          <w:highlight w:val="none"/>
        </w:rPr>
      </w:pPr>
      <w:bookmarkStart w:id="260" w:name="_Toc10651"/>
      <w:bookmarkStart w:id="261" w:name="_Toc44492438"/>
      <w:bookmarkStart w:id="262" w:name="_Toc25692"/>
      <w:bookmarkStart w:id="263" w:name="_Toc4809"/>
      <w:r>
        <w:rPr>
          <w:color w:val="auto"/>
          <w:highlight w:val="none"/>
        </w:rPr>
        <w:t>承包人提供的材料和工程设备</w:t>
      </w:r>
      <w:bookmarkEnd w:id="260"/>
      <w:bookmarkEnd w:id="261"/>
      <w:bookmarkEnd w:id="262"/>
      <w:bookmarkEnd w:id="263"/>
    </w:p>
    <w:p>
      <w:pPr>
        <w:pStyle w:val="4"/>
        <w:numPr>
          <w:ilvl w:val="2"/>
          <w:numId w:val="5"/>
        </w:numPr>
        <w:rPr>
          <w:color w:val="auto"/>
          <w:highlight w:val="none"/>
        </w:rPr>
      </w:pPr>
      <w:bookmarkStart w:id="264" w:name="_Toc20117"/>
      <w:r>
        <w:rPr>
          <w:color w:val="auto"/>
          <w:highlight w:val="none"/>
        </w:rPr>
        <w:t>甲控乙供的材料和工程设备在专用条款中说明。</w:t>
      </w:r>
      <w:bookmarkEnd w:id="264"/>
    </w:p>
    <w:p>
      <w:pPr>
        <w:pStyle w:val="4"/>
        <w:numPr>
          <w:ilvl w:val="2"/>
          <w:numId w:val="5"/>
        </w:numPr>
        <w:ind w:left="658" w:hanging="658"/>
        <w:rPr>
          <w:color w:val="auto"/>
          <w:highlight w:val="none"/>
        </w:rPr>
      </w:pPr>
      <w:bookmarkStart w:id="265" w:name="_Toc27905"/>
      <w:r>
        <w:rPr>
          <w:color w:val="auto"/>
          <w:highlight w:val="none"/>
        </w:rPr>
        <w:t>除专用条款另有约定外，承包人提供的材料和工程设备均由承包人负责采购、运输和保管。承包人应对其采购的材料和工程设备负责。</w:t>
      </w:r>
      <w:bookmarkEnd w:id="265"/>
    </w:p>
    <w:p>
      <w:pPr>
        <w:pStyle w:val="4"/>
        <w:numPr>
          <w:ilvl w:val="2"/>
          <w:numId w:val="5"/>
        </w:numPr>
        <w:ind w:left="658" w:hanging="658"/>
        <w:rPr>
          <w:color w:val="auto"/>
          <w:highlight w:val="none"/>
        </w:rPr>
      </w:pPr>
      <w:bookmarkStart w:id="266" w:name="_Toc29158"/>
      <w:r>
        <w:rPr>
          <w:color w:val="auto"/>
          <w:highlight w:val="none"/>
        </w:rPr>
        <w:t>承包人提供的材料和工程设备必须符合合同文件的要求。</w:t>
      </w:r>
      <w:bookmarkEnd w:id="266"/>
    </w:p>
    <w:p>
      <w:pPr>
        <w:pStyle w:val="4"/>
        <w:numPr>
          <w:ilvl w:val="2"/>
          <w:numId w:val="5"/>
        </w:numPr>
        <w:ind w:left="658" w:hanging="658"/>
        <w:rPr>
          <w:color w:val="auto"/>
          <w:highlight w:val="none"/>
        </w:rPr>
      </w:pPr>
      <w:bookmarkStart w:id="267" w:name="_Toc7273"/>
      <w:r>
        <w:rPr>
          <w:color w:val="auto"/>
          <w:highlight w:val="none"/>
        </w:rPr>
        <w:t>承包人须按专用条款中规定的时间向发包人提交材料和工程设备的品牌、规格、价格、实验报告、产品合格证明、样品等资料，对材料和工程设备质量负责，经发包人认可后才能用于本工程。</w:t>
      </w:r>
      <w:bookmarkEnd w:id="267"/>
    </w:p>
    <w:p>
      <w:pPr>
        <w:pStyle w:val="4"/>
        <w:numPr>
          <w:ilvl w:val="2"/>
          <w:numId w:val="5"/>
        </w:numPr>
        <w:rPr>
          <w:color w:val="auto"/>
          <w:highlight w:val="none"/>
        </w:rPr>
      </w:pPr>
      <w:bookmarkStart w:id="268" w:name="_Toc9279"/>
      <w:r>
        <w:rPr>
          <w:color w:val="auto"/>
          <w:highlight w:val="none"/>
        </w:rPr>
        <w:t>样品</w:t>
      </w:r>
      <w:bookmarkEnd w:id="268"/>
    </w:p>
    <w:p>
      <w:pPr>
        <w:pStyle w:val="52"/>
        <w:ind w:firstLine="480"/>
        <w:jc w:val="both"/>
        <w:rPr>
          <w:rFonts w:eastAsia="宋体"/>
          <w:color w:val="auto"/>
          <w:sz w:val="24"/>
          <w:szCs w:val="24"/>
          <w:highlight w:val="none"/>
        </w:rPr>
      </w:pPr>
      <w:r>
        <w:rPr>
          <w:rFonts w:eastAsia="宋体"/>
          <w:color w:val="auto"/>
          <w:sz w:val="24"/>
          <w:szCs w:val="24"/>
          <w:highlight w:val="none"/>
        </w:rPr>
        <w:t>在施工前，承包人应按照发包人的要求免费提供工程所需样品，并由发包人确认后，封存于发包人场所，作为以后验收货物和（或）工程的标准。发包人对任何样品的认可，并不会减轻或解除承包人按合同须履行的责任。若样品存在任何隐蔽瑕疵或任何缺陷，均不免除或减轻承包人在本合同项下的质量保证责任。</w:t>
      </w:r>
    </w:p>
    <w:p>
      <w:pPr>
        <w:pStyle w:val="4"/>
        <w:numPr>
          <w:ilvl w:val="2"/>
          <w:numId w:val="5"/>
        </w:numPr>
        <w:ind w:left="658" w:hanging="658"/>
        <w:rPr>
          <w:color w:val="auto"/>
          <w:highlight w:val="none"/>
        </w:rPr>
      </w:pPr>
      <w:bookmarkStart w:id="269" w:name="_Toc7629"/>
      <w:r>
        <w:rPr>
          <w:color w:val="auto"/>
          <w:highlight w:val="none"/>
        </w:rPr>
        <w:t>承包人需在材料和工程设备到场前24小时通知发包人进行验收清点。</w:t>
      </w:r>
      <w:bookmarkEnd w:id="269"/>
    </w:p>
    <w:p>
      <w:pPr>
        <w:pStyle w:val="4"/>
        <w:numPr>
          <w:ilvl w:val="2"/>
          <w:numId w:val="5"/>
        </w:numPr>
        <w:ind w:left="658" w:hanging="658"/>
        <w:rPr>
          <w:color w:val="auto"/>
          <w:highlight w:val="none"/>
        </w:rPr>
      </w:pPr>
      <w:bookmarkStart w:id="270" w:name="_Toc18531"/>
      <w:r>
        <w:rPr>
          <w:color w:val="auto"/>
          <w:highlight w:val="none"/>
        </w:rPr>
        <w:t>承包人提供的材料和工程设备在使用前，应按发包人的要求进行检验或试验，不合格的不得使用，检验或试验费用由承包人承担。</w:t>
      </w:r>
      <w:bookmarkEnd w:id="270"/>
    </w:p>
    <w:p>
      <w:pPr>
        <w:pStyle w:val="4"/>
        <w:numPr>
          <w:ilvl w:val="2"/>
          <w:numId w:val="5"/>
        </w:numPr>
        <w:ind w:left="658" w:hanging="658"/>
        <w:rPr>
          <w:color w:val="auto"/>
          <w:highlight w:val="none"/>
        </w:rPr>
      </w:pPr>
      <w:bookmarkStart w:id="271" w:name="_Toc25488"/>
      <w:r>
        <w:rPr>
          <w:color w:val="auto"/>
          <w:highlight w:val="none"/>
        </w:rPr>
        <w:t>本工程按见证及监督取样送检的要求进行材料的检测，检测费用由承包人承担。在超出见证取样送检规定之外的情况下，若发包人对进场报验材料仍有异议，可按规定程序进行抽检，检验费用由承包人先行支付。若检验合格，检验费用由发包人承担；若检验不合格，检验费用由承包人承担，并由承包人承担由此给发包人造成的损失。</w:t>
      </w:r>
      <w:bookmarkEnd w:id="271"/>
    </w:p>
    <w:p>
      <w:pPr>
        <w:pStyle w:val="4"/>
        <w:numPr>
          <w:ilvl w:val="2"/>
          <w:numId w:val="5"/>
        </w:numPr>
        <w:ind w:left="658" w:hanging="658"/>
        <w:rPr>
          <w:color w:val="auto"/>
          <w:highlight w:val="none"/>
        </w:rPr>
      </w:pPr>
      <w:bookmarkStart w:id="272" w:name="_Toc24366"/>
      <w:r>
        <w:rPr>
          <w:color w:val="auto"/>
          <w:highlight w:val="none"/>
        </w:rPr>
        <w:t>承包人采购和（或）使用不符合设计和合同要求的材料和工程设备时，应要求承包人负责修复、拆除或重新采购，并承担由此发生的费用，工期不予顺延。承包人不得将假冒伪劣材料设备用于本工程，否则按专用条款的约定承担相应的违约责任。</w:t>
      </w:r>
      <w:bookmarkEnd w:id="272"/>
    </w:p>
    <w:p>
      <w:pPr>
        <w:pStyle w:val="4"/>
        <w:numPr>
          <w:ilvl w:val="2"/>
          <w:numId w:val="5"/>
        </w:numPr>
        <w:ind w:left="782" w:hanging="782"/>
        <w:rPr>
          <w:color w:val="auto"/>
          <w:highlight w:val="none"/>
        </w:rPr>
      </w:pPr>
      <w:bookmarkStart w:id="273" w:name="_Toc27416"/>
      <w:r>
        <w:rPr>
          <w:color w:val="auto"/>
          <w:highlight w:val="none"/>
        </w:rPr>
        <w:t>发包人对材料和工程设备的检验认可并不免除以后因材料和工程设备缺陷引起工程质量缺陷时承包人应承担的责任。</w:t>
      </w:r>
      <w:bookmarkEnd w:id="273"/>
    </w:p>
    <w:p>
      <w:pPr>
        <w:pStyle w:val="4"/>
        <w:numPr>
          <w:ilvl w:val="2"/>
          <w:numId w:val="5"/>
        </w:numPr>
        <w:ind w:left="782" w:hanging="782"/>
        <w:rPr>
          <w:color w:val="auto"/>
          <w:highlight w:val="none"/>
        </w:rPr>
      </w:pPr>
      <w:bookmarkStart w:id="274" w:name="_Toc22653"/>
      <w:r>
        <w:rPr>
          <w:color w:val="auto"/>
          <w:highlight w:val="none"/>
        </w:rPr>
        <w:t>如果材料和工程设备的供应厂商提供使用、安装指导或其他售后服务的，承包人必须在施工过程中接受指导和监督、接受售后服务以确保材料和工程设备获得供应厂家质量保证，否则发包人有权要求承包人全部重新更换、返工或核减工程价款，造成工期延迟的，承包人应当承担工期违约责任。</w:t>
      </w:r>
      <w:bookmarkEnd w:id="274"/>
    </w:p>
    <w:p>
      <w:pPr>
        <w:pStyle w:val="4"/>
        <w:numPr>
          <w:ilvl w:val="2"/>
          <w:numId w:val="5"/>
        </w:numPr>
        <w:ind w:left="782" w:hanging="782"/>
        <w:rPr>
          <w:color w:val="auto"/>
          <w:highlight w:val="none"/>
        </w:rPr>
      </w:pPr>
      <w:bookmarkStart w:id="275" w:name="_Toc29847"/>
      <w:r>
        <w:rPr>
          <w:color w:val="auto"/>
          <w:highlight w:val="none"/>
        </w:rPr>
        <w:t>承包人提供备品备件的要求在专用条款里说明。</w:t>
      </w:r>
      <w:bookmarkEnd w:id="275"/>
    </w:p>
    <w:p>
      <w:pPr>
        <w:pStyle w:val="4"/>
        <w:numPr>
          <w:ilvl w:val="1"/>
          <w:numId w:val="5"/>
        </w:numPr>
        <w:rPr>
          <w:color w:val="auto"/>
          <w:highlight w:val="none"/>
        </w:rPr>
      </w:pPr>
      <w:bookmarkStart w:id="276" w:name="_Toc2958"/>
      <w:bookmarkStart w:id="277" w:name="_Toc27740"/>
      <w:bookmarkStart w:id="278" w:name="_Toc17567"/>
      <w:bookmarkStart w:id="279" w:name="_Toc44492439"/>
      <w:r>
        <w:rPr>
          <w:color w:val="auto"/>
          <w:highlight w:val="none"/>
        </w:rPr>
        <w:t>发包人提供的材料和工程设备</w:t>
      </w:r>
      <w:bookmarkEnd w:id="276"/>
      <w:bookmarkEnd w:id="277"/>
      <w:bookmarkEnd w:id="278"/>
      <w:bookmarkEnd w:id="279"/>
    </w:p>
    <w:p>
      <w:pPr>
        <w:pStyle w:val="4"/>
        <w:numPr>
          <w:ilvl w:val="2"/>
          <w:numId w:val="5"/>
        </w:numPr>
        <w:ind w:left="658" w:hanging="658"/>
        <w:rPr>
          <w:color w:val="auto"/>
          <w:highlight w:val="none"/>
        </w:rPr>
      </w:pPr>
      <w:bookmarkStart w:id="280" w:name="_Toc30209"/>
      <w:r>
        <w:rPr>
          <w:color w:val="auto"/>
          <w:highlight w:val="none"/>
        </w:rPr>
        <w:t>发包人提供的材料和工程设备，应在专用条款中约定。</w:t>
      </w:r>
      <w:bookmarkEnd w:id="280"/>
    </w:p>
    <w:p>
      <w:pPr>
        <w:pStyle w:val="4"/>
        <w:numPr>
          <w:ilvl w:val="2"/>
          <w:numId w:val="5"/>
        </w:numPr>
        <w:ind w:left="658" w:hanging="658"/>
        <w:rPr>
          <w:color w:val="auto"/>
          <w:highlight w:val="none"/>
        </w:rPr>
      </w:pPr>
      <w:bookmarkStart w:id="281" w:name="_Toc18083"/>
      <w:r>
        <w:rPr>
          <w:color w:val="auto"/>
          <w:highlight w:val="none"/>
        </w:rPr>
        <w:t>承包人应根据合同进度计划的安排，向</w:t>
      </w:r>
      <w:r>
        <w:rPr>
          <w:rFonts w:hint="eastAsia"/>
          <w:color w:val="auto"/>
          <w:highlight w:val="none"/>
          <w:lang w:val="en-US" w:eastAsia="zh-CN"/>
        </w:rPr>
        <w:t>发包人</w:t>
      </w:r>
      <w:r>
        <w:rPr>
          <w:color w:val="auto"/>
          <w:highlight w:val="none"/>
        </w:rPr>
        <w:t>报送要求发包人交货的日期计划。发包人应按照</w:t>
      </w:r>
      <w:r>
        <w:rPr>
          <w:rFonts w:hint="eastAsia"/>
          <w:color w:val="auto"/>
          <w:highlight w:val="none"/>
          <w:lang w:val="en-US" w:eastAsia="zh-CN"/>
        </w:rPr>
        <w:t>发包人</w:t>
      </w:r>
      <w:r>
        <w:rPr>
          <w:color w:val="auto"/>
          <w:highlight w:val="none"/>
        </w:rPr>
        <w:t>与合同当事人双方商定的交货日期，向承包人提交材料和工程设备。</w:t>
      </w:r>
      <w:bookmarkEnd w:id="281"/>
    </w:p>
    <w:p>
      <w:pPr>
        <w:pStyle w:val="4"/>
        <w:numPr>
          <w:ilvl w:val="2"/>
          <w:numId w:val="5"/>
        </w:numPr>
        <w:ind w:left="658" w:hanging="658"/>
        <w:rPr>
          <w:color w:val="auto"/>
          <w:highlight w:val="none"/>
        </w:rPr>
      </w:pPr>
      <w:bookmarkStart w:id="282" w:name="_Toc2748"/>
      <w:r>
        <w:rPr>
          <w:color w:val="auto"/>
          <w:highlight w:val="none"/>
        </w:rPr>
        <w:t>承包人有义务在每项甲供材料和工程设备进场前 7 天提醒发包人组织甲供材料和工程设备进场，材料和工程设备进场时，承包人应会同发包人共同进行验收，否则，由此产生的工期损失由承包人自行承担。</w:t>
      </w:r>
      <w:bookmarkEnd w:id="282"/>
      <w:r>
        <w:rPr>
          <w:color w:val="auto"/>
          <w:highlight w:val="none"/>
        </w:rPr>
        <w:t xml:space="preserve">  </w:t>
      </w:r>
    </w:p>
    <w:p>
      <w:pPr>
        <w:pStyle w:val="52"/>
        <w:numPr>
          <w:ilvl w:val="0"/>
          <w:numId w:val="28"/>
        </w:numPr>
        <w:ind w:left="885" w:leftChars="250" w:hanging="360" w:hangingChars="150"/>
        <w:jc w:val="both"/>
        <w:rPr>
          <w:rFonts w:eastAsia="宋体"/>
          <w:color w:val="auto"/>
          <w:sz w:val="24"/>
          <w:szCs w:val="24"/>
          <w:highlight w:val="none"/>
        </w:rPr>
      </w:pPr>
      <w:r>
        <w:rPr>
          <w:rFonts w:eastAsia="宋体"/>
          <w:color w:val="auto"/>
          <w:sz w:val="24"/>
          <w:szCs w:val="24"/>
          <w:highlight w:val="none"/>
        </w:rPr>
        <w:t>验收合格，由承包人填写《甲供材料设备验收入库单》并签字盖章。入库单一式四联，发包人两联，承包人、供方单位各执一联。甲供材料设备供应结束后由供方单位按《甲供材料设备验收入库单》 编制甲供材料设备汇总表，并经承包人签字并盖章。此汇总表及《甲供材料设备验收入库单》做为合同当事人双方结算的依据。如承包人无理由拒绝在甲供材料、设备供应单位编制的甲供材料设备汇总表上签字并盖章，发包人则以甲供材料、设备供应单位编制的甲供材料设备汇总表及《甲供材料设备验收入库单》作为合同当事人双方结算的依据。</w:t>
      </w:r>
    </w:p>
    <w:p>
      <w:pPr>
        <w:pStyle w:val="52"/>
        <w:numPr>
          <w:ilvl w:val="0"/>
          <w:numId w:val="28"/>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应在收到供应单位供应的材料和工程设备24小时内开箱验收（如供货合同有约定验收时间的，以供货合同约定的验收时间为准），遇有破损或不合规格的，须即日通知发包人安排替换。验收后的损坏、遗失由承包人负责。如承包人未及时到场清点并检验或试验，且已经超过供货合同约定的验收时间，视为承包人已经清点并检验或试验完毕，并认可货物数量、规格型号、外观质量等，承包人对其承担全部责任。</w:t>
      </w:r>
    </w:p>
    <w:p>
      <w:pPr>
        <w:pStyle w:val="52"/>
        <w:numPr>
          <w:ilvl w:val="0"/>
          <w:numId w:val="28"/>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完全知悉并认可：承包人在施工过程中不得以材料和工程设备存在质量瑕疵为由，而减免自身应承担的责任。另外约定，如果没有按照国家或地方相关规定履行进场后的检验检测而导致的质量问题，承包人担负全部责任。</w:t>
      </w:r>
    </w:p>
    <w:p>
      <w:pPr>
        <w:pStyle w:val="52"/>
        <w:numPr>
          <w:ilvl w:val="0"/>
          <w:numId w:val="28"/>
        </w:numPr>
        <w:ind w:left="885" w:leftChars="250" w:hanging="360" w:hangingChars="150"/>
        <w:jc w:val="both"/>
        <w:rPr>
          <w:rFonts w:eastAsia="宋体"/>
          <w:color w:val="auto"/>
          <w:sz w:val="24"/>
          <w:szCs w:val="24"/>
          <w:highlight w:val="none"/>
        </w:rPr>
      </w:pPr>
      <w:r>
        <w:rPr>
          <w:rFonts w:eastAsia="宋体"/>
          <w:color w:val="auto"/>
          <w:sz w:val="24"/>
          <w:szCs w:val="24"/>
          <w:highlight w:val="none"/>
        </w:rPr>
        <w:t>发包人提供的材料和工程设备验收后，由承包人负责接收、运输和保管,除专用条款另有约定外,所发生费用由承包人承担。</w:t>
      </w:r>
    </w:p>
    <w:p>
      <w:pPr>
        <w:pStyle w:val="52"/>
        <w:numPr>
          <w:ilvl w:val="0"/>
          <w:numId w:val="28"/>
        </w:numPr>
        <w:ind w:left="885" w:leftChars="250" w:hanging="360" w:hangingChars="150"/>
        <w:jc w:val="both"/>
        <w:rPr>
          <w:rFonts w:eastAsia="宋体"/>
          <w:color w:val="auto"/>
          <w:sz w:val="24"/>
          <w:szCs w:val="24"/>
          <w:highlight w:val="none"/>
        </w:rPr>
      </w:pPr>
      <w:r>
        <w:rPr>
          <w:rFonts w:eastAsia="宋体"/>
          <w:color w:val="auto"/>
          <w:sz w:val="24"/>
          <w:szCs w:val="24"/>
          <w:highlight w:val="none"/>
        </w:rPr>
        <w:t>另有约定的在专用条款里写明。</w:t>
      </w:r>
    </w:p>
    <w:p>
      <w:pPr>
        <w:pStyle w:val="4"/>
        <w:numPr>
          <w:ilvl w:val="2"/>
          <w:numId w:val="5"/>
        </w:numPr>
        <w:ind w:left="658" w:hanging="658"/>
        <w:rPr>
          <w:color w:val="auto"/>
          <w:highlight w:val="none"/>
        </w:rPr>
      </w:pPr>
      <w:bookmarkStart w:id="283" w:name="_Toc24674"/>
      <w:r>
        <w:rPr>
          <w:color w:val="auto"/>
          <w:highlight w:val="none"/>
        </w:rPr>
        <w:t>发包人要求向承包人提前交货的，承包人不得拒绝。承包人要求更改交货日期或地点的，应事先报请</w:t>
      </w:r>
      <w:r>
        <w:rPr>
          <w:rFonts w:hint="eastAsia"/>
          <w:color w:val="auto"/>
          <w:highlight w:val="none"/>
          <w:lang w:val="en-US" w:eastAsia="zh-CN"/>
        </w:rPr>
        <w:t>发包人</w:t>
      </w:r>
      <w:r>
        <w:rPr>
          <w:color w:val="auto"/>
          <w:highlight w:val="none"/>
        </w:rPr>
        <w:t>批准。由于承包人要求更改交货时间或地点所增加的费用和（或）工期延误由承包人承担。</w:t>
      </w:r>
      <w:bookmarkEnd w:id="283"/>
    </w:p>
    <w:p>
      <w:pPr>
        <w:pStyle w:val="4"/>
        <w:numPr>
          <w:ilvl w:val="2"/>
          <w:numId w:val="5"/>
        </w:numPr>
        <w:ind w:left="658" w:hanging="658"/>
        <w:rPr>
          <w:color w:val="auto"/>
          <w:highlight w:val="none"/>
        </w:rPr>
      </w:pPr>
      <w:bookmarkStart w:id="284" w:name="_Toc28113"/>
      <w:r>
        <w:rPr>
          <w:color w:val="auto"/>
          <w:highlight w:val="none"/>
        </w:rPr>
        <w:t>发包人提供的材料设备使用前，由承包人负责检验或试验，不合格的不得使用，检验或试验费用由承包人承担。</w:t>
      </w:r>
      <w:bookmarkEnd w:id="284"/>
    </w:p>
    <w:p>
      <w:pPr>
        <w:pStyle w:val="4"/>
        <w:numPr>
          <w:ilvl w:val="2"/>
          <w:numId w:val="5"/>
        </w:numPr>
        <w:ind w:left="658" w:hanging="658"/>
        <w:rPr>
          <w:color w:val="auto"/>
          <w:highlight w:val="none"/>
        </w:rPr>
      </w:pPr>
      <w:bookmarkStart w:id="285" w:name="_Toc32207"/>
      <w:r>
        <w:rPr>
          <w:color w:val="auto"/>
          <w:highlight w:val="none"/>
        </w:rPr>
        <w:t>发包人提供的材料设备的结算方法在专用条款中说明。</w:t>
      </w:r>
      <w:bookmarkEnd w:id="285"/>
    </w:p>
    <w:p>
      <w:pPr>
        <w:pStyle w:val="4"/>
        <w:numPr>
          <w:ilvl w:val="2"/>
          <w:numId w:val="5"/>
        </w:numPr>
        <w:ind w:left="658" w:hanging="658"/>
        <w:rPr>
          <w:color w:val="auto"/>
          <w:highlight w:val="none"/>
        </w:rPr>
      </w:pPr>
      <w:bookmarkStart w:id="286" w:name="_Toc15014"/>
      <w:r>
        <w:rPr>
          <w:color w:val="auto"/>
          <w:highlight w:val="none"/>
        </w:rPr>
        <w:t>发包人提供的材料和工程设备应送到工地地面层承包人指定地点，指定地点在专用条款中说明。</w:t>
      </w:r>
      <w:bookmarkEnd w:id="286"/>
    </w:p>
    <w:p>
      <w:pPr>
        <w:pStyle w:val="4"/>
        <w:numPr>
          <w:ilvl w:val="1"/>
          <w:numId w:val="5"/>
        </w:numPr>
        <w:rPr>
          <w:color w:val="auto"/>
          <w:highlight w:val="none"/>
        </w:rPr>
      </w:pPr>
      <w:bookmarkStart w:id="287" w:name="_Toc44492440"/>
      <w:bookmarkStart w:id="288" w:name="_Toc31298"/>
      <w:bookmarkStart w:id="289" w:name="_Toc15513"/>
      <w:bookmarkStart w:id="290" w:name="_Toc12188"/>
      <w:r>
        <w:rPr>
          <w:color w:val="auto"/>
          <w:highlight w:val="none"/>
        </w:rPr>
        <w:t>材料和工程设备专用于合同工程</w:t>
      </w:r>
      <w:bookmarkEnd w:id="287"/>
      <w:bookmarkEnd w:id="288"/>
      <w:bookmarkEnd w:id="289"/>
      <w:bookmarkEnd w:id="290"/>
    </w:p>
    <w:p>
      <w:pPr>
        <w:pStyle w:val="4"/>
        <w:numPr>
          <w:ilvl w:val="2"/>
          <w:numId w:val="5"/>
        </w:numPr>
        <w:ind w:left="658" w:hanging="658"/>
        <w:rPr>
          <w:color w:val="auto"/>
          <w:highlight w:val="none"/>
        </w:rPr>
      </w:pPr>
      <w:bookmarkStart w:id="291" w:name="_Toc20619"/>
      <w:r>
        <w:rPr>
          <w:color w:val="auto"/>
          <w:highlight w:val="none"/>
        </w:rPr>
        <w:t>运入施工场地的材料、工程设备，包括备品备件、安装专用工器具与随机资料，必须专用于合同工程，未经发包人同意，承包人不得运出施工场地或挪作他用。</w:t>
      </w:r>
      <w:bookmarkEnd w:id="291"/>
    </w:p>
    <w:p>
      <w:pPr>
        <w:pStyle w:val="4"/>
        <w:numPr>
          <w:ilvl w:val="2"/>
          <w:numId w:val="5"/>
        </w:numPr>
        <w:ind w:left="658" w:hanging="658"/>
        <w:rPr>
          <w:color w:val="auto"/>
          <w:highlight w:val="none"/>
        </w:rPr>
      </w:pPr>
      <w:bookmarkStart w:id="292" w:name="_Toc15812"/>
      <w:r>
        <w:rPr>
          <w:color w:val="auto"/>
          <w:highlight w:val="none"/>
        </w:rPr>
        <w:t>随同工程设备运入施工场地的备品备件、专用工器具与随机资料，应由承包人会同</w:t>
      </w:r>
      <w:r>
        <w:rPr>
          <w:rFonts w:hint="eastAsia"/>
          <w:color w:val="auto"/>
          <w:highlight w:val="none"/>
          <w:lang w:val="en-US" w:eastAsia="zh-CN"/>
        </w:rPr>
        <w:t>发包人</w:t>
      </w:r>
      <w:r>
        <w:rPr>
          <w:color w:val="auto"/>
          <w:highlight w:val="none"/>
        </w:rPr>
        <w:t>按供货人的装箱单清点后共同封存，未经</w:t>
      </w:r>
      <w:r>
        <w:rPr>
          <w:rFonts w:hint="eastAsia"/>
          <w:color w:val="auto"/>
          <w:highlight w:val="none"/>
          <w:lang w:val="en-US" w:eastAsia="zh-CN"/>
        </w:rPr>
        <w:t>发包人</w:t>
      </w:r>
      <w:r>
        <w:rPr>
          <w:color w:val="auto"/>
          <w:highlight w:val="none"/>
        </w:rPr>
        <w:t>同意不得启用。承包人因合同工作需要使用上述物品时，应向</w:t>
      </w:r>
      <w:r>
        <w:rPr>
          <w:rFonts w:hint="eastAsia"/>
          <w:color w:val="auto"/>
          <w:highlight w:val="none"/>
          <w:lang w:val="en-US" w:eastAsia="zh-CN"/>
        </w:rPr>
        <w:t>发包人</w:t>
      </w:r>
      <w:r>
        <w:rPr>
          <w:color w:val="auto"/>
          <w:highlight w:val="none"/>
        </w:rPr>
        <w:t>提出申请。</w:t>
      </w:r>
      <w:bookmarkEnd w:id="292"/>
    </w:p>
    <w:p>
      <w:pPr>
        <w:pStyle w:val="4"/>
        <w:numPr>
          <w:ilvl w:val="1"/>
          <w:numId w:val="5"/>
        </w:numPr>
        <w:rPr>
          <w:color w:val="auto"/>
          <w:highlight w:val="none"/>
        </w:rPr>
      </w:pPr>
      <w:bookmarkStart w:id="293" w:name="_Toc22428"/>
      <w:bookmarkStart w:id="294" w:name="_Toc475"/>
      <w:bookmarkStart w:id="295" w:name="_Toc44492441"/>
      <w:bookmarkStart w:id="296" w:name="_Toc32429"/>
      <w:r>
        <w:rPr>
          <w:color w:val="auto"/>
          <w:highlight w:val="none"/>
        </w:rPr>
        <w:t>禁止使用不合格的材料和工程设备</w:t>
      </w:r>
      <w:bookmarkEnd w:id="293"/>
      <w:bookmarkEnd w:id="294"/>
      <w:bookmarkEnd w:id="295"/>
      <w:bookmarkEnd w:id="296"/>
    </w:p>
    <w:p>
      <w:pPr>
        <w:pStyle w:val="4"/>
        <w:numPr>
          <w:ilvl w:val="2"/>
          <w:numId w:val="5"/>
        </w:numPr>
        <w:ind w:left="658" w:hanging="658"/>
        <w:rPr>
          <w:color w:val="auto"/>
          <w:highlight w:val="none"/>
        </w:rPr>
      </w:pPr>
      <w:bookmarkStart w:id="297" w:name="_Toc3967"/>
      <w:r>
        <w:rPr>
          <w:rFonts w:hint="eastAsia"/>
          <w:color w:val="auto"/>
          <w:highlight w:val="none"/>
          <w:lang w:val="en-US" w:eastAsia="zh-CN"/>
        </w:rPr>
        <w:t>发包人</w:t>
      </w:r>
      <w:r>
        <w:rPr>
          <w:color w:val="auto"/>
          <w:highlight w:val="none"/>
        </w:rPr>
        <w:t>有权拒绝承包人提供的不合格材料或工程设备，并要求承包人立即进行更换。</w:t>
      </w:r>
      <w:r>
        <w:rPr>
          <w:rFonts w:hint="eastAsia"/>
          <w:color w:val="auto"/>
          <w:highlight w:val="none"/>
          <w:lang w:val="en-US" w:eastAsia="zh-CN"/>
        </w:rPr>
        <w:t>发包人</w:t>
      </w:r>
      <w:r>
        <w:rPr>
          <w:color w:val="auto"/>
          <w:highlight w:val="none"/>
        </w:rPr>
        <w:t>应在更换后再次进行检查和检验，由此增加的费用和（或）工期延误由承包人承担。</w:t>
      </w:r>
      <w:bookmarkEnd w:id="297"/>
    </w:p>
    <w:p>
      <w:pPr>
        <w:pStyle w:val="4"/>
        <w:numPr>
          <w:ilvl w:val="2"/>
          <w:numId w:val="5"/>
        </w:numPr>
        <w:ind w:left="658" w:hanging="658"/>
        <w:rPr>
          <w:color w:val="auto"/>
          <w:highlight w:val="none"/>
        </w:rPr>
      </w:pPr>
      <w:bookmarkStart w:id="298" w:name="_Toc6597"/>
      <w:r>
        <w:rPr>
          <w:color w:val="auto"/>
          <w:highlight w:val="none"/>
        </w:rPr>
        <w:t>如果任何检验表明被检验的材料、工程设备、工艺质量或工程不符合合同文件的约定，则发包人有权指令承包人：</w:t>
      </w:r>
      <w:bookmarkEnd w:id="298"/>
    </w:p>
    <w:p>
      <w:pPr>
        <w:pStyle w:val="52"/>
        <w:numPr>
          <w:ilvl w:val="0"/>
          <w:numId w:val="29"/>
        </w:numPr>
        <w:ind w:left="885" w:leftChars="250" w:hanging="360" w:hangingChars="150"/>
        <w:jc w:val="both"/>
        <w:rPr>
          <w:rFonts w:eastAsia="宋体"/>
          <w:color w:val="auto"/>
          <w:sz w:val="24"/>
          <w:szCs w:val="24"/>
          <w:highlight w:val="none"/>
        </w:rPr>
      </w:pPr>
      <w:r>
        <w:rPr>
          <w:rFonts w:eastAsia="宋体"/>
          <w:color w:val="auto"/>
          <w:sz w:val="24"/>
          <w:szCs w:val="24"/>
          <w:highlight w:val="none"/>
        </w:rPr>
        <w:t>在指令规定的时间内将不符合合同文件约定的任何材料或工程设备运出现场；</w:t>
      </w:r>
    </w:p>
    <w:p>
      <w:pPr>
        <w:pStyle w:val="52"/>
        <w:numPr>
          <w:ilvl w:val="0"/>
          <w:numId w:val="29"/>
        </w:numPr>
        <w:ind w:left="885" w:leftChars="250" w:hanging="360" w:hangingChars="150"/>
        <w:jc w:val="both"/>
        <w:rPr>
          <w:rFonts w:eastAsia="宋体"/>
          <w:color w:val="auto"/>
          <w:sz w:val="24"/>
          <w:szCs w:val="24"/>
          <w:highlight w:val="none"/>
        </w:rPr>
      </w:pPr>
      <w:r>
        <w:rPr>
          <w:rFonts w:eastAsia="宋体"/>
          <w:color w:val="auto"/>
          <w:sz w:val="24"/>
          <w:szCs w:val="24"/>
          <w:highlight w:val="none"/>
        </w:rPr>
        <w:t>用符合合同文件约定的材料或工程设备取代；</w:t>
      </w:r>
    </w:p>
    <w:p>
      <w:pPr>
        <w:pStyle w:val="52"/>
        <w:numPr>
          <w:ilvl w:val="0"/>
          <w:numId w:val="29"/>
        </w:numPr>
        <w:ind w:left="885" w:leftChars="250" w:hanging="360" w:hangingChars="150"/>
        <w:jc w:val="both"/>
        <w:rPr>
          <w:rFonts w:eastAsia="宋体"/>
          <w:color w:val="auto"/>
          <w:sz w:val="24"/>
          <w:szCs w:val="24"/>
          <w:highlight w:val="none"/>
        </w:rPr>
      </w:pPr>
      <w:r>
        <w:rPr>
          <w:rFonts w:eastAsia="宋体"/>
          <w:color w:val="auto"/>
          <w:sz w:val="24"/>
          <w:szCs w:val="24"/>
          <w:highlight w:val="none"/>
        </w:rPr>
        <w:t>拆除不符合合同文件约定的任何工程，并进行重新施工。</w:t>
      </w:r>
    </w:p>
    <w:p>
      <w:pPr>
        <w:pStyle w:val="4"/>
        <w:numPr>
          <w:ilvl w:val="2"/>
          <w:numId w:val="5"/>
        </w:numPr>
        <w:ind w:left="658" w:hanging="658"/>
        <w:rPr>
          <w:color w:val="auto"/>
          <w:highlight w:val="none"/>
        </w:rPr>
      </w:pPr>
      <w:bookmarkStart w:id="299" w:name="_Toc24212"/>
      <w:r>
        <w:rPr>
          <w:color w:val="auto"/>
          <w:highlight w:val="none"/>
        </w:rPr>
        <w:t>如果承包人未能在指令规定的时间或者在指令中未规定时间的情况下未能在合理的时间内执行上述指令，则发包人有权委托他人执行该项指令，由此发生的费用以及给发包人造成的损失由发包人从工程款中予以扣除。</w:t>
      </w:r>
      <w:bookmarkEnd w:id="299"/>
    </w:p>
    <w:p>
      <w:pPr>
        <w:pStyle w:val="4"/>
        <w:numPr>
          <w:ilvl w:val="1"/>
          <w:numId w:val="5"/>
        </w:numPr>
        <w:rPr>
          <w:color w:val="auto"/>
          <w:highlight w:val="none"/>
        </w:rPr>
      </w:pPr>
      <w:bookmarkStart w:id="300" w:name="_Toc14581"/>
      <w:bookmarkStart w:id="301" w:name="_Toc21351"/>
      <w:bookmarkStart w:id="302" w:name="_Toc44492442"/>
      <w:bookmarkStart w:id="303" w:name="_Toc26003"/>
      <w:r>
        <w:rPr>
          <w:color w:val="auto"/>
          <w:highlight w:val="none"/>
        </w:rPr>
        <w:t>进口材料和工程设备</w:t>
      </w:r>
      <w:bookmarkEnd w:id="300"/>
      <w:bookmarkEnd w:id="301"/>
      <w:bookmarkEnd w:id="302"/>
      <w:bookmarkEnd w:id="303"/>
    </w:p>
    <w:p>
      <w:pPr>
        <w:pStyle w:val="4"/>
        <w:numPr>
          <w:ilvl w:val="2"/>
          <w:numId w:val="5"/>
        </w:numPr>
        <w:ind w:left="658" w:hanging="658"/>
        <w:rPr>
          <w:color w:val="auto"/>
          <w:highlight w:val="none"/>
        </w:rPr>
      </w:pPr>
      <w:bookmarkStart w:id="304" w:name="_Toc29788"/>
      <w:r>
        <w:rPr>
          <w:color w:val="auto"/>
          <w:highlight w:val="none"/>
        </w:rPr>
        <w:t>如承包人提供任何从国（境）外进口的材料和工程设备，此类材料和工程设备的价值以及与此类进口有关的任何关税（如有）、增值税、港口税费、运费、手续费、代理费、采保费及其他任何必要的费用已包含在承包人的暂定合同总价中，发包人无需另行支付；发包人有义务协助承包人办理相关手续，但不承担任何责任和费用。承包人应向</w:t>
      </w:r>
      <w:r>
        <w:rPr>
          <w:rFonts w:hint="eastAsia"/>
          <w:color w:val="auto"/>
          <w:highlight w:val="none"/>
          <w:lang w:eastAsia="zh-CN"/>
        </w:rPr>
        <w:t>发包人</w:t>
      </w:r>
      <w:r>
        <w:rPr>
          <w:color w:val="auto"/>
          <w:highlight w:val="none"/>
        </w:rPr>
        <w:t>提供相关的产品原产地发出的质量合格证明资料、报关单及商检资料。</w:t>
      </w:r>
      <w:bookmarkEnd w:id="304"/>
    </w:p>
    <w:p>
      <w:pPr>
        <w:pStyle w:val="4"/>
        <w:numPr>
          <w:ilvl w:val="0"/>
          <w:numId w:val="5"/>
        </w:numPr>
        <w:rPr>
          <w:color w:val="auto"/>
          <w:highlight w:val="none"/>
        </w:rPr>
      </w:pPr>
      <w:bookmarkStart w:id="305" w:name="_Toc44227987"/>
      <w:bookmarkStart w:id="306" w:name="_Toc407355999"/>
      <w:bookmarkStart w:id="307" w:name="_Toc30801"/>
      <w:bookmarkStart w:id="308" w:name="_Toc27962"/>
      <w:bookmarkStart w:id="309" w:name="_Toc16409"/>
      <w:bookmarkStart w:id="310" w:name="_Toc21431"/>
      <w:bookmarkStart w:id="311" w:name="_Toc13672"/>
      <w:bookmarkStart w:id="312" w:name="_Toc47512236"/>
      <w:bookmarkStart w:id="313" w:name="_Toc44492443"/>
      <w:bookmarkStart w:id="314" w:name="_Toc31056"/>
      <w:r>
        <w:rPr>
          <w:color w:val="auto"/>
          <w:highlight w:val="none"/>
        </w:rPr>
        <w:t>施工设备和临时设施</w:t>
      </w:r>
      <w:bookmarkEnd w:id="305"/>
      <w:bookmarkEnd w:id="306"/>
      <w:bookmarkEnd w:id="307"/>
      <w:bookmarkEnd w:id="308"/>
      <w:bookmarkEnd w:id="309"/>
      <w:bookmarkEnd w:id="310"/>
      <w:bookmarkEnd w:id="311"/>
      <w:bookmarkEnd w:id="312"/>
      <w:bookmarkEnd w:id="313"/>
      <w:bookmarkEnd w:id="314"/>
    </w:p>
    <w:p>
      <w:pPr>
        <w:pStyle w:val="4"/>
        <w:numPr>
          <w:ilvl w:val="1"/>
          <w:numId w:val="5"/>
        </w:numPr>
        <w:rPr>
          <w:color w:val="auto"/>
          <w:highlight w:val="none"/>
        </w:rPr>
      </w:pPr>
      <w:bookmarkStart w:id="315" w:name="_Toc44492444"/>
      <w:bookmarkStart w:id="316" w:name="_Toc26481"/>
      <w:bookmarkStart w:id="317" w:name="_Toc11630"/>
      <w:bookmarkStart w:id="318" w:name="_Toc28004"/>
      <w:r>
        <w:rPr>
          <w:color w:val="auto"/>
          <w:highlight w:val="none"/>
        </w:rPr>
        <w:t>承包人提供的施工设备和临时设施</w:t>
      </w:r>
      <w:bookmarkEnd w:id="315"/>
      <w:bookmarkEnd w:id="316"/>
      <w:bookmarkEnd w:id="317"/>
      <w:bookmarkEnd w:id="318"/>
    </w:p>
    <w:p>
      <w:pPr>
        <w:pStyle w:val="4"/>
        <w:numPr>
          <w:ilvl w:val="2"/>
          <w:numId w:val="5"/>
        </w:numPr>
        <w:ind w:left="658" w:hanging="658"/>
        <w:rPr>
          <w:color w:val="auto"/>
          <w:highlight w:val="none"/>
        </w:rPr>
      </w:pPr>
      <w:bookmarkStart w:id="319" w:name="_Toc29647"/>
      <w:r>
        <w:rPr>
          <w:color w:val="auto"/>
          <w:highlight w:val="none"/>
        </w:rPr>
        <w:t>承包人应按合同进度计划的要求，及时配置施工设备和修建临时设施。承包人应自行承担修建临时设施的费用。进入施工场地的承包人设备需经</w:t>
      </w:r>
      <w:r>
        <w:rPr>
          <w:rFonts w:hint="eastAsia"/>
          <w:color w:val="auto"/>
          <w:highlight w:val="none"/>
          <w:lang w:eastAsia="zh-CN"/>
        </w:rPr>
        <w:t>发包人</w:t>
      </w:r>
      <w:r>
        <w:rPr>
          <w:color w:val="auto"/>
          <w:highlight w:val="none"/>
        </w:rPr>
        <w:t>核查后才能投入使用。承包人更换合同约定的承包人设备的，应报</w:t>
      </w:r>
      <w:r>
        <w:rPr>
          <w:rFonts w:hint="eastAsia"/>
          <w:color w:val="auto"/>
          <w:highlight w:val="none"/>
          <w:lang w:eastAsia="zh-CN"/>
        </w:rPr>
        <w:t>发包人</w:t>
      </w:r>
      <w:r>
        <w:rPr>
          <w:color w:val="auto"/>
          <w:highlight w:val="none"/>
        </w:rPr>
        <w:t>批准。</w:t>
      </w:r>
      <w:bookmarkEnd w:id="319"/>
    </w:p>
    <w:p>
      <w:pPr>
        <w:pStyle w:val="4"/>
        <w:numPr>
          <w:ilvl w:val="2"/>
          <w:numId w:val="5"/>
        </w:numPr>
        <w:ind w:left="658" w:hanging="658"/>
        <w:rPr>
          <w:color w:val="auto"/>
          <w:highlight w:val="none"/>
        </w:rPr>
      </w:pPr>
      <w:bookmarkStart w:id="320" w:name="_Toc13861"/>
      <w:r>
        <w:rPr>
          <w:color w:val="auto"/>
          <w:highlight w:val="none"/>
        </w:rPr>
        <w:t>承包人提供的施工设备和临时设施的具体内容在专用条款中说明。</w:t>
      </w:r>
      <w:bookmarkEnd w:id="320"/>
    </w:p>
    <w:p>
      <w:pPr>
        <w:pStyle w:val="4"/>
        <w:numPr>
          <w:ilvl w:val="1"/>
          <w:numId w:val="5"/>
        </w:numPr>
        <w:rPr>
          <w:color w:val="auto"/>
          <w:highlight w:val="none"/>
        </w:rPr>
      </w:pPr>
      <w:bookmarkStart w:id="321" w:name="_Toc2943"/>
      <w:bookmarkStart w:id="322" w:name="_Toc44492445"/>
      <w:bookmarkStart w:id="323" w:name="_Toc16018"/>
      <w:bookmarkStart w:id="324" w:name="_Toc13516"/>
      <w:r>
        <w:rPr>
          <w:color w:val="auto"/>
          <w:highlight w:val="none"/>
        </w:rPr>
        <w:t>发包人提供的施工设备和临时设施</w:t>
      </w:r>
      <w:bookmarkEnd w:id="321"/>
      <w:bookmarkEnd w:id="322"/>
      <w:bookmarkEnd w:id="323"/>
      <w:bookmarkEnd w:id="324"/>
    </w:p>
    <w:p>
      <w:pPr>
        <w:pStyle w:val="4"/>
        <w:numPr>
          <w:ilvl w:val="2"/>
          <w:numId w:val="5"/>
        </w:numPr>
        <w:rPr>
          <w:color w:val="auto"/>
          <w:highlight w:val="none"/>
        </w:rPr>
      </w:pPr>
      <w:bookmarkStart w:id="325" w:name="_Toc1651"/>
      <w:r>
        <w:rPr>
          <w:color w:val="auto"/>
          <w:highlight w:val="none"/>
        </w:rPr>
        <w:t>发包人提供的施工设备或临时设施在专用条款中说明。</w:t>
      </w:r>
      <w:bookmarkEnd w:id="325"/>
    </w:p>
    <w:p>
      <w:pPr>
        <w:pStyle w:val="4"/>
        <w:numPr>
          <w:ilvl w:val="1"/>
          <w:numId w:val="5"/>
        </w:numPr>
        <w:rPr>
          <w:color w:val="auto"/>
          <w:highlight w:val="none"/>
        </w:rPr>
      </w:pPr>
      <w:bookmarkStart w:id="326" w:name="_Toc6560"/>
      <w:bookmarkStart w:id="327" w:name="_Toc26816"/>
      <w:bookmarkStart w:id="328" w:name="_Toc8070"/>
      <w:bookmarkStart w:id="329" w:name="_Toc44492446"/>
      <w:r>
        <w:rPr>
          <w:color w:val="auto"/>
          <w:highlight w:val="none"/>
        </w:rPr>
        <w:t>要求承包人增加或更换施工设备</w:t>
      </w:r>
      <w:bookmarkEnd w:id="326"/>
      <w:bookmarkEnd w:id="327"/>
      <w:bookmarkEnd w:id="328"/>
      <w:bookmarkEnd w:id="329"/>
    </w:p>
    <w:p>
      <w:pPr>
        <w:pStyle w:val="4"/>
        <w:numPr>
          <w:ilvl w:val="2"/>
          <w:numId w:val="5"/>
        </w:numPr>
        <w:ind w:left="658" w:hanging="658"/>
        <w:rPr>
          <w:color w:val="auto"/>
          <w:highlight w:val="none"/>
        </w:rPr>
      </w:pPr>
      <w:bookmarkStart w:id="330" w:name="_Toc531"/>
      <w:r>
        <w:rPr>
          <w:color w:val="auto"/>
          <w:highlight w:val="none"/>
        </w:rPr>
        <w:t>承包人使用的施工设备不能满足合同进度计划和（或）质量要求时，</w:t>
      </w:r>
      <w:r>
        <w:rPr>
          <w:rFonts w:hint="eastAsia"/>
          <w:color w:val="auto"/>
          <w:highlight w:val="none"/>
          <w:lang w:eastAsia="zh-CN"/>
        </w:rPr>
        <w:t>发包人</w:t>
      </w:r>
      <w:r>
        <w:rPr>
          <w:color w:val="auto"/>
          <w:highlight w:val="none"/>
        </w:rPr>
        <w:t>有权要求承包人增加或更换施工设备，承包人应及时增加或更换，由此增加的费用和（或）工期延误由承包人承担。</w:t>
      </w:r>
      <w:bookmarkEnd w:id="330"/>
    </w:p>
    <w:p>
      <w:pPr>
        <w:pStyle w:val="4"/>
        <w:numPr>
          <w:ilvl w:val="1"/>
          <w:numId w:val="5"/>
        </w:numPr>
        <w:rPr>
          <w:color w:val="auto"/>
          <w:highlight w:val="none"/>
        </w:rPr>
      </w:pPr>
      <w:bookmarkStart w:id="331" w:name="_Toc20526"/>
      <w:bookmarkStart w:id="332" w:name="_Toc30358"/>
      <w:bookmarkStart w:id="333" w:name="_Toc4185"/>
      <w:bookmarkStart w:id="334" w:name="_Toc44492447"/>
      <w:r>
        <w:rPr>
          <w:color w:val="auto"/>
          <w:highlight w:val="none"/>
        </w:rPr>
        <w:t>施工设备和临时设施专用于合同工程</w:t>
      </w:r>
      <w:bookmarkEnd w:id="331"/>
      <w:bookmarkEnd w:id="332"/>
      <w:bookmarkEnd w:id="333"/>
      <w:bookmarkEnd w:id="334"/>
    </w:p>
    <w:p>
      <w:pPr>
        <w:pStyle w:val="4"/>
        <w:numPr>
          <w:ilvl w:val="2"/>
          <w:numId w:val="5"/>
        </w:numPr>
        <w:ind w:left="658" w:hanging="658"/>
        <w:rPr>
          <w:color w:val="auto"/>
          <w:highlight w:val="none"/>
        </w:rPr>
      </w:pPr>
      <w:bookmarkStart w:id="335" w:name="_Toc26458"/>
      <w:r>
        <w:rPr>
          <w:color w:val="auto"/>
          <w:highlight w:val="none"/>
        </w:rPr>
        <w:t>运入施工场地的所有施工设备以及在施工场地建设的临时设施应专用于合同工程。未经</w:t>
      </w:r>
      <w:r>
        <w:rPr>
          <w:rFonts w:hint="eastAsia"/>
          <w:color w:val="auto"/>
          <w:highlight w:val="none"/>
          <w:lang w:eastAsia="zh-CN"/>
        </w:rPr>
        <w:t>发包人</w:t>
      </w:r>
      <w:r>
        <w:rPr>
          <w:color w:val="auto"/>
          <w:highlight w:val="none"/>
        </w:rPr>
        <w:t>同意，不得将上述施工设备和临时设施中的任何部分运出施工场地或挪作他用。</w:t>
      </w:r>
      <w:bookmarkEnd w:id="335"/>
    </w:p>
    <w:p>
      <w:pPr>
        <w:pStyle w:val="4"/>
        <w:numPr>
          <w:ilvl w:val="2"/>
          <w:numId w:val="5"/>
        </w:numPr>
        <w:ind w:left="658" w:hanging="658"/>
        <w:rPr>
          <w:color w:val="auto"/>
          <w:highlight w:val="none"/>
        </w:rPr>
      </w:pPr>
      <w:bookmarkStart w:id="336" w:name="_Toc7511"/>
      <w:r>
        <w:rPr>
          <w:color w:val="auto"/>
          <w:highlight w:val="none"/>
        </w:rPr>
        <w:t>经</w:t>
      </w:r>
      <w:r>
        <w:rPr>
          <w:rFonts w:hint="eastAsia"/>
          <w:color w:val="auto"/>
          <w:highlight w:val="none"/>
          <w:lang w:eastAsia="zh-CN"/>
        </w:rPr>
        <w:t>发包人</w:t>
      </w:r>
      <w:r>
        <w:rPr>
          <w:color w:val="auto"/>
          <w:highlight w:val="none"/>
        </w:rPr>
        <w:t>同意，承包人可根据合同进度计划撤走闲置的施工设备。</w:t>
      </w:r>
      <w:bookmarkEnd w:id="336"/>
    </w:p>
    <w:p>
      <w:pPr>
        <w:pStyle w:val="4"/>
        <w:numPr>
          <w:ilvl w:val="0"/>
          <w:numId w:val="5"/>
        </w:numPr>
        <w:rPr>
          <w:color w:val="auto"/>
          <w:highlight w:val="none"/>
        </w:rPr>
      </w:pPr>
      <w:bookmarkStart w:id="337" w:name="_Toc28707"/>
      <w:bookmarkStart w:id="338" w:name="_Toc44227988"/>
      <w:bookmarkStart w:id="339" w:name="_Toc30840"/>
      <w:bookmarkStart w:id="340" w:name="_Toc47512237"/>
      <w:bookmarkStart w:id="341" w:name="_Toc17667"/>
      <w:bookmarkStart w:id="342" w:name="_Toc44492448"/>
      <w:bookmarkStart w:id="343" w:name="_Toc23481"/>
      <w:bookmarkStart w:id="344" w:name="_Toc15501"/>
      <w:bookmarkStart w:id="345" w:name="_Toc407356000"/>
      <w:bookmarkStart w:id="346" w:name="_Toc16454"/>
      <w:r>
        <w:rPr>
          <w:color w:val="auto"/>
          <w:highlight w:val="none"/>
        </w:rPr>
        <w:t>交通运输</w:t>
      </w:r>
      <w:bookmarkEnd w:id="337"/>
      <w:bookmarkEnd w:id="338"/>
      <w:bookmarkEnd w:id="339"/>
      <w:bookmarkEnd w:id="340"/>
      <w:bookmarkEnd w:id="341"/>
      <w:bookmarkEnd w:id="342"/>
      <w:bookmarkEnd w:id="343"/>
      <w:bookmarkEnd w:id="344"/>
      <w:bookmarkEnd w:id="345"/>
      <w:bookmarkEnd w:id="346"/>
    </w:p>
    <w:p>
      <w:pPr>
        <w:pStyle w:val="4"/>
        <w:numPr>
          <w:ilvl w:val="1"/>
          <w:numId w:val="5"/>
        </w:numPr>
        <w:rPr>
          <w:rFonts w:cs="Times New Roman"/>
          <w:color w:val="auto"/>
          <w:highlight w:val="none"/>
        </w:rPr>
      </w:pPr>
      <w:bookmarkStart w:id="347" w:name="_Toc44492449"/>
      <w:bookmarkStart w:id="348" w:name="_Toc12794"/>
      <w:bookmarkStart w:id="349" w:name="_Toc29475"/>
      <w:bookmarkStart w:id="350" w:name="_Toc18245"/>
      <w:r>
        <w:rPr>
          <w:rFonts w:hint="default" w:cs="Times New Roman"/>
          <w:color w:val="auto"/>
          <w:highlight w:val="none"/>
        </w:rPr>
        <w:t>场内施工道路</w:t>
      </w:r>
    </w:p>
    <w:p>
      <w:pPr>
        <w:pStyle w:val="4"/>
        <w:numPr>
          <w:ilvl w:val="2"/>
          <w:numId w:val="5"/>
        </w:numPr>
        <w:ind w:left="658" w:hanging="658"/>
        <w:rPr>
          <w:rFonts w:cs="Times New Roman"/>
          <w:color w:val="auto"/>
          <w:highlight w:val="none"/>
        </w:rPr>
      </w:pPr>
      <w:r>
        <w:rPr>
          <w:rFonts w:hint="default" w:cs="Times New Roman"/>
          <w:color w:val="auto"/>
          <w:highlight w:val="none"/>
        </w:rPr>
        <w:t>承包人应负责修建、维修、养护和管理施工所需的临时道路和交通设施，包括维修、养护和管理发包人提供的道路和交通设施，并承担相应费用。</w:t>
      </w:r>
    </w:p>
    <w:p>
      <w:pPr>
        <w:pStyle w:val="4"/>
        <w:numPr>
          <w:ilvl w:val="2"/>
          <w:numId w:val="5"/>
        </w:numPr>
        <w:ind w:left="658" w:hanging="658"/>
        <w:rPr>
          <w:rFonts w:cs="Times New Roman"/>
          <w:color w:val="auto"/>
          <w:highlight w:val="none"/>
        </w:rPr>
      </w:pPr>
      <w:r>
        <w:rPr>
          <w:rFonts w:hint="eastAsia" w:cs="Times New Roman"/>
          <w:color w:val="auto"/>
          <w:highlight w:val="none"/>
          <w:lang w:eastAsia="zh-CN"/>
        </w:rPr>
        <w:t>发包人</w:t>
      </w:r>
      <w:r>
        <w:rPr>
          <w:rFonts w:hint="default" w:cs="Times New Roman"/>
          <w:color w:val="auto"/>
          <w:highlight w:val="none"/>
        </w:rPr>
        <w:t>、分包人以及与本工程有关的其他单位和个人有权无偿使用承包人修建的临时道路和交通设施，不需要交纳任何费用。</w:t>
      </w:r>
    </w:p>
    <w:p>
      <w:pPr>
        <w:pStyle w:val="4"/>
        <w:numPr>
          <w:ilvl w:val="2"/>
          <w:numId w:val="5"/>
        </w:numPr>
        <w:ind w:left="658" w:hanging="658"/>
        <w:rPr>
          <w:rFonts w:cs="Times New Roman"/>
          <w:color w:val="auto"/>
          <w:highlight w:val="none"/>
        </w:rPr>
      </w:pPr>
      <w:r>
        <w:rPr>
          <w:rFonts w:hint="default" w:cs="Times New Roman"/>
          <w:color w:val="auto"/>
          <w:highlight w:val="none"/>
        </w:rPr>
        <w:t>承包人为工程施工修建的临时道路，在使用完成后，按发包人的要求恢复原状。</w:t>
      </w:r>
    </w:p>
    <w:p>
      <w:pPr>
        <w:pStyle w:val="4"/>
        <w:numPr>
          <w:ilvl w:val="1"/>
          <w:numId w:val="5"/>
        </w:numPr>
        <w:rPr>
          <w:color w:val="auto"/>
          <w:highlight w:val="none"/>
        </w:rPr>
      </w:pPr>
      <w:r>
        <w:rPr>
          <w:color w:val="auto"/>
          <w:highlight w:val="none"/>
        </w:rPr>
        <w:t>场外交通</w:t>
      </w:r>
      <w:bookmarkEnd w:id="347"/>
      <w:bookmarkEnd w:id="348"/>
      <w:bookmarkEnd w:id="349"/>
      <w:bookmarkEnd w:id="350"/>
    </w:p>
    <w:p>
      <w:pPr>
        <w:pStyle w:val="4"/>
        <w:numPr>
          <w:ilvl w:val="2"/>
          <w:numId w:val="5"/>
        </w:numPr>
        <w:ind w:left="658" w:hanging="658"/>
        <w:rPr>
          <w:color w:val="auto"/>
          <w:highlight w:val="none"/>
        </w:rPr>
      </w:pPr>
      <w:bookmarkStart w:id="351" w:name="_Toc26997"/>
      <w:r>
        <w:rPr>
          <w:color w:val="auto"/>
          <w:highlight w:val="none"/>
        </w:rPr>
        <w:t>承包人须负责确保所有现场周边毗邻的道路、步行道和现场出入口等的干净和整洁，同时保证它们及周边公共交通、公众生活不因承包人和其他受承包人控制和施工操作、材料装卸、车辆、材料、物品、设备和工人而带来任何妨碍；承包人须保证发包人免于与上述事件有关的任何索赔、诉讼、损害和损失。</w:t>
      </w:r>
      <w:bookmarkEnd w:id="351"/>
    </w:p>
    <w:p>
      <w:pPr>
        <w:pStyle w:val="4"/>
        <w:numPr>
          <w:ilvl w:val="1"/>
          <w:numId w:val="5"/>
        </w:numPr>
        <w:rPr>
          <w:rFonts w:cs="Times New Roman"/>
          <w:color w:val="auto"/>
          <w:highlight w:val="none"/>
        </w:rPr>
      </w:pPr>
      <w:r>
        <w:rPr>
          <w:rFonts w:hint="default" w:cs="Times New Roman"/>
          <w:color w:val="auto"/>
          <w:highlight w:val="none"/>
        </w:rPr>
        <w:t>超大件和超重件的运输</w:t>
      </w:r>
    </w:p>
    <w:p>
      <w:pPr>
        <w:pStyle w:val="4"/>
        <w:numPr>
          <w:ilvl w:val="2"/>
          <w:numId w:val="5"/>
        </w:numPr>
        <w:ind w:left="658" w:hanging="658"/>
        <w:rPr>
          <w:rFonts w:cs="Times New Roman"/>
          <w:color w:val="auto"/>
          <w:highlight w:val="none"/>
        </w:rPr>
      </w:pPr>
      <w:r>
        <w:rPr>
          <w:rFonts w:hint="default" w:cs="Times New Roman"/>
          <w:color w:val="auto"/>
          <w:highlight w:val="none"/>
        </w:rPr>
        <w:t>由承包人负责运输的超大件或超重件，应由承包人负责向交通管理部门办理申请手续。运输超大件或超重件所需的道路和桥梁临时加固改造费用和其他有关费用，由承包人承担。</w:t>
      </w:r>
    </w:p>
    <w:p>
      <w:pPr>
        <w:rPr>
          <w:color w:val="auto"/>
          <w:highlight w:val="none"/>
        </w:rPr>
      </w:pPr>
    </w:p>
    <w:p>
      <w:pPr>
        <w:pStyle w:val="4"/>
        <w:numPr>
          <w:ilvl w:val="1"/>
          <w:numId w:val="5"/>
        </w:numPr>
        <w:rPr>
          <w:color w:val="auto"/>
          <w:highlight w:val="none"/>
        </w:rPr>
      </w:pPr>
      <w:bookmarkStart w:id="352" w:name="_Toc9320"/>
      <w:bookmarkStart w:id="353" w:name="_Toc2289"/>
      <w:bookmarkStart w:id="354" w:name="_Toc44492450"/>
      <w:bookmarkStart w:id="355" w:name="_Toc4364"/>
      <w:r>
        <w:rPr>
          <w:color w:val="auto"/>
          <w:highlight w:val="none"/>
        </w:rPr>
        <w:t>道路和桥梁的损坏责任</w:t>
      </w:r>
      <w:bookmarkEnd w:id="352"/>
      <w:bookmarkEnd w:id="353"/>
      <w:bookmarkEnd w:id="354"/>
      <w:bookmarkEnd w:id="355"/>
    </w:p>
    <w:p>
      <w:pPr>
        <w:pStyle w:val="4"/>
        <w:numPr>
          <w:ilvl w:val="2"/>
          <w:numId w:val="5"/>
        </w:numPr>
        <w:ind w:left="658" w:hanging="658"/>
        <w:rPr>
          <w:color w:val="auto"/>
          <w:highlight w:val="none"/>
        </w:rPr>
      </w:pPr>
      <w:bookmarkStart w:id="356" w:name="_Toc28970"/>
      <w:r>
        <w:rPr>
          <w:color w:val="auto"/>
          <w:highlight w:val="none"/>
        </w:rPr>
        <w:t>因承包人运输造成施工场地内外公共道路和桥梁损坏的，由承包人承担修复损坏的全部费用和可能引起的赔偿。</w:t>
      </w:r>
      <w:bookmarkEnd w:id="356"/>
    </w:p>
    <w:p>
      <w:pPr>
        <w:pStyle w:val="4"/>
        <w:numPr>
          <w:ilvl w:val="0"/>
          <w:numId w:val="5"/>
        </w:numPr>
        <w:rPr>
          <w:color w:val="auto"/>
          <w:highlight w:val="none"/>
        </w:rPr>
      </w:pPr>
      <w:bookmarkStart w:id="357" w:name="_Toc23674"/>
      <w:bookmarkStart w:id="358" w:name="_Toc23332"/>
      <w:bookmarkStart w:id="359" w:name="_Toc869"/>
      <w:bookmarkStart w:id="360" w:name="_Toc44227989"/>
      <w:bookmarkStart w:id="361" w:name="_Toc27752"/>
      <w:bookmarkStart w:id="362" w:name="_Toc407356001"/>
      <w:bookmarkStart w:id="363" w:name="_Toc44492451"/>
      <w:bookmarkStart w:id="364" w:name="_Toc29001"/>
      <w:bookmarkStart w:id="365" w:name="_Toc17845"/>
      <w:bookmarkStart w:id="366" w:name="_Toc47512238"/>
      <w:r>
        <w:rPr>
          <w:color w:val="auto"/>
          <w:highlight w:val="none"/>
        </w:rPr>
        <w:t>测量放线</w:t>
      </w:r>
      <w:bookmarkEnd w:id="357"/>
      <w:bookmarkEnd w:id="358"/>
      <w:bookmarkEnd w:id="359"/>
      <w:bookmarkEnd w:id="360"/>
      <w:bookmarkEnd w:id="361"/>
      <w:bookmarkEnd w:id="362"/>
      <w:bookmarkEnd w:id="363"/>
      <w:bookmarkEnd w:id="364"/>
      <w:bookmarkEnd w:id="365"/>
      <w:bookmarkEnd w:id="366"/>
    </w:p>
    <w:p>
      <w:pPr>
        <w:pStyle w:val="4"/>
        <w:numPr>
          <w:ilvl w:val="1"/>
          <w:numId w:val="5"/>
        </w:numPr>
        <w:rPr>
          <w:rFonts w:cs="Times New Roman"/>
          <w:color w:val="auto"/>
          <w:highlight w:val="none"/>
        </w:rPr>
      </w:pPr>
      <w:bookmarkStart w:id="367" w:name="_Toc7678"/>
      <w:bookmarkStart w:id="368" w:name="_Toc4859"/>
      <w:bookmarkStart w:id="369" w:name="_Toc23567"/>
      <w:bookmarkStart w:id="370" w:name="_Toc321"/>
      <w:bookmarkStart w:id="371" w:name="_Toc7108"/>
      <w:bookmarkStart w:id="372" w:name="_Toc28082"/>
      <w:bookmarkStart w:id="373" w:name="_Toc4405"/>
      <w:bookmarkStart w:id="374" w:name="_Toc44492452"/>
      <w:bookmarkStart w:id="375" w:name="_Toc14910"/>
      <w:bookmarkStart w:id="376" w:name="_Toc16667"/>
      <w:r>
        <w:rPr>
          <w:rFonts w:hint="default" w:cs="Times New Roman"/>
          <w:color w:val="auto"/>
          <w:highlight w:val="none"/>
        </w:rPr>
        <w:t>施工</w:t>
      </w:r>
      <w:bookmarkEnd w:id="367"/>
      <w:bookmarkEnd w:id="368"/>
      <w:bookmarkEnd w:id="369"/>
      <w:bookmarkEnd w:id="370"/>
      <w:bookmarkEnd w:id="371"/>
      <w:bookmarkEnd w:id="372"/>
      <w:r>
        <w:rPr>
          <w:rFonts w:hint="default" w:cs="Times New Roman"/>
          <w:color w:val="auto"/>
          <w:highlight w:val="none"/>
        </w:rPr>
        <w:t>控制网</w:t>
      </w:r>
    </w:p>
    <w:p>
      <w:pPr>
        <w:pStyle w:val="4"/>
        <w:numPr>
          <w:ilvl w:val="2"/>
          <w:numId w:val="5"/>
        </w:numPr>
        <w:ind w:left="658" w:hanging="658"/>
        <w:rPr>
          <w:rFonts w:cs="Times New Roman"/>
          <w:color w:val="auto"/>
          <w:highlight w:val="none"/>
        </w:rPr>
      </w:pPr>
      <w:r>
        <w:rPr>
          <w:rFonts w:hint="default" w:cs="Times New Roman"/>
          <w:color w:val="auto"/>
          <w:highlight w:val="none"/>
        </w:rPr>
        <w:t>发包人应向承包人提供测量基准点、基准线和水准点及其书面资料。除专用条款另有约定外，承包人应根据国家测绘基准、测绘系统和工程测量技术规范，按上述基准点（线）以及合同工程精度要求，测设施工控制网，将施工控制网资料报送</w:t>
      </w:r>
      <w:r>
        <w:rPr>
          <w:rFonts w:hint="eastAsia" w:cs="Times New Roman"/>
          <w:color w:val="auto"/>
          <w:highlight w:val="none"/>
          <w:lang w:val="en-US" w:eastAsia="zh-CN"/>
        </w:rPr>
        <w:t>发包人</w:t>
      </w:r>
      <w:r>
        <w:rPr>
          <w:rFonts w:hint="default" w:cs="Times New Roman"/>
          <w:color w:val="auto"/>
          <w:highlight w:val="none"/>
        </w:rPr>
        <w:t>审批。</w:t>
      </w:r>
    </w:p>
    <w:p>
      <w:pPr>
        <w:pStyle w:val="4"/>
        <w:numPr>
          <w:ilvl w:val="2"/>
          <w:numId w:val="5"/>
        </w:numPr>
        <w:ind w:left="658" w:hanging="658"/>
        <w:rPr>
          <w:rFonts w:cs="Times New Roman"/>
          <w:color w:val="auto"/>
          <w:highlight w:val="none"/>
        </w:rPr>
      </w:pPr>
      <w:r>
        <w:rPr>
          <w:rFonts w:hint="default" w:cs="Times New Roman"/>
          <w:color w:val="auto"/>
          <w:highlight w:val="none"/>
        </w:rPr>
        <w:t>承包人应负责管理施工控制网点。施工控制网点丢失或损坏的，承包人应及时修复。承包人应承担施工控制网点的管理与修复费用，并在工程竣工后将施工控制网点移交发包人</w:t>
      </w:r>
      <w:r>
        <w:rPr>
          <w:rFonts w:hint="eastAsia" w:cs="Times New Roman"/>
          <w:color w:val="auto"/>
          <w:highlight w:val="none"/>
          <w:lang w:val="en-US" w:eastAsia="zh-CN"/>
        </w:rPr>
        <w:t>及政府相关部门</w:t>
      </w:r>
      <w:r>
        <w:rPr>
          <w:rFonts w:hint="default" w:cs="Times New Roman"/>
          <w:color w:val="auto"/>
          <w:highlight w:val="none"/>
        </w:rPr>
        <w:t>。</w:t>
      </w:r>
    </w:p>
    <w:p>
      <w:pPr>
        <w:pStyle w:val="4"/>
        <w:numPr>
          <w:ilvl w:val="1"/>
          <w:numId w:val="5"/>
        </w:numPr>
        <w:rPr>
          <w:color w:val="auto"/>
          <w:highlight w:val="none"/>
        </w:rPr>
      </w:pPr>
      <w:r>
        <w:rPr>
          <w:color w:val="auto"/>
          <w:highlight w:val="none"/>
        </w:rPr>
        <w:t>施工测量</w:t>
      </w:r>
      <w:bookmarkEnd w:id="373"/>
      <w:bookmarkEnd w:id="374"/>
      <w:bookmarkEnd w:id="375"/>
      <w:bookmarkEnd w:id="376"/>
    </w:p>
    <w:p>
      <w:pPr>
        <w:pStyle w:val="4"/>
        <w:numPr>
          <w:ilvl w:val="2"/>
          <w:numId w:val="5"/>
        </w:numPr>
        <w:ind w:left="658" w:hanging="658"/>
        <w:rPr>
          <w:color w:val="auto"/>
          <w:highlight w:val="none"/>
        </w:rPr>
      </w:pPr>
      <w:bookmarkStart w:id="377" w:name="_Toc16186"/>
      <w:r>
        <w:rPr>
          <w:color w:val="auto"/>
          <w:highlight w:val="none"/>
        </w:rPr>
        <w:t>承包人应负责施工过程中的全部施工测量放线工作，并配置合格的人员、仪器、设备和其他物品。</w:t>
      </w:r>
      <w:bookmarkEnd w:id="377"/>
    </w:p>
    <w:p>
      <w:pPr>
        <w:pStyle w:val="4"/>
        <w:numPr>
          <w:ilvl w:val="2"/>
          <w:numId w:val="5"/>
        </w:numPr>
        <w:ind w:left="658" w:hanging="658"/>
        <w:rPr>
          <w:color w:val="auto"/>
          <w:highlight w:val="none"/>
        </w:rPr>
      </w:pPr>
      <w:bookmarkStart w:id="378" w:name="_Toc32755"/>
      <w:r>
        <w:rPr>
          <w:rFonts w:hint="eastAsia"/>
          <w:color w:val="auto"/>
          <w:highlight w:val="none"/>
          <w:lang w:val="en-US" w:eastAsia="zh-CN"/>
        </w:rPr>
        <w:t>发包人</w:t>
      </w:r>
      <w:r>
        <w:rPr>
          <w:color w:val="auto"/>
          <w:highlight w:val="none"/>
        </w:rPr>
        <w:t>可以指示承包人进行抽样复测，当复测中发现错误或出现超过合同约定的误差时，承包人应按</w:t>
      </w:r>
      <w:r>
        <w:rPr>
          <w:rFonts w:hint="eastAsia"/>
          <w:color w:val="auto"/>
          <w:highlight w:val="none"/>
          <w:lang w:val="en-US" w:eastAsia="zh-CN"/>
        </w:rPr>
        <w:t>发包人</w:t>
      </w:r>
      <w:r>
        <w:rPr>
          <w:color w:val="auto"/>
          <w:highlight w:val="none"/>
        </w:rPr>
        <w:t>指示进行修正或补测，并承担相应的复测费用。</w:t>
      </w:r>
      <w:bookmarkEnd w:id="378"/>
    </w:p>
    <w:p>
      <w:pPr>
        <w:pStyle w:val="4"/>
        <w:numPr>
          <w:ilvl w:val="0"/>
          <w:numId w:val="5"/>
        </w:numPr>
        <w:rPr>
          <w:color w:val="auto"/>
          <w:highlight w:val="none"/>
        </w:rPr>
      </w:pPr>
      <w:bookmarkStart w:id="379" w:name="_Toc44492453"/>
      <w:bookmarkStart w:id="380" w:name="_Toc47512239"/>
      <w:bookmarkStart w:id="381" w:name="_Toc27810"/>
      <w:bookmarkStart w:id="382" w:name="_Toc22916"/>
      <w:bookmarkStart w:id="383" w:name="_Toc24597"/>
      <w:bookmarkStart w:id="384" w:name="_Toc20459"/>
      <w:bookmarkStart w:id="385" w:name="_Toc27424"/>
      <w:bookmarkStart w:id="386" w:name="_Toc44227990"/>
      <w:bookmarkStart w:id="387" w:name="_Toc407356002"/>
      <w:bookmarkStart w:id="388" w:name="_Toc20338"/>
      <w:r>
        <w:rPr>
          <w:color w:val="auto"/>
          <w:highlight w:val="none"/>
        </w:rPr>
        <w:t>施工安全、治安保卫和环境保护</w:t>
      </w:r>
      <w:bookmarkEnd w:id="379"/>
      <w:bookmarkEnd w:id="380"/>
      <w:bookmarkEnd w:id="381"/>
      <w:bookmarkEnd w:id="382"/>
      <w:bookmarkEnd w:id="383"/>
      <w:bookmarkEnd w:id="384"/>
      <w:bookmarkEnd w:id="385"/>
      <w:bookmarkEnd w:id="386"/>
      <w:bookmarkEnd w:id="387"/>
      <w:bookmarkEnd w:id="388"/>
    </w:p>
    <w:p>
      <w:pPr>
        <w:pStyle w:val="4"/>
        <w:numPr>
          <w:ilvl w:val="1"/>
          <w:numId w:val="5"/>
        </w:numPr>
        <w:rPr>
          <w:color w:val="auto"/>
          <w:highlight w:val="none"/>
        </w:rPr>
      </w:pPr>
      <w:bookmarkStart w:id="389" w:name="_Toc8055"/>
      <w:bookmarkStart w:id="390" w:name="_Toc44492454"/>
      <w:bookmarkStart w:id="391" w:name="_Toc6575"/>
      <w:bookmarkStart w:id="392" w:name="_Toc14461"/>
      <w:r>
        <w:rPr>
          <w:color w:val="auto"/>
          <w:highlight w:val="none"/>
        </w:rPr>
        <w:t>承包人的施工安全责任</w:t>
      </w:r>
      <w:bookmarkEnd w:id="389"/>
      <w:bookmarkEnd w:id="390"/>
      <w:bookmarkEnd w:id="391"/>
      <w:bookmarkEnd w:id="392"/>
    </w:p>
    <w:p>
      <w:pPr>
        <w:pStyle w:val="4"/>
        <w:numPr>
          <w:ilvl w:val="2"/>
          <w:numId w:val="5"/>
        </w:numPr>
        <w:ind w:left="658" w:hanging="658"/>
        <w:rPr>
          <w:color w:val="auto"/>
          <w:highlight w:val="none"/>
        </w:rPr>
      </w:pPr>
      <w:bookmarkStart w:id="393" w:name="_Toc7912"/>
      <w:r>
        <w:rPr>
          <w:color w:val="auto"/>
          <w:highlight w:val="none"/>
        </w:rPr>
        <w:t>承包人应严格遵守工程建设安全生产有关管理规定，严格按安全标准组织施工，并随时接受相关安全检查人员依法实施的监督检查，采取充分的安全防护措施，消除事故隐患。除非</w:t>
      </w:r>
      <w:r>
        <w:rPr>
          <w:rFonts w:hint="eastAsia"/>
          <w:color w:val="auto"/>
          <w:highlight w:val="none"/>
          <w:lang w:eastAsia="zh-CN"/>
        </w:rPr>
        <w:t>发包人</w:t>
      </w:r>
      <w:r>
        <w:rPr>
          <w:color w:val="auto"/>
          <w:highlight w:val="none"/>
        </w:rPr>
        <w:t>强令承包人违章作业、冒险施工和单纯因发包人责任所造成，安全措施不力事故的责任和因此发生的费用，均由承包人承担。</w:t>
      </w:r>
      <w:bookmarkEnd w:id="393"/>
    </w:p>
    <w:p>
      <w:pPr>
        <w:pStyle w:val="4"/>
        <w:numPr>
          <w:ilvl w:val="2"/>
          <w:numId w:val="5"/>
        </w:numPr>
        <w:ind w:left="658" w:hanging="658"/>
        <w:rPr>
          <w:color w:val="auto"/>
          <w:highlight w:val="none"/>
        </w:rPr>
      </w:pPr>
      <w:bookmarkStart w:id="394" w:name="_Toc20116"/>
      <w:r>
        <w:rPr>
          <w:color w:val="auto"/>
          <w:highlight w:val="none"/>
        </w:rPr>
        <w:t>承包人应按合同约定履行安全职责,执行</w:t>
      </w:r>
      <w:r>
        <w:rPr>
          <w:rFonts w:hint="eastAsia"/>
          <w:color w:val="auto"/>
          <w:highlight w:val="none"/>
          <w:lang w:val="en-US" w:eastAsia="zh-CN"/>
        </w:rPr>
        <w:t>发包人</w:t>
      </w:r>
      <w:r>
        <w:rPr>
          <w:color w:val="auto"/>
          <w:highlight w:val="none"/>
        </w:rPr>
        <w:t>有关安全工作的指示，按合同约定的安全工作内容，编制施工安全措施计划报送</w:t>
      </w:r>
      <w:r>
        <w:rPr>
          <w:rFonts w:hint="eastAsia"/>
          <w:color w:val="auto"/>
          <w:highlight w:val="none"/>
          <w:lang w:val="en-US" w:eastAsia="zh-CN"/>
        </w:rPr>
        <w:t>发包人</w:t>
      </w:r>
      <w:r>
        <w:rPr>
          <w:color w:val="auto"/>
          <w:highlight w:val="none"/>
        </w:rPr>
        <w:t>审批。</w:t>
      </w:r>
      <w:bookmarkEnd w:id="394"/>
    </w:p>
    <w:p>
      <w:pPr>
        <w:pStyle w:val="4"/>
        <w:numPr>
          <w:ilvl w:val="2"/>
          <w:numId w:val="5"/>
        </w:numPr>
        <w:ind w:left="658" w:hanging="658"/>
        <w:rPr>
          <w:color w:val="auto"/>
          <w:highlight w:val="none"/>
        </w:rPr>
      </w:pPr>
      <w:bookmarkStart w:id="395" w:name="_Toc27512"/>
      <w:r>
        <w:rPr>
          <w:color w:val="auto"/>
          <w:highlight w:val="none"/>
        </w:rPr>
        <w:t>承包人应加强施工作业安全管理，特别应加强易燃、易爆材料、火工器材、有毒与腐蚀性材料和其他危险品的管理，以及对爆破作业和地下工程施工等危险作业的管理。</w:t>
      </w:r>
      <w:bookmarkEnd w:id="395"/>
    </w:p>
    <w:p>
      <w:pPr>
        <w:pStyle w:val="4"/>
        <w:numPr>
          <w:ilvl w:val="2"/>
          <w:numId w:val="5"/>
        </w:numPr>
        <w:ind w:left="658" w:hanging="658"/>
        <w:rPr>
          <w:color w:val="auto"/>
          <w:highlight w:val="none"/>
        </w:rPr>
      </w:pPr>
      <w:bookmarkStart w:id="396" w:name="_Toc21253"/>
      <w:r>
        <w:rPr>
          <w:color w:val="auto"/>
          <w:highlight w:val="none"/>
        </w:rPr>
        <w:t>承包人应严格按照国家安全标准制定施工安全操作规程，配备必要的安全生产和劳动保护设施，加强对承包人人员的安全教育，并发放安全工作手册和劳动保护用具。</w:t>
      </w:r>
      <w:bookmarkEnd w:id="396"/>
    </w:p>
    <w:p>
      <w:pPr>
        <w:pStyle w:val="4"/>
        <w:numPr>
          <w:ilvl w:val="2"/>
          <w:numId w:val="5"/>
        </w:numPr>
        <w:ind w:left="658" w:hanging="658"/>
        <w:rPr>
          <w:color w:val="auto"/>
          <w:highlight w:val="none"/>
        </w:rPr>
      </w:pPr>
      <w:bookmarkStart w:id="397" w:name="_Toc23522"/>
      <w:r>
        <w:rPr>
          <w:color w:val="auto"/>
          <w:highlight w:val="none"/>
        </w:rPr>
        <w:t>承包人应按</w:t>
      </w:r>
      <w:r>
        <w:rPr>
          <w:rFonts w:hint="eastAsia"/>
          <w:color w:val="auto"/>
          <w:highlight w:val="none"/>
          <w:lang w:val="en-US" w:eastAsia="zh-CN"/>
        </w:rPr>
        <w:t>发包人</w:t>
      </w:r>
      <w:r>
        <w:rPr>
          <w:color w:val="auto"/>
          <w:highlight w:val="none"/>
        </w:rPr>
        <w:t>的指示制定应对灾害的紧急预案，报送</w:t>
      </w:r>
      <w:r>
        <w:rPr>
          <w:rFonts w:hint="eastAsia"/>
          <w:color w:val="auto"/>
          <w:highlight w:val="none"/>
          <w:lang w:val="en-US" w:eastAsia="zh-CN"/>
        </w:rPr>
        <w:t>发包人</w:t>
      </w:r>
      <w:r>
        <w:rPr>
          <w:color w:val="auto"/>
          <w:highlight w:val="none"/>
        </w:rPr>
        <w:t>审批。承包人还应按预案做好安全检查，配置必要的救助物资和器材，切实保护好有关人员的人身和财产安全。</w:t>
      </w:r>
      <w:bookmarkEnd w:id="397"/>
    </w:p>
    <w:p>
      <w:pPr>
        <w:pStyle w:val="4"/>
        <w:numPr>
          <w:ilvl w:val="2"/>
          <w:numId w:val="5"/>
        </w:numPr>
        <w:ind w:left="658" w:hanging="658"/>
        <w:rPr>
          <w:color w:val="auto"/>
          <w:highlight w:val="none"/>
        </w:rPr>
      </w:pPr>
      <w:bookmarkStart w:id="398" w:name="_Toc21547"/>
      <w:r>
        <w:rPr>
          <w:color w:val="auto"/>
          <w:highlight w:val="none"/>
        </w:rPr>
        <w:t>合同约定的安全作业环境及安全施工措施所需费用应遵守有关规定，并已包括在暂定合同总价和绿色施工安全防护措施费、相关工作的综合单价中。</w:t>
      </w:r>
      <w:bookmarkEnd w:id="398"/>
    </w:p>
    <w:p>
      <w:pPr>
        <w:pStyle w:val="4"/>
        <w:numPr>
          <w:ilvl w:val="2"/>
          <w:numId w:val="5"/>
        </w:numPr>
        <w:ind w:left="658" w:hanging="658"/>
        <w:rPr>
          <w:color w:val="auto"/>
          <w:highlight w:val="none"/>
        </w:rPr>
      </w:pPr>
      <w:bookmarkStart w:id="399" w:name="_Toc32356"/>
      <w:r>
        <w:rPr>
          <w:color w:val="auto"/>
          <w:highlight w:val="none"/>
        </w:rPr>
        <w:t>承包人应对其履行合同所雇佣的全部人员的工伤事故承担责任。</w:t>
      </w:r>
      <w:bookmarkEnd w:id="399"/>
    </w:p>
    <w:p>
      <w:pPr>
        <w:pStyle w:val="4"/>
        <w:numPr>
          <w:ilvl w:val="2"/>
          <w:numId w:val="5"/>
        </w:numPr>
        <w:ind w:left="658" w:hanging="658"/>
        <w:rPr>
          <w:color w:val="auto"/>
          <w:highlight w:val="none"/>
        </w:rPr>
      </w:pPr>
      <w:bookmarkStart w:id="400" w:name="_Toc9072"/>
      <w:r>
        <w:rPr>
          <w:color w:val="auto"/>
          <w:highlight w:val="none"/>
        </w:rPr>
        <w:t>由于承包人原因在施工场地内及其毗邻地带造成的第三者人员伤亡和财产损失，由承包人负责赔偿。</w:t>
      </w:r>
      <w:bookmarkEnd w:id="400"/>
    </w:p>
    <w:p>
      <w:pPr>
        <w:pStyle w:val="4"/>
        <w:numPr>
          <w:ilvl w:val="2"/>
          <w:numId w:val="5"/>
        </w:numPr>
        <w:ind w:left="658" w:hanging="658"/>
        <w:rPr>
          <w:color w:val="auto"/>
          <w:highlight w:val="none"/>
        </w:rPr>
      </w:pPr>
      <w:bookmarkStart w:id="401" w:name="_Toc29267"/>
      <w:r>
        <w:rPr>
          <w:color w:val="auto"/>
          <w:highlight w:val="none"/>
        </w:rPr>
        <w:t>承包人如违反安全操作规程，被行政执法部门处罚，由此产生的相关费用由承包人承担。若因此影响发包人声誉，发包人有权向承包人索赔。</w:t>
      </w:r>
      <w:bookmarkEnd w:id="401"/>
    </w:p>
    <w:p>
      <w:pPr>
        <w:pStyle w:val="4"/>
        <w:numPr>
          <w:ilvl w:val="2"/>
          <w:numId w:val="5"/>
        </w:numPr>
        <w:ind w:left="782" w:hanging="782"/>
        <w:rPr>
          <w:color w:val="auto"/>
          <w:highlight w:val="none"/>
        </w:rPr>
      </w:pPr>
      <w:bookmarkStart w:id="402" w:name="_Toc4102"/>
      <w:r>
        <w:rPr>
          <w:color w:val="auto"/>
          <w:highlight w:val="none"/>
        </w:rPr>
        <w:t>发包人或发包人代表可要求立刻撤走任何现场被他认为未能适当地遵守安全施工规定的人员。而无论在任何情况下，此等被解雇的员工在未取得发包人的书面同意前，均不应再获受雇于现场工作。</w:t>
      </w:r>
      <w:bookmarkEnd w:id="402"/>
    </w:p>
    <w:p>
      <w:pPr>
        <w:pStyle w:val="4"/>
        <w:numPr>
          <w:ilvl w:val="1"/>
          <w:numId w:val="5"/>
        </w:numPr>
        <w:rPr>
          <w:color w:val="auto"/>
          <w:highlight w:val="none"/>
        </w:rPr>
      </w:pPr>
      <w:bookmarkStart w:id="403" w:name="_Toc44492455"/>
      <w:bookmarkStart w:id="404" w:name="_Toc2694"/>
      <w:bookmarkStart w:id="405" w:name="_Toc19513"/>
      <w:bookmarkStart w:id="406" w:name="_Toc30837"/>
      <w:r>
        <w:rPr>
          <w:color w:val="auto"/>
          <w:highlight w:val="none"/>
        </w:rPr>
        <w:t>治安保卫</w:t>
      </w:r>
      <w:bookmarkEnd w:id="403"/>
      <w:bookmarkEnd w:id="404"/>
      <w:bookmarkEnd w:id="405"/>
      <w:bookmarkEnd w:id="406"/>
    </w:p>
    <w:p>
      <w:pPr>
        <w:pStyle w:val="4"/>
        <w:numPr>
          <w:ilvl w:val="2"/>
          <w:numId w:val="5"/>
        </w:numPr>
        <w:ind w:left="658" w:hanging="658"/>
        <w:rPr>
          <w:color w:val="auto"/>
          <w:highlight w:val="none"/>
        </w:rPr>
      </w:pPr>
      <w:bookmarkStart w:id="407" w:name="_Toc2092"/>
      <w:r>
        <w:rPr>
          <w:rFonts w:hint="default" w:cs="Times New Roman"/>
          <w:color w:val="auto"/>
          <w:highlight w:val="none"/>
        </w:rPr>
        <w:t>承包人应在现场建立治安管理机构或联防组织，统一管理施工场地的治安保卫事项，履行合同工程的治安保卫职责</w:t>
      </w:r>
      <w:r>
        <w:rPr>
          <w:rFonts w:hint="eastAsia" w:cs="Times New Roman"/>
          <w:color w:val="auto"/>
          <w:highlight w:val="none"/>
          <w:lang w:eastAsia="zh-CN"/>
        </w:rPr>
        <w:t>。</w:t>
      </w:r>
    </w:p>
    <w:p>
      <w:pPr>
        <w:pStyle w:val="4"/>
        <w:numPr>
          <w:ilvl w:val="2"/>
          <w:numId w:val="5"/>
        </w:numPr>
        <w:ind w:left="658" w:hanging="658"/>
        <w:rPr>
          <w:color w:val="auto"/>
          <w:highlight w:val="none"/>
        </w:rPr>
      </w:pPr>
      <w:r>
        <w:rPr>
          <w:color w:val="auto"/>
          <w:highlight w:val="none"/>
        </w:rPr>
        <w:t>承包人除应协助现场治安管理机构或联防组织维护施工场地的社会治安外，还应做好包括生活区在内的管辖区的治安保卫工作。</w:t>
      </w:r>
      <w:bookmarkEnd w:id="407"/>
    </w:p>
    <w:p>
      <w:pPr>
        <w:pStyle w:val="4"/>
        <w:numPr>
          <w:ilvl w:val="2"/>
          <w:numId w:val="5"/>
        </w:numPr>
        <w:ind w:left="658" w:hanging="658"/>
        <w:rPr>
          <w:color w:val="auto"/>
          <w:highlight w:val="none"/>
        </w:rPr>
      </w:pPr>
      <w:bookmarkStart w:id="408" w:name="_Toc20477"/>
      <w:r>
        <w:rPr>
          <w:rFonts w:hint="default" w:cs="Times New Roman"/>
          <w:color w:val="auto"/>
          <w:highlight w:val="none"/>
        </w:rPr>
        <w:t>承包人应在工程开工后，编制施工场地治安管理计划，并制定应对突发治安事件的紧急预案。在工程施工过程中，发生暴乱、爆炸等恐怖事件，以及群殴、械斗等群体性突发治安事件的，发包人和承包人应立即向当地政府报告。承包人应积极协助当地有关部门采取措施平息事态，防止事态扩大，尽量减少财产损失和避免人员伤亡。</w:t>
      </w:r>
      <w:bookmarkEnd w:id="408"/>
    </w:p>
    <w:p>
      <w:pPr>
        <w:pStyle w:val="4"/>
        <w:numPr>
          <w:ilvl w:val="1"/>
          <w:numId w:val="5"/>
        </w:numPr>
        <w:rPr>
          <w:color w:val="auto"/>
          <w:highlight w:val="none"/>
        </w:rPr>
      </w:pPr>
      <w:bookmarkStart w:id="409" w:name="_Toc23982"/>
      <w:bookmarkStart w:id="410" w:name="_Toc44492456"/>
      <w:bookmarkStart w:id="411" w:name="_Toc1459"/>
      <w:bookmarkStart w:id="412" w:name="_Toc21139"/>
      <w:r>
        <w:rPr>
          <w:color w:val="auto"/>
          <w:highlight w:val="none"/>
        </w:rPr>
        <w:t>环境保护</w:t>
      </w:r>
      <w:bookmarkEnd w:id="409"/>
      <w:bookmarkEnd w:id="410"/>
      <w:bookmarkEnd w:id="411"/>
      <w:bookmarkEnd w:id="412"/>
    </w:p>
    <w:p>
      <w:pPr>
        <w:pStyle w:val="4"/>
        <w:numPr>
          <w:ilvl w:val="2"/>
          <w:numId w:val="5"/>
        </w:numPr>
        <w:ind w:left="658" w:hanging="658"/>
        <w:rPr>
          <w:color w:val="auto"/>
          <w:highlight w:val="none"/>
        </w:rPr>
      </w:pPr>
      <w:bookmarkStart w:id="413" w:name="_Toc20183"/>
      <w:r>
        <w:rPr>
          <w:color w:val="auto"/>
          <w:highlight w:val="none"/>
        </w:rPr>
        <w:t>承包人在施工过程中，应遵守有关环境保护的法律，履行合同约定的环境保护义务，并对违反法律和合同约定义务所造成的环境破坏、人身伤害和财产损失负责。</w:t>
      </w:r>
      <w:bookmarkEnd w:id="413"/>
    </w:p>
    <w:p>
      <w:pPr>
        <w:pStyle w:val="4"/>
        <w:numPr>
          <w:ilvl w:val="2"/>
          <w:numId w:val="5"/>
        </w:numPr>
        <w:ind w:left="658" w:hanging="658"/>
        <w:rPr>
          <w:color w:val="auto"/>
          <w:highlight w:val="none"/>
        </w:rPr>
      </w:pPr>
      <w:bookmarkStart w:id="414" w:name="_Toc3993"/>
      <w:r>
        <w:rPr>
          <w:color w:val="auto"/>
          <w:highlight w:val="none"/>
        </w:rPr>
        <w:t>承包人应按合同约定的环保工作内容，编制施工环保措施计划，报送</w:t>
      </w:r>
      <w:r>
        <w:rPr>
          <w:rFonts w:hint="eastAsia"/>
          <w:color w:val="auto"/>
          <w:highlight w:val="none"/>
          <w:lang w:eastAsia="zh-CN"/>
        </w:rPr>
        <w:t>发包人</w:t>
      </w:r>
      <w:r>
        <w:rPr>
          <w:color w:val="auto"/>
          <w:highlight w:val="none"/>
        </w:rPr>
        <w:t>审批。</w:t>
      </w:r>
      <w:bookmarkEnd w:id="414"/>
    </w:p>
    <w:p>
      <w:pPr>
        <w:pStyle w:val="4"/>
        <w:numPr>
          <w:ilvl w:val="2"/>
          <w:numId w:val="5"/>
        </w:numPr>
        <w:ind w:left="658" w:hanging="658"/>
        <w:rPr>
          <w:color w:val="auto"/>
          <w:highlight w:val="none"/>
        </w:rPr>
      </w:pPr>
      <w:bookmarkStart w:id="415" w:name="_Toc10193"/>
      <w:r>
        <w:rPr>
          <w:color w:val="auto"/>
          <w:highlight w:val="none"/>
        </w:rPr>
        <w:t>承包人应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bookmarkEnd w:id="415"/>
    </w:p>
    <w:p>
      <w:pPr>
        <w:pStyle w:val="4"/>
        <w:numPr>
          <w:ilvl w:val="2"/>
          <w:numId w:val="5"/>
        </w:numPr>
        <w:ind w:left="658" w:hanging="658"/>
        <w:rPr>
          <w:color w:val="auto"/>
          <w:highlight w:val="none"/>
        </w:rPr>
      </w:pPr>
      <w:bookmarkStart w:id="416" w:name="_Toc18981"/>
      <w:r>
        <w:rPr>
          <w:color w:val="auto"/>
          <w:highlight w:val="none"/>
        </w:rPr>
        <w:t>承包人应按合同约定，加强对噪声、粉尘、废气、废水和废油的控制，努力降低噪声，控制粉尘和废气浓度，做好废水和废油的治理和排放。</w:t>
      </w:r>
      <w:bookmarkEnd w:id="416"/>
    </w:p>
    <w:p>
      <w:pPr>
        <w:pStyle w:val="4"/>
        <w:numPr>
          <w:ilvl w:val="1"/>
          <w:numId w:val="5"/>
        </w:numPr>
        <w:rPr>
          <w:color w:val="auto"/>
          <w:highlight w:val="none"/>
        </w:rPr>
      </w:pPr>
      <w:bookmarkStart w:id="417" w:name="_Toc21843"/>
      <w:bookmarkStart w:id="418" w:name="_Toc29410"/>
      <w:bookmarkStart w:id="419" w:name="_Toc44492457"/>
      <w:bookmarkStart w:id="420" w:name="_Toc6004"/>
      <w:r>
        <w:rPr>
          <w:color w:val="auto"/>
          <w:highlight w:val="none"/>
        </w:rPr>
        <w:t>事故处理</w:t>
      </w:r>
      <w:bookmarkEnd w:id="417"/>
      <w:bookmarkEnd w:id="418"/>
      <w:bookmarkEnd w:id="419"/>
      <w:bookmarkEnd w:id="420"/>
    </w:p>
    <w:p>
      <w:pPr>
        <w:pStyle w:val="4"/>
        <w:numPr>
          <w:ilvl w:val="2"/>
          <w:numId w:val="5"/>
        </w:numPr>
        <w:ind w:left="658" w:hanging="658"/>
        <w:rPr>
          <w:color w:val="auto"/>
          <w:highlight w:val="none"/>
        </w:rPr>
      </w:pPr>
      <w:bookmarkStart w:id="421" w:name="_Toc5997"/>
      <w:r>
        <w:rPr>
          <w:color w:val="auto"/>
          <w:highlight w:val="none"/>
        </w:rPr>
        <w:t>工程施工过程中发生事故的，承包人应立即通知</w:t>
      </w:r>
      <w:r>
        <w:rPr>
          <w:rFonts w:hint="eastAsia"/>
          <w:color w:val="auto"/>
          <w:highlight w:val="none"/>
          <w:lang w:eastAsia="zh-CN"/>
        </w:rPr>
        <w:t>发包人</w:t>
      </w:r>
      <w:r>
        <w:rPr>
          <w:color w:val="auto"/>
          <w:highlight w:val="none"/>
        </w:rPr>
        <w:t>，并立即组织人员和设备进行紧急抢救和抢修，减少人员伤亡和财产损失，防止事故扩大，并保护事故现场。事故处理的费用在事故处理结束后由确定的责任方承担，承包人不得以事故责任或费用承担的争议为由拒不进行抢救和抢修。事故原因系由承包人引起，则承包人无权要求顺延工期或增加价款；由此给发包人造成损失的（包括政府部门对于发包人作出的处罚），承包人应予以赔偿。</w:t>
      </w:r>
      <w:bookmarkEnd w:id="421"/>
    </w:p>
    <w:p>
      <w:pPr>
        <w:pStyle w:val="4"/>
        <w:numPr>
          <w:ilvl w:val="2"/>
          <w:numId w:val="5"/>
        </w:numPr>
        <w:ind w:left="658" w:hanging="658"/>
        <w:rPr>
          <w:color w:val="auto"/>
          <w:highlight w:val="none"/>
        </w:rPr>
      </w:pPr>
      <w:bookmarkStart w:id="422" w:name="_Toc9148"/>
      <w:r>
        <w:rPr>
          <w:color w:val="auto"/>
          <w:highlight w:val="none"/>
        </w:rPr>
        <w:t>发包人、承包人对事故责任有争议时，应按政府有关部门的认定处理。</w:t>
      </w:r>
      <w:bookmarkEnd w:id="422"/>
    </w:p>
    <w:p>
      <w:pPr>
        <w:pStyle w:val="4"/>
        <w:numPr>
          <w:ilvl w:val="0"/>
          <w:numId w:val="5"/>
        </w:numPr>
        <w:rPr>
          <w:color w:val="auto"/>
          <w:highlight w:val="none"/>
        </w:rPr>
      </w:pPr>
      <w:bookmarkStart w:id="423" w:name="_Toc30819"/>
      <w:bookmarkStart w:id="424" w:name="_Toc44227991"/>
      <w:bookmarkStart w:id="425" w:name="_Toc407356003"/>
      <w:bookmarkStart w:id="426" w:name="_Toc31865"/>
      <w:bookmarkStart w:id="427" w:name="_Toc47512240"/>
      <w:bookmarkStart w:id="428" w:name="_Toc28501"/>
      <w:bookmarkStart w:id="429" w:name="_Toc12722"/>
      <w:bookmarkStart w:id="430" w:name="_Toc4217"/>
      <w:bookmarkStart w:id="431" w:name="_Toc44492458"/>
      <w:bookmarkStart w:id="432" w:name="_Toc20077"/>
      <w:r>
        <w:rPr>
          <w:color w:val="auto"/>
          <w:highlight w:val="none"/>
        </w:rPr>
        <w:t>进度计划</w:t>
      </w:r>
      <w:bookmarkEnd w:id="423"/>
      <w:bookmarkEnd w:id="424"/>
      <w:bookmarkEnd w:id="425"/>
      <w:bookmarkEnd w:id="426"/>
      <w:bookmarkEnd w:id="427"/>
      <w:bookmarkEnd w:id="428"/>
      <w:bookmarkEnd w:id="429"/>
      <w:bookmarkEnd w:id="430"/>
      <w:bookmarkEnd w:id="431"/>
      <w:bookmarkEnd w:id="432"/>
    </w:p>
    <w:p>
      <w:pPr>
        <w:pStyle w:val="4"/>
        <w:numPr>
          <w:ilvl w:val="1"/>
          <w:numId w:val="5"/>
        </w:numPr>
        <w:rPr>
          <w:color w:val="auto"/>
          <w:highlight w:val="none"/>
        </w:rPr>
      </w:pPr>
      <w:bookmarkStart w:id="433" w:name="_Toc44492459"/>
      <w:bookmarkStart w:id="434" w:name="_Toc26416"/>
      <w:bookmarkStart w:id="435" w:name="_Toc4295"/>
      <w:bookmarkStart w:id="436" w:name="_Toc10547"/>
      <w:r>
        <w:rPr>
          <w:color w:val="auto"/>
          <w:highlight w:val="none"/>
        </w:rPr>
        <w:t>合同进度计划</w:t>
      </w:r>
      <w:bookmarkEnd w:id="433"/>
      <w:bookmarkEnd w:id="434"/>
      <w:bookmarkEnd w:id="435"/>
      <w:bookmarkEnd w:id="436"/>
    </w:p>
    <w:p>
      <w:pPr>
        <w:pStyle w:val="4"/>
        <w:numPr>
          <w:ilvl w:val="2"/>
          <w:numId w:val="5"/>
        </w:numPr>
        <w:ind w:left="782" w:hanging="782"/>
        <w:rPr>
          <w:color w:val="auto"/>
          <w:highlight w:val="none"/>
        </w:rPr>
      </w:pPr>
      <w:bookmarkStart w:id="437" w:name="_Toc31575"/>
      <w:r>
        <w:rPr>
          <w:color w:val="auto"/>
          <w:highlight w:val="none"/>
        </w:rPr>
        <w:t>承包人应按专用条款约定的内容和期限，编制详细的施工进度计划报送</w:t>
      </w:r>
      <w:r>
        <w:rPr>
          <w:rFonts w:hint="eastAsia"/>
          <w:color w:val="auto"/>
          <w:highlight w:val="none"/>
          <w:lang w:eastAsia="zh-CN"/>
        </w:rPr>
        <w:t>发包人</w:t>
      </w:r>
      <w:r>
        <w:rPr>
          <w:color w:val="auto"/>
          <w:highlight w:val="none"/>
        </w:rPr>
        <w:t>。经</w:t>
      </w:r>
      <w:r>
        <w:rPr>
          <w:rFonts w:hint="eastAsia"/>
          <w:color w:val="auto"/>
          <w:highlight w:val="none"/>
          <w:lang w:val="en-US" w:eastAsia="zh-CN"/>
        </w:rPr>
        <w:t>发包人</w:t>
      </w:r>
      <w:r>
        <w:rPr>
          <w:color w:val="auto"/>
          <w:highlight w:val="none"/>
        </w:rPr>
        <w:t>批准的施工进度计划为合同进度计划，是控制合同工程进度的依据。承包人还应根据合同进度计划，编制更为详细的分阶段或分项进度计划，报</w:t>
      </w:r>
      <w:r>
        <w:rPr>
          <w:rFonts w:hint="eastAsia"/>
          <w:color w:val="auto"/>
          <w:highlight w:val="none"/>
          <w:lang w:eastAsia="zh-CN"/>
        </w:rPr>
        <w:t>发包人</w:t>
      </w:r>
      <w:r>
        <w:rPr>
          <w:color w:val="auto"/>
          <w:highlight w:val="none"/>
        </w:rPr>
        <w:t>审批。</w:t>
      </w:r>
      <w:bookmarkEnd w:id="437"/>
    </w:p>
    <w:p>
      <w:pPr>
        <w:pStyle w:val="4"/>
        <w:numPr>
          <w:ilvl w:val="2"/>
          <w:numId w:val="5"/>
        </w:numPr>
        <w:ind w:left="782" w:hanging="782"/>
        <w:rPr>
          <w:color w:val="auto"/>
          <w:highlight w:val="none"/>
        </w:rPr>
      </w:pPr>
      <w:bookmarkStart w:id="438" w:name="_Toc26819"/>
      <w:r>
        <w:rPr>
          <w:color w:val="auto"/>
          <w:highlight w:val="none"/>
        </w:rPr>
        <w:t>合同实施过程中发包人控制的工期节点时间在专用条款中说明。</w:t>
      </w:r>
      <w:bookmarkEnd w:id="438"/>
    </w:p>
    <w:p>
      <w:pPr>
        <w:pStyle w:val="4"/>
        <w:numPr>
          <w:ilvl w:val="2"/>
          <w:numId w:val="5"/>
        </w:numPr>
        <w:ind w:left="782" w:hanging="782"/>
        <w:rPr>
          <w:color w:val="auto"/>
          <w:highlight w:val="none"/>
        </w:rPr>
      </w:pPr>
      <w:bookmarkStart w:id="439" w:name="_Toc4937"/>
      <w:r>
        <w:rPr>
          <w:color w:val="auto"/>
          <w:highlight w:val="none"/>
        </w:rPr>
        <w:t>承包人必须按</w:t>
      </w:r>
      <w:r>
        <w:rPr>
          <w:rFonts w:hint="eastAsia"/>
          <w:color w:val="auto"/>
          <w:highlight w:val="none"/>
          <w:lang w:eastAsia="zh-CN"/>
        </w:rPr>
        <w:t>发包人</w:t>
      </w:r>
      <w:r>
        <w:rPr>
          <w:color w:val="auto"/>
          <w:highlight w:val="none"/>
        </w:rPr>
        <w:t>确认的进度计划组织施工，接受</w:t>
      </w:r>
      <w:r>
        <w:rPr>
          <w:rFonts w:hint="eastAsia"/>
          <w:color w:val="auto"/>
          <w:highlight w:val="none"/>
          <w:lang w:eastAsia="zh-CN"/>
        </w:rPr>
        <w:t>发包人</w:t>
      </w:r>
      <w:r>
        <w:rPr>
          <w:color w:val="auto"/>
          <w:highlight w:val="none"/>
        </w:rPr>
        <w:t>对进度的检查、监督。工程实际进度与经确认的进度计划不符时，承包人应按</w:t>
      </w:r>
      <w:r>
        <w:rPr>
          <w:rFonts w:hint="eastAsia"/>
          <w:color w:val="auto"/>
          <w:highlight w:val="none"/>
          <w:lang w:eastAsia="zh-CN"/>
        </w:rPr>
        <w:t>发包人</w:t>
      </w:r>
      <w:r>
        <w:rPr>
          <w:color w:val="auto"/>
          <w:highlight w:val="none"/>
        </w:rPr>
        <w:t>的要求提出改进措施，经</w:t>
      </w:r>
      <w:r>
        <w:rPr>
          <w:rFonts w:hint="eastAsia"/>
          <w:color w:val="auto"/>
          <w:highlight w:val="none"/>
          <w:lang w:eastAsia="zh-CN"/>
        </w:rPr>
        <w:t>发包人</w:t>
      </w:r>
      <w:r>
        <w:rPr>
          <w:color w:val="auto"/>
          <w:highlight w:val="none"/>
        </w:rPr>
        <w:t>确认后执行。因承包人的原因导致实际进度与进度计划不符，承包人无权就改进措施提出追加合同</w:t>
      </w:r>
      <w:r>
        <w:rPr>
          <w:rFonts w:hint="eastAsia"/>
          <w:color w:val="auto"/>
          <w:highlight w:val="none"/>
        </w:rPr>
        <w:t>价款</w:t>
      </w:r>
      <w:r>
        <w:rPr>
          <w:color w:val="auto"/>
          <w:highlight w:val="none"/>
        </w:rPr>
        <w:t>。</w:t>
      </w:r>
      <w:bookmarkEnd w:id="439"/>
    </w:p>
    <w:p>
      <w:pPr>
        <w:pStyle w:val="4"/>
        <w:numPr>
          <w:ilvl w:val="2"/>
          <w:numId w:val="5"/>
        </w:numPr>
        <w:ind w:left="782" w:hanging="782"/>
        <w:rPr>
          <w:color w:val="auto"/>
          <w:highlight w:val="none"/>
        </w:rPr>
      </w:pPr>
      <w:bookmarkStart w:id="440" w:name="_Toc10755"/>
      <w:r>
        <w:rPr>
          <w:color w:val="auto"/>
          <w:highlight w:val="none"/>
        </w:rPr>
        <w:t>承包人应按专用条款约定的日期向</w:t>
      </w:r>
      <w:r>
        <w:rPr>
          <w:rFonts w:hint="eastAsia"/>
          <w:color w:val="auto"/>
          <w:highlight w:val="none"/>
          <w:lang w:eastAsia="zh-CN"/>
        </w:rPr>
        <w:t>发包人</w:t>
      </w:r>
      <w:r>
        <w:rPr>
          <w:color w:val="auto"/>
          <w:highlight w:val="none"/>
        </w:rPr>
        <w:t>报送当月完工报表及下月施工计划（月计划必须满足工程总体计划要求），如不按时报送或所报计划不能满足发包人要求，发包人可延期支付工程进度款。</w:t>
      </w:r>
      <w:bookmarkEnd w:id="440"/>
    </w:p>
    <w:p>
      <w:pPr>
        <w:pStyle w:val="4"/>
        <w:numPr>
          <w:ilvl w:val="2"/>
          <w:numId w:val="5"/>
        </w:numPr>
        <w:ind w:left="782" w:hanging="782"/>
        <w:rPr>
          <w:color w:val="auto"/>
          <w:highlight w:val="none"/>
        </w:rPr>
      </w:pPr>
      <w:bookmarkStart w:id="441" w:name="_Toc5858"/>
      <w:r>
        <w:rPr>
          <w:rFonts w:hint="default" w:cs="Times New Roman"/>
          <w:color w:val="auto"/>
          <w:highlight w:val="none"/>
        </w:rPr>
        <w:t>承包人须对工程的整体进度负责，熟悉各专业分包工程的具体要求，尤其是对那些影响本合同施工进度的分项工程须特别注意。承包人应对各专业分包人提供的专业分包工程施工组织设计与进度计划进行汇总分析，对施工程序中有矛盾的地方进行协调并予以妥善解决。</w:t>
      </w:r>
    </w:p>
    <w:p>
      <w:pPr>
        <w:pStyle w:val="4"/>
        <w:numPr>
          <w:ilvl w:val="2"/>
          <w:numId w:val="5"/>
        </w:numPr>
        <w:ind w:left="782" w:hanging="782"/>
        <w:rPr>
          <w:color w:val="auto"/>
          <w:highlight w:val="none"/>
        </w:rPr>
      </w:pPr>
      <w:r>
        <w:rPr>
          <w:color w:val="auto"/>
          <w:highlight w:val="none"/>
        </w:rPr>
        <w:t>无论发包人何时需要，承包人还应以书面形式提交一份对其进行分包工程的施工安排和拟采用方法的总体说明，供发包人参考。如果发包人认为分包工程的实际进度不符合他已同意的进度计划时，承包人应根据发包人的要求提交一份修订的进度计划，表明为保证分包工程在分包人的竣工时间内完工而对原进度计划所作的必要修改，但发包人对分包人的管理不能免除承包人对分包的管理责任。</w:t>
      </w:r>
      <w:bookmarkEnd w:id="441"/>
    </w:p>
    <w:p>
      <w:pPr>
        <w:pStyle w:val="4"/>
        <w:numPr>
          <w:ilvl w:val="2"/>
          <w:numId w:val="5"/>
        </w:numPr>
        <w:ind w:left="782" w:hanging="782"/>
        <w:rPr>
          <w:color w:val="auto"/>
          <w:highlight w:val="none"/>
        </w:rPr>
      </w:pPr>
      <w:bookmarkStart w:id="442" w:name="_Toc8530"/>
      <w:r>
        <w:rPr>
          <w:color w:val="auto"/>
          <w:highlight w:val="none"/>
        </w:rPr>
        <w:t>承包人保证承包项目在合同工期内完成，同时保证给予分包项目以合理的施工衔接环节与施工进度时间，确保各项工程均在合同工期内同步进行。</w:t>
      </w:r>
      <w:bookmarkEnd w:id="442"/>
    </w:p>
    <w:p>
      <w:pPr>
        <w:pStyle w:val="4"/>
        <w:numPr>
          <w:ilvl w:val="2"/>
          <w:numId w:val="5"/>
        </w:numPr>
        <w:ind w:left="782" w:hanging="782"/>
        <w:rPr>
          <w:color w:val="auto"/>
          <w:highlight w:val="none"/>
        </w:rPr>
      </w:pPr>
      <w:bookmarkStart w:id="443" w:name="_Toc8776"/>
      <w:r>
        <w:rPr>
          <w:color w:val="auto"/>
          <w:highlight w:val="none"/>
        </w:rPr>
        <w:t>施工进度计划是承包人出具的对发包人的最低承诺，</w:t>
      </w:r>
      <w:r>
        <w:rPr>
          <w:rFonts w:hint="eastAsia"/>
          <w:color w:val="auto"/>
          <w:highlight w:val="none"/>
          <w:lang w:eastAsia="zh-CN"/>
        </w:rPr>
        <w:t>发包人</w:t>
      </w:r>
      <w:r>
        <w:rPr>
          <w:color w:val="auto"/>
          <w:highlight w:val="none"/>
        </w:rPr>
        <w:t>按合同对施工进度计划的批准,并不解除承包人根据合同规定应承担的责任，经</w:t>
      </w:r>
      <w:r>
        <w:rPr>
          <w:rFonts w:hint="eastAsia"/>
          <w:color w:val="auto"/>
          <w:highlight w:val="none"/>
          <w:lang w:eastAsia="zh-CN"/>
        </w:rPr>
        <w:t>发包人</w:t>
      </w:r>
      <w:r>
        <w:rPr>
          <w:color w:val="auto"/>
          <w:highlight w:val="none"/>
        </w:rPr>
        <w:t>批准的施工进度计划本身出现问题或错误时，一切额外支出和工期延误由承包人负责。</w:t>
      </w:r>
      <w:bookmarkEnd w:id="443"/>
    </w:p>
    <w:p>
      <w:pPr>
        <w:pStyle w:val="4"/>
        <w:numPr>
          <w:ilvl w:val="2"/>
          <w:numId w:val="5"/>
        </w:numPr>
        <w:ind w:left="782" w:hanging="782"/>
        <w:rPr>
          <w:color w:val="auto"/>
          <w:highlight w:val="none"/>
        </w:rPr>
      </w:pPr>
      <w:bookmarkStart w:id="444" w:name="_Toc17479"/>
      <w:r>
        <w:rPr>
          <w:color w:val="auto"/>
          <w:highlight w:val="none"/>
        </w:rPr>
        <w:t>如</w:t>
      </w:r>
      <w:r>
        <w:rPr>
          <w:rFonts w:hint="eastAsia"/>
          <w:color w:val="auto"/>
          <w:highlight w:val="none"/>
          <w:lang w:eastAsia="zh-CN"/>
        </w:rPr>
        <w:t>发包人代表</w:t>
      </w:r>
      <w:r>
        <w:rPr>
          <w:color w:val="auto"/>
          <w:highlight w:val="none"/>
        </w:rPr>
        <w:t>认为工程的进度滞后于原定的施工计划，不能按工期完成时，</w:t>
      </w:r>
      <w:r>
        <w:rPr>
          <w:rFonts w:hint="eastAsia"/>
          <w:color w:val="auto"/>
          <w:highlight w:val="none"/>
          <w:lang w:eastAsia="zh-CN"/>
        </w:rPr>
        <w:t>发包人代表</w:t>
      </w:r>
      <w:r>
        <w:rPr>
          <w:color w:val="auto"/>
          <w:highlight w:val="none"/>
        </w:rPr>
        <w:t>有权通知承包人采取适当的、必要的措施，在保证工程质量和安全的前提下加快工程进度以便按时完工。承包人采取这种措施无权另收费用。</w:t>
      </w:r>
      <w:bookmarkEnd w:id="444"/>
    </w:p>
    <w:p>
      <w:pPr>
        <w:pStyle w:val="4"/>
        <w:numPr>
          <w:ilvl w:val="1"/>
          <w:numId w:val="5"/>
        </w:numPr>
        <w:rPr>
          <w:color w:val="auto"/>
          <w:highlight w:val="none"/>
        </w:rPr>
      </w:pPr>
      <w:bookmarkStart w:id="445" w:name="_Toc15433"/>
      <w:bookmarkStart w:id="446" w:name="_Toc11979"/>
      <w:bookmarkStart w:id="447" w:name="_Toc7837"/>
      <w:bookmarkStart w:id="448" w:name="_Toc44492460"/>
      <w:r>
        <w:rPr>
          <w:color w:val="auto"/>
          <w:highlight w:val="none"/>
        </w:rPr>
        <w:t>合同进度计划的修订</w:t>
      </w:r>
      <w:bookmarkEnd w:id="445"/>
      <w:bookmarkEnd w:id="446"/>
      <w:bookmarkEnd w:id="447"/>
      <w:bookmarkEnd w:id="448"/>
    </w:p>
    <w:p>
      <w:pPr>
        <w:pStyle w:val="4"/>
        <w:numPr>
          <w:ilvl w:val="2"/>
          <w:numId w:val="5"/>
        </w:numPr>
        <w:ind w:left="782" w:hanging="782"/>
        <w:rPr>
          <w:color w:val="auto"/>
          <w:highlight w:val="none"/>
        </w:rPr>
      </w:pPr>
      <w:bookmarkStart w:id="449" w:name="_Toc44492461"/>
      <w:bookmarkStart w:id="450" w:name="_Toc465"/>
      <w:r>
        <w:rPr>
          <w:color w:val="auto"/>
          <w:highlight w:val="none"/>
        </w:rPr>
        <w:t>不论何种原因造成工程的实际进度与第10.1</w:t>
      </w:r>
      <w:r>
        <w:rPr>
          <w:rFonts w:hint="eastAsia"/>
          <w:color w:val="auto"/>
          <w:highlight w:val="none"/>
        </w:rPr>
        <w:t>款</w:t>
      </w:r>
      <w:r>
        <w:rPr>
          <w:color w:val="auto"/>
          <w:highlight w:val="none"/>
        </w:rPr>
        <w:t>的合同进度计划不符时，承包人可以向</w:t>
      </w:r>
      <w:r>
        <w:rPr>
          <w:rFonts w:hint="eastAsia"/>
          <w:color w:val="auto"/>
          <w:highlight w:val="none"/>
          <w:lang w:eastAsia="zh-CN"/>
        </w:rPr>
        <w:t>发包人</w:t>
      </w:r>
      <w:r>
        <w:rPr>
          <w:color w:val="auto"/>
          <w:highlight w:val="none"/>
        </w:rPr>
        <w:t>提交修订合同进度计划的申请报告，并附有关措施和相关资料，报</w:t>
      </w:r>
      <w:r>
        <w:rPr>
          <w:rFonts w:hint="eastAsia"/>
          <w:color w:val="auto"/>
          <w:highlight w:val="none"/>
          <w:lang w:eastAsia="zh-CN"/>
        </w:rPr>
        <w:t>发包人</w:t>
      </w:r>
      <w:r>
        <w:rPr>
          <w:color w:val="auto"/>
          <w:highlight w:val="none"/>
        </w:rPr>
        <w:t>审批；发包人认为本工程或其中任何部分工程进度滞后而不能按预定工期完工，有权向承包人发出修订工程进度计划的书面指令。承包人应在接到发包人指令后的</w:t>
      </w:r>
      <w:r>
        <w:rPr>
          <w:rFonts w:hint="eastAsia"/>
          <w:color w:val="auto"/>
          <w:highlight w:val="none"/>
        </w:rPr>
        <w:t>七（</w:t>
      </w:r>
      <w:r>
        <w:rPr>
          <w:color w:val="auto"/>
          <w:highlight w:val="none"/>
        </w:rPr>
        <w:t>7</w:t>
      </w:r>
      <w:r>
        <w:rPr>
          <w:rFonts w:hint="eastAsia"/>
          <w:color w:val="auto"/>
          <w:highlight w:val="none"/>
        </w:rPr>
        <w:t>）天内</w:t>
      </w:r>
      <w:r>
        <w:rPr>
          <w:color w:val="auto"/>
          <w:highlight w:val="none"/>
        </w:rPr>
        <w:t>将修订后的进度计划提交给发包人。修改后的工程进度计划，仍应保证本合同工程在合同约定的工期内完成。同时承包人应加大投入，确保工程能在合同约定的工期内完成。如承包人未能在此时限内提交修订后的进度计划或未采取有效措施，发包人有权单方面解除合同，或将未完工程的全部或一部分另行安排给其他有能力的承包商，承包人必须无条件服从，由此产生的费用由承包人承担，发包人有权从应支付给承包人的任何款项中予以扣除，且不免除承包人应负的责任和义务。</w:t>
      </w:r>
      <w:r>
        <w:rPr>
          <w:rFonts w:hint="eastAsia"/>
          <w:color w:val="auto"/>
          <w:highlight w:val="none"/>
          <w:lang w:val="en-US" w:eastAsia="zh-CN"/>
        </w:rPr>
        <w:t>发包人</w:t>
      </w:r>
      <w:r>
        <w:rPr>
          <w:color w:val="auto"/>
          <w:highlight w:val="none"/>
        </w:rPr>
        <w:t>也可以直接向承包人作出修订合同进度计划的指示，承包人应按该指示修订合同进度计划，报</w:t>
      </w:r>
      <w:r>
        <w:rPr>
          <w:rFonts w:hint="eastAsia"/>
          <w:color w:val="auto"/>
          <w:highlight w:val="none"/>
          <w:lang w:val="en-US" w:eastAsia="zh-CN"/>
        </w:rPr>
        <w:t>发包人</w:t>
      </w:r>
      <w:r>
        <w:rPr>
          <w:color w:val="auto"/>
          <w:highlight w:val="none"/>
        </w:rPr>
        <w:t>审批</w:t>
      </w:r>
      <w:r>
        <w:rPr>
          <w:rFonts w:hint="eastAsia"/>
          <w:color w:val="auto"/>
          <w:highlight w:val="none"/>
          <w:lang w:val="en-US" w:eastAsia="zh-CN"/>
        </w:rPr>
        <w:t>并</w:t>
      </w:r>
      <w:r>
        <w:rPr>
          <w:color w:val="auto"/>
          <w:highlight w:val="none"/>
        </w:rPr>
        <w:t>获得发包人</w:t>
      </w:r>
      <w:r>
        <w:rPr>
          <w:rFonts w:hint="eastAsia"/>
          <w:color w:val="auto"/>
          <w:highlight w:val="none"/>
          <w:lang w:val="en-US" w:eastAsia="zh-CN"/>
        </w:rPr>
        <w:t>书面</w:t>
      </w:r>
      <w:r>
        <w:rPr>
          <w:color w:val="auto"/>
          <w:highlight w:val="none"/>
        </w:rPr>
        <w:t>同意。</w:t>
      </w:r>
      <w:bookmarkEnd w:id="449"/>
      <w:bookmarkEnd w:id="450"/>
    </w:p>
    <w:p>
      <w:pPr>
        <w:pStyle w:val="4"/>
        <w:numPr>
          <w:ilvl w:val="0"/>
          <w:numId w:val="5"/>
        </w:numPr>
        <w:rPr>
          <w:color w:val="auto"/>
          <w:highlight w:val="none"/>
        </w:rPr>
      </w:pPr>
      <w:bookmarkStart w:id="451" w:name="_Toc18989"/>
      <w:bookmarkStart w:id="452" w:name="_Toc44492462"/>
      <w:bookmarkStart w:id="453" w:name="_Toc47512241"/>
      <w:bookmarkStart w:id="454" w:name="_Toc407356004"/>
      <w:bookmarkStart w:id="455" w:name="_Toc29027"/>
      <w:bookmarkStart w:id="456" w:name="_Toc44227992"/>
      <w:bookmarkStart w:id="457" w:name="_Toc10238"/>
      <w:bookmarkStart w:id="458" w:name="_Toc30973"/>
      <w:bookmarkStart w:id="459" w:name="_Toc22105"/>
      <w:bookmarkStart w:id="460" w:name="_Toc7010"/>
      <w:r>
        <w:rPr>
          <w:color w:val="auto"/>
          <w:highlight w:val="none"/>
        </w:rPr>
        <w:t>开工和竣工</w:t>
      </w:r>
      <w:bookmarkEnd w:id="451"/>
      <w:bookmarkEnd w:id="452"/>
      <w:bookmarkEnd w:id="453"/>
      <w:bookmarkEnd w:id="454"/>
      <w:bookmarkEnd w:id="455"/>
      <w:bookmarkEnd w:id="456"/>
      <w:bookmarkEnd w:id="457"/>
      <w:bookmarkEnd w:id="458"/>
      <w:bookmarkEnd w:id="459"/>
      <w:bookmarkEnd w:id="460"/>
    </w:p>
    <w:p>
      <w:pPr>
        <w:pStyle w:val="4"/>
        <w:numPr>
          <w:ilvl w:val="1"/>
          <w:numId w:val="5"/>
        </w:numPr>
        <w:rPr>
          <w:color w:val="auto"/>
          <w:highlight w:val="none"/>
        </w:rPr>
      </w:pPr>
      <w:bookmarkStart w:id="461" w:name="_Toc4805"/>
      <w:bookmarkStart w:id="462" w:name="_Toc13747"/>
      <w:bookmarkStart w:id="463" w:name="_Toc15206"/>
      <w:bookmarkStart w:id="464" w:name="_Toc44492463"/>
      <w:r>
        <w:rPr>
          <w:color w:val="auto"/>
          <w:highlight w:val="none"/>
        </w:rPr>
        <w:t>开工</w:t>
      </w:r>
      <w:bookmarkEnd w:id="461"/>
      <w:bookmarkEnd w:id="462"/>
      <w:bookmarkEnd w:id="463"/>
      <w:bookmarkEnd w:id="464"/>
    </w:p>
    <w:p>
      <w:pPr>
        <w:pStyle w:val="4"/>
        <w:numPr>
          <w:ilvl w:val="2"/>
          <w:numId w:val="5"/>
        </w:numPr>
        <w:ind w:left="771" w:hanging="771"/>
        <w:rPr>
          <w:color w:val="auto"/>
          <w:highlight w:val="none"/>
        </w:rPr>
      </w:pPr>
      <w:bookmarkStart w:id="465" w:name="_Toc5241"/>
      <w:r>
        <w:rPr>
          <w:color w:val="auto"/>
          <w:highlight w:val="none"/>
        </w:rPr>
        <w:t>承包人应按合同约定的合同进度计划，向</w:t>
      </w:r>
      <w:r>
        <w:rPr>
          <w:rFonts w:hint="eastAsia"/>
          <w:color w:val="auto"/>
          <w:highlight w:val="none"/>
          <w:lang w:eastAsia="zh-CN"/>
        </w:rPr>
        <w:t>发包人</w:t>
      </w:r>
      <w:r>
        <w:rPr>
          <w:color w:val="auto"/>
          <w:highlight w:val="none"/>
        </w:rPr>
        <w:t>提交工程开工报审表，经</w:t>
      </w:r>
      <w:r>
        <w:rPr>
          <w:rFonts w:hint="eastAsia"/>
          <w:color w:val="auto"/>
          <w:highlight w:val="none"/>
          <w:lang w:eastAsia="zh-CN"/>
        </w:rPr>
        <w:t>发包人</w:t>
      </w:r>
      <w:r>
        <w:rPr>
          <w:color w:val="auto"/>
          <w:highlight w:val="none"/>
        </w:rPr>
        <w:t>审批后执行。开工报审表应详细说明按合同进度计划正常施工所需的施工道路、临时设施、材料设备、施工人员等施工组织措施的落实情况以及工程的进度安排。</w:t>
      </w:r>
      <w:bookmarkEnd w:id="465"/>
    </w:p>
    <w:p>
      <w:pPr>
        <w:pStyle w:val="4"/>
        <w:numPr>
          <w:ilvl w:val="2"/>
          <w:numId w:val="5"/>
        </w:numPr>
        <w:ind w:left="771" w:hanging="771"/>
        <w:rPr>
          <w:color w:val="auto"/>
          <w:highlight w:val="none"/>
        </w:rPr>
      </w:pPr>
      <w:bookmarkStart w:id="466" w:name="_Toc31609"/>
      <w:r>
        <w:rPr>
          <w:color w:val="auto"/>
          <w:highlight w:val="none"/>
        </w:rPr>
        <w:t>承包人应在开工前检查本工程工地上已由其他施工单位完成而又会影响到本工程的所有工程之标高、定位、尺寸、质量等，只要该等工程符合国家规范要求，承包人就必须接收施工场地。若此等已完成工程内存在错误或不符合本工程的需要，承包人应当立刻书面通知发包人。一旦承包人接收施工场地或本工程已经开工，且未通知发包人已完成工程内存在的错误或不配合本工程需要之处，则均视为前条所述已完工程均已符合国家规范并满足本工程需要，此后如发现该等已完工程仍存在需要整改或修补或不满足本工程需要的情形，则一切责任由承包人自行承担，本合同项下工期及各项</w:t>
      </w:r>
      <w:r>
        <w:rPr>
          <w:rFonts w:hint="eastAsia"/>
          <w:color w:val="auto"/>
          <w:highlight w:val="none"/>
        </w:rPr>
        <w:t>价款</w:t>
      </w:r>
      <w:r>
        <w:rPr>
          <w:color w:val="auto"/>
          <w:highlight w:val="none"/>
        </w:rPr>
        <w:t>均不作调整。</w:t>
      </w:r>
      <w:bookmarkEnd w:id="466"/>
    </w:p>
    <w:p>
      <w:pPr>
        <w:pStyle w:val="4"/>
        <w:numPr>
          <w:ilvl w:val="2"/>
          <w:numId w:val="5"/>
        </w:numPr>
        <w:ind w:left="771" w:hanging="771"/>
        <w:rPr>
          <w:color w:val="auto"/>
          <w:highlight w:val="none"/>
        </w:rPr>
      </w:pPr>
      <w:bookmarkStart w:id="467" w:name="_Toc11157"/>
      <w:r>
        <w:rPr>
          <w:color w:val="auto"/>
          <w:highlight w:val="none"/>
        </w:rPr>
        <w:t>承包人不能按时开工的，应当不迟于发包人要求的开工日期前7天，以书面形式向</w:t>
      </w:r>
      <w:r>
        <w:rPr>
          <w:rFonts w:hint="eastAsia"/>
          <w:color w:val="auto"/>
          <w:highlight w:val="none"/>
          <w:lang w:eastAsia="zh-CN"/>
        </w:rPr>
        <w:t>发包人</w:t>
      </w:r>
      <w:r>
        <w:rPr>
          <w:color w:val="auto"/>
          <w:highlight w:val="none"/>
        </w:rPr>
        <w:t>提出延期开工的理由和要求。</w:t>
      </w:r>
      <w:r>
        <w:rPr>
          <w:rFonts w:hint="eastAsia"/>
          <w:color w:val="auto"/>
          <w:highlight w:val="none"/>
          <w:lang w:eastAsia="zh-CN"/>
        </w:rPr>
        <w:t>发包人</w:t>
      </w:r>
      <w:r>
        <w:rPr>
          <w:color w:val="auto"/>
          <w:highlight w:val="none"/>
        </w:rPr>
        <w:t>应当在接到延期开工申请后的48小时内以书面形式答复承包人。</w:t>
      </w:r>
      <w:r>
        <w:rPr>
          <w:rFonts w:hint="eastAsia"/>
          <w:color w:val="auto"/>
          <w:highlight w:val="none"/>
          <w:lang w:eastAsia="zh-CN"/>
        </w:rPr>
        <w:t>发包人</w:t>
      </w:r>
      <w:r>
        <w:rPr>
          <w:color w:val="auto"/>
          <w:highlight w:val="none"/>
        </w:rPr>
        <w:t>在接到延期开工申请后48小时内不答复，视为同意承包人要求，工期</w:t>
      </w:r>
      <w:r>
        <w:rPr>
          <w:rFonts w:hint="default"/>
          <w:color w:val="auto"/>
          <w:highlight w:val="none"/>
          <w:lang w:val="en-US"/>
        </w:rPr>
        <w:t>相应</w:t>
      </w:r>
      <w:r>
        <w:rPr>
          <w:color w:val="auto"/>
          <w:highlight w:val="none"/>
        </w:rPr>
        <w:t>顺延。</w:t>
      </w:r>
      <w:r>
        <w:rPr>
          <w:rFonts w:hint="eastAsia"/>
          <w:color w:val="auto"/>
          <w:highlight w:val="none"/>
          <w:lang w:eastAsia="zh-CN"/>
        </w:rPr>
        <w:t>发包人</w:t>
      </w:r>
      <w:r>
        <w:rPr>
          <w:color w:val="auto"/>
          <w:highlight w:val="none"/>
        </w:rPr>
        <w:t>不同意延期要求或承包人未在规定时间内提出延期开工要求，工期不予顺延。</w:t>
      </w:r>
      <w:bookmarkEnd w:id="467"/>
    </w:p>
    <w:p>
      <w:pPr>
        <w:pStyle w:val="4"/>
        <w:numPr>
          <w:ilvl w:val="1"/>
          <w:numId w:val="5"/>
        </w:numPr>
        <w:rPr>
          <w:color w:val="auto"/>
          <w:highlight w:val="none"/>
        </w:rPr>
      </w:pPr>
      <w:bookmarkStart w:id="468" w:name="_Toc44492464"/>
      <w:bookmarkStart w:id="469" w:name="_Toc15601"/>
      <w:bookmarkStart w:id="470" w:name="_Toc29150"/>
      <w:bookmarkStart w:id="471" w:name="_Toc12186"/>
      <w:r>
        <w:rPr>
          <w:color w:val="auto"/>
          <w:highlight w:val="none"/>
        </w:rPr>
        <w:t>竣工</w:t>
      </w:r>
      <w:bookmarkEnd w:id="468"/>
      <w:bookmarkEnd w:id="469"/>
      <w:bookmarkEnd w:id="470"/>
      <w:bookmarkEnd w:id="471"/>
    </w:p>
    <w:p>
      <w:pPr>
        <w:pStyle w:val="4"/>
        <w:numPr>
          <w:ilvl w:val="2"/>
          <w:numId w:val="5"/>
        </w:numPr>
        <w:ind w:left="771" w:hanging="771"/>
        <w:rPr>
          <w:color w:val="auto"/>
          <w:highlight w:val="none"/>
        </w:rPr>
      </w:pPr>
      <w:bookmarkStart w:id="472" w:name="_Toc23410"/>
      <w:r>
        <w:rPr>
          <w:color w:val="auto"/>
          <w:highlight w:val="none"/>
        </w:rPr>
        <w:t>承包人应在合同约定的期限内完成合同工程。</w:t>
      </w:r>
      <w:bookmarkEnd w:id="472"/>
    </w:p>
    <w:p>
      <w:pPr>
        <w:pStyle w:val="4"/>
        <w:numPr>
          <w:ilvl w:val="1"/>
          <w:numId w:val="5"/>
        </w:numPr>
        <w:rPr>
          <w:color w:val="auto"/>
          <w:highlight w:val="none"/>
        </w:rPr>
      </w:pPr>
      <w:bookmarkStart w:id="473" w:name="_Toc6841"/>
      <w:bookmarkStart w:id="474" w:name="_Toc17979"/>
      <w:bookmarkStart w:id="475" w:name="_Toc44492465"/>
      <w:bookmarkStart w:id="476" w:name="_Toc4454"/>
      <w:r>
        <w:rPr>
          <w:color w:val="auto"/>
          <w:highlight w:val="none"/>
        </w:rPr>
        <w:t>发包人的工期延误</w:t>
      </w:r>
      <w:bookmarkEnd w:id="473"/>
      <w:bookmarkEnd w:id="474"/>
      <w:bookmarkEnd w:id="475"/>
      <w:bookmarkEnd w:id="476"/>
    </w:p>
    <w:p>
      <w:pPr>
        <w:pStyle w:val="4"/>
        <w:numPr>
          <w:ilvl w:val="2"/>
          <w:numId w:val="5"/>
        </w:numPr>
        <w:ind w:left="771" w:hanging="771"/>
        <w:rPr>
          <w:color w:val="auto"/>
          <w:highlight w:val="none"/>
        </w:rPr>
      </w:pPr>
      <w:bookmarkStart w:id="477" w:name="_Toc24453"/>
      <w:r>
        <w:rPr>
          <w:color w:val="auto"/>
          <w:highlight w:val="none"/>
        </w:rPr>
        <w:t>在履行合同过程中，由于发包人的下列原因造成工期延误，承包人有权要求发包人延长工期，但不得因此索赔费用。需要修订合同进度计划的，按照第10.2款的约定办理。</w:t>
      </w:r>
      <w:bookmarkEnd w:id="477"/>
    </w:p>
    <w:p>
      <w:pPr>
        <w:pStyle w:val="52"/>
        <w:numPr>
          <w:ilvl w:val="0"/>
          <w:numId w:val="30"/>
        </w:numPr>
        <w:ind w:left="885" w:leftChars="250" w:hanging="360" w:hangingChars="150"/>
        <w:jc w:val="both"/>
        <w:rPr>
          <w:rFonts w:eastAsia="宋体"/>
          <w:color w:val="auto"/>
          <w:sz w:val="24"/>
          <w:szCs w:val="24"/>
          <w:highlight w:val="none"/>
        </w:rPr>
      </w:pPr>
      <w:r>
        <w:rPr>
          <w:rFonts w:eastAsia="宋体"/>
          <w:color w:val="auto"/>
          <w:sz w:val="24"/>
          <w:szCs w:val="24"/>
          <w:highlight w:val="none"/>
        </w:rPr>
        <w:t>发包人未能按专用条款的约定提供图纸及开工条件；</w:t>
      </w:r>
    </w:p>
    <w:p>
      <w:pPr>
        <w:pStyle w:val="52"/>
        <w:numPr>
          <w:ilvl w:val="0"/>
          <w:numId w:val="30"/>
        </w:numPr>
        <w:ind w:left="885" w:leftChars="250" w:hanging="360" w:hangingChars="150"/>
        <w:jc w:val="both"/>
        <w:rPr>
          <w:rFonts w:eastAsia="宋体"/>
          <w:color w:val="auto"/>
          <w:sz w:val="24"/>
          <w:szCs w:val="24"/>
          <w:highlight w:val="none"/>
        </w:rPr>
      </w:pPr>
      <w:r>
        <w:rPr>
          <w:rFonts w:eastAsia="宋体"/>
          <w:color w:val="auto"/>
          <w:sz w:val="24"/>
          <w:szCs w:val="24"/>
          <w:highlight w:val="none"/>
        </w:rPr>
        <w:t>发包人迟延提供材料、工程设备；</w:t>
      </w:r>
    </w:p>
    <w:p>
      <w:pPr>
        <w:pStyle w:val="52"/>
        <w:numPr>
          <w:ilvl w:val="0"/>
          <w:numId w:val="30"/>
        </w:numPr>
        <w:ind w:left="885" w:leftChars="250" w:hanging="360" w:hangingChars="150"/>
        <w:jc w:val="both"/>
        <w:rPr>
          <w:rFonts w:eastAsia="宋体"/>
          <w:color w:val="auto"/>
          <w:sz w:val="24"/>
          <w:szCs w:val="24"/>
          <w:highlight w:val="none"/>
        </w:rPr>
      </w:pPr>
      <w:r>
        <w:rPr>
          <w:rFonts w:eastAsia="宋体"/>
          <w:color w:val="auto"/>
          <w:sz w:val="24"/>
          <w:szCs w:val="24"/>
          <w:highlight w:val="none"/>
        </w:rPr>
        <w:t>专用条款约定的其他情形。</w:t>
      </w:r>
    </w:p>
    <w:p>
      <w:pPr>
        <w:pStyle w:val="4"/>
        <w:numPr>
          <w:ilvl w:val="1"/>
          <w:numId w:val="5"/>
        </w:numPr>
        <w:rPr>
          <w:color w:val="auto"/>
          <w:highlight w:val="none"/>
        </w:rPr>
      </w:pPr>
      <w:bookmarkStart w:id="478" w:name="_Toc506"/>
      <w:bookmarkStart w:id="479" w:name="_Toc44492466"/>
      <w:bookmarkStart w:id="480" w:name="_Toc1176"/>
      <w:bookmarkStart w:id="481" w:name="_Toc4071"/>
      <w:r>
        <w:rPr>
          <w:color w:val="auto"/>
          <w:highlight w:val="none"/>
        </w:rPr>
        <w:t>异常恶劣的气候条件</w:t>
      </w:r>
      <w:bookmarkEnd w:id="478"/>
      <w:bookmarkEnd w:id="479"/>
      <w:bookmarkEnd w:id="480"/>
      <w:bookmarkEnd w:id="481"/>
    </w:p>
    <w:p>
      <w:pPr>
        <w:pStyle w:val="4"/>
        <w:numPr>
          <w:ilvl w:val="2"/>
          <w:numId w:val="5"/>
        </w:numPr>
        <w:ind w:left="771" w:hanging="771"/>
        <w:rPr>
          <w:color w:val="auto"/>
          <w:highlight w:val="none"/>
        </w:rPr>
      </w:pPr>
      <w:bookmarkStart w:id="482" w:name="_Toc11889"/>
      <w:r>
        <w:rPr>
          <w:color w:val="auto"/>
          <w:highlight w:val="none"/>
        </w:rPr>
        <w:t>由于出现专用条款规定的异常恶劣气候的条件导致工期延误的，承包人有权要求发包人延长工期。</w:t>
      </w:r>
      <w:bookmarkEnd w:id="482"/>
    </w:p>
    <w:p>
      <w:pPr>
        <w:pStyle w:val="4"/>
        <w:numPr>
          <w:ilvl w:val="1"/>
          <w:numId w:val="5"/>
        </w:numPr>
        <w:rPr>
          <w:color w:val="auto"/>
          <w:highlight w:val="none"/>
        </w:rPr>
      </w:pPr>
      <w:bookmarkStart w:id="483" w:name="_Toc1005"/>
      <w:bookmarkStart w:id="484" w:name="_Toc27117"/>
      <w:bookmarkStart w:id="485" w:name="_Toc44492467"/>
      <w:bookmarkStart w:id="486" w:name="_Toc32260"/>
      <w:r>
        <w:rPr>
          <w:color w:val="auto"/>
          <w:highlight w:val="none"/>
        </w:rPr>
        <w:t>承包人的工期延误</w:t>
      </w:r>
      <w:bookmarkEnd w:id="483"/>
      <w:bookmarkEnd w:id="484"/>
      <w:bookmarkEnd w:id="485"/>
      <w:bookmarkEnd w:id="486"/>
    </w:p>
    <w:p>
      <w:pPr>
        <w:pStyle w:val="4"/>
        <w:numPr>
          <w:ilvl w:val="2"/>
          <w:numId w:val="5"/>
        </w:numPr>
        <w:ind w:left="771" w:hanging="771"/>
        <w:rPr>
          <w:color w:val="auto"/>
          <w:highlight w:val="none"/>
        </w:rPr>
      </w:pPr>
      <w:bookmarkStart w:id="487" w:name="_Toc28575"/>
      <w:r>
        <w:rPr>
          <w:color w:val="auto"/>
          <w:highlight w:val="none"/>
        </w:rPr>
        <w:t>由于承包人原因，未能按合同进度计划完成工作，或</w:t>
      </w:r>
      <w:r>
        <w:rPr>
          <w:rFonts w:hint="eastAsia"/>
          <w:color w:val="auto"/>
          <w:highlight w:val="none"/>
          <w:lang w:val="en-US" w:eastAsia="zh-CN"/>
        </w:rPr>
        <w:t>发包人</w:t>
      </w:r>
      <w:r>
        <w:rPr>
          <w:color w:val="auto"/>
          <w:highlight w:val="none"/>
        </w:rPr>
        <w:t>认为承包人施工进度不能满足合同工期要求的，承包人应采取措施加快进度，并承担加快进度所增加的费用。由于承包人原因造成节点工期延误和(或)竣工工期延误，承包人应支付逾期节点工期违约金和(或)竣工违约金。承包人支付逾期竣工违约金，不免除承包人完成工程及修补缺陷的义务。承包人工期延误的其他约定见专用条款。</w:t>
      </w:r>
      <w:bookmarkEnd w:id="487"/>
    </w:p>
    <w:p>
      <w:pPr>
        <w:pStyle w:val="4"/>
        <w:numPr>
          <w:ilvl w:val="1"/>
          <w:numId w:val="5"/>
        </w:numPr>
        <w:rPr>
          <w:color w:val="auto"/>
          <w:highlight w:val="none"/>
        </w:rPr>
      </w:pPr>
      <w:bookmarkStart w:id="488" w:name="_Toc20343"/>
      <w:bookmarkStart w:id="489" w:name="_Toc44492468"/>
      <w:bookmarkStart w:id="490" w:name="_Toc27291"/>
      <w:bookmarkStart w:id="491" w:name="_Toc10699"/>
      <w:r>
        <w:rPr>
          <w:color w:val="auto"/>
          <w:highlight w:val="none"/>
        </w:rPr>
        <w:t>工期提前</w:t>
      </w:r>
      <w:bookmarkEnd w:id="488"/>
      <w:bookmarkEnd w:id="489"/>
      <w:bookmarkEnd w:id="490"/>
      <w:bookmarkEnd w:id="491"/>
    </w:p>
    <w:p>
      <w:pPr>
        <w:pStyle w:val="4"/>
        <w:numPr>
          <w:ilvl w:val="2"/>
          <w:numId w:val="5"/>
        </w:numPr>
        <w:ind w:left="771" w:hanging="771"/>
        <w:rPr>
          <w:color w:val="auto"/>
          <w:highlight w:val="none"/>
        </w:rPr>
      </w:pPr>
      <w:bookmarkStart w:id="492" w:name="_Toc32369"/>
      <w:r>
        <w:rPr>
          <w:color w:val="auto"/>
          <w:highlight w:val="none"/>
        </w:rPr>
        <w:t>发包人要求承包人提前竣工，或承包人提出提前竣工的建议能够给发包人带来效益的，应由承包人采取加快工程进度的措施，修订合同进度计划。工期提前的具体奖惩约定见专用条款。</w:t>
      </w:r>
      <w:bookmarkEnd w:id="492"/>
    </w:p>
    <w:p>
      <w:pPr>
        <w:pStyle w:val="4"/>
        <w:numPr>
          <w:ilvl w:val="0"/>
          <w:numId w:val="5"/>
        </w:numPr>
        <w:rPr>
          <w:color w:val="auto"/>
          <w:highlight w:val="none"/>
        </w:rPr>
      </w:pPr>
      <w:bookmarkStart w:id="493" w:name="_Toc47512242"/>
      <w:bookmarkStart w:id="494" w:name="_Toc14815"/>
      <w:bookmarkStart w:id="495" w:name="_Toc44492469"/>
      <w:bookmarkStart w:id="496" w:name="_Toc8238"/>
      <w:bookmarkStart w:id="497" w:name="_Toc407356005"/>
      <w:bookmarkStart w:id="498" w:name="_Toc24689"/>
      <w:bookmarkStart w:id="499" w:name="_Toc16894"/>
      <w:bookmarkStart w:id="500" w:name="_Toc27210"/>
      <w:bookmarkStart w:id="501" w:name="_Toc17967"/>
      <w:bookmarkStart w:id="502" w:name="_Toc44227993"/>
      <w:r>
        <w:rPr>
          <w:color w:val="auto"/>
          <w:highlight w:val="none"/>
        </w:rPr>
        <w:t>暂停施工</w:t>
      </w:r>
      <w:bookmarkEnd w:id="493"/>
      <w:bookmarkEnd w:id="494"/>
      <w:bookmarkEnd w:id="495"/>
      <w:bookmarkEnd w:id="496"/>
      <w:bookmarkEnd w:id="497"/>
      <w:bookmarkEnd w:id="498"/>
      <w:bookmarkEnd w:id="499"/>
      <w:bookmarkEnd w:id="500"/>
      <w:bookmarkEnd w:id="501"/>
      <w:bookmarkEnd w:id="502"/>
    </w:p>
    <w:p>
      <w:pPr>
        <w:pStyle w:val="4"/>
        <w:numPr>
          <w:ilvl w:val="1"/>
          <w:numId w:val="5"/>
        </w:numPr>
        <w:rPr>
          <w:color w:val="auto"/>
          <w:highlight w:val="none"/>
        </w:rPr>
      </w:pPr>
      <w:bookmarkStart w:id="503" w:name="_Toc28752"/>
      <w:bookmarkStart w:id="504" w:name="_Toc14730"/>
      <w:bookmarkStart w:id="505" w:name="_Toc4096"/>
      <w:bookmarkStart w:id="506" w:name="_Toc44492470"/>
      <w:r>
        <w:rPr>
          <w:color w:val="auto"/>
          <w:highlight w:val="none"/>
        </w:rPr>
        <w:t>承包人暂停施工的责任</w:t>
      </w:r>
      <w:bookmarkEnd w:id="503"/>
      <w:bookmarkEnd w:id="504"/>
      <w:bookmarkEnd w:id="505"/>
      <w:bookmarkEnd w:id="506"/>
    </w:p>
    <w:p>
      <w:pPr>
        <w:pStyle w:val="4"/>
        <w:numPr>
          <w:ilvl w:val="2"/>
          <w:numId w:val="5"/>
        </w:numPr>
        <w:ind w:left="771" w:hanging="771"/>
        <w:rPr>
          <w:color w:val="auto"/>
          <w:highlight w:val="none"/>
        </w:rPr>
      </w:pPr>
      <w:bookmarkStart w:id="507" w:name="_Toc13966"/>
      <w:r>
        <w:rPr>
          <w:color w:val="auto"/>
          <w:highlight w:val="none"/>
        </w:rPr>
        <w:t>因下列暂停施工增加的费用和（或）工期延误由承包人承担：</w:t>
      </w:r>
      <w:bookmarkEnd w:id="507"/>
    </w:p>
    <w:p>
      <w:pPr>
        <w:pStyle w:val="52"/>
        <w:numPr>
          <w:ilvl w:val="0"/>
          <w:numId w:val="31"/>
        </w:numPr>
        <w:ind w:left="525" w:leftChars="250" w:firstLine="360" w:firstLineChars="150"/>
        <w:jc w:val="both"/>
        <w:rPr>
          <w:rFonts w:eastAsia="宋体"/>
          <w:color w:val="auto"/>
          <w:sz w:val="24"/>
          <w:szCs w:val="24"/>
          <w:highlight w:val="none"/>
        </w:rPr>
      </w:pPr>
      <w:r>
        <w:rPr>
          <w:rFonts w:eastAsia="宋体"/>
          <w:color w:val="auto"/>
          <w:sz w:val="24"/>
          <w:szCs w:val="24"/>
          <w:highlight w:val="none"/>
        </w:rPr>
        <w:t>承包人违约引起的暂停施工；</w:t>
      </w:r>
    </w:p>
    <w:p>
      <w:pPr>
        <w:pStyle w:val="52"/>
        <w:numPr>
          <w:ilvl w:val="0"/>
          <w:numId w:val="31"/>
        </w:numPr>
        <w:ind w:left="525" w:leftChars="250" w:firstLine="360" w:firstLineChars="150"/>
        <w:jc w:val="both"/>
        <w:rPr>
          <w:rFonts w:eastAsia="宋体"/>
          <w:color w:val="auto"/>
          <w:sz w:val="24"/>
          <w:szCs w:val="24"/>
          <w:highlight w:val="none"/>
        </w:rPr>
      </w:pPr>
      <w:r>
        <w:rPr>
          <w:rFonts w:eastAsia="宋体"/>
          <w:color w:val="auto"/>
          <w:sz w:val="24"/>
          <w:szCs w:val="24"/>
          <w:highlight w:val="none"/>
        </w:rPr>
        <w:t>由于承包人原因为工程合理施工和安全保障所必需的暂停施工；</w:t>
      </w:r>
    </w:p>
    <w:p>
      <w:pPr>
        <w:pStyle w:val="52"/>
        <w:numPr>
          <w:ilvl w:val="0"/>
          <w:numId w:val="31"/>
        </w:numPr>
        <w:ind w:left="525" w:leftChars="250" w:firstLine="360" w:firstLineChars="150"/>
        <w:jc w:val="both"/>
        <w:rPr>
          <w:rFonts w:eastAsia="宋体"/>
          <w:color w:val="auto"/>
          <w:sz w:val="24"/>
          <w:szCs w:val="24"/>
          <w:highlight w:val="none"/>
        </w:rPr>
      </w:pPr>
      <w:r>
        <w:rPr>
          <w:rFonts w:eastAsia="宋体"/>
          <w:color w:val="auto"/>
          <w:sz w:val="24"/>
          <w:szCs w:val="24"/>
          <w:highlight w:val="none"/>
        </w:rPr>
        <w:t>承包人擅自暂停施工；</w:t>
      </w:r>
    </w:p>
    <w:p>
      <w:pPr>
        <w:pStyle w:val="52"/>
        <w:numPr>
          <w:ilvl w:val="0"/>
          <w:numId w:val="31"/>
        </w:numPr>
        <w:ind w:left="525" w:leftChars="250" w:firstLine="360" w:firstLineChars="150"/>
        <w:jc w:val="both"/>
        <w:rPr>
          <w:rFonts w:eastAsia="宋体"/>
          <w:color w:val="auto"/>
          <w:sz w:val="24"/>
          <w:szCs w:val="24"/>
          <w:highlight w:val="none"/>
        </w:rPr>
      </w:pPr>
      <w:r>
        <w:rPr>
          <w:rFonts w:eastAsia="宋体"/>
          <w:color w:val="auto"/>
          <w:sz w:val="24"/>
          <w:szCs w:val="24"/>
          <w:highlight w:val="none"/>
        </w:rPr>
        <w:t>承包人其他原因引起的暂停施工。</w:t>
      </w:r>
    </w:p>
    <w:p>
      <w:pPr>
        <w:pStyle w:val="4"/>
        <w:numPr>
          <w:ilvl w:val="1"/>
          <w:numId w:val="5"/>
        </w:numPr>
        <w:rPr>
          <w:color w:val="auto"/>
          <w:highlight w:val="none"/>
        </w:rPr>
      </w:pPr>
      <w:bookmarkStart w:id="508" w:name="_Toc31713"/>
      <w:bookmarkStart w:id="509" w:name="_Toc23100"/>
      <w:bookmarkStart w:id="510" w:name="_Toc30240"/>
      <w:bookmarkStart w:id="511" w:name="_Toc44492471"/>
      <w:r>
        <w:rPr>
          <w:color w:val="auto"/>
          <w:highlight w:val="none"/>
        </w:rPr>
        <w:t>发包人暂停施工的责任</w:t>
      </w:r>
      <w:bookmarkEnd w:id="508"/>
      <w:bookmarkEnd w:id="509"/>
      <w:bookmarkEnd w:id="510"/>
      <w:bookmarkEnd w:id="511"/>
    </w:p>
    <w:p>
      <w:pPr>
        <w:pStyle w:val="4"/>
        <w:numPr>
          <w:ilvl w:val="2"/>
          <w:numId w:val="5"/>
        </w:numPr>
        <w:ind w:left="777" w:hanging="777"/>
        <w:rPr>
          <w:color w:val="auto"/>
          <w:highlight w:val="none"/>
        </w:rPr>
      </w:pPr>
      <w:bookmarkStart w:id="512" w:name="_Toc29166"/>
      <w:r>
        <w:rPr>
          <w:color w:val="auto"/>
          <w:highlight w:val="none"/>
        </w:rPr>
        <w:t>由于发包人原因引起的暂停施工造成工期延误的，承包人有权要求发包人延长工期和（或）增加费用。具体约定见专用条款。</w:t>
      </w:r>
      <w:bookmarkEnd w:id="512"/>
    </w:p>
    <w:p>
      <w:pPr>
        <w:pStyle w:val="4"/>
        <w:numPr>
          <w:ilvl w:val="1"/>
          <w:numId w:val="5"/>
        </w:numPr>
        <w:rPr>
          <w:color w:val="auto"/>
          <w:highlight w:val="none"/>
        </w:rPr>
      </w:pPr>
      <w:bookmarkStart w:id="513" w:name="_Toc16810"/>
      <w:bookmarkStart w:id="514" w:name="_Toc21284"/>
      <w:bookmarkStart w:id="515" w:name="_Toc12192"/>
      <w:bookmarkStart w:id="516" w:name="_Toc44492472"/>
      <w:r>
        <w:rPr>
          <w:rFonts w:hint="eastAsia"/>
          <w:color w:val="auto"/>
          <w:highlight w:val="none"/>
          <w:lang w:val="en-US" w:eastAsia="zh-CN"/>
        </w:rPr>
        <w:t>发包人</w:t>
      </w:r>
      <w:r>
        <w:rPr>
          <w:color w:val="auto"/>
          <w:highlight w:val="none"/>
        </w:rPr>
        <w:t>暂停施工指示</w:t>
      </w:r>
      <w:bookmarkEnd w:id="513"/>
      <w:bookmarkEnd w:id="514"/>
      <w:bookmarkEnd w:id="515"/>
      <w:bookmarkEnd w:id="516"/>
    </w:p>
    <w:p>
      <w:pPr>
        <w:pStyle w:val="4"/>
        <w:numPr>
          <w:ilvl w:val="2"/>
          <w:numId w:val="5"/>
        </w:numPr>
        <w:ind w:left="777" w:hanging="777"/>
        <w:rPr>
          <w:color w:val="auto"/>
          <w:highlight w:val="none"/>
        </w:rPr>
      </w:pPr>
      <w:bookmarkStart w:id="517" w:name="_Toc25887"/>
      <w:r>
        <w:rPr>
          <w:rFonts w:hint="eastAsia"/>
          <w:color w:val="auto"/>
          <w:highlight w:val="none"/>
          <w:lang w:val="en-US" w:eastAsia="zh-CN"/>
        </w:rPr>
        <w:t>发包人</w:t>
      </w:r>
      <w:r>
        <w:rPr>
          <w:color w:val="auto"/>
          <w:highlight w:val="none"/>
        </w:rPr>
        <w:t>认为有必要时，可向承包人作出暂停施工的指示，承包人应按</w:t>
      </w:r>
      <w:r>
        <w:rPr>
          <w:rFonts w:hint="eastAsia"/>
          <w:color w:val="auto"/>
          <w:highlight w:val="none"/>
          <w:lang w:val="en-US" w:eastAsia="zh-CN"/>
        </w:rPr>
        <w:t>发包人</w:t>
      </w:r>
      <w:r>
        <w:rPr>
          <w:color w:val="auto"/>
          <w:highlight w:val="none"/>
        </w:rPr>
        <w:t>指示暂停施工。不论由于何种原因引起的暂停施工，暂停施工期间承包人应负责妥善保护工程并提供安全保障。</w:t>
      </w:r>
      <w:bookmarkEnd w:id="517"/>
    </w:p>
    <w:p>
      <w:pPr>
        <w:pStyle w:val="4"/>
        <w:numPr>
          <w:ilvl w:val="2"/>
          <w:numId w:val="5"/>
        </w:numPr>
        <w:ind w:left="777" w:hanging="777"/>
        <w:rPr>
          <w:color w:val="auto"/>
          <w:highlight w:val="none"/>
        </w:rPr>
      </w:pPr>
      <w:bookmarkStart w:id="518" w:name="_Toc20298"/>
      <w:r>
        <w:rPr>
          <w:color w:val="auto"/>
          <w:highlight w:val="none"/>
        </w:rPr>
        <w:t>由于发包人的原因发生暂停施工的紧急情况，且</w:t>
      </w:r>
      <w:r>
        <w:rPr>
          <w:rFonts w:hint="eastAsia"/>
          <w:color w:val="auto"/>
          <w:highlight w:val="none"/>
          <w:lang w:val="en-US" w:eastAsia="zh-CN"/>
        </w:rPr>
        <w:t>发包人</w:t>
      </w:r>
      <w:r>
        <w:rPr>
          <w:color w:val="auto"/>
          <w:highlight w:val="none"/>
        </w:rPr>
        <w:t>未及时下达暂停施工指示的，承包人应及时向</w:t>
      </w:r>
      <w:r>
        <w:rPr>
          <w:rFonts w:hint="eastAsia"/>
          <w:color w:val="auto"/>
          <w:highlight w:val="none"/>
          <w:lang w:eastAsia="zh-CN"/>
        </w:rPr>
        <w:t>发包人</w:t>
      </w:r>
      <w:r>
        <w:rPr>
          <w:color w:val="auto"/>
          <w:highlight w:val="none"/>
        </w:rPr>
        <w:t>提出暂停施工的请求。</w:t>
      </w:r>
      <w:r>
        <w:rPr>
          <w:rFonts w:hint="eastAsia"/>
          <w:color w:val="auto"/>
          <w:highlight w:val="none"/>
          <w:lang w:eastAsia="zh-CN"/>
        </w:rPr>
        <w:t>发包人</w:t>
      </w:r>
      <w:r>
        <w:rPr>
          <w:color w:val="auto"/>
          <w:highlight w:val="none"/>
        </w:rPr>
        <w:t>应在接到请求后的24小时内予以答复，逾期未答复的，视为不同意承包人的暂停施工请求。</w:t>
      </w:r>
      <w:bookmarkEnd w:id="518"/>
    </w:p>
    <w:p>
      <w:pPr>
        <w:pStyle w:val="4"/>
        <w:numPr>
          <w:ilvl w:val="1"/>
          <w:numId w:val="5"/>
        </w:numPr>
        <w:rPr>
          <w:color w:val="auto"/>
          <w:highlight w:val="none"/>
        </w:rPr>
      </w:pPr>
      <w:bookmarkStart w:id="519" w:name="_Toc11680"/>
      <w:bookmarkStart w:id="520" w:name="_Toc44492473"/>
      <w:bookmarkStart w:id="521" w:name="_Toc4186"/>
      <w:bookmarkStart w:id="522" w:name="_Toc1375"/>
      <w:r>
        <w:rPr>
          <w:color w:val="auto"/>
          <w:highlight w:val="none"/>
        </w:rPr>
        <w:t>暂停施工后的复工</w:t>
      </w:r>
      <w:bookmarkEnd w:id="519"/>
      <w:bookmarkEnd w:id="520"/>
      <w:bookmarkEnd w:id="521"/>
      <w:bookmarkEnd w:id="522"/>
    </w:p>
    <w:p>
      <w:pPr>
        <w:pStyle w:val="4"/>
        <w:numPr>
          <w:ilvl w:val="2"/>
          <w:numId w:val="5"/>
        </w:numPr>
        <w:ind w:left="777" w:hanging="777"/>
        <w:rPr>
          <w:color w:val="auto"/>
          <w:highlight w:val="none"/>
        </w:rPr>
      </w:pPr>
      <w:bookmarkStart w:id="523" w:name="_Toc1161"/>
      <w:r>
        <w:rPr>
          <w:color w:val="auto"/>
          <w:highlight w:val="none"/>
        </w:rPr>
        <w:t>暂停施工后，承包人应与发包人协商，采取有效措施积极消除暂停施工的影响，促成达到复工条件。当工程具备复工条件时，发包人</w:t>
      </w:r>
      <w:r>
        <w:rPr>
          <w:rFonts w:hint="eastAsia"/>
          <w:color w:val="auto"/>
          <w:highlight w:val="none"/>
          <w:lang w:val="en-US" w:eastAsia="zh-CN"/>
        </w:rPr>
        <w:t>应</w:t>
      </w:r>
      <w:r>
        <w:rPr>
          <w:color w:val="auto"/>
          <w:highlight w:val="none"/>
        </w:rPr>
        <w:t>立即向承包人发出复工通知。承包人收到复工通知后，应在</w:t>
      </w:r>
      <w:r>
        <w:rPr>
          <w:rFonts w:hint="eastAsia"/>
          <w:color w:val="auto"/>
          <w:highlight w:val="none"/>
          <w:lang w:val="en-US" w:eastAsia="zh-CN"/>
        </w:rPr>
        <w:t>发包人</w:t>
      </w:r>
      <w:r>
        <w:rPr>
          <w:color w:val="auto"/>
          <w:highlight w:val="none"/>
        </w:rPr>
        <w:t>指定的期限内复工。</w:t>
      </w:r>
      <w:bookmarkEnd w:id="523"/>
    </w:p>
    <w:p>
      <w:pPr>
        <w:pStyle w:val="4"/>
        <w:numPr>
          <w:ilvl w:val="2"/>
          <w:numId w:val="5"/>
        </w:numPr>
        <w:ind w:left="777" w:hanging="777"/>
        <w:rPr>
          <w:color w:val="auto"/>
          <w:highlight w:val="none"/>
        </w:rPr>
      </w:pPr>
      <w:bookmarkStart w:id="524" w:name="_Toc4289"/>
      <w:r>
        <w:rPr>
          <w:rFonts w:hint="eastAsia"/>
          <w:color w:val="auto"/>
          <w:highlight w:val="none"/>
          <w:lang w:val="en-US" w:eastAsia="zh-CN"/>
        </w:rPr>
        <w:t>发包人</w:t>
      </w:r>
      <w:r>
        <w:rPr>
          <w:color w:val="auto"/>
          <w:highlight w:val="none"/>
        </w:rPr>
        <w:t>发出复工通知后，</w:t>
      </w:r>
      <w:r>
        <w:rPr>
          <w:rFonts w:hint="eastAsia"/>
          <w:color w:val="auto"/>
          <w:highlight w:val="none"/>
          <w:lang w:val="en-US" w:eastAsia="zh-CN"/>
        </w:rPr>
        <w:t>发包人</w:t>
      </w:r>
      <w:r>
        <w:rPr>
          <w:color w:val="auto"/>
          <w:highlight w:val="none"/>
        </w:rPr>
        <w:t>应和承包人一起对受到暂停施工影响的工程、材料和工程设备进行检查。承包人负责修复在暂停施工期间发生在工程、材料和工程设备上的任何损蚀、缺陷或损失，有关费用承担的约定见专用条款12.2.1条的约定。</w:t>
      </w:r>
      <w:bookmarkEnd w:id="524"/>
    </w:p>
    <w:p>
      <w:pPr>
        <w:pStyle w:val="4"/>
        <w:numPr>
          <w:ilvl w:val="2"/>
          <w:numId w:val="5"/>
        </w:numPr>
        <w:ind w:left="777" w:hanging="777"/>
        <w:rPr>
          <w:color w:val="auto"/>
          <w:highlight w:val="none"/>
        </w:rPr>
      </w:pPr>
      <w:bookmarkStart w:id="525" w:name="_Toc17714"/>
      <w:r>
        <w:rPr>
          <w:color w:val="auto"/>
          <w:highlight w:val="none"/>
        </w:rPr>
        <w:t>承包人无故拖延和拒绝复工的，由此增加的费用和工期延误由承包人承担；因发包人原因无法按时复工的，承包人有权要求发包人延长工期和（或）增加费用。</w:t>
      </w:r>
      <w:bookmarkEnd w:id="525"/>
    </w:p>
    <w:p>
      <w:pPr>
        <w:pStyle w:val="4"/>
        <w:numPr>
          <w:ilvl w:val="2"/>
          <w:numId w:val="5"/>
        </w:numPr>
        <w:ind w:left="777" w:hanging="777"/>
        <w:rPr>
          <w:color w:val="auto"/>
          <w:highlight w:val="none"/>
        </w:rPr>
      </w:pPr>
      <w:bookmarkStart w:id="526" w:name="_Toc14530"/>
      <w:r>
        <w:rPr>
          <w:color w:val="auto"/>
          <w:highlight w:val="none"/>
        </w:rPr>
        <w:t>其他约定见专用条款。</w:t>
      </w:r>
      <w:bookmarkEnd w:id="526"/>
    </w:p>
    <w:p>
      <w:pPr>
        <w:pStyle w:val="4"/>
        <w:numPr>
          <w:ilvl w:val="1"/>
          <w:numId w:val="5"/>
        </w:numPr>
        <w:rPr>
          <w:color w:val="auto"/>
          <w:highlight w:val="none"/>
        </w:rPr>
      </w:pPr>
      <w:bookmarkStart w:id="527" w:name="_Toc44492474"/>
      <w:bookmarkStart w:id="528" w:name="_Toc27597"/>
      <w:bookmarkStart w:id="529" w:name="_Toc12498"/>
      <w:bookmarkStart w:id="530" w:name="_Toc5846"/>
      <w:r>
        <w:rPr>
          <w:color w:val="auto"/>
          <w:highlight w:val="none"/>
        </w:rPr>
        <w:t>承包人采取合理措施防止损失扩大</w:t>
      </w:r>
      <w:bookmarkEnd w:id="527"/>
      <w:bookmarkEnd w:id="528"/>
      <w:bookmarkEnd w:id="529"/>
      <w:bookmarkEnd w:id="530"/>
    </w:p>
    <w:p>
      <w:pPr>
        <w:pStyle w:val="4"/>
        <w:numPr>
          <w:ilvl w:val="2"/>
          <w:numId w:val="5"/>
        </w:numPr>
        <w:ind w:left="777" w:hanging="777"/>
        <w:rPr>
          <w:color w:val="auto"/>
          <w:highlight w:val="none"/>
        </w:rPr>
      </w:pPr>
      <w:bookmarkStart w:id="531" w:name="_Toc20481"/>
      <w:r>
        <w:rPr>
          <w:color w:val="auto"/>
          <w:highlight w:val="none"/>
        </w:rPr>
        <w:t>无论任何原因，在工程暂停的情况下，承包人应采取合理措施，避免损失的进一步扩大。该等合理措施包括，在工程暂停期间，妥善保管已完工程，合理安排驻守工地的施工人员和机械，具体方案承包人需报经</w:t>
      </w:r>
      <w:r>
        <w:rPr>
          <w:rFonts w:hint="eastAsia"/>
          <w:color w:val="auto"/>
          <w:highlight w:val="none"/>
          <w:lang w:eastAsia="zh-CN"/>
        </w:rPr>
        <w:t>发包人</w:t>
      </w:r>
      <w:r>
        <w:rPr>
          <w:color w:val="auto"/>
          <w:highlight w:val="none"/>
        </w:rPr>
        <w:t>批准后实施。一旦合同当事人双方对于窝工损失发生争议，则承包人应当证明其采取了所有可能采取的合理措施以避免损失扩大，并应当提供书面的记录或文件予以佐证。</w:t>
      </w:r>
      <w:bookmarkEnd w:id="531"/>
    </w:p>
    <w:p>
      <w:pPr>
        <w:pStyle w:val="4"/>
        <w:numPr>
          <w:ilvl w:val="0"/>
          <w:numId w:val="5"/>
        </w:numPr>
        <w:rPr>
          <w:color w:val="auto"/>
          <w:highlight w:val="none"/>
        </w:rPr>
      </w:pPr>
      <w:bookmarkStart w:id="532" w:name="_Toc1325"/>
      <w:bookmarkStart w:id="533" w:name="_Toc30018"/>
      <w:bookmarkStart w:id="534" w:name="_Toc20597"/>
      <w:bookmarkStart w:id="535" w:name="_Toc47512243"/>
      <w:bookmarkStart w:id="536" w:name="_Toc407356006"/>
      <w:bookmarkStart w:id="537" w:name="_Toc28992"/>
      <w:bookmarkStart w:id="538" w:name="_Toc7999"/>
      <w:bookmarkStart w:id="539" w:name="_Toc44227994"/>
      <w:bookmarkStart w:id="540" w:name="_Toc2177"/>
      <w:bookmarkStart w:id="541" w:name="_Toc44492475"/>
      <w:r>
        <w:rPr>
          <w:color w:val="auto"/>
          <w:highlight w:val="none"/>
        </w:rPr>
        <w:t>工程质量</w:t>
      </w:r>
      <w:bookmarkEnd w:id="532"/>
      <w:bookmarkEnd w:id="533"/>
      <w:bookmarkEnd w:id="534"/>
      <w:bookmarkEnd w:id="535"/>
      <w:bookmarkEnd w:id="536"/>
      <w:bookmarkEnd w:id="537"/>
      <w:bookmarkEnd w:id="538"/>
      <w:bookmarkEnd w:id="539"/>
      <w:bookmarkEnd w:id="540"/>
      <w:bookmarkEnd w:id="541"/>
    </w:p>
    <w:p>
      <w:pPr>
        <w:pStyle w:val="4"/>
        <w:numPr>
          <w:ilvl w:val="1"/>
          <w:numId w:val="5"/>
        </w:numPr>
        <w:rPr>
          <w:color w:val="auto"/>
          <w:highlight w:val="none"/>
        </w:rPr>
      </w:pPr>
      <w:bookmarkStart w:id="542" w:name="_Toc4719"/>
      <w:bookmarkStart w:id="543" w:name="_Toc44492476"/>
      <w:bookmarkStart w:id="544" w:name="_Toc31261"/>
      <w:bookmarkStart w:id="545" w:name="_Toc2053"/>
      <w:r>
        <w:rPr>
          <w:color w:val="auto"/>
          <w:highlight w:val="none"/>
        </w:rPr>
        <w:t>工程质量要求</w:t>
      </w:r>
      <w:bookmarkEnd w:id="542"/>
      <w:bookmarkEnd w:id="543"/>
      <w:bookmarkEnd w:id="544"/>
      <w:bookmarkEnd w:id="545"/>
    </w:p>
    <w:p>
      <w:pPr>
        <w:pStyle w:val="4"/>
        <w:numPr>
          <w:ilvl w:val="2"/>
          <w:numId w:val="5"/>
        </w:numPr>
        <w:ind w:left="777" w:hanging="777"/>
        <w:rPr>
          <w:color w:val="auto"/>
          <w:highlight w:val="none"/>
        </w:rPr>
      </w:pPr>
      <w:bookmarkStart w:id="546" w:name="_Toc7819"/>
      <w:r>
        <w:rPr>
          <w:color w:val="auto"/>
          <w:highlight w:val="none"/>
        </w:rPr>
        <w:t>工程质量验收按合同专用条款和法律法规规章、规范性文件规定的验收标准执行。</w:t>
      </w:r>
      <w:bookmarkEnd w:id="546"/>
    </w:p>
    <w:p>
      <w:pPr>
        <w:pStyle w:val="4"/>
        <w:numPr>
          <w:ilvl w:val="2"/>
          <w:numId w:val="5"/>
        </w:numPr>
        <w:ind w:left="777" w:hanging="777"/>
        <w:rPr>
          <w:color w:val="auto"/>
          <w:highlight w:val="none"/>
        </w:rPr>
      </w:pPr>
      <w:bookmarkStart w:id="547" w:name="_Toc28651"/>
      <w:r>
        <w:rPr>
          <w:color w:val="auto"/>
          <w:highlight w:val="none"/>
        </w:rPr>
        <w:t>因承包人原因造成工程质量达不到合同约定验收标准的，</w:t>
      </w:r>
      <w:r>
        <w:rPr>
          <w:rFonts w:hint="eastAsia"/>
          <w:color w:val="auto"/>
          <w:highlight w:val="none"/>
          <w:lang w:val="en-US" w:eastAsia="zh-CN"/>
        </w:rPr>
        <w:t>发包人</w:t>
      </w:r>
      <w:r>
        <w:rPr>
          <w:color w:val="auto"/>
          <w:highlight w:val="none"/>
        </w:rPr>
        <w:t>有权要求承包人返工直至符合合同要求为止，由此造成的费用增加和（或）工期延误由承包人承担。</w:t>
      </w:r>
      <w:bookmarkEnd w:id="547"/>
    </w:p>
    <w:p>
      <w:pPr>
        <w:pStyle w:val="4"/>
        <w:numPr>
          <w:ilvl w:val="1"/>
          <w:numId w:val="5"/>
        </w:numPr>
        <w:rPr>
          <w:color w:val="auto"/>
          <w:highlight w:val="none"/>
        </w:rPr>
      </w:pPr>
      <w:bookmarkStart w:id="548" w:name="_Toc3972"/>
      <w:bookmarkStart w:id="549" w:name="_Toc13256"/>
      <w:bookmarkStart w:id="550" w:name="_Toc44492477"/>
      <w:bookmarkStart w:id="551" w:name="_Toc3233"/>
      <w:r>
        <w:rPr>
          <w:color w:val="auto"/>
          <w:highlight w:val="none"/>
        </w:rPr>
        <w:t>承包人的质量管理</w:t>
      </w:r>
      <w:bookmarkEnd w:id="548"/>
      <w:bookmarkEnd w:id="549"/>
      <w:bookmarkEnd w:id="550"/>
      <w:bookmarkEnd w:id="551"/>
    </w:p>
    <w:p>
      <w:pPr>
        <w:pStyle w:val="4"/>
        <w:numPr>
          <w:ilvl w:val="2"/>
          <w:numId w:val="5"/>
        </w:numPr>
        <w:ind w:left="777" w:hanging="777"/>
        <w:rPr>
          <w:color w:val="auto"/>
          <w:highlight w:val="none"/>
        </w:rPr>
      </w:pPr>
      <w:bookmarkStart w:id="552" w:name="_Toc28209"/>
      <w:r>
        <w:rPr>
          <w:color w:val="auto"/>
          <w:highlight w:val="none"/>
        </w:rPr>
        <w:t>承包人应在施工场地设置专门的质量检查机构或人员，建立完善的质量检查制度。承包人应在合同约定的期限内，提交工程质量保证措施文件，包括质量检查机构或质量检查人员岗位责任、质检人员的组成、质量检查程序和实施细则等，报送</w:t>
      </w:r>
      <w:r>
        <w:rPr>
          <w:rFonts w:hint="eastAsia"/>
          <w:color w:val="auto"/>
          <w:highlight w:val="none"/>
          <w:lang w:val="en-US" w:eastAsia="zh-CN"/>
        </w:rPr>
        <w:t>发包人</w:t>
      </w:r>
      <w:r>
        <w:rPr>
          <w:color w:val="auto"/>
          <w:highlight w:val="none"/>
        </w:rPr>
        <w:t>审批。</w:t>
      </w:r>
      <w:bookmarkEnd w:id="552"/>
      <w:r>
        <w:rPr>
          <w:color w:val="auto"/>
          <w:highlight w:val="none"/>
        </w:rPr>
        <w:t xml:space="preserve"> </w:t>
      </w:r>
    </w:p>
    <w:p>
      <w:pPr>
        <w:pStyle w:val="4"/>
        <w:numPr>
          <w:ilvl w:val="2"/>
          <w:numId w:val="5"/>
        </w:numPr>
        <w:ind w:left="777" w:hanging="777"/>
        <w:rPr>
          <w:color w:val="auto"/>
          <w:highlight w:val="none"/>
        </w:rPr>
      </w:pPr>
      <w:bookmarkStart w:id="553" w:name="_Toc9178"/>
      <w:r>
        <w:rPr>
          <w:color w:val="auto"/>
          <w:highlight w:val="none"/>
        </w:rPr>
        <w:t>承包人应加强对施工人员的质量教育和技术培训，定期考核施工人员的劳动技能，严格执行规范和操作规程。</w:t>
      </w:r>
      <w:bookmarkEnd w:id="553"/>
    </w:p>
    <w:p>
      <w:pPr>
        <w:pStyle w:val="4"/>
        <w:numPr>
          <w:ilvl w:val="1"/>
          <w:numId w:val="5"/>
        </w:numPr>
        <w:rPr>
          <w:color w:val="auto"/>
          <w:highlight w:val="none"/>
        </w:rPr>
      </w:pPr>
      <w:bookmarkStart w:id="554" w:name="_Toc12157"/>
      <w:bookmarkStart w:id="555" w:name="_Toc21520"/>
      <w:bookmarkStart w:id="556" w:name="_Toc28683"/>
      <w:bookmarkStart w:id="557" w:name="_Toc44492478"/>
      <w:r>
        <w:rPr>
          <w:color w:val="auto"/>
          <w:highlight w:val="none"/>
        </w:rPr>
        <w:t>承包人的质量检查</w:t>
      </w:r>
      <w:bookmarkEnd w:id="554"/>
      <w:bookmarkEnd w:id="555"/>
      <w:bookmarkEnd w:id="556"/>
      <w:bookmarkEnd w:id="557"/>
    </w:p>
    <w:p>
      <w:pPr>
        <w:pStyle w:val="4"/>
        <w:numPr>
          <w:ilvl w:val="2"/>
          <w:numId w:val="5"/>
        </w:numPr>
        <w:ind w:left="777" w:hanging="777"/>
        <w:rPr>
          <w:color w:val="auto"/>
          <w:highlight w:val="none"/>
        </w:rPr>
      </w:pPr>
      <w:bookmarkStart w:id="558" w:name="_Toc5033"/>
      <w:r>
        <w:rPr>
          <w:color w:val="auto"/>
          <w:highlight w:val="none"/>
        </w:rPr>
        <w:t>承包人应按合同约定对材料、工程设备以及工程的所有部位及其施工工艺进行全过程的质量检查和检验，并作详细记录，编制工程质量报表，报送</w:t>
      </w:r>
      <w:r>
        <w:rPr>
          <w:rFonts w:hint="eastAsia"/>
          <w:color w:val="auto"/>
          <w:highlight w:val="none"/>
          <w:lang w:val="en-US" w:eastAsia="zh-CN"/>
        </w:rPr>
        <w:t>发包人</w:t>
      </w:r>
      <w:r>
        <w:rPr>
          <w:color w:val="auto"/>
          <w:highlight w:val="none"/>
        </w:rPr>
        <w:t>审查。</w:t>
      </w:r>
      <w:bookmarkEnd w:id="558"/>
    </w:p>
    <w:p>
      <w:pPr>
        <w:pStyle w:val="4"/>
        <w:numPr>
          <w:ilvl w:val="1"/>
          <w:numId w:val="5"/>
        </w:numPr>
        <w:rPr>
          <w:color w:val="auto"/>
          <w:highlight w:val="none"/>
        </w:rPr>
      </w:pPr>
      <w:bookmarkStart w:id="559" w:name="_Toc28118"/>
      <w:bookmarkStart w:id="560" w:name="_Toc27415"/>
      <w:bookmarkStart w:id="561" w:name="_Toc10065"/>
      <w:bookmarkStart w:id="562" w:name="_Toc44492479"/>
      <w:r>
        <w:rPr>
          <w:rFonts w:hint="eastAsia"/>
          <w:color w:val="auto"/>
          <w:highlight w:val="none"/>
          <w:lang w:val="en-US" w:eastAsia="zh-CN"/>
        </w:rPr>
        <w:t>发包人</w:t>
      </w:r>
      <w:r>
        <w:rPr>
          <w:color w:val="auto"/>
          <w:highlight w:val="none"/>
        </w:rPr>
        <w:t>的质量检查</w:t>
      </w:r>
      <w:bookmarkEnd w:id="559"/>
      <w:bookmarkEnd w:id="560"/>
      <w:bookmarkEnd w:id="561"/>
      <w:bookmarkEnd w:id="562"/>
    </w:p>
    <w:p>
      <w:pPr>
        <w:pStyle w:val="4"/>
        <w:numPr>
          <w:ilvl w:val="2"/>
          <w:numId w:val="5"/>
        </w:numPr>
        <w:ind w:left="777" w:hanging="777"/>
        <w:rPr>
          <w:color w:val="auto"/>
          <w:highlight w:val="none"/>
        </w:rPr>
      </w:pPr>
      <w:bookmarkStart w:id="563" w:name="_Toc19815"/>
      <w:r>
        <w:rPr>
          <w:rFonts w:hint="eastAsia"/>
          <w:color w:val="auto"/>
          <w:highlight w:val="none"/>
          <w:lang w:val="en-US" w:eastAsia="zh-CN"/>
        </w:rPr>
        <w:t>发包人</w:t>
      </w:r>
      <w:r>
        <w:rPr>
          <w:color w:val="auto"/>
          <w:highlight w:val="none"/>
        </w:rPr>
        <w:t>有权对工程的所有部位及其施工工艺、材料和工程设备进行检查和检验。承包人应为</w:t>
      </w:r>
      <w:r>
        <w:rPr>
          <w:rFonts w:hint="eastAsia"/>
          <w:color w:val="auto"/>
          <w:highlight w:val="none"/>
          <w:lang w:val="en-US" w:eastAsia="zh-CN"/>
        </w:rPr>
        <w:t>发包人</w:t>
      </w:r>
      <w:r>
        <w:rPr>
          <w:color w:val="auto"/>
          <w:highlight w:val="none"/>
        </w:rPr>
        <w:t>的检查和检验提供方便，包括</w:t>
      </w:r>
      <w:r>
        <w:rPr>
          <w:rFonts w:hint="eastAsia"/>
          <w:color w:val="auto"/>
          <w:highlight w:val="none"/>
          <w:lang w:val="en-US" w:eastAsia="zh-CN"/>
        </w:rPr>
        <w:t>发包人</w:t>
      </w:r>
      <w:r>
        <w:rPr>
          <w:color w:val="auto"/>
          <w:highlight w:val="none"/>
        </w:rPr>
        <w:t>到施工场地，或制造、加工地点，或合同约定的其他地方进行察看和查阅施工原始记录。承包人还应按</w:t>
      </w:r>
      <w:r>
        <w:rPr>
          <w:rFonts w:hint="eastAsia"/>
          <w:color w:val="auto"/>
          <w:highlight w:val="none"/>
          <w:lang w:val="en-US" w:eastAsia="zh-CN"/>
        </w:rPr>
        <w:t>发包人</w:t>
      </w:r>
      <w:r>
        <w:rPr>
          <w:color w:val="auto"/>
          <w:highlight w:val="none"/>
        </w:rPr>
        <w:t>指示，进行施工场地取样试验、工程复核测量和设备性能检测，提供试验样品、提交试验报告和测量成果以及</w:t>
      </w:r>
      <w:r>
        <w:rPr>
          <w:rFonts w:hint="eastAsia"/>
          <w:color w:val="auto"/>
          <w:highlight w:val="none"/>
          <w:lang w:val="en-US" w:eastAsia="zh-CN"/>
        </w:rPr>
        <w:t>发包人</w:t>
      </w:r>
      <w:r>
        <w:rPr>
          <w:color w:val="auto"/>
          <w:highlight w:val="none"/>
        </w:rPr>
        <w:t>要求进行的其他工作。</w:t>
      </w:r>
      <w:r>
        <w:rPr>
          <w:rFonts w:hint="eastAsia"/>
          <w:color w:val="auto"/>
          <w:highlight w:val="none"/>
          <w:lang w:val="en-US" w:eastAsia="zh-CN"/>
        </w:rPr>
        <w:t>发包人</w:t>
      </w:r>
      <w:r>
        <w:rPr>
          <w:color w:val="auto"/>
          <w:highlight w:val="none"/>
        </w:rPr>
        <w:t>的检查和检验，不免除承包人按合同约定应负的责任。</w:t>
      </w:r>
      <w:bookmarkEnd w:id="563"/>
    </w:p>
    <w:p>
      <w:pPr>
        <w:pStyle w:val="4"/>
        <w:numPr>
          <w:ilvl w:val="1"/>
          <w:numId w:val="5"/>
        </w:numPr>
        <w:rPr>
          <w:color w:val="auto"/>
          <w:highlight w:val="none"/>
        </w:rPr>
      </w:pPr>
      <w:bookmarkStart w:id="564" w:name="_Toc20316"/>
      <w:bookmarkStart w:id="565" w:name="_Toc32064"/>
      <w:bookmarkStart w:id="566" w:name="_Toc44492480"/>
      <w:bookmarkStart w:id="567" w:name="_Toc18740"/>
      <w:r>
        <w:rPr>
          <w:color w:val="auto"/>
          <w:highlight w:val="none"/>
        </w:rPr>
        <w:t>工程隐蔽部位覆盖前的检查</w:t>
      </w:r>
      <w:bookmarkEnd w:id="564"/>
      <w:bookmarkEnd w:id="565"/>
      <w:bookmarkEnd w:id="566"/>
      <w:bookmarkEnd w:id="567"/>
    </w:p>
    <w:p>
      <w:pPr>
        <w:pStyle w:val="4"/>
        <w:numPr>
          <w:ilvl w:val="2"/>
          <w:numId w:val="5"/>
        </w:numPr>
        <w:rPr>
          <w:color w:val="auto"/>
          <w:highlight w:val="none"/>
        </w:rPr>
      </w:pPr>
      <w:bookmarkStart w:id="568" w:name="_Toc26302"/>
      <w:r>
        <w:rPr>
          <w:color w:val="auto"/>
          <w:highlight w:val="none"/>
        </w:rPr>
        <w:t>通知</w:t>
      </w:r>
      <w:r>
        <w:rPr>
          <w:rFonts w:hint="eastAsia"/>
          <w:color w:val="auto"/>
          <w:highlight w:val="none"/>
          <w:lang w:val="en-US" w:eastAsia="zh-CN"/>
        </w:rPr>
        <w:t>发包人</w:t>
      </w:r>
      <w:r>
        <w:rPr>
          <w:color w:val="auto"/>
          <w:highlight w:val="none"/>
        </w:rPr>
        <w:t>检查</w:t>
      </w:r>
      <w:bookmarkEnd w:id="568"/>
    </w:p>
    <w:p>
      <w:pPr>
        <w:pStyle w:val="52"/>
        <w:ind w:firstLine="480"/>
        <w:jc w:val="both"/>
        <w:rPr>
          <w:rFonts w:eastAsia="宋体"/>
          <w:color w:val="auto"/>
          <w:sz w:val="24"/>
          <w:szCs w:val="24"/>
          <w:highlight w:val="none"/>
        </w:rPr>
      </w:pPr>
      <w:r>
        <w:rPr>
          <w:rFonts w:eastAsia="宋体"/>
          <w:color w:val="auto"/>
          <w:sz w:val="24"/>
          <w:szCs w:val="24"/>
          <w:highlight w:val="none"/>
        </w:rPr>
        <w:t>经承包人自检确认的工程隐蔽部位具备覆盖条件后，承包人应通知</w:t>
      </w:r>
      <w:r>
        <w:rPr>
          <w:rFonts w:hint="default" w:eastAsia="宋体"/>
          <w:color w:val="auto"/>
          <w:sz w:val="24"/>
          <w:szCs w:val="24"/>
          <w:highlight w:val="none"/>
          <w:lang w:val="en-US" w:eastAsia="zh-CN"/>
        </w:rPr>
        <w:t>发包人</w:t>
      </w:r>
      <w:r>
        <w:rPr>
          <w:rFonts w:eastAsia="宋体"/>
          <w:color w:val="auto"/>
          <w:sz w:val="24"/>
          <w:szCs w:val="24"/>
          <w:highlight w:val="none"/>
        </w:rPr>
        <w:t>在约定的期限内检查并通知发包人到场。除专用合同条款另有规定外，承包人应在共同检查前48小时书面通知</w:t>
      </w:r>
      <w:r>
        <w:rPr>
          <w:rFonts w:hint="eastAsia" w:eastAsia="宋体"/>
          <w:color w:val="auto"/>
          <w:sz w:val="24"/>
          <w:szCs w:val="24"/>
          <w:highlight w:val="none"/>
          <w:lang w:eastAsia="zh-CN"/>
        </w:rPr>
        <w:t>发包人</w:t>
      </w:r>
      <w:r>
        <w:rPr>
          <w:rFonts w:eastAsia="宋体"/>
          <w:color w:val="auto"/>
          <w:sz w:val="24"/>
          <w:szCs w:val="24"/>
          <w:highlight w:val="none"/>
        </w:rPr>
        <w:t>。承包人的通知应附有自检记录和必要的检查资料。</w:t>
      </w:r>
      <w:r>
        <w:rPr>
          <w:rFonts w:hint="eastAsia" w:eastAsia="宋体"/>
          <w:color w:val="auto"/>
          <w:sz w:val="24"/>
          <w:szCs w:val="24"/>
          <w:highlight w:val="none"/>
          <w:lang w:val="en-US" w:eastAsia="zh-CN"/>
        </w:rPr>
        <w:t>发包人</w:t>
      </w:r>
      <w:r>
        <w:rPr>
          <w:rFonts w:eastAsia="宋体"/>
          <w:color w:val="auto"/>
          <w:sz w:val="24"/>
          <w:szCs w:val="24"/>
          <w:highlight w:val="none"/>
        </w:rPr>
        <w:t>应按时到场检查</w:t>
      </w:r>
      <w:r>
        <w:rPr>
          <w:rFonts w:hint="eastAsia" w:eastAsia="宋体"/>
          <w:color w:val="auto"/>
          <w:sz w:val="24"/>
          <w:szCs w:val="24"/>
          <w:highlight w:val="none"/>
        </w:rPr>
        <w:t>，</w:t>
      </w:r>
      <w:r>
        <w:rPr>
          <w:rFonts w:eastAsia="宋体"/>
          <w:color w:val="auto"/>
          <w:sz w:val="24"/>
          <w:szCs w:val="24"/>
          <w:highlight w:val="none"/>
        </w:rPr>
        <w:t>经</w:t>
      </w:r>
      <w:r>
        <w:rPr>
          <w:rFonts w:hint="eastAsia" w:eastAsia="宋体"/>
          <w:color w:val="auto"/>
          <w:sz w:val="24"/>
          <w:szCs w:val="24"/>
          <w:highlight w:val="none"/>
          <w:lang w:val="en-US" w:eastAsia="zh-CN"/>
        </w:rPr>
        <w:t>发包人</w:t>
      </w:r>
      <w:r>
        <w:rPr>
          <w:rFonts w:eastAsia="宋体"/>
          <w:color w:val="auto"/>
          <w:sz w:val="24"/>
          <w:szCs w:val="24"/>
          <w:highlight w:val="none"/>
        </w:rPr>
        <w:t>检查确认质量符合隐蔽要求，并在检查记录上签字后，承包人才能进行覆盖。如</w:t>
      </w:r>
      <w:r>
        <w:rPr>
          <w:rFonts w:hint="eastAsia" w:eastAsia="宋体"/>
          <w:color w:val="auto"/>
          <w:sz w:val="24"/>
          <w:szCs w:val="24"/>
          <w:highlight w:val="none"/>
          <w:lang w:val="en-US" w:eastAsia="zh-CN"/>
        </w:rPr>
        <w:t>发包人</w:t>
      </w:r>
      <w:r>
        <w:rPr>
          <w:rFonts w:eastAsia="宋体"/>
          <w:color w:val="auto"/>
          <w:sz w:val="24"/>
          <w:szCs w:val="24"/>
          <w:highlight w:val="none"/>
        </w:rPr>
        <w:t>检查确认质量不合格的，承包人应在</w:t>
      </w:r>
      <w:r>
        <w:rPr>
          <w:rFonts w:hint="eastAsia" w:eastAsia="宋体"/>
          <w:color w:val="auto"/>
          <w:sz w:val="24"/>
          <w:szCs w:val="24"/>
          <w:highlight w:val="none"/>
          <w:lang w:val="en-US" w:eastAsia="zh-CN"/>
        </w:rPr>
        <w:t>发包人</w:t>
      </w:r>
      <w:r>
        <w:rPr>
          <w:rFonts w:eastAsia="宋体"/>
          <w:color w:val="auto"/>
          <w:sz w:val="24"/>
          <w:szCs w:val="24"/>
          <w:highlight w:val="none"/>
        </w:rPr>
        <w:t>指示的时间内完成修复，并通知</w:t>
      </w:r>
      <w:r>
        <w:rPr>
          <w:rFonts w:hint="eastAsia" w:eastAsia="宋体"/>
          <w:color w:val="auto"/>
          <w:sz w:val="24"/>
          <w:szCs w:val="24"/>
          <w:highlight w:val="none"/>
          <w:lang w:val="en-US" w:eastAsia="zh-CN"/>
        </w:rPr>
        <w:t>发包人</w:t>
      </w:r>
      <w:r>
        <w:rPr>
          <w:rFonts w:eastAsia="宋体"/>
          <w:color w:val="auto"/>
          <w:sz w:val="24"/>
          <w:szCs w:val="24"/>
          <w:highlight w:val="none"/>
        </w:rPr>
        <w:t>重新检查。</w:t>
      </w:r>
    </w:p>
    <w:p>
      <w:pPr>
        <w:pStyle w:val="4"/>
        <w:numPr>
          <w:ilvl w:val="2"/>
          <w:numId w:val="5"/>
        </w:numPr>
        <w:rPr>
          <w:color w:val="auto"/>
          <w:highlight w:val="none"/>
        </w:rPr>
      </w:pPr>
      <w:bookmarkStart w:id="569" w:name="_Toc16648"/>
      <w:r>
        <w:rPr>
          <w:rFonts w:hint="eastAsia"/>
          <w:color w:val="auto"/>
          <w:highlight w:val="none"/>
          <w:lang w:eastAsia="zh-CN"/>
        </w:rPr>
        <w:t>发包人</w:t>
      </w:r>
      <w:r>
        <w:rPr>
          <w:color w:val="auto"/>
          <w:highlight w:val="none"/>
        </w:rPr>
        <w:t>未到场检查</w:t>
      </w:r>
      <w:bookmarkEnd w:id="569"/>
    </w:p>
    <w:p>
      <w:pPr>
        <w:pStyle w:val="52"/>
        <w:ind w:firstLine="480"/>
        <w:jc w:val="both"/>
        <w:rPr>
          <w:rFonts w:eastAsia="宋体"/>
          <w:color w:val="auto"/>
          <w:sz w:val="24"/>
          <w:szCs w:val="24"/>
          <w:highlight w:val="none"/>
        </w:rPr>
      </w:pPr>
      <w:r>
        <w:rPr>
          <w:rFonts w:hint="eastAsia" w:eastAsia="宋体"/>
          <w:color w:val="auto"/>
          <w:sz w:val="24"/>
          <w:szCs w:val="24"/>
          <w:highlight w:val="none"/>
          <w:lang w:eastAsia="zh-CN"/>
        </w:rPr>
        <w:t>发包人</w:t>
      </w:r>
      <w:r>
        <w:rPr>
          <w:rFonts w:eastAsia="宋体"/>
          <w:color w:val="auto"/>
          <w:sz w:val="24"/>
          <w:szCs w:val="24"/>
          <w:highlight w:val="none"/>
        </w:rPr>
        <w:t>未按第13.5.1</w:t>
      </w:r>
      <w:r>
        <w:rPr>
          <w:rFonts w:hint="eastAsia" w:eastAsia="宋体"/>
          <w:color w:val="auto"/>
          <w:sz w:val="24"/>
          <w:szCs w:val="24"/>
          <w:highlight w:val="none"/>
        </w:rPr>
        <w:t>款</w:t>
      </w:r>
      <w:r>
        <w:rPr>
          <w:rFonts w:eastAsia="宋体"/>
          <w:color w:val="auto"/>
          <w:sz w:val="24"/>
          <w:szCs w:val="24"/>
          <w:highlight w:val="none"/>
        </w:rPr>
        <w:t>约定的时间到场检查的，除</w:t>
      </w:r>
      <w:r>
        <w:rPr>
          <w:rFonts w:hint="eastAsia" w:eastAsia="宋体"/>
          <w:color w:val="auto"/>
          <w:sz w:val="24"/>
          <w:szCs w:val="24"/>
          <w:highlight w:val="none"/>
          <w:lang w:eastAsia="zh-CN"/>
        </w:rPr>
        <w:t>发包人</w:t>
      </w:r>
      <w:r>
        <w:rPr>
          <w:rFonts w:eastAsia="宋体"/>
          <w:color w:val="auto"/>
          <w:sz w:val="24"/>
          <w:szCs w:val="24"/>
          <w:highlight w:val="none"/>
        </w:rPr>
        <w:t>另有指示外，承包人</w:t>
      </w:r>
      <w:r>
        <w:rPr>
          <w:rFonts w:hint="eastAsia" w:eastAsia="宋体"/>
          <w:color w:val="auto"/>
          <w:sz w:val="24"/>
          <w:szCs w:val="24"/>
          <w:highlight w:val="none"/>
          <w:lang w:val="en-US" w:eastAsia="zh-CN"/>
        </w:rPr>
        <w:t>可</w:t>
      </w:r>
      <w:r>
        <w:rPr>
          <w:rFonts w:eastAsia="宋体"/>
          <w:color w:val="auto"/>
          <w:sz w:val="24"/>
          <w:szCs w:val="24"/>
          <w:highlight w:val="none"/>
        </w:rPr>
        <w:t>自行完成覆盖工作（发包人</w:t>
      </w:r>
      <w:r>
        <w:rPr>
          <w:rFonts w:hint="eastAsia" w:eastAsia="宋体"/>
          <w:color w:val="auto"/>
          <w:sz w:val="24"/>
          <w:szCs w:val="24"/>
          <w:highlight w:val="none"/>
          <w:lang w:val="en-US" w:eastAsia="zh-CN"/>
        </w:rPr>
        <w:t>未</w:t>
      </w:r>
      <w:r>
        <w:rPr>
          <w:rFonts w:eastAsia="宋体"/>
          <w:color w:val="auto"/>
          <w:sz w:val="24"/>
          <w:szCs w:val="24"/>
          <w:highlight w:val="none"/>
        </w:rPr>
        <w:t>在场并不视同发包人对该隐蔽部位质量的认可，同时不免除承包人按合同约定应负的责任），并作相应记录报送</w:t>
      </w:r>
      <w:r>
        <w:rPr>
          <w:rFonts w:hint="eastAsia" w:eastAsia="宋体"/>
          <w:color w:val="auto"/>
          <w:sz w:val="24"/>
          <w:szCs w:val="24"/>
          <w:highlight w:val="none"/>
          <w:lang w:eastAsia="zh-CN"/>
        </w:rPr>
        <w:t>发包人</w:t>
      </w:r>
      <w:r>
        <w:rPr>
          <w:rFonts w:eastAsia="宋体"/>
          <w:color w:val="auto"/>
          <w:sz w:val="24"/>
          <w:szCs w:val="24"/>
          <w:highlight w:val="none"/>
        </w:rPr>
        <w:t>，</w:t>
      </w:r>
      <w:r>
        <w:rPr>
          <w:rFonts w:hint="eastAsia" w:eastAsia="宋体"/>
          <w:color w:val="auto"/>
          <w:sz w:val="24"/>
          <w:szCs w:val="24"/>
          <w:highlight w:val="none"/>
          <w:lang w:eastAsia="zh-CN"/>
        </w:rPr>
        <w:t>发包人</w:t>
      </w:r>
      <w:r>
        <w:rPr>
          <w:rFonts w:eastAsia="宋体"/>
          <w:color w:val="auto"/>
          <w:sz w:val="24"/>
          <w:szCs w:val="24"/>
          <w:highlight w:val="none"/>
        </w:rPr>
        <w:t>应签字确认。</w:t>
      </w:r>
      <w:r>
        <w:rPr>
          <w:rFonts w:hint="eastAsia" w:eastAsia="宋体"/>
          <w:color w:val="auto"/>
          <w:sz w:val="24"/>
          <w:szCs w:val="24"/>
          <w:highlight w:val="none"/>
          <w:lang w:eastAsia="zh-CN"/>
        </w:rPr>
        <w:t>发包人</w:t>
      </w:r>
      <w:r>
        <w:rPr>
          <w:rFonts w:eastAsia="宋体"/>
          <w:color w:val="auto"/>
          <w:sz w:val="24"/>
          <w:szCs w:val="24"/>
          <w:highlight w:val="none"/>
        </w:rPr>
        <w:t>事后对检查记录有疑问的，可按第13.5.3</w:t>
      </w:r>
      <w:r>
        <w:rPr>
          <w:rFonts w:hint="eastAsia" w:eastAsia="宋体"/>
          <w:color w:val="auto"/>
          <w:sz w:val="24"/>
          <w:szCs w:val="24"/>
          <w:highlight w:val="none"/>
        </w:rPr>
        <w:t>款</w:t>
      </w:r>
      <w:r>
        <w:rPr>
          <w:rFonts w:eastAsia="宋体"/>
          <w:color w:val="auto"/>
          <w:sz w:val="24"/>
          <w:szCs w:val="24"/>
          <w:highlight w:val="none"/>
        </w:rPr>
        <w:t>的约定重新检查。</w:t>
      </w:r>
    </w:p>
    <w:p>
      <w:pPr>
        <w:pStyle w:val="4"/>
        <w:numPr>
          <w:ilvl w:val="2"/>
          <w:numId w:val="5"/>
        </w:numPr>
        <w:rPr>
          <w:color w:val="auto"/>
          <w:highlight w:val="none"/>
        </w:rPr>
      </w:pPr>
      <w:bookmarkStart w:id="570" w:name="_Toc10317"/>
      <w:r>
        <w:rPr>
          <w:rFonts w:hint="eastAsia"/>
          <w:color w:val="auto"/>
          <w:highlight w:val="none"/>
          <w:lang w:eastAsia="zh-CN"/>
        </w:rPr>
        <w:t>发包人</w:t>
      </w:r>
      <w:r>
        <w:rPr>
          <w:color w:val="auto"/>
          <w:highlight w:val="none"/>
        </w:rPr>
        <w:t>重新检查</w:t>
      </w:r>
      <w:bookmarkEnd w:id="570"/>
    </w:p>
    <w:p>
      <w:pPr>
        <w:pStyle w:val="52"/>
        <w:ind w:firstLine="480"/>
        <w:jc w:val="both"/>
        <w:rPr>
          <w:rFonts w:eastAsia="宋体"/>
          <w:color w:val="auto"/>
          <w:sz w:val="24"/>
          <w:szCs w:val="24"/>
          <w:highlight w:val="none"/>
        </w:rPr>
      </w:pPr>
      <w:r>
        <w:rPr>
          <w:rFonts w:eastAsia="宋体"/>
          <w:color w:val="auto"/>
          <w:sz w:val="24"/>
          <w:szCs w:val="24"/>
          <w:highlight w:val="none"/>
        </w:rPr>
        <w:t>承包人按第13.5.1</w:t>
      </w:r>
      <w:r>
        <w:rPr>
          <w:rFonts w:hint="eastAsia" w:eastAsia="宋体"/>
          <w:color w:val="auto"/>
          <w:sz w:val="24"/>
          <w:szCs w:val="24"/>
          <w:highlight w:val="none"/>
        </w:rPr>
        <w:t>款</w:t>
      </w:r>
      <w:r>
        <w:rPr>
          <w:rFonts w:eastAsia="宋体"/>
          <w:color w:val="auto"/>
          <w:sz w:val="24"/>
          <w:szCs w:val="24"/>
          <w:highlight w:val="none"/>
        </w:rPr>
        <w:t>或第13.5.2</w:t>
      </w:r>
      <w:r>
        <w:rPr>
          <w:rFonts w:hint="eastAsia" w:eastAsia="宋体"/>
          <w:color w:val="auto"/>
          <w:sz w:val="24"/>
          <w:szCs w:val="24"/>
          <w:highlight w:val="none"/>
        </w:rPr>
        <w:t>款</w:t>
      </w:r>
      <w:r>
        <w:rPr>
          <w:rFonts w:eastAsia="宋体"/>
          <w:color w:val="auto"/>
          <w:sz w:val="24"/>
          <w:szCs w:val="24"/>
          <w:highlight w:val="none"/>
        </w:rPr>
        <w:t>覆盖工程隐蔽部位后，</w:t>
      </w:r>
      <w:r>
        <w:rPr>
          <w:rFonts w:hint="eastAsia" w:eastAsia="宋体"/>
          <w:color w:val="auto"/>
          <w:sz w:val="24"/>
          <w:szCs w:val="24"/>
          <w:highlight w:val="none"/>
          <w:lang w:eastAsia="zh-CN"/>
        </w:rPr>
        <w:t>发包人</w:t>
      </w:r>
      <w:r>
        <w:rPr>
          <w:rFonts w:eastAsia="宋体"/>
          <w:color w:val="auto"/>
          <w:sz w:val="24"/>
          <w:szCs w:val="24"/>
          <w:highlight w:val="none"/>
        </w:rPr>
        <w:t>对质量有疑问的，可要求承包人对已覆盖的部位进行钻孔探测或揭开重新检验，承包人应遵照执行，并在检验后重新覆盖恢复原状。重新检查时，承包人应通知发包人到场，经检验证明工程质量符合合同要求的，由发包人承担由此增加的费用和（或）工期延误；经检验证明工程质量不符合合同要求的，由此增加的费用和（或）工期延误由承包人承担。</w:t>
      </w:r>
    </w:p>
    <w:p>
      <w:pPr>
        <w:pStyle w:val="4"/>
        <w:numPr>
          <w:ilvl w:val="2"/>
          <w:numId w:val="5"/>
        </w:numPr>
        <w:rPr>
          <w:color w:val="auto"/>
          <w:highlight w:val="none"/>
        </w:rPr>
      </w:pPr>
      <w:bookmarkStart w:id="571" w:name="_Toc18886"/>
      <w:r>
        <w:rPr>
          <w:color w:val="auto"/>
          <w:highlight w:val="none"/>
        </w:rPr>
        <w:t>承包人私自覆盖</w:t>
      </w:r>
      <w:bookmarkEnd w:id="571"/>
    </w:p>
    <w:p>
      <w:pPr>
        <w:pStyle w:val="52"/>
        <w:ind w:firstLine="480"/>
        <w:jc w:val="both"/>
        <w:rPr>
          <w:rFonts w:eastAsia="宋体"/>
          <w:color w:val="auto"/>
          <w:sz w:val="24"/>
          <w:szCs w:val="24"/>
          <w:highlight w:val="none"/>
        </w:rPr>
      </w:pPr>
      <w:r>
        <w:rPr>
          <w:rFonts w:eastAsia="宋体"/>
          <w:color w:val="auto"/>
          <w:sz w:val="24"/>
          <w:szCs w:val="24"/>
          <w:highlight w:val="none"/>
        </w:rPr>
        <w:t>承包人未通知</w:t>
      </w:r>
      <w:r>
        <w:rPr>
          <w:rFonts w:hint="eastAsia" w:eastAsia="宋体"/>
          <w:color w:val="auto"/>
          <w:sz w:val="24"/>
          <w:szCs w:val="24"/>
          <w:highlight w:val="none"/>
          <w:lang w:eastAsia="zh-CN"/>
        </w:rPr>
        <w:t>发包人</w:t>
      </w:r>
      <w:r>
        <w:rPr>
          <w:rFonts w:eastAsia="宋体"/>
          <w:color w:val="auto"/>
          <w:sz w:val="24"/>
          <w:szCs w:val="24"/>
          <w:highlight w:val="none"/>
        </w:rPr>
        <w:t>到场检查，私自将工程隐蔽部位覆盖的，</w:t>
      </w:r>
      <w:r>
        <w:rPr>
          <w:rFonts w:hint="eastAsia" w:eastAsia="宋体"/>
          <w:color w:val="auto"/>
          <w:sz w:val="24"/>
          <w:szCs w:val="24"/>
          <w:highlight w:val="none"/>
          <w:lang w:eastAsia="zh-CN"/>
        </w:rPr>
        <w:t>发包人</w:t>
      </w:r>
      <w:r>
        <w:rPr>
          <w:rFonts w:eastAsia="宋体"/>
          <w:color w:val="auto"/>
          <w:sz w:val="24"/>
          <w:szCs w:val="24"/>
          <w:highlight w:val="none"/>
        </w:rPr>
        <w:t>有权指示承包人钻孔探测或揭开检查，由此增加的费用和（或）工期延误由承包人承担。</w:t>
      </w:r>
    </w:p>
    <w:p>
      <w:pPr>
        <w:pStyle w:val="4"/>
        <w:numPr>
          <w:ilvl w:val="1"/>
          <w:numId w:val="5"/>
        </w:numPr>
        <w:rPr>
          <w:color w:val="auto"/>
          <w:highlight w:val="none"/>
        </w:rPr>
      </w:pPr>
      <w:bookmarkStart w:id="572" w:name="_Toc44492481"/>
      <w:bookmarkStart w:id="573" w:name="_Toc24635"/>
      <w:bookmarkStart w:id="574" w:name="_Toc29298"/>
      <w:bookmarkStart w:id="575" w:name="_Toc2141"/>
      <w:r>
        <w:rPr>
          <w:color w:val="auto"/>
          <w:highlight w:val="none"/>
        </w:rPr>
        <w:t>清除不合格工程</w:t>
      </w:r>
      <w:bookmarkEnd w:id="572"/>
      <w:bookmarkEnd w:id="573"/>
      <w:bookmarkEnd w:id="574"/>
      <w:bookmarkEnd w:id="575"/>
    </w:p>
    <w:p>
      <w:pPr>
        <w:pStyle w:val="4"/>
        <w:numPr>
          <w:ilvl w:val="2"/>
          <w:numId w:val="5"/>
        </w:numPr>
        <w:ind w:left="777" w:hanging="777"/>
        <w:rPr>
          <w:color w:val="auto"/>
          <w:highlight w:val="none"/>
        </w:rPr>
      </w:pPr>
      <w:bookmarkStart w:id="576" w:name="_Toc22614"/>
      <w:r>
        <w:rPr>
          <w:color w:val="auto"/>
          <w:highlight w:val="none"/>
        </w:rPr>
        <w:t>承包人使用不合格材料、工程设备，或采用不适当的施工工艺，或施工不当，造成工程不合格的，</w:t>
      </w:r>
      <w:r>
        <w:rPr>
          <w:rFonts w:hint="eastAsia"/>
          <w:color w:val="auto"/>
          <w:highlight w:val="none"/>
          <w:lang w:eastAsia="zh-CN"/>
        </w:rPr>
        <w:t>发包人</w:t>
      </w:r>
      <w:r>
        <w:rPr>
          <w:color w:val="auto"/>
          <w:highlight w:val="none"/>
        </w:rPr>
        <w:t>可以随时发出指示，要求承包人立即采取措施进行补救，直至达到合同要求的质量标准，由此增加的费用和（或）工期延误由承包人承担。</w:t>
      </w:r>
      <w:bookmarkEnd w:id="576"/>
    </w:p>
    <w:p>
      <w:pPr>
        <w:pStyle w:val="4"/>
        <w:numPr>
          <w:ilvl w:val="0"/>
          <w:numId w:val="5"/>
        </w:numPr>
        <w:rPr>
          <w:color w:val="auto"/>
          <w:highlight w:val="none"/>
        </w:rPr>
      </w:pPr>
      <w:bookmarkStart w:id="577" w:name="_Toc3949"/>
      <w:bookmarkStart w:id="578" w:name="_Toc21663"/>
      <w:bookmarkStart w:id="579" w:name="_Toc12641"/>
      <w:bookmarkStart w:id="580" w:name="_Toc44492482"/>
      <w:bookmarkStart w:id="581" w:name="_Toc30255"/>
      <w:bookmarkStart w:id="582" w:name="_Toc47512244"/>
      <w:bookmarkStart w:id="583" w:name="_Toc237"/>
      <w:bookmarkStart w:id="584" w:name="_Toc32698"/>
      <w:bookmarkStart w:id="585" w:name="_Toc407356007"/>
      <w:bookmarkStart w:id="586" w:name="_Toc44227995"/>
      <w:r>
        <w:rPr>
          <w:color w:val="auto"/>
          <w:highlight w:val="none"/>
        </w:rPr>
        <w:t>试验和检验</w:t>
      </w:r>
      <w:bookmarkEnd w:id="577"/>
      <w:bookmarkEnd w:id="578"/>
      <w:bookmarkEnd w:id="579"/>
      <w:bookmarkEnd w:id="580"/>
      <w:bookmarkEnd w:id="581"/>
      <w:bookmarkEnd w:id="582"/>
      <w:bookmarkEnd w:id="583"/>
      <w:bookmarkEnd w:id="584"/>
      <w:bookmarkEnd w:id="585"/>
      <w:bookmarkEnd w:id="586"/>
    </w:p>
    <w:p>
      <w:pPr>
        <w:pStyle w:val="4"/>
        <w:numPr>
          <w:ilvl w:val="1"/>
          <w:numId w:val="5"/>
        </w:numPr>
        <w:rPr>
          <w:color w:val="auto"/>
          <w:highlight w:val="none"/>
        </w:rPr>
      </w:pPr>
      <w:bookmarkStart w:id="587" w:name="_Toc44492483"/>
      <w:bookmarkStart w:id="588" w:name="_Toc24556"/>
      <w:bookmarkStart w:id="589" w:name="_Toc20790"/>
      <w:bookmarkStart w:id="590" w:name="_Toc18120"/>
      <w:r>
        <w:rPr>
          <w:color w:val="auto"/>
          <w:highlight w:val="none"/>
        </w:rPr>
        <w:t>材料、工程设备和工程的试验和检验</w:t>
      </w:r>
      <w:bookmarkEnd w:id="587"/>
      <w:bookmarkEnd w:id="588"/>
      <w:bookmarkEnd w:id="589"/>
      <w:bookmarkEnd w:id="590"/>
    </w:p>
    <w:p>
      <w:pPr>
        <w:pStyle w:val="4"/>
        <w:numPr>
          <w:ilvl w:val="2"/>
          <w:numId w:val="5"/>
        </w:numPr>
        <w:ind w:left="777" w:hanging="777"/>
        <w:rPr>
          <w:color w:val="auto"/>
          <w:highlight w:val="none"/>
        </w:rPr>
      </w:pPr>
      <w:bookmarkStart w:id="591" w:name="_Toc8943"/>
      <w:r>
        <w:rPr>
          <w:color w:val="auto"/>
          <w:highlight w:val="none"/>
        </w:rPr>
        <w:t>承包人应按合同约定进行材料、工程设备和工程的试验和检验，并为</w:t>
      </w:r>
      <w:r>
        <w:rPr>
          <w:rFonts w:hint="eastAsia"/>
          <w:color w:val="auto"/>
          <w:highlight w:val="none"/>
          <w:lang w:eastAsia="zh-CN"/>
        </w:rPr>
        <w:t>发包人</w:t>
      </w:r>
      <w:r>
        <w:rPr>
          <w:color w:val="auto"/>
          <w:highlight w:val="none"/>
        </w:rPr>
        <w:t>对上述材料、工程设备和工程的质量检查提供必要的试验资料和原始记录。按合同约定应由</w:t>
      </w:r>
      <w:r>
        <w:rPr>
          <w:rFonts w:hint="eastAsia"/>
          <w:color w:val="auto"/>
          <w:highlight w:val="none"/>
          <w:lang w:eastAsia="zh-CN"/>
        </w:rPr>
        <w:t>发包人</w:t>
      </w:r>
      <w:r>
        <w:rPr>
          <w:color w:val="auto"/>
          <w:highlight w:val="none"/>
        </w:rPr>
        <w:t>与承包人共同进行试验和检验的，由承包人负责提供必要的试验资料和原始记录。</w:t>
      </w:r>
      <w:bookmarkEnd w:id="591"/>
    </w:p>
    <w:p>
      <w:pPr>
        <w:pStyle w:val="4"/>
        <w:numPr>
          <w:ilvl w:val="2"/>
          <w:numId w:val="5"/>
        </w:numPr>
        <w:ind w:left="777" w:hanging="777"/>
        <w:rPr>
          <w:color w:val="auto"/>
          <w:highlight w:val="none"/>
        </w:rPr>
      </w:pPr>
      <w:bookmarkStart w:id="592" w:name="_Toc32662"/>
      <w:r>
        <w:rPr>
          <w:rFonts w:hint="eastAsia"/>
          <w:color w:val="auto"/>
          <w:highlight w:val="none"/>
          <w:lang w:eastAsia="zh-CN"/>
        </w:rPr>
        <w:t>发包人</w:t>
      </w:r>
      <w:r>
        <w:rPr>
          <w:color w:val="auto"/>
          <w:highlight w:val="none"/>
        </w:rPr>
        <w:t>未按合同约定派员参加试验和检验的，除</w:t>
      </w:r>
      <w:r>
        <w:rPr>
          <w:rFonts w:hint="eastAsia"/>
          <w:color w:val="auto"/>
          <w:highlight w:val="none"/>
          <w:lang w:eastAsia="zh-CN"/>
        </w:rPr>
        <w:t>发包人</w:t>
      </w:r>
      <w:r>
        <w:rPr>
          <w:color w:val="auto"/>
          <w:highlight w:val="none"/>
        </w:rPr>
        <w:t>另有指示外，承包人可自行试验和检验，并应立即将试验和检验结果报送</w:t>
      </w:r>
      <w:r>
        <w:rPr>
          <w:rFonts w:hint="eastAsia"/>
          <w:color w:val="auto"/>
          <w:highlight w:val="none"/>
          <w:lang w:eastAsia="zh-CN"/>
        </w:rPr>
        <w:t>发包人</w:t>
      </w:r>
      <w:r>
        <w:rPr>
          <w:color w:val="auto"/>
          <w:highlight w:val="none"/>
        </w:rPr>
        <w:t>，</w:t>
      </w:r>
      <w:r>
        <w:rPr>
          <w:rFonts w:hint="eastAsia"/>
          <w:color w:val="auto"/>
          <w:highlight w:val="none"/>
          <w:lang w:eastAsia="zh-CN"/>
        </w:rPr>
        <w:t>发包人</w:t>
      </w:r>
      <w:r>
        <w:rPr>
          <w:color w:val="auto"/>
          <w:highlight w:val="none"/>
        </w:rPr>
        <w:t>应签字确认。</w:t>
      </w:r>
      <w:bookmarkEnd w:id="592"/>
    </w:p>
    <w:p>
      <w:pPr>
        <w:pStyle w:val="4"/>
        <w:numPr>
          <w:ilvl w:val="2"/>
          <w:numId w:val="5"/>
        </w:numPr>
        <w:ind w:left="777" w:hanging="777"/>
        <w:rPr>
          <w:color w:val="auto"/>
          <w:highlight w:val="none"/>
        </w:rPr>
      </w:pPr>
      <w:bookmarkStart w:id="593" w:name="_Toc954"/>
      <w:r>
        <w:rPr>
          <w:rFonts w:hint="eastAsia"/>
          <w:color w:val="auto"/>
          <w:highlight w:val="none"/>
          <w:lang w:eastAsia="zh-CN"/>
        </w:rPr>
        <w:t>发包人</w:t>
      </w:r>
      <w:r>
        <w:rPr>
          <w:color w:val="auto"/>
          <w:highlight w:val="none"/>
        </w:rPr>
        <w:t>对承包人的试验和检验结果有疑问的，或为查清承包人试验和检验成果的可靠性要求, 可要求承包人重新试验和检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w:t>
      </w:r>
      <w:bookmarkEnd w:id="593"/>
    </w:p>
    <w:p>
      <w:pPr>
        <w:pStyle w:val="4"/>
        <w:numPr>
          <w:ilvl w:val="1"/>
          <w:numId w:val="5"/>
        </w:numPr>
        <w:rPr>
          <w:color w:val="auto"/>
          <w:highlight w:val="none"/>
        </w:rPr>
      </w:pPr>
      <w:bookmarkStart w:id="594" w:name="_Toc8369"/>
      <w:bookmarkStart w:id="595" w:name="_Toc28922"/>
      <w:bookmarkStart w:id="596" w:name="_Toc10712"/>
      <w:bookmarkStart w:id="597" w:name="_Toc44492484"/>
      <w:r>
        <w:rPr>
          <w:color w:val="auto"/>
          <w:highlight w:val="none"/>
        </w:rPr>
        <w:t>现场材料试验</w:t>
      </w:r>
      <w:bookmarkEnd w:id="594"/>
      <w:bookmarkEnd w:id="595"/>
      <w:bookmarkEnd w:id="596"/>
      <w:bookmarkEnd w:id="597"/>
    </w:p>
    <w:p>
      <w:pPr>
        <w:pStyle w:val="4"/>
        <w:numPr>
          <w:ilvl w:val="2"/>
          <w:numId w:val="5"/>
        </w:numPr>
        <w:ind w:left="777" w:hanging="777"/>
        <w:rPr>
          <w:color w:val="auto"/>
          <w:highlight w:val="none"/>
        </w:rPr>
      </w:pPr>
      <w:bookmarkStart w:id="598" w:name="_Toc9880"/>
      <w:r>
        <w:rPr>
          <w:color w:val="auto"/>
          <w:highlight w:val="none"/>
        </w:rPr>
        <w:t>承包人根据合同约定或</w:t>
      </w:r>
      <w:r>
        <w:rPr>
          <w:rFonts w:hint="eastAsia"/>
          <w:color w:val="auto"/>
          <w:highlight w:val="none"/>
          <w:lang w:eastAsia="zh-CN"/>
        </w:rPr>
        <w:t>发包人</w:t>
      </w:r>
      <w:r>
        <w:rPr>
          <w:color w:val="auto"/>
          <w:highlight w:val="none"/>
        </w:rPr>
        <w:t>指示进行的现场材料试验，应由承包人提供试验场所、试验人员、试验设备器材以及其他必要的试验条件。</w:t>
      </w:r>
      <w:bookmarkEnd w:id="598"/>
    </w:p>
    <w:p>
      <w:pPr>
        <w:pStyle w:val="4"/>
        <w:numPr>
          <w:ilvl w:val="2"/>
          <w:numId w:val="5"/>
        </w:numPr>
        <w:ind w:left="777" w:hanging="777"/>
        <w:rPr>
          <w:color w:val="auto"/>
          <w:highlight w:val="none"/>
        </w:rPr>
      </w:pPr>
      <w:bookmarkStart w:id="599" w:name="_Toc13232"/>
      <w:r>
        <w:rPr>
          <w:rFonts w:hint="eastAsia"/>
          <w:color w:val="auto"/>
          <w:highlight w:val="none"/>
          <w:lang w:eastAsia="zh-CN"/>
        </w:rPr>
        <w:t>发包人</w:t>
      </w:r>
      <w:r>
        <w:rPr>
          <w:color w:val="auto"/>
          <w:highlight w:val="none"/>
        </w:rPr>
        <w:t>在必要时可以使用承包人的试验场所、试验设备器材以及其他试验条件，进行以工程质量检查为目的的复核性材料试验，承包人应予以协助。</w:t>
      </w:r>
      <w:bookmarkEnd w:id="599"/>
    </w:p>
    <w:p>
      <w:pPr>
        <w:pStyle w:val="4"/>
        <w:numPr>
          <w:ilvl w:val="1"/>
          <w:numId w:val="5"/>
        </w:numPr>
        <w:rPr>
          <w:color w:val="auto"/>
          <w:highlight w:val="none"/>
        </w:rPr>
      </w:pPr>
      <w:bookmarkStart w:id="600" w:name="_Toc22748"/>
      <w:bookmarkStart w:id="601" w:name="_Toc25649"/>
      <w:bookmarkStart w:id="602" w:name="_Toc44492485"/>
      <w:bookmarkStart w:id="603" w:name="_Toc20593"/>
      <w:r>
        <w:rPr>
          <w:color w:val="auto"/>
          <w:highlight w:val="none"/>
        </w:rPr>
        <w:t>现场工艺试验</w:t>
      </w:r>
      <w:bookmarkEnd w:id="600"/>
      <w:bookmarkEnd w:id="601"/>
      <w:bookmarkEnd w:id="602"/>
      <w:bookmarkEnd w:id="603"/>
    </w:p>
    <w:p>
      <w:pPr>
        <w:pStyle w:val="4"/>
        <w:numPr>
          <w:ilvl w:val="2"/>
          <w:numId w:val="5"/>
        </w:numPr>
        <w:ind w:left="777" w:hanging="777"/>
        <w:rPr>
          <w:color w:val="auto"/>
          <w:highlight w:val="none"/>
        </w:rPr>
      </w:pPr>
      <w:bookmarkStart w:id="604" w:name="_Toc3270"/>
      <w:r>
        <w:rPr>
          <w:color w:val="auto"/>
          <w:highlight w:val="none"/>
        </w:rPr>
        <w:t>承包人应按合同约定或</w:t>
      </w:r>
      <w:r>
        <w:rPr>
          <w:rFonts w:hint="eastAsia"/>
          <w:color w:val="auto"/>
          <w:highlight w:val="none"/>
          <w:lang w:eastAsia="zh-CN"/>
        </w:rPr>
        <w:t>发包人</w:t>
      </w:r>
      <w:r>
        <w:rPr>
          <w:color w:val="auto"/>
          <w:highlight w:val="none"/>
        </w:rPr>
        <w:t>指示进行现场工艺试验。对大型的现场工艺试验，</w:t>
      </w:r>
      <w:r>
        <w:rPr>
          <w:rFonts w:hint="eastAsia"/>
          <w:color w:val="auto"/>
          <w:highlight w:val="none"/>
          <w:lang w:eastAsia="zh-CN"/>
        </w:rPr>
        <w:t>发包人</w:t>
      </w:r>
      <w:r>
        <w:rPr>
          <w:color w:val="auto"/>
          <w:highlight w:val="none"/>
        </w:rPr>
        <w:t>认为必要时，应由承包人根据</w:t>
      </w:r>
      <w:r>
        <w:rPr>
          <w:rFonts w:hint="eastAsia"/>
          <w:color w:val="auto"/>
          <w:highlight w:val="none"/>
          <w:lang w:eastAsia="zh-CN"/>
        </w:rPr>
        <w:t>发包人</w:t>
      </w:r>
      <w:r>
        <w:rPr>
          <w:color w:val="auto"/>
          <w:highlight w:val="none"/>
        </w:rPr>
        <w:t>提出的工艺试验要求，编制工艺试验措施计划，报送</w:t>
      </w:r>
      <w:r>
        <w:rPr>
          <w:rFonts w:hint="eastAsia"/>
          <w:color w:val="auto"/>
          <w:highlight w:val="none"/>
          <w:lang w:eastAsia="zh-CN"/>
        </w:rPr>
        <w:t>发包人</w:t>
      </w:r>
      <w:r>
        <w:rPr>
          <w:color w:val="auto"/>
          <w:highlight w:val="none"/>
        </w:rPr>
        <w:t>审批。</w:t>
      </w:r>
      <w:bookmarkEnd w:id="604"/>
    </w:p>
    <w:p>
      <w:pPr>
        <w:pStyle w:val="4"/>
        <w:numPr>
          <w:ilvl w:val="1"/>
          <w:numId w:val="5"/>
        </w:numPr>
        <w:rPr>
          <w:color w:val="auto"/>
          <w:highlight w:val="none"/>
        </w:rPr>
      </w:pPr>
      <w:bookmarkStart w:id="605" w:name="_Toc32490"/>
      <w:bookmarkStart w:id="606" w:name="_Toc44492486"/>
      <w:bookmarkStart w:id="607" w:name="_Toc9590"/>
      <w:bookmarkStart w:id="608" w:name="_Toc17389"/>
      <w:r>
        <w:rPr>
          <w:color w:val="auto"/>
          <w:highlight w:val="none"/>
        </w:rPr>
        <w:t>发包人提供的材料和工程设备的试验和检验</w:t>
      </w:r>
      <w:bookmarkEnd w:id="605"/>
      <w:bookmarkEnd w:id="606"/>
      <w:bookmarkEnd w:id="607"/>
      <w:bookmarkEnd w:id="608"/>
    </w:p>
    <w:p>
      <w:pPr>
        <w:pStyle w:val="4"/>
        <w:numPr>
          <w:ilvl w:val="2"/>
          <w:numId w:val="5"/>
        </w:numPr>
        <w:ind w:left="777" w:hanging="777"/>
        <w:rPr>
          <w:color w:val="auto"/>
          <w:highlight w:val="none"/>
        </w:rPr>
      </w:pPr>
      <w:bookmarkStart w:id="609" w:name="_Toc11826"/>
      <w:r>
        <w:rPr>
          <w:color w:val="auto"/>
          <w:highlight w:val="none"/>
        </w:rPr>
        <w:t>发包人提供的材料和工程设备到货后，</w:t>
      </w:r>
      <w:r>
        <w:rPr>
          <w:rFonts w:hint="eastAsia"/>
          <w:color w:val="auto"/>
          <w:highlight w:val="none"/>
          <w:lang w:eastAsia="zh-CN"/>
        </w:rPr>
        <w:t>发包人</w:t>
      </w:r>
      <w:r>
        <w:rPr>
          <w:color w:val="auto"/>
          <w:highlight w:val="none"/>
        </w:rPr>
        <w:t>及承包人共同验收时，由发包人负责提供该材料和工程设备的合格证明及其他国家规范标准要求的必要产品质量证明文件及检验试验合格证明文件。承包人需对发包人提供的材料设备质量证明文件进行核查，以确保其满足工程规范和合同质量要求。若承包人对发包人所供材料和工程设备质量、安全及性能等提出质疑要求重新检验试验时，由</w:t>
      </w:r>
      <w:r>
        <w:rPr>
          <w:rFonts w:hint="eastAsia"/>
          <w:color w:val="auto"/>
          <w:highlight w:val="none"/>
          <w:lang w:eastAsia="zh-CN"/>
        </w:rPr>
        <w:t>发包人</w:t>
      </w:r>
      <w:r>
        <w:rPr>
          <w:color w:val="auto"/>
          <w:highlight w:val="none"/>
        </w:rPr>
        <w:t>与承包人共同进行。重新试验和检验的结果证明该项材料和工程设备的质量、安全及性能不符合合同及规范标准要求的，由此增加的费用和延误的工期由发包人承担；重新试验和检验的结果证明该项材料设备的质量、安全及性能符合合同及规范标准要求的，由承包人承担由此增加的费用和延误的工期。</w:t>
      </w:r>
      <w:bookmarkEnd w:id="609"/>
    </w:p>
    <w:p>
      <w:pPr>
        <w:pStyle w:val="4"/>
        <w:numPr>
          <w:ilvl w:val="0"/>
          <w:numId w:val="5"/>
        </w:numPr>
        <w:rPr>
          <w:color w:val="auto"/>
          <w:highlight w:val="none"/>
        </w:rPr>
      </w:pPr>
      <w:bookmarkStart w:id="610" w:name="_Toc11213"/>
      <w:bookmarkStart w:id="611" w:name="_Toc44227996"/>
      <w:bookmarkStart w:id="612" w:name="_Toc10020"/>
      <w:bookmarkStart w:id="613" w:name="_Toc44492487"/>
      <w:bookmarkStart w:id="614" w:name="_Toc933"/>
      <w:bookmarkStart w:id="615" w:name="_Toc6551"/>
      <w:bookmarkStart w:id="616" w:name="_Toc407356008"/>
      <w:bookmarkStart w:id="617" w:name="_Toc11080"/>
      <w:bookmarkStart w:id="618" w:name="_Toc47512245"/>
      <w:bookmarkStart w:id="619" w:name="_Toc22691"/>
      <w:r>
        <w:rPr>
          <w:color w:val="auto"/>
          <w:highlight w:val="none"/>
        </w:rPr>
        <w:t>变更</w:t>
      </w:r>
      <w:bookmarkEnd w:id="610"/>
      <w:bookmarkEnd w:id="611"/>
      <w:bookmarkEnd w:id="612"/>
      <w:bookmarkEnd w:id="613"/>
      <w:bookmarkEnd w:id="614"/>
      <w:bookmarkEnd w:id="615"/>
      <w:bookmarkEnd w:id="616"/>
      <w:bookmarkEnd w:id="617"/>
      <w:bookmarkEnd w:id="618"/>
      <w:bookmarkEnd w:id="619"/>
    </w:p>
    <w:p>
      <w:pPr>
        <w:pStyle w:val="4"/>
        <w:numPr>
          <w:ilvl w:val="1"/>
          <w:numId w:val="5"/>
        </w:numPr>
        <w:rPr>
          <w:color w:val="auto"/>
          <w:highlight w:val="none"/>
        </w:rPr>
      </w:pPr>
      <w:bookmarkStart w:id="620" w:name="_Toc15415"/>
      <w:bookmarkStart w:id="621" w:name="_Toc1079"/>
      <w:bookmarkStart w:id="622" w:name="_Toc44492488"/>
      <w:bookmarkStart w:id="623" w:name="_Toc15187"/>
      <w:r>
        <w:rPr>
          <w:color w:val="auto"/>
          <w:highlight w:val="none"/>
        </w:rPr>
        <w:t>变更程序</w:t>
      </w:r>
      <w:bookmarkEnd w:id="620"/>
      <w:bookmarkEnd w:id="621"/>
      <w:bookmarkEnd w:id="622"/>
      <w:bookmarkEnd w:id="623"/>
    </w:p>
    <w:p>
      <w:pPr>
        <w:pStyle w:val="4"/>
        <w:numPr>
          <w:ilvl w:val="2"/>
          <w:numId w:val="5"/>
        </w:numPr>
        <w:ind w:left="777" w:hanging="777"/>
        <w:rPr>
          <w:color w:val="auto"/>
          <w:highlight w:val="none"/>
        </w:rPr>
      </w:pPr>
      <w:bookmarkStart w:id="624" w:name="_Toc44492489"/>
      <w:bookmarkStart w:id="625" w:name="_Toc18095"/>
      <w:r>
        <w:rPr>
          <w:color w:val="auto"/>
          <w:highlight w:val="none"/>
        </w:rPr>
        <w:t>施工中发包人需对原工程进行变更时，应提前以书面形式向承包人发出变更通知，并提供变更的相应图纸和（或）说明。承包人应当按照发包人发出的变更通知及有关要求实施变更。承包人不得以指示所涉及的费用未确定为由不执行或拖延执行。当接到发包人的指示后三（3）天内，承包人仍未开始执行有关的工作（按工程实际情况不可能立即执行的除外），发包人可雇用第三人代为执行，承包人应承担发包人雇佣第三人所造成的价差，并承担一切由此引起的费用的15%，作为向发包人支付的管理费，同时需按专用条款的约定承担违约责任。发包人可从应支付或将会支付给承包人的款项中扣回或当作债务向承包人追讨。</w:t>
      </w:r>
      <w:bookmarkEnd w:id="624"/>
      <w:bookmarkEnd w:id="625"/>
    </w:p>
    <w:p>
      <w:pPr>
        <w:pStyle w:val="4"/>
        <w:numPr>
          <w:ilvl w:val="2"/>
          <w:numId w:val="5"/>
        </w:numPr>
        <w:ind w:left="777" w:hanging="777"/>
        <w:rPr>
          <w:color w:val="auto"/>
          <w:highlight w:val="none"/>
        </w:rPr>
      </w:pPr>
      <w:bookmarkStart w:id="626" w:name="_Toc11754"/>
      <w:r>
        <w:rPr>
          <w:color w:val="auto"/>
          <w:highlight w:val="none"/>
        </w:rPr>
        <w:t>承包人进场之前，发包人将书面通知承包人签证流程、签证单格式，双方应遵照执行。</w:t>
      </w:r>
      <w:bookmarkEnd w:id="626"/>
    </w:p>
    <w:p>
      <w:pPr>
        <w:pStyle w:val="4"/>
        <w:numPr>
          <w:ilvl w:val="2"/>
          <w:numId w:val="5"/>
        </w:numPr>
        <w:ind w:left="777" w:hanging="777"/>
        <w:rPr>
          <w:color w:val="auto"/>
          <w:highlight w:val="none"/>
        </w:rPr>
      </w:pPr>
      <w:bookmarkStart w:id="627" w:name="_Toc15042"/>
      <w:r>
        <w:rPr>
          <w:color w:val="auto"/>
          <w:highlight w:val="none"/>
        </w:rPr>
        <w:t>发包人有权发出指令要求变更，承包人不得拒绝。除得到发包人书面指令外，承包人不能擅自做出变更。任何发包人要求的或发包人随后追认的变更皆不会使本合同失效。</w:t>
      </w:r>
      <w:bookmarkEnd w:id="627"/>
    </w:p>
    <w:p>
      <w:pPr>
        <w:pStyle w:val="4"/>
        <w:numPr>
          <w:ilvl w:val="2"/>
          <w:numId w:val="5"/>
        </w:numPr>
        <w:ind w:left="777" w:hanging="777"/>
        <w:rPr>
          <w:color w:val="auto"/>
          <w:highlight w:val="none"/>
        </w:rPr>
      </w:pPr>
      <w:bookmarkStart w:id="628" w:name="_Toc2386"/>
      <w:r>
        <w:rPr>
          <w:color w:val="auto"/>
          <w:highlight w:val="none"/>
        </w:rPr>
        <w:t>如承包人超出合同文件的要求进行施工，则无论本工程是否通过了竣工验收，均不能认为发包人同意支付该等超出合同文件的要求进行施工的费用，由此增加的费用和延误的工期均由承包人承担。</w:t>
      </w:r>
      <w:bookmarkEnd w:id="628"/>
    </w:p>
    <w:p>
      <w:pPr>
        <w:pStyle w:val="4"/>
        <w:numPr>
          <w:ilvl w:val="2"/>
          <w:numId w:val="5"/>
        </w:numPr>
        <w:ind w:left="777" w:hanging="777"/>
        <w:rPr>
          <w:color w:val="auto"/>
          <w:highlight w:val="none"/>
        </w:rPr>
      </w:pPr>
      <w:bookmarkStart w:id="629" w:name="_Toc18501"/>
      <w:r>
        <w:rPr>
          <w:color w:val="auto"/>
          <w:highlight w:val="none"/>
        </w:rPr>
        <w:t>承包人采用或更改任何施工方案、施工工序、施工措施、施工工艺的，均不构成签证变更，由承包人承担由此增加的费用和延误的工期，即便发包人对前述方案、工序、措施和工艺进行了签证，也只是对技术的确认，发包人不因此而承担任何费用及工期延误的责任，如果因此给发包人造成损失，承包人应当全额赔偿。</w:t>
      </w:r>
      <w:bookmarkEnd w:id="629"/>
    </w:p>
    <w:p>
      <w:pPr>
        <w:pStyle w:val="4"/>
        <w:numPr>
          <w:ilvl w:val="2"/>
          <w:numId w:val="5"/>
        </w:numPr>
        <w:ind w:left="777" w:hanging="777"/>
        <w:rPr>
          <w:color w:val="auto"/>
          <w:highlight w:val="none"/>
        </w:rPr>
      </w:pPr>
      <w:bookmarkStart w:id="630" w:name="_Toc11699"/>
      <w:r>
        <w:rPr>
          <w:color w:val="auto"/>
          <w:highlight w:val="none"/>
        </w:rPr>
        <w:t>按照指示完成变更及办理经济签证不得影响工程的连续施工。除非合同另有约定，承包人不得以发包人和承包人之间未能就变更工作的计价达成一致而拒绝实施变更工作。</w:t>
      </w:r>
      <w:bookmarkEnd w:id="630"/>
    </w:p>
    <w:p>
      <w:pPr>
        <w:pStyle w:val="4"/>
        <w:numPr>
          <w:ilvl w:val="2"/>
          <w:numId w:val="5"/>
        </w:numPr>
        <w:ind w:left="777" w:hanging="777"/>
        <w:rPr>
          <w:color w:val="auto"/>
          <w:kern w:val="0"/>
          <w:highlight w:val="none"/>
        </w:rPr>
      </w:pPr>
      <w:bookmarkStart w:id="631" w:name="_Toc28675"/>
      <w:bookmarkStart w:id="632" w:name="_Toc44492490"/>
      <w:r>
        <w:rPr>
          <w:color w:val="auto"/>
          <w:highlight w:val="none"/>
        </w:rPr>
        <w:t>设计人提出的设计变更，必须经发包人批准后，承包人才能按图进行施工，如设计变更未经发包人批准承包人安排施工，所需费用由承包人承担，且发包人有权提出拆除及恢复，承包人承担由此造成的费用；如设计变更未经发包人批准承包人安排施工，且设计变更不合理，其施工费用、恢复费用及由此造成的损失由承包人承担，同时承包人</w:t>
      </w:r>
      <w:r>
        <w:rPr>
          <w:color w:val="auto"/>
          <w:kern w:val="0"/>
          <w:highlight w:val="none"/>
        </w:rPr>
        <w:t>应按专用条款的约定承担违约责任。</w:t>
      </w:r>
      <w:bookmarkEnd w:id="631"/>
      <w:bookmarkEnd w:id="632"/>
      <w:bookmarkStart w:id="633" w:name="_Toc10741"/>
      <w:bookmarkStart w:id="634" w:name="_Toc44492491"/>
      <w:bookmarkStart w:id="635" w:name="_Toc15591"/>
    </w:p>
    <w:p>
      <w:pPr>
        <w:pStyle w:val="4"/>
        <w:numPr>
          <w:ilvl w:val="1"/>
          <w:numId w:val="5"/>
        </w:numPr>
        <w:rPr>
          <w:color w:val="auto"/>
          <w:highlight w:val="none"/>
        </w:rPr>
      </w:pPr>
      <w:bookmarkStart w:id="636" w:name="_Toc1271"/>
      <w:r>
        <w:rPr>
          <w:color w:val="auto"/>
          <w:highlight w:val="none"/>
        </w:rPr>
        <w:t>变更价款的确定</w:t>
      </w:r>
      <w:bookmarkEnd w:id="633"/>
      <w:bookmarkEnd w:id="634"/>
      <w:bookmarkEnd w:id="635"/>
      <w:bookmarkEnd w:id="636"/>
    </w:p>
    <w:p>
      <w:pPr>
        <w:pStyle w:val="77"/>
        <w:spacing w:before="0" w:after="0"/>
        <w:ind w:firstLine="480"/>
        <w:rPr>
          <w:rFonts w:eastAsia="宋体"/>
          <w:color w:val="auto"/>
          <w:szCs w:val="24"/>
          <w:highlight w:val="none"/>
        </w:rPr>
      </w:pPr>
      <w:bookmarkStart w:id="637" w:name="_Toc44492492"/>
      <w:r>
        <w:rPr>
          <w:rFonts w:eastAsia="宋体"/>
          <w:bCs w:val="0"/>
          <w:color w:val="auto"/>
          <w:kern w:val="0"/>
          <w:szCs w:val="24"/>
          <w:highlight w:val="none"/>
        </w:rPr>
        <w:t>变更价款的确定在专用条款中说明。</w:t>
      </w:r>
      <w:bookmarkEnd w:id="637"/>
    </w:p>
    <w:p>
      <w:pPr>
        <w:pStyle w:val="4"/>
        <w:numPr>
          <w:ilvl w:val="1"/>
          <w:numId w:val="5"/>
        </w:numPr>
        <w:rPr>
          <w:color w:val="auto"/>
          <w:highlight w:val="none"/>
        </w:rPr>
      </w:pPr>
      <w:bookmarkStart w:id="638" w:name="_Toc14333"/>
      <w:bookmarkStart w:id="639" w:name="_Toc28558"/>
      <w:bookmarkStart w:id="640" w:name="_Toc44492493"/>
      <w:bookmarkStart w:id="641" w:name="_Toc22367"/>
      <w:r>
        <w:rPr>
          <w:color w:val="auto"/>
          <w:highlight w:val="none"/>
        </w:rPr>
        <w:t>承包人的合理化建议</w:t>
      </w:r>
      <w:bookmarkEnd w:id="638"/>
      <w:bookmarkEnd w:id="639"/>
      <w:bookmarkEnd w:id="640"/>
      <w:bookmarkEnd w:id="641"/>
    </w:p>
    <w:p>
      <w:pPr>
        <w:pStyle w:val="4"/>
        <w:numPr>
          <w:ilvl w:val="2"/>
          <w:numId w:val="5"/>
        </w:numPr>
        <w:ind w:left="777" w:hanging="777"/>
        <w:rPr>
          <w:color w:val="auto"/>
          <w:highlight w:val="none"/>
        </w:rPr>
      </w:pPr>
      <w:bookmarkStart w:id="642" w:name="_Toc32143"/>
      <w:r>
        <w:rPr>
          <w:color w:val="auto"/>
          <w:highlight w:val="none"/>
        </w:rPr>
        <w:t>在履行合同过程中，承包人对发包人提供的图纸、技术要求以及其他方面提出的合理化建议，均应以书面形式提交</w:t>
      </w:r>
      <w:r>
        <w:rPr>
          <w:rFonts w:hint="eastAsia"/>
          <w:color w:val="auto"/>
          <w:highlight w:val="none"/>
          <w:lang w:eastAsia="zh-CN"/>
        </w:rPr>
        <w:t>发包人</w:t>
      </w:r>
      <w:r>
        <w:rPr>
          <w:color w:val="auto"/>
          <w:highlight w:val="none"/>
        </w:rPr>
        <w:t>。合理化建议书的内容应包括建议工作的详细说明、进度计划和效益以及与其他工作的协调等，并附必要的设计文件。建议被采纳并构成变更的，按照变更程序执行。</w:t>
      </w:r>
      <w:bookmarkEnd w:id="642"/>
    </w:p>
    <w:p>
      <w:pPr>
        <w:pStyle w:val="4"/>
        <w:numPr>
          <w:ilvl w:val="2"/>
          <w:numId w:val="5"/>
        </w:numPr>
        <w:ind w:left="777" w:hanging="777"/>
        <w:rPr>
          <w:color w:val="auto"/>
          <w:highlight w:val="none"/>
        </w:rPr>
      </w:pPr>
      <w:bookmarkStart w:id="643" w:name="_Toc32566"/>
      <w:r>
        <w:rPr>
          <w:color w:val="auto"/>
          <w:highlight w:val="none"/>
        </w:rPr>
        <w:t>承包人在施工中提出的合理化建议涉及到对设计图纸或施工组织设计的更改及对材料、设备的换用，须经发包人同意。未经同意擅自更改或换用时，承包人承担由此发生的费用，并赔偿发包人的有关损失，延误的工期不予顺延。</w:t>
      </w:r>
      <w:bookmarkEnd w:id="643"/>
      <w:bookmarkStart w:id="644" w:name="_Toc407356009"/>
    </w:p>
    <w:p>
      <w:pPr>
        <w:pStyle w:val="4"/>
        <w:numPr>
          <w:ilvl w:val="0"/>
          <w:numId w:val="5"/>
        </w:numPr>
        <w:rPr>
          <w:color w:val="auto"/>
          <w:highlight w:val="none"/>
        </w:rPr>
      </w:pPr>
      <w:bookmarkStart w:id="645" w:name="_Toc30796"/>
      <w:bookmarkStart w:id="646" w:name="_Toc44227997"/>
      <w:bookmarkStart w:id="647" w:name="_Toc44492494"/>
      <w:bookmarkStart w:id="648" w:name="_Toc1729"/>
      <w:bookmarkStart w:id="649" w:name="_Toc18955"/>
      <w:bookmarkStart w:id="650" w:name="_Toc26718"/>
      <w:bookmarkStart w:id="651" w:name="_Toc16336"/>
      <w:bookmarkStart w:id="652" w:name="_Toc47512246"/>
      <w:bookmarkStart w:id="653" w:name="_Toc7205"/>
      <w:r>
        <w:rPr>
          <w:color w:val="auto"/>
          <w:highlight w:val="none"/>
        </w:rPr>
        <w:t>价格调整</w:t>
      </w:r>
      <w:bookmarkEnd w:id="644"/>
      <w:bookmarkEnd w:id="645"/>
      <w:bookmarkEnd w:id="646"/>
      <w:bookmarkEnd w:id="647"/>
      <w:bookmarkEnd w:id="648"/>
      <w:bookmarkEnd w:id="649"/>
      <w:bookmarkEnd w:id="650"/>
      <w:bookmarkEnd w:id="651"/>
      <w:bookmarkEnd w:id="652"/>
      <w:bookmarkEnd w:id="653"/>
    </w:p>
    <w:p>
      <w:pPr>
        <w:pStyle w:val="4"/>
        <w:numPr>
          <w:ilvl w:val="1"/>
          <w:numId w:val="5"/>
        </w:numPr>
        <w:rPr>
          <w:color w:val="auto"/>
          <w:highlight w:val="none"/>
        </w:rPr>
      </w:pPr>
      <w:bookmarkStart w:id="654" w:name="_Toc30895"/>
      <w:bookmarkStart w:id="655" w:name="_Toc4996"/>
      <w:bookmarkStart w:id="656" w:name="_Toc44492495"/>
      <w:bookmarkStart w:id="657" w:name="_Toc17113"/>
      <w:r>
        <w:rPr>
          <w:color w:val="auto"/>
          <w:highlight w:val="none"/>
        </w:rPr>
        <w:t>物价波动引起的价格调整</w:t>
      </w:r>
      <w:bookmarkEnd w:id="654"/>
      <w:bookmarkEnd w:id="655"/>
      <w:bookmarkEnd w:id="656"/>
      <w:bookmarkEnd w:id="657"/>
    </w:p>
    <w:p>
      <w:pPr>
        <w:pStyle w:val="52"/>
        <w:ind w:firstLine="480"/>
        <w:jc w:val="both"/>
        <w:rPr>
          <w:rFonts w:eastAsia="宋体"/>
          <w:color w:val="auto"/>
          <w:sz w:val="24"/>
          <w:szCs w:val="24"/>
          <w:highlight w:val="none"/>
        </w:rPr>
      </w:pPr>
      <w:r>
        <w:rPr>
          <w:rFonts w:eastAsia="宋体"/>
          <w:color w:val="auto"/>
          <w:sz w:val="24"/>
          <w:szCs w:val="24"/>
          <w:highlight w:val="none"/>
        </w:rPr>
        <w:t>物价波动引起的价格调整在专用条款中说明。</w:t>
      </w:r>
    </w:p>
    <w:p>
      <w:pPr>
        <w:pStyle w:val="4"/>
        <w:numPr>
          <w:ilvl w:val="1"/>
          <w:numId w:val="5"/>
        </w:numPr>
        <w:rPr>
          <w:color w:val="auto"/>
          <w:highlight w:val="none"/>
        </w:rPr>
      </w:pPr>
      <w:bookmarkStart w:id="658" w:name="_Toc44492496"/>
      <w:bookmarkStart w:id="659" w:name="_Toc27734"/>
      <w:bookmarkStart w:id="660" w:name="_Toc5134"/>
      <w:bookmarkStart w:id="661" w:name="_Toc29174"/>
      <w:r>
        <w:rPr>
          <w:color w:val="auto"/>
          <w:highlight w:val="none"/>
        </w:rPr>
        <w:t>价格不予调整的情形</w:t>
      </w:r>
      <w:bookmarkEnd w:id="658"/>
      <w:bookmarkEnd w:id="659"/>
      <w:bookmarkEnd w:id="660"/>
      <w:bookmarkEnd w:id="661"/>
    </w:p>
    <w:p>
      <w:pPr>
        <w:pStyle w:val="52"/>
        <w:ind w:firstLine="480"/>
        <w:jc w:val="both"/>
        <w:rPr>
          <w:rFonts w:eastAsia="宋体"/>
          <w:color w:val="auto"/>
          <w:sz w:val="24"/>
          <w:szCs w:val="24"/>
          <w:highlight w:val="none"/>
        </w:rPr>
      </w:pPr>
      <w:r>
        <w:rPr>
          <w:rFonts w:eastAsia="宋体"/>
          <w:color w:val="auto"/>
          <w:sz w:val="24"/>
          <w:szCs w:val="24"/>
          <w:highlight w:val="none"/>
        </w:rPr>
        <w:t>价格不予调整的情形在专用条款中说明。</w:t>
      </w:r>
    </w:p>
    <w:p>
      <w:pPr>
        <w:pStyle w:val="4"/>
        <w:numPr>
          <w:ilvl w:val="1"/>
          <w:numId w:val="5"/>
        </w:numPr>
        <w:rPr>
          <w:color w:val="auto"/>
          <w:highlight w:val="none"/>
        </w:rPr>
      </w:pPr>
      <w:bookmarkStart w:id="662" w:name="_Toc26560"/>
      <w:bookmarkStart w:id="663" w:name="_Toc44492497"/>
      <w:bookmarkStart w:id="664" w:name="_Toc9473"/>
      <w:bookmarkStart w:id="665" w:name="_Toc10220"/>
      <w:r>
        <w:rPr>
          <w:color w:val="auto"/>
          <w:highlight w:val="none"/>
        </w:rPr>
        <w:t>价格调整的补充说明</w:t>
      </w:r>
      <w:bookmarkEnd w:id="662"/>
      <w:bookmarkEnd w:id="663"/>
      <w:bookmarkEnd w:id="664"/>
      <w:bookmarkEnd w:id="665"/>
    </w:p>
    <w:p>
      <w:pPr>
        <w:pStyle w:val="52"/>
        <w:ind w:firstLine="480"/>
        <w:jc w:val="both"/>
        <w:rPr>
          <w:rFonts w:eastAsia="宋体"/>
          <w:color w:val="auto"/>
          <w:sz w:val="24"/>
          <w:szCs w:val="24"/>
          <w:highlight w:val="none"/>
        </w:rPr>
      </w:pPr>
      <w:r>
        <w:rPr>
          <w:rFonts w:eastAsia="宋体"/>
          <w:color w:val="auto"/>
          <w:sz w:val="24"/>
          <w:szCs w:val="24"/>
          <w:highlight w:val="none"/>
        </w:rPr>
        <w:t>价格调整的补充说明在专用条款中说明。</w:t>
      </w:r>
    </w:p>
    <w:p>
      <w:pPr>
        <w:pStyle w:val="4"/>
        <w:numPr>
          <w:ilvl w:val="0"/>
          <w:numId w:val="5"/>
        </w:numPr>
        <w:rPr>
          <w:color w:val="auto"/>
          <w:highlight w:val="none"/>
        </w:rPr>
      </w:pPr>
      <w:bookmarkStart w:id="666" w:name="_Toc21140"/>
      <w:bookmarkStart w:id="667" w:name="_Toc44227998"/>
      <w:bookmarkStart w:id="668" w:name="_Toc11953"/>
      <w:bookmarkStart w:id="669" w:name="_Toc29146"/>
      <w:bookmarkStart w:id="670" w:name="_Toc44492498"/>
      <w:bookmarkStart w:id="671" w:name="_Toc15772"/>
      <w:bookmarkStart w:id="672" w:name="_Toc4646"/>
      <w:bookmarkStart w:id="673" w:name="_Toc47512247"/>
      <w:bookmarkStart w:id="674" w:name="_Toc29134"/>
      <w:bookmarkStart w:id="675" w:name="_Toc407356010"/>
      <w:r>
        <w:rPr>
          <w:color w:val="auto"/>
          <w:highlight w:val="none"/>
        </w:rPr>
        <w:t>计量与支付</w:t>
      </w:r>
      <w:bookmarkEnd w:id="666"/>
      <w:bookmarkEnd w:id="667"/>
      <w:bookmarkEnd w:id="668"/>
      <w:bookmarkEnd w:id="669"/>
      <w:bookmarkEnd w:id="670"/>
      <w:bookmarkEnd w:id="671"/>
      <w:bookmarkEnd w:id="672"/>
      <w:bookmarkEnd w:id="673"/>
      <w:bookmarkEnd w:id="674"/>
      <w:bookmarkEnd w:id="675"/>
    </w:p>
    <w:p>
      <w:pPr>
        <w:pStyle w:val="4"/>
        <w:numPr>
          <w:ilvl w:val="1"/>
          <w:numId w:val="5"/>
        </w:numPr>
        <w:rPr>
          <w:color w:val="auto"/>
          <w:highlight w:val="none"/>
        </w:rPr>
      </w:pPr>
      <w:bookmarkStart w:id="676" w:name="_Toc20973"/>
      <w:bookmarkStart w:id="677" w:name="_Toc3042"/>
      <w:bookmarkStart w:id="678" w:name="_Toc27587"/>
      <w:bookmarkStart w:id="679" w:name="_Toc44492499"/>
      <w:r>
        <w:rPr>
          <w:color w:val="auto"/>
          <w:highlight w:val="none"/>
        </w:rPr>
        <w:t>计量</w:t>
      </w:r>
      <w:bookmarkEnd w:id="676"/>
      <w:bookmarkEnd w:id="677"/>
      <w:bookmarkEnd w:id="678"/>
      <w:bookmarkEnd w:id="679"/>
    </w:p>
    <w:p>
      <w:pPr>
        <w:pStyle w:val="4"/>
        <w:numPr>
          <w:ilvl w:val="2"/>
          <w:numId w:val="5"/>
        </w:numPr>
        <w:rPr>
          <w:color w:val="auto"/>
          <w:highlight w:val="none"/>
        </w:rPr>
      </w:pPr>
      <w:bookmarkStart w:id="680" w:name="_Toc7534"/>
      <w:r>
        <w:rPr>
          <w:color w:val="auto"/>
          <w:highlight w:val="none"/>
        </w:rPr>
        <w:t>计量时间在专用条款中说明。</w:t>
      </w:r>
      <w:bookmarkEnd w:id="680"/>
    </w:p>
    <w:p>
      <w:pPr>
        <w:pStyle w:val="4"/>
        <w:numPr>
          <w:ilvl w:val="2"/>
          <w:numId w:val="5"/>
        </w:numPr>
        <w:rPr>
          <w:color w:val="auto"/>
          <w:highlight w:val="none"/>
        </w:rPr>
      </w:pPr>
      <w:bookmarkStart w:id="681" w:name="_Toc28640"/>
      <w:r>
        <w:rPr>
          <w:color w:val="auto"/>
          <w:highlight w:val="none"/>
        </w:rPr>
        <w:t>对承包人超出设计图纸范围和因承包人原因造成返工、质量不合格的工程量，</w:t>
      </w:r>
      <w:r>
        <w:rPr>
          <w:rFonts w:hint="eastAsia"/>
          <w:color w:val="auto"/>
          <w:highlight w:val="none"/>
          <w:lang w:eastAsia="zh-CN"/>
        </w:rPr>
        <w:t>发包人</w:t>
      </w:r>
      <w:r>
        <w:rPr>
          <w:color w:val="auto"/>
          <w:highlight w:val="none"/>
        </w:rPr>
        <w:t>不予计量。</w:t>
      </w:r>
      <w:bookmarkEnd w:id="681"/>
    </w:p>
    <w:p>
      <w:pPr>
        <w:pStyle w:val="4"/>
        <w:numPr>
          <w:ilvl w:val="2"/>
          <w:numId w:val="5"/>
        </w:numPr>
        <w:rPr>
          <w:color w:val="auto"/>
          <w:highlight w:val="none"/>
        </w:rPr>
      </w:pPr>
      <w:bookmarkStart w:id="682" w:name="_Toc7159"/>
      <w:r>
        <w:rPr>
          <w:color w:val="auto"/>
          <w:highlight w:val="none"/>
        </w:rPr>
        <w:t>发包人对工程进度款的批准，不视为对承包人实际完成工程量的批准，只作为发包人进行工程目标管理和控制进度款支付的依据。</w:t>
      </w:r>
      <w:bookmarkEnd w:id="682"/>
    </w:p>
    <w:p>
      <w:pPr>
        <w:pStyle w:val="4"/>
        <w:numPr>
          <w:ilvl w:val="1"/>
          <w:numId w:val="5"/>
        </w:numPr>
        <w:rPr>
          <w:color w:val="auto"/>
          <w:highlight w:val="none"/>
        </w:rPr>
      </w:pPr>
      <w:bookmarkStart w:id="683" w:name="_Toc7469"/>
      <w:bookmarkStart w:id="684" w:name="_Toc17245"/>
      <w:bookmarkStart w:id="685" w:name="_Toc12523"/>
      <w:bookmarkStart w:id="686" w:name="_Toc44492500"/>
      <w:r>
        <w:rPr>
          <w:color w:val="auto"/>
          <w:highlight w:val="none"/>
        </w:rPr>
        <w:t>工程价款</w:t>
      </w:r>
      <w:bookmarkEnd w:id="683"/>
      <w:bookmarkEnd w:id="684"/>
      <w:bookmarkEnd w:id="685"/>
      <w:bookmarkEnd w:id="686"/>
    </w:p>
    <w:p>
      <w:pPr>
        <w:pStyle w:val="4"/>
        <w:numPr>
          <w:ilvl w:val="2"/>
          <w:numId w:val="5"/>
        </w:numPr>
        <w:rPr>
          <w:color w:val="auto"/>
          <w:highlight w:val="none"/>
        </w:rPr>
      </w:pPr>
      <w:bookmarkStart w:id="687" w:name="_Toc18524"/>
      <w:r>
        <w:rPr>
          <w:color w:val="auto"/>
          <w:highlight w:val="none"/>
        </w:rPr>
        <w:t>本合同采用固定综合单价包干方式执行:</w:t>
      </w:r>
      <w:bookmarkEnd w:id="687"/>
    </w:p>
    <w:p>
      <w:pPr>
        <w:pStyle w:val="52"/>
        <w:numPr>
          <w:ilvl w:val="0"/>
          <w:numId w:val="32"/>
        </w:numPr>
        <w:ind w:left="885" w:leftChars="250" w:hanging="360" w:hangingChars="150"/>
        <w:jc w:val="both"/>
        <w:rPr>
          <w:rFonts w:eastAsia="宋体"/>
          <w:color w:val="auto"/>
          <w:sz w:val="24"/>
          <w:szCs w:val="24"/>
          <w:highlight w:val="none"/>
        </w:rPr>
      </w:pPr>
      <w:r>
        <w:rPr>
          <w:rFonts w:eastAsia="宋体"/>
          <w:color w:val="auto"/>
          <w:sz w:val="24"/>
          <w:szCs w:val="24"/>
          <w:highlight w:val="none"/>
        </w:rPr>
        <w:t>本合同采用固定综合单价承包方式，合同总价为暂定总价。</w:t>
      </w:r>
    </w:p>
    <w:p>
      <w:pPr>
        <w:pStyle w:val="52"/>
        <w:numPr>
          <w:ilvl w:val="0"/>
          <w:numId w:val="32"/>
        </w:numPr>
        <w:ind w:left="885" w:leftChars="250" w:hanging="360" w:hangingChars="150"/>
        <w:jc w:val="both"/>
        <w:rPr>
          <w:rFonts w:eastAsia="宋体"/>
          <w:color w:val="auto"/>
          <w:sz w:val="24"/>
          <w:szCs w:val="24"/>
          <w:highlight w:val="none"/>
        </w:rPr>
      </w:pPr>
      <w:r>
        <w:rPr>
          <w:rFonts w:eastAsia="宋体"/>
          <w:color w:val="auto"/>
          <w:sz w:val="24"/>
          <w:szCs w:val="24"/>
          <w:highlight w:val="none"/>
        </w:rPr>
        <w:t>已标价的工程量及单价清单中的综合单价为固定综合单价。</w:t>
      </w:r>
    </w:p>
    <w:p>
      <w:pPr>
        <w:pStyle w:val="52"/>
        <w:numPr>
          <w:ilvl w:val="0"/>
          <w:numId w:val="32"/>
        </w:numPr>
        <w:ind w:left="885" w:leftChars="250" w:hanging="360" w:hangingChars="150"/>
        <w:jc w:val="both"/>
        <w:rPr>
          <w:rFonts w:eastAsia="宋体"/>
          <w:color w:val="auto"/>
          <w:sz w:val="24"/>
          <w:szCs w:val="24"/>
          <w:highlight w:val="none"/>
        </w:rPr>
      </w:pPr>
      <w:r>
        <w:rPr>
          <w:rFonts w:eastAsia="宋体"/>
          <w:color w:val="auto"/>
          <w:sz w:val="24"/>
          <w:szCs w:val="24"/>
          <w:highlight w:val="none"/>
        </w:rPr>
        <w:t xml:space="preserve">本合同工程量清单中的综合单价，应认为已均包含了所有的人工、材料、机械、设备及劳工、材料、机械和设备的杂费，所有消耗费，专利费用，包装费，运费，保险费，设备调试费，装卸费，仓储费及其他临时在外的存储费用、运抵费、安装费、升降费及固定费，处理费，监管费，内外部管理费用，利润，加班费，与知识产权相关的费用及其他由承包人向政府缴纳的保证金，风险费，水电费，治安、消防、安全、环保、主管部门因进行工程所规定应由施工单位所交纳的任何收费，民扰及扰民费，试验费，以及其他为按时按质完成合同所规定工作的所有除措施费及规费、税金以外的所有费用，不论图纸、规范、技术要求、工程量清单中有没有说明。除非合同另有其他明确约定外，该综合单价不做任何调整。 </w:t>
      </w:r>
    </w:p>
    <w:p>
      <w:pPr>
        <w:pStyle w:val="52"/>
        <w:numPr>
          <w:ilvl w:val="0"/>
          <w:numId w:val="32"/>
        </w:numPr>
        <w:ind w:left="885" w:leftChars="250" w:hanging="360" w:hangingChars="150"/>
        <w:jc w:val="both"/>
        <w:rPr>
          <w:rFonts w:eastAsia="宋体"/>
          <w:color w:val="auto"/>
          <w:sz w:val="24"/>
          <w:szCs w:val="24"/>
          <w:highlight w:val="none"/>
        </w:rPr>
      </w:pPr>
      <w:r>
        <w:rPr>
          <w:rFonts w:eastAsia="宋体"/>
          <w:color w:val="auto"/>
          <w:sz w:val="24"/>
          <w:szCs w:val="24"/>
          <w:highlight w:val="none"/>
        </w:rPr>
        <w:t>风险费用的计算方法在专用条款中写明。</w:t>
      </w:r>
    </w:p>
    <w:p>
      <w:pPr>
        <w:pStyle w:val="52"/>
        <w:numPr>
          <w:ilvl w:val="0"/>
          <w:numId w:val="32"/>
        </w:numPr>
        <w:ind w:left="885" w:leftChars="250" w:hanging="360" w:hangingChars="150"/>
        <w:jc w:val="both"/>
        <w:rPr>
          <w:rFonts w:eastAsia="宋体"/>
          <w:color w:val="auto"/>
          <w:sz w:val="24"/>
          <w:szCs w:val="24"/>
          <w:highlight w:val="none"/>
        </w:rPr>
      </w:pPr>
      <w:r>
        <w:rPr>
          <w:rFonts w:eastAsia="宋体"/>
          <w:color w:val="auto"/>
          <w:sz w:val="24"/>
          <w:szCs w:val="24"/>
          <w:highlight w:val="none"/>
        </w:rPr>
        <w:t>措施项目清单所列项目综合单价及费率固定不变，在工程实施过程可能发生但在措施清单中未列出的措施费用视其已包含在措施项目清单所列项目中。</w:t>
      </w:r>
    </w:p>
    <w:p>
      <w:pPr>
        <w:pStyle w:val="52"/>
        <w:numPr>
          <w:ilvl w:val="0"/>
          <w:numId w:val="32"/>
        </w:numPr>
        <w:ind w:left="885" w:leftChars="250" w:hanging="360" w:hangingChars="150"/>
        <w:jc w:val="both"/>
        <w:rPr>
          <w:rFonts w:eastAsia="宋体"/>
          <w:color w:val="auto"/>
          <w:sz w:val="24"/>
          <w:szCs w:val="24"/>
          <w:highlight w:val="none"/>
        </w:rPr>
      </w:pPr>
      <w:r>
        <w:rPr>
          <w:rFonts w:eastAsia="宋体"/>
          <w:color w:val="auto"/>
          <w:sz w:val="24"/>
          <w:szCs w:val="24"/>
          <w:highlight w:val="none"/>
        </w:rPr>
        <w:t>双方约定其他可调整合同价款的情况在专用条款中写明。</w:t>
      </w:r>
    </w:p>
    <w:p>
      <w:pPr>
        <w:pStyle w:val="4"/>
        <w:numPr>
          <w:ilvl w:val="1"/>
          <w:numId w:val="5"/>
        </w:numPr>
        <w:rPr>
          <w:color w:val="auto"/>
          <w:highlight w:val="none"/>
        </w:rPr>
      </w:pPr>
      <w:bookmarkStart w:id="688" w:name="_Toc3384"/>
      <w:bookmarkStart w:id="689" w:name="_Toc31491"/>
      <w:bookmarkStart w:id="690" w:name="_Toc44492501"/>
      <w:bookmarkStart w:id="691" w:name="_Toc23241"/>
      <w:r>
        <w:rPr>
          <w:color w:val="auto"/>
          <w:highlight w:val="none"/>
        </w:rPr>
        <w:t>总承包服务费</w:t>
      </w:r>
      <w:bookmarkEnd w:id="688"/>
      <w:bookmarkEnd w:id="689"/>
      <w:bookmarkEnd w:id="690"/>
      <w:bookmarkEnd w:id="691"/>
    </w:p>
    <w:p>
      <w:pPr>
        <w:pStyle w:val="4"/>
        <w:numPr>
          <w:ilvl w:val="2"/>
          <w:numId w:val="5"/>
        </w:numPr>
        <w:ind w:left="777" w:hanging="777"/>
        <w:rPr>
          <w:rFonts w:hint="default" w:ascii="Times New Roman" w:hAnsi="Times New Roman" w:eastAsia="宋体" w:cs="Times New Roman"/>
          <w:color w:val="auto"/>
          <w:sz w:val="24"/>
          <w:szCs w:val="24"/>
          <w:highlight w:val="none"/>
        </w:rPr>
      </w:pPr>
      <w:bookmarkStart w:id="692" w:name="_Toc13004"/>
      <w:r>
        <w:rPr>
          <w:rFonts w:hint="default" w:ascii="Times New Roman" w:hAnsi="Times New Roman" w:eastAsia="宋体" w:cs="Times New Roman"/>
          <w:color w:val="auto"/>
          <w:sz w:val="24"/>
          <w:szCs w:val="24"/>
          <w:highlight w:val="none"/>
        </w:rPr>
        <w:t>总承包服务费对应的总包服务、管理、配合工作内容详见</w:t>
      </w:r>
      <w:r>
        <w:rPr>
          <w:rFonts w:hint="eastAsia" w:ascii="Times New Roman" w:hAnsi="Times New Roman" w:eastAsia="宋体" w:cs="Times New Roman"/>
          <w:color w:val="auto"/>
          <w:sz w:val="24"/>
          <w:szCs w:val="24"/>
          <w:highlight w:val="none"/>
          <w:lang w:val="en-US" w:eastAsia="zh-CN"/>
        </w:rPr>
        <w:t>本合同</w:t>
      </w:r>
      <w:r>
        <w:rPr>
          <w:rFonts w:hint="default" w:ascii="Times New Roman" w:hAnsi="Times New Roman" w:eastAsia="宋体" w:cs="Times New Roman"/>
          <w:color w:val="auto"/>
          <w:sz w:val="24"/>
          <w:szCs w:val="24"/>
          <w:highlight w:val="none"/>
        </w:rPr>
        <w:t>附件</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《总承包管理与配合服务管理要求》。若承包人未能按照《总承包管理与配合服务管理要求》履行相应义务及职责，按专用条款的约定进行处理。</w:t>
      </w:r>
    </w:p>
    <w:p>
      <w:pPr>
        <w:pStyle w:val="4"/>
        <w:numPr>
          <w:ilvl w:val="2"/>
          <w:numId w:val="5"/>
        </w:numPr>
        <w:ind w:left="777" w:hanging="777"/>
        <w:rPr>
          <w:rFonts w:hint="default" w:ascii="Times New Roman" w:hAnsi="Times New Roman" w:eastAsia="宋体" w:cs="Times New Roman"/>
          <w:color w:val="auto"/>
          <w:sz w:val="24"/>
          <w:szCs w:val="24"/>
          <w:highlight w:val="none"/>
        </w:rPr>
      </w:pPr>
      <w:r>
        <w:rPr>
          <w:rFonts w:hint="default"/>
          <w:color w:val="auto"/>
          <w:highlight w:val="none"/>
        </w:rPr>
        <w:t>总承包服务费由发包人统一向承包人支付，承包人不得向分包工程或配合工程施工单位另外收取任何总承包管理配合费。如发包人发现承包人存在向分包工程或配合工程施工单位另外收取总承包管理配合费的，按专用条款的约定进行处理。</w:t>
      </w:r>
    </w:p>
    <w:bookmarkEnd w:id="692"/>
    <w:p>
      <w:pPr>
        <w:pStyle w:val="4"/>
        <w:numPr>
          <w:ilvl w:val="1"/>
          <w:numId w:val="5"/>
        </w:numPr>
        <w:rPr>
          <w:bCs/>
          <w:color w:val="auto"/>
          <w:highlight w:val="none"/>
        </w:rPr>
      </w:pPr>
      <w:bookmarkStart w:id="693" w:name="_Toc44492502"/>
      <w:bookmarkStart w:id="694" w:name="_Toc12002"/>
      <w:bookmarkStart w:id="695" w:name="_Toc23406"/>
      <w:bookmarkStart w:id="696" w:name="_Toc32634"/>
      <w:r>
        <w:rPr>
          <w:rFonts w:hint="eastAsia"/>
          <w:bCs/>
          <w:color w:val="auto"/>
          <w:highlight w:val="none"/>
        </w:rPr>
        <w:t>预付款</w:t>
      </w:r>
      <w:bookmarkEnd w:id="693"/>
      <w:bookmarkEnd w:id="694"/>
      <w:bookmarkEnd w:id="695"/>
      <w:bookmarkEnd w:id="696"/>
    </w:p>
    <w:p>
      <w:pPr>
        <w:pStyle w:val="4"/>
        <w:numPr>
          <w:ilvl w:val="2"/>
          <w:numId w:val="5"/>
        </w:numPr>
        <w:ind w:left="777" w:hanging="777"/>
        <w:rPr>
          <w:bCs/>
          <w:color w:val="auto"/>
          <w:highlight w:val="none"/>
        </w:rPr>
      </w:pPr>
      <w:bookmarkStart w:id="697" w:name="_Toc3803"/>
      <w:r>
        <w:rPr>
          <w:rFonts w:hint="eastAsia"/>
          <w:bCs/>
          <w:color w:val="auto"/>
          <w:highlight w:val="none"/>
        </w:rPr>
        <w:t>预付款用于承包人为合同工程施工购置材料、工程设备、施工设备、修建临时设施以及组织施工队伍进场并支付劳务费用等。预付款的额度和预付办法在专用条款中约定。预付款必须专用于合同工程。</w:t>
      </w:r>
      <w:bookmarkEnd w:id="697"/>
    </w:p>
    <w:p>
      <w:pPr>
        <w:pStyle w:val="4"/>
        <w:numPr>
          <w:ilvl w:val="1"/>
          <w:numId w:val="5"/>
        </w:numPr>
        <w:rPr>
          <w:color w:val="auto"/>
          <w:highlight w:val="none"/>
        </w:rPr>
      </w:pPr>
      <w:bookmarkStart w:id="698" w:name="_Toc25174"/>
      <w:bookmarkStart w:id="699" w:name="_Toc17512"/>
      <w:bookmarkStart w:id="700" w:name="_Toc11849"/>
      <w:bookmarkStart w:id="701" w:name="_Toc44492503"/>
      <w:r>
        <w:rPr>
          <w:color w:val="auto"/>
          <w:highlight w:val="none"/>
        </w:rPr>
        <w:t>工程进度付款</w:t>
      </w:r>
      <w:bookmarkEnd w:id="698"/>
      <w:bookmarkEnd w:id="699"/>
      <w:bookmarkEnd w:id="700"/>
      <w:bookmarkEnd w:id="701"/>
    </w:p>
    <w:p>
      <w:pPr>
        <w:pStyle w:val="4"/>
        <w:numPr>
          <w:ilvl w:val="2"/>
          <w:numId w:val="5"/>
        </w:numPr>
        <w:ind w:left="777" w:hanging="777"/>
        <w:rPr>
          <w:color w:val="auto"/>
          <w:highlight w:val="none"/>
        </w:rPr>
      </w:pPr>
      <w:bookmarkStart w:id="702" w:name="_Toc702"/>
      <w:r>
        <w:rPr>
          <w:color w:val="auto"/>
          <w:highlight w:val="none"/>
        </w:rPr>
        <w:t>在确认计量结果和价款后，发包人向承包人支付工程进度款。</w:t>
      </w:r>
      <w:bookmarkEnd w:id="702"/>
    </w:p>
    <w:p>
      <w:pPr>
        <w:pStyle w:val="4"/>
        <w:numPr>
          <w:ilvl w:val="2"/>
          <w:numId w:val="5"/>
        </w:numPr>
        <w:ind w:left="777" w:hanging="777"/>
        <w:rPr>
          <w:color w:val="auto"/>
          <w:highlight w:val="none"/>
        </w:rPr>
      </w:pPr>
      <w:bookmarkStart w:id="703" w:name="_Toc23250"/>
      <w:r>
        <w:rPr>
          <w:color w:val="auto"/>
          <w:highlight w:val="none"/>
        </w:rPr>
        <w:t>工程进度款的支付时间额度和要求在专用条款中说明。</w:t>
      </w:r>
      <w:bookmarkEnd w:id="703"/>
    </w:p>
    <w:p>
      <w:pPr>
        <w:pStyle w:val="4"/>
        <w:numPr>
          <w:ilvl w:val="2"/>
          <w:numId w:val="5"/>
        </w:numPr>
        <w:ind w:left="777" w:hanging="777"/>
        <w:rPr>
          <w:color w:val="auto"/>
          <w:highlight w:val="none"/>
        </w:rPr>
      </w:pPr>
      <w:bookmarkStart w:id="704" w:name="_Toc18739"/>
      <w:r>
        <w:rPr>
          <w:color w:val="auto"/>
          <w:highlight w:val="none"/>
        </w:rPr>
        <w:t>如发包人未能按规定期限付款，则随后的60天视为宽限期。在宽限期内，承包人不得行使任何追讨的权利，且发包人无需向承包人承担逾期付款的违约责任。</w:t>
      </w:r>
      <w:bookmarkEnd w:id="704"/>
    </w:p>
    <w:p>
      <w:pPr>
        <w:pStyle w:val="4"/>
        <w:numPr>
          <w:ilvl w:val="2"/>
          <w:numId w:val="5"/>
        </w:numPr>
        <w:ind w:left="777" w:hanging="777"/>
        <w:rPr>
          <w:color w:val="auto"/>
          <w:highlight w:val="none"/>
        </w:rPr>
      </w:pPr>
      <w:bookmarkStart w:id="705" w:name="_Toc30057"/>
      <w:r>
        <w:rPr>
          <w:color w:val="auto"/>
          <w:highlight w:val="none"/>
        </w:rPr>
        <w:t>如发包人未能在宽限期结束前付款，承包人在宽限期结束后可向发包人发出要求付款的通知，发包人收到承包人通知后仍不能按要求付款，可与承包人协商签订延期付款协议，经承包人同意后可延期支付。</w:t>
      </w:r>
      <w:bookmarkEnd w:id="705"/>
    </w:p>
    <w:p>
      <w:pPr>
        <w:pStyle w:val="4"/>
        <w:numPr>
          <w:ilvl w:val="2"/>
          <w:numId w:val="5"/>
        </w:numPr>
        <w:ind w:left="777" w:hanging="777"/>
        <w:rPr>
          <w:color w:val="auto"/>
          <w:highlight w:val="none"/>
        </w:rPr>
      </w:pPr>
      <w:bookmarkStart w:id="706" w:name="_Toc14636"/>
      <w:r>
        <w:rPr>
          <w:color w:val="auto"/>
          <w:highlight w:val="none"/>
        </w:rPr>
        <w:t>进度款与质量、安全挂钩，若申报工作的质量、安全达不到验收规范要求，发包人有权暂缓支付该部分工程款，直至合格为止。</w:t>
      </w:r>
      <w:bookmarkEnd w:id="706"/>
    </w:p>
    <w:p>
      <w:pPr>
        <w:pStyle w:val="4"/>
        <w:numPr>
          <w:ilvl w:val="2"/>
          <w:numId w:val="5"/>
        </w:numPr>
        <w:ind w:left="777" w:hanging="777"/>
        <w:rPr>
          <w:color w:val="auto"/>
          <w:highlight w:val="none"/>
        </w:rPr>
      </w:pPr>
      <w:bookmarkStart w:id="707" w:name="_Toc18786"/>
      <w:r>
        <w:rPr>
          <w:color w:val="auto"/>
          <w:highlight w:val="none"/>
        </w:rPr>
        <w:t>双方确认，承包人在每月申请进度款时，均应按照政府主管部门备案要求向发包人提供当月已完工程的全部施工验收资料（包括但不限于进场材料检验、检验批验收、分部和分项验收、单位工程验收、隐蔽工程验收等），否则，发包人有权拒绝支付进度款，承包人不得据此延迟工期，由此产生的损失由承包人自行承担。</w:t>
      </w:r>
      <w:bookmarkEnd w:id="707"/>
    </w:p>
    <w:p>
      <w:pPr>
        <w:pStyle w:val="4"/>
        <w:numPr>
          <w:ilvl w:val="2"/>
          <w:numId w:val="5"/>
        </w:numPr>
        <w:ind w:left="777" w:hanging="777"/>
        <w:rPr>
          <w:color w:val="auto"/>
          <w:highlight w:val="none"/>
        </w:rPr>
      </w:pPr>
      <w:bookmarkStart w:id="708" w:name="_Toc10287"/>
      <w:r>
        <w:rPr>
          <w:color w:val="auto"/>
          <w:highlight w:val="none"/>
        </w:rPr>
        <w:t>发包人有权在付款中扣除如下任何款项：</w:t>
      </w:r>
      <w:bookmarkEnd w:id="708"/>
    </w:p>
    <w:p>
      <w:pPr>
        <w:pStyle w:val="52"/>
        <w:numPr>
          <w:ilvl w:val="0"/>
          <w:numId w:val="33"/>
        </w:numPr>
        <w:ind w:left="885" w:leftChars="250" w:hanging="360" w:hangingChars="150"/>
        <w:jc w:val="both"/>
        <w:rPr>
          <w:rFonts w:eastAsia="宋体"/>
          <w:color w:val="auto"/>
          <w:sz w:val="24"/>
          <w:szCs w:val="24"/>
          <w:highlight w:val="none"/>
        </w:rPr>
      </w:pPr>
      <w:r>
        <w:rPr>
          <w:rFonts w:eastAsia="宋体"/>
          <w:color w:val="auto"/>
          <w:sz w:val="24"/>
          <w:szCs w:val="24"/>
          <w:highlight w:val="none"/>
        </w:rPr>
        <w:t>如果承包人提供的任何材料、工程设备或完成的工作不符合合同要求，在完成修正和更换前，扣除该修正和更换所需费用；</w:t>
      </w:r>
    </w:p>
    <w:p>
      <w:pPr>
        <w:pStyle w:val="52"/>
        <w:numPr>
          <w:ilvl w:val="0"/>
          <w:numId w:val="33"/>
        </w:numPr>
        <w:ind w:left="885" w:leftChars="250" w:hanging="360" w:hangingChars="150"/>
        <w:jc w:val="both"/>
        <w:rPr>
          <w:rFonts w:eastAsia="宋体"/>
          <w:color w:val="auto"/>
          <w:sz w:val="24"/>
          <w:szCs w:val="24"/>
          <w:highlight w:val="none"/>
        </w:rPr>
      </w:pPr>
      <w:r>
        <w:rPr>
          <w:rFonts w:eastAsia="宋体"/>
          <w:color w:val="auto"/>
          <w:sz w:val="24"/>
          <w:szCs w:val="24"/>
          <w:highlight w:val="none"/>
        </w:rPr>
        <w:t>如果承包人未能按照合同要求履行任何工作或义务，在该项工作或义务完成前，扣除该工作或义务的价值；</w:t>
      </w:r>
    </w:p>
    <w:p>
      <w:pPr>
        <w:pStyle w:val="52"/>
        <w:numPr>
          <w:ilvl w:val="0"/>
          <w:numId w:val="33"/>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承包人按照本合同约定应承担的任何违约责任或发包人可扣留的任何款项。</w:t>
      </w:r>
    </w:p>
    <w:p>
      <w:pPr>
        <w:pStyle w:val="4"/>
        <w:numPr>
          <w:ilvl w:val="2"/>
          <w:numId w:val="5"/>
        </w:numPr>
        <w:ind w:left="777" w:hanging="777"/>
        <w:rPr>
          <w:color w:val="auto"/>
          <w:highlight w:val="none"/>
        </w:rPr>
      </w:pPr>
      <w:bookmarkStart w:id="709" w:name="_Toc14247"/>
      <w:r>
        <w:rPr>
          <w:color w:val="auto"/>
          <w:highlight w:val="none"/>
        </w:rPr>
        <w:t>施工期内为付款而对工程量的核实，纯粹作为付款用。不能视为工程已验收合格的依据，亦不得视为对结算工程量的最终确认。</w:t>
      </w:r>
      <w:bookmarkEnd w:id="709"/>
    </w:p>
    <w:p>
      <w:pPr>
        <w:pStyle w:val="4"/>
        <w:numPr>
          <w:ilvl w:val="2"/>
          <w:numId w:val="5"/>
        </w:numPr>
        <w:ind w:left="777" w:hanging="777"/>
        <w:rPr>
          <w:color w:val="auto"/>
          <w:highlight w:val="none"/>
        </w:rPr>
      </w:pPr>
      <w:bookmarkStart w:id="710" w:name="_Toc14104"/>
      <w:r>
        <w:rPr>
          <w:color w:val="auto"/>
          <w:highlight w:val="none"/>
        </w:rPr>
        <w:t>发票的要求在专用条款里写明。</w:t>
      </w:r>
      <w:bookmarkEnd w:id="710"/>
    </w:p>
    <w:p>
      <w:pPr>
        <w:pStyle w:val="4"/>
        <w:numPr>
          <w:ilvl w:val="1"/>
          <w:numId w:val="5"/>
        </w:numPr>
        <w:rPr>
          <w:color w:val="auto"/>
          <w:highlight w:val="none"/>
        </w:rPr>
      </w:pPr>
      <w:bookmarkStart w:id="711" w:name="_Toc21331"/>
      <w:bookmarkStart w:id="712" w:name="_Toc31125"/>
      <w:bookmarkStart w:id="713" w:name="_Toc44492504"/>
      <w:bookmarkStart w:id="714" w:name="_Toc23279"/>
      <w:r>
        <w:rPr>
          <w:color w:val="auto"/>
          <w:highlight w:val="none"/>
        </w:rPr>
        <w:t>质量保证金</w:t>
      </w:r>
      <w:bookmarkEnd w:id="711"/>
      <w:bookmarkEnd w:id="712"/>
      <w:bookmarkEnd w:id="713"/>
      <w:bookmarkEnd w:id="714"/>
    </w:p>
    <w:p>
      <w:pPr>
        <w:pStyle w:val="4"/>
        <w:numPr>
          <w:ilvl w:val="2"/>
          <w:numId w:val="5"/>
        </w:numPr>
        <w:ind w:left="777" w:hanging="777"/>
        <w:rPr>
          <w:color w:val="auto"/>
          <w:highlight w:val="none"/>
        </w:rPr>
      </w:pPr>
      <w:bookmarkStart w:id="715" w:name="_Toc17882"/>
      <w:r>
        <w:rPr>
          <w:color w:val="auto"/>
          <w:highlight w:val="none"/>
        </w:rPr>
        <w:t>质量保证金的返还按照专用条款的约定执行。</w:t>
      </w:r>
      <w:bookmarkEnd w:id="715"/>
    </w:p>
    <w:p>
      <w:pPr>
        <w:pStyle w:val="4"/>
        <w:numPr>
          <w:ilvl w:val="2"/>
          <w:numId w:val="5"/>
        </w:numPr>
        <w:ind w:left="777" w:hanging="777"/>
        <w:rPr>
          <w:color w:val="auto"/>
          <w:highlight w:val="none"/>
        </w:rPr>
      </w:pPr>
      <w:bookmarkStart w:id="716" w:name="_Toc2805"/>
      <w:r>
        <w:rPr>
          <w:color w:val="auto"/>
          <w:highlight w:val="none"/>
        </w:rPr>
        <w:t>在缺陷责任期满时，承包人没有完成保修责任的，发包人有权扣留与未履行责任剩余工作所需金额相应的质量保证金余额，并有权要求延长缺陷责任期，直至完成剩余工作为止。</w:t>
      </w:r>
      <w:bookmarkEnd w:id="716"/>
      <w:r>
        <w:rPr>
          <w:color w:val="auto"/>
          <w:highlight w:val="none"/>
        </w:rPr>
        <w:t xml:space="preserve"> </w:t>
      </w:r>
    </w:p>
    <w:p>
      <w:pPr>
        <w:pStyle w:val="4"/>
        <w:numPr>
          <w:ilvl w:val="1"/>
          <w:numId w:val="5"/>
        </w:numPr>
        <w:rPr>
          <w:color w:val="auto"/>
          <w:highlight w:val="none"/>
        </w:rPr>
      </w:pPr>
      <w:bookmarkStart w:id="717" w:name="_Toc25400"/>
      <w:bookmarkStart w:id="718" w:name="_Toc14150"/>
      <w:bookmarkStart w:id="719" w:name="_Toc44492505"/>
      <w:bookmarkStart w:id="720" w:name="_Toc20089"/>
      <w:r>
        <w:rPr>
          <w:color w:val="auto"/>
          <w:highlight w:val="none"/>
        </w:rPr>
        <w:t>竣工结算</w:t>
      </w:r>
      <w:bookmarkEnd w:id="717"/>
      <w:bookmarkEnd w:id="718"/>
      <w:bookmarkEnd w:id="719"/>
      <w:bookmarkEnd w:id="720"/>
    </w:p>
    <w:p>
      <w:pPr>
        <w:pStyle w:val="4"/>
        <w:numPr>
          <w:ilvl w:val="2"/>
          <w:numId w:val="5"/>
        </w:numPr>
        <w:ind w:left="777" w:hanging="777"/>
        <w:rPr>
          <w:color w:val="auto"/>
          <w:highlight w:val="none"/>
        </w:rPr>
      </w:pPr>
      <w:bookmarkStart w:id="721" w:name="_Toc7711"/>
      <w:r>
        <w:rPr>
          <w:color w:val="auto"/>
          <w:highlight w:val="none"/>
        </w:rPr>
        <w:t>竣工验收合格后28天内，承包人向发包人递交结算书及相关文件。若发包人要求承包人提交其他数据，承包人需加以配合提供。结算书及相关资料内容在专用条款中明确。</w:t>
      </w:r>
      <w:bookmarkEnd w:id="721"/>
    </w:p>
    <w:p>
      <w:pPr>
        <w:pStyle w:val="4"/>
        <w:numPr>
          <w:ilvl w:val="2"/>
          <w:numId w:val="5"/>
        </w:numPr>
        <w:ind w:left="777" w:hanging="777"/>
        <w:rPr>
          <w:color w:val="auto"/>
          <w:highlight w:val="none"/>
        </w:rPr>
      </w:pPr>
      <w:bookmarkStart w:id="722" w:name="_Toc10379"/>
      <w:r>
        <w:rPr>
          <w:color w:val="auto"/>
          <w:highlight w:val="none"/>
        </w:rPr>
        <w:t>发包人在收到承包人提交的结算书及一切所需相关资料后，按专用条款约定的结算期限，进行工程竣工结算。</w:t>
      </w:r>
      <w:bookmarkEnd w:id="722"/>
    </w:p>
    <w:p>
      <w:pPr>
        <w:pStyle w:val="4"/>
        <w:numPr>
          <w:ilvl w:val="2"/>
          <w:numId w:val="5"/>
        </w:numPr>
        <w:ind w:left="777" w:hanging="777"/>
        <w:rPr>
          <w:color w:val="auto"/>
          <w:highlight w:val="none"/>
        </w:rPr>
      </w:pPr>
      <w:bookmarkStart w:id="723" w:name="_Toc512"/>
      <w:r>
        <w:rPr>
          <w:color w:val="auto"/>
          <w:highlight w:val="none"/>
        </w:rPr>
        <w:t>承包人提交的结算书必须是完整的，发包人在结算审价过程中，承包人无权利提出任何补充结算资料（图纸、签证变更单、价格凭证等）的要求，结算书中若有结算遗漏项目的均由承包人自行承担。</w:t>
      </w:r>
      <w:bookmarkEnd w:id="723"/>
    </w:p>
    <w:p>
      <w:pPr>
        <w:pStyle w:val="4"/>
        <w:numPr>
          <w:ilvl w:val="2"/>
          <w:numId w:val="5"/>
        </w:numPr>
        <w:ind w:left="777" w:hanging="777"/>
        <w:rPr>
          <w:color w:val="auto"/>
          <w:highlight w:val="none"/>
        </w:rPr>
      </w:pPr>
      <w:bookmarkStart w:id="724" w:name="_Toc31861"/>
      <w:r>
        <w:rPr>
          <w:color w:val="auto"/>
          <w:highlight w:val="none"/>
        </w:rPr>
        <w:t>承包人提交的结算书应包括承包人认为其有权获得的全部工程价款、赔偿、补偿及其他任何金额。任何未在竣工结算报告中载明的项目，视为发包人无须支付，及承包人放弃了要求发包人支付的权利（如有）。</w:t>
      </w:r>
      <w:bookmarkEnd w:id="724"/>
    </w:p>
    <w:p>
      <w:pPr>
        <w:pStyle w:val="4"/>
        <w:numPr>
          <w:ilvl w:val="2"/>
          <w:numId w:val="5"/>
        </w:numPr>
        <w:ind w:left="777" w:hanging="777"/>
        <w:rPr>
          <w:bCs/>
          <w:color w:val="auto"/>
          <w:highlight w:val="none"/>
        </w:rPr>
      </w:pPr>
      <w:bookmarkStart w:id="725" w:name="_Toc32522"/>
      <w:r>
        <w:rPr>
          <w:rFonts w:hint="eastAsia"/>
          <w:bCs/>
          <w:color w:val="auto"/>
          <w:highlight w:val="none"/>
        </w:rPr>
        <w:t>发包人收到承包人的结算书后，除非发包人以书面形式表示认可或接受，否则发包人的任何作为与不作为（包括要求承包人补充资料、不同意的表示、质疑、要求协商的会议、要求签订与承包人提出的报告不一致的协议或备忘录等）均视为对承包人结算书的不认可。</w:t>
      </w:r>
      <w:bookmarkEnd w:id="725"/>
    </w:p>
    <w:p>
      <w:pPr>
        <w:pStyle w:val="4"/>
        <w:numPr>
          <w:ilvl w:val="2"/>
          <w:numId w:val="5"/>
        </w:numPr>
        <w:ind w:left="777" w:hanging="777"/>
        <w:rPr>
          <w:color w:val="auto"/>
          <w:highlight w:val="none"/>
        </w:rPr>
      </w:pPr>
      <w:bookmarkStart w:id="726" w:name="_Toc6302"/>
      <w:r>
        <w:rPr>
          <w:rFonts w:hint="eastAsia"/>
          <w:bCs/>
          <w:color w:val="auto"/>
          <w:highlight w:val="none"/>
        </w:rPr>
        <w:t>结算书经发包人内部审计</w:t>
      </w:r>
      <w:r>
        <w:rPr>
          <w:bCs/>
          <w:color w:val="auto"/>
          <w:highlight w:val="none"/>
        </w:rPr>
        <w:t>并</w:t>
      </w:r>
      <w:r>
        <w:rPr>
          <w:color w:val="auto"/>
          <w:highlight w:val="none"/>
        </w:rPr>
        <w:t>与承包人双方确认后的价款被认为是本工程的全部工程总价，本合同任何需要调整工程总价的因素均已获考虑，不得做任何调整。</w:t>
      </w:r>
      <w:bookmarkEnd w:id="726"/>
    </w:p>
    <w:p>
      <w:pPr>
        <w:pStyle w:val="4"/>
        <w:numPr>
          <w:ilvl w:val="2"/>
          <w:numId w:val="5"/>
        </w:numPr>
        <w:ind w:left="777" w:hanging="777"/>
        <w:rPr>
          <w:color w:val="auto"/>
          <w:highlight w:val="none"/>
        </w:rPr>
      </w:pPr>
      <w:bookmarkStart w:id="727" w:name="_Toc16982"/>
      <w:r>
        <w:rPr>
          <w:color w:val="auto"/>
          <w:highlight w:val="none"/>
        </w:rPr>
        <w:t>对工程结算的其他约定在专用条款中写明。</w:t>
      </w:r>
      <w:bookmarkEnd w:id="727"/>
    </w:p>
    <w:p>
      <w:pPr>
        <w:pStyle w:val="4"/>
        <w:numPr>
          <w:ilvl w:val="0"/>
          <w:numId w:val="5"/>
        </w:numPr>
        <w:rPr>
          <w:color w:val="auto"/>
          <w:highlight w:val="none"/>
        </w:rPr>
      </w:pPr>
      <w:bookmarkStart w:id="728" w:name="_Toc47512248"/>
      <w:bookmarkStart w:id="729" w:name="_Toc44227999"/>
      <w:bookmarkStart w:id="730" w:name="_Toc20641"/>
      <w:bookmarkStart w:id="731" w:name="_Toc27445"/>
      <w:bookmarkStart w:id="732" w:name="_Toc26963"/>
      <w:bookmarkStart w:id="733" w:name="_Toc44492506"/>
      <w:bookmarkStart w:id="734" w:name="_Toc6801"/>
      <w:bookmarkStart w:id="735" w:name="_Toc4738"/>
      <w:bookmarkStart w:id="736" w:name="_Toc407356011"/>
      <w:bookmarkStart w:id="737" w:name="_Toc20645"/>
      <w:r>
        <w:rPr>
          <w:color w:val="auto"/>
          <w:highlight w:val="none"/>
        </w:rPr>
        <w:t>竣工验收</w:t>
      </w:r>
      <w:bookmarkEnd w:id="728"/>
      <w:bookmarkEnd w:id="729"/>
      <w:bookmarkEnd w:id="730"/>
      <w:bookmarkEnd w:id="731"/>
      <w:bookmarkEnd w:id="732"/>
      <w:bookmarkEnd w:id="733"/>
      <w:bookmarkEnd w:id="734"/>
      <w:bookmarkEnd w:id="735"/>
      <w:bookmarkEnd w:id="736"/>
      <w:bookmarkEnd w:id="737"/>
    </w:p>
    <w:p>
      <w:pPr>
        <w:pStyle w:val="4"/>
        <w:numPr>
          <w:ilvl w:val="1"/>
          <w:numId w:val="5"/>
        </w:numPr>
        <w:rPr>
          <w:color w:val="auto"/>
          <w:highlight w:val="none"/>
        </w:rPr>
      </w:pPr>
      <w:bookmarkStart w:id="738" w:name="_Toc14925"/>
      <w:bookmarkStart w:id="739" w:name="_Toc26612"/>
      <w:bookmarkStart w:id="740" w:name="_Toc44492507"/>
      <w:bookmarkStart w:id="741" w:name="_Toc2720"/>
      <w:r>
        <w:rPr>
          <w:color w:val="auto"/>
          <w:highlight w:val="none"/>
        </w:rPr>
        <w:t>竣工验收的含义</w:t>
      </w:r>
      <w:bookmarkEnd w:id="738"/>
      <w:bookmarkEnd w:id="739"/>
      <w:bookmarkEnd w:id="740"/>
      <w:bookmarkEnd w:id="741"/>
    </w:p>
    <w:p>
      <w:pPr>
        <w:pStyle w:val="4"/>
        <w:numPr>
          <w:ilvl w:val="2"/>
          <w:numId w:val="5"/>
        </w:numPr>
        <w:ind w:left="777" w:hanging="777"/>
        <w:rPr>
          <w:color w:val="auto"/>
          <w:highlight w:val="none"/>
        </w:rPr>
      </w:pPr>
      <w:bookmarkStart w:id="742" w:name="_Toc19431"/>
      <w:r>
        <w:rPr>
          <w:color w:val="auto"/>
          <w:highlight w:val="none"/>
        </w:rPr>
        <w:t>竣工验收指承包人完成了全部合同工作后，发包人按合同要求进行的验收。</w:t>
      </w:r>
      <w:bookmarkEnd w:id="742"/>
    </w:p>
    <w:p>
      <w:pPr>
        <w:pStyle w:val="4"/>
        <w:numPr>
          <w:ilvl w:val="2"/>
          <w:numId w:val="5"/>
        </w:numPr>
        <w:ind w:left="777" w:hanging="777"/>
        <w:rPr>
          <w:color w:val="auto"/>
          <w:highlight w:val="none"/>
        </w:rPr>
      </w:pPr>
      <w:bookmarkStart w:id="743" w:name="_Toc4261"/>
      <w:r>
        <w:rPr>
          <w:color w:val="auto"/>
          <w:highlight w:val="none"/>
        </w:rPr>
        <w:t>竣工验收所采用的各项验收和评定标准应符合国家验收标准。发包人和承包人为工程验收提供的各项工程验收资料应符合国家验收的要求。</w:t>
      </w:r>
      <w:bookmarkEnd w:id="743"/>
      <w:r>
        <w:rPr>
          <w:color w:val="auto"/>
          <w:highlight w:val="none"/>
        </w:rPr>
        <w:t xml:space="preserve"> </w:t>
      </w:r>
    </w:p>
    <w:p>
      <w:pPr>
        <w:pStyle w:val="4"/>
        <w:numPr>
          <w:ilvl w:val="1"/>
          <w:numId w:val="5"/>
        </w:numPr>
        <w:rPr>
          <w:color w:val="auto"/>
          <w:highlight w:val="none"/>
        </w:rPr>
      </w:pPr>
      <w:bookmarkStart w:id="744" w:name="_Toc44492508"/>
      <w:bookmarkStart w:id="745" w:name="_Toc20054"/>
      <w:bookmarkStart w:id="746" w:name="_Toc13959"/>
      <w:bookmarkStart w:id="747" w:name="_Toc22618"/>
      <w:r>
        <w:rPr>
          <w:color w:val="auto"/>
          <w:highlight w:val="none"/>
        </w:rPr>
        <w:t>竣工验收申请</w:t>
      </w:r>
      <w:bookmarkEnd w:id="744"/>
      <w:bookmarkEnd w:id="745"/>
      <w:bookmarkEnd w:id="746"/>
      <w:bookmarkEnd w:id="747"/>
    </w:p>
    <w:p>
      <w:pPr>
        <w:pStyle w:val="4"/>
        <w:numPr>
          <w:ilvl w:val="2"/>
          <w:numId w:val="5"/>
        </w:numPr>
        <w:ind w:left="777" w:hanging="777"/>
        <w:rPr>
          <w:bCs/>
          <w:color w:val="auto"/>
          <w:highlight w:val="none"/>
        </w:rPr>
      </w:pPr>
      <w:bookmarkStart w:id="748" w:name="_Toc18529"/>
      <w:r>
        <w:rPr>
          <w:rFonts w:hint="eastAsia"/>
          <w:bCs/>
          <w:color w:val="auto"/>
          <w:highlight w:val="none"/>
        </w:rPr>
        <w:t>当工程同时具备以下条件时</w:t>
      </w:r>
      <w:r>
        <w:rPr>
          <w:bCs/>
          <w:color w:val="auto"/>
          <w:highlight w:val="none"/>
        </w:rPr>
        <w:t>，承包人即可向</w:t>
      </w:r>
      <w:r>
        <w:rPr>
          <w:rFonts w:hint="eastAsia"/>
          <w:bCs/>
          <w:color w:val="auto"/>
          <w:highlight w:val="none"/>
          <w:lang w:eastAsia="zh-CN"/>
        </w:rPr>
        <w:t>发包人</w:t>
      </w:r>
      <w:r>
        <w:rPr>
          <w:bCs/>
          <w:color w:val="auto"/>
          <w:highlight w:val="none"/>
        </w:rPr>
        <w:t>报送竣工验收申请：</w:t>
      </w:r>
      <w:bookmarkEnd w:id="748"/>
    </w:p>
    <w:p>
      <w:pPr>
        <w:pStyle w:val="52"/>
        <w:numPr>
          <w:ilvl w:val="0"/>
          <w:numId w:val="34"/>
        </w:numPr>
        <w:ind w:left="885" w:leftChars="250" w:hanging="360" w:hangingChars="150"/>
        <w:jc w:val="both"/>
        <w:rPr>
          <w:rFonts w:eastAsia="宋体"/>
          <w:color w:val="auto"/>
          <w:sz w:val="24"/>
          <w:szCs w:val="24"/>
          <w:highlight w:val="none"/>
        </w:rPr>
      </w:pPr>
      <w:r>
        <w:rPr>
          <w:rFonts w:eastAsia="宋体"/>
          <w:color w:val="auto"/>
          <w:sz w:val="24"/>
          <w:szCs w:val="24"/>
          <w:highlight w:val="none"/>
        </w:rPr>
        <w:t>除</w:t>
      </w:r>
      <w:r>
        <w:rPr>
          <w:rFonts w:hint="eastAsia" w:eastAsia="宋体"/>
          <w:color w:val="auto"/>
          <w:sz w:val="24"/>
          <w:szCs w:val="24"/>
          <w:highlight w:val="none"/>
          <w:lang w:eastAsia="zh-CN"/>
        </w:rPr>
        <w:t>发包人</w:t>
      </w:r>
      <w:r>
        <w:rPr>
          <w:rFonts w:eastAsia="宋体"/>
          <w:color w:val="auto"/>
          <w:sz w:val="24"/>
          <w:szCs w:val="24"/>
          <w:highlight w:val="none"/>
        </w:rPr>
        <w:t>同意列入缺陷责任期内完成的尾工（甩项）工程和缺陷修补工作外，合同范围内的全部单位工程以及有关工作，包括合同要求的试验、试运行以及检验和验收均已完成，并符合合同要求；</w:t>
      </w:r>
    </w:p>
    <w:p>
      <w:pPr>
        <w:pStyle w:val="52"/>
        <w:numPr>
          <w:ilvl w:val="0"/>
          <w:numId w:val="34"/>
        </w:numPr>
        <w:ind w:left="885" w:leftChars="250" w:hanging="360" w:hangingChars="150"/>
        <w:jc w:val="both"/>
        <w:rPr>
          <w:rFonts w:eastAsia="宋体"/>
          <w:color w:val="auto"/>
          <w:sz w:val="24"/>
          <w:szCs w:val="24"/>
          <w:highlight w:val="none"/>
        </w:rPr>
      </w:pPr>
      <w:r>
        <w:rPr>
          <w:rFonts w:eastAsia="宋体"/>
          <w:color w:val="auto"/>
          <w:sz w:val="24"/>
          <w:szCs w:val="24"/>
          <w:highlight w:val="none"/>
        </w:rPr>
        <w:t xml:space="preserve">已按合同约定的内容和份数备齐了符合要求的工程资料； </w:t>
      </w:r>
    </w:p>
    <w:p>
      <w:pPr>
        <w:pStyle w:val="52"/>
        <w:numPr>
          <w:ilvl w:val="0"/>
          <w:numId w:val="34"/>
        </w:numPr>
        <w:ind w:left="885" w:leftChars="250" w:hanging="360" w:hangingChars="150"/>
        <w:jc w:val="both"/>
        <w:rPr>
          <w:rFonts w:eastAsia="宋体"/>
          <w:color w:val="auto"/>
          <w:sz w:val="24"/>
          <w:szCs w:val="24"/>
          <w:highlight w:val="none"/>
        </w:rPr>
      </w:pPr>
      <w:r>
        <w:rPr>
          <w:rFonts w:eastAsia="宋体"/>
          <w:color w:val="auto"/>
          <w:sz w:val="24"/>
          <w:szCs w:val="24"/>
          <w:highlight w:val="none"/>
        </w:rPr>
        <w:t>已按</w:t>
      </w:r>
      <w:r>
        <w:rPr>
          <w:rFonts w:hint="eastAsia" w:eastAsia="宋体"/>
          <w:color w:val="auto"/>
          <w:sz w:val="24"/>
          <w:szCs w:val="24"/>
          <w:highlight w:val="none"/>
          <w:lang w:eastAsia="zh-CN"/>
        </w:rPr>
        <w:t>发包人</w:t>
      </w:r>
      <w:r>
        <w:rPr>
          <w:rFonts w:eastAsia="宋体"/>
          <w:color w:val="auto"/>
          <w:sz w:val="24"/>
          <w:szCs w:val="24"/>
          <w:highlight w:val="none"/>
        </w:rPr>
        <w:t>的要求编制了在缺陷责任期内完成的尾工（甩项）工程和缺陷修补工作清单以及相应施工计划；</w:t>
      </w:r>
    </w:p>
    <w:p>
      <w:pPr>
        <w:pStyle w:val="52"/>
        <w:numPr>
          <w:ilvl w:val="0"/>
          <w:numId w:val="34"/>
        </w:numPr>
        <w:ind w:left="885" w:leftChars="250" w:hanging="360" w:hangingChars="150"/>
        <w:jc w:val="both"/>
        <w:rPr>
          <w:rFonts w:eastAsia="宋体"/>
          <w:color w:val="auto"/>
          <w:sz w:val="24"/>
          <w:szCs w:val="24"/>
          <w:highlight w:val="none"/>
        </w:rPr>
      </w:pPr>
      <w:r>
        <w:rPr>
          <w:rFonts w:eastAsia="宋体"/>
          <w:color w:val="auto"/>
          <w:sz w:val="24"/>
          <w:szCs w:val="24"/>
          <w:highlight w:val="none"/>
        </w:rPr>
        <w:t>已完成</w:t>
      </w:r>
      <w:r>
        <w:rPr>
          <w:rFonts w:hint="eastAsia" w:eastAsia="宋体"/>
          <w:color w:val="auto"/>
          <w:sz w:val="24"/>
          <w:szCs w:val="24"/>
          <w:highlight w:val="none"/>
          <w:lang w:eastAsia="zh-CN"/>
        </w:rPr>
        <w:t>发包人</w:t>
      </w:r>
      <w:r>
        <w:rPr>
          <w:rFonts w:eastAsia="宋体"/>
          <w:color w:val="auto"/>
          <w:sz w:val="24"/>
          <w:szCs w:val="24"/>
          <w:highlight w:val="none"/>
        </w:rPr>
        <w:t>要求在竣工验收前应完成的其他工作；</w:t>
      </w:r>
    </w:p>
    <w:p>
      <w:pPr>
        <w:pStyle w:val="52"/>
        <w:numPr>
          <w:ilvl w:val="0"/>
          <w:numId w:val="34"/>
        </w:numPr>
        <w:ind w:left="885" w:leftChars="250" w:hanging="360" w:hangingChars="150"/>
        <w:jc w:val="both"/>
        <w:rPr>
          <w:rFonts w:eastAsia="宋体"/>
          <w:color w:val="auto"/>
          <w:sz w:val="24"/>
          <w:szCs w:val="24"/>
          <w:highlight w:val="none"/>
        </w:rPr>
      </w:pPr>
      <w:r>
        <w:rPr>
          <w:rFonts w:eastAsia="宋体"/>
          <w:color w:val="auto"/>
          <w:sz w:val="24"/>
          <w:szCs w:val="24"/>
          <w:highlight w:val="none"/>
        </w:rPr>
        <w:t>已备妥</w:t>
      </w:r>
      <w:r>
        <w:rPr>
          <w:rFonts w:hint="eastAsia" w:eastAsia="宋体"/>
          <w:color w:val="auto"/>
          <w:sz w:val="24"/>
          <w:szCs w:val="24"/>
          <w:highlight w:val="none"/>
          <w:lang w:eastAsia="zh-CN"/>
        </w:rPr>
        <w:t>发包人</w:t>
      </w:r>
      <w:r>
        <w:rPr>
          <w:rFonts w:eastAsia="宋体"/>
          <w:color w:val="auto"/>
          <w:sz w:val="24"/>
          <w:szCs w:val="24"/>
          <w:highlight w:val="none"/>
        </w:rPr>
        <w:t>要求提交的竣工验收资料清单中的全部资料。</w:t>
      </w:r>
    </w:p>
    <w:p>
      <w:pPr>
        <w:pStyle w:val="4"/>
        <w:numPr>
          <w:ilvl w:val="1"/>
          <w:numId w:val="5"/>
        </w:numPr>
        <w:rPr>
          <w:color w:val="auto"/>
          <w:highlight w:val="none"/>
        </w:rPr>
      </w:pPr>
      <w:bookmarkStart w:id="749" w:name="_Toc18116"/>
      <w:bookmarkStart w:id="750" w:name="_Toc44492509"/>
      <w:bookmarkStart w:id="751" w:name="_Toc18439"/>
      <w:bookmarkStart w:id="752" w:name="_Toc1265"/>
      <w:r>
        <w:rPr>
          <w:color w:val="auto"/>
          <w:highlight w:val="none"/>
        </w:rPr>
        <w:t>验收</w:t>
      </w:r>
      <w:bookmarkEnd w:id="749"/>
      <w:bookmarkEnd w:id="750"/>
      <w:bookmarkEnd w:id="751"/>
      <w:bookmarkEnd w:id="752"/>
    </w:p>
    <w:p>
      <w:pPr>
        <w:pStyle w:val="4"/>
        <w:numPr>
          <w:ilvl w:val="2"/>
          <w:numId w:val="5"/>
        </w:numPr>
        <w:ind w:left="777" w:hanging="777"/>
        <w:rPr>
          <w:color w:val="auto"/>
          <w:highlight w:val="none"/>
        </w:rPr>
      </w:pPr>
      <w:bookmarkStart w:id="753" w:name="_Toc10841"/>
      <w:r>
        <w:rPr>
          <w:rFonts w:hint="eastAsia"/>
          <w:color w:val="auto"/>
          <w:highlight w:val="none"/>
          <w:lang w:eastAsia="zh-CN"/>
        </w:rPr>
        <w:t>发包人</w:t>
      </w:r>
      <w:r>
        <w:rPr>
          <w:color w:val="auto"/>
          <w:highlight w:val="none"/>
        </w:rPr>
        <w:t>收到承包人提交的竣工验收申请报告后，应审查申请报告的各项内容，并按以下不同情况进行处理。</w:t>
      </w:r>
      <w:bookmarkEnd w:id="753"/>
    </w:p>
    <w:p>
      <w:pPr>
        <w:pStyle w:val="52"/>
        <w:numPr>
          <w:ilvl w:val="0"/>
          <w:numId w:val="35"/>
        </w:numPr>
        <w:ind w:left="885" w:leftChars="250" w:hanging="360" w:hangingChars="150"/>
        <w:jc w:val="both"/>
        <w:rPr>
          <w:rFonts w:eastAsia="宋体"/>
          <w:color w:val="auto"/>
          <w:sz w:val="24"/>
          <w:szCs w:val="24"/>
          <w:highlight w:val="none"/>
        </w:rPr>
      </w:pPr>
      <w:r>
        <w:rPr>
          <w:rFonts w:hint="eastAsia" w:eastAsia="宋体"/>
          <w:color w:val="auto"/>
          <w:sz w:val="24"/>
          <w:szCs w:val="24"/>
          <w:highlight w:val="none"/>
          <w:lang w:eastAsia="zh-CN"/>
        </w:rPr>
        <w:t>发包人</w:t>
      </w:r>
      <w:r>
        <w:rPr>
          <w:rFonts w:eastAsia="宋体"/>
          <w:color w:val="auto"/>
          <w:sz w:val="24"/>
          <w:szCs w:val="24"/>
          <w:highlight w:val="none"/>
        </w:rPr>
        <w:t>审查后认为尚不具备工程验收条件的，应在收到竣工验收申请报告后的28天内通知承包人，指出在竣工验收前承包人还需进行的工作内容。承包人完成</w:t>
      </w:r>
      <w:r>
        <w:rPr>
          <w:rFonts w:hint="eastAsia" w:eastAsia="宋体"/>
          <w:color w:val="auto"/>
          <w:sz w:val="24"/>
          <w:szCs w:val="24"/>
          <w:highlight w:val="none"/>
          <w:lang w:eastAsia="zh-CN"/>
        </w:rPr>
        <w:t>发包人</w:t>
      </w:r>
      <w:r>
        <w:rPr>
          <w:rFonts w:eastAsia="宋体"/>
          <w:color w:val="auto"/>
          <w:sz w:val="24"/>
          <w:szCs w:val="24"/>
          <w:highlight w:val="none"/>
        </w:rPr>
        <w:t>通知的全部工作内容后，应再次提交竣工验收申请报告，直至</w:t>
      </w:r>
      <w:r>
        <w:rPr>
          <w:rFonts w:hint="eastAsia" w:eastAsia="宋体"/>
          <w:color w:val="auto"/>
          <w:sz w:val="24"/>
          <w:szCs w:val="24"/>
          <w:highlight w:val="none"/>
          <w:lang w:eastAsia="zh-CN"/>
        </w:rPr>
        <w:t>发包人</w:t>
      </w:r>
      <w:r>
        <w:rPr>
          <w:rFonts w:eastAsia="宋体"/>
          <w:color w:val="auto"/>
          <w:sz w:val="24"/>
          <w:szCs w:val="24"/>
          <w:highlight w:val="none"/>
        </w:rPr>
        <w:t>同意为止。</w:t>
      </w:r>
    </w:p>
    <w:p>
      <w:pPr>
        <w:pStyle w:val="52"/>
        <w:numPr>
          <w:ilvl w:val="0"/>
          <w:numId w:val="35"/>
        </w:numPr>
        <w:ind w:left="885" w:leftChars="250" w:hanging="360" w:hangingChars="150"/>
        <w:jc w:val="both"/>
        <w:rPr>
          <w:rFonts w:eastAsia="宋体"/>
          <w:color w:val="auto"/>
          <w:sz w:val="24"/>
          <w:szCs w:val="24"/>
          <w:highlight w:val="none"/>
        </w:rPr>
      </w:pPr>
      <w:r>
        <w:rPr>
          <w:rFonts w:hint="eastAsia" w:eastAsia="宋体" w:cs="Times New Roman"/>
          <w:color w:val="auto"/>
          <w:sz w:val="24"/>
          <w:szCs w:val="24"/>
          <w:highlight w:val="none"/>
          <w:lang w:eastAsia="zh-CN"/>
        </w:rPr>
        <w:t>发包人</w:t>
      </w:r>
      <w:r>
        <w:rPr>
          <w:rFonts w:hint="default" w:eastAsia="宋体" w:cs="Times New Roman"/>
          <w:color w:val="auto"/>
          <w:sz w:val="24"/>
          <w:szCs w:val="24"/>
          <w:highlight w:val="none"/>
        </w:rPr>
        <w:t>审查后认为已具备竣工验收条件的，应在收到承包人最后一次提交的竣工验收申请报告后的28天内提请发包人组织参建单位进行整体工程竣工验收（包含当地行政主管部门竣工备案要求的专业承包工程）</w:t>
      </w:r>
      <w:r>
        <w:rPr>
          <w:rFonts w:eastAsia="宋体"/>
          <w:color w:val="auto"/>
          <w:sz w:val="24"/>
          <w:szCs w:val="24"/>
          <w:highlight w:val="none"/>
        </w:rPr>
        <w:t>。</w:t>
      </w:r>
    </w:p>
    <w:p>
      <w:pPr>
        <w:pStyle w:val="4"/>
        <w:numPr>
          <w:ilvl w:val="2"/>
          <w:numId w:val="5"/>
        </w:numPr>
        <w:ind w:left="777" w:hanging="777"/>
        <w:rPr>
          <w:rFonts w:hint="default" w:cs="Times New Roman"/>
          <w:color w:val="auto"/>
          <w:highlight w:val="none"/>
        </w:rPr>
      </w:pPr>
      <w:bookmarkStart w:id="754" w:name="_Toc11846"/>
      <w:r>
        <w:rPr>
          <w:rFonts w:hint="default" w:cs="Times New Roman"/>
          <w:color w:val="auto"/>
          <w:highlight w:val="none"/>
        </w:rPr>
        <w:t>发包人经过验收后同意接受工程的，</w:t>
      </w:r>
      <w:r>
        <w:rPr>
          <w:rFonts w:hint="eastAsia" w:cs="Times New Roman"/>
          <w:color w:val="auto"/>
          <w:highlight w:val="none"/>
          <w:lang w:eastAsia="zh-CN"/>
        </w:rPr>
        <w:t>发包人</w:t>
      </w:r>
      <w:r>
        <w:rPr>
          <w:rFonts w:hint="default" w:cs="Times New Roman"/>
          <w:color w:val="auto"/>
          <w:highlight w:val="none"/>
        </w:rPr>
        <w:t>、承包人及其他参建单位（如设计人、勘察人等）共同书面确认通过竣工验收合格的证明文件，整体工程竣工验收通过且合格日期即为实际竣工验收合格日期。</w:t>
      </w:r>
    </w:p>
    <w:p>
      <w:pPr>
        <w:spacing w:line="360" w:lineRule="auto"/>
        <w:ind w:left="735" w:leftChars="350" w:firstLine="0" w:firstLineChars="0"/>
        <w:rPr>
          <w:color w:val="auto"/>
          <w:highlight w:val="none"/>
        </w:rPr>
      </w:pPr>
      <w:r>
        <w:rPr>
          <w:rFonts w:hint="default" w:ascii="Times New Roman" w:hAnsi="Times New Roman" w:cs="Times New Roman"/>
          <w:color w:val="auto"/>
          <w:sz w:val="24"/>
          <w:szCs w:val="24"/>
          <w:highlight w:val="none"/>
        </w:rPr>
        <w:t>发包人验收后同意接收工程但提出整修和完善要求的，按甩项竣工验收处理。甩项竣工验收内容应在竣工验收的相关资料内载明，并明确整修完成期限，承包人须按期进行整修和完善。整修和完善工作完成后，</w:t>
      </w:r>
      <w:r>
        <w:rPr>
          <w:rFonts w:hint="eastAsia" w:ascii="Times New Roman" w:hAnsi="Times New Roman" w:cs="Times New Roman"/>
          <w:color w:val="auto"/>
          <w:sz w:val="24"/>
          <w:szCs w:val="24"/>
          <w:highlight w:val="none"/>
          <w:lang w:eastAsia="zh-CN"/>
        </w:rPr>
        <w:t>发包人</w:t>
      </w:r>
      <w:r>
        <w:rPr>
          <w:rFonts w:hint="default" w:ascii="Times New Roman" w:hAnsi="Times New Roman" w:cs="Times New Roman"/>
          <w:color w:val="auto"/>
          <w:sz w:val="24"/>
          <w:szCs w:val="24"/>
          <w:highlight w:val="none"/>
        </w:rPr>
        <w:t>复查达到要求的，经发包人同意后，</w:t>
      </w:r>
      <w:r>
        <w:rPr>
          <w:rFonts w:hint="eastAsia" w:ascii="Times New Roman" w:hAnsi="Times New Roman" w:cs="Times New Roman"/>
          <w:color w:val="auto"/>
          <w:sz w:val="24"/>
          <w:szCs w:val="24"/>
          <w:highlight w:val="none"/>
          <w:lang w:eastAsia="zh-CN"/>
        </w:rPr>
        <w:t>发包人</w:t>
      </w:r>
      <w:r>
        <w:rPr>
          <w:rFonts w:hint="default" w:ascii="Times New Roman" w:hAnsi="Times New Roman" w:cs="Times New Roman"/>
          <w:color w:val="auto"/>
          <w:sz w:val="24"/>
          <w:szCs w:val="24"/>
          <w:highlight w:val="none"/>
        </w:rPr>
        <w:t>、承包人等参验单位书面确认并签发甩项竣工验收通过并合格的证明文件。</w:t>
      </w:r>
      <w:bookmarkEnd w:id="754"/>
    </w:p>
    <w:p>
      <w:pPr>
        <w:pStyle w:val="4"/>
        <w:numPr>
          <w:ilvl w:val="2"/>
          <w:numId w:val="5"/>
        </w:numPr>
        <w:ind w:left="777" w:hanging="777"/>
        <w:rPr>
          <w:color w:val="auto"/>
          <w:highlight w:val="none"/>
        </w:rPr>
      </w:pPr>
      <w:bookmarkStart w:id="755" w:name="_Toc30147"/>
      <w:r>
        <w:rPr>
          <w:color w:val="auto"/>
          <w:highlight w:val="none"/>
        </w:rPr>
        <w:t>发包人验收后不同意接收工程的，</w:t>
      </w:r>
      <w:r>
        <w:rPr>
          <w:rFonts w:hint="eastAsia"/>
          <w:color w:val="auto"/>
          <w:highlight w:val="none"/>
          <w:lang w:val="en-US" w:eastAsia="zh-CN"/>
        </w:rPr>
        <w:t>发包人应发出指示</w:t>
      </w:r>
      <w:r>
        <w:rPr>
          <w:color w:val="auto"/>
          <w:highlight w:val="none"/>
        </w:rPr>
        <w:t>要求承包人对不合格工程认真返工重作或进行补救处理，并承担由此产生的费用。承包人在完成不合格工程的返工重作或补救工作后，应重新提交竣工验收申请报告。</w:t>
      </w:r>
      <w:bookmarkEnd w:id="755"/>
    </w:p>
    <w:p>
      <w:pPr>
        <w:pStyle w:val="4"/>
        <w:numPr>
          <w:ilvl w:val="2"/>
          <w:numId w:val="5"/>
        </w:numPr>
        <w:ind w:left="777" w:hanging="777"/>
        <w:rPr>
          <w:color w:val="auto"/>
          <w:highlight w:val="none"/>
        </w:rPr>
      </w:pPr>
      <w:bookmarkStart w:id="756" w:name="_Toc27056"/>
      <w:r>
        <w:rPr>
          <w:color w:val="auto"/>
          <w:highlight w:val="none"/>
        </w:rPr>
        <w:t>因承包人工期拖延，造成工程无法按合同约定的整体竣工验收合格日期通过竣工验收的，为了避免损失的扩大，</w:t>
      </w:r>
      <w:r>
        <w:rPr>
          <w:rFonts w:hint="eastAsia"/>
          <w:color w:val="auto"/>
          <w:highlight w:val="none"/>
        </w:rPr>
        <w:t>承包人无条件同意发包人提前使用未经竣工验收的工程或有权让业主、用户入住、</w:t>
      </w:r>
      <w:r>
        <w:rPr>
          <w:color w:val="auto"/>
          <w:highlight w:val="none"/>
        </w:rPr>
        <w:t>使用或按政府要求交付给业主或客户入住、使用工程，上述情况不视为承包人所承包本合同项下的工程已竣工或验收合格或已交付，承包人仍应当承担工期逾期或质量违约赔偿责任（包括但不限于因承包人上述违约行为而导致发包人逾期交房或政府罚款等）。</w:t>
      </w:r>
      <w:bookmarkEnd w:id="756"/>
    </w:p>
    <w:p>
      <w:pPr>
        <w:pStyle w:val="4"/>
        <w:numPr>
          <w:ilvl w:val="2"/>
          <w:numId w:val="5"/>
        </w:numPr>
        <w:ind w:left="777" w:hanging="777"/>
        <w:rPr>
          <w:color w:val="auto"/>
          <w:highlight w:val="none"/>
        </w:rPr>
      </w:pPr>
      <w:bookmarkStart w:id="757" w:name="_Toc8744"/>
      <w:r>
        <w:rPr>
          <w:color w:val="auto"/>
          <w:highlight w:val="none"/>
        </w:rPr>
        <w:t>承包人根据合同文件应当承担的质量保证责任不因为本工程验收合格而免除，本工程通过竣工验收在任何意义上都不意味着发包人放弃了追究承包人工程质量不合格的违约责任的权利。双方进一步确认，若承包人未按合同文件要求的标准完成施工，无论本工程是否通过竣工验收，发包人均有权随时要求承包人对不符合合同约定的部分予以修理、补救或更换，直至达到符合合同约定为止。</w:t>
      </w:r>
      <w:bookmarkEnd w:id="757"/>
    </w:p>
    <w:p>
      <w:pPr>
        <w:pStyle w:val="4"/>
        <w:numPr>
          <w:ilvl w:val="2"/>
          <w:numId w:val="5"/>
        </w:numPr>
        <w:ind w:left="777" w:hanging="777"/>
        <w:rPr>
          <w:color w:val="auto"/>
          <w:highlight w:val="none"/>
        </w:rPr>
      </w:pPr>
      <w:bookmarkStart w:id="758" w:name="_Toc8632"/>
      <w:r>
        <w:rPr>
          <w:color w:val="auto"/>
          <w:highlight w:val="none"/>
        </w:rPr>
        <w:t>承包人应当随同工程的移交，将与本工程相关的所有技术资料、保修资料、操作指南、质量合格证明、培训手册、程序、密码、数据等一并移交，并负责训练发包人的有关员工对于本工程的操作、维修及紧急程序等，否则发包人有权拒绝向承包人支付任何款项而不承担任何延期付款的责任。本合同因任何原因提前终止或解除时，承包人亦需遵守本条约定。</w:t>
      </w:r>
      <w:bookmarkEnd w:id="758"/>
    </w:p>
    <w:p>
      <w:pPr>
        <w:pStyle w:val="4"/>
        <w:numPr>
          <w:ilvl w:val="2"/>
          <w:numId w:val="5"/>
        </w:numPr>
        <w:ind w:left="777" w:hanging="777"/>
        <w:rPr>
          <w:color w:val="auto"/>
          <w:highlight w:val="none"/>
        </w:rPr>
      </w:pPr>
      <w:bookmarkStart w:id="759" w:name="_Toc14098"/>
      <w:r>
        <w:rPr>
          <w:color w:val="auto"/>
          <w:highlight w:val="none"/>
        </w:rPr>
        <w:t>承包人负责整理和提交的竣工验收资料应当符合工程所在地建设行政主管部门和（或）城市建设档案管理机构有关施工资料的要求。竣工验收资料要求在专用条款中说明。</w:t>
      </w:r>
      <w:bookmarkEnd w:id="759"/>
    </w:p>
    <w:p>
      <w:pPr>
        <w:pStyle w:val="4"/>
        <w:numPr>
          <w:ilvl w:val="2"/>
          <w:numId w:val="5"/>
        </w:numPr>
        <w:ind w:left="777" w:hanging="777"/>
        <w:rPr>
          <w:rFonts w:ascii="Times New Roman" w:hAnsi="Times New Roman"/>
          <w:color w:val="auto"/>
          <w:sz w:val="24"/>
          <w:szCs w:val="24"/>
          <w:highlight w:val="none"/>
        </w:rPr>
      </w:pPr>
      <w:r>
        <w:rPr>
          <w:rFonts w:hint="default"/>
          <w:color w:val="auto"/>
          <w:highlight w:val="none"/>
        </w:rPr>
        <w:t>承包人</w:t>
      </w:r>
      <w:r>
        <w:rPr>
          <w:rFonts w:hint="default" w:ascii="Times New Roman" w:hAnsi="Times New Roman"/>
          <w:color w:val="auto"/>
          <w:sz w:val="24"/>
          <w:szCs w:val="24"/>
          <w:highlight w:val="none"/>
        </w:rPr>
        <w:t>及其分包工程的验收资料（含竣工图纸）的准备和编制费用（但不包括整理和装订费用）由承包人承担，该等费用已经包含在承包人的合同暂定总价中，发包人不再为此另行支付。发包人直接发包的专业工程的所有竣工资料（含竣工图纸）的准备、编制、整理和装订的费用由专业工程承包人承担，总承包人应向专业工程承包人提供专业承包工程竣工资料的指导、审核、协调、汇总成册等服务，相关费用已包含在总承包管理与配合服务费内。</w:t>
      </w:r>
    </w:p>
    <w:p>
      <w:pPr>
        <w:pStyle w:val="4"/>
        <w:numPr>
          <w:ilvl w:val="2"/>
          <w:numId w:val="5"/>
        </w:numPr>
        <w:ind w:left="777" w:hanging="777"/>
        <w:rPr>
          <w:color w:val="auto"/>
          <w:highlight w:val="none"/>
        </w:rPr>
      </w:pPr>
      <w:bookmarkStart w:id="760" w:name="_Toc32388"/>
      <w:r>
        <w:rPr>
          <w:color w:val="auto"/>
          <w:highlight w:val="none"/>
        </w:rPr>
        <w:t>承包人提供符合竣工备案要求的全套竣工资料是工程竣工验收和结算的前提条件。竣工备案日期为取得当地城市建设档案管理机构竣工备案回执之日。如果承包人提供的竣工资料不能完全反映项目现场工程情况，则发包人有权要求承包人修改，承包人应在发包人规定时间内完成修改使之满足发包人和当地城市建设档案管理机构的要求。</w:t>
      </w:r>
      <w:bookmarkEnd w:id="760"/>
    </w:p>
    <w:p>
      <w:pPr>
        <w:pStyle w:val="4"/>
        <w:numPr>
          <w:ilvl w:val="2"/>
          <w:numId w:val="5"/>
        </w:numPr>
        <w:ind w:left="896" w:hanging="896"/>
        <w:rPr>
          <w:color w:val="auto"/>
          <w:highlight w:val="none"/>
        </w:rPr>
      </w:pPr>
      <w:bookmarkStart w:id="761" w:name="_Toc24870"/>
      <w:r>
        <w:rPr>
          <w:color w:val="auto"/>
          <w:highlight w:val="none"/>
        </w:rPr>
        <w:t>若承包人不遵照</w:t>
      </w:r>
      <w:r>
        <w:rPr>
          <w:rFonts w:hint="eastAsia"/>
          <w:color w:val="auto"/>
          <w:highlight w:val="none"/>
          <w:lang w:eastAsia="zh-CN"/>
        </w:rPr>
        <w:t>发包人</w:t>
      </w:r>
      <w:r>
        <w:rPr>
          <w:color w:val="auto"/>
          <w:highlight w:val="none"/>
        </w:rPr>
        <w:t>的指示移交工程，则自</w:t>
      </w:r>
      <w:r>
        <w:rPr>
          <w:rFonts w:hint="eastAsia"/>
          <w:color w:val="auto"/>
          <w:highlight w:val="none"/>
          <w:lang w:eastAsia="zh-CN"/>
        </w:rPr>
        <w:t>发包人</w:t>
      </w:r>
      <w:r>
        <w:rPr>
          <w:color w:val="auto"/>
          <w:highlight w:val="none"/>
        </w:rPr>
        <w:t>发出催告通知之日起，承包人应当按照合同条款约定承担相当于逾期竣工违约责任，直至承包人按照</w:t>
      </w:r>
      <w:r>
        <w:rPr>
          <w:rFonts w:hint="eastAsia"/>
          <w:color w:val="auto"/>
          <w:highlight w:val="none"/>
          <w:lang w:val="en-US" w:eastAsia="zh-CN"/>
        </w:rPr>
        <w:t>政府相关部门及</w:t>
      </w:r>
      <w:r>
        <w:rPr>
          <w:rFonts w:hint="eastAsia"/>
          <w:color w:val="auto"/>
          <w:highlight w:val="none"/>
          <w:lang w:eastAsia="zh-CN"/>
        </w:rPr>
        <w:t>发包人</w:t>
      </w:r>
      <w:r>
        <w:rPr>
          <w:color w:val="auto"/>
          <w:highlight w:val="none"/>
        </w:rPr>
        <w:t>的要求完成工程移交为止。</w:t>
      </w:r>
      <w:bookmarkEnd w:id="761"/>
    </w:p>
    <w:p>
      <w:pPr>
        <w:pStyle w:val="4"/>
        <w:numPr>
          <w:ilvl w:val="1"/>
          <w:numId w:val="5"/>
        </w:numPr>
        <w:rPr>
          <w:color w:val="auto"/>
          <w:highlight w:val="none"/>
        </w:rPr>
      </w:pPr>
      <w:bookmarkStart w:id="762" w:name="_Toc3507"/>
      <w:bookmarkStart w:id="763" w:name="_Toc764"/>
      <w:bookmarkStart w:id="764" w:name="_Toc44492510"/>
      <w:bookmarkStart w:id="765" w:name="_Toc6102"/>
      <w:r>
        <w:rPr>
          <w:color w:val="auto"/>
          <w:highlight w:val="none"/>
        </w:rPr>
        <w:t>施工期运行</w:t>
      </w:r>
      <w:bookmarkEnd w:id="762"/>
      <w:bookmarkEnd w:id="763"/>
      <w:bookmarkEnd w:id="764"/>
      <w:bookmarkEnd w:id="765"/>
    </w:p>
    <w:p>
      <w:pPr>
        <w:pStyle w:val="4"/>
        <w:numPr>
          <w:ilvl w:val="2"/>
          <w:numId w:val="5"/>
        </w:numPr>
        <w:ind w:left="782" w:hanging="782"/>
        <w:rPr>
          <w:color w:val="auto"/>
          <w:highlight w:val="none"/>
        </w:rPr>
      </w:pPr>
      <w:bookmarkStart w:id="766" w:name="_Toc5151"/>
      <w:r>
        <w:rPr>
          <w:color w:val="auto"/>
          <w:highlight w:val="none"/>
        </w:rPr>
        <w:t>施工期运行是指合同工程尚未全部竣工，其中某项或某几项单位工程或工程设备安装已竣工，根据专用条款约定，需要投入施工期运行的，经发包人验收合格，证明能确保安全后，才能在施工期投入运行。</w:t>
      </w:r>
      <w:bookmarkEnd w:id="766"/>
    </w:p>
    <w:p>
      <w:pPr>
        <w:pStyle w:val="4"/>
        <w:numPr>
          <w:ilvl w:val="2"/>
          <w:numId w:val="5"/>
        </w:numPr>
        <w:ind w:left="782" w:hanging="782"/>
        <w:rPr>
          <w:color w:val="auto"/>
          <w:highlight w:val="none"/>
        </w:rPr>
      </w:pPr>
      <w:bookmarkStart w:id="767" w:name="_Toc76"/>
      <w:r>
        <w:rPr>
          <w:color w:val="auto"/>
          <w:highlight w:val="none"/>
        </w:rPr>
        <w:t>在施工期运行中发现工程或工程设备损坏或存在缺陷的，由承包人进行修复。</w:t>
      </w:r>
      <w:bookmarkEnd w:id="767"/>
    </w:p>
    <w:p>
      <w:pPr>
        <w:pStyle w:val="4"/>
        <w:numPr>
          <w:ilvl w:val="2"/>
          <w:numId w:val="5"/>
        </w:numPr>
        <w:ind w:left="782" w:hanging="782"/>
        <w:rPr>
          <w:color w:val="auto"/>
          <w:highlight w:val="none"/>
        </w:rPr>
      </w:pPr>
      <w:bookmarkStart w:id="768" w:name="_Toc4708"/>
      <w:r>
        <w:rPr>
          <w:color w:val="auto"/>
          <w:highlight w:val="none"/>
        </w:rPr>
        <w:t>若合同文件说明部分工程包含调试，则承包人须负责按合同文件规定对该部分工程进行调试，并依法安排当地政府有关部门对整体安装的现状调试直至验收合格并发予运行/转准字或批文，有关费用已包括在承包人的合同暂定总价内。</w:t>
      </w:r>
      <w:bookmarkEnd w:id="768"/>
    </w:p>
    <w:p>
      <w:pPr>
        <w:pStyle w:val="4"/>
        <w:numPr>
          <w:ilvl w:val="1"/>
          <w:numId w:val="5"/>
        </w:numPr>
        <w:rPr>
          <w:color w:val="auto"/>
          <w:highlight w:val="none"/>
        </w:rPr>
      </w:pPr>
      <w:bookmarkStart w:id="769" w:name="_Toc44492511"/>
      <w:bookmarkStart w:id="770" w:name="_Toc21626"/>
      <w:bookmarkStart w:id="771" w:name="_Toc18231"/>
      <w:bookmarkStart w:id="772" w:name="_Toc6514"/>
      <w:r>
        <w:rPr>
          <w:color w:val="auto"/>
          <w:highlight w:val="none"/>
        </w:rPr>
        <w:t>试运行</w:t>
      </w:r>
      <w:bookmarkEnd w:id="769"/>
      <w:bookmarkEnd w:id="770"/>
      <w:bookmarkEnd w:id="771"/>
      <w:bookmarkEnd w:id="772"/>
    </w:p>
    <w:p>
      <w:pPr>
        <w:pStyle w:val="4"/>
        <w:numPr>
          <w:ilvl w:val="2"/>
          <w:numId w:val="5"/>
        </w:numPr>
        <w:ind w:left="782" w:hanging="782"/>
        <w:rPr>
          <w:color w:val="auto"/>
          <w:highlight w:val="none"/>
        </w:rPr>
      </w:pPr>
      <w:bookmarkStart w:id="773" w:name="_Toc18617"/>
      <w:r>
        <w:rPr>
          <w:color w:val="auto"/>
          <w:highlight w:val="none"/>
        </w:rPr>
        <w:t>承包人按专用条款约定进行工程及工程设备试运行，负责提供试运行所需的人员、器材和必要的条件，并承担全部试运行费用。</w:t>
      </w:r>
      <w:bookmarkEnd w:id="773"/>
    </w:p>
    <w:p>
      <w:pPr>
        <w:pStyle w:val="4"/>
        <w:numPr>
          <w:ilvl w:val="2"/>
          <w:numId w:val="5"/>
        </w:numPr>
        <w:ind w:left="782" w:hanging="782"/>
        <w:rPr>
          <w:color w:val="auto"/>
          <w:highlight w:val="none"/>
        </w:rPr>
      </w:pPr>
      <w:bookmarkStart w:id="774" w:name="_Toc14396"/>
      <w:r>
        <w:rPr>
          <w:color w:val="auto"/>
          <w:highlight w:val="none"/>
        </w:rPr>
        <w:t>由于承包人的原因导致试运行失败的，承包人应采取措施保证试运行合格，并承担相应费用。由于发包人的原因导致试运行失败的，承包人应当采取措施保证试运行合格，发包人应承担由此产生的费用。</w:t>
      </w:r>
      <w:bookmarkEnd w:id="774"/>
    </w:p>
    <w:p>
      <w:pPr>
        <w:pStyle w:val="4"/>
        <w:numPr>
          <w:ilvl w:val="1"/>
          <w:numId w:val="5"/>
        </w:numPr>
        <w:rPr>
          <w:color w:val="auto"/>
          <w:highlight w:val="none"/>
        </w:rPr>
      </w:pPr>
      <w:bookmarkStart w:id="775" w:name="_Toc44492512"/>
      <w:bookmarkStart w:id="776" w:name="_Toc20892"/>
      <w:bookmarkStart w:id="777" w:name="_Toc9921"/>
      <w:bookmarkStart w:id="778" w:name="_Toc7253"/>
      <w:r>
        <w:rPr>
          <w:color w:val="auto"/>
          <w:highlight w:val="none"/>
        </w:rPr>
        <w:t>竣工清场</w:t>
      </w:r>
      <w:bookmarkEnd w:id="775"/>
      <w:bookmarkEnd w:id="776"/>
      <w:bookmarkEnd w:id="777"/>
      <w:bookmarkEnd w:id="778"/>
    </w:p>
    <w:p>
      <w:pPr>
        <w:pStyle w:val="4"/>
        <w:numPr>
          <w:ilvl w:val="2"/>
          <w:numId w:val="5"/>
        </w:numPr>
        <w:ind w:left="782" w:hanging="782"/>
        <w:rPr>
          <w:color w:val="auto"/>
          <w:highlight w:val="none"/>
        </w:rPr>
      </w:pPr>
      <w:bookmarkStart w:id="779" w:name="_Toc28142"/>
      <w:r>
        <w:rPr>
          <w:color w:val="auto"/>
          <w:highlight w:val="none"/>
        </w:rPr>
        <w:t>工程竣工验收通过后，承包人应按以下要求对施工场地进行清理，直至</w:t>
      </w:r>
      <w:r>
        <w:rPr>
          <w:rFonts w:hint="eastAsia"/>
          <w:color w:val="auto"/>
          <w:highlight w:val="none"/>
          <w:lang w:eastAsia="zh-CN"/>
        </w:rPr>
        <w:t>发包人</w:t>
      </w:r>
      <w:r>
        <w:rPr>
          <w:color w:val="auto"/>
          <w:highlight w:val="none"/>
        </w:rPr>
        <w:t>检验合格为止。竣工清场费用由承包人承担。</w:t>
      </w:r>
      <w:bookmarkEnd w:id="779"/>
    </w:p>
    <w:p>
      <w:pPr>
        <w:pStyle w:val="52"/>
        <w:numPr>
          <w:ilvl w:val="0"/>
          <w:numId w:val="36"/>
        </w:numPr>
        <w:ind w:left="885" w:leftChars="250" w:hanging="360" w:hangingChars="150"/>
        <w:jc w:val="both"/>
        <w:rPr>
          <w:rFonts w:eastAsia="宋体"/>
          <w:color w:val="auto"/>
          <w:sz w:val="24"/>
          <w:szCs w:val="24"/>
          <w:highlight w:val="none"/>
        </w:rPr>
      </w:pPr>
      <w:r>
        <w:rPr>
          <w:rFonts w:eastAsia="宋体"/>
          <w:color w:val="auto"/>
          <w:sz w:val="24"/>
          <w:szCs w:val="24"/>
          <w:highlight w:val="none"/>
        </w:rPr>
        <w:t>施工场地内残留的垃圾已全部清除出场；</w:t>
      </w:r>
    </w:p>
    <w:p>
      <w:pPr>
        <w:pStyle w:val="52"/>
        <w:numPr>
          <w:ilvl w:val="0"/>
          <w:numId w:val="36"/>
        </w:numPr>
        <w:ind w:left="885" w:leftChars="250" w:hanging="360" w:hangingChars="150"/>
        <w:jc w:val="both"/>
        <w:rPr>
          <w:rFonts w:eastAsia="宋体"/>
          <w:color w:val="auto"/>
          <w:sz w:val="24"/>
          <w:szCs w:val="24"/>
          <w:highlight w:val="none"/>
        </w:rPr>
      </w:pPr>
      <w:r>
        <w:rPr>
          <w:rFonts w:eastAsia="宋体"/>
          <w:color w:val="auto"/>
          <w:sz w:val="24"/>
          <w:szCs w:val="24"/>
          <w:highlight w:val="none"/>
        </w:rPr>
        <w:t>临时工程已拆除，场地已按合同要求进行清理、平整或复原；</w:t>
      </w:r>
    </w:p>
    <w:p>
      <w:pPr>
        <w:pStyle w:val="52"/>
        <w:numPr>
          <w:ilvl w:val="0"/>
          <w:numId w:val="36"/>
        </w:numPr>
        <w:ind w:left="885" w:leftChars="250" w:hanging="360" w:hangingChars="150"/>
        <w:jc w:val="both"/>
        <w:rPr>
          <w:rFonts w:eastAsia="宋体"/>
          <w:color w:val="auto"/>
          <w:sz w:val="24"/>
          <w:szCs w:val="24"/>
          <w:highlight w:val="none"/>
        </w:rPr>
      </w:pPr>
      <w:r>
        <w:rPr>
          <w:rFonts w:eastAsia="宋体"/>
          <w:color w:val="auto"/>
          <w:sz w:val="24"/>
          <w:szCs w:val="24"/>
          <w:highlight w:val="none"/>
        </w:rPr>
        <w:t>按合同约定应撤离的承包人设备和剩余的材料，包括废弃的施工设备和材料，已按计划撤离施工场地；</w:t>
      </w:r>
    </w:p>
    <w:p>
      <w:pPr>
        <w:pStyle w:val="52"/>
        <w:numPr>
          <w:ilvl w:val="0"/>
          <w:numId w:val="36"/>
        </w:numPr>
        <w:ind w:left="885" w:leftChars="250" w:hanging="360" w:hangingChars="150"/>
        <w:jc w:val="both"/>
        <w:rPr>
          <w:rFonts w:eastAsia="宋体"/>
          <w:color w:val="auto"/>
          <w:sz w:val="24"/>
          <w:szCs w:val="24"/>
          <w:highlight w:val="none"/>
        </w:rPr>
      </w:pPr>
      <w:r>
        <w:rPr>
          <w:rFonts w:eastAsia="宋体"/>
          <w:color w:val="auto"/>
          <w:sz w:val="24"/>
          <w:szCs w:val="24"/>
          <w:highlight w:val="none"/>
        </w:rPr>
        <w:t>工程建筑物周边及其附近道路、河道的施工堆积物，已按</w:t>
      </w:r>
      <w:r>
        <w:rPr>
          <w:rFonts w:hint="eastAsia" w:eastAsia="宋体"/>
          <w:color w:val="auto"/>
          <w:sz w:val="24"/>
          <w:szCs w:val="24"/>
          <w:highlight w:val="none"/>
          <w:lang w:eastAsia="zh-CN"/>
        </w:rPr>
        <w:t>发包人</w:t>
      </w:r>
      <w:r>
        <w:rPr>
          <w:rFonts w:eastAsia="宋体"/>
          <w:color w:val="auto"/>
          <w:sz w:val="24"/>
          <w:szCs w:val="24"/>
          <w:highlight w:val="none"/>
        </w:rPr>
        <w:t>指示全部清理；</w:t>
      </w:r>
    </w:p>
    <w:p>
      <w:pPr>
        <w:pStyle w:val="52"/>
        <w:numPr>
          <w:ilvl w:val="0"/>
          <w:numId w:val="36"/>
        </w:numPr>
        <w:ind w:left="885" w:leftChars="250" w:hanging="360" w:hangingChars="150"/>
        <w:jc w:val="both"/>
        <w:rPr>
          <w:rFonts w:eastAsia="宋体"/>
          <w:color w:val="auto"/>
          <w:sz w:val="24"/>
          <w:szCs w:val="24"/>
          <w:highlight w:val="none"/>
        </w:rPr>
      </w:pPr>
      <w:r>
        <w:rPr>
          <w:rFonts w:hint="eastAsia" w:eastAsia="宋体"/>
          <w:color w:val="auto"/>
          <w:sz w:val="24"/>
          <w:szCs w:val="24"/>
          <w:highlight w:val="none"/>
          <w:lang w:eastAsia="zh-CN"/>
        </w:rPr>
        <w:t>发包人</w:t>
      </w:r>
      <w:r>
        <w:rPr>
          <w:rFonts w:eastAsia="宋体"/>
          <w:color w:val="auto"/>
          <w:sz w:val="24"/>
          <w:szCs w:val="24"/>
          <w:highlight w:val="none"/>
        </w:rPr>
        <w:t>指示的其他的场地清理工作已全部完成。</w:t>
      </w:r>
    </w:p>
    <w:p>
      <w:pPr>
        <w:pStyle w:val="52"/>
        <w:ind w:firstLine="480"/>
        <w:jc w:val="both"/>
        <w:rPr>
          <w:rFonts w:eastAsia="宋体"/>
          <w:color w:val="auto"/>
          <w:sz w:val="24"/>
          <w:szCs w:val="24"/>
          <w:highlight w:val="none"/>
        </w:rPr>
      </w:pPr>
      <w:r>
        <w:rPr>
          <w:rFonts w:eastAsia="宋体"/>
          <w:color w:val="auto"/>
          <w:sz w:val="24"/>
          <w:szCs w:val="24"/>
          <w:highlight w:val="none"/>
        </w:rPr>
        <w:t>除专用合同条款另有约定外，承包人应</w:t>
      </w:r>
      <w:r>
        <w:rPr>
          <w:rFonts w:hint="eastAsia" w:eastAsia="宋体"/>
          <w:color w:val="auto"/>
          <w:sz w:val="24"/>
          <w:szCs w:val="24"/>
          <w:highlight w:val="none"/>
        </w:rPr>
        <w:t>于</w:t>
      </w:r>
      <w:r>
        <w:rPr>
          <w:rFonts w:eastAsia="宋体"/>
          <w:color w:val="auto"/>
          <w:sz w:val="24"/>
          <w:szCs w:val="24"/>
          <w:highlight w:val="none"/>
        </w:rPr>
        <w:t>工程竣工验收通过后10天内完成上述清理工作。</w:t>
      </w:r>
    </w:p>
    <w:p>
      <w:pPr>
        <w:pStyle w:val="4"/>
        <w:numPr>
          <w:ilvl w:val="2"/>
          <w:numId w:val="5"/>
        </w:numPr>
        <w:ind w:left="782" w:hanging="782"/>
        <w:rPr>
          <w:color w:val="auto"/>
          <w:highlight w:val="none"/>
        </w:rPr>
      </w:pPr>
      <w:bookmarkStart w:id="780" w:name="_Toc16150"/>
      <w:r>
        <w:rPr>
          <w:color w:val="auto"/>
          <w:highlight w:val="none"/>
        </w:rPr>
        <w:t>承包人未按</w:t>
      </w:r>
      <w:r>
        <w:rPr>
          <w:rFonts w:hint="eastAsia"/>
          <w:color w:val="auto"/>
          <w:highlight w:val="none"/>
          <w:lang w:eastAsia="zh-CN"/>
        </w:rPr>
        <w:t>发包人</w:t>
      </w:r>
      <w:r>
        <w:rPr>
          <w:color w:val="auto"/>
          <w:highlight w:val="none"/>
        </w:rPr>
        <w:t>的要求恢复临时占地，或者场地清理未达到合同约定的，发包人有权委托其他人恢复或清理，所发生的费用从应支付给承包人的款项中扣除。承包人未搬离而遗留在施工场地或其周围的物品，包括但不限于设备、器械、工具、材料等，均视为承包人已将其丢弃、放弃，发包人有权自行或委托第三人予以处置，无须承担任何责任，所发生的费用从应支付给承包人的款项中扣除。第18.7条情形亦同。</w:t>
      </w:r>
      <w:bookmarkEnd w:id="780"/>
    </w:p>
    <w:p>
      <w:pPr>
        <w:pStyle w:val="4"/>
        <w:numPr>
          <w:ilvl w:val="1"/>
          <w:numId w:val="5"/>
        </w:numPr>
        <w:rPr>
          <w:color w:val="auto"/>
          <w:highlight w:val="none"/>
        </w:rPr>
      </w:pPr>
      <w:bookmarkStart w:id="781" w:name="_Toc24812"/>
      <w:bookmarkStart w:id="782" w:name="_Toc4119"/>
      <w:bookmarkStart w:id="783" w:name="_Toc44492513"/>
      <w:bookmarkStart w:id="784" w:name="_Toc31480"/>
      <w:r>
        <w:rPr>
          <w:color w:val="auto"/>
          <w:highlight w:val="none"/>
        </w:rPr>
        <w:t>施工队伍的撤离</w:t>
      </w:r>
      <w:bookmarkEnd w:id="781"/>
      <w:bookmarkEnd w:id="782"/>
      <w:bookmarkEnd w:id="783"/>
      <w:bookmarkEnd w:id="784"/>
    </w:p>
    <w:p>
      <w:pPr>
        <w:pStyle w:val="4"/>
        <w:numPr>
          <w:ilvl w:val="2"/>
          <w:numId w:val="5"/>
        </w:numPr>
        <w:ind w:left="782" w:hanging="782"/>
        <w:rPr>
          <w:color w:val="auto"/>
          <w:highlight w:val="none"/>
        </w:rPr>
      </w:pPr>
      <w:bookmarkStart w:id="785" w:name="_Toc5170"/>
      <w:r>
        <w:rPr>
          <w:color w:val="auto"/>
          <w:highlight w:val="none"/>
        </w:rPr>
        <w:t>整体工程竣工验收通过后，除需进行工程整改或经</w:t>
      </w:r>
      <w:r>
        <w:rPr>
          <w:rFonts w:hint="eastAsia"/>
          <w:color w:val="auto"/>
          <w:highlight w:val="none"/>
          <w:lang w:eastAsia="zh-CN"/>
        </w:rPr>
        <w:t>发包人</w:t>
      </w:r>
      <w:r>
        <w:rPr>
          <w:color w:val="auto"/>
          <w:highlight w:val="none"/>
        </w:rPr>
        <w:t>同意在缺陷责任期内继续工作和使用的人员、施工设备和临时工程外，其余的人员、施工设备和临时工程均应撤离施工场地或拆除。除专用合同条款另有约定外，承包人应于工程竣工验收通过后10天内完成该等撤离和拆除。除合同另有约定外，缺陷责任期满时，承包人的人员和施工设备应全部撤离施工场地。</w:t>
      </w:r>
      <w:bookmarkEnd w:id="785"/>
      <w:bookmarkStart w:id="786" w:name="_Toc15940"/>
      <w:bookmarkStart w:id="787" w:name="_Toc44228000"/>
      <w:bookmarkStart w:id="788" w:name="_Toc407356012"/>
      <w:bookmarkStart w:id="789" w:name="_Toc22089"/>
      <w:bookmarkStart w:id="790" w:name="_Toc32270"/>
      <w:bookmarkStart w:id="791" w:name="_Toc44492514"/>
      <w:bookmarkStart w:id="792" w:name="_Toc12554"/>
      <w:bookmarkStart w:id="793" w:name="_Toc22595"/>
      <w:bookmarkStart w:id="794" w:name="_Toc47512249"/>
    </w:p>
    <w:p>
      <w:pPr>
        <w:pStyle w:val="4"/>
        <w:numPr>
          <w:ilvl w:val="0"/>
          <w:numId w:val="5"/>
        </w:numPr>
        <w:rPr>
          <w:color w:val="auto"/>
          <w:highlight w:val="none"/>
        </w:rPr>
      </w:pPr>
      <w:bookmarkStart w:id="795" w:name="_Toc4367"/>
      <w:r>
        <w:rPr>
          <w:color w:val="auto"/>
          <w:highlight w:val="none"/>
        </w:rPr>
        <w:t>缺陷责任</w:t>
      </w:r>
      <w:bookmarkEnd w:id="786"/>
      <w:bookmarkEnd w:id="787"/>
      <w:bookmarkEnd w:id="788"/>
      <w:bookmarkEnd w:id="789"/>
      <w:r>
        <w:rPr>
          <w:color w:val="auto"/>
          <w:highlight w:val="none"/>
        </w:rPr>
        <w:t>与保修</w:t>
      </w:r>
      <w:bookmarkEnd w:id="790"/>
      <w:bookmarkEnd w:id="791"/>
      <w:bookmarkEnd w:id="792"/>
      <w:bookmarkEnd w:id="793"/>
      <w:bookmarkEnd w:id="794"/>
      <w:bookmarkEnd w:id="795"/>
      <w:bookmarkStart w:id="796" w:name="_Toc44492515"/>
      <w:bookmarkStart w:id="797" w:name="_Toc21762"/>
      <w:bookmarkStart w:id="798" w:name="_Toc22"/>
    </w:p>
    <w:p>
      <w:pPr>
        <w:pStyle w:val="4"/>
        <w:numPr>
          <w:ilvl w:val="1"/>
          <w:numId w:val="5"/>
        </w:numPr>
        <w:rPr>
          <w:color w:val="auto"/>
          <w:highlight w:val="none"/>
        </w:rPr>
      </w:pPr>
      <w:bookmarkStart w:id="799" w:name="_Toc29514"/>
      <w:r>
        <w:rPr>
          <w:color w:val="auto"/>
          <w:highlight w:val="none"/>
        </w:rPr>
        <w:t>工程保修的原则</w:t>
      </w:r>
      <w:bookmarkEnd w:id="796"/>
      <w:bookmarkEnd w:id="799"/>
      <w:bookmarkStart w:id="800" w:name="_Toc44492516"/>
    </w:p>
    <w:p>
      <w:pPr>
        <w:pStyle w:val="52"/>
        <w:ind w:firstLine="480"/>
        <w:jc w:val="both"/>
        <w:rPr>
          <w:rFonts w:eastAsia="宋体"/>
          <w:color w:val="auto"/>
          <w:sz w:val="24"/>
          <w:szCs w:val="24"/>
          <w:highlight w:val="none"/>
        </w:rPr>
      </w:pPr>
      <w:r>
        <w:rPr>
          <w:rFonts w:eastAsia="宋体"/>
          <w:color w:val="auto"/>
          <w:sz w:val="24"/>
          <w:szCs w:val="24"/>
          <w:highlight w:val="none"/>
        </w:rPr>
        <w:t>在工程移交发包人</w:t>
      </w:r>
      <w:r>
        <w:rPr>
          <w:rFonts w:hint="eastAsia" w:eastAsia="宋体"/>
          <w:color w:val="auto"/>
          <w:sz w:val="24"/>
          <w:szCs w:val="24"/>
          <w:highlight w:val="none"/>
          <w:lang w:val="en-US" w:eastAsia="zh-CN"/>
        </w:rPr>
        <w:t>及政府相关部门</w:t>
      </w:r>
      <w:r>
        <w:rPr>
          <w:rFonts w:eastAsia="宋体"/>
          <w:color w:val="auto"/>
          <w:sz w:val="24"/>
          <w:szCs w:val="24"/>
          <w:highlight w:val="none"/>
        </w:rPr>
        <w:t>后，因承包人原因产生的质量缺陷，承包人应承担质量缺陷责任和保修义务。缺陷责任期届满，承包人仍应按合同约定的工程各部位保修年限承担保修义务。</w:t>
      </w:r>
      <w:bookmarkEnd w:id="800"/>
      <w:r>
        <w:rPr>
          <w:rFonts w:eastAsia="宋体"/>
          <w:color w:val="auto"/>
          <w:sz w:val="24"/>
          <w:szCs w:val="24"/>
          <w:highlight w:val="none"/>
        </w:rPr>
        <w:tab/>
      </w:r>
      <w:bookmarkStart w:id="801" w:name="_Toc44492517"/>
    </w:p>
    <w:p>
      <w:pPr>
        <w:pStyle w:val="4"/>
        <w:numPr>
          <w:ilvl w:val="1"/>
          <w:numId w:val="5"/>
        </w:numPr>
        <w:rPr>
          <w:color w:val="auto"/>
          <w:highlight w:val="none"/>
        </w:rPr>
      </w:pPr>
      <w:bookmarkStart w:id="802" w:name="_Toc27347"/>
      <w:r>
        <w:rPr>
          <w:color w:val="auto"/>
          <w:highlight w:val="none"/>
        </w:rPr>
        <w:t>缺陷责任期</w:t>
      </w:r>
      <w:bookmarkEnd w:id="797"/>
      <w:bookmarkEnd w:id="798"/>
      <w:bookmarkEnd w:id="801"/>
      <w:bookmarkEnd w:id="802"/>
      <w:bookmarkStart w:id="803" w:name="_Toc44492518"/>
    </w:p>
    <w:p>
      <w:pPr>
        <w:pStyle w:val="4"/>
        <w:numPr>
          <w:ilvl w:val="2"/>
          <w:numId w:val="5"/>
        </w:numPr>
        <w:ind w:left="782" w:hanging="782"/>
        <w:rPr>
          <w:color w:val="auto"/>
          <w:highlight w:val="none"/>
        </w:rPr>
      </w:pPr>
      <w:bookmarkStart w:id="804" w:name="_Toc28540"/>
      <w:r>
        <w:rPr>
          <w:color w:val="auto"/>
          <w:highlight w:val="none"/>
        </w:rPr>
        <w:t>缺陷责任期起止时间按照专用条款的约定执行。</w:t>
      </w:r>
      <w:bookmarkEnd w:id="803"/>
      <w:bookmarkEnd w:id="804"/>
      <w:bookmarkStart w:id="805" w:name="_Toc44492519"/>
    </w:p>
    <w:p>
      <w:pPr>
        <w:pStyle w:val="4"/>
        <w:numPr>
          <w:ilvl w:val="2"/>
          <w:numId w:val="5"/>
        </w:numPr>
        <w:ind w:left="782" w:hanging="782"/>
        <w:rPr>
          <w:color w:val="auto"/>
          <w:highlight w:val="none"/>
        </w:rPr>
      </w:pPr>
      <w:bookmarkStart w:id="806" w:name="_Toc3552"/>
      <w:r>
        <w:rPr>
          <w:color w:val="auto"/>
          <w:highlight w:val="none"/>
        </w:rPr>
        <w:t>项目整体竣工验收合格后，因承包人原因导致的缺陷或损坏致使工程、单位工程或某项主要设备不能按原定目的使用的，则发包人有权要求承包人延长缺陷责任期，并应在原缺陷责任期届满前发出延长通知。</w:t>
      </w:r>
      <w:bookmarkEnd w:id="805"/>
      <w:bookmarkEnd w:id="806"/>
      <w:bookmarkStart w:id="807" w:name="_Toc44492520"/>
    </w:p>
    <w:p>
      <w:pPr>
        <w:pStyle w:val="4"/>
        <w:numPr>
          <w:ilvl w:val="2"/>
          <w:numId w:val="5"/>
        </w:numPr>
        <w:ind w:left="782" w:hanging="782"/>
        <w:rPr>
          <w:color w:val="auto"/>
          <w:highlight w:val="none"/>
        </w:rPr>
      </w:pPr>
      <w:bookmarkStart w:id="808" w:name="_Toc8969"/>
      <w:r>
        <w:rPr>
          <w:color w:val="auto"/>
          <w:highlight w:val="none"/>
        </w:rPr>
        <w:t>任何一项缺陷或损坏修复后，经检查证明其影响了工程或工程设备的使用性能，承包人应重新进行合同约定的试验和试运行，试验和试运行的全部费用应由责任方承担。</w:t>
      </w:r>
      <w:bookmarkEnd w:id="807"/>
      <w:bookmarkEnd w:id="808"/>
    </w:p>
    <w:p>
      <w:pPr>
        <w:pStyle w:val="4"/>
        <w:numPr>
          <w:ilvl w:val="2"/>
          <w:numId w:val="5"/>
        </w:numPr>
        <w:ind w:left="782" w:hanging="782"/>
        <w:rPr>
          <w:color w:val="auto"/>
          <w:highlight w:val="none"/>
        </w:rPr>
      </w:pPr>
      <w:bookmarkStart w:id="809" w:name="_Toc44492521"/>
      <w:bookmarkStart w:id="810" w:name="_Toc29250"/>
      <w:r>
        <w:rPr>
          <w:color w:val="auto"/>
          <w:highlight w:val="none"/>
        </w:rPr>
        <w:t>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w:t>
      </w:r>
      <w:bookmarkEnd w:id="809"/>
      <w:bookmarkEnd w:id="810"/>
    </w:p>
    <w:p>
      <w:pPr>
        <w:pStyle w:val="4"/>
        <w:numPr>
          <w:ilvl w:val="1"/>
          <w:numId w:val="5"/>
        </w:numPr>
        <w:rPr>
          <w:color w:val="auto"/>
          <w:highlight w:val="none"/>
        </w:rPr>
      </w:pPr>
      <w:bookmarkStart w:id="811" w:name="_Toc7448"/>
      <w:bookmarkStart w:id="812" w:name="_Toc31084"/>
      <w:bookmarkStart w:id="813" w:name="_Toc44492522"/>
      <w:bookmarkStart w:id="814" w:name="_Toc23428"/>
      <w:r>
        <w:rPr>
          <w:color w:val="auto"/>
          <w:highlight w:val="none"/>
        </w:rPr>
        <w:t>缺陷责任程序</w:t>
      </w:r>
      <w:bookmarkEnd w:id="811"/>
      <w:bookmarkEnd w:id="812"/>
      <w:bookmarkEnd w:id="813"/>
      <w:bookmarkEnd w:id="814"/>
    </w:p>
    <w:p>
      <w:pPr>
        <w:pStyle w:val="4"/>
        <w:numPr>
          <w:ilvl w:val="2"/>
          <w:numId w:val="5"/>
        </w:numPr>
        <w:ind w:left="782" w:hanging="782"/>
        <w:rPr>
          <w:color w:val="auto"/>
          <w:highlight w:val="none"/>
        </w:rPr>
      </w:pPr>
      <w:bookmarkStart w:id="815" w:name="_Toc25246"/>
      <w:r>
        <w:rPr>
          <w:color w:val="auto"/>
          <w:highlight w:val="none"/>
        </w:rPr>
        <w:t>若承包人在合理时间内未完成发包人指明的缺陷的修复工程,或经发包人证实承包人在维修期间无故拖延，则发包人有权雇佣其他机构或人士进行修复和完成剩余工程。发包人有权从本工程质量保修金中扣除应由承包人承担的费用；质量保修金不足以清偿的，承包人应按发包人的通知另行支付、补足。</w:t>
      </w:r>
      <w:bookmarkEnd w:id="815"/>
    </w:p>
    <w:p>
      <w:pPr>
        <w:pStyle w:val="4"/>
        <w:numPr>
          <w:ilvl w:val="2"/>
          <w:numId w:val="5"/>
        </w:numPr>
        <w:ind w:left="782" w:hanging="782"/>
        <w:rPr>
          <w:color w:val="auto"/>
          <w:highlight w:val="none"/>
        </w:rPr>
      </w:pPr>
      <w:bookmarkStart w:id="816" w:name="_Toc21354"/>
      <w:r>
        <w:rPr>
          <w:color w:val="auto"/>
          <w:highlight w:val="none"/>
        </w:rPr>
        <w:t>缺陷责任期内承包人为缺陷修复工作需要，有权进入工程现场，但应遵守发包人的保安和保密规定。</w:t>
      </w:r>
      <w:bookmarkEnd w:id="816"/>
    </w:p>
    <w:p>
      <w:pPr>
        <w:pStyle w:val="4"/>
        <w:numPr>
          <w:ilvl w:val="2"/>
          <w:numId w:val="5"/>
        </w:numPr>
        <w:ind w:left="782" w:hanging="782"/>
        <w:rPr>
          <w:color w:val="auto"/>
          <w:highlight w:val="none"/>
        </w:rPr>
      </w:pPr>
      <w:bookmarkStart w:id="817" w:name="_Toc17040"/>
      <w:r>
        <w:rPr>
          <w:color w:val="auto"/>
          <w:highlight w:val="none"/>
        </w:rPr>
        <w:t>经承包人按照专用条款约定的期限向发包人书面提出质量保修金支付申请，发包人确认工程质量无异议，或承包人已按合同约定履行保修责任</w:t>
      </w:r>
      <w:r>
        <w:rPr>
          <w:rFonts w:hint="eastAsia" w:ascii="宋体" w:hAnsi="宋体" w:cs="宋体"/>
          <w:color w:val="auto"/>
          <w:highlight w:val="none"/>
        </w:rPr>
        <w:t>并通过发包人验收后</w:t>
      </w:r>
      <w:r>
        <w:rPr>
          <w:color w:val="auto"/>
          <w:highlight w:val="none"/>
        </w:rPr>
        <w:t>，发包人应在接到申请后28天向承包人支付保修金，保修金不计利息。保修金的支付并不表示承包人保修责任的结束，承包人仍须按照相关法律法规规章及本合同，包括但不限于专用条款的规定继续履行保修责任、质量责任。</w:t>
      </w:r>
      <w:bookmarkEnd w:id="817"/>
    </w:p>
    <w:p>
      <w:pPr>
        <w:pStyle w:val="4"/>
        <w:numPr>
          <w:ilvl w:val="1"/>
          <w:numId w:val="5"/>
        </w:numPr>
        <w:rPr>
          <w:color w:val="auto"/>
          <w:highlight w:val="none"/>
        </w:rPr>
      </w:pPr>
      <w:bookmarkStart w:id="818" w:name="_Toc44492523"/>
      <w:bookmarkStart w:id="819" w:name="_Toc7279"/>
      <w:r>
        <w:rPr>
          <w:color w:val="auto"/>
          <w:highlight w:val="none"/>
        </w:rPr>
        <w:t>保修</w:t>
      </w:r>
      <w:bookmarkEnd w:id="818"/>
      <w:bookmarkEnd w:id="819"/>
    </w:p>
    <w:p>
      <w:pPr>
        <w:pStyle w:val="4"/>
        <w:numPr>
          <w:ilvl w:val="2"/>
          <w:numId w:val="5"/>
        </w:numPr>
        <w:ind w:left="782" w:hanging="782"/>
        <w:rPr>
          <w:color w:val="auto"/>
          <w:kern w:val="0"/>
          <w:highlight w:val="none"/>
        </w:rPr>
      </w:pPr>
      <w:bookmarkStart w:id="820" w:name="_Toc44492524"/>
      <w:bookmarkStart w:id="821" w:name="_Toc5391"/>
      <w:r>
        <w:rPr>
          <w:color w:val="auto"/>
          <w:kern w:val="0"/>
          <w:highlight w:val="none"/>
        </w:rPr>
        <w:t>保修责任</w:t>
      </w:r>
      <w:bookmarkEnd w:id="820"/>
      <w:bookmarkEnd w:id="821"/>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工程保修期及具体分部分项工程的保修期由合同当事人在专用合同条款中约定，但不得低于法定最低保修年限。在工程保修期内，承包人应当根据有关法律规定以及合同约定承担保修责任。</w:t>
      </w:r>
    </w:p>
    <w:p>
      <w:pPr>
        <w:pStyle w:val="4"/>
        <w:numPr>
          <w:ilvl w:val="2"/>
          <w:numId w:val="5"/>
        </w:numPr>
        <w:ind w:left="782" w:hanging="782"/>
        <w:rPr>
          <w:color w:val="auto"/>
          <w:highlight w:val="none"/>
        </w:rPr>
      </w:pPr>
      <w:bookmarkStart w:id="822" w:name="_Toc44492525"/>
      <w:bookmarkStart w:id="823" w:name="_Toc25579"/>
      <w:r>
        <w:rPr>
          <w:color w:val="auto"/>
          <w:highlight w:val="none"/>
        </w:rPr>
        <w:t>修复费用</w:t>
      </w:r>
      <w:bookmarkEnd w:id="822"/>
      <w:bookmarkEnd w:id="823"/>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保修期内，修复的费用按照以下约定处理：</w:t>
      </w:r>
    </w:p>
    <w:p>
      <w:pPr>
        <w:pStyle w:val="52"/>
        <w:numPr>
          <w:ilvl w:val="0"/>
          <w:numId w:val="37"/>
        </w:numPr>
        <w:ind w:left="885" w:leftChars="250" w:hanging="360" w:hangingChars="150"/>
        <w:jc w:val="both"/>
        <w:rPr>
          <w:rFonts w:eastAsia="宋体"/>
          <w:color w:val="auto"/>
          <w:sz w:val="24"/>
          <w:szCs w:val="24"/>
          <w:highlight w:val="none"/>
        </w:rPr>
      </w:pPr>
      <w:r>
        <w:rPr>
          <w:rFonts w:eastAsia="宋体"/>
          <w:color w:val="auto"/>
          <w:sz w:val="24"/>
          <w:szCs w:val="24"/>
          <w:highlight w:val="none"/>
        </w:rPr>
        <w:t>保修期内，因承包人原因造成工程的缺陷、损坏，承包人应负责修复，并承担修复的费用以及因工程的缺陷、损坏造成的人身伤害和财产损失；</w:t>
      </w:r>
    </w:p>
    <w:p>
      <w:pPr>
        <w:pStyle w:val="52"/>
        <w:numPr>
          <w:ilvl w:val="0"/>
          <w:numId w:val="37"/>
        </w:numPr>
        <w:ind w:left="885" w:leftChars="250" w:hanging="360" w:hangingChars="150"/>
        <w:jc w:val="both"/>
        <w:rPr>
          <w:rFonts w:eastAsia="宋体"/>
          <w:color w:val="auto"/>
          <w:sz w:val="24"/>
          <w:szCs w:val="24"/>
          <w:highlight w:val="none"/>
        </w:rPr>
      </w:pPr>
      <w:r>
        <w:rPr>
          <w:rFonts w:eastAsia="宋体"/>
          <w:color w:val="auto"/>
          <w:sz w:val="24"/>
          <w:szCs w:val="24"/>
          <w:highlight w:val="none"/>
        </w:rPr>
        <w:t>保修期内，因发包人使用不当造成工程的缺陷、损坏，可以委托承包人修复，但发包人应承担修复的费用；</w:t>
      </w:r>
    </w:p>
    <w:p>
      <w:pPr>
        <w:pStyle w:val="52"/>
        <w:numPr>
          <w:ilvl w:val="0"/>
          <w:numId w:val="37"/>
        </w:numPr>
        <w:ind w:left="885" w:leftChars="250" w:hanging="360" w:hangingChars="150"/>
        <w:jc w:val="both"/>
        <w:rPr>
          <w:rFonts w:eastAsia="宋体"/>
          <w:color w:val="auto"/>
          <w:sz w:val="24"/>
          <w:szCs w:val="24"/>
          <w:highlight w:val="none"/>
        </w:rPr>
      </w:pPr>
      <w:r>
        <w:rPr>
          <w:rFonts w:eastAsia="宋体"/>
          <w:color w:val="auto"/>
          <w:sz w:val="24"/>
          <w:szCs w:val="24"/>
          <w:highlight w:val="none"/>
        </w:rPr>
        <w:t>因其他原因造成工程的缺陷、损坏，可以委托承包人修复，发包人应承担修复的费用，因工程的缺陷、损坏造成的人身伤害和财产损失由责任方承担。</w:t>
      </w:r>
    </w:p>
    <w:p>
      <w:pPr>
        <w:pStyle w:val="4"/>
        <w:numPr>
          <w:ilvl w:val="2"/>
          <w:numId w:val="5"/>
        </w:numPr>
        <w:rPr>
          <w:color w:val="auto"/>
          <w:kern w:val="0"/>
          <w:highlight w:val="none"/>
        </w:rPr>
      </w:pPr>
      <w:bookmarkStart w:id="824" w:name="_Toc10963"/>
      <w:bookmarkStart w:id="825" w:name="_Toc44492526"/>
      <w:r>
        <w:rPr>
          <w:color w:val="auto"/>
          <w:kern w:val="0"/>
          <w:highlight w:val="none"/>
        </w:rPr>
        <w:t>修复通知</w:t>
      </w:r>
      <w:bookmarkEnd w:id="824"/>
      <w:bookmarkEnd w:id="825"/>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在保修期内，发包人在使用过程中，发现已接收的工程存在缺陷或损坏的，应书面通知承包人予以修复，但情况紧急必须立即修复缺陷或损坏的，发包人可以口头通知承包人</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如承包人要求</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发包人应及时补发</w:t>
      </w:r>
      <w:r>
        <w:rPr>
          <w:rFonts w:ascii="Times New Roman" w:hAnsi="Times New Roman"/>
          <w:color w:val="auto"/>
          <w:kern w:val="0"/>
          <w:sz w:val="24"/>
          <w:szCs w:val="24"/>
          <w:highlight w:val="none"/>
        </w:rPr>
        <w:t>书面</w:t>
      </w:r>
      <w:r>
        <w:rPr>
          <w:rFonts w:hint="eastAsia" w:ascii="宋体" w:hAnsi="宋体" w:cs="宋体"/>
          <w:color w:val="auto"/>
          <w:kern w:val="0"/>
          <w:sz w:val="24"/>
          <w:szCs w:val="24"/>
          <w:highlight w:val="none"/>
        </w:rPr>
        <w:t>通知</w:t>
      </w:r>
      <w:r>
        <w:rPr>
          <w:rFonts w:ascii="Times New Roman" w:hAnsi="Times New Roman"/>
          <w:color w:val="auto"/>
          <w:kern w:val="0"/>
          <w:sz w:val="24"/>
          <w:szCs w:val="24"/>
          <w:highlight w:val="none"/>
        </w:rPr>
        <w:t>，承包人应在专用合同条款约定的合理期限内到达工程现场并修复缺陷或损坏。</w:t>
      </w:r>
    </w:p>
    <w:p>
      <w:pPr>
        <w:pStyle w:val="4"/>
        <w:numPr>
          <w:ilvl w:val="2"/>
          <w:numId w:val="5"/>
        </w:numPr>
        <w:rPr>
          <w:color w:val="auto"/>
          <w:kern w:val="0"/>
          <w:highlight w:val="none"/>
        </w:rPr>
      </w:pPr>
      <w:bookmarkStart w:id="826" w:name="_Toc25236"/>
      <w:bookmarkStart w:id="827" w:name="_Toc44492527"/>
      <w:r>
        <w:rPr>
          <w:color w:val="auto"/>
          <w:kern w:val="0"/>
          <w:highlight w:val="none"/>
        </w:rPr>
        <w:t>未能修复</w:t>
      </w:r>
      <w:bookmarkEnd w:id="826"/>
      <w:bookmarkEnd w:id="827"/>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w:t>
      </w:r>
    </w:p>
    <w:p>
      <w:pPr>
        <w:pStyle w:val="4"/>
        <w:numPr>
          <w:ilvl w:val="2"/>
          <w:numId w:val="5"/>
        </w:numPr>
        <w:rPr>
          <w:color w:val="auto"/>
          <w:kern w:val="0"/>
          <w:highlight w:val="none"/>
        </w:rPr>
      </w:pPr>
      <w:bookmarkStart w:id="828" w:name="_Toc44492528"/>
      <w:bookmarkStart w:id="829" w:name="_Toc24852"/>
      <w:r>
        <w:rPr>
          <w:color w:val="auto"/>
          <w:kern w:val="0"/>
          <w:highlight w:val="none"/>
        </w:rPr>
        <w:t>承包人出入权</w:t>
      </w:r>
      <w:bookmarkEnd w:id="828"/>
      <w:bookmarkEnd w:id="829"/>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4"/>
        <w:numPr>
          <w:ilvl w:val="0"/>
          <w:numId w:val="5"/>
        </w:numPr>
        <w:rPr>
          <w:color w:val="auto"/>
          <w:highlight w:val="none"/>
        </w:rPr>
      </w:pPr>
      <w:bookmarkStart w:id="830" w:name="_Toc3977"/>
      <w:bookmarkStart w:id="831" w:name="_Toc20932"/>
      <w:bookmarkStart w:id="832" w:name="_Toc407356013"/>
      <w:bookmarkStart w:id="833" w:name="_Toc44492529"/>
      <w:bookmarkStart w:id="834" w:name="_Toc16521"/>
      <w:bookmarkStart w:id="835" w:name="_Toc47512250"/>
      <w:bookmarkStart w:id="836" w:name="_Toc6968"/>
      <w:bookmarkStart w:id="837" w:name="_Toc2284"/>
      <w:bookmarkStart w:id="838" w:name="_Toc44228001"/>
      <w:r>
        <w:rPr>
          <w:rFonts w:hint="eastAsia"/>
          <w:color w:val="auto"/>
          <w:highlight w:val="none"/>
        </w:rPr>
        <w:t xml:space="preserve">   </w:t>
      </w:r>
      <w:bookmarkStart w:id="839" w:name="_Toc21173"/>
      <w:r>
        <w:rPr>
          <w:color w:val="auto"/>
          <w:highlight w:val="none"/>
        </w:rPr>
        <w:t>保险</w:t>
      </w:r>
      <w:bookmarkEnd w:id="830"/>
      <w:bookmarkEnd w:id="831"/>
      <w:bookmarkEnd w:id="832"/>
      <w:bookmarkEnd w:id="833"/>
      <w:bookmarkEnd w:id="834"/>
      <w:bookmarkEnd w:id="835"/>
      <w:bookmarkEnd w:id="836"/>
      <w:bookmarkEnd w:id="837"/>
      <w:bookmarkEnd w:id="838"/>
      <w:bookmarkEnd w:id="839"/>
    </w:p>
    <w:p>
      <w:pPr>
        <w:pStyle w:val="4"/>
        <w:numPr>
          <w:ilvl w:val="1"/>
          <w:numId w:val="5"/>
        </w:numPr>
        <w:rPr>
          <w:color w:val="auto"/>
          <w:highlight w:val="none"/>
        </w:rPr>
      </w:pPr>
      <w:bookmarkStart w:id="840" w:name="_Toc2062"/>
      <w:bookmarkStart w:id="841" w:name="_Toc44492530"/>
      <w:bookmarkStart w:id="842" w:name="_Toc23326"/>
      <w:bookmarkStart w:id="843" w:name="_Toc20941"/>
      <w:r>
        <w:rPr>
          <w:color w:val="auto"/>
          <w:highlight w:val="none"/>
        </w:rPr>
        <w:t>建筑工程一切险(含第三者责任险）</w:t>
      </w:r>
      <w:bookmarkEnd w:id="840"/>
      <w:bookmarkEnd w:id="841"/>
      <w:bookmarkEnd w:id="842"/>
      <w:bookmarkEnd w:id="843"/>
    </w:p>
    <w:p>
      <w:pPr>
        <w:pStyle w:val="4"/>
        <w:numPr>
          <w:ilvl w:val="2"/>
          <w:numId w:val="5"/>
        </w:numPr>
        <w:ind w:left="782" w:hanging="782"/>
        <w:rPr>
          <w:color w:val="auto"/>
          <w:highlight w:val="none"/>
        </w:rPr>
      </w:pPr>
      <w:bookmarkStart w:id="844" w:name="_Toc31729"/>
      <w:r>
        <w:rPr>
          <w:color w:val="auto"/>
          <w:highlight w:val="none"/>
        </w:rPr>
        <w:t>在不免除或减少、降低</w:t>
      </w:r>
      <w:r>
        <w:rPr>
          <w:rFonts w:hint="eastAsia"/>
          <w:color w:val="auto"/>
          <w:highlight w:val="none"/>
          <w:lang w:val="en-US" w:eastAsia="zh-CN"/>
        </w:rPr>
        <w:t>总</w:t>
      </w:r>
      <w:r>
        <w:rPr>
          <w:color w:val="auto"/>
          <w:highlight w:val="none"/>
        </w:rPr>
        <w:t>承包人按本合同所承担的全部责任和义务的前提下，本工程项目应投保建筑工程一切险(含第三者责任险）。本工程项目应投保的建筑工程一切险（含第三者责任险）的相关费用均已包含在</w:t>
      </w:r>
      <w:r>
        <w:rPr>
          <w:rFonts w:hint="eastAsia"/>
          <w:color w:val="auto"/>
          <w:highlight w:val="none"/>
        </w:rPr>
        <w:t>暂定</w:t>
      </w:r>
      <w:r>
        <w:rPr>
          <w:color w:val="auto"/>
          <w:highlight w:val="none"/>
        </w:rPr>
        <w:t>合同总价中。其具体的投保内容、保险金额、保险费率、保险期限、免赔额等有关内容在专用合同条款中约定。</w:t>
      </w:r>
      <w:bookmarkEnd w:id="844"/>
    </w:p>
    <w:p>
      <w:pPr>
        <w:pStyle w:val="4"/>
        <w:numPr>
          <w:ilvl w:val="1"/>
          <w:numId w:val="5"/>
        </w:numPr>
        <w:rPr>
          <w:color w:val="auto"/>
          <w:highlight w:val="none"/>
        </w:rPr>
      </w:pPr>
      <w:bookmarkStart w:id="845" w:name="_Toc13698"/>
      <w:bookmarkStart w:id="846" w:name="_Toc6123"/>
      <w:bookmarkStart w:id="847" w:name="_Toc44492531"/>
      <w:bookmarkStart w:id="848" w:name="_Toc4392"/>
      <w:r>
        <w:rPr>
          <w:color w:val="auto"/>
          <w:highlight w:val="none"/>
        </w:rPr>
        <w:t>人身伤亡及财产损失责任险</w:t>
      </w:r>
      <w:bookmarkEnd w:id="845"/>
      <w:bookmarkEnd w:id="846"/>
      <w:bookmarkEnd w:id="847"/>
      <w:bookmarkEnd w:id="848"/>
    </w:p>
    <w:p>
      <w:pPr>
        <w:pStyle w:val="4"/>
        <w:numPr>
          <w:ilvl w:val="2"/>
          <w:numId w:val="5"/>
        </w:numPr>
        <w:ind w:left="782" w:hanging="782"/>
        <w:rPr>
          <w:color w:val="auto"/>
          <w:highlight w:val="none"/>
        </w:rPr>
      </w:pPr>
      <w:bookmarkStart w:id="849" w:name="_Toc5666"/>
      <w:r>
        <w:rPr>
          <w:color w:val="auto"/>
          <w:highlight w:val="none"/>
        </w:rPr>
        <w:t>承包人须对与本工程有关或本工程进行期间发生的或因本工程引致的人身伤亡、财产损失的费用、责任、损失、索偿或诉讼负责，并须保障发包人免负此类责任，除非有关伤亡是发包人或其应负责的人直接责任所引致的。若发包人因有关法律规定司法裁判、行政决定裁决或调解、和解协议或维稳需要先行承担责任或承担连带责任的，承包人应予赔偿。</w:t>
      </w:r>
      <w:bookmarkEnd w:id="849"/>
    </w:p>
    <w:p>
      <w:pPr>
        <w:pStyle w:val="4"/>
        <w:numPr>
          <w:ilvl w:val="1"/>
          <w:numId w:val="5"/>
        </w:numPr>
        <w:rPr>
          <w:color w:val="auto"/>
          <w:highlight w:val="none"/>
        </w:rPr>
      </w:pPr>
      <w:bookmarkStart w:id="850" w:name="_Toc26616"/>
      <w:bookmarkStart w:id="851" w:name="_Toc2000"/>
      <w:bookmarkStart w:id="852" w:name="_Toc5802"/>
      <w:bookmarkStart w:id="853" w:name="_Toc44492532"/>
      <w:r>
        <w:rPr>
          <w:color w:val="auto"/>
          <w:highlight w:val="none"/>
        </w:rPr>
        <w:t>雇员赔偿保险</w:t>
      </w:r>
      <w:bookmarkEnd w:id="850"/>
      <w:bookmarkEnd w:id="851"/>
      <w:bookmarkEnd w:id="852"/>
      <w:bookmarkEnd w:id="853"/>
    </w:p>
    <w:p>
      <w:pPr>
        <w:pStyle w:val="4"/>
        <w:numPr>
          <w:ilvl w:val="2"/>
          <w:numId w:val="5"/>
        </w:numPr>
        <w:ind w:left="782" w:hanging="782"/>
        <w:rPr>
          <w:color w:val="auto"/>
          <w:highlight w:val="none"/>
        </w:rPr>
      </w:pPr>
      <w:bookmarkStart w:id="854" w:name="_Toc1091"/>
      <w:r>
        <w:rPr>
          <w:color w:val="auto"/>
          <w:highlight w:val="none"/>
        </w:rPr>
        <w:t>承包人须对其雇员、工作人员、代理人、劳务人员的意外或伤亡负全责。</w:t>
      </w:r>
      <w:bookmarkEnd w:id="854"/>
    </w:p>
    <w:p>
      <w:pPr>
        <w:pStyle w:val="4"/>
        <w:numPr>
          <w:ilvl w:val="2"/>
          <w:numId w:val="5"/>
        </w:numPr>
        <w:ind w:left="782" w:hanging="782"/>
        <w:rPr>
          <w:color w:val="auto"/>
          <w:highlight w:val="none"/>
        </w:rPr>
      </w:pPr>
      <w:bookmarkStart w:id="855" w:name="_Toc29486"/>
      <w:r>
        <w:rPr>
          <w:color w:val="auto"/>
          <w:highlight w:val="none"/>
        </w:rPr>
        <w:t>发包人对任何承包单位的雇员、代理人、劳务人员或其他人的意外或伤亡，不论该人是受雇于总承包人或其他分包单位，皆不负任何法律上的赔偿责任。总承包人须保障发包人免负任何有关的索偿、要求、诉讼、成本、费用和支出。若发包人因有关法律规定或司法行政决定或和解协议需要先行承担责任或承担连带责任的，总承包人应予赔偿。</w:t>
      </w:r>
      <w:bookmarkEnd w:id="855"/>
    </w:p>
    <w:p>
      <w:pPr>
        <w:pStyle w:val="4"/>
        <w:numPr>
          <w:ilvl w:val="2"/>
          <w:numId w:val="5"/>
        </w:numPr>
        <w:ind w:left="782" w:hanging="782"/>
        <w:rPr>
          <w:color w:val="auto"/>
          <w:highlight w:val="none"/>
        </w:rPr>
      </w:pPr>
      <w:bookmarkStart w:id="856" w:name="_Toc8717"/>
      <w:r>
        <w:rPr>
          <w:color w:val="auto"/>
          <w:highlight w:val="none"/>
        </w:rPr>
        <w:t>承包人须为自己和对受雇于工地上或在当地任何地方从事与本工程有关的工作的所有员工、雇员、代理人、劳务人员或其他人的所有责任投有及维持所需的意外、工伤保险及社会保险等。</w:t>
      </w:r>
      <w:bookmarkEnd w:id="856"/>
    </w:p>
    <w:p>
      <w:pPr>
        <w:pStyle w:val="4"/>
        <w:numPr>
          <w:ilvl w:val="2"/>
          <w:numId w:val="5"/>
        </w:numPr>
        <w:ind w:left="782" w:hanging="782"/>
        <w:rPr>
          <w:color w:val="auto"/>
          <w:highlight w:val="none"/>
        </w:rPr>
      </w:pPr>
      <w:bookmarkStart w:id="857" w:name="_Toc19412"/>
      <w:r>
        <w:rPr>
          <w:color w:val="auto"/>
          <w:highlight w:val="none"/>
        </w:rPr>
        <w:t>假若有任何受雇于本工程或与本合同有关的雇员或其他人士，受到损伤，不论有无索偿，总承包人须马上以书面形式将该损伤通知发包人。</w:t>
      </w:r>
      <w:bookmarkEnd w:id="857"/>
    </w:p>
    <w:p>
      <w:pPr>
        <w:pStyle w:val="4"/>
        <w:numPr>
          <w:ilvl w:val="1"/>
          <w:numId w:val="5"/>
        </w:numPr>
        <w:rPr>
          <w:color w:val="auto"/>
          <w:highlight w:val="none"/>
        </w:rPr>
      </w:pPr>
      <w:bookmarkStart w:id="858" w:name="_Toc28705"/>
      <w:bookmarkStart w:id="859" w:name="_Toc44492533"/>
      <w:bookmarkStart w:id="860" w:name="_Toc8775"/>
      <w:bookmarkStart w:id="861" w:name="_Toc15128"/>
      <w:r>
        <w:rPr>
          <w:color w:val="auto"/>
          <w:highlight w:val="none"/>
        </w:rPr>
        <w:t>其他保险</w:t>
      </w:r>
      <w:bookmarkEnd w:id="858"/>
      <w:bookmarkEnd w:id="859"/>
      <w:bookmarkEnd w:id="860"/>
      <w:bookmarkEnd w:id="861"/>
    </w:p>
    <w:p>
      <w:pPr>
        <w:pStyle w:val="4"/>
        <w:numPr>
          <w:ilvl w:val="2"/>
          <w:numId w:val="5"/>
        </w:numPr>
        <w:ind w:left="782" w:hanging="782"/>
        <w:rPr>
          <w:color w:val="auto"/>
          <w:highlight w:val="none"/>
        </w:rPr>
      </w:pPr>
      <w:bookmarkStart w:id="862" w:name="_Toc23305"/>
      <w:r>
        <w:rPr>
          <w:color w:val="auto"/>
          <w:highlight w:val="none"/>
        </w:rPr>
        <w:t>除专用条款另有约定外，承包人应为其施工设备、进场的材料和工程设备等办理保险。</w:t>
      </w:r>
      <w:bookmarkEnd w:id="862"/>
    </w:p>
    <w:p>
      <w:pPr>
        <w:pStyle w:val="4"/>
        <w:numPr>
          <w:ilvl w:val="1"/>
          <w:numId w:val="5"/>
        </w:numPr>
        <w:rPr>
          <w:color w:val="auto"/>
          <w:highlight w:val="none"/>
        </w:rPr>
      </w:pPr>
      <w:bookmarkStart w:id="863" w:name="_Toc5668"/>
      <w:bookmarkStart w:id="864" w:name="_Toc21252"/>
      <w:bookmarkStart w:id="865" w:name="_Toc44492534"/>
      <w:bookmarkStart w:id="866" w:name="_Toc22569"/>
      <w:r>
        <w:rPr>
          <w:color w:val="auto"/>
          <w:highlight w:val="none"/>
        </w:rPr>
        <w:t>对各项保险的一般要求</w:t>
      </w:r>
      <w:bookmarkEnd w:id="863"/>
      <w:bookmarkEnd w:id="864"/>
      <w:bookmarkEnd w:id="865"/>
      <w:bookmarkEnd w:id="866"/>
    </w:p>
    <w:p>
      <w:pPr>
        <w:pStyle w:val="4"/>
        <w:numPr>
          <w:ilvl w:val="2"/>
          <w:numId w:val="5"/>
        </w:numPr>
        <w:ind w:left="782" w:hanging="782"/>
        <w:rPr>
          <w:color w:val="auto"/>
          <w:highlight w:val="none"/>
        </w:rPr>
      </w:pPr>
      <w:bookmarkStart w:id="867" w:name="_Toc10146"/>
      <w:r>
        <w:rPr>
          <w:rFonts w:hint="eastAsia"/>
          <w:color w:val="auto"/>
          <w:highlight w:val="none"/>
        </w:rPr>
        <w:t>承包人应向发包人提交各项保险生效的证据和保险单副本</w:t>
      </w:r>
      <w:r>
        <w:rPr>
          <w:color w:val="auto"/>
          <w:highlight w:val="none"/>
        </w:rPr>
        <w:t>，保险单必须与专用条款约定的条件保持一致。</w:t>
      </w:r>
      <w:bookmarkEnd w:id="867"/>
    </w:p>
    <w:p>
      <w:pPr>
        <w:pStyle w:val="4"/>
        <w:numPr>
          <w:ilvl w:val="2"/>
          <w:numId w:val="5"/>
        </w:numPr>
        <w:ind w:left="782" w:hanging="782"/>
        <w:rPr>
          <w:color w:val="auto"/>
          <w:highlight w:val="none"/>
        </w:rPr>
      </w:pPr>
      <w:bookmarkStart w:id="868" w:name="_Toc4585"/>
      <w:r>
        <w:rPr>
          <w:color w:val="auto"/>
          <w:highlight w:val="none"/>
        </w:rPr>
        <w:t>承包人将被视为对保险单内一切条款清楚明确，并积极地遵循保险条款和承保人关于解决索偿、追讨损失和防止意外的一切合理要求，并自费负责因未能遵循的后果。承包人应尊重保险索偿的结果并放弃对发包人因处理保险事宜引起的一切赔偿及责任追讨。承包人须自行承担保险单内规定的保险除外责任、免赔额、不负责项目或限制的费用，除非合同明确规定它们是属于发包人在本合同内应承担的风险或责任。</w:t>
      </w:r>
      <w:bookmarkEnd w:id="868"/>
    </w:p>
    <w:p>
      <w:pPr>
        <w:pStyle w:val="4"/>
        <w:numPr>
          <w:ilvl w:val="2"/>
          <w:numId w:val="5"/>
        </w:numPr>
        <w:ind w:left="782" w:hanging="782"/>
        <w:rPr>
          <w:color w:val="auto"/>
          <w:highlight w:val="none"/>
        </w:rPr>
      </w:pPr>
      <w:bookmarkStart w:id="869" w:name="_Toc324"/>
      <w:r>
        <w:rPr>
          <w:color w:val="auto"/>
          <w:highlight w:val="none"/>
        </w:rPr>
        <w:t>承包人需要变动保险合同条款时，应事先征得发包人同意，并通知</w:t>
      </w:r>
      <w:r>
        <w:rPr>
          <w:rFonts w:hint="eastAsia"/>
          <w:color w:val="auto"/>
          <w:highlight w:val="none"/>
          <w:lang w:eastAsia="zh-CN"/>
        </w:rPr>
        <w:t>发包人</w:t>
      </w:r>
      <w:r>
        <w:rPr>
          <w:color w:val="auto"/>
          <w:highlight w:val="none"/>
        </w:rPr>
        <w:t>。保险人作出变动的，承包人应提异议的应及时提出异议、与其磋商，并在收到保险人通知后立即通知</w:t>
      </w:r>
      <w:r>
        <w:rPr>
          <w:rFonts w:hint="eastAsia"/>
          <w:color w:val="auto"/>
          <w:highlight w:val="none"/>
          <w:lang w:eastAsia="zh-CN"/>
        </w:rPr>
        <w:t>发包人</w:t>
      </w:r>
      <w:r>
        <w:rPr>
          <w:color w:val="auto"/>
          <w:highlight w:val="none"/>
        </w:rPr>
        <w:t>，异议亦同。</w:t>
      </w:r>
      <w:bookmarkEnd w:id="869"/>
    </w:p>
    <w:p>
      <w:pPr>
        <w:pStyle w:val="4"/>
        <w:numPr>
          <w:ilvl w:val="2"/>
          <w:numId w:val="5"/>
        </w:numPr>
        <w:ind w:left="782" w:hanging="782"/>
        <w:rPr>
          <w:color w:val="auto"/>
          <w:highlight w:val="none"/>
        </w:rPr>
      </w:pPr>
      <w:bookmarkStart w:id="870" w:name="_Toc18769"/>
      <w:r>
        <w:rPr>
          <w:color w:val="auto"/>
          <w:highlight w:val="none"/>
        </w:rPr>
        <w:t>承包人应与保险人保持联系，使保险人能够随时了解工程实施中的变动，并确保按保险合同条款要求持续保险。</w:t>
      </w:r>
      <w:bookmarkEnd w:id="870"/>
    </w:p>
    <w:p>
      <w:pPr>
        <w:pStyle w:val="4"/>
        <w:numPr>
          <w:ilvl w:val="2"/>
          <w:numId w:val="5"/>
        </w:numPr>
        <w:ind w:left="782" w:hanging="782"/>
        <w:rPr>
          <w:color w:val="auto"/>
          <w:highlight w:val="none"/>
        </w:rPr>
      </w:pPr>
      <w:bookmarkStart w:id="871" w:name="_Toc3261"/>
      <w:r>
        <w:rPr>
          <w:color w:val="auto"/>
          <w:highlight w:val="none"/>
        </w:rPr>
        <w:t>当保险事故发生时，投保人应按照保险单规定的条件和期限及时向保险人报告。</w:t>
      </w:r>
      <w:bookmarkEnd w:id="871"/>
    </w:p>
    <w:p>
      <w:pPr>
        <w:pStyle w:val="4"/>
        <w:numPr>
          <w:ilvl w:val="2"/>
          <w:numId w:val="5"/>
        </w:numPr>
        <w:ind w:left="782" w:hanging="782"/>
        <w:rPr>
          <w:color w:val="auto"/>
          <w:highlight w:val="none"/>
        </w:rPr>
      </w:pPr>
      <w:bookmarkStart w:id="872" w:name="_Toc5614"/>
      <w:r>
        <w:rPr>
          <w:color w:val="auto"/>
          <w:highlight w:val="none"/>
        </w:rPr>
        <w:t>保险期若因承包人的过失而需延长，因此而增加的保险费由承包人负担。</w:t>
      </w:r>
      <w:bookmarkEnd w:id="872"/>
    </w:p>
    <w:p>
      <w:pPr>
        <w:pStyle w:val="4"/>
        <w:numPr>
          <w:ilvl w:val="0"/>
          <w:numId w:val="5"/>
        </w:numPr>
        <w:rPr>
          <w:color w:val="auto"/>
          <w:highlight w:val="none"/>
        </w:rPr>
      </w:pPr>
      <w:bookmarkStart w:id="873" w:name="_Toc17910"/>
      <w:bookmarkStart w:id="874" w:name="_Toc16044"/>
      <w:bookmarkStart w:id="875" w:name="_Toc44492535"/>
      <w:bookmarkStart w:id="876" w:name="_Toc5318"/>
      <w:bookmarkStart w:id="877" w:name="_Toc44228002"/>
      <w:bookmarkStart w:id="878" w:name="_Toc19820"/>
      <w:bookmarkStart w:id="879" w:name="_Toc407356014"/>
      <w:bookmarkStart w:id="880" w:name="_Toc47512251"/>
      <w:bookmarkStart w:id="881" w:name="_Toc18609"/>
      <w:bookmarkStart w:id="882" w:name="_Toc1341"/>
      <w:r>
        <w:rPr>
          <w:color w:val="auto"/>
          <w:highlight w:val="none"/>
        </w:rPr>
        <w:t>不可抗力</w:t>
      </w:r>
      <w:bookmarkEnd w:id="873"/>
      <w:bookmarkEnd w:id="874"/>
      <w:bookmarkEnd w:id="875"/>
      <w:bookmarkEnd w:id="876"/>
      <w:bookmarkEnd w:id="877"/>
      <w:bookmarkEnd w:id="878"/>
      <w:bookmarkEnd w:id="879"/>
      <w:bookmarkEnd w:id="880"/>
      <w:bookmarkEnd w:id="881"/>
      <w:bookmarkEnd w:id="882"/>
    </w:p>
    <w:p>
      <w:pPr>
        <w:pStyle w:val="4"/>
        <w:numPr>
          <w:ilvl w:val="1"/>
          <w:numId w:val="5"/>
        </w:numPr>
        <w:rPr>
          <w:color w:val="auto"/>
          <w:highlight w:val="none"/>
        </w:rPr>
      </w:pPr>
      <w:bookmarkStart w:id="883" w:name="_Toc7859"/>
      <w:bookmarkStart w:id="884" w:name="_Toc1388"/>
      <w:bookmarkStart w:id="885" w:name="_Toc5740"/>
      <w:bookmarkStart w:id="886" w:name="_Toc44492536"/>
      <w:r>
        <w:rPr>
          <w:color w:val="auto"/>
          <w:highlight w:val="none"/>
        </w:rPr>
        <w:t>不可抗力的确认</w:t>
      </w:r>
      <w:bookmarkEnd w:id="883"/>
      <w:bookmarkEnd w:id="884"/>
      <w:bookmarkEnd w:id="885"/>
      <w:bookmarkEnd w:id="886"/>
    </w:p>
    <w:p>
      <w:pPr>
        <w:pStyle w:val="4"/>
        <w:numPr>
          <w:ilvl w:val="2"/>
          <w:numId w:val="5"/>
        </w:numPr>
        <w:ind w:left="782" w:hanging="782"/>
        <w:rPr>
          <w:color w:val="auto"/>
          <w:highlight w:val="none"/>
        </w:rPr>
      </w:pPr>
      <w:bookmarkStart w:id="887" w:name="_Toc31473"/>
      <w:r>
        <w:rPr>
          <w:color w:val="auto"/>
          <w:highlight w:val="none"/>
        </w:rPr>
        <w:t>不可抗力是指承包人和发包人在订立合同时不可预见，在工程施工过程中不可避免发生并不能克服的自然灾害和社会性突发事件，如地震、海啸、瘟疫、水灾、骚乱、暴动、战争等。</w:t>
      </w:r>
      <w:bookmarkEnd w:id="887"/>
    </w:p>
    <w:p>
      <w:pPr>
        <w:pStyle w:val="4"/>
        <w:numPr>
          <w:ilvl w:val="2"/>
          <w:numId w:val="5"/>
        </w:numPr>
        <w:ind w:left="782" w:hanging="782"/>
        <w:rPr>
          <w:color w:val="auto"/>
          <w:highlight w:val="none"/>
        </w:rPr>
      </w:pPr>
      <w:bookmarkStart w:id="888" w:name="_Toc22280"/>
      <w:r>
        <w:rPr>
          <w:color w:val="auto"/>
          <w:highlight w:val="none"/>
        </w:rPr>
        <w:t>不可抗力发生后，发包人和承包人应及时认真统计所造成的损失，收集不可抗力造成损失的证据。合同当事人双方对是否属于不可抗力或其损失的意见不一致的，由双方商定或确定。发生争议时，按第23条的约定办理。</w:t>
      </w:r>
      <w:bookmarkEnd w:id="888"/>
    </w:p>
    <w:p>
      <w:pPr>
        <w:pStyle w:val="4"/>
        <w:numPr>
          <w:ilvl w:val="1"/>
          <w:numId w:val="5"/>
        </w:numPr>
        <w:rPr>
          <w:color w:val="auto"/>
          <w:highlight w:val="none"/>
        </w:rPr>
      </w:pPr>
      <w:bookmarkStart w:id="889" w:name="_Toc3395"/>
      <w:bookmarkStart w:id="890" w:name="_Toc14381"/>
      <w:bookmarkStart w:id="891" w:name="_Toc27173"/>
      <w:bookmarkStart w:id="892" w:name="_Toc44492537"/>
      <w:r>
        <w:rPr>
          <w:color w:val="auto"/>
          <w:highlight w:val="none"/>
        </w:rPr>
        <w:t>不可抗力的通知</w:t>
      </w:r>
      <w:bookmarkEnd w:id="889"/>
      <w:bookmarkEnd w:id="890"/>
      <w:bookmarkEnd w:id="891"/>
      <w:bookmarkEnd w:id="892"/>
    </w:p>
    <w:p>
      <w:pPr>
        <w:pStyle w:val="4"/>
        <w:numPr>
          <w:ilvl w:val="2"/>
          <w:numId w:val="5"/>
        </w:numPr>
        <w:ind w:left="782" w:hanging="782"/>
        <w:rPr>
          <w:color w:val="auto"/>
          <w:highlight w:val="none"/>
        </w:rPr>
      </w:pPr>
      <w:bookmarkStart w:id="893" w:name="_Toc18881"/>
      <w:r>
        <w:rPr>
          <w:color w:val="auto"/>
          <w:highlight w:val="none"/>
        </w:rPr>
        <w:t>合同一方当事人遇到不可抗力事件，使其履行合同义务受到阻碍时，应立即通知合同另一方当事人，书面说明不可抗力和受阻碍的详细情况，并提供必要的证明。</w:t>
      </w:r>
      <w:bookmarkEnd w:id="893"/>
    </w:p>
    <w:p>
      <w:pPr>
        <w:pStyle w:val="4"/>
        <w:numPr>
          <w:ilvl w:val="2"/>
          <w:numId w:val="5"/>
        </w:numPr>
        <w:ind w:left="782" w:hanging="782"/>
        <w:rPr>
          <w:color w:val="auto"/>
          <w:highlight w:val="none"/>
        </w:rPr>
      </w:pPr>
      <w:bookmarkStart w:id="894" w:name="_Toc31397"/>
      <w:r>
        <w:rPr>
          <w:color w:val="auto"/>
          <w:highlight w:val="none"/>
        </w:rPr>
        <w:t>如不可抗力持续发生，合同一方当事人应及时向合同另一方当事人提交中间报告，说明不可抗力和履行合同受阻的情况，并于不可抗力事件结束后28天内提交最终报告及有关资料。</w:t>
      </w:r>
      <w:bookmarkEnd w:id="894"/>
    </w:p>
    <w:p>
      <w:pPr>
        <w:pStyle w:val="4"/>
        <w:numPr>
          <w:ilvl w:val="1"/>
          <w:numId w:val="5"/>
        </w:numPr>
        <w:rPr>
          <w:color w:val="auto"/>
          <w:highlight w:val="none"/>
        </w:rPr>
      </w:pPr>
      <w:bookmarkStart w:id="895" w:name="_Toc44492538"/>
      <w:bookmarkStart w:id="896" w:name="_Toc7341"/>
      <w:bookmarkStart w:id="897" w:name="_Toc26893"/>
      <w:bookmarkStart w:id="898" w:name="_Toc8796"/>
      <w:r>
        <w:rPr>
          <w:color w:val="auto"/>
          <w:highlight w:val="none"/>
        </w:rPr>
        <w:t>不可抗力后果及其处理</w:t>
      </w:r>
      <w:bookmarkEnd w:id="895"/>
      <w:bookmarkEnd w:id="896"/>
      <w:bookmarkEnd w:id="897"/>
      <w:bookmarkEnd w:id="898"/>
    </w:p>
    <w:p>
      <w:pPr>
        <w:pStyle w:val="4"/>
        <w:numPr>
          <w:ilvl w:val="2"/>
          <w:numId w:val="5"/>
        </w:numPr>
        <w:ind w:left="782" w:hanging="782"/>
        <w:rPr>
          <w:color w:val="auto"/>
          <w:highlight w:val="none"/>
        </w:rPr>
      </w:pPr>
      <w:bookmarkStart w:id="899" w:name="_Toc15888"/>
      <w:r>
        <w:rPr>
          <w:color w:val="auto"/>
          <w:highlight w:val="none"/>
        </w:rPr>
        <w:t>不可抗力发生后，发包人和承包人均应采取措施尽量避免和减少损失的扩大，任何一方没有采取有效措施导致损失扩大的，应对扩大的损失承担责任。</w:t>
      </w:r>
      <w:bookmarkEnd w:id="899"/>
    </w:p>
    <w:p>
      <w:pPr>
        <w:pStyle w:val="4"/>
        <w:numPr>
          <w:ilvl w:val="2"/>
          <w:numId w:val="5"/>
        </w:numPr>
        <w:ind w:left="782" w:hanging="782"/>
        <w:rPr>
          <w:color w:val="auto"/>
          <w:highlight w:val="none"/>
        </w:rPr>
      </w:pPr>
      <w:bookmarkStart w:id="900" w:name="_Toc13321"/>
      <w:r>
        <w:rPr>
          <w:color w:val="auto"/>
          <w:highlight w:val="none"/>
        </w:rPr>
        <w:t>除专用条款另有约定外，不可抗力导致的人员伤亡、财产损失、费用增加和（或）工期延误等后果，由合同当事人双方按以下原则承担：</w:t>
      </w:r>
      <w:bookmarkEnd w:id="900"/>
    </w:p>
    <w:p>
      <w:pPr>
        <w:pStyle w:val="52"/>
        <w:numPr>
          <w:ilvl w:val="0"/>
          <w:numId w:val="38"/>
        </w:numPr>
        <w:ind w:left="885" w:leftChars="250" w:hanging="360" w:hangingChars="150"/>
        <w:jc w:val="both"/>
        <w:rPr>
          <w:rFonts w:eastAsia="宋体"/>
          <w:color w:val="auto"/>
          <w:sz w:val="24"/>
          <w:szCs w:val="24"/>
          <w:highlight w:val="none"/>
        </w:rPr>
      </w:pPr>
      <w:r>
        <w:rPr>
          <w:rFonts w:eastAsia="宋体"/>
          <w:color w:val="auto"/>
          <w:sz w:val="24"/>
          <w:szCs w:val="24"/>
          <w:highlight w:val="none"/>
        </w:rPr>
        <w:t>永久工程，包括已运至施工场地的材料和工程设备的损害，以及因工程损害造成的第三者人员伤亡和财产损失由发包人承担；</w:t>
      </w:r>
    </w:p>
    <w:p>
      <w:pPr>
        <w:pStyle w:val="52"/>
        <w:numPr>
          <w:ilvl w:val="0"/>
          <w:numId w:val="38"/>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承包人设备的损坏由承包人承担；</w:t>
      </w:r>
    </w:p>
    <w:p>
      <w:pPr>
        <w:pStyle w:val="52"/>
        <w:numPr>
          <w:ilvl w:val="0"/>
          <w:numId w:val="38"/>
        </w:numPr>
        <w:ind w:left="885" w:leftChars="250" w:hanging="360" w:hangingChars="150"/>
        <w:jc w:val="both"/>
        <w:rPr>
          <w:rFonts w:eastAsia="宋体"/>
          <w:color w:val="auto"/>
          <w:sz w:val="24"/>
          <w:szCs w:val="24"/>
          <w:highlight w:val="none"/>
        </w:rPr>
      </w:pPr>
      <w:r>
        <w:rPr>
          <w:rFonts w:eastAsia="宋体"/>
          <w:color w:val="auto"/>
          <w:sz w:val="24"/>
          <w:szCs w:val="24"/>
          <w:highlight w:val="none"/>
        </w:rPr>
        <w:t>发包人和承包人各自承担其人员伤亡和其他财产损失及其相关费用；</w:t>
      </w:r>
    </w:p>
    <w:p>
      <w:pPr>
        <w:pStyle w:val="52"/>
        <w:numPr>
          <w:ilvl w:val="0"/>
          <w:numId w:val="38"/>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承包人的停工损失由承包人承担，但停工期间应</w:t>
      </w:r>
      <w:r>
        <w:rPr>
          <w:rFonts w:hint="eastAsia" w:eastAsia="宋体"/>
          <w:color w:val="auto"/>
          <w:sz w:val="24"/>
          <w:szCs w:val="24"/>
          <w:highlight w:val="none"/>
          <w:lang w:eastAsia="zh-CN"/>
        </w:rPr>
        <w:t>发包人</w:t>
      </w:r>
      <w:r>
        <w:rPr>
          <w:rFonts w:eastAsia="宋体"/>
          <w:color w:val="auto"/>
          <w:sz w:val="24"/>
          <w:szCs w:val="24"/>
          <w:highlight w:val="none"/>
        </w:rPr>
        <w:t>要求照管工程和清理、修复工程的金额由发包人承担；</w:t>
      </w:r>
    </w:p>
    <w:p>
      <w:pPr>
        <w:pStyle w:val="52"/>
        <w:numPr>
          <w:ilvl w:val="0"/>
          <w:numId w:val="38"/>
        </w:numPr>
        <w:ind w:left="885" w:leftChars="250" w:hanging="360" w:hangingChars="150"/>
        <w:jc w:val="both"/>
        <w:rPr>
          <w:rFonts w:eastAsia="宋体"/>
          <w:color w:val="auto"/>
          <w:sz w:val="24"/>
          <w:szCs w:val="24"/>
          <w:highlight w:val="none"/>
        </w:rPr>
      </w:pPr>
      <w:r>
        <w:rPr>
          <w:rFonts w:eastAsia="宋体"/>
          <w:color w:val="auto"/>
          <w:sz w:val="24"/>
          <w:szCs w:val="24"/>
          <w:highlight w:val="none"/>
        </w:rPr>
        <w:t>不能按期竣工的，应合理延长工期，承包人不需支付逾期竣工违约金。发包人要求赶工的，承包人应采取赶工措施，赶工费用由发包人承担。</w:t>
      </w:r>
    </w:p>
    <w:p>
      <w:pPr>
        <w:pStyle w:val="4"/>
        <w:numPr>
          <w:ilvl w:val="0"/>
          <w:numId w:val="5"/>
        </w:numPr>
        <w:rPr>
          <w:color w:val="auto"/>
          <w:highlight w:val="none"/>
        </w:rPr>
      </w:pPr>
      <w:bookmarkStart w:id="901" w:name="_Toc44492539"/>
      <w:bookmarkStart w:id="902" w:name="_Toc9888"/>
      <w:bookmarkStart w:id="903" w:name="_Toc47512252"/>
      <w:bookmarkStart w:id="904" w:name="_Toc18285"/>
      <w:bookmarkStart w:id="905" w:name="_Toc15905"/>
      <w:bookmarkStart w:id="906" w:name="_Toc12803"/>
      <w:bookmarkStart w:id="907" w:name="_Toc44228003"/>
      <w:bookmarkStart w:id="908" w:name="_Toc28852"/>
      <w:bookmarkStart w:id="909" w:name="_Toc5360"/>
      <w:bookmarkStart w:id="910" w:name="_Toc407356015"/>
      <w:r>
        <w:rPr>
          <w:color w:val="auto"/>
          <w:highlight w:val="none"/>
        </w:rPr>
        <w:t>违约</w:t>
      </w:r>
      <w:bookmarkEnd w:id="901"/>
      <w:bookmarkEnd w:id="902"/>
      <w:bookmarkEnd w:id="903"/>
      <w:bookmarkEnd w:id="904"/>
      <w:bookmarkEnd w:id="905"/>
      <w:bookmarkEnd w:id="906"/>
      <w:bookmarkEnd w:id="907"/>
      <w:bookmarkEnd w:id="908"/>
      <w:bookmarkEnd w:id="909"/>
      <w:bookmarkEnd w:id="910"/>
    </w:p>
    <w:p>
      <w:pPr>
        <w:pStyle w:val="4"/>
        <w:numPr>
          <w:ilvl w:val="1"/>
          <w:numId w:val="5"/>
        </w:numPr>
        <w:rPr>
          <w:color w:val="auto"/>
          <w:highlight w:val="none"/>
        </w:rPr>
      </w:pPr>
      <w:bookmarkStart w:id="911" w:name="_Toc29125"/>
      <w:bookmarkStart w:id="912" w:name="_Toc7057"/>
      <w:bookmarkStart w:id="913" w:name="_Toc44492540"/>
      <w:bookmarkStart w:id="914" w:name="_Toc22285"/>
      <w:r>
        <w:rPr>
          <w:color w:val="auto"/>
          <w:highlight w:val="none"/>
        </w:rPr>
        <w:t>承包人违约</w:t>
      </w:r>
      <w:bookmarkEnd w:id="911"/>
      <w:bookmarkEnd w:id="912"/>
      <w:bookmarkEnd w:id="913"/>
      <w:bookmarkEnd w:id="914"/>
    </w:p>
    <w:p>
      <w:pPr>
        <w:pStyle w:val="4"/>
        <w:numPr>
          <w:ilvl w:val="2"/>
          <w:numId w:val="5"/>
        </w:numPr>
        <w:ind w:left="782" w:hanging="782"/>
        <w:rPr>
          <w:color w:val="auto"/>
          <w:highlight w:val="none"/>
        </w:rPr>
      </w:pPr>
      <w:bookmarkStart w:id="915" w:name="_Toc27366"/>
      <w:r>
        <w:rPr>
          <w:color w:val="auto"/>
          <w:highlight w:val="none"/>
        </w:rPr>
        <w:t>在履行合同过程中发生的下列情况属承包人违约：</w:t>
      </w:r>
      <w:bookmarkEnd w:id="915"/>
    </w:p>
    <w:p>
      <w:pPr>
        <w:pStyle w:val="52"/>
        <w:ind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承包人私自将合同的全部或部分权利转让给其他人，或私自将合同的全部或部分义务转移给其他人；</w:t>
      </w:r>
    </w:p>
    <w:p>
      <w:pPr>
        <w:pStyle w:val="52"/>
        <w:ind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承包人未经</w:t>
      </w:r>
      <w:r>
        <w:rPr>
          <w:rFonts w:hint="eastAsia"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批准，私自将已按合同约定进入施工场地的施工设备、临时设施或材料撤离施工场地；</w:t>
      </w:r>
    </w:p>
    <w:p>
      <w:pPr>
        <w:pStyle w:val="52"/>
        <w:ind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承包人使用了不合格材料或工程设备，工程质量达不到标准要求，又拒绝清除不合格工程；</w:t>
      </w:r>
    </w:p>
    <w:p>
      <w:pPr>
        <w:pStyle w:val="52"/>
        <w:ind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承包人未能按合同进度计划及时完成合同约定的工作，已造成或预期造成工期延误；</w:t>
      </w:r>
    </w:p>
    <w:p>
      <w:pPr>
        <w:pStyle w:val="52"/>
        <w:ind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承包人无法继续履行或明确表示不履行或实质上已停止履行合同；</w:t>
      </w:r>
    </w:p>
    <w:p>
      <w:pPr>
        <w:pStyle w:val="52"/>
        <w:ind w:firstLine="420"/>
        <w:rPr>
          <w:color w:val="auto"/>
          <w:highlight w:val="none"/>
        </w:rPr>
      </w:pP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承包人不按合同约定履行义务的其他情况。</w:t>
      </w:r>
    </w:p>
    <w:p>
      <w:pPr>
        <w:pStyle w:val="4"/>
        <w:numPr>
          <w:ilvl w:val="2"/>
          <w:numId w:val="5"/>
        </w:numPr>
        <w:ind w:left="782" w:hanging="782"/>
        <w:rPr>
          <w:color w:val="auto"/>
          <w:highlight w:val="none"/>
        </w:rPr>
      </w:pPr>
      <w:bookmarkStart w:id="916" w:name="_Toc30106"/>
      <w:r>
        <w:rPr>
          <w:color w:val="auto"/>
          <w:highlight w:val="none"/>
        </w:rPr>
        <w:t>承包人有任何违反本合同义务的行为都构成违约，均须按法律和合同约定承担违约责任。</w:t>
      </w:r>
      <w:bookmarkEnd w:id="916"/>
    </w:p>
    <w:p>
      <w:pPr>
        <w:pStyle w:val="4"/>
        <w:numPr>
          <w:ilvl w:val="2"/>
          <w:numId w:val="5"/>
        </w:numPr>
        <w:ind w:left="782" w:hanging="782"/>
        <w:rPr>
          <w:color w:val="auto"/>
          <w:kern w:val="0"/>
          <w:highlight w:val="none"/>
        </w:rPr>
      </w:pPr>
      <w:bookmarkStart w:id="917" w:name="_Toc21849"/>
      <w:r>
        <w:rPr>
          <w:color w:val="auto"/>
          <w:highlight w:val="none"/>
        </w:rPr>
        <w:t>对于承包</w:t>
      </w:r>
      <w:r>
        <w:rPr>
          <w:color w:val="auto"/>
          <w:kern w:val="0"/>
          <w:highlight w:val="none"/>
        </w:rPr>
        <w:t>人的违约行为，承包人承担违约责任的形式包括但不限于：</w:t>
      </w:r>
      <w:bookmarkEnd w:id="917"/>
    </w:p>
    <w:p>
      <w:pPr>
        <w:pStyle w:val="52"/>
        <w:numPr>
          <w:ilvl w:val="0"/>
          <w:numId w:val="39"/>
        </w:numPr>
        <w:ind w:left="885" w:leftChars="250" w:hanging="360" w:hangingChars="150"/>
        <w:jc w:val="both"/>
        <w:rPr>
          <w:rFonts w:eastAsia="宋体"/>
          <w:color w:val="auto"/>
          <w:sz w:val="24"/>
          <w:szCs w:val="24"/>
          <w:highlight w:val="none"/>
        </w:rPr>
      </w:pPr>
      <w:r>
        <w:rPr>
          <w:rFonts w:eastAsia="宋体"/>
          <w:color w:val="auto"/>
          <w:sz w:val="24"/>
          <w:szCs w:val="24"/>
          <w:highlight w:val="none"/>
        </w:rPr>
        <w:t>严重违约责任：承包人违反合同义务符合承担严重违约责任的情形时，除按法律及合同约定承担其他违约责任外，每次还应当按专用合同条款的约定承担严重违约责任；</w:t>
      </w:r>
    </w:p>
    <w:p>
      <w:pPr>
        <w:pStyle w:val="52"/>
        <w:numPr>
          <w:ilvl w:val="0"/>
          <w:numId w:val="39"/>
        </w:numPr>
        <w:ind w:left="885" w:leftChars="250" w:hanging="360" w:hangingChars="150"/>
        <w:jc w:val="both"/>
        <w:rPr>
          <w:rFonts w:eastAsia="宋体"/>
          <w:color w:val="auto"/>
          <w:sz w:val="24"/>
          <w:szCs w:val="24"/>
          <w:highlight w:val="none"/>
        </w:rPr>
      </w:pPr>
      <w:bookmarkStart w:id="918" w:name="_Toc44492541"/>
      <w:r>
        <w:rPr>
          <w:rFonts w:eastAsia="宋体"/>
          <w:color w:val="auto"/>
          <w:sz w:val="24"/>
          <w:szCs w:val="24"/>
          <w:highlight w:val="none"/>
        </w:rPr>
        <w:t>重大违约责任：承包人违反合同义务符合承担重大违约责任的情形时，除按法律及合同约定承担其他违约责任外，每次还应当按专用合同条款的约定承担重大违约责任；</w:t>
      </w:r>
      <w:bookmarkEnd w:id="918"/>
    </w:p>
    <w:p>
      <w:pPr>
        <w:pStyle w:val="52"/>
        <w:numPr>
          <w:ilvl w:val="0"/>
          <w:numId w:val="39"/>
        </w:numPr>
        <w:ind w:left="885" w:leftChars="250" w:hanging="360" w:hangingChars="150"/>
        <w:jc w:val="both"/>
        <w:rPr>
          <w:rFonts w:eastAsia="宋体"/>
          <w:color w:val="auto"/>
          <w:sz w:val="24"/>
          <w:szCs w:val="24"/>
          <w:highlight w:val="none"/>
        </w:rPr>
      </w:pPr>
      <w:bookmarkStart w:id="919" w:name="_Toc44492542"/>
      <w:r>
        <w:rPr>
          <w:rFonts w:eastAsia="宋体"/>
          <w:color w:val="auto"/>
          <w:sz w:val="24"/>
          <w:szCs w:val="24"/>
          <w:highlight w:val="none"/>
        </w:rPr>
        <w:t>一般违约责任：承包人违反合同义务符合承担一般违约责任的情形时，除按法律及合同约定承担其他违约责任外，每次还应当按专用合同条款的约定承担一般违约责任；</w:t>
      </w:r>
      <w:bookmarkEnd w:id="919"/>
    </w:p>
    <w:p>
      <w:pPr>
        <w:pStyle w:val="52"/>
        <w:numPr>
          <w:ilvl w:val="0"/>
          <w:numId w:val="39"/>
        </w:numPr>
        <w:ind w:left="885" w:leftChars="250" w:hanging="360" w:hangingChars="150"/>
        <w:jc w:val="both"/>
        <w:rPr>
          <w:rFonts w:eastAsia="宋体"/>
          <w:color w:val="auto"/>
          <w:sz w:val="24"/>
          <w:szCs w:val="24"/>
          <w:highlight w:val="none"/>
        </w:rPr>
      </w:pPr>
      <w:bookmarkStart w:id="920" w:name="_Toc44492543"/>
      <w:r>
        <w:rPr>
          <w:rFonts w:eastAsia="宋体"/>
          <w:color w:val="auto"/>
          <w:sz w:val="24"/>
          <w:szCs w:val="24"/>
          <w:highlight w:val="none"/>
        </w:rPr>
        <w:t>因承包人违约造成发包人解除合同：承包人违反合同义务符合发包人可解除合同的情形时，发包人有权向承包人发出书面解除合同的通知，合同自该通知在送达承包人时即解除，承包人除按法律及合同约定承担其他违约责任外，还应当向发包人按专用条款约定承担违约责任；承包人向发包人承担违约责任并不免除承包人依法应承担的所有责任</w:t>
      </w:r>
      <w:bookmarkEnd w:id="920"/>
      <w:r>
        <w:rPr>
          <w:rFonts w:eastAsia="宋体"/>
          <w:color w:val="auto"/>
          <w:sz w:val="24"/>
          <w:szCs w:val="24"/>
          <w:highlight w:val="none"/>
        </w:rPr>
        <w:t>；</w:t>
      </w:r>
    </w:p>
    <w:p>
      <w:pPr>
        <w:pStyle w:val="52"/>
        <w:numPr>
          <w:ilvl w:val="0"/>
          <w:numId w:val="39"/>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承包人其他责任以合同约定为准。</w:t>
      </w:r>
    </w:p>
    <w:p>
      <w:pPr>
        <w:pStyle w:val="4"/>
        <w:numPr>
          <w:ilvl w:val="2"/>
          <w:numId w:val="5"/>
        </w:numPr>
        <w:ind w:left="782" w:hanging="782"/>
        <w:rPr>
          <w:color w:val="auto"/>
          <w:kern w:val="0"/>
          <w:highlight w:val="none"/>
        </w:rPr>
      </w:pPr>
      <w:bookmarkStart w:id="921" w:name="_Toc14522"/>
      <w:r>
        <w:rPr>
          <w:color w:val="auto"/>
          <w:kern w:val="0"/>
          <w:highlight w:val="none"/>
        </w:rPr>
        <w:t>承包人支付违约金和承担其他违约责任的方法包括但不限于：</w:t>
      </w:r>
      <w:bookmarkEnd w:id="921"/>
    </w:p>
    <w:p>
      <w:pPr>
        <w:pStyle w:val="52"/>
        <w:numPr>
          <w:ilvl w:val="0"/>
          <w:numId w:val="40"/>
        </w:numPr>
        <w:ind w:left="885" w:leftChars="250" w:hanging="360" w:hangingChars="150"/>
        <w:jc w:val="both"/>
        <w:rPr>
          <w:rFonts w:eastAsia="宋体"/>
          <w:color w:val="auto"/>
          <w:sz w:val="24"/>
          <w:szCs w:val="24"/>
          <w:highlight w:val="none"/>
        </w:rPr>
      </w:pPr>
      <w:r>
        <w:rPr>
          <w:rFonts w:eastAsia="宋体"/>
          <w:color w:val="auto"/>
          <w:sz w:val="24"/>
          <w:szCs w:val="24"/>
          <w:highlight w:val="none"/>
        </w:rPr>
        <w:t>发包人有权从应支付给承包人的工程款中直接扣除。</w:t>
      </w:r>
    </w:p>
    <w:p>
      <w:pPr>
        <w:pStyle w:val="52"/>
        <w:numPr>
          <w:ilvl w:val="0"/>
          <w:numId w:val="40"/>
        </w:numPr>
        <w:ind w:left="885" w:leftChars="250" w:hanging="360" w:hangingChars="150"/>
        <w:jc w:val="both"/>
        <w:rPr>
          <w:rFonts w:eastAsia="宋体"/>
          <w:color w:val="auto"/>
          <w:sz w:val="24"/>
          <w:szCs w:val="24"/>
          <w:highlight w:val="none"/>
        </w:rPr>
      </w:pPr>
      <w:r>
        <w:rPr>
          <w:rFonts w:eastAsia="宋体"/>
          <w:color w:val="auto"/>
          <w:sz w:val="24"/>
          <w:szCs w:val="24"/>
          <w:highlight w:val="none"/>
        </w:rPr>
        <w:t>发包人有权向承包人所提供履约保函的银行提取相应的履约保证金额或直接从</w:t>
      </w:r>
      <w:r>
        <w:rPr>
          <w:rFonts w:hint="eastAsia" w:eastAsia="宋体"/>
          <w:color w:val="auto"/>
          <w:sz w:val="24"/>
          <w:szCs w:val="24"/>
          <w:highlight w:val="none"/>
          <w:lang w:val="en-US" w:eastAsia="zh-CN"/>
        </w:rPr>
        <w:t>履约保证金或</w:t>
      </w:r>
      <w:r>
        <w:rPr>
          <w:rFonts w:eastAsia="宋体"/>
          <w:color w:val="auto"/>
          <w:sz w:val="24"/>
          <w:szCs w:val="24"/>
          <w:highlight w:val="none"/>
        </w:rPr>
        <w:t>质量保证金中扣除。</w:t>
      </w:r>
    </w:p>
    <w:p>
      <w:pPr>
        <w:pStyle w:val="52"/>
        <w:numPr>
          <w:ilvl w:val="0"/>
          <w:numId w:val="40"/>
        </w:numPr>
        <w:ind w:left="885" w:leftChars="250" w:hanging="360" w:hangingChars="150"/>
        <w:jc w:val="both"/>
        <w:rPr>
          <w:rFonts w:eastAsia="宋体"/>
          <w:color w:val="auto"/>
          <w:sz w:val="24"/>
          <w:szCs w:val="24"/>
          <w:highlight w:val="none"/>
        </w:rPr>
      </w:pPr>
      <w:r>
        <w:rPr>
          <w:rFonts w:eastAsia="宋体"/>
          <w:color w:val="auto"/>
          <w:sz w:val="24"/>
          <w:szCs w:val="24"/>
          <w:highlight w:val="none"/>
        </w:rPr>
        <w:t>发包人通知承包人支付或向承包人追偿，承包人应直接支付。</w:t>
      </w:r>
    </w:p>
    <w:p>
      <w:pPr>
        <w:pStyle w:val="52"/>
        <w:numPr>
          <w:ilvl w:val="0"/>
          <w:numId w:val="40"/>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承包人所支付的违约金不足弥补发包人损失的，承包人需赔偿发包人的全部损失。</w:t>
      </w:r>
    </w:p>
    <w:p>
      <w:pPr>
        <w:pStyle w:val="4"/>
        <w:numPr>
          <w:ilvl w:val="2"/>
          <w:numId w:val="5"/>
        </w:numPr>
        <w:ind w:left="782" w:hanging="782"/>
        <w:rPr>
          <w:color w:val="auto"/>
          <w:highlight w:val="none"/>
        </w:rPr>
      </w:pPr>
      <w:bookmarkStart w:id="922" w:name="_Toc16424"/>
      <w:r>
        <w:rPr>
          <w:color w:val="auto"/>
          <w:highlight w:val="none"/>
        </w:rPr>
        <w:t>除本合同另有约定外，承包人承担违约赔偿责任的范围包括但不限于发包人的直接经济损失、向第三方承担的违约责任以及发生的诉讼费、仲裁费、律师费等费用支出。</w:t>
      </w:r>
      <w:bookmarkEnd w:id="922"/>
    </w:p>
    <w:p>
      <w:pPr>
        <w:pStyle w:val="4"/>
        <w:numPr>
          <w:ilvl w:val="2"/>
          <w:numId w:val="5"/>
        </w:numPr>
        <w:ind w:left="782" w:hanging="782"/>
        <w:rPr>
          <w:color w:val="auto"/>
          <w:kern w:val="0"/>
          <w:highlight w:val="none"/>
        </w:rPr>
      </w:pPr>
      <w:bookmarkStart w:id="923" w:name="_Toc10458"/>
      <w:r>
        <w:rPr>
          <w:color w:val="auto"/>
          <w:kern w:val="0"/>
          <w:highlight w:val="none"/>
        </w:rPr>
        <w:t>对承包人违约的整改通知</w:t>
      </w:r>
      <w:bookmarkEnd w:id="923"/>
    </w:p>
    <w:p>
      <w:pPr>
        <w:pStyle w:val="52"/>
        <w:numPr>
          <w:ilvl w:val="0"/>
          <w:numId w:val="41"/>
        </w:numPr>
        <w:ind w:left="885" w:leftChars="250" w:hanging="360" w:hangingChars="150"/>
        <w:jc w:val="both"/>
        <w:rPr>
          <w:rFonts w:eastAsia="宋体"/>
          <w:color w:val="auto"/>
          <w:sz w:val="24"/>
          <w:szCs w:val="24"/>
          <w:highlight w:val="none"/>
        </w:rPr>
      </w:pPr>
      <w:r>
        <w:rPr>
          <w:rFonts w:eastAsia="宋体"/>
          <w:color w:val="auto"/>
          <w:sz w:val="24"/>
          <w:szCs w:val="24"/>
          <w:highlight w:val="none"/>
        </w:rPr>
        <w:t>承包人发生违约，但未达到发包人可解除合同的情况时，除应承担合同约定的违约责任外，</w:t>
      </w:r>
      <w:r>
        <w:rPr>
          <w:rFonts w:hint="eastAsia" w:eastAsia="宋体"/>
          <w:color w:val="auto"/>
          <w:sz w:val="24"/>
          <w:szCs w:val="24"/>
          <w:highlight w:val="none"/>
          <w:lang w:eastAsia="zh-CN"/>
        </w:rPr>
        <w:t>发包人</w:t>
      </w:r>
      <w:r>
        <w:rPr>
          <w:rFonts w:eastAsia="宋体"/>
          <w:color w:val="auto"/>
          <w:sz w:val="24"/>
          <w:szCs w:val="24"/>
          <w:highlight w:val="none"/>
        </w:rPr>
        <w:t>还可向承包人发出整改通知，要求其在指定的期限内改正。承包人应承担其违约所引起的费用增加和（或）工期延误。</w:t>
      </w:r>
    </w:p>
    <w:p>
      <w:pPr>
        <w:pStyle w:val="52"/>
        <w:numPr>
          <w:ilvl w:val="0"/>
          <w:numId w:val="41"/>
        </w:numPr>
        <w:ind w:left="885" w:leftChars="250" w:hanging="360" w:hangingChars="150"/>
        <w:jc w:val="both"/>
        <w:rPr>
          <w:rFonts w:eastAsia="宋体"/>
          <w:color w:val="auto"/>
          <w:sz w:val="24"/>
          <w:szCs w:val="24"/>
          <w:highlight w:val="none"/>
        </w:rPr>
      </w:pPr>
      <w:r>
        <w:rPr>
          <w:rFonts w:hint="eastAsia" w:eastAsia="宋体"/>
          <w:color w:val="auto"/>
          <w:sz w:val="24"/>
          <w:szCs w:val="24"/>
          <w:highlight w:val="none"/>
          <w:lang w:eastAsia="zh-CN"/>
        </w:rPr>
        <w:t>发包人</w:t>
      </w:r>
      <w:r>
        <w:rPr>
          <w:rFonts w:eastAsia="宋体"/>
          <w:color w:val="auto"/>
          <w:sz w:val="24"/>
          <w:szCs w:val="24"/>
          <w:highlight w:val="none"/>
        </w:rPr>
        <w:t>要求承包人停工整改的，经检查证明承包人已采取了有效措施纠正违约行为，具备复工条件的，发包人签发复工通知，通知承包人复工。</w:t>
      </w:r>
    </w:p>
    <w:p>
      <w:pPr>
        <w:pStyle w:val="52"/>
        <w:numPr>
          <w:ilvl w:val="0"/>
          <w:numId w:val="41"/>
        </w:numPr>
        <w:ind w:left="885" w:leftChars="250" w:hanging="360" w:hangingChars="150"/>
        <w:jc w:val="both"/>
        <w:rPr>
          <w:rFonts w:eastAsia="宋体"/>
          <w:color w:val="auto"/>
          <w:sz w:val="24"/>
          <w:szCs w:val="24"/>
          <w:highlight w:val="none"/>
        </w:rPr>
      </w:pPr>
      <w:r>
        <w:rPr>
          <w:rFonts w:hint="eastAsia" w:eastAsia="宋体"/>
          <w:color w:val="auto"/>
          <w:sz w:val="24"/>
          <w:szCs w:val="24"/>
          <w:highlight w:val="none"/>
          <w:lang w:eastAsia="zh-CN"/>
        </w:rPr>
        <w:t>发包人</w:t>
      </w:r>
      <w:r>
        <w:rPr>
          <w:rFonts w:eastAsia="宋体"/>
          <w:color w:val="auto"/>
          <w:sz w:val="24"/>
          <w:szCs w:val="24"/>
          <w:highlight w:val="none"/>
        </w:rPr>
        <w:t>发出整改通知28天后，承包人仍不纠正违约行为的，发包人有权向承包人发出解除合同通知。</w:t>
      </w:r>
    </w:p>
    <w:p>
      <w:pPr>
        <w:pStyle w:val="4"/>
        <w:numPr>
          <w:ilvl w:val="2"/>
          <w:numId w:val="5"/>
        </w:numPr>
        <w:ind w:left="782" w:hanging="782"/>
        <w:rPr>
          <w:color w:val="auto"/>
          <w:kern w:val="0"/>
          <w:highlight w:val="none"/>
        </w:rPr>
      </w:pPr>
      <w:bookmarkStart w:id="924" w:name="_Toc30399"/>
      <w:r>
        <w:rPr>
          <w:color w:val="auto"/>
          <w:kern w:val="0"/>
          <w:highlight w:val="none"/>
        </w:rPr>
        <w:t>承包人违约解除合同</w:t>
      </w:r>
      <w:bookmarkEnd w:id="924"/>
    </w:p>
    <w:p>
      <w:pPr>
        <w:pStyle w:val="4"/>
        <w:numPr>
          <w:ilvl w:val="3"/>
          <w:numId w:val="5"/>
        </w:numPr>
        <w:ind w:left="958" w:hanging="958"/>
        <w:rPr>
          <w:color w:val="auto"/>
          <w:kern w:val="0"/>
          <w:highlight w:val="none"/>
        </w:rPr>
      </w:pPr>
      <w:bookmarkStart w:id="925" w:name="_Toc9808"/>
      <w:r>
        <w:rPr>
          <w:color w:val="auto"/>
          <w:kern w:val="0"/>
          <w:highlight w:val="none"/>
        </w:rPr>
        <w:t>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bookmarkEnd w:id="925"/>
    </w:p>
    <w:p>
      <w:pPr>
        <w:pStyle w:val="4"/>
        <w:numPr>
          <w:ilvl w:val="3"/>
          <w:numId w:val="5"/>
        </w:numPr>
        <w:ind w:left="958" w:hanging="958"/>
        <w:rPr>
          <w:color w:val="auto"/>
          <w:kern w:val="0"/>
          <w:highlight w:val="none"/>
        </w:rPr>
      </w:pPr>
      <w:bookmarkStart w:id="926" w:name="_Toc30797"/>
      <w:r>
        <w:rPr>
          <w:color w:val="auto"/>
          <w:kern w:val="0"/>
          <w:highlight w:val="none"/>
        </w:rPr>
        <w:t>因承包人违约导致合同解除后的估价、付款和结清</w:t>
      </w:r>
      <w:bookmarkEnd w:id="926"/>
    </w:p>
    <w:p>
      <w:pPr>
        <w:pStyle w:val="52"/>
        <w:numPr>
          <w:ilvl w:val="0"/>
          <w:numId w:val="42"/>
        </w:numPr>
        <w:ind w:left="885" w:leftChars="250" w:hanging="360" w:hangingChars="150"/>
        <w:jc w:val="both"/>
        <w:rPr>
          <w:rFonts w:eastAsia="宋体"/>
          <w:color w:val="auto"/>
          <w:sz w:val="24"/>
          <w:szCs w:val="24"/>
          <w:highlight w:val="none"/>
        </w:rPr>
      </w:pPr>
      <w:r>
        <w:rPr>
          <w:rFonts w:eastAsia="宋体"/>
          <w:color w:val="auto"/>
          <w:sz w:val="24"/>
          <w:szCs w:val="24"/>
          <w:highlight w:val="none"/>
        </w:rPr>
        <w:t>合同解除后，发包人商定或确定承包人实际完成工作的价值，以及承包人已提供的材料、施工设备、工程设备和临时工程等的价值。</w:t>
      </w:r>
    </w:p>
    <w:p>
      <w:pPr>
        <w:pStyle w:val="52"/>
        <w:numPr>
          <w:ilvl w:val="0"/>
          <w:numId w:val="42"/>
        </w:numPr>
        <w:ind w:left="885" w:leftChars="250" w:hanging="360" w:hangingChars="150"/>
        <w:jc w:val="both"/>
        <w:rPr>
          <w:rFonts w:eastAsia="宋体"/>
          <w:color w:val="auto"/>
          <w:sz w:val="24"/>
          <w:szCs w:val="24"/>
          <w:highlight w:val="none"/>
        </w:rPr>
      </w:pPr>
      <w:r>
        <w:rPr>
          <w:rFonts w:eastAsia="宋体"/>
          <w:color w:val="auto"/>
          <w:sz w:val="24"/>
          <w:szCs w:val="24"/>
          <w:highlight w:val="none"/>
        </w:rPr>
        <w:t>合同解除后，发包人有权暂停对承包人的一切付款，核清各项付款和已扣款金额，以及承包人应支付的违约金。</w:t>
      </w:r>
    </w:p>
    <w:p>
      <w:pPr>
        <w:pStyle w:val="52"/>
        <w:numPr>
          <w:ilvl w:val="0"/>
          <w:numId w:val="42"/>
        </w:numPr>
        <w:ind w:left="885" w:leftChars="250" w:hanging="360" w:hangingChars="150"/>
        <w:jc w:val="both"/>
        <w:rPr>
          <w:rFonts w:eastAsia="宋体"/>
          <w:color w:val="auto"/>
          <w:sz w:val="24"/>
          <w:szCs w:val="24"/>
          <w:highlight w:val="none"/>
        </w:rPr>
      </w:pPr>
      <w:r>
        <w:rPr>
          <w:rFonts w:eastAsia="宋体"/>
          <w:color w:val="auto"/>
          <w:sz w:val="24"/>
          <w:szCs w:val="24"/>
          <w:highlight w:val="none"/>
        </w:rPr>
        <w:t>合同解除后，发包人有权没收履约担保项下的金额，并按合同约定扣留承包人一定比例的质量保证金，承包人应当按合同约定承担缺陷保修责任，计算缺陷责任期、保修期的开始时间由双方协商确定。</w:t>
      </w:r>
    </w:p>
    <w:p>
      <w:pPr>
        <w:pStyle w:val="52"/>
        <w:numPr>
          <w:ilvl w:val="0"/>
          <w:numId w:val="42"/>
        </w:numPr>
        <w:ind w:left="885" w:leftChars="250" w:hanging="360" w:hangingChars="150"/>
        <w:jc w:val="both"/>
        <w:rPr>
          <w:rFonts w:eastAsia="宋体"/>
          <w:color w:val="auto"/>
          <w:sz w:val="24"/>
          <w:szCs w:val="24"/>
          <w:highlight w:val="none"/>
        </w:rPr>
      </w:pPr>
      <w:r>
        <w:rPr>
          <w:rFonts w:eastAsia="宋体"/>
          <w:color w:val="auto"/>
          <w:sz w:val="24"/>
          <w:szCs w:val="24"/>
          <w:highlight w:val="none"/>
        </w:rPr>
        <w:t>合同解除后，发包人</w:t>
      </w:r>
      <w:r>
        <w:rPr>
          <w:rFonts w:hint="eastAsia" w:ascii="宋体" w:hAnsi="宋体" w:eastAsia="宋体" w:cs="宋体"/>
          <w:color w:val="auto"/>
          <w:sz w:val="24"/>
          <w:szCs w:val="24"/>
          <w:highlight w:val="none"/>
        </w:rPr>
        <w:t>有权</w:t>
      </w:r>
      <w:r>
        <w:rPr>
          <w:rFonts w:eastAsia="宋体"/>
          <w:color w:val="auto"/>
          <w:sz w:val="24"/>
          <w:szCs w:val="24"/>
          <w:highlight w:val="none"/>
        </w:rPr>
        <w:t>向承包人索赔由于解除合同给发包人造成的全部损失。</w:t>
      </w:r>
    </w:p>
    <w:p>
      <w:pPr>
        <w:pStyle w:val="52"/>
        <w:numPr>
          <w:ilvl w:val="0"/>
          <w:numId w:val="42"/>
        </w:numPr>
        <w:ind w:left="885" w:leftChars="250" w:hanging="360" w:hangingChars="150"/>
        <w:jc w:val="both"/>
        <w:rPr>
          <w:rFonts w:eastAsia="宋体"/>
          <w:color w:val="auto"/>
          <w:sz w:val="24"/>
          <w:szCs w:val="24"/>
          <w:highlight w:val="none"/>
        </w:rPr>
      </w:pPr>
      <w:r>
        <w:rPr>
          <w:rFonts w:eastAsia="宋体"/>
          <w:color w:val="auto"/>
          <w:sz w:val="24"/>
          <w:szCs w:val="24"/>
          <w:highlight w:val="none"/>
        </w:rPr>
        <w:t>发包人和承包人未能就解除合同后的结清达成一致而形成争议的，按第23条的约定办理。</w:t>
      </w:r>
    </w:p>
    <w:p>
      <w:pPr>
        <w:pStyle w:val="4"/>
        <w:numPr>
          <w:ilvl w:val="3"/>
          <w:numId w:val="5"/>
        </w:numPr>
        <w:ind w:left="958" w:hanging="958"/>
        <w:rPr>
          <w:color w:val="auto"/>
          <w:highlight w:val="none"/>
        </w:rPr>
      </w:pPr>
      <w:bookmarkStart w:id="927" w:name="_Toc6905"/>
      <w:r>
        <w:rPr>
          <w:color w:val="auto"/>
          <w:kern w:val="0"/>
          <w:highlight w:val="none"/>
        </w:rPr>
        <w:t>协议利益的转让</w:t>
      </w:r>
      <w:bookmarkEnd w:id="927"/>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因承包人违约解除本合同，或发包人因承包人违约而单方解除本合同的，发包人有权要求承包人将其为实施合同而签订的材料和设备的订货协议或任何服务协议利益按不高于其项下待支付价款或届时市场批发价格（以低者为准）转让给发包人或发包人指定的接替承包人或其分包人，并在解除本合同后的14天内，依法办理转让手续。承包人应按发包人的要求办理。</w:t>
      </w:r>
    </w:p>
    <w:p>
      <w:pPr>
        <w:pStyle w:val="4"/>
        <w:numPr>
          <w:ilvl w:val="2"/>
          <w:numId w:val="5"/>
        </w:numPr>
        <w:ind w:left="782" w:hanging="782"/>
        <w:rPr>
          <w:color w:val="auto"/>
          <w:kern w:val="0"/>
          <w:highlight w:val="none"/>
        </w:rPr>
      </w:pPr>
      <w:bookmarkStart w:id="928" w:name="_Toc7444"/>
      <w:r>
        <w:rPr>
          <w:color w:val="auto"/>
          <w:kern w:val="0"/>
          <w:highlight w:val="none"/>
        </w:rPr>
        <w:t>紧急情况下无能力或不愿进行抢救</w:t>
      </w:r>
      <w:bookmarkEnd w:id="928"/>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在工程实施期间或缺陷责任期、保修期内发生危及工程安全的事件，</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通知承包人进行抢救，承包人声明无能力或不愿立即执行或实际执行不足的，发包人有权雇佣其他人员进行抢救。此类抢救按合同约定属于承包人义务的，由此发生的金额和（或）工期延误由承包人承担。</w:t>
      </w:r>
    </w:p>
    <w:p>
      <w:pPr>
        <w:pStyle w:val="4"/>
        <w:numPr>
          <w:ilvl w:val="2"/>
          <w:numId w:val="5"/>
        </w:numPr>
        <w:ind w:left="782" w:hanging="782"/>
        <w:rPr>
          <w:color w:val="auto"/>
          <w:kern w:val="0"/>
          <w:highlight w:val="none"/>
        </w:rPr>
      </w:pPr>
      <w:bookmarkStart w:id="929" w:name="_Toc1505"/>
      <w:r>
        <w:rPr>
          <w:color w:val="auto"/>
          <w:kern w:val="0"/>
          <w:highlight w:val="none"/>
        </w:rPr>
        <w:t>承包人其它违约情况及处理方式在专用条款中说明。</w:t>
      </w:r>
      <w:bookmarkEnd w:id="929"/>
    </w:p>
    <w:p>
      <w:pPr>
        <w:pStyle w:val="4"/>
        <w:numPr>
          <w:ilvl w:val="1"/>
          <w:numId w:val="5"/>
        </w:numPr>
        <w:rPr>
          <w:color w:val="auto"/>
          <w:highlight w:val="none"/>
        </w:rPr>
      </w:pPr>
      <w:bookmarkStart w:id="930" w:name="_Toc44492544"/>
      <w:bookmarkStart w:id="931" w:name="_Toc27357"/>
      <w:bookmarkStart w:id="932" w:name="_Toc24032"/>
      <w:bookmarkStart w:id="933" w:name="_Toc28321"/>
      <w:r>
        <w:rPr>
          <w:color w:val="auto"/>
          <w:highlight w:val="none"/>
        </w:rPr>
        <w:t>发包人违约</w:t>
      </w:r>
      <w:bookmarkEnd w:id="930"/>
      <w:bookmarkEnd w:id="931"/>
      <w:bookmarkEnd w:id="932"/>
      <w:bookmarkEnd w:id="933"/>
    </w:p>
    <w:p>
      <w:pPr>
        <w:pStyle w:val="4"/>
        <w:numPr>
          <w:ilvl w:val="2"/>
          <w:numId w:val="5"/>
        </w:numPr>
        <w:ind w:left="782" w:hanging="782"/>
        <w:rPr>
          <w:color w:val="auto"/>
          <w:kern w:val="0"/>
          <w:highlight w:val="none"/>
        </w:rPr>
      </w:pPr>
      <w:bookmarkStart w:id="934" w:name="_Toc10657"/>
      <w:r>
        <w:rPr>
          <w:color w:val="auto"/>
          <w:kern w:val="0"/>
          <w:highlight w:val="none"/>
        </w:rPr>
        <w:t>在履行合同过程中发生的下列情形，属发包人违约：</w:t>
      </w:r>
      <w:bookmarkEnd w:id="934"/>
    </w:p>
    <w:p>
      <w:pPr>
        <w:pStyle w:val="52"/>
        <w:numPr>
          <w:ilvl w:val="0"/>
          <w:numId w:val="43"/>
        </w:numPr>
        <w:ind w:left="885" w:leftChars="250" w:hanging="360" w:hangingChars="150"/>
        <w:jc w:val="both"/>
        <w:rPr>
          <w:rFonts w:eastAsia="宋体"/>
          <w:color w:val="auto"/>
          <w:sz w:val="24"/>
          <w:szCs w:val="24"/>
          <w:highlight w:val="none"/>
        </w:rPr>
      </w:pPr>
      <w:r>
        <w:rPr>
          <w:rFonts w:eastAsia="宋体"/>
          <w:color w:val="auto"/>
          <w:sz w:val="24"/>
          <w:szCs w:val="24"/>
          <w:highlight w:val="none"/>
        </w:rPr>
        <w:t>发包人责任原因造成停工累计60天以上的；</w:t>
      </w:r>
    </w:p>
    <w:p>
      <w:pPr>
        <w:pStyle w:val="52"/>
        <w:numPr>
          <w:ilvl w:val="0"/>
          <w:numId w:val="43"/>
        </w:numPr>
        <w:ind w:left="885" w:leftChars="250" w:hanging="360" w:hangingChars="150"/>
        <w:jc w:val="both"/>
        <w:rPr>
          <w:rFonts w:eastAsia="宋体"/>
          <w:color w:val="auto"/>
          <w:sz w:val="24"/>
          <w:szCs w:val="24"/>
          <w:highlight w:val="none"/>
        </w:rPr>
      </w:pPr>
      <w:r>
        <w:rPr>
          <w:rFonts w:eastAsia="宋体"/>
          <w:color w:val="auto"/>
          <w:sz w:val="24"/>
          <w:szCs w:val="24"/>
          <w:highlight w:val="none"/>
        </w:rPr>
        <w:t>因发包人未能按专用条款的约定提供图纸及开工条件、迟延提供材料、工程设备导致的工期延误的；</w:t>
      </w:r>
    </w:p>
    <w:p>
      <w:pPr>
        <w:pStyle w:val="52"/>
        <w:numPr>
          <w:ilvl w:val="0"/>
          <w:numId w:val="43"/>
        </w:numPr>
        <w:ind w:left="885" w:leftChars="250" w:hanging="360" w:hangingChars="150"/>
        <w:jc w:val="both"/>
        <w:rPr>
          <w:rFonts w:eastAsia="宋体"/>
          <w:color w:val="auto"/>
          <w:sz w:val="24"/>
          <w:szCs w:val="24"/>
          <w:highlight w:val="none"/>
        </w:rPr>
      </w:pPr>
      <w:r>
        <w:rPr>
          <w:rFonts w:eastAsia="宋体"/>
          <w:color w:val="auto"/>
          <w:sz w:val="24"/>
          <w:szCs w:val="24"/>
          <w:highlight w:val="none"/>
        </w:rPr>
        <w:t>发包人无法继续履行或书面明确表示不履行或实质上已停止履行合同的；</w:t>
      </w:r>
    </w:p>
    <w:p>
      <w:pPr>
        <w:pStyle w:val="52"/>
        <w:numPr>
          <w:ilvl w:val="0"/>
          <w:numId w:val="43"/>
        </w:numPr>
        <w:ind w:left="885" w:leftChars="250" w:hanging="360" w:hangingChars="150"/>
        <w:jc w:val="both"/>
        <w:rPr>
          <w:rFonts w:eastAsia="宋体"/>
          <w:color w:val="auto"/>
          <w:sz w:val="24"/>
          <w:szCs w:val="24"/>
          <w:highlight w:val="none"/>
        </w:rPr>
      </w:pPr>
      <w:r>
        <w:rPr>
          <w:rFonts w:eastAsia="宋体"/>
          <w:color w:val="auto"/>
          <w:sz w:val="24"/>
          <w:szCs w:val="24"/>
          <w:highlight w:val="none"/>
        </w:rPr>
        <w:t>发包人未能按合同约定付款的；</w:t>
      </w:r>
    </w:p>
    <w:p>
      <w:pPr>
        <w:pStyle w:val="52"/>
        <w:numPr>
          <w:ilvl w:val="0"/>
          <w:numId w:val="43"/>
        </w:numPr>
        <w:ind w:left="885" w:leftChars="250" w:hanging="360" w:hangingChars="150"/>
        <w:jc w:val="both"/>
        <w:rPr>
          <w:rFonts w:eastAsia="宋体"/>
          <w:color w:val="auto"/>
          <w:sz w:val="24"/>
          <w:szCs w:val="24"/>
          <w:highlight w:val="none"/>
        </w:rPr>
      </w:pPr>
      <w:r>
        <w:rPr>
          <w:rFonts w:eastAsia="宋体"/>
          <w:color w:val="auto"/>
          <w:sz w:val="24"/>
          <w:szCs w:val="24"/>
          <w:highlight w:val="none"/>
        </w:rPr>
        <w:t>专用条款约定属发包人违约的其他情形。</w:t>
      </w:r>
    </w:p>
    <w:p>
      <w:pPr>
        <w:pStyle w:val="4"/>
        <w:numPr>
          <w:ilvl w:val="2"/>
          <w:numId w:val="5"/>
        </w:numPr>
        <w:ind w:left="782" w:hanging="782"/>
        <w:rPr>
          <w:color w:val="auto"/>
          <w:kern w:val="0"/>
          <w:highlight w:val="none"/>
        </w:rPr>
      </w:pPr>
      <w:bookmarkStart w:id="935" w:name="_Toc27219"/>
      <w:r>
        <w:rPr>
          <w:color w:val="auto"/>
          <w:kern w:val="0"/>
          <w:highlight w:val="none"/>
        </w:rPr>
        <w:t>发包人发生违约情况时，承包人可向发包人发出通知，要求发包人采取有效措施纠正违约行为。发包人收到承包人通知后的28天内仍不履行合同义务，属22.2.1（2）的发包人应承担由此导致的工期延误，属其它情形的，发包人应承担由此增加的费用和（或）工期延误。</w:t>
      </w:r>
      <w:bookmarkEnd w:id="935"/>
    </w:p>
    <w:p>
      <w:pPr>
        <w:pStyle w:val="4"/>
        <w:numPr>
          <w:ilvl w:val="1"/>
          <w:numId w:val="5"/>
        </w:numPr>
        <w:rPr>
          <w:color w:val="auto"/>
          <w:highlight w:val="none"/>
        </w:rPr>
      </w:pPr>
      <w:bookmarkStart w:id="936" w:name="_Toc19386"/>
      <w:bookmarkStart w:id="937" w:name="_Toc7884"/>
      <w:bookmarkStart w:id="938" w:name="_Toc44492545"/>
      <w:bookmarkStart w:id="939" w:name="_Toc28541"/>
      <w:r>
        <w:rPr>
          <w:color w:val="auto"/>
          <w:highlight w:val="none"/>
        </w:rPr>
        <w:t>第三人造成的违约</w:t>
      </w:r>
      <w:bookmarkEnd w:id="936"/>
      <w:bookmarkEnd w:id="937"/>
      <w:bookmarkEnd w:id="938"/>
      <w:bookmarkEnd w:id="939"/>
    </w:p>
    <w:p>
      <w:pPr>
        <w:pStyle w:val="4"/>
        <w:numPr>
          <w:ilvl w:val="2"/>
          <w:numId w:val="5"/>
        </w:numPr>
        <w:ind w:left="782" w:hanging="782"/>
        <w:rPr>
          <w:color w:val="auto"/>
          <w:highlight w:val="none"/>
        </w:rPr>
      </w:pPr>
      <w:bookmarkStart w:id="940" w:name="_Toc13924"/>
      <w:r>
        <w:rPr>
          <w:color w:val="auto"/>
          <w:highlight w:val="none"/>
        </w:rPr>
        <w:t>在履行合同过程中，一方当事人因第三人的原因造成违约的，应当向对方当事人承担违约责任。一方当事人和第三人之间的纠纷，依照法律规定或者按照约定解决。</w:t>
      </w:r>
      <w:bookmarkEnd w:id="940"/>
    </w:p>
    <w:p>
      <w:pPr>
        <w:pStyle w:val="4"/>
        <w:numPr>
          <w:ilvl w:val="0"/>
          <w:numId w:val="5"/>
        </w:numPr>
        <w:rPr>
          <w:color w:val="auto"/>
          <w:highlight w:val="none"/>
        </w:rPr>
      </w:pPr>
      <w:bookmarkStart w:id="941" w:name="_Toc16371"/>
      <w:bookmarkStart w:id="942" w:name="_Toc47512253"/>
      <w:bookmarkStart w:id="943" w:name="_Toc9061"/>
      <w:bookmarkStart w:id="944" w:name="_Toc20203"/>
      <w:bookmarkStart w:id="945" w:name="_Toc30164"/>
      <w:bookmarkStart w:id="946" w:name="_Toc44228004"/>
      <w:bookmarkStart w:id="947" w:name="_Toc407356017"/>
      <w:bookmarkStart w:id="948" w:name="_Toc7705"/>
      <w:bookmarkStart w:id="949" w:name="_Toc44492546"/>
      <w:bookmarkStart w:id="950" w:name="_Toc18047"/>
      <w:r>
        <w:rPr>
          <w:color w:val="auto"/>
          <w:highlight w:val="none"/>
        </w:rPr>
        <w:t>争议的解决</w:t>
      </w:r>
      <w:bookmarkEnd w:id="941"/>
      <w:bookmarkEnd w:id="942"/>
      <w:bookmarkEnd w:id="943"/>
      <w:bookmarkEnd w:id="944"/>
      <w:bookmarkEnd w:id="945"/>
      <w:bookmarkEnd w:id="946"/>
      <w:bookmarkEnd w:id="947"/>
      <w:bookmarkEnd w:id="948"/>
      <w:bookmarkEnd w:id="949"/>
      <w:bookmarkEnd w:id="950"/>
    </w:p>
    <w:p>
      <w:pPr>
        <w:pStyle w:val="4"/>
        <w:numPr>
          <w:ilvl w:val="1"/>
          <w:numId w:val="5"/>
        </w:numPr>
        <w:rPr>
          <w:color w:val="auto"/>
          <w:highlight w:val="none"/>
        </w:rPr>
      </w:pPr>
      <w:bookmarkStart w:id="951" w:name="_Toc44492547"/>
      <w:bookmarkStart w:id="952" w:name="_Toc28602"/>
      <w:bookmarkStart w:id="953" w:name="_Toc14938"/>
      <w:bookmarkStart w:id="954" w:name="_Toc54"/>
      <w:r>
        <w:rPr>
          <w:color w:val="auto"/>
          <w:highlight w:val="none"/>
        </w:rPr>
        <w:t>争议的解决方式</w:t>
      </w:r>
      <w:bookmarkEnd w:id="951"/>
      <w:bookmarkEnd w:id="952"/>
      <w:bookmarkEnd w:id="953"/>
      <w:bookmarkEnd w:id="954"/>
    </w:p>
    <w:p>
      <w:pPr>
        <w:pStyle w:val="4"/>
        <w:numPr>
          <w:ilvl w:val="2"/>
          <w:numId w:val="5"/>
        </w:numPr>
        <w:ind w:left="782" w:hanging="782"/>
        <w:rPr>
          <w:color w:val="auto"/>
          <w:highlight w:val="none"/>
        </w:rPr>
      </w:pPr>
      <w:bookmarkStart w:id="955" w:name="_Toc3287"/>
      <w:r>
        <w:rPr>
          <w:color w:val="auto"/>
          <w:highlight w:val="none"/>
        </w:rPr>
        <w:t>合同当事人双方在履行合同时发生争议，双方应友好协商，可以采取和解或者要求有关主管部门调解。当事人不愿和解、调解或者和解、调解不成的，采取向发包人住所地的人民法院提起诉讼的方式解决。</w:t>
      </w:r>
      <w:bookmarkEnd w:id="955"/>
    </w:p>
    <w:p>
      <w:pPr>
        <w:pStyle w:val="4"/>
        <w:numPr>
          <w:ilvl w:val="1"/>
          <w:numId w:val="5"/>
        </w:numPr>
        <w:rPr>
          <w:color w:val="auto"/>
          <w:highlight w:val="none"/>
        </w:rPr>
      </w:pPr>
      <w:bookmarkStart w:id="956" w:name="_Toc44492548"/>
      <w:bookmarkStart w:id="957" w:name="_Toc27705"/>
      <w:bookmarkStart w:id="958" w:name="_Toc27034"/>
      <w:bookmarkStart w:id="959" w:name="_Toc15040"/>
      <w:r>
        <w:rPr>
          <w:color w:val="auto"/>
          <w:highlight w:val="none"/>
        </w:rPr>
        <w:t>争议的解决</w:t>
      </w:r>
      <w:bookmarkEnd w:id="956"/>
      <w:bookmarkEnd w:id="957"/>
      <w:bookmarkEnd w:id="958"/>
      <w:bookmarkEnd w:id="959"/>
    </w:p>
    <w:p>
      <w:pPr>
        <w:pStyle w:val="4"/>
        <w:numPr>
          <w:ilvl w:val="2"/>
          <w:numId w:val="5"/>
        </w:numPr>
        <w:ind w:left="782" w:hanging="782"/>
        <w:rPr>
          <w:color w:val="auto"/>
          <w:highlight w:val="none"/>
        </w:rPr>
      </w:pPr>
      <w:bookmarkStart w:id="960" w:name="_Toc29239"/>
      <w:r>
        <w:rPr>
          <w:color w:val="auto"/>
          <w:highlight w:val="none"/>
        </w:rPr>
        <w:t>发生争议后，除非出现下列情况的，合同当事人双方都应继续履行合同，承包人保持施工连续，保护好已完工程：</w:t>
      </w:r>
      <w:bookmarkEnd w:id="960"/>
    </w:p>
    <w:p>
      <w:pPr>
        <w:pStyle w:val="52"/>
        <w:numPr>
          <w:ilvl w:val="0"/>
          <w:numId w:val="44"/>
        </w:numPr>
        <w:ind w:left="885" w:leftChars="250" w:hanging="360" w:hangingChars="150"/>
        <w:jc w:val="both"/>
        <w:rPr>
          <w:rFonts w:eastAsia="宋体"/>
          <w:color w:val="auto"/>
          <w:sz w:val="24"/>
          <w:szCs w:val="24"/>
          <w:highlight w:val="none"/>
        </w:rPr>
      </w:pPr>
      <w:r>
        <w:rPr>
          <w:rFonts w:eastAsia="宋体"/>
          <w:color w:val="auto"/>
          <w:sz w:val="24"/>
          <w:szCs w:val="24"/>
          <w:highlight w:val="none"/>
        </w:rPr>
        <w:t>调解要求停止施工，且为合同当事人双方接受；</w:t>
      </w:r>
    </w:p>
    <w:p>
      <w:pPr>
        <w:pStyle w:val="52"/>
        <w:numPr>
          <w:ilvl w:val="0"/>
          <w:numId w:val="44"/>
        </w:numPr>
        <w:ind w:left="885" w:leftChars="250" w:hanging="360" w:hangingChars="150"/>
        <w:jc w:val="both"/>
        <w:rPr>
          <w:rFonts w:eastAsia="宋体"/>
          <w:color w:val="auto"/>
          <w:sz w:val="24"/>
          <w:szCs w:val="24"/>
          <w:highlight w:val="none"/>
        </w:rPr>
      </w:pPr>
      <w:r>
        <w:rPr>
          <w:rFonts w:eastAsia="宋体"/>
          <w:color w:val="auto"/>
          <w:sz w:val="24"/>
          <w:szCs w:val="24"/>
          <w:highlight w:val="none"/>
        </w:rPr>
        <w:t>法院要求停止施工。</w:t>
      </w:r>
    </w:p>
    <w:p>
      <w:pPr>
        <w:pStyle w:val="4"/>
        <w:numPr>
          <w:ilvl w:val="0"/>
          <w:numId w:val="5"/>
        </w:numPr>
        <w:ind w:firstLine="0"/>
        <w:jc w:val="left"/>
        <w:rPr>
          <w:color w:val="auto"/>
          <w:highlight w:val="none"/>
        </w:rPr>
      </w:pPr>
      <w:r>
        <w:rPr>
          <w:color w:val="auto"/>
          <w:highlight w:val="none"/>
        </w:rPr>
        <w:t>合同协商</w:t>
      </w:r>
    </w:p>
    <w:p>
      <w:pPr>
        <w:pStyle w:val="4"/>
        <w:numPr>
          <w:ilvl w:val="-1"/>
          <w:numId w:val="0"/>
        </w:numPr>
        <w:ind w:left="0" w:leftChars="0" w:firstLine="480" w:firstLineChars="200"/>
        <w:rPr>
          <w:rFonts w:eastAsia="宋体"/>
          <w:color w:val="auto"/>
          <w:sz w:val="24"/>
          <w:szCs w:val="24"/>
          <w:highlight w:val="none"/>
        </w:rPr>
      </w:pPr>
      <w:r>
        <w:rPr>
          <w:rFonts w:hint="default"/>
          <w:color w:val="auto"/>
          <w:highlight w:val="none"/>
        </w:rPr>
        <w:t>双方确认，本合同所确定当事人之间的权利和义务，双 方均已采取合理的方式向对方进行了提示，对于免除或者减轻其责任等与对方有重大利害关系的条款，双方均已按对方的要求，对该条款的真实意思表示进行了沟通说明。任何一方不会以没有注意或者理解与其有重大利害关系的条款为由主张该条款不构成合同内容或合同无效。</w:t>
      </w:r>
    </w:p>
    <w:bookmarkEnd w:id="53"/>
    <w:p>
      <w:pPr>
        <w:pStyle w:val="52"/>
        <w:ind w:firstLine="420"/>
        <w:jc w:val="both"/>
        <w:rPr>
          <w:rFonts w:eastAsia="宋体"/>
          <w:color w:val="auto"/>
          <w:highlight w:val="none"/>
        </w:rPr>
      </w:pPr>
    </w:p>
    <w:p>
      <w:pPr>
        <w:pStyle w:val="3"/>
        <w:numPr>
          <w:ilvl w:val="255"/>
          <w:numId w:val="0"/>
        </w:numPr>
        <w:jc w:val="center"/>
        <w:rPr>
          <w:color w:val="auto"/>
          <w:highlight w:val="none"/>
        </w:rPr>
        <w:sectPr>
          <w:headerReference r:id="rId4" w:type="first"/>
          <w:headerReference r:id="rId3" w:type="default"/>
          <w:footerReference r:id="rId5" w:type="default"/>
          <w:type w:val="continuous"/>
          <w:pgSz w:w="11906" w:h="16838"/>
          <w:pgMar w:top="1418" w:right="1554" w:bottom="1418" w:left="1531" w:header="851" w:footer="113" w:gutter="0"/>
          <w:pgNumType w:fmt="decimal"/>
          <w:cols w:space="720" w:num="1"/>
          <w:docGrid w:type="lines" w:linePitch="312" w:charSpace="0"/>
        </w:sectPr>
      </w:pPr>
      <w:bookmarkStart w:id="961" w:name="_Toc402450458"/>
      <w:r>
        <w:rPr>
          <w:color w:val="auto"/>
          <w:highlight w:val="none"/>
        </w:rPr>
        <w:br w:type="page"/>
      </w:r>
      <w:bookmarkStart w:id="962" w:name="_Toc22266"/>
      <w:bookmarkStart w:id="963" w:name="_Toc31994"/>
      <w:bookmarkStart w:id="964" w:name="_Toc67300357"/>
      <w:bookmarkStart w:id="965" w:name="_Toc3091"/>
      <w:bookmarkStart w:id="966" w:name="_Toc44227950"/>
      <w:bookmarkStart w:id="967" w:name="_Toc44492549"/>
      <w:bookmarkStart w:id="968" w:name="_Toc40186511"/>
      <w:bookmarkStart w:id="969" w:name="_Toc6932"/>
    </w:p>
    <w:p>
      <w:pPr>
        <w:pStyle w:val="3"/>
        <w:numPr>
          <w:ilvl w:val="255"/>
          <w:numId w:val="0"/>
        </w:numPr>
        <w:jc w:val="center"/>
        <w:rPr>
          <w:color w:val="auto"/>
          <w:highlight w:val="none"/>
        </w:rPr>
      </w:pPr>
      <w:bookmarkStart w:id="970" w:name="_Toc14011"/>
      <w:r>
        <w:rPr>
          <w:rStyle w:val="102"/>
          <w:rFonts w:hint="eastAsia"/>
          <w:b/>
          <w:bCs/>
          <w:color w:val="auto"/>
          <w:highlight w:val="none"/>
          <w:lang w:val="zh-CN"/>
        </w:rPr>
        <w:t>第三部分 专用条款</w:t>
      </w:r>
      <w:bookmarkEnd w:id="961"/>
      <w:bookmarkEnd w:id="962"/>
      <w:bookmarkEnd w:id="963"/>
      <w:bookmarkEnd w:id="964"/>
      <w:bookmarkEnd w:id="965"/>
      <w:bookmarkEnd w:id="966"/>
      <w:bookmarkEnd w:id="967"/>
      <w:bookmarkEnd w:id="968"/>
      <w:bookmarkEnd w:id="969"/>
      <w:bookmarkEnd w:id="970"/>
    </w:p>
    <w:p>
      <w:pPr>
        <w:pStyle w:val="73"/>
        <w:numPr>
          <w:ilvl w:val="0"/>
          <w:numId w:val="45"/>
        </w:numPr>
        <w:spacing w:before="0" w:after="0"/>
        <w:ind w:firstLine="480" w:firstLineChars="200"/>
        <w:jc w:val="left"/>
        <w:outlineLvl w:val="0"/>
        <w:rPr>
          <w:rFonts w:eastAsia="宋体"/>
          <w:color w:val="auto"/>
          <w:sz w:val="24"/>
          <w:szCs w:val="24"/>
          <w:highlight w:val="none"/>
        </w:rPr>
      </w:pPr>
      <w:bookmarkStart w:id="971" w:name="_Toc24289"/>
      <w:bookmarkStart w:id="972" w:name="_Toc402450459"/>
      <w:bookmarkStart w:id="973" w:name="_Toc44228153"/>
      <w:bookmarkStart w:id="974" w:name="_Toc17744"/>
      <w:bookmarkStart w:id="975" w:name="_Toc22876"/>
      <w:bookmarkStart w:id="976" w:name="_Toc23052"/>
      <w:bookmarkStart w:id="977" w:name="_Toc44492550"/>
      <w:bookmarkStart w:id="978" w:name="_Toc10189"/>
      <w:bookmarkStart w:id="979" w:name="_Toc38987270"/>
      <w:bookmarkStart w:id="980" w:name="_Toc26596"/>
      <w:bookmarkStart w:id="981" w:name="p3"/>
      <w:r>
        <w:rPr>
          <w:rFonts w:eastAsia="宋体"/>
          <w:color w:val="auto"/>
          <w:sz w:val="24"/>
          <w:szCs w:val="24"/>
          <w:highlight w:val="none"/>
        </w:rPr>
        <w:t>一般约定</w:t>
      </w:r>
      <w:bookmarkEnd w:id="971"/>
      <w:bookmarkEnd w:id="972"/>
      <w:bookmarkEnd w:id="973"/>
      <w:bookmarkEnd w:id="974"/>
      <w:bookmarkEnd w:id="975"/>
      <w:bookmarkEnd w:id="976"/>
      <w:bookmarkEnd w:id="977"/>
      <w:bookmarkEnd w:id="978"/>
      <w:bookmarkEnd w:id="979"/>
      <w:bookmarkEnd w:id="980"/>
    </w:p>
    <w:p>
      <w:pPr>
        <w:pStyle w:val="77"/>
        <w:spacing w:before="0" w:after="0"/>
        <w:ind w:firstLine="480"/>
        <w:rPr>
          <w:rFonts w:eastAsia="宋体"/>
          <w:color w:val="auto"/>
          <w:szCs w:val="24"/>
          <w:highlight w:val="none"/>
        </w:rPr>
      </w:pPr>
      <w:bookmarkStart w:id="982" w:name="_Toc16615"/>
      <w:bookmarkStart w:id="983" w:name="_Toc44492551"/>
      <w:bookmarkStart w:id="984" w:name="_Toc27074"/>
      <w:r>
        <w:rPr>
          <w:rFonts w:eastAsia="宋体"/>
          <w:color w:val="auto"/>
          <w:szCs w:val="24"/>
          <w:highlight w:val="none"/>
        </w:rPr>
        <w:t>1.2.</w:t>
      </w:r>
      <w:r>
        <w:rPr>
          <w:rFonts w:hint="eastAsia" w:eastAsia="宋体"/>
          <w:color w:val="auto"/>
          <w:szCs w:val="24"/>
          <w:highlight w:val="none"/>
        </w:rPr>
        <w:t xml:space="preserve"> </w:t>
      </w:r>
      <w:r>
        <w:rPr>
          <w:rFonts w:eastAsia="宋体"/>
          <w:color w:val="auto"/>
          <w:szCs w:val="24"/>
          <w:highlight w:val="none"/>
        </w:rPr>
        <w:t>语言文字</w:t>
      </w:r>
      <w:bookmarkEnd w:id="982"/>
      <w:bookmarkEnd w:id="983"/>
      <w:bookmarkEnd w:id="984"/>
    </w:p>
    <w:p>
      <w:pPr>
        <w:pStyle w:val="52"/>
        <w:ind w:firstLine="480"/>
        <w:jc w:val="both"/>
        <w:rPr>
          <w:rFonts w:eastAsia="宋体"/>
          <w:color w:val="auto"/>
          <w:sz w:val="24"/>
          <w:szCs w:val="24"/>
          <w:highlight w:val="none"/>
        </w:rPr>
      </w:pPr>
      <w:r>
        <w:rPr>
          <w:rFonts w:eastAsia="宋体"/>
          <w:color w:val="auto"/>
          <w:sz w:val="24"/>
          <w:szCs w:val="24"/>
          <w:highlight w:val="none"/>
        </w:rPr>
        <w:t>1.2.1. 本合同除使用汉语外，还使用</w:t>
      </w:r>
      <w:r>
        <w:rPr>
          <w:rFonts w:eastAsia="宋体"/>
          <w:color w:val="auto"/>
          <w:sz w:val="24"/>
          <w:szCs w:val="24"/>
          <w:highlight w:val="none"/>
          <w:u w:val="single"/>
        </w:rPr>
        <w:t xml:space="preserve"> / </w:t>
      </w:r>
      <w:r>
        <w:rPr>
          <w:rFonts w:eastAsia="宋体"/>
          <w:color w:val="auto"/>
          <w:sz w:val="24"/>
          <w:szCs w:val="24"/>
          <w:highlight w:val="none"/>
        </w:rPr>
        <w:t>语言文字。</w:t>
      </w:r>
    </w:p>
    <w:p>
      <w:pPr>
        <w:pStyle w:val="77"/>
        <w:spacing w:before="0" w:after="0"/>
        <w:ind w:firstLine="480"/>
        <w:rPr>
          <w:rFonts w:eastAsia="宋体"/>
          <w:color w:val="auto"/>
          <w:szCs w:val="24"/>
          <w:highlight w:val="none"/>
        </w:rPr>
      </w:pPr>
      <w:bookmarkStart w:id="985" w:name="_Toc3575"/>
      <w:bookmarkStart w:id="986" w:name="_Toc3979"/>
      <w:bookmarkStart w:id="987" w:name="_Toc44492552"/>
      <w:r>
        <w:rPr>
          <w:rFonts w:eastAsia="宋体"/>
          <w:color w:val="auto"/>
          <w:szCs w:val="24"/>
          <w:highlight w:val="none"/>
        </w:rPr>
        <w:t>1.3.</w:t>
      </w:r>
      <w:r>
        <w:rPr>
          <w:rFonts w:hint="eastAsia" w:eastAsia="宋体"/>
          <w:color w:val="auto"/>
          <w:szCs w:val="24"/>
          <w:highlight w:val="none"/>
        </w:rPr>
        <w:t xml:space="preserve"> </w:t>
      </w:r>
      <w:r>
        <w:rPr>
          <w:rFonts w:eastAsia="宋体"/>
          <w:color w:val="auto"/>
          <w:szCs w:val="24"/>
          <w:highlight w:val="none"/>
        </w:rPr>
        <w:t>适用法律、标准及规范</w:t>
      </w:r>
      <w:bookmarkEnd w:id="985"/>
      <w:bookmarkEnd w:id="986"/>
      <w:bookmarkEnd w:id="987"/>
    </w:p>
    <w:p>
      <w:pPr>
        <w:pStyle w:val="52"/>
        <w:ind w:firstLine="480"/>
        <w:jc w:val="both"/>
        <w:rPr>
          <w:rFonts w:eastAsia="宋体"/>
          <w:color w:val="auto"/>
          <w:sz w:val="24"/>
          <w:szCs w:val="24"/>
          <w:highlight w:val="none"/>
        </w:rPr>
      </w:pPr>
      <w:r>
        <w:rPr>
          <w:rFonts w:eastAsia="宋体"/>
          <w:color w:val="auto"/>
          <w:sz w:val="24"/>
          <w:szCs w:val="24"/>
          <w:highlight w:val="none"/>
        </w:rPr>
        <w:t>1.3.1. 本合同需要特别明示所适用的法律、行政法规有：</w:t>
      </w:r>
      <w:r>
        <w:rPr>
          <w:rFonts w:eastAsia="宋体"/>
          <w:color w:val="auto"/>
          <w:sz w:val="24"/>
          <w:szCs w:val="24"/>
          <w:highlight w:val="none"/>
          <w:u w:val="single"/>
        </w:rPr>
        <w:t xml:space="preserve">   /   </w:t>
      </w:r>
      <w:r>
        <w:rPr>
          <w:rFonts w:eastAsia="宋体"/>
          <w:color w:val="auto"/>
          <w:sz w:val="24"/>
          <w:szCs w:val="24"/>
          <w:highlight w:val="none"/>
        </w:rPr>
        <w:t>。</w:t>
      </w:r>
    </w:p>
    <w:p>
      <w:pPr>
        <w:pStyle w:val="52"/>
        <w:ind w:firstLine="480"/>
        <w:jc w:val="both"/>
        <w:rPr>
          <w:rFonts w:eastAsia="宋体"/>
          <w:color w:val="auto"/>
          <w:sz w:val="24"/>
          <w:szCs w:val="24"/>
          <w:highlight w:val="none"/>
          <w:u w:val="single"/>
        </w:rPr>
      </w:pPr>
      <w:r>
        <w:rPr>
          <w:rFonts w:eastAsia="宋体"/>
          <w:color w:val="auto"/>
          <w:sz w:val="24"/>
          <w:szCs w:val="24"/>
          <w:highlight w:val="none"/>
        </w:rPr>
        <w:t>1.3.2. 本合同适用的标准、规范为中华人民共和国现行的有关工程建设与施工的技术标准与规范，包括但不限于：</w:t>
      </w:r>
      <w:r>
        <w:rPr>
          <w:rFonts w:eastAsia="宋体"/>
          <w:color w:val="auto"/>
          <w:sz w:val="24"/>
          <w:szCs w:val="24"/>
          <w:highlight w:val="none"/>
          <w:u w:val="single"/>
        </w:rPr>
        <w:t>《建筑工程质量标准》、《建筑工程施工质量验收统一标准》、《建筑装饰装修工程质量验收规范》</w:t>
      </w:r>
      <w:r>
        <w:rPr>
          <w:rFonts w:hint="default" w:eastAsia="宋体"/>
          <w:color w:val="auto"/>
          <w:sz w:val="24"/>
          <w:szCs w:val="24"/>
          <w:highlight w:val="none"/>
          <w:u w:val="single"/>
          <w:lang w:eastAsia="zh-CN"/>
        </w:rPr>
        <w:t>、</w:t>
      </w:r>
      <w:r>
        <w:rPr>
          <w:rFonts w:hint="default" w:eastAsia="宋体"/>
          <w:color w:val="auto"/>
          <w:sz w:val="24"/>
          <w:szCs w:val="24"/>
          <w:highlight w:val="none"/>
          <w:u w:val="single"/>
        </w:rPr>
        <w:t>《城市桥梁工程施工与质量验收规范》</w:t>
      </w:r>
      <w:r>
        <w:rPr>
          <w:rFonts w:hint="default" w:eastAsia="宋体"/>
          <w:color w:val="auto"/>
          <w:sz w:val="24"/>
          <w:szCs w:val="24"/>
          <w:highlight w:val="none"/>
          <w:u w:val="single"/>
          <w:lang w:eastAsia="zh-CN"/>
        </w:rPr>
        <w:t>、</w:t>
      </w:r>
      <w:r>
        <w:rPr>
          <w:rFonts w:hint="default" w:eastAsia="宋体"/>
          <w:color w:val="auto"/>
          <w:sz w:val="24"/>
          <w:szCs w:val="24"/>
          <w:highlight w:val="none"/>
          <w:u w:val="single"/>
        </w:rPr>
        <w:t>《城镇道路工程施工与质量验收规范》</w:t>
      </w:r>
      <w:r>
        <w:rPr>
          <w:rFonts w:eastAsia="宋体"/>
          <w:color w:val="auto"/>
          <w:sz w:val="24"/>
          <w:szCs w:val="24"/>
          <w:highlight w:val="none"/>
          <w:u w:val="single"/>
        </w:rPr>
        <w:t>中适用于本工程的施工与验收规范、发包人在本合同中约定的有关技术标准要求等。</w:t>
      </w:r>
    </w:p>
    <w:p>
      <w:pPr>
        <w:pStyle w:val="52"/>
        <w:ind w:firstLine="480"/>
        <w:jc w:val="both"/>
        <w:rPr>
          <w:rFonts w:eastAsia="宋体"/>
          <w:color w:val="auto"/>
          <w:sz w:val="24"/>
          <w:szCs w:val="24"/>
          <w:highlight w:val="none"/>
          <w:u w:val="single"/>
        </w:rPr>
      </w:pPr>
      <w:r>
        <w:rPr>
          <w:rFonts w:eastAsia="宋体"/>
          <w:color w:val="auto"/>
          <w:sz w:val="24"/>
          <w:szCs w:val="24"/>
          <w:highlight w:val="none"/>
        </w:rPr>
        <w:t>1.3.3. 通用条款第1.3.3</w:t>
      </w:r>
      <w:r>
        <w:rPr>
          <w:rFonts w:hint="eastAsia" w:eastAsia="宋体"/>
          <w:color w:val="auto"/>
          <w:sz w:val="24"/>
          <w:szCs w:val="24"/>
          <w:highlight w:val="none"/>
        </w:rPr>
        <w:t>款</w:t>
      </w:r>
      <w:r>
        <w:rPr>
          <w:rFonts w:eastAsia="宋体"/>
          <w:color w:val="auto"/>
          <w:sz w:val="24"/>
          <w:szCs w:val="24"/>
          <w:highlight w:val="none"/>
        </w:rPr>
        <w:t>中的“1.3.1”修订为“1.3.2”。发包人提出的标准、规范：</w:t>
      </w:r>
      <w:r>
        <w:rPr>
          <w:rFonts w:hint="eastAsia" w:eastAsia="宋体"/>
          <w:color w:val="auto"/>
          <w:sz w:val="24"/>
          <w:szCs w:val="24"/>
          <w:highlight w:val="none"/>
          <w:u w:val="single"/>
        </w:rPr>
        <w:t>详见施工图总说明相关规范要求。</w:t>
      </w:r>
    </w:p>
    <w:p>
      <w:pPr>
        <w:pStyle w:val="52"/>
        <w:ind w:firstLine="480"/>
        <w:jc w:val="both"/>
        <w:rPr>
          <w:rFonts w:eastAsia="宋体"/>
          <w:color w:val="auto"/>
          <w:sz w:val="24"/>
          <w:szCs w:val="24"/>
          <w:highlight w:val="none"/>
          <w:u w:val="single"/>
        </w:rPr>
      </w:pPr>
      <w:r>
        <w:rPr>
          <w:rFonts w:eastAsia="宋体"/>
          <w:color w:val="auto"/>
          <w:sz w:val="24"/>
          <w:szCs w:val="24"/>
          <w:highlight w:val="none"/>
        </w:rPr>
        <w:t>1.4</w:t>
      </w:r>
      <w:r>
        <w:rPr>
          <w:rFonts w:hint="eastAsia" w:eastAsia="宋体"/>
          <w:color w:val="auto"/>
          <w:sz w:val="24"/>
          <w:szCs w:val="24"/>
          <w:highlight w:val="none"/>
        </w:rPr>
        <w:t>.</w:t>
      </w:r>
      <w:r>
        <w:rPr>
          <w:rFonts w:hint="eastAsia" w:eastAsia="宋体"/>
          <w:bCs/>
          <w:color w:val="auto"/>
          <w:kern w:val="2"/>
          <w:sz w:val="24"/>
          <w:szCs w:val="24"/>
          <w:highlight w:val="none"/>
        </w:rPr>
        <w:t xml:space="preserve"> </w:t>
      </w:r>
      <w:r>
        <w:rPr>
          <w:rFonts w:eastAsia="宋体"/>
          <w:bCs/>
          <w:color w:val="auto"/>
          <w:kern w:val="2"/>
          <w:sz w:val="24"/>
          <w:szCs w:val="24"/>
          <w:highlight w:val="none"/>
        </w:rPr>
        <w:t>合同文件的优先顺序</w:t>
      </w:r>
    </w:p>
    <w:p>
      <w:pPr>
        <w:pStyle w:val="52"/>
        <w:ind w:firstLine="480"/>
        <w:jc w:val="both"/>
        <w:rPr>
          <w:rFonts w:eastAsia="宋体"/>
          <w:color w:val="auto"/>
          <w:sz w:val="24"/>
          <w:szCs w:val="24"/>
          <w:highlight w:val="none"/>
        </w:rPr>
      </w:pPr>
      <w:r>
        <w:rPr>
          <w:rFonts w:hint="eastAsia" w:eastAsia="宋体"/>
          <w:color w:val="auto"/>
          <w:sz w:val="24"/>
          <w:szCs w:val="24"/>
          <w:highlight w:val="none"/>
        </w:rPr>
        <w:t>按通用条款约定执行</w:t>
      </w:r>
      <w:r>
        <w:rPr>
          <w:rFonts w:eastAsia="宋体"/>
          <w:color w:val="auto"/>
          <w:sz w:val="24"/>
          <w:szCs w:val="24"/>
          <w:highlight w:val="none"/>
        </w:rPr>
        <w:t>。</w:t>
      </w:r>
    </w:p>
    <w:p>
      <w:pPr>
        <w:pStyle w:val="77"/>
        <w:spacing w:before="0" w:after="0"/>
        <w:ind w:firstLine="480"/>
        <w:rPr>
          <w:rFonts w:eastAsia="宋体"/>
          <w:color w:val="auto"/>
          <w:szCs w:val="24"/>
          <w:highlight w:val="none"/>
        </w:rPr>
      </w:pPr>
      <w:bookmarkStart w:id="988" w:name="_Toc6960"/>
      <w:bookmarkStart w:id="989" w:name="_Toc44492553"/>
      <w:bookmarkStart w:id="990" w:name="_Toc105"/>
      <w:r>
        <w:rPr>
          <w:rFonts w:eastAsia="宋体"/>
          <w:color w:val="auto"/>
          <w:szCs w:val="24"/>
          <w:highlight w:val="none"/>
        </w:rPr>
        <w:t>1.6.</w:t>
      </w:r>
      <w:r>
        <w:rPr>
          <w:rFonts w:hint="eastAsia" w:eastAsia="宋体"/>
          <w:color w:val="auto"/>
          <w:szCs w:val="24"/>
          <w:highlight w:val="none"/>
        </w:rPr>
        <w:t xml:space="preserve"> </w:t>
      </w:r>
      <w:r>
        <w:rPr>
          <w:rFonts w:eastAsia="宋体"/>
          <w:color w:val="auto"/>
          <w:szCs w:val="24"/>
          <w:highlight w:val="none"/>
        </w:rPr>
        <w:t>图纸和承包人文件</w:t>
      </w:r>
      <w:bookmarkEnd w:id="988"/>
      <w:bookmarkEnd w:id="989"/>
      <w:bookmarkEnd w:id="990"/>
    </w:p>
    <w:p>
      <w:pPr>
        <w:pStyle w:val="75"/>
        <w:ind w:firstLine="482"/>
        <w:jc w:val="both"/>
        <w:rPr>
          <w:color w:val="auto"/>
          <w:sz w:val="24"/>
          <w:szCs w:val="24"/>
          <w:highlight w:val="none"/>
        </w:rPr>
      </w:pPr>
      <w:bookmarkStart w:id="991" w:name="_Toc24632"/>
      <w:r>
        <w:rPr>
          <w:color w:val="auto"/>
          <w:sz w:val="24"/>
          <w:szCs w:val="24"/>
          <w:highlight w:val="none"/>
        </w:rPr>
        <w:t>1.6.1. 发包人提供的图纸</w:t>
      </w:r>
      <w:bookmarkEnd w:id="991"/>
    </w:p>
    <w:p>
      <w:pPr>
        <w:pStyle w:val="52"/>
        <w:ind w:firstLine="480"/>
        <w:jc w:val="both"/>
        <w:rPr>
          <w:rFonts w:eastAsia="宋体"/>
          <w:color w:val="auto"/>
          <w:sz w:val="24"/>
          <w:szCs w:val="24"/>
          <w:highlight w:val="none"/>
        </w:rPr>
      </w:pPr>
      <w:r>
        <w:rPr>
          <w:rFonts w:eastAsia="宋体"/>
          <w:color w:val="auto"/>
          <w:sz w:val="24"/>
          <w:szCs w:val="24"/>
          <w:highlight w:val="none"/>
        </w:rPr>
        <w:t>1)</w:t>
      </w:r>
      <w:r>
        <w:rPr>
          <w:rFonts w:eastAsia="宋体"/>
          <w:color w:val="auto"/>
          <w:sz w:val="24"/>
          <w:szCs w:val="24"/>
          <w:highlight w:val="none"/>
        </w:rPr>
        <w:tab/>
      </w:r>
      <w:r>
        <w:rPr>
          <w:rFonts w:eastAsia="宋体"/>
          <w:color w:val="auto"/>
          <w:sz w:val="24"/>
          <w:szCs w:val="24"/>
          <w:highlight w:val="none"/>
        </w:rPr>
        <w:t>发包人在</w:t>
      </w:r>
      <w:r>
        <w:rPr>
          <w:rFonts w:eastAsia="宋体"/>
          <w:color w:val="auto"/>
          <w:sz w:val="24"/>
          <w:szCs w:val="24"/>
          <w:highlight w:val="none"/>
          <w:u w:val="single"/>
        </w:rPr>
        <w:t xml:space="preserve"> 工程开工前 </w:t>
      </w:r>
      <w:r>
        <w:rPr>
          <w:rFonts w:eastAsia="宋体"/>
          <w:color w:val="auto"/>
          <w:sz w:val="24"/>
          <w:szCs w:val="24"/>
          <w:highlight w:val="none"/>
        </w:rPr>
        <w:t>向承包人提供</w:t>
      </w:r>
      <w:r>
        <w:rPr>
          <w:rFonts w:eastAsia="宋体"/>
          <w:color w:val="auto"/>
          <w:sz w:val="24"/>
          <w:szCs w:val="24"/>
          <w:highlight w:val="none"/>
          <w:u w:val="single"/>
        </w:rPr>
        <w:t xml:space="preserve">  施工图纸  </w:t>
      </w:r>
      <w:r>
        <w:rPr>
          <w:rFonts w:eastAsia="宋体"/>
          <w:color w:val="auto"/>
          <w:sz w:val="24"/>
          <w:szCs w:val="24"/>
          <w:highlight w:val="none"/>
        </w:rPr>
        <w:t>一式</w:t>
      </w:r>
      <w:r>
        <w:rPr>
          <w:rFonts w:eastAsia="宋体"/>
          <w:color w:val="auto"/>
          <w:sz w:val="24"/>
          <w:szCs w:val="24"/>
          <w:highlight w:val="none"/>
          <w:u w:val="single"/>
        </w:rPr>
        <w:t xml:space="preserve"> 肆 </w:t>
      </w:r>
      <w:r>
        <w:rPr>
          <w:rFonts w:eastAsia="宋体"/>
          <w:color w:val="auto"/>
          <w:sz w:val="24"/>
          <w:szCs w:val="24"/>
          <w:highlight w:val="none"/>
        </w:rPr>
        <w:t>份。</w:t>
      </w:r>
    </w:p>
    <w:p>
      <w:pPr>
        <w:pStyle w:val="75"/>
        <w:ind w:firstLine="482"/>
        <w:jc w:val="both"/>
        <w:rPr>
          <w:color w:val="auto"/>
          <w:sz w:val="24"/>
          <w:szCs w:val="24"/>
          <w:highlight w:val="none"/>
        </w:rPr>
      </w:pPr>
      <w:bookmarkStart w:id="992" w:name="_Toc11577"/>
      <w:r>
        <w:rPr>
          <w:color w:val="auto"/>
          <w:sz w:val="24"/>
          <w:szCs w:val="24"/>
          <w:highlight w:val="none"/>
        </w:rPr>
        <w:t>1.6.2. 承包人提供的图纸</w:t>
      </w:r>
      <w:bookmarkEnd w:id="992"/>
    </w:p>
    <w:p>
      <w:pPr>
        <w:pStyle w:val="52"/>
        <w:ind w:firstLine="480"/>
        <w:jc w:val="both"/>
        <w:rPr>
          <w:rFonts w:ascii="宋体" w:hAnsi="宋体" w:eastAsia="宋体" w:cs="宋体"/>
          <w:i/>
          <w:iCs/>
          <w:color w:val="auto"/>
          <w:sz w:val="24"/>
          <w:szCs w:val="24"/>
          <w:highlight w:val="none"/>
        </w:rPr>
      </w:pPr>
      <w:r>
        <w:rPr>
          <w:rFonts w:eastAsia="宋体"/>
          <w:color w:val="auto"/>
          <w:sz w:val="24"/>
          <w:szCs w:val="24"/>
          <w:highlight w:val="none"/>
        </w:rPr>
        <w:t>1)</w:t>
      </w:r>
      <w:r>
        <w:rPr>
          <w:rFonts w:eastAsia="宋体"/>
          <w:color w:val="auto"/>
          <w:sz w:val="24"/>
          <w:szCs w:val="24"/>
          <w:highlight w:val="none"/>
        </w:rPr>
        <w:tab/>
      </w:r>
      <w:r>
        <w:rPr>
          <w:rFonts w:eastAsia="宋体"/>
          <w:color w:val="auto"/>
          <w:sz w:val="24"/>
          <w:szCs w:val="24"/>
          <w:highlight w:val="none"/>
        </w:rPr>
        <w:t>承包人需提交的深化设计图纸有：</w:t>
      </w:r>
      <w:r>
        <w:rPr>
          <w:rFonts w:hint="eastAsia" w:eastAsia="宋体"/>
          <w:color w:val="auto"/>
          <w:sz w:val="24"/>
          <w:szCs w:val="24"/>
          <w:highlight w:val="none"/>
          <w:lang w:val="en-US" w:eastAsia="zh-CN"/>
        </w:rPr>
        <w:t>包括但不限于钢结构、</w:t>
      </w:r>
      <w:r>
        <w:rPr>
          <w:rFonts w:hint="eastAsia" w:eastAsia="宋体"/>
          <w:color w:val="auto"/>
          <w:sz w:val="24"/>
          <w:szCs w:val="24"/>
          <w:highlight w:val="none"/>
        </w:rPr>
        <w:t>玻璃幕墙、</w:t>
      </w:r>
      <w:r>
        <w:rPr>
          <w:rFonts w:hint="eastAsia" w:eastAsia="宋体"/>
          <w:color w:val="auto"/>
          <w:sz w:val="24"/>
          <w:szCs w:val="24"/>
          <w:highlight w:val="none"/>
          <w:lang w:val="en-US" w:eastAsia="zh-CN"/>
        </w:rPr>
        <w:t>铝板幕墙、装饰铝板、</w:t>
      </w:r>
      <w:r>
        <w:rPr>
          <w:rFonts w:hint="eastAsia" w:eastAsia="宋体"/>
          <w:color w:val="auto"/>
          <w:sz w:val="24"/>
          <w:szCs w:val="24"/>
          <w:highlight w:val="none"/>
        </w:rPr>
        <w:t>栏杆、雨篷等</w:t>
      </w: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具体以</w:t>
      </w:r>
      <w:r>
        <w:rPr>
          <w:rFonts w:hint="eastAsia" w:ascii="宋体" w:hAnsi="宋体" w:eastAsia="宋体" w:cs="宋体"/>
          <w:color w:val="auto"/>
          <w:sz w:val="24"/>
          <w:szCs w:val="24"/>
          <w:highlight w:val="none"/>
          <w:u w:val="single"/>
        </w:rPr>
        <w:t>发包人要求</w:t>
      </w:r>
      <w:r>
        <w:rPr>
          <w:rFonts w:hint="eastAsia" w:ascii="宋体" w:hAnsi="宋体" w:eastAsia="宋体" w:cs="宋体"/>
          <w:color w:val="auto"/>
          <w:sz w:val="24"/>
          <w:szCs w:val="24"/>
          <w:highlight w:val="none"/>
          <w:u w:val="single"/>
          <w:lang w:val="en-US" w:eastAsia="zh-CN"/>
        </w:rPr>
        <w:t>为准</w:t>
      </w:r>
      <w:r>
        <w:rPr>
          <w:rFonts w:hint="eastAsia" w:ascii="宋体" w:hAnsi="宋体" w:eastAsia="宋体" w:cs="宋体"/>
          <w:color w:val="auto"/>
          <w:sz w:val="24"/>
          <w:szCs w:val="24"/>
          <w:highlight w:val="none"/>
        </w:rPr>
        <w:t>。</w:t>
      </w:r>
    </w:p>
    <w:p>
      <w:pPr>
        <w:pStyle w:val="52"/>
        <w:ind w:firstLine="480"/>
        <w:jc w:val="both"/>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提交的时间为：</w:t>
      </w:r>
      <w:r>
        <w:rPr>
          <w:rFonts w:hint="eastAsia" w:ascii="宋体" w:hAnsi="宋体" w:eastAsia="宋体" w:cs="宋体"/>
          <w:color w:val="auto"/>
          <w:sz w:val="24"/>
          <w:szCs w:val="24"/>
          <w:highlight w:val="none"/>
          <w:u w:val="single"/>
        </w:rPr>
        <w:t>按发包人要求</w:t>
      </w:r>
      <w:r>
        <w:rPr>
          <w:rFonts w:hint="eastAsia" w:ascii="宋体" w:hAnsi="宋体" w:eastAsia="宋体" w:cs="宋体"/>
          <w:color w:val="auto"/>
          <w:sz w:val="24"/>
          <w:szCs w:val="24"/>
          <w:highlight w:val="none"/>
        </w:rPr>
        <w:t>。</w:t>
      </w:r>
    </w:p>
    <w:p>
      <w:pPr>
        <w:pStyle w:val="52"/>
        <w:ind w:firstLine="480"/>
        <w:jc w:val="both"/>
        <w:rPr>
          <w:rFonts w:eastAsia="宋体"/>
          <w:color w:val="auto"/>
          <w:sz w:val="24"/>
          <w:szCs w:val="24"/>
          <w:highlight w:val="none"/>
        </w:rPr>
      </w:pPr>
      <w:r>
        <w:rPr>
          <w:rFonts w:hint="eastAsia" w:ascii="宋体" w:hAnsi="宋体" w:eastAsia="宋体" w:cs="宋体"/>
          <w:color w:val="auto"/>
          <w:sz w:val="24"/>
          <w:szCs w:val="24"/>
          <w:highlight w:val="none"/>
        </w:rPr>
        <w:t>提交的数量为：</w:t>
      </w:r>
      <w:r>
        <w:rPr>
          <w:rFonts w:hint="eastAsia" w:ascii="宋体" w:hAnsi="宋体" w:eastAsia="宋体" w:cs="宋体"/>
          <w:color w:val="auto"/>
          <w:sz w:val="24"/>
          <w:szCs w:val="24"/>
          <w:highlight w:val="none"/>
          <w:u w:val="single"/>
        </w:rPr>
        <w:t>按发包人要求</w:t>
      </w:r>
      <w:bookmarkStart w:id="993" w:name="_Toc495653031"/>
      <w:bookmarkStart w:id="994" w:name="_Toc496531120"/>
      <w:bookmarkStart w:id="995" w:name="_Toc498960541"/>
      <w:bookmarkStart w:id="996" w:name="_Toc496532146"/>
      <w:bookmarkStart w:id="997" w:name="_Toc495916046"/>
      <w:bookmarkStart w:id="998" w:name="_Toc495652728"/>
      <w:r>
        <w:rPr>
          <w:rFonts w:eastAsia="宋体"/>
          <w:color w:val="auto"/>
          <w:sz w:val="24"/>
          <w:szCs w:val="24"/>
          <w:highlight w:val="none"/>
        </w:rPr>
        <w:t>。</w:t>
      </w:r>
      <w:bookmarkEnd w:id="993"/>
      <w:bookmarkEnd w:id="994"/>
      <w:bookmarkEnd w:id="995"/>
      <w:bookmarkEnd w:id="996"/>
      <w:bookmarkEnd w:id="997"/>
      <w:bookmarkEnd w:id="998"/>
    </w:p>
    <w:p>
      <w:pPr>
        <w:pStyle w:val="52"/>
        <w:ind w:firstLine="480"/>
        <w:jc w:val="both"/>
        <w:rPr>
          <w:rFonts w:eastAsia="宋体"/>
          <w:color w:val="auto"/>
          <w:sz w:val="24"/>
          <w:szCs w:val="24"/>
          <w:highlight w:val="none"/>
        </w:rPr>
      </w:pPr>
      <w:r>
        <w:rPr>
          <w:rFonts w:eastAsia="宋体"/>
          <w:color w:val="auto"/>
          <w:sz w:val="24"/>
          <w:szCs w:val="24"/>
          <w:highlight w:val="none"/>
        </w:rPr>
        <w:t>2)</w:t>
      </w:r>
      <w:r>
        <w:rPr>
          <w:rFonts w:eastAsia="宋体"/>
          <w:color w:val="auto"/>
          <w:sz w:val="24"/>
          <w:szCs w:val="24"/>
          <w:highlight w:val="none"/>
        </w:rPr>
        <w:tab/>
      </w:r>
      <w:r>
        <w:rPr>
          <w:rFonts w:eastAsia="宋体"/>
          <w:color w:val="auto"/>
          <w:sz w:val="24"/>
          <w:szCs w:val="24"/>
          <w:highlight w:val="none"/>
        </w:rPr>
        <w:t>承包人提供的竣工图的份数：竣工图纸</w:t>
      </w:r>
      <w:r>
        <w:rPr>
          <w:rFonts w:eastAsia="宋体"/>
          <w:color w:val="auto"/>
          <w:sz w:val="24"/>
          <w:szCs w:val="24"/>
          <w:highlight w:val="none"/>
          <w:u w:val="single"/>
        </w:rPr>
        <w:t>壹式</w:t>
      </w:r>
      <w:r>
        <w:rPr>
          <w:rFonts w:hint="eastAsia" w:eastAsia="宋体"/>
          <w:color w:val="auto"/>
          <w:sz w:val="24"/>
          <w:szCs w:val="24"/>
          <w:highlight w:val="none"/>
          <w:u w:val="single"/>
          <w:lang w:val="en-US" w:eastAsia="zh-CN"/>
        </w:rPr>
        <w:t>捌</w:t>
      </w:r>
      <w:r>
        <w:rPr>
          <w:rFonts w:eastAsia="宋体"/>
          <w:color w:val="auto"/>
          <w:sz w:val="24"/>
          <w:szCs w:val="24"/>
          <w:highlight w:val="none"/>
          <w:u w:val="single"/>
        </w:rPr>
        <w:t>份</w:t>
      </w:r>
      <w:r>
        <w:rPr>
          <w:rFonts w:eastAsia="宋体"/>
          <w:color w:val="auto"/>
          <w:sz w:val="24"/>
          <w:szCs w:val="24"/>
          <w:highlight w:val="none"/>
        </w:rPr>
        <w:t>及相应的电子磁盘资料</w:t>
      </w:r>
      <w:r>
        <w:rPr>
          <w:rFonts w:hint="eastAsia" w:eastAsia="宋体"/>
          <w:color w:val="auto"/>
          <w:sz w:val="24"/>
          <w:szCs w:val="24"/>
          <w:highlight w:val="none"/>
          <w:u w:val="single"/>
          <w:lang w:val="en-US" w:eastAsia="zh-CN"/>
        </w:rPr>
        <w:t>壹</w:t>
      </w:r>
      <w:r>
        <w:rPr>
          <w:rFonts w:eastAsia="宋体"/>
          <w:color w:val="auto"/>
          <w:sz w:val="24"/>
          <w:szCs w:val="24"/>
          <w:highlight w:val="none"/>
          <w:u w:val="single"/>
        </w:rPr>
        <w:t>套</w:t>
      </w:r>
      <w:r>
        <w:rPr>
          <w:rFonts w:eastAsia="宋体"/>
          <w:color w:val="auto"/>
          <w:sz w:val="24"/>
          <w:szCs w:val="24"/>
          <w:highlight w:val="none"/>
        </w:rPr>
        <w:t>。</w:t>
      </w:r>
    </w:p>
    <w:p>
      <w:pPr>
        <w:pStyle w:val="52"/>
        <w:ind w:firstLine="480"/>
        <w:jc w:val="both"/>
        <w:rPr>
          <w:rFonts w:eastAsia="宋体"/>
          <w:bCs/>
          <w:color w:val="auto"/>
          <w:sz w:val="24"/>
          <w:szCs w:val="24"/>
          <w:highlight w:val="none"/>
        </w:rPr>
      </w:pPr>
      <w:r>
        <w:rPr>
          <w:rFonts w:eastAsia="宋体"/>
          <w:color w:val="auto"/>
          <w:sz w:val="24"/>
          <w:szCs w:val="24"/>
          <w:highlight w:val="none"/>
        </w:rPr>
        <w:t>3)</w:t>
      </w:r>
      <w:r>
        <w:rPr>
          <w:rFonts w:eastAsia="宋体"/>
          <w:color w:val="auto"/>
          <w:sz w:val="24"/>
          <w:szCs w:val="24"/>
          <w:highlight w:val="none"/>
        </w:rPr>
        <w:tab/>
      </w:r>
      <w:r>
        <w:rPr>
          <w:rFonts w:eastAsia="宋体"/>
          <w:color w:val="auto"/>
          <w:sz w:val="24"/>
          <w:szCs w:val="24"/>
          <w:highlight w:val="none"/>
        </w:rPr>
        <w:t>其他需承包人提供的</w:t>
      </w:r>
      <w:r>
        <w:rPr>
          <w:rFonts w:hint="eastAsia" w:eastAsia="宋体"/>
          <w:color w:val="auto"/>
          <w:sz w:val="24"/>
          <w:szCs w:val="24"/>
          <w:highlight w:val="none"/>
        </w:rPr>
        <w:t>图纸</w:t>
      </w:r>
      <w:r>
        <w:rPr>
          <w:rFonts w:eastAsia="宋体"/>
          <w:color w:val="auto"/>
          <w:sz w:val="24"/>
          <w:szCs w:val="24"/>
          <w:highlight w:val="none"/>
        </w:rPr>
        <w:t>及其要求：</w:t>
      </w:r>
      <w:r>
        <w:rPr>
          <w:rFonts w:eastAsia="宋体"/>
          <w:bCs/>
          <w:color w:val="auto"/>
          <w:sz w:val="24"/>
          <w:szCs w:val="24"/>
          <w:highlight w:val="none"/>
        </w:rPr>
        <w:t>竣工资料及竣工图纸必须准确真实的反映实际施工情况（含电子版文件</w:t>
      </w:r>
      <w:r>
        <w:rPr>
          <w:rFonts w:hint="eastAsia" w:eastAsia="宋体"/>
          <w:bCs/>
          <w:color w:val="auto"/>
          <w:sz w:val="24"/>
          <w:szCs w:val="24"/>
          <w:highlight w:val="none"/>
        </w:rPr>
        <w:t>肆</w:t>
      </w:r>
      <w:r>
        <w:rPr>
          <w:rFonts w:eastAsia="宋体"/>
          <w:bCs/>
          <w:color w:val="auto"/>
          <w:sz w:val="24"/>
          <w:szCs w:val="24"/>
          <w:highlight w:val="none"/>
        </w:rPr>
        <w:t>套）。竣工图由承包人编制，相关费用（包括但不限于编制费及出图费（如需）由承包人承担）</w:t>
      </w:r>
      <w:r>
        <w:rPr>
          <w:rFonts w:hint="eastAsia" w:eastAsia="宋体"/>
          <w:bCs/>
          <w:color w:val="auto"/>
          <w:sz w:val="24"/>
          <w:szCs w:val="24"/>
          <w:highlight w:val="none"/>
        </w:rPr>
        <w:t>已</w:t>
      </w:r>
      <w:r>
        <w:rPr>
          <w:rFonts w:eastAsia="宋体"/>
          <w:bCs/>
          <w:color w:val="auto"/>
          <w:sz w:val="24"/>
          <w:szCs w:val="24"/>
          <w:highlight w:val="none"/>
        </w:rPr>
        <w:t>在合同</w:t>
      </w:r>
      <w:r>
        <w:rPr>
          <w:rFonts w:hint="eastAsia" w:eastAsia="宋体"/>
          <w:bCs/>
          <w:color w:val="auto"/>
          <w:sz w:val="24"/>
          <w:szCs w:val="24"/>
          <w:highlight w:val="none"/>
        </w:rPr>
        <w:t>暂定总价</w:t>
      </w:r>
      <w:r>
        <w:rPr>
          <w:rFonts w:eastAsia="宋体"/>
          <w:bCs/>
          <w:color w:val="auto"/>
          <w:sz w:val="24"/>
          <w:szCs w:val="24"/>
          <w:highlight w:val="none"/>
        </w:rPr>
        <w:t>中综合考虑</w:t>
      </w:r>
      <w:r>
        <w:rPr>
          <w:rFonts w:hint="eastAsia" w:eastAsia="宋体"/>
          <w:bCs/>
          <w:color w:val="auto"/>
          <w:sz w:val="24"/>
          <w:szCs w:val="24"/>
          <w:highlight w:val="none"/>
        </w:rPr>
        <w:t>，不再另行支付</w:t>
      </w:r>
      <w:r>
        <w:rPr>
          <w:rFonts w:eastAsia="宋体"/>
          <w:bCs/>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4) 深化设计相关要求：</w:t>
      </w:r>
    </w:p>
    <w:p>
      <w:pPr>
        <w:pStyle w:val="52"/>
        <w:ind w:firstLine="480"/>
        <w:jc w:val="both"/>
        <w:rPr>
          <w:rFonts w:eastAsia="宋体"/>
          <w:color w:val="auto"/>
          <w:sz w:val="24"/>
          <w:szCs w:val="24"/>
          <w:highlight w:val="none"/>
        </w:rPr>
      </w:pPr>
      <w:r>
        <w:rPr>
          <w:rFonts w:eastAsia="宋体"/>
          <w:color w:val="auto"/>
          <w:sz w:val="24"/>
          <w:szCs w:val="24"/>
          <w:highlight w:val="none"/>
        </w:rPr>
        <w:t>①由承包人负责专业工程设计深化的，深化设计费用已在</w:t>
      </w:r>
      <w:r>
        <w:rPr>
          <w:rFonts w:hint="eastAsia" w:eastAsia="宋体"/>
          <w:color w:val="auto"/>
          <w:sz w:val="24"/>
          <w:szCs w:val="24"/>
          <w:highlight w:val="none"/>
        </w:rPr>
        <w:t>投标报价</w:t>
      </w:r>
      <w:r>
        <w:rPr>
          <w:rFonts w:eastAsia="宋体"/>
          <w:color w:val="auto"/>
          <w:sz w:val="24"/>
          <w:szCs w:val="24"/>
          <w:highlight w:val="none"/>
        </w:rPr>
        <w:t>中综合考虑，不另行支付。设计深化是在原招标图及下发施工图基础上结合现场实际情况对图纸进行完善、补充、细化后，绘制成具有可实施性的现场施工图纸，通过发包人审查，图形合一，直接指导现场施工。深化设计文件深度要满足施工、维护等工程需求，包含但不限于以下内容：图纸、计算书、技术文档、调试安装手册等。深化设计文件需要符合本工程资质的设计院盖章。</w:t>
      </w:r>
    </w:p>
    <w:p>
      <w:pPr>
        <w:pStyle w:val="52"/>
        <w:ind w:firstLine="480"/>
        <w:jc w:val="both"/>
        <w:rPr>
          <w:rFonts w:eastAsia="宋体"/>
          <w:color w:val="auto"/>
          <w:sz w:val="24"/>
          <w:szCs w:val="24"/>
          <w:highlight w:val="none"/>
        </w:rPr>
      </w:pPr>
      <w:r>
        <w:rPr>
          <w:rFonts w:eastAsia="宋体"/>
          <w:color w:val="auto"/>
          <w:sz w:val="24"/>
          <w:szCs w:val="24"/>
          <w:highlight w:val="none"/>
        </w:rPr>
        <w:t>②深化设计必须实现原设计所有功能，并不低于原有设计要求。不因设计深化图纸经发包人审核确认而免除承包人深化设计后图纸不满足原方案设计、技术要求、设计施工规范之违约责任。经审批深化设计后，本工程或分项工程或子系统的功能、需求、档次、材质、工程量超出（优于）原设计的，合同价款不予增加。</w:t>
      </w:r>
    </w:p>
    <w:p>
      <w:pPr>
        <w:pStyle w:val="52"/>
        <w:ind w:firstLine="480"/>
        <w:jc w:val="both"/>
        <w:rPr>
          <w:rFonts w:eastAsia="宋体"/>
          <w:color w:val="auto"/>
          <w:sz w:val="24"/>
          <w:szCs w:val="24"/>
          <w:highlight w:val="none"/>
        </w:rPr>
      </w:pPr>
      <w:r>
        <w:rPr>
          <w:rFonts w:eastAsia="宋体"/>
          <w:color w:val="auto"/>
          <w:sz w:val="24"/>
          <w:szCs w:val="24"/>
          <w:highlight w:val="none"/>
        </w:rPr>
        <w:t>③承包人提交的深化设计图纸必须一次性满足发包人的深化设计要求，否则，每超过一次，承包人须按专用条款第22.1条向发包人承担违约责任，且不免除承包人需完成的深化设计义务。</w:t>
      </w:r>
    </w:p>
    <w:p>
      <w:pPr>
        <w:pStyle w:val="52"/>
        <w:ind w:firstLine="480"/>
        <w:jc w:val="both"/>
        <w:rPr>
          <w:rFonts w:eastAsia="宋体"/>
          <w:color w:val="auto"/>
          <w:sz w:val="24"/>
          <w:szCs w:val="24"/>
          <w:highlight w:val="none"/>
        </w:rPr>
      </w:pPr>
      <w:r>
        <w:rPr>
          <w:rFonts w:eastAsia="宋体"/>
          <w:color w:val="auto"/>
          <w:sz w:val="24"/>
          <w:szCs w:val="24"/>
          <w:highlight w:val="none"/>
        </w:rPr>
        <w:t>④承包人应协助完成设计变更与现场签证的相关资料。</w:t>
      </w:r>
    </w:p>
    <w:p>
      <w:pPr>
        <w:pStyle w:val="52"/>
        <w:ind w:firstLine="480"/>
        <w:jc w:val="both"/>
        <w:rPr>
          <w:rFonts w:eastAsia="宋体"/>
          <w:color w:val="auto"/>
          <w:sz w:val="24"/>
          <w:szCs w:val="24"/>
          <w:highlight w:val="none"/>
        </w:rPr>
      </w:pPr>
      <w:r>
        <w:rPr>
          <w:rFonts w:eastAsia="宋体"/>
          <w:color w:val="auto"/>
          <w:sz w:val="24"/>
          <w:szCs w:val="24"/>
          <w:highlight w:val="none"/>
        </w:rPr>
        <w:t>⑤施工方案由承包人负责编制，发包人确认后方可实施。符合以下特点的工作需要编制施工方案：危险性较大、工序较多、工作时间长、涉及多个单位配合协调及其他需要报发包人批准方可实施的工作。</w:t>
      </w:r>
    </w:p>
    <w:p>
      <w:pPr>
        <w:pStyle w:val="52"/>
        <w:ind w:firstLine="480"/>
        <w:jc w:val="both"/>
        <w:rPr>
          <w:rFonts w:eastAsia="宋体"/>
          <w:color w:val="auto"/>
          <w:sz w:val="24"/>
          <w:szCs w:val="24"/>
          <w:highlight w:val="none"/>
        </w:rPr>
      </w:pPr>
      <w:r>
        <w:rPr>
          <w:rFonts w:eastAsia="宋体"/>
          <w:color w:val="auto"/>
          <w:sz w:val="24"/>
          <w:szCs w:val="24"/>
          <w:highlight w:val="none"/>
        </w:rPr>
        <w:t>⑥如承包人的施工组织设计无法满足工期要求的，由承包人自行优化达到发包人的工期要求，相关费用由承包人承担。</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⑦</w:t>
      </w:r>
      <w:r>
        <w:rPr>
          <w:rFonts w:ascii="Times New Roman" w:hAnsi="Times New Roman"/>
          <w:color w:val="auto"/>
          <w:kern w:val="0"/>
          <w:sz w:val="24"/>
          <w:szCs w:val="24"/>
          <w:highlight w:val="none"/>
        </w:rPr>
        <w:t>由承包人负责完成的图纸深化设计、施工组织设计等存在缺陷造成的任何支出，由承包人承担。</w:t>
      </w:r>
    </w:p>
    <w:p>
      <w:pPr>
        <w:pStyle w:val="2"/>
        <w:rPr>
          <w:color w:val="auto"/>
          <w:highlight w:val="none"/>
        </w:rPr>
      </w:pPr>
      <w:r>
        <w:rPr>
          <w:color w:val="auto"/>
          <w:highlight w:val="none"/>
        </w:rPr>
        <w:t>1.6.4.</w:t>
      </w:r>
      <w:r>
        <w:rPr>
          <w:rFonts w:hint="eastAsia"/>
          <w:color w:val="auto"/>
          <w:highlight w:val="none"/>
        </w:rPr>
        <w:t xml:space="preserve"> </w:t>
      </w:r>
      <w:r>
        <w:rPr>
          <w:color w:val="auto"/>
          <w:highlight w:val="none"/>
        </w:rPr>
        <w:t>图纸和承包人文件的保管</w:t>
      </w:r>
    </w:p>
    <w:p>
      <w:pPr>
        <w:pStyle w:val="52"/>
        <w:numPr>
          <w:ilvl w:val="255"/>
          <w:numId w:val="0"/>
        </w:numPr>
        <w:ind w:firstLine="480" w:firstLineChars="200"/>
        <w:jc w:val="both"/>
        <w:rPr>
          <w:color w:val="auto"/>
          <w:highlight w:val="none"/>
        </w:rPr>
      </w:pPr>
      <w:r>
        <w:rPr>
          <w:rFonts w:hint="eastAsia" w:eastAsia="宋体"/>
          <w:color w:val="auto"/>
          <w:sz w:val="24"/>
          <w:szCs w:val="24"/>
          <w:highlight w:val="none"/>
        </w:rPr>
        <w:t>3）通用条款第1.6.4条第3）款修订为：</w:t>
      </w:r>
      <w:r>
        <w:rPr>
          <w:rFonts w:eastAsia="宋体"/>
          <w:color w:val="auto"/>
          <w:sz w:val="24"/>
          <w:szCs w:val="24"/>
          <w:highlight w:val="none"/>
        </w:rPr>
        <w:t>承包人作为一个具备相应专业资质及丰富施工经验的承包商，在查阅合同文件或在本工程实施过程中，发现有关的工程设计、工程技术要求、施工图纸或其他资料中有任何差错、遗漏或缺陷，应在施工前不少于三十（30）天前向发包人提出书面意见。如承包人作为一个专业的有经验的承包商本应发现上述差错、遗漏或缺陷而未发现，或已发现却隐瞒不报，并继续施工，因而导致的质量缺陷、返工修复、工期延误、以及发包人、其他承包人和其他人的经济损失与工期延误等责任，由此造成的装修工程损失由承包人承担。如承包人已在上述时间内向发包人提出发现差错、遗漏或缺陷的书面意见，而发包人仍决定按原要求施工的，承包人应予以执行。</w:t>
      </w:r>
    </w:p>
    <w:p>
      <w:pPr>
        <w:widowControl/>
        <w:spacing w:line="360" w:lineRule="auto"/>
        <w:ind w:firstLine="480" w:firstLineChars="200"/>
        <w:rPr>
          <w:rFonts w:hint="default" w:ascii="Times New Roman" w:hAnsi="Times New Roman" w:eastAsia="宋体" w:cs="Times New Roman"/>
          <w:bCs/>
          <w:color w:val="auto"/>
          <w:sz w:val="24"/>
          <w:szCs w:val="24"/>
          <w:highlight w:val="none"/>
        </w:rPr>
      </w:pPr>
      <w:bookmarkStart w:id="999" w:name="_Toc19384"/>
      <w:bookmarkStart w:id="1000" w:name="_Toc22745"/>
      <w:bookmarkStart w:id="1001" w:name="_Toc29731"/>
      <w:bookmarkStart w:id="1002" w:name="_Toc28022"/>
      <w:bookmarkStart w:id="1003" w:name="_Toc31699"/>
      <w:bookmarkStart w:id="1004" w:name="_Toc31011"/>
      <w:r>
        <w:rPr>
          <w:rFonts w:hint="default" w:ascii="Times New Roman" w:hAnsi="Times New Roman" w:eastAsia="宋体" w:cs="Times New Roman"/>
          <w:bCs/>
          <w:color w:val="auto"/>
          <w:sz w:val="24"/>
          <w:szCs w:val="24"/>
          <w:highlight w:val="none"/>
        </w:rPr>
        <w:t>1.</w:t>
      </w:r>
      <w:bookmarkEnd w:id="999"/>
      <w:bookmarkEnd w:id="1000"/>
      <w:bookmarkEnd w:id="1001"/>
      <w:bookmarkEnd w:id="1002"/>
      <w:bookmarkEnd w:id="1003"/>
      <w:bookmarkEnd w:id="1004"/>
      <w:r>
        <w:rPr>
          <w:rFonts w:hint="default" w:ascii="Times New Roman" w:hAnsi="Times New Roman" w:eastAsia="宋体" w:cs="Times New Roman"/>
          <w:bCs/>
          <w:color w:val="auto"/>
          <w:sz w:val="24"/>
          <w:szCs w:val="24"/>
          <w:highlight w:val="none"/>
        </w:rPr>
        <w:t>9.</w:t>
      </w:r>
      <w:r>
        <w:rPr>
          <w:rFonts w:hint="eastAsia" w:ascii="Times New Roman" w:hAnsi="Times New Roman" w:eastAsia="宋体" w:cs="Times New Roman"/>
          <w:bCs/>
          <w:color w:val="auto"/>
          <w:sz w:val="24"/>
          <w:szCs w:val="24"/>
          <w:highlight w:val="none"/>
          <w:lang w:val="en-US" w:eastAsia="zh-CN"/>
        </w:rPr>
        <w:t xml:space="preserve"> </w:t>
      </w:r>
      <w:r>
        <w:rPr>
          <w:rFonts w:hint="default" w:ascii="Times New Roman" w:hAnsi="Times New Roman" w:eastAsia="宋体" w:cs="Times New Roman"/>
          <w:bCs/>
          <w:color w:val="auto"/>
          <w:sz w:val="24"/>
          <w:szCs w:val="24"/>
          <w:highlight w:val="none"/>
        </w:rPr>
        <w:t>文物和地下障碍物</w:t>
      </w:r>
    </w:p>
    <w:p>
      <w:pPr>
        <w:pStyle w:val="52"/>
        <w:numPr>
          <w:ilvl w:val="-1"/>
          <w:numId w:val="0"/>
        </w:numPr>
        <w:ind w:firstLine="480" w:firstLineChars="0"/>
        <w:jc w:val="left"/>
        <w:rPr>
          <w:color w:val="auto"/>
          <w:highlight w:val="none"/>
        </w:rPr>
      </w:pPr>
      <w:r>
        <w:rPr>
          <w:rFonts w:hint="default" w:ascii="Times New Roman" w:hAnsi="Times New Roman" w:eastAsia="宋体" w:cs="Times New Roman"/>
          <w:bCs/>
          <w:color w:val="auto"/>
          <w:kern w:val="2"/>
          <w:sz w:val="24"/>
          <w:szCs w:val="24"/>
          <w:highlight w:val="none"/>
        </w:rPr>
        <w:t>通用条款补充1.9.3</w:t>
      </w:r>
      <w:r>
        <w:rPr>
          <w:rFonts w:hint="eastAsia" w:eastAsia="宋体" w:cs="Times New Roman"/>
          <w:bCs/>
          <w:color w:val="auto"/>
          <w:kern w:val="2"/>
          <w:sz w:val="24"/>
          <w:szCs w:val="24"/>
          <w:highlight w:val="none"/>
          <w:lang w:eastAsia="zh-CN"/>
        </w:rPr>
        <w:t>：</w:t>
      </w:r>
      <w:r>
        <w:rPr>
          <w:rFonts w:hint="default" w:ascii="Times New Roman" w:hAnsi="Times New Roman" w:eastAsia="宋体" w:cs="Times New Roman"/>
          <w:bCs/>
          <w:color w:val="auto"/>
          <w:kern w:val="2"/>
          <w:sz w:val="24"/>
          <w:szCs w:val="24"/>
          <w:highlight w:val="none"/>
        </w:rPr>
        <w:t>发包人向承包人提供的有关现场的所有基础资料和数据（包括地下管线、气象和水文观测、地质勘察资料和地下工程等有关基础资料），是发包人现有的能供承包人利用的资料，发包人对承包人由此而做出的理解、推论、结论和决策等概不负责。承包人有义务对所有基础资料的真实性、准确性和完整性进行复核确认，不得以资料不齐全、不真实、不准确等向发包人提出索赔。</w:t>
      </w:r>
    </w:p>
    <w:p>
      <w:pPr>
        <w:pStyle w:val="73"/>
        <w:numPr>
          <w:ilvl w:val="0"/>
          <w:numId w:val="45"/>
        </w:numPr>
        <w:spacing w:before="0" w:after="0"/>
        <w:ind w:firstLine="480" w:firstLineChars="200"/>
        <w:outlineLvl w:val="0"/>
        <w:rPr>
          <w:rFonts w:eastAsia="宋体"/>
          <w:color w:val="auto"/>
          <w:sz w:val="24"/>
          <w:szCs w:val="24"/>
          <w:highlight w:val="none"/>
        </w:rPr>
      </w:pPr>
      <w:bookmarkStart w:id="1005" w:name="_Toc38987271"/>
      <w:bookmarkStart w:id="1006" w:name="_Toc44492555"/>
      <w:bookmarkStart w:id="1007" w:name="_Toc2911"/>
      <w:bookmarkStart w:id="1008" w:name="_Toc44228154"/>
      <w:bookmarkStart w:id="1009" w:name="_Toc19396"/>
      <w:bookmarkStart w:id="1010" w:name="_Toc5499"/>
      <w:bookmarkStart w:id="1011" w:name="_Toc16269"/>
      <w:bookmarkStart w:id="1012" w:name="_Toc22419"/>
      <w:bookmarkStart w:id="1013" w:name="_Toc19507"/>
      <w:r>
        <w:rPr>
          <w:rFonts w:eastAsia="宋体"/>
          <w:color w:val="auto"/>
          <w:sz w:val="24"/>
          <w:szCs w:val="24"/>
          <w:highlight w:val="none"/>
        </w:rPr>
        <w:t>发包人</w:t>
      </w:r>
      <w:bookmarkEnd w:id="1005"/>
      <w:bookmarkEnd w:id="1006"/>
      <w:bookmarkEnd w:id="1007"/>
      <w:bookmarkEnd w:id="1008"/>
      <w:bookmarkEnd w:id="1009"/>
      <w:bookmarkEnd w:id="1010"/>
      <w:bookmarkEnd w:id="1011"/>
      <w:bookmarkEnd w:id="1012"/>
      <w:bookmarkEnd w:id="1013"/>
    </w:p>
    <w:p>
      <w:pPr>
        <w:pStyle w:val="77"/>
        <w:spacing w:before="0" w:after="0"/>
        <w:ind w:firstLine="480"/>
        <w:outlineLvl w:val="1"/>
        <w:rPr>
          <w:rFonts w:eastAsia="宋体"/>
          <w:color w:val="auto"/>
          <w:szCs w:val="24"/>
          <w:highlight w:val="none"/>
        </w:rPr>
      </w:pPr>
      <w:bookmarkStart w:id="1014" w:name="_Toc44492556"/>
      <w:bookmarkStart w:id="1015" w:name="_Toc9080"/>
      <w:bookmarkStart w:id="1016" w:name="_Toc5409"/>
      <w:r>
        <w:rPr>
          <w:rFonts w:eastAsia="宋体"/>
          <w:color w:val="auto"/>
          <w:szCs w:val="24"/>
          <w:highlight w:val="none"/>
        </w:rPr>
        <w:t>2.1.</w:t>
      </w:r>
      <w:r>
        <w:rPr>
          <w:rFonts w:hint="eastAsia" w:eastAsia="宋体"/>
          <w:color w:val="auto"/>
          <w:szCs w:val="24"/>
          <w:highlight w:val="none"/>
        </w:rPr>
        <w:t xml:space="preserve"> </w:t>
      </w:r>
      <w:r>
        <w:rPr>
          <w:rFonts w:eastAsia="宋体"/>
          <w:color w:val="auto"/>
          <w:szCs w:val="24"/>
          <w:highlight w:val="none"/>
        </w:rPr>
        <w:t>发包人代表</w:t>
      </w:r>
      <w:bookmarkEnd w:id="1014"/>
      <w:bookmarkEnd w:id="1015"/>
      <w:bookmarkEnd w:id="1016"/>
    </w:p>
    <w:p>
      <w:pPr>
        <w:pStyle w:val="52"/>
        <w:ind w:firstLine="480"/>
        <w:jc w:val="both"/>
        <w:rPr>
          <w:rFonts w:eastAsia="宋体"/>
          <w:color w:val="auto"/>
          <w:sz w:val="24"/>
          <w:szCs w:val="24"/>
          <w:highlight w:val="none"/>
        </w:rPr>
      </w:pPr>
      <w:r>
        <w:rPr>
          <w:rFonts w:eastAsia="宋体"/>
          <w:color w:val="auto"/>
          <w:sz w:val="24"/>
          <w:szCs w:val="24"/>
          <w:highlight w:val="none"/>
        </w:rPr>
        <w:t>2.1.1. 发包人代表的姓名：</w:t>
      </w:r>
      <w:r>
        <w:rPr>
          <w:rFonts w:hint="eastAsia" w:eastAsia="宋体"/>
          <w:color w:val="auto"/>
          <w:kern w:val="2"/>
          <w:sz w:val="24"/>
          <w:szCs w:val="24"/>
          <w:highlight w:val="none"/>
          <w:u w:val="single"/>
          <w:lang w:val="en-US" w:eastAsia="zh-CN"/>
        </w:rPr>
        <w:t xml:space="preserve">      </w:t>
      </w:r>
      <w:r>
        <w:rPr>
          <w:rFonts w:eastAsia="宋体"/>
          <w:color w:val="auto"/>
          <w:sz w:val="24"/>
          <w:szCs w:val="24"/>
          <w:highlight w:val="none"/>
        </w:rPr>
        <w:t>，职务：</w:t>
      </w:r>
      <w:r>
        <w:rPr>
          <w:rFonts w:hint="eastAsia" w:eastAsia="宋体"/>
          <w:color w:val="auto"/>
          <w:kern w:val="2"/>
          <w:sz w:val="24"/>
          <w:szCs w:val="24"/>
          <w:highlight w:val="none"/>
          <w:u w:val="single"/>
          <w:lang w:val="en-US" w:eastAsia="zh-CN"/>
        </w:rPr>
        <w:t xml:space="preserve">      </w:t>
      </w:r>
      <w:r>
        <w:rPr>
          <w:rFonts w:eastAsia="宋体"/>
          <w:color w:val="auto"/>
          <w:sz w:val="24"/>
          <w:szCs w:val="24"/>
          <w:highlight w:val="none"/>
        </w:rPr>
        <w:t>，联系电话：</w:t>
      </w:r>
      <w:r>
        <w:rPr>
          <w:rFonts w:hint="eastAsia" w:eastAsia="宋体"/>
          <w:color w:val="auto"/>
          <w:kern w:val="2"/>
          <w:sz w:val="24"/>
          <w:szCs w:val="24"/>
          <w:highlight w:val="none"/>
          <w:u w:val="single"/>
          <w:lang w:val="en-US" w:eastAsia="zh-CN"/>
        </w:rPr>
        <w:t xml:space="preserve">      </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2.1.2. 发包人赋予发包人代表的其他权限：</w:t>
      </w:r>
      <w:r>
        <w:rPr>
          <w:rFonts w:hint="default" w:eastAsia="宋体" w:cs="Times New Roman"/>
          <w:color w:val="auto"/>
          <w:sz w:val="24"/>
          <w:szCs w:val="24"/>
          <w:highlight w:val="none"/>
          <w:u w:val="single" w:color="FF0000"/>
        </w:rPr>
        <w:t>代表发包人行使合同约定的权利，履行合同约定的义务，负责处理施工现场的具体事宜</w:t>
      </w:r>
      <w:r>
        <w:rPr>
          <w:rFonts w:eastAsia="宋体"/>
          <w:color w:val="auto"/>
          <w:sz w:val="24"/>
          <w:szCs w:val="24"/>
          <w:highlight w:val="none"/>
        </w:rPr>
        <w:t xml:space="preserve">。 </w:t>
      </w:r>
    </w:p>
    <w:p>
      <w:pPr>
        <w:pStyle w:val="52"/>
        <w:numPr>
          <w:ilvl w:val="0"/>
          <w:numId w:val="0"/>
        </w:numPr>
        <w:ind w:firstLine="480" w:firstLineChars="0"/>
        <w:rPr>
          <w:rFonts w:eastAsia="宋体" w:cs="Times New Roman"/>
          <w:bCs/>
          <w:color w:val="auto"/>
          <w:kern w:val="2"/>
          <w:sz w:val="24"/>
          <w:szCs w:val="24"/>
          <w:highlight w:val="none"/>
        </w:rPr>
      </w:pPr>
      <w:r>
        <w:rPr>
          <w:rFonts w:eastAsia="宋体" w:cs="Times New Roman"/>
          <w:bCs/>
          <w:color w:val="auto"/>
          <w:kern w:val="2"/>
          <w:sz w:val="24"/>
          <w:szCs w:val="24"/>
          <w:highlight w:val="none"/>
        </w:rPr>
        <w:t>2.1.3. 通用条款</w:t>
      </w:r>
      <w:r>
        <w:rPr>
          <w:rFonts w:hint="default" w:eastAsia="宋体" w:cs="Times New Roman"/>
          <w:bCs/>
          <w:color w:val="auto"/>
          <w:kern w:val="2"/>
          <w:sz w:val="24"/>
          <w:szCs w:val="24"/>
          <w:highlight w:val="none"/>
        </w:rPr>
        <w:t>2</w:t>
      </w:r>
      <w:r>
        <w:rPr>
          <w:rFonts w:eastAsia="宋体" w:cs="Times New Roman"/>
          <w:bCs/>
          <w:color w:val="auto"/>
          <w:kern w:val="2"/>
          <w:sz w:val="24"/>
          <w:szCs w:val="24"/>
          <w:highlight w:val="none"/>
        </w:rPr>
        <w:t>.1.3修订为</w:t>
      </w:r>
      <w:r>
        <w:rPr>
          <w:rFonts w:hint="default" w:eastAsia="宋体" w:cs="Times New Roman"/>
          <w:bCs/>
          <w:color w:val="auto"/>
          <w:kern w:val="2"/>
          <w:sz w:val="24"/>
          <w:szCs w:val="24"/>
          <w:highlight w:val="none"/>
        </w:rPr>
        <w:t>：发包人代表签发的工程指令、通知、工程付款申请、设计变更申请与确认单、现场签证申请与确认单、其他变更的申请与确认单等，需盖章方可生效。在任何情形下，发包人代表都没有修改本合同内容的权利。承包人确知，发包人代表签署的可能修改合同条款的任何文件均无效，发包人代表根据本合同授权签发的任何文件与本合同约定计量计价规则不一致的，均应严格以本合同约定的计量计价原则为准，本合同的补充合同（协议）另有约定的除外。</w:t>
      </w:r>
    </w:p>
    <w:p>
      <w:pPr>
        <w:pStyle w:val="52"/>
        <w:ind w:firstLine="480"/>
        <w:jc w:val="both"/>
        <w:rPr>
          <w:rFonts w:eastAsia="宋体"/>
          <w:color w:val="auto"/>
          <w:sz w:val="24"/>
          <w:szCs w:val="24"/>
          <w:highlight w:val="none"/>
        </w:rPr>
      </w:pPr>
      <w:r>
        <w:rPr>
          <w:rFonts w:eastAsia="宋体"/>
          <w:color w:val="auto"/>
          <w:sz w:val="24"/>
          <w:szCs w:val="24"/>
          <w:highlight w:val="none"/>
        </w:rPr>
        <w:t>2.1.6 在发包人代表的权限范围内，除非发包人代表在承包人发出的工程施工联系函或其它报告、文件上签署明确意见，否则，发包人代表的签名或其他人的签名(即使其他人签署意见)，仅表示发包人对该份文件的签收（即仅表示发包人收到该份文件，而不表示发包人对该份文件及其中任何内容的认可），不能作为发包人意见或结算的依据。</w:t>
      </w:r>
    </w:p>
    <w:p>
      <w:pPr>
        <w:pStyle w:val="75"/>
        <w:ind w:firstLine="482"/>
        <w:jc w:val="both"/>
        <w:outlineLvl w:val="1"/>
        <w:rPr>
          <w:color w:val="auto"/>
          <w:sz w:val="24"/>
          <w:szCs w:val="24"/>
          <w:highlight w:val="none"/>
        </w:rPr>
      </w:pPr>
      <w:bookmarkStart w:id="1017" w:name="_Toc28717"/>
      <w:r>
        <w:rPr>
          <w:color w:val="auto"/>
          <w:sz w:val="24"/>
          <w:szCs w:val="24"/>
          <w:highlight w:val="none"/>
        </w:rPr>
        <w:t>2.2.</w:t>
      </w:r>
      <w:r>
        <w:rPr>
          <w:rFonts w:hint="eastAsia"/>
          <w:color w:val="auto"/>
          <w:sz w:val="24"/>
          <w:szCs w:val="24"/>
          <w:highlight w:val="none"/>
        </w:rPr>
        <w:t xml:space="preserve"> </w:t>
      </w:r>
      <w:r>
        <w:rPr>
          <w:color w:val="auto"/>
          <w:sz w:val="24"/>
          <w:szCs w:val="24"/>
          <w:highlight w:val="none"/>
        </w:rPr>
        <w:t>发包人一般权利义务</w:t>
      </w:r>
      <w:bookmarkEnd w:id="1017"/>
    </w:p>
    <w:p>
      <w:pPr>
        <w:pStyle w:val="75"/>
        <w:ind w:firstLine="480"/>
        <w:jc w:val="both"/>
        <w:rPr>
          <w:b w:val="0"/>
          <w:color w:val="auto"/>
          <w:sz w:val="24"/>
          <w:szCs w:val="24"/>
          <w:highlight w:val="none"/>
        </w:rPr>
      </w:pPr>
      <w:bookmarkStart w:id="1018" w:name="_Toc1856"/>
      <w:bookmarkStart w:id="1019" w:name="_Toc21967"/>
      <w:r>
        <w:rPr>
          <w:b w:val="0"/>
          <w:color w:val="auto"/>
          <w:sz w:val="24"/>
          <w:szCs w:val="24"/>
          <w:highlight w:val="none"/>
        </w:rPr>
        <w:t>2.2.1. 发包人在实施过程中根据本工程实际情况需要有权增减部分内容。</w:t>
      </w:r>
      <w:bookmarkEnd w:id="1018"/>
    </w:p>
    <w:p>
      <w:pPr>
        <w:pStyle w:val="75"/>
        <w:ind w:firstLine="480"/>
        <w:jc w:val="both"/>
        <w:rPr>
          <w:b w:val="0"/>
          <w:color w:val="auto"/>
          <w:sz w:val="24"/>
          <w:szCs w:val="24"/>
          <w:highlight w:val="none"/>
        </w:rPr>
      </w:pPr>
      <w:r>
        <w:rPr>
          <w:b w:val="0"/>
          <w:color w:val="auto"/>
          <w:sz w:val="24"/>
          <w:szCs w:val="24"/>
          <w:highlight w:val="none"/>
        </w:rPr>
        <w:t>2.2.4. 发包人完成以下工作：</w:t>
      </w:r>
      <w:bookmarkEnd w:id="1019"/>
    </w:p>
    <w:p>
      <w:pPr>
        <w:pStyle w:val="52"/>
        <w:ind w:firstLine="480"/>
        <w:jc w:val="both"/>
        <w:rPr>
          <w:rFonts w:eastAsia="宋体"/>
          <w:color w:val="auto"/>
          <w:sz w:val="24"/>
          <w:szCs w:val="24"/>
          <w:highlight w:val="none"/>
        </w:rPr>
      </w:pPr>
      <w:r>
        <w:rPr>
          <w:rFonts w:eastAsia="宋体"/>
          <w:color w:val="auto"/>
          <w:sz w:val="24"/>
          <w:szCs w:val="24"/>
          <w:highlight w:val="none"/>
        </w:rPr>
        <w:t>5) 通用条款第2.2.4条第5）款增加内容：设计交底后，承包人应当继续审查相关图纸中可能存在的不符合法律规定、适用标准、施工规范的任何错误、冲突，并在</w:t>
      </w:r>
      <w:r>
        <w:rPr>
          <w:rFonts w:eastAsia="宋体"/>
          <w:color w:val="auto"/>
          <w:sz w:val="24"/>
          <w:szCs w:val="24"/>
          <w:highlight w:val="none"/>
          <w:u w:val="single"/>
        </w:rPr>
        <w:t>7</w:t>
      </w:r>
      <w:r>
        <w:rPr>
          <w:rFonts w:eastAsia="宋体"/>
          <w:color w:val="auto"/>
          <w:sz w:val="24"/>
          <w:szCs w:val="24"/>
          <w:highlight w:val="none"/>
        </w:rPr>
        <w:t>天内以书面方式报</w:t>
      </w:r>
      <w:r>
        <w:rPr>
          <w:rFonts w:hint="eastAsia" w:eastAsia="宋体"/>
          <w:color w:val="auto"/>
          <w:sz w:val="24"/>
          <w:szCs w:val="24"/>
          <w:highlight w:val="none"/>
          <w:lang w:eastAsia="zh-CN"/>
        </w:rPr>
        <w:t>发包人</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7)</w:t>
      </w:r>
      <w:r>
        <w:rPr>
          <w:rFonts w:eastAsia="宋体"/>
          <w:color w:val="auto"/>
          <w:sz w:val="24"/>
          <w:szCs w:val="24"/>
          <w:highlight w:val="none"/>
        </w:rPr>
        <w:tab/>
      </w:r>
      <w:r>
        <w:rPr>
          <w:rFonts w:eastAsia="宋体"/>
          <w:color w:val="auto"/>
          <w:sz w:val="24"/>
          <w:szCs w:val="24"/>
          <w:highlight w:val="none"/>
        </w:rPr>
        <w:t xml:space="preserve">其他由发包人完成的工作： </w:t>
      </w:r>
    </w:p>
    <w:p>
      <w:pPr>
        <w:pStyle w:val="52"/>
        <w:ind w:firstLine="480"/>
        <w:jc w:val="both"/>
        <w:rPr>
          <w:rFonts w:eastAsia="宋体"/>
          <w:color w:val="auto"/>
          <w:sz w:val="24"/>
          <w:szCs w:val="24"/>
          <w:highlight w:val="none"/>
          <w:u w:val="single"/>
        </w:rPr>
      </w:pPr>
      <w:r>
        <w:rPr>
          <w:rFonts w:eastAsia="宋体"/>
          <w:color w:val="auto"/>
          <w:sz w:val="24"/>
          <w:szCs w:val="24"/>
          <w:highlight w:val="none"/>
          <w:u w:val="single"/>
        </w:rPr>
        <w:t>承包人进场后，</w:t>
      </w:r>
      <w:r>
        <w:rPr>
          <w:rFonts w:hint="default" w:eastAsia="宋体" w:cs="Times New Roman"/>
          <w:color w:val="auto"/>
          <w:sz w:val="24"/>
          <w:szCs w:val="24"/>
          <w:highlight w:val="none"/>
          <w:u w:val="single"/>
        </w:rPr>
        <w:t>发包人提供规划局确定水准点和</w:t>
      </w:r>
      <w:r>
        <w:rPr>
          <w:rFonts w:hint="default" w:eastAsia="宋体" w:cs="Times New Roman"/>
          <w:color w:val="auto"/>
          <w:sz w:val="24"/>
          <w:szCs w:val="24"/>
          <w:highlight w:val="none"/>
          <w:u w:val="single"/>
          <w:lang w:val="en-US" w:eastAsia="zh-CN"/>
        </w:rPr>
        <w:t>坐标</w:t>
      </w:r>
      <w:r>
        <w:rPr>
          <w:rFonts w:hint="default" w:eastAsia="宋体" w:cs="Times New Roman"/>
          <w:color w:val="auto"/>
          <w:sz w:val="24"/>
          <w:szCs w:val="24"/>
          <w:highlight w:val="none"/>
          <w:u w:val="single"/>
        </w:rPr>
        <w:t>控制点，以书面形式交给承包人，进行现场交验</w:t>
      </w:r>
      <w:r>
        <w:rPr>
          <w:rFonts w:eastAsia="宋体"/>
          <w:color w:val="auto"/>
          <w:sz w:val="24"/>
          <w:szCs w:val="24"/>
          <w:highlight w:val="none"/>
          <w:u w:val="single"/>
        </w:rPr>
        <w:t>。</w:t>
      </w:r>
    </w:p>
    <w:p>
      <w:pPr>
        <w:pStyle w:val="52"/>
        <w:ind w:firstLine="480"/>
        <w:jc w:val="both"/>
        <w:rPr>
          <w:rFonts w:hint="eastAsia" w:eastAsia="宋体"/>
          <w:color w:val="auto"/>
          <w:sz w:val="24"/>
          <w:szCs w:val="24"/>
          <w:highlight w:val="none"/>
          <w:u w:val="single"/>
        </w:rPr>
      </w:pPr>
      <w:r>
        <w:rPr>
          <w:rFonts w:eastAsia="宋体"/>
          <w:color w:val="auto"/>
          <w:sz w:val="24"/>
          <w:szCs w:val="24"/>
          <w:highlight w:val="none"/>
        </w:rPr>
        <w:t xml:space="preserve">2.2.5 </w:t>
      </w:r>
      <w:r>
        <w:rPr>
          <w:rFonts w:hint="eastAsia" w:eastAsia="宋体"/>
          <w:color w:val="auto"/>
          <w:sz w:val="24"/>
          <w:szCs w:val="24"/>
          <w:highlight w:val="none"/>
        </w:rPr>
        <w:t>施工所需水、电、电讯线路说明：关于施工所需水、电的具体约定：施工</w:t>
      </w:r>
      <w:r>
        <w:rPr>
          <w:rFonts w:hint="eastAsia" w:eastAsia="宋体"/>
          <w:color w:val="auto"/>
          <w:sz w:val="24"/>
          <w:szCs w:val="24"/>
          <w:highlight w:val="none"/>
          <w:u w:val="single"/>
        </w:rPr>
        <w:t>所需水、电由</w:t>
      </w:r>
      <w:r>
        <w:rPr>
          <w:rFonts w:hint="eastAsia" w:eastAsia="宋体"/>
          <w:color w:val="auto"/>
          <w:sz w:val="24"/>
          <w:szCs w:val="24"/>
          <w:highlight w:val="none"/>
          <w:u w:val="single"/>
          <w:lang w:val="en-US" w:eastAsia="zh-CN"/>
        </w:rPr>
        <w:t>发</w:t>
      </w:r>
      <w:r>
        <w:rPr>
          <w:rFonts w:hint="eastAsia" w:eastAsia="宋体"/>
          <w:color w:val="auto"/>
          <w:sz w:val="24"/>
          <w:szCs w:val="24"/>
          <w:highlight w:val="none"/>
          <w:u w:val="single"/>
        </w:rPr>
        <w:t>包人提供接驳点，相关费用由承包人承担，电讯线路由承包人自行解决</w:t>
      </w:r>
      <w:r>
        <w:rPr>
          <w:rFonts w:hint="eastAsia" w:eastAsia="宋体"/>
          <w:color w:val="auto"/>
          <w:sz w:val="24"/>
          <w:szCs w:val="24"/>
          <w:highlight w:val="none"/>
        </w:rPr>
        <w:t>。</w:t>
      </w:r>
    </w:p>
    <w:p>
      <w:pPr>
        <w:pStyle w:val="75"/>
        <w:ind w:firstLine="480"/>
        <w:jc w:val="both"/>
        <w:rPr>
          <w:b w:val="0"/>
          <w:color w:val="auto"/>
          <w:sz w:val="24"/>
          <w:szCs w:val="24"/>
          <w:highlight w:val="none"/>
        </w:rPr>
      </w:pPr>
      <w:bookmarkStart w:id="1020" w:name="_Toc18813"/>
      <w:r>
        <w:rPr>
          <w:b w:val="0"/>
          <w:color w:val="auto"/>
          <w:sz w:val="24"/>
          <w:szCs w:val="24"/>
          <w:highlight w:val="none"/>
        </w:rPr>
        <w:t xml:space="preserve">2.2.6. </w:t>
      </w:r>
      <w:r>
        <w:rPr>
          <w:rFonts w:hint="eastAsia"/>
          <w:b w:val="0"/>
          <w:color w:val="auto"/>
          <w:sz w:val="24"/>
          <w:szCs w:val="24"/>
          <w:highlight w:val="none"/>
        </w:rPr>
        <w:t>发包人委托承包人办理的工作（包括但不限于）：</w:t>
      </w:r>
      <w:bookmarkEnd w:id="1020"/>
    </w:p>
    <w:p>
      <w:pPr>
        <w:pStyle w:val="52"/>
        <w:ind w:firstLine="480"/>
        <w:jc w:val="both"/>
        <w:rPr>
          <w:rFonts w:eastAsia="宋体"/>
          <w:color w:val="auto"/>
          <w:sz w:val="24"/>
          <w:szCs w:val="24"/>
          <w:highlight w:val="none"/>
        </w:rPr>
      </w:pPr>
      <w:r>
        <w:rPr>
          <w:rFonts w:eastAsia="宋体"/>
          <w:color w:val="auto"/>
          <w:sz w:val="24"/>
          <w:szCs w:val="24"/>
          <w:highlight w:val="none"/>
        </w:rPr>
        <w:t>1</w:t>
      </w:r>
      <w:r>
        <w:rPr>
          <w:rFonts w:hint="eastAsia" w:eastAsia="宋体"/>
          <w:color w:val="auto"/>
          <w:sz w:val="24"/>
          <w:szCs w:val="24"/>
          <w:highlight w:val="none"/>
        </w:rPr>
        <w:t>）</w:t>
      </w:r>
      <w:r>
        <w:rPr>
          <w:rFonts w:hint="eastAsia" w:eastAsia="宋体"/>
          <w:color w:val="auto"/>
          <w:sz w:val="24"/>
          <w:szCs w:val="24"/>
          <w:highlight w:val="none"/>
          <w:lang w:val="en-US" w:eastAsia="zh-CN"/>
        </w:rPr>
        <w:t>负责</w:t>
      </w:r>
      <w:r>
        <w:rPr>
          <w:rFonts w:hint="eastAsia" w:eastAsia="宋体"/>
          <w:color w:val="auto"/>
          <w:sz w:val="24"/>
          <w:szCs w:val="24"/>
          <w:highlight w:val="none"/>
        </w:rPr>
        <w:t>办理开工至竣工验收所必须的行政许可、报审、报批、报备以及相关设计图纸的审核、审查、备案等手续。</w:t>
      </w:r>
    </w:p>
    <w:p>
      <w:pPr>
        <w:pStyle w:val="52"/>
        <w:ind w:firstLine="480"/>
        <w:jc w:val="both"/>
        <w:rPr>
          <w:rFonts w:eastAsia="宋体"/>
          <w:color w:val="auto"/>
          <w:sz w:val="24"/>
          <w:szCs w:val="24"/>
          <w:highlight w:val="none"/>
        </w:rPr>
      </w:pPr>
      <w:r>
        <w:rPr>
          <w:rFonts w:eastAsia="宋体"/>
          <w:color w:val="auto"/>
          <w:sz w:val="24"/>
          <w:szCs w:val="24"/>
          <w:highlight w:val="none"/>
        </w:rPr>
        <w:t>2</w:t>
      </w:r>
      <w:r>
        <w:rPr>
          <w:rFonts w:hint="eastAsia" w:eastAsia="宋体"/>
          <w:color w:val="auto"/>
          <w:sz w:val="24"/>
          <w:szCs w:val="24"/>
          <w:highlight w:val="none"/>
        </w:rPr>
        <w:t>）负责协调施工过程中的相关职能部门及周边在建其他项目，包括且不限于：街道居委、公安派出所、交通部门、质安监、建管、城管、环保等。</w:t>
      </w:r>
    </w:p>
    <w:p>
      <w:pPr>
        <w:pStyle w:val="52"/>
        <w:ind w:firstLine="480"/>
        <w:jc w:val="both"/>
        <w:rPr>
          <w:rFonts w:eastAsia="宋体"/>
          <w:color w:val="auto"/>
          <w:sz w:val="24"/>
          <w:szCs w:val="24"/>
          <w:highlight w:val="none"/>
        </w:rPr>
      </w:pPr>
      <w:r>
        <w:rPr>
          <w:rFonts w:eastAsia="宋体"/>
          <w:color w:val="auto"/>
          <w:sz w:val="24"/>
          <w:szCs w:val="24"/>
          <w:highlight w:val="none"/>
        </w:rPr>
        <w:t>3</w:t>
      </w:r>
      <w:r>
        <w:rPr>
          <w:rFonts w:hint="eastAsia" w:eastAsia="宋体"/>
          <w:color w:val="auto"/>
          <w:sz w:val="24"/>
          <w:szCs w:val="24"/>
          <w:highlight w:val="none"/>
        </w:rPr>
        <w:t>）配合发包人开展工艺样板展示、工地开放展示等创优及观摩工作。</w:t>
      </w:r>
    </w:p>
    <w:p>
      <w:pPr>
        <w:pStyle w:val="52"/>
        <w:ind w:firstLine="480"/>
        <w:jc w:val="both"/>
        <w:rPr>
          <w:rFonts w:eastAsia="宋体"/>
          <w:color w:val="auto"/>
          <w:sz w:val="24"/>
          <w:szCs w:val="24"/>
          <w:highlight w:val="none"/>
        </w:rPr>
      </w:pPr>
      <w:r>
        <w:rPr>
          <w:rFonts w:hint="eastAsia" w:eastAsia="宋体"/>
          <w:color w:val="auto"/>
          <w:sz w:val="24"/>
          <w:szCs w:val="24"/>
          <w:highlight w:val="none"/>
          <w:lang w:val="en-US" w:eastAsia="zh-CN"/>
        </w:rPr>
        <w:t>4</w:t>
      </w:r>
      <w:r>
        <w:rPr>
          <w:rFonts w:hint="eastAsia" w:eastAsia="宋体"/>
          <w:color w:val="auto"/>
          <w:sz w:val="24"/>
          <w:szCs w:val="24"/>
          <w:highlight w:val="none"/>
        </w:rPr>
        <w:t>）承包人完成以上工作内容所需的一切费用均包含在合同价款其他措施费用中，发包人无需另行支付费用。</w:t>
      </w:r>
    </w:p>
    <w:p>
      <w:pPr>
        <w:pStyle w:val="52"/>
        <w:ind w:firstLine="480"/>
        <w:jc w:val="both"/>
        <w:rPr>
          <w:rFonts w:eastAsia="宋体"/>
          <w:color w:val="auto"/>
          <w:sz w:val="24"/>
          <w:szCs w:val="24"/>
          <w:highlight w:val="none"/>
        </w:rPr>
      </w:pPr>
      <w:r>
        <w:rPr>
          <w:rFonts w:hint="eastAsia" w:eastAsia="宋体"/>
          <w:color w:val="auto"/>
          <w:sz w:val="24"/>
          <w:szCs w:val="24"/>
          <w:highlight w:val="none"/>
          <w:lang w:val="en-US" w:eastAsia="zh-CN"/>
        </w:rPr>
        <w:t>5</w:t>
      </w:r>
      <w:r>
        <w:rPr>
          <w:rFonts w:hint="eastAsia" w:eastAsia="宋体"/>
          <w:color w:val="auto"/>
          <w:sz w:val="24"/>
          <w:szCs w:val="24"/>
          <w:highlight w:val="none"/>
        </w:rPr>
        <w:t>）承包人负责本工程</w:t>
      </w:r>
      <w:r>
        <w:rPr>
          <w:rFonts w:hint="eastAsia" w:eastAsia="宋体"/>
          <w:color w:val="auto"/>
          <w:sz w:val="24"/>
          <w:szCs w:val="24"/>
          <w:highlight w:val="none"/>
          <w:lang w:val="en-US" w:eastAsia="zh-CN"/>
        </w:rPr>
        <w:t>第三方</w:t>
      </w:r>
      <w:r>
        <w:rPr>
          <w:rFonts w:hint="eastAsia" w:eastAsia="宋体"/>
          <w:color w:val="auto"/>
          <w:sz w:val="24"/>
          <w:szCs w:val="24"/>
          <w:highlight w:val="none"/>
        </w:rPr>
        <w:t>检验检测</w:t>
      </w: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包括但不限于材料检测、结构实体检测、钢结构检测、幕墙四性检测、桩基检测、防雷检测等</w:t>
      </w: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，相关检验检测须满足验收及移交要求</w:t>
      </w:r>
      <w:r>
        <w:rPr>
          <w:rFonts w:hint="eastAsia" w:eastAsia="宋体"/>
          <w:color w:val="auto"/>
          <w:sz w:val="24"/>
          <w:szCs w:val="24"/>
          <w:highlight w:val="none"/>
        </w:rPr>
        <w:t>，一切相关费用及工作均由承包人承担</w:t>
      </w: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相关费用已在合同暂定总价中综合考虑，不再单独列项计费</w:t>
      </w:r>
      <w:r>
        <w:rPr>
          <w:rFonts w:hint="eastAsia" w:eastAsia="宋体"/>
          <w:color w:val="auto"/>
          <w:sz w:val="24"/>
          <w:szCs w:val="24"/>
          <w:highlight w:val="none"/>
        </w:rPr>
        <w:t>。</w:t>
      </w:r>
    </w:p>
    <w:p>
      <w:pPr>
        <w:pStyle w:val="5"/>
        <w:numPr>
          <w:ilvl w:val="255"/>
          <w:numId w:val="0"/>
        </w:numPr>
        <w:ind w:left="397"/>
        <w:rPr>
          <w:color w:val="auto"/>
          <w:highlight w:val="none"/>
        </w:rPr>
      </w:pPr>
      <w:bookmarkStart w:id="1021" w:name="_Toc44492557"/>
      <w:r>
        <w:rPr>
          <w:color w:val="auto"/>
          <w:highlight w:val="none"/>
        </w:rPr>
        <w:t xml:space="preserve">2.3. </w:t>
      </w:r>
      <w:r>
        <w:rPr>
          <w:rFonts w:hint="eastAsia"/>
          <w:color w:val="auto"/>
          <w:highlight w:val="none"/>
        </w:rPr>
        <w:t>发包人检查配合工作</w:t>
      </w:r>
      <w:bookmarkEnd w:id="1021"/>
    </w:p>
    <w:p>
      <w:pPr>
        <w:pStyle w:val="52"/>
        <w:ind w:firstLine="484" w:firstLineChars="202"/>
        <w:rPr>
          <w:rFonts w:eastAsia="宋体"/>
          <w:color w:val="auto"/>
          <w:highlight w:val="none"/>
        </w:rPr>
      </w:pPr>
      <w:r>
        <w:rPr>
          <w:rFonts w:eastAsia="宋体"/>
          <w:color w:val="auto"/>
          <w:sz w:val="24"/>
          <w:szCs w:val="24"/>
          <w:highlight w:val="none"/>
        </w:rPr>
        <w:t xml:space="preserve">2.3.1. </w:t>
      </w:r>
      <w:r>
        <w:rPr>
          <w:rFonts w:hint="eastAsia" w:eastAsia="宋体"/>
          <w:color w:val="auto"/>
          <w:sz w:val="24"/>
          <w:szCs w:val="24"/>
          <w:highlight w:val="none"/>
        </w:rPr>
        <w:t>发包人将根据合同情况自主或引入第三方质量、安全等评估单位进行现场检查，检查内容包括但不限于现场质量、安全、资料、人员等。承包人需对发包人下发的评价体系充分掌握、内部宣讲，并配合现场检查；发包人将按需对检查结果进行公布、下发整改单、排名及通报批评；必要时根据发包人的管理需要，可在通报栏处增加承包人董事长相片及姓名信息。</w:t>
      </w:r>
    </w:p>
    <w:p>
      <w:pPr>
        <w:pStyle w:val="52"/>
        <w:ind w:firstLine="480"/>
        <w:jc w:val="both"/>
        <w:rPr>
          <w:rFonts w:eastAsia="宋体"/>
          <w:color w:val="auto"/>
          <w:sz w:val="24"/>
          <w:szCs w:val="24"/>
          <w:highlight w:val="none"/>
        </w:rPr>
      </w:pPr>
      <w:r>
        <w:rPr>
          <w:rFonts w:eastAsia="宋体"/>
          <w:color w:val="auto"/>
          <w:sz w:val="24"/>
          <w:szCs w:val="24"/>
          <w:highlight w:val="none"/>
        </w:rPr>
        <w:t xml:space="preserve">2.3.2 </w:t>
      </w:r>
      <w:r>
        <w:rPr>
          <w:rFonts w:hint="eastAsia" w:eastAsia="宋体"/>
          <w:color w:val="auto"/>
          <w:sz w:val="24"/>
          <w:szCs w:val="24"/>
          <w:highlight w:val="none"/>
        </w:rPr>
        <w:t>发包人定期将根据评估检查结果对发包人所有在建工地进行评分排名，排名倒数第一的，公布排名起一周内，由承包人提交专项整改方案，并经其实施公司董事长（或总经理）签批后备案发包人，发包人根据整改方案监督整改效果；连续两次排名倒数第一的，由实施公司承包人董事长（或总经理）参与</w:t>
      </w:r>
      <w:r>
        <w:rPr>
          <w:rFonts w:hint="eastAsia" w:eastAsia="宋体"/>
          <w:color w:val="auto"/>
          <w:sz w:val="24"/>
          <w:szCs w:val="24"/>
          <w:highlight w:val="none"/>
          <w:lang w:val="en-US" w:eastAsia="zh-CN"/>
        </w:rPr>
        <w:t>双</w:t>
      </w:r>
      <w:r>
        <w:rPr>
          <w:rFonts w:hint="eastAsia" w:eastAsia="宋体"/>
          <w:color w:val="auto"/>
          <w:sz w:val="24"/>
          <w:szCs w:val="24"/>
          <w:highlight w:val="none"/>
        </w:rPr>
        <w:t>方（发包人</w:t>
      </w:r>
      <w:r>
        <w:rPr>
          <w:rFonts w:hint="eastAsia" w:eastAsia="宋体"/>
          <w:color w:val="auto"/>
          <w:sz w:val="24"/>
          <w:szCs w:val="24"/>
          <w:highlight w:val="none"/>
          <w:lang w:val="en-US" w:eastAsia="zh-CN"/>
        </w:rPr>
        <w:t>及</w:t>
      </w:r>
      <w:r>
        <w:rPr>
          <w:rFonts w:hint="eastAsia" w:eastAsia="宋体"/>
          <w:color w:val="auto"/>
          <w:sz w:val="24"/>
          <w:szCs w:val="24"/>
          <w:highlight w:val="none"/>
        </w:rPr>
        <w:t>承包人）专项整改方案讨论，并由其牵头整改。</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022" w:name="_Toc6040"/>
      <w:bookmarkStart w:id="1023" w:name="_Toc30903"/>
      <w:bookmarkStart w:id="1024" w:name="_Toc16467"/>
      <w:bookmarkStart w:id="1025" w:name="_Toc44492558"/>
      <w:bookmarkStart w:id="1026" w:name="_Toc8075"/>
      <w:bookmarkStart w:id="1027" w:name="_Toc38987272"/>
      <w:bookmarkStart w:id="1028" w:name="_Toc44228155"/>
      <w:bookmarkStart w:id="1029" w:name="_Toc3974"/>
      <w:bookmarkStart w:id="1030" w:name="_Toc20621"/>
      <w:r>
        <w:rPr>
          <w:rFonts w:eastAsia="宋体"/>
          <w:color w:val="auto"/>
          <w:sz w:val="24"/>
          <w:szCs w:val="24"/>
          <w:highlight w:val="none"/>
        </w:rPr>
        <w:t>监理人及造价咨询人</w:t>
      </w:r>
      <w:bookmarkEnd w:id="1022"/>
      <w:bookmarkEnd w:id="1023"/>
      <w:bookmarkEnd w:id="1024"/>
      <w:bookmarkEnd w:id="1025"/>
      <w:bookmarkEnd w:id="1026"/>
      <w:bookmarkEnd w:id="1027"/>
      <w:bookmarkEnd w:id="1028"/>
      <w:bookmarkEnd w:id="1029"/>
      <w:bookmarkEnd w:id="1030"/>
    </w:p>
    <w:p>
      <w:pPr>
        <w:pStyle w:val="77"/>
        <w:spacing w:before="0" w:after="0"/>
        <w:ind w:firstLine="480"/>
        <w:outlineLvl w:val="1"/>
        <w:rPr>
          <w:rFonts w:hint="eastAsia" w:eastAsia="宋体"/>
          <w:color w:val="auto"/>
          <w:szCs w:val="24"/>
          <w:highlight w:val="none"/>
          <w:lang w:eastAsia="zh-CN"/>
        </w:rPr>
      </w:pPr>
      <w:bookmarkStart w:id="1031" w:name="_Toc20538"/>
      <w:bookmarkStart w:id="1032" w:name="_Toc22118"/>
      <w:bookmarkStart w:id="1033" w:name="_Toc44492559"/>
      <w:r>
        <w:rPr>
          <w:rFonts w:eastAsia="宋体"/>
          <w:color w:val="auto"/>
          <w:szCs w:val="24"/>
          <w:highlight w:val="none"/>
        </w:rPr>
        <w:t>3.1.</w:t>
      </w:r>
      <w:bookmarkEnd w:id="1031"/>
      <w:bookmarkEnd w:id="1032"/>
      <w:bookmarkEnd w:id="1033"/>
      <w:r>
        <w:rPr>
          <w:rFonts w:hint="eastAsia" w:eastAsia="宋体"/>
          <w:color w:val="auto"/>
          <w:szCs w:val="24"/>
          <w:highlight w:val="none"/>
        </w:rPr>
        <w:t xml:space="preserve"> </w:t>
      </w:r>
      <w:r>
        <w:rPr>
          <w:rFonts w:eastAsia="宋体"/>
          <w:color w:val="auto"/>
          <w:szCs w:val="24"/>
          <w:highlight w:val="none"/>
        </w:rPr>
        <w:t>监理人</w:t>
      </w:r>
      <w:r>
        <w:rPr>
          <w:rFonts w:eastAsia="宋体"/>
          <w:b/>
          <w:color w:val="auto"/>
          <w:sz w:val="24"/>
          <w:szCs w:val="24"/>
          <w:highlight w:val="none"/>
        </w:rPr>
        <w:t>（该条不适用于本合同）</w:t>
      </w:r>
    </w:p>
    <w:p>
      <w:pPr>
        <w:pStyle w:val="52"/>
        <w:ind w:firstLine="480"/>
        <w:jc w:val="both"/>
        <w:rPr>
          <w:rFonts w:eastAsia="宋体"/>
          <w:color w:val="auto"/>
          <w:sz w:val="24"/>
          <w:szCs w:val="24"/>
          <w:highlight w:val="none"/>
        </w:rPr>
      </w:pPr>
      <w:r>
        <w:rPr>
          <w:rFonts w:eastAsia="宋体"/>
          <w:color w:val="auto"/>
          <w:sz w:val="24"/>
          <w:szCs w:val="24"/>
          <w:highlight w:val="none"/>
        </w:rPr>
        <w:t>3.1.2. 总监理工程师的姓名</w:t>
      </w:r>
      <w:r>
        <w:rPr>
          <w:rFonts w:hint="eastAsia" w:eastAsia="宋体"/>
          <w:color w:val="auto"/>
          <w:sz w:val="24"/>
          <w:szCs w:val="24"/>
          <w:highlight w:val="none"/>
          <w:lang w:eastAsia="zh-CN"/>
        </w:rPr>
        <w:t>、</w:t>
      </w:r>
      <w:r>
        <w:rPr>
          <w:rFonts w:eastAsia="宋体"/>
          <w:color w:val="auto"/>
          <w:sz w:val="24"/>
          <w:szCs w:val="24"/>
          <w:highlight w:val="none"/>
        </w:rPr>
        <w:t>职务</w:t>
      </w:r>
      <w:r>
        <w:rPr>
          <w:rFonts w:hint="eastAsia" w:eastAsia="宋体"/>
          <w:color w:val="auto"/>
          <w:sz w:val="24"/>
          <w:szCs w:val="24"/>
          <w:highlight w:val="none"/>
          <w:lang w:eastAsia="zh-CN"/>
        </w:rPr>
        <w:t>、</w:t>
      </w:r>
      <w:r>
        <w:rPr>
          <w:rFonts w:eastAsia="宋体"/>
          <w:color w:val="auto"/>
          <w:sz w:val="24"/>
          <w:szCs w:val="24"/>
          <w:highlight w:val="none"/>
        </w:rPr>
        <w:t>联系电话</w:t>
      </w:r>
      <w:r>
        <w:rPr>
          <w:rFonts w:hint="eastAsia" w:eastAsia="宋体" w:cs="Times New Roman"/>
          <w:color w:val="auto"/>
          <w:sz w:val="24"/>
          <w:szCs w:val="24"/>
          <w:highlight w:val="none"/>
          <w:u w:val="single" w:color="FF0000"/>
          <w:lang w:val="en-US" w:eastAsia="zh-CN"/>
        </w:rPr>
        <w:t>等以发包人书面通知为准</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3.1.3. 发包人另行委托的职权：</w:t>
      </w:r>
      <w:r>
        <w:rPr>
          <w:rFonts w:hint="eastAsia" w:eastAsia="宋体"/>
          <w:color w:val="auto"/>
          <w:sz w:val="24"/>
          <w:szCs w:val="24"/>
          <w:highlight w:val="none"/>
          <w:u w:val="single"/>
          <w:lang w:val="en-US" w:eastAsia="zh-CN"/>
        </w:rPr>
        <w:t>详见监理合同</w:t>
      </w:r>
      <w:r>
        <w:rPr>
          <w:rFonts w:eastAsia="宋体"/>
          <w:color w:val="auto"/>
          <w:sz w:val="24"/>
          <w:szCs w:val="24"/>
          <w:highlight w:val="none"/>
        </w:rPr>
        <w:t xml:space="preserve">。 </w:t>
      </w:r>
    </w:p>
    <w:p>
      <w:pPr>
        <w:pStyle w:val="52"/>
        <w:ind w:firstLine="480"/>
        <w:jc w:val="both"/>
        <w:rPr>
          <w:rFonts w:eastAsia="宋体"/>
          <w:color w:val="auto"/>
          <w:sz w:val="24"/>
          <w:szCs w:val="24"/>
          <w:highlight w:val="none"/>
        </w:rPr>
      </w:pPr>
      <w:r>
        <w:rPr>
          <w:rFonts w:eastAsia="宋体"/>
          <w:color w:val="auto"/>
          <w:sz w:val="24"/>
          <w:szCs w:val="24"/>
          <w:highlight w:val="none"/>
        </w:rPr>
        <w:t>3.1.4. 监理人需要取得发包人批准才能行使的其他职权为：</w:t>
      </w:r>
      <w:r>
        <w:rPr>
          <w:rFonts w:hint="eastAsia" w:eastAsia="宋体" w:cs="Times New Roman"/>
          <w:color w:val="auto"/>
          <w:sz w:val="24"/>
          <w:szCs w:val="24"/>
          <w:highlight w:val="none"/>
          <w:u w:val="single"/>
        </w:rPr>
        <w:t>签发开工令；签发停工令和对应的复工令；设计变更、工程款支付及竣工结算的审批；工程量、工期、费用等的签证；施工方案的调整；新型主体结构材料的选择与确定；主要材料设备或替换材料设备的使用；任何减免承包人合同责任或增加发包人义务、责任的通知、指令；发包人与监理人签订的监理合同中明确约定的其他需经发包人批准后才能行使的职权 。监理人和发包人代表之间的授权若存在交叉或冲突，以发包人代表的授权为准。</w:t>
      </w:r>
      <w:r>
        <w:rPr>
          <w:rFonts w:hint="eastAsia" w:eastAsia="宋体" w:cs="Times New Roman"/>
          <w:color w:val="auto"/>
          <w:sz w:val="24"/>
          <w:szCs w:val="24"/>
          <w:highlight w:val="none"/>
          <w:u w:val="single"/>
          <w:lang w:eastAsia="zh-CN"/>
        </w:rPr>
        <w:t>监理人</w:t>
      </w:r>
      <w:r>
        <w:rPr>
          <w:rFonts w:hint="eastAsia" w:eastAsia="宋体" w:cs="Times New Roman"/>
          <w:color w:val="auto"/>
          <w:sz w:val="24"/>
          <w:szCs w:val="24"/>
          <w:highlight w:val="none"/>
          <w:u w:val="single"/>
        </w:rPr>
        <w:t>签发的所有可能影响发包人利益的有关事项，均须经过发包人代表的书面审核批准并盖章方可生效；当</w:t>
      </w:r>
      <w:r>
        <w:rPr>
          <w:rFonts w:hint="eastAsia" w:eastAsia="宋体" w:cs="Times New Roman"/>
          <w:color w:val="auto"/>
          <w:sz w:val="24"/>
          <w:szCs w:val="24"/>
          <w:highlight w:val="none"/>
          <w:u w:val="single"/>
          <w:lang w:eastAsia="zh-CN"/>
        </w:rPr>
        <w:t>监理人</w:t>
      </w:r>
      <w:r>
        <w:rPr>
          <w:rFonts w:hint="eastAsia" w:eastAsia="宋体" w:cs="Times New Roman"/>
          <w:color w:val="auto"/>
          <w:sz w:val="24"/>
          <w:szCs w:val="24"/>
          <w:highlight w:val="none"/>
          <w:u w:val="single"/>
        </w:rPr>
        <w:t>签发事项超出发包人代表审批权限的，须经发包人书面审核批准且盖章方可生效</w:t>
      </w:r>
      <w:r>
        <w:rPr>
          <w:rFonts w:eastAsia="宋体"/>
          <w:color w:val="auto"/>
          <w:sz w:val="24"/>
          <w:szCs w:val="24"/>
          <w:highlight w:val="none"/>
        </w:rPr>
        <w:t>。</w:t>
      </w:r>
    </w:p>
    <w:p>
      <w:pPr>
        <w:pStyle w:val="52"/>
        <w:ind w:firstLine="480"/>
        <w:jc w:val="both"/>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3.1.8. 通用条款3.1.8修订为：如需更换总监理工程师，发包人应以书面形式通知承包人，后任的资历、职称等级、过往业绩应与合同约定的要求达到同等或以上，继续行使合同文件约定的前任的职权，履行前任的义务。</w:t>
      </w:r>
    </w:p>
    <w:p>
      <w:pPr>
        <w:pStyle w:val="77"/>
        <w:spacing w:before="0" w:after="0"/>
        <w:ind w:firstLine="480"/>
        <w:outlineLvl w:val="1"/>
        <w:rPr>
          <w:rFonts w:eastAsia="宋体"/>
          <w:color w:val="auto"/>
          <w:szCs w:val="24"/>
          <w:highlight w:val="none"/>
        </w:rPr>
      </w:pPr>
      <w:bookmarkStart w:id="1034" w:name="_Toc17131"/>
      <w:bookmarkStart w:id="1035" w:name="_Toc44492560"/>
      <w:bookmarkStart w:id="1036" w:name="_Toc5085"/>
      <w:r>
        <w:rPr>
          <w:rFonts w:eastAsia="宋体"/>
          <w:color w:val="auto"/>
          <w:szCs w:val="24"/>
          <w:highlight w:val="none"/>
        </w:rPr>
        <w:t>3.2</w:t>
      </w:r>
      <w:r>
        <w:rPr>
          <w:rFonts w:hint="eastAsia" w:eastAsia="宋体"/>
          <w:color w:val="auto"/>
          <w:szCs w:val="24"/>
          <w:highlight w:val="none"/>
        </w:rPr>
        <w:t xml:space="preserve">. </w:t>
      </w:r>
      <w:r>
        <w:rPr>
          <w:rFonts w:eastAsia="宋体"/>
          <w:color w:val="auto"/>
          <w:szCs w:val="24"/>
          <w:highlight w:val="none"/>
        </w:rPr>
        <w:t>监理人的指示</w:t>
      </w:r>
      <w:r>
        <w:rPr>
          <w:rFonts w:eastAsia="宋体"/>
          <w:b/>
          <w:color w:val="auto"/>
          <w:sz w:val="24"/>
          <w:szCs w:val="24"/>
          <w:highlight w:val="none"/>
        </w:rPr>
        <w:t>（该条不适用于本合同）</w:t>
      </w:r>
    </w:p>
    <w:p>
      <w:pPr>
        <w:pStyle w:val="77"/>
        <w:spacing w:before="0" w:after="0"/>
        <w:ind w:firstLine="480"/>
        <w:rPr>
          <w:rFonts w:eastAsia="宋体"/>
          <w:color w:val="auto"/>
          <w:kern w:val="0"/>
          <w:szCs w:val="24"/>
          <w:highlight w:val="none"/>
        </w:rPr>
      </w:pPr>
      <w:r>
        <w:rPr>
          <w:rFonts w:eastAsia="宋体"/>
          <w:color w:val="auto"/>
          <w:kern w:val="0"/>
          <w:szCs w:val="24"/>
          <w:highlight w:val="none"/>
        </w:rPr>
        <w:t>3.2.2. 承包人进场后发包人应向承包人提供《监理合同》并办理收发记录。若发包人未及时向承包人提供《监理合同》的，承包人有义务</w:t>
      </w:r>
      <w:r>
        <w:rPr>
          <w:rFonts w:hint="default" w:eastAsia="宋体" w:cs="Times New Roman"/>
          <w:color w:val="auto"/>
          <w:kern w:val="0"/>
          <w:szCs w:val="24"/>
          <w:highlight w:val="none"/>
          <w:u w:val="none"/>
        </w:rPr>
        <w:t>根据本合同3.2条约定</w:t>
      </w:r>
      <w:r>
        <w:rPr>
          <w:rFonts w:eastAsia="宋体"/>
          <w:color w:val="auto"/>
          <w:kern w:val="0"/>
          <w:szCs w:val="24"/>
          <w:highlight w:val="none"/>
        </w:rPr>
        <w:t>向发包人索要相关资料。</w:t>
      </w:r>
    </w:p>
    <w:p>
      <w:pPr>
        <w:pStyle w:val="52"/>
        <w:rPr>
          <w:rFonts w:eastAsia="宋体"/>
          <w:color w:val="auto"/>
          <w:kern w:val="0"/>
          <w:szCs w:val="24"/>
          <w:highlight w:val="none"/>
        </w:rPr>
      </w:pPr>
      <w:r>
        <w:rPr>
          <w:rFonts w:hint="default" w:eastAsia="宋体" w:cs="Times New Roman"/>
          <w:color w:val="auto"/>
          <w:sz w:val="24"/>
          <w:szCs w:val="24"/>
          <w:highlight w:val="none"/>
          <w:u w:val="none"/>
        </w:rPr>
        <w:t>3</w:t>
      </w:r>
      <w:r>
        <w:rPr>
          <w:rFonts w:eastAsia="宋体" w:cs="Times New Roman"/>
          <w:color w:val="auto"/>
          <w:sz w:val="24"/>
          <w:szCs w:val="24"/>
          <w:highlight w:val="none"/>
          <w:u w:val="none"/>
        </w:rPr>
        <w:t>.2.7</w:t>
      </w:r>
      <w:r>
        <w:rPr>
          <w:rFonts w:hint="default" w:eastAsia="宋体" w:cs="Times New Roman"/>
          <w:color w:val="auto"/>
          <w:sz w:val="24"/>
          <w:szCs w:val="24"/>
          <w:highlight w:val="none"/>
          <w:u w:val="none"/>
          <w:lang w:val="en-US" w:eastAsia="zh-CN"/>
        </w:rPr>
        <w:t>.</w:t>
      </w:r>
      <w:r>
        <w:rPr>
          <w:rFonts w:eastAsia="宋体" w:cs="Times New Roman"/>
          <w:color w:val="auto"/>
          <w:sz w:val="24"/>
          <w:szCs w:val="24"/>
          <w:highlight w:val="none"/>
          <w:u w:val="none"/>
        </w:rPr>
        <w:t xml:space="preserve"> </w:t>
      </w:r>
      <w:r>
        <w:rPr>
          <w:rFonts w:hint="eastAsia" w:eastAsia="宋体" w:cs="Times New Roman"/>
          <w:color w:val="auto"/>
          <w:sz w:val="24"/>
          <w:szCs w:val="24"/>
          <w:highlight w:val="none"/>
          <w:u w:val="none"/>
          <w:lang w:eastAsia="zh-CN"/>
        </w:rPr>
        <w:t>监理人</w:t>
      </w:r>
      <w:r>
        <w:rPr>
          <w:rFonts w:hint="default" w:eastAsia="宋体" w:cs="Times New Roman"/>
          <w:color w:val="auto"/>
          <w:sz w:val="24"/>
          <w:szCs w:val="24"/>
          <w:highlight w:val="none"/>
          <w:u w:val="none"/>
        </w:rPr>
        <w:t>对承包人的任何工作、工程或其采用的材料和工程设备未在约定的或合理的期限内提出否定意见的，不视为已获批准，</w:t>
      </w:r>
      <w:r>
        <w:rPr>
          <w:rFonts w:hint="eastAsia" w:eastAsia="宋体" w:cs="Times New Roman"/>
          <w:color w:val="auto"/>
          <w:sz w:val="24"/>
          <w:szCs w:val="24"/>
          <w:highlight w:val="none"/>
          <w:u w:val="none"/>
          <w:lang w:eastAsia="zh-CN"/>
        </w:rPr>
        <w:t>监理人</w:t>
      </w:r>
      <w:r>
        <w:rPr>
          <w:rFonts w:hint="default" w:eastAsia="宋体" w:cs="Times New Roman"/>
          <w:color w:val="auto"/>
          <w:sz w:val="24"/>
          <w:szCs w:val="24"/>
          <w:highlight w:val="none"/>
          <w:u w:val="none"/>
        </w:rPr>
        <w:t>享有在以后拒绝该项工作、工程、材料或工程设备的权利。</w:t>
      </w:r>
    </w:p>
    <w:p>
      <w:pPr>
        <w:pStyle w:val="77"/>
        <w:spacing w:before="0" w:after="0"/>
        <w:ind w:firstLine="480"/>
        <w:outlineLvl w:val="1"/>
        <w:rPr>
          <w:rFonts w:eastAsia="宋体"/>
          <w:color w:val="auto"/>
          <w:szCs w:val="24"/>
          <w:highlight w:val="none"/>
        </w:rPr>
      </w:pPr>
      <w:r>
        <w:rPr>
          <w:rFonts w:eastAsia="宋体"/>
          <w:color w:val="auto"/>
          <w:szCs w:val="24"/>
          <w:highlight w:val="none"/>
        </w:rPr>
        <w:t>3.3.</w:t>
      </w:r>
      <w:r>
        <w:rPr>
          <w:rFonts w:hint="eastAsia" w:eastAsia="宋体"/>
          <w:color w:val="auto"/>
          <w:szCs w:val="24"/>
          <w:highlight w:val="none"/>
        </w:rPr>
        <w:t xml:space="preserve"> </w:t>
      </w:r>
      <w:r>
        <w:rPr>
          <w:rFonts w:eastAsia="宋体"/>
          <w:color w:val="auto"/>
          <w:szCs w:val="24"/>
          <w:highlight w:val="none"/>
        </w:rPr>
        <w:t>造价咨询人</w:t>
      </w:r>
      <w:bookmarkEnd w:id="1034"/>
      <w:bookmarkEnd w:id="1035"/>
      <w:bookmarkEnd w:id="1036"/>
    </w:p>
    <w:p>
      <w:pPr>
        <w:pStyle w:val="52"/>
        <w:ind w:firstLine="480"/>
        <w:jc w:val="both"/>
        <w:rPr>
          <w:rFonts w:eastAsia="宋体"/>
          <w:color w:val="auto"/>
          <w:sz w:val="24"/>
          <w:szCs w:val="24"/>
          <w:highlight w:val="none"/>
        </w:rPr>
      </w:pPr>
      <w:r>
        <w:rPr>
          <w:rFonts w:eastAsia="宋体"/>
          <w:color w:val="auto"/>
          <w:sz w:val="24"/>
          <w:szCs w:val="24"/>
          <w:highlight w:val="none"/>
        </w:rPr>
        <w:t>3.3.1. 造价咨询人单位名称：</w:t>
      </w:r>
      <w:r>
        <w:rPr>
          <w:rFonts w:hint="eastAsia" w:eastAsia="宋体"/>
          <w:color w:val="auto"/>
          <w:sz w:val="24"/>
          <w:szCs w:val="24"/>
          <w:highlight w:val="none"/>
          <w:u w:val="single"/>
          <w:lang w:val="en-US" w:eastAsia="zh-CN"/>
        </w:rPr>
        <w:t xml:space="preserve"> / </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3.3.2. 发包人委托的职权：</w:t>
      </w:r>
      <w:r>
        <w:rPr>
          <w:rFonts w:hint="eastAsia" w:eastAsia="宋体"/>
          <w:color w:val="auto"/>
          <w:sz w:val="24"/>
          <w:szCs w:val="24"/>
          <w:highlight w:val="none"/>
          <w:u w:val="single"/>
          <w:lang w:val="en-US" w:eastAsia="zh-CN"/>
        </w:rPr>
        <w:t xml:space="preserve"> / </w:t>
      </w:r>
      <w:r>
        <w:rPr>
          <w:rFonts w:eastAsia="宋体"/>
          <w:color w:val="auto"/>
          <w:sz w:val="24"/>
          <w:szCs w:val="24"/>
          <w:highlight w:val="none"/>
        </w:rPr>
        <w:t xml:space="preserve">。 </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037" w:name="_Toc44492561"/>
      <w:bookmarkStart w:id="1038" w:name="_Toc38987273"/>
      <w:bookmarkStart w:id="1039" w:name="_Toc1125"/>
      <w:bookmarkStart w:id="1040" w:name="_Toc24371"/>
      <w:bookmarkStart w:id="1041" w:name="_Toc7619"/>
      <w:bookmarkStart w:id="1042" w:name="_Toc19988"/>
      <w:bookmarkStart w:id="1043" w:name="_Toc16975"/>
      <w:bookmarkStart w:id="1044" w:name="_Toc1845"/>
      <w:bookmarkStart w:id="1045" w:name="_Toc44228156"/>
      <w:r>
        <w:rPr>
          <w:rFonts w:eastAsia="宋体"/>
          <w:color w:val="auto"/>
          <w:sz w:val="24"/>
          <w:szCs w:val="24"/>
          <w:highlight w:val="none"/>
        </w:rPr>
        <w:t>承包人</w:t>
      </w:r>
      <w:bookmarkEnd w:id="1037"/>
      <w:bookmarkEnd w:id="1038"/>
      <w:bookmarkEnd w:id="1039"/>
      <w:bookmarkEnd w:id="1040"/>
      <w:bookmarkEnd w:id="1041"/>
      <w:bookmarkEnd w:id="1042"/>
      <w:bookmarkEnd w:id="1043"/>
      <w:bookmarkEnd w:id="1044"/>
      <w:bookmarkEnd w:id="1045"/>
    </w:p>
    <w:p>
      <w:pPr>
        <w:pStyle w:val="77"/>
        <w:spacing w:before="0" w:after="0"/>
        <w:ind w:firstLine="480"/>
        <w:rPr>
          <w:rFonts w:eastAsia="宋体"/>
          <w:color w:val="auto"/>
          <w:szCs w:val="24"/>
          <w:highlight w:val="none"/>
        </w:rPr>
      </w:pPr>
      <w:bookmarkStart w:id="1046" w:name="_Toc19631"/>
      <w:bookmarkStart w:id="1047" w:name="_Toc12934"/>
      <w:bookmarkStart w:id="1048" w:name="_Toc44492562"/>
      <w:r>
        <w:rPr>
          <w:rFonts w:eastAsia="宋体"/>
          <w:color w:val="auto"/>
          <w:szCs w:val="24"/>
          <w:highlight w:val="none"/>
        </w:rPr>
        <w:t>4.1</w:t>
      </w:r>
      <w:r>
        <w:rPr>
          <w:rFonts w:hint="eastAsia" w:eastAsia="宋体"/>
          <w:color w:val="auto"/>
          <w:szCs w:val="24"/>
          <w:highlight w:val="none"/>
        </w:rPr>
        <w:t xml:space="preserve">. </w:t>
      </w:r>
      <w:r>
        <w:rPr>
          <w:rFonts w:eastAsia="宋体"/>
          <w:color w:val="auto"/>
          <w:szCs w:val="24"/>
          <w:highlight w:val="none"/>
        </w:rPr>
        <w:t>承包人</w:t>
      </w:r>
      <w:bookmarkEnd w:id="1046"/>
      <w:bookmarkEnd w:id="1047"/>
      <w:r>
        <w:rPr>
          <w:rFonts w:eastAsia="宋体"/>
          <w:color w:val="auto"/>
          <w:szCs w:val="24"/>
          <w:highlight w:val="none"/>
        </w:rPr>
        <w:t>的一般义务</w:t>
      </w:r>
      <w:bookmarkEnd w:id="1048"/>
    </w:p>
    <w:p>
      <w:pPr>
        <w:pStyle w:val="75"/>
        <w:ind w:firstLine="482"/>
        <w:jc w:val="both"/>
        <w:rPr>
          <w:color w:val="auto"/>
          <w:sz w:val="24"/>
          <w:szCs w:val="24"/>
          <w:highlight w:val="none"/>
        </w:rPr>
      </w:pPr>
      <w:bookmarkStart w:id="1049" w:name="_Toc19231"/>
      <w:r>
        <w:rPr>
          <w:color w:val="auto"/>
          <w:sz w:val="24"/>
          <w:szCs w:val="24"/>
          <w:highlight w:val="none"/>
        </w:rPr>
        <w:t>4.1.1.</w:t>
      </w:r>
      <w:r>
        <w:rPr>
          <w:rFonts w:hint="eastAsia"/>
          <w:color w:val="auto"/>
          <w:sz w:val="24"/>
          <w:szCs w:val="24"/>
          <w:highlight w:val="none"/>
        </w:rPr>
        <w:t xml:space="preserve"> </w:t>
      </w:r>
      <w:r>
        <w:rPr>
          <w:color w:val="auto"/>
          <w:sz w:val="24"/>
          <w:szCs w:val="24"/>
          <w:highlight w:val="none"/>
        </w:rPr>
        <w:t>完成以下各项承包工作：</w:t>
      </w:r>
      <w:bookmarkEnd w:id="1049"/>
    </w:p>
    <w:p>
      <w:pPr>
        <w:pStyle w:val="52"/>
        <w:ind w:firstLine="480"/>
        <w:jc w:val="both"/>
        <w:rPr>
          <w:rFonts w:eastAsia="宋体"/>
          <w:color w:val="auto"/>
          <w:sz w:val="24"/>
          <w:szCs w:val="24"/>
          <w:highlight w:val="none"/>
        </w:rPr>
      </w:pPr>
      <w:r>
        <w:rPr>
          <w:rFonts w:eastAsia="宋体"/>
          <w:color w:val="auto"/>
          <w:sz w:val="24"/>
          <w:szCs w:val="24"/>
          <w:highlight w:val="none"/>
        </w:rPr>
        <w:t>3）对承包人工作的补充约定如下：</w:t>
      </w:r>
    </w:p>
    <w:p>
      <w:pPr>
        <w:pStyle w:val="52"/>
        <w:ind w:firstLine="480"/>
        <w:jc w:val="both"/>
        <w:rPr>
          <w:rFonts w:eastAsia="宋体"/>
          <w:color w:val="auto"/>
          <w:sz w:val="24"/>
          <w:szCs w:val="24"/>
          <w:highlight w:val="none"/>
        </w:rPr>
      </w:pPr>
      <w:r>
        <w:rPr>
          <w:rFonts w:eastAsia="宋体"/>
          <w:color w:val="auto"/>
          <w:sz w:val="24"/>
          <w:szCs w:val="24"/>
          <w:highlight w:val="none"/>
        </w:rPr>
        <w:t>①</w:t>
      </w:r>
      <w:r>
        <w:rPr>
          <w:rFonts w:eastAsia="宋体"/>
          <w:color w:val="auto"/>
          <w:sz w:val="24"/>
          <w:szCs w:val="24"/>
          <w:highlight w:val="none"/>
        </w:rPr>
        <w:tab/>
      </w:r>
      <w:r>
        <w:rPr>
          <w:rFonts w:eastAsia="宋体"/>
          <w:color w:val="auto"/>
          <w:sz w:val="24"/>
          <w:szCs w:val="24"/>
          <w:highlight w:val="none"/>
        </w:rPr>
        <w:t>承包人义务补充约定：</w:t>
      </w:r>
    </w:p>
    <w:p>
      <w:pPr>
        <w:pStyle w:val="52"/>
        <w:ind w:firstLine="480"/>
        <w:jc w:val="both"/>
        <w:rPr>
          <w:rFonts w:eastAsia="宋体"/>
          <w:color w:val="auto"/>
          <w:sz w:val="24"/>
          <w:szCs w:val="24"/>
          <w:highlight w:val="none"/>
        </w:rPr>
      </w:pPr>
      <w:r>
        <w:rPr>
          <w:rFonts w:eastAsia="宋体"/>
          <w:color w:val="auto"/>
          <w:sz w:val="24"/>
          <w:szCs w:val="24"/>
          <w:highlight w:val="none"/>
        </w:rPr>
        <w:t>按照合同约定的标准、规范、工程的功能、规模、考核目标和竣工日期，完成本合同承包范围内的深化设计、采购、施工、调试、竣工</w:t>
      </w:r>
      <w:r>
        <w:rPr>
          <w:rFonts w:hint="eastAsia" w:eastAsia="宋体"/>
          <w:color w:val="auto"/>
          <w:sz w:val="24"/>
          <w:szCs w:val="24"/>
          <w:highlight w:val="none"/>
          <w:lang w:val="en-US" w:eastAsia="zh-CN"/>
        </w:rPr>
        <w:t>验收与</w:t>
      </w:r>
      <w:r>
        <w:rPr>
          <w:rFonts w:eastAsia="宋体"/>
          <w:color w:val="auto"/>
          <w:sz w:val="24"/>
          <w:szCs w:val="24"/>
          <w:highlight w:val="none"/>
        </w:rPr>
        <w:t>竣工备案、质量保修等。</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承包人在施工前应仔细核对发包人提供的图纸，并深刻消化、领会和接受设计图纸的设计意图。对于设计图纸存在的矛盾、缺陷或错误之处应及时书面告知发包人并等待发包人指示，若承包人未等待发包人指示或不按发包人指示执行，由此造成的工期延误及返工费用由承包人承担。</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②承包人需对本项目成立专门的领导小组和技术小组，领导小组需由承包人的董事长（或总经理）任组长、技术小组由承包人的总工或副总工任组长。承包人所提供的施工图纸审核意见、深化图纸、施工组织方案、安全文明措施方案需由技术小组审批后方能提供给发包人，领导小组负责有关项目重大事宜的协调工作（含安全事故、进度滞后、质量事故等）；承包人进场后一个月内需提交加盖公章的领导小组及技术小组名单（包含联系方式）给发包人。</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③负责</w:t>
      </w:r>
      <w:r>
        <w:rPr>
          <w:rFonts w:hint="eastAsia" w:ascii="Times New Roman" w:hAnsi="Times New Roman"/>
          <w:color w:val="auto"/>
          <w:kern w:val="0"/>
          <w:sz w:val="24"/>
          <w:szCs w:val="24"/>
          <w:highlight w:val="none"/>
          <w:lang w:val="en-US" w:eastAsia="zh-CN"/>
        </w:rPr>
        <w:t>与</w:t>
      </w:r>
      <w:r>
        <w:rPr>
          <w:rFonts w:ascii="Times New Roman" w:hAnsi="Times New Roman"/>
          <w:color w:val="auto"/>
          <w:kern w:val="0"/>
          <w:sz w:val="24"/>
          <w:szCs w:val="24"/>
          <w:highlight w:val="none"/>
        </w:rPr>
        <w:t>协调处理各方面关系；为确保项目顺利开工和施工，承包人应</w:t>
      </w:r>
      <w:r>
        <w:rPr>
          <w:rFonts w:hint="eastAsia" w:ascii="Times New Roman" w:hAnsi="Times New Roman"/>
          <w:color w:val="auto"/>
          <w:kern w:val="0"/>
          <w:sz w:val="24"/>
          <w:szCs w:val="24"/>
          <w:highlight w:val="none"/>
          <w:lang w:val="en-US" w:eastAsia="zh-CN"/>
        </w:rPr>
        <w:t>负责处理</w:t>
      </w:r>
      <w:r>
        <w:rPr>
          <w:rFonts w:ascii="Times New Roman" w:hAnsi="Times New Roman"/>
          <w:color w:val="auto"/>
          <w:kern w:val="0"/>
          <w:sz w:val="24"/>
          <w:szCs w:val="24"/>
          <w:highlight w:val="none"/>
        </w:rPr>
        <w:t>与各级政府、政府各级主管部门、周边单位、周边居民的关系；</w:t>
      </w:r>
      <w:r>
        <w:rPr>
          <w:rFonts w:hint="eastAsia" w:ascii="Times New Roman" w:hAnsi="Times New Roman"/>
          <w:color w:val="auto"/>
          <w:kern w:val="0"/>
          <w:sz w:val="24"/>
          <w:szCs w:val="24"/>
          <w:highlight w:val="none"/>
          <w:lang w:val="en-US" w:eastAsia="zh-CN"/>
        </w:rPr>
        <w:t>承包人负责</w:t>
      </w:r>
      <w:r>
        <w:rPr>
          <w:rFonts w:ascii="Times New Roman" w:hAnsi="Times New Roman"/>
          <w:color w:val="auto"/>
          <w:kern w:val="0"/>
          <w:sz w:val="24"/>
          <w:szCs w:val="24"/>
          <w:highlight w:val="none"/>
        </w:rPr>
        <w:t>完成各类报批报建手续；</w:t>
      </w:r>
      <w:r>
        <w:rPr>
          <w:rFonts w:hint="eastAsia" w:ascii="Times New Roman" w:hAnsi="Times New Roman"/>
          <w:color w:val="auto"/>
          <w:kern w:val="0"/>
          <w:sz w:val="24"/>
          <w:szCs w:val="24"/>
          <w:highlight w:val="none"/>
          <w:lang w:val="en-US" w:eastAsia="zh-CN"/>
        </w:rPr>
        <w:t>负责</w:t>
      </w:r>
      <w:r>
        <w:rPr>
          <w:rFonts w:ascii="Times New Roman" w:hAnsi="Times New Roman"/>
          <w:color w:val="auto"/>
          <w:kern w:val="0"/>
          <w:sz w:val="24"/>
          <w:szCs w:val="24"/>
          <w:highlight w:val="none"/>
        </w:rPr>
        <w:t>解决渣场、道路运输、临时道路、临时营地建设、临时用电、用水等问题，确保工程顺利实施。</w:t>
      </w:r>
    </w:p>
    <w:p>
      <w:pPr>
        <w:pStyle w:val="34"/>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④</w:t>
      </w:r>
      <w:r>
        <w:rPr>
          <w:rFonts w:hint="default" w:ascii="Times New Roman" w:hAnsi="Times New Roman" w:eastAsia="宋体" w:cs="Times New Roman"/>
          <w:color w:val="auto"/>
          <w:kern w:val="0"/>
          <w:sz w:val="24"/>
          <w:szCs w:val="24"/>
          <w:highlight w:val="none"/>
        </w:rPr>
        <w:t>承包人应合理安排施工计划，主动协调各专业施工单位的工作，避免施工冲突、互相干扰或做不必要的返工、修补等。因承包人原因直接或间接地影响其他施工单位施工或难以与其他施工单位相配合、导致有关工程需要进行更改、修复或延期的，全部费用和责任由承包人承担，更改、修复或延期的费用，发包人有权从本合同价款内扣除。</w:t>
      </w:r>
    </w:p>
    <w:p>
      <w:pPr>
        <w:pStyle w:val="2"/>
        <w:spacing w:line="360" w:lineRule="auto"/>
        <w:ind w:firstLine="48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kern w:val="0"/>
          <w:sz w:val="24"/>
          <w:szCs w:val="24"/>
          <w:highlight w:val="none"/>
        </w:rPr>
        <w:t>⑤</w:t>
      </w:r>
      <w:r>
        <w:rPr>
          <w:rFonts w:hint="default" w:ascii="Times New Roman" w:hAnsi="Times New Roman" w:eastAsia="宋体" w:cs="Times New Roman"/>
          <w:color w:val="auto"/>
          <w:szCs w:val="24"/>
          <w:highlight w:val="none"/>
          <w:u w:val="none"/>
          <w:lang w:val="en-US" w:eastAsia="zh-CN"/>
        </w:rPr>
        <w:t>承包人接管现场后，有义务对发包人</w:t>
      </w:r>
      <w:r>
        <w:rPr>
          <w:rFonts w:hint="eastAsia" w:cs="Times New Roman"/>
          <w:color w:val="auto"/>
          <w:szCs w:val="24"/>
          <w:highlight w:val="none"/>
          <w:u w:val="none"/>
          <w:lang w:val="en-US" w:eastAsia="zh-CN"/>
        </w:rPr>
        <w:t>现有及承包人新建</w:t>
      </w:r>
      <w:r>
        <w:rPr>
          <w:rFonts w:hint="default" w:ascii="Times New Roman" w:hAnsi="Times New Roman" w:eastAsia="宋体" w:cs="Times New Roman"/>
          <w:color w:val="auto"/>
          <w:szCs w:val="24"/>
          <w:highlight w:val="none"/>
          <w:u w:val="none"/>
          <w:lang w:val="en-US" w:eastAsia="zh-CN"/>
        </w:rPr>
        <w:t>围挡</w:t>
      </w:r>
      <w:r>
        <w:rPr>
          <w:rFonts w:hint="eastAsia" w:cs="Times New Roman"/>
          <w:color w:val="auto"/>
          <w:szCs w:val="24"/>
          <w:highlight w:val="none"/>
          <w:u w:val="none"/>
          <w:lang w:val="en-US" w:eastAsia="zh-CN"/>
        </w:rPr>
        <w:t>、创文广告</w:t>
      </w:r>
      <w:r>
        <w:rPr>
          <w:rFonts w:hint="default" w:ascii="Times New Roman" w:hAnsi="Times New Roman" w:eastAsia="宋体" w:cs="Times New Roman"/>
          <w:color w:val="auto"/>
          <w:szCs w:val="24"/>
          <w:highlight w:val="none"/>
          <w:u w:val="none"/>
          <w:lang w:val="en-US" w:eastAsia="zh-CN"/>
        </w:rPr>
        <w:t>进行维护，直至</w:t>
      </w:r>
      <w:r>
        <w:rPr>
          <w:rFonts w:hint="default" w:ascii="Times New Roman" w:hAnsi="Times New Roman" w:eastAsia="宋体" w:cs="Times New Roman"/>
          <w:color w:val="auto"/>
          <w:sz w:val="24"/>
          <w:szCs w:val="24"/>
          <w:highlight w:val="none"/>
          <w:u w:val="none"/>
        </w:rPr>
        <w:t>项目</w:t>
      </w:r>
      <w:r>
        <w:rPr>
          <w:rFonts w:hint="default" w:ascii="Times New Roman" w:hAnsi="Times New Roman" w:eastAsia="宋体" w:cs="Times New Roman"/>
          <w:color w:val="auto"/>
          <w:sz w:val="24"/>
          <w:szCs w:val="24"/>
          <w:highlight w:val="none"/>
          <w:u w:val="none"/>
          <w:lang w:val="en-US" w:eastAsia="zh-CN"/>
        </w:rPr>
        <w:t>整体</w:t>
      </w:r>
      <w:r>
        <w:rPr>
          <w:rFonts w:hint="default" w:ascii="Times New Roman" w:hAnsi="Times New Roman" w:eastAsia="宋体" w:cs="Times New Roman"/>
          <w:color w:val="auto"/>
          <w:sz w:val="24"/>
          <w:szCs w:val="24"/>
          <w:highlight w:val="none"/>
          <w:u w:val="none"/>
        </w:rPr>
        <w:t>竣工验收合格</w:t>
      </w:r>
      <w:r>
        <w:rPr>
          <w:rFonts w:hint="default" w:ascii="Times New Roman" w:hAnsi="Times New Roman" w:eastAsia="宋体" w:cs="Times New Roman"/>
          <w:color w:val="auto"/>
          <w:sz w:val="24"/>
          <w:szCs w:val="24"/>
          <w:highlight w:val="none"/>
          <w:u w:val="none"/>
          <w:lang w:val="en-US" w:eastAsia="zh-CN"/>
        </w:rPr>
        <w:t>并移交发包人及政府相关部门</w:t>
      </w:r>
      <w:r>
        <w:rPr>
          <w:rFonts w:hint="eastAsia" w:cs="Times New Roman"/>
          <w:color w:val="auto"/>
          <w:sz w:val="24"/>
          <w:szCs w:val="24"/>
          <w:highlight w:val="none"/>
          <w:u w:val="none"/>
          <w:lang w:val="en-US" w:eastAsia="zh-CN"/>
        </w:rPr>
        <w:t>。</w:t>
      </w:r>
    </w:p>
    <w:p>
      <w:pPr>
        <w:pStyle w:val="75"/>
        <w:ind w:firstLine="482"/>
        <w:jc w:val="both"/>
        <w:rPr>
          <w:color w:val="auto"/>
          <w:sz w:val="24"/>
          <w:szCs w:val="24"/>
          <w:highlight w:val="none"/>
        </w:rPr>
      </w:pPr>
      <w:r>
        <w:rPr>
          <w:color w:val="auto"/>
          <w:sz w:val="24"/>
          <w:szCs w:val="24"/>
          <w:highlight w:val="none"/>
        </w:rPr>
        <w:t>4.1.4.</w:t>
      </w:r>
      <w:r>
        <w:rPr>
          <w:rFonts w:hint="eastAsia"/>
          <w:color w:val="auto"/>
          <w:sz w:val="24"/>
          <w:szCs w:val="24"/>
          <w:highlight w:val="none"/>
        </w:rPr>
        <w:t xml:space="preserve"> </w:t>
      </w:r>
      <w:r>
        <w:rPr>
          <w:color w:val="auto"/>
          <w:sz w:val="24"/>
          <w:szCs w:val="24"/>
          <w:highlight w:val="none"/>
        </w:rPr>
        <w:t>负责施工场地及其周边环境与生态的保护工作</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4）对承包人的补充约定：</w:t>
      </w:r>
      <w:r>
        <w:rPr>
          <w:rFonts w:ascii="Times New Roman" w:hAnsi="Times New Roman"/>
          <w:color w:val="auto"/>
          <w:kern w:val="0"/>
          <w:sz w:val="24"/>
          <w:szCs w:val="24"/>
          <w:highlight w:val="none"/>
          <w:u w:val="single"/>
        </w:rPr>
        <w:t>承包人应保证其施工范围内的场地清洁符合环境卫生管理的有关要求，做到工完场清，建筑垃圾须及时</w:t>
      </w:r>
      <w:r>
        <w:rPr>
          <w:rFonts w:hint="eastAsia" w:ascii="Times New Roman" w:hAnsi="Times New Roman"/>
          <w:color w:val="auto"/>
          <w:kern w:val="0"/>
          <w:sz w:val="24"/>
          <w:szCs w:val="24"/>
          <w:highlight w:val="none"/>
          <w:u w:val="single"/>
          <w:lang w:val="en-US" w:eastAsia="zh-CN"/>
        </w:rPr>
        <w:t>清理外运</w:t>
      </w:r>
      <w:r>
        <w:rPr>
          <w:rFonts w:ascii="Times New Roman" w:hAnsi="Times New Roman"/>
          <w:color w:val="auto"/>
          <w:kern w:val="0"/>
          <w:sz w:val="24"/>
          <w:szCs w:val="24"/>
          <w:highlight w:val="none"/>
          <w:u w:val="single"/>
        </w:rPr>
        <w:t>。承包人现场垃圾清理不及时、不合格且经催告不及时改正的，</w:t>
      </w:r>
      <w:r>
        <w:rPr>
          <w:rFonts w:hint="eastAsia" w:ascii="Times New Roman" w:hAnsi="Times New Roman"/>
          <w:color w:val="auto"/>
          <w:kern w:val="0"/>
          <w:sz w:val="24"/>
          <w:szCs w:val="24"/>
          <w:highlight w:val="none"/>
          <w:u w:val="single"/>
          <w:lang w:eastAsia="zh-CN"/>
        </w:rPr>
        <w:t>发包人</w:t>
      </w:r>
      <w:r>
        <w:rPr>
          <w:rFonts w:ascii="Times New Roman" w:hAnsi="Times New Roman"/>
          <w:color w:val="auto"/>
          <w:kern w:val="0"/>
          <w:sz w:val="24"/>
          <w:szCs w:val="24"/>
          <w:highlight w:val="none"/>
          <w:u w:val="single"/>
        </w:rPr>
        <w:t>有权委托第三方进行清理，同时承包人应按本合同专用条款第22条规定承担第三方清理费用并承担违约责任</w:t>
      </w:r>
      <w:r>
        <w:rPr>
          <w:rFonts w:ascii="Times New Roman" w:hAnsi="Times New Roman"/>
          <w:color w:val="auto"/>
          <w:kern w:val="0"/>
          <w:sz w:val="24"/>
          <w:szCs w:val="24"/>
          <w:highlight w:val="none"/>
        </w:rPr>
        <w:t>。</w:t>
      </w:r>
    </w:p>
    <w:p>
      <w:pPr>
        <w:adjustRightInd w:val="0"/>
        <w:snapToGrid w:val="0"/>
        <w:spacing w:line="360" w:lineRule="auto"/>
        <w:ind w:firstLine="482" w:firstLineChars="200"/>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4.1.6.</w:t>
      </w:r>
      <w:r>
        <w:rPr>
          <w:rFonts w:hint="eastAsia" w:ascii="Times New Roman" w:hAnsi="Times New Roman"/>
          <w:b/>
          <w:color w:val="auto"/>
          <w:kern w:val="0"/>
          <w:sz w:val="24"/>
          <w:szCs w:val="24"/>
          <w:highlight w:val="none"/>
        </w:rPr>
        <w:t xml:space="preserve"> </w:t>
      </w:r>
      <w:r>
        <w:rPr>
          <w:rFonts w:ascii="Times New Roman" w:hAnsi="Times New Roman"/>
          <w:b/>
          <w:color w:val="auto"/>
          <w:kern w:val="0"/>
          <w:sz w:val="24"/>
          <w:szCs w:val="24"/>
          <w:highlight w:val="none"/>
        </w:rPr>
        <w:t>为他人提供方便</w:t>
      </w:r>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5）对承包人补充约定：本工程验收且移交后，承包人或其分包人的施工人员、材料、设备必须在</w:t>
      </w:r>
      <w:r>
        <w:rPr>
          <w:rFonts w:ascii="Times New Roman" w:hAnsi="Times New Roman"/>
          <w:color w:val="auto"/>
          <w:kern w:val="0"/>
          <w:sz w:val="24"/>
          <w:szCs w:val="24"/>
          <w:highlight w:val="none"/>
          <w:u w:val="single"/>
        </w:rPr>
        <w:t xml:space="preserve"> 10 </w:t>
      </w:r>
      <w:r>
        <w:rPr>
          <w:rFonts w:ascii="Times New Roman" w:hAnsi="Times New Roman"/>
          <w:color w:val="auto"/>
          <w:kern w:val="0"/>
          <w:sz w:val="24"/>
          <w:szCs w:val="24"/>
          <w:highlight w:val="none"/>
        </w:rPr>
        <w:t>天内全部退出现场，承包人每延迟一天退场应按本合同专用条款第22.1.9.2条约定向发包人缴纳违约金。</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双方协议终止合同或任何一方解除合同的，承包人或其分包人的施工人员、材料、设备必须在</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u w:val="single"/>
        </w:rPr>
        <w:t>10</w:t>
      </w:r>
      <w:r>
        <w:rPr>
          <w:rFonts w:ascii="Times New Roman" w:hAnsi="Times New Roman"/>
          <w:color w:val="auto"/>
          <w:kern w:val="0"/>
          <w:sz w:val="24"/>
          <w:szCs w:val="24"/>
          <w:highlight w:val="none"/>
          <w:u w:val="single"/>
        </w:rPr>
        <w:t xml:space="preserve"> </w:t>
      </w:r>
      <w:r>
        <w:rPr>
          <w:rFonts w:ascii="Times New Roman" w:hAnsi="Times New Roman"/>
          <w:color w:val="auto"/>
          <w:kern w:val="0"/>
          <w:sz w:val="24"/>
          <w:szCs w:val="24"/>
          <w:highlight w:val="none"/>
        </w:rPr>
        <w:t>天内全部退出现场，承包人每延迟一天退场应按本合同专用条款第22.1.9.2条约定向发包人缴纳违约金。</w:t>
      </w:r>
    </w:p>
    <w:p>
      <w:pPr>
        <w:pStyle w:val="75"/>
        <w:ind w:firstLine="482"/>
        <w:jc w:val="both"/>
        <w:rPr>
          <w:color w:val="auto"/>
          <w:sz w:val="24"/>
          <w:szCs w:val="24"/>
          <w:highlight w:val="none"/>
        </w:rPr>
      </w:pPr>
      <w:bookmarkStart w:id="1050" w:name="_Toc29178"/>
      <w:r>
        <w:rPr>
          <w:color w:val="auto"/>
          <w:sz w:val="24"/>
          <w:szCs w:val="24"/>
          <w:highlight w:val="none"/>
        </w:rPr>
        <w:t>4.1.7. 工程的维护和照管</w:t>
      </w:r>
      <w:bookmarkEnd w:id="1050"/>
    </w:p>
    <w:p>
      <w:pPr>
        <w:pStyle w:val="52"/>
        <w:ind w:firstLine="480"/>
        <w:jc w:val="both"/>
        <w:rPr>
          <w:rFonts w:eastAsia="宋体"/>
          <w:color w:val="auto"/>
          <w:sz w:val="24"/>
          <w:szCs w:val="24"/>
          <w:highlight w:val="none"/>
          <w:u w:val="single"/>
        </w:rPr>
      </w:pPr>
      <w:r>
        <w:rPr>
          <w:rFonts w:eastAsia="宋体"/>
          <w:color w:val="auto"/>
          <w:sz w:val="24"/>
          <w:szCs w:val="24"/>
          <w:highlight w:val="none"/>
        </w:rPr>
        <w:t>1）</w:t>
      </w:r>
      <w:r>
        <w:rPr>
          <w:rFonts w:hint="eastAsia" w:eastAsia="宋体"/>
          <w:color w:val="auto"/>
          <w:sz w:val="24"/>
          <w:szCs w:val="24"/>
          <w:highlight w:val="none"/>
          <w:lang w:val="en-US" w:eastAsia="zh-CN"/>
        </w:rPr>
        <w:t>工程交付</w:t>
      </w:r>
      <w:r>
        <w:rPr>
          <w:rFonts w:eastAsia="宋体"/>
          <w:color w:val="auto"/>
          <w:sz w:val="24"/>
          <w:szCs w:val="24"/>
          <w:highlight w:val="none"/>
        </w:rPr>
        <w:t>前完工工程成品保护的特殊要求及费用承担</w:t>
      </w:r>
      <w:r>
        <w:rPr>
          <w:rFonts w:hint="eastAsia" w:eastAsia="宋体"/>
          <w:color w:val="auto"/>
          <w:sz w:val="24"/>
          <w:szCs w:val="24"/>
          <w:highlight w:val="none"/>
          <w:lang w:eastAsia="zh-CN"/>
        </w:rPr>
        <w:t>：</w:t>
      </w:r>
      <w:r>
        <w:rPr>
          <w:rFonts w:hint="default" w:eastAsia="宋体" w:cs="Times New Roman"/>
          <w:color w:val="auto"/>
          <w:sz w:val="24"/>
          <w:szCs w:val="24"/>
          <w:highlight w:val="none"/>
          <w:u w:val="single"/>
        </w:rPr>
        <w:t>整体工程竣工验收合格及交付前，承包人负责工程（包括发包人提供的材料和工程设备等）的照管和维护工作。保护期间发生损坏，承包人自费予以修复。对于</w:t>
      </w:r>
      <w:r>
        <w:rPr>
          <w:rFonts w:hint="eastAsia" w:eastAsia="宋体" w:cs="Times New Roman"/>
          <w:color w:val="auto"/>
          <w:sz w:val="24"/>
          <w:szCs w:val="24"/>
          <w:highlight w:val="none"/>
          <w:u w:val="single"/>
          <w:lang w:val="en-US" w:eastAsia="zh-CN"/>
        </w:rPr>
        <w:t>承包人自行</w:t>
      </w:r>
      <w:r>
        <w:rPr>
          <w:rFonts w:hint="default" w:eastAsia="宋体" w:cs="Times New Roman"/>
          <w:color w:val="auto"/>
          <w:sz w:val="24"/>
          <w:szCs w:val="24"/>
          <w:highlight w:val="none"/>
          <w:u w:val="single"/>
        </w:rPr>
        <w:t>分包</w:t>
      </w:r>
      <w:r>
        <w:rPr>
          <w:rFonts w:hint="eastAsia" w:eastAsia="宋体" w:cs="Times New Roman"/>
          <w:color w:val="auto"/>
          <w:sz w:val="24"/>
          <w:szCs w:val="24"/>
          <w:highlight w:val="none"/>
          <w:u w:val="single"/>
          <w:lang w:val="en-US" w:eastAsia="zh-CN"/>
        </w:rPr>
        <w:t>的</w:t>
      </w:r>
      <w:r>
        <w:rPr>
          <w:rFonts w:hint="default" w:eastAsia="宋体" w:cs="Times New Roman"/>
          <w:color w:val="auto"/>
          <w:sz w:val="24"/>
          <w:szCs w:val="24"/>
          <w:highlight w:val="none"/>
          <w:u w:val="single"/>
        </w:rPr>
        <w:t>工程，承包人应督促并协助分包人做好成品保护工作</w:t>
      </w:r>
      <w:r>
        <w:rPr>
          <w:rFonts w:hint="eastAsia" w:eastAsia="宋体" w:cs="Times New Roman"/>
          <w:color w:val="auto"/>
          <w:sz w:val="24"/>
          <w:szCs w:val="24"/>
          <w:highlight w:val="none"/>
          <w:u w:val="single"/>
          <w:lang w:eastAsia="zh-CN"/>
        </w:rPr>
        <w:t>，</w:t>
      </w:r>
      <w:r>
        <w:rPr>
          <w:rFonts w:hint="eastAsia" w:eastAsia="宋体" w:cs="Times New Roman"/>
          <w:color w:val="auto"/>
          <w:sz w:val="24"/>
          <w:szCs w:val="24"/>
          <w:highlight w:val="none"/>
          <w:u w:val="single"/>
          <w:lang w:val="en-US" w:eastAsia="zh-CN"/>
        </w:rPr>
        <w:t>并承担分包工程的维护和照管义务</w:t>
      </w:r>
      <w:r>
        <w:rPr>
          <w:rFonts w:hint="default" w:eastAsia="宋体" w:cs="Times New Roman"/>
          <w:color w:val="auto"/>
          <w:sz w:val="24"/>
          <w:szCs w:val="24"/>
          <w:highlight w:val="none"/>
          <w:u w:val="single"/>
        </w:rPr>
        <w:t>。发包人直接发包工程已移交本工程承包人的，承包人应做好已完工并交付工程的成品保护及照管。</w:t>
      </w:r>
    </w:p>
    <w:p>
      <w:pPr>
        <w:pStyle w:val="52"/>
        <w:ind w:firstLine="482"/>
        <w:jc w:val="both"/>
        <w:rPr>
          <w:rFonts w:eastAsia="宋体"/>
          <w:b/>
          <w:color w:val="auto"/>
          <w:sz w:val="24"/>
          <w:szCs w:val="24"/>
          <w:highlight w:val="none"/>
        </w:rPr>
      </w:pPr>
      <w:r>
        <w:rPr>
          <w:rFonts w:eastAsia="宋体"/>
          <w:b/>
          <w:color w:val="auto"/>
          <w:sz w:val="24"/>
          <w:szCs w:val="24"/>
          <w:highlight w:val="none"/>
        </w:rPr>
        <w:t>4.1.9. 承包人的其它义务</w:t>
      </w:r>
    </w:p>
    <w:p>
      <w:pPr>
        <w:pStyle w:val="52"/>
        <w:ind w:firstLine="480"/>
        <w:jc w:val="both"/>
        <w:rPr>
          <w:rFonts w:eastAsia="宋体"/>
          <w:color w:val="auto"/>
          <w:sz w:val="24"/>
          <w:szCs w:val="24"/>
          <w:highlight w:val="none"/>
        </w:rPr>
      </w:pPr>
      <w:r>
        <w:rPr>
          <w:rFonts w:eastAsia="宋体"/>
          <w:color w:val="auto"/>
          <w:sz w:val="24"/>
          <w:szCs w:val="24"/>
          <w:highlight w:val="none"/>
        </w:rPr>
        <w:t>6）承包人的其它义务补充约定如下：</w:t>
      </w:r>
    </w:p>
    <w:p>
      <w:pPr>
        <w:pStyle w:val="52"/>
        <w:ind w:firstLine="420"/>
        <w:jc w:val="left"/>
        <w:rPr>
          <w:rFonts w:eastAsia="宋体"/>
          <w:color w:val="auto"/>
          <w:sz w:val="24"/>
          <w:szCs w:val="24"/>
          <w:highlight w:val="none"/>
        </w:rPr>
      </w:pPr>
      <w:r>
        <w:rPr>
          <w:rFonts w:eastAsia="宋体"/>
          <w:color w:val="auto"/>
          <w:sz w:val="24"/>
          <w:szCs w:val="24"/>
          <w:highlight w:val="none"/>
        </w:rPr>
        <w:t>①</w:t>
      </w:r>
      <w:r>
        <w:rPr>
          <w:rFonts w:hint="default" w:eastAsia="宋体" w:cs="Times New Roman"/>
          <w:color w:val="auto"/>
          <w:sz w:val="24"/>
          <w:szCs w:val="24"/>
          <w:highlight w:val="none"/>
        </w:rPr>
        <w:t>承包人在</w:t>
      </w:r>
      <w:r>
        <w:rPr>
          <w:rFonts w:hint="eastAsia" w:eastAsia="宋体" w:cs="Times New Roman"/>
          <w:color w:val="auto"/>
          <w:sz w:val="24"/>
          <w:szCs w:val="24"/>
          <w:highlight w:val="none"/>
          <w:lang w:val="en-US" w:eastAsia="zh-CN"/>
        </w:rPr>
        <w:t>专业工程</w:t>
      </w:r>
      <w:r>
        <w:rPr>
          <w:rFonts w:hint="default" w:eastAsia="宋体" w:cs="Times New Roman"/>
          <w:color w:val="auto"/>
          <w:sz w:val="24"/>
          <w:szCs w:val="24"/>
          <w:highlight w:val="none"/>
        </w:rPr>
        <w:t>承包人（指承揽发包人直接发包工程的承包人）进场前应与其签订配合协议，并向其提供必要的施工配合，提供水电接驳点、提供材料堆放场地给其他专业工程承包人使用。</w:t>
      </w:r>
    </w:p>
    <w:p>
      <w:pPr>
        <w:pStyle w:val="52"/>
        <w:ind w:firstLine="480"/>
        <w:jc w:val="both"/>
        <w:rPr>
          <w:rFonts w:eastAsia="宋体"/>
          <w:color w:val="auto"/>
          <w:sz w:val="24"/>
          <w:szCs w:val="24"/>
          <w:highlight w:val="none"/>
        </w:rPr>
      </w:pPr>
      <w:r>
        <w:rPr>
          <w:rFonts w:eastAsia="宋体"/>
          <w:color w:val="auto"/>
          <w:sz w:val="24"/>
          <w:szCs w:val="24"/>
          <w:highlight w:val="none"/>
        </w:rPr>
        <w:t>②</w:t>
      </w:r>
      <w:r>
        <w:rPr>
          <w:rFonts w:hint="default" w:eastAsia="宋体" w:cs="Times New Roman"/>
          <w:color w:val="auto"/>
          <w:sz w:val="24"/>
          <w:szCs w:val="24"/>
          <w:highlight w:val="none"/>
        </w:rPr>
        <w:t>发包人依专用条款第15</w:t>
      </w:r>
      <w:r>
        <w:rPr>
          <w:rFonts w:hint="default" w:eastAsia="宋体" w:cs="Times New Roman"/>
          <w:color w:val="auto"/>
          <w:sz w:val="24"/>
          <w:szCs w:val="24"/>
          <w:highlight w:val="none"/>
          <w:lang w:val="en-US" w:eastAsia="zh-CN"/>
        </w:rPr>
        <w:t>条</w:t>
      </w:r>
      <w:r>
        <w:rPr>
          <w:rFonts w:hint="default" w:eastAsia="宋体" w:cs="Times New Roman"/>
          <w:color w:val="auto"/>
          <w:sz w:val="24"/>
          <w:szCs w:val="24"/>
          <w:highlight w:val="none"/>
        </w:rPr>
        <w:t>约定进行调整变更的，相关调整变更按本合同有关工程变更及变更价款的相关约定执行，除此之外，承包人不得以任何理由向发包人提出任何索赔。</w:t>
      </w:r>
    </w:p>
    <w:p>
      <w:pPr>
        <w:pStyle w:val="52"/>
        <w:ind w:firstLine="480"/>
        <w:jc w:val="both"/>
        <w:rPr>
          <w:rFonts w:eastAsia="宋体"/>
          <w:color w:val="auto"/>
          <w:sz w:val="24"/>
          <w:szCs w:val="24"/>
          <w:highlight w:val="none"/>
        </w:rPr>
      </w:pPr>
      <w:r>
        <w:rPr>
          <w:rFonts w:eastAsia="宋体"/>
          <w:color w:val="auto"/>
          <w:sz w:val="24"/>
          <w:szCs w:val="24"/>
          <w:highlight w:val="none"/>
        </w:rPr>
        <w:t>③承包人应及时支付其采购的材料、设备等款项，如因承包人拖欠支付该等款项导致影响工程进度或影响本工程正常运行，或发生供货单位向发包人或有关单位投诉的情况，发包人有权代为垫付材料、设备款项，该等垫付款项从应付合同款中抵扣，承包人并须根据垫付时间、垫付金额按本专用合同条款第22</w:t>
      </w:r>
      <w:r>
        <w:rPr>
          <w:rFonts w:hint="eastAsia" w:eastAsia="宋体"/>
          <w:color w:val="auto"/>
          <w:sz w:val="24"/>
          <w:szCs w:val="24"/>
          <w:highlight w:val="none"/>
          <w:lang w:val="en-US" w:eastAsia="zh-CN"/>
        </w:rPr>
        <w:t>条</w:t>
      </w:r>
      <w:r>
        <w:rPr>
          <w:rFonts w:eastAsia="宋体"/>
          <w:color w:val="auto"/>
          <w:sz w:val="24"/>
          <w:szCs w:val="24"/>
          <w:highlight w:val="none"/>
        </w:rPr>
        <w:t>约定支付违约金。</w:t>
      </w:r>
    </w:p>
    <w:p>
      <w:pPr>
        <w:pStyle w:val="52"/>
        <w:ind w:firstLine="480"/>
        <w:jc w:val="both"/>
        <w:rPr>
          <w:rFonts w:eastAsia="宋体"/>
          <w:color w:val="auto"/>
          <w:sz w:val="24"/>
          <w:szCs w:val="24"/>
          <w:highlight w:val="none"/>
        </w:rPr>
      </w:pPr>
      <w:r>
        <w:rPr>
          <w:rFonts w:eastAsia="宋体"/>
          <w:color w:val="auto"/>
          <w:sz w:val="24"/>
          <w:szCs w:val="24"/>
          <w:highlight w:val="none"/>
        </w:rPr>
        <w:t>④由于承包人原因发生安全责任事故导致的一切责任及费用均由承包人承担。对该项赔偿责任，承包人不愿承担或不向相关方支付的，发包人有权直接从工程款中扣取并代为向相关方支付。若发包人先行赔付或承担连带责任或遭致处罚的，发包人因此而支付的全部款项均由承包人予以赔偿（发包人亦有权从合同价款或履约担保金额等款项中扣取）并按本专用合同条款第22条约定要求承包人支付违约金。</w:t>
      </w:r>
    </w:p>
    <w:p>
      <w:pPr>
        <w:pStyle w:val="52"/>
        <w:ind w:firstLine="480"/>
        <w:jc w:val="both"/>
        <w:rPr>
          <w:rFonts w:eastAsia="宋体"/>
          <w:color w:val="auto"/>
          <w:sz w:val="24"/>
          <w:szCs w:val="24"/>
          <w:highlight w:val="none"/>
        </w:rPr>
      </w:pPr>
      <w:r>
        <w:rPr>
          <w:rFonts w:eastAsia="宋体"/>
          <w:color w:val="auto"/>
          <w:sz w:val="24"/>
          <w:szCs w:val="24"/>
          <w:highlight w:val="none"/>
        </w:rPr>
        <w:t>⑤承包人应执行</w:t>
      </w:r>
      <w:r>
        <w:rPr>
          <w:rFonts w:hint="eastAsia" w:eastAsia="宋体"/>
          <w:color w:val="auto"/>
          <w:sz w:val="24"/>
          <w:szCs w:val="24"/>
          <w:highlight w:val="none"/>
          <w:lang w:eastAsia="zh-CN"/>
        </w:rPr>
        <w:t>发包人</w:t>
      </w:r>
      <w:r>
        <w:rPr>
          <w:rFonts w:eastAsia="宋体"/>
          <w:color w:val="auto"/>
          <w:sz w:val="24"/>
          <w:szCs w:val="24"/>
          <w:highlight w:val="none"/>
        </w:rPr>
        <w:t>相关管理规定和指令，包括但不限于安全管理、质量管理、进度管理、成本管理等全部要求，否则应按本专用合同条款第22条约定承担违约责任。</w:t>
      </w:r>
    </w:p>
    <w:p>
      <w:pPr>
        <w:pStyle w:val="52"/>
        <w:ind w:firstLine="480"/>
        <w:jc w:val="both"/>
        <w:rPr>
          <w:rFonts w:eastAsia="宋体"/>
          <w:color w:val="auto"/>
          <w:sz w:val="24"/>
          <w:szCs w:val="24"/>
          <w:highlight w:val="none"/>
        </w:rPr>
      </w:pPr>
      <w:r>
        <w:rPr>
          <w:rFonts w:eastAsia="宋体"/>
          <w:color w:val="auto"/>
          <w:sz w:val="24"/>
          <w:szCs w:val="24"/>
          <w:highlight w:val="none"/>
        </w:rPr>
        <w:t>⑥当</w:t>
      </w:r>
      <w:r>
        <w:rPr>
          <w:rFonts w:hint="eastAsia" w:eastAsia="宋体"/>
          <w:color w:val="auto"/>
          <w:sz w:val="24"/>
          <w:szCs w:val="24"/>
          <w:highlight w:val="none"/>
          <w:lang w:eastAsia="zh-CN"/>
        </w:rPr>
        <w:t>发包人</w:t>
      </w:r>
      <w:r>
        <w:rPr>
          <w:rFonts w:eastAsia="宋体"/>
          <w:color w:val="auto"/>
          <w:sz w:val="24"/>
          <w:szCs w:val="24"/>
          <w:highlight w:val="none"/>
        </w:rPr>
        <w:t>提出承包人施工作业面需增加作业工人或机械、临时安全防护通道的要求时，承包人应当按指令要求积极配合实施。</w:t>
      </w:r>
    </w:p>
    <w:p>
      <w:pPr>
        <w:pStyle w:val="52"/>
        <w:ind w:firstLine="480"/>
        <w:jc w:val="both"/>
        <w:rPr>
          <w:rFonts w:eastAsia="宋体"/>
          <w:color w:val="auto"/>
          <w:sz w:val="24"/>
          <w:szCs w:val="24"/>
          <w:highlight w:val="none"/>
        </w:rPr>
      </w:pPr>
      <w:r>
        <w:rPr>
          <w:rFonts w:hint="default" w:ascii="Times New Roman" w:hAnsi="Times New Roman" w:eastAsia="宋体" w:cs="Times New Roman"/>
          <w:color w:val="auto"/>
          <w:sz w:val="24"/>
          <w:szCs w:val="24"/>
          <w:highlight w:val="none"/>
        </w:rPr>
        <w:t>⑦</w:t>
      </w:r>
      <w:r>
        <w:rPr>
          <w:rFonts w:hint="eastAsia" w:eastAsia="宋体"/>
          <w:color w:val="auto"/>
          <w:sz w:val="24"/>
          <w:szCs w:val="24"/>
          <w:highlight w:val="none"/>
        </w:rPr>
        <w:t>承包人应当与</w:t>
      </w:r>
      <w:r>
        <w:rPr>
          <w:rFonts w:hint="eastAsia" w:eastAsia="宋体"/>
          <w:color w:val="auto"/>
          <w:sz w:val="24"/>
          <w:szCs w:val="24"/>
          <w:highlight w:val="none"/>
          <w:lang w:val="en-US" w:eastAsia="zh-CN"/>
        </w:rPr>
        <w:t>其分包人</w:t>
      </w:r>
      <w:r>
        <w:rPr>
          <w:rFonts w:hint="eastAsia" w:eastAsia="宋体"/>
          <w:color w:val="auto"/>
          <w:sz w:val="24"/>
          <w:szCs w:val="24"/>
          <w:highlight w:val="none"/>
        </w:rPr>
        <w:t>分别签署安全管理协议、质量管理协议、现场管理协议等，</w:t>
      </w:r>
      <w:r>
        <w:rPr>
          <w:rFonts w:hint="eastAsia" w:eastAsia="宋体" w:cs="Times New Roman"/>
          <w:color w:val="auto"/>
          <w:sz w:val="24"/>
          <w:szCs w:val="24"/>
          <w:highlight w:val="none"/>
        </w:rPr>
        <w:t>并承担承包人应承担的管理义务及对应责任</w:t>
      </w:r>
      <w:r>
        <w:rPr>
          <w:rFonts w:eastAsia="宋体"/>
          <w:color w:val="auto"/>
          <w:sz w:val="24"/>
          <w:szCs w:val="24"/>
          <w:highlight w:val="none"/>
        </w:rPr>
        <w:t>；因承包人原因前述协议签署不及时而导致发包人遭受损失的，承包人应承担补偿责任。</w:t>
      </w:r>
    </w:p>
    <w:p>
      <w:pPr>
        <w:pStyle w:val="77"/>
        <w:spacing w:before="0" w:after="0"/>
        <w:ind w:firstLine="480"/>
        <w:rPr>
          <w:rFonts w:eastAsia="宋体"/>
          <w:color w:val="auto"/>
          <w:szCs w:val="24"/>
          <w:highlight w:val="none"/>
        </w:rPr>
      </w:pPr>
      <w:bookmarkStart w:id="1051" w:name="_Toc9254"/>
      <w:bookmarkStart w:id="1052" w:name="_Toc10013"/>
      <w:bookmarkStart w:id="1053" w:name="_Toc44492563"/>
      <w:r>
        <w:rPr>
          <w:rFonts w:eastAsia="宋体"/>
          <w:color w:val="auto"/>
          <w:szCs w:val="24"/>
          <w:highlight w:val="none"/>
        </w:rPr>
        <w:t>4.2.</w:t>
      </w:r>
      <w:r>
        <w:rPr>
          <w:rFonts w:hint="eastAsia" w:eastAsia="宋体"/>
          <w:color w:val="auto"/>
          <w:szCs w:val="24"/>
          <w:highlight w:val="none"/>
        </w:rPr>
        <w:t xml:space="preserve"> </w:t>
      </w:r>
      <w:r>
        <w:rPr>
          <w:rFonts w:eastAsia="宋体"/>
          <w:color w:val="auto"/>
          <w:szCs w:val="24"/>
          <w:highlight w:val="none"/>
        </w:rPr>
        <w:t>履约担保</w:t>
      </w:r>
      <w:bookmarkEnd w:id="1051"/>
      <w:bookmarkEnd w:id="1052"/>
      <w:bookmarkEnd w:id="1053"/>
    </w:p>
    <w:p>
      <w:pPr>
        <w:pStyle w:val="52"/>
        <w:ind w:firstLine="480"/>
        <w:jc w:val="both"/>
        <w:rPr>
          <w:rFonts w:eastAsia="宋体"/>
          <w:color w:val="auto"/>
          <w:sz w:val="24"/>
          <w:szCs w:val="24"/>
          <w:highlight w:val="none"/>
        </w:rPr>
      </w:pPr>
      <w:r>
        <w:rPr>
          <w:rFonts w:eastAsia="宋体"/>
          <w:color w:val="auto"/>
          <w:sz w:val="24"/>
          <w:szCs w:val="24"/>
          <w:highlight w:val="none"/>
        </w:rPr>
        <w:t>4.2.3.</w:t>
      </w:r>
      <w:r>
        <w:rPr>
          <w:rFonts w:hint="eastAsia" w:eastAsia="宋体"/>
          <w:color w:val="auto"/>
          <w:sz w:val="24"/>
          <w:szCs w:val="24"/>
          <w:highlight w:val="none"/>
        </w:rPr>
        <w:t xml:space="preserve"> </w:t>
      </w:r>
      <w:r>
        <w:rPr>
          <w:rFonts w:eastAsia="宋体"/>
          <w:color w:val="auto"/>
          <w:sz w:val="24"/>
          <w:szCs w:val="24"/>
          <w:highlight w:val="none"/>
        </w:rPr>
        <w:t>履约保函</w:t>
      </w:r>
      <w:r>
        <w:rPr>
          <w:rFonts w:hint="eastAsia" w:eastAsia="宋体"/>
          <w:color w:val="auto"/>
          <w:sz w:val="24"/>
          <w:szCs w:val="24"/>
          <w:highlight w:val="none"/>
          <w:lang w:val="en-US" w:eastAsia="zh-CN"/>
        </w:rPr>
        <w:t>额度</w:t>
      </w:r>
      <w:r>
        <w:rPr>
          <w:rFonts w:hint="default" w:eastAsia="宋体"/>
          <w:color w:val="auto"/>
          <w:sz w:val="24"/>
          <w:szCs w:val="24"/>
          <w:highlight w:val="none"/>
          <w:lang w:val="en-US" w:eastAsia="zh-CN"/>
        </w:rPr>
        <w:t>或履约保证金</w:t>
      </w:r>
      <w:r>
        <w:rPr>
          <w:rFonts w:hint="eastAsia" w:eastAsia="宋体"/>
          <w:color w:val="auto"/>
          <w:sz w:val="24"/>
          <w:szCs w:val="24"/>
          <w:highlight w:val="none"/>
          <w:lang w:val="en-US" w:eastAsia="zh-CN"/>
        </w:rPr>
        <w:t>金额</w:t>
      </w:r>
      <w:r>
        <w:rPr>
          <w:rFonts w:hint="default" w:eastAsia="宋体"/>
          <w:color w:val="auto"/>
          <w:sz w:val="24"/>
          <w:szCs w:val="24"/>
          <w:highlight w:val="none"/>
          <w:lang w:val="en-US" w:eastAsia="zh-CN"/>
        </w:rPr>
        <w:t>（即以现金形式提供履约担保）</w:t>
      </w:r>
      <w:r>
        <w:rPr>
          <w:rFonts w:hint="eastAsia" w:eastAsia="宋体"/>
          <w:color w:val="auto"/>
          <w:sz w:val="24"/>
          <w:szCs w:val="24"/>
          <w:highlight w:val="none"/>
          <w:lang w:val="en-US" w:eastAsia="zh-CN"/>
        </w:rPr>
        <w:t>为</w:t>
      </w:r>
      <w:r>
        <w:rPr>
          <w:rFonts w:eastAsia="宋体"/>
          <w:color w:val="auto"/>
          <w:sz w:val="24"/>
          <w:szCs w:val="24"/>
          <w:highlight w:val="none"/>
        </w:rPr>
        <w:t>本合同协议书第7条合同价款中合同暂定总价的</w:t>
      </w:r>
      <w:r>
        <w:rPr>
          <w:rFonts w:eastAsia="宋体"/>
          <w:color w:val="auto"/>
          <w:sz w:val="24"/>
          <w:szCs w:val="24"/>
          <w:highlight w:val="none"/>
          <w:u w:val="single"/>
        </w:rPr>
        <w:t xml:space="preserve"> 10 %</w:t>
      </w:r>
      <w:r>
        <w:rPr>
          <w:rFonts w:hint="eastAsia" w:eastAsia="宋体"/>
          <w:color w:val="auto"/>
          <w:sz w:val="24"/>
          <w:szCs w:val="24"/>
          <w:highlight w:val="none"/>
          <w:u w:val="single"/>
        </w:rPr>
        <w:t xml:space="preserve"> </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lang w:val="zh-CN"/>
        </w:rPr>
        <w:t>4.2.</w:t>
      </w:r>
      <w:r>
        <w:rPr>
          <w:rFonts w:eastAsia="宋体"/>
          <w:color w:val="auto"/>
          <w:sz w:val="24"/>
          <w:szCs w:val="24"/>
          <w:highlight w:val="none"/>
        </w:rPr>
        <w:t>4</w:t>
      </w:r>
      <w:r>
        <w:rPr>
          <w:rFonts w:eastAsia="宋体"/>
          <w:color w:val="auto"/>
          <w:sz w:val="24"/>
          <w:szCs w:val="24"/>
          <w:highlight w:val="none"/>
          <w:lang w:val="zh-CN"/>
        </w:rPr>
        <w:t xml:space="preserve"> 承包人应承担的各项违约金、赔偿金及其他费用，发包人均有权从履约担保中直接扣除。如承包人因违约或其他原因被发包人提取履约保函</w:t>
      </w:r>
      <w:r>
        <w:rPr>
          <w:rFonts w:hint="eastAsia" w:eastAsia="宋体"/>
          <w:color w:val="auto"/>
          <w:sz w:val="24"/>
          <w:szCs w:val="24"/>
          <w:highlight w:val="none"/>
          <w:lang w:val="en-US" w:eastAsia="zh-CN"/>
        </w:rPr>
        <w:t>或扣除履约保证金</w:t>
      </w:r>
      <w:r>
        <w:rPr>
          <w:rFonts w:eastAsia="宋体"/>
          <w:color w:val="auto"/>
          <w:sz w:val="24"/>
          <w:szCs w:val="24"/>
          <w:highlight w:val="none"/>
          <w:lang w:val="zh-CN"/>
        </w:rPr>
        <w:t>的担保金额而不解除合同的，承包人应在接到发包人关于提取履约保函</w:t>
      </w:r>
      <w:r>
        <w:rPr>
          <w:rFonts w:hint="eastAsia" w:eastAsia="宋体"/>
          <w:color w:val="auto"/>
          <w:sz w:val="24"/>
          <w:szCs w:val="24"/>
          <w:highlight w:val="none"/>
          <w:lang w:val="en-US" w:eastAsia="zh-CN"/>
        </w:rPr>
        <w:t>或扣除履约保证金</w:t>
      </w:r>
      <w:r>
        <w:rPr>
          <w:rFonts w:eastAsia="宋体"/>
          <w:color w:val="auto"/>
          <w:sz w:val="24"/>
          <w:szCs w:val="24"/>
          <w:highlight w:val="none"/>
          <w:lang w:val="zh-CN"/>
        </w:rPr>
        <w:t>担保金额的通知后7天内补足被提取的履约担保金额，发包人亦可从应付合同价款中直接扣除相应金额补足履约担保金额。</w:t>
      </w:r>
    </w:p>
    <w:p>
      <w:pPr>
        <w:pStyle w:val="77"/>
        <w:spacing w:before="0" w:after="0"/>
        <w:ind w:firstLine="480"/>
        <w:rPr>
          <w:rFonts w:eastAsia="宋体"/>
          <w:color w:val="auto"/>
          <w:szCs w:val="24"/>
          <w:highlight w:val="none"/>
        </w:rPr>
      </w:pPr>
      <w:bookmarkStart w:id="1054" w:name="_Toc44492564"/>
      <w:bookmarkStart w:id="1055" w:name="_Toc12692"/>
      <w:bookmarkStart w:id="1056" w:name="_Toc28506"/>
      <w:r>
        <w:rPr>
          <w:rFonts w:eastAsia="宋体"/>
          <w:color w:val="auto"/>
          <w:szCs w:val="24"/>
          <w:highlight w:val="none"/>
        </w:rPr>
        <w:t>4.3</w:t>
      </w:r>
      <w:r>
        <w:rPr>
          <w:rFonts w:hint="eastAsia" w:eastAsia="宋体"/>
          <w:color w:val="auto"/>
          <w:szCs w:val="24"/>
          <w:highlight w:val="none"/>
        </w:rPr>
        <w:t xml:space="preserve">. </w:t>
      </w:r>
      <w:r>
        <w:rPr>
          <w:rFonts w:eastAsia="宋体"/>
          <w:color w:val="auto"/>
          <w:szCs w:val="24"/>
          <w:highlight w:val="none"/>
        </w:rPr>
        <w:t>分包</w:t>
      </w:r>
      <w:bookmarkEnd w:id="1054"/>
      <w:bookmarkEnd w:id="1055"/>
      <w:bookmarkEnd w:id="1056"/>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4.3.3.</w:t>
      </w:r>
      <w:r>
        <w:rPr>
          <w:rFonts w:hint="eastAsia" w:ascii="Times New Roman" w:hAnsi="Times New Roman"/>
          <w:color w:val="auto"/>
          <w:kern w:val="0"/>
          <w:sz w:val="24"/>
          <w:szCs w:val="24"/>
          <w:highlight w:val="none"/>
        </w:rPr>
        <w:t xml:space="preserve"> </w:t>
      </w:r>
      <w:r>
        <w:rPr>
          <w:rFonts w:ascii="Times New Roman" w:hAnsi="Times New Roman"/>
          <w:color w:val="auto"/>
          <w:kern w:val="0"/>
          <w:sz w:val="24"/>
          <w:szCs w:val="24"/>
          <w:highlight w:val="none"/>
        </w:rPr>
        <w:t>工程转包的违约责任：承包人转包工程的，发包人有权单方解除合同，承包人须按专用条款第22条约定向发包人承担违约责任，由此造成发包人损失的，由承包人负责全额赔偿。</w:t>
      </w:r>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工程分包的违约责任：任何工程项目的分包都必须经发包人书面同意，否则不允许进场，承包人擅自分包工程的，发包人有权选择以下方式进行处罚：</w:t>
      </w:r>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①按照本合同条款规定单方部分或全部解除合同，承包人应向发包人承担解除合同的违约责任。如上述违约金不足以弥补发包人由此所遭受损失的，承包人还应承担补足赔偿的责任。</w:t>
      </w:r>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②如果发包人同意继续履行合同的，承包人需按专用条款第22条约定向发包人承担违约责任，由此造成发包人损失的，由承包人负责全额赔偿。</w:t>
      </w:r>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4.3.4</w:t>
      </w:r>
      <w:r>
        <w:rPr>
          <w:rFonts w:hint="eastAsia" w:ascii="Times New Roman" w:hAnsi="Times New Roman"/>
          <w:color w:val="auto"/>
          <w:kern w:val="0"/>
          <w:sz w:val="24"/>
          <w:szCs w:val="24"/>
          <w:highlight w:val="none"/>
        </w:rPr>
        <w:t xml:space="preserve">. </w:t>
      </w:r>
      <w:r>
        <w:rPr>
          <w:rFonts w:ascii="Times New Roman" w:hAnsi="Times New Roman"/>
          <w:color w:val="auto"/>
          <w:kern w:val="0"/>
          <w:sz w:val="24"/>
          <w:szCs w:val="24"/>
          <w:highlight w:val="none"/>
        </w:rPr>
        <w:t>承包人应在分包场地派驻相应管理人员保证本合同的履行。</w:t>
      </w:r>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4.3.5</w:t>
      </w:r>
      <w:r>
        <w:rPr>
          <w:rFonts w:hint="eastAsia" w:ascii="Times New Roman" w:hAnsi="Times New Roman"/>
          <w:color w:val="auto"/>
          <w:kern w:val="0"/>
          <w:sz w:val="24"/>
          <w:szCs w:val="24"/>
          <w:highlight w:val="none"/>
        </w:rPr>
        <w:t xml:space="preserve">. </w:t>
      </w:r>
      <w:r>
        <w:rPr>
          <w:rFonts w:ascii="Times New Roman" w:hAnsi="Times New Roman"/>
          <w:color w:val="auto"/>
          <w:kern w:val="0"/>
          <w:sz w:val="24"/>
          <w:szCs w:val="24"/>
          <w:highlight w:val="none"/>
        </w:rPr>
        <w:t>承包人本工程所有劳务分包合同必须报发包人备案，且承包人必须为派驻发包人现场的所有人员购买社保。</w:t>
      </w:r>
    </w:p>
    <w:p>
      <w:pPr>
        <w:pStyle w:val="52"/>
        <w:ind w:firstLine="480"/>
        <w:jc w:val="both"/>
        <w:rPr>
          <w:rFonts w:eastAsia="宋体"/>
          <w:color w:val="auto"/>
          <w:sz w:val="24"/>
          <w:szCs w:val="24"/>
          <w:highlight w:val="none"/>
        </w:rPr>
      </w:pPr>
      <w:r>
        <w:rPr>
          <w:rFonts w:eastAsia="宋体"/>
          <w:color w:val="auto"/>
          <w:sz w:val="24"/>
          <w:szCs w:val="24"/>
          <w:highlight w:val="none"/>
        </w:rPr>
        <w:t>4.3.6.</w:t>
      </w:r>
      <w:r>
        <w:rPr>
          <w:rFonts w:hint="eastAsia" w:eastAsia="宋体"/>
          <w:color w:val="auto"/>
          <w:sz w:val="24"/>
          <w:szCs w:val="24"/>
          <w:highlight w:val="none"/>
        </w:rPr>
        <w:t xml:space="preserve"> </w:t>
      </w:r>
      <w:r>
        <w:rPr>
          <w:rFonts w:eastAsia="宋体"/>
          <w:color w:val="auto"/>
          <w:sz w:val="24"/>
          <w:szCs w:val="24"/>
          <w:highlight w:val="none"/>
        </w:rPr>
        <w:t>分包工程的工程费用必须专款专用，承包人不得恶意压缩或变相压缩该部分工程的费用；如果委托分包人实施，承包人须按分包合同约定的工程费用足额支付给分包人。如发包人有要求时，承包人应提供能表明已向分包人支付其应得的任何款项等证明资料。如发现承包人无正当理由不按分包合同约定的工程费用足额支付或延迟支付给分包人，承包人每次须按专用条款第22.1.9.1第1</w:t>
      </w:r>
      <w:r>
        <w:rPr>
          <w:rFonts w:hint="eastAsia" w:eastAsia="宋体"/>
          <w:color w:val="auto"/>
          <w:sz w:val="24"/>
          <w:szCs w:val="24"/>
          <w:highlight w:val="none"/>
        </w:rPr>
        <w:t>2</w:t>
      </w:r>
      <w:r>
        <w:rPr>
          <w:rFonts w:eastAsia="宋体"/>
          <w:color w:val="auto"/>
          <w:sz w:val="24"/>
          <w:szCs w:val="24"/>
          <w:highlight w:val="none"/>
        </w:rPr>
        <w:t>）款向发包人承担违约责任。在发生以上情况且影响本工程进度时，发包人有权把相应工程费用直接支付给分包单位，发包人向分包单位的直接支付视为发包人已向承包人支付了相应的工程费用，并视为该等付款已得到承包人的委托，承包人应在发包人付款后3</w:t>
      </w:r>
      <w:r>
        <w:rPr>
          <w:rFonts w:hint="eastAsia" w:eastAsia="宋体"/>
          <w:color w:val="auto"/>
          <w:sz w:val="24"/>
          <w:szCs w:val="24"/>
          <w:highlight w:val="none"/>
        </w:rPr>
        <w:t>天</w:t>
      </w:r>
      <w:r>
        <w:rPr>
          <w:rFonts w:eastAsia="宋体"/>
          <w:color w:val="auto"/>
          <w:sz w:val="24"/>
          <w:szCs w:val="24"/>
          <w:highlight w:val="none"/>
        </w:rPr>
        <w:t>内向发包人提供该等付款的发票，否则，发包人有权暂缓向承包人支付后续工程款并有权提取履约担保项下的担保金额。</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4.3.7.</w:t>
      </w:r>
      <w:r>
        <w:rPr>
          <w:rFonts w:hint="eastAsia" w:ascii="Times New Roman" w:hAnsi="Times New Roman"/>
          <w:color w:val="auto"/>
          <w:sz w:val="24"/>
          <w:szCs w:val="24"/>
          <w:highlight w:val="none"/>
        </w:rPr>
        <w:t xml:space="preserve"> </w:t>
      </w:r>
      <w:r>
        <w:rPr>
          <w:rFonts w:ascii="Times New Roman" w:hAnsi="Times New Roman"/>
          <w:color w:val="auto"/>
          <w:kern w:val="0"/>
          <w:sz w:val="24"/>
          <w:szCs w:val="24"/>
          <w:highlight w:val="none"/>
        </w:rPr>
        <w:t>承包人存在下列情形之一的属于违法分包：</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①承包人将其承包的工程分包给个人的；</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②</w:t>
      </w:r>
      <w:r>
        <w:rPr>
          <w:rFonts w:hint="eastAsia" w:ascii="Times New Roman" w:hAnsi="Times New Roman" w:eastAsia="宋体" w:cs="Times New Roman"/>
          <w:color w:val="auto"/>
          <w:kern w:val="0"/>
          <w:sz w:val="24"/>
          <w:szCs w:val="24"/>
          <w:highlight w:val="none"/>
        </w:rPr>
        <w:t>施工总承包单位或</w:t>
      </w:r>
      <w:r>
        <w:rPr>
          <w:rFonts w:ascii="Times New Roman" w:hAnsi="Times New Roman"/>
          <w:color w:val="auto"/>
          <w:kern w:val="0"/>
          <w:sz w:val="24"/>
          <w:szCs w:val="24"/>
          <w:highlight w:val="none"/>
        </w:rPr>
        <w:t>专业承包单位将工程分包给不具备相应资质单位的；</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③</w:t>
      </w:r>
      <w:r>
        <w:rPr>
          <w:rFonts w:hint="eastAsia" w:ascii="Times New Roman" w:hAnsi="Times New Roman" w:eastAsia="宋体" w:cs="Times New Roman"/>
          <w:color w:val="auto"/>
          <w:kern w:val="0"/>
          <w:sz w:val="24"/>
          <w:szCs w:val="24"/>
          <w:highlight w:val="none"/>
        </w:rPr>
        <w:t>施工总承包单位将施工总承包合同范围内工程主体结构的施工分包给其他单位的</w:t>
      </w:r>
      <w:r>
        <w:rPr>
          <w:rFonts w:ascii="Times New Roman" w:hAnsi="Times New Roman"/>
          <w:color w:val="auto"/>
          <w:kern w:val="0"/>
          <w:sz w:val="24"/>
          <w:szCs w:val="24"/>
          <w:highlight w:val="none"/>
        </w:rPr>
        <w:t>；</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④分包单位将其承包的专业工程中非劳务作业部分再分包的；</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⑤分包单位将其承包的劳务再分包</w:t>
      </w:r>
      <w:r>
        <w:rPr>
          <w:rFonts w:hint="eastAsia" w:ascii="Times New Roman" w:hAnsi="Times New Roman"/>
          <w:color w:val="auto"/>
          <w:kern w:val="0"/>
          <w:sz w:val="24"/>
          <w:szCs w:val="24"/>
          <w:highlight w:val="none"/>
        </w:rPr>
        <w:t>的</w:t>
      </w:r>
      <w:r>
        <w:rPr>
          <w:rFonts w:ascii="Times New Roman" w:hAnsi="Times New Roman"/>
          <w:color w:val="auto"/>
          <w:kern w:val="0"/>
          <w:sz w:val="24"/>
          <w:szCs w:val="24"/>
          <w:highlight w:val="none"/>
        </w:rPr>
        <w:t>；</w:t>
      </w:r>
    </w:p>
    <w:p>
      <w:pPr>
        <w:widowControl/>
        <w:spacing w:line="360" w:lineRule="auto"/>
        <w:ind w:firstLine="480" w:firstLineChars="200"/>
        <w:rPr>
          <w:rFonts w:ascii="Times New Roman" w:hAnsi="Times New Roman"/>
          <w:color w:val="auto"/>
          <w:kern w:val="0"/>
          <w:sz w:val="24"/>
          <w:szCs w:val="24"/>
          <w:highlight w:val="none"/>
        </w:rPr>
      </w:pPr>
      <w:r>
        <w:rPr>
          <w:rFonts w:hint="eastAsia" w:ascii="Times New Roman" w:hAnsi="Times New Roman" w:eastAsia="宋体"/>
          <w:color w:val="auto"/>
          <w:kern w:val="0"/>
          <w:sz w:val="24"/>
          <w:szCs w:val="24"/>
          <w:highlight w:val="none"/>
        </w:rPr>
        <w:t>⑥</w:t>
      </w:r>
      <w:r>
        <w:rPr>
          <w:rFonts w:ascii="Times New Roman" w:hAnsi="Times New Roman"/>
          <w:color w:val="auto"/>
          <w:kern w:val="0"/>
          <w:sz w:val="24"/>
          <w:szCs w:val="24"/>
          <w:highlight w:val="none"/>
        </w:rPr>
        <w:t xml:space="preserve">承包人将其承包的工程全部分包的。 </w:t>
      </w:r>
    </w:p>
    <w:p>
      <w:pPr>
        <w:pStyle w:val="52"/>
        <w:ind w:firstLine="480"/>
        <w:jc w:val="both"/>
        <w:rPr>
          <w:rFonts w:eastAsia="宋体"/>
          <w:color w:val="auto"/>
          <w:sz w:val="24"/>
          <w:szCs w:val="24"/>
          <w:highlight w:val="none"/>
        </w:rPr>
      </w:pPr>
      <w:r>
        <w:rPr>
          <w:rFonts w:eastAsia="宋体"/>
          <w:color w:val="auto"/>
          <w:sz w:val="24"/>
          <w:szCs w:val="24"/>
          <w:highlight w:val="none"/>
        </w:rPr>
        <w:t>承包人出现以上违法分包情形的，发包人有权单方解除合同，同时承包人应向发包人承担不低于合同</w:t>
      </w:r>
      <w:r>
        <w:rPr>
          <w:rFonts w:hint="eastAsia" w:eastAsia="宋体"/>
          <w:color w:val="auto"/>
          <w:sz w:val="24"/>
          <w:szCs w:val="24"/>
          <w:highlight w:val="none"/>
        </w:rPr>
        <w:t>暂定</w:t>
      </w:r>
      <w:r>
        <w:rPr>
          <w:rFonts w:eastAsia="宋体"/>
          <w:color w:val="auto"/>
          <w:sz w:val="24"/>
          <w:szCs w:val="24"/>
          <w:highlight w:val="none"/>
        </w:rPr>
        <w:t>总价10%的违约金，如违约金不足以弥补发包人由此所遭受损失的，承包人还应承担继续赔偿的责任。</w:t>
      </w:r>
    </w:p>
    <w:p>
      <w:pPr>
        <w:widowControl/>
        <w:spacing w:line="360" w:lineRule="auto"/>
        <w:ind w:firstLine="480" w:firstLineChars="200"/>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kern w:val="2"/>
          <w:sz w:val="24"/>
          <w:szCs w:val="24"/>
          <w:highlight w:val="none"/>
        </w:rPr>
        <w:t>4</w:t>
      </w:r>
      <w:r>
        <w:rPr>
          <w:rFonts w:ascii="Times New Roman" w:hAnsi="Times New Roman" w:eastAsia="宋体" w:cs="Times New Roman"/>
          <w:color w:val="auto"/>
          <w:kern w:val="2"/>
          <w:sz w:val="24"/>
          <w:szCs w:val="24"/>
          <w:highlight w:val="none"/>
        </w:rPr>
        <w:t>.3.</w:t>
      </w:r>
      <w:r>
        <w:rPr>
          <w:rFonts w:hint="eastAsia" w:ascii="Times New Roman" w:hAnsi="Times New Roman" w:cs="Times New Roman"/>
          <w:color w:val="auto"/>
          <w:kern w:val="2"/>
          <w:sz w:val="24"/>
          <w:szCs w:val="24"/>
          <w:highlight w:val="none"/>
          <w:lang w:eastAsia="zh-CN"/>
        </w:rPr>
        <w:t>8</w:t>
      </w:r>
      <w:r>
        <w:rPr>
          <w:rFonts w:ascii="Times New Roman" w:hAnsi="Times New Roman" w:eastAsia="宋体" w:cs="Times New Roman"/>
          <w:color w:val="auto"/>
          <w:kern w:val="2"/>
          <w:sz w:val="24"/>
          <w:szCs w:val="24"/>
          <w:highlight w:val="none"/>
        </w:rPr>
        <w:t>.在工程进度</w:t>
      </w:r>
      <w:r>
        <w:rPr>
          <w:rFonts w:hint="default" w:ascii="Times New Roman" w:hAnsi="Times New Roman" w:eastAsia="宋体" w:cs="Times New Roman"/>
          <w:color w:val="auto"/>
          <w:kern w:val="2"/>
          <w:sz w:val="24"/>
          <w:szCs w:val="24"/>
          <w:highlight w:val="none"/>
        </w:rPr>
        <w:t>、</w:t>
      </w:r>
      <w:r>
        <w:rPr>
          <w:rFonts w:ascii="Times New Roman" w:hAnsi="Times New Roman" w:eastAsia="宋体" w:cs="Times New Roman"/>
          <w:color w:val="auto"/>
          <w:kern w:val="2"/>
          <w:sz w:val="24"/>
          <w:szCs w:val="24"/>
          <w:highlight w:val="none"/>
        </w:rPr>
        <w:t>质量</w:t>
      </w:r>
      <w:r>
        <w:rPr>
          <w:rFonts w:hint="default" w:ascii="Times New Roman" w:hAnsi="Times New Roman" w:eastAsia="宋体" w:cs="Times New Roman"/>
          <w:color w:val="auto"/>
          <w:kern w:val="2"/>
          <w:sz w:val="24"/>
          <w:szCs w:val="24"/>
          <w:highlight w:val="none"/>
        </w:rPr>
        <w:t>、</w:t>
      </w:r>
      <w:r>
        <w:rPr>
          <w:rFonts w:ascii="Times New Roman" w:hAnsi="Times New Roman" w:eastAsia="宋体" w:cs="Times New Roman"/>
          <w:color w:val="auto"/>
          <w:kern w:val="2"/>
          <w:sz w:val="24"/>
          <w:szCs w:val="24"/>
          <w:highlight w:val="none"/>
        </w:rPr>
        <w:t>安全等管理检查过程中</w:t>
      </w:r>
      <w:r>
        <w:rPr>
          <w:rFonts w:hint="default" w:ascii="Times New Roman" w:hAnsi="Times New Roman" w:eastAsia="宋体" w:cs="Times New Roman"/>
          <w:color w:val="auto"/>
          <w:kern w:val="2"/>
          <w:sz w:val="24"/>
          <w:szCs w:val="24"/>
          <w:highlight w:val="none"/>
        </w:rPr>
        <w:t>，若发现承包人的分包出现</w:t>
      </w:r>
      <w:r>
        <w:rPr>
          <w:rFonts w:ascii="Times New Roman" w:hAnsi="Times New Roman" w:eastAsia="宋体" w:cs="Times New Roman"/>
          <w:color w:val="auto"/>
          <w:kern w:val="2"/>
          <w:sz w:val="24"/>
          <w:szCs w:val="24"/>
          <w:highlight w:val="none"/>
        </w:rPr>
        <w:t>进度</w:t>
      </w:r>
      <w:r>
        <w:rPr>
          <w:rFonts w:hint="default" w:ascii="Times New Roman" w:hAnsi="Times New Roman" w:eastAsia="宋体" w:cs="Times New Roman"/>
          <w:color w:val="auto"/>
          <w:kern w:val="2"/>
          <w:sz w:val="24"/>
          <w:szCs w:val="24"/>
          <w:highlight w:val="none"/>
        </w:rPr>
        <w:t>、</w:t>
      </w:r>
      <w:r>
        <w:rPr>
          <w:rFonts w:ascii="Times New Roman" w:hAnsi="Times New Roman" w:eastAsia="宋体" w:cs="Times New Roman"/>
          <w:color w:val="auto"/>
          <w:kern w:val="2"/>
          <w:sz w:val="24"/>
          <w:szCs w:val="24"/>
          <w:highlight w:val="none"/>
        </w:rPr>
        <w:t>质量</w:t>
      </w:r>
      <w:r>
        <w:rPr>
          <w:rFonts w:hint="default" w:ascii="Times New Roman" w:hAnsi="Times New Roman" w:eastAsia="宋体" w:cs="Times New Roman"/>
          <w:color w:val="auto"/>
          <w:kern w:val="2"/>
          <w:sz w:val="24"/>
          <w:szCs w:val="24"/>
          <w:highlight w:val="none"/>
        </w:rPr>
        <w:t>、</w:t>
      </w:r>
      <w:r>
        <w:rPr>
          <w:rFonts w:ascii="Times New Roman" w:hAnsi="Times New Roman" w:eastAsia="宋体" w:cs="Times New Roman"/>
          <w:color w:val="auto"/>
          <w:kern w:val="2"/>
          <w:sz w:val="24"/>
          <w:szCs w:val="24"/>
          <w:highlight w:val="none"/>
        </w:rPr>
        <w:t>安全等管理问题或未达到检查标准要求</w:t>
      </w:r>
      <w:r>
        <w:rPr>
          <w:rFonts w:hint="default" w:ascii="Times New Roman" w:hAnsi="Times New Roman" w:eastAsia="宋体" w:cs="Times New Roman"/>
          <w:color w:val="auto"/>
          <w:kern w:val="2"/>
          <w:sz w:val="24"/>
          <w:szCs w:val="24"/>
          <w:highlight w:val="none"/>
        </w:rPr>
        <w:t>的，承包人与其分包人承担连带责任，承包人应监督分包人限期整改。分包人限期整改不到位的，发包人有权要求承包人限期更换满足本工程要求的分包人。若承包人未限期更换合格分包人的，则应向发包人支付1</w:t>
      </w:r>
      <w:r>
        <w:rPr>
          <w:rFonts w:ascii="Times New Roman" w:hAnsi="Times New Roman" w:eastAsia="宋体" w:cs="Times New Roman"/>
          <w:color w:val="auto"/>
          <w:kern w:val="2"/>
          <w:sz w:val="24"/>
          <w:szCs w:val="24"/>
          <w:highlight w:val="none"/>
        </w:rPr>
        <w:t>0万元违约金</w:t>
      </w:r>
      <w:r>
        <w:rPr>
          <w:rFonts w:hint="default" w:ascii="Times New Roman" w:hAnsi="Times New Roman" w:eastAsia="宋体" w:cs="Times New Roman"/>
          <w:color w:val="auto"/>
          <w:kern w:val="2"/>
          <w:sz w:val="24"/>
          <w:szCs w:val="24"/>
          <w:highlight w:val="none"/>
        </w:rPr>
        <w:t>，</w:t>
      </w:r>
      <w:r>
        <w:rPr>
          <w:rFonts w:ascii="Times New Roman" w:hAnsi="Times New Roman" w:eastAsia="宋体" w:cs="Times New Roman"/>
          <w:color w:val="auto"/>
          <w:kern w:val="2"/>
          <w:sz w:val="24"/>
          <w:szCs w:val="24"/>
          <w:highlight w:val="none"/>
        </w:rPr>
        <w:t>同时直接</w:t>
      </w:r>
      <w:r>
        <w:rPr>
          <w:rFonts w:hint="default" w:ascii="Times New Roman" w:hAnsi="Times New Roman" w:eastAsia="宋体" w:cs="Times New Roman"/>
          <w:color w:val="auto"/>
          <w:kern w:val="2"/>
          <w:sz w:val="24"/>
          <w:szCs w:val="24"/>
          <w:highlight w:val="none"/>
        </w:rPr>
        <w:t>承担对应分包人的施工任务并按合同要求实施。</w:t>
      </w:r>
    </w:p>
    <w:p>
      <w:pPr>
        <w:pStyle w:val="77"/>
        <w:spacing w:before="0" w:after="0"/>
        <w:ind w:firstLine="480"/>
        <w:rPr>
          <w:rFonts w:eastAsia="宋体"/>
          <w:color w:val="auto"/>
          <w:szCs w:val="24"/>
          <w:highlight w:val="none"/>
        </w:rPr>
      </w:pPr>
      <w:bookmarkStart w:id="1057" w:name="_Toc44492565"/>
      <w:bookmarkStart w:id="1058" w:name="_Toc29078"/>
      <w:bookmarkStart w:id="1059" w:name="_Toc15092"/>
      <w:r>
        <w:rPr>
          <w:rFonts w:eastAsia="宋体"/>
          <w:color w:val="auto"/>
          <w:szCs w:val="24"/>
          <w:highlight w:val="none"/>
        </w:rPr>
        <w:t>4.4.</w:t>
      </w:r>
      <w:r>
        <w:rPr>
          <w:rFonts w:hint="eastAsia" w:eastAsia="宋体"/>
          <w:color w:val="auto"/>
          <w:szCs w:val="24"/>
          <w:highlight w:val="none"/>
        </w:rPr>
        <w:t xml:space="preserve"> </w:t>
      </w:r>
      <w:r>
        <w:rPr>
          <w:rFonts w:eastAsia="宋体"/>
          <w:color w:val="auto"/>
          <w:szCs w:val="24"/>
          <w:highlight w:val="none"/>
        </w:rPr>
        <w:t>承包人项目经理</w:t>
      </w:r>
      <w:bookmarkEnd w:id="1057"/>
      <w:bookmarkEnd w:id="1058"/>
      <w:bookmarkEnd w:id="1059"/>
    </w:p>
    <w:p>
      <w:pPr>
        <w:pStyle w:val="52"/>
        <w:ind w:firstLine="480"/>
        <w:jc w:val="both"/>
        <w:rPr>
          <w:rFonts w:eastAsia="宋体"/>
          <w:color w:val="auto"/>
          <w:sz w:val="24"/>
          <w:szCs w:val="24"/>
          <w:highlight w:val="none"/>
        </w:rPr>
      </w:pPr>
      <w:r>
        <w:rPr>
          <w:rFonts w:eastAsia="宋体"/>
          <w:color w:val="auto"/>
          <w:sz w:val="24"/>
          <w:szCs w:val="24"/>
          <w:highlight w:val="none"/>
        </w:rPr>
        <w:t>4.4.1. 承包人项目经理的姓名：</w:t>
      </w:r>
      <w:r>
        <w:rPr>
          <w:rFonts w:hint="eastAsia" w:eastAsia="宋体"/>
          <w:color w:val="auto"/>
          <w:kern w:val="2"/>
          <w:sz w:val="24"/>
          <w:szCs w:val="24"/>
          <w:highlight w:val="none"/>
          <w:u w:val="single"/>
          <w:lang w:val="en-US" w:eastAsia="zh-CN"/>
        </w:rPr>
        <w:t xml:space="preserve">      </w:t>
      </w:r>
      <w:r>
        <w:rPr>
          <w:rFonts w:eastAsia="宋体"/>
          <w:color w:val="auto"/>
          <w:kern w:val="2"/>
          <w:sz w:val="24"/>
          <w:szCs w:val="24"/>
          <w:highlight w:val="none"/>
        </w:rPr>
        <w:t>，</w:t>
      </w:r>
      <w:r>
        <w:rPr>
          <w:rFonts w:eastAsia="宋体"/>
          <w:color w:val="auto"/>
          <w:sz w:val="24"/>
          <w:szCs w:val="24"/>
          <w:highlight w:val="none"/>
        </w:rPr>
        <w:t>职务：</w:t>
      </w:r>
      <w:r>
        <w:rPr>
          <w:rFonts w:hint="eastAsia" w:eastAsia="宋体"/>
          <w:color w:val="auto"/>
          <w:kern w:val="2"/>
          <w:sz w:val="24"/>
          <w:szCs w:val="24"/>
          <w:highlight w:val="none"/>
          <w:u w:val="single"/>
          <w:lang w:val="en-US" w:eastAsia="zh-CN"/>
        </w:rPr>
        <w:t xml:space="preserve">      </w:t>
      </w:r>
      <w:r>
        <w:rPr>
          <w:rFonts w:eastAsia="宋体"/>
          <w:color w:val="auto"/>
          <w:sz w:val="24"/>
          <w:szCs w:val="24"/>
          <w:highlight w:val="none"/>
        </w:rPr>
        <w:t>，联系电话：</w:t>
      </w:r>
      <w:r>
        <w:rPr>
          <w:rFonts w:hint="eastAsia" w:eastAsia="宋体"/>
          <w:color w:val="auto"/>
          <w:kern w:val="2"/>
          <w:sz w:val="24"/>
          <w:szCs w:val="24"/>
          <w:highlight w:val="none"/>
          <w:u w:val="single"/>
          <w:lang w:val="en-US" w:eastAsia="zh-CN"/>
        </w:rPr>
        <w:t xml:space="preserve">      </w:t>
      </w:r>
      <w:r>
        <w:rPr>
          <w:rFonts w:eastAsia="宋体"/>
          <w:color w:val="auto"/>
          <w:sz w:val="24"/>
          <w:szCs w:val="24"/>
          <w:highlight w:val="none"/>
          <w:u w:val="none" w:color="auto"/>
        </w:rPr>
        <w:t>。</w:t>
      </w:r>
      <w:r>
        <w:rPr>
          <w:rFonts w:eastAsia="宋体"/>
          <w:color w:val="auto"/>
          <w:sz w:val="24"/>
          <w:szCs w:val="24"/>
          <w:highlight w:val="none"/>
        </w:rPr>
        <w:t xml:space="preserve"> </w:t>
      </w:r>
    </w:p>
    <w:p>
      <w:pPr>
        <w:pStyle w:val="52"/>
        <w:ind w:firstLine="480"/>
        <w:jc w:val="both"/>
        <w:rPr>
          <w:rFonts w:eastAsia="宋体"/>
          <w:color w:val="auto"/>
          <w:sz w:val="24"/>
          <w:szCs w:val="24"/>
          <w:highlight w:val="none"/>
        </w:rPr>
      </w:pPr>
      <w:r>
        <w:rPr>
          <w:rFonts w:eastAsia="宋体"/>
          <w:color w:val="auto"/>
          <w:sz w:val="24"/>
          <w:szCs w:val="24"/>
          <w:highlight w:val="none"/>
        </w:rPr>
        <w:t>4.4.3. 对承包人项目经理的管理要求：</w:t>
      </w:r>
    </w:p>
    <w:p>
      <w:pPr>
        <w:pStyle w:val="52"/>
        <w:ind w:firstLine="480"/>
        <w:jc w:val="both"/>
        <w:rPr>
          <w:rFonts w:eastAsia="宋体"/>
          <w:color w:val="auto"/>
          <w:sz w:val="24"/>
          <w:szCs w:val="24"/>
          <w:highlight w:val="none"/>
        </w:rPr>
      </w:pPr>
      <w:r>
        <w:rPr>
          <w:rFonts w:eastAsia="宋体"/>
          <w:color w:val="auto"/>
          <w:sz w:val="24"/>
          <w:szCs w:val="24"/>
          <w:highlight w:val="none"/>
        </w:rPr>
        <w:t>本合同中明确的项目经理，不得擅自变更，开工时或施工过程中若有擅自变更，则承包人应按本合同专用条款约定支付违约金。同时，发包人亦有权选择解除本合同。</w:t>
      </w:r>
    </w:p>
    <w:p>
      <w:pPr>
        <w:pStyle w:val="52"/>
        <w:ind w:firstLine="480"/>
        <w:jc w:val="both"/>
        <w:rPr>
          <w:rFonts w:eastAsia="宋体"/>
          <w:color w:val="auto"/>
          <w:sz w:val="24"/>
          <w:szCs w:val="24"/>
          <w:highlight w:val="none"/>
        </w:rPr>
      </w:pPr>
      <w:r>
        <w:rPr>
          <w:rFonts w:eastAsia="宋体"/>
          <w:color w:val="auto"/>
          <w:sz w:val="24"/>
          <w:szCs w:val="24"/>
          <w:highlight w:val="none"/>
        </w:rPr>
        <w:t>对承包人项目经理的其他管理要求：</w:t>
      </w:r>
      <w:r>
        <w:rPr>
          <w:rFonts w:eastAsia="宋体"/>
          <w:color w:val="auto"/>
          <w:sz w:val="24"/>
          <w:szCs w:val="24"/>
          <w:highlight w:val="none"/>
          <w:u w:val="single"/>
        </w:rPr>
        <w:t xml:space="preserve"> </w:t>
      </w:r>
      <w:r>
        <w:rPr>
          <w:rFonts w:hint="eastAsia" w:eastAsia="宋体"/>
          <w:color w:val="auto"/>
          <w:sz w:val="24"/>
          <w:szCs w:val="24"/>
          <w:highlight w:val="none"/>
          <w:u w:val="single"/>
        </w:rPr>
        <w:t>详见本合同</w:t>
      </w:r>
      <w:r>
        <w:rPr>
          <w:rFonts w:hint="eastAsia" w:eastAsia="宋体"/>
          <w:color w:val="auto"/>
          <w:sz w:val="24"/>
          <w:szCs w:val="24"/>
          <w:highlight w:val="none"/>
          <w:u w:val="single"/>
          <w:lang w:eastAsia="zh-CN"/>
        </w:rPr>
        <w:t>附件1</w:t>
      </w:r>
      <w:r>
        <w:rPr>
          <w:rFonts w:hint="eastAsia" w:eastAsia="宋体"/>
          <w:color w:val="auto"/>
          <w:sz w:val="24"/>
          <w:szCs w:val="24"/>
          <w:highlight w:val="none"/>
          <w:u w:val="single"/>
          <w:lang w:val="en-US" w:eastAsia="zh-CN"/>
        </w:rPr>
        <w:t>3</w:t>
      </w:r>
      <w:r>
        <w:rPr>
          <w:rFonts w:hint="eastAsia" w:eastAsia="宋体"/>
          <w:color w:val="auto"/>
          <w:sz w:val="24"/>
          <w:szCs w:val="24"/>
          <w:highlight w:val="none"/>
          <w:u w:val="single"/>
        </w:rPr>
        <w:t>《</w:t>
      </w:r>
      <w:r>
        <w:rPr>
          <w:rFonts w:eastAsia="宋体"/>
          <w:color w:val="auto"/>
          <w:sz w:val="24"/>
          <w:szCs w:val="24"/>
          <w:highlight w:val="none"/>
          <w:u w:val="single"/>
        </w:rPr>
        <w:t>项目管理班子及其他管理人员配备情况表</w:t>
      </w:r>
      <w:r>
        <w:rPr>
          <w:rFonts w:hint="eastAsia" w:eastAsia="宋体"/>
          <w:color w:val="auto"/>
          <w:sz w:val="24"/>
          <w:szCs w:val="24"/>
          <w:highlight w:val="none"/>
          <w:u w:val="single"/>
        </w:rPr>
        <w:t>》</w:t>
      </w:r>
      <w:r>
        <w:rPr>
          <w:rFonts w:eastAsia="宋体"/>
          <w:color w:val="auto"/>
          <w:sz w:val="24"/>
          <w:szCs w:val="24"/>
          <w:highlight w:val="none"/>
          <w:u w:val="single"/>
        </w:rPr>
        <w:t xml:space="preserve"> </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4.4.4. 通用条款</w:t>
      </w:r>
      <w:r>
        <w:rPr>
          <w:rFonts w:hint="eastAsia" w:eastAsia="宋体"/>
          <w:color w:val="auto"/>
          <w:sz w:val="24"/>
          <w:szCs w:val="24"/>
          <w:highlight w:val="none"/>
        </w:rPr>
        <w:t>第</w:t>
      </w:r>
      <w:r>
        <w:rPr>
          <w:rFonts w:eastAsia="宋体"/>
          <w:color w:val="auto"/>
          <w:sz w:val="24"/>
          <w:szCs w:val="24"/>
          <w:highlight w:val="none"/>
        </w:rPr>
        <w:t>4.4.4</w:t>
      </w:r>
      <w:r>
        <w:rPr>
          <w:rFonts w:hint="eastAsia" w:eastAsia="宋体"/>
          <w:color w:val="auto"/>
          <w:sz w:val="24"/>
          <w:szCs w:val="24"/>
          <w:highlight w:val="none"/>
        </w:rPr>
        <w:t>条</w:t>
      </w:r>
      <w:r>
        <w:rPr>
          <w:rFonts w:eastAsia="宋体"/>
          <w:color w:val="auto"/>
          <w:sz w:val="24"/>
          <w:szCs w:val="24"/>
          <w:highlight w:val="none"/>
        </w:rPr>
        <w:t>修订为：承包人如需更换项目经理，应至少提前7天将备选项目经理资料报发包人，备选项目经理的资历、职称等级、过往业绩应与合同约定的要求达到同等或以上，征得发包人同意后方可更换项目经理。后任继续行使合同文件约定的前任的职权，履行前任的义务。</w:t>
      </w:r>
    </w:p>
    <w:p>
      <w:pPr>
        <w:pStyle w:val="77"/>
        <w:spacing w:before="0" w:after="0"/>
        <w:ind w:firstLine="480"/>
        <w:rPr>
          <w:rFonts w:eastAsia="宋体"/>
          <w:color w:val="auto"/>
          <w:szCs w:val="24"/>
          <w:highlight w:val="none"/>
        </w:rPr>
      </w:pPr>
      <w:bookmarkStart w:id="1060" w:name="_Toc19792"/>
      <w:bookmarkStart w:id="1061" w:name="_Toc32468"/>
      <w:bookmarkStart w:id="1062" w:name="_Toc44492566"/>
      <w:r>
        <w:rPr>
          <w:rFonts w:eastAsia="宋体"/>
          <w:color w:val="auto"/>
          <w:szCs w:val="24"/>
          <w:highlight w:val="none"/>
        </w:rPr>
        <w:t>4.5. 承包人人员的管理</w:t>
      </w:r>
      <w:bookmarkEnd w:id="1060"/>
      <w:bookmarkEnd w:id="1061"/>
      <w:bookmarkEnd w:id="1062"/>
    </w:p>
    <w:p>
      <w:pPr>
        <w:pStyle w:val="52"/>
        <w:ind w:firstLine="480"/>
        <w:jc w:val="both"/>
        <w:rPr>
          <w:rFonts w:eastAsia="宋体"/>
          <w:color w:val="auto"/>
          <w:sz w:val="24"/>
          <w:szCs w:val="24"/>
          <w:highlight w:val="none"/>
        </w:rPr>
      </w:pPr>
      <w:r>
        <w:rPr>
          <w:rFonts w:eastAsia="宋体"/>
          <w:color w:val="auto"/>
          <w:sz w:val="24"/>
          <w:szCs w:val="24"/>
          <w:highlight w:val="none"/>
        </w:rPr>
        <w:t>4.5.2</w:t>
      </w:r>
      <w:r>
        <w:rPr>
          <w:rFonts w:hint="eastAsia" w:eastAsia="宋体"/>
          <w:color w:val="auto"/>
          <w:sz w:val="24"/>
          <w:szCs w:val="24"/>
          <w:highlight w:val="none"/>
        </w:rPr>
        <w:t xml:space="preserve">. </w:t>
      </w:r>
      <w:r>
        <w:rPr>
          <w:rFonts w:eastAsia="宋体"/>
          <w:color w:val="auto"/>
          <w:sz w:val="24"/>
          <w:szCs w:val="24"/>
          <w:highlight w:val="none"/>
        </w:rPr>
        <w:t>为完成合同约定的各项工作，承包人应向施工场地派遣或雇佣足够数量的下列人员：</w:t>
      </w:r>
    </w:p>
    <w:p>
      <w:pPr>
        <w:pStyle w:val="52"/>
        <w:ind w:firstLine="480"/>
        <w:jc w:val="both"/>
        <w:rPr>
          <w:rFonts w:eastAsia="宋体"/>
          <w:color w:val="auto"/>
          <w:sz w:val="24"/>
          <w:szCs w:val="24"/>
          <w:highlight w:val="none"/>
        </w:rPr>
      </w:pPr>
      <w:r>
        <w:rPr>
          <w:rFonts w:eastAsia="宋体"/>
          <w:color w:val="auto"/>
          <w:sz w:val="24"/>
          <w:szCs w:val="24"/>
          <w:highlight w:val="none"/>
        </w:rPr>
        <w:t>承包人应按投标文件中承诺的项目团队配置标准和数量为本工程施工场地配置人员，详见本合同</w:t>
      </w:r>
      <w:r>
        <w:rPr>
          <w:rFonts w:hint="eastAsia" w:eastAsia="宋体"/>
          <w:color w:val="auto"/>
          <w:sz w:val="24"/>
          <w:szCs w:val="24"/>
          <w:highlight w:val="none"/>
          <w:lang w:eastAsia="zh-CN"/>
        </w:rPr>
        <w:t>附件1</w:t>
      </w:r>
      <w:r>
        <w:rPr>
          <w:rFonts w:hint="eastAsia" w:eastAsia="宋体"/>
          <w:color w:val="auto"/>
          <w:sz w:val="24"/>
          <w:szCs w:val="24"/>
          <w:highlight w:val="none"/>
          <w:lang w:val="en-US" w:eastAsia="zh-CN"/>
        </w:rPr>
        <w:t>3</w:t>
      </w:r>
      <w:r>
        <w:rPr>
          <w:rFonts w:eastAsia="宋体"/>
          <w:color w:val="auto"/>
          <w:sz w:val="24"/>
          <w:szCs w:val="24"/>
          <w:highlight w:val="none"/>
        </w:rPr>
        <w:t>《项目管理班子及其他管理人员配备情况表》。</w:t>
      </w:r>
    </w:p>
    <w:p>
      <w:pPr>
        <w:pStyle w:val="52"/>
        <w:ind w:firstLine="480"/>
        <w:jc w:val="both"/>
        <w:rPr>
          <w:rFonts w:eastAsia="宋体"/>
          <w:color w:val="auto"/>
          <w:sz w:val="24"/>
          <w:szCs w:val="24"/>
          <w:highlight w:val="none"/>
        </w:rPr>
      </w:pPr>
      <w:r>
        <w:rPr>
          <w:rFonts w:eastAsia="宋体"/>
          <w:color w:val="auto"/>
          <w:sz w:val="24"/>
          <w:szCs w:val="24"/>
          <w:highlight w:val="none"/>
        </w:rPr>
        <w:t>4.5.6.</w:t>
      </w:r>
      <w:r>
        <w:rPr>
          <w:rFonts w:hint="eastAsia" w:eastAsia="宋体"/>
          <w:color w:val="auto"/>
          <w:sz w:val="24"/>
          <w:szCs w:val="24"/>
          <w:highlight w:val="none"/>
        </w:rPr>
        <w:t xml:space="preserve"> </w:t>
      </w:r>
      <w:r>
        <w:rPr>
          <w:rFonts w:eastAsia="宋体"/>
          <w:color w:val="auto"/>
          <w:sz w:val="24"/>
          <w:szCs w:val="24"/>
          <w:highlight w:val="none"/>
        </w:rPr>
        <w:t>如承包人投入的人员数量、业务水平、专业配置等不能满足工作所需时，发包人有权要求承包人聘请符合工作所需要的工程技术管理人员作为承包人从事本工程施工管理工作的人员；所聘请工程技术管理人员的工资待遇由承包人与所聘人员协商确定，相关费用已包括在本工程合同价内，由承包人向所聘用人员支付。</w:t>
      </w:r>
    </w:p>
    <w:p>
      <w:pPr>
        <w:pStyle w:val="52"/>
        <w:ind w:firstLine="480"/>
        <w:jc w:val="both"/>
        <w:rPr>
          <w:rFonts w:eastAsia="宋体"/>
          <w:color w:val="auto"/>
          <w:sz w:val="24"/>
          <w:szCs w:val="24"/>
          <w:highlight w:val="none"/>
        </w:rPr>
      </w:pPr>
      <w:r>
        <w:rPr>
          <w:rFonts w:eastAsia="宋体"/>
          <w:color w:val="auto"/>
          <w:sz w:val="24"/>
          <w:szCs w:val="24"/>
          <w:highlight w:val="none"/>
        </w:rPr>
        <w:t>4.5.7.</w:t>
      </w:r>
      <w:r>
        <w:rPr>
          <w:rFonts w:hint="eastAsia" w:eastAsia="宋体"/>
          <w:color w:val="auto"/>
          <w:sz w:val="24"/>
          <w:szCs w:val="24"/>
          <w:highlight w:val="none"/>
        </w:rPr>
        <w:t xml:space="preserve"> </w:t>
      </w:r>
      <w:r>
        <w:rPr>
          <w:rFonts w:eastAsia="宋体"/>
          <w:color w:val="auto"/>
          <w:sz w:val="24"/>
          <w:szCs w:val="24"/>
          <w:highlight w:val="none"/>
        </w:rPr>
        <w:t>承包人所投入的工程管理人员和工程技术人员应与投标文件保持一致，发包人不要求更换时不得更换，因特殊情况需要更换的，承包人应至少提前7天以书面形式向</w:t>
      </w:r>
      <w:r>
        <w:rPr>
          <w:rFonts w:hint="eastAsia" w:eastAsia="宋体"/>
          <w:color w:val="auto"/>
          <w:sz w:val="24"/>
          <w:szCs w:val="24"/>
          <w:highlight w:val="none"/>
          <w:lang w:eastAsia="zh-CN"/>
        </w:rPr>
        <w:t>发包人</w:t>
      </w:r>
      <w:r>
        <w:rPr>
          <w:rFonts w:eastAsia="宋体"/>
          <w:color w:val="auto"/>
          <w:sz w:val="24"/>
          <w:szCs w:val="24"/>
          <w:highlight w:val="none"/>
        </w:rPr>
        <w:t>提出申请，并征得发包人同意。承包人必须保证后任人员的资质、资历、业绩、实际工作能力不低于前任人员的素质。即使发包人同意更换，也不免除承包人应承担的违约责任。合同期间实际投入的管理人员替换率超过</w:t>
      </w:r>
      <w:r>
        <w:rPr>
          <w:rFonts w:eastAsia="宋体"/>
          <w:color w:val="auto"/>
          <w:sz w:val="24"/>
          <w:szCs w:val="24"/>
          <w:highlight w:val="none"/>
          <w:u w:val="single"/>
        </w:rPr>
        <w:t xml:space="preserve"> 30%</w:t>
      </w:r>
      <w:r>
        <w:rPr>
          <w:rFonts w:hint="eastAsia" w:eastAsia="宋体"/>
          <w:color w:val="auto"/>
          <w:sz w:val="24"/>
          <w:szCs w:val="24"/>
          <w:highlight w:val="none"/>
          <w:u w:val="single"/>
        </w:rPr>
        <w:t xml:space="preserve"> </w:t>
      </w:r>
      <w:r>
        <w:rPr>
          <w:rFonts w:eastAsia="宋体"/>
          <w:color w:val="auto"/>
          <w:sz w:val="24"/>
          <w:szCs w:val="24"/>
          <w:highlight w:val="none"/>
        </w:rPr>
        <w:t>的属于违约行为，发包人有权解除合同，承包人须按专用条款第22.1.9.1条第</w:t>
      </w:r>
      <w:r>
        <w:rPr>
          <w:rFonts w:hint="eastAsia" w:eastAsia="宋体"/>
          <w:color w:val="auto"/>
          <w:sz w:val="24"/>
          <w:szCs w:val="24"/>
          <w:highlight w:val="none"/>
        </w:rPr>
        <w:t>9</w:t>
      </w:r>
      <w:r>
        <w:rPr>
          <w:rFonts w:eastAsia="宋体"/>
          <w:color w:val="auto"/>
          <w:sz w:val="24"/>
          <w:szCs w:val="24"/>
          <w:highlight w:val="none"/>
        </w:rPr>
        <w:t>）款向发包人承担违约责任。若承包人擅自更换或调走工程管理人员或工程技术人员的，每发生一次则承包人应向发包人承担违约责任。</w:t>
      </w:r>
    </w:p>
    <w:p>
      <w:pPr>
        <w:pStyle w:val="52"/>
        <w:ind w:firstLine="480"/>
        <w:jc w:val="both"/>
        <w:rPr>
          <w:rFonts w:eastAsia="宋体"/>
          <w:color w:val="auto"/>
          <w:sz w:val="24"/>
          <w:szCs w:val="24"/>
          <w:highlight w:val="none"/>
        </w:rPr>
      </w:pPr>
      <w:r>
        <w:rPr>
          <w:rFonts w:eastAsia="宋体"/>
          <w:color w:val="auto"/>
          <w:sz w:val="24"/>
          <w:szCs w:val="24"/>
          <w:highlight w:val="none"/>
        </w:rPr>
        <w:t>4.5.8.</w:t>
      </w:r>
      <w:r>
        <w:rPr>
          <w:rFonts w:hint="eastAsia" w:eastAsia="宋体"/>
          <w:color w:val="auto"/>
          <w:sz w:val="24"/>
          <w:szCs w:val="24"/>
          <w:highlight w:val="none"/>
        </w:rPr>
        <w:t xml:space="preserve"> </w:t>
      </w:r>
      <w:r>
        <w:rPr>
          <w:rFonts w:eastAsia="宋体"/>
          <w:color w:val="auto"/>
          <w:sz w:val="24"/>
          <w:szCs w:val="24"/>
          <w:highlight w:val="none"/>
        </w:rPr>
        <w:t>承包人的所有管理人员均应向发包人提供不少于一年在承包人公司的社保证明，承包人未能提供社保证明的须按本合同专用条款第22.1.9.1条1）款约定向发包人支付违约金，直到提供社保证明为止或另派管理人员。</w:t>
      </w:r>
    </w:p>
    <w:p>
      <w:pPr>
        <w:pStyle w:val="52"/>
        <w:ind w:firstLine="480"/>
        <w:jc w:val="both"/>
        <w:rPr>
          <w:rFonts w:eastAsia="宋体"/>
          <w:color w:val="auto"/>
          <w:sz w:val="24"/>
          <w:szCs w:val="24"/>
          <w:highlight w:val="none"/>
        </w:rPr>
      </w:pPr>
      <w:r>
        <w:rPr>
          <w:rFonts w:eastAsia="宋体"/>
          <w:color w:val="auto"/>
          <w:sz w:val="24"/>
          <w:szCs w:val="24"/>
          <w:highlight w:val="none"/>
        </w:rPr>
        <w:t>4.5.9.</w:t>
      </w:r>
      <w:r>
        <w:rPr>
          <w:rFonts w:hint="eastAsia" w:eastAsia="宋体"/>
          <w:color w:val="auto"/>
          <w:sz w:val="24"/>
          <w:szCs w:val="24"/>
          <w:highlight w:val="none"/>
        </w:rPr>
        <w:t xml:space="preserve"> </w:t>
      </w:r>
      <w:r>
        <w:rPr>
          <w:rFonts w:eastAsia="宋体"/>
          <w:color w:val="auto"/>
          <w:sz w:val="24"/>
          <w:szCs w:val="24"/>
          <w:highlight w:val="none"/>
        </w:rPr>
        <w:t>承包人参与本项目承建的主要管理人员及团队需经发包人指定的项目负责人进行专业性的面试及考核合格后才能进场，如考核面试不合格，承包人须在规定时间内向发包人提供合格的对应岗位管理人员。承包人违约的，须按专用条款</w:t>
      </w:r>
      <w:r>
        <w:rPr>
          <w:rFonts w:hint="eastAsia" w:eastAsia="宋体"/>
          <w:color w:val="auto"/>
          <w:sz w:val="24"/>
          <w:szCs w:val="24"/>
          <w:highlight w:val="none"/>
        </w:rPr>
        <w:t>第</w:t>
      </w:r>
      <w:r>
        <w:rPr>
          <w:rFonts w:eastAsia="宋体"/>
          <w:color w:val="auto"/>
          <w:sz w:val="24"/>
          <w:szCs w:val="24"/>
          <w:highlight w:val="none"/>
        </w:rPr>
        <w:t>22.1</w:t>
      </w:r>
      <w:r>
        <w:rPr>
          <w:rFonts w:hint="eastAsia" w:eastAsia="宋体"/>
          <w:color w:val="auto"/>
          <w:sz w:val="24"/>
          <w:szCs w:val="24"/>
          <w:highlight w:val="none"/>
        </w:rPr>
        <w:t>条</w:t>
      </w:r>
      <w:r>
        <w:rPr>
          <w:rFonts w:eastAsia="宋体"/>
          <w:color w:val="auto"/>
          <w:sz w:val="24"/>
          <w:szCs w:val="24"/>
          <w:highlight w:val="none"/>
        </w:rPr>
        <w:t>向发包人承担违约责任。</w:t>
      </w:r>
    </w:p>
    <w:p>
      <w:pPr>
        <w:pStyle w:val="77"/>
        <w:spacing w:before="0" w:after="0"/>
        <w:ind w:firstLine="480"/>
        <w:rPr>
          <w:rFonts w:eastAsia="宋体"/>
          <w:color w:val="auto"/>
          <w:szCs w:val="24"/>
          <w:highlight w:val="none"/>
        </w:rPr>
      </w:pPr>
      <w:bookmarkStart w:id="1063" w:name="_Toc44492567"/>
      <w:bookmarkStart w:id="1064" w:name="_Toc30996"/>
      <w:bookmarkStart w:id="1065" w:name="_Toc25277"/>
      <w:r>
        <w:rPr>
          <w:rFonts w:eastAsia="宋体"/>
          <w:color w:val="auto"/>
          <w:szCs w:val="24"/>
          <w:highlight w:val="none"/>
        </w:rPr>
        <w:t>4.6.</w:t>
      </w:r>
      <w:r>
        <w:rPr>
          <w:rFonts w:hint="eastAsia" w:eastAsia="宋体"/>
          <w:color w:val="auto"/>
          <w:szCs w:val="24"/>
          <w:highlight w:val="none"/>
        </w:rPr>
        <w:t xml:space="preserve"> </w:t>
      </w:r>
      <w:r>
        <w:rPr>
          <w:rFonts w:eastAsia="宋体"/>
          <w:color w:val="auto"/>
          <w:szCs w:val="24"/>
          <w:highlight w:val="none"/>
        </w:rPr>
        <w:t>撤换承包人项目经理和其他人员</w:t>
      </w:r>
      <w:bookmarkEnd w:id="1063"/>
      <w:bookmarkEnd w:id="1064"/>
      <w:bookmarkEnd w:id="1065"/>
    </w:p>
    <w:p>
      <w:pPr>
        <w:pStyle w:val="52"/>
        <w:ind w:firstLine="480"/>
        <w:jc w:val="both"/>
        <w:rPr>
          <w:rFonts w:eastAsia="宋体"/>
          <w:color w:val="auto"/>
          <w:sz w:val="24"/>
          <w:szCs w:val="24"/>
          <w:highlight w:val="none"/>
        </w:rPr>
      </w:pPr>
      <w:r>
        <w:rPr>
          <w:rFonts w:eastAsia="宋体"/>
          <w:color w:val="auto"/>
          <w:sz w:val="24"/>
          <w:szCs w:val="24"/>
          <w:highlight w:val="none"/>
        </w:rPr>
        <w:t>4.6.2. 当</w:t>
      </w:r>
      <w:r>
        <w:rPr>
          <w:rFonts w:hint="eastAsia" w:eastAsia="宋体"/>
          <w:color w:val="auto"/>
          <w:sz w:val="24"/>
          <w:szCs w:val="24"/>
          <w:highlight w:val="none"/>
          <w:lang w:eastAsia="zh-CN"/>
        </w:rPr>
        <w:t>发包人</w:t>
      </w:r>
      <w:r>
        <w:rPr>
          <w:rFonts w:eastAsia="宋体"/>
          <w:color w:val="auto"/>
          <w:sz w:val="24"/>
          <w:szCs w:val="24"/>
          <w:highlight w:val="none"/>
        </w:rPr>
        <w:t>每月对承包人现场管理的项目经理及管理人员进行评分（具体评分表由发包人制定），每月评分不合格的现场管理人员进行通报批评并抄送承包人，连续两个月评分不合格的管理人员承包人需进行替换，承包人在收到发包人的书面通知后，应在</w:t>
      </w:r>
      <w:r>
        <w:rPr>
          <w:rFonts w:eastAsia="宋体"/>
          <w:color w:val="auto"/>
          <w:sz w:val="24"/>
          <w:szCs w:val="24"/>
          <w:highlight w:val="none"/>
          <w:u w:val="single"/>
        </w:rPr>
        <w:t xml:space="preserve"> 7</w:t>
      </w:r>
      <w:r>
        <w:rPr>
          <w:rFonts w:hint="eastAsia" w:eastAsia="宋体"/>
          <w:color w:val="auto"/>
          <w:sz w:val="24"/>
          <w:szCs w:val="24"/>
          <w:highlight w:val="none"/>
          <w:u w:val="single"/>
        </w:rPr>
        <w:t xml:space="preserve"> </w:t>
      </w:r>
      <w:r>
        <w:rPr>
          <w:rFonts w:eastAsia="宋体"/>
          <w:color w:val="auto"/>
          <w:sz w:val="24"/>
          <w:szCs w:val="24"/>
          <w:highlight w:val="none"/>
        </w:rPr>
        <w:t>天内递交更换相关人员的相关资料，经发包人审核确认后到岗，承包人必须保证不因人员更换而使工程受到任何影响。承包人未按照发包人要求更换相关人员或更换人员不及时的，应按本合同专用条款第22.1.9.1条第</w:t>
      </w:r>
      <w:r>
        <w:rPr>
          <w:rFonts w:hint="eastAsia" w:eastAsia="宋体"/>
          <w:color w:val="auto"/>
          <w:sz w:val="24"/>
          <w:szCs w:val="24"/>
          <w:highlight w:val="none"/>
        </w:rPr>
        <w:t>6</w:t>
      </w:r>
      <w:r>
        <w:rPr>
          <w:rFonts w:eastAsia="宋体"/>
          <w:color w:val="auto"/>
          <w:sz w:val="24"/>
          <w:szCs w:val="24"/>
          <w:highlight w:val="none"/>
        </w:rPr>
        <w:t xml:space="preserve">）款约定向发包人支付违约金。未经发包人书面同意，承包人被更换员工不得再在本工程从事任何工作。 </w:t>
      </w:r>
    </w:p>
    <w:p>
      <w:pPr>
        <w:pStyle w:val="5"/>
        <w:numPr>
          <w:ilvl w:val="255"/>
          <w:numId w:val="0"/>
        </w:numPr>
        <w:ind w:left="397"/>
        <w:rPr>
          <w:color w:val="auto"/>
          <w:highlight w:val="none"/>
        </w:rPr>
      </w:pPr>
      <w:bookmarkStart w:id="1066" w:name="_Toc16989"/>
      <w:bookmarkStart w:id="1067" w:name="_Toc21911"/>
      <w:bookmarkStart w:id="1068" w:name="_Toc44492568"/>
      <w:r>
        <w:rPr>
          <w:color w:val="auto"/>
          <w:highlight w:val="none"/>
        </w:rPr>
        <w:t>4.7.</w:t>
      </w:r>
      <w:bookmarkEnd w:id="1066"/>
      <w:bookmarkEnd w:id="1067"/>
      <w:r>
        <w:rPr>
          <w:rFonts w:hint="eastAsia"/>
          <w:color w:val="auto"/>
          <w:highlight w:val="none"/>
        </w:rPr>
        <w:t xml:space="preserve"> </w:t>
      </w:r>
      <w:r>
        <w:rPr>
          <w:color w:val="auto"/>
          <w:highlight w:val="none"/>
        </w:rPr>
        <w:t>保障承包人人员的合法权益</w:t>
      </w:r>
      <w:bookmarkEnd w:id="1068"/>
    </w:p>
    <w:p>
      <w:pPr>
        <w:pStyle w:val="5"/>
        <w:numPr>
          <w:ilvl w:val="255"/>
          <w:numId w:val="0"/>
        </w:numPr>
        <w:ind w:left="397"/>
        <w:rPr>
          <w:color w:val="auto"/>
          <w:highlight w:val="none"/>
        </w:rPr>
      </w:pPr>
      <w:bookmarkStart w:id="1069" w:name="_Toc44492569"/>
      <w:r>
        <w:rPr>
          <w:color w:val="auto"/>
          <w:highlight w:val="none"/>
        </w:rPr>
        <w:t>4.7.6</w:t>
      </w:r>
      <w:r>
        <w:rPr>
          <w:rFonts w:hint="eastAsia"/>
          <w:color w:val="auto"/>
          <w:highlight w:val="none"/>
        </w:rPr>
        <w:t>.</w:t>
      </w:r>
      <w:r>
        <w:rPr>
          <w:color w:val="auto"/>
          <w:highlight w:val="none"/>
        </w:rPr>
        <w:t xml:space="preserve"> 对工人工资的约定</w:t>
      </w:r>
      <w:bookmarkEnd w:id="1069"/>
    </w:p>
    <w:p>
      <w:pPr>
        <w:pStyle w:val="52"/>
        <w:ind w:firstLine="480"/>
        <w:rPr>
          <w:rFonts w:hint="eastAsia" w:eastAsia="宋体"/>
          <w:color w:val="auto"/>
          <w:sz w:val="24"/>
          <w:szCs w:val="24"/>
          <w:highlight w:val="none"/>
        </w:rPr>
      </w:pPr>
      <w:bookmarkStart w:id="1070" w:name="_Toc33616278"/>
      <w:r>
        <w:rPr>
          <w:rFonts w:eastAsia="宋体"/>
          <w:color w:val="auto"/>
          <w:sz w:val="24"/>
          <w:szCs w:val="24"/>
          <w:highlight w:val="none"/>
        </w:rPr>
        <w:t>4.</w:t>
      </w:r>
      <w:r>
        <w:rPr>
          <w:rFonts w:eastAsia="宋体"/>
          <w:b/>
          <w:bCs/>
          <w:color w:val="auto"/>
          <w:sz w:val="24"/>
          <w:szCs w:val="24"/>
          <w:highlight w:val="none"/>
        </w:rPr>
        <w:t>7</w:t>
      </w:r>
      <w:r>
        <w:rPr>
          <w:rFonts w:eastAsia="宋体"/>
          <w:color w:val="auto"/>
          <w:sz w:val="24"/>
          <w:szCs w:val="24"/>
          <w:highlight w:val="none"/>
        </w:rPr>
        <w:t>.6.1</w:t>
      </w:r>
      <w:r>
        <w:rPr>
          <w:rFonts w:hint="eastAsia" w:eastAsia="宋体"/>
          <w:color w:val="auto"/>
          <w:sz w:val="24"/>
          <w:szCs w:val="24"/>
          <w:highlight w:val="none"/>
        </w:rPr>
        <w:t xml:space="preserve">. </w:t>
      </w:r>
      <w:bookmarkEnd w:id="1070"/>
      <w:r>
        <w:rPr>
          <w:rFonts w:hint="eastAsia" w:eastAsia="宋体" w:cs="Times New Roman"/>
          <w:color w:val="auto"/>
          <w:sz w:val="24"/>
          <w:szCs w:val="24"/>
          <w:highlight w:val="none"/>
        </w:rPr>
        <w:t>承包人设立工人工资支付专用账户，该账户与其他款项实行分开银行账户管理。工人工资支付专用账户内的资金除发放工人工资外，不得用于其他用途，不得开通网上银行等电子支付渠道，不得提取现金。承包人设立的工人工资支付专用账户信息（开户银行名称及账号），承包人必须在本合同签订后、发包人第一次支付款项前提供给发包人。</w:t>
      </w:r>
    </w:p>
    <w:p>
      <w:pPr>
        <w:pStyle w:val="52"/>
        <w:ind w:firstLine="480"/>
        <w:rPr>
          <w:rFonts w:eastAsia="宋体"/>
          <w:color w:val="auto"/>
          <w:sz w:val="24"/>
          <w:szCs w:val="24"/>
          <w:highlight w:val="none"/>
        </w:rPr>
      </w:pPr>
      <w:r>
        <w:rPr>
          <w:rFonts w:eastAsia="宋体"/>
          <w:color w:val="auto"/>
          <w:sz w:val="24"/>
          <w:szCs w:val="24"/>
          <w:highlight w:val="none"/>
        </w:rPr>
        <w:t>4.</w:t>
      </w:r>
      <w:r>
        <w:rPr>
          <w:rFonts w:eastAsia="宋体"/>
          <w:b/>
          <w:bCs/>
          <w:color w:val="auto"/>
          <w:sz w:val="24"/>
          <w:szCs w:val="24"/>
          <w:highlight w:val="none"/>
        </w:rPr>
        <w:t>7</w:t>
      </w:r>
      <w:r>
        <w:rPr>
          <w:rFonts w:eastAsia="宋体"/>
          <w:color w:val="auto"/>
          <w:sz w:val="24"/>
          <w:szCs w:val="24"/>
          <w:highlight w:val="none"/>
        </w:rPr>
        <w:t>.6.</w:t>
      </w:r>
      <w:r>
        <w:rPr>
          <w:rFonts w:hint="eastAsia" w:eastAsia="宋体"/>
          <w:color w:val="auto"/>
          <w:sz w:val="24"/>
          <w:szCs w:val="24"/>
          <w:highlight w:val="none"/>
          <w:lang w:val="en-US" w:eastAsia="zh-CN"/>
        </w:rPr>
        <w:t>2</w:t>
      </w:r>
      <w:r>
        <w:rPr>
          <w:rFonts w:hint="eastAsia" w:eastAsia="宋体"/>
          <w:color w:val="auto"/>
          <w:sz w:val="24"/>
          <w:szCs w:val="24"/>
          <w:highlight w:val="none"/>
        </w:rPr>
        <w:t xml:space="preserve">. </w:t>
      </w:r>
      <w:r>
        <w:rPr>
          <w:rFonts w:eastAsia="宋体"/>
          <w:color w:val="auto"/>
          <w:sz w:val="24"/>
          <w:szCs w:val="24"/>
          <w:highlight w:val="none"/>
        </w:rPr>
        <w:t>承包人应严格执行政府颁发的《建筑工人实名制管理办法》的相关要求，必须对所有进场建筑工人进行实名制管理，将施工人员名单造册提交发包人监督，发生施工人员变动时必须及时提交变更后名单；因未提交施工人员名单或名单不准确的，在发生欠薪讨薪事件时，以发包人认定的施工人员范围为准；承包人并应为每一位工人办理工资个人账户，建立工人工资支付台账，每月定期将工资直接支付给工人本人。发包人有权（但无义务）对建筑工人的个人银行账户的真实性和承包人的工资发放进行检查监督。</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4.7.6.</w:t>
      </w:r>
      <w:r>
        <w:rPr>
          <w:rFonts w:hint="eastAsia" w:ascii="Times New Roman" w:hAnsi="Times New Roman"/>
          <w:color w:val="auto"/>
          <w:kern w:val="0"/>
          <w:sz w:val="24"/>
          <w:szCs w:val="24"/>
          <w:highlight w:val="none"/>
          <w:lang w:val="en-US" w:eastAsia="zh-CN"/>
        </w:rPr>
        <w:t>3</w:t>
      </w:r>
      <w:r>
        <w:rPr>
          <w:rFonts w:hint="eastAsia" w:ascii="Times New Roman" w:hAnsi="Times New Roman"/>
          <w:color w:val="auto"/>
          <w:kern w:val="0"/>
          <w:sz w:val="24"/>
          <w:szCs w:val="24"/>
          <w:highlight w:val="none"/>
        </w:rPr>
        <w:t xml:space="preserve">. </w:t>
      </w:r>
      <w:r>
        <w:rPr>
          <w:rFonts w:ascii="Times New Roman" w:hAnsi="Times New Roman"/>
          <w:color w:val="auto"/>
          <w:kern w:val="0"/>
          <w:sz w:val="24"/>
          <w:szCs w:val="24"/>
          <w:highlight w:val="none"/>
        </w:rPr>
        <w:t>承包人应当建立工人考勤、工资结算和支付等管理台账，存档备查，并将相关信息按月报送建设行业主管部门。工人考勤明细表应当在施工现场公示栏进行公示，公示期不少于5天，工人考勤和工资结算明细表须经工人签名确认。</w:t>
      </w:r>
    </w:p>
    <w:p>
      <w:pPr>
        <w:pStyle w:val="34"/>
        <w:spacing w:line="360" w:lineRule="auto"/>
        <w:ind w:firstLine="480" w:firstLineChars="200"/>
        <w:rPr>
          <w:rFonts w:ascii="Times New Roman" w:hAnsi="Times New Roman"/>
          <w:color w:val="auto"/>
          <w:kern w:val="0"/>
          <w:sz w:val="24"/>
          <w:szCs w:val="24"/>
          <w:highlight w:val="none"/>
        </w:rPr>
      </w:pPr>
      <w:r>
        <w:rPr>
          <w:rFonts w:ascii="Times New Roman" w:hAnsi="Times New Roman" w:eastAsia="宋体"/>
          <w:color w:val="auto"/>
          <w:kern w:val="0"/>
          <w:sz w:val="24"/>
          <w:szCs w:val="24"/>
          <w:highlight w:val="none"/>
        </w:rPr>
        <w:t>4.7.6.</w:t>
      </w:r>
      <w:r>
        <w:rPr>
          <w:rFonts w:hint="eastAsia" w:ascii="Times New Roman" w:hAnsi="Times New Roman"/>
          <w:color w:val="auto"/>
          <w:kern w:val="0"/>
          <w:sz w:val="24"/>
          <w:szCs w:val="24"/>
          <w:highlight w:val="none"/>
          <w:lang w:val="en-US" w:eastAsia="zh-CN"/>
        </w:rPr>
        <w:t>4</w:t>
      </w:r>
      <w:r>
        <w:rPr>
          <w:rFonts w:hint="default" w:ascii="Times New Roman" w:hAnsi="Times New Roman" w:eastAsia="宋体"/>
          <w:color w:val="auto"/>
          <w:kern w:val="0"/>
          <w:sz w:val="24"/>
          <w:szCs w:val="24"/>
          <w:highlight w:val="none"/>
        </w:rPr>
        <w:t xml:space="preserve">. </w:t>
      </w:r>
      <w:r>
        <w:rPr>
          <w:rFonts w:ascii="Times New Roman" w:hAnsi="Times New Roman" w:eastAsia="宋体" w:cs="Times New Roman"/>
          <w:color w:val="auto"/>
          <w:kern w:val="0"/>
          <w:sz w:val="24"/>
          <w:szCs w:val="24"/>
          <w:highlight w:val="none"/>
        </w:rPr>
        <w:t>承包人每期申请进度款时，按</w:t>
      </w:r>
      <w:r>
        <w:rPr>
          <w:rFonts w:hint="default" w:ascii="Times New Roman" w:hAnsi="Times New Roman" w:eastAsia="宋体" w:cs="Times New Roman"/>
          <w:color w:val="auto"/>
          <w:kern w:val="0"/>
          <w:sz w:val="24"/>
          <w:szCs w:val="24"/>
          <w:highlight w:val="none"/>
        </w:rPr>
        <w:t>合同约定</w:t>
      </w:r>
      <w:r>
        <w:rPr>
          <w:rFonts w:ascii="Times New Roman" w:hAnsi="Times New Roman" w:eastAsia="宋体" w:cs="Times New Roman"/>
          <w:color w:val="auto"/>
          <w:kern w:val="0"/>
          <w:sz w:val="24"/>
          <w:szCs w:val="24"/>
          <w:highlight w:val="none"/>
        </w:rPr>
        <w:t>，发包人</w:t>
      </w:r>
      <w:r>
        <w:rPr>
          <w:rFonts w:hint="default" w:ascii="Times New Roman" w:hAnsi="Times New Roman" w:eastAsia="宋体" w:cs="Times New Roman"/>
          <w:color w:val="auto"/>
          <w:kern w:val="0"/>
          <w:sz w:val="24"/>
          <w:szCs w:val="24"/>
          <w:highlight w:val="none"/>
        </w:rPr>
        <w:t>按照承包人提供并经发包人审批确认后的农民工工资费用数额，且在合同约定的其他付款条件满足后</w:t>
      </w:r>
      <w:r>
        <w:rPr>
          <w:rFonts w:ascii="Times New Roman" w:hAnsi="Times New Roman" w:eastAsia="宋体" w:cs="Times New Roman"/>
          <w:color w:val="auto"/>
          <w:kern w:val="0"/>
          <w:sz w:val="24"/>
          <w:szCs w:val="24"/>
          <w:highlight w:val="none"/>
        </w:rPr>
        <w:t>向工人工资专用账户拨付工人工资款项。</w:t>
      </w:r>
    </w:p>
    <w:p>
      <w:pPr>
        <w:pStyle w:val="52"/>
        <w:ind w:firstLine="480"/>
        <w:jc w:val="both"/>
        <w:rPr>
          <w:rFonts w:eastAsia="宋体"/>
          <w:color w:val="auto"/>
          <w:sz w:val="24"/>
          <w:szCs w:val="24"/>
          <w:highlight w:val="none"/>
        </w:rPr>
      </w:pPr>
      <w:r>
        <w:rPr>
          <w:rFonts w:eastAsia="宋体"/>
          <w:color w:val="auto"/>
          <w:sz w:val="24"/>
          <w:szCs w:val="24"/>
          <w:highlight w:val="none"/>
        </w:rPr>
        <w:t>4.7.6.</w:t>
      </w:r>
      <w:r>
        <w:rPr>
          <w:rFonts w:hint="eastAsia" w:eastAsia="宋体"/>
          <w:color w:val="auto"/>
          <w:sz w:val="24"/>
          <w:szCs w:val="24"/>
          <w:highlight w:val="none"/>
          <w:lang w:val="en-US" w:eastAsia="zh-CN"/>
        </w:rPr>
        <w:t>5</w:t>
      </w:r>
      <w:r>
        <w:rPr>
          <w:rFonts w:hint="eastAsia" w:eastAsia="宋体"/>
          <w:color w:val="auto"/>
          <w:sz w:val="24"/>
          <w:szCs w:val="24"/>
          <w:highlight w:val="none"/>
        </w:rPr>
        <w:t xml:space="preserve">. </w:t>
      </w:r>
      <w:r>
        <w:rPr>
          <w:rFonts w:eastAsia="宋体"/>
          <w:color w:val="auto"/>
          <w:sz w:val="24"/>
          <w:szCs w:val="24"/>
          <w:highlight w:val="none"/>
        </w:rPr>
        <w:t>承包人</w:t>
      </w:r>
      <w:r>
        <w:rPr>
          <w:rFonts w:eastAsia="宋体" w:cs="Times New Roman"/>
          <w:color w:val="auto"/>
          <w:sz w:val="24"/>
          <w:szCs w:val="24"/>
          <w:highlight w:val="none"/>
        </w:rPr>
        <w:t>设立工人工资支付专用账户、</w:t>
      </w:r>
      <w:r>
        <w:rPr>
          <w:rFonts w:eastAsia="宋体"/>
          <w:color w:val="auto"/>
          <w:sz w:val="24"/>
          <w:szCs w:val="24"/>
          <w:highlight w:val="none"/>
        </w:rPr>
        <w:t>按时足额支付工人工资，不得拖欠工人工资或影响发包人施工许可证办理及施工进度等。否则，发包人有权从应付承包人的工程款中直接向工人支付工资，可以按照工人的主张和工人提供的初步证明资料（如银行流水）确定发放金额，但发包人不对金额的正确性负责，承包人有异议的，应自行与工人协商解决，另每发生一次拖欠工资事件，承包人应按人民币10万元的标准向发包人支付违约金。</w:t>
      </w:r>
    </w:p>
    <w:p>
      <w:pPr>
        <w:pStyle w:val="52"/>
        <w:ind w:firstLine="480"/>
        <w:jc w:val="both"/>
        <w:rPr>
          <w:rFonts w:eastAsia="宋体"/>
          <w:color w:val="auto"/>
          <w:sz w:val="24"/>
          <w:szCs w:val="24"/>
          <w:highlight w:val="none"/>
        </w:rPr>
      </w:pPr>
      <w:r>
        <w:rPr>
          <w:rFonts w:eastAsia="宋体"/>
          <w:color w:val="auto"/>
          <w:sz w:val="24"/>
          <w:szCs w:val="24"/>
          <w:highlight w:val="none"/>
        </w:rPr>
        <w:t>4.7.6.</w:t>
      </w:r>
      <w:r>
        <w:rPr>
          <w:rFonts w:hint="default" w:eastAsia="宋体"/>
          <w:color w:val="auto"/>
          <w:sz w:val="24"/>
          <w:szCs w:val="24"/>
          <w:highlight w:val="none"/>
          <w:lang w:val="en-US" w:eastAsia="zh-CN"/>
        </w:rPr>
        <w:t>6</w:t>
      </w:r>
      <w:r>
        <w:rPr>
          <w:rFonts w:hint="default" w:eastAsia="宋体"/>
          <w:color w:val="auto"/>
          <w:sz w:val="24"/>
          <w:szCs w:val="24"/>
          <w:highlight w:val="none"/>
        </w:rPr>
        <w:t xml:space="preserve">. </w:t>
      </w:r>
      <w:r>
        <w:rPr>
          <w:rFonts w:hint="default" w:eastAsia="宋体" w:cs="Times New Roman"/>
          <w:color w:val="auto"/>
          <w:sz w:val="24"/>
          <w:szCs w:val="24"/>
          <w:highlight w:val="none"/>
        </w:rPr>
        <w:t>承包人应当按照有关规定存储工资保证金，专项用于支付为所承包工程提供劳动的农民工被拖欠的工资。</w:t>
      </w:r>
    </w:p>
    <w:p>
      <w:pPr>
        <w:pStyle w:val="52"/>
        <w:ind w:firstLine="480"/>
        <w:jc w:val="both"/>
        <w:rPr>
          <w:rFonts w:eastAsia="宋体"/>
          <w:color w:val="auto"/>
          <w:sz w:val="24"/>
          <w:szCs w:val="24"/>
          <w:highlight w:val="none"/>
        </w:rPr>
      </w:pPr>
      <w:r>
        <w:rPr>
          <w:rFonts w:eastAsia="宋体"/>
          <w:color w:val="auto"/>
          <w:sz w:val="24"/>
          <w:szCs w:val="24"/>
          <w:highlight w:val="none"/>
        </w:rPr>
        <w:t>4.7.</w:t>
      </w:r>
      <w:r>
        <w:rPr>
          <w:rFonts w:hint="eastAsia" w:eastAsia="宋体"/>
          <w:color w:val="auto"/>
          <w:sz w:val="24"/>
          <w:szCs w:val="24"/>
          <w:highlight w:val="none"/>
        </w:rPr>
        <w:t>6</w:t>
      </w:r>
      <w:r>
        <w:rPr>
          <w:rFonts w:eastAsia="宋体"/>
          <w:color w:val="auto"/>
          <w:sz w:val="24"/>
          <w:szCs w:val="24"/>
          <w:highlight w:val="none"/>
        </w:rPr>
        <w:t>.</w:t>
      </w:r>
      <w:r>
        <w:rPr>
          <w:rFonts w:hint="eastAsia" w:eastAsia="宋体"/>
          <w:color w:val="auto"/>
          <w:sz w:val="24"/>
          <w:szCs w:val="24"/>
          <w:highlight w:val="none"/>
          <w:lang w:val="en-US" w:eastAsia="zh-CN"/>
        </w:rPr>
        <w:t>7</w:t>
      </w:r>
      <w:r>
        <w:rPr>
          <w:rFonts w:hint="eastAsia" w:eastAsia="宋体"/>
          <w:color w:val="auto"/>
          <w:sz w:val="24"/>
          <w:szCs w:val="24"/>
          <w:highlight w:val="none"/>
        </w:rPr>
        <w:t xml:space="preserve">. </w:t>
      </w:r>
      <w:r>
        <w:rPr>
          <w:rFonts w:eastAsia="宋体"/>
          <w:color w:val="auto"/>
          <w:sz w:val="24"/>
          <w:szCs w:val="24"/>
          <w:highlight w:val="none"/>
        </w:rPr>
        <w:t>承包人与发包人或者分包人因工程数量、质量、造价等产生争议的，承包人也不得因争议不按照合同约定发放</w:t>
      </w:r>
      <w:r>
        <w:rPr>
          <w:rFonts w:hint="eastAsia" w:eastAsia="宋体"/>
          <w:color w:val="auto"/>
          <w:sz w:val="24"/>
          <w:szCs w:val="24"/>
          <w:highlight w:val="none"/>
          <w:lang w:val="en-US" w:eastAsia="zh-CN"/>
        </w:rPr>
        <w:t>工人</w:t>
      </w:r>
      <w:r>
        <w:rPr>
          <w:rFonts w:eastAsia="宋体"/>
          <w:color w:val="auto"/>
          <w:sz w:val="24"/>
          <w:szCs w:val="24"/>
          <w:highlight w:val="none"/>
        </w:rPr>
        <w:t>工资。</w:t>
      </w:r>
    </w:p>
    <w:p>
      <w:pPr>
        <w:pStyle w:val="52"/>
        <w:ind w:firstLine="480"/>
        <w:jc w:val="both"/>
        <w:rPr>
          <w:rFonts w:eastAsia="宋体"/>
          <w:color w:val="auto"/>
          <w:sz w:val="24"/>
          <w:szCs w:val="24"/>
          <w:highlight w:val="none"/>
        </w:rPr>
      </w:pPr>
      <w:r>
        <w:rPr>
          <w:rFonts w:eastAsia="宋体"/>
          <w:color w:val="auto"/>
          <w:sz w:val="24"/>
          <w:szCs w:val="24"/>
          <w:highlight w:val="none"/>
        </w:rPr>
        <w:t>4.7.</w:t>
      </w:r>
      <w:r>
        <w:rPr>
          <w:rFonts w:hint="eastAsia" w:eastAsia="宋体"/>
          <w:color w:val="auto"/>
          <w:sz w:val="24"/>
          <w:szCs w:val="24"/>
          <w:highlight w:val="none"/>
        </w:rPr>
        <w:t>6</w:t>
      </w:r>
      <w:r>
        <w:rPr>
          <w:rFonts w:eastAsia="宋体"/>
          <w:color w:val="auto"/>
          <w:sz w:val="24"/>
          <w:szCs w:val="24"/>
          <w:highlight w:val="none"/>
        </w:rPr>
        <w:t>.</w:t>
      </w:r>
      <w:r>
        <w:rPr>
          <w:rFonts w:hint="eastAsia" w:eastAsia="宋体"/>
          <w:color w:val="auto"/>
          <w:sz w:val="24"/>
          <w:szCs w:val="24"/>
          <w:highlight w:val="none"/>
          <w:lang w:val="en-US" w:eastAsia="zh-CN"/>
        </w:rPr>
        <w:t>8</w:t>
      </w:r>
      <w:r>
        <w:rPr>
          <w:rFonts w:hint="eastAsia" w:eastAsia="宋体"/>
          <w:color w:val="auto"/>
          <w:sz w:val="24"/>
          <w:szCs w:val="24"/>
          <w:highlight w:val="none"/>
        </w:rPr>
        <w:t xml:space="preserve">. </w:t>
      </w:r>
      <w:r>
        <w:rPr>
          <w:rFonts w:eastAsia="宋体"/>
          <w:color w:val="auto"/>
          <w:sz w:val="24"/>
          <w:szCs w:val="24"/>
          <w:highlight w:val="none"/>
        </w:rPr>
        <w:t>凡是承包人不按合同及有关规定按时足额支付相关款项（包括但不限于施工人员工资、分包单位合同价款、设备材料采购货款等）而出现纠纷影响到发包人或政府有关部门的，承包人除应遵守本合同其它条款的约定外，还必须优先服从发包人的以下措施和指令：</w:t>
      </w:r>
    </w:p>
    <w:p>
      <w:pPr>
        <w:pStyle w:val="52"/>
        <w:ind w:firstLine="480"/>
        <w:jc w:val="both"/>
        <w:rPr>
          <w:rFonts w:eastAsia="宋体"/>
          <w:color w:val="auto"/>
          <w:sz w:val="24"/>
          <w:szCs w:val="24"/>
          <w:highlight w:val="none"/>
        </w:rPr>
      </w:pPr>
      <w:r>
        <w:rPr>
          <w:rFonts w:eastAsia="宋体"/>
          <w:color w:val="auto"/>
          <w:sz w:val="24"/>
          <w:szCs w:val="24"/>
          <w:highlight w:val="none"/>
        </w:rPr>
        <w:t>①承包人须在接到发包人通知后1小时内将工人领回；</w:t>
      </w:r>
    </w:p>
    <w:p>
      <w:pPr>
        <w:pStyle w:val="52"/>
        <w:ind w:firstLine="480"/>
        <w:jc w:val="both"/>
        <w:rPr>
          <w:rFonts w:eastAsia="宋体"/>
          <w:color w:val="auto"/>
          <w:sz w:val="24"/>
          <w:szCs w:val="24"/>
          <w:highlight w:val="none"/>
        </w:rPr>
      </w:pPr>
      <w:r>
        <w:rPr>
          <w:rFonts w:eastAsia="宋体"/>
          <w:color w:val="auto"/>
          <w:sz w:val="24"/>
          <w:szCs w:val="24"/>
          <w:highlight w:val="none"/>
        </w:rPr>
        <w:t>②发包人有权要求承包人携带现金前往发包人处或政府有关部门，现场支付所拖欠的工人工资或分包单位合同价款；</w:t>
      </w:r>
    </w:p>
    <w:p>
      <w:pPr>
        <w:pStyle w:val="52"/>
        <w:ind w:firstLine="480"/>
        <w:jc w:val="both"/>
        <w:rPr>
          <w:rFonts w:eastAsia="宋体"/>
          <w:color w:val="auto"/>
          <w:sz w:val="24"/>
          <w:szCs w:val="24"/>
          <w:highlight w:val="none"/>
        </w:rPr>
      </w:pPr>
      <w:r>
        <w:rPr>
          <w:rFonts w:eastAsia="宋体"/>
          <w:color w:val="auto"/>
          <w:sz w:val="24"/>
          <w:szCs w:val="24"/>
          <w:highlight w:val="none"/>
        </w:rPr>
        <w:t>③发包人有权立即采取提取履约保函、扣除履约保证金、扣除工程进度款等方式，向施工人员或分包单位支付其所拖欠的工人工资或分包单位合同价款；</w:t>
      </w:r>
    </w:p>
    <w:p>
      <w:pPr>
        <w:pStyle w:val="52"/>
        <w:ind w:firstLine="480"/>
        <w:jc w:val="both"/>
        <w:rPr>
          <w:rFonts w:eastAsia="宋体"/>
          <w:color w:val="auto"/>
          <w:sz w:val="24"/>
          <w:szCs w:val="24"/>
          <w:highlight w:val="none"/>
        </w:rPr>
      </w:pPr>
      <w:r>
        <w:rPr>
          <w:rFonts w:eastAsia="宋体"/>
          <w:color w:val="auto"/>
          <w:sz w:val="24"/>
          <w:szCs w:val="24"/>
          <w:highlight w:val="none"/>
        </w:rPr>
        <w:t>④承包人法定代表人或项目负责人须在接到发包人通知后1小时内前往发包人处当面汇报对工人投诉或集体上访事件的处理方案；</w:t>
      </w:r>
    </w:p>
    <w:p>
      <w:pPr>
        <w:pStyle w:val="52"/>
        <w:ind w:firstLine="480"/>
        <w:jc w:val="both"/>
        <w:rPr>
          <w:rFonts w:eastAsia="宋体"/>
          <w:color w:val="auto"/>
          <w:sz w:val="24"/>
          <w:szCs w:val="24"/>
          <w:highlight w:val="none"/>
        </w:rPr>
      </w:pPr>
      <w:r>
        <w:rPr>
          <w:rFonts w:eastAsia="宋体"/>
          <w:color w:val="auto"/>
          <w:sz w:val="24"/>
          <w:szCs w:val="24"/>
          <w:highlight w:val="none"/>
        </w:rPr>
        <w:t>⑤承包人须在发生投诉或集体上访事件后3</w:t>
      </w:r>
      <w:r>
        <w:rPr>
          <w:rFonts w:hint="eastAsia" w:eastAsia="宋体"/>
          <w:color w:val="auto"/>
          <w:sz w:val="24"/>
          <w:szCs w:val="24"/>
          <w:highlight w:val="none"/>
        </w:rPr>
        <w:t>天</w:t>
      </w:r>
      <w:r>
        <w:rPr>
          <w:rFonts w:eastAsia="宋体"/>
          <w:color w:val="auto"/>
          <w:sz w:val="24"/>
          <w:szCs w:val="24"/>
          <w:highlight w:val="none"/>
        </w:rPr>
        <w:t>内向发包人出具对事件的书面检查报告；</w:t>
      </w:r>
    </w:p>
    <w:p>
      <w:pPr>
        <w:pStyle w:val="52"/>
        <w:ind w:firstLine="480"/>
        <w:jc w:val="both"/>
        <w:rPr>
          <w:rFonts w:eastAsia="宋体"/>
          <w:color w:val="auto"/>
          <w:sz w:val="24"/>
          <w:szCs w:val="24"/>
          <w:highlight w:val="none"/>
        </w:rPr>
      </w:pPr>
      <w:r>
        <w:rPr>
          <w:rFonts w:eastAsia="宋体"/>
          <w:color w:val="auto"/>
          <w:sz w:val="24"/>
          <w:szCs w:val="24"/>
          <w:highlight w:val="none"/>
        </w:rPr>
        <w:t>⑥发包人有权上报省、市、区主管部门；</w:t>
      </w:r>
    </w:p>
    <w:p>
      <w:pPr>
        <w:pStyle w:val="52"/>
        <w:ind w:firstLine="480"/>
        <w:jc w:val="both"/>
        <w:rPr>
          <w:rFonts w:eastAsia="宋体"/>
          <w:color w:val="auto"/>
          <w:sz w:val="24"/>
          <w:szCs w:val="24"/>
          <w:highlight w:val="none"/>
        </w:rPr>
      </w:pPr>
      <w:r>
        <w:rPr>
          <w:rFonts w:eastAsia="宋体"/>
          <w:color w:val="auto"/>
          <w:sz w:val="24"/>
          <w:szCs w:val="24"/>
          <w:highlight w:val="none"/>
        </w:rPr>
        <w:t>⑦承包人在发包人要求的时间内不予处理的，发包人有权垫付有关费用并暂停支付工程进度款，该等垫付费用从应付合同款中抵扣，承包人并须向发包人支付垫付金额20%或5000元/人</w:t>
      </w:r>
      <w:r>
        <w:rPr>
          <w:rFonts w:hint="eastAsia" w:eastAsia="宋体"/>
          <w:color w:val="auto"/>
          <w:sz w:val="24"/>
          <w:szCs w:val="24"/>
          <w:highlight w:val="none"/>
          <w:lang w:val="en-US" w:eastAsia="zh-CN"/>
        </w:rPr>
        <w:t>*</w:t>
      </w:r>
      <w:r>
        <w:rPr>
          <w:rFonts w:eastAsia="宋体"/>
          <w:color w:val="auto"/>
          <w:sz w:val="24"/>
          <w:szCs w:val="24"/>
          <w:highlight w:val="none"/>
        </w:rPr>
        <w:t>次的违约金，违约金额按二者中较高者为准。</w:t>
      </w:r>
      <w:r>
        <w:rPr>
          <w:rFonts w:eastAsia="宋体"/>
          <w:color w:val="auto"/>
          <w:sz w:val="24"/>
          <w:szCs w:val="24"/>
          <w:highlight w:val="none"/>
          <w:lang w:bidi="ar"/>
        </w:rPr>
        <w:t>如承包人的款项不足以支付发包人所垫付的工资和相应的违约金与利息或损失的，应以承包人财产承担，发包人可按照农民工签字确认的拖欠工资总额，直接向法院申请对承包人的财产包括房产、汽车、现金、银行账户及其他资产等采取冻结、扣押、强制划拨、先予执行、先行给付等法律手段予以抵偿</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4.7.</w:t>
      </w:r>
      <w:r>
        <w:rPr>
          <w:rFonts w:hint="eastAsia" w:eastAsia="宋体"/>
          <w:color w:val="auto"/>
          <w:sz w:val="24"/>
          <w:szCs w:val="24"/>
          <w:highlight w:val="none"/>
        </w:rPr>
        <w:t>6</w:t>
      </w:r>
      <w:r>
        <w:rPr>
          <w:rFonts w:eastAsia="宋体"/>
          <w:color w:val="auto"/>
          <w:sz w:val="24"/>
          <w:szCs w:val="24"/>
          <w:highlight w:val="none"/>
        </w:rPr>
        <w:t>.</w:t>
      </w:r>
      <w:r>
        <w:rPr>
          <w:rFonts w:hint="eastAsia" w:eastAsia="宋体"/>
          <w:color w:val="auto"/>
          <w:sz w:val="24"/>
          <w:szCs w:val="24"/>
          <w:highlight w:val="none"/>
          <w:lang w:val="en-US" w:eastAsia="zh-CN"/>
        </w:rPr>
        <w:t>9</w:t>
      </w:r>
      <w:r>
        <w:rPr>
          <w:rFonts w:hint="eastAsia" w:eastAsia="宋体"/>
          <w:color w:val="auto"/>
          <w:sz w:val="24"/>
          <w:szCs w:val="24"/>
          <w:highlight w:val="none"/>
        </w:rPr>
        <w:t>.</w:t>
      </w:r>
      <w:r>
        <w:rPr>
          <w:rFonts w:eastAsia="宋体"/>
          <w:color w:val="auto"/>
          <w:sz w:val="24"/>
          <w:szCs w:val="24"/>
          <w:highlight w:val="none"/>
        </w:rPr>
        <w:t xml:space="preserve"> 承包人应在施工现场醒目位置设立维权信息告示牌，明确标示</w:t>
      </w:r>
      <w:r>
        <w:rPr>
          <w:rFonts w:hint="eastAsia" w:eastAsia="宋体"/>
          <w:color w:val="auto"/>
          <w:sz w:val="24"/>
          <w:szCs w:val="24"/>
          <w:highlight w:val="none"/>
          <w:lang w:val="en-US" w:eastAsia="zh-CN"/>
        </w:rPr>
        <w:t>发包人</w:t>
      </w:r>
      <w:r>
        <w:rPr>
          <w:rFonts w:eastAsia="宋体"/>
          <w:color w:val="auto"/>
          <w:sz w:val="24"/>
          <w:szCs w:val="24"/>
          <w:highlight w:val="none"/>
        </w:rPr>
        <w:t>、施工总承包企业及所在项目部、分包企业、行业监管部门等基本信息；明确标示劳动用工相关法律法规、当地最低工资标准、工资支付日期等信息；明确标示属地行业监管部门投诉举报电话和劳动争议调解仲裁、劳动保障监察投诉举报电话等信息，实现所有施工场地全覆盖。</w:t>
      </w:r>
    </w:p>
    <w:p>
      <w:pPr>
        <w:pStyle w:val="52"/>
        <w:ind w:firstLine="480"/>
        <w:jc w:val="both"/>
        <w:rPr>
          <w:rFonts w:eastAsia="宋体"/>
          <w:color w:val="auto"/>
          <w:sz w:val="24"/>
          <w:szCs w:val="24"/>
          <w:highlight w:val="none"/>
        </w:rPr>
      </w:pPr>
      <w:r>
        <w:rPr>
          <w:rFonts w:eastAsia="宋体"/>
          <w:color w:val="auto"/>
          <w:sz w:val="24"/>
          <w:szCs w:val="24"/>
          <w:highlight w:val="none"/>
        </w:rPr>
        <w:t>4.7.</w:t>
      </w:r>
      <w:r>
        <w:rPr>
          <w:rFonts w:hint="eastAsia" w:eastAsia="宋体"/>
          <w:color w:val="auto"/>
          <w:sz w:val="24"/>
          <w:szCs w:val="24"/>
          <w:highlight w:val="none"/>
        </w:rPr>
        <w:t>6</w:t>
      </w:r>
      <w:r>
        <w:rPr>
          <w:rFonts w:eastAsia="宋体"/>
          <w:color w:val="auto"/>
          <w:sz w:val="24"/>
          <w:szCs w:val="24"/>
          <w:highlight w:val="none"/>
        </w:rPr>
        <w:t>.</w:t>
      </w:r>
      <w:r>
        <w:rPr>
          <w:rFonts w:hint="eastAsia" w:eastAsia="宋体"/>
          <w:color w:val="auto"/>
          <w:sz w:val="24"/>
          <w:szCs w:val="24"/>
          <w:highlight w:val="none"/>
          <w:lang w:val="en-US" w:eastAsia="zh-CN"/>
        </w:rPr>
        <w:t>10</w:t>
      </w:r>
      <w:r>
        <w:rPr>
          <w:rFonts w:hint="eastAsia" w:eastAsia="宋体"/>
          <w:color w:val="auto"/>
          <w:sz w:val="24"/>
          <w:szCs w:val="24"/>
          <w:highlight w:val="none"/>
        </w:rPr>
        <w:t>.</w:t>
      </w:r>
      <w:r>
        <w:rPr>
          <w:rFonts w:eastAsia="宋体"/>
          <w:color w:val="auto"/>
          <w:sz w:val="24"/>
          <w:szCs w:val="24"/>
          <w:highlight w:val="none"/>
        </w:rPr>
        <w:t xml:space="preserve"> 承包人应无条件遵守《保障农民工工资支付条例》及当地关于农民工工资支付的要求，配合发包人办理相关事宜，</w:t>
      </w:r>
      <w:r>
        <w:rPr>
          <w:rFonts w:hint="default" w:eastAsia="宋体" w:cs="Times New Roman"/>
          <w:color w:val="auto"/>
          <w:sz w:val="24"/>
          <w:szCs w:val="24"/>
          <w:highlight w:val="none"/>
        </w:rPr>
        <w:t>包括设立工资保证金、设立农民工工资专用账户、</w:t>
      </w:r>
      <w:r>
        <w:rPr>
          <w:rFonts w:eastAsia="宋体"/>
          <w:color w:val="auto"/>
          <w:sz w:val="24"/>
          <w:szCs w:val="24"/>
          <w:highlight w:val="none"/>
        </w:rPr>
        <w:t>按时足额支付工人工资</w:t>
      </w:r>
      <w:r>
        <w:rPr>
          <w:rFonts w:hint="eastAsia" w:eastAsia="宋体"/>
          <w:color w:val="auto"/>
          <w:sz w:val="24"/>
          <w:szCs w:val="24"/>
          <w:highlight w:val="none"/>
          <w:lang w:eastAsia="zh-CN"/>
        </w:rPr>
        <w:t>、</w:t>
      </w:r>
      <w:r>
        <w:rPr>
          <w:rFonts w:eastAsia="宋体"/>
          <w:color w:val="auto"/>
          <w:sz w:val="24"/>
          <w:szCs w:val="24"/>
          <w:highlight w:val="none"/>
        </w:rPr>
        <w:t>不得影响发包人施工许可证办理及施工进度等。因承包人未执行国家、地方相关保障农民工工资支付的规定</w:t>
      </w:r>
      <w:r>
        <w:rPr>
          <w:rFonts w:hint="default" w:eastAsia="宋体" w:cs="Times New Roman"/>
          <w:color w:val="auto"/>
          <w:sz w:val="24"/>
          <w:szCs w:val="24"/>
          <w:highlight w:val="none"/>
        </w:rPr>
        <w:t>（包括但不限于拒不通过农民工工资专用账户支付农民工工资）</w:t>
      </w:r>
      <w:r>
        <w:rPr>
          <w:rFonts w:eastAsia="宋体"/>
          <w:color w:val="auto"/>
          <w:sz w:val="24"/>
          <w:szCs w:val="24"/>
          <w:highlight w:val="none"/>
        </w:rPr>
        <w:t>，给发包人造成的一切经济损失与法律后果（包括但不限于行政部门对发包人的罚款、行政部门要求项目停工产生的停工损失、行政部门要求发包人垫付劳动者报酬等），均由承包人承担，并按照本专用合同条款相关约定承担违约责任。</w:t>
      </w:r>
    </w:p>
    <w:p>
      <w:pPr>
        <w:pStyle w:val="52"/>
        <w:ind w:firstLine="480"/>
        <w:jc w:val="both"/>
        <w:rPr>
          <w:rFonts w:eastAsia="宋体"/>
          <w:color w:val="auto"/>
          <w:sz w:val="24"/>
          <w:szCs w:val="24"/>
          <w:highlight w:val="none"/>
        </w:rPr>
      </w:pPr>
      <w:r>
        <w:rPr>
          <w:rFonts w:eastAsia="宋体"/>
          <w:color w:val="auto"/>
          <w:sz w:val="24"/>
          <w:szCs w:val="24"/>
          <w:highlight w:val="none"/>
        </w:rPr>
        <w:t>4.7.</w:t>
      </w:r>
      <w:r>
        <w:rPr>
          <w:rFonts w:hint="eastAsia" w:eastAsia="宋体"/>
          <w:color w:val="auto"/>
          <w:sz w:val="24"/>
          <w:szCs w:val="24"/>
          <w:highlight w:val="none"/>
        </w:rPr>
        <w:t>6.</w:t>
      </w:r>
      <w:r>
        <w:rPr>
          <w:rFonts w:hint="eastAsia" w:eastAsia="宋体"/>
          <w:color w:val="auto"/>
          <w:sz w:val="24"/>
          <w:szCs w:val="24"/>
          <w:highlight w:val="none"/>
          <w:lang w:val="en-US" w:eastAsia="zh-CN"/>
        </w:rPr>
        <w:t>11</w:t>
      </w:r>
      <w:r>
        <w:rPr>
          <w:rFonts w:eastAsia="宋体"/>
          <w:color w:val="auto"/>
          <w:sz w:val="24"/>
          <w:szCs w:val="24"/>
          <w:highlight w:val="none"/>
        </w:rPr>
        <w:t>. 特别强调：任何情况下，承包人不得因延迟或推迟支付工人的工资而引发社会矛盾，从而影响发包人的经营、工程进展。如果因承包人延迟或推迟支付工人工资导致本工程发生下列事件：</w:t>
      </w:r>
    </w:p>
    <w:p>
      <w:pPr>
        <w:pStyle w:val="52"/>
        <w:ind w:firstLine="480"/>
        <w:jc w:val="both"/>
        <w:rPr>
          <w:rFonts w:eastAsia="宋体"/>
          <w:color w:val="auto"/>
          <w:sz w:val="24"/>
          <w:szCs w:val="24"/>
          <w:highlight w:val="none"/>
        </w:rPr>
      </w:pPr>
      <w:r>
        <w:rPr>
          <w:rFonts w:eastAsia="宋体"/>
          <w:color w:val="auto"/>
          <w:sz w:val="24"/>
          <w:szCs w:val="24"/>
          <w:highlight w:val="none"/>
        </w:rPr>
        <w:t>1）承包人的工人直接向发包人要求支付工人工资的；</w:t>
      </w:r>
    </w:p>
    <w:p>
      <w:pPr>
        <w:pStyle w:val="52"/>
        <w:ind w:firstLine="480"/>
        <w:jc w:val="both"/>
        <w:rPr>
          <w:rFonts w:eastAsia="宋体"/>
          <w:color w:val="auto"/>
          <w:sz w:val="24"/>
          <w:szCs w:val="24"/>
          <w:highlight w:val="none"/>
        </w:rPr>
      </w:pPr>
      <w:r>
        <w:rPr>
          <w:rFonts w:eastAsia="宋体"/>
          <w:color w:val="auto"/>
          <w:sz w:val="24"/>
          <w:szCs w:val="24"/>
          <w:highlight w:val="none"/>
        </w:rPr>
        <w:t>2）承包人在本工程被媒体披露欠薪的情况；</w:t>
      </w:r>
    </w:p>
    <w:p>
      <w:pPr>
        <w:pStyle w:val="52"/>
        <w:ind w:firstLine="480"/>
        <w:jc w:val="both"/>
        <w:rPr>
          <w:rFonts w:eastAsia="宋体"/>
          <w:color w:val="auto"/>
          <w:sz w:val="24"/>
          <w:szCs w:val="24"/>
          <w:highlight w:val="none"/>
        </w:rPr>
      </w:pPr>
      <w:r>
        <w:rPr>
          <w:rFonts w:eastAsia="宋体"/>
          <w:color w:val="auto"/>
          <w:sz w:val="24"/>
          <w:szCs w:val="24"/>
          <w:highlight w:val="none"/>
        </w:rPr>
        <w:t>3）发生工人因欠薪而有组织的上访；</w:t>
      </w:r>
    </w:p>
    <w:p>
      <w:pPr>
        <w:pStyle w:val="52"/>
        <w:ind w:firstLine="480"/>
        <w:jc w:val="both"/>
        <w:rPr>
          <w:rFonts w:eastAsia="宋体"/>
          <w:color w:val="auto"/>
          <w:sz w:val="24"/>
          <w:szCs w:val="24"/>
          <w:highlight w:val="none"/>
        </w:rPr>
      </w:pPr>
      <w:r>
        <w:rPr>
          <w:rFonts w:eastAsia="宋体"/>
          <w:color w:val="auto"/>
          <w:sz w:val="24"/>
          <w:szCs w:val="24"/>
          <w:highlight w:val="none"/>
        </w:rPr>
        <w:t>4）工人因欠薪而引起的有组织的集会以及其他事件，尤其是对发包人的经营、工程进展产生影响的事件。</w:t>
      </w:r>
    </w:p>
    <w:p>
      <w:pPr>
        <w:pStyle w:val="52"/>
        <w:ind w:firstLine="480"/>
        <w:jc w:val="both"/>
        <w:rPr>
          <w:rFonts w:eastAsia="宋体"/>
          <w:color w:val="auto"/>
          <w:sz w:val="24"/>
          <w:szCs w:val="24"/>
          <w:highlight w:val="none"/>
        </w:rPr>
      </w:pPr>
      <w:r>
        <w:rPr>
          <w:rFonts w:eastAsia="宋体"/>
          <w:color w:val="auto"/>
          <w:sz w:val="24"/>
          <w:szCs w:val="24"/>
          <w:highlight w:val="none"/>
        </w:rPr>
        <w:t>以上事件每发生一次，承包人不仅须限期支付处理该事件的费用，还应按如下约定向发包人承担违约责任</w:t>
      </w:r>
      <w:r>
        <w:rPr>
          <w:rFonts w:hint="eastAsia"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1）应向发包人支付违约金额100万人民币；</w:t>
      </w:r>
    </w:p>
    <w:p>
      <w:pPr>
        <w:pStyle w:val="52"/>
        <w:ind w:firstLine="480"/>
        <w:jc w:val="both"/>
        <w:rPr>
          <w:rFonts w:eastAsia="宋体"/>
          <w:color w:val="auto"/>
          <w:sz w:val="24"/>
          <w:szCs w:val="24"/>
          <w:highlight w:val="none"/>
        </w:rPr>
      </w:pPr>
      <w:r>
        <w:rPr>
          <w:rFonts w:eastAsia="宋体"/>
          <w:color w:val="auto"/>
          <w:sz w:val="24"/>
          <w:szCs w:val="24"/>
          <w:highlight w:val="none"/>
        </w:rPr>
        <w:t>2）赔偿发包人因此产生的所有损失，包括第三方向发包人的索赔；</w:t>
      </w:r>
    </w:p>
    <w:p>
      <w:pPr>
        <w:pStyle w:val="52"/>
        <w:ind w:firstLine="480"/>
        <w:jc w:val="both"/>
        <w:rPr>
          <w:rFonts w:eastAsia="宋体"/>
          <w:color w:val="auto"/>
          <w:sz w:val="24"/>
          <w:szCs w:val="24"/>
          <w:highlight w:val="none"/>
        </w:rPr>
      </w:pPr>
      <w:r>
        <w:rPr>
          <w:rFonts w:eastAsia="宋体"/>
          <w:color w:val="auto"/>
          <w:sz w:val="24"/>
          <w:szCs w:val="24"/>
          <w:highlight w:val="none"/>
        </w:rPr>
        <w:t>3）发包人有权解除合同；</w:t>
      </w:r>
    </w:p>
    <w:p>
      <w:pPr>
        <w:pStyle w:val="52"/>
        <w:ind w:firstLine="480"/>
        <w:jc w:val="both"/>
        <w:rPr>
          <w:rFonts w:eastAsia="宋体"/>
          <w:color w:val="auto"/>
          <w:sz w:val="24"/>
          <w:szCs w:val="24"/>
          <w:highlight w:val="none"/>
        </w:rPr>
      </w:pPr>
      <w:r>
        <w:rPr>
          <w:rFonts w:eastAsia="宋体"/>
          <w:color w:val="auto"/>
          <w:sz w:val="24"/>
          <w:szCs w:val="24"/>
          <w:highlight w:val="none"/>
        </w:rPr>
        <w:t>4）作为供应商评价考核评审依据限制承包人参与发包人及其集团公司系统内的工程投标或承接工程的活动。</w:t>
      </w:r>
    </w:p>
    <w:p>
      <w:pPr>
        <w:pStyle w:val="52"/>
        <w:ind w:firstLine="480"/>
        <w:jc w:val="both"/>
        <w:rPr>
          <w:rFonts w:eastAsia="宋体"/>
          <w:color w:val="auto"/>
          <w:sz w:val="24"/>
          <w:szCs w:val="24"/>
          <w:highlight w:val="none"/>
        </w:rPr>
      </w:pPr>
      <w:r>
        <w:rPr>
          <w:rFonts w:eastAsia="宋体"/>
          <w:color w:val="auto"/>
          <w:sz w:val="24"/>
          <w:szCs w:val="24"/>
          <w:highlight w:val="none"/>
        </w:rPr>
        <w:t>4.9</w:t>
      </w:r>
      <w:r>
        <w:rPr>
          <w:rFonts w:hint="eastAsia" w:eastAsia="宋体"/>
          <w:color w:val="auto"/>
          <w:sz w:val="24"/>
          <w:szCs w:val="24"/>
          <w:highlight w:val="none"/>
        </w:rPr>
        <w:t xml:space="preserve">. </w:t>
      </w:r>
      <w:r>
        <w:rPr>
          <w:rFonts w:eastAsia="宋体"/>
          <w:color w:val="auto"/>
          <w:sz w:val="24"/>
          <w:szCs w:val="24"/>
          <w:highlight w:val="none"/>
        </w:rPr>
        <w:t>承包人现场查勘：</w:t>
      </w:r>
    </w:p>
    <w:p>
      <w:pPr>
        <w:pStyle w:val="52"/>
        <w:ind w:firstLine="480"/>
        <w:jc w:val="both"/>
        <w:rPr>
          <w:rFonts w:hint="eastAsia" w:eastAsia="宋体" w:cs="Times New Roman"/>
          <w:color w:val="auto"/>
          <w:kern w:val="2"/>
          <w:sz w:val="24"/>
          <w:szCs w:val="24"/>
          <w:highlight w:val="none"/>
          <w:lang w:eastAsia="zh-CN"/>
        </w:rPr>
      </w:pPr>
      <w:r>
        <w:rPr>
          <w:rFonts w:eastAsia="宋体"/>
          <w:color w:val="auto"/>
          <w:sz w:val="24"/>
          <w:szCs w:val="24"/>
          <w:highlight w:val="none"/>
        </w:rPr>
        <w:t>4.9.2. 发包人向承包人提供的其他资料：</w:t>
      </w:r>
      <w:r>
        <w:rPr>
          <w:rFonts w:hint="default" w:eastAsia="宋体" w:cs="Times New Roman"/>
          <w:color w:val="auto"/>
          <w:kern w:val="2"/>
          <w:sz w:val="24"/>
          <w:szCs w:val="24"/>
          <w:highlight w:val="none"/>
          <w:u w:val="single"/>
        </w:rPr>
        <w:t>发包人将水准点、坐标控制点提供给承包人，并于现场交验。水准点、坐标控制点交验完毕，即由承包人自费负责保护，此后由于破坏或失准带来的重新测量、放点费用及由此造成的其他损失均由承包人负担</w:t>
      </w:r>
      <w:r>
        <w:rPr>
          <w:rFonts w:hint="eastAsia" w:eastAsia="宋体" w:cs="Times New Roman"/>
          <w:color w:val="auto"/>
          <w:kern w:val="2"/>
          <w:sz w:val="24"/>
          <w:szCs w:val="24"/>
          <w:highlight w:val="none"/>
          <w:lang w:eastAsia="zh-CN"/>
        </w:rPr>
        <w:t>。</w:t>
      </w:r>
    </w:p>
    <w:p>
      <w:pPr>
        <w:pStyle w:val="52"/>
        <w:ind w:firstLine="480"/>
        <w:rPr>
          <w:rFonts w:eastAsia="宋体"/>
          <w:color w:val="auto"/>
          <w:kern w:val="2"/>
          <w:sz w:val="24"/>
          <w:szCs w:val="24"/>
          <w:highlight w:val="none"/>
        </w:rPr>
      </w:pPr>
      <w:r>
        <w:rPr>
          <w:rFonts w:hint="eastAsia" w:eastAsia="宋体" w:cs="Times New Roman"/>
          <w:color w:val="auto"/>
          <w:kern w:val="2"/>
          <w:sz w:val="24"/>
          <w:szCs w:val="24"/>
          <w:highlight w:val="none"/>
          <w:lang w:val="en-US" w:eastAsia="zh-CN"/>
        </w:rPr>
        <w:t xml:space="preserve">4.10 </w:t>
      </w:r>
      <w:r>
        <w:rPr>
          <w:rFonts w:eastAsia="宋体"/>
          <w:color w:val="auto"/>
          <w:kern w:val="2"/>
          <w:sz w:val="24"/>
          <w:szCs w:val="24"/>
          <w:highlight w:val="none"/>
        </w:rPr>
        <w:t>不利物质条件</w:t>
      </w:r>
    </w:p>
    <w:p>
      <w:pPr>
        <w:pStyle w:val="52"/>
        <w:ind w:firstLine="480"/>
        <w:rPr>
          <w:rFonts w:hint="default" w:eastAsia="宋体"/>
          <w:color w:val="auto"/>
          <w:kern w:val="2"/>
          <w:sz w:val="24"/>
          <w:szCs w:val="24"/>
          <w:highlight w:val="none"/>
          <w:lang w:val="en-US" w:eastAsia="zh-CN"/>
        </w:rPr>
      </w:pPr>
      <w:r>
        <w:rPr>
          <w:rFonts w:hint="eastAsia" w:eastAsia="宋体"/>
          <w:color w:val="auto"/>
          <w:kern w:val="2"/>
          <w:sz w:val="24"/>
          <w:szCs w:val="24"/>
          <w:highlight w:val="none"/>
          <w:lang w:val="en-US" w:eastAsia="zh-CN"/>
        </w:rPr>
        <w:t xml:space="preserve">4.10.1 承包人在施工过程中遇到旧基础影响施工的，由承包人自行解决，相关费用已在合同暂定总价中综合考虑，不再单独列项计费。 </w:t>
      </w:r>
    </w:p>
    <w:p>
      <w:pPr>
        <w:pStyle w:val="52"/>
        <w:ind w:firstLine="482"/>
        <w:jc w:val="both"/>
        <w:rPr>
          <w:rFonts w:eastAsia="宋体"/>
          <w:b/>
          <w:bCs/>
          <w:color w:val="auto"/>
          <w:kern w:val="2"/>
          <w:sz w:val="24"/>
          <w:szCs w:val="24"/>
          <w:highlight w:val="none"/>
        </w:rPr>
      </w:pPr>
      <w:r>
        <w:rPr>
          <w:rFonts w:eastAsia="宋体"/>
          <w:b/>
          <w:bCs/>
          <w:color w:val="auto"/>
          <w:kern w:val="2"/>
          <w:sz w:val="24"/>
          <w:szCs w:val="24"/>
          <w:highlight w:val="none"/>
        </w:rPr>
        <w:t>4.11.</w:t>
      </w:r>
      <w:r>
        <w:rPr>
          <w:rFonts w:hint="eastAsia" w:eastAsia="宋体"/>
          <w:b/>
          <w:bCs/>
          <w:color w:val="auto"/>
          <w:kern w:val="2"/>
          <w:sz w:val="24"/>
          <w:szCs w:val="24"/>
          <w:highlight w:val="none"/>
        </w:rPr>
        <w:t xml:space="preserve"> </w:t>
      </w:r>
      <w:r>
        <w:rPr>
          <w:rFonts w:eastAsia="宋体"/>
          <w:b/>
          <w:bCs/>
          <w:color w:val="auto"/>
          <w:kern w:val="2"/>
          <w:sz w:val="24"/>
          <w:szCs w:val="24"/>
          <w:highlight w:val="none"/>
        </w:rPr>
        <w:t>转包</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建设工程项目禁止转包或</w:t>
      </w:r>
      <w:r>
        <w:rPr>
          <w:rFonts w:hint="eastAsia" w:ascii="Times New Roman" w:hAnsi="Times New Roman"/>
          <w:color w:val="auto"/>
          <w:kern w:val="0"/>
          <w:sz w:val="24"/>
          <w:szCs w:val="24"/>
          <w:highlight w:val="none"/>
        </w:rPr>
        <w:t>支解</w:t>
      </w:r>
      <w:r>
        <w:rPr>
          <w:rFonts w:ascii="Times New Roman" w:hAnsi="Times New Roman"/>
          <w:color w:val="auto"/>
          <w:kern w:val="0"/>
          <w:sz w:val="24"/>
          <w:szCs w:val="24"/>
          <w:highlight w:val="none"/>
        </w:rPr>
        <w:t>后以分包名义进行转包。承包人存在下列情形之一的应认定为转包：</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①承包人将其承包的全部工程转给其他单位或个人施工的；</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②承包人将其承包的全部工程</w:t>
      </w:r>
      <w:r>
        <w:rPr>
          <w:rFonts w:hint="eastAsia" w:ascii="Times New Roman" w:hAnsi="Times New Roman"/>
          <w:color w:val="auto"/>
          <w:kern w:val="0"/>
          <w:sz w:val="24"/>
          <w:szCs w:val="24"/>
          <w:highlight w:val="none"/>
        </w:rPr>
        <w:t>支解</w:t>
      </w:r>
      <w:r>
        <w:rPr>
          <w:rFonts w:ascii="Times New Roman" w:hAnsi="Times New Roman"/>
          <w:color w:val="auto"/>
          <w:kern w:val="0"/>
          <w:sz w:val="24"/>
          <w:szCs w:val="24"/>
          <w:highlight w:val="none"/>
        </w:rPr>
        <w:t>以后，以分包的名义分别转给其他单位或个人施工的；</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③承包人通过采取合作、联营、个人承包等形式或名义，直接或变相将其承包的全部工程转给其他单位或个人施工的。</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承包人出现以上转包情形的，发包人有权单方解除合同，承包人应向发包人承担</w:t>
      </w:r>
      <w:r>
        <w:rPr>
          <w:rFonts w:hint="eastAsia" w:ascii="Times New Roman" w:hAnsi="Times New Roman"/>
          <w:color w:val="auto"/>
          <w:kern w:val="0"/>
          <w:sz w:val="24"/>
          <w:szCs w:val="24"/>
          <w:highlight w:val="none"/>
        </w:rPr>
        <w:t>本合同暂定总价</w:t>
      </w:r>
      <w:r>
        <w:rPr>
          <w:rFonts w:ascii="Times New Roman" w:hAnsi="Times New Roman"/>
          <w:color w:val="auto"/>
          <w:kern w:val="0"/>
          <w:sz w:val="24"/>
          <w:szCs w:val="24"/>
          <w:highlight w:val="none"/>
        </w:rPr>
        <w:t>10%的违约金，由此造成发包人损失的，由承包人负责赔偿。</w:t>
      </w:r>
    </w:p>
    <w:p>
      <w:pPr>
        <w:widowControl/>
        <w:spacing w:line="360" w:lineRule="auto"/>
        <w:ind w:firstLine="482" w:firstLineChars="200"/>
        <w:rPr>
          <w:rFonts w:ascii="Times New Roman" w:hAnsi="Times New Roman"/>
          <w:color w:val="auto"/>
          <w:kern w:val="0"/>
          <w:sz w:val="24"/>
          <w:szCs w:val="24"/>
          <w:highlight w:val="none"/>
        </w:rPr>
      </w:pPr>
      <w:r>
        <w:rPr>
          <w:rFonts w:ascii="Times New Roman" w:hAnsi="Times New Roman"/>
          <w:b/>
          <w:bCs/>
          <w:color w:val="auto"/>
          <w:sz w:val="24"/>
          <w:szCs w:val="24"/>
          <w:highlight w:val="none"/>
        </w:rPr>
        <w:t>4.12.</w:t>
      </w:r>
      <w:r>
        <w:rPr>
          <w:rFonts w:hint="eastAsia" w:ascii="Times New Roman" w:hAnsi="Times New Roman"/>
          <w:b/>
          <w:bCs/>
          <w:color w:val="auto"/>
          <w:sz w:val="24"/>
          <w:szCs w:val="24"/>
          <w:highlight w:val="none"/>
        </w:rPr>
        <w:t xml:space="preserve"> 遵守</w:t>
      </w:r>
      <w:r>
        <w:rPr>
          <w:rFonts w:ascii="Times New Roman" w:hAnsi="Times New Roman"/>
          <w:b/>
          <w:bCs/>
          <w:color w:val="auto"/>
          <w:sz w:val="24"/>
          <w:szCs w:val="24"/>
          <w:highlight w:val="none"/>
        </w:rPr>
        <w:t>法律</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承包人在履行合同期间应遵守法律，并保证发包人免于承担因承包人违反法律而引起的任何责任。遵守国家、省、市有关社会信用体系建设工作的法律法规和部门规章，严格执行信用承诺制度，违背信用承诺约定时，承担违约责任，并依法承担相应法律责任。承包人在本工程项目中存在下列行为的，将被拒绝参与发包人及其集团系</w:t>
      </w:r>
      <w:r>
        <w:rPr>
          <w:rFonts w:hint="eastAsia" w:ascii="Times New Roman" w:hAnsi="Times New Roman"/>
          <w:color w:val="auto"/>
          <w:kern w:val="0"/>
          <w:sz w:val="24"/>
          <w:szCs w:val="24"/>
          <w:highlight w:val="none"/>
        </w:rPr>
        <w:t>统</w:t>
      </w:r>
      <w:r>
        <w:rPr>
          <w:rFonts w:ascii="Times New Roman" w:hAnsi="Times New Roman"/>
          <w:color w:val="auto"/>
          <w:kern w:val="0"/>
          <w:sz w:val="24"/>
          <w:szCs w:val="24"/>
          <w:highlight w:val="none"/>
        </w:rPr>
        <w:t>内后续工程项目的投标，拒绝</w:t>
      </w:r>
      <w:r>
        <w:rPr>
          <w:rFonts w:hint="eastAsia" w:ascii="Times New Roman" w:hAnsi="Times New Roman"/>
          <w:color w:val="auto"/>
          <w:kern w:val="0"/>
          <w:sz w:val="24"/>
          <w:szCs w:val="24"/>
          <w:highlight w:val="none"/>
        </w:rPr>
        <w:t>参与</w:t>
      </w:r>
      <w:r>
        <w:rPr>
          <w:rFonts w:ascii="Times New Roman" w:hAnsi="Times New Roman"/>
          <w:color w:val="auto"/>
          <w:kern w:val="0"/>
          <w:sz w:val="24"/>
          <w:szCs w:val="24"/>
          <w:highlight w:val="none"/>
        </w:rPr>
        <w:t>投标时限由发包人视承包人违法、违规严重程度确定：</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①将中标工程转包或者违法分包的；</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②在中标工程中不执行质量、安全生产</w:t>
      </w:r>
      <w:r>
        <w:rPr>
          <w:rFonts w:hint="eastAsia" w:ascii="Times New Roman" w:hAnsi="Times New Roman"/>
          <w:color w:val="auto"/>
          <w:kern w:val="0"/>
          <w:sz w:val="24"/>
          <w:szCs w:val="24"/>
          <w:highlight w:val="none"/>
          <w:lang w:val="en-US" w:eastAsia="zh-CN"/>
        </w:rPr>
        <w:t>等</w:t>
      </w:r>
      <w:r>
        <w:rPr>
          <w:rFonts w:ascii="Times New Roman" w:hAnsi="Times New Roman"/>
          <w:color w:val="auto"/>
          <w:kern w:val="0"/>
          <w:sz w:val="24"/>
          <w:szCs w:val="24"/>
          <w:highlight w:val="none"/>
        </w:rPr>
        <w:t>相关规定，造成严重质量或安全事故的；</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③存在围标或串标情形的；</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④存在弄虚作假骗取中标情形的；</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⑤存在因过错行为被生效法律文书认定承担违约或侵权责任的；</w:t>
      </w:r>
    </w:p>
    <w:p>
      <w:pPr>
        <w:pStyle w:val="52"/>
        <w:ind w:firstLine="480"/>
        <w:jc w:val="both"/>
        <w:rPr>
          <w:rFonts w:eastAsia="宋体"/>
          <w:color w:val="auto"/>
          <w:sz w:val="24"/>
          <w:szCs w:val="24"/>
          <w:highlight w:val="none"/>
        </w:rPr>
      </w:pPr>
      <w:r>
        <w:rPr>
          <w:rFonts w:eastAsia="宋体"/>
          <w:color w:val="auto"/>
          <w:sz w:val="24"/>
          <w:szCs w:val="24"/>
          <w:highlight w:val="none"/>
        </w:rPr>
        <w:t>⑥承包</w:t>
      </w:r>
      <w:r>
        <w:rPr>
          <w:rFonts w:hint="eastAsia" w:eastAsia="宋体"/>
          <w:color w:val="auto"/>
          <w:sz w:val="24"/>
          <w:szCs w:val="24"/>
          <w:highlight w:val="none"/>
        </w:rPr>
        <w:t>人</w:t>
      </w:r>
      <w:r>
        <w:rPr>
          <w:rFonts w:eastAsia="宋体"/>
          <w:color w:val="auto"/>
          <w:sz w:val="24"/>
          <w:szCs w:val="24"/>
          <w:highlight w:val="none"/>
        </w:rPr>
        <w:t>的不良行为导致发包人对其信用评价得分在60分以下或不及格的。</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071" w:name="_Toc44492570"/>
      <w:bookmarkStart w:id="1072" w:name="_Toc19482"/>
      <w:bookmarkStart w:id="1073" w:name="_Toc38987274"/>
      <w:bookmarkStart w:id="1074" w:name="_Toc19925"/>
      <w:bookmarkStart w:id="1075" w:name="_Toc18650"/>
      <w:bookmarkStart w:id="1076" w:name="_Toc44228157"/>
      <w:bookmarkStart w:id="1077" w:name="_Toc15975"/>
      <w:bookmarkStart w:id="1078" w:name="_Toc6484"/>
      <w:bookmarkStart w:id="1079" w:name="_Toc10156"/>
      <w:r>
        <w:rPr>
          <w:rFonts w:eastAsia="宋体"/>
          <w:color w:val="auto"/>
          <w:sz w:val="24"/>
          <w:szCs w:val="24"/>
          <w:highlight w:val="none"/>
        </w:rPr>
        <w:t>材料和工程设备</w:t>
      </w:r>
      <w:bookmarkEnd w:id="1071"/>
      <w:bookmarkEnd w:id="1072"/>
      <w:bookmarkEnd w:id="1073"/>
      <w:bookmarkEnd w:id="1074"/>
      <w:bookmarkEnd w:id="1075"/>
      <w:bookmarkEnd w:id="1076"/>
      <w:bookmarkEnd w:id="1077"/>
      <w:bookmarkEnd w:id="1078"/>
      <w:bookmarkEnd w:id="1079"/>
    </w:p>
    <w:p>
      <w:pPr>
        <w:pStyle w:val="77"/>
        <w:spacing w:before="0" w:after="0"/>
        <w:ind w:firstLine="480"/>
        <w:rPr>
          <w:rFonts w:eastAsia="宋体"/>
          <w:color w:val="auto"/>
          <w:szCs w:val="24"/>
          <w:highlight w:val="none"/>
        </w:rPr>
      </w:pPr>
      <w:bookmarkStart w:id="1080" w:name="_Toc44492571"/>
      <w:bookmarkStart w:id="1081" w:name="_Toc10882"/>
      <w:bookmarkStart w:id="1082" w:name="_Toc27607"/>
      <w:r>
        <w:rPr>
          <w:rFonts w:eastAsia="宋体"/>
          <w:color w:val="auto"/>
          <w:szCs w:val="24"/>
          <w:highlight w:val="none"/>
        </w:rPr>
        <w:t>5.1.</w:t>
      </w:r>
      <w:r>
        <w:rPr>
          <w:rFonts w:hint="eastAsia" w:eastAsia="宋体"/>
          <w:color w:val="auto"/>
          <w:szCs w:val="24"/>
          <w:highlight w:val="none"/>
        </w:rPr>
        <w:t xml:space="preserve"> </w:t>
      </w:r>
      <w:r>
        <w:rPr>
          <w:rFonts w:eastAsia="宋体"/>
          <w:color w:val="auto"/>
          <w:szCs w:val="24"/>
          <w:highlight w:val="none"/>
        </w:rPr>
        <w:t>承包人提供的材料和工程设备</w:t>
      </w:r>
      <w:bookmarkEnd w:id="1080"/>
      <w:bookmarkEnd w:id="1081"/>
      <w:bookmarkEnd w:id="1082"/>
    </w:p>
    <w:p>
      <w:pPr>
        <w:pStyle w:val="52"/>
        <w:ind w:firstLine="480"/>
        <w:jc w:val="both"/>
        <w:rPr>
          <w:rFonts w:eastAsia="宋体"/>
          <w:color w:val="auto"/>
          <w:sz w:val="24"/>
          <w:szCs w:val="24"/>
          <w:highlight w:val="none"/>
        </w:rPr>
      </w:pPr>
      <w:r>
        <w:rPr>
          <w:rFonts w:eastAsia="宋体"/>
          <w:color w:val="auto"/>
          <w:sz w:val="24"/>
          <w:szCs w:val="24"/>
          <w:highlight w:val="none"/>
        </w:rPr>
        <w:t>5.1.1.</w:t>
      </w:r>
      <w:r>
        <w:rPr>
          <w:rFonts w:hint="eastAsia" w:eastAsia="宋体"/>
          <w:color w:val="auto"/>
          <w:sz w:val="24"/>
          <w:szCs w:val="24"/>
          <w:highlight w:val="none"/>
        </w:rPr>
        <w:t xml:space="preserve"> </w:t>
      </w:r>
      <w:r>
        <w:rPr>
          <w:rFonts w:eastAsia="宋体"/>
          <w:color w:val="auto"/>
          <w:sz w:val="24"/>
          <w:szCs w:val="24"/>
          <w:highlight w:val="none"/>
        </w:rPr>
        <w:t>甲控乙供的材料和工程设备</w:t>
      </w:r>
      <w:r>
        <w:rPr>
          <w:rFonts w:eastAsia="宋体"/>
          <w:color w:val="auto"/>
          <w:sz w:val="24"/>
          <w:szCs w:val="24"/>
          <w:highlight w:val="none"/>
          <w:u w:val="single"/>
        </w:rPr>
        <w:t xml:space="preserve"> </w:t>
      </w:r>
      <w:r>
        <w:rPr>
          <w:rFonts w:hint="eastAsia" w:eastAsia="宋体"/>
          <w:color w:val="auto"/>
          <w:sz w:val="24"/>
          <w:szCs w:val="24"/>
          <w:highlight w:val="none"/>
          <w:u w:val="single"/>
          <w:lang w:val="en-US" w:eastAsia="zh-CN"/>
        </w:rPr>
        <w:t xml:space="preserve">/ </w:t>
      </w:r>
      <w:r>
        <w:rPr>
          <w:rFonts w:eastAsia="宋体"/>
          <w:color w:val="auto"/>
          <w:sz w:val="24"/>
          <w:szCs w:val="24"/>
          <w:highlight w:val="none"/>
        </w:rPr>
        <w:t>。承包人进场后</w:t>
      </w:r>
      <w:r>
        <w:rPr>
          <w:rFonts w:eastAsia="宋体"/>
          <w:color w:val="auto"/>
          <w:sz w:val="24"/>
          <w:szCs w:val="24"/>
          <w:highlight w:val="none"/>
          <w:u w:val="single"/>
        </w:rPr>
        <w:t>30天</w:t>
      </w:r>
      <w:r>
        <w:rPr>
          <w:rFonts w:eastAsia="宋体"/>
          <w:color w:val="auto"/>
          <w:sz w:val="24"/>
          <w:szCs w:val="24"/>
          <w:highlight w:val="none"/>
        </w:rPr>
        <w:t>内须完成材料设备品牌、系列型号的报审工作，包括：清单内的所有主材、设备、合同约定品牌的材料设备，有技术文件约定参数的材料设备，其他需要报审的材料设备。品牌报审同时完成以下计划申报工作：《材料设备进场计划》（含甲供）、《材料设备排产计划》（含甲供）。</w:t>
      </w:r>
    </w:p>
    <w:p>
      <w:pPr>
        <w:pStyle w:val="52"/>
        <w:ind w:firstLine="480"/>
        <w:jc w:val="both"/>
        <w:rPr>
          <w:rFonts w:eastAsia="宋体"/>
          <w:color w:val="auto"/>
          <w:sz w:val="24"/>
          <w:szCs w:val="24"/>
          <w:highlight w:val="none"/>
        </w:rPr>
      </w:pPr>
      <w:r>
        <w:rPr>
          <w:rFonts w:eastAsia="宋体"/>
          <w:color w:val="auto"/>
          <w:sz w:val="24"/>
          <w:szCs w:val="24"/>
          <w:highlight w:val="none"/>
        </w:rPr>
        <w:t>5.1.2. 发包人对承包人提供材料和工程设备的另行约定为：</w:t>
      </w:r>
      <w:r>
        <w:rPr>
          <w:rFonts w:eastAsia="宋体"/>
          <w:color w:val="auto"/>
          <w:sz w:val="24"/>
          <w:szCs w:val="24"/>
          <w:highlight w:val="none"/>
          <w:u w:val="single"/>
        </w:rPr>
        <w:t>对于投标书中已承诺并经发包人确认的材料（设备），经</w:t>
      </w:r>
      <w:r>
        <w:rPr>
          <w:rFonts w:hint="eastAsia" w:eastAsia="宋体"/>
          <w:color w:val="auto"/>
          <w:sz w:val="24"/>
          <w:szCs w:val="24"/>
          <w:highlight w:val="none"/>
          <w:u w:val="single"/>
          <w:lang w:eastAsia="zh-CN"/>
        </w:rPr>
        <w:t>发包人</w:t>
      </w:r>
      <w:r>
        <w:rPr>
          <w:rFonts w:eastAsia="宋体"/>
          <w:color w:val="auto"/>
          <w:sz w:val="24"/>
          <w:szCs w:val="24"/>
          <w:highlight w:val="none"/>
          <w:u w:val="single"/>
        </w:rPr>
        <w:t>核实，在施工当时已停产或施工当时有生产但市场上的数量不能满足施工需要的，若招标时发包人已提供参考品牌的，由发包人在推荐品牌中选择与投标书中已承诺材料同一档次或高一档次的品牌材料，主材或设备价格按原投标材料（设备）单价；若招标时发包人未明确参考品牌的，承包人须采购发包人认可的与其投标书承诺品牌同一档次的材料（设备），价格按原投标单价；若招标时发包人未明确参考品牌的，且承包人在其投标书中亦未对相关材料（设备）品牌进行承诺的，须采购满足相关技术要求且发包人认可的材料（设备），价格按原投标单价。</w:t>
      </w:r>
    </w:p>
    <w:p>
      <w:pPr>
        <w:pStyle w:val="52"/>
        <w:ind w:firstLine="480"/>
        <w:jc w:val="both"/>
        <w:rPr>
          <w:rFonts w:eastAsia="宋体"/>
          <w:color w:val="auto"/>
          <w:sz w:val="24"/>
          <w:szCs w:val="24"/>
          <w:highlight w:val="none"/>
        </w:rPr>
      </w:pPr>
      <w:r>
        <w:rPr>
          <w:rFonts w:eastAsia="宋体"/>
          <w:color w:val="auto"/>
          <w:sz w:val="24"/>
          <w:szCs w:val="24"/>
          <w:highlight w:val="none"/>
        </w:rPr>
        <w:t>5.1.4. 承包人自行采购的材料设备，订货前至少</w:t>
      </w:r>
      <w:r>
        <w:rPr>
          <w:rFonts w:eastAsia="宋体"/>
          <w:color w:val="auto"/>
          <w:sz w:val="24"/>
          <w:szCs w:val="24"/>
          <w:highlight w:val="none"/>
          <w:u w:val="single"/>
        </w:rPr>
        <w:t>30天（属监造设备的订货前至少60天），</w:t>
      </w:r>
      <w:r>
        <w:rPr>
          <w:rFonts w:eastAsia="宋体"/>
          <w:color w:val="auto"/>
          <w:sz w:val="24"/>
          <w:szCs w:val="24"/>
          <w:highlight w:val="none"/>
        </w:rPr>
        <w:t>应完成向</w:t>
      </w:r>
      <w:r>
        <w:rPr>
          <w:rFonts w:hint="eastAsia" w:eastAsia="宋体"/>
          <w:color w:val="auto"/>
          <w:sz w:val="24"/>
          <w:szCs w:val="24"/>
          <w:highlight w:val="none"/>
          <w:lang w:eastAsia="zh-CN"/>
        </w:rPr>
        <w:t>发包人</w:t>
      </w:r>
      <w:r>
        <w:rPr>
          <w:rFonts w:eastAsia="宋体"/>
          <w:color w:val="auto"/>
          <w:sz w:val="24"/>
          <w:szCs w:val="24"/>
          <w:highlight w:val="none"/>
        </w:rPr>
        <w:t xml:space="preserve">提供相关的材料、设备文件（包括但不限于品牌、产地、规格、等级、技术性能指标检测检验报告等证明材料、设备满足招标图纸及技术文件要求，且与发包人推荐品牌相当档次的文件、资料），报发包人审批同意后方可采购；并对需要封样的产品进行三方封样, 作为进场验收和施工复核的依据。承包人所购材料设备必须是原厂、正品、全新的产品。 </w:t>
      </w:r>
    </w:p>
    <w:p>
      <w:pPr>
        <w:pStyle w:val="52"/>
        <w:ind w:firstLine="480"/>
        <w:jc w:val="both"/>
        <w:rPr>
          <w:rFonts w:eastAsia="宋体"/>
          <w:color w:val="auto"/>
          <w:sz w:val="24"/>
          <w:szCs w:val="24"/>
          <w:highlight w:val="none"/>
        </w:rPr>
      </w:pPr>
      <w:r>
        <w:rPr>
          <w:rFonts w:eastAsia="宋体"/>
          <w:color w:val="auto"/>
          <w:sz w:val="24"/>
          <w:szCs w:val="24"/>
          <w:highlight w:val="none"/>
        </w:rPr>
        <w:t>材料、设备所配套申报的生产及加工厂家、代理商需要满足招标文件中相关要求，并配合发包人进行相关考察，考察结果不能满足项目需求的，发包人有权拒绝使用该项产品。材料、设备进场前7天，需要向发包人提供承包人或其经发包人审批的专业</w:t>
      </w:r>
      <w:r>
        <w:rPr>
          <w:rFonts w:hint="default" w:eastAsia="宋体"/>
          <w:color w:val="auto"/>
          <w:sz w:val="24"/>
          <w:szCs w:val="24"/>
          <w:highlight w:val="none"/>
          <w:lang w:val="en-US"/>
        </w:rPr>
        <w:t>承包</w:t>
      </w:r>
      <w:r>
        <w:rPr>
          <w:rFonts w:eastAsia="宋体"/>
          <w:color w:val="auto"/>
          <w:sz w:val="24"/>
          <w:szCs w:val="24"/>
          <w:highlight w:val="none"/>
        </w:rPr>
        <w:t>人与相关厂家、授权代理商签订的供货合同、出厂合格证、各种产品质量认证证书、出厂试验报告、型式试验报告、第三方检测报告、相关保证函、厂家联系方式、验证方式、厂家确认的出货单等相关正规渠道出货证明，进口材料设备还需要提供报关单、原产地证明、商检证明文件，甲供材料还需签署：《材料设备收货单》、《材料设备领料单》。</w:t>
      </w:r>
      <w:r>
        <w:rPr>
          <w:rFonts w:hint="default" w:eastAsia="宋体" w:cs="Times New Roman"/>
          <w:color w:val="auto"/>
          <w:sz w:val="24"/>
          <w:szCs w:val="24"/>
          <w:highlight w:val="none"/>
        </w:rPr>
        <w:t>承包人进场材料与设备未附或未按上述要求提供齐全资料的，若影响进场验收和使用的则不予验收进场，若不影响验收使用的，承包人应在限期内补充完整。未经进场验收而使用该批次材料设备的，承包人应按使用不合格材料设备的行为承担违约责任；经催办限期内仍未补充齐全材料设备报验资料的，则发包人有权暂缓支付进度款中对应材料与设备的价款或降低该批次材料与设备的支付比例，直至承包人资料提供齐全为止。</w:t>
      </w:r>
      <w:r>
        <w:rPr>
          <w:rFonts w:eastAsia="宋体"/>
          <w:color w:val="auto"/>
          <w:sz w:val="24"/>
          <w:szCs w:val="24"/>
          <w:highlight w:val="none"/>
        </w:rPr>
        <w:t>授权代理商须提供项目授权或年度授权证明。材料、设备、辅材的采购不得由劳务分包代购。材料、设备未附相关采购合同的，进度款中发包人不予支付相关材料、设备费用。</w:t>
      </w:r>
    </w:p>
    <w:p>
      <w:pPr>
        <w:pStyle w:val="52"/>
        <w:ind w:firstLine="480"/>
        <w:jc w:val="both"/>
        <w:rPr>
          <w:rFonts w:eastAsia="宋体"/>
          <w:color w:val="auto"/>
          <w:sz w:val="24"/>
          <w:szCs w:val="24"/>
          <w:highlight w:val="none"/>
        </w:rPr>
      </w:pPr>
      <w:r>
        <w:rPr>
          <w:rFonts w:eastAsia="宋体"/>
          <w:color w:val="auto"/>
          <w:sz w:val="24"/>
          <w:szCs w:val="24"/>
          <w:highlight w:val="none"/>
        </w:rPr>
        <w:t>承包人需要根据发包人要求制定材料设备的进场计划并与厂家制定材料设备排产计划和监造大纲。按监造大纲组织到厂监造。需监造的材料设备：</w:t>
      </w:r>
      <w:r>
        <w:rPr>
          <w:rFonts w:eastAsia="宋体"/>
          <w:color w:val="auto"/>
          <w:sz w:val="24"/>
          <w:szCs w:val="24"/>
          <w:highlight w:val="none"/>
          <w:u w:val="single"/>
        </w:rPr>
        <w:t xml:space="preserve"> </w:t>
      </w:r>
      <w:r>
        <w:rPr>
          <w:rFonts w:hint="eastAsia" w:eastAsia="宋体"/>
          <w:color w:val="auto"/>
          <w:sz w:val="24"/>
          <w:szCs w:val="24"/>
          <w:highlight w:val="none"/>
          <w:u w:val="single"/>
        </w:rPr>
        <w:t xml:space="preserve"> </w:t>
      </w:r>
      <w:r>
        <w:rPr>
          <w:rFonts w:eastAsia="宋体"/>
          <w:color w:val="auto"/>
          <w:sz w:val="24"/>
          <w:szCs w:val="24"/>
          <w:highlight w:val="none"/>
          <w:u w:val="single"/>
        </w:rPr>
        <w:t>/</w:t>
      </w:r>
      <w:r>
        <w:rPr>
          <w:rFonts w:hint="eastAsia" w:eastAsia="宋体"/>
          <w:color w:val="auto"/>
          <w:sz w:val="24"/>
          <w:szCs w:val="24"/>
          <w:highlight w:val="none"/>
          <w:u w:val="single"/>
        </w:rPr>
        <w:t xml:space="preserve"> </w:t>
      </w:r>
      <w:r>
        <w:rPr>
          <w:rFonts w:eastAsia="宋体"/>
          <w:color w:val="auto"/>
          <w:sz w:val="24"/>
          <w:szCs w:val="24"/>
          <w:highlight w:val="none"/>
          <w:u w:val="single"/>
        </w:rPr>
        <w:t xml:space="preserve"> </w:t>
      </w:r>
      <w:r>
        <w:rPr>
          <w:rFonts w:eastAsia="宋体"/>
          <w:color w:val="auto"/>
          <w:sz w:val="24"/>
          <w:szCs w:val="24"/>
          <w:highlight w:val="none"/>
        </w:rPr>
        <w:t>。监造材料设备的相关费用由承包人承担。</w:t>
      </w:r>
    </w:p>
    <w:p>
      <w:pPr>
        <w:pStyle w:val="52"/>
        <w:ind w:firstLine="480"/>
        <w:jc w:val="both"/>
        <w:rPr>
          <w:rFonts w:eastAsia="宋体"/>
          <w:color w:val="auto"/>
          <w:sz w:val="24"/>
          <w:szCs w:val="24"/>
          <w:highlight w:val="none"/>
        </w:rPr>
      </w:pPr>
      <w:r>
        <w:rPr>
          <w:rFonts w:eastAsia="宋体"/>
          <w:color w:val="auto"/>
          <w:sz w:val="24"/>
          <w:szCs w:val="24"/>
          <w:highlight w:val="none"/>
        </w:rPr>
        <w:t>承包人自行采购的材料、设备（或元件）未按合同约定报发包人审批同意的，承包人应按该批材料、设备（或元件）的“数量×分项清单价”20％支付违约金。发包人有权要求承包人拆除、退场或重新采购，并承担由此发生的费用，工期不予顺延。若发包人同意验收的，承包人应支付上述违约金并采取以下处理方法：若该批材料、设备（或元件）市场价低于合同材料、设备（或元件）价格的，则承包人按照材料、设备市场价计价并再以价差计算违约金；若该批材料、设备（或元件）市场价高于合同材料、设备（或元件）价格的，则按合同材料、设备（或元件）价格计价。</w:t>
      </w:r>
    </w:p>
    <w:p>
      <w:pPr>
        <w:pStyle w:val="52"/>
        <w:ind w:firstLine="480"/>
        <w:jc w:val="both"/>
        <w:rPr>
          <w:rFonts w:eastAsia="宋体"/>
          <w:color w:val="auto"/>
          <w:sz w:val="24"/>
          <w:szCs w:val="24"/>
          <w:highlight w:val="none"/>
        </w:rPr>
      </w:pPr>
      <w:r>
        <w:rPr>
          <w:rFonts w:eastAsia="宋体"/>
          <w:color w:val="auto"/>
          <w:sz w:val="24"/>
          <w:szCs w:val="24"/>
          <w:highlight w:val="none"/>
        </w:rPr>
        <w:t>发包人有权对原《甲控乙供材料设备一览表》的部分品牌进行更换或取消，对新增的材料设备品牌价格由双方协商确定。</w:t>
      </w:r>
    </w:p>
    <w:p>
      <w:pPr>
        <w:pStyle w:val="52"/>
        <w:ind w:firstLine="480"/>
        <w:jc w:val="both"/>
        <w:rPr>
          <w:rFonts w:eastAsia="宋体"/>
          <w:color w:val="auto"/>
          <w:sz w:val="24"/>
          <w:szCs w:val="24"/>
          <w:highlight w:val="none"/>
        </w:rPr>
      </w:pPr>
      <w:r>
        <w:rPr>
          <w:rFonts w:eastAsia="宋体"/>
          <w:color w:val="auto"/>
          <w:sz w:val="24"/>
          <w:szCs w:val="24"/>
          <w:highlight w:val="none"/>
        </w:rPr>
        <w:t>对于垄断性（消防、电力、防雷、市政给水、排污、环保、燃气、网络通讯等）部门要求验收的材料，承包人必须使用在工程所在地有相关工程业绩的材料并提交相关工程业绩的证明。</w:t>
      </w:r>
    </w:p>
    <w:p>
      <w:pPr>
        <w:pStyle w:val="52"/>
        <w:ind w:firstLine="480"/>
        <w:jc w:val="both"/>
        <w:rPr>
          <w:rFonts w:eastAsia="宋体"/>
          <w:color w:val="auto"/>
          <w:sz w:val="24"/>
          <w:szCs w:val="24"/>
          <w:highlight w:val="none"/>
        </w:rPr>
      </w:pPr>
      <w:r>
        <w:rPr>
          <w:rFonts w:eastAsia="宋体"/>
          <w:color w:val="auto"/>
          <w:sz w:val="24"/>
          <w:szCs w:val="24"/>
          <w:highlight w:val="none"/>
        </w:rPr>
        <w:t>5.1.8.</w:t>
      </w:r>
      <w:r>
        <w:rPr>
          <w:rFonts w:hint="eastAsia" w:eastAsia="宋体"/>
          <w:color w:val="auto"/>
          <w:sz w:val="24"/>
          <w:szCs w:val="24"/>
          <w:highlight w:val="none"/>
        </w:rPr>
        <w:t xml:space="preserve"> </w:t>
      </w:r>
      <w:r>
        <w:rPr>
          <w:rFonts w:eastAsia="宋体"/>
          <w:color w:val="auto"/>
          <w:sz w:val="24"/>
          <w:szCs w:val="24"/>
          <w:highlight w:val="none"/>
        </w:rPr>
        <w:t>检测费用承担方式：</w:t>
      </w:r>
    </w:p>
    <w:p>
      <w:pPr>
        <w:pStyle w:val="52"/>
        <w:ind w:firstLine="480"/>
        <w:jc w:val="both"/>
        <w:rPr>
          <w:rFonts w:eastAsia="宋体"/>
          <w:color w:val="auto"/>
          <w:sz w:val="24"/>
          <w:szCs w:val="24"/>
          <w:highlight w:val="none"/>
        </w:rPr>
      </w:pPr>
      <w:r>
        <w:rPr>
          <w:rFonts w:eastAsia="宋体"/>
          <w:color w:val="auto"/>
          <w:sz w:val="24"/>
          <w:szCs w:val="24"/>
          <w:highlight w:val="none"/>
        </w:rPr>
        <w:t>本合同工程相关的第三方</w:t>
      </w:r>
      <w:r>
        <w:rPr>
          <w:rFonts w:hint="eastAsia" w:eastAsia="宋体"/>
          <w:color w:val="auto"/>
          <w:sz w:val="24"/>
          <w:szCs w:val="24"/>
          <w:highlight w:val="none"/>
          <w:lang w:val="en-US" w:eastAsia="zh-CN"/>
        </w:rPr>
        <w:t>检验</w:t>
      </w:r>
      <w:r>
        <w:rPr>
          <w:rFonts w:eastAsia="宋体"/>
          <w:color w:val="auto"/>
          <w:sz w:val="24"/>
          <w:szCs w:val="24"/>
          <w:highlight w:val="none"/>
        </w:rPr>
        <w:t>检测</w:t>
      </w: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包括但不限于材料检测、结构实体检测、钢结构检测、幕墙四性检测、桩基检测、防雷检测等</w:t>
      </w:r>
      <w:r>
        <w:rPr>
          <w:rFonts w:hint="eastAsia" w:eastAsia="宋体"/>
          <w:color w:val="auto"/>
          <w:sz w:val="24"/>
          <w:szCs w:val="24"/>
          <w:highlight w:val="none"/>
          <w:lang w:eastAsia="zh-CN"/>
        </w:rPr>
        <w:t>）</w:t>
      </w:r>
      <w:r>
        <w:rPr>
          <w:rFonts w:eastAsia="宋体"/>
          <w:color w:val="auto"/>
          <w:sz w:val="24"/>
          <w:szCs w:val="24"/>
          <w:highlight w:val="none"/>
        </w:rPr>
        <w:t>由</w:t>
      </w:r>
      <w:r>
        <w:rPr>
          <w:rFonts w:hint="eastAsia" w:eastAsia="宋体"/>
          <w:color w:val="auto"/>
          <w:sz w:val="24"/>
          <w:szCs w:val="24"/>
          <w:highlight w:val="none"/>
        </w:rPr>
        <w:t>承包人负责</w:t>
      </w:r>
      <w:r>
        <w:rPr>
          <w:rFonts w:hint="eastAsia" w:eastAsia="宋体"/>
          <w:color w:val="auto"/>
          <w:sz w:val="24"/>
          <w:szCs w:val="24"/>
          <w:highlight w:val="none"/>
          <w:lang w:eastAsia="zh-CN"/>
        </w:rPr>
        <w:t>，</w:t>
      </w:r>
      <w:r>
        <w:rPr>
          <w:rFonts w:eastAsia="宋体"/>
          <w:color w:val="auto"/>
          <w:sz w:val="24"/>
          <w:szCs w:val="24"/>
          <w:highlight w:val="none"/>
        </w:rPr>
        <w:t>一切相关费用及工作均由承包人承担且已经在本合同</w:t>
      </w:r>
      <w:r>
        <w:rPr>
          <w:rFonts w:hint="eastAsia" w:eastAsia="宋体"/>
          <w:color w:val="auto"/>
          <w:sz w:val="24"/>
          <w:szCs w:val="24"/>
          <w:highlight w:val="none"/>
        </w:rPr>
        <w:t>暂定总价</w:t>
      </w:r>
      <w:r>
        <w:rPr>
          <w:rFonts w:eastAsia="宋体"/>
          <w:color w:val="auto"/>
          <w:sz w:val="24"/>
          <w:szCs w:val="24"/>
          <w:highlight w:val="none"/>
        </w:rPr>
        <w:t>内</w:t>
      </w:r>
      <w:r>
        <w:rPr>
          <w:rFonts w:hint="eastAsia" w:eastAsia="宋体"/>
          <w:color w:val="auto"/>
          <w:sz w:val="24"/>
          <w:szCs w:val="24"/>
          <w:highlight w:val="none"/>
        </w:rPr>
        <w:t>综合考虑</w:t>
      </w:r>
      <w:r>
        <w:rPr>
          <w:rFonts w:eastAsia="宋体"/>
          <w:color w:val="auto"/>
          <w:sz w:val="24"/>
          <w:szCs w:val="24"/>
          <w:highlight w:val="none"/>
        </w:rPr>
        <w:t>（包括但不限于：</w:t>
      </w:r>
      <w:r>
        <w:rPr>
          <w:rFonts w:hint="eastAsia" w:eastAsia="宋体"/>
          <w:color w:val="auto"/>
          <w:sz w:val="24"/>
          <w:szCs w:val="24"/>
          <w:highlight w:val="none"/>
        </w:rPr>
        <w:t>检测费、</w:t>
      </w:r>
      <w:r>
        <w:rPr>
          <w:rFonts w:eastAsia="宋体"/>
          <w:color w:val="auto"/>
          <w:sz w:val="24"/>
          <w:szCs w:val="24"/>
          <w:highlight w:val="none"/>
        </w:rPr>
        <w:t>需提供检测所需的材料并承担材料及材料损耗及检测配合的相关费用）</w:t>
      </w:r>
      <w:r>
        <w:rPr>
          <w:rFonts w:hint="eastAsia" w:eastAsia="宋体"/>
          <w:color w:val="auto"/>
          <w:sz w:val="24"/>
          <w:szCs w:val="24"/>
          <w:highlight w:val="none"/>
        </w:rPr>
        <w:t>，不再另行支付</w:t>
      </w:r>
      <w:r>
        <w:rPr>
          <w:rFonts w:eastAsia="宋体"/>
          <w:color w:val="auto"/>
          <w:sz w:val="24"/>
          <w:szCs w:val="24"/>
          <w:highlight w:val="none"/>
        </w:rPr>
        <w:t>。根据工程实际情况，发包人对有疑问、高价值、对效果有重大影响、易产生不合格品的材料设备有权实施抽检，且承包人不得以该抽检工作为由提出工期索赔。检验的结果证明该项材料、设备不符合合同要求的，因此增加的费用由承包人承担；检验结果证明该项材料、设备符合合同要求的，由发包人承担因此增加的费用。</w:t>
      </w:r>
    </w:p>
    <w:p>
      <w:pPr>
        <w:pStyle w:val="52"/>
        <w:ind w:firstLine="480"/>
        <w:jc w:val="both"/>
        <w:rPr>
          <w:rFonts w:eastAsia="宋体"/>
          <w:color w:val="auto"/>
          <w:sz w:val="24"/>
          <w:szCs w:val="24"/>
          <w:highlight w:val="none"/>
        </w:rPr>
      </w:pPr>
      <w:r>
        <w:rPr>
          <w:rFonts w:eastAsia="宋体"/>
          <w:color w:val="auto"/>
          <w:sz w:val="24"/>
          <w:szCs w:val="24"/>
          <w:highlight w:val="none"/>
        </w:rPr>
        <w:t>各项检查中已经出现不合格品的材料、设备整改后需要加倍抽检或全检，承包人承担全额费用，工期不予顺延。不论是否通过</w:t>
      </w:r>
      <w:r>
        <w:rPr>
          <w:rFonts w:hint="eastAsia" w:eastAsia="宋体"/>
          <w:color w:val="auto"/>
          <w:sz w:val="24"/>
          <w:szCs w:val="24"/>
          <w:highlight w:val="none"/>
          <w:lang w:eastAsia="zh-CN"/>
        </w:rPr>
        <w:t>发包人</w:t>
      </w:r>
      <w:r>
        <w:rPr>
          <w:rFonts w:eastAsia="宋体"/>
          <w:color w:val="auto"/>
          <w:sz w:val="24"/>
          <w:szCs w:val="24"/>
          <w:highlight w:val="none"/>
        </w:rPr>
        <w:t>的抽查、验收，</w:t>
      </w:r>
      <w:r>
        <w:rPr>
          <w:rFonts w:hint="eastAsia" w:eastAsia="宋体"/>
          <w:color w:val="auto"/>
          <w:sz w:val="24"/>
          <w:szCs w:val="24"/>
          <w:highlight w:val="none"/>
          <w:lang w:eastAsia="zh-CN"/>
        </w:rPr>
        <w:t>发包人</w:t>
      </w:r>
      <w:r>
        <w:rPr>
          <w:rFonts w:eastAsia="宋体"/>
          <w:color w:val="auto"/>
          <w:sz w:val="24"/>
          <w:szCs w:val="24"/>
          <w:highlight w:val="none"/>
        </w:rPr>
        <w:t>对材料、设备的检验、抽查意见均不免除承包人提供的材料设备不符合合同约定的责任。</w:t>
      </w:r>
    </w:p>
    <w:p>
      <w:pPr>
        <w:pStyle w:val="52"/>
        <w:ind w:firstLine="480"/>
        <w:jc w:val="both"/>
        <w:rPr>
          <w:rFonts w:eastAsia="宋体"/>
          <w:color w:val="auto"/>
          <w:sz w:val="24"/>
          <w:szCs w:val="24"/>
          <w:highlight w:val="none"/>
        </w:rPr>
      </w:pPr>
      <w:r>
        <w:rPr>
          <w:rFonts w:eastAsia="宋体"/>
          <w:color w:val="auto"/>
          <w:sz w:val="24"/>
          <w:szCs w:val="24"/>
          <w:highlight w:val="none"/>
        </w:rPr>
        <w:t>5.1.9. 承包人采购和（或）使用不符合设计和合同要求的材料、设备（或元件）时，应按该批材料、设备（或元件）的“数量×分项清单价”20％支付违约金。发包人有权要求承包人拆除、退场或重新采购，并承担由此发生的费用，工期不予顺延。若发包人同意验收的，承包人应支付上述违约金并采取以下处理方法：若该批材料、设备（或元件）市场价低于合同材料、设备（或元件）价格的，则承包人按照材料、设备（或元件）市场价计价并再以价差计算违约金；若该批材料、设备（或元件）市场价高于合同材料、设备（或元件）价格的，则按合同材料、设备（或元件）价格计价。</w:t>
      </w:r>
    </w:p>
    <w:p>
      <w:pPr>
        <w:pStyle w:val="52"/>
        <w:ind w:firstLine="480"/>
        <w:jc w:val="both"/>
        <w:rPr>
          <w:rFonts w:eastAsia="宋体"/>
          <w:color w:val="auto"/>
          <w:sz w:val="24"/>
          <w:szCs w:val="24"/>
          <w:highlight w:val="none"/>
        </w:rPr>
      </w:pPr>
      <w:r>
        <w:rPr>
          <w:rFonts w:eastAsia="宋体"/>
          <w:color w:val="auto"/>
          <w:sz w:val="24"/>
          <w:szCs w:val="24"/>
          <w:highlight w:val="none"/>
        </w:rPr>
        <w:t>若承包人将假冒伪劣材料设备用于本工程，</w:t>
      </w:r>
      <w:r>
        <w:rPr>
          <w:rFonts w:eastAsia="宋体"/>
          <w:color w:val="auto"/>
          <w:sz w:val="24"/>
          <w:szCs w:val="24"/>
          <w:highlight w:val="none"/>
          <w:u w:val="single"/>
        </w:rPr>
        <w:t>则每发生一例，发包人有权要求承包人承担相当于该批材料价款2倍的违约金，该款项直接从工程进度款及工程结算款中扣除，无需经承包人同意。</w:t>
      </w:r>
      <w:r>
        <w:rPr>
          <w:rFonts w:eastAsia="宋体"/>
          <w:color w:val="auto"/>
          <w:sz w:val="24"/>
          <w:szCs w:val="24"/>
          <w:highlight w:val="none"/>
        </w:rPr>
        <w:t xml:space="preserve"> 承包人并应无条件负责修复、拆除并将所购材料设备退场，并承担由此产生的一切费用及责任，由此延误的工期由承包人承担责任。</w:t>
      </w:r>
    </w:p>
    <w:p>
      <w:pPr>
        <w:pStyle w:val="52"/>
        <w:ind w:firstLine="480"/>
        <w:jc w:val="both"/>
        <w:rPr>
          <w:rFonts w:hint="eastAsia" w:eastAsia="仿宋_GB2312" w:cs="Times New Roman"/>
          <w:color w:val="auto"/>
          <w:sz w:val="24"/>
          <w:szCs w:val="24"/>
          <w:highlight w:val="none"/>
          <w:lang w:eastAsia="zh-CN"/>
        </w:rPr>
      </w:pPr>
      <w:r>
        <w:rPr>
          <w:rFonts w:hint="default" w:eastAsia="宋体" w:cs="Times New Roman"/>
          <w:color w:val="auto"/>
          <w:sz w:val="24"/>
          <w:szCs w:val="24"/>
          <w:highlight w:val="none"/>
        </w:rPr>
        <w:t>如发生5.1.9约定情形或发包人有证据证明有极大可能会发生此款约定情形的，发包人有权将该部分材料设备改为甲供，由此造成的发包人损失以及延误的工期均由承包人承担责任。</w:t>
      </w:r>
    </w:p>
    <w:p>
      <w:pPr>
        <w:pStyle w:val="52"/>
        <w:ind w:firstLine="480"/>
        <w:jc w:val="both"/>
        <w:rPr>
          <w:rFonts w:eastAsia="宋体"/>
          <w:color w:val="auto"/>
          <w:sz w:val="24"/>
          <w:szCs w:val="24"/>
          <w:highlight w:val="none"/>
        </w:rPr>
      </w:pPr>
      <w:r>
        <w:rPr>
          <w:rFonts w:eastAsia="宋体"/>
          <w:color w:val="auto"/>
          <w:sz w:val="24"/>
          <w:szCs w:val="24"/>
          <w:highlight w:val="none"/>
        </w:rPr>
        <w:t xml:space="preserve"> 5.1.12. 承包人可能被要求提供下列与备品备件有关的材料、通知和资料：</w:t>
      </w:r>
      <w:r>
        <w:rPr>
          <w:rFonts w:eastAsia="宋体"/>
          <w:b/>
          <w:color w:val="auto"/>
          <w:sz w:val="24"/>
          <w:szCs w:val="24"/>
          <w:highlight w:val="none"/>
        </w:rPr>
        <w:t>（该条不适用于本合同）</w:t>
      </w:r>
    </w:p>
    <w:p>
      <w:pPr>
        <w:pStyle w:val="52"/>
        <w:ind w:firstLine="480"/>
        <w:jc w:val="both"/>
        <w:rPr>
          <w:rFonts w:eastAsia="宋体"/>
          <w:color w:val="auto"/>
          <w:sz w:val="24"/>
          <w:szCs w:val="24"/>
          <w:highlight w:val="none"/>
        </w:rPr>
      </w:pPr>
      <w:r>
        <w:rPr>
          <w:rFonts w:eastAsia="宋体"/>
          <w:color w:val="auto"/>
          <w:sz w:val="24"/>
          <w:szCs w:val="24"/>
          <w:highlight w:val="none"/>
        </w:rPr>
        <w:t>发包人所需的备件有：</w:t>
      </w:r>
      <w:r>
        <w:rPr>
          <w:rFonts w:hint="eastAsia" w:eastAsia="宋体"/>
          <w:color w:val="auto"/>
          <w:sz w:val="24"/>
          <w:szCs w:val="24"/>
          <w:highlight w:val="none"/>
          <w:u w:val="single"/>
        </w:rPr>
        <w:t>/</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发包人有权选择从承包人</w:t>
      </w:r>
      <w:r>
        <w:rPr>
          <w:rFonts w:hint="eastAsia" w:eastAsia="宋体"/>
          <w:color w:val="auto"/>
          <w:sz w:val="24"/>
          <w:szCs w:val="24"/>
          <w:highlight w:val="none"/>
        </w:rPr>
        <w:t>处</w:t>
      </w:r>
      <w:r>
        <w:rPr>
          <w:rFonts w:eastAsia="宋体"/>
          <w:color w:val="auto"/>
          <w:sz w:val="24"/>
          <w:szCs w:val="24"/>
          <w:highlight w:val="none"/>
        </w:rPr>
        <w:t>选购超出《缺陷责任期后的备品/备件/专用工具清单》约定数量的备品备件，但前提条件是该选择并不能免除承包人在合同范围内所承担的义务</w:t>
      </w:r>
      <w:r>
        <w:rPr>
          <w:rFonts w:hint="eastAsia"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在备品备件</w:t>
      </w:r>
      <w:r>
        <w:rPr>
          <w:rFonts w:hint="eastAsia" w:eastAsia="宋体"/>
          <w:color w:val="auto"/>
          <w:sz w:val="24"/>
          <w:szCs w:val="24"/>
          <w:highlight w:val="none"/>
        </w:rPr>
        <w:t>停止</w:t>
      </w:r>
      <w:r>
        <w:rPr>
          <w:rFonts w:eastAsia="宋体"/>
          <w:color w:val="auto"/>
          <w:sz w:val="24"/>
          <w:szCs w:val="24"/>
          <w:highlight w:val="none"/>
        </w:rPr>
        <w:t>生产的情况下，承包人应事先将要停止生产的计划通知发包人使发包人有足够的时间采购所需的备品备件；在备品备件停止生产后，如果发包人要求，承包人应免费向发包人提供</w:t>
      </w:r>
      <w:r>
        <w:rPr>
          <w:rFonts w:hint="eastAsia" w:eastAsia="宋体"/>
          <w:color w:val="auto"/>
          <w:sz w:val="24"/>
          <w:szCs w:val="24"/>
          <w:highlight w:val="none"/>
        </w:rPr>
        <w:t>备品</w:t>
      </w:r>
      <w:r>
        <w:rPr>
          <w:rFonts w:eastAsia="宋体"/>
          <w:color w:val="auto"/>
          <w:sz w:val="24"/>
          <w:szCs w:val="24"/>
          <w:highlight w:val="none"/>
        </w:rPr>
        <w:t>备件的蓝图、图纸和规格。</w:t>
      </w:r>
    </w:p>
    <w:p>
      <w:pPr>
        <w:pStyle w:val="77"/>
        <w:spacing w:before="0" w:after="0"/>
        <w:ind w:firstLine="482"/>
        <w:rPr>
          <w:rFonts w:eastAsia="宋体"/>
          <w:b/>
          <w:bCs w:val="0"/>
          <w:color w:val="auto"/>
          <w:szCs w:val="24"/>
          <w:highlight w:val="none"/>
        </w:rPr>
      </w:pPr>
      <w:bookmarkStart w:id="1083" w:name="_Toc44492572"/>
      <w:bookmarkStart w:id="1084" w:name="_Toc28464"/>
      <w:bookmarkStart w:id="1085" w:name="_Toc9193"/>
      <w:r>
        <w:rPr>
          <w:rFonts w:eastAsia="宋体"/>
          <w:b/>
          <w:bCs w:val="0"/>
          <w:color w:val="auto"/>
          <w:highlight w:val="none"/>
        </w:rPr>
        <w:t>5.2.</w:t>
      </w:r>
      <w:r>
        <w:rPr>
          <w:rFonts w:hint="eastAsia" w:eastAsia="宋体"/>
          <w:b/>
          <w:bCs w:val="0"/>
          <w:color w:val="auto"/>
          <w:highlight w:val="none"/>
        </w:rPr>
        <w:t xml:space="preserve"> </w:t>
      </w:r>
      <w:r>
        <w:rPr>
          <w:rFonts w:eastAsia="宋体"/>
          <w:b/>
          <w:bCs w:val="0"/>
          <w:color w:val="auto"/>
          <w:highlight w:val="none"/>
        </w:rPr>
        <w:t>发包人提供的材料和工程设备</w:t>
      </w:r>
      <w:bookmarkEnd w:id="1083"/>
      <w:bookmarkEnd w:id="1084"/>
      <w:bookmarkEnd w:id="1085"/>
      <w:r>
        <w:rPr>
          <w:rFonts w:hint="eastAsia" w:eastAsia="宋体"/>
          <w:b/>
          <w:bCs w:val="0"/>
          <w:color w:val="auto"/>
          <w:highlight w:val="none"/>
        </w:rPr>
        <w:t>（不适用）</w:t>
      </w:r>
    </w:p>
    <w:p>
      <w:pPr>
        <w:pStyle w:val="75"/>
        <w:ind w:firstLine="482"/>
        <w:jc w:val="both"/>
        <w:rPr>
          <w:color w:val="auto"/>
          <w:sz w:val="24"/>
          <w:szCs w:val="24"/>
          <w:highlight w:val="none"/>
        </w:rPr>
      </w:pPr>
      <w:bookmarkStart w:id="1086" w:name="_Toc10356"/>
      <w:r>
        <w:rPr>
          <w:color w:val="auto"/>
          <w:sz w:val="24"/>
          <w:szCs w:val="24"/>
          <w:highlight w:val="none"/>
        </w:rPr>
        <w:t>5.2.1. 发包人提供的材料和工程设备清单</w:t>
      </w:r>
      <w:r>
        <w:rPr>
          <w:rFonts w:hint="eastAsia"/>
          <w:color w:val="auto"/>
          <w:sz w:val="24"/>
          <w:szCs w:val="24"/>
          <w:highlight w:val="none"/>
          <w:u w:val="single"/>
        </w:rPr>
        <w:t xml:space="preserve"> / </w:t>
      </w:r>
      <w:r>
        <w:rPr>
          <w:color w:val="auto"/>
          <w:sz w:val="24"/>
          <w:szCs w:val="24"/>
          <w:highlight w:val="none"/>
        </w:rPr>
        <w:t>，计划管理如下：</w:t>
      </w:r>
    </w:p>
    <w:p>
      <w:pPr>
        <w:adjustRightInd w:val="0"/>
        <w:snapToGrid w:val="0"/>
        <w:spacing w:line="360" w:lineRule="auto"/>
        <w:ind w:firstLine="480" w:firstLineChars="200"/>
        <w:rPr>
          <w:rFonts w:ascii="Times New Roman" w:hAnsi="Times New Roman"/>
          <w:color w:val="auto"/>
          <w:kern w:val="0"/>
          <w:sz w:val="24"/>
          <w:szCs w:val="24"/>
          <w:highlight w:val="none"/>
          <w:u w:val="single"/>
        </w:rPr>
      </w:pPr>
      <w:r>
        <w:rPr>
          <w:rFonts w:ascii="Times New Roman" w:hAnsi="Times New Roman"/>
          <w:color w:val="auto"/>
          <w:kern w:val="0"/>
          <w:sz w:val="24"/>
          <w:szCs w:val="24"/>
          <w:highlight w:val="none"/>
        </w:rPr>
        <w:t>1)</w:t>
      </w:r>
      <w:r>
        <w:rPr>
          <w:rFonts w:hint="eastAsia" w:ascii="Times New Roman" w:hAnsi="Times New Roman"/>
          <w:color w:val="auto"/>
          <w:kern w:val="0"/>
          <w:sz w:val="24"/>
          <w:szCs w:val="24"/>
          <w:highlight w:val="none"/>
        </w:rPr>
        <w:t xml:space="preserve"> </w:t>
      </w:r>
      <w:r>
        <w:rPr>
          <w:rFonts w:ascii="Times New Roman" w:hAnsi="Times New Roman"/>
          <w:color w:val="auto"/>
          <w:kern w:val="0"/>
          <w:sz w:val="24"/>
          <w:szCs w:val="24"/>
          <w:highlight w:val="none"/>
        </w:rPr>
        <w:t>合同签订后</w:t>
      </w:r>
      <w:r>
        <w:rPr>
          <w:rFonts w:hint="eastAsia" w:ascii="Times New Roman" w:hAnsi="Times New Roman"/>
          <w:color w:val="auto"/>
          <w:kern w:val="0"/>
          <w:sz w:val="24"/>
          <w:szCs w:val="24"/>
          <w:highlight w:val="none"/>
          <w:u w:val="single"/>
        </w:rPr>
        <w:t>15</w:t>
      </w:r>
      <w:r>
        <w:rPr>
          <w:rFonts w:ascii="Times New Roman" w:hAnsi="Times New Roman"/>
          <w:color w:val="auto"/>
          <w:kern w:val="0"/>
          <w:sz w:val="24"/>
          <w:szCs w:val="24"/>
          <w:highlight w:val="none"/>
        </w:rPr>
        <w:t>天内承包人应提供甲供材料设备需求计划，并按材料设备需用情况提前</w:t>
      </w:r>
      <w:r>
        <w:rPr>
          <w:rFonts w:hint="eastAsia" w:ascii="Times New Roman" w:hAnsi="Times New Roman"/>
          <w:color w:val="auto"/>
          <w:kern w:val="0"/>
          <w:sz w:val="24"/>
          <w:szCs w:val="24"/>
          <w:highlight w:val="none"/>
          <w:u w:val="single"/>
        </w:rPr>
        <w:t>15</w:t>
      </w:r>
      <w:r>
        <w:rPr>
          <w:rFonts w:ascii="Times New Roman" w:hAnsi="Times New Roman"/>
          <w:color w:val="auto"/>
          <w:kern w:val="0"/>
          <w:sz w:val="24"/>
          <w:szCs w:val="24"/>
          <w:highlight w:val="none"/>
        </w:rPr>
        <w:t>天以书面形式提供甲供材料设备分期进场计划</w:t>
      </w:r>
      <w:r>
        <w:rPr>
          <w:rFonts w:ascii="Times New Roman" w:hAnsi="Times New Roman"/>
          <w:color w:val="auto"/>
          <w:sz w:val="24"/>
          <w:szCs w:val="24"/>
          <w:highlight w:val="none"/>
        </w:rPr>
        <w:t>；排产周期较长的材料设备，承包人应适当提前向发包人提供一次性或分批进场计划</w:t>
      </w:r>
      <w:r>
        <w:rPr>
          <w:rFonts w:ascii="Times New Roman" w:hAnsi="Times New Roman"/>
          <w:color w:val="auto"/>
          <w:kern w:val="0"/>
          <w:sz w:val="24"/>
          <w:szCs w:val="24"/>
          <w:highlight w:val="none"/>
        </w:rPr>
        <w:t>。发包人按承包人提供的甲供材料设备需求计划订货并组织供应。工程进度计划修改时，承包人应相应调整甲供材料设备进场计划并以书面形式提交发包人，否则，由此产生的工期损失由承包人自行承担。</w:t>
      </w:r>
    </w:p>
    <w:p>
      <w:pPr>
        <w:adjustRightInd w:val="0"/>
        <w:snapToGrid w:val="0"/>
        <w:spacing w:line="360" w:lineRule="auto"/>
        <w:ind w:firstLine="480" w:firstLineChars="200"/>
        <w:rPr>
          <w:rFonts w:ascii="Times New Roman" w:hAnsi="Times New Roman"/>
          <w:color w:val="auto"/>
          <w:kern w:val="0"/>
          <w:sz w:val="24"/>
          <w:szCs w:val="24"/>
          <w:highlight w:val="none"/>
          <w:u w:val="single"/>
        </w:rPr>
      </w:pPr>
      <w:r>
        <w:rPr>
          <w:rFonts w:ascii="Times New Roman" w:hAnsi="Times New Roman"/>
          <w:color w:val="auto"/>
          <w:kern w:val="0"/>
          <w:sz w:val="24"/>
          <w:szCs w:val="24"/>
          <w:highlight w:val="none"/>
        </w:rPr>
        <w:t>2)</w:t>
      </w:r>
      <w:r>
        <w:rPr>
          <w:rFonts w:hint="eastAsia" w:ascii="Times New Roman" w:hAnsi="Times New Roman"/>
          <w:color w:val="auto"/>
          <w:kern w:val="0"/>
          <w:sz w:val="24"/>
          <w:szCs w:val="24"/>
          <w:highlight w:val="none"/>
        </w:rPr>
        <w:t xml:space="preserve"> </w:t>
      </w:r>
      <w:r>
        <w:rPr>
          <w:rFonts w:ascii="Times New Roman" w:hAnsi="Times New Roman"/>
          <w:color w:val="auto"/>
          <w:kern w:val="0"/>
          <w:sz w:val="24"/>
          <w:szCs w:val="24"/>
          <w:highlight w:val="none"/>
        </w:rPr>
        <w:t>如因承包人上报数量错误导致材料供应不足而影响工程进度或出现材料堆积现象，由此引起的一切责任均由承包人承担。</w:t>
      </w:r>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3）其他约定事项：发包人保留随时增加或减少甲供材料设备的权利。</w:t>
      </w:r>
    </w:p>
    <w:bookmarkEnd w:id="1086"/>
    <w:p>
      <w:pPr>
        <w:pStyle w:val="75"/>
        <w:ind w:firstLine="482"/>
        <w:jc w:val="both"/>
        <w:rPr>
          <w:color w:val="auto"/>
          <w:sz w:val="24"/>
          <w:szCs w:val="24"/>
          <w:highlight w:val="none"/>
        </w:rPr>
      </w:pPr>
      <w:bookmarkStart w:id="1087" w:name="_Toc24682"/>
      <w:r>
        <w:rPr>
          <w:color w:val="auto"/>
          <w:sz w:val="24"/>
          <w:szCs w:val="24"/>
          <w:highlight w:val="none"/>
        </w:rPr>
        <w:t>5.2.2.</w:t>
      </w:r>
      <w:r>
        <w:rPr>
          <w:rFonts w:hint="eastAsia"/>
          <w:color w:val="auto"/>
          <w:sz w:val="24"/>
          <w:szCs w:val="24"/>
          <w:highlight w:val="none"/>
        </w:rPr>
        <w:t xml:space="preserve"> </w:t>
      </w:r>
      <w:r>
        <w:rPr>
          <w:color w:val="auto"/>
          <w:sz w:val="24"/>
          <w:szCs w:val="24"/>
          <w:highlight w:val="none"/>
        </w:rPr>
        <w:t>发包人提供的材料和工程设备的进场及验收：</w:t>
      </w:r>
      <w:bookmarkEnd w:id="1087"/>
    </w:p>
    <w:p>
      <w:pPr>
        <w:pStyle w:val="52"/>
        <w:ind w:firstLine="480"/>
        <w:jc w:val="both"/>
        <w:rPr>
          <w:rFonts w:eastAsia="宋体"/>
          <w:color w:val="auto"/>
          <w:sz w:val="24"/>
          <w:szCs w:val="24"/>
          <w:highlight w:val="none"/>
        </w:rPr>
      </w:pPr>
      <w:r>
        <w:rPr>
          <w:rFonts w:eastAsia="宋体"/>
          <w:color w:val="auto"/>
          <w:sz w:val="24"/>
          <w:szCs w:val="24"/>
          <w:highlight w:val="none"/>
        </w:rPr>
        <w:t>发包人提供材料和工程设备的进场及验收的另有约定为：</w:t>
      </w:r>
      <w:r>
        <w:rPr>
          <w:bCs/>
          <w:color w:val="auto"/>
          <w:sz w:val="24"/>
          <w:szCs w:val="24"/>
          <w:highlight w:val="none"/>
          <w:u w:val="single"/>
        </w:rPr>
        <w:t xml:space="preserve"> </w:t>
      </w:r>
      <w:r>
        <w:rPr>
          <w:rFonts w:hint="eastAsia"/>
          <w:bCs/>
          <w:color w:val="auto"/>
          <w:sz w:val="24"/>
          <w:szCs w:val="24"/>
          <w:highlight w:val="none"/>
          <w:u w:val="single"/>
        </w:rPr>
        <w:t xml:space="preserve"> </w:t>
      </w:r>
      <w:r>
        <w:rPr>
          <w:bCs/>
          <w:color w:val="auto"/>
          <w:sz w:val="24"/>
          <w:szCs w:val="24"/>
          <w:highlight w:val="none"/>
          <w:u w:val="single"/>
        </w:rPr>
        <w:t>/</w:t>
      </w:r>
      <w:r>
        <w:rPr>
          <w:rFonts w:hint="eastAsia"/>
          <w:bCs/>
          <w:color w:val="auto"/>
          <w:sz w:val="24"/>
          <w:szCs w:val="24"/>
          <w:highlight w:val="none"/>
          <w:u w:val="single"/>
        </w:rPr>
        <w:t xml:space="preserve"> </w:t>
      </w:r>
      <w:r>
        <w:rPr>
          <w:bCs/>
          <w:color w:val="auto"/>
          <w:sz w:val="24"/>
          <w:szCs w:val="24"/>
          <w:highlight w:val="none"/>
          <w:u w:val="single"/>
        </w:rPr>
        <w:t xml:space="preserve"> </w:t>
      </w:r>
      <w:r>
        <w:rPr>
          <w:rFonts w:eastAsia="宋体"/>
          <w:color w:val="auto"/>
          <w:sz w:val="24"/>
          <w:szCs w:val="24"/>
          <w:highlight w:val="none"/>
        </w:rPr>
        <w:t>。</w:t>
      </w:r>
    </w:p>
    <w:p>
      <w:pPr>
        <w:pStyle w:val="75"/>
        <w:ind w:firstLine="482"/>
        <w:jc w:val="both"/>
        <w:rPr>
          <w:color w:val="auto"/>
          <w:sz w:val="24"/>
          <w:szCs w:val="24"/>
          <w:highlight w:val="none"/>
        </w:rPr>
      </w:pPr>
      <w:bookmarkStart w:id="1088" w:name="_Toc17461"/>
      <w:r>
        <w:rPr>
          <w:color w:val="auto"/>
          <w:sz w:val="24"/>
          <w:szCs w:val="24"/>
          <w:highlight w:val="none"/>
        </w:rPr>
        <w:t>5.2.3. 承包人有义务在每项甲供材料和工程设备进场日前提前7天提醒发包人组织甲供材料和工程设备进场。</w:t>
      </w:r>
    </w:p>
    <w:p>
      <w:pPr>
        <w:pStyle w:val="75"/>
        <w:ind w:firstLine="480"/>
        <w:jc w:val="both"/>
        <w:rPr>
          <w:color w:val="auto"/>
          <w:sz w:val="24"/>
          <w:szCs w:val="24"/>
          <w:highlight w:val="none"/>
          <w:u w:val="single"/>
        </w:rPr>
      </w:pPr>
      <w:r>
        <w:rPr>
          <w:b w:val="0"/>
          <w:bCs/>
          <w:color w:val="auto"/>
          <w:sz w:val="24"/>
          <w:szCs w:val="24"/>
          <w:highlight w:val="none"/>
        </w:rPr>
        <w:t>5)</w:t>
      </w:r>
      <w:r>
        <w:rPr>
          <w:rFonts w:hint="eastAsia"/>
          <w:b w:val="0"/>
          <w:bCs/>
          <w:color w:val="auto"/>
          <w:sz w:val="24"/>
          <w:szCs w:val="24"/>
          <w:highlight w:val="none"/>
        </w:rPr>
        <w:t xml:space="preserve"> </w:t>
      </w:r>
      <w:r>
        <w:rPr>
          <w:b w:val="0"/>
          <w:bCs/>
          <w:color w:val="auto"/>
          <w:sz w:val="24"/>
          <w:szCs w:val="24"/>
          <w:highlight w:val="none"/>
        </w:rPr>
        <w:t>发包人提供材料和工程设备进场其他要求：</w:t>
      </w:r>
      <w:r>
        <w:rPr>
          <w:b w:val="0"/>
          <w:bCs/>
          <w:color w:val="auto"/>
          <w:sz w:val="24"/>
          <w:szCs w:val="24"/>
          <w:highlight w:val="none"/>
          <w:u w:val="single"/>
        </w:rPr>
        <w:t xml:space="preserve"> </w:t>
      </w:r>
      <w:r>
        <w:rPr>
          <w:rFonts w:hint="eastAsia"/>
          <w:b w:val="0"/>
          <w:bCs/>
          <w:color w:val="auto"/>
          <w:sz w:val="24"/>
          <w:szCs w:val="24"/>
          <w:highlight w:val="none"/>
          <w:u w:val="single"/>
        </w:rPr>
        <w:t xml:space="preserve"> </w:t>
      </w:r>
      <w:r>
        <w:rPr>
          <w:b w:val="0"/>
          <w:bCs/>
          <w:color w:val="auto"/>
          <w:sz w:val="24"/>
          <w:szCs w:val="24"/>
          <w:highlight w:val="none"/>
          <w:u w:val="single"/>
        </w:rPr>
        <w:t>/</w:t>
      </w:r>
      <w:r>
        <w:rPr>
          <w:rFonts w:hint="eastAsia"/>
          <w:b w:val="0"/>
          <w:bCs/>
          <w:color w:val="auto"/>
          <w:sz w:val="24"/>
          <w:szCs w:val="24"/>
          <w:highlight w:val="none"/>
          <w:u w:val="single"/>
        </w:rPr>
        <w:t xml:space="preserve"> </w:t>
      </w:r>
      <w:r>
        <w:rPr>
          <w:b w:val="0"/>
          <w:bCs/>
          <w:color w:val="auto"/>
          <w:sz w:val="24"/>
          <w:szCs w:val="24"/>
          <w:highlight w:val="none"/>
          <w:u w:val="single"/>
        </w:rPr>
        <w:t xml:space="preserve"> </w:t>
      </w:r>
      <w:r>
        <w:rPr>
          <w:b w:val="0"/>
          <w:bCs/>
          <w:color w:val="auto"/>
          <w:sz w:val="24"/>
          <w:szCs w:val="24"/>
          <w:highlight w:val="none"/>
        </w:rPr>
        <w:t>。</w:t>
      </w:r>
    </w:p>
    <w:bookmarkEnd w:id="1088"/>
    <w:p>
      <w:pPr>
        <w:pStyle w:val="75"/>
        <w:ind w:firstLine="482"/>
        <w:jc w:val="both"/>
        <w:rPr>
          <w:color w:val="auto"/>
          <w:sz w:val="24"/>
          <w:szCs w:val="24"/>
          <w:highlight w:val="none"/>
        </w:rPr>
      </w:pPr>
      <w:bookmarkStart w:id="1089" w:name="_Toc12442"/>
      <w:r>
        <w:rPr>
          <w:color w:val="auto"/>
          <w:sz w:val="24"/>
          <w:szCs w:val="24"/>
          <w:highlight w:val="none"/>
        </w:rPr>
        <w:t>5.2.5. 通用条款</w:t>
      </w:r>
      <w:r>
        <w:rPr>
          <w:rFonts w:hint="eastAsia"/>
          <w:color w:val="auto"/>
          <w:sz w:val="24"/>
          <w:szCs w:val="24"/>
          <w:highlight w:val="none"/>
        </w:rPr>
        <w:t>第</w:t>
      </w:r>
      <w:r>
        <w:rPr>
          <w:color w:val="auto"/>
          <w:sz w:val="24"/>
          <w:szCs w:val="24"/>
          <w:highlight w:val="none"/>
        </w:rPr>
        <w:t>5.2.5</w:t>
      </w:r>
      <w:r>
        <w:rPr>
          <w:rFonts w:hint="eastAsia"/>
          <w:color w:val="auto"/>
          <w:sz w:val="24"/>
          <w:szCs w:val="24"/>
          <w:highlight w:val="none"/>
        </w:rPr>
        <w:t>款</w:t>
      </w:r>
      <w:r>
        <w:rPr>
          <w:color w:val="auto"/>
          <w:sz w:val="24"/>
          <w:szCs w:val="24"/>
          <w:highlight w:val="none"/>
        </w:rPr>
        <w:t>不适用，发包人提供的材料设备的检验或试验按如下执行：</w:t>
      </w:r>
    </w:p>
    <w:p>
      <w:pPr>
        <w:pStyle w:val="75"/>
        <w:ind w:firstLine="480"/>
        <w:jc w:val="both"/>
        <w:rPr>
          <w:color w:val="auto"/>
          <w:sz w:val="24"/>
          <w:szCs w:val="24"/>
          <w:highlight w:val="none"/>
        </w:rPr>
      </w:pPr>
      <w:bookmarkStart w:id="1090" w:name="_Toc4349"/>
      <w:r>
        <w:rPr>
          <w:b w:val="0"/>
          <w:color w:val="auto"/>
          <w:sz w:val="24"/>
          <w:szCs w:val="24"/>
          <w:highlight w:val="none"/>
          <w:u w:val="single"/>
        </w:rPr>
        <w:t>发包人提供的材料设备使用前，由承包人按操作规范及相关规章、规范负责检查、检验或试验，不合格的不得使用。检验或试验合格的，相关检验或试验费用由承包人承担且已包含在本合同暂定</w:t>
      </w:r>
      <w:r>
        <w:rPr>
          <w:rFonts w:hint="eastAsia"/>
          <w:b w:val="0"/>
          <w:color w:val="auto"/>
          <w:sz w:val="24"/>
          <w:szCs w:val="24"/>
          <w:highlight w:val="none"/>
          <w:u w:val="single"/>
        </w:rPr>
        <w:t>总价</w:t>
      </w:r>
      <w:r>
        <w:rPr>
          <w:b w:val="0"/>
          <w:color w:val="auto"/>
          <w:sz w:val="24"/>
          <w:szCs w:val="24"/>
          <w:highlight w:val="none"/>
          <w:u w:val="single"/>
        </w:rPr>
        <w:t>内；检验或试验不合格的，相关检验或试验费用由发包人承担，承包人应及时将检验或试验结果通知发包人，发包人应及时更换提供的不合格材料设备。</w:t>
      </w:r>
      <w:bookmarkEnd w:id="1090"/>
    </w:p>
    <w:p>
      <w:pPr>
        <w:pStyle w:val="75"/>
        <w:ind w:firstLine="482"/>
        <w:jc w:val="both"/>
        <w:rPr>
          <w:color w:val="auto"/>
          <w:sz w:val="24"/>
          <w:szCs w:val="24"/>
          <w:highlight w:val="none"/>
        </w:rPr>
      </w:pPr>
      <w:r>
        <w:rPr>
          <w:color w:val="auto"/>
          <w:sz w:val="24"/>
          <w:szCs w:val="24"/>
          <w:highlight w:val="none"/>
        </w:rPr>
        <w:t>5.2.6. 发包人提供的材料设备的结算约定：</w:t>
      </w:r>
      <w:bookmarkEnd w:id="1089"/>
    </w:p>
    <w:p>
      <w:pPr>
        <w:pStyle w:val="52"/>
        <w:ind w:firstLine="480"/>
        <w:jc w:val="both"/>
        <w:rPr>
          <w:rFonts w:eastAsia="宋体"/>
          <w:color w:val="auto"/>
          <w:sz w:val="24"/>
          <w:szCs w:val="24"/>
          <w:highlight w:val="none"/>
          <w:u w:val="none"/>
        </w:rPr>
      </w:pPr>
      <w:r>
        <w:rPr>
          <w:rFonts w:eastAsia="宋体"/>
          <w:color w:val="auto"/>
          <w:sz w:val="24"/>
          <w:szCs w:val="24"/>
          <w:highlight w:val="none"/>
          <w:u w:val="none"/>
        </w:rPr>
        <w:t>1) 甲供材料设备不计入合同总价中，工程竣工结算时，仅计取保管费及税金</w:t>
      </w:r>
      <w:r>
        <w:rPr>
          <w:rFonts w:eastAsia="宋体"/>
          <w:color w:val="auto"/>
          <w:sz w:val="24"/>
          <w:szCs w:val="24"/>
          <w:highlight w:val="none"/>
        </w:rPr>
        <w:t>，</w:t>
      </w:r>
      <w:r>
        <w:rPr>
          <w:rFonts w:eastAsia="宋体"/>
          <w:color w:val="auto"/>
          <w:sz w:val="24"/>
          <w:szCs w:val="24"/>
          <w:highlight w:val="none"/>
          <w:u w:val="none"/>
        </w:rPr>
        <w:t>保管费率按</w:t>
      </w:r>
      <w:r>
        <w:rPr>
          <w:bCs/>
          <w:color w:val="auto"/>
          <w:sz w:val="24"/>
          <w:szCs w:val="24"/>
          <w:highlight w:val="none"/>
          <w:u w:val="single"/>
        </w:rPr>
        <w:t xml:space="preserve"> /</w:t>
      </w:r>
      <w:r>
        <w:rPr>
          <w:rFonts w:hint="eastAsia"/>
          <w:bCs/>
          <w:color w:val="auto"/>
          <w:sz w:val="24"/>
          <w:szCs w:val="24"/>
          <w:highlight w:val="none"/>
          <w:u w:val="single"/>
        </w:rPr>
        <w:t xml:space="preserve"> </w:t>
      </w:r>
      <w:r>
        <w:rPr>
          <w:rFonts w:eastAsia="宋体"/>
          <w:color w:val="auto"/>
          <w:sz w:val="24"/>
          <w:szCs w:val="24"/>
          <w:highlight w:val="none"/>
          <w:u w:val="none"/>
        </w:rPr>
        <w:t>计取。</w:t>
      </w:r>
    </w:p>
    <w:p>
      <w:pPr>
        <w:pStyle w:val="52"/>
        <w:ind w:firstLine="480"/>
        <w:jc w:val="both"/>
        <w:rPr>
          <w:rFonts w:eastAsia="宋体"/>
          <w:color w:val="auto"/>
          <w:sz w:val="24"/>
          <w:szCs w:val="24"/>
          <w:highlight w:val="none"/>
          <w:u w:val="single"/>
        </w:rPr>
      </w:pPr>
      <w:r>
        <w:rPr>
          <w:rFonts w:eastAsia="宋体"/>
          <w:color w:val="auto"/>
          <w:sz w:val="24"/>
          <w:szCs w:val="24"/>
          <w:highlight w:val="none"/>
          <w:u w:val="none"/>
        </w:rPr>
        <w:t>2) 对甲供材料设备，承包人须负责提供排产、进场、安装计划，且需正确计算其需要的订货数量。发包人只负责按发包人发出的图纸工程量以及在本合同附件</w:t>
      </w:r>
      <w:r>
        <w:rPr>
          <w:bCs/>
          <w:color w:val="auto"/>
          <w:sz w:val="24"/>
          <w:szCs w:val="24"/>
          <w:highlight w:val="none"/>
          <w:u w:val="single"/>
        </w:rPr>
        <w:t xml:space="preserve"> /</w:t>
      </w:r>
      <w:r>
        <w:rPr>
          <w:rFonts w:hint="eastAsia"/>
          <w:bCs/>
          <w:color w:val="auto"/>
          <w:sz w:val="24"/>
          <w:szCs w:val="24"/>
          <w:highlight w:val="none"/>
          <w:u w:val="single"/>
        </w:rPr>
        <w:t xml:space="preserve"> </w:t>
      </w:r>
      <w:r>
        <w:rPr>
          <w:rFonts w:eastAsia="宋体"/>
          <w:color w:val="auto"/>
          <w:sz w:val="24"/>
          <w:szCs w:val="24"/>
          <w:highlight w:val="none"/>
          <w:u w:val="none"/>
        </w:rPr>
        <w:t>中约定的甲供材料设备损耗率所计算的材料设备数量负责订购。任何超出该范围但为完成本工程所需要或运抵后毁损、丢失的设备材料，由承包人负责提供，费用由承包人承担。</w:t>
      </w:r>
    </w:p>
    <w:p>
      <w:pPr>
        <w:pStyle w:val="52"/>
        <w:ind w:firstLine="480"/>
        <w:jc w:val="both"/>
        <w:rPr>
          <w:rFonts w:eastAsia="宋体"/>
          <w:color w:val="auto"/>
          <w:sz w:val="24"/>
          <w:szCs w:val="24"/>
          <w:highlight w:val="none"/>
          <w:u w:val="none"/>
        </w:rPr>
      </w:pPr>
      <w:r>
        <w:rPr>
          <w:rFonts w:eastAsia="宋体"/>
          <w:color w:val="auto"/>
          <w:sz w:val="24"/>
          <w:szCs w:val="24"/>
          <w:highlight w:val="none"/>
          <w:u w:val="none"/>
        </w:rPr>
        <w:t xml:space="preserve">3) 承包人不得自行采购甲供材料设备或私自转卖、替换甲供材料设备，否则，承包人承担该批材料设备采购金额2倍的违约金，造成其它损失的均由承包人负责。 </w:t>
      </w:r>
    </w:p>
    <w:p>
      <w:pPr>
        <w:pStyle w:val="52"/>
        <w:ind w:firstLine="480"/>
        <w:jc w:val="both"/>
        <w:rPr>
          <w:rFonts w:eastAsia="宋体"/>
          <w:color w:val="auto"/>
          <w:sz w:val="24"/>
          <w:szCs w:val="24"/>
          <w:highlight w:val="none"/>
          <w:u w:val="none"/>
        </w:rPr>
      </w:pPr>
      <w:r>
        <w:rPr>
          <w:rFonts w:eastAsia="宋体"/>
          <w:color w:val="auto"/>
          <w:sz w:val="24"/>
          <w:szCs w:val="24"/>
          <w:highlight w:val="none"/>
          <w:u w:val="none"/>
        </w:rPr>
        <w:t>4）承包人视为已经清楚了解此等设备材料供应及工作范围，合同签署后有关索赔概不予考虑。</w:t>
      </w:r>
    </w:p>
    <w:p>
      <w:pPr>
        <w:pStyle w:val="52"/>
        <w:ind w:firstLine="480"/>
        <w:jc w:val="both"/>
        <w:rPr>
          <w:rFonts w:eastAsia="宋体"/>
          <w:color w:val="auto"/>
          <w:sz w:val="24"/>
          <w:szCs w:val="24"/>
          <w:highlight w:val="none"/>
        </w:rPr>
      </w:pPr>
      <w:r>
        <w:rPr>
          <w:rFonts w:eastAsia="宋体"/>
          <w:color w:val="auto"/>
          <w:sz w:val="24"/>
          <w:szCs w:val="24"/>
          <w:highlight w:val="none"/>
        </w:rPr>
        <w:t>5.2.7. 发包人提供的材料和工程设备指定卸货地点：</w:t>
      </w:r>
      <w:r>
        <w:rPr>
          <w:rFonts w:eastAsia="宋体"/>
          <w:color w:val="auto"/>
          <w:sz w:val="24"/>
          <w:szCs w:val="24"/>
          <w:highlight w:val="none"/>
          <w:u w:val="single"/>
        </w:rPr>
        <w:t xml:space="preserve">  /  </w:t>
      </w:r>
      <w:r>
        <w:rPr>
          <w:rFonts w:eastAsia="宋体"/>
          <w:color w:val="auto"/>
          <w:sz w:val="24"/>
          <w:szCs w:val="24"/>
          <w:highlight w:val="none"/>
        </w:rPr>
        <w:t>。</w:t>
      </w:r>
    </w:p>
    <w:p>
      <w:pPr>
        <w:pStyle w:val="77"/>
        <w:spacing w:before="0" w:after="0"/>
        <w:ind w:firstLine="480"/>
        <w:rPr>
          <w:rFonts w:eastAsia="宋体"/>
          <w:color w:val="auto"/>
          <w:szCs w:val="24"/>
          <w:highlight w:val="none"/>
        </w:rPr>
      </w:pPr>
      <w:r>
        <w:rPr>
          <w:rFonts w:eastAsia="宋体"/>
          <w:color w:val="auto"/>
          <w:szCs w:val="24"/>
          <w:highlight w:val="none"/>
        </w:rPr>
        <w:t>5.4.</w:t>
      </w:r>
      <w:r>
        <w:rPr>
          <w:rFonts w:hint="eastAsia" w:eastAsia="宋体"/>
          <w:color w:val="auto"/>
          <w:szCs w:val="24"/>
          <w:highlight w:val="none"/>
        </w:rPr>
        <w:t xml:space="preserve"> </w:t>
      </w:r>
      <w:r>
        <w:rPr>
          <w:rFonts w:eastAsia="宋体"/>
          <w:color w:val="auto"/>
          <w:szCs w:val="24"/>
          <w:highlight w:val="none"/>
        </w:rPr>
        <w:t>禁止使用不合格的材料和工程设备</w:t>
      </w:r>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5.4.4.</w:t>
      </w:r>
      <w:r>
        <w:rPr>
          <w:rFonts w:hint="eastAsia" w:ascii="Times New Roman" w:hAnsi="Times New Roman"/>
          <w:color w:val="auto"/>
          <w:kern w:val="0"/>
          <w:sz w:val="24"/>
          <w:szCs w:val="24"/>
          <w:highlight w:val="none"/>
        </w:rPr>
        <w:t xml:space="preserve"> </w:t>
      </w:r>
      <w:r>
        <w:rPr>
          <w:rFonts w:ascii="Times New Roman" w:hAnsi="Times New Roman"/>
          <w:color w:val="auto"/>
          <w:kern w:val="0"/>
          <w:sz w:val="24"/>
          <w:szCs w:val="24"/>
          <w:highlight w:val="none"/>
        </w:rPr>
        <w:t>承包人使用了不合格材料或工程设备，工程质量达不到标准要求，又拒绝清除不合格工程的，承包人应按合同专用条款第22.1.9.3条第9）款约定承担违约责任。</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091" w:name="_Toc7871"/>
      <w:bookmarkStart w:id="1092" w:name="_Toc3843"/>
      <w:bookmarkStart w:id="1093" w:name="_Toc31629"/>
      <w:bookmarkStart w:id="1094" w:name="_Toc13460"/>
      <w:bookmarkStart w:id="1095" w:name="_Toc44492573"/>
      <w:bookmarkStart w:id="1096" w:name="_Toc38987275"/>
      <w:bookmarkStart w:id="1097" w:name="_Toc20736"/>
      <w:bookmarkStart w:id="1098" w:name="_Toc3378"/>
      <w:bookmarkStart w:id="1099" w:name="_Toc44228158"/>
      <w:r>
        <w:rPr>
          <w:rFonts w:eastAsia="宋体"/>
          <w:color w:val="auto"/>
          <w:sz w:val="24"/>
          <w:szCs w:val="24"/>
          <w:highlight w:val="none"/>
        </w:rPr>
        <w:t>施工设备和临时设施</w:t>
      </w:r>
      <w:bookmarkEnd w:id="1091"/>
      <w:bookmarkEnd w:id="1092"/>
      <w:bookmarkEnd w:id="1093"/>
      <w:bookmarkEnd w:id="1094"/>
      <w:bookmarkEnd w:id="1095"/>
      <w:bookmarkEnd w:id="1096"/>
      <w:bookmarkEnd w:id="1097"/>
      <w:bookmarkEnd w:id="1098"/>
      <w:bookmarkEnd w:id="1099"/>
    </w:p>
    <w:p>
      <w:pPr>
        <w:pStyle w:val="77"/>
        <w:spacing w:before="0" w:after="0"/>
        <w:ind w:firstLine="482"/>
        <w:outlineLvl w:val="1"/>
        <w:rPr>
          <w:rFonts w:eastAsia="宋体"/>
          <w:b/>
          <w:color w:val="auto"/>
          <w:szCs w:val="24"/>
          <w:highlight w:val="none"/>
        </w:rPr>
      </w:pPr>
      <w:bookmarkStart w:id="1100" w:name="_Toc2314"/>
      <w:bookmarkStart w:id="1101" w:name="_Toc25127"/>
      <w:bookmarkStart w:id="1102" w:name="_Toc44492574"/>
      <w:r>
        <w:rPr>
          <w:rFonts w:eastAsia="宋体"/>
          <w:b/>
          <w:color w:val="auto"/>
          <w:szCs w:val="24"/>
          <w:highlight w:val="none"/>
        </w:rPr>
        <w:t xml:space="preserve">6.1. </w:t>
      </w:r>
      <w:r>
        <w:rPr>
          <w:rFonts w:hint="eastAsia" w:eastAsia="宋体"/>
          <w:b/>
          <w:color w:val="auto"/>
          <w:szCs w:val="24"/>
          <w:highlight w:val="none"/>
        </w:rPr>
        <w:t xml:space="preserve">  </w:t>
      </w:r>
      <w:r>
        <w:rPr>
          <w:rFonts w:eastAsia="宋体"/>
          <w:b/>
          <w:color w:val="auto"/>
          <w:szCs w:val="24"/>
          <w:highlight w:val="none"/>
        </w:rPr>
        <w:t>承包人提供的施工设备和临时设施</w:t>
      </w:r>
      <w:bookmarkEnd w:id="1100"/>
      <w:bookmarkEnd w:id="1101"/>
      <w:bookmarkEnd w:id="1102"/>
    </w:p>
    <w:p>
      <w:pPr>
        <w:pStyle w:val="52"/>
        <w:ind w:firstLine="480"/>
        <w:jc w:val="both"/>
        <w:rPr>
          <w:rFonts w:eastAsia="宋体"/>
          <w:color w:val="auto"/>
          <w:sz w:val="24"/>
          <w:szCs w:val="24"/>
          <w:highlight w:val="none"/>
        </w:rPr>
      </w:pPr>
      <w:r>
        <w:rPr>
          <w:rFonts w:eastAsia="宋体"/>
          <w:color w:val="auto"/>
          <w:sz w:val="24"/>
          <w:szCs w:val="24"/>
          <w:highlight w:val="none"/>
        </w:rPr>
        <w:t>6.1.2. 承包人提供的施工设备或临时设施：</w:t>
      </w:r>
      <w:r>
        <w:rPr>
          <w:rFonts w:eastAsia="宋体"/>
          <w:color w:val="auto"/>
          <w:sz w:val="24"/>
          <w:szCs w:val="24"/>
          <w:highlight w:val="none"/>
          <w:u w:val="single"/>
        </w:rPr>
        <w:t>承包人提供的施工设备或临时设施不得低于承包人投标文件中明确的数量、规格及投入时间等承诺标准；如投标承诺中提供的施工设备或临时设施无法满足按约定的时间、质量标准等完成本合同工程的要求，承包人应自行增加、完善投入的施工设备和临时设施；如发包人认为承包人投入的施工设备或临时设施不足，已影响到工程进度、安全、质量，发包人有权要求承包人在48小时内增加及完善投入的施工设备和临时设施，否则承包人每次须向发包人按下述</w:t>
      </w:r>
      <w:r>
        <w:rPr>
          <w:rFonts w:hint="eastAsia" w:eastAsia="宋体"/>
          <w:color w:val="auto"/>
          <w:sz w:val="24"/>
          <w:szCs w:val="24"/>
          <w:highlight w:val="none"/>
          <w:u w:val="single"/>
        </w:rPr>
        <w:t>第</w:t>
      </w:r>
      <w:r>
        <w:rPr>
          <w:rFonts w:eastAsia="宋体"/>
          <w:color w:val="auto"/>
          <w:sz w:val="24"/>
          <w:szCs w:val="24"/>
          <w:highlight w:val="none"/>
          <w:u w:val="single"/>
        </w:rPr>
        <w:t>6.1.3</w:t>
      </w:r>
      <w:r>
        <w:rPr>
          <w:rFonts w:hint="eastAsia" w:eastAsia="宋体"/>
          <w:color w:val="auto"/>
          <w:sz w:val="24"/>
          <w:szCs w:val="24"/>
          <w:highlight w:val="none"/>
          <w:u w:val="single"/>
        </w:rPr>
        <w:t>款</w:t>
      </w:r>
      <w:r>
        <w:rPr>
          <w:rFonts w:eastAsia="宋体"/>
          <w:color w:val="auto"/>
          <w:sz w:val="24"/>
          <w:szCs w:val="24"/>
          <w:highlight w:val="none"/>
          <w:u w:val="single"/>
        </w:rPr>
        <w:t>约定承担违约责任，增加及完善投入的施工设备和临时设施相关费用由承包人承担，发包人不再另行支付</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6.1.3</w:t>
      </w:r>
      <w:r>
        <w:rPr>
          <w:rFonts w:hint="eastAsia" w:eastAsia="宋体"/>
          <w:color w:val="auto"/>
          <w:sz w:val="24"/>
          <w:szCs w:val="24"/>
          <w:highlight w:val="none"/>
        </w:rPr>
        <w:t xml:space="preserve">. </w:t>
      </w:r>
      <w:r>
        <w:rPr>
          <w:rFonts w:eastAsia="宋体"/>
          <w:color w:val="auto"/>
          <w:sz w:val="24"/>
          <w:szCs w:val="24"/>
          <w:highlight w:val="none"/>
        </w:rPr>
        <w:t>承包人不得以任何理由中途停工，或变相减少施工组织中规定的施工设备，否则经</w:t>
      </w:r>
      <w:r>
        <w:rPr>
          <w:rFonts w:hint="eastAsia" w:eastAsia="宋体"/>
          <w:color w:val="auto"/>
          <w:sz w:val="24"/>
          <w:szCs w:val="24"/>
          <w:highlight w:val="none"/>
          <w:lang w:eastAsia="zh-CN"/>
        </w:rPr>
        <w:t>发包人</w:t>
      </w:r>
      <w:r>
        <w:rPr>
          <w:rFonts w:eastAsia="宋体"/>
          <w:color w:val="auto"/>
          <w:sz w:val="24"/>
          <w:szCs w:val="24"/>
          <w:highlight w:val="none"/>
        </w:rPr>
        <w:t>确认，视为承包人违约，违约金规定如下：</w:t>
      </w:r>
      <w:r>
        <w:rPr>
          <w:rFonts w:eastAsia="宋体"/>
          <w:color w:val="auto"/>
          <w:sz w:val="24"/>
          <w:szCs w:val="24"/>
          <w:highlight w:val="none"/>
          <w:u w:val="single"/>
        </w:rPr>
        <w:t>主要设备1000元/台/天；一般设备300元/台/天</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6.1.4</w:t>
      </w:r>
      <w:r>
        <w:rPr>
          <w:rFonts w:hint="eastAsia" w:eastAsia="宋体"/>
          <w:color w:val="auto"/>
          <w:sz w:val="24"/>
          <w:szCs w:val="24"/>
          <w:highlight w:val="none"/>
        </w:rPr>
        <w:t xml:space="preserve">. </w:t>
      </w:r>
      <w:r>
        <w:rPr>
          <w:rFonts w:eastAsia="宋体"/>
          <w:color w:val="auto"/>
          <w:sz w:val="24"/>
          <w:szCs w:val="24"/>
          <w:highlight w:val="none"/>
        </w:rPr>
        <w:t>承包人施工所需的临时设施应全部在拟建工程占地范围内布置，发包人不提供额外的施工用地。如果承包人出于任何正当的理由，要求临时占用任何额外的施工用地，应至少提前</w:t>
      </w:r>
      <w:r>
        <w:rPr>
          <w:rFonts w:hint="eastAsia" w:eastAsia="宋体"/>
          <w:color w:val="auto"/>
          <w:sz w:val="24"/>
          <w:szCs w:val="24"/>
          <w:highlight w:val="none"/>
          <w:lang w:val="en-US" w:eastAsia="zh-CN"/>
        </w:rPr>
        <w:t>30</w:t>
      </w:r>
      <w:r>
        <w:rPr>
          <w:rFonts w:eastAsia="宋体"/>
          <w:color w:val="auto"/>
          <w:sz w:val="24"/>
          <w:szCs w:val="24"/>
          <w:highlight w:val="none"/>
        </w:rPr>
        <w:t>天向</w:t>
      </w:r>
      <w:r>
        <w:rPr>
          <w:rFonts w:hint="eastAsia" w:eastAsia="宋体"/>
          <w:color w:val="auto"/>
          <w:sz w:val="24"/>
          <w:szCs w:val="24"/>
          <w:highlight w:val="none"/>
          <w:lang w:eastAsia="zh-CN"/>
        </w:rPr>
        <w:t>发包人</w:t>
      </w:r>
      <w:r>
        <w:rPr>
          <w:rFonts w:eastAsia="宋体"/>
          <w:color w:val="auto"/>
          <w:sz w:val="24"/>
          <w:szCs w:val="24"/>
          <w:highlight w:val="none"/>
        </w:rPr>
        <w:t>提出报告及可行方案，请求发包人协助以获得其所需之用地，报告应阐明所需额外用地的理由。发包人认为承包人提出的所需额外用地的理由合理充分可行的,有权决定是否协助承包人获得其所需的临时用地，但所有的费用都应由承包人承担。发包人不承诺保证获得或提供承包人要求的任何临时用地。</w:t>
      </w:r>
    </w:p>
    <w:p>
      <w:pPr>
        <w:pStyle w:val="52"/>
        <w:ind w:firstLine="480"/>
        <w:jc w:val="both"/>
        <w:rPr>
          <w:rFonts w:eastAsia="宋体"/>
          <w:color w:val="auto"/>
          <w:sz w:val="24"/>
          <w:szCs w:val="24"/>
          <w:highlight w:val="none"/>
        </w:rPr>
      </w:pPr>
      <w:r>
        <w:rPr>
          <w:rFonts w:eastAsia="宋体"/>
          <w:color w:val="auto"/>
          <w:sz w:val="24"/>
          <w:szCs w:val="24"/>
          <w:highlight w:val="none"/>
        </w:rPr>
        <w:t>6.1.5</w:t>
      </w:r>
      <w:r>
        <w:rPr>
          <w:rFonts w:hint="eastAsia" w:eastAsia="宋体"/>
          <w:color w:val="auto"/>
          <w:sz w:val="24"/>
          <w:szCs w:val="24"/>
          <w:highlight w:val="none"/>
        </w:rPr>
        <w:t>.</w:t>
      </w:r>
      <w:r>
        <w:rPr>
          <w:rFonts w:eastAsia="宋体"/>
          <w:color w:val="auto"/>
          <w:sz w:val="24"/>
          <w:szCs w:val="24"/>
          <w:highlight w:val="none"/>
        </w:rPr>
        <w:t xml:space="preserve"> 承包人应绘制场地平面布置图，编制施工场地布置方案报</w:t>
      </w:r>
      <w:r>
        <w:rPr>
          <w:rFonts w:hint="eastAsia" w:eastAsia="宋体"/>
          <w:color w:val="auto"/>
          <w:sz w:val="24"/>
          <w:szCs w:val="24"/>
          <w:highlight w:val="none"/>
          <w:lang w:val="en-US" w:eastAsia="zh-CN"/>
        </w:rPr>
        <w:t>发包人</w:t>
      </w:r>
      <w:r>
        <w:rPr>
          <w:rFonts w:eastAsia="宋体"/>
          <w:color w:val="auto"/>
          <w:sz w:val="24"/>
          <w:szCs w:val="24"/>
          <w:highlight w:val="none"/>
        </w:rPr>
        <w:t>审批、认可，场地布置应满足办公、生活、施工、消防、环保、污水处理一体化等要求。</w:t>
      </w:r>
    </w:p>
    <w:p>
      <w:pPr>
        <w:pStyle w:val="52"/>
        <w:ind w:firstLine="480"/>
        <w:jc w:val="both"/>
        <w:rPr>
          <w:rFonts w:eastAsia="宋体"/>
          <w:color w:val="auto"/>
          <w:sz w:val="24"/>
          <w:szCs w:val="24"/>
          <w:highlight w:val="none"/>
        </w:rPr>
      </w:pPr>
      <w:r>
        <w:rPr>
          <w:rFonts w:eastAsia="宋体"/>
          <w:color w:val="auto"/>
          <w:sz w:val="24"/>
          <w:szCs w:val="24"/>
          <w:highlight w:val="none"/>
        </w:rPr>
        <w:t>6.1.6 承包人的施工人员住宿由承包人自行于工地范围外解决并自行考虑住宿费用。本工程场地不能保证场地内材料存放与加工布置需求，承包人应根据现场踏勘情况及施工组织需求综合自行考虑所连带发生的相关费用。</w:t>
      </w:r>
    </w:p>
    <w:p>
      <w:pPr>
        <w:pStyle w:val="52"/>
        <w:ind w:firstLine="480"/>
        <w:jc w:val="both"/>
        <w:rPr>
          <w:rFonts w:eastAsia="宋体" w:cs="Times New Roman"/>
          <w:color w:val="auto"/>
          <w:sz w:val="24"/>
          <w:szCs w:val="24"/>
          <w:highlight w:val="none"/>
        </w:rPr>
      </w:pPr>
      <w:r>
        <w:rPr>
          <w:rFonts w:hint="default" w:eastAsia="宋体" w:cs="Times New Roman"/>
          <w:color w:val="auto"/>
          <w:sz w:val="24"/>
          <w:szCs w:val="24"/>
          <w:highlight w:val="none"/>
        </w:rPr>
        <w:t>6.</w:t>
      </w:r>
      <w:r>
        <w:rPr>
          <w:rFonts w:eastAsia="宋体" w:cs="Times New Roman"/>
          <w:color w:val="auto"/>
          <w:sz w:val="24"/>
          <w:szCs w:val="24"/>
          <w:highlight w:val="none"/>
        </w:rPr>
        <w:t>1.</w:t>
      </w:r>
      <w:r>
        <w:rPr>
          <w:rFonts w:hint="default" w:eastAsia="宋体" w:cs="Times New Roman"/>
          <w:color w:val="auto"/>
          <w:sz w:val="24"/>
          <w:szCs w:val="24"/>
          <w:highlight w:val="none"/>
          <w:lang w:val="en-US" w:eastAsia="zh-CN"/>
        </w:rPr>
        <w:t xml:space="preserve">7. </w:t>
      </w:r>
      <w:r>
        <w:rPr>
          <w:rFonts w:eastAsia="宋体" w:cs="Times New Roman"/>
          <w:color w:val="auto"/>
          <w:sz w:val="24"/>
          <w:szCs w:val="24"/>
          <w:highlight w:val="none"/>
        </w:rPr>
        <w:t>承包人应该按合同规定、发包人要求和施工需要修建用于本工程建设的各种临时设施，包括临时排水设施、安全围栏、临时道路、现场公共厕所等，并在不需要的时候进行拆除和恢复原状，以上费用均由承包人承担；承包人的工作区的布置必须经</w:t>
      </w:r>
      <w:r>
        <w:rPr>
          <w:rFonts w:hint="eastAsia" w:eastAsia="宋体" w:cs="Times New Roman"/>
          <w:color w:val="auto"/>
          <w:sz w:val="24"/>
          <w:szCs w:val="24"/>
          <w:highlight w:val="none"/>
          <w:lang w:eastAsia="zh-CN"/>
        </w:rPr>
        <w:t>发包人</w:t>
      </w:r>
      <w:r>
        <w:rPr>
          <w:rFonts w:eastAsia="宋体" w:cs="Times New Roman"/>
          <w:color w:val="auto"/>
          <w:sz w:val="24"/>
          <w:szCs w:val="24"/>
          <w:highlight w:val="none"/>
        </w:rPr>
        <w:t>批准后方可执行。</w:t>
      </w:r>
    </w:p>
    <w:p>
      <w:pPr>
        <w:pStyle w:val="52"/>
        <w:ind w:firstLine="480"/>
        <w:jc w:val="both"/>
        <w:rPr>
          <w:rFonts w:hint="eastAsia" w:eastAsia="仿宋_GB2312" w:cs="Times New Roman"/>
          <w:color w:val="auto"/>
          <w:sz w:val="24"/>
          <w:szCs w:val="24"/>
          <w:highlight w:val="none"/>
          <w:lang w:eastAsia="zh-CN"/>
        </w:rPr>
      </w:pPr>
      <w:r>
        <w:rPr>
          <w:rFonts w:hint="default" w:eastAsia="宋体" w:cs="Times New Roman"/>
          <w:color w:val="auto"/>
          <w:sz w:val="24"/>
          <w:szCs w:val="24"/>
          <w:highlight w:val="none"/>
        </w:rPr>
        <w:t>6.</w:t>
      </w:r>
      <w:r>
        <w:rPr>
          <w:rFonts w:eastAsia="宋体" w:cs="Times New Roman"/>
          <w:color w:val="auto"/>
          <w:sz w:val="24"/>
          <w:szCs w:val="24"/>
          <w:highlight w:val="none"/>
        </w:rPr>
        <w:t>1.</w:t>
      </w:r>
      <w:r>
        <w:rPr>
          <w:rFonts w:hint="eastAsia" w:eastAsia="宋体" w:cs="Times New Roman"/>
          <w:color w:val="auto"/>
          <w:sz w:val="24"/>
          <w:szCs w:val="24"/>
          <w:highlight w:val="none"/>
          <w:lang w:val="en-US" w:eastAsia="zh-CN"/>
        </w:rPr>
        <w:t>8</w:t>
      </w:r>
      <w:r>
        <w:rPr>
          <w:rFonts w:hint="default" w:eastAsia="宋体" w:cs="Times New Roman"/>
          <w:color w:val="auto"/>
          <w:sz w:val="24"/>
          <w:szCs w:val="24"/>
          <w:highlight w:val="none"/>
          <w:lang w:val="en-US" w:eastAsia="zh-CN"/>
        </w:rPr>
        <w:t>.</w:t>
      </w:r>
      <w:r>
        <w:rPr>
          <w:rFonts w:eastAsia="宋体" w:cs="Times New Roman"/>
          <w:color w:val="auto"/>
          <w:sz w:val="24"/>
          <w:szCs w:val="24"/>
          <w:highlight w:val="none"/>
        </w:rPr>
        <w:t xml:space="preserve"> 承包人在上述所有设施的使用和修建过程中，应当保持现场清洁卫生，施工区域和生活区域修建符合规范、标准要求的污水排放处理系统</w:t>
      </w:r>
      <w:r>
        <w:rPr>
          <w:rFonts w:hint="default" w:eastAsia="宋体" w:cs="Times New Roman"/>
          <w:color w:val="auto"/>
          <w:sz w:val="24"/>
          <w:szCs w:val="24"/>
          <w:highlight w:val="none"/>
        </w:rPr>
        <w:t>，相关费用已包含在本合同暂定价款内</w:t>
      </w:r>
      <w:r>
        <w:rPr>
          <w:rFonts w:eastAsia="宋体" w:cs="Times New Roman"/>
          <w:color w:val="auto"/>
          <w:sz w:val="24"/>
          <w:szCs w:val="24"/>
          <w:highlight w:val="none"/>
        </w:rPr>
        <w:t>。</w:t>
      </w:r>
    </w:p>
    <w:p>
      <w:pPr>
        <w:pStyle w:val="77"/>
        <w:spacing w:before="0" w:after="0"/>
        <w:ind w:firstLine="482"/>
        <w:outlineLvl w:val="1"/>
        <w:rPr>
          <w:rFonts w:eastAsia="宋体"/>
          <w:b/>
          <w:color w:val="auto"/>
          <w:szCs w:val="24"/>
          <w:highlight w:val="none"/>
        </w:rPr>
      </w:pPr>
      <w:bookmarkStart w:id="1103" w:name="_Toc18204"/>
      <w:bookmarkStart w:id="1104" w:name="_Toc17285"/>
      <w:bookmarkStart w:id="1105" w:name="_Toc44492575"/>
      <w:r>
        <w:rPr>
          <w:rFonts w:eastAsia="宋体"/>
          <w:b/>
          <w:color w:val="auto"/>
          <w:szCs w:val="24"/>
          <w:highlight w:val="none"/>
        </w:rPr>
        <w:t>6.2. 发包人提供的施工设备和临时设施</w:t>
      </w:r>
      <w:bookmarkEnd w:id="1103"/>
      <w:bookmarkEnd w:id="1104"/>
      <w:bookmarkEnd w:id="1105"/>
    </w:p>
    <w:p>
      <w:pPr>
        <w:pStyle w:val="52"/>
        <w:ind w:firstLine="420"/>
        <w:jc w:val="left"/>
        <w:rPr>
          <w:rFonts w:hint="eastAsia" w:eastAsia="仿宋_GB2312"/>
          <w:color w:val="auto"/>
          <w:sz w:val="24"/>
          <w:szCs w:val="24"/>
          <w:highlight w:val="none"/>
          <w:lang w:eastAsia="zh-CN"/>
        </w:rPr>
      </w:pPr>
      <w:r>
        <w:rPr>
          <w:rFonts w:eastAsia="宋体"/>
          <w:color w:val="auto"/>
          <w:sz w:val="24"/>
          <w:szCs w:val="24"/>
          <w:highlight w:val="none"/>
        </w:rPr>
        <w:t>6.2.1. 发包人提供的施工设备或临时设施：</w:t>
      </w:r>
      <w:r>
        <w:rPr>
          <w:rFonts w:eastAsia="宋体" w:cs="Times New Roman"/>
          <w:color w:val="auto"/>
          <w:sz w:val="24"/>
          <w:szCs w:val="24"/>
          <w:highlight w:val="none"/>
        </w:rPr>
        <w:t>本工程施工现场发包人按现状提供移交，承包人应该注意所分配的工作区是其可以使用的全部工作区域；</w:t>
      </w:r>
      <w:r>
        <w:rPr>
          <w:rFonts w:hint="default" w:eastAsia="宋体" w:cs="Times New Roman"/>
          <w:color w:val="auto"/>
          <w:sz w:val="24"/>
          <w:szCs w:val="24"/>
          <w:highlight w:val="none"/>
        </w:rPr>
        <w:t>承包人根据施工组织计划需要，自行解决</w:t>
      </w:r>
      <w:r>
        <w:rPr>
          <w:rFonts w:eastAsia="宋体" w:cs="Times New Roman"/>
          <w:color w:val="auto"/>
          <w:sz w:val="24"/>
          <w:szCs w:val="24"/>
          <w:highlight w:val="none"/>
        </w:rPr>
        <w:t>工作区域</w:t>
      </w:r>
      <w:r>
        <w:rPr>
          <w:rFonts w:hint="default" w:eastAsia="宋体" w:cs="Times New Roman"/>
          <w:color w:val="auto"/>
          <w:sz w:val="24"/>
          <w:szCs w:val="24"/>
          <w:highlight w:val="none"/>
          <w:lang w:val="en-US" w:eastAsia="zh-CN"/>
        </w:rPr>
        <w:t>以</w:t>
      </w:r>
      <w:r>
        <w:rPr>
          <w:rFonts w:hint="default" w:eastAsia="宋体" w:cs="Times New Roman"/>
          <w:color w:val="auto"/>
          <w:sz w:val="24"/>
          <w:szCs w:val="24"/>
          <w:highlight w:val="none"/>
        </w:rPr>
        <w:t>外的场地租用、审批（如需）等，相关费用已包含在本合同暂定价款内</w:t>
      </w:r>
      <w:r>
        <w:rPr>
          <w:rFonts w:eastAsia="宋体"/>
          <w:color w:val="auto"/>
          <w:sz w:val="24"/>
          <w:szCs w:val="24"/>
          <w:highlight w:val="none"/>
        </w:rPr>
        <w:t>。</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106" w:name="_Toc32462"/>
      <w:bookmarkStart w:id="1107" w:name="_Toc44492576"/>
      <w:bookmarkStart w:id="1108" w:name="_Toc21484"/>
      <w:bookmarkStart w:id="1109" w:name="_Toc12852"/>
      <w:bookmarkStart w:id="1110" w:name="_Toc1994"/>
      <w:bookmarkStart w:id="1111" w:name="_Toc44228159"/>
      <w:bookmarkStart w:id="1112" w:name="_Toc16549"/>
      <w:bookmarkStart w:id="1113" w:name="_Toc19119"/>
      <w:bookmarkStart w:id="1114" w:name="_Toc38987276"/>
      <w:r>
        <w:rPr>
          <w:rFonts w:eastAsia="宋体"/>
          <w:color w:val="auto"/>
          <w:sz w:val="24"/>
          <w:szCs w:val="24"/>
          <w:highlight w:val="none"/>
        </w:rPr>
        <w:t>交通运输</w:t>
      </w:r>
      <w:bookmarkEnd w:id="1106"/>
      <w:bookmarkEnd w:id="1107"/>
      <w:bookmarkEnd w:id="1108"/>
      <w:bookmarkEnd w:id="1109"/>
      <w:bookmarkEnd w:id="1110"/>
      <w:bookmarkEnd w:id="1111"/>
      <w:bookmarkEnd w:id="1112"/>
      <w:bookmarkEnd w:id="1113"/>
      <w:bookmarkEnd w:id="1114"/>
    </w:p>
    <w:p>
      <w:pPr>
        <w:pStyle w:val="77"/>
        <w:spacing w:before="0" w:after="0"/>
        <w:ind w:firstLine="480"/>
        <w:rPr>
          <w:rFonts w:eastAsia="宋体"/>
          <w:color w:val="auto"/>
          <w:szCs w:val="24"/>
          <w:highlight w:val="none"/>
        </w:rPr>
      </w:pPr>
      <w:bookmarkStart w:id="1115" w:name="_Toc20281"/>
      <w:bookmarkStart w:id="1116" w:name="_Toc44492577"/>
      <w:bookmarkStart w:id="1117" w:name="_Toc18123"/>
      <w:r>
        <w:rPr>
          <w:rFonts w:eastAsia="宋体"/>
          <w:color w:val="auto"/>
          <w:szCs w:val="24"/>
          <w:highlight w:val="none"/>
        </w:rPr>
        <w:t>7.1</w:t>
      </w:r>
      <w:r>
        <w:rPr>
          <w:rFonts w:hint="eastAsia" w:eastAsia="宋体"/>
          <w:color w:val="auto"/>
          <w:szCs w:val="24"/>
          <w:highlight w:val="none"/>
        </w:rPr>
        <w:t xml:space="preserve">. </w:t>
      </w:r>
      <w:r>
        <w:rPr>
          <w:rFonts w:eastAsia="宋体"/>
          <w:color w:val="auto"/>
          <w:szCs w:val="24"/>
          <w:highlight w:val="none"/>
        </w:rPr>
        <w:t>场外交通</w:t>
      </w:r>
      <w:bookmarkEnd w:id="1115"/>
      <w:bookmarkEnd w:id="1116"/>
      <w:bookmarkEnd w:id="1117"/>
    </w:p>
    <w:p>
      <w:pPr>
        <w:pStyle w:val="52"/>
        <w:ind w:firstLine="480"/>
        <w:jc w:val="both"/>
        <w:rPr>
          <w:rFonts w:eastAsia="宋体"/>
          <w:color w:val="auto"/>
          <w:sz w:val="24"/>
          <w:szCs w:val="24"/>
          <w:highlight w:val="none"/>
        </w:rPr>
      </w:pPr>
      <w:r>
        <w:rPr>
          <w:rFonts w:eastAsia="宋体"/>
          <w:color w:val="auto"/>
          <w:sz w:val="24"/>
          <w:szCs w:val="24"/>
          <w:highlight w:val="none"/>
        </w:rPr>
        <w:t>7.1.2</w:t>
      </w:r>
      <w:r>
        <w:rPr>
          <w:rFonts w:hint="eastAsia" w:eastAsia="宋体"/>
          <w:color w:val="auto"/>
          <w:sz w:val="24"/>
          <w:szCs w:val="24"/>
          <w:highlight w:val="none"/>
        </w:rPr>
        <w:t>.</w:t>
      </w:r>
      <w:r>
        <w:rPr>
          <w:rFonts w:eastAsia="宋体"/>
          <w:color w:val="auto"/>
          <w:sz w:val="24"/>
          <w:szCs w:val="24"/>
          <w:highlight w:val="none"/>
        </w:rPr>
        <w:t xml:space="preserve"> 承包人车辆外出行驶所需的场外公共道路的通行费、养路费和税款等由承包人自行承担。</w:t>
      </w:r>
    </w:p>
    <w:p>
      <w:pPr>
        <w:pStyle w:val="52"/>
        <w:ind w:firstLine="480"/>
        <w:jc w:val="both"/>
        <w:rPr>
          <w:rFonts w:eastAsia="宋体"/>
          <w:color w:val="auto"/>
          <w:sz w:val="24"/>
          <w:szCs w:val="24"/>
          <w:highlight w:val="none"/>
        </w:rPr>
      </w:pPr>
      <w:r>
        <w:rPr>
          <w:rFonts w:eastAsia="宋体"/>
          <w:color w:val="auto"/>
          <w:sz w:val="24"/>
          <w:szCs w:val="24"/>
          <w:highlight w:val="none"/>
        </w:rPr>
        <w:t>7.1.3</w:t>
      </w:r>
      <w:r>
        <w:rPr>
          <w:rFonts w:hint="eastAsia" w:eastAsia="宋体"/>
          <w:color w:val="auto"/>
          <w:sz w:val="24"/>
          <w:szCs w:val="24"/>
          <w:highlight w:val="none"/>
        </w:rPr>
        <w:t>.</w:t>
      </w:r>
      <w:r>
        <w:rPr>
          <w:rFonts w:eastAsia="宋体"/>
          <w:color w:val="auto"/>
          <w:sz w:val="24"/>
          <w:szCs w:val="24"/>
          <w:highlight w:val="none"/>
        </w:rPr>
        <w:t xml:space="preserve"> 因承包人施工措施配置需求导致场外临时道路用地范围内的绿化迁移、地面附着物拆迁、管线迁改等工作（如需），相关费用由承包人自行承担。</w:t>
      </w:r>
    </w:p>
    <w:p>
      <w:pPr>
        <w:pStyle w:val="52"/>
        <w:ind w:firstLine="480"/>
        <w:jc w:val="both"/>
        <w:rPr>
          <w:rFonts w:eastAsia="宋体"/>
          <w:color w:val="auto"/>
          <w:sz w:val="24"/>
          <w:szCs w:val="24"/>
          <w:highlight w:val="none"/>
        </w:rPr>
      </w:pPr>
      <w:r>
        <w:rPr>
          <w:rFonts w:eastAsia="宋体"/>
          <w:color w:val="auto"/>
          <w:sz w:val="24"/>
          <w:szCs w:val="24"/>
          <w:highlight w:val="none"/>
        </w:rPr>
        <w:t>7.1.4</w:t>
      </w:r>
      <w:r>
        <w:rPr>
          <w:rFonts w:hint="eastAsia" w:eastAsia="宋体"/>
          <w:color w:val="auto"/>
          <w:sz w:val="24"/>
          <w:szCs w:val="24"/>
          <w:highlight w:val="none"/>
        </w:rPr>
        <w:t>.</w:t>
      </w:r>
      <w:r>
        <w:rPr>
          <w:rFonts w:eastAsia="宋体"/>
          <w:color w:val="auto"/>
          <w:sz w:val="24"/>
          <w:szCs w:val="24"/>
          <w:highlight w:val="none"/>
        </w:rPr>
        <w:t xml:space="preserve"> 使用于本项目的泥头车、搅拌车和非道路移动工程机械应满足国家和地方现行法规、政策、规范的全部要求，相关费用（包括环保要求、外运弃置费用等）均已</w:t>
      </w:r>
      <w:r>
        <w:rPr>
          <w:rFonts w:hint="eastAsia" w:eastAsia="宋体"/>
          <w:color w:val="auto"/>
          <w:sz w:val="24"/>
          <w:szCs w:val="24"/>
          <w:highlight w:val="none"/>
        </w:rPr>
        <w:t>在合同暂定总价中综合</w:t>
      </w:r>
      <w:r>
        <w:rPr>
          <w:rFonts w:eastAsia="宋体"/>
          <w:color w:val="auto"/>
          <w:sz w:val="24"/>
          <w:szCs w:val="24"/>
          <w:highlight w:val="none"/>
        </w:rPr>
        <w:t>考虑</w:t>
      </w:r>
      <w:r>
        <w:rPr>
          <w:rFonts w:hint="eastAsia" w:eastAsia="宋体"/>
          <w:color w:val="auto"/>
          <w:sz w:val="24"/>
          <w:szCs w:val="24"/>
          <w:highlight w:val="none"/>
        </w:rPr>
        <w:t>，不再另行计取。</w:t>
      </w:r>
    </w:p>
    <w:p>
      <w:pPr>
        <w:pStyle w:val="77"/>
        <w:spacing w:before="0" w:after="0"/>
        <w:ind w:firstLine="480"/>
        <w:rPr>
          <w:rFonts w:eastAsia="宋体"/>
          <w:color w:val="auto"/>
          <w:szCs w:val="24"/>
          <w:highlight w:val="none"/>
        </w:rPr>
      </w:pPr>
      <w:r>
        <w:rPr>
          <w:rFonts w:eastAsia="宋体"/>
          <w:color w:val="auto"/>
          <w:szCs w:val="24"/>
          <w:highlight w:val="none"/>
        </w:rPr>
        <w:t>7.3.</w:t>
      </w:r>
      <w:r>
        <w:rPr>
          <w:rFonts w:hint="eastAsia" w:eastAsia="宋体"/>
          <w:color w:val="auto"/>
          <w:szCs w:val="24"/>
          <w:highlight w:val="none"/>
        </w:rPr>
        <w:t xml:space="preserve"> </w:t>
      </w:r>
      <w:r>
        <w:rPr>
          <w:rFonts w:eastAsia="宋体"/>
          <w:color w:val="auto"/>
          <w:szCs w:val="24"/>
          <w:highlight w:val="none"/>
        </w:rPr>
        <w:t>超大件和超重件的运输</w:t>
      </w:r>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7.3.1.</w:t>
      </w:r>
      <w:r>
        <w:rPr>
          <w:rFonts w:hint="eastAsia" w:ascii="Times New Roman" w:hAnsi="Times New Roman"/>
          <w:color w:val="auto"/>
          <w:sz w:val="24"/>
          <w:szCs w:val="24"/>
          <w:highlight w:val="none"/>
        </w:rPr>
        <w:t xml:space="preserve"> </w:t>
      </w:r>
      <w:r>
        <w:rPr>
          <w:rFonts w:ascii="Times New Roman" w:hAnsi="Times New Roman"/>
          <w:color w:val="auto"/>
          <w:kern w:val="0"/>
          <w:sz w:val="24"/>
          <w:szCs w:val="24"/>
          <w:highlight w:val="none"/>
        </w:rPr>
        <w:t>由承包人负责运输的超大件或超重件，应由承包人负责向交通管理部门办理申请手续。运输超大件或超重件所需的道路和桥梁临时加固改造费用和其他有关费用，由承包人承担。</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118" w:name="_Toc38987277"/>
      <w:bookmarkStart w:id="1119" w:name="_Toc18052"/>
      <w:bookmarkStart w:id="1120" w:name="_Toc13841"/>
      <w:bookmarkStart w:id="1121" w:name="_Toc26339"/>
      <w:bookmarkStart w:id="1122" w:name="_Toc14207"/>
      <w:bookmarkStart w:id="1123" w:name="_Toc44492578"/>
      <w:bookmarkStart w:id="1124" w:name="_Toc44228160"/>
      <w:bookmarkStart w:id="1125" w:name="_Toc30971"/>
      <w:bookmarkStart w:id="1126" w:name="_Toc13069"/>
      <w:r>
        <w:rPr>
          <w:rFonts w:eastAsia="宋体"/>
          <w:color w:val="auto"/>
          <w:sz w:val="24"/>
          <w:szCs w:val="24"/>
          <w:highlight w:val="none"/>
        </w:rPr>
        <w:t>测量放线</w:t>
      </w:r>
      <w:bookmarkEnd w:id="1118"/>
      <w:bookmarkEnd w:id="1119"/>
      <w:bookmarkEnd w:id="1120"/>
      <w:bookmarkEnd w:id="1121"/>
      <w:bookmarkEnd w:id="1122"/>
      <w:bookmarkEnd w:id="1123"/>
      <w:bookmarkEnd w:id="1124"/>
      <w:bookmarkEnd w:id="1125"/>
      <w:bookmarkEnd w:id="1126"/>
      <w:bookmarkStart w:id="1127" w:name="_Toc38987278"/>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8.2.</w:t>
      </w:r>
      <w:r>
        <w:rPr>
          <w:rFonts w:hint="eastAsia" w:ascii="Times New Roman" w:hAnsi="Times New Roman"/>
          <w:color w:val="auto"/>
          <w:kern w:val="0"/>
          <w:sz w:val="24"/>
          <w:szCs w:val="24"/>
          <w:highlight w:val="none"/>
        </w:rPr>
        <w:t xml:space="preserve"> </w:t>
      </w:r>
      <w:r>
        <w:rPr>
          <w:rFonts w:ascii="Times New Roman" w:hAnsi="Times New Roman"/>
          <w:color w:val="auto"/>
          <w:kern w:val="0"/>
          <w:sz w:val="24"/>
          <w:szCs w:val="24"/>
          <w:highlight w:val="none"/>
        </w:rPr>
        <w:t>关于测量放线的其他约定：</w:t>
      </w:r>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8.2.1</w:t>
      </w:r>
      <w:r>
        <w:rPr>
          <w:rFonts w:hint="eastAsia" w:ascii="Times New Roman" w:hAnsi="Times New Roman"/>
          <w:color w:val="auto"/>
          <w:kern w:val="0"/>
          <w:sz w:val="24"/>
          <w:szCs w:val="24"/>
          <w:highlight w:val="none"/>
        </w:rPr>
        <w:t xml:space="preserve">. </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应向承包人提供测量基准点、基准线和水准点及其书面资料。承包人应根据国家测绘基准、测绘系统和工程测量技术规范，按上述基准点（线）以及合同工程精度要求，测设施工控制网，将施工控制网资料报送</w:t>
      </w:r>
      <w:r>
        <w:rPr>
          <w:rFonts w:hint="eastAsia" w:ascii="Times New Roman" w:hAnsi="Times New Roman"/>
          <w:color w:val="auto"/>
          <w:kern w:val="0"/>
          <w:sz w:val="24"/>
          <w:szCs w:val="24"/>
          <w:highlight w:val="none"/>
          <w:lang w:val="en-US" w:eastAsia="zh-CN"/>
        </w:rPr>
        <w:t>发包人</w:t>
      </w:r>
      <w:r>
        <w:rPr>
          <w:rFonts w:ascii="Times New Roman" w:hAnsi="Times New Roman"/>
          <w:color w:val="auto"/>
          <w:kern w:val="0"/>
          <w:sz w:val="24"/>
          <w:szCs w:val="24"/>
          <w:highlight w:val="none"/>
        </w:rPr>
        <w:t>审批。</w:t>
      </w:r>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8.2.2</w:t>
      </w:r>
      <w:r>
        <w:rPr>
          <w:rFonts w:hint="eastAsia" w:ascii="Times New Roman" w:hAnsi="Times New Roman"/>
          <w:color w:val="auto"/>
          <w:kern w:val="0"/>
          <w:sz w:val="24"/>
          <w:szCs w:val="24"/>
          <w:highlight w:val="none"/>
        </w:rPr>
        <w:t xml:space="preserve">. </w:t>
      </w:r>
      <w:r>
        <w:rPr>
          <w:rFonts w:ascii="Times New Roman" w:hAnsi="Times New Roman"/>
          <w:color w:val="auto"/>
          <w:kern w:val="0"/>
          <w:sz w:val="24"/>
          <w:szCs w:val="24"/>
          <w:highlight w:val="none"/>
        </w:rPr>
        <w:t>承包人应对</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移交的测量基准点进行复核并负责管理施工控制网点。施工控制网点丢失或损坏的，承包人应及时修复。承包人应承担施工控制网点的管理与修复费用，并在工程竣工后将施工控制网点移交发包人</w:t>
      </w:r>
      <w:r>
        <w:rPr>
          <w:rFonts w:hint="eastAsia" w:ascii="Times New Roman" w:hAnsi="Times New Roman"/>
          <w:color w:val="auto"/>
          <w:kern w:val="0"/>
          <w:sz w:val="24"/>
          <w:szCs w:val="24"/>
          <w:highlight w:val="none"/>
          <w:lang w:val="en-US" w:eastAsia="zh-CN"/>
        </w:rPr>
        <w:t>及政府相关部门</w:t>
      </w:r>
      <w:r>
        <w:rPr>
          <w:rFonts w:ascii="Times New Roman" w:hAnsi="Times New Roman"/>
          <w:color w:val="auto"/>
          <w:kern w:val="0"/>
          <w:sz w:val="24"/>
          <w:szCs w:val="24"/>
          <w:highlight w:val="none"/>
        </w:rPr>
        <w:t>。</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128" w:name="_Toc6164"/>
      <w:bookmarkStart w:id="1129" w:name="_Toc44492579"/>
      <w:bookmarkStart w:id="1130" w:name="_Toc23381"/>
      <w:bookmarkStart w:id="1131" w:name="_Toc44228161"/>
      <w:bookmarkStart w:id="1132" w:name="_Toc1040"/>
      <w:bookmarkStart w:id="1133" w:name="_Toc16520"/>
      <w:bookmarkStart w:id="1134" w:name="_Toc789"/>
      <w:bookmarkStart w:id="1135" w:name="_Toc23142"/>
      <w:r>
        <w:rPr>
          <w:rFonts w:eastAsia="宋体"/>
          <w:color w:val="auto"/>
          <w:sz w:val="24"/>
          <w:szCs w:val="24"/>
          <w:highlight w:val="none"/>
        </w:rPr>
        <w:t>施工安全、治安保卫和环境保护</w:t>
      </w:r>
      <w:bookmarkEnd w:id="1127"/>
      <w:bookmarkEnd w:id="1128"/>
      <w:bookmarkEnd w:id="1129"/>
      <w:bookmarkEnd w:id="1130"/>
      <w:bookmarkEnd w:id="1131"/>
      <w:bookmarkEnd w:id="1132"/>
      <w:bookmarkEnd w:id="1133"/>
      <w:bookmarkEnd w:id="1134"/>
      <w:bookmarkEnd w:id="1135"/>
    </w:p>
    <w:p>
      <w:pPr>
        <w:pStyle w:val="77"/>
        <w:spacing w:before="0" w:after="0"/>
        <w:ind w:firstLine="480"/>
        <w:outlineLvl w:val="1"/>
        <w:rPr>
          <w:rFonts w:eastAsia="宋体"/>
          <w:color w:val="auto"/>
          <w:szCs w:val="24"/>
          <w:highlight w:val="none"/>
        </w:rPr>
      </w:pPr>
      <w:bookmarkStart w:id="1136" w:name="_Toc30574"/>
      <w:bookmarkStart w:id="1137" w:name="_Toc44492580"/>
      <w:bookmarkStart w:id="1138" w:name="_Toc28038"/>
      <w:r>
        <w:rPr>
          <w:rFonts w:eastAsia="宋体"/>
          <w:color w:val="auto"/>
          <w:szCs w:val="24"/>
          <w:highlight w:val="none"/>
        </w:rPr>
        <w:t>9.1.</w:t>
      </w:r>
      <w:r>
        <w:rPr>
          <w:rFonts w:hint="eastAsia" w:eastAsia="宋体"/>
          <w:color w:val="auto"/>
          <w:szCs w:val="24"/>
          <w:highlight w:val="none"/>
        </w:rPr>
        <w:t xml:space="preserve"> </w:t>
      </w:r>
      <w:r>
        <w:rPr>
          <w:rFonts w:eastAsia="宋体"/>
          <w:color w:val="auto"/>
          <w:szCs w:val="24"/>
          <w:highlight w:val="none"/>
        </w:rPr>
        <w:t>承包人的施工安全责任</w:t>
      </w:r>
      <w:bookmarkEnd w:id="1136"/>
      <w:bookmarkEnd w:id="1137"/>
      <w:bookmarkEnd w:id="1138"/>
    </w:p>
    <w:p>
      <w:pPr>
        <w:pStyle w:val="52"/>
        <w:ind w:firstLine="480"/>
        <w:jc w:val="both"/>
        <w:rPr>
          <w:rFonts w:eastAsia="宋体"/>
          <w:color w:val="auto"/>
          <w:sz w:val="24"/>
          <w:szCs w:val="24"/>
          <w:highlight w:val="none"/>
        </w:rPr>
      </w:pPr>
      <w:r>
        <w:rPr>
          <w:rFonts w:eastAsia="宋体"/>
          <w:color w:val="auto"/>
          <w:sz w:val="24"/>
          <w:szCs w:val="24"/>
          <w:highlight w:val="none"/>
        </w:rPr>
        <w:t>9.1.1. 承包人向</w:t>
      </w:r>
      <w:r>
        <w:rPr>
          <w:rFonts w:hint="eastAsia" w:eastAsia="宋体"/>
          <w:color w:val="auto"/>
          <w:sz w:val="24"/>
          <w:szCs w:val="24"/>
          <w:highlight w:val="none"/>
          <w:lang w:eastAsia="zh-CN"/>
        </w:rPr>
        <w:t>发包人</w:t>
      </w:r>
      <w:r>
        <w:rPr>
          <w:rFonts w:eastAsia="宋体"/>
          <w:color w:val="auto"/>
          <w:sz w:val="24"/>
          <w:szCs w:val="24"/>
          <w:highlight w:val="none"/>
        </w:rPr>
        <w:t>报送施工安全措施计划的期限：</w:t>
      </w:r>
      <w:r>
        <w:rPr>
          <w:rFonts w:eastAsia="宋体"/>
          <w:color w:val="auto"/>
          <w:sz w:val="24"/>
          <w:szCs w:val="24"/>
          <w:highlight w:val="none"/>
          <w:u w:val="single"/>
        </w:rPr>
        <w:t>合同签订后14天内</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hint="default" w:eastAsia="宋体"/>
          <w:color w:val="auto"/>
          <w:sz w:val="24"/>
          <w:szCs w:val="24"/>
          <w:highlight w:val="none"/>
          <w:lang w:val="en-US" w:eastAsia="zh-CN"/>
        </w:rPr>
        <w:t xml:space="preserve">9.1.2. </w:t>
      </w:r>
      <w:r>
        <w:rPr>
          <w:rFonts w:hint="default" w:eastAsia="宋体"/>
          <w:color w:val="auto"/>
          <w:sz w:val="24"/>
          <w:szCs w:val="24"/>
          <w:highlight w:val="none"/>
        </w:rPr>
        <w:t>承包人对</w:t>
      </w:r>
      <w:r>
        <w:rPr>
          <w:rFonts w:hint="eastAsia" w:eastAsia="宋体"/>
          <w:color w:val="auto"/>
          <w:sz w:val="24"/>
          <w:szCs w:val="24"/>
          <w:highlight w:val="none"/>
          <w:u w:val="single"/>
          <w:lang w:eastAsia="zh-CN"/>
        </w:rPr>
        <w:t>粤海江门甘化厂项目新宁街道路及天桥工程</w:t>
      </w:r>
      <w:r>
        <w:rPr>
          <w:rFonts w:hint="default" w:eastAsia="宋体"/>
          <w:color w:val="auto"/>
          <w:sz w:val="24"/>
          <w:szCs w:val="24"/>
          <w:highlight w:val="none"/>
        </w:rPr>
        <w:t>绿色施工安全防护（包括施工安全、治安保卫、环境保护等）组织管理负总责，须对工地内分包人、专业承包人及其他施工单位进行统一管理，应当按规定进行监督、检查、并跟踪落实整改。因安全事故或安全管理问题而引致的损失、被索赔及罚款均由承包人负责，并按本合同约定向发包人承担违约责任。承包人须在中标后提交安全负责人及安全管理团队的名称和资历报</w:t>
      </w:r>
      <w:r>
        <w:rPr>
          <w:rFonts w:hint="eastAsia" w:eastAsia="宋体"/>
          <w:color w:val="auto"/>
          <w:sz w:val="24"/>
          <w:szCs w:val="24"/>
          <w:highlight w:val="none"/>
          <w:lang w:val="en-US" w:eastAsia="zh-CN"/>
        </w:rPr>
        <w:t>发包人</w:t>
      </w:r>
      <w:r>
        <w:rPr>
          <w:rFonts w:hint="default" w:eastAsia="宋体"/>
          <w:color w:val="auto"/>
          <w:sz w:val="24"/>
          <w:szCs w:val="24"/>
          <w:highlight w:val="none"/>
        </w:rPr>
        <w:t>审批</w:t>
      </w:r>
      <w:r>
        <w:rPr>
          <w:rFonts w:hint="eastAsia" w:eastAsia="宋体"/>
          <w:color w:val="auto"/>
          <w:sz w:val="24"/>
          <w:szCs w:val="24"/>
          <w:highlight w:val="none"/>
          <w:lang w:eastAsia="zh-CN"/>
        </w:rPr>
        <w:t>、</w:t>
      </w:r>
      <w:r>
        <w:rPr>
          <w:rFonts w:hint="default" w:eastAsia="宋体"/>
          <w:color w:val="auto"/>
          <w:sz w:val="24"/>
          <w:szCs w:val="24"/>
          <w:highlight w:val="none"/>
        </w:rPr>
        <w:t>备案，安全管理团队应与中标文件保持一致。未经发包人书面同意，承包人不得擅自更换安全负责人，否则承包人应按本合同专用条款</w:t>
      </w:r>
      <w:r>
        <w:rPr>
          <w:rFonts w:eastAsia="宋体"/>
          <w:color w:val="auto"/>
          <w:sz w:val="24"/>
          <w:szCs w:val="24"/>
          <w:highlight w:val="none"/>
        </w:rPr>
        <w:t>22.1</w:t>
      </w:r>
      <w:r>
        <w:rPr>
          <w:rFonts w:hint="default" w:eastAsia="宋体"/>
          <w:color w:val="auto"/>
          <w:sz w:val="24"/>
          <w:szCs w:val="24"/>
          <w:highlight w:val="none"/>
        </w:rPr>
        <w:t>约定</w:t>
      </w:r>
      <w:r>
        <w:rPr>
          <w:rFonts w:eastAsia="宋体"/>
          <w:color w:val="auto"/>
          <w:sz w:val="24"/>
          <w:szCs w:val="24"/>
          <w:highlight w:val="none"/>
        </w:rPr>
        <w:t>支付违约金</w:t>
      </w:r>
      <w:r>
        <w:rPr>
          <w:rFonts w:hint="default" w:eastAsia="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auto"/>
          <w:sz w:val="24"/>
          <w:szCs w:val="24"/>
          <w:highlight w:val="none"/>
        </w:rPr>
      </w:pPr>
      <w:r>
        <w:rPr>
          <w:rFonts w:hint="eastAsia" w:ascii="Times New Roman" w:hAnsi="Times New Roman" w:cs="Times New Roman"/>
          <w:bCs/>
          <w:color w:val="auto"/>
          <w:sz w:val="24"/>
          <w:szCs w:val="24"/>
          <w:highlight w:val="none"/>
          <w:lang w:val="en-US" w:eastAsia="zh-CN"/>
        </w:rPr>
        <w:t>9.1.2.1</w:t>
      </w:r>
      <w:r>
        <w:rPr>
          <w:rFonts w:hint="eastAsia" w:ascii="Times New Roman" w:hAnsi="Times New Roman" w:eastAsia="宋体" w:cs="Times New Roman"/>
          <w:bCs/>
          <w:color w:val="auto"/>
          <w:sz w:val="24"/>
          <w:szCs w:val="24"/>
          <w:highlight w:val="none"/>
        </w:rPr>
        <w:t>发包人对本项目每月开展不少于一次的项目现场检查，对检查发现的</w:t>
      </w:r>
      <w:r>
        <w:rPr>
          <w:rFonts w:hint="eastAsia" w:ascii="Times New Roman" w:hAnsi="Times New Roman" w:cs="Times New Roman"/>
          <w:bCs/>
          <w:color w:val="auto"/>
          <w:sz w:val="24"/>
          <w:szCs w:val="24"/>
          <w:highlight w:val="none"/>
          <w:lang w:eastAsia="zh-CN"/>
        </w:rPr>
        <w:t>承包人（含其分包人）</w:t>
      </w:r>
      <w:r>
        <w:rPr>
          <w:rFonts w:hint="eastAsia" w:ascii="Times New Roman" w:hAnsi="Times New Roman" w:eastAsia="宋体" w:cs="Times New Roman"/>
          <w:bCs/>
          <w:color w:val="auto"/>
          <w:sz w:val="24"/>
          <w:szCs w:val="24"/>
          <w:highlight w:val="none"/>
        </w:rPr>
        <w:t>安全生产违规行为进行扣分。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auto"/>
          <w:sz w:val="24"/>
          <w:szCs w:val="24"/>
          <w:highlight w:val="none"/>
        </w:rPr>
      </w:pPr>
      <w:r>
        <w:rPr>
          <w:rFonts w:hint="eastAsia" w:ascii="Times New Roman" w:hAnsi="Times New Roman" w:cs="Times New Roman"/>
          <w:bCs/>
          <w:color w:val="auto"/>
          <w:sz w:val="24"/>
          <w:szCs w:val="24"/>
          <w:highlight w:val="none"/>
          <w:lang w:val="en-US" w:eastAsia="zh-CN"/>
        </w:rPr>
        <w:t>9.1.2.2</w:t>
      </w:r>
      <w:r>
        <w:rPr>
          <w:rFonts w:hint="eastAsia" w:ascii="Times New Roman" w:hAnsi="Times New Roman" w:cs="Times New Roman"/>
          <w:bCs/>
          <w:color w:val="auto"/>
          <w:sz w:val="24"/>
          <w:szCs w:val="24"/>
          <w:highlight w:val="none"/>
          <w:lang w:eastAsia="zh-CN"/>
        </w:rPr>
        <w:t>承包人（含其分包人）</w:t>
      </w:r>
      <w:r>
        <w:rPr>
          <w:rFonts w:hint="eastAsia" w:ascii="Times New Roman" w:hAnsi="Times New Roman" w:eastAsia="宋体" w:cs="Times New Roman"/>
          <w:bCs/>
          <w:color w:val="auto"/>
          <w:sz w:val="24"/>
          <w:szCs w:val="24"/>
          <w:highlight w:val="none"/>
        </w:rPr>
        <w:t>违规扣分以项目为单位按年度进行累计，计分周期为每年1月1日至12月31日，每年12月31日24:00当年度累计扣分自动归零。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auto"/>
          <w:sz w:val="24"/>
          <w:szCs w:val="24"/>
          <w:highlight w:val="none"/>
        </w:rPr>
      </w:pPr>
      <w:r>
        <w:rPr>
          <w:rFonts w:hint="eastAsia" w:ascii="Times New Roman" w:hAnsi="Times New Roman" w:cs="Times New Roman"/>
          <w:bCs/>
          <w:color w:val="auto"/>
          <w:sz w:val="24"/>
          <w:szCs w:val="24"/>
          <w:highlight w:val="none"/>
          <w:lang w:val="en-US" w:eastAsia="zh-CN"/>
        </w:rPr>
        <w:t>9.1.2.3</w:t>
      </w:r>
      <w:r>
        <w:rPr>
          <w:rFonts w:hint="eastAsia" w:ascii="Times New Roman" w:hAnsi="Times New Roman" w:cs="Times New Roman"/>
          <w:bCs/>
          <w:color w:val="auto"/>
          <w:sz w:val="24"/>
          <w:szCs w:val="24"/>
          <w:highlight w:val="none"/>
          <w:lang w:eastAsia="zh-CN"/>
        </w:rPr>
        <w:t>承包人（含其分包人）</w:t>
      </w:r>
      <w:r>
        <w:rPr>
          <w:rFonts w:hint="eastAsia" w:ascii="Times New Roman" w:hAnsi="Times New Roman" w:eastAsia="宋体" w:cs="Times New Roman"/>
          <w:bCs/>
          <w:color w:val="auto"/>
          <w:sz w:val="24"/>
          <w:szCs w:val="24"/>
          <w:highlight w:val="none"/>
        </w:rPr>
        <w:t>违规扣分情况通过广东粤海控股集团有限公司（发包人上级单位）统一管理，即时统计按月发布。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auto"/>
          <w:sz w:val="24"/>
          <w:szCs w:val="24"/>
          <w:highlight w:val="none"/>
        </w:rPr>
      </w:pPr>
      <w:r>
        <w:rPr>
          <w:rFonts w:hint="eastAsia" w:ascii="Times New Roman" w:hAnsi="Times New Roman" w:cs="Times New Roman"/>
          <w:bCs/>
          <w:color w:val="auto"/>
          <w:sz w:val="24"/>
          <w:szCs w:val="24"/>
          <w:highlight w:val="none"/>
          <w:lang w:val="en-US" w:eastAsia="zh-CN"/>
        </w:rPr>
        <w:t>9.1.2.4</w:t>
      </w:r>
      <w:r>
        <w:rPr>
          <w:rFonts w:hint="eastAsia" w:ascii="Times New Roman" w:hAnsi="Times New Roman" w:eastAsia="宋体" w:cs="Times New Roman"/>
          <w:bCs/>
          <w:color w:val="auto"/>
          <w:sz w:val="24"/>
          <w:szCs w:val="24"/>
          <w:highlight w:val="none"/>
        </w:rPr>
        <w:t>若</w:t>
      </w:r>
      <w:r>
        <w:rPr>
          <w:rFonts w:hint="eastAsia" w:ascii="Times New Roman" w:hAnsi="Times New Roman" w:cs="Times New Roman"/>
          <w:bCs/>
          <w:color w:val="auto"/>
          <w:sz w:val="24"/>
          <w:szCs w:val="24"/>
          <w:highlight w:val="none"/>
          <w:lang w:eastAsia="zh-CN"/>
        </w:rPr>
        <w:t>承包人（含其分包人）</w:t>
      </w:r>
      <w:r>
        <w:rPr>
          <w:rFonts w:hint="eastAsia" w:ascii="Times New Roman" w:hAnsi="Times New Roman" w:eastAsia="宋体" w:cs="Times New Roman"/>
          <w:bCs/>
          <w:color w:val="auto"/>
          <w:sz w:val="24"/>
          <w:szCs w:val="24"/>
          <w:highlight w:val="none"/>
        </w:rPr>
        <w:t>承接的某项目累计扣分N≥12分，发生事故的，将拒绝其参与集团及其附属公司工程项目的投标。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auto"/>
          <w:sz w:val="24"/>
          <w:szCs w:val="24"/>
          <w:highlight w:val="none"/>
        </w:rPr>
      </w:pPr>
      <w:r>
        <w:rPr>
          <w:rFonts w:hint="eastAsia" w:ascii="Times New Roman" w:hAnsi="Times New Roman" w:cs="Times New Roman"/>
          <w:bCs/>
          <w:color w:val="auto"/>
          <w:sz w:val="24"/>
          <w:szCs w:val="24"/>
          <w:highlight w:val="none"/>
          <w:lang w:val="en-US" w:eastAsia="zh-CN"/>
        </w:rPr>
        <w:t>9.1.2.5详见本合同附件14《广东粤海控股集团有限公司工程建设承包商安全生产违规行为管理暂行办法》</w:t>
      </w:r>
      <w:r>
        <w:rPr>
          <w:rFonts w:hint="eastAsia" w:ascii="Times New Roman" w:hAnsi="Times New Roman" w:eastAsia="宋体" w:cs="Times New Roman"/>
          <w:bCs/>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9.1.3. 安全作业环境及安全施工措施所需费用，已包含在本合同暂定总价中，该价格为费率包干金额，除非合同另有约定，不因安全作业环境及安全施工措施内容的变动而变动。</w:t>
      </w:r>
    </w:p>
    <w:p>
      <w:pPr>
        <w:pStyle w:val="52"/>
        <w:ind w:firstLine="480"/>
        <w:jc w:val="both"/>
        <w:rPr>
          <w:rFonts w:eastAsia="宋体"/>
          <w:color w:val="auto"/>
          <w:sz w:val="24"/>
          <w:szCs w:val="24"/>
          <w:highlight w:val="none"/>
        </w:rPr>
      </w:pPr>
      <w:r>
        <w:rPr>
          <w:rFonts w:eastAsia="宋体"/>
          <w:color w:val="auto"/>
          <w:sz w:val="24"/>
          <w:szCs w:val="24"/>
          <w:highlight w:val="none"/>
        </w:rPr>
        <w:t>9.1.4. 承包人应当加强对台风、暴雨、洪水、雷暴等自然灾害的预防。对于因自然灾害可能导致事故灾难的隐患，应当按照有关法律、法规、标准的要求排查治理，采取可靠的预防措施，制定应急预案。在接到有关自然灾害预报时，应当及时发出预警通知;发生自然灾害可能危及人员安全的情况时，应当采取撤离人员、停止作业、加强监测等安全措施，并及时向当地人民政府及其有关部门报告。如承包人未及时采取上述预防措施和安全措施的，造成的损失及扩大损失由承包人承担。</w:t>
      </w:r>
    </w:p>
    <w:p>
      <w:pPr>
        <w:pStyle w:val="52"/>
        <w:ind w:firstLine="480"/>
        <w:jc w:val="both"/>
        <w:rPr>
          <w:rFonts w:eastAsia="宋体"/>
          <w:color w:val="auto"/>
          <w:sz w:val="24"/>
          <w:szCs w:val="24"/>
          <w:highlight w:val="none"/>
        </w:rPr>
      </w:pPr>
      <w:r>
        <w:rPr>
          <w:rFonts w:eastAsia="宋体"/>
          <w:color w:val="auto"/>
          <w:sz w:val="24"/>
          <w:szCs w:val="24"/>
          <w:highlight w:val="none"/>
        </w:rPr>
        <w:t>9.1.5. 承包人应遵守本项目</w:t>
      </w:r>
      <w:r>
        <w:rPr>
          <w:rFonts w:hint="eastAsia" w:eastAsia="宋体"/>
          <w:color w:val="auto"/>
          <w:sz w:val="24"/>
          <w:szCs w:val="24"/>
          <w:highlight w:val="none"/>
          <w:lang w:val="en-US" w:eastAsia="zh-CN"/>
        </w:rPr>
        <w:t>发包人</w:t>
      </w:r>
      <w:r>
        <w:rPr>
          <w:rFonts w:eastAsia="宋体"/>
          <w:color w:val="auto"/>
          <w:sz w:val="24"/>
          <w:szCs w:val="24"/>
          <w:highlight w:val="none"/>
        </w:rPr>
        <w:t>的有关现场安全的相关规定，并按本合同</w:t>
      </w:r>
      <w:r>
        <w:rPr>
          <w:rFonts w:hint="eastAsia" w:eastAsia="宋体"/>
          <w:color w:val="auto"/>
          <w:sz w:val="24"/>
          <w:szCs w:val="24"/>
          <w:highlight w:val="none"/>
          <w:lang w:eastAsia="zh-CN"/>
        </w:rPr>
        <w:t>附件1</w:t>
      </w:r>
      <w:r>
        <w:rPr>
          <w:rFonts w:hint="eastAsia" w:eastAsia="宋体"/>
          <w:color w:val="auto"/>
          <w:sz w:val="24"/>
          <w:szCs w:val="24"/>
          <w:highlight w:val="none"/>
          <w:lang w:val="en-US" w:eastAsia="zh-CN"/>
        </w:rPr>
        <w:t>2</w:t>
      </w:r>
      <w:r>
        <w:rPr>
          <w:rFonts w:hint="eastAsia" w:eastAsia="宋体"/>
          <w:color w:val="auto"/>
          <w:sz w:val="24"/>
          <w:szCs w:val="24"/>
          <w:highlight w:val="none"/>
          <w:lang w:eastAsia="zh-CN"/>
        </w:rPr>
        <w:t>《安全管理专篇》</w:t>
      </w:r>
      <w:r>
        <w:rPr>
          <w:rFonts w:eastAsia="宋体"/>
          <w:color w:val="auto"/>
          <w:sz w:val="24"/>
          <w:szCs w:val="24"/>
          <w:highlight w:val="none"/>
        </w:rPr>
        <w:t>中要求落实其承包范围内的安全措施并负安全责任，违约的应按本合同</w:t>
      </w:r>
      <w:r>
        <w:rPr>
          <w:rFonts w:hint="eastAsia" w:eastAsia="宋体"/>
          <w:color w:val="auto"/>
          <w:sz w:val="24"/>
          <w:szCs w:val="24"/>
          <w:highlight w:val="none"/>
          <w:lang w:eastAsia="zh-CN"/>
        </w:rPr>
        <w:t>附件1</w:t>
      </w:r>
      <w:r>
        <w:rPr>
          <w:rFonts w:hint="eastAsia" w:eastAsia="宋体"/>
          <w:color w:val="auto"/>
          <w:sz w:val="24"/>
          <w:szCs w:val="24"/>
          <w:highlight w:val="none"/>
          <w:lang w:val="en-US" w:eastAsia="zh-CN"/>
        </w:rPr>
        <w:t>2</w:t>
      </w:r>
      <w:r>
        <w:rPr>
          <w:rFonts w:hint="eastAsia" w:eastAsia="宋体"/>
          <w:color w:val="auto"/>
          <w:sz w:val="24"/>
          <w:szCs w:val="24"/>
          <w:highlight w:val="none"/>
          <w:lang w:eastAsia="zh-CN"/>
        </w:rPr>
        <w:t>《安全管理专篇》</w:t>
      </w:r>
      <w:r>
        <w:rPr>
          <w:rFonts w:eastAsia="宋体"/>
          <w:color w:val="auto"/>
          <w:sz w:val="24"/>
          <w:szCs w:val="24"/>
          <w:highlight w:val="none"/>
        </w:rPr>
        <w:t>违约条款向发包人支付违约金。</w:t>
      </w:r>
    </w:p>
    <w:p>
      <w:pPr>
        <w:pStyle w:val="77"/>
        <w:spacing w:before="0" w:after="0"/>
        <w:ind w:firstLine="480"/>
        <w:outlineLvl w:val="1"/>
        <w:rPr>
          <w:rFonts w:eastAsia="宋体"/>
          <w:color w:val="auto"/>
          <w:szCs w:val="24"/>
          <w:highlight w:val="none"/>
        </w:rPr>
      </w:pPr>
      <w:bookmarkStart w:id="1139" w:name="_Toc3355"/>
      <w:bookmarkStart w:id="1140" w:name="_Toc19840"/>
      <w:bookmarkStart w:id="1141" w:name="_Toc44492581"/>
      <w:bookmarkStart w:id="1142" w:name="_Toc24193085"/>
      <w:r>
        <w:rPr>
          <w:rFonts w:eastAsia="宋体"/>
          <w:color w:val="auto"/>
          <w:szCs w:val="24"/>
          <w:highlight w:val="none"/>
        </w:rPr>
        <w:t>9.2.</w:t>
      </w:r>
      <w:r>
        <w:rPr>
          <w:rFonts w:hint="eastAsia" w:eastAsia="宋体"/>
          <w:color w:val="auto"/>
          <w:szCs w:val="24"/>
          <w:highlight w:val="none"/>
        </w:rPr>
        <w:t xml:space="preserve"> </w:t>
      </w:r>
      <w:r>
        <w:rPr>
          <w:rFonts w:eastAsia="宋体"/>
          <w:color w:val="auto"/>
          <w:szCs w:val="24"/>
          <w:highlight w:val="none"/>
        </w:rPr>
        <w:t>治安保卫</w:t>
      </w:r>
      <w:bookmarkEnd w:id="1139"/>
      <w:bookmarkEnd w:id="1140"/>
      <w:bookmarkEnd w:id="1141"/>
      <w:bookmarkEnd w:id="1142"/>
    </w:p>
    <w:p>
      <w:pPr>
        <w:pStyle w:val="52"/>
        <w:ind w:firstLine="480"/>
        <w:jc w:val="both"/>
        <w:rPr>
          <w:rFonts w:eastAsia="宋体"/>
          <w:color w:val="auto"/>
          <w:sz w:val="24"/>
          <w:szCs w:val="24"/>
          <w:highlight w:val="none"/>
        </w:rPr>
      </w:pPr>
      <w:r>
        <w:rPr>
          <w:rFonts w:eastAsia="宋体"/>
          <w:color w:val="auto"/>
          <w:sz w:val="24"/>
          <w:szCs w:val="24"/>
          <w:highlight w:val="none"/>
        </w:rPr>
        <w:t>9.2.1</w:t>
      </w:r>
      <w:r>
        <w:rPr>
          <w:rFonts w:hint="eastAsia" w:eastAsia="宋体"/>
          <w:color w:val="auto"/>
          <w:sz w:val="24"/>
          <w:szCs w:val="24"/>
          <w:highlight w:val="none"/>
        </w:rPr>
        <w:t>.</w:t>
      </w:r>
      <w:r>
        <w:rPr>
          <w:rFonts w:eastAsia="宋体"/>
          <w:color w:val="auto"/>
          <w:sz w:val="24"/>
          <w:szCs w:val="24"/>
          <w:highlight w:val="none"/>
        </w:rPr>
        <w:t xml:space="preserve"> 通用条款</w:t>
      </w:r>
      <w:r>
        <w:rPr>
          <w:rFonts w:hint="eastAsia" w:eastAsia="宋体"/>
          <w:color w:val="auto"/>
          <w:sz w:val="24"/>
          <w:szCs w:val="24"/>
          <w:highlight w:val="none"/>
        </w:rPr>
        <w:t>第</w:t>
      </w:r>
      <w:r>
        <w:rPr>
          <w:rFonts w:eastAsia="宋体"/>
          <w:color w:val="auto"/>
          <w:sz w:val="24"/>
          <w:szCs w:val="24"/>
          <w:highlight w:val="none"/>
        </w:rPr>
        <w:t>9.2.1</w:t>
      </w:r>
      <w:r>
        <w:rPr>
          <w:rFonts w:hint="eastAsia" w:eastAsia="宋体"/>
          <w:color w:val="auto"/>
          <w:sz w:val="24"/>
          <w:szCs w:val="24"/>
          <w:highlight w:val="none"/>
        </w:rPr>
        <w:t>款</w:t>
      </w:r>
      <w:r>
        <w:rPr>
          <w:rFonts w:eastAsia="宋体"/>
          <w:color w:val="auto"/>
          <w:sz w:val="24"/>
          <w:szCs w:val="24"/>
          <w:highlight w:val="none"/>
        </w:rPr>
        <w:t>修订为：承包人除遵守</w:t>
      </w:r>
      <w:r>
        <w:rPr>
          <w:rFonts w:hint="eastAsia" w:eastAsia="宋体"/>
          <w:color w:val="auto"/>
          <w:sz w:val="24"/>
          <w:szCs w:val="24"/>
          <w:highlight w:val="none"/>
          <w:lang w:val="en-US" w:eastAsia="zh-CN"/>
        </w:rPr>
        <w:t>发</w:t>
      </w:r>
      <w:r>
        <w:rPr>
          <w:rFonts w:eastAsia="宋体"/>
          <w:color w:val="auto"/>
          <w:sz w:val="24"/>
          <w:szCs w:val="24"/>
          <w:highlight w:val="none"/>
        </w:rPr>
        <w:t>包人现场治安管理要求并维护施工场地的社会治安外，还应做好其承包范围内（包括生活区在内）的管辖区的治安保卫工作并负直接责任。</w:t>
      </w:r>
    </w:p>
    <w:p>
      <w:pPr>
        <w:pStyle w:val="77"/>
        <w:spacing w:before="0" w:after="0"/>
        <w:ind w:firstLine="480"/>
        <w:outlineLvl w:val="1"/>
        <w:rPr>
          <w:rFonts w:eastAsia="宋体"/>
          <w:color w:val="auto"/>
          <w:szCs w:val="24"/>
          <w:highlight w:val="none"/>
        </w:rPr>
      </w:pPr>
      <w:r>
        <w:rPr>
          <w:rFonts w:eastAsia="宋体"/>
          <w:color w:val="auto"/>
          <w:szCs w:val="24"/>
          <w:highlight w:val="none"/>
        </w:rPr>
        <w:t>9.3.</w:t>
      </w:r>
      <w:r>
        <w:rPr>
          <w:rFonts w:hint="eastAsia" w:eastAsia="宋体"/>
          <w:color w:val="auto"/>
          <w:szCs w:val="24"/>
          <w:highlight w:val="none"/>
        </w:rPr>
        <w:t xml:space="preserve"> </w:t>
      </w:r>
      <w:r>
        <w:rPr>
          <w:rFonts w:eastAsia="宋体"/>
          <w:color w:val="auto"/>
          <w:szCs w:val="24"/>
          <w:highlight w:val="none"/>
        </w:rPr>
        <w:t>环境保护</w:t>
      </w:r>
    </w:p>
    <w:p>
      <w:pPr>
        <w:pStyle w:val="52"/>
        <w:ind w:firstLine="480"/>
        <w:jc w:val="both"/>
        <w:rPr>
          <w:rFonts w:eastAsia="宋体"/>
          <w:color w:val="auto"/>
          <w:sz w:val="24"/>
          <w:szCs w:val="24"/>
          <w:highlight w:val="none"/>
        </w:rPr>
      </w:pPr>
      <w:r>
        <w:rPr>
          <w:rFonts w:eastAsia="宋体"/>
          <w:color w:val="auto"/>
          <w:sz w:val="24"/>
          <w:szCs w:val="24"/>
          <w:highlight w:val="none"/>
        </w:rPr>
        <w:t>9.3.1</w:t>
      </w:r>
      <w:r>
        <w:rPr>
          <w:rFonts w:hint="eastAsia" w:eastAsia="宋体"/>
          <w:color w:val="auto"/>
          <w:sz w:val="24"/>
          <w:szCs w:val="24"/>
          <w:highlight w:val="none"/>
        </w:rPr>
        <w:t>.</w:t>
      </w:r>
      <w:r>
        <w:rPr>
          <w:rFonts w:eastAsia="宋体"/>
          <w:color w:val="auto"/>
          <w:sz w:val="24"/>
          <w:szCs w:val="24"/>
          <w:highlight w:val="none"/>
        </w:rPr>
        <w:t xml:space="preserve"> 承包人应按照当地政府要求，完善各项环境保护措施，相关费用已在合同暂定</w:t>
      </w:r>
      <w:r>
        <w:rPr>
          <w:rFonts w:hint="eastAsia" w:eastAsia="宋体"/>
          <w:color w:val="auto"/>
          <w:sz w:val="24"/>
          <w:szCs w:val="24"/>
          <w:highlight w:val="none"/>
        </w:rPr>
        <w:t>总价中综合考虑，不再另行计取。</w:t>
      </w:r>
    </w:p>
    <w:p>
      <w:pPr>
        <w:pStyle w:val="77"/>
        <w:spacing w:before="0" w:after="0"/>
        <w:ind w:firstLine="480"/>
        <w:outlineLvl w:val="1"/>
        <w:rPr>
          <w:rFonts w:eastAsia="宋体"/>
          <w:color w:val="auto"/>
          <w:szCs w:val="24"/>
          <w:highlight w:val="none"/>
        </w:rPr>
      </w:pPr>
      <w:r>
        <w:rPr>
          <w:rFonts w:eastAsia="宋体"/>
          <w:color w:val="auto"/>
          <w:szCs w:val="24"/>
          <w:highlight w:val="none"/>
        </w:rPr>
        <w:t>9.4.</w:t>
      </w:r>
      <w:r>
        <w:rPr>
          <w:rFonts w:hint="eastAsia" w:eastAsia="宋体"/>
          <w:color w:val="auto"/>
          <w:szCs w:val="24"/>
          <w:highlight w:val="none"/>
        </w:rPr>
        <w:t xml:space="preserve"> </w:t>
      </w:r>
      <w:r>
        <w:rPr>
          <w:rFonts w:eastAsia="宋体"/>
          <w:color w:val="auto"/>
          <w:szCs w:val="24"/>
          <w:highlight w:val="none"/>
        </w:rPr>
        <w:t>事故处理</w:t>
      </w:r>
    </w:p>
    <w:p>
      <w:pPr>
        <w:pStyle w:val="52"/>
        <w:ind w:firstLine="480"/>
        <w:jc w:val="both"/>
        <w:rPr>
          <w:rFonts w:eastAsia="宋体"/>
          <w:color w:val="auto"/>
          <w:sz w:val="24"/>
          <w:szCs w:val="24"/>
          <w:highlight w:val="none"/>
        </w:rPr>
      </w:pPr>
      <w:r>
        <w:rPr>
          <w:rFonts w:eastAsia="宋体"/>
          <w:color w:val="auto"/>
          <w:sz w:val="24"/>
          <w:szCs w:val="24"/>
          <w:highlight w:val="none"/>
        </w:rPr>
        <w:t>9.4.1</w:t>
      </w:r>
      <w:r>
        <w:rPr>
          <w:rFonts w:hint="eastAsia" w:eastAsia="宋体"/>
          <w:color w:val="auto"/>
          <w:sz w:val="24"/>
          <w:szCs w:val="24"/>
          <w:highlight w:val="none"/>
        </w:rPr>
        <w:t>.</w:t>
      </w:r>
      <w:r>
        <w:rPr>
          <w:rFonts w:eastAsia="宋体"/>
          <w:color w:val="auto"/>
          <w:sz w:val="24"/>
          <w:szCs w:val="24"/>
          <w:highlight w:val="none"/>
        </w:rPr>
        <w:t xml:space="preserve"> 本合同有关施工安全、治安保卫和环境保护的事故违约责任按本合同</w:t>
      </w:r>
      <w:r>
        <w:rPr>
          <w:rFonts w:hint="eastAsia" w:eastAsia="宋体"/>
          <w:color w:val="auto"/>
          <w:sz w:val="24"/>
          <w:szCs w:val="24"/>
          <w:highlight w:val="none"/>
          <w:lang w:eastAsia="zh-CN"/>
        </w:rPr>
        <w:t>附件1</w:t>
      </w:r>
      <w:r>
        <w:rPr>
          <w:rFonts w:hint="eastAsia" w:eastAsia="宋体"/>
          <w:color w:val="auto"/>
          <w:sz w:val="24"/>
          <w:szCs w:val="24"/>
          <w:highlight w:val="none"/>
          <w:lang w:val="en-US" w:eastAsia="zh-CN"/>
        </w:rPr>
        <w:t>2</w:t>
      </w:r>
      <w:r>
        <w:rPr>
          <w:rFonts w:hint="eastAsia" w:eastAsia="宋体"/>
          <w:color w:val="auto"/>
          <w:sz w:val="24"/>
          <w:szCs w:val="24"/>
          <w:highlight w:val="none"/>
          <w:lang w:eastAsia="zh-CN"/>
        </w:rPr>
        <w:t>《安全管理专篇》</w:t>
      </w:r>
      <w:r>
        <w:rPr>
          <w:rFonts w:eastAsia="宋体"/>
          <w:color w:val="auto"/>
          <w:sz w:val="24"/>
          <w:szCs w:val="24"/>
          <w:highlight w:val="none"/>
        </w:rPr>
        <w:t>及本合同其他条款及附件约定执行。</w:t>
      </w:r>
    </w:p>
    <w:p>
      <w:pPr>
        <w:pStyle w:val="52"/>
        <w:ind w:firstLine="480"/>
        <w:jc w:val="both"/>
        <w:outlineLvl w:val="1"/>
        <w:rPr>
          <w:rFonts w:eastAsia="宋体"/>
          <w:bCs/>
          <w:color w:val="auto"/>
          <w:kern w:val="2"/>
          <w:sz w:val="24"/>
          <w:szCs w:val="24"/>
          <w:highlight w:val="none"/>
        </w:rPr>
      </w:pPr>
      <w:r>
        <w:rPr>
          <w:rFonts w:eastAsia="宋体"/>
          <w:bCs/>
          <w:color w:val="auto"/>
          <w:kern w:val="2"/>
          <w:sz w:val="24"/>
          <w:szCs w:val="24"/>
          <w:highlight w:val="none"/>
        </w:rPr>
        <w:t>9.5</w:t>
      </w:r>
      <w:r>
        <w:rPr>
          <w:rFonts w:hint="eastAsia" w:eastAsia="宋体"/>
          <w:bCs/>
          <w:color w:val="auto"/>
          <w:kern w:val="2"/>
          <w:sz w:val="24"/>
          <w:szCs w:val="24"/>
          <w:highlight w:val="none"/>
        </w:rPr>
        <w:t xml:space="preserve">. </w:t>
      </w:r>
      <w:r>
        <w:rPr>
          <w:rFonts w:eastAsia="宋体"/>
          <w:bCs/>
          <w:color w:val="auto"/>
          <w:kern w:val="2"/>
          <w:sz w:val="24"/>
          <w:szCs w:val="24"/>
          <w:highlight w:val="none"/>
        </w:rPr>
        <w:t>绿色施工安全防护措施</w:t>
      </w:r>
    </w:p>
    <w:p>
      <w:pPr>
        <w:pStyle w:val="52"/>
        <w:ind w:firstLine="480"/>
        <w:jc w:val="both"/>
        <w:rPr>
          <w:rFonts w:eastAsia="宋体"/>
          <w:color w:val="auto"/>
          <w:sz w:val="24"/>
          <w:szCs w:val="24"/>
          <w:highlight w:val="none"/>
        </w:rPr>
      </w:pPr>
      <w:r>
        <w:rPr>
          <w:rFonts w:eastAsia="宋体"/>
          <w:color w:val="auto"/>
          <w:sz w:val="24"/>
          <w:szCs w:val="24"/>
          <w:highlight w:val="none"/>
        </w:rPr>
        <w:t>9.5.1</w:t>
      </w:r>
      <w:r>
        <w:rPr>
          <w:rFonts w:hint="eastAsia" w:eastAsia="宋体"/>
          <w:color w:val="auto"/>
          <w:sz w:val="24"/>
          <w:szCs w:val="24"/>
          <w:highlight w:val="none"/>
        </w:rPr>
        <w:t xml:space="preserve">. </w:t>
      </w:r>
      <w:r>
        <w:rPr>
          <w:rFonts w:eastAsia="宋体"/>
          <w:color w:val="auto"/>
          <w:sz w:val="24"/>
          <w:szCs w:val="24"/>
          <w:highlight w:val="none"/>
        </w:rPr>
        <w:t>承包人的绿色施工安全防护措施除满足国家、规章、规范及当地相关政府主管部门要求外，还需满足以下要求：</w:t>
      </w:r>
    </w:p>
    <w:p>
      <w:pPr>
        <w:pStyle w:val="52"/>
        <w:ind w:firstLine="480"/>
        <w:jc w:val="both"/>
        <w:rPr>
          <w:rFonts w:eastAsia="宋体"/>
          <w:color w:val="auto"/>
          <w:sz w:val="24"/>
          <w:szCs w:val="24"/>
          <w:highlight w:val="none"/>
        </w:rPr>
      </w:pPr>
      <w:r>
        <w:rPr>
          <w:rFonts w:eastAsia="宋体"/>
          <w:color w:val="auto"/>
          <w:sz w:val="24"/>
          <w:szCs w:val="24"/>
          <w:highlight w:val="none"/>
        </w:rPr>
        <w:t>（1）承包人应严格遵守国家及地方政府颁发的安全施工、文明施工等规范、条例。</w:t>
      </w:r>
      <w:r>
        <w:rPr>
          <w:rFonts w:hint="eastAsia" w:eastAsia="宋体"/>
          <w:color w:val="auto"/>
          <w:sz w:val="24"/>
          <w:szCs w:val="24"/>
          <w:highlight w:val="none"/>
          <w:lang w:eastAsia="zh-CN"/>
        </w:rPr>
        <w:t>发包人</w:t>
      </w:r>
      <w:r>
        <w:rPr>
          <w:rFonts w:eastAsia="宋体"/>
          <w:color w:val="auto"/>
          <w:sz w:val="24"/>
          <w:szCs w:val="24"/>
          <w:highlight w:val="none"/>
        </w:rPr>
        <w:t>的现场施工管理规定是本合同的组成部分，承包人有义务遵守。承包人施工用设施的搭设应报</w:t>
      </w:r>
      <w:r>
        <w:rPr>
          <w:rFonts w:hint="eastAsia" w:eastAsia="宋体"/>
          <w:color w:val="auto"/>
          <w:sz w:val="24"/>
          <w:szCs w:val="24"/>
          <w:highlight w:val="none"/>
          <w:lang w:val="en-US" w:eastAsia="zh-CN"/>
        </w:rPr>
        <w:t>发包人</w:t>
      </w:r>
      <w:r>
        <w:rPr>
          <w:rFonts w:eastAsia="宋体"/>
          <w:color w:val="auto"/>
          <w:sz w:val="24"/>
          <w:szCs w:val="24"/>
          <w:highlight w:val="none"/>
        </w:rPr>
        <w:t>批准。</w:t>
      </w:r>
    </w:p>
    <w:p>
      <w:pPr>
        <w:pStyle w:val="52"/>
        <w:ind w:firstLine="480"/>
        <w:jc w:val="both"/>
        <w:rPr>
          <w:rFonts w:eastAsia="宋体"/>
          <w:color w:val="auto"/>
          <w:sz w:val="24"/>
          <w:szCs w:val="24"/>
          <w:highlight w:val="none"/>
        </w:rPr>
      </w:pPr>
      <w:r>
        <w:rPr>
          <w:rFonts w:eastAsia="宋体"/>
          <w:color w:val="auto"/>
          <w:sz w:val="24"/>
          <w:szCs w:val="24"/>
          <w:highlight w:val="none"/>
        </w:rPr>
        <w:t>（2）承包人现场办公室应配置安全、完好的办公设备，包括复印机、电脑、打印机、传真机等。</w:t>
      </w:r>
    </w:p>
    <w:p>
      <w:pPr>
        <w:pStyle w:val="52"/>
        <w:ind w:firstLine="480"/>
        <w:jc w:val="both"/>
        <w:rPr>
          <w:rFonts w:eastAsia="宋体"/>
          <w:color w:val="auto"/>
          <w:sz w:val="24"/>
          <w:szCs w:val="24"/>
          <w:highlight w:val="none"/>
        </w:rPr>
      </w:pPr>
      <w:r>
        <w:rPr>
          <w:rFonts w:eastAsia="宋体"/>
          <w:color w:val="auto"/>
          <w:sz w:val="24"/>
          <w:szCs w:val="24"/>
          <w:highlight w:val="none"/>
        </w:rPr>
        <w:t>（3）承包人全体现场施工人员应统一管理，全部施工人员应佩带工作牌。</w:t>
      </w:r>
    </w:p>
    <w:p>
      <w:pPr>
        <w:pStyle w:val="52"/>
        <w:ind w:firstLine="480"/>
        <w:jc w:val="both"/>
        <w:rPr>
          <w:rFonts w:eastAsia="宋体"/>
          <w:color w:val="auto"/>
          <w:sz w:val="24"/>
          <w:szCs w:val="24"/>
          <w:highlight w:val="none"/>
        </w:rPr>
      </w:pPr>
      <w:r>
        <w:rPr>
          <w:rFonts w:eastAsia="宋体"/>
          <w:color w:val="auto"/>
          <w:sz w:val="24"/>
          <w:szCs w:val="24"/>
          <w:highlight w:val="none"/>
        </w:rPr>
        <w:t>（4）施工期间，所有机械、工具、材料等应堆放整齐，场地平整。施工过程中承包人承包范围内每个楼层的多余材料、建筑垃圾必须通过井架或垃圾槽运输到</w:t>
      </w:r>
      <w:r>
        <w:rPr>
          <w:rFonts w:hint="eastAsia" w:eastAsia="宋体"/>
          <w:color w:val="auto"/>
          <w:sz w:val="24"/>
          <w:szCs w:val="24"/>
          <w:highlight w:val="none"/>
          <w:lang w:val="en-US" w:eastAsia="zh-CN"/>
        </w:rPr>
        <w:t>发</w:t>
      </w:r>
      <w:r>
        <w:rPr>
          <w:rFonts w:eastAsia="宋体"/>
          <w:color w:val="auto"/>
          <w:sz w:val="24"/>
          <w:szCs w:val="24"/>
          <w:highlight w:val="none"/>
        </w:rPr>
        <w:t>包人指定位置，严禁从高空直接向下抛物，所有绿色施工安全防护措施标注必须符合规范、当地政府主管部门、</w:t>
      </w:r>
      <w:r>
        <w:rPr>
          <w:rFonts w:hint="eastAsia" w:eastAsia="宋体"/>
          <w:color w:val="auto"/>
          <w:sz w:val="24"/>
          <w:szCs w:val="24"/>
          <w:highlight w:val="none"/>
          <w:lang w:eastAsia="zh-CN"/>
        </w:rPr>
        <w:t>发包人</w:t>
      </w:r>
      <w:r>
        <w:rPr>
          <w:rFonts w:eastAsia="宋体"/>
          <w:color w:val="auto"/>
          <w:sz w:val="24"/>
          <w:szCs w:val="24"/>
          <w:highlight w:val="none"/>
        </w:rPr>
        <w:t>要求。文明施工措施费应包含在投标报价中，若漏报，则视为让利</w:t>
      </w:r>
      <w:r>
        <w:rPr>
          <w:rFonts w:hint="eastAsia" w:eastAsia="宋体"/>
          <w:color w:val="auto"/>
          <w:sz w:val="24"/>
          <w:szCs w:val="24"/>
          <w:highlight w:val="none"/>
        </w:rPr>
        <w:t>，发包人不再另行支付</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（5）施工用设备及场地要求具体要求包括不限于以下内容：</w:t>
      </w:r>
    </w:p>
    <w:p>
      <w:pPr>
        <w:pStyle w:val="52"/>
        <w:ind w:firstLine="480"/>
        <w:jc w:val="both"/>
        <w:rPr>
          <w:rFonts w:eastAsia="宋体"/>
          <w:color w:val="auto"/>
          <w:sz w:val="24"/>
          <w:szCs w:val="24"/>
          <w:highlight w:val="none"/>
        </w:rPr>
      </w:pPr>
      <w:r>
        <w:rPr>
          <w:rFonts w:eastAsia="宋体"/>
          <w:color w:val="auto"/>
          <w:sz w:val="24"/>
          <w:szCs w:val="24"/>
          <w:highlight w:val="none"/>
        </w:rPr>
        <w:t>1）现场临电的低压配电系统均必须为三相五线制，承包人的现场用电必须至少有两级漏电开关，分包人的漏电开关必须至少接在承包人其中一级的漏电开关之后。承包人对分包人用电进行管理，违反上述约定应对承包人进行处罚。</w:t>
      </w:r>
    </w:p>
    <w:p>
      <w:pPr>
        <w:pStyle w:val="52"/>
        <w:ind w:firstLine="480"/>
        <w:jc w:val="both"/>
        <w:rPr>
          <w:rFonts w:eastAsia="宋体"/>
          <w:color w:val="auto"/>
          <w:sz w:val="24"/>
          <w:szCs w:val="24"/>
          <w:highlight w:val="none"/>
        </w:rPr>
      </w:pPr>
      <w:r>
        <w:rPr>
          <w:rFonts w:eastAsia="宋体"/>
          <w:color w:val="auto"/>
          <w:sz w:val="24"/>
          <w:szCs w:val="24"/>
          <w:highlight w:val="none"/>
        </w:rPr>
        <w:t>2）须</w:t>
      </w:r>
      <w:r>
        <w:rPr>
          <w:rFonts w:hint="eastAsia" w:eastAsia="宋体"/>
          <w:color w:val="auto"/>
          <w:sz w:val="24"/>
          <w:szCs w:val="24"/>
          <w:highlight w:val="none"/>
          <w:lang w:val="en-US" w:eastAsia="zh-CN"/>
        </w:rPr>
        <w:t>确保</w:t>
      </w:r>
      <w:r>
        <w:rPr>
          <w:rFonts w:eastAsia="宋体"/>
          <w:color w:val="auto"/>
          <w:sz w:val="24"/>
          <w:szCs w:val="24"/>
          <w:highlight w:val="none"/>
        </w:rPr>
        <w:t>带有泥土的车辆经冲洗后才能驶入城市街道。</w:t>
      </w:r>
    </w:p>
    <w:p>
      <w:pPr>
        <w:pStyle w:val="52"/>
        <w:ind w:firstLine="480"/>
        <w:jc w:val="both"/>
        <w:rPr>
          <w:rFonts w:eastAsia="宋体"/>
          <w:color w:val="auto"/>
          <w:sz w:val="24"/>
          <w:szCs w:val="24"/>
          <w:highlight w:val="none"/>
        </w:rPr>
      </w:pPr>
      <w:r>
        <w:rPr>
          <w:rFonts w:eastAsia="宋体"/>
          <w:color w:val="auto"/>
          <w:sz w:val="24"/>
          <w:szCs w:val="24"/>
          <w:highlight w:val="none"/>
        </w:rPr>
        <w:t>3）承包人进场后不按上述要求施工的，则发包人有权委托第三方单位施工，并扣减承包人对应的合同价款。同时，承包人应按第三方施工单位所有实际施工费用的2倍向发包人支付违约金，且发包人有权从向承包人支付的工程款中直接扣减。</w:t>
      </w:r>
    </w:p>
    <w:p>
      <w:pPr>
        <w:pStyle w:val="52"/>
        <w:ind w:firstLine="480"/>
        <w:jc w:val="both"/>
        <w:rPr>
          <w:rFonts w:eastAsia="宋体"/>
          <w:color w:val="auto"/>
          <w:sz w:val="24"/>
          <w:szCs w:val="24"/>
          <w:highlight w:val="none"/>
        </w:rPr>
      </w:pPr>
      <w:r>
        <w:rPr>
          <w:rFonts w:eastAsia="宋体"/>
          <w:color w:val="auto"/>
          <w:sz w:val="24"/>
          <w:szCs w:val="24"/>
          <w:highlight w:val="none"/>
        </w:rPr>
        <w:t>4）对于</w:t>
      </w:r>
      <w:r>
        <w:rPr>
          <w:rFonts w:hint="eastAsia" w:eastAsia="宋体"/>
          <w:color w:val="auto"/>
          <w:sz w:val="24"/>
          <w:szCs w:val="24"/>
          <w:highlight w:val="none"/>
          <w:lang w:eastAsia="zh-CN"/>
        </w:rPr>
        <w:t>发包人</w:t>
      </w:r>
      <w:r>
        <w:rPr>
          <w:rFonts w:eastAsia="宋体"/>
          <w:color w:val="auto"/>
          <w:sz w:val="24"/>
          <w:szCs w:val="24"/>
          <w:highlight w:val="none"/>
        </w:rPr>
        <w:t>下发的安全文明整改通知单，承包人必须无条件予以整改并达到发包人验收要求，否则按违约处理，发包人有权利在承包人应付工程款中直接扣除相应的违约金。</w:t>
      </w:r>
    </w:p>
    <w:p>
      <w:pPr>
        <w:pStyle w:val="52"/>
        <w:ind w:firstLine="480"/>
        <w:jc w:val="both"/>
        <w:rPr>
          <w:rFonts w:eastAsia="宋体"/>
          <w:color w:val="auto"/>
          <w:sz w:val="24"/>
          <w:szCs w:val="24"/>
          <w:highlight w:val="none"/>
        </w:rPr>
      </w:pPr>
      <w:r>
        <w:rPr>
          <w:rFonts w:eastAsia="宋体"/>
          <w:color w:val="auto"/>
          <w:sz w:val="24"/>
          <w:szCs w:val="24"/>
          <w:highlight w:val="none"/>
        </w:rPr>
        <w:t>5）承包人为本合同承包范围内的现场绿色施工安全防护措施的责任单位，有权利和责任管理其项下分包的绿色施工安全防护措施并应与分包</w:t>
      </w:r>
      <w:r>
        <w:rPr>
          <w:rFonts w:hint="eastAsia" w:eastAsia="宋体"/>
          <w:color w:val="auto"/>
          <w:sz w:val="24"/>
          <w:szCs w:val="24"/>
          <w:highlight w:val="none"/>
        </w:rPr>
        <w:t>人</w:t>
      </w:r>
      <w:r>
        <w:rPr>
          <w:rFonts w:eastAsia="宋体"/>
          <w:color w:val="auto"/>
          <w:sz w:val="24"/>
          <w:szCs w:val="24"/>
          <w:highlight w:val="none"/>
        </w:rPr>
        <w:t>在进场后15天内签</w:t>
      </w:r>
      <w:r>
        <w:rPr>
          <w:rFonts w:hint="eastAsia" w:eastAsia="宋体"/>
          <w:color w:val="auto"/>
          <w:sz w:val="24"/>
          <w:szCs w:val="24"/>
          <w:highlight w:val="none"/>
        </w:rPr>
        <w:t>订</w:t>
      </w:r>
      <w:r>
        <w:rPr>
          <w:rFonts w:eastAsia="宋体"/>
          <w:color w:val="auto"/>
          <w:sz w:val="24"/>
          <w:szCs w:val="24"/>
          <w:highlight w:val="none"/>
        </w:rPr>
        <w:t>绿色施工安全防护措施协议，该协议需报</w:t>
      </w:r>
      <w:r>
        <w:rPr>
          <w:rFonts w:hint="eastAsia" w:eastAsia="宋体"/>
          <w:color w:val="auto"/>
          <w:sz w:val="24"/>
          <w:szCs w:val="24"/>
          <w:highlight w:val="none"/>
          <w:lang w:eastAsia="zh-CN"/>
        </w:rPr>
        <w:t>发包人</w:t>
      </w:r>
      <w:r>
        <w:rPr>
          <w:rFonts w:eastAsia="宋体"/>
          <w:color w:val="auto"/>
          <w:sz w:val="24"/>
          <w:szCs w:val="24"/>
          <w:highlight w:val="none"/>
        </w:rPr>
        <w:t>审核及备案，因承包人对各分包人缺乏安全监管或防控的原因，造成安全事故的和财产损失的，承包人应承担连带责任。相应的费用由承包人在报价中综合考虑。</w:t>
      </w:r>
    </w:p>
    <w:p>
      <w:pPr>
        <w:pStyle w:val="52"/>
        <w:ind w:firstLine="480"/>
        <w:jc w:val="both"/>
        <w:rPr>
          <w:rFonts w:eastAsia="宋体"/>
          <w:color w:val="auto"/>
          <w:sz w:val="24"/>
          <w:szCs w:val="24"/>
          <w:highlight w:val="none"/>
        </w:rPr>
      </w:pPr>
      <w:r>
        <w:rPr>
          <w:rFonts w:eastAsia="宋体"/>
          <w:color w:val="auto"/>
          <w:sz w:val="24"/>
          <w:szCs w:val="24"/>
          <w:highlight w:val="none"/>
        </w:rPr>
        <w:t>6）施工和生活照明用电线路乱接、乱拉、无插头，不符合要求的，发包人有权根据每处情节严重程度要求承包人支付违约金1000～3000元。</w:t>
      </w:r>
    </w:p>
    <w:p>
      <w:pPr>
        <w:pStyle w:val="52"/>
        <w:ind w:firstLine="480"/>
        <w:jc w:val="both"/>
        <w:rPr>
          <w:rFonts w:eastAsia="宋体"/>
          <w:color w:val="auto"/>
          <w:sz w:val="24"/>
          <w:szCs w:val="24"/>
          <w:highlight w:val="none"/>
        </w:rPr>
      </w:pPr>
      <w:r>
        <w:rPr>
          <w:rFonts w:eastAsia="宋体"/>
          <w:color w:val="auto"/>
          <w:sz w:val="24"/>
          <w:szCs w:val="24"/>
          <w:highlight w:val="none"/>
        </w:rPr>
        <w:t>7）承包人全体现场施工人员用餐必需到指定食堂或者划分的指定区域，发现违规者发包人有权处罚每人每次100～500元。</w:t>
      </w:r>
    </w:p>
    <w:p>
      <w:pPr>
        <w:pStyle w:val="52"/>
        <w:ind w:firstLine="480"/>
        <w:jc w:val="both"/>
        <w:rPr>
          <w:rFonts w:eastAsia="宋体"/>
          <w:color w:val="auto"/>
          <w:sz w:val="24"/>
          <w:szCs w:val="24"/>
          <w:highlight w:val="none"/>
        </w:rPr>
      </w:pPr>
      <w:r>
        <w:rPr>
          <w:rFonts w:eastAsia="宋体"/>
          <w:color w:val="auto"/>
          <w:sz w:val="24"/>
          <w:szCs w:val="24"/>
          <w:highlight w:val="none"/>
        </w:rPr>
        <w:t>9.5.2</w:t>
      </w:r>
      <w:r>
        <w:rPr>
          <w:rFonts w:hint="eastAsia" w:eastAsia="宋体"/>
          <w:color w:val="auto"/>
          <w:sz w:val="24"/>
          <w:szCs w:val="24"/>
          <w:highlight w:val="none"/>
        </w:rPr>
        <w:t>.</w:t>
      </w:r>
      <w:r>
        <w:rPr>
          <w:rFonts w:eastAsia="宋体"/>
          <w:color w:val="auto"/>
          <w:sz w:val="24"/>
          <w:szCs w:val="24"/>
          <w:highlight w:val="none"/>
        </w:rPr>
        <w:t xml:space="preserve"> 承包人应遵守国家有关环境保护、卫生监督的法律，按照合同约定采取有效措施，保证施工场地达到环境保护、卫生部门的管理要求。在本工程竣工验收及场地移交后的10天内，清理现场，运走全部施工设备、剩余材料和垃圾，保持施工场地和合同工程的清洁整齐。否则，发包人可自行处理或委托第三方处理留下的物品，所得金额在扣除由此发生的清理处置费用之后，将余额退还给承包人。</w:t>
      </w:r>
    </w:p>
    <w:p>
      <w:pPr>
        <w:pStyle w:val="52"/>
        <w:ind w:firstLine="480"/>
        <w:jc w:val="both"/>
        <w:outlineLvl w:val="1"/>
        <w:rPr>
          <w:rFonts w:eastAsia="宋体"/>
          <w:bCs/>
          <w:color w:val="auto"/>
          <w:kern w:val="2"/>
          <w:sz w:val="24"/>
          <w:szCs w:val="24"/>
          <w:highlight w:val="none"/>
        </w:rPr>
      </w:pPr>
      <w:r>
        <w:rPr>
          <w:rFonts w:eastAsia="宋体"/>
          <w:bCs/>
          <w:color w:val="auto"/>
          <w:kern w:val="2"/>
          <w:sz w:val="24"/>
          <w:szCs w:val="24"/>
          <w:highlight w:val="none"/>
        </w:rPr>
        <w:t>9.6</w:t>
      </w:r>
      <w:r>
        <w:rPr>
          <w:rFonts w:hint="eastAsia" w:eastAsia="宋体"/>
          <w:bCs/>
          <w:color w:val="auto"/>
          <w:kern w:val="2"/>
          <w:sz w:val="24"/>
          <w:szCs w:val="24"/>
          <w:highlight w:val="none"/>
        </w:rPr>
        <w:t xml:space="preserve">. </w:t>
      </w:r>
      <w:r>
        <w:rPr>
          <w:rFonts w:eastAsia="宋体"/>
          <w:bCs/>
          <w:color w:val="auto"/>
          <w:kern w:val="2"/>
          <w:sz w:val="24"/>
          <w:szCs w:val="24"/>
          <w:highlight w:val="none"/>
        </w:rPr>
        <w:t xml:space="preserve">安全管理机构及人员配备要求 </w:t>
      </w:r>
    </w:p>
    <w:p>
      <w:pPr>
        <w:pStyle w:val="52"/>
        <w:ind w:firstLine="480"/>
        <w:jc w:val="both"/>
        <w:rPr>
          <w:rFonts w:eastAsia="宋体"/>
          <w:color w:val="auto"/>
          <w:sz w:val="24"/>
          <w:szCs w:val="24"/>
          <w:highlight w:val="none"/>
        </w:rPr>
      </w:pPr>
      <w:r>
        <w:rPr>
          <w:rFonts w:eastAsia="宋体"/>
          <w:color w:val="auto"/>
          <w:sz w:val="24"/>
          <w:szCs w:val="24"/>
          <w:highlight w:val="none"/>
        </w:rPr>
        <w:t>9.6.1</w:t>
      </w:r>
      <w:r>
        <w:rPr>
          <w:rFonts w:hint="eastAsia" w:eastAsia="宋体"/>
          <w:color w:val="auto"/>
          <w:sz w:val="24"/>
          <w:szCs w:val="24"/>
          <w:highlight w:val="none"/>
        </w:rPr>
        <w:t xml:space="preserve">. </w:t>
      </w:r>
      <w:r>
        <w:rPr>
          <w:rFonts w:eastAsia="宋体"/>
          <w:color w:val="auto"/>
          <w:sz w:val="24"/>
          <w:szCs w:val="24"/>
          <w:highlight w:val="none"/>
        </w:rPr>
        <w:t>承包人必须达到《建筑施工企业安全生产管理机构设置及专职安全生产管理人员配备办法》要求，配备足够专职安全生产管理人员。</w:t>
      </w:r>
    </w:p>
    <w:p>
      <w:pPr>
        <w:pStyle w:val="52"/>
        <w:ind w:firstLine="480"/>
        <w:jc w:val="both"/>
        <w:rPr>
          <w:rFonts w:eastAsia="宋体"/>
          <w:color w:val="auto"/>
          <w:sz w:val="24"/>
          <w:szCs w:val="24"/>
          <w:highlight w:val="none"/>
        </w:rPr>
      </w:pPr>
      <w:r>
        <w:rPr>
          <w:rFonts w:eastAsia="宋体"/>
          <w:color w:val="auto"/>
          <w:sz w:val="24"/>
          <w:szCs w:val="24"/>
          <w:highlight w:val="none"/>
        </w:rPr>
        <w:t>9.6.2</w:t>
      </w:r>
      <w:r>
        <w:rPr>
          <w:rFonts w:hint="eastAsia" w:eastAsia="宋体"/>
          <w:color w:val="auto"/>
          <w:sz w:val="24"/>
          <w:szCs w:val="24"/>
          <w:highlight w:val="none"/>
        </w:rPr>
        <w:t xml:space="preserve">. </w:t>
      </w:r>
      <w:r>
        <w:rPr>
          <w:rFonts w:eastAsia="宋体"/>
          <w:color w:val="auto"/>
          <w:sz w:val="24"/>
          <w:szCs w:val="24"/>
          <w:highlight w:val="none"/>
        </w:rPr>
        <w:t>如不能达到安全管理要求的岗位能力，发包人有权要求更换安全管理人员，承包</w:t>
      </w:r>
      <w:r>
        <w:rPr>
          <w:rFonts w:hint="eastAsia" w:eastAsia="宋体"/>
          <w:color w:val="auto"/>
          <w:sz w:val="24"/>
          <w:szCs w:val="24"/>
          <w:highlight w:val="none"/>
        </w:rPr>
        <w:t>人</w:t>
      </w:r>
      <w:r>
        <w:rPr>
          <w:rFonts w:eastAsia="宋体"/>
          <w:color w:val="auto"/>
          <w:sz w:val="24"/>
          <w:szCs w:val="24"/>
          <w:highlight w:val="none"/>
        </w:rPr>
        <w:t>必须无条件执行。</w:t>
      </w:r>
    </w:p>
    <w:p>
      <w:pPr>
        <w:pStyle w:val="52"/>
        <w:ind w:firstLine="480"/>
        <w:jc w:val="both"/>
        <w:outlineLvl w:val="1"/>
        <w:rPr>
          <w:rFonts w:eastAsia="宋体"/>
          <w:bCs/>
          <w:color w:val="auto"/>
          <w:kern w:val="2"/>
          <w:sz w:val="24"/>
          <w:szCs w:val="24"/>
          <w:highlight w:val="none"/>
        </w:rPr>
      </w:pPr>
      <w:r>
        <w:rPr>
          <w:rFonts w:eastAsia="宋体"/>
          <w:bCs/>
          <w:color w:val="auto"/>
          <w:kern w:val="2"/>
          <w:sz w:val="24"/>
          <w:szCs w:val="24"/>
          <w:highlight w:val="none"/>
        </w:rPr>
        <w:t>9.7</w:t>
      </w:r>
      <w:r>
        <w:rPr>
          <w:rFonts w:hint="eastAsia" w:eastAsia="宋体"/>
          <w:bCs/>
          <w:color w:val="auto"/>
          <w:kern w:val="2"/>
          <w:sz w:val="24"/>
          <w:szCs w:val="24"/>
          <w:highlight w:val="none"/>
        </w:rPr>
        <w:t xml:space="preserve">. </w:t>
      </w:r>
      <w:r>
        <w:rPr>
          <w:rFonts w:eastAsia="宋体"/>
          <w:bCs/>
          <w:color w:val="auto"/>
          <w:kern w:val="2"/>
          <w:sz w:val="24"/>
          <w:szCs w:val="24"/>
          <w:highlight w:val="none"/>
        </w:rPr>
        <w:t>施工准备阶段的安全生产工作</w:t>
      </w:r>
    </w:p>
    <w:p>
      <w:pPr>
        <w:pStyle w:val="52"/>
        <w:ind w:firstLine="480"/>
        <w:jc w:val="both"/>
        <w:rPr>
          <w:rFonts w:eastAsia="宋体"/>
          <w:color w:val="auto"/>
          <w:sz w:val="24"/>
          <w:szCs w:val="24"/>
          <w:highlight w:val="none"/>
        </w:rPr>
      </w:pPr>
      <w:r>
        <w:rPr>
          <w:rFonts w:eastAsia="宋体"/>
          <w:color w:val="auto"/>
          <w:sz w:val="24"/>
          <w:szCs w:val="24"/>
          <w:highlight w:val="none"/>
        </w:rPr>
        <w:t>9.7.1</w:t>
      </w:r>
      <w:r>
        <w:rPr>
          <w:rFonts w:hint="eastAsia" w:eastAsia="宋体"/>
          <w:color w:val="auto"/>
          <w:sz w:val="24"/>
          <w:szCs w:val="24"/>
          <w:highlight w:val="none"/>
        </w:rPr>
        <w:t xml:space="preserve">. </w:t>
      </w:r>
      <w:r>
        <w:rPr>
          <w:rFonts w:eastAsia="宋体"/>
          <w:color w:val="auto"/>
          <w:sz w:val="24"/>
          <w:szCs w:val="24"/>
          <w:highlight w:val="none"/>
        </w:rPr>
        <w:t>严格贯彻住建部令37号《危险性较大的分部分项工程安全管理规定》要求，施工前必须编制施工组织设计（方案）、专项工程施工方案和安全生产保证措施；组织专家评审危险性较大的专项工程施工方案，评审未通过的不得进入施工阶段。</w:t>
      </w:r>
    </w:p>
    <w:p>
      <w:pPr>
        <w:pStyle w:val="52"/>
        <w:ind w:firstLine="480"/>
        <w:jc w:val="both"/>
        <w:rPr>
          <w:rFonts w:eastAsia="宋体"/>
          <w:color w:val="auto"/>
          <w:sz w:val="24"/>
          <w:szCs w:val="24"/>
          <w:highlight w:val="none"/>
        </w:rPr>
      </w:pPr>
      <w:r>
        <w:rPr>
          <w:rFonts w:eastAsia="宋体"/>
          <w:color w:val="auto"/>
          <w:sz w:val="24"/>
          <w:szCs w:val="24"/>
          <w:highlight w:val="none"/>
        </w:rPr>
        <w:t>9.7.2</w:t>
      </w:r>
      <w:r>
        <w:rPr>
          <w:rFonts w:hint="eastAsia" w:eastAsia="宋体"/>
          <w:color w:val="auto"/>
          <w:sz w:val="24"/>
          <w:szCs w:val="24"/>
          <w:highlight w:val="none"/>
        </w:rPr>
        <w:t xml:space="preserve">. </w:t>
      </w:r>
      <w:r>
        <w:rPr>
          <w:rFonts w:eastAsia="宋体"/>
          <w:color w:val="auto"/>
          <w:sz w:val="24"/>
          <w:szCs w:val="24"/>
          <w:highlight w:val="none"/>
        </w:rPr>
        <w:t>建立健全工程安全生产责任制度、安全生产保证体系，根据工程施工特点，配备相应职业资格等级及数量的专职安全管理人员。</w:t>
      </w:r>
    </w:p>
    <w:p>
      <w:pPr>
        <w:pStyle w:val="52"/>
        <w:ind w:firstLine="480"/>
        <w:jc w:val="both"/>
        <w:rPr>
          <w:rFonts w:eastAsia="宋体"/>
          <w:color w:val="auto"/>
          <w:sz w:val="24"/>
          <w:szCs w:val="24"/>
          <w:highlight w:val="none"/>
        </w:rPr>
      </w:pPr>
      <w:r>
        <w:rPr>
          <w:rFonts w:eastAsia="宋体"/>
          <w:color w:val="auto"/>
          <w:sz w:val="24"/>
          <w:szCs w:val="24"/>
          <w:highlight w:val="none"/>
        </w:rPr>
        <w:t>9.7.3</w:t>
      </w:r>
      <w:r>
        <w:rPr>
          <w:rFonts w:hint="eastAsia" w:eastAsia="宋体"/>
          <w:color w:val="auto"/>
          <w:sz w:val="24"/>
          <w:szCs w:val="24"/>
          <w:highlight w:val="none"/>
        </w:rPr>
        <w:t xml:space="preserve">. </w:t>
      </w:r>
      <w:r>
        <w:rPr>
          <w:rFonts w:eastAsia="宋体"/>
          <w:color w:val="auto"/>
          <w:sz w:val="24"/>
          <w:szCs w:val="24"/>
          <w:highlight w:val="none"/>
        </w:rPr>
        <w:t>结合风险特点，编制与工程相适应的生产安全事故应急救援预案，落实救援器材、设备的储备，配备足够的应急救援机构人员；开展应急管理，组织应急演练，提高作业人员应急处置能力。</w:t>
      </w:r>
    </w:p>
    <w:p>
      <w:pPr>
        <w:pStyle w:val="52"/>
        <w:ind w:firstLine="480"/>
        <w:jc w:val="both"/>
        <w:rPr>
          <w:rFonts w:eastAsia="宋体"/>
          <w:color w:val="auto"/>
          <w:sz w:val="24"/>
          <w:szCs w:val="24"/>
          <w:highlight w:val="none"/>
        </w:rPr>
      </w:pPr>
      <w:r>
        <w:rPr>
          <w:rFonts w:eastAsia="宋体"/>
          <w:color w:val="auto"/>
          <w:sz w:val="24"/>
          <w:szCs w:val="24"/>
          <w:highlight w:val="none"/>
        </w:rPr>
        <w:t>9.7.4</w:t>
      </w:r>
      <w:r>
        <w:rPr>
          <w:rFonts w:hint="eastAsia" w:eastAsia="宋体"/>
          <w:color w:val="auto"/>
          <w:sz w:val="24"/>
          <w:szCs w:val="24"/>
          <w:highlight w:val="none"/>
        </w:rPr>
        <w:t xml:space="preserve">. </w:t>
      </w:r>
      <w:r>
        <w:rPr>
          <w:rFonts w:eastAsia="宋体"/>
          <w:color w:val="auto"/>
          <w:sz w:val="24"/>
          <w:szCs w:val="24"/>
          <w:highlight w:val="none"/>
        </w:rPr>
        <w:t>制定工程的安全生产、文明施工措施费使用计划和相关保证措施，配置施工安全防护用具、用品。</w:t>
      </w:r>
    </w:p>
    <w:p>
      <w:pPr>
        <w:pStyle w:val="52"/>
        <w:ind w:firstLine="480"/>
        <w:jc w:val="both"/>
        <w:rPr>
          <w:rFonts w:eastAsia="宋体"/>
          <w:color w:val="auto"/>
          <w:sz w:val="24"/>
          <w:szCs w:val="24"/>
          <w:highlight w:val="none"/>
        </w:rPr>
      </w:pPr>
      <w:r>
        <w:rPr>
          <w:rFonts w:eastAsia="宋体"/>
          <w:color w:val="auto"/>
          <w:sz w:val="24"/>
          <w:szCs w:val="24"/>
          <w:highlight w:val="none"/>
        </w:rPr>
        <w:t>9.7.5</w:t>
      </w:r>
      <w:r>
        <w:rPr>
          <w:rFonts w:hint="eastAsia" w:eastAsia="宋体"/>
          <w:color w:val="auto"/>
          <w:sz w:val="24"/>
          <w:szCs w:val="24"/>
          <w:highlight w:val="none"/>
        </w:rPr>
        <w:t xml:space="preserve">. </w:t>
      </w:r>
      <w:r>
        <w:rPr>
          <w:rFonts w:eastAsia="宋体"/>
          <w:color w:val="auto"/>
          <w:sz w:val="24"/>
          <w:szCs w:val="24"/>
          <w:highlight w:val="none"/>
        </w:rPr>
        <w:t>需承包人按规定办理的有关施工场地交通、环境保护、施工噪音、绿色施工安全防护措施等手续：承包人应在签订本合同之日起30个日历天内或发包人另行通知的时间内，负责按法律、法规和规章及有关部门要求办理完成为履行本工程施工所需的所有场地交通、环境保护、施工噪音、绿色施工安全防护措施、夜间施工、泥浆及污水排放、安全生产管理、质量安全监督、渣土运输等相关手续，并由承包人承担所有费用，该等费用已包含在本合同</w:t>
      </w:r>
      <w:r>
        <w:rPr>
          <w:rFonts w:hint="eastAsia" w:eastAsia="宋体"/>
          <w:color w:val="auto"/>
          <w:sz w:val="24"/>
          <w:szCs w:val="24"/>
          <w:highlight w:val="none"/>
        </w:rPr>
        <w:t>暂定总价</w:t>
      </w:r>
      <w:r>
        <w:rPr>
          <w:rFonts w:eastAsia="宋体"/>
          <w:color w:val="auto"/>
          <w:sz w:val="24"/>
          <w:szCs w:val="24"/>
          <w:highlight w:val="none"/>
        </w:rPr>
        <w:t>中。若因上述手续未及时办理影响施工或造成政府部门处罚，工期不予延长，发包人不给予任何费用补偿，由此给发包人带来的损失由承包人承担。</w:t>
      </w:r>
    </w:p>
    <w:p>
      <w:pPr>
        <w:pStyle w:val="52"/>
        <w:ind w:firstLine="480"/>
        <w:jc w:val="both"/>
        <w:outlineLvl w:val="1"/>
        <w:rPr>
          <w:rFonts w:eastAsia="宋体"/>
          <w:bCs/>
          <w:color w:val="auto"/>
          <w:kern w:val="2"/>
          <w:sz w:val="24"/>
          <w:szCs w:val="24"/>
          <w:highlight w:val="none"/>
        </w:rPr>
      </w:pPr>
      <w:r>
        <w:rPr>
          <w:rFonts w:eastAsia="宋体"/>
          <w:bCs/>
          <w:color w:val="auto"/>
          <w:kern w:val="2"/>
          <w:sz w:val="24"/>
          <w:szCs w:val="24"/>
          <w:highlight w:val="none"/>
        </w:rPr>
        <w:t>9.8</w:t>
      </w:r>
      <w:r>
        <w:rPr>
          <w:rFonts w:hint="eastAsia" w:eastAsia="宋体"/>
          <w:bCs/>
          <w:color w:val="auto"/>
          <w:kern w:val="2"/>
          <w:sz w:val="24"/>
          <w:szCs w:val="24"/>
          <w:highlight w:val="none"/>
        </w:rPr>
        <w:t xml:space="preserve">. </w:t>
      </w:r>
      <w:r>
        <w:rPr>
          <w:rFonts w:eastAsia="宋体"/>
          <w:bCs/>
          <w:color w:val="auto"/>
          <w:kern w:val="2"/>
          <w:sz w:val="24"/>
          <w:szCs w:val="24"/>
          <w:highlight w:val="none"/>
        </w:rPr>
        <w:t>施工实施阶段的安全生产工作</w:t>
      </w:r>
    </w:p>
    <w:p>
      <w:pPr>
        <w:pStyle w:val="52"/>
        <w:ind w:firstLine="480"/>
        <w:jc w:val="both"/>
        <w:rPr>
          <w:rFonts w:eastAsia="宋体"/>
          <w:color w:val="auto"/>
          <w:sz w:val="24"/>
          <w:szCs w:val="24"/>
          <w:highlight w:val="none"/>
        </w:rPr>
      </w:pPr>
      <w:r>
        <w:rPr>
          <w:rFonts w:eastAsia="宋体"/>
          <w:color w:val="auto"/>
          <w:sz w:val="24"/>
          <w:szCs w:val="24"/>
          <w:highlight w:val="none"/>
        </w:rPr>
        <w:t>9.8.1</w:t>
      </w:r>
      <w:r>
        <w:rPr>
          <w:rFonts w:hint="eastAsia" w:eastAsia="宋体"/>
          <w:color w:val="auto"/>
          <w:sz w:val="24"/>
          <w:szCs w:val="24"/>
          <w:highlight w:val="none"/>
        </w:rPr>
        <w:t xml:space="preserve">. </w:t>
      </w:r>
      <w:r>
        <w:rPr>
          <w:rFonts w:eastAsia="宋体"/>
          <w:color w:val="auto"/>
          <w:sz w:val="24"/>
          <w:szCs w:val="24"/>
          <w:highlight w:val="none"/>
        </w:rPr>
        <w:t>严格按照发包人审查认可的施工组织设计（方案）、专项工程施工方案和安全生产保证措施组织施工；严格</w:t>
      </w:r>
      <w:r>
        <w:rPr>
          <w:rFonts w:hint="eastAsia" w:eastAsia="宋体"/>
          <w:color w:val="auto"/>
          <w:sz w:val="24"/>
          <w:szCs w:val="24"/>
          <w:highlight w:val="none"/>
        </w:rPr>
        <w:t>执行</w:t>
      </w:r>
      <w:r>
        <w:rPr>
          <w:rFonts w:eastAsia="宋体"/>
          <w:color w:val="auto"/>
          <w:sz w:val="24"/>
          <w:szCs w:val="24"/>
          <w:highlight w:val="none"/>
        </w:rPr>
        <w:t>安全生产、文明施工措施费的使用计划，单列措施费台账，确保安全生产措施费用根据项目实际进展有效投入。</w:t>
      </w:r>
    </w:p>
    <w:p>
      <w:pPr>
        <w:pStyle w:val="52"/>
        <w:ind w:firstLine="480"/>
        <w:jc w:val="both"/>
        <w:rPr>
          <w:rFonts w:eastAsia="宋体"/>
          <w:color w:val="auto"/>
          <w:sz w:val="24"/>
          <w:szCs w:val="24"/>
          <w:highlight w:val="none"/>
        </w:rPr>
      </w:pPr>
      <w:r>
        <w:rPr>
          <w:rFonts w:eastAsia="宋体"/>
          <w:color w:val="auto"/>
          <w:sz w:val="24"/>
          <w:szCs w:val="24"/>
          <w:highlight w:val="none"/>
        </w:rPr>
        <w:t>9.8.2</w:t>
      </w:r>
      <w:r>
        <w:rPr>
          <w:rFonts w:hint="eastAsia" w:eastAsia="宋体"/>
          <w:color w:val="auto"/>
          <w:sz w:val="24"/>
          <w:szCs w:val="24"/>
          <w:highlight w:val="none"/>
        </w:rPr>
        <w:t xml:space="preserve">. </w:t>
      </w:r>
      <w:r>
        <w:rPr>
          <w:rFonts w:eastAsia="宋体"/>
          <w:color w:val="auto"/>
          <w:sz w:val="24"/>
          <w:szCs w:val="24"/>
          <w:highlight w:val="none"/>
        </w:rPr>
        <w:t>所有进入施工现场的作业人员，必须经过安全生产教育培训，未经教育培训或者教育培训考核不合格的人员，不得上岗作业；工程施工前，承包</w:t>
      </w:r>
      <w:r>
        <w:rPr>
          <w:rFonts w:hint="eastAsia" w:eastAsia="宋体"/>
          <w:color w:val="auto"/>
          <w:sz w:val="24"/>
          <w:szCs w:val="24"/>
          <w:highlight w:val="none"/>
        </w:rPr>
        <w:t>人</w:t>
      </w:r>
      <w:r>
        <w:rPr>
          <w:rFonts w:eastAsia="宋体"/>
          <w:color w:val="auto"/>
          <w:sz w:val="24"/>
          <w:szCs w:val="24"/>
          <w:highlight w:val="none"/>
        </w:rPr>
        <w:t>负责工程管理的技术人员应当对有关安全施工的技术要求向施工作业班组、作业人员作出详细说明，并由双方签字确认；工程所采用的新技术、新工艺、新设备、新材料，应当对作业人员进行相应的安全生产教育培训；电工、金属焊接(切割)工、垂直运输机械作业人员、安装拆卸工、起重信号工、登高架设高处作业人员等特种作业人员，必须按照国家有关规定经过专门的安全作业培训，并取得特种作业操作资格证书后，方可上岗作业；对现场从事危险作业的人员办理意外伤害保险；不得在尚未竣工的建筑物内设置员工集体宿舍。</w:t>
      </w:r>
    </w:p>
    <w:p>
      <w:pPr>
        <w:pStyle w:val="52"/>
        <w:ind w:firstLine="480"/>
        <w:jc w:val="both"/>
        <w:rPr>
          <w:rFonts w:eastAsia="宋体"/>
          <w:color w:val="auto"/>
          <w:sz w:val="24"/>
          <w:szCs w:val="24"/>
          <w:highlight w:val="none"/>
        </w:rPr>
      </w:pPr>
      <w:r>
        <w:rPr>
          <w:rFonts w:eastAsia="宋体"/>
          <w:color w:val="auto"/>
          <w:sz w:val="24"/>
          <w:szCs w:val="24"/>
          <w:highlight w:val="none"/>
        </w:rPr>
        <w:t>9.8.3</w:t>
      </w:r>
      <w:r>
        <w:rPr>
          <w:rFonts w:hint="eastAsia" w:eastAsia="宋体"/>
          <w:color w:val="auto"/>
          <w:sz w:val="24"/>
          <w:szCs w:val="24"/>
          <w:highlight w:val="none"/>
        </w:rPr>
        <w:t xml:space="preserve">. </w:t>
      </w:r>
      <w:r>
        <w:rPr>
          <w:rFonts w:eastAsia="宋体"/>
          <w:color w:val="auto"/>
          <w:sz w:val="24"/>
          <w:szCs w:val="24"/>
          <w:highlight w:val="none"/>
        </w:rPr>
        <w:t>对所承担工程进行定期和专项安全检查，并做好隐患排查治理，保存好安全检查记录；同时必须强化重点风险作业过程安全管控，尤其是动火作业、起重吊装、高处作业、施工用电等方面。</w:t>
      </w:r>
    </w:p>
    <w:p>
      <w:pPr>
        <w:pStyle w:val="52"/>
        <w:ind w:firstLine="480"/>
        <w:jc w:val="both"/>
        <w:rPr>
          <w:rFonts w:eastAsia="宋体"/>
          <w:color w:val="auto"/>
          <w:sz w:val="24"/>
          <w:szCs w:val="24"/>
          <w:highlight w:val="none"/>
        </w:rPr>
      </w:pPr>
      <w:r>
        <w:rPr>
          <w:rFonts w:eastAsia="宋体"/>
          <w:color w:val="auto"/>
          <w:sz w:val="24"/>
          <w:szCs w:val="24"/>
          <w:highlight w:val="none"/>
        </w:rPr>
        <w:t>9.8.4</w:t>
      </w:r>
      <w:r>
        <w:rPr>
          <w:rFonts w:hint="eastAsia" w:eastAsia="宋体"/>
          <w:color w:val="auto"/>
          <w:sz w:val="24"/>
          <w:szCs w:val="24"/>
          <w:highlight w:val="none"/>
        </w:rPr>
        <w:t xml:space="preserve">. </w:t>
      </w:r>
      <w:r>
        <w:rPr>
          <w:rFonts w:eastAsia="宋体"/>
          <w:color w:val="auto"/>
          <w:sz w:val="24"/>
          <w:szCs w:val="24"/>
          <w:highlight w:val="none"/>
        </w:rPr>
        <w:t>对进入现场的安全防护用具、用品、机械设备、施工机具及配件等，必须核查其生产、检验（测）等相应证书，无生产、检验（测）合格记录等相应证书的不得使用，并做好日常检查、维修和保养以及相应记录资料归档工作；在使用施工起重机械、垂直升降机械设施前，必须依法组织进行登记验收，验收合格后方可使用。</w:t>
      </w:r>
    </w:p>
    <w:p>
      <w:pPr>
        <w:pStyle w:val="52"/>
        <w:ind w:firstLine="480"/>
        <w:jc w:val="both"/>
        <w:rPr>
          <w:rFonts w:eastAsia="宋体"/>
          <w:color w:val="auto"/>
          <w:sz w:val="24"/>
          <w:szCs w:val="24"/>
          <w:highlight w:val="none"/>
        </w:rPr>
      </w:pPr>
      <w:r>
        <w:rPr>
          <w:rFonts w:eastAsia="宋体"/>
          <w:color w:val="auto"/>
          <w:sz w:val="24"/>
          <w:szCs w:val="24"/>
          <w:highlight w:val="none"/>
        </w:rPr>
        <w:t>9.8.5</w:t>
      </w:r>
      <w:r>
        <w:rPr>
          <w:rFonts w:hint="eastAsia" w:eastAsia="宋体"/>
          <w:color w:val="auto"/>
          <w:sz w:val="24"/>
          <w:szCs w:val="24"/>
          <w:highlight w:val="none"/>
        </w:rPr>
        <w:t xml:space="preserve">. </w:t>
      </w:r>
      <w:r>
        <w:rPr>
          <w:rFonts w:eastAsia="宋体"/>
          <w:color w:val="auto"/>
          <w:sz w:val="24"/>
          <w:szCs w:val="24"/>
          <w:highlight w:val="none"/>
        </w:rPr>
        <w:t>在工程现场入口处、施工起重机械、临时用电设施、脚手架、出入通道口、楼梯口、电梯井口、孔洞口、基坑边沿、易燃物以及有害危险气体和液体存放处等危险部位，必须设置明显的安全警示标志。</w:t>
      </w:r>
    </w:p>
    <w:p>
      <w:pPr>
        <w:pStyle w:val="52"/>
        <w:ind w:firstLine="480"/>
        <w:jc w:val="both"/>
        <w:rPr>
          <w:rFonts w:eastAsia="宋体"/>
          <w:color w:val="auto"/>
          <w:sz w:val="24"/>
          <w:szCs w:val="24"/>
          <w:highlight w:val="none"/>
        </w:rPr>
      </w:pPr>
      <w:r>
        <w:rPr>
          <w:rFonts w:eastAsia="宋体"/>
          <w:color w:val="auto"/>
          <w:sz w:val="24"/>
          <w:szCs w:val="24"/>
          <w:highlight w:val="none"/>
        </w:rPr>
        <w:t>9.8.6</w:t>
      </w:r>
      <w:r>
        <w:rPr>
          <w:rFonts w:hint="eastAsia" w:eastAsia="宋体"/>
          <w:color w:val="auto"/>
          <w:sz w:val="24"/>
          <w:szCs w:val="24"/>
          <w:highlight w:val="none"/>
        </w:rPr>
        <w:t xml:space="preserve">. </w:t>
      </w:r>
      <w:r>
        <w:rPr>
          <w:rFonts w:eastAsia="宋体"/>
          <w:color w:val="auto"/>
          <w:sz w:val="24"/>
          <w:szCs w:val="24"/>
          <w:highlight w:val="none"/>
        </w:rPr>
        <w:t>根据不同施工阶段和周围环境及季节、气候的变化，在施工现场必须采取相应的安全施工措施。</w:t>
      </w:r>
    </w:p>
    <w:p>
      <w:pPr>
        <w:pStyle w:val="52"/>
        <w:ind w:firstLine="480"/>
        <w:jc w:val="both"/>
        <w:rPr>
          <w:rFonts w:eastAsia="宋体"/>
          <w:color w:val="auto"/>
          <w:sz w:val="24"/>
          <w:szCs w:val="24"/>
          <w:highlight w:val="none"/>
        </w:rPr>
      </w:pPr>
      <w:r>
        <w:rPr>
          <w:rFonts w:eastAsia="宋体"/>
          <w:color w:val="auto"/>
          <w:sz w:val="24"/>
          <w:szCs w:val="24"/>
          <w:highlight w:val="none"/>
        </w:rPr>
        <w:t>9.8.7</w:t>
      </w:r>
      <w:r>
        <w:rPr>
          <w:rFonts w:hint="eastAsia" w:eastAsia="宋体"/>
          <w:color w:val="auto"/>
          <w:sz w:val="24"/>
          <w:szCs w:val="24"/>
          <w:highlight w:val="none"/>
        </w:rPr>
        <w:t xml:space="preserve">. </w:t>
      </w:r>
      <w:r>
        <w:rPr>
          <w:rFonts w:eastAsia="宋体"/>
          <w:color w:val="auto"/>
          <w:sz w:val="24"/>
          <w:szCs w:val="24"/>
          <w:highlight w:val="none"/>
        </w:rPr>
        <w:t>工程施工需要实施分包的分部工程和劳务作业，承包人必须分包给具有相应资质、安全条件的专业承包企业和劳务分包企业，在签订分包合同中应当明确各自的安全生产方面的权利、义务，并进行施工安全生产交底。</w:t>
      </w:r>
    </w:p>
    <w:p>
      <w:pPr>
        <w:pStyle w:val="52"/>
        <w:ind w:firstLine="480"/>
        <w:jc w:val="both"/>
        <w:rPr>
          <w:rFonts w:eastAsia="宋体"/>
          <w:color w:val="auto"/>
          <w:sz w:val="24"/>
          <w:szCs w:val="24"/>
          <w:highlight w:val="none"/>
        </w:rPr>
      </w:pPr>
      <w:r>
        <w:rPr>
          <w:rFonts w:eastAsia="宋体"/>
          <w:color w:val="auto"/>
          <w:sz w:val="24"/>
          <w:szCs w:val="24"/>
          <w:highlight w:val="none"/>
        </w:rPr>
        <w:t>9.8.8</w:t>
      </w:r>
      <w:r>
        <w:rPr>
          <w:rFonts w:hint="eastAsia" w:eastAsia="宋体"/>
          <w:color w:val="auto"/>
          <w:sz w:val="24"/>
          <w:szCs w:val="24"/>
          <w:highlight w:val="none"/>
        </w:rPr>
        <w:t xml:space="preserve">. </w:t>
      </w:r>
      <w:r>
        <w:rPr>
          <w:rFonts w:eastAsia="宋体"/>
          <w:color w:val="auto"/>
          <w:sz w:val="24"/>
          <w:szCs w:val="24"/>
          <w:highlight w:val="none"/>
        </w:rPr>
        <w:t>保证安全设施、环保设施、消防设施、劳动安全卫生设施及设备的质量和安装质量，确保通过验收。</w:t>
      </w:r>
    </w:p>
    <w:p>
      <w:pPr>
        <w:pStyle w:val="77"/>
        <w:spacing w:before="0" w:after="0"/>
        <w:ind w:firstLine="480"/>
        <w:outlineLvl w:val="1"/>
        <w:rPr>
          <w:rFonts w:eastAsia="宋体"/>
          <w:color w:val="auto"/>
          <w:szCs w:val="24"/>
          <w:highlight w:val="none"/>
        </w:rPr>
      </w:pPr>
      <w:r>
        <w:rPr>
          <w:rFonts w:eastAsia="宋体"/>
          <w:color w:val="auto"/>
          <w:szCs w:val="24"/>
          <w:highlight w:val="none"/>
        </w:rPr>
        <w:t>9.9</w:t>
      </w:r>
      <w:r>
        <w:rPr>
          <w:rFonts w:hint="eastAsia" w:eastAsia="宋体"/>
          <w:color w:val="auto"/>
          <w:szCs w:val="24"/>
          <w:highlight w:val="none"/>
        </w:rPr>
        <w:t xml:space="preserve">. </w:t>
      </w:r>
      <w:r>
        <w:rPr>
          <w:rFonts w:eastAsia="宋体"/>
          <w:color w:val="auto"/>
          <w:szCs w:val="24"/>
          <w:highlight w:val="none"/>
        </w:rPr>
        <w:t>合同安全管理专篇</w:t>
      </w:r>
    </w:p>
    <w:p>
      <w:pPr>
        <w:pStyle w:val="77"/>
        <w:spacing w:before="0" w:after="0"/>
        <w:ind w:firstLine="420"/>
        <w:outlineLvl w:val="9"/>
        <w:rPr>
          <w:rFonts w:eastAsia="宋体"/>
          <w:color w:val="auto"/>
          <w:szCs w:val="24"/>
          <w:highlight w:val="none"/>
        </w:rPr>
      </w:pPr>
      <w:r>
        <w:rPr>
          <w:rFonts w:eastAsia="宋体"/>
          <w:color w:val="auto"/>
          <w:kern w:val="0"/>
          <w:szCs w:val="24"/>
          <w:highlight w:val="none"/>
        </w:rPr>
        <w:t>除以上施工安全、治安保卫、环境保护相关要求外，承包人应按本合同</w:t>
      </w:r>
      <w:r>
        <w:rPr>
          <w:rFonts w:hint="eastAsia" w:eastAsia="宋体"/>
          <w:color w:val="auto"/>
          <w:kern w:val="0"/>
          <w:szCs w:val="24"/>
          <w:highlight w:val="none"/>
          <w:lang w:eastAsia="zh-CN"/>
        </w:rPr>
        <w:t>附件1</w:t>
      </w:r>
      <w:r>
        <w:rPr>
          <w:rFonts w:hint="eastAsia" w:eastAsia="宋体"/>
          <w:color w:val="auto"/>
          <w:kern w:val="0"/>
          <w:szCs w:val="24"/>
          <w:highlight w:val="none"/>
          <w:lang w:val="en-US" w:eastAsia="zh-CN"/>
        </w:rPr>
        <w:t>2</w:t>
      </w:r>
      <w:r>
        <w:rPr>
          <w:rFonts w:hint="eastAsia" w:eastAsia="宋体"/>
          <w:color w:val="auto"/>
          <w:kern w:val="0"/>
          <w:szCs w:val="24"/>
          <w:highlight w:val="none"/>
          <w:lang w:eastAsia="zh-CN"/>
        </w:rPr>
        <w:t>《安全管理专篇》</w:t>
      </w:r>
      <w:r>
        <w:rPr>
          <w:rFonts w:eastAsia="宋体"/>
          <w:color w:val="auto"/>
          <w:kern w:val="0"/>
          <w:szCs w:val="24"/>
          <w:highlight w:val="none"/>
        </w:rPr>
        <w:t>严格落实安全生产管理要求，且须在签署本合同的同时与发包人签署本合同</w:t>
      </w:r>
      <w:r>
        <w:rPr>
          <w:rFonts w:hint="eastAsia" w:eastAsia="宋体"/>
          <w:color w:val="auto"/>
          <w:kern w:val="0"/>
          <w:szCs w:val="24"/>
          <w:highlight w:val="none"/>
          <w:lang w:eastAsia="zh-CN"/>
        </w:rPr>
        <w:t>附件1</w:t>
      </w:r>
      <w:r>
        <w:rPr>
          <w:rFonts w:hint="eastAsia" w:eastAsia="宋体"/>
          <w:color w:val="auto"/>
          <w:kern w:val="0"/>
          <w:szCs w:val="24"/>
          <w:highlight w:val="none"/>
          <w:lang w:val="en-US" w:eastAsia="zh-CN"/>
        </w:rPr>
        <w:t>1</w:t>
      </w:r>
      <w:r>
        <w:rPr>
          <w:rFonts w:hint="eastAsia" w:eastAsia="宋体"/>
          <w:color w:val="auto"/>
          <w:kern w:val="0"/>
          <w:szCs w:val="24"/>
          <w:highlight w:val="none"/>
          <w:lang w:eastAsia="zh-CN"/>
        </w:rPr>
        <w:t>《安全管理协议书》</w:t>
      </w:r>
      <w:r>
        <w:rPr>
          <w:rFonts w:eastAsia="宋体"/>
          <w:color w:val="auto"/>
          <w:kern w:val="0"/>
          <w:szCs w:val="24"/>
          <w:highlight w:val="none"/>
        </w:rPr>
        <w:t>。</w:t>
      </w:r>
      <w:r>
        <w:rPr>
          <w:rFonts w:hint="default" w:eastAsia="宋体"/>
          <w:color w:val="auto"/>
          <w:kern w:val="0"/>
          <w:sz w:val="24"/>
          <w:szCs w:val="24"/>
          <w:highlight w:val="none"/>
        </w:rPr>
        <w:t>另外，承包人必须按《安全管理协议书》、《安全管理专篇》要求对专业承包工程进行总承包管理与服务，对专业工程承包人的安全文明管理承担总包管理责任，且不得以任何理由拒绝与专业工程承包人签署安全管理协议或其他有关总承包管理与服务的相关协议</w:t>
      </w:r>
      <w:r>
        <w:rPr>
          <w:rFonts w:eastAsia="宋体"/>
          <w:color w:val="auto"/>
          <w:kern w:val="0"/>
          <w:szCs w:val="24"/>
          <w:highlight w:val="none"/>
        </w:rPr>
        <w:t>。若本合同</w:t>
      </w:r>
      <w:r>
        <w:rPr>
          <w:rFonts w:hint="eastAsia" w:eastAsia="宋体"/>
          <w:color w:val="auto"/>
          <w:kern w:val="0"/>
          <w:szCs w:val="24"/>
          <w:highlight w:val="none"/>
        </w:rPr>
        <w:t>专用条款</w:t>
      </w:r>
      <w:r>
        <w:rPr>
          <w:rFonts w:eastAsia="宋体"/>
          <w:color w:val="auto"/>
          <w:kern w:val="0"/>
          <w:szCs w:val="24"/>
          <w:highlight w:val="none"/>
        </w:rPr>
        <w:t>第9.1~9.8</w:t>
      </w:r>
      <w:r>
        <w:rPr>
          <w:rFonts w:hint="eastAsia" w:eastAsia="宋体"/>
          <w:color w:val="auto"/>
          <w:kern w:val="0"/>
          <w:szCs w:val="24"/>
          <w:highlight w:val="none"/>
        </w:rPr>
        <w:t>款</w:t>
      </w:r>
      <w:r>
        <w:rPr>
          <w:rFonts w:eastAsia="宋体"/>
          <w:color w:val="auto"/>
          <w:kern w:val="0"/>
          <w:szCs w:val="24"/>
          <w:highlight w:val="none"/>
        </w:rPr>
        <w:t>施工安全、治安保护和环境保护的相关约定与本合同</w:t>
      </w:r>
      <w:r>
        <w:rPr>
          <w:rFonts w:hint="eastAsia" w:eastAsia="宋体"/>
          <w:color w:val="auto"/>
          <w:kern w:val="0"/>
          <w:szCs w:val="24"/>
          <w:highlight w:val="none"/>
          <w:lang w:eastAsia="zh-CN"/>
        </w:rPr>
        <w:t>附件1</w:t>
      </w:r>
      <w:r>
        <w:rPr>
          <w:rFonts w:hint="eastAsia" w:eastAsia="宋体"/>
          <w:color w:val="auto"/>
          <w:kern w:val="0"/>
          <w:szCs w:val="24"/>
          <w:highlight w:val="none"/>
          <w:lang w:val="en-US" w:eastAsia="zh-CN"/>
        </w:rPr>
        <w:t>2</w:t>
      </w:r>
      <w:r>
        <w:rPr>
          <w:rFonts w:hint="eastAsia" w:eastAsia="宋体"/>
          <w:color w:val="auto"/>
          <w:kern w:val="0"/>
          <w:szCs w:val="24"/>
          <w:highlight w:val="none"/>
          <w:lang w:eastAsia="zh-CN"/>
        </w:rPr>
        <w:t>《安全管理专篇》</w:t>
      </w:r>
      <w:r>
        <w:rPr>
          <w:rFonts w:eastAsia="宋体"/>
          <w:color w:val="auto"/>
          <w:kern w:val="0"/>
          <w:szCs w:val="24"/>
          <w:highlight w:val="none"/>
        </w:rPr>
        <w:t>、本合同</w:t>
      </w:r>
      <w:r>
        <w:rPr>
          <w:rFonts w:hint="eastAsia" w:eastAsia="宋体"/>
          <w:color w:val="auto"/>
          <w:kern w:val="0"/>
          <w:szCs w:val="24"/>
          <w:highlight w:val="none"/>
          <w:lang w:eastAsia="zh-CN"/>
        </w:rPr>
        <w:t>附件1</w:t>
      </w:r>
      <w:r>
        <w:rPr>
          <w:rFonts w:hint="eastAsia" w:eastAsia="宋体"/>
          <w:color w:val="auto"/>
          <w:kern w:val="0"/>
          <w:szCs w:val="24"/>
          <w:highlight w:val="none"/>
          <w:lang w:val="en-US" w:eastAsia="zh-CN"/>
        </w:rPr>
        <w:t>1</w:t>
      </w:r>
      <w:r>
        <w:rPr>
          <w:rFonts w:hint="eastAsia" w:eastAsia="宋体"/>
          <w:color w:val="auto"/>
          <w:kern w:val="0"/>
          <w:szCs w:val="24"/>
          <w:highlight w:val="none"/>
          <w:lang w:eastAsia="zh-CN"/>
        </w:rPr>
        <w:t>《安全管理协议书》</w:t>
      </w:r>
      <w:r>
        <w:rPr>
          <w:rFonts w:eastAsia="宋体"/>
          <w:color w:val="auto"/>
          <w:kern w:val="0"/>
          <w:szCs w:val="24"/>
          <w:highlight w:val="none"/>
        </w:rPr>
        <w:t>约定有重复的，以从严约定为准执行，若两者约定有冲突或不一致的，以本合同</w:t>
      </w:r>
      <w:r>
        <w:rPr>
          <w:rFonts w:hint="eastAsia" w:eastAsia="宋体"/>
          <w:color w:val="auto"/>
          <w:kern w:val="0"/>
          <w:szCs w:val="24"/>
          <w:highlight w:val="none"/>
          <w:lang w:eastAsia="zh-CN"/>
        </w:rPr>
        <w:t>附件1</w:t>
      </w:r>
      <w:r>
        <w:rPr>
          <w:rFonts w:hint="eastAsia" w:eastAsia="宋体"/>
          <w:color w:val="auto"/>
          <w:kern w:val="0"/>
          <w:szCs w:val="24"/>
          <w:highlight w:val="none"/>
          <w:lang w:val="en-US" w:eastAsia="zh-CN"/>
        </w:rPr>
        <w:t>2</w:t>
      </w:r>
      <w:r>
        <w:rPr>
          <w:rFonts w:hint="eastAsia" w:eastAsia="宋体"/>
          <w:color w:val="auto"/>
          <w:kern w:val="0"/>
          <w:szCs w:val="24"/>
          <w:highlight w:val="none"/>
          <w:lang w:eastAsia="zh-CN"/>
        </w:rPr>
        <w:t>《安全管理专篇》</w:t>
      </w:r>
      <w:r>
        <w:rPr>
          <w:rFonts w:eastAsia="宋体"/>
          <w:color w:val="auto"/>
          <w:kern w:val="0"/>
          <w:szCs w:val="24"/>
          <w:highlight w:val="none"/>
        </w:rPr>
        <w:t>及本合同</w:t>
      </w:r>
      <w:r>
        <w:rPr>
          <w:rFonts w:hint="eastAsia" w:eastAsia="宋体"/>
          <w:color w:val="auto"/>
          <w:kern w:val="0"/>
          <w:szCs w:val="24"/>
          <w:highlight w:val="none"/>
          <w:lang w:eastAsia="zh-CN"/>
        </w:rPr>
        <w:t>附件1</w:t>
      </w:r>
      <w:r>
        <w:rPr>
          <w:rFonts w:hint="eastAsia" w:eastAsia="宋体"/>
          <w:color w:val="auto"/>
          <w:kern w:val="0"/>
          <w:szCs w:val="24"/>
          <w:highlight w:val="none"/>
          <w:lang w:val="en-US" w:eastAsia="zh-CN"/>
        </w:rPr>
        <w:t>1</w:t>
      </w:r>
      <w:r>
        <w:rPr>
          <w:rFonts w:hint="eastAsia" w:eastAsia="宋体"/>
          <w:color w:val="auto"/>
          <w:kern w:val="0"/>
          <w:szCs w:val="24"/>
          <w:highlight w:val="none"/>
          <w:lang w:eastAsia="zh-CN"/>
        </w:rPr>
        <w:t>《安全管理协议书》</w:t>
      </w:r>
      <w:r>
        <w:rPr>
          <w:rFonts w:eastAsia="宋体"/>
          <w:color w:val="auto"/>
          <w:kern w:val="0"/>
          <w:szCs w:val="24"/>
          <w:highlight w:val="none"/>
        </w:rPr>
        <w:t>约定为准执行。</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143" w:name="_Toc44228162"/>
      <w:bookmarkStart w:id="1144" w:name="_Toc9378"/>
      <w:bookmarkStart w:id="1145" w:name="_Toc44492582"/>
      <w:bookmarkStart w:id="1146" w:name="_Toc17208"/>
      <w:bookmarkStart w:id="1147" w:name="_Toc18296"/>
      <w:bookmarkStart w:id="1148" w:name="_Toc38987279"/>
      <w:bookmarkStart w:id="1149" w:name="_Toc31420"/>
      <w:bookmarkStart w:id="1150" w:name="_Toc18500"/>
      <w:bookmarkStart w:id="1151" w:name="_Toc17702"/>
      <w:r>
        <w:rPr>
          <w:rFonts w:eastAsia="宋体"/>
          <w:color w:val="auto"/>
          <w:sz w:val="24"/>
          <w:szCs w:val="24"/>
          <w:highlight w:val="none"/>
        </w:rPr>
        <w:t>进度计划</w:t>
      </w:r>
      <w:bookmarkEnd w:id="1143"/>
      <w:bookmarkEnd w:id="1144"/>
      <w:bookmarkEnd w:id="1145"/>
      <w:bookmarkEnd w:id="1146"/>
      <w:bookmarkEnd w:id="1147"/>
      <w:bookmarkEnd w:id="1148"/>
      <w:bookmarkEnd w:id="1149"/>
      <w:bookmarkEnd w:id="1150"/>
      <w:bookmarkEnd w:id="1151"/>
    </w:p>
    <w:p>
      <w:pPr>
        <w:pStyle w:val="77"/>
        <w:spacing w:before="0" w:after="0"/>
        <w:ind w:firstLine="480"/>
        <w:rPr>
          <w:rFonts w:eastAsia="宋体"/>
          <w:color w:val="auto"/>
          <w:szCs w:val="24"/>
          <w:highlight w:val="none"/>
        </w:rPr>
      </w:pPr>
      <w:bookmarkStart w:id="1152" w:name="_Toc44492583"/>
      <w:bookmarkStart w:id="1153" w:name="_Toc29779"/>
      <w:bookmarkStart w:id="1154" w:name="_Toc11459"/>
      <w:r>
        <w:rPr>
          <w:rFonts w:eastAsia="宋体"/>
          <w:color w:val="auto"/>
          <w:szCs w:val="24"/>
          <w:highlight w:val="none"/>
        </w:rPr>
        <w:t>10.1.</w:t>
      </w:r>
      <w:r>
        <w:rPr>
          <w:rFonts w:hint="eastAsia" w:eastAsia="宋体"/>
          <w:color w:val="auto"/>
          <w:szCs w:val="24"/>
          <w:highlight w:val="none"/>
        </w:rPr>
        <w:t xml:space="preserve"> </w:t>
      </w:r>
      <w:r>
        <w:rPr>
          <w:rFonts w:eastAsia="宋体"/>
          <w:color w:val="auto"/>
          <w:szCs w:val="24"/>
          <w:highlight w:val="none"/>
        </w:rPr>
        <w:t>合同进度计划</w:t>
      </w:r>
      <w:bookmarkEnd w:id="1152"/>
      <w:bookmarkEnd w:id="1153"/>
      <w:bookmarkEnd w:id="1154"/>
    </w:p>
    <w:p>
      <w:pPr>
        <w:pStyle w:val="52"/>
        <w:ind w:firstLine="480"/>
        <w:jc w:val="both"/>
        <w:rPr>
          <w:rFonts w:eastAsia="宋体"/>
          <w:color w:val="auto"/>
          <w:sz w:val="24"/>
          <w:szCs w:val="24"/>
          <w:highlight w:val="none"/>
        </w:rPr>
      </w:pPr>
      <w:r>
        <w:rPr>
          <w:rFonts w:eastAsia="宋体"/>
          <w:color w:val="auto"/>
          <w:sz w:val="24"/>
          <w:szCs w:val="24"/>
          <w:highlight w:val="none"/>
        </w:rPr>
        <w:t>10.1.1. 承包人向发包人提供的计划、报表名称及提交时间：承包人中标后30天内</w:t>
      </w:r>
      <w:r>
        <w:rPr>
          <w:rFonts w:eastAsia="宋体"/>
          <w:color w:val="auto"/>
          <w:sz w:val="24"/>
          <w:szCs w:val="24"/>
          <w:highlight w:val="none"/>
          <w:u w:val="single"/>
        </w:rPr>
        <w:t>按</w:t>
      </w:r>
      <w:r>
        <w:rPr>
          <w:rFonts w:hint="eastAsia" w:eastAsia="宋体"/>
          <w:color w:val="auto"/>
          <w:sz w:val="24"/>
          <w:szCs w:val="24"/>
          <w:highlight w:val="none"/>
          <w:u w:val="single"/>
          <w:lang w:eastAsia="zh-CN"/>
        </w:rPr>
        <w:t>发包人</w:t>
      </w:r>
      <w:r>
        <w:rPr>
          <w:rFonts w:eastAsia="宋体"/>
          <w:color w:val="auto"/>
          <w:sz w:val="24"/>
          <w:szCs w:val="24"/>
          <w:highlight w:val="none"/>
          <w:u w:val="single"/>
        </w:rPr>
        <w:t>要求提供施工组织计划及总进度计划、设备材料需求（包括向发包人报批品牌、</w:t>
      </w:r>
      <w:r>
        <w:rPr>
          <w:rFonts w:hint="eastAsia" w:eastAsia="宋体"/>
          <w:color w:val="auto"/>
          <w:sz w:val="24"/>
          <w:szCs w:val="24"/>
          <w:highlight w:val="none"/>
          <w:u w:val="single"/>
        </w:rPr>
        <w:t>施工</w:t>
      </w:r>
      <w:r>
        <w:rPr>
          <w:rFonts w:eastAsia="宋体"/>
          <w:color w:val="auto"/>
          <w:sz w:val="24"/>
          <w:szCs w:val="24"/>
          <w:highlight w:val="none"/>
          <w:u w:val="single"/>
        </w:rPr>
        <w:t>样板，进场及施工安装）总计划等资料。</w:t>
      </w:r>
      <w:r>
        <w:rPr>
          <w:rFonts w:eastAsia="宋体"/>
          <w:color w:val="auto"/>
          <w:sz w:val="24"/>
          <w:szCs w:val="24"/>
          <w:highlight w:val="none"/>
        </w:rPr>
        <w:t>如承包人未按时提交或中标后30天内提交的施工计划</w:t>
      </w:r>
      <w:r>
        <w:rPr>
          <w:rFonts w:hint="eastAsia" w:eastAsia="宋体"/>
          <w:color w:val="auto"/>
          <w:sz w:val="24"/>
          <w:szCs w:val="24"/>
          <w:highlight w:val="none"/>
        </w:rPr>
        <w:t>等</w:t>
      </w:r>
      <w:r>
        <w:rPr>
          <w:rFonts w:eastAsia="宋体"/>
          <w:color w:val="auto"/>
          <w:sz w:val="24"/>
          <w:szCs w:val="24"/>
          <w:highlight w:val="none"/>
        </w:rPr>
        <w:t>不满足要求，则需按照5000元/天向发包</w:t>
      </w:r>
      <w:r>
        <w:rPr>
          <w:rFonts w:hint="eastAsia" w:eastAsia="宋体"/>
          <w:color w:val="auto"/>
          <w:sz w:val="24"/>
          <w:szCs w:val="24"/>
          <w:highlight w:val="none"/>
        </w:rPr>
        <w:t>人</w:t>
      </w:r>
      <w:r>
        <w:rPr>
          <w:rFonts w:eastAsia="宋体"/>
          <w:color w:val="auto"/>
          <w:sz w:val="24"/>
          <w:szCs w:val="24"/>
          <w:highlight w:val="none"/>
        </w:rPr>
        <w:t>支付违约金，直至提交计划合格。</w:t>
      </w:r>
    </w:p>
    <w:p>
      <w:pPr>
        <w:pStyle w:val="52"/>
        <w:ind w:firstLine="480"/>
        <w:jc w:val="both"/>
        <w:rPr>
          <w:rFonts w:eastAsia="宋体"/>
          <w:color w:val="auto"/>
          <w:sz w:val="24"/>
          <w:szCs w:val="24"/>
          <w:highlight w:val="none"/>
        </w:rPr>
      </w:pPr>
      <w:r>
        <w:rPr>
          <w:rFonts w:eastAsia="宋体"/>
          <w:color w:val="auto"/>
          <w:sz w:val="24"/>
          <w:szCs w:val="24"/>
          <w:highlight w:val="none"/>
        </w:rPr>
        <w:t>10.1.2. 合同实施过程中发包人控制的关键工期节点时间及违约金如下表：</w:t>
      </w:r>
    </w:p>
    <w:tbl>
      <w:tblPr>
        <w:tblStyle w:val="37"/>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316"/>
        <w:gridCol w:w="1675"/>
        <w:gridCol w:w="19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6" w:type="dxa"/>
            <w:vAlign w:val="center"/>
          </w:tcPr>
          <w:p>
            <w:pPr>
              <w:pStyle w:val="52"/>
              <w:spacing w:line="240" w:lineRule="auto"/>
              <w:ind w:firstLine="0" w:firstLineChars="0"/>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序号</w:t>
            </w:r>
          </w:p>
        </w:tc>
        <w:tc>
          <w:tcPr>
            <w:tcW w:w="3316" w:type="dxa"/>
            <w:vAlign w:val="center"/>
          </w:tcPr>
          <w:p>
            <w:pPr>
              <w:pStyle w:val="52"/>
              <w:spacing w:line="240" w:lineRule="auto"/>
              <w:ind w:firstLine="0" w:firstLineChars="0"/>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工期节点</w:t>
            </w:r>
          </w:p>
        </w:tc>
        <w:tc>
          <w:tcPr>
            <w:tcW w:w="1675" w:type="dxa"/>
            <w:vAlign w:val="center"/>
          </w:tcPr>
          <w:p>
            <w:pPr>
              <w:pStyle w:val="52"/>
              <w:spacing w:line="240" w:lineRule="auto"/>
              <w:ind w:firstLine="0" w:firstLineChars="0"/>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开始时间</w:t>
            </w:r>
          </w:p>
        </w:tc>
        <w:tc>
          <w:tcPr>
            <w:tcW w:w="1950" w:type="dxa"/>
            <w:vAlign w:val="center"/>
          </w:tcPr>
          <w:p>
            <w:pPr>
              <w:pStyle w:val="52"/>
              <w:spacing w:line="240" w:lineRule="auto"/>
              <w:ind w:firstLine="0" w:firstLineChars="0"/>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完成时间</w:t>
            </w:r>
          </w:p>
        </w:tc>
        <w:tc>
          <w:tcPr>
            <w:tcW w:w="1131" w:type="dxa"/>
            <w:vAlign w:val="center"/>
          </w:tcPr>
          <w:p>
            <w:pPr>
              <w:pStyle w:val="52"/>
              <w:spacing w:line="240" w:lineRule="auto"/>
              <w:ind w:firstLine="0" w:firstLineChars="0"/>
              <w:jc w:val="center"/>
              <w:rPr>
                <w:rFonts w:hint="default" w:ascii="Times New Roman" w:hAnsi="Times New Roman" w:eastAsia="宋体" w:cs="Times New Roman"/>
                <w:color w:val="auto"/>
                <w:sz w:val="22"/>
                <w:szCs w:val="22"/>
                <w:highlight w:val="none"/>
                <w:lang w:eastAsia="zh-CN"/>
              </w:rPr>
            </w:pPr>
            <w:r>
              <w:rPr>
                <w:rFonts w:hint="default" w:ascii="Times New Roman" w:hAnsi="Times New Roman" w:eastAsia="宋体" w:cs="Times New Roman"/>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6" w:type="dxa"/>
            <w:vAlign w:val="center"/>
          </w:tcPr>
          <w:p>
            <w:pPr>
              <w:pStyle w:val="52"/>
              <w:spacing w:line="240" w:lineRule="auto"/>
              <w:ind w:left="0" w:right="0" w:firstLine="0" w:firstLineChars="0"/>
              <w:jc w:val="center"/>
              <w:rPr>
                <w:rFonts w:hint="default" w:eastAsia="宋体" w:cs="Times New Roman"/>
                <w:color w:val="auto"/>
                <w:sz w:val="22"/>
                <w:szCs w:val="22"/>
                <w:highlight w:val="none"/>
                <w:lang w:val="en-US" w:eastAsia="zh-CN"/>
              </w:rPr>
            </w:pPr>
            <w:r>
              <w:rPr>
                <w:rFonts w:hint="eastAsia" w:eastAsia="宋体" w:cs="Times New Roman"/>
                <w:color w:val="auto"/>
                <w:sz w:val="22"/>
                <w:szCs w:val="22"/>
                <w:highlight w:val="none"/>
                <w:lang w:val="en-US" w:eastAsia="zh-CN"/>
              </w:rPr>
              <w:t>1</w:t>
            </w:r>
          </w:p>
        </w:tc>
        <w:tc>
          <w:tcPr>
            <w:tcW w:w="3316" w:type="dxa"/>
            <w:vAlign w:val="center"/>
          </w:tcPr>
          <w:p>
            <w:pPr>
              <w:pStyle w:val="52"/>
              <w:spacing w:line="240" w:lineRule="auto"/>
              <w:ind w:left="63" w:leftChars="0" w:right="63" w:rightChars="0" w:firstLine="0" w:firstLineChars="0"/>
              <w:jc w:val="center"/>
              <w:rPr>
                <w:rFonts w:hint="default" w:eastAsia="宋体" w:cs="Times New Roman"/>
                <w:color w:val="auto"/>
                <w:kern w:val="2"/>
                <w:sz w:val="24"/>
                <w:szCs w:val="24"/>
                <w:highlight w:val="none"/>
                <w:lang w:val="en-US" w:eastAsia="zh-CN"/>
              </w:rPr>
            </w:pPr>
            <w:r>
              <w:rPr>
                <w:rFonts w:hint="eastAsia" w:eastAsia="宋体" w:cs="Times New Roman"/>
                <w:color w:val="auto"/>
                <w:kern w:val="2"/>
                <w:sz w:val="24"/>
                <w:szCs w:val="24"/>
                <w:highlight w:val="none"/>
                <w:lang w:val="en-US" w:eastAsia="zh-CN"/>
              </w:rPr>
              <w:t>天桥主体结构工程完工</w:t>
            </w:r>
          </w:p>
        </w:tc>
        <w:tc>
          <w:tcPr>
            <w:tcW w:w="1675" w:type="dxa"/>
            <w:vAlign w:val="center"/>
          </w:tcPr>
          <w:p>
            <w:pPr>
              <w:pStyle w:val="52"/>
              <w:spacing w:line="240" w:lineRule="auto"/>
              <w:ind w:left="0" w:leftChars="0" w:right="0" w:rightChars="0" w:firstLine="0" w:firstLineChars="0"/>
              <w:jc w:val="center"/>
              <w:rPr>
                <w:rFonts w:hint="default" w:eastAsia="宋体" w:cs="Times New Roman"/>
                <w:color w:val="auto"/>
                <w:sz w:val="22"/>
                <w:szCs w:val="22"/>
                <w:highlight w:val="none"/>
                <w:lang w:val="en-US" w:eastAsia="zh-CN"/>
              </w:rPr>
            </w:pPr>
            <w:r>
              <w:rPr>
                <w:rFonts w:hint="eastAsia" w:eastAsia="宋体" w:cs="Times New Roman"/>
                <w:color w:val="auto"/>
                <w:sz w:val="22"/>
                <w:szCs w:val="22"/>
                <w:highlight w:val="none"/>
                <w:lang w:val="en-US" w:eastAsia="zh-CN"/>
              </w:rPr>
              <w:t>2023年6月25日</w:t>
            </w:r>
          </w:p>
        </w:tc>
        <w:tc>
          <w:tcPr>
            <w:tcW w:w="1950" w:type="dxa"/>
            <w:vAlign w:val="center"/>
          </w:tcPr>
          <w:p>
            <w:pPr>
              <w:pStyle w:val="52"/>
              <w:spacing w:line="240" w:lineRule="auto"/>
              <w:ind w:left="0" w:leftChars="0" w:right="0" w:rightChars="0" w:firstLine="0" w:firstLineChars="0"/>
              <w:jc w:val="center"/>
              <w:rPr>
                <w:rFonts w:hint="eastAsia" w:eastAsia="宋体" w:cs="Times New Roman"/>
                <w:color w:val="auto"/>
                <w:sz w:val="22"/>
                <w:szCs w:val="22"/>
                <w:highlight w:val="none"/>
                <w:lang w:val="en-US" w:eastAsia="zh-CN"/>
              </w:rPr>
            </w:pPr>
            <w:r>
              <w:rPr>
                <w:rFonts w:hint="eastAsia" w:eastAsia="宋体" w:cs="Times New Roman"/>
                <w:color w:val="auto"/>
                <w:sz w:val="22"/>
                <w:szCs w:val="22"/>
                <w:highlight w:val="none"/>
                <w:lang w:val="en-US" w:eastAsia="zh-CN"/>
              </w:rPr>
              <w:t>2023年9月14日</w:t>
            </w:r>
          </w:p>
        </w:tc>
        <w:tc>
          <w:tcPr>
            <w:tcW w:w="1131" w:type="dxa"/>
            <w:vMerge w:val="restart"/>
            <w:vAlign w:val="center"/>
          </w:tcPr>
          <w:p>
            <w:pPr>
              <w:widowControl/>
              <w:jc w:val="left"/>
              <w:textAlignment w:val="bottom"/>
              <w:rPr>
                <w:rFonts w:hint="default" w:ascii="Times New Roman" w:hAnsi="Times New Roman" w:cs="Times New Roman"/>
                <w:color w:val="auto"/>
                <w:kern w:val="0"/>
                <w:sz w:val="22"/>
                <w:szCs w:val="22"/>
                <w:highlight w:val="none"/>
              </w:rPr>
            </w:pPr>
            <w:r>
              <w:rPr>
                <w:rFonts w:hint="default" w:ascii="Times New Roman" w:hAnsi="Times New Roman" w:eastAsia="宋体" w:cs="Times New Roman"/>
                <w:color w:val="auto"/>
                <w:sz w:val="22"/>
                <w:szCs w:val="22"/>
                <w:highlight w:val="none"/>
              </w:rPr>
              <w:t>具体开始时间以开工通知为准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6" w:type="dxa"/>
            <w:vAlign w:val="center"/>
          </w:tcPr>
          <w:p>
            <w:pPr>
              <w:pStyle w:val="52"/>
              <w:spacing w:line="240" w:lineRule="auto"/>
              <w:ind w:left="0" w:right="0" w:firstLine="0" w:firstLineChars="0"/>
              <w:jc w:val="center"/>
              <w:rPr>
                <w:rFonts w:hint="default" w:eastAsia="宋体" w:cs="Times New Roman"/>
                <w:color w:val="auto"/>
                <w:sz w:val="22"/>
                <w:szCs w:val="22"/>
                <w:highlight w:val="none"/>
                <w:lang w:val="en-US" w:eastAsia="zh-CN"/>
              </w:rPr>
            </w:pPr>
            <w:r>
              <w:rPr>
                <w:rFonts w:hint="eastAsia" w:eastAsia="宋体" w:cs="Times New Roman"/>
                <w:color w:val="auto"/>
                <w:sz w:val="22"/>
                <w:szCs w:val="22"/>
                <w:highlight w:val="none"/>
                <w:lang w:val="en-US" w:eastAsia="zh-CN"/>
              </w:rPr>
              <w:t>2</w:t>
            </w:r>
          </w:p>
        </w:tc>
        <w:tc>
          <w:tcPr>
            <w:tcW w:w="3316" w:type="dxa"/>
            <w:vAlign w:val="center"/>
          </w:tcPr>
          <w:p>
            <w:pPr>
              <w:pStyle w:val="52"/>
              <w:spacing w:line="240" w:lineRule="auto"/>
              <w:ind w:left="63" w:leftChars="0" w:right="63" w:rightChars="0" w:firstLine="0" w:firstLineChars="0"/>
              <w:jc w:val="center"/>
              <w:rPr>
                <w:rFonts w:hint="default" w:eastAsia="宋体" w:cs="Times New Roman"/>
                <w:color w:val="auto"/>
                <w:kern w:val="2"/>
                <w:sz w:val="24"/>
                <w:szCs w:val="24"/>
                <w:highlight w:val="none"/>
                <w:lang w:val="en-US" w:eastAsia="zh-CN"/>
              </w:rPr>
            </w:pPr>
            <w:r>
              <w:rPr>
                <w:rFonts w:hint="eastAsia" w:eastAsia="宋体" w:cs="Times New Roman"/>
                <w:color w:val="auto"/>
                <w:kern w:val="2"/>
                <w:sz w:val="24"/>
                <w:szCs w:val="24"/>
                <w:highlight w:val="none"/>
                <w:lang w:val="en-US" w:eastAsia="zh-CN"/>
              </w:rPr>
              <w:t>新宁街道路和天桥工程完工</w:t>
            </w:r>
          </w:p>
        </w:tc>
        <w:tc>
          <w:tcPr>
            <w:tcW w:w="1675" w:type="dxa"/>
            <w:vAlign w:val="center"/>
          </w:tcPr>
          <w:p>
            <w:pPr>
              <w:pStyle w:val="52"/>
              <w:spacing w:line="240" w:lineRule="auto"/>
              <w:ind w:left="0" w:leftChars="0" w:right="0" w:rightChars="0" w:firstLine="0" w:firstLineChars="0"/>
              <w:jc w:val="center"/>
              <w:rPr>
                <w:rFonts w:hint="eastAsia" w:eastAsia="宋体" w:cs="Times New Roman"/>
                <w:color w:val="auto"/>
                <w:sz w:val="22"/>
                <w:szCs w:val="22"/>
                <w:highlight w:val="none"/>
                <w:lang w:val="en-US" w:eastAsia="zh-CN"/>
              </w:rPr>
            </w:pPr>
            <w:r>
              <w:rPr>
                <w:rFonts w:hint="eastAsia" w:eastAsia="宋体" w:cs="Times New Roman"/>
                <w:color w:val="auto"/>
                <w:sz w:val="22"/>
                <w:szCs w:val="22"/>
                <w:highlight w:val="none"/>
                <w:lang w:val="en-US" w:eastAsia="zh-CN"/>
              </w:rPr>
              <w:t>2023年6月25日</w:t>
            </w:r>
          </w:p>
        </w:tc>
        <w:tc>
          <w:tcPr>
            <w:tcW w:w="1950" w:type="dxa"/>
            <w:vAlign w:val="center"/>
          </w:tcPr>
          <w:p>
            <w:pPr>
              <w:pStyle w:val="52"/>
              <w:spacing w:line="240" w:lineRule="auto"/>
              <w:ind w:left="0" w:leftChars="0" w:right="0" w:rightChars="0" w:firstLine="0" w:firstLineChars="0"/>
              <w:jc w:val="center"/>
              <w:rPr>
                <w:rFonts w:hint="eastAsia" w:eastAsia="宋体" w:cs="Times New Roman"/>
                <w:color w:val="auto"/>
                <w:sz w:val="22"/>
                <w:szCs w:val="22"/>
                <w:highlight w:val="none"/>
                <w:lang w:val="en-US" w:eastAsia="zh-CN"/>
              </w:rPr>
            </w:pPr>
            <w:r>
              <w:rPr>
                <w:rFonts w:hint="eastAsia" w:eastAsia="宋体" w:cs="Times New Roman"/>
                <w:color w:val="auto"/>
                <w:sz w:val="22"/>
                <w:szCs w:val="22"/>
                <w:highlight w:val="none"/>
                <w:lang w:val="en-US" w:eastAsia="zh-CN"/>
              </w:rPr>
              <w:t>2023年10月22日</w:t>
            </w:r>
          </w:p>
        </w:tc>
        <w:tc>
          <w:tcPr>
            <w:tcW w:w="1131" w:type="dxa"/>
            <w:vMerge w:val="continue"/>
            <w:vAlign w:val="center"/>
          </w:tcPr>
          <w:p>
            <w:pPr>
              <w:widowControl/>
              <w:jc w:val="left"/>
              <w:textAlignment w:val="bottom"/>
              <w:rPr>
                <w:rFonts w:hint="default" w:ascii="Times New Roman" w:hAnsi="Times New Roman" w:eastAsia="宋体"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6" w:type="dxa"/>
            <w:vAlign w:val="center"/>
          </w:tcPr>
          <w:p>
            <w:pPr>
              <w:pStyle w:val="52"/>
              <w:spacing w:line="240" w:lineRule="auto"/>
              <w:ind w:left="0" w:right="0" w:firstLine="0" w:firstLineChars="0"/>
              <w:jc w:val="center"/>
              <w:rPr>
                <w:rFonts w:hint="default" w:ascii="Times New Roman" w:hAnsi="Times New Roman" w:eastAsia="宋体" w:cs="Times New Roman"/>
                <w:color w:val="auto"/>
                <w:sz w:val="22"/>
                <w:szCs w:val="22"/>
                <w:highlight w:val="none"/>
                <w:lang w:val="en-US" w:eastAsia="zh-CN"/>
              </w:rPr>
            </w:pPr>
            <w:r>
              <w:rPr>
                <w:rFonts w:hint="eastAsia" w:eastAsia="宋体" w:cs="Times New Roman"/>
                <w:color w:val="auto"/>
                <w:sz w:val="22"/>
                <w:szCs w:val="22"/>
                <w:highlight w:val="none"/>
                <w:lang w:val="en-US" w:eastAsia="zh-CN"/>
              </w:rPr>
              <w:t>3</w:t>
            </w:r>
          </w:p>
        </w:tc>
        <w:tc>
          <w:tcPr>
            <w:tcW w:w="6941" w:type="dxa"/>
            <w:gridSpan w:val="3"/>
            <w:vAlign w:val="center"/>
          </w:tcPr>
          <w:p>
            <w:pPr>
              <w:pStyle w:val="52"/>
              <w:spacing w:line="240" w:lineRule="auto"/>
              <w:ind w:left="0" w:right="0" w:firstLine="0" w:firstLineChars="0"/>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施工过程中，经发包人及承包人确认的关键控制节点</w:t>
            </w:r>
          </w:p>
        </w:tc>
        <w:tc>
          <w:tcPr>
            <w:tcW w:w="1131" w:type="dxa"/>
            <w:vMerge w:val="continue"/>
            <w:vAlign w:val="center"/>
          </w:tcPr>
          <w:p>
            <w:pPr>
              <w:widowControl/>
              <w:jc w:val="center"/>
              <w:textAlignment w:val="bottom"/>
              <w:rPr>
                <w:rFonts w:hint="default" w:ascii="Times New Roman" w:hAnsi="Times New Roman" w:cs="Times New Roman"/>
                <w:color w:val="auto"/>
                <w:kern w:val="0"/>
                <w:sz w:val="22"/>
                <w:szCs w:val="22"/>
                <w:highlight w:val="none"/>
              </w:rPr>
            </w:pPr>
          </w:p>
        </w:tc>
      </w:tr>
    </w:tbl>
    <w:p>
      <w:pPr>
        <w:pStyle w:val="52"/>
        <w:numPr>
          <w:ilvl w:val="0"/>
          <w:numId w:val="46"/>
        </w:numPr>
        <w:ind w:firstLine="480"/>
        <w:jc w:val="both"/>
        <w:rPr>
          <w:rFonts w:eastAsia="宋体"/>
          <w:color w:val="auto"/>
          <w:sz w:val="24"/>
          <w:szCs w:val="24"/>
          <w:highlight w:val="none"/>
        </w:rPr>
      </w:pPr>
      <w:r>
        <w:rPr>
          <w:rFonts w:eastAsia="宋体"/>
          <w:color w:val="auto"/>
          <w:sz w:val="24"/>
          <w:szCs w:val="24"/>
          <w:highlight w:val="none"/>
        </w:rPr>
        <w:t>以上工期节点为本合同的关键控制节点</w:t>
      </w:r>
      <w:r>
        <w:rPr>
          <w:rFonts w:hint="eastAsia" w:eastAsia="宋体"/>
          <w:color w:val="auto"/>
          <w:sz w:val="24"/>
          <w:szCs w:val="24"/>
          <w:highlight w:val="none"/>
        </w:rPr>
        <w:t>，本合同考核净工期，实际起算以开工令为准，净工期不变</w:t>
      </w:r>
      <w:r>
        <w:rPr>
          <w:rFonts w:eastAsia="宋体"/>
          <w:color w:val="auto"/>
          <w:sz w:val="24"/>
          <w:szCs w:val="24"/>
          <w:highlight w:val="none"/>
        </w:rPr>
        <w:t>，除本合同另有约定外，承包人未在上述约定的工期节点完成的，</w:t>
      </w:r>
      <w:r>
        <w:rPr>
          <w:rFonts w:hint="eastAsia" w:eastAsia="宋体"/>
          <w:color w:val="auto"/>
          <w:sz w:val="24"/>
          <w:szCs w:val="24"/>
          <w:highlight w:val="none"/>
          <w:lang w:val="en-US" w:eastAsia="zh-CN"/>
        </w:rPr>
        <w:t>处罚违约金5万元/次，另</w:t>
      </w:r>
      <w:r>
        <w:rPr>
          <w:rFonts w:eastAsia="宋体"/>
          <w:color w:val="auto"/>
          <w:sz w:val="24"/>
          <w:szCs w:val="24"/>
          <w:highlight w:val="none"/>
        </w:rPr>
        <w:t>每延迟一天，发包人有权按</w:t>
      </w:r>
      <w:r>
        <w:rPr>
          <w:rFonts w:eastAsia="宋体"/>
          <w:color w:val="auto"/>
          <w:sz w:val="24"/>
          <w:szCs w:val="24"/>
          <w:highlight w:val="none"/>
          <w:u w:val="single"/>
        </w:rPr>
        <w:t xml:space="preserve"> 2 </w:t>
      </w:r>
      <w:r>
        <w:rPr>
          <w:rFonts w:eastAsia="宋体"/>
          <w:color w:val="auto"/>
          <w:sz w:val="24"/>
          <w:szCs w:val="24"/>
          <w:highlight w:val="none"/>
        </w:rPr>
        <w:t>万元/天的标准暂缓支付当期应付工程款。如承包人在下一个关键工期完成节点将累计已延误的工期赶回的（即下一个工期节点按时完成），则发包人</w:t>
      </w:r>
      <w:r>
        <w:rPr>
          <w:rFonts w:hint="eastAsia" w:eastAsia="宋体"/>
          <w:color w:val="auto"/>
          <w:sz w:val="24"/>
          <w:szCs w:val="24"/>
          <w:highlight w:val="none"/>
          <w:lang w:val="en-US" w:eastAsia="zh-CN"/>
        </w:rPr>
        <w:t>酌情考虑是否</w:t>
      </w:r>
      <w:r>
        <w:rPr>
          <w:rFonts w:eastAsia="宋体"/>
          <w:color w:val="auto"/>
          <w:sz w:val="24"/>
          <w:szCs w:val="24"/>
          <w:highlight w:val="none"/>
        </w:rPr>
        <w:t>将前期因工期延误而暂缓支付的工程款返还给承包人；如承包人未能在下一个关键工期完成节点赶回已延误工期的，除暂缓支付当期工程款外，上期已暂缓支付的工程款转为承包人节点工期延误违约金处理。本合同对工期延误违约约定与关键工期节点重叠的，按并处违约执行。工期延误违约处理并不免除承包人需按本合同约定完成履约的义务。</w:t>
      </w:r>
    </w:p>
    <w:p>
      <w:pPr>
        <w:pStyle w:val="52"/>
        <w:numPr>
          <w:ilvl w:val="0"/>
          <w:numId w:val="46"/>
        </w:numPr>
        <w:ind w:firstLine="480"/>
        <w:jc w:val="both"/>
        <w:rPr>
          <w:rFonts w:eastAsia="宋体"/>
          <w:color w:val="auto"/>
          <w:sz w:val="24"/>
          <w:szCs w:val="24"/>
          <w:highlight w:val="none"/>
        </w:rPr>
      </w:pPr>
      <w:r>
        <w:rPr>
          <w:rFonts w:eastAsia="宋体"/>
          <w:color w:val="auto"/>
          <w:sz w:val="24"/>
          <w:szCs w:val="24"/>
          <w:highlight w:val="none"/>
        </w:rPr>
        <w:t>承包人原因导致逾期开工15天以内的，每逾期一天，应向发包人偿付</w:t>
      </w:r>
      <w:r>
        <w:rPr>
          <w:rFonts w:eastAsia="宋体"/>
          <w:color w:val="auto"/>
          <w:sz w:val="24"/>
          <w:szCs w:val="24"/>
          <w:highlight w:val="none"/>
          <w:u w:val="single"/>
        </w:rPr>
        <w:t>本工程合同</w:t>
      </w:r>
      <w:r>
        <w:rPr>
          <w:rFonts w:hint="eastAsia" w:eastAsia="宋体"/>
          <w:color w:val="auto"/>
          <w:sz w:val="24"/>
          <w:szCs w:val="24"/>
          <w:highlight w:val="none"/>
          <w:u w:val="single"/>
        </w:rPr>
        <w:t>暂定总价</w:t>
      </w:r>
      <w:r>
        <w:rPr>
          <w:rFonts w:eastAsia="宋体"/>
          <w:color w:val="auto"/>
          <w:sz w:val="24"/>
          <w:szCs w:val="24"/>
          <w:highlight w:val="none"/>
          <w:u w:val="single"/>
        </w:rPr>
        <w:t>万分之一</w:t>
      </w:r>
      <w:r>
        <w:rPr>
          <w:rFonts w:eastAsia="宋体"/>
          <w:color w:val="auto"/>
          <w:sz w:val="24"/>
          <w:szCs w:val="24"/>
          <w:highlight w:val="none"/>
        </w:rPr>
        <w:t>的违约金；累计逾期15天以上</w:t>
      </w:r>
      <w:r>
        <w:rPr>
          <w:rFonts w:hint="eastAsia" w:eastAsia="宋体"/>
          <w:color w:val="auto"/>
          <w:sz w:val="24"/>
          <w:szCs w:val="24"/>
          <w:highlight w:val="none"/>
        </w:rPr>
        <w:t>（含15天）</w:t>
      </w:r>
      <w:r>
        <w:rPr>
          <w:rFonts w:eastAsia="宋体"/>
          <w:color w:val="auto"/>
          <w:sz w:val="24"/>
          <w:szCs w:val="24"/>
          <w:highlight w:val="none"/>
        </w:rPr>
        <w:t>的，发包人有权单方面解除合同，同时承包人应向发包人偿付本工程</w:t>
      </w:r>
      <w:r>
        <w:rPr>
          <w:rFonts w:hint="eastAsia" w:eastAsia="宋体"/>
          <w:color w:val="auto"/>
          <w:sz w:val="24"/>
          <w:szCs w:val="24"/>
          <w:highlight w:val="none"/>
        </w:rPr>
        <w:t>合同暂定总价</w:t>
      </w:r>
      <w:r>
        <w:rPr>
          <w:rFonts w:eastAsia="宋体"/>
          <w:color w:val="auto"/>
          <w:sz w:val="24"/>
          <w:szCs w:val="24"/>
          <w:highlight w:val="none"/>
        </w:rPr>
        <w:t>20%的违约金，如违约金不足以弥补发包人损失的，发包人可继续追偿；如逾期15天以上</w:t>
      </w:r>
      <w:r>
        <w:rPr>
          <w:rFonts w:hint="eastAsia" w:eastAsia="宋体"/>
          <w:color w:val="auto"/>
          <w:sz w:val="24"/>
          <w:szCs w:val="24"/>
          <w:highlight w:val="none"/>
        </w:rPr>
        <w:t>（含15天）</w:t>
      </w:r>
      <w:r>
        <w:rPr>
          <w:rFonts w:eastAsia="宋体"/>
          <w:color w:val="auto"/>
          <w:sz w:val="24"/>
          <w:szCs w:val="24"/>
          <w:highlight w:val="none"/>
        </w:rPr>
        <w:t>发包人不解除合同的，每逾期一天承包人应向发包人偿付</w:t>
      </w:r>
      <w:r>
        <w:rPr>
          <w:rFonts w:eastAsia="宋体"/>
          <w:color w:val="auto"/>
          <w:sz w:val="24"/>
          <w:szCs w:val="24"/>
          <w:highlight w:val="none"/>
          <w:u w:val="single"/>
        </w:rPr>
        <w:t>本工程合同</w:t>
      </w:r>
      <w:r>
        <w:rPr>
          <w:rFonts w:hint="eastAsia" w:eastAsia="宋体"/>
          <w:color w:val="auto"/>
          <w:sz w:val="24"/>
          <w:szCs w:val="24"/>
          <w:highlight w:val="none"/>
          <w:u w:val="single"/>
        </w:rPr>
        <w:t>暂定总价</w:t>
      </w:r>
      <w:r>
        <w:rPr>
          <w:rFonts w:eastAsia="宋体"/>
          <w:color w:val="auto"/>
          <w:sz w:val="24"/>
          <w:szCs w:val="24"/>
          <w:highlight w:val="none"/>
          <w:u w:val="single"/>
        </w:rPr>
        <w:t>万分之</w:t>
      </w:r>
      <w:r>
        <w:rPr>
          <w:rFonts w:hint="eastAsia" w:eastAsia="宋体"/>
          <w:color w:val="auto"/>
          <w:sz w:val="24"/>
          <w:szCs w:val="24"/>
          <w:highlight w:val="none"/>
          <w:u w:val="single"/>
        </w:rPr>
        <w:t>二</w:t>
      </w:r>
      <w:r>
        <w:rPr>
          <w:rFonts w:eastAsia="宋体"/>
          <w:color w:val="auto"/>
          <w:sz w:val="24"/>
          <w:szCs w:val="24"/>
          <w:highlight w:val="none"/>
        </w:rPr>
        <w:t>的违约金。</w:t>
      </w:r>
    </w:p>
    <w:p>
      <w:pPr>
        <w:pStyle w:val="52"/>
        <w:numPr>
          <w:ilvl w:val="0"/>
          <w:numId w:val="46"/>
        </w:numPr>
        <w:ind w:firstLine="480"/>
        <w:jc w:val="both"/>
        <w:rPr>
          <w:rFonts w:eastAsia="宋体"/>
          <w:color w:val="auto"/>
          <w:sz w:val="24"/>
          <w:szCs w:val="24"/>
          <w:highlight w:val="none"/>
        </w:rPr>
      </w:pPr>
      <w:r>
        <w:rPr>
          <w:rFonts w:eastAsia="宋体"/>
          <w:color w:val="auto"/>
          <w:sz w:val="24"/>
          <w:szCs w:val="24"/>
          <w:highlight w:val="none"/>
        </w:rPr>
        <w:t>承包人原因导致逾期竣工，每逾期一天，应向发包人偿付</w:t>
      </w:r>
      <w:r>
        <w:rPr>
          <w:rFonts w:eastAsia="宋体"/>
          <w:color w:val="auto"/>
          <w:sz w:val="24"/>
          <w:szCs w:val="24"/>
          <w:highlight w:val="none"/>
          <w:u w:val="single"/>
        </w:rPr>
        <w:t>本工程合同</w:t>
      </w:r>
      <w:r>
        <w:rPr>
          <w:rFonts w:hint="eastAsia" w:eastAsia="宋体"/>
          <w:color w:val="auto"/>
          <w:sz w:val="24"/>
          <w:szCs w:val="24"/>
          <w:highlight w:val="none"/>
          <w:u w:val="single"/>
        </w:rPr>
        <w:t>暂定总价</w:t>
      </w:r>
      <w:r>
        <w:rPr>
          <w:rFonts w:eastAsia="宋体"/>
          <w:color w:val="auto"/>
          <w:sz w:val="24"/>
          <w:szCs w:val="24"/>
          <w:highlight w:val="none"/>
          <w:u w:val="single"/>
        </w:rPr>
        <w:t>万分之</w:t>
      </w:r>
      <w:r>
        <w:rPr>
          <w:rFonts w:hint="eastAsia" w:eastAsia="宋体"/>
          <w:color w:val="auto"/>
          <w:sz w:val="24"/>
          <w:szCs w:val="24"/>
          <w:highlight w:val="none"/>
          <w:u w:val="single"/>
        </w:rPr>
        <w:t>五</w:t>
      </w:r>
      <w:r>
        <w:rPr>
          <w:rFonts w:eastAsia="宋体"/>
          <w:color w:val="auto"/>
          <w:sz w:val="24"/>
          <w:szCs w:val="24"/>
          <w:highlight w:val="none"/>
        </w:rPr>
        <w:t>的违约金。</w:t>
      </w:r>
    </w:p>
    <w:p>
      <w:pPr>
        <w:pStyle w:val="52"/>
        <w:numPr>
          <w:ilvl w:val="0"/>
          <w:numId w:val="46"/>
        </w:numPr>
        <w:ind w:firstLine="480"/>
        <w:jc w:val="both"/>
        <w:rPr>
          <w:rFonts w:eastAsia="宋体"/>
          <w:color w:val="auto"/>
          <w:sz w:val="24"/>
          <w:szCs w:val="24"/>
          <w:highlight w:val="none"/>
        </w:rPr>
      </w:pPr>
      <w:r>
        <w:rPr>
          <w:rFonts w:eastAsia="宋体"/>
          <w:color w:val="auto"/>
          <w:sz w:val="24"/>
          <w:szCs w:val="24"/>
          <w:highlight w:val="none"/>
        </w:rPr>
        <w:t>承包人原因导致工期延误引起第三方索赔的，承包人除按上述工期延误或节点延误承担违约责任外，另应承担第三方索赔及发包人全部损失。</w:t>
      </w:r>
    </w:p>
    <w:p>
      <w:pPr>
        <w:pStyle w:val="5"/>
        <w:numPr>
          <w:ilvl w:val="2"/>
          <w:numId w:val="0"/>
        </w:numPr>
        <w:tabs>
          <w:tab w:val="left" w:pos="0"/>
        </w:tabs>
        <w:ind w:firstLine="480" w:firstLineChars="200"/>
        <w:rPr>
          <w:color w:val="auto"/>
          <w:kern w:val="0"/>
          <w:highlight w:val="none"/>
        </w:rPr>
      </w:pPr>
      <w:r>
        <w:rPr>
          <w:color w:val="auto"/>
          <w:kern w:val="0"/>
          <w:highlight w:val="none"/>
        </w:rPr>
        <w:t>10.1.3</w:t>
      </w:r>
      <w:r>
        <w:rPr>
          <w:rFonts w:hint="eastAsia"/>
          <w:color w:val="auto"/>
          <w:kern w:val="0"/>
          <w:highlight w:val="none"/>
        </w:rPr>
        <w:t xml:space="preserve">. </w:t>
      </w:r>
      <w:r>
        <w:rPr>
          <w:color w:val="auto"/>
          <w:kern w:val="0"/>
          <w:highlight w:val="none"/>
        </w:rPr>
        <w:t>承包人按照发包人要求根据总工期计划按时制定月度计划及周计划报予发包人审核并实施，发包人将根据经审批通过的月度计划及周计划考核承包人。承包人未按经审批通过的月度计划完成施工任务或延期完成的，发包人有权视影响进度的严重程度依据考核结果向承包人索赔，承包人未按月度或周计划完成施工任务，每延误一天且对工期产生实质性影响的，承包人则应向发包人按</w:t>
      </w:r>
      <w:r>
        <w:rPr>
          <w:color w:val="auto"/>
          <w:kern w:val="0"/>
          <w:highlight w:val="none"/>
          <w:u w:val="single"/>
        </w:rPr>
        <w:t xml:space="preserve"> 500~3000 </w:t>
      </w:r>
      <w:r>
        <w:rPr>
          <w:color w:val="auto"/>
          <w:kern w:val="0"/>
          <w:highlight w:val="none"/>
        </w:rPr>
        <w:t>元/天的标准支付违约金，并不免除承包人需完成的施工任务。若因承包人原因未能于下月内完成上月重要的原计划事项的，则违约金将加倍收取，以此类推。</w:t>
      </w:r>
    </w:p>
    <w:p>
      <w:pPr>
        <w:pStyle w:val="52"/>
        <w:ind w:firstLine="480"/>
        <w:jc w:val="both"/>
        <w:rPr>
          <w:rFonts w:eastAsia="宋体"/>
          <w:color w:val="auto"/>
          <w:sz w:val="24"/>
          <w:szCs w:val="24"/>
          <w:highlight w:val="none"/>
        </w:rPr>
      </w:pPr>
      <w:r>
        <w:rPr>
          <w:rFonts w:eastAsia="宋体"/>
          <w:color w:val="auto"/>
          <w:sz w:val="24"/>
          <w:szCs w:val="24"/>
          <w:highlight w:val="none"/>
        </w:rPr>
        <w:t>10.1.4. 承包人每月</w:t>
      </w:r>
      <w:r>
        <w:rPr>
          <w:rFonts w:eastAsia="宋体"/>
          <w:color w:val="auto"/>
          <w:sz w:val="24"/>
          <w:szCs w:val="24"/>
          <w:highlight w:val="none"/>
          <w:u w:val="single"/>
        </w:rPr>
        <w:t>25</w:t>
      </w:r>
      <w:r>
        <w:rPr>
          <w:rFonts w:eastAsia="宋体"/>
          <w:color w:val="auto"/>
          <w:sz w:val="24"/>
          <w:szCs w:val="24"/>
          <w:highlight w:val="none"/>
        </w:rPr>
        <w:t>日前向</w:t>
      </w:r>
      <w:r>
        <w:rPr>
          <w:rFonts w:hint="eastAsia" w:eastAsia="宋体"/>
          <w:color w:val="auto"/>
          <w:sz w:val="24"/>
          <w:szCs w:val="24"/>
          <w:highlight w:val="none"/>
          <w:lang w:eastAsia="zh-CN"/>
        </w:rPr>
        <w:t>发包人</w:t>
      </w:r>
      <w:r>
        <w:rPr>
          <w:rFonts w:eastAsia="宋体"/>
          <w:color w:val="auto"/>
          <w:sz w:val="24"/>
          <w:szCs w:val="24"/>
          <w:highlight w:val="none"/>
        </w:rPr>
        <w:t>提供详细的</w:t>
      </w:r>
      <w:r>
        <w:rPr>
          <w:rFonts w:hint="eastAsia" w:eastAsia="宋体"/>
          <w:color w:val="auto"/>
          <w:sz w:val="24"/>
          <w:szCs w:val="24"/>
          <w:highlight w:val="none"/>
        </w:rPr>
        <w:t xml:space="preserve"> </w:t>
      </w:r>
      <w:r>
        <w:rPr>
          <w:rFonts w:eastAsia="宋体"/>
          <w:color w:val="auto"/>
          <w:sz w:val="24"/>
          <w:szCs w:val="24"/>
          <w:highlight w:val="none"/>
          <w:u w:val="single"/>
        </w:rPr>
        <w:t>上月20日至当月</w:t>
      </w:r>
      <w:r>
        <w:rPr>
          <w:rFonts w:hint="eastAsia" w:eastAsia="宋体"/>
          <w:color w:val="auto"/>
          <w:sz w:val="24"/>
          <w:szCs w:val="24"/>
          <w:highlight w:val="none"/>
          <w:u w:val="single"/>
        </w:rPr>
        <w:t>19</w:t>
      </w:r>
      <w:r>
        <w:rPr>
          <w:rFonts w:eastAsia="宋体"/>
          <w:color w:val="auto"/>
          <w:sz w:val="24"/>
          <w:szCs w:val="24"/>
          <w:highlight w:val="none"/>
          <w:u w:val="single"/>
        </w:rPr>
        <w:t xml:space="preserve">日 </w:t>
      </w:r>
      <w:r>
        <w:rPr>
          <w:rFonts w:eastAsia="宋体"/>
          <w:color w:val="auto"/>
          <w:sz w:val="24"/>
          <w:szCs w:val="24"/>
          <w:highlight w:val="none"/>
        </w:rPr>
        <w:t>已完形象进度与工程量报表（含材料进场记录等报表资料、设计变更及工程签证）及下月施工进度计划。</w:t>
      </w:r>
    </w:p>
    <w:p>
      <w:pPr>
        <w:pStyle w:val="52"/>
        <w:ind w:firstLine="482"/>
        <w:jc w:val="both"/>
        <w:rPr>
          <w:rFonts w:eastAsia="宋体"/>
          <w:b/>
          <w:bCs/>
          <w:color w:val="auto"/>
          <w:sz w:val="24"/>
          <w:szCs w:val="24"/>
          <w:highlight w:val="none"/>
        </w:rPr>
      </w:pPr>
      <w:r>
        <w:rPr>
          <w:rFonts w:eastAsia="宋体"/>
          <w:b/>
          <w:bCs/>
          <w:color w:val="auto"/>
          <w:sz w:val="24"/>
          <w:szCs w:val="24"/>
          <w:highlight w:val="none"/>
        </w:rPr>
        <w:t>10.3</w:t>
      </w:r>
      <w:r>
        <w:rPr>
          <w:rFonts w:hint="eastAsia" w:eastAsia="宋体"/>
          <w:b/>
          <w:bCs/>
          <w:color w:val="auto"/>
          <w:sz w:val="24"/>
          <w:szCs w:val="24"/>
          <w:highlight w:val="none"/>
        </w:rPr>
        <w:t xml:space="preserve">. </w:t>
      </w:r>
      <w:r>
        <w:rPr>
          <w:rFonts w:eastAsia="宋体"/>
          <w:b/>
          <w:bCs/>
          <w:color w:val="auto"/>
          <w:sz w:val="24"/>
          <w:szCs w:val="24"/>
          <w:highlight w:val="none"/>
        </w:rPr>
        <w:t>计划管理</w:t>
      </w:r>
    </w:p>
    <w:p>
      <w:pPr>
        <w:pStyle w:val="52"/>
        <w:ind w:firstLine="480"/>
        <w:jc w:val="both"/>
        <w:rPr>
          <w:rFonts w:eastAsia="宋体"/>
          <w:color w:val="auto"/>
          <w:sz w:val="24"/>
          <w:szCs w:val="24"/>
          <w:highlight w:val="none"/>
        </w:rPr>
      </w:pPr>
      <w:r>
        <w:rPr>
          <w:rFonts w:eastAsia="宋体"/>
          <w:color w:val="auto"/>
          <w:sz w:val="24"/>
          <w:szCs w:val="24"/>
          <w:highlight w:val="none"/>
        </w:rPr>
        <w:t>10.3.1</w:t>
      </w:r>
      <w:r>
        <w:rPr>
          <w:rFonts w:hint="eastAsia" w:eastAsia="宋体"/>
          <w:color w:val="auto"/>
          <w:sz w:val="24"/>
          <w:szCs w:val="24"/>
          <w:highlight w:val="none"/>
        </w:rPr>
        <w:t xml:space="preserve">. </w:t>
      </w:r>
      <w:r>
        <w:rPr>
          <w:rFonts w:eastAsia="宋体"/>
          <w:color w:val="auto"/>
          <w:sz w:val="24"/>
          <w:szCs w:val="24"/>
          <w:highlight w:val="none"/>
        </w:rPr>
        <w:t>施工计划的提交：承包人中标后14天内应提交满足以下要求的项目施工计划至</w:t>
      </w:r>
      <w:r>
        <w:rPr>
          <w:rFonts w:hint="eastAsia" w:eastAsia="宋体"/>
          <w:color w:val="auto"/>
          <w:sz w:val="24"/>
          <w:szCs w:val="24"/>
          <w:highlight w:val="none"/>
          <w:lang w:eastAsia="zh-CN"/>
        </w:rPr>
        <w:t>发包人</w:t>
      </w:r>
      <w:r>
        <w:rPr>
          <w:rFonts w:eastAsia="宋体"/>
          <w:color w:val="auto"/>
          <w:sz w:val="24"/>
          <w:szCs w:val="24"/>
          <w:highlight w:val="none"/>
        </w:rPr>
        <w:t>审核。</w:t>
      </w:r>
    </w:p>
    <w:p>
      <w:pPr>
        <w:pStyle w:val="52"/>
        <w:ind w:firstLine="480"/>
        <w:jc w:val="both"/>
        <w:rPr>
          <w:rFonts w:eastAsia="宋体"/>
          <w:color w:val="auto"/>
          <w:sz w:val="24"/>
          <w:szCs w:val="24"/>
          <w:highlight w:val="none"/>
        </w:rPr>
      </w:pPr>
      <w:r>
        <w:rPr>
          <w:rFonts w:eastAsia="宋体"/>
          <w:color w:val="auto"/>
          <w:sz w:val="24"/>
          <w:szCs w:val="24"/>
          <w:highlight w:val="none"/>
        </w:rPr>
        <w:t>1）施工计划各节点均不得超出投标版本计划；</w:t>
      </w:r>
    </w:p>
    <w:p>
      <w:pPr>
        <w:pStyle w:val="52"/>
        <w:ind w:firstLine="480"/>
        <w:jc w:val="both"/>
        <w:rPr>
          <w:rFonts w:eastAsia="宋体"/>
          <w:color w:val="auto"/>
          <w:sz w:val="24"/>
          <w:szCs w:val="24"/>
          <w:highlight w:val="none"/>
        </w:rPr>
      </w:pPr>
      <w:r>
        <w:rPr>
          <w:rFonts w:eastAsia="宋体"/>
          <w:color w:val="auto"/>
          <w:sz w:val="24"/>
          <w:szCs w:val="24"/>
          <w:highlight w:val="none"/>
        </w:rPr>
        <w:t>2）施工计划中各期计划必须包含</w:t>
      </w:r>
      <w:r>
        <w:rPr>
          <w:rFonts w:hint="eastAsia" w:eastAsia="宋体"/>
          <w:color w:val="auto"/>
          <w:sz w:val="24"/>
          <w:szCs w:val="24"/>
          <w:highlight w:val="none"/>
        </w:rPr>
        <w:t>第</w:t>
      </w:r>
      <w:r>
        <w:rPr>
          <w:rFonts w:eastAsia="宋体"/>
          <w:color w:val="auto"/>
          <w:sz w:val="24"/>
          <w:szCs w:val="24"/>
          <w:highlight w:val="none"/>
        </w:rPr>
        <w:t>10.1.2</w:t>
      </w:r>
      <w:r>
        <w:rPr>
          <w:rFonts w:hint="eastAsia" w:eastAsia="宋体"/>
          <w:color w:val="auto"/>
          <w:sz w:val="24"/>
          <w:szCs w:val="24"/>
          <w:highlight w:val="none"/>
        </w:rPr>
        <w:t>款</w:t>
      </w:r>
      <w:r>
        <w:rPr>
          <w:rFonts w:eastAsia="宋体"/>
          <w:color w:val="auto"/>
          <w:sz w:val="24"/>
          <w:szCs w:val="24"/>
          <w:highlight w:val="none"/>
        </w:rPr>
        <w:t>表内的关键施工节点；</w:t>
      </w:r>
      <w:r>
        <w:rPr>
          <w:rStyle w:val="45"/>
          <w:color w:val="auto"/>
          <w:kern w:val="2"/>
          <w:sz w:val="24"/>
          <w:szCs w:val="24"/>
          <w:highlight w:val="none"/>
        </w:rPr>
        <w:t xml:space="preserve"> </w:t>
      </w:r>
    </w:p>
    <w:p>
      <w:pPr>
        <w:pStyle w:val="52"/>
        <w:ind w:firstLine="480"/>
        <w:jc w:val="both"/>
        <w:rPr>
          <w:rFonts w:eastAsia="宋体"/>
          <w:color w:val="auto"/>
          <w:sz w:val="24"/>
          <w:szCs w:val="24"/>
          <w:highlight w:val="none"/>
        </w:rPr>
      </w:pPr>
      <w:r>
        <w:rPr>
          <w:rFonts w:eastAsia="宋体"/>
          <w:color w:val="auto"/>
          <w:sz w:val="24"/>
          <w:szCs w:val="24"/>
          <w:highlight w:val="none"/>
        </w:rPr>
        <w:t>3）施工计划应加盖承包人公章；</w:t>
      </w:r>
    </w:p>
    <w:p>
      <w:pPr>
        <w:pStyle w:val="52"/>
        <w:ind w:firstLine="480"/>
        <w:jc w:val="both"/>
        <w:rPr>
          <w:rFonts w:eastAsia="宋体"/>
          <w:color w:val="auto"/>
          <w:sz w:val="24"/>
          <w:szCs w:val="24"/>
          <w:highlight w:val="none"/>
        </w:rPr>
      </w:pPr>
      <w:r>
        <w:rPr>
          <w:rFonts w:eastAsia="宋体"/>
          <w:color w:val="auto"/>
          <w:sz w:val="24"/>
          <w:szCs w:val="24"/>
          <w:highlight w:val="none"/>
        </w:rPr>
        <w:t>4）不得超出招标文件中对工期的要求</w:t>
      </w:r>
      <w:r>
        <w:rPr>
          <w:rFonts w:hint="eastAsia"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10.3.2</w:t>
      </w:r>
      <w:r>
        <w:rPr>
          <w:rFonts w:hint="eastAsia" w:eastAsia="宋体"/>
          <w:color w:val="auto"/>
          <w:sz w:val="24"/>
          <w:szCs w:val="24"/>
          <w:highlight w:val="none"/>
        </w:rPr>
        <w:t xml:space="preserve">. </w:t>
      </w:r>
      <w:r>
        <w:rPr>
          <w:rFonts w:eastAsia="宋体"/>
          <w:color w:val="auto"/>
          <w:sz w:val="24"/>
          <w:szCs w:val="24"/>
          <w:highlight w:val="none"/>
        </w:rPr>
        <w:t>承包人有责任根据现场工作的开展进度更新及/或重新编制进度计划和施工组织设计,承包人应在</w:t>
      </w:r>
      <w:r>
        <w:rPr>
          <w:rFonts w:hint="eastAsia" w:eastAsia="宋体"/>
          <w:color w:val="auto"/>
          <w:sz w:val="24"/>
          <w:szCs w:val="24"/>
          <w:highlight w:val="none"/>
        </w:rPr>
        <w:t>7天</w:t>
      </w:r>
      <w:r>
        <w:rPr>
          <w:rFonts w:eastAsia="宋体"/>
          <w:color w:val="auto"/>
          <w:sz w:val="24"/>
          <w:szCs w:val="24"/>
          <w:highlight w:val="none"/>
        </w:rPr>
        <w:t>内书面将修改后的新计划报</w:t>
      </w:r>
      <w:r>
        <w:rPr>
          <w:rFonts w:hint="eastAsia" w:eastAsia="宋体"/>
          <w:color w:val="auto"/>
          <w:sz w:val="24"/>
          <w:szCs w:val="24"/>
          <w:highlight w:val="none"/>
          <w:lang w:eastAsia="zh-CN"/>
        </w:rPr>
        <w:t>发包人</w:t>
      </w:r>
      <w:r>
        <w:rPr>
          <w:rFonts w:eastAsia="宋体"/>
          <w:color w:val="auto"/>
          <w:sz w:val="24"/>
          <w:szCs w:val="24"/>
          <w:highlight w:val="none"/>
        </w:rPr>
        <w:t>审阅备案，特殊情况下承包人可向发包人申请适当延期提供。如承包人原因不能按时提供最新的计划，每逾期一天，发包人</w:t>
      </w:r>
      <w:r>
        <w:rPr>
          <w:rFonts w:hint="eastAsia" w:eastAsia="宋体"/>
          <w:color w:val="auto"/>
          <w:sz w:val="24"/>
          <w:szCs w:val="24"/>
          <w:highlight w:val="none"/>
        </w:rPr>
        <w:t>有权</w:t>
      </w:r>
      <w:r>
        <w:rPr>
          <w:rFonts w:eastAsia="宋体"/>
          <w:color w:val="auto"/>
          <w:sz w:val="24"/>
          <w:szCs w:val="24"/>
          <w:highlight w:val="none"/>
        </w:rPr>
        <w:t>按专用条款</w:t>
      </w:r>
      <w:r>
        <w:rPr>
          <w:rFonts w:hint="eastAsia" w:eastAsia="宋体"/>
          <w:color w:val="auto"/>
          <w:sz w:val="24"/>
          <w:szCs w:val="24"/>
          <w:highlight w:val="none"/>
        </w:rPr>
        <w:t>第</w:t>
      </w:r>
      <w:r>
        <w:rPr>
          <w:rFonts w:eastAsia="宋体"/>
          <w:color w:val="auto"/>
          <w:sz w:val="24"/>
          <w:szCs w:val="24"/>
          <w:highlight w:val="none"/>
        </w:rPr>
        <w:t>10.1.1</w:t>
      </w:r>
      <w:r>
        <w:rPr>
          <w:rFonts w:hint="eastAsia" w:eastAsia="宋体"/>
          <w:color w:val="auto"/>
          <w:sz w:val="24"/>
          <w:szCs w:val="24"/>
          <w:highlight w:val="none"/>
        </w:rPr>
        <w:t>条</w:t>
      </w:r>
      <w:r>
        <w:rPr>
          <w:rFonts w:eastAsia="宋体"/>
          <w:color w:val="auto"/>
          <w:sz w:val="24"/>
          <w:szCs w:val="24"/>
          <w:highlight w:val="none"/>
        </w:rPr>
        <w:t>向承包人索赔。</w:t>
      </w:r>
    </w:p>
    <w:p>
      <w:pPr>
        <w:pStyle w:val="52"/>
        <w:ind w:firstLine="480"/>
        <w:jc w:val="both"/>
        <w:rPr>
          <w:rFonts w:eastAsia="宋体"/>
          <w:color w:val="auto"/>
          <w:sz w:val="24"/>
          <w:szCs w:val="24"/>
          <w:highlight w:val="none"/>
        </w:rPr>
      </w:pPr>
      <w:r>
        <w:rPr>
          <w:rFonts w:eastAsia="宋体"/>
          <w:color w:val="auto"/>
          <w:sz w:val="24"/>
          <w:szCs w:val="24"/>
          <w:highlight w:val="none"/>
        </w:rPr>
        <w:t>10.3.3</w:t>
      </w:r>
      <w:r>
        <w:rPr>
          <w:rFonts w:hint="eastAsia" w:eastAsia="宋体"/>
          <w:color w:val="auto"/>
          <w:sz w:val="24"/>
          <w:szCs w:val="24"/>
          <w:highlight w:val="none"/>
        </w:rPr>
        <w:t xml:space="preserve">. </w:t>
      </w:r>
      <w:r>
        <w:rPr>
          <w:rFonts w:eastAsia="宋体"/>
          <w:color w:val="auto"/>
          <w:sz w:val="24"/>
          <w:szCs w:val="24"/>
          <w:highlight w:val="none"/>
        </w:rPr>
        <w:t>承包人应按时提供月度工程施工计划及报表，该部分计划和报表应包括工程量清单、工程造价、施工进度、质量状况，以及人力安排、增加人力的来源、各种材料、设备的用量和消耗等，同时根据</w:t>
      </w:r>
      <w:r>
        <w:rPr>
          <w:rFonts w:hint="eastAsia" w:eastAsia="宋体"/>
          <w:color w:val="auto"/>
          <w:sz w:val="24"/>
          <w:szCs w:val="24"/>
          <w:highlight w:val="none"/>
          <w:lang w:eastAsia="zh-CN"/>
        </w:rPr>
        <w:t>发包人</w:t>
      </w:r>
      <w:r>
        <w:rPr>
          <w:rFonts w:eastAsia="宋体"/>
          <w:color w:val="auto"/>
          <w:sz w:val="24"/>
          <w:szCs w:val="24"/>
          <w:highlight w:val="none"/>
        </w:rPr>
        <w:t>的要求提供周计划。月计划须于上一月的25日前提供下一个月的月计划和上一个月的月度报告；周计划须在每周工程例会前一天下午16:00之前报送</w:t>
      </w:r>
      <w:r>
        <w:rPr>
          <w:rFonts w:hint="eastAsia" w:eastAsia="宋体"/>
          <w:color w:val="auto"/>
          <w:sz w:val="24"/>
          <w:szCs w:val="24"/>
          <w:highlight w:val="none"/>
          <w:lang w:eastAsia="zh-CN"/>
        </w:rPr>
        <w:t>发包人</w:t>
      </w:r>
      <w:r>
        <w:rPr>
          <w:rFonts w:eastAsia="宋体"/>
          <w:color w:val="auto"/>
          <w:sz w:val="24"/>
          <w:szCs w:val="24"/>
          <w:highlight w:val="none"/>
        </w:rPr>
        <w:t>。不按时上报分解计划及报表的，月计划每延期一天收取违约金3000元，周计划每延期一天收取违约金500元。所报计划无量化指标者按相应延期处罚。</w:t>
      </w:r>
    </w:p>
    <w:p>
      <w:pPr>
        <w:pStyle w:val="52"/>
        <w:ind w:firstLine="480"/>
        <w:jc w:val="both"/>
        <w:rPr>
          <w:rFonts w:eastAsia="宋体"/>
          <w:color w:val="auto"/>
          <w:sz w:val="24"/>
          <w:szCs w:val="24"/>
          <w:highlight w:val="none"/>
        </w:rPr>
      </w:pPr>
      <w:r>
        <w:rPr>
          <w:rFonts w:eastAsia="宋体"/>
          <w:color w:val="auto"/>
          <w:sz w:val="24"/>
          <w:szCs w:val="24"/>
          <w:highlight w:val="none"/>
        </w:rPr>
        <w:t>10.3.4</w:t>
      </w:r>
      <w:r>
        <w:rPr>
          <w:rFonts w:hint="eastAsia" w:eastAsia="宋体"/>
          <w:color w:val="auto"/>
          <w:sz w:val="24"/>
          <w:szCs w:val="24"/>
          <w:highlight w:val="none"/>
        </w:rPr>
        <w:t xml:space="preserve">. </w:t>
      </w:r>
      <w:r>
        <w:rPr>
          <w:rFonts w:eastAsia="宋体"/>
          <w:color w:val="auto"/>
          <w:sz w:val="24"/>
          <w:szCs w:val="24"/>
          <w:highlight w:val="none"/>
        </w:rPr>
        <w:t>承包人所报的施工总进度计划又称三级进度或合同进度，它应当较为详细、完整并符合发包人的工程总进度计划（即二级进度）。该进度计划应包括竣工时间、各分项工程的开始、完（竣）工和验收时间等。此施工总进度计划一经</w:t>
      </w:r>
      <w:r>
        <w:rPr>
          <w:rFonts w:hint="eastAsia" w:eastAsia="宋体"/>
          <w:color w:val="auto"/>
          <w:sz w:val="24"/>
          <w:szCs w:val="24"/>
          <w:highlight w:val="none"/>
          <w:lang w:eastAsia="zh-CN"/>
        </w:rPr>
        <w:t>发包人</w:t>
      </w:r>
      <w:r>
        <w:rPr>
          <w:rFonts w:eastAsia="宋体"/>
          <w:color w:val="auto"/>
          <w:sz w:val="24"/>
          <w:szCs w:val="24"/>
          <w:highlight w:val="none"/>
        </w:rPr>
        <w:t>确认后，无论是否已发生变更，承包人均有义务至少应在每个季度的最后一个月的25日，向</w:t>
      </w:r>
      <w:r>
        <w:rPr>
          <w:rFonts w:hint="eastAsia" w:eastAsia="宋体"/>
          <w:color w:val="auto"/>
          <w:sz w:val="24"/>
          <w:szCs w:val="24"/>
          <w:highlight w:val="none"/>
          <w:lang w:eastAsia="zh-CN"/>
        </w:rPr>
        <w:t>发包人</w:t>
      </w:r>
      <w:r>
        <w:rPr>
          <w:rFonts w:eastAsia="宋体"/>
          <w:color w:val="auto"/>
          <w:sz w:val="24"/>
          <w:szCs w:val="24"/>
          <w:highlight w:val="none"/>
        </w:rPr>
        <w:t>提交最新的、经过修改的、动态的施工总进度计划，并由其审核备案，但对于发包人明确不得延误的阶段性施工目标不得擅自更改（合同已明确规定需延期或非承包人原因影响的除外）。</w:t>
      </w:r>
    </w:p>
    <w:p>
      <w:pPr>
        <w:pStyle w:val="52"/>
        <w:ind w:firstLine="480"/>
        <w:jc w:val="both"/>
        <w:rPr>
          <w:rFonts w:eastAsia="宋体"/>
          <w:color w:val="auto"/>
          <w:sz w:val="24"/>
          <w:szCs w:val="24"/>
          <w:highlight w:val="none"/>
        </w:rPr>
      </w:pPr>
      <w:r>
        <w:rPr>
          <w:rFonts w:eastAsia="宋体"/>
          <w:color w:val="auto"/>
          <w:sz w:val="24"/>
          <w:szCs w:val="24"/>
          <w:highlight w:val="none"/>
        </w:rPr>
        <w:t>10.3.5</w:t>
      </w:r>
      <w:r>
        <w:rPr>
          <w:rFonts w:hint="eastAsia" w:eastAsia="宋体"/>
          <w:color w:val="auto"/>
          <w:sz w:val="24"/>
          <w:szCs w:val="24"/>
          <w:highlight w:val="none"/>
        </w:rPr>
        <w:t xml:space="preserve">. </w:t>
      </w:r>
      <w:r>
        <w:rPr>
          <w:rFonts w:eastAsia="宋体"/>
          <w:color w:val="auto"/>
          <w:sz w:val="24"/>
          <w:szCs w:val="24"/>
          <w:highlight w:val="none"/>
        </w:rPr>
        <w:t>承包人应当按照本合同约定的竣工日期竣工。为确保工程的顺利进行,发包人可以合理调整施工的顺序和非关键路径的工期安排。</w:t>
      </w:r>
    </w:p>
    <w:p>
      <w:pPr>
        <w:pStyle w:val="52"/>
        <w:ind w:firstLine="480"/>
        <w:jc w:val="both"/>
        <w:rPr>
          <w:rFonts w:eastAsia="宋体"/>
          <w:color w:val="auto"/>
          <w:sz w:val="24"/>
          <w:szCs w:val="24"/>
          <w:highlight w:val="none"/>
        </w:rPr>
      </w:pPr>
      <w:r>
        <w:rPr>
          <w:rFonts w:eastAsia="宋体"/>
          <w:color w:val="auto"/>
          <w:sz w:val="24"/>
          <w:szCs w:val="24"/>
          <w:highlight w:val="none"/>
        </w:rPr>
        <w:t>10.3.6</w:t>
      </w:r>
      <w:r>
        <w:rPr>
          <w:rFonts w:hint="eastAsia" w:eastAsia="宋体"/>
          <w:color w:val="auto"/>
          <w:sz w:val="24"/>
          <w:szCs w:val="24"/>
          <w:highlight w:val="none"/>
        </w:rPr>
        <w:t xml:space="preserve">. </w:t>
      </w:r>
      <w:r>
        <w:rPr>
          <w:rFonts w:eastAsia="宋体"/>
          <w:color w:val="auto"/>
          <w:sz w:val="24"/>
          <w:szCs w:val="24"/>
          <w:highlight w:val="none"/>
        </w:rPr>
        <w:t>除非合同已有其他约定，否则承包人承诺不以现场及周边环境、政府和行业的检查及管理、节假日、法定假日、农忙、人员短缺等为由提出各种形式的工期和费用的索赔。</w:t>
      </w:r>
    </w:p>
    <w:p>
      <w:pPr>
        <w:pStyle w:val="52"/>
        <w:ind w:firstLine="480"/>
        <w:jc w:val="both"/>
        <w:rPr>
          <w:rFonts w:eastAsia="宋体"/>
          <w:color w:val="auto"/>
          <w:sz w:val="24"/>
          <w:szCs w:val="24"/>
          <w:highlight w:val="none"/>
        </w:rPr>
      </w:pPr>
      <w:r>
        <w:rPr>
          <w:rFonts w:eastAsia="宋体"/>
          <w:color w:val="auto"/>
          <w:sz w:val="24"/>
          <w:szCs w:val="24"/>
          <w:highlight w:val="none"/>
        </w:rPr>
        <w:t>10.3.7</w:t>
      </w:r>
      <w:r>
        <w:rPr>
          <w:rFonts w:hint="eastAsia" w:eastAsia="宋体"/>
          <w:color w:val="auto"/>
          <w:sz w:val="24"/>
          <w:szCs w:val="24"/>
          <w:highlight w:val="none"/>
        </w:rPr>
        <w:t xml:space="preserve">. </w:t>
      </w:r>
      <w:r>
        <w:rPr>
          <w:rFonts w:eastAsia="宋体"/>
          <w:color w:val="auto"/>
          <w:sz w:val="24"/>
          <w:szCs w:val="24"/>
          <w:highlight w:val="none"/>
        </w:rPr>
        <w:t>在合同期内，承包人应按合同和发包人的要求提交发包人所需要的全部资料和文件，包括但不限于承包人的施工组织设计、施工总进度计划、资金需求和工程产值计划、劳动力需求计划、发包人资料的需求计划。材料设备的供货和配合计划、专项进度计划、质量保证大纲和手册、施工机械进退场计划等。如承包人不能按时提供上述计划或文件，每逾期一天，需支付的违约金同专用条款“</w:t>
      </w:r>
      <w:r>
        <w:rPr>
          <w:rFonts w:hint="eastAsia" w:eastAsia="宋体"/>
          <w:color w:val="auto"/>
          <w:sz w:val="24"/>
          <w:szCs w:val="24"/>
          <w:highlight w:val="none"/>
        </w:rPr>
        <w:t>第</w:t>
      </w:r>
      <w:r>
        <w:rPr>
          <w:rFonts w:eastAsia="宋体"/>
          <w:color w:val="auto"/>
          <w:sz w:val="24"/>
          <w:szCs w:val="24"/>
          <w:highlight w:val="none"/>
        </w:rPr>
        <w:t>10.1.1</w:t>
      </w:r>
      <w:r>
        <w:rPr>
          <w:rFonts w:hint="eastAsia" w:eastAsia="宋体"/>
          <w:color w:val="auto"/>
          <w:sz w:val="24"/>
          <w:szCs w:val="24"/>
          <w:highlight w:val="none"/>
        </w:rPr>
        <w:t>款</w:t>
      </w:r>
      <w:r>
        <w:rPr>
          <w:rFonts w:eastAsia="宋体"/>
          <w:color w:val="auto"/>
          <w:sz w:val="24"/>
          <w:szCs w:val="24"/>
          <w:highlight w:val="none"/>
        </w:rPr>
        <w:t>及</w:t>
      </w:r>
      <w:r>
        <w:rPr>
          <w:rFonts w:hint="eastAsia" w:eastAsia="宋体"/>
          <w:color w:val="auto"/>
          <w:sz w:val="24"/>
          <w:szCs w:val="24"/>
          <w:highlight w:val="none"/>
        </w:rPr>
        <w:t>第</w:t>
      </w:r>
      <w:r>
        <w:rPr>
          <w:rFonts w:eastAsia="宋体"/>
          <w:color w:val="auto"/>
          <w:sz w:val="24"/>
          <w:szCs w:val="24"/>
          <w:highlight w:val="none"/>
        </w:rPr>
        <w:t>10.3.3</w:t>
      </w:r>
      <w:r>
        <w:rPr>
          <w:rFonts w:hint="eastAsia" w:eastAsia="宋体"/>
          <w:color w:val="auto"/>
          <w:sz w:val="24"/>
          <w:szCs w:val="24"/>
          <w:highlight w:val="none"/>
        </w:rPr>
        <w:t>款</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10.3.8</w:t>
      </w:r>
      <w:r>
        <w:rPr>
          <w:rFonts w:hint="eastAsia" w:eastAsia="宋体"/>
          <w:color w:val="auto"/>
          <w:sz w:val="24"/>
          <w:szCs w:val="24"/>
          <w:highlight w:val="none"/>
        </w:rPr>
        <w:t xml:space="preserve">. </w:t>
      </w:r>
      <w:r>
        <w:rPr>
          <w:rFonts w:eastAsia="宋体"/>
          <w:color w:val="auto"/>
          <w:sz w:val="24"/>
          <w:szCs w:val="24"/>
          <w:highlight w:val="none"/>
        </w:rPr>
        <w:t>如工程发生较大调整或</w:t>
      </w:r>
      <w:r>
        <w:rPr>
          <w:rFonts w:hint="eastAsia" w:eastAsia="宋体"/>
          <w:color w:val="auto"/>
          <w:sz w:val="24"/>
          <w:szCs w:val="24"/>
          <w:highlight w:val="none"/>
          <w:lang w:eastAsia="zh-CN"/>
        </w:rPr>
        <w:t>发包人</w:t>
      </w:r>
      <w:r>
        <w:rPr>
          <w:rFonts w:eastAsia="宋体"/>
          <w:color w:val="auto"/>
          <w:sz w:val="24"/>
          <w:szCs w:val="24"/>
          <w:highlight w:val="none"/>
        </w:rPr>
        <w:t>明确要求需要提交时，承包人应在</w:t>
      </w:r>
      <w:r>
        <w:rPr>
          <w:rFonts w:hint="eastAsia" w:eastAsia="宋体"/>
          <w:color w:val="auto"/>
          <w:sz w:val="24"/>
          <w:szCs w:val="24"/>
          <w:highlight w:val="none"/>
        </w:rPr>
        <w:t>7天</w:t>
      </w:r>
      <w:r>
        <w:rPr>
          <w:rFonts w:eastAsia="宋体"/>
          <w:color w:val="auto"/>
          <w:sz w:val="24"/>
          <w:szCs w:val="24"/>
          <w:highlight w:val="none"/>
        </w:rPr>
        <w:t>内或按</w:t>
      </w:r>
      <w:r>
        <w:rPr>
          <w:rFonts w:hint="eastAsia" w:eastAsia="宋体"/>
          <w:color w:val="auto"/>
          <w:sz w:val="24"/>
          <w:szCs w:val="24"/>
          <w:highlight w:val="none"/>
          <w:lang w:eastAsia="zh-CN"/>
        </w:rPr>
        <w:t>发包人</w:t>
      </w:r>
      <w:r>
        <w:rPr>
          <w:rFonts w:eastAsia="宋体"/>
          <w:color w:val="auto"/>
          <w:sz w:val="24"/>
          <w:szCs w:val="24"/>
          <w:highlight w:val="none"/>
        </w:rPr>
        <w:t>的要求，将最新的施工总进度计划予以提交。如承包人不能按时提供上述计划或文件，每逾期一天，需支付的违约金同专用条款“</w:t>
      </w:r>
      <w:r>
        <w:rPr>
          <w:rFonts w:hint="eastAsia" w:eastAsia="宋体"/>
          <w:color w:val="auto"/>
          <w:sz w:val="24"/>
          <w:szCs w:val="24"/>
          <w:highlight w:val="none"/>
        </w:rPr>
        <w:t>第</w:t>
      </w:r>
      <w:r>
        <w:rPr>
          <w:rFonts w:eastAsia="宋体"/>
          <w:color w:val="auto"/>
          <w:sz w:val="24"/>
          <w:szCs w:val="24"/>
          <w:highlight w:val="none"/>
        </w:rPr>
        <w:t>10.1.1</w:t>
      </w:r>
      <w:r>
        <w:rPr>
          <w:rFonts w:hint="eastAsia" w:eastAsia="宋体"/>
          <w:color w:val="auto"/>
          <w:sz w:val="24"/>
          <w:szCs w:val="24"/>
          <w:highlight w:val="none"/>
        </w:rPr>
        <w:t>款</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10.3.9</w:t>
      </w:r>
      <w:r>
        <w:rPr>
          <w:rFonts w:hint="eastAsia" w:eastAsia="宋体"/>
          <w:color w:val="auto"/>
          <w:sz w:val="24"/>
          <w:szCs w:val="24"/>
          <w:highlight w:val="none"/>
        </w:rPr>
        <w:t>.</w:t>
      </w:r>
      <w:r>
        <w:rPr>
          <w:rFonts w:eastAsia="宋体"/>
          <w:color w:val="auto"/>
          <w:sz w:val="24"/>
          <w:szCs w:val="24"/>
          <w:highlight w:val="none"/>
        </w:rPr>
        <w:t xml:space="preserve"> 承包人施工计划应与经发包人批准的总承包施工计划相匹配，充分考虑各搭接专业及搭接合同段的施工配合。</w:t>
      </w:r>
    </w:p>
    <w:p>
      <w:pPr>
        <w:pStyle w:val="52"/>
        <w:ind w:firstLine="480"/>
        <w:jc w:val="both"/>
        <w:rPr>
          <w:rFonts w:eastAsia="宋体"/>
          <w:color w:val="auto"/>
          <w:sz w:val="24"/>
          <w:szCs w:val="24"/>
          <w:highlight w:val="none"/>
        </w:rPr>
      </w:pPr>
      <w:r>
        <w:rPr>
          <w:rFonts w:eastAsia="宋体"/>
          <w:color w:val="auto"/>
          <w:sz w:val="24"/>
          <w:szCs w:val="24"/>
          <w:highlight w:val="none"/>
        </w:rPr>
        <w:t>10.3.10</w:t>
      </w:r>
      <w:r>
        <w:rPr>
          <w:rFonts w:hint="eastAsia" w:eastAsia="宋体"/>
          <w:color w:val="auto"/>
          <w:sz w:val="24"/>
          <w:szCs w:val="24"/>
          <w:highlight w:val="none"/>
        </w:rPr>
        <w:t xml:space="preserve">. </w:t>
      </w:r>
      <w:r>
        <w:rPr>
          <w:rFonts w:eastAsia="宋体"/>
          <w:color w:val="auto"/>
          <w:sz w:val="24"/>
          <w:szCs w:val="24"/>
          <w:highlight w:val="none"/>
        </w:rPr>
        <w:t>承包人的总体施工进度由承包人协调平衡，以满足</w:t>
      </w:r>
      <w:r>
        <w:rPr>
          <w:rFonts w:hint="eastAsia" w:eastAsia="宋体"/>
          <w:color w:val="auto"/>
          <w:sz w:val="24"/>
          <w:szCs w:val="24"/>
          <w:highlight w:val="none"/>
          <w:lang w:eastAsia="zh-CN"/>
        </w:rPr>
        <w:t>发包人</w:t>
      </w:r>
      <w:r>
        <w:rPr>
          <w:rFonts w:eastAsia="宋体"/>
          <w:color w:val="auto"/>
          <w:sz w:val="24"/>
          <w:szCs w:val="24"/>
          <w:highlight w:val="none"/>
        </w:rPr>
        <w:t>对整个施工过程中阶段性工期的控制要求，对此承包人负有不可推卸的责任。承包人在编制所有工程施工计划时，应充分考虑相关专业、部位和工序的施工顺序</w:t>
      </w:r>
      <w:r>
        <w:rPr>
          <w:rFonts w:hint="eastAsia" w:eastAsia="宋体"/>
          <w:color w:val="auto"/>
          <w:sz w:val="24"/>
          <w:szCs w:val="24"/>
          <w:highlight w:val="none"/>
        </w:rPr>
        <w:t>，</w:t>
      </w:r>
      <w:r>
        <w:rPr>
          <w:rFonts w:eastAsia="宋体"/>
          <w:color w:val="auto"/>
          <w:sz w:val="24"/>
          <w:szCs w:val="24"/>
          <w:highlight w:val="none"/>
        </w:rPr>
        <w:t>应合理安排进度，确保承包人和各专业工程承包人都能按计划有序地完成各自的工程施工任务。</w:t>
      </w:r>
    </w:p>
    <w:p>
      <w:pPr>
        <w:pStyle w:val="52"/>
        <w:ind w:firstLine="480"/>
        <w:jc w:val="both"/>
        <w:rPr>
          <w:rFonts w:eastAsia="宋体"/>
          <w:color w:val="auto"/>
          <w:sz w:val="24"/>
          <w:szCs w:val="24"/>
          <w:highlight w:val="none"/>
        </w:rPr>
      </w:pPr>
      <w:r>
        <w:rPr>
          <w:rFonts w:eastAsia="宋体"/>
          <w:color w:val="auto"/>
          <w:sz w:val="24"/>
          <w:szCs w:val="24"/>
          <w:highlight w:val="none"/>
        </w:rPr>
        <w:t>10.3.11</w:t>
      </w:r>
      <w:r>
        <w:rPr>
          <w:rFonts w:hint="eastAsia" w:eastAsia="宋体"/>
          <w:color w:val="auto"/>
          <w:sz w:val="24"/>
          <w:szCs w:val="24"/>
          <w:highlight w:val="none"/>
        </w:rPr>
        <w:t xml:space="preserve">. </w:t>
      </w:r>
      <w:r>
        <w:rPr>
          <w:rFonts w:eastAsia="宋体"/>
          <w:color w:val="auto"/>
          <w:sz w:val="24"/>
          <w:szCs w:val="24"/>
          <w:highlight w:val="none"/>
        </w:rPr>
        <w:t>不论是何原因（包括设计、施工、</w:t>
      </w:r>
      <w:r>
        <w:rPr>
          <w:rFonts w:hint="eastAsia" w:eastAsia="宋体"/>
          <w:color w:val="auto"/>
          <w:sz w:val="24"/>
          <w:szCs w:val="24"/>
          <w:highlight w:val="none"/>
          <w:lang w:eastAsia="zh-CN"/>
        </w:rPr>
        <w:t>发包人</w:t>
      </w:r>
      <w:r>
        <w:rPr>
          <w:rFonts w:eastAsia="宋体"/>
          <w:color w:val="auto"/>
          <w:sz w:val="24"/>
          <w:szCs w:val="24"/>
          <w:highlight w:val="none"/>
        </w:rPr>
        <w:t>指令等），导致承包人所报计划需重新制订或部分调整修改，承包人应在该原因发生后</w:t>
      </w:r>
      <w:r>
        <w:rPr>
          <w:rFonts w:hint="eastAsia" w:eastAsia="宋体"/>
          <w:color w:val="auto"/>
          <w:sz w:val="24"/>
          <w:szCs w:val="24"/>
          <w:highlight w:val="none"/>
        </w:rPr>
        <w:t>7天</w:t>
      </w:r>
      <w:r>
        <w:rPr>
          <w:rFonts w:eastAsia="宋体"/>
          <w:color w:val="auto"/>
          <w:sz w:val="24"/>
          <w:szCs w:val="24"/>
          <w:highlight w:val="none"/>
        </w:rPr>
        <w:t>内以书面形式将修改后的新计划报</w:t>
      </w:r>
      <w:r>
        <w:rPr>
          <w:rFonts w:hint="eastAsia" w:eastAsia="宋体"/>
          <w:color w:val="auto"/>
          <w:sz w:val="24"/>
          <w:szCs w:val="24"/>
          <w:highlight w:val="none"/>
          <w:lang w:eastAsia="zh-CN"/>
        </w:rPr>
        <w:t>发包人</w:t>
      </w:r>
      <w:r>
        <w:rPr>
          <w:rFonts w:eastAsia="宋体"/>
          <w:color w:val="auto"/>
          <w:sz w:val="24"/>
          <w:szCs w:val="24"/>
          <w:highlight w:val="none"/>
        </w:rPr>
        <w:t>审阅备案，特殊情况下承包人可向发包人申请适当延期提供。如承包人不能按时提供最新的计划，由此引起的一切后果由承包人负责。</w:t>
      </w:r>
    </w:p>
    <w:p>
      <w:pPr>
        <w:pStyle w:val="52"/>
        <w:ind w:firstLine="480"/>
        <w:jc w:val="both"/>
        <w:rPr>
          <w:rFonts w:eastAsia="宋体"/>
          <w:color w:val="auto"/>
          <w:sz w:val="24"/>
          <w:szCs w:val="24"/>
          <w:highlight w:val="none"/>
        </w:rPr>
      </w:pPr>
      <w:r>
        <w:rPr>
          <w:rFonts w:eastAsia="宋体"/>
          <w:color w:val="auto"/>
          <w:sz w:val="24"/>
          <w:szCs w:val="24"/>
          <w:highlight w:val="none"/>
        </w:rPr>
        <w:t>10.3.12</w:t>
      </w:r>
      <w:r>
        <w:rPr>
          <w:rFonts w:hint="eastAsia" w:eastAsia="宋体"/>
          <w:color w:val="auto"/>
          <w:sz w:val="24"/>
          <w:szCs w:val="24"/>
          <w:highlight w:val="none"/>
        </w:rPr>
        <w:t xml:space="preserve">. </w:t>
      </w:r>
      <w:r>
        <w:rPr>
          <w:rFonts w:eastAsia="宋体"/>
          <w:color w:val="auto"/>
          <w:sz w:val="24"/>
          <w:szCs w:val="24"/>
          <w:highlight w:val="none"/>
        </w:rPr>
        <w:t>每周工程例会前一天向</w:t>
      </w:r>
      <w:r>
        <w:rPr>
          <w:rFonts w:hint="eastAsia" w:eastAsia="宋体"/>
          <w:color w:val="auto"/>
          <w:sz w:val="24"/>
          <w:szCs w:val="24"/>
          <w:highlight w:val="none"/>
          <w:lang w:eastAsia="zh-CN"/>
        </w:rPr>
        <w:t>发包人</w:t>
      </w:r>
      <w:r>
        <w:rPr>
          <w:rFonts w:eastAsia="宋体"/>
          <w:color w:val="auto"/>
          <w:sz w:val="24"/>
          <w:szCs w:val="24"/>
          <w:highlight w:val="none"/>
        </w:rPr>
        <w:t>报送周报，包括上周计划和完成情况、对未完工作的情况说明和拟采取的措施（包括拟采取措施、最终完成时间）、本周计划和其他事项等。</w:t>
      </w:r>
    </w:p>
    <w:p>
      <w:pPr>
        <w:pStyle w:val="52"/>
        <w:ind w:firstLine="480"/>
        <w:jc w:val="both"/>
        <w:rPr>
          <w:rFonts w:eastAsia="宋体"/>
          <w:color w:val="auto"/>
          <w:sz w:val="24"/>
          <w:szCs w:val="24"/>
          <w:highlight w:val="none"/>
        </w:rPr>
      </w:pPr>
      <w:r>
        <w:rPr>
          <w:rFonts w:eastAsia="宋体"/>
          <w:color w:val="auto"/>
          <w:sz w:val="24"/>
          <w:szCs w:val="24"/>
          <w:highlight w:val="none"/>
        </w:rPr>
        <w:t>10.3.13</w:t>
      </w:r>
      <w:r>
        <w:rPr>
          <w:rFonts w:hint="eastAsia" w:eastAsia="宋体"/>
          <w:color w:val="auto"/>
          <w:sz w:val="24"/>
          <w:szCs w:val="24"/>
          <w:highlight w:val="none"/>
        </w:rPr>
        <w:t xml:space="preserve">. </w:t>
      </w:r>
      <w:r>
        <w:rPr>
          <w:rFonts w:eastAsia="宋体"/>
          <w:color w:val="auto"/>
          <w:sz w:val="24"/>
          <w:szCs w:val="24"/>
          <w:highlight w:val="none"/>
        </w:rPr>
        <w:t>承包人提交的施工机械进退场计划应包括施工机械的名称、数量、已使用的年限、折旧总年限、规格型号、主要的性能、进退场的时间、目前的状态、来源、合同期内的维修保养计划等内容。</w:t>
      </w:r>
    </w:p>
    <w:p>
      <w:pPr>
        <w:pStyle w:val="52"/>
        <w:ind w:firstLine="480"/>
        <w:jc w:val="both"/>
        <w:rPr>
          <w:rFonts w:eastAsia="宋体"/>
          <w:color w:val="auto"/>
          <w:sz w:val="24"/>
          <w:szCs w:val="24"/>
          <w:highlight w:val="none"/>
        </w:rPr>
      </w:pPr>
      <w:r>
        <w:rPr>
          <w:rFonts w:eastAsia="宋体"/>
          <w:color w:val="auto"/>
          <w:sz w:val="24"/>
          <w:szCs w:val="24"/>
          <w:highlight w:val="none"/>
        </w:rPr>
        <w:t>10.3.14</w:t>
      </w:r>
      <w:r>
        <w:rPr>
          <w:rFonts w:hint="eastAsia" w:eastAsia="宋体"/>
          <w:color w:val="auto"/>
          <w:sz w:val="24"/>
          <w:szCs w:val="24"/>
          <w:highlight w:val="none"/>
        </w:rPr>
        <w:t xml:space="preserve">. </w:t>
      </w:r>
      <w:r>
        <w:rPr>
          <w:rFonts w:hint="eastAsia" w:eastAsia="宋体"/>
          <w:color w:val="auto"/>
          <w:sz w:val="24"/>
          <w:szCs w:val="24"/>
          <w:highlight w:val="none"/>
          <w:lang w:eastAsia="zh-CN"/>
        </w:rPr>
        <w:t>发包人</w:t>
      </w:r>
      <w:r>
        <w:rPr>
          <w:rFonts w:eastAsia="宋体"/>
          <w:color w:val="auto"/>
          <w:sz w:val="24"/>
          <w:szCs w:val="24"/>
          <w:highlight w:val="none"/>
        </w:rPr>
        <w:t>对承包人所提交的所有进度计划、施工组织设计、施工方案的批准和认可，不视为对本合同工期、质量、安全、价格等约定的调整，均不应减轻或免除承包人应承担的责任和义务。</w:t>
      </w:r>
    </w:p>
    <w:p>
      <w:pPr>
        <w:pStyle w:val="52"/>
        <w:ind w:firstLine="480"/>
        <w:jc w:val="both"/>
        <w:rPr>
          <w:rFonts w:eastAsia="宋体"/>
          <w:color w:val="auto"/>
          <w:sz w:val="24"/>
          <w:szCs w:val="24"/>
          <w:highlight w:val="none"/>
        </w:rPr>
      </w:pPr>
      <w:r>
        <w:rPr>
          <w:rFonts w:eastAsia="宋体"/>
          <w:color w:val="auto"/>
          <w:sz w:val="24"/>
          <w:szCs w:val="24"/>
          <w:highlight w:val="none"/>
        </w:rPr>
        <w:t>10.3.15</w:t>
      </w:r>
      <w:r>
        <w:rPr>
          <w:rFonts w:hint="eastAsia" w:eastAsia="宋体"/>
          <w:color w:val="auto"/>
          <w:sz w:val="24"/>
          <w:szCs w:val="24"/>
          <w:highlight w:val="none"/>
        </w:rPr>
        <w:t xml:space="preserve">. </w:t>
      </w:r>
      <w:r>
        <w:rPr>
          <w:rFonts w:eastAsia="宋体"/>
          <w:color w:val="auto"/>
          <w:sz w:val="24"/>
          <w:szCs w:val="24"/>
          <w:highlight w:val="none"/>
        </w:rPr>
        <w:t>承包人实际提交给</w:t>
      </w:r>
      <w:r>
        <w:rPr>
          <w:rFonts w:hint="eastAsia" w:eastAsia="宋体"/>
          <w:color w:val="auto"/>
          <w:sz w:val="24"/>
          <w:szCs w:val="24"/>
          <w:highlight w:val="none"/>
          <w:lang w:eastAsia="zh-CN"/>
        </w:rPr>
        <w:t>发包人</w:t>
      </w:r>
      <w:r>
        <w:rPr>
          <w:rFonts w:eastAsia="宋体"/>
          <w:color w:val="auto"/>
          <w:sz w:val="24"/>
          <w:szCs w:val="24"/>
          <w:highlight w:val="none"/>
        </w:rPr>
        <w:t>的所有计划和报表以及文件等的时间，均以</w:t>
      </w:r>
      <w:r>
        <w:rPr>
          <w:rFonts w:hint="eastAsia" w:eastAsia="宋体"/>
          <w:color w:val="auto"/>
          <w:sz w:val="24"/>
          <w:szCs w:val="24"/>
          <w:highlight w:val="none"/>
          <w:lang w:eastAsia="zh-CN"/>
        </w:rPr>
        <w:t>发包人</w:t>
      </w:r>
      <w:r>
        <w:rPr>
          <w:rFonts w:eastAsia="宋体"/>
          <w:color w:val="auto"/>
          <w:sz w:val="24"/>
          <w:szCs w:val="24"/>
          <w:highlight w:val="none"/>
        </w:rPr>
        <w:t>的书面签收为准，如果承包人不能按合同要求及时提供合同规定的各项计划和报表及工程资料（发包人书面认可的特殊情况下的延期除外）或虽提供但不符合合同要求，需</w:t>
      </w:r>
      <w:r>
        <w:rPr>
          <w:rFonts w:hint="eastAsia" w:eastAsia="宋体"/>
          <w:color w:val="auto"/>
          <w:sz w:val="24"/>
          <w:szCs w:val="24"/>
          <w:highlight w:val="none"/>
        </w:rPr>
        <w:t>1天</w:t>
      </w:r>
      <w:r>
        <w:rPr>
          <w:rFonts w:eastAsia="宋体"/>
          <w:color w:val="auto"/>
          <w:sz w:val="24"/>
          <w:szCs w:val="24"/>
          <w:highlight w:val="none"/>
        </w:rPr>
        <w:t>内上报、修正完毕。</w:t>
      </w:r>
    </w:p>
    <w:p>
      <w:pPr>
        <w:pStyle w:val="52"/>
        <w:ind w:firstLine="480"/>
        <w:jc w:val="both"/>
        <w:rPr>
          <w:rFonts w:hint="eastAsia" w:eastAsia="仿宋_GB2312"/>
          <w:color w:val="auto"/>
          <w:sz w:val="24"/>
          <w:szCs w:val="24"/>
          <w:highlight w:val="none"/>
          <w:lang w:eastAsia="zh-CN"/>
        </w:rPr>
      </w:pPr>
      <w:r>
        <w:rPr>
          <w:rFonts w:eastAsia="宋体"/>
          <w:color w:val="auto"/>
          <w:sz w:val="24"/>
          <w:szCs w:val="24"/>
          <w:highlight w:val="none"/>
        </w:rPr>
        <w:t>10.3.16</w:t>
      </w:r>
      <w:r>
        <w:rPr>
          <w:rFonts w:hint="eastAsia" w:eastAsia="宋体"/>
          <w:color w:val="auto"/>
          <w:sz w:val="24"/>
          <w:szCs w:val="24"/>
          <w:highlight w:val="none"/>
        </w:rPr>
        <w:t xml:space="preserve">. </w:t>
      </w:r>
      <w:r>
        <w:rPr>
          <w:rFonts w:hint="default" w:eastAsia="宋体"/>
          <w:color w:val="auto"/>
          <w:sz w:val="24"/>
          <w:szCs w:val="24"/>
          <w:highlight w:val="none"/>
        </w:rPr>
        <w:t>承包人在合同生效后</w:t>
      </w:r>
      <w:r>
        <w:rPr>
          <w:rFonts w:hint="default" w:eastAsia="宋体"/>
          <w:color w:val="auto"/>
          <w:sz w:val="24"/>
          <w:szCs w:val="24"/>
          <w:highlight w:val="none"/>
          <w:u w:val="none"/>
        </w:rPr>
        <w:t>十五天内</w:t>
      </w:r>
      <w:r>
        <w:rPr>
          <w:rFonts w:hint="default" w:eastAsia="宋体"/>
          <w:color w:val="auto"/>
          <w:sz w:val="24"/>
          <w:szCs w:val="24"/>
          <w:highlight w:val="none"/>
        </w:rPr>
        <w:t>，应根据本合同的有关规定以及</w:t>
      </w:r>
      <w:r>
        <w:rPr>
          <w:rFonts w:hint="eastAsia" w:eastAsia="宋体"/>
          <w:color w:val="auto"/>
          <w:sz w:val="24"/>
          <w:szCs w:val="24"/>
          <w:highlight w:val="none"/>
          <w:lang w:eastAsia="zh-CN"/>
        </w:rPr>
        <w:t>发包人</w:t>
      </w:r>
      <w:r>
        <w:rPr>
          <w:rFonts w:hint="default" w:eastAsia="宋体"/>
          <w:color w:val="auto"/>
          <w:sz w:val="24"/>
          <w:szCs w:val="24"/>
          <w:highlight w:val="none"/>
        </w:rPr>
        <w:t>的意见，向</w:t>
      </w:r>
      <w:r>
        <w:rPr>
          <w:rFonts w:hint="eastAsia" w:eastAsia="宋体"/>
          <w:color w:val="auto"/>
          <w:sz w:val="24"/>
          <w:szCs w:val="24"/>
          <w:highlight w:val="none"/>
          <w:lang w:eastAsia="zh-CN"/>
        </w:rPr>
        <w:t>发包人</w:t>
      </w:r>
      <w:r>
        <w:rPr>
          <w:rFonts w:hint="default" w:eastAsia="宋体"/>
          <w:color w:val="auto"/>
          <w:sz w:val="24"/>
          <w:szCs w:val="24"/>
          <w:highlight w:val="none"/>
        </w:rPr>
        <w:t>提交总包的现场管理规定，供</w:t>
      </w:r>
      <w:r>
        <w:rPr>
          <w:rFonts w:hint="eastAsia" w:eastAsia="宋体"/>
          <w:color w:val="auto"/>
          <w:sz w:val="24"/>
          <w:szCs w:val="24"/>
          <w:highlight w:val="none"/>
          <w:lang w:eastAsia="zh-CN"/>
        </w:rPr>
        <w:t>发包人</w:t>
      </w:r>
      <w:r>
        <w:rPr>
          <w:rFonts w:hint="default" w:eastAsia="宋体"/>
          <w:color w:val="auto"/>
          <w:sz w:val="24"/>
          <w:szCs w:val="24"/>
          <w:highlight w:val="none"/>
        </w:rPr>
        <w:t>审核确认，该规定应考虑对现场所有分包单位的管理。承包人应根据现场情况及</w:t>
      </w:r>
      <w:r>
        <w:rPr>
          <w:rFonts w:hint="eastAsia" w:eastAsia="宋体"/>
          <w:color w:val="auto"/>
          <w:sz w:val="24"/>
          <w:szCs w:val="24"/>
          <w:highlight w:val="none"/>
          <w:lang w:eastAsia="zh-CN"/>
        </w:rPr>
        <w:t>发包人</w:t>
      </w:r>
      <w:r>
        <w:rPr>
          <w:rFonts w:hint="default" w:eastAsia="宋体"/>
          <w:color w:val="auto"/>
          <w:sz w:val="24"/>
          <w:szCs w:val="24"/>
          <w:highlight w:val="none"/>
        </w:rPr>
        <w:t>的要求，定期对承包人的现场管理规定进行修改，并报</w:t>
      </w:r>
      <w:r>
        <w:rPr>
          <w:rFonts w:hint="eastAsia" w:eastAsia="宋体"/>
          <w:color w:val="auto"/>
          <w:sz w:val="24"/>
          <w:szCs w:val="24"/>
          <w:highlight w:val="none"/>
          <w:lang w:eastAsia="zh-CN"/>
        </w:rPr>
        <w:t>发包人</w:t>
      </w:r>
      <w:r>
        <w:rPr>
          <w:rFonts w:hint="default" w:eastAsia="宋体"/>
          <w:color w:val="auto"/>
          <w:sz w:val="24"/>
          <w:szCs w:val="24"/>
          <w:highlight w:val="none"/>
        </w:rPr>
        <w:t>审核备案。如承包人不能按时提供上述计划或文件，每逾期一天，承包人向发包人支付</w:t>
      </w:r>
      <w:r>
        <w:rPr>
          <w:rFonts w:hint="default" w:eastAsia="宋体"/>
          <w:color w:val="auto"/>
          <w:sz w:val="24"/>
          <w:szCs w:val="24"/>
          <w:highlight w:val="none"/>
          <w:u w:val="none"/>
        </w:rPr>
        <w:t>1000元</w:t>
      </w:r>
      <w:r>
        <w:rPr>
          <w:rFonts w:hint="default" w:eastAsia="宋体"/>
          <w:color w:val="auto"/>
          <w:sz w:val="24"/>
          <w:szCs w:val="24"/>
          <w:highlight w:val="none"/>
        </w:rPr>
        <w:t>作为违约金。</w:t>
      </w:r>
    </w:p>
    <w:p>
      <w:pPr>
        <w:pStyle w:val="52"/>
        <w:ind w:firstLine="480"/>
        <w:jc w:val="both"/>
        <w:rPr>
          <w:rFonts w:eastAsia="宋体"/>
          <w:color w:val="auto"/>
          <w:sz w:val="24"/>
          <w:szCs w:val="24"/>
          <w:highlight w:val="none"/>
        </w:rPr>
      </w:pPr>
      <w:r>
        <w:rPr>
          <w:rFonts w:eastAsia="宋体"/>
          <w:color w:val="auto"/>
          <w:sz w:val="24"/>
          <w:szCs w:val="24"/>
          <w:highlight w:val="none"/>
        </w:rPr>
        <w:t>10.3.17</w:t>
      </w:r>
      <w:r>
        <w:rPr>
          <w:rFonts w:hint="eastAsia" w:eastAsia="宋体"/>
          <w:color w:val="auto"/>
          <w:sz w:val="24"/>
          <w:szCs w:val="24"/>
          <w:highlight w:val="none"/>
        </w:rPr>
        <w:t xml:space="preserve">. </w:t>
      </w:r>
      <w:r>
        <w:rPr>
          <w:rFonts w:eastAsia="宋体"/>
          <w:color w:val="auto"/>
          <w:sz w:val="24"/>
          <w:szCs w:val="24"/>
          <w:highlight w:val="none"/>
        </w:rPr>
        <w:t>承包人实际提交给</w:t>
      </w:r>
      <w:r>
        <w:rPr>
          <w:rFonts w:hint="eastAsia" w:eastAsia="宋体"/>
          <w:color w:val="auto"/>
          <w:sz w:val="24"/>
          <w:szCs w:val="24"/>
          <w:highlight w:val="none"/>
          <w:lang w:eastAsia="zh-CN"/>
        </w:rPr>
        <w:t>发包人</w:t>
      </w:r>
      <w:r>
        <w:rPr>
          <w:rFonts w:eastAsia="宋体"/>
          <w:color w:val="auto"/>
          <w:sz w:val="24"/>
          <w:szCs w:val="24"/>
          <w:highlight w:val="none"/>
        </w:rPr>
        <w:t>的所有计划和报表以及文件等的时间，均以</w:t>
      </w:r>
      <w:r>
        <w:rPr>
          <w:rFonts w:hint="eastAsia" w:eastAsia="宋体"/>
          <w:color w:val="auto"/>
          <w:sz w:val="24"/>
          <w:szCs w:val="24"/>
          <w:highlight w:val="none"/>
          <w:lang w:eastAsia="zh-CN"/>
        </w:rPr>
        <w:t>发包人</w:t>
      </w:r>
      <w:r>
        <w:rPr>
          <w:rFonts w:eastAsia="宋体"/>
          <w:color w:val="auto"/>
          <w:sz w:val="24"/>
          <w:szCs w:val="24"/>
          <w:highlight w:val="none"/>
        </w:rPr>
        <w:t>的书面签收为准。</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155" w:name="_Toc26381"/>
      <w:bookmarkStart w:id="1156" w:name="_Toc1274"/>
      <w:bookmarkStart w:id="1157" w:name="_Toc38987280"/>
      <w:bookmarkStart w:id="1158" w:name="_Toc44228163"/>
      <w:bookmarkStart w:id="1159" w:name="_Toc418"/>
      <w:bookmarkStart w:id="1160" w:name="_Toc44492584"/>
      <w:bookmarkStart w:id="1161" w:name="_Toc12033"/>
      <w:bookmarkStart w:id="1162" w:name="_Toc9523"/>
      <w:bookmarkStart w:id="1163" w:name="_Toc26413"/>
      <w:r>
        <w:rPr>
          <w:rFonts w:eastAsia="宋体"/>
          <w:color w:val="auto"/>
          <w:sz w:val="24"/>
          <w:szCs w:val="24"/>
          <w:highlight w:val="none"/>
        </w:rPr>
        <w:t>开工和竣工</w:t>
      </w:r>
      <w:bookmarkEnd w:id="1155"/>
      <w:bookmarkEnd w:id="1156"/>
      <w:bookmarkEnd w:id="1157"/>
      <w:bookmarkEnd w:id="1158"/>
      <w:bookmarkEnd w:id="1159"/>
      <w:bookmarkEnd w:id="1160"/>
      <w:bookmarkEnd w:id="1161"/>
      <w:bookmarkEnd w:id="1162"/>
      <w:bookmarkEnd w:id="1163"/>
    </w:p>
    <w:p>
      <w:pPr>
        <w:pStyle w:val="77"/>
        <w:spacing w:before="0" w:after="0"/>
        <w:ind w:firstLine="480"/>
        <w:rPr>
          <w:rFonts w:eastAsia="宋体"/>
          <w:color w:val="auto"/>
          <w:szCs w:val="24"/>
          <w:highlight w:val="none"/>
        </w:rPr>
      </w:pPr>
      <w:bookmarkStart w:id="1164" w:name="_Toc30101"/>
      <w:bookmarkStart w:id="1165" w:name="_Toc44492585"/>
      <w:bookmarkStart w:id="1166" w:name="_Toc25354"/>
      <w:r>
        <w:rPr>
          <w:rFonts w:eastAsia="宋体"/>
          <w:color w:val="auto"/>
          <w:szCs w:val="24"/>
          <w:highlight w:val="none"/>
        </w:rPr>
        <w:t>11.1.</w:t>
      </w:r>
      <w:r>
        <w:rPr>
          <w:rFonts w:hint="eastAsia" w:eastAsia="宋体"/>
          <w:color w:val="auto"/>
          <w:szCs w:val="24"/>
          <w:highlight w:val="none"/>
        </w:rPr>
        <w:t xml:space="preserve"> </w:t>
      </w:r>
      <w:r>
        <w:rPr>
          <w:rFonts w:eastAsia="宋体"/>
          <w:color w:val="auto"/>
          <w:szCs w:val="24"/>
          <w:highlight w:val="none"/>
        </w:rPr>
        <w:t>开工</w:t>
      </w:r>
      <w:bookmarkEnd w:id="1164"/>
      <w:bookmarkEnd w:id="1165"/>
      <w:bookmarkEnd w:id="1166"/>
    </w:p>
    <w:p>
      <w:pPr>
        <w:pStyle w:val="52"/>
        <w:ind w:firstLine="480"/>
        <w:jc w:val="both"/>
        <w:rPr>
          <w:rFonts w:eastAsia="宋体"/>
          <w:color w:val="auto"/>
          <w:sz w:val="24"/>
          <w:szCs w:val="24"/>
          <w:highlight w:val="none"/>
        </w:rPr>
      </w:pPr>
      <w:r>
        <w:rPr>
          <w:rFonts w:eastAsia="宋体"/>
          <w:color w:val="auto"/>
          <w:sz w:val="24"/>
          <w:szCs w:val="24"/>
          <w:highlight w:val="none"/>
        </w:rPr>
        <w:t>通用条款</w:t>
      </w:r>
      <w:r>
        <w:rPr>
          <w:rFonts w:hint="eastAsia" w:eastAsia="宋体"/>
          <w:color w:val="auto"/>
          <w:sz w:val="24"/>
          <w:szCs w:val="24"/>
          <w:highlight w:val="none"/>
        </w:rPr>
        <w:t>第</w:t>
      </w:r>
      <w:r>
        <w:rPr>
          <w:rFonts w:eastAsia="宋体"/>
          <w:color w:val="auto"/>
          <w:sz w:val="24"/>
          <w:szCs w:val="24"/>
          <w:highlight w:val="none"/>
        </w:rPr>
        <w:t>11.1.3</w:t>
      </w:r>
      <w:r>
        <w:rPr>
          <w:rFonts w:hint="eastAsia" w:eastAsia="宋体"/>
          <w:color w:val="auto"/>
          <w:sz w:val="24"/>
          <w:szCs w:val="24"/>
          <w:highlight w:val="none"/>
        </w:rPr>
        <w:t>款</w:t>
      </w:r>
      <w:r>
        <w:rPr>
          <w:rFonts w:eastAsia="宋体"/>
          <w:color w:val="auto"/>
          <w:sz w:val="24"/>
          <w:szCs w:val="24"/>
          <w:highlight w:val="none"/>
        </w:rPr>
        <w:t>修改为：承包人不能按时开工的，应当不迟于发包人要求的开工日期前7天，以书面形式向</w:t>
      </w:r>
      <w:r>
        <w:rPr>
          <w:rFonts w:hint="eastAsia" w:eastAsia="宋体"/>
          <w:color w:val="auto"/>
          <w:sz w:val="24"/>
          <w:szCs w:val="24"/>
          <w:highlight w:val="none"/>
          <w:lang w:eastAsia="zh-CN"/>
        </w:rPr>
        <w:t>发包人</w:t>
      </w:r>
      <w:r>
        <w:rPr>
          <w:rFonts w:eastAsia="宋体"/>
          <w:color w:val="auto"/>
          <w:sz w:val="24"/>
          <w:szCs w:val="24"/>
          <w:highlight w:val="none"/>
        </w:rPr>
        <w:t>提出延期开工的理由和要求。</w:t>
      </w:r>
      <w:r>
        <w:rPr>
          <w:rFonts w:hint="eastAsia" w:eastAsia="宋体"/>
          <w:color w:val="auto"/>
          <w:sz w:val="24"/>
          <w:szCs w:val="24"/>
          <w:highlight w:val="none"/>
          <w:lang w:eastAsia="zh-CN"/>
        </w:rPr>
        <w:t>发包人</w:t>
      </w:r>
      <w:r>
        <w:rPr>
          <w:rFonts w:eastAsia="宋体"/>
          <w:color w:val="auto"/>
          <w:sz w:val="24"/>
          <w:szCs w:val="24"/>
          <w:highlight w:val="none"/>
        </w:rPr>
        <w:t>应当在接到延期开工申请后的48小时内以书面形式答复承包人。</w:t>
      </w:r>
      <w:r>
        <w:rPr>
          <w:rFonts w:hint="eastAsia" w:eastAsia="宋体"/>
          <w:color w:val="auto"/>
          <w:sz w:val="24"/>
          <w:szCs w:val="24"/>
          <w:highlight w:val="none"/>
          <w:lang w:eastAsia="zh-CN"/>
        </w:rPr>
        <w:t>发包人</w:t>
      </w:r>
      <w:r>
        <w:rPr>
          <w:rFonts w:eastAsia="宋体"/>
          <w:color w:val="auto"/>
          <w:sz w:val="24"/>
          <w:szCs w:val="24"/>
          <w:highlight w:val="none"/>
        </w:rPr>
        <w:t>在接到延期开工申请后48小时内不答复，视为不同意承包人要求，工期不相应顺延。</w:t>
      </w:r>
      <w:r>
        <w:rPr>
          <w:rFonts w:hint="eastAsia" w:eastAsia="宋体"/>
          <w:color w:val="auto"/>
          <w:sz w:val="24"/>
          <w:szCs w:val="24"/>
          <w:highlight w:val="none"/>
          <w:lang w:eastAsia="zh-CN"/>
        </w:rPr>
        <w:t>发包人</w:t>
      </w:r>
      <w:r>
        <w:rPr>
          <w:rFonts w:eastAsia="宋体"/>
          <w:color w:val="auto"/>
          <w:sz w:val="24"/>
          <w:szCs w:val="24"/>
          <w:highlight w:val="none"/>
        </w:rPr>
        <w:t>不同意延期要求或承包人未在规定时间内提出延期开工要求，工期不予顺延。</w:t>
      </w:r>
    </w:p>
    <w:p>
      <w:pPr>
        <w:pStyle w:val="52"/>
        <w:ind w:firstLine="480"/>
        <w:jc w:val="both"/>
        <w:rPr>
          <w:rFonts w:eastAsia="宋体"/>
          <w:color w:val="auto"/>
          <w:sz w:val="24"/>
          <w:szCs w:val="24"/>
          <w:highlight w:val="none"/>
        </w:rPr>
      </w:pPr>
      <w:r>
        <w:rPr>
          <w:rFonts w:eastAsia="宋体"/>
          <w:color w:val="auto"/>
          <w:sz w:val="24"/>
          <w:szCs w:val="24"/>
          <w:highlight w:val="none"/>
        </w:rPr>
        <w:t>11.1.4</w:t>
      </w:r>
      <w:r>
        <w:rPr>
          <w:rFonts w:hint="eastAsia" w:eastAsia="宋体"/>
          <w:color w:val="auto"/>
          <w:sz w:val="24"/>
          <w:szCs w:val="24"/>
          <w:highlight w:val="none"/>
        </w:rPr>
        <w:t>.</w:t>
      </w:r>
      <w:r>
        <w:rPr>
          <w:rFonts w:eastAsia="宋体"/>
          <w:color w:val="auto"/>
          <w:sz w:val="24"/>
          <w:szCs w:val="24"/>
          <w:highlight w:val="none"/>
        </w:rPr>
        <w:t xml:space="preserve"> 承包人的人员、设备必须按照合同及经</w:t>
      </w:r>
      <w:r>
        <w:rPr>
          <w:rFonts w:hint="eastAsia" w:eastAsia="宋体"/>
          <w:color w:val="auto"/>
          <w:sz w:val="24"/>
          <w:szCs w:val="24"/>
          <w:highlight w:val="none"/>
          <w:lang w:eastAsia="zh-CN"/>
        </w:rPr>
        <w:t>发包人</w:t>
      </w:r>
      <w:r>
        <w:rPr>
          <w:rFonts w:eastAsia="宋体"/>
          <w:color w:val="auto"/>
          <w:sz w:val="24"/>
          <w:szCs w:val="24"/>
          <w:highlight w:val="none"/>
        </w:rPr>
        <w:t>确认的时间表进场，承包人不得拖延、调换或减少。若</w:t>
      </w:r>
      <w:r>
        <w:rPr>
          <w:rFonts w:hint="eastAsia" w:eastAsia="宋体"/>
          <w:color w:val="auto"/>
          <w:sz w:val="24"/>
          <w:szCs w:val="24"/>
          <w:highlight w:val="none"/>
          <w:lang w:eastAsia="zh-CN"/>
        </w:rPr>
        <w:t>发包人</w:t>
      </w:r>
      <w:r>
        <w:rPr>
          <w:rFonts w:eastAsia="宋体"/>
          <w:color w:val="auto"/>
          <w:sz w:val="24"/>
          <w:szCs w:val="24"/>
          <w:highlight w:val="none"/>
        </w:rPr>
        <w:t>认为合同规定的进场机械、材料和劳动力不能满足施工进度要求，有权指令承包人增加设备、材料和劳动力投入，承包人不得拒绝。承包人不按照合同约定的人员、设备按时进场，发包人有权要求不满足合同要求的人员、设备退场，由此造成的工期、费用损失，由承包人负责。</w:t>
      </w:r>
    </w:p>
    <w:p>
      <w:pPr>
        <w:pStyle w:val="77"/>
        <w:spacing w:before="0" w:after="0"/>
        <w:ind w:firstLine="480"/>
        <w:rPr>
          <w:rFonts w:eastAsia="宋体"/>
          <w:color w:val="auto"/>
          <w:szCs w:val="24"/>
          <w:highlight w:val="none"/>
        </w:rPr>
      </w:pPr>
      <w:bookmarkStart w:id="1167" w:name="_Toc28431"/>
      <w:bookmarkStart w:id="1168" w:name="_Toc751"/>
      <w:bookmarkStart w:id="1169" w:name="_Toc44492586"/>
      <w:r>
        <w:rPr>
          <w:rFonts w:eastAsia="宋体"/>
          <w:color w:val="auto"/>
          <w:szCs w:val="24"/>
          <w:highlight w:val="none"/>
        </w:rPr>
        <w:t>11.3.</w:t>
      </w:r>
      <w:r>
        <w:rPr>
          <w:rFonts w:hint="eastAsia" w:eastAsia="宋体"/>
          <w:color w:val="auto"/>
          <w:szCs w:val="24"/>
          <w:highlight w:val="none"/>
        </w:rPr>
        <w:t xml:space="preserve"> </w:t>
      </w:r>
      <w:r>
        <w:rPr>
          <w:rFonts w:eastAsia="宋体"/>
          <w:color w:val="auto"/>
          <w:szCs w:val="24"/>
          <w:highlight w:val="none"/>
        </w:rPr>
        <w:t>发包人的工期延误</w:t>
      </w:r>
      <w:bookmarkEnd w:id="1167"/>
      <w:bookmarkEnd w:id="1168"/>
      <w:bookmarkEnd w:id="1169"/>
    </w:p>
    <w:p>
      <w:pPr>
        <w:pStyle w:val="52"/>
        <w:ind w:firstLine="480"/>
        <w:jc w:val="both"/>
        <w:rPr>
          <w:rFonts w:eastAsia="宋体"/>
          <w:color w:val="auto"/>
          <w:sz w:val="24"/>
          <w:szCs w:val="24"/>
          <w:highlight w:val="none"/>
        </w:rPr>
      </w:pPr>
      <w:r>
        <w:rPr>
          <w:rFonts w:eastAsia="宋体"/>
          <w:color w:val="auto"/>
          <w:sz w:val="24"/>
          <w:szCs w:val="24"/>
          <w:highlight w:val="none"/>
        </w:rPr>
        <w:t>11.3.1. 合同当事人双方约定工期顺延的其他情况：</w:t>
      </w:r>
      <w:r>
        <w:rPr>
          <w:rFonts w:eastAsia="宋体"/>
          <w:color w:val="auto"/>
          <w:sz w:val="24"/>
          <w:szCs w:val="24"/>
          <w:highlight w:val="none"/>
          <w:u w:val="single"/>
        </w:rPr>
        <w:t xml:space="preserve">  /  </w:t>
      </w:r>
      <w:r>
        <w:rPr>
          <w:rFonts w:eastAsia="宋体"/>
          <w:color w:val="auto"/>
          <w:sz w:val="24"/>
          <w:szCs w:val="24"/>
          <w:highlight w:val="none"/>
        </w:rPr>
        <w:t>。</w:t>
      </w:r>
    </w:p>
    <w:p>
      <w:pPr>
        <w:pStyle w:val="77"/>
        <w:spacing w:before="0" w:after="0"/>
        <w:ind w:firstLine="480"/>
        <w:rPr>
          <w:rFonts w:eastAsia="宋体"/>
          <w:color w:val="auto"/>
          <w:szCs w:val="24"/>
          <w:highlight w:val="none"/>
        </w:rPr>
      </w:pPr>
      <w:bookmarkStart w:id="1170" w:name="_Toc16575"/>
      <w:bookmarkStart w:id="1171" w:name="_Toc10205"/>
      <w:bookmarkStart w:id="1172" w:name="_Toc44492587"/>
      <w:r>
        <w:rPr>
          <w:rFonts w:eastAsia="宋体"/>
          <w:color w:val="auto"/>
          <w:szCs w:val="24"/>
          <w:highlight w:val="none"/>
        </w:rPr>
        <w:t>11.4.</w:t>
      </w:r>
      <w:r>
        <w:rPr>
          <w:rFonts w:hint="eastAsia" w:eastAsia="宋体"/>
          <w:color w:val="auto"/>
          <w:szCs w:val="24"/>
          <w:highlight w:val="none"/>
        </w:rPr>
        <w:t xml:space="preserve"> </w:t>
      </w:r>
      <w:r>
        <w:rPr>
          <w:rFonts w:eastAsia="宋体"/>
          <w:color w:val="auto"/>
          <w:szCs w:val="24"/>
          <w:highlight w:val="none"/>
        </w:rPr>
        <w:t>异常恶劣的气候条件</w:t>
      </w:r>
      <w:bookmarkEnd w:id="1170"/>
      <w:bookmarkEnd w:id="1171"/>
      <w:bookmarkEnd w:id="1172"/>
    </w:p>
    <w:p>
      <w:pPr>
        <w:pStyle w:val="52"/>
        <w:ind w:firstLine="480"/>
        <w:jc w:val="both"/>
        <w:rPr>
          <w:rFonts w:eastAsia="宋体"/>
          <w:color w:val="auto"/>
          <w:sz w:val="24"/>
          <w:szCs w:val="24"/>
          <w:highlight w:val="none"/>
        </w:rPr>
      </w:pPr>
      <w:r>
        <w:rPr>
          <w:rFonts w:eastAsia="宋体"/>
          <w:color w:val="auto"/>
          <w:sz w:val="24"/>
          <w:szCs w:val="24"/>
          <w:highlight w:val="none"/>
        </w:rPr>
        <w:t xml:space="preserve">11.4.1. 异常恶劣的气候条件是指: </w:t>
      </w:r>
      <w:r>
        <w:rPr>
          <w:rFonts w:eastAsia="宋体"/>
          <w:color w:val="auto"/>
          <w:sz w:val="24"/>
          <w:szCs w:val="24"/>
          <w:highlight w:val="none"/>
          <w:u w:val="single"/>
        </w:rPr>
        <w:t xml:space="preserve"> 24小时内（午夜至午夜）当地气象局记录显示降雨量150 mm或以上或8级及以上的台风，以主管部门发布的正式文件为准。</w:t>
      </w:r>
    </w:p>
    <w:p>
      <w:pPr>
        <w:pStyle w:val="77"/>
        <w:spacing w:before="0" w:after="0"/>
        <w:ind w:firstLine="480"/>
        <w:rPr>
          <w:rFonts w:eastAsia="宋体"/>
          <w:color w:val="auto"/>
          <w:szCs w:val="24"/>
          <w:highlight w:val="none"/>
        </w:rPr>
      </w:pPr>
      <w:bookmarkStart w:id="1173" w:name="_Toc18931"/>
      <w:bookmarkStart w:id="1174" w:name="_Toc44492588"/>
      <w:bookmarkStart w:id="1175" w:name="_Toc27301"/>
      <w:r>
        <w:rPr>
          <w:rFonts w:eastAsia="宋体"/>
          <w:color w:val="auto"/>
          <w:szCs w:val="24"/>
          <w:highlight w:val="none"/>
        </w:rPr>
        <w:t xml:space="preserve">11.5. </w:t>
      </w:r>
      <w:r>
        <w:rPr>
          <w:rFonts w:hint="eastAsia" w:eastAsia="宋体"/>
          <w:color w:val="auto"/>
          <w:szCs w:val="24"/>
          <w:highlight w:val="none"/>
        </w:rPr>
        <w:t xml:space="preserve">  </w:t>
      </w:r>
      <w:r>
        <w:rPr>
          <w:rFonts w:eastAsia="宋体"/>
          <w:color w:val="auto"/>
          <w:szCs w:val="24"/>
          <w:highlight w:val="none"/>
        </w:rPr>
        <w:t>承包人的工期延误</w:t>
      </w:r>
      <w:bookmarkEnd w:id="1173"/>
      <w:bookmarkEnd w:id="1174"/>
      <w:bookmarkEnd w:id="1175"/>
    </w:p>
    <w:p>
      <w:pPr>
        <w:pStyle w:val="75"/>
        <w:ind w:firstLine="482"/>
        <w:jc w:val="both"/>
        <w:rPr>
          <w:color w:val="auto"/>
          <w:sz w:val="24"/>
          <w:szCs w:val="24"/>
          <w:highlight w:val="none"/>
        </w:rPr>
      </w:pPr>
      <w:bookmarkStart w:id="1176" w:name="_Toc26971"/>
      <w:r>
        <w:rPr>
          <w:color w:val="auto"/>
          <w:sz w:val="24"/>
          <w:szCs w:val="24"/>
          <w:highlight w:val="none"/>
        </w:rPr>
        <w:t>11.5.1. 对承包人工期延误的约定</w:t>
      </w:r>
      <w:bookmarkEnd w:id="1176"/>
    </w:p>
    <w:p>
      <w:pPr>
        <w:pStyle w:val="52"/>
        <w:ind w:firstLine="480"/>
        <w:jc w:val="both"/>
        <w:rPr>
          <w:rFonts w:eastAsia="宋体"/>
          <w:color w:val="auto"/>
          <w:sz w:val="24"/>
          <w:szCs w:val="24"/>
          <w:highlight w:val="none"/>
          <w:u w:val="single"/>
        </w:rPr>
      </w:pPr>
      <w:r>
        <w:rPr>
          <w:rFonts w:eastAsia="宋体"/>
          <w:color w:val="auto"/>
          <w:sz w:val="24"/>
          <w:szCs w:val="24"/>
          <w:highlight w:val="none"/>
        </w:rPr>
        <w:t>1）承包人原因导致</w:t>
      </w:r>
      <w:r>
        <w:rPr>
          <w:rFonts w:eastAsia="宋体"/>
          <w:color w:val="auto"/>
          <w:sz w:val="24"/>
          <w:szCs w:val="24"/>
          <w:highlight w:val="none"/>
          <w:u w:val="single"/>
        </w:rPr>
        <w:t>工程不能按合同竣工日期验收合格或移交发包人</w:t>
      </w:r>
      <w:r>
        <w:rPr>
          <w:rFonts w:hint="eastAsia" w:eastAsia="宋体"/>
          <w:color w:val="auto"/>
          <w:sz w:val="24"/>
          <w:szCs w:val="24"/>
          <w:highlight w:val="none"/>
          <w:u w:val="single"/>
          <w:lang w:val="en-US" w:eastAsia="zh-CN"/>
        </w:rPr>
        <w:t>及政府相关部门</w:t>
      </w:r>
      <w:r>
        <w:rPr>
          <w:rFonts w:eastAsia="宋体"/>
          <w:color w:val="auto"/>
          <w:sz w:val="24"/>
          <w:szCs w:val="24"/>
          <w:highlight w:val="none"/>
          <w:u w:val="single"/>
        </w:rPr>
        <w:t>的，每延误一天，承包人应按本工程合同</w:t>
      </w:r>
      <w:r>
        <w:rPr>
          <w:rFonts w:hint="eastAsia" w:eastAsia="宋体"/>
          <w:color w:val="auto"/>
          <w:sz w:val="24"/>
          <w:szCs w:val="24"/>
          <w:highlight w:val="none"/>
          <w:u w:val="single"/>
        </w:rPr>
        <w:t>暂定总</w:t>
      </w:r>
      <w:r>
        <w:rPr>
          <w:rFonts w:eastAsia="宋体"/>
          <w:color w:val="auto"/>
          <w:sz w:val="24"/>
          <w:szCs w:val="24"/>
          <w:highlight w:val="none"/>
          <w:u w:val="single"/>
        </w:rPr>
        <w:t>价</w:t>
      </w:r>
      <w:r>
        <w:rPr>
          <w:rFonts w:eastAsia="宋体"/>
          <w:color w:val="auto"/>
          <w:sz w:val="24"/>
          <w:szCs w:val="24"/>
          <w:highlight w:val="none"/>
        </w:rPr>
        <w:t>的</w:t>
      </w:r>
      <w:r>
        <w:rPr>
          <w:rFonts w:eastAsia="宋体"/>
          <w:color w:val="auto"/>
          <w:sz w:val="24"/>
          <w:szCs w:val="24"/>
          <w:highlight w:val="none"/>
          <w:u w:val="single"/>
        </w:rPr>
        <w:t xml:space="preserve">万分之五向发包人支付违约金（如果工期延误引起其他人相关损失，承包人应负全部赔偿责任）。发包人可从应向承包人支付的进度款及结算款中扣除此项违约金，不足部分由承包人另行赔偿，此赔偿费的支付并不能解除承包人应完成工程的责任或本合同规定的其他责任。 </w:t>
      </w:r>
    </w:p>
    <w:p>
      <w:pPr>
        <w:adjustRightInd w:val="0"/>
        <w:snapToGrid w:val="0"/>
        <w:spacing w:line="360" w:lineRule="auto"/>
        <w:ind w:firstLine="480" w:firstLineChars="200"/>
        <w:rPr>
          <w:rFonts w:ascii="Times New Roman" w:hAnsi="Times New Roman"/>
          <w:color w:val="auto"/>
          <w:sz w:val="24"/>
          <w:szCs w:val="24"/>
          <w:highlight w:val="none"/>
          <w:u w:val="single"/>
        </w:rPr>
      </w:pPr>
      <w:r>
        <w:rPr>
          <w:rFonts w:ascii="Times New Roman" w:hAnsi="Times New Roman"/>
          <w:color w:val="auto"/>
          <w:kern w:val="0"/>
          <w:sz w:val="24"/>
          <w:szCs w:val="24"/>
          <w:highlight w:val="none"/>
          <w:u w:val="single"/>
        </w:rPr>
        <w:t>2）</w:t>
      </w:r>
      <w:r>
        <w:rPr>
          <w:rFonts w:hint="default" w:ascii="Times New Roman" w:hAnsi="Times New Roman"/>
          <w:color w:val="auto"/>
          <w:kern w:val="0"/>
          <w:sz w:val="24"/>
          <w:szCs w:val="24"/>
          <w:highlight w:val="none"/>
          <w:u w:val="single"/>
        </w:rPr>
        <w:t>如因承包人责任造成实际施工进度严重滞后于合同规定的控制节点超过</w:t>
      </w:r>
      <w:r>
        <w:rPr>
          <w:rFonts w:hint="eastAsia" w:ascii="Times New Roman" w:hAnsi="Times New Roman"/>
          <w:color w:val="auto"/>
          <w:kern w:val="0"/>
          <w:sz w:val="24"/>
          <w:szCs w:val="24"/>
          <w:highlight w:val="none"/>
          <w:u w:val="single"/>
          <w:lang w:val="en-US" w:eastAsia="zh-CN"/>
        </w:rPr>
        <w:t>3</w:t>
      </w:r>
      <w:r>
        <w:rPr>
          <w:rFonts w:hint="default" w:ascii="Times New Roman" w:hAnsi="Times New Roman"/>
          <w:color w:val="auto"/>
          <w:kern w:val="0"/>
          <w:sz w:val="24"/>
          <w:szCs w:val="24"/>
          <w:highlight w:val="none"/>
          <w:u w:val="single"/>
        </w:rPr>
        <w:t>0天，发包人有权单方面解除合同或将承包人所承包的部分工程委托给第三方单位负责施工，由此造成的一切损失均由承包人负责。发包人将部分工程委托给第三方单位负责施工的，承包人应无条件与第三方单位签署分包合同并向其提供总承包管理服务，且不应向第三方单位与发包人收取总承包管理费用；委托第三方施工的费用大于承包人对应合同额内相关费用的，差额由承包人自行承担，委托第三方施工的费用小于承包人对应合同额内相关费用的，应按节约金额调整本合同价款；若发包人将部分工程委托给第三方单位负责施工且与第三方单位直接发生合同关系的，则应相应调减本合同承包范围及合同价款，同时承包人应按第三方单位实施该部分工程造价的20%向发包人支付违约金，同时承担工期等违约责任及发包人相关损失。发包人单方面解除合同的，承包人除应补偿发包人及其他相关专业承包人等的所有损失外，还应向发包人偿付本工程合同中标价千分之二的违约金。</w:t>
      </w:r>
    </w:p>
    <w:p>
      <w:pPr>
        <w:pStyle w:val="77"/>
        <w:spacing w:before="0" w:after="0"/>
        <w:ind w:firstLine="480"/>
        <w:rPr>
          <w:rFonts w:eastAsia="宋体"/>
          <w:color w:val="auto"/>
          <w:szCs w:val="24"/>
          <w:highlight w:val="none"/>
        </w:rPr>
      </w:pPr>
      <w:bookmarkStart w:id="1177" w:name="_Toc44492589"/>
      <w:bookmarkStart w:id="1178" w:name="_Toc4423"/>
      <w:bookmarkStart w:id="1179" w:name="_Toc31650"/>
      <w:r>
        <w:rPr>
          <w:rFonts w:eastAsia="宋体"/>
          <w:color w:val="auto"/>
          <w:szCs w:val="24"/>
          <w:highlight w:val="none"/>
        </w:rPr>
        <w:t>11.6.</w:t>
      </w:r>
      <w:r>
        <w:rPr>
          <w:rFonts w:hint="eastAsia" w:eastAsia="宋体"/>
          <w:color w:val="auto"/>
          <w:szCs w:val="24"/>
          <w:highlight w:val="none"/>
        </w:rPr>
        <w:t xml:space="preserve"> </w:t>
      </w:r>
      <w:r>
        <w:rPr>
          <w:rFonts w:eastAsia="宋体"/>
          <w:color w:val="auto"/>
          <w:szCs w:val="24"/>
          <w:highlight w:val="none"/>
        </w:rPr>
        <w:t>工期提前</w:t>
      </w:r>
      <w:bookmarkEnd w:id="1177"/>
      <w:bookmarkEnd w:id="1178"/>
      <w:bookmarkEnd w:id="1179"/>
    </w:p>
    <w:p>
      <w:pPr>
        <w:pStyle w:val="52"/>
        <w:ind w:firstLine="480"/>
        <w:jc w:val="both"/>
        <w:rPr>
          <w:rFonts w:eastAsia="宋体"/>
          <w:color w:val="auto"/>
          <w:sz w:val="24"/>
          <w:szCs w:val="24"/>
          <w:highlight w:val="none"/>
        </w:rPr>
      </w:pPr>
      <w:r>
        <w:rPr>
          <w:rFonts w:eastAsia="宋体"/>
          <w:color w:val="auto"/>
          <w:sz w:val="24"/>
          <w:szCs w:val="24"/>
          <w:highlight w:val="none"/>
        </w:rPr>
        <w:t>11.6.1. 承包人按合同工期按时竣工的不奖不罚，如发包人要求提前验收时，合同当事人双方可签订提前竣工补充协议，承包人不应向发包人索取赶工措施费，发包人亦无须支付赶工措施费。如发包人未要求提前验收，承包人的实际竣工日期比合同工期提前时，发包人无须支付赶工措施费</w:t>
      </w:r>
      <w:r>
        <w:rPr>
          <w:rFonts w:hint="eastAsia" w:eastAsia="宋体"/>
          <w:color w:val="auto"/>
          <w:sz w:val="24"/>
          <w:szCs w:val="24"/>
          <w:highlight w:val="none"/>
        </w:rPr>
        <w:t>。</w:t>
      </w:r>
      <w:r>
        <w:rPr>
          <w:rFonts w:hint="eastAsia"/>
          <w:color w:val="auto"/>
          <w:highlight w:val="none"/>
        </w:rPr>
        <w:t xml:space="preserve">  </w:t>
      </w:r>
      <w:r>
        <w:rPr>
          <w:rFonts w:eastAsia="宋体"/>
          <w:color w:val="auto"/>
          <w:sz w:val="24"/>
          <w:szCs w:val="24"/>
          <w:highlight w:val="none"/>
        </w:rPr>
        <w:t xml:space="preserve"> </w:t>
      </w:r>
    </w:p>
    <w:p>
      <w:pPr>
        <w:pStyle w:val="52"/>
        <w:ind w:firstLine="480"/>
        <w:jc w:val="both"/>
        <w:rPr>
          <w:rFonts w:eastAsia="宋体"/>
          <w:color w:val="auto"/>
          <w:sz w:val="24"/>
          <w:szCs w:val="24"/>
          <w:highlight w:val="none"/>
        </w:rPr>
      </w:pPr>
      <w:bookmarkStart w:id="1180" w:name="_Toc44492590"/>
      <w:bookmarkStart w:id="1181" w:name="_Toc8585"/>
      <w:bookmarkStart w:id="1182" w:name="_Toc6620"/>
      <w:bookmarkStart w:id="1183" w:name="_Toc38987281"/>
      <w:bookmarkStart w:id="1184" w:name="_Toc44228164"/>
      <w:r>
        <w:rPr>
          <w:rFonts w:eastAsia="宋体"/>
          <w:color w:val="auto"/>
          <w:sz w:val="24"/>
          <w:szCs w:val="24"/>
          <w:highlight w:val="none"/>
          <w:u w:val="single"/>
        </w:rPr>
        <w:t>11.6.2</w:t>
      </w:r>
      <w:r>
        <w:rPr>
          <w:rFonts w:hint="eastAsia" w:eastAsia="宋体"/>
          <w:color w:val="auto"/>
          <w:sz w:val="24"/>
          <w:szCs w:val="24"/>
          <w:highlight w:val="none"/>
          <w:u w:val="single"/>
        </w:rPr>
        <w:t>.</w:t>
      </w:r>
      <w:r>
        <w:rPr>
          <w:rFonts w:eastAsia="宋体"/>
          <w:color w:val="auto"/>
          <w:sz w:val="24"/>
          <w:szCs w:val="24"/>
          <w:highlight w:val="none"/>
          <w:u w:val="single"/>
        </w:rPr>
        <w:t xml:space="preserve"> </w:t>
      </w:r>
      <w:r>
        <w:rPr>
          <w:rFonts w:eastAsia="宋体"/>
          <w:color w:val="auto"/>
          <w:sz w:val="24"/>
          <w:szCs w:val="24"/>
          <w:highlight w:val="none"/>
        </w:rPr>
        <w:t>发包人有权要求对之前确定的部分关键节点的工期进行提前完成，承包人需按照新的工期要求对原来的施工计划进行重新制定并施工，承包人不应向发包人索取赶工措施费，发包人亦无须支付赶工措施费</w:t>
      </w:r>
      <w:r>
        <w:rPr>
          <w:rFonts w:hint="eastAsia" w:eastAsia="宋体"/>
          <w:color w:val="auto"/>
          <w:sz w:val="24"/>
          <w:szCs w:val="24"/>
          <w:highlight w:val="none"/>
        </w:rPr>
        <w:t>。</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185" w:name="_Toc17337"/>
      <w:bookmarkStart w:id="1186" w:name="_Toc27745"/>
      <w:bookmarkStart w:id="1187" w:name="_Toc3842"/>
      <w:bookmarkStart w:id="1188" w:name="_Toc21230"/>
      <w:r>
        <w:rPr>
          <w:rFonts w:eastAsia="宋体"/>
          <w:color w:val="auto"/>
          <w:sz w:val="24"/>
          <w:szCs w:val="24"/>
          <w:highlight w:val="none"/>
        </w:rPr>
        <w:t>暂停施工</w:t>
      </w:r>
      <w:bookmarkEnd w:id="1180"/>
      <w:bookmarkEnd w:id="1181"/>
      <w:bookmarkEnd w:id="1182"/>
      <w:bookmarkEnd w:id="1183"/>
      <w:bookmarkEnd w:id="1184"/>
      <w:bookmarkEnd w:id="1185"/>
      <w:bookmarkEnd w:id="1186"/>
      <w:bookmarkEnd w:id="1187"/>
      <w:bookmarkEnd w:id="1188"/>
    </w:p>
    <w:p>
      <w:pPr>
        <w:pStyle w:val="77"/>
        <w:spacing w:before="0" w:after="0"/>
        <w:ind w:firstLine="480"/>
        <w:outlineLvl w:val="1"/>
        <w:rPr>
          <w:rFonts w:eastAsia="宋体"/>
          <w:color w:val="auto"/>
          <w:szCs w:val="24"/>
          <w:highlight w:val="none"/>
        </w:rPr>
      </w:pPr>
      <w:bookmarkStart w:id="1189" w:name="_Toc44492591"/>
      <w:bookmarkStart w:id="1190" w:name="_Toc18790"/>
      <w:bookmarkStart w:id="1191" w:name="_Toc29712"/>
      <w:r>
        <w:rPr>
          <w:rFonts w:eastAsia="宋体"/>
          <w:color w:val="auto"/>
          <w:szCs w:val="24"/>
          <w:highlight w:val="none"/>
        </w:rPr>
        <w:t>12.1.</w:t>
      </w:r>
      <w:r>
        <w:rPr>
          <w:rFonts w:hint="eastAsia" w:eastAsia="宋体"/>
          <w:color w:val="auto"/>
          <w:szCs w:val="24"/>
          <w:highlight w:val="none"/>
        </w:rPr>
        <w:t xml:space="preserve"> </w:t>
      </w:r>
      <w:r>
        <w:rPr>
          <w:rFonts w:eastAsia="宋体"/>
          <w:color w:val="auto"/>
          <w:szCs w:val="24"/>
          <w:highlight w:val="none"/>
        </w:rPr>
        <w:t>承包人暂停施工的责任</w:t>
      </w:r>
    </w:p>
    <w:p>
      <w:pPr>
        <w:pStyle w:val="77"/>
        <w:spacing w:before="0" w:after="0"/>
        <w:ind w:firstLine="480"/>
        <w:rPr>
          <w:rFonts w:eastAsia="宋体"/>
          <w:color w:val="auto"/>
          <w:szCs w:val="24"/>
          <w:highlight w:val="none"/>
        </w:rPr>
      </w:pPr>
      <w:r>
        <w:rPr>
          <w:rFonts w:eastAsia="宋体"/>
          <w:color w:val="auto"/>
          <w:szCs w:val="24"/>
          <w:highlight w:val="none"/>
        </w:rPr>
        <w:t>12.1.1</w:t>
      </w:r>
      <w:r>
        <w:rPr>
          <w:rFonts w:hint="eastAsia" w:eastAsia="宋体"/>
          <w:color w:val="auto"/>
          <w:szCs w:val="24"/>
          <w:highlight w:val="none"/>
        </w:rPr>
        <w:t>.</w:t>
      </w:r>
      <w:r>
        <w:rPr>
          <w:rFonts w:eastAsia="宋体"/>
          <w:color w:val="auto"/>
          <w:szCs w:val="24"/>
          <w:highlight w:val="none"/>
        </w:rPr>
        <w:t xml:space="preserve"> </w:t>
      </w:r>
    </w:p>
    <w:p>
      <w:pPr>
        <w:pStyle w:val="77"/>
        <w:spacing w:before="0" w:after="0"/>
        <w:ind w:firstLine="480"/>
        <w:rPr>
          <w:rFonts w:eastAsia="宋体"/>
          <w:color w:val="auto"/>
          <w:szCs w:val="24"/>
          <w:highlight w:val="none"/>
        </w:rPr>
      </w:pPr>
      <w:r>
        <w:rPr>
          <w:rFonts w:eastAsia="宋体"/>
          <w:color w:val="auto"/>
          <w:kern w:val="0"/>
          <w:szCs w:val="24"/>
          <w:highlight w:val="none"/>
          <w:u w:val="single"/>
        </w:rPr>
        <w:t>5）因现场气候条件（不可抗力除外）导致的必要停工。</w:t>
      </w:r>
    </w:p>
    <w:p>
      <w:pPr>
        <w:pStyle w:val="77"/>
        <w:spacing w:before="0" w:after="0"/>
        <w:ind w:firstLine="480"/>
        <w:outlineLvl w:val="1"/>
        <w:rPr>
          <w:rFonts w:eastAsia="宋体"/>
          <w:color w:val="auto"/>
          <w:szCs w:val="24"/>
          <w:highlight w:val="none"/>
        </w:rPr>
      </w:pPr>
      <w:r>
        <w:rPr>
          <w:rFonts w:eastAsia="宋体"/>
          <w:color w:val="auto"/>
          <w:szCs w:val="24"/>
          <w:highlight w:val="none"/>
        </w:rPr>
        <w:t>12.2. 发包人暂停施工的责任</w:t>
      </w:r>
      <w:bookmarkEnd w:id="1189"/>
      <w:bookmarkEnd w:id="1190"/>
      <w:bookmarkEnd w:id="1191"/>
    </w:p>
    <w:p>
      <w:pPr>
        <w:pStyle w:val="52"/>
        <w:ind w:firstLine="480"/>
        <w:jc w:val="both"/>
        <w:rPr>
          <w:rFonts w:eastAsia="宋体"/>
          <w:color w:val="auto"/>
          <w:sz w:val="24"/>
          <w:szCs w:val="24"/>
          <w:highlight w:val="none"/>
          <w:u w:val="single"/>
        </w:rPr>
      </w:pPr>
      <w:r>
        <w:rPr>
          <w:rFonts w:eastAsia="宋体"/>
          <w:color w:val="auto"/>
          <w:sz w:val="24"/>
          <w:szCs w:val="24"/>
          <w:highlight w:val="none"/>
        </w:rPr>
        <w:t xml:space="preserve">12.2.1. </w:t>
      </w:r>
      <w:r>
        <w:rPr>
          <w:rFonts w:eastAsia="宋体"/>
          <w:color w:val="auto"/>
          <w:sz w:val="24"/>
          <w:szCs w:val="24"/>
          <w:highlight w:val="none"/>
          <w:u w:val="single"/>
        </w:rPr>
        <w:t>工程实施过程中，发包人原因引起的工程暂停时间，如果累计在60天</w:t>
      </w:r>
      <w:r>
        <w:rPr>
          <w:rFonts w:hint="eastAsia" w:eastAsia="宋体"/>
          <w:color w:val="auto"/>
          <w:sz w:val="24"/>
          <w:szCs w:val="24"/>
          <w:highlight w:val="none"/>
          <w:u w:val="single"/>
        </w:rPr>
        <w:t>（含60天）</w:t>
      </w:r>
      <w:r>
        <w:rPr>
          <w:rFonts w:eastAsia="宋体"/>
          <w:color w:val="auto"/>
          <w:sz w:val="24"/>
          <w:szCs w:val="24"/>
          <w:highlight w:val="none"/>
          <w:u w:val="single"/>
        </w:rPr>
        <w:t>之内，工期相应顺延，但承包人不得因此向发包人提出任何费用的索赔或补偿要求；暂停时间超过60天</w:t>
      </w:r>
      <w:r>
        <w:rPr>
          <w:rFonts w:hint="eastAsia" w:eastAsia="宋体"/>
          <w:color w:val="auto"/>
          <w:sz w:val="24"/>
          <w:szCs w:val="24"/>
          <w:highlight w:val="none"/>
          <w:u w:val="single"/>
        </w:rPr>
        <w:t>（不含60天）</w:t>
      </w:r>
      <w:r>
        <w:rPr>
          <w:rFonts w:eastAsia="宋体"/>
          <w:color w:val="auto"/>
          <w:sz w:val="24"/>
          <w:szCs w:val="24"/>
          <w:highlight w:val="none"/>
          <w:u w:val="single"/>
        </w:rPr>
        <w:t>的，双方应对工期延长、责任认定和费用承担等进行协商并达成补充协议。</w:t>
      </w:r>
    </w:p>
    <w:p>
      <w:pPr>
        <w:pStyle w:val="77"/>
        <w:spacing w:before="0" w:after="0"/>
        <w:ind w:firstLine="480"/>
        <w:outlineLvl w:val="1"/>
        <w:rPr>
          <w:rFonts w:eastAsia="宋体"/>
          <w:color w:val="auto"/>
          <w:szCs w:val="24"/>
          <w:highlight w:val="none"/>
        </w:rPr>
      </w:pPr>
      <w:bookmarkStart w:id="1192" w:name="_Toc44492592"/>
      <w:bookmarkStart w:id="1193" w:name="_Toc25740"/>
      <w:bookmarkStart w:id="1194" w:name="_Toc27207"/>
      <w:r>
        <w:rPr>
          <w:rFonts w:eastAsia="宋体"/>
          <w:color w:val="auto"/>
          <w:szCs w:val="24"/>
          <w:highlight w:val="none"/>
        </w:rPr>
        <w:t>12.3.</w:t>
      </w:r>
      <w:r>
        <w:rPr>
          <w:rFonts w:hint="eastAsia" w:eastAsia="宋体"/>
          <w:color w:val="auto"/>
          <w:szCs w:val="24"/>
          <w:highlight w:val="none"/>
        </w:rPr>
        <w:t xml:space="preserve"> </w:t>
      </w:r>
      <w:r>
        <w:rPr>
          <w:rFonts w:hint="eastAsia" w:eastAsia="宋体"/>
          <w:color w:val="auto"/>
          <w:szCs w:val="24"/>
          <w:highlight w:val="none"/>
          <w:lang w:eastAsia="zh-CN"/>
        </w:rPr>
        <w:t>发包人</w:t>
      </w:r>
      <w:r>
        <w:rPr>
          <w:rFonts w:eastAsia="宋体"/>
          <w:color w:val="auto"/>
          <w:szCs w:val="24"/>
          <w:highlight w:val="none"/>
        </w:rPr>
        <w:t>暂停施工指示</w:t>
      </w:r>
      <w:bookmarkEnd w:id="1192"/>
      <w:bookmarkEnd w:id="1193"/>
      <w:bookmarkEnd w:id="1194"/>
    </w:p>
    <w:p>
      <w:pPr>
        <w:pStyle w:val="52"/>
        <w:ind w:firstLine="480"/>
        <w:jc w:val="both"/>
        <w:rPr>
          <w:rFonts w:eastAsia="宋体"/>
          <w:color w:val="auto"/>
          <w:sz w:val="24"/>
          <w:szCs w:val="24"/>
          <w:highlight w:val="none"/>
        </w:rPr>
      </w:pPr>
      <w:r>
        <w:rPr>
          <w:rFonts w:eastAsia="宋体"/>
          <w:color w:val="auto"/>
          <w:sz w:val="24"/>
          <w:szCs w:val="24"/>
          <w:highlight w:val="none"/>
        </w:rPr>
        <w:t>12.3.3</w:t>
      </w:r>
      <w:r>
        <w:rPr>
          <w:rFonts w:hint="eastAsia" w:eastAsia="宋体"/>
          <w:color w:val="auto"/>
          <w:sz w:val="24"/>
          <w:szCs w:val="24"/>
          <w:highlight w:val="none"/>
        </w:rPr>
        <w:t>.</w:t>
      </w:r>
      <w:r>
        <w:rPr>
          <w:rFonts w:eastAsia="宋体"/>
          <w:color w:val="auto"/>
          <w:sz w:val="24"/>
          <w:szCs w:val="24"/>
          <w:highlight w:val="none"/>
        </w:rPr>
        <w:t xml:space="preserve"> 凡出现下列情形之一的，</w:t>
      </w:r>
      <w:r>
        <w:rPr>
          <w:rFonts w:hint="eastAsia" w:eastAsia="宋体"/>
          <w:color w:val="auto"/>
          <w:sz w:val="24"/>
          <w:szCs w:val="24"/>
          <w:highlight w:val="none"/>
          <w:lang w:eastAsia="zh-CN"/>
        </w:rPr>
        <w:t>发包人</w:t>
      </w:r>
      <w:r>
        <w:rPr>
          <w:rFonts w:eastAsia="宋体"/>
          <w:color w:val="auto"/>
          <w:sz w:val="24"/>
          <w:szCs w:val="24"/>
          <w:highlight w:val="none"/>
        </w:rPr>
        <w:t>有权通知承包人暂停施工并限期整改，由此发生的全部费用由承包人承担，工期不予顺延：</w:t>
      </w:r>
    </w:p>
    <w:p>
      <w:pPr>
        <w:pStyle w:val="52"/>
        <w:ind w:firstLine="480"/>
        <w:jc w:val="both"/>
        <w:rPr>
          <w:rFonts w:eastAsia="宋体"/>
          <w:color w:val="auto"/>
          <w:sz w:val="24"/>
          <w:szCs w:val="24"/>
          <w:highlight w:val="none"/>
        </w:rPr>
      </w:pPr>
      <w:r>
        <w:rPr>
          <w:rFonts w:eastAsia="宋体"/>
          <w:color w:val="auto"/>
          <w:sz w:val="24"/>
          <w:szCs w:val="24"/>
          <w:highlight w:val="none"/>
        </w:rPr>
        <w:t>（1）承包人不遵守有关安全文明生产规定的；</w:t>
      </w:r>
    </w:p>
    <w:p>
      <w:pPr>
        <w:pStyle w:val="52"/>
        <w:ind w:firstLine="480"/>
        <w:jc w:val="both"/>
        <w:rPr>
          <w:rFonts w:eastAsia="宋体"/>
          <w:color w:val="auto"/>
          <w:sz w:val="24"/>
          <w:szCs w:val="24"/>
          <w:highlight w:val="none"/>
        </w:rPr>
      </w:pPr>
      <w:r>
        <w:rPr>
          <w:rFonts w:eastAsia="宋体"/>
          <w:color w:val="auto"/>
          <w:sz w:val="24"/>
          <w:szCs w:val="24"/>
          <w:highlight w:val="none"/>
        </w:rPr>
        <w:t>（2）出现重大质量事故或安全事故的；</w:t>
      </w:r>
    </w:p>
    <w:p>
      <w:pPr>
        <w:pStyle w:val="52"/>
        <w:ind w:firstLine="480"/>
        <w:jc w:val="both"/>
        <w:rPr>
          <w:rFonts w:eastAsia="宋体"/>
          <w:color w:val="auto"/>
          <w:sz w:val="24"/>
          <w:szCs w:val="24"/>
          <w:highlight w:val="none"/>
        </w:rPr>
      </w:pPr>
      <w:r>
        <w:rPr>
          <w:rFonts w:eastAsia="宋体"/>
          <w:color w:val="auto"/>
          <w:sz w:val="24"/>
          <w:szCs w:val="24"/>
          <w:highlight w:val="none"/>
        </w:rPr>
        <w:t>（3）存在安全隐患，未按安监部门、</w:t>
      </w:r>
      <w:r>
        <w:rPr>
          <w:rFonts w:hint="eastAsia" w:eastAsia="宋体"/>
          <w:color w:val="auto"/>
          <w:sz w:val="24"/>
          <w:szCs w:val="24"/>
          <w:highlight w:val="none"/>
          <w:lang w:eastAsia="zh-CN"/>
        </w:rPr>
        <w:t>发包人</w:t>
      </w:r>
      <w:r>
        <w:rPr>
          <w:rFonts w:eastAsia="宋体"/>
          <w:color w:val="auto"/>
          <w:sz w:val="24"/>
          <w:szCs w:val="24"/>
          <w:highlight w:val="none"/>
        </w:rPr>
        <w:t>的要求及时进行整改的；</w:t>
      </w:r>
    </w:p>
    <w:p>
      <w:pPr>
        <w:pStyle w:val="52"/>
        <w:ind w:firstLine="480"/>
        <w:jc w:val="both"/>
        <w:rPr>
          <w:rFonts w:eastAsia="宋体"/>
          <w:color w:val="auto"/>
          <w:sz w:val="24"/>
          <w:szCs w:val="24"/>
          <w:highlight w:val="none"/>
        </w:rPr>
      </w:pPr>
      <w:r>
        <w:rPr>
          <w:rFonts w:eastAsia="宋体"/>
          <w:color w:val="auto"/>
          <w:sz w:val="24"/>
          <w:szCs w:val="24"/>
          <w:highlight w:val="none"/>
        </w:rPr>
        <w:t>（4）工程存在质量问题经</w:t>
      </w:r>
      <w:r>
        <w:rPr>
          <w:rFonts w:hint="eastAsia" w:eastAsia="宋体"/>
          <w:color w:val="auto"/>
          <w:sz w:val="24"/>
          <w:szCs w:val="24"/>
          <w:highlight w:val="none"/>
          <w:lang w:eastAsia="zh-CN"/>
        </w:rPr>
        <w:t>发包人</w:t>
      </w:r>
      <w:r>
        <w:rPr>
          <w:rFonts w:eastAsia="宋体"/>
          <w:color w:val="auto"/>
          <w:sz w:val="24"/>
          <w:szCs w:val="24"/>
          <w:highlight w:val="none"/>
        </w:rPr>
        <w:t>提出后未在规定期限内按要求完成整改的；</w:t>
      </w:r>
    </w:p>
    <w:p>
      <w:pPr>
        <w:pStyle w:val="52"/>
        <w:ind w:firstLine="480"/>
        <w:jc w:val="both"/>
        <w:rPr>
          <w:rFonts w:eastAsia="宋体"/>
          <w:color w:val="auto"/>
          <w:sz w:val="24"/>
          <w:szCs w:val="24"/>
          <w:highlight w:val="none"/>
        </w:rPr>
      </w:pPr>
      <w:r>
        <w:rPr>
          <w:rFonts w:eastAsia="宋体"/>
          <w:color w:val="auto"/>
          <w:sz w:val="24"/>
          <w:szCs w:val="24"/>
          <w:highlight w:val="none"/>
        </w:rPr>
        <w:t>（5）因噪音或污染等方面问题而被有关部门罚款或勒令停工且未及时整改的；</w:t>
      </w:r>
    </w:p>
    <w:p>
      <w:pPr>
        <w:pStyle w:val="52"/>
        <w:ind w:firstLine="480"/>
        <w:jc w:val="both"/>
        <w:rPr>
          <w:rFonts w:eastAsia="宋体"/>
          <w:color w:val="auto"/>
          <w:sz w:val="24"/>
          <w:szCs w:val="24"/>
          <w:highlight w:val="none"/>
        </w:rPr>
      </w:pPr>
      <w:r>
        <w:rPr>
          <w:rFonts w:eastAsia="宋体"/>
          <w:color w:val="auto"/>
          <w:sz w:val="24"/>
          <w:szCs w:val="24"/>
          <w:highlight w:val="none"/>
        </w:rPr>
        <w:t>（6）承包人使用的材料或设备有质量问题的；</w:t>
      </w:r>
    </w:p>
    <w:p>
      <w:pPr>
        <w:pStyle w:val="52"/>
        <w:ind w:firstLine="480"/>
        <w:jc w:val="both"/>
        <w:rPr>
          <w:rFonts w:eastAsia="宋体"/>
          <w:color w:val="auto"/>
          <w:sz w:val="24"/>
          <w:szCs w:val="24"/>
          <w:highlight w:val="none"/>
        </w:rPr>
      </w:pPr>
      <w:r>
        <w:rPr>
          <w:rFonts w:eastAsia="宋体"/>
          <w:color w:val="auto"/>
          <w:sz w:val="24"/>
          <w:szCs w:val="24"/>
          <w:highlight w:val="none"/>
        </w:rPr>
        <w:t>（7）擅自采用未经</w:t>
      </w:r>
      <w:r>
        <w:rPr>
          <w:rFonts w:hint="eastAsia" w:eastAsia="宋体"/>
          <w:color w:val="auto"/>
          <w:sz w:val="24"/>
          <w:szCs w:val="24"/>
          <w:highlight w:val="none"/>
          <w:lang w:eastAsia="zh-CN"/>
        </w:rPr>
        <w:t>发包人</w:t>
      </w:r>
      <w:r>
        <w:rPr>
          <w:rFonts w:eastAsia="宋体"/>
          <w:color w:val="auto"/>
          <w:sz w:val="24"/>
          <w:szCs w:val="24"/>
          <w:highlight w:val="none"/>
        </w:rPr>
        <w:t>认可的材料或设备的；</w:t>
      </w:r>
    </w:p>
    <w:p>
      <w:pPr>
        <w:pStyle w:val="52"/>
        <w:ind w:firstLine="480"/>
        <w:jc w:val="both"/>
        <w:rPr>
          <w:rFonts w:eastAsia="宋体"/>
          <w:color w:val="auto"/>
          <w:sz w:val="24"/>
          <w:szCs w:val="24"/>
          <w:highlight w:val="none"/>
        </w:rPr>
      </w:pPr>
      <w:r>
        <w:rPr>
          <w:rFonts w:eastAsia="宋体"/>
          <w:color w:val="auto"/>
          <w:sz w:val="24"/>
          <w:szCs w:val="24"/>
          <w:highlight w:val="none"/>
        </w:rPr>
        <w:t>（8）不执行或拖延执行</w:t>
      </w:r>
      <w:r>
        <w:rPr>
          <w:rFonts w:hint="eastAsia" w:eastAsia="宋体"/>
          <w:color w:val="auto"/>
          <w:sz w:val="24"/>
          <w:szCs w:val="24"/>
          <w:highlight w:val="none"/>
          <w:lang w:eastAsia="zh-CN"/>
        </w:rPr>
        <w:t>发包人</w:t>
      </w:r>
      <w:r>
        <w:rPr>
          <w:rFonts w:eastAsia="宋体"/>
          <w:color w:val="auto"/>
          <w:sz w:val="24"/>
          <w:szCs w:val="24"/>
          <w:highlight w:val="none"/>
        </w:rPr>
        <w:t>的指令；或有执行不力、敷衍应付、曲解指令等情况或执行情况难以达到合同目的的；</w:t>
      </w:r>
    </w:p>
    <w:p>
      <w:pPr>
        <w:pStyle w:val="52"/>
        <w:ind w:firstLine="480"/>
        <w:jc w:val="both"/>
        <w:rPr>
          <w:rFonts w:eastAsia="宋体"/>
          <w:color w:val="auto"/>
          <w:sz w:val="24"/>
          <w:szCs w:val="24"/>
          <w:highlight w:val="none"/>
        </w:rPr>
      </w:pPr>
      <w:r>
        <w:rPr>
          <w:rFonts w:eastAsia="宋体"/>
          <w:color w:val="auto"/>
          <w:sz w:val="24"/>
          <w:szCs w:val="24"/>
          <w:highlight w:val="none"/>
        </w:rPr>
        <w:t>（9）未经</w:t>
      </w:r>
      <w:r>
        <w:rPr>
          <w:rFonts w:hint="eastAsia" w:eastAsia="宋体"/>
          <w:color w:val="auto"/>
          <w:sz w:val="24"/>
          <w:szCs w:val="24"/>
          <w:highlight w:val="none"/>
          <w:lang w:eastAsia="zh-CN"/>
        </w:rPr>
        <w:t>发包人</w:t>
      </w:r>
      <w:r>
        <w:rPr>
          <w:rFonts w:eastAsia="宋体"/>
          <w:color w:val="auto"/>
          <w:sz w:val="24"/>
          <w:szCs w:val="24"/>
          <w:highlight w:val="none"/>
        </w:rPr>
        <w:t>验收检验而进行下一道工序作业的；</w:t>
      </w:r>
    </w:p>
    <w:p>
      <w:pPr>
        <w:pStyle w:val="52"/>
        <w:ind w:firstLine="480"/>
        <w:jc w:val="both"/>
        <w:rPr>
          <w:rFonts w:eastAsia="宋体"/>
          <w:color w:val="auto"/>
          <w:sz w:val="24"/>
          <w:szCs w:val="24"/>
          <w:highlight w:val="none"/>
        </w:rPr>
      </w:pPr>
      <w:r>
        <w:rPr>
          <w:rFonts w:eastAsia="宋体"/>
          <w:color w:val="auto"/>
          <w:sz w:val="24"/>
          <w:szCs w:val="24"/>
          <w:highlight w:val="none"/>
        </w:rPr>
        <w:t>（10）图纸未经批准而擅自施工或未按图纸施工的；</w:t>
      </w:r>
    </w:p>
    <w:p>
      <w:pPr>
        <w:pStyle w:val="52"/>
        <w:ind w:firstLine="480"/>
        <w:jc w:val="both"/>
        <w:rPr>
          <w:rFonts w:eastAsia="宋体"/>
          <w:color w:val="auto"/>
          <w:sz w:val="24"/>
          <w:szCs w:val="24"/>
          <w:highlight w:val="none"/>
        </w:rPr>
      </w:pPr>
      <w:r>
        <w:rPr>
          <w:rFonts w:eastAsia="宋体"/>
          <w:color w:val="auto"/>
          <w:sz w:val="24"/>
          <w:szCs w:val="24"/>
          <w:highlight w:val="none"/>
        </w:rPr>
        <w:t>（11）擅自变更设计图纸的；</w:t>
      </w:r>
    </w:p>
    <w:p>
      <w:pPr>
        <w:pStyle w:val="52"/>
        <w:ind w:firstLine="480"/>
        <w:jc w:val="both"/>
        <w:rPr>
          <w:rFonts w:eastAsia="宋体"/>
          <w:color w:val="auto"/>
          <w:sz w:val="24"/>
          <w:szCs w:val="24"/>
          <w:highlight w:val="none"/>
        </w:rPr>
      </w:pPr>
      <w:r>
        <w:rPr>
          <w:rFonts w:eastAsia="宋体"/>
          <w:color w:val="auto"/>
          <w:sz w:val="24"/>
          <w:szCs w:val="24"/>
          <w:highlight w:val="none"/>
        </w:rPr>
        <w:t>（12）承包人违反合同或法律法规规章规定的其他情形。</w:t>
      </w:r>
    </w:p>
    <w:p>
      <w:pPr>
        <w:pStyle w:val="52"/>
        <w:ind w:firstLine="480"/>
        <w:jc w:val="both"/>
        <w:rPr>
          <w:rFonts w:eastAsia="宋体"/>
          <w:color w:val="auto"/>
          <w:sz w:val="24"/>
          <w:szCs w:val="24"/>
          <w:highlight w:val="none"/>
        </w:rPr>
      </w:pPr>
      <w:r>
        <w:rPr>
          <w:rFonts w:eastAsia="宋体"/>
          <w:color w:val="auto"/>
          <w:sz w:val="24"/>
          <w:szCs w:val="24"/>
          <w:highlight w:val="none"/>
        </w:rPr>
        <w:t>若承包人拒绝整改或未能在限期内妥善完成整改的，属于拒不执行</w:t>
      </w:r>
      <w:r>
        <w:rPr>
          <w:rFonts w:hint="eastAsia" w:eastAsia="宋体"/>
          <w:color w:val="auto"/>
          <w:sz w:val="24"/>
          <w:szCs w:val="24"/>
          <w:highlight w:val="none"/>
          <w:lang w:eastAsia="zh-CN"/>
        </w:rPr>
        <w:t>发包人</w:t>
      </w:r>
      <w:r>
        <w:rPr>
          <w:rFonts w:eastAsia="宋体"/>
          <w:color w:val="auto"/>
          <w:sz w:val="24"/>
          <w:szCs w:val="24"/>
          <w:highlight w:val="none"/>
        </w:rPr>
        <w:t>指令，按专用条款</w:t>
      </w:r>
      <w:r>
        <w:rPr>
          <w:rFonts w:hint="eastAsia" w:eastAsia="宋体"/>
          <w:color w:val="auto"/>
          <w:sz w:val="24"/>
          <w:szCs w:val="24"/>
          <w:highlight w:val="none"/>
        </w:rPr>
        <w:t>第</w:t>
      </w:r>
      <w:r>
        <w:rPr>
          <w:rFonts w:eastAsia="宋体"/>
          <w:color w:val="auto"/>
          <w:sz w:val="24"/>
          <w:szCs w:val="24"/>
          <w:highlight w:val="none"/>
        </w:rPr>
        <w:t>22.1</w:t>
      </w:r>
      <w:r>
        <w:rPr>
          <w:rFonts w:hint="eastAsia" w:eastAsia="宋体"/>
          <w:color w:val="auto"/>
          <w:sz w:val="24"/>
          <w:szCs w:val="24"/>
          <w:highlight w:val="none"/>
        </w:rPr>
        <w:t>条</w:t>
      </w:r>
      <w:r>
        <w:rPr>
          <w:rFonts w:eastAsia="宋体"/>
          <w:color w:val="auto"/>
          <w:sz w:val="24"/>
          <w:szCs w:val="24"/>
          <w:highlight w:val="none"/>
        </w:rPr>
        <w:t>承担违约责任。</w:t>
      </w:r>
    </w:p>
    <w:p>
      <w:pPr>
        <w:pStyle w:val="77"/>
        <w:spacing w:before="0" w:after="0"/>
        <w:ind w:firstLine="480"/>
        <w:outlineLvl w:val="1"/>
        <w:rPr>
          <w:rFonts w:eastAsia="宋体"/>
          <w:color w:val="auto"/>
          <w:szCs w:val="24"/>
          <w:highlight w:val="none"/>
        </w:rPr>
      </w:pPr>
      <w:bookmarkStart w:id="1195" w:name="_Toc3455"/>
      <w:bookmarkStart w:id="1196" w:name="_Toc13783"/>
      <w:bookmarkStart w:id="1197" w:name="_Toc44492593"/>
      <w:r>
        <w:rPr>
          <w:rFonts w:eastAsia="宋体"/>
          <w:color w:val="auto"/>
          <w:szCs w:val="24"/>
          <w:highlight w:val="none"/>
        </w:rPr>
        <w:t>12.4.</w:t>
      </w:r>
      <w:r>
        <w:rPr>
          <w:rFonts w:hint="eastAsia" w:eastAsia="宋体"/>
          <w:color w:val="auto"/>
          <w:szCs w:val="24"/>
          <w:highlight w:val="none"/>
        </w:rPr>
        <w:t xml:space="preserve"> </w:t>
      </w:r>
      <w:r>
        <w:rPr>
          <w:rFonts w:eastAsia="宋体"/>
          <w:color w:val="auto"/>
          <w:szCs w:val="24"/>
          <w:highlight w:val="none"/>
        </w:rPr>
        <w:t>暂停施工后的复工</w:t>
      </w:r>
      <w:bookmarkEnd w:id="1195"/>
      <w:bookmarkEnd w:id="1196"/>
      <w:bookmarkEnd w:id="1197"/>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12.4.4. 由于发包人责任引起的暂停施工，</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发出暂停施工指示后56天内未向承包人发出复工通知，并且该暂停施工不在12.1.1.款范围之内，承包人可向</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提交书面通知，要求</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在收到书面通知后28天内准许已暂停施工的工程或其中一部分工程继续施工。</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在收到书面通知后28天内未予回复的，视为不予准许继续施工。如果发包人准许已暂停施工的工程或其中一部分工程恢复施工，则承包人应合理安排人员组织恢复施工。</w:t>
      </w:r>
      <w:bookmarkStart w:id="1198" w:name="_Toc38987282"/>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199" w:name="_Toc13570"/>
      <w:bookmarkStart w:id="1200" w:name="_Toc30945"/>
      <w:bookmarkStart w:id="1201" w:name="_Toc19727"/>
      <w:bookmarkStart w:id="1202" w:name="_Toc44228165"/>
      <w:bookmarkStart w:id="1203" w:name="_Toc15004"/>
      <w:bookmarkStart w:id="1204" w:name="_Toc44492594"/>
      <w:bookmarkStart w:id="1205" w:name="_Toc3761"/>
      <w:bookmarkStart w:id="1206" w:name="_Toc27159"/>
      <w:r>
        <w:rPr>
          <w:rFonts w:eastAsia="宋体"/>
          <w:color w:val="auto"/>
          <w:sz w:val="24"/>
          <w:szCs w:val="24"/>
          <w:highlight w:val="none"/>
        </w:rPr>
        <w:t>工程质量</w:t>
      </w:r>
      <w:bookmarkEnd w:id="1198"/>
      <w:bookmarkEnd w:id="1199"/>
      <w:bookmarkEnd w:id="1200"/>
      <w:bookmarkEnd w:id="1201"/>
      <w:bookmarkEnd w:id="1202"/>
      <w:bookmarkEnd w:id="1203"/>
      <w:bookmarkEnd w:id="1204"/>
      <w:bookmarkEnd w:id="1205"/>
      <w:bookmarkEnd w:id="1206"/>
    </w:p>
    <w:p>
      <w:pPr>
        <w:pStyle w:val="77"/>
        <w:spacing w:before="0" w:after="0"/>
        <w:ind w:firstLine="480"/>
        <w:rPr>
          <w:rFonts w:eastAsia="宋体"/>
          <w:color w:val="auto"/>
          <w:szCs w:val="24"/>
          <w:highlight w:val="none"/>
        </w:rPr>
      </w:pPr>
      <w:bookmarkStart w:id="1207" w:name="_Toc11122"/>
      <w:bookmarkStart w:id="1208" w:name="_Toc24372"/>
      <w:bookmarkStart w:id="1209" w:name="_Toc44492595"/>
      <w:r>
        <w:rPr>
          <w:rFonts w:eastAsia="宋体"/>
          <w:color w:val="auto"/>
          <w:szCs w:val="24"/>
          <w:highlight w:val="none"/>
        </w:rPr>
        <w:t>13.1. 工程质量要求</w:t>
      </w:r>
      <w:bookmarkEnd w:id="1207"/>
      <w:bookmarkEnd w:id="1208"/>
      <w:bookmarkEnd w:id="1209"/>
    </w:p>
    <w:p>
      <w:pPr>
        <w:pStyle w:val="52"/>
        <w:ind w:firstLine="480"/>
        <w:jc w:val="both"/>
        <w:rPr>
          <w:rFonts w:eastAsia="宋体"/>
          <w:color w:val="auto"/>
          <w:sz w:val="24"/>
          <w:szCs w:val="24"/>
          <w:highlight w:val="none"/>
        </w:rPr>
      </w:pPr>
      <w:r>
        <w:rPr>
          <w:rFonts w:eastAsia="宋体"/>
          <w:color w:val="auto"/>
          <w:sz w:val="24"/>
          <w:szCs w:val="24"/>
          <w:highlight w:val="none"/>
        </w:rPr>
        <w:t>13.1.1. 工程质量必须达到合同约定的质量标准，若竣工验收工程质量达不到标准要求，承包人必须按</w:t>
      </w:r>
      <w:r>
        <w:rPr>
          <w:rFonts w:hint="eastAsia" w:eastAsia="宋体"/>
          <w:color w:val="auto"/>
          <w:sz w:val="24"/>
          <w:szCs w:val="24"/>
          <w:highlight w:val="none"/>
          <w:lang w:eastAsia="zh-CN"/>
        </w:rPr>
        <w:t>发包人</w:t>
      </w:r>
      <w:r>
        <w:rPr>
          <w:rFonts w:eastAsia="宋体"/>
          <w:color w:val="auto"/>
          <w:sz w:val="24"/>
          <w:szCs w:val="24"/>
          <w:highlight w:val="none"/>
        </w:rPr>
        <w:t>指定的期限对不合格工程返工、修复或采取发包人认可的其他补救措施，使之达到合同和法定标准要求。</w:t>
      </w:r>
      <w:r>
        <w:rPr>
          <w:rFonts w:hint="eastAsia" w:eastAsia="宋体"/>
          <w:color w:val="auto"/>
          <w:sz w:val="24"/>
          <w:szCs w:val="24"/>
          <w:highlight w:val="none"/>
          <w:lang w:eastAsia="zh-CN"/>
        </w:rPr>
        <w:t>发包人</w:t>
      </w:r>
      <w:r>
        <w:rPr>
          <w:rFonts w:eastAsia="宋体"/>
          <w:color w:val="auto"/>
          <w:sz w:val="24"/>
          <w:szCs w:val="24"/>
          <w:highlight w:val="none"/>
        </w:rPr>
        <w:t>指定的期限届满，承包人返工、修复和（或）采取其他补救措施后重新验收仍未通过，即该部分工程仍不合格的，发包人无须支付该部分合同价款，</w:t>
      </w:r>
      <w:r>
        <w:rPr>
          <w:rFonts w:eastAsia="宋体"/>
          <w:color w:val="auto"/>
          <w:sz w:val="24"/>
          <w:szCs w:val="24"/>
          <w:highlight w:val="none"/>
          <w:u w:val="single"/>
        </w:rPr>
        <w:t>承包人并应向发包人支付该部分质量缺陷工程对应合同造价20%的违约金，且发包人有权解除本合同，同时承包人应补偿因此对发包人所造成的损失；</w:t>
      </w:r>
      <w:r>
        <w:rPr>
          <w:rFonts w:eastAsia="宋体"/>
          <w:color w:val="auto"/>
          <w:sz w:val="24"/>
          <w:szCs w:val="24"/>
          <w:highlight w:val="none"/>
        </w:rPr>
        <w:t>发生以上情形时，承包人除承担违约责任外，发包人可委托第三方返工、修复和（或）采取其他补救措施，费用由承包人承担，发包人可在应付承包人工程价款中直接扣减。发包人在确保安全等前提下让步接受该等质量缺陷工程的，视实际情况减付相应工程价款，</w:t>
      </w:r>
      <w:r>
        <w:rPr>
          <w:rFonts w:eastAsia="宋体"/>
          <w:color w:val="auto"/>
          <w:sz w:val="24"/>
          <w:szCs w:val="24"/>
          <w:highlight w:val="none"/>
          <w:u w:val="single"/>
        </w:rPr>
        <w:t>承包人并应向发包人支付本工程</w:t>
      </w:r>
      <w:r>
        <w:rPr>
          <w:rFonts w:hint="eastAsia" w:eastAsia="宋体"/>
          <w:color w:val="auto"/>
          <w:sz w:val="24"/>
          <w:szCs w:val="24"/>
          <w:highlight w:val="none"/>
          <w:u w:val="single"/>
        </w:rPr>
        <w:t>合同暂定总价</w:t>
      </w:r>
      <w:r>
        <w:rPr>
          <w:rFonts w:eastAsia="宋体"/>
          <w:color w:val="auto"/>
          <w:sz w:val="24"/>
          <w:szCs w:val="24"/>
          <w:highlight w:val="none"/>
          <w:u w:val="single"/>
        </w:rPr>
        <w:t>1%或该部分质量缺陷工程对应合同造价20%的违约金（以违约金额较高者为准）。</w:t>
      </w:r>
      <w:r>
        <w:rPr>
          <w:rFonts w:eastAsia="宋体"/>
          <w:color w:val="auto"/>
          <w:sz w:val="24"/>
          <w:szCs w:val="24"/>
          <w:highlight w:val="none"/>
        </w:rPr>
        <w:t>完成返工、修复和（或）采取其他补救措施、达到合同验收标准的时间比合同约定工期时间推迟的，承包人同时应按本合同相关约定向发包人支付延期竣工、延期交付工程逾期违约金。</w:t>
      </w:r>
    </w:p>
    <w:p>
      <w:pPr>
        <w:pStyle w:val="52"/>
        <w:ind w:firstLine="480"/>
        <w:jc w:val="both"/>
        <w:rPr>
          <w:rFonts w:eastAsia="宋体"/>
          <w:color w:val="auto"/>
          <w:sz w:val="24"/>
          <w:szCs w:val="24"/>
          <w:highlight w:val="none"/>
        </w:rPr>
      </w:pPr>
      <w:r>
        <w:rPr>
          <w:rFonts w:eastAsia="宋体"/>
          <w:color w:val="auto"/>
          <w:sz w:val="24"/>
          <w:szCs w:val="24"/>
          <w:highlight w:val="none"/>
        </w:rPr>
        <w:t>13.1.3.</w:t>
      </w:r>
      <w:r>
        <w:rPr>
          <w:rFonts w:hint="eastAsia" w:eastAsia="宋体"/>
          <w:color w:val="auto"/>
          <w:sz w:val="24"/>
          <w:szCs w:val="24"/>
          <w:highlight w:val="none"/>
        </w:rPr>
        <w:t xml:space="preserve"> </w:t>
      </w:r>
      <w:r>
        <w:rPr>
          <w:rFonts w:eastAsia="宋体"/>
          <w:color w:val="auto"/>
          <w:sz w:val="24"/>
          <w:szCs w:val="24"/>
          <w:highlight w:val="none"/>
        </w:rPr>
        <w:t>承包人在施工过程中，因质量问题需对已完工程进行整改、返工的，产生的费用由承包人全部负责。若承包人有违反质量评定标准的质量问题，视情节轻重，每次（项）须按本合同专用条款第22条承担对应违约责任，同时亦不免除、也不减轻承包人对不合格工程进行整改、返工的责任。</w:t>
      </w:r>
    </w:p>
    <w:p>
      <w:pPr>
        <w:pStyle w:val="52"/>
        <w:ind w:firstLine="480"/>
        <w:jc w:val="both"/>
        <w:rPr>
          <w:rFonts w:eastAsia="宋体"/>
          <w:color w:val="auto"/>
          <w:sz w:val="24"/>
          <w:szCs w:val="24"/>
          <w:highlight w:val="none"/>
        </w:rPr>
      </w:pPr>
      <w:r>
        <w:rPr>
          <w:rFonts w:eastAsia="宋体"/>
          <w:color w:val="auto"/>
          <w:sz w:val="24"/>
          <w:szCs w:val="24"/>
          <w:highlight w:val="none"/>
        </w:rPr>
        <w:t>13.1.4.</w:t>
      </w:r>
      <w:r>
        <w:rPr>
          <w:rFonts w:hint="eastAsia" w:eastAsia="宋体"/>
          <w:color w:val="auto"/>
          <w:sz w:val="24"/>
          <w:szCs w:val="24"/>
          <w:highlight w:val="none"/>
        </w:rPr>
        <w:t xml:space="preserve"> </w:t>
      </w:r>
      <w:r>
        <w:rPr>
          <w:rFonts w:eastAsia="宋体"/>
          <w:color w:val="auto"/>
          <w:sz w:val="24"/>
          <w:szCs w:val="24"/>
          <w:highlight w:val="none"/>
        </w:rPr>
        <w:t>承包人未按发包人审定的施工方案、施工工艺进行施工的，每次（项）须按本合同专用条款第22条承担对应违约责任，同时亦不免除、也不减轻承包人对不合格施工方案、施工工艺的整改责任。</w:t>
      </w:r>
    </w:p>
    <w:p>
      <w:pPr>
        <w:pStyle w:val="52"/>
        <w:ind w:firstLine="480"/>
        <w:jc w:val="both"/>
        <w:rPr>
          <w:rFonts w:eastAsia="宋体"/>
          <w:color w:val="auto"/>
          <w:sz w:val="24"/>
          <w:szCs w:val="24"/>
          <w:highlight w:val="none"/>
        </w:rPr>
      </w:pPr>
      <w:r>
        <w:rPr>
          <w:rFonts w:eastAsia="宋体"/>
          <w:color w:val="auto"/>
          <w:sz w:val="24"/>
          <w:szCs w:val="24"/>
          <w:highlight w:val="none"/>
        </w:rPr>
        <w:t>13.1.5.</w:t>
      </w:r>
      <w:r>
        <w:rPr>
          <w:rFonts w:hint="eastAsia" w:eastAsia="宋体"/>
          <w:color w:val="auto"/>
          <w:sz w:val="24"/>
          <w:szCs w:val="24"/>
          <w:highlight w:val="none"/>
        </w:rPr>
        <w:t xml:space="preserve"> </w:t>
      </w:r>
      <w:r>
        <w:rPr>
          <w:rFonts w:eastAsia="宋体"/>
          <w:color w:val="auto"/>
          <w:sz w:val="24"/>
          <w:szCs w:val="24"/>
          <w:highlight w:val="none"/>
        </w:rPr>
        <w:t>承包人对</w:t>
      </w:r>
      <w:r>
        <w:rPr>
          <w:rFonts w:hint="eastAsia" w:eastAsia="宋体"/>
          <w:color w:val="auto"/>
          <w:sz w:val="24"/>
          <w:szCs w:val="24"/>
          <w:highlight w:val="none"/>
          <w:lang w:val="en-US" w:eastAsia="zh-CN"/>
        </w:rPr>
        <w:t>发包人</w:t>
      </w:r>
      <w:r>
        <w:rPr>
          <w:rFonts w:eastAsia="宋体"/>
          <w:color w:val="auto"/>
          <w:sz w:val="24"/>
          <w:szCs w:val="24"/>
          <w:highlight w:val="none"/>
        </w:rPr>
        <w:t>通知指出的质量问题未按时整改并回复，承包人应限期整改完成并按本合同专用条款第22条向发包人承担对应违约责任。</w:t>
      </w:r>
    </w:p>
    <w:p>
      <w:pPr>
        <w:pStyle w:val="52"/>
        <w:ind w:firstLine="480"/>
        <w:jc w:val="both"/>
        <w:rPr>
          <w:rFonts w:eastAsia="宋体"/>
          <w:color w:val="auto"/>
          <w:sz w:val="24"/>
          <w:szCs w:val="24"/>
          <w:highlight w:val="none"/>
        </w:rPr>
      </w:pPr>
      <w:r>
        <w:rPr>
          <w:rFonts w:eastAsia="宋体"/>
          <w:color w:val="auto"/>
          <w:sz w:val="24"/>
          <w:szCs w:val="24"/>
          <w:highlight w:val="none"/>
        </w:rPr>
        <w:t>13.1.6.</w:t>
      </w:r>
      <w:r>
        <w:rPr>
          <w:rFonts w:hint="eastAsia" w:eastAsia="宋体"/>
          <w:color w:val="auto"/>
          <w:sz w:val="24"/>
          <w:szCs w:val="24"/>
          <w:highlight w:val="none"/>
        </w:rPr>
        <w:t xml:space="preserve"> </w:t>
      </w:r>
      <w:r>
        <w:rPr>
          <w:rFonts w:eastAsia="宋体"/>
          <w:color w:val="auto"/>
          <w:sz w:val="24"/>
          <w:szCs w:val="24"/>
          <w:highlight w:val="none"/>
        </w:rPr>
        <w:t>因承包人原因出现质量问题影响其他专业工程施工的，承包人应限期整改完成并向发包人承担工期违约责任且专业工程因此而提出的索赔应由承包人承担。</w:t>
      </w:r>
    </w:p>
    <w:p>
      <w:pPr>
        <w:pStyle w:val="52"/>
        <w:ind w:firstLine="480"/>
        <w:jc w:val="both"/>
        <w:rPr>
          <w:rFonts w:eastAsia="宋体"/>
          <w:color w:val="auto"/>
          <w:sz w:val="24"/>
          <w:szCs w:val="24"/>
          <w:highlight w:val="none"/>
        </w:rPr>
      </w:pPr>
      <w:r>
        <w:rPr>
          <w:rFonts w:eastAsia="宋体"/>
          <w:color w:val="auto"/>
          <w:sz w:val="24"/>
          <w:szCs w:val="24"/>
          <w:highlight w:val="none"/>
        </w:rPr>
        <w:t>13.1.7.</w:t>
      </w:r>
      <w:r>
        <w:rPr>
          <w:rFonts w:hint="eastAsia" w:eastAsia="宋体"/>
          <w:color w:val="auto"/>
          <w:sz w:val="24"/>
          <w:szCs w:val="24"/>
          <w:highlight w:val="none"/>
        </w:rPr>
        <w:t xml:space="preserve"> </w:t>
      </w:r>
      <w:r>
        <w:rPr>
          <w:rFonts w:eastAsia="宋体"/>
          <w:color w:val="auto"/>
          <w:sz w:val="24"/>
          <w:szCs w:val="24"/>
          <w:highlight w:val="none"/>
        </w:rPr>
        <w:t>工程施工期间和工程质量保修期内，由于承包人责任出现质量问题、安全事故或者其他原因，使发包人或项目受到报纸、电视等媒体的曝光或政府有关主管部门的通报批评的，每出现一次，承包人应按本合同专用条款第22条向发包人承担对应违约责任。</w:t>
      </w:r>
    </w:p>
    <w:p>
      <w:pPr>
        <w:pStyle w:val="5"/>
        <w:numPr>
          <w:ilvl w:val="2"/>
          <w:numId w:val="0"/>
        </w:numPr>
        <w:ind w:firstLine="480" w:firstLineChars="200"/>
        <w:rPr>
          <w:color w:val="auto"/>
          <w:kern w:val="0"/>
          <w:highlight w:val="none"/>
        </w:rPr>
      </w:pPr>
      <w:r>
        <w:rPr>
          <w:color w:val="auto"/>
          <w:kern w:val="0"/>
          <w:highlight w:val="none"/>
        </w:rPr>
        <w:t>13.1.8.</w:t>
      </w:r>
      <w:r>
        <w:rPr>
          <w:rFonts w:hint="eastAsia"/>
          <w:color w:val="auto"/>
          <w:kern w:val="0"/>
          <w:highlight w:val="none"/>
        </w:rPr>
        <w:t xml:space="preserve"> 承包人需进行工序报验、场地移交等工作，</w:t>
      </w:r>
      <w:r>
        <w:rPr>
          <w:color w:val="auto"/>
          <w:kern w:val="0"/>
          <w:highlight w:val="none"/>
        </w:rPr>
        <w:t>承包人未经报验</w:t>
      </w:r>
      <w:r>
        <w:rPr>
          <w:rFonts w:hint="eastAsia"/>
          <w:color w:val="auto"/>
          <w:kern w:val="0"/>
          <w:highlight w:val="none"/>
        </w:rPr>
        <w:t>、移交，</w:t>
      </w:r>
      <w:r>
        <w:rPr>
          <w:color w:val="auto"/>
          <w:kern w:val="0"/>
          <w:highlight w:val="none"/>
        </w:rPr>
        <w:t>擅自进行下道工序施工的，承包人应拆除擅自施工的部位，并按本合同专用条款第22条向发包人承担对应违约责任。</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210" w:name="_Toc44492596"/>
      <w:bookmarkStart w:id="1211" w:name="_Toc18906"/>
      <w:bookmarkStart w:id="1212" w:name="_Toc44228166"/>
      <w:bookmarkStart w:id="1213" w:name="_Toc4383"/>
      <w:bookmarkStart w:id="1214" w:name="_Toc38987283"/>
      <w:bookmarkStart w:id="1215" w:name="_Toc813"/>
      <w:bookmarkStart w:id="1216" w:name="_Toc15161"/>
      <w:bookmarkStart w:id="1217" w:name="_Toc9834"/>
      <w:r>
        <w:rPr>
          <w:rFonts w:eastAsia="宋体"/>
          <w:color w:val="auto"/>
          <w:sz w:val="24"/>
          <w:szCs w:val="24"/>
          <w:highlight w:val="none"/>
        </w:rPr>
        <w:t>试验和检验</w:t>
      </w:r>
      <w:bookmarkEnd w:id="1210"/>
      <w:bookmarkEnd w:id="1211"/>
      <w:bookmarkEnd w:id="1212"/>
      <w:bookmarkEnd w:id="1213"/>
      <w:bookmarkEnd w:id="1214"/>
      <w:bookmarkEnd w:id="1215"/>
      <w:bookmarkEnd w:id="1216"/>
      <w:bookmarkEnd w:id="1217"/>
    </w:p>
    <w:p>
      <w:pPr>
        <w:pStyle w:val="5"/>
        <w:numPr>
          <w:ilvl w:val="2"/>
          <w:numId w:val="0"/>
        </w:numPr>
        <w:ind w:firstLine="480" w:firstLineChars="200"/>
        <w:rPr>
          <w:color w:val="auto"/>
          <w:kern w:val="0"/>
          <w:highlight w:val="none"/>
        </w:rPr>
      </w:pPr>
      <w:r>
        <w:rPr>
          <w:color w:val="auto"/>
          <w:kern w:val="0"/>
          <w:highlight w:val="none"/>
        </w:rPr>
        <w:t>14.1.4</w:t>
      </w:r>
      <w:r>
        <w:rPr>
          <w:rFonts w:hint="eastAsia"/>
          <w:color w:val="auto"/>
          <w:kern w:val="0"/>
          <w:highlight w:val="none"/>
        </w:rPr>
        <w:t xml:space="preserve">. </w:t>
      </w:r>
      <w:r>
        <w:rPr>
          <w:color w:val="auto"/>
          <w:kern w:val="0"/>
          <w:highlight w:val="none"/>
        </w:rPr>
        <w:t>发包人抽检：根据工程实际情况，发包人对有疑问、高价值、对效果有重大影响、易产生不合格品的材料设备有权实施抽检，发包人抽检清单内的抽检不得提出工期索赔。检验的结果证明该项材料、设备不符合合同要求的，因此增加的费用和（或）工期延误由承包人承担，如果因此给发包人造成损失，承包人应当全额赔偿；检验结果证明该项材料、设备符合合同要求的，由发包人承担本次抽检的检验费用，工期不予顺延。</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218" w:name="_Toc5829"/>
      <w:bookmarkStart w:id="1219" w:name="_Toc7025"/>
      <w:bookmarkStart w:id="1220" w:name="_Toc38987284"/>
      <w:bookmarkStart w:id="1221" w:name="_Toc11237"/>
      <w:bookmarkStart w:id="1222" w:name="_Toc17971"/>
      <w:bookmarkStart w:id="1223" w:name="_Toc44228167"/>
      <w:bookmarkStart w:id="1224" w:name="_Toc44492597"/>
      <w:bookmarkStart w:id="1225" w:name="_Toc4745"/>
      <w:bookmarkStart w:id="1226" w:name="_Toc6919"/>
      <w:r>
        <w:rPr>
          <w:rFonts w:eastAsia="宋体"/>
          <w:color w:val="auto"/>
          <w:sz w:val="24"/>
          <w:szCs w:val="24"/>
          <w:highlight w:val="none"/>
        </w:rPr>
        <w:t>变更</w:t>
      </w:r>
      <w:bookmarkEnd w:id="1218"/>
      <w:bookmarkEnd w:id="1219"/>
      <w:bookmarkEnd w:id="1220"/>
      <w:bookmarkEnd w:id="1221"/>
      <w:bookmarkEnd w:id="1222"/>
      <w:bookmarkEnd w:id="1223"/>
      <w:bookmarkEnd w:id="1224"/>
      <w:bookmarkEnd w:id="1225"/>
      <w:bookmarkEnd w:id="1226"/>
    </w:p>
    <w:p>
      <w:pPr>
        <w:pStyle w:val="73"/>
        <w:spacing w:before="0" w:after="0"/>
        <w:ind w:firstLine="480" w:firstLineChars="200"/>
        <w:outlineLvl w:val="9"/>
        <w:rPr>
          <w:rFonts w:eastAsia="宋体"/>
          <w:color w:val="auto"/>
          <w:sz w:val="24"/>
          <w:szCs w:val="24"/>
          <w:highlight w:val="none"/>
        </w:rPr>
      </w:pPr>
      <w:bookmarkStart w:id="1227" w:name="_Toc18109"/>
      <w:bookmarkStart w:id="1228" w:name="_Toc939"/>
      <w:bookmarkStart w:id="1229" w:name="_Toc27548"/>
      <w:bookmarkStart w:id="1230" w:name="_Toc15158"/>
      <w:r>
        <w:rPr>
          <w:rFonts w:eastAsia="宋体"/>
          <w:color w:val="auto"/>
          <w:sz w:val="24"/>
          <w:szCs w:val="24"/>
          <w:highlight w:val="none"/>
        </w:rPr>
        <w:t>15.1</w:t>
      </w:r>
      <w:r>
        <w:rPr>
          <w:rFonts w:hint="eastAsia" w:eastAsia="宋体"/>
          <w:color w:val="auto"/>
          <w:sz w:val="24"/>
          <w:szCs w:val="24"/>
          <w:highlight w:val="none"/>
        </w:rPr>
        <w:t xml:space="preserve">. </w:t>
      </w:r>
      <w:r>
        <w:rPr>
          <w:rFonts w:eastAsia="宋体"/>
          <w:color w:val="auto"/>
          <w:sz w:val="24"/>
          <w:szCs w:val="24"/>
          <w:highlight w:val="none"/>
        </w:rPr>
        <w:t>变更程序</w:t>
      </w:r>
      <w:bookmarkEnd w:id="1227"/>
      <w:bookmarkEnd w:id="1228"/>
      <w:bookmarkEnd w:id="1229"/>
      <w:bookmarkEnd w:id="1230"/>
    </w:p>
    <w:p>
      <w:pPr>
        <w:pStyle w:val="52"/>
        <w:ind w:firstLine="480"/>
        <w:jc w:val="both"/>
        <w:rPr>
          <w:rFonts w:eastAsia="宋体"/>
          <w:color w:val="auto"/>
          <w:sz w:val="24"/>
          <w:szCs w:val="24"/>
          <w:highlight w:val="none"/>
          <w:u w:val="single"/>
        </w:rPr>
      </w:pPr>
      <w:bookmarkStart w:id="1231" w:name="_Toc32378"/>
      <w:bookmarkStart w:id="1232" w:name="_Toc44492598"/>
      <w:bookmarkStart w:id="1233" w:name="_Toc18456"/>
      <w:r>
        <w:rPr>
          <w:rFonts w:eastAsia="宋体"/>
          <w:color w:val="auto"/>
          <w:sz w:val="24"/>
          <w:szCs w:val="24"/>
          <w:highlight w:val="none"/>
        </w:rPr>
        <w:t>15.1.3</w:t>
      </w:r>
      <w:r>
        <w:rPr>
          <w:rFonts w:hint="eastAsia" w:eastAsia="宋体"/>
          <w:color w:val="auto"/>
          <w:sz w:val="24"/>
          <w:szCs w:val="24"/>
          <w:highlight w:val="none"/>
        </w:rPr>
        <w:t xml:space="preserve">. </w:t>
      </w:r>
      <w:r>
        <w:rPr>
          <w:rFonts w:eastAsia="宋体"/>
          <w:color w:val="auto"/>
          <w:sz w:val="24"/>
          <w:szCs w:val="24"/>
          <w:highlight w:val="none"/>
        </w:rPr>
        <w:t>通用条款</w:t>
      </w:r>
      <w:r>
        <w:rPr>
          <w:rFonts w:hint="eastAsia" w:eastAsia="宋体"/>
          <w:color w:val="auto"/>
          <w:sz w:val="24"/>
          <w:szCs w:val="24"/>
          <w:highlight w:val="none"/>
        </w:rPr>
        <w:t>第</w:t>
      </w:r>
      <w:r>
        <w:rPr>
          <w:rFonts w:eastAsia="宋体"/>
          <w:color w:val="auto"/>
          <w:sz w:val="24"/>
          <w:szCs w:val="24"/>
          <w:highlight w:val="none"/>
        </w:rPr>
        <w:t>15.1.3</w:t>
      </w:r>
      <w:r>
        <w:rPr>
          <w:rFonts w:hint="eastAsia" w:eastAsia="宋体"/>
          <w:color w:val="auto"/>
          <w:sz w:val="24"/>
          <w:szCs w:val="24"/>
          <w:highlight w:val="none"/>
        </w:rPr>
        <w:t>款</w:t>
      </w:r>
      <w:r>
        <w:rPr>
          <w:rFonts w:eastAsia="宋体"/>
          <w:color w:val="auto"/>
          <w:sz w:val="24"/>
          <w:szCs w:val="24"/>
          <w:highlight w:val="none"/>
        </w:rPr>
        <w:t>修订为：</w:t>
      </w:r>
      <w:r>
        <w:rPr>
          <w:rFonts w:eastAsia="宋体"/>
          <w:color w:val="auto"/>
          <w:sz w:val="24"/>
          <w:szCs w:val="24"/>
          <w:highlight w:val="none"/>
          <w:u w:val="single"/>
        </w:rPr>
        <w:t>发包人有权发出指令要求变更，承包人不得拒绝，发包人通知承包人后，承包人拒绝施工的，发包人有权将该部分工程另行委托其它施工单位完成，承包人应承担该部分工程双倍费用的违约金。除得到发包人书面指令外，承包人不能擅自做出变更。任何发包人要求的或发包人随后追认的变更皆不会使本合同失效。</w:t>
      </w:r>
    </w:p>
    <w:p>
      <w:pPr>
        <w:pStyle w:val="52"/>
        <w:ind w:firstLine="480"/>
        <w:jc w:val="both"/>
        <w:rPr>
          <w:rFonts w:eastAsia="宋体"/>
          <w:color w:val="auto"/>
          <w:sz w:val="24"/>
          <w:szCs w:val="24"/>
          <w:highlight w:val="none"/>
          <w:u w:val="single"/>
        </w:rPr>
      </w:pPr>
      <w:r>
        <w:rPr>
          <w:rFonts w:eastAsia="宋体"/>
          <w:color w:val="auto"/>
          <w:sz w:val="24"/>
          <w:szCs w:val="24"/>
          <w:highlight w:val="none"/>
        </w:rPr>
        <w:t>15.1.4. 通用条款第15.1.4</w:t>
      </w:r>
      <w:r>
        <w:rPr>
          <w:rFonts w:hint="eastAsia" w:eastAsia="宋体"/>
          <w:color w:val="auto"/>
          <w:sz w:val="24"/>
          <w:szCs w:val="24"/>
          <w:highlight w:val="none"/>
        </w:rPr>
        <w:t>款</w:t>
      </w:r>
      <w:r>
        <w:rPr>
          <w:rFonts w:eastAsia="宋体"/>
          <w:color w:val="auto"/>
          <w:sz w:val="24"/>
          <w:szCs w:val="24"/>
          <w:highlight w:val="none"/>
        </w:rPr>
        <w:t>修订为：如承包人未经</w:t>
      </w:r>
      <w:r>
        <w:rPr>
          <w:rFonts w:hint="eastAsia" w:eastAsia="宋体"/>
          <w:color w:val="auto"/>
          <w:sz w:val="24"/>
          <w:szCs w:val="24"/>
          <w:highlight w:val="none"/>
          <w:lang w:eastAsia="zh-CN"/>
        </w:rPr>
        <w:t>发包人</w:t>
      </w:r>
      <w:r>
        <w:rPr>
          <w:rFonts w:eastAsia="宋体"/>
          <w:color w:val="auto"/>
          <w:sz w:val="24"/>
          <w:szCs w:val="24"/>
          <w:highlight w:val="none"/>
        </w:rPr>
        <w:t>同意而擅自超出合同文件的要求进行施工，或者擅自变更承包范围内施工内容的，则无论本工程是否通过了竣工验收，均不视为变更且发包人不支付该等擅自施工所发生的费用，由此增加的费用和延误的工期均由承包人承担。</w:t>
      </w:r>
    </w:p>
    <w:p>
      <w:pPr>
        <w:pStyle w:val="52"/>
        <w:ind w:firstLine="480"/>
        <w:jc w:val="both"/>
        <w:rPr>
          <w:rFonts w:eastAsia="宋体"/>
          <w:color w:val="auto"/>
          <w:sz w:val="24"/>
          <w:szCs w:val="24"/>
          <w:highlight w:val="none"/>
        </w:rPr>
      </w:pPr>
      <w:r>
        <w:rPr>
          <w:rFonts w:eastAsia="宋体"/>
          <w:color w:val="auto"/>
          <w:sz w:val="24"/>
          <w:szCs w:val="24"/>
          <w:highlight w:val="none"/>
        </w:rPr>
        <w:t>15.1.7.</w:t>
      </w:r>
      <w:r>
        <w:rPr>
          <w:rFonts w:hint="eastAsia" w:eastAsia="宋体"/>
          <w:color w:val="auto"/>
          <w:sz w:val="24"/>
          <w:szCs w:val="24"/>
          <w:highlight w:val="none"/>
        </w:rPr>
        <w:t xml:space="preserve"> </w:t>
      </w:r>
      <w:r>
        <w:rPr>
          <w:rFonts w:eastAsia="宋体"/>
          <w:color w:val="auto"/>
          <w:sz w:val="24"/>
          <w:szCs w:val="24"/>
          <w:highlight w:val="none"/>
        </w:rPr>
        <w:t>设计人提出的设计变更，必须经发包人书面批准后，承包人才能按图进行施工，如设计变更未经发包人批准承包人安排施工，所需费用由承包人承担，且发包人有权提出拆除及恢复，承包人承担由此造成的费用；如设计变更未经发包人批准承包人安排施工，且设计变更不合理，其施工费用、恢复费用、延误工期及由此造成的损失由承包人承担，同时承包人须按</w:t>
      </w:r>
      <w:r>
        <w:rPr>
          <w:rFonts w:eastAsia="宋体"/>
          <w:color w:val="auto"/>
          <w:sz w:val="24"/>
          <w:szCs w:val="24"/>
          <w:highlight w:val="none"/>
          <w:u w:val="single"/>
        </w:rPr>
        <w:t>2000</w:t>
      </w:r>
      <w:r>
        <w:rPr>
          <w:rFonts w:eastAsia="宋体"/>
          <w:color w:val="auto"/>
          <w:sz w:val="24"/>
          <w:szCs w:val="24"/>
          <w:highlight w:val="none"/>
        </w:rPr>
        <w:t>元/次向发包人承担违约责任。</w:t>
      </w:r>
    </w:p>
    <w:p>
      <w:pPr>
        <w:pStyle w:val="52"/>
        <w:ind w:firstLine="480"/>
        <w:jc w:val="both"/>
        <w:rPr>
          <w:rFonts w:eastAsia="宋体"/>
          <w:color w:val="auto"/>
          <w:sz w:val="24"/>
          <w:szCs w:val="24"/>
          <w:highlight w:val="none"/>
        </w:rPr>
      </w:pPr>
      <w:r>
        <w:rPr>
          <w:rFonts w:eastAsia="宋体"/>
          <w:color w:val="auto"/>
          <w:sz w:val="24"/>
          <w:szCs w:val="24"/>
          <w:highlight w:val="none"/>
        </w:rPr>
        <w:t>15.1.8.</w:t>
      </w:r>
      <w:r>
        <w:rPr>
          <w:rFonts w:hint="eastAsia" w:eastAsia="宋体"/>
          <w:color w:val="auto"/>
          <w:sz w:val="24"/>
          <w:szCs w:val="24"/>
          <w:highlight w:val="none"/>
        </w:rPr>
        <w:t xml:space="preserve"> </w:t>
      </w:r>
      <w:r>
        <w:rPr>
          <w:rFonts w:eastAsia="宋体"/>
          <w:color w:val="auto"/>
          <w:sz w:val="24"/>
          <w:szCs w:val="24"/>
          <w:highlight w:val="none"/>
        </w:rPr>
        <w:t>发包人有权对材料设备的品牌、规格、型号进行变更。</w:t>
      </w:r>
    </w:p>
    <w:p>
      <w:pPr>
        <w:pStyle w:val="77"/>
        <w:spacing w:before="0" w:after="0"/>
        <w:ind w:firstLine="480"/>
        <w:rPr>
          <w:rFonts w:eastAsia="宋体"/>
          <w:color w:val="auto"/>
          <w:szCs w:val="24"/>
          <w:highlight w:val="none"/>
        </w:rPr>
      </w:pPr>
      <w:r>
        <w:rPr>
          <w:rFonts w:eastAsia="宋体"/>
          <w:color w:val="auto"/>
          <w:szCs w:val="24"/>
          <w:highlight w:val="none"/>
        </w:rPr>
        <w:t>15.2. 变更价款的确定</w:t>
      </w:r>
      <w:bookmarkEnd w:id="1231"/>
      <w:bookmarkEnd w:id="1232"/>
      <w:bookmarkEnd w:id="1233"/>
    </w:p>
    <w:p>
      <w:pPr>
        <w:spacing w:line="360" w:lineRule="auto"/>
        <w:ind w:firstLine="482" w:firstLineChars="200"/>
        <w:rPr>
          <w:rFonts w:ascii="Times New Roman" w:hAnsi="Times New Roman"/>
          <w:color w:val="auto"/>
          <w:kern w:val="0"/>
          <w:sz w:val="24"/>
          <w:szCs w:val="24"/>
          <w:highlight w:val="none"/>
          <w:u w:val="single"/>
        </w:rPr>
      </w:pPr>
      <w:r>
        <w:rPr>
          <w:rFonts w:ascii="Times New Roman" w:hAnsi="Times New Roman"/>
          <w:b/>
          <w:bCs/>
          <w:color w:val="auto"/>
          <w:kern w:val="0"/>
          <w:sz w:val="24"/>
          <w:szCs w:val="24"/>
          <w:highlight w:val="none"/>
        </w:rPr>
        <w:t>15.2.1</w:t>
      </w:r>
      <w:r>
        <w:rPr>
          <w:rFonts w:hint="eastAsia" w:ascii="Times New Roman" w:hAnsi="Times New Roman"/>
          <w:b/>
          <w:bCs/>
          <w:color w:val="auto"/>
          <w:kern w:val="0"/>
          <w:sz w:val="24"/>
          <w:szCs w:val="24"/>
          <w:highlight w:val="none"/>
        </w:rPr>
        <w:t xml:space="preserve">. </w:t>
      </w:r>
      <w:r>
        <w:rPr>
          <w:rFonts w:ascii="Times New Roman" w:hAnsi="Times New Roman"/>
          <w:b/>
          <w:bCs/>
          <w:color w:val="auto"/>
          <w:kern w:val="0"/>
          <w:sz w:val="24"/>
          <w:szCs w:val="24"/>
          <w:highlight w:val="none"/>
        </w:rPr>
        <w:t>变更、签证工程</w:t>
      </w:r>
      <w:r>
        <w:rPr>
          <w:rFonts w:hint="eastAsia" w:ascii="Times New Roman" w:hAnsi="Times New Roman"/>
          <w:b/>
          <w:bCs/>
          <w:color w:val="auto"/>
          <w:kern w:val="0"/>
          <w:sz w:val="24"/>
          <w:szCs w:val="24"/>
          <w:highlight w:val="none"/>
        </w:rPr>
        <w:t>、</w:t>
      </w:r>
      <w:r>
        <w:rPr>
          <w:rFonts w:ascii="Times New Roman" w:hAnsi="Times New Roman"/>
          <w:b/>
          <w:bCs/>
          <w:color w:val="auto"/>
          <w:kern w:val="0"/>
          <w:sz w:val="24"/>
          <w:szCs w:val="24"/>
          <w:highlight w:val="none"/>
        </w:rPr>
        <w:t>新增工程</w:t>
      </w:r>
      <w:r>
        <w:rPr>
          <w:rFonts w:hint="eastAsia" w:ascii="Times New Roman" w:hAnsi="Times New Roman"/>
          <w:b/>
          <w:bCs/>
          <w:color w:val="auto"/>
          <w:kern w:val="0"/>
          <w:sz w:val="24"/>
          <w:szCs w:val="24"/>
          <w:highlight w:val="none"/>
        </w:rPr>
        <w:t>和暂估价</w:t>
      </w:r>
      <w:r>
        <w:rPr>
          <w:rFonts w:ascii="Times New Roman" w:hAnsi="Times New Roman"/>
          <w:b/>
          <w:bCs/>
          <w:color w:val="auto"/>
          <w:kern w:val="0"/>
          <w:sz w:val="24"/>
          <w:szCs w:val="24"/>
          <w:highlight w:val="none"/>
        </w:rPr>
        <w:t>按以下先后顺序确定价格：</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合同工程量清单中有相同适用项目的，则采用该项目综合单价；合同工程量清单中相同适用项目有多个的，取最有利于发包人的相同适用项目综合单价（但发包人认为综合单价明显不合理的除外），不论工程量怎样增加或减少，综合单价都不予调整，本合同另有约定的除外。</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合同工程量清单中无相同适用项目、只有类似适用项目的，则按类似项目的综合单价对相应子目、消耗量、材料设备价格等进行调整换算，原管理费、利润水平不变，仅调整主材和主要设备价格（但发包人认为综合单价明显不合理的除外）。如合同工程量清单中类似项目的综合单价有两个或两个以上，则由发包人按有利于发包人的综合单价（即消耗量最少、管理费和利润取费最低）的优先顺序选择类似项目综合单价进行换算。所换算主材及设备价格优先执行有利于发包人的材料单价，执行工程造价管理机构发布</w:t>
      </w:r>
      <w:r>
        <w:rPr>
          <w:rFonts w:hint="eastAsia" w:ascii="Times New Roman" w:hAnsi="Times New Roman"/>
          <w:color w:val="auto"/>
          <w:kern w:val="0"/>
          <w:sz w:val="24"/>
          <w:szCs w:val="24"/>
          <w:highlight w:val="none"/>
        </w:rPr>
        <w:t>的</w:t>
      </w:r>
      <w:r>
        <w:rPr>
          <w:rFonts w:ascii="Times New Roman" w:hAnsi="Times New Roman"/>
          <w:color w:val="auto"/>
          <w:kern w:val="0"/>
          <w:sz w:val="24"/>
          <w:szCs w:val="24"/>
          <w:highlight w:val="none"/>
        </w:rPr>
        <w:t>《</w:t>
      </w:r>
      <w:r>
        <w:rPr>
          <w:rStyle w:val="45"/>
          <w:rFonts w:hint="eastAsia"/>
          <w:color w:val="auto"/>
          <w:kern w:val="0"/>
          <w:sz w:val="24"/>
          <w:szCs w:val="24"/>
          <w:highlight w:val="none"/>
        </w:rPr>
        <w:t>江门</w:t>
      </w:r>
      <w:r>
        <w:rPr>
          <w:rStyle w:val="45"/>
          <w:color w:val="auto"/>
          <w:kern w:val="0"/>
          <w:sz w:val="24"/>
          <w:szCs w:val="24"/>
          <w:highlight w:val="none"/>
        </w:rPr>
        <w:t>市</w:t>
      </w:r>
      <w:r>
        <w:rPr>
          <w:rFonts w:hint="eastAsia" w:ascii="宋体" w:hAnsi="宋体" w:cs="宋体"/>
          <w:color w:val="auto"/>
          <w:sz w:val="24"/>
          <w:szCs w:val="24"/>
          <w:highlight w:val="none"/>
          <w:u w:val="single" w:color="FF0000"/>
          <w:lang w:eastAsia="zh-CN"/>
        </w:rPr>
        <w:t>2023</w:t>
      </w:r>
      <w:r>
        <w:rPr>
          <w:rFonts w:hint="eastAsia" w:ascii="宋体" w:hAnsi="宋体" w:cs="宋体"/>
          <w:color w:val="auto"/>
          <w:sz w:val="24"/>
          <w:szCs w:val="24"/>
          <w:highlight w:val="none"/>
          <w:u w:val="single" w:color="FF0000"/>
        </w:rPr>
        <w:t>年</w:t>
      </w:r>
      <w:r>
        <w:rPr>
          <w:rFonts w:hint="eastAsia" w:ascii="宋体" w:hAnsi="宋体" w:cs="宋体"/>
          <w:color w:val="auto"/>
          <w:sz w:val="24"/>
          <w:szCs w:val="24"/>
          <w:highlight w:val="none"/>
          <w:u w:val="single" w:color="FF0000"/>
          <w:lang w:val="en-US" w:eastAsia="zh-CN"/>
        </w:rPr>
        <w:t xml:space="preserve">   </w:t>
      </w:r>
      <w:r>
        <w:rPr>
          <w:rFonts w:hint="eastAsia" w:ascii="宋体" w:hAnsi="宋体" w:cs="宋体"/>
          <w:color w:val="auto"/>
          <w:sz w:val="24"/>
          <w:szCs w:val="24"/>
          <w:highlight w:val="none"/>
          <w:u w:val="single" w:color="FF0000"/>
        </w:rPr>
        <w:t>月</w:t>
      </w:r>
      <w:r>
        <w:rPr>
          <w:rFonts w:hint="eastAsia" w:ascii="宋体" w:hAnsi="宋体" w:cs="宋体"/>
          <w:color w:val="auto"/>
          <w:sz w:val="24"/>
          <w:szCs w:val="24"/>
          <w:highlight w:val="none"/>
          <w:u w:val="single" w:color="FF0000"/>
          <w:lang w:eastAsia="zh-CN"/>
        </w:rPr>
        <w:t>（</w:t>
      </w:r>
      <w:r>
        <w:rPr>
          <w:rFonts w:hint="eastAsia" w:ascii="宋体" w:hAnsi="宋体" w:cs="宋体"/>
          <w:color w:val="auto"/>
          <w:sz w:val="24"/>
          <w:szCs w:val="24"/>
          <w:highlight w:val="none"/>
          <w:u w:val="single" w:color="FF0000"/>
          <w:lang w:val="en-US" w:eastAsia="zh-CN"/>
        </w:rPr>
        <w:t>投标当月</w:t>
      </w:r>
      <w:r>
        <w:rPr>
          <w:rFonts w:hint="eastAsia" w:ascii="宋体" w:hAnsi="宋体" w:cs="宋体"/>
          <w:color w:val="auto"/>
          <w:sz w:val="24"/>
          <w:szCs w:val="24"/>
          <w:highlight w:val="none"/>
          <w:u w:val="single" w:color="FF0000"/>
          <w:lang w:eastAsia="zh-CN"/>
        </w:rPr>
        <w:t>）</w:t>
      </w:r>
      <w:r>
        <w:rPr>
          <w:rStyle w:val="45"/>
          <w:color w:val="auto"/>
          <w:kern w:val="0"/>
          <w:sz w:val="24"/>
          <w:szCs w:val="24"/>
          <w:highlight w:val="none"/>
        </w:rPr>
        <w:t>份建筑工程材料市场参考价</w:t>
      </w:r>
      <w:r>
        <w:rPr>
          <w:rFonts w:ascii="Times New Roman" w:hAnsi="Times New Roman"/>
          <w:color w:val="auto"/>
          <w:kern w:val="0"/>
          <w:sz w:val="24"/>
          <w:szCs w:val="24"/>
          <w:highlight w:val="none"/>
        </w:rPr>
        <w:t>》，</w:t>
      </w:r>
      <w:r>
        <w:rPr>
          <w:rFonts w:ascii="Times New Roman" w:hAnsi="Times New Roman"/>
          <w:color w:val="auto"/>
          <w:sz w:val="24"/>
          <w:szCs w:val="24"/>
          <w:highlight w:val="none"/>
        </w:rPr>
        <w:t>下浮率按投标下浮率</w:t>
      </w:r>
      <w:r>
        <w:rPr>
          <w:rFonts w:ascii="Times New Roman" w:hAnsi="Times New Roman"/>
          <w:color w:val="auto"/>
          <w:kern w:val="0"/>
          <w:sz w:val="24"/>
          <w:szCs w:val="24"/>
          <w:highlight w:val="none"/>
        </w:rPr>
        <w:t>。《</w:t>
      </w:r>
      <w:r>
        <w:rPr>
          <w:rStyle w:val="45"/>
          <w:rFonts w:hint="eastAsia"/>
          <w:color w:val="auto"/>
          <w:kern w:val="0"/>
          <w:sz w:val="24"/>
          <w:szCs w:val="24"/>
          <w:highlight w:val="none"/>
        </w:rPr>
        <w:t>江门</w:t>
      </w:r>
      <w:r>
        <w:rPr>
          <w:rFonts w:ascii="Times New Roman" w:hAnsi="Times New Roman"/>
          <w:color w:val="auto"/>
          <w:kern w:val="0"/>
          <w:sz w:val="24"/>
          <w:szCs w:val="24"/>
          <w:highlight w:val="none"/>
        </w:rPr>
        <w:t>市</w:t>
      </w:r>
      <w:r>
        <w:rPr>
          <w:rFonts w:hint="eastAsia" w:ascii="宋体" w:hAnsi="宋体" w:cs="宋体"/>
          <w:color w:val="auto"/>
          <w:sz w:val="24"/>
          <w:szCs w:val="24"/>
          <w:highlight w:val="none"/>
          <w:u w:val="single" w:color="FF0000"/>
          <w:lang w:eastAsia="zh-CN"/>
        </w:rPr>
        <w:t>2023</w:t>
      </w:r>
      <w:r>
        <w:rPr>
          <w:rFonts w:hint="eastAsia" w:ascii="宋体" w:hAnsi="宋体" w:cs="宋体"/>
          <w:color w:val="auto"/>
          <w:sz w:val="24"/>
          <w:szCs w:val="24"/>
          <w:highlight w:val="none"/>
          <w:u w:val="single" w:color="FF0000"/>
        </w:rPr>
        <w:t>年</w:t>
      </w:r>
      <w:r>
        <w:rPr>
          <w:rFonts w:hint="eastAsia" w:ascii="宋体" w:hAnsi="宋体" w:cs="宋体"/>
          <w:color w:val="auto"/>
          <w:sz w:val="24"/>
          <w:szCs w:val="24"/>
          <w:highlight w:val="none"/>
          <w:u w:val="single" w:color="FF0000"/>
          <w:lang w:val="en-US" w:eastAsia="zh-CN"/>
        </w:rPr>
        <w:t xml:space="preserve">   </w:t>
      </w:r>
      <w:r>
        <w:rPr>
          <w:rFonts w:hint="eastAsia" w:ascii="宋体" w:hAnsi="宋体" w:cs="宋体"/>
          <w:color w:val="auto"/>
          <w:sz w:val="24"/>
          <w:szCs w:val="24"/>
          <w:highlight w:val="none"/>
          <w:u w:val="single" w:color="FF0000"/>
        </w:rPr>
        <w:t>月</w:t>
      </w:r>
      <w:r>
        <w:rPr>
          <w:rFonts w:hint="eastAsia" w:ascii="宋体" w:hAnsi="宋体" w:cs="宋体"/>
          <w:color w:val="auto"/>
          <w:sz w:val="24"/>
          <w:szCs w:val="24"/>
          <w:highlight w:val="none"/>
          <w:u w:val="single" w:color="FF0000"/>
          <w:lang w:eastAsia="zh-CN"/>
        </w:rPr>
        <w:t>（</w:t>
      </w:r>
      <w:r>
        <w:rPr>
          <w:rFonts w:hint="eastAsia" w:ascii="宋体" w:hAnsi="宋体" w:cs="宋体"/>
          <w:color w:val="auto"/>
          <w:sz w:val="24"/>
          <w:szCs w:val="24"/>
          <w:highlight w:val="none"/>
          <w:u w:val="single" w:color="FF0000"/>
          <w:lang w:val="en-US" w:eastAsia="zh-CN"/>
        </w:rPr>
        <w:t>投标当月</w:t>
      </w:r>
      <w:r>
        <w:rPr>
          <w:rFonts w:hint="eastAsia" w:ascii="宋体" w:hAnsi="宋体" w:cs="宋体"/>
          <w:color w:val="auto"/>
          <w:sz w:val="24"/>
          <w:szCs w:val="24"/>
          <w:highlight w:val="none"/>
          <w:u w:val="single" w:color="FF0000"/>
          <w:lang w:eastAsia="zh-CN"/>
        </w:rPr>
        <w:t>）</w:t>
      </w:r>
      <w:r>
        <w:rPr>
          <w:rFonts w:ascii="Times New Roman" w:hAnsi="Times New Roman"/>
          <w:color w:val="auto"/>
          <w:kern w:val="0"/>
          <w:sz w:val="24"/>
          <w:szCs w:val="24"/>
          <w:highlight w:val="none"/>
        </w:rPr>
        <w:t>份建筑工程材料市场参考价》没有的材料、设备单价，由</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、承包人结合市场价共同协商确定，参考市场价格定价的材料设备，不适用于本合同专用条款第16条相关价格调整的约定。</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3）合同工程量清单报价中没有相同或类似适用项目的；或者合同工程量清单报价中有相同或类似适用项目，但发包人认为综合单价明显不合理的，按以下原则计价：</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a.</w:t>
      </w:r>
      <w:r>
        <w:rPr>
          <w:rFonts w:hint="eastAsia" w:ascii="Times New Roman" w:hAnsi="Times New Roman"/>
          <w:color w:val="auto"/>
          <w:kern w:val="0"/>
          <w:sz w:val="24"/>
          <w:szCs w:val="24"/>
          <w:highlight w:val="none"/>
        </w:rPr>
        <w:t xml:space="preserve"> </w:t>
      </w:r>
      <w:r>
        <w:rPr>
          <w:rFonts w:ascii="Times New Roman" w:hAnsi="Times New Roman"/>
          <w:color w:val="auto"/>
          <w:kern w:val="0"/>
          <w:sz w:val="24"/>
          <w:szCs w:val="24"/>
          <w:highlight w:val="none"/>
        </w:rPr>
        <w:t>由承包人依据变更工程资料，按</w:t>
      </w:r>
      <w:r>
        <w:rPr>
          <w:rFonts w:ascii="Times New Roman" w:hAnsi="Times New Roman"/>
          <w:color w:val="auto"/>
          <w:kern w:val="0"/>
          <w:sz w:val="24"/>
          <w:szCs w:val="24"/>
          <w:highlight w:val="none"/>
          <w:u w:val="single"/>
        </w:rPr>
        <w:t>《房屋建筑与装饰工程工程量计算规范（2013）》、《房屋建筑安装工程工程量计算规范（2013）》、《市政工程工程量计算规范（2013）》、《园林绿化工程工程量计算规范（2013）》</w:t>
      </w:r>
      <w:r>
        <w:rPr>
          <w:rFonts w:ascii="Times New Roman" w:hAnsi="Times New Roman"/>
          <w:color w:val="auto"/>
          <w:kern w:val="0"/>
          <w:sz w:val="24"/>
          <w:szCs w:val="24"/>
          <w:highlight w:val="none"/>
        </w:rPr>
        <w:t>，执行《广东省房屋建筑与装饰工程综合定额（2018年）》、《广东省通用安装工程综合定额（2018年）》、《广东省市政工程综合定额（2018年）》、《广东省园林绿化工程综合定额（2018年）》等相关定额标准及工程实施期工程造价管理机构发布的</w:t>
      </w:r>
      <w:r>
        <w:rPr>
          <w:rFonts w:ascii="Times New Roman" w:hAnsi="Times New Roman"/>
          <w:color w:val="auto"/>
          <w:sz w:val="24"/>
          <w:szCs w:val="24"/>
          <w:highlight w:val="none"/>
        </w:rPr>
        <w:t>《</w:t>
      </w:r>
      <w:r>
        <w:rPr>
          <w:rFonts w:hint="eastAsia" w:ascii="宋体" w:hAnsi="宋体" w:cs="宋体"/>
          <w:color w:val="auto"/>
          <w:sz w:val="24"/>
          <w:szCs w:val="24"/>
          <w:highlight w:val="none"/>
          <w:u w:val="single" w:color="FF0000"/>
        </w:rPr>
        <w:t>江门</w:t>
      </w:r>
      <w:r>
        <w:rPr>
          <w:rFonts w:ascii="Times New Roman" w:hAnsi="Times New Roman"/>
          <w:color w:val="auto"/>
          <w:sz w:val="24"/>
          <w:szCs w:val="24"/>
          <w:highlight w:val="none"/>
        </w:rPr>
        <w:t>市</w:t>
      </w:r>
      <w:r>
        <w:rPr>
          <w:rFonts w:hint="eastAsia" w:ascii="宋体" w:hAnsi="宋体" w:cs="宋体"/>
          <w:color w:val="auto"/>
          <w:sz w:val="24"/>
          <w:szCs w:val="24"/>
          <w:highlight w:val="none"/>
          <w:u w:val="single" w:color="FF0000"/>
          <w:lang w:eastAsia="zh-CN"/>
        </w:rPr>
        <w:t>2023</w:t>
      </w:r>
      <w:r>
        <w:rPr>
          <w:rFonts w:hint="eastAsia" w:ascii="宋体" w:hAnsi="宋体" w:cs="宋体"/>
          <w:color w:val="auto"/>
          <w:sz w:val="24"/>
          <w:szCs w:val="24"/>
          <w:highlight w:val="none"/>
          <w:u w:val="single" w:color="FF0000"/>
        </w:rPr>
        <w:t>年</w:t>
      </w:r>
      <w:r>
        <w:rPr>
          <w:rFonts w:hint="eastAsia" w:ascii="宋体" w:hAnsi="宋体" w:cs="宋体"/>
          <w:color w:val="auto"/>
          <w:sz w:val="24"/>
          <w:szCs w:val="24"/>
          <w:highlight w:val="none"/>
          <w:u w:val="single" w:color="FF0000"/>
          <w:lang w:val="en-US" w:eastAsia="zh-CN"/>
        </w:rPr>
        <w:t>xx</w:t>
      </w:r>
      <w:r>
        <w:rPr>
          <w:rFonts w:hint="eastAsia" w:ascii="宋体" w:hAnsi="宋体" w:cs="宋体"/>
          <w:color w:val="auto"/>
          <w:sz w:val="24"/>
          <w:szCs w:val="24"/>
          <w:highlight w:val="none"/>
          <w:u w:val="single" w:color="FF0000"/>
        </w:rPr>
        <w:t>月</w:t>
      </w:r>
      <w:r>
        <w:rPr>
          <w:rFonts w:ascii="Times New Roman" w:hAnsi="Times New Roman"/>
          <w:color w:val="auto"/>
          <w:sz w:val="24"/>
          <w:szCs w:val="24"/>
          <w:highlight w:val="none"/>
        </w:rPr>
        <w:t>份建筑工程材料市场参考价》</w:t>
      </w:r>
      <w:r>
        <w:rPr>
          <w:rFonts w:ascii="Times New Roman" w:hAnsi="Times New Roman"/>
          <w:color w:val="auto"/>
          <w:kern w:val="0"/>
          <w:sz w:val="24"/>
          <w:szCs w:val="24"/>
          <w:highlight w:val="none"/>
        </w:rPr>
        <w:t>材料设备参考价格编制综合单价，并按本工程投标下浮率（本工程投标下浮率=[1-（中标价-不可竞争费）/（招标控制价-不可竞争费）]*100%）进行税前下浮。若</w:t>
      </w:r>
      <w:r>
        <w:rPr>
          <w:rFonts w:ascii="Times New Roman" w:hAnsi="Times New Roman"/>
          <w:color w:val="auto"/>
          <w:sz w:val="24"/>
          <w:szCs w:val="24"/>
          <w:highlight w:val="none"/>
        </w:rPr>
        <w:t>《</w:t>
      </w:r>
      <w:r>
        <w:rPr>
          <w:rFonts w:hint="eastAsia" w:ascii="宋体" w:hAnsi="宋体" w:cs="宋体"/>
          <w:color w:val="auto"/>
          <w:sz w:val="24"/>
          <w:szCs w:val="24"/>
          <w:highlight w:val="none"/>
          <w:u w:val="single" w:color="FF0000"/>
        </w:rPr>
        <w:t>江门</w:t>
      </w:r>
      <w:r>
        <w:rPr>
          <w:rFonts w:ascii="Times New Roman" w:hAnsi="Times New Roman"/>
          <w:color w:val="auto"/>
          <w:sz w:val="24"/>
          <w:szCs w:val="24"/>
          <w:highlight w:val="none"/>
        </w:rPr>
        <w:t>市</w:t>
      </w:r>
      <w:r>
        <w:rPr>
          <w:rFonts w:hint="eastAsia" w:ascii="宋体" w:hAnsi="宋体" w:cs="宋体"/>
          <w:color w:val="auto"/>
          <w:sz w:val="24"/>
          <w:szCs w:val="24"/>
          <w:highlight w:val="none"/>
          <w:u w:val="single" w:color="FF0000"/>
          <w:lang w:eastAsia="zh-CN"/>
        </w:rPr>
        <w:t>2023</w:t>
      </w:r>
      <w:r>
        <w:rPr>
          <w:rFonts w:hint="eastAsia" w:ascii="宋体" w:hAnsi="宋体" w:cs="宋体"/>
          <w:color w:val="auto"/>
          <w:sz w:val="24"/>
          <w:szCs w:val="24"/>
          <w:highlight w:val="none"/>
          <w:u w:val="single" w:color="FF0000"/>
        </w:rPr>
        <w:t>年</w:t>
      </w:r>
      <w:r>
        <w:rPr>
          <w:rFonts w:hint="eastAsia" w:ascii="宋体" w:hAnsi="宋体" w:cs="宋体"/>
          <w:color w:val="auto"/>
          <w:sz w:val="24"/>
          <w:szCs w:val="24"/>
          <w:highlight w:val="none"/>
          <w:u w:val="single" w:color="FF0000"/>
          <w:lang w:val="en-US" w:eastAsia="zh-CN"/>
        </w:rPr>
        <w:t>xx</w:t>
      </w:r>
      <w:r>
        <w:rPr>
          <w:rFonts w:hint="eastAsia" w:ascii="宋体" w:hAnsi="宋体" w:cs="宋体"/>
          <w:color w:val="auto"/>
          <w:sz w:val="24"/>
          <w:szCs w:val="24"/>
          <w:highlight w:val="none"/>
          <w:u w:val="single" w:color="FF0000"/>
        </w:rPr>
        <w:t>月</w:t>
      </w:r>
      <w:r>
        <w:rPr>
          <w:rFonts w:ascii="Times New Roman" w:hAnsi="Times New Roman"/>
          <w:color w:val="auto"/>
          <w:sz w:val="24"/>
          <w:szCs w:val="24"/>
          <w:highlight w:val="none"/>
        </w:rPr>
        <w:t>份建筑工程材料市场参考价》</w:t>
      </w:r>
      <w:r>
        <w:rPr>
          <w:rFonts w:ascii="Times New Roman" w:hAnsi="Times New Roman"/>
          <w:color w:val="auto"/>
          <w:kern w:val="0"/>
          <w:sz w:val="24"/>
          <w:szCs w:val="24"/>
          <w:highlight w:val="none"/>
        </w:rPr>
        <w:t>没有的材料、设备单价，由发包人、承包人结合市场价共同协商确定，参考市场价格定价的材料设备，不适用于本合同专用条款第16条相关价格调整的约定。在发包人未回复具体的审核价前，承包人不得以任何理由作为停工或拖延施工为借口，若由此导致的工期延误，由承包人自行承担，并根据相应条款承担违约责任。</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b.</w:t>
      </w:r>
      <w:r>
        <w:rPr>
          <w:rFonts w:hint="eastAsia" w:ascii="Times New Roman" w:hAnsi="Times New Roman"/>
          <w:color w:val="auto"/>
          <w:kern w:val="0"/>
          <w:sz w:val="24"/>
          <w:szCs w:val="24"/>
          <w:highlight w:val="none"/>
        </w:rPr>
        <w:t xml:space="preserve"> </w:t>
      </w:r>
      <w:r>
        <w:rPr>
          <w:rFonts w:ascii="Times New Roman" w:hAnsi="Times New Roman"/>
          <w:color w:val="auto"/>
          <w:kern w:val="0"/>
          <w:sz w:val="24"/>
          <w:szCs w:val="24"/>
          <w:highlight w:val="none"/>
        </w:rPr>
        <w:t>合同工程量清单没有相同或相类似且无相关定额的项目，由发包人、承包人结合市场价共同协商确定，参考市场价格定价的，不适用于本合同专用条款第16条相关价格调整的约定。</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4）除以下条件外，本合同暂定价款中总价包干措施费不得调整：</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a. 基于本合同承包范围，当单纯性增加施工承包范围或单纯性调减施工承包范围的变更，据实计取或扣减分部分项变更项目所对应的措施费用</w:t>
      </w:r>
      <w:r>
        <w:rPr>
          <w:rFonts w:ascii="Times New Roman" w:hAnsi="Times New Roman"/>
          <w:color w:val="auto"/>
          <w:sz w:val="24"/>
          <w:szCs w:val="24"/>
          <w:highlight w:val="none"/>
        </w:rPr>
        <w:t>。</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kern w:val="0"/>
          <w:sz w:val="24"/>
          <w:szCs w:val="24"/>
          <w:highlight w:val="none"/>
        </w:rPr>
        <w:t>b. 专业工程暂估价对应的措施费用未包含在本合同总价包干措施费内的，发生时据实计取对应措施费用</w:t>
      </w:r>
      <w:r>
        <w:rPr>
          <w:rFonts w:ascii="Times New Roman" w:hAnsi="Times New Roman"/>
          <w:color w:val="auto"/>
          <w:sz w:val="24"/>
          <w:szCs w:val="24"/>
          <w:highlight w:val="none"/>
        </w:rPr>
        <w:t>。</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c. </w:t>
      </w:r>
      <w:r>
        <w:rPr>
          <w:rFonts w:ascii="Times New Roman" w:hAnsi="Times New Roman"/>
          <w:color w:val="auto"/>
          <w:kern w:val="0"/>
          <w:sz w:val="24"/>
          <w:szCs w:val="24"/>
          <w:highlight w:val="none"/>
        </w:rPr>
        <w:t>发包人书面审批同意的其他可调整总价包干措施费的情形。</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5）</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发出的合理变更指令，承包人应无条件执行。承包人不得以变更价款未确认等理由暂停施工或消极怠工，若由此导致的工期延误，由承包人自行承担，并根据相应条款承担违约责任及赔偿发包人损失。</w:t>
      </w:r>
    </w:p>
    <w:p>
      <w:pPr>
        <w:pStyle w:val="77"/>
        <w:spacing w:before="0" w:after="0"/>
        <w:ind w:firstLine="482"/>
        <w:rPr>
          <w:rFonts w:eastAsia="宋体"/>
          <w:b/>
          <w:color w:val="auto"/>
          <w:kern w:val="0"/>
          <w:szCs w:val="24"/>
          <w:highlight w:val="none"/>
        </w:rPr>
      </w:pPr>
      <w:r>
        <w:rPr>
          <w:rFonts w:eastAsia="宋体"/>
          <w:b/>
          <w:color w:val="auto"/>
          <w:kern w:val="0"/>
          <w:szCs w:val="24"/>
          <w:highlight w:val="none"/>
        </w:rPr>
        <w:t>15.2.2.</w:t>
      </w:r>
      <w:r>
        <w:rPr>
          <w:rFonts w:eastAsia="宋体"/>
          <w:b/>
          <w:color w:val="auto"/>
          <w:kern w:val="0"/>
          <w:szCs w:val="24"/>
          <w:highlight w:val="none"/>
        </w:rPr>
        <w:tab/>
      </w:r>
      <w:r>
        <w:rPr>
          <w:rFonts w:eastAsia="宋体"/>
          <w:b/>
          <w:color w:val="auto"/>
          <w:kern w:val="0"/>
          <w:szCs w:val="24"/>
          <w:highlight w:val="none"/>
        </w:rPr>
        <w:t>在发包人未回复具体的审核价前，承包人不得以任何理由作为停工或拖延施工为借口，若由此导致的工期延误，由承包人自行承担。</w:t>
      </w:r>
      <w:bookmarkStart w:id="1234" w:name="_Toc44492599"/>
      <w:bookmarkStart w:id="1235" w:name="_Toc7398"/>
      <w:bookmarkStart w:id="1236" w:name="_Toc4868"/>
    </w:p>
    <w:bookmarkEnd w:id="1234"/>
    <w:bookmarkEnd w:id="1235"/>
    <w:bookmarkEnd w:id="1236"/>
    <w:p>
      <w:pPr>
        <w:pStyle w:val="75"/>
        <w:ind w:firstLine="482"/>
        <w:jc w:val="both"/>
        <w:rPr>
          <w:color w:val="auto"/>
          <w:sz w:val="24"/>
          <w:szCs w:val="24"/>
          <w:highlight w:val="none"/>
        </w:rPr>
      </w:pPr>
      <w:bookmarkStart w:id="1237" w:name="_Toc32149"/>
      <w:r>
        <w:rPr>
          <w:color w:val="auto"/>
          <w:sz w:val="24"/>
          <w:szCs w:val="24"/>
          <w:highlight w:val="none"/>
        </w:rPr>
        <w:t>15.2.3. 对于变更价款确定的其他约定</w:t>
      </w:r>
      <w:bookmarkEnd w:id="1237"/>
    </w:p>
    <w:p>
      <w:pPr>
        <w:pStyle w:val="52"/>
        <w:ind w:firstLine="480"/>
        <w:jc w:val="both"/>
        <w:rPr>
          <w:rFonts w:eastAsia="宋体"/>
          <w:color w:val="auto"/>
          <w:sz w:val="24"/>
          <w:szCs w:val="24"/>
          <w:highlight w:val="none"/>
        </w:rPr>
      </w:pPr>
      <w:r>
        <w:rPr>
          <w:rFonts w:eastAsia="宋体"/>
          <w:color w:val="auto"/>
          <w:sz w:val="24"/>
          <w:szCs w:val="24"/>
          <w:highlight w:val="none"/>
        </w:rPr>
        <w:t>1）承包人递交的关于任何变更的估价或报价应包括相应变更的工程量计算书；计算书应具有充分的可追溯性，用于计算的原始数字仅能来源于有关设计人确认的图纸、发包人确认的签证、招投标文件的技术说明中的约定；计算书应注明计算所依据的图纸、签证或其他文件的编号、发生的区段位置（轴线和标高）、构件或房间号等索引信息，且应写明算术运算的过程，以便</w:t>
      </w:r>
      <w:r>
        <w:rPr>
          <w:rFonts w:hint="eastAsia" w:eastAsia="宋体"/>
          <w:color w:val="auto"/>
          <w:sz w:val="24"/>
          <w:szCs w:val="24"/>
          <w:highlight w:val="none"/>
          <w:lang w:eastAsia="zh-CN"/>
        </w:rPr>
        <w:t>发包人</w:t>
      </w:r>
      <w:r>
        <w:rPr>
          <w:rFonts w:eastAsia="宋体"/>
          <w:color w:val="auto"/>
          <w:sz w:val="24"/>
          <w:szCs w:val="24"/>
          <w:highlight w:val="none"/>
        </w:rPr>
        <w:t>能方便和快捷地根据合同文件进行追溯校核；变更工程量计算书和报价书的格式需经过</w:t>
      </w:r>
      <w:r>
        <w:rPr>
          <w:rFonts w:hint="eastAsia" w:eastAsia="宋体"/>
          <w:color w:val="auto"/>
          <w:sz w:val="24"/>
          <w:szCs w:val="24"/>
          <w:highlight w:val="none"/>
          <w:lang w:eastAsia="zh-CN"/>
        </w:rPr>
        <w:t>发包人</w:t>
      </w:r>
      <w:r>
        <w:rPr>
          <w:rFonts w:eastAsia="宋体"/>
          <w:color w:val="auto"/>
          <w:sz w:val="24"/>
          <w:szCs w:val="24"/>
          <w:highlight w:val="none"/>
        </w:rPr>
        <w:t>的审批。如果</w:t>
      </w:r>
      <w:r>
        <w:rPr>
          <w:rFonts w:hint="eastAsia" w:eastAsia="宋体"/>
          <w:color w:val="auto"/>
          <w:sz w:val="24"/>
          <w:szCs w:val="24"/>
          <w:highlight w:val="none"/>
          <w:lang w:eastAsia="zh-CN"/>
        </w:rPr>
        <w:t>发包人</w:t>
      </w:r>
      <w:r>
        <w:rPr>
          <w:rFonts w:eastAsia="宋体"/>
          <w:color w:val="auto"/>
          <w:sz w:val="24"/>
          <w:szCs w:val="24"/>
          <w:highlight w:val="none"/>
        </w:rPr>
        <w:t>要求，承包人应确保其工程量计算人员在要求的任何合理时间就其工程量计算的过程、计算书和价格组成明细等向</w:t>
      </w:r>
      <w:r>
        <w:rPr>
          <w:rFonts w:hint="eastAsia" w:eastAsia="宋体"/>
          <w:color w:val="auto"/>
          <w:sz w:val="24"/>
          <w:szCs w:val="24"/>
          <w:highlight w:val="none"/>
          <w:lang w:eastAsia="zh-CN"/>
        </w:rPr>
        <w:t>发包人</w:t>
      </w:r>
      <w:r>
        <w:rPr>
          <w:rFonts w:eastAsia="宋体"/>
          <w:color w:val="auto"/>
          <w:sz w:val="24"/>
          <w:szCs w:val="24"/>
          <w:highlight w:val="none"/>
        </w:rPr>
        <w:t>作必要解释，以确保变更计量和计价工作的及时性和准确性。</w:t>
      </w:r>
    </w:p>
    <w:p>
      <w:pPr>
        <w:pStyle w:val="52"/>
        <w:ind w:firstLine="480"/>
        <w:jc w:val="both"/>
        <w:rPr>
          <w:rFonts w:eastAsia="宋体"/>
          <w:color w:val="auto"/>
          <w:sz w:val="24"/>
          <w:szCs w:val="24"/>
          <w:highlight w:val="none"/>
        </w:rPr>
      </w:pPr>
      <w:r>
        <w:rPr>
          <w:rFonts w:eastAsia="宋体"/>
          <w:color w:val="auto"/>
          <w:sz w:val="24"/>
          <w:szCs w:val="24"/>
          <w:highlight w:val="none"/>
        </w:rPr>
        <w:t>2）承包人对图纸的不明确部分做出的任何澄清、明确和确认（除设计技术漏项外）以及工程指令单均不属于变更，不适用于工程变更的计量和计价。只有按发包人要求办理设计变更或现场签证完成确认审批流程的，方视为变更，并可根据确认结果调整合同价款。</w:t>
      </w:r>
    </w:p>
    <w:p>
      <w:pPr>
        <w:pStyle w:val="52"/>
        <w:ind w:firstLine="480"/>
        <w:jc w:val="both"/>
        <w:rPr>
          <w:rFonts w:eastAsia="宋体"/>
          <w:color w:val="auto"/>
          <w:sz w:val="24"/>
          <w:szCs w:val="24"/>
          <w:highlight w:val="none"/>
        </w:rPr>
      </w:pPr>
      <w:r>
        <w:rPr>
          <w:rFonts w:eastAsia="宋体"/>
          <w:color w:val="auto"/>
          <w:sz w:val="24"/>
          <w:szCs w:val="24"/>
          <w:highlight w:val="none"/>
        </w:rPr>
        <w:t>3）深化设计内容不属于变更。</w:t>
      </w:r>
    </w:p>
    <w:p>
      <w:pPr>
        <w:pStyle w:val="52"/>
        <w:ind w:firstLine="480"/>
        <w:jc w:val="both"/>
        <w:rPr>
          <w:rFonts w:eastAsia="宋体"/>
          <w:color w:val="auto"/>
          <w:sz w:val="24"/>
          <w:szCs w:val="24"/>
          <w:highlight w:val="none"/>
        </w:rPr>
      </w:pPr>
      <w:r>
        <w:rPr>
          <w:rFonts w:eastAsia="宋体"/>
          <w:color w:val="auto"/>
          <w:sz w:val="24"/>
          <w:szCs w:val="24"/>
          <w:highlight w:val="none"/>
        </w:rPr>
        <w:t>4）签证的资料要求：签证工程必须同时具有发包人签字盖章的指令单、设计变更单（若需）、签证单（有需要的须附上竣工图及验收单），如资料不全，工程造价增加的视为承包人放弃此项权利，工程造价减少的按实结算扣除。</w:t>
      </w:r>
    </w:p>
    <w:p>
      <w:pPr>
        <w:pStyle w:val="52"/>
        <w:ind w:firstLine="480"/>
        <w:jc w:val="both"/>
        <w:rPr>
          <w:rFonts w:eastAsia="宋体"/>
          <w:color w:val="auto"/>
          <w:sz w:val="24"/>
          <w:szCs w:val="24"/>
          <w:highlight w:val="none"/>
        </w:rPr>
      </w:pPr>
      <w:r>
        <w:rPr>
          <w:rFonts w:eastAsia="宋体"/>
          <w:color w:val="auto"/>
          <w:sz w:val="24"/>
          <w:szCs w:val="24"/>
          <w:highlight w:val="none"/>
        </w:rPr>
        <w:t>5）签证的时限要求：承包人应在收到发包人发出的签证指令后</w:t>
      </w:r>
      <w:r>
        <w:rPr>
          <w:rFonts w:eastAsia="宋体"/>
          <w:color w:val="auto"/>
          <w:sz w:val="24"/>
          <w:szCs w:val="24"/>
          <w:highlight w:val="none"/>
          <w:u w:val="single"/>
        </w:rPr>
        <w:t>10天</w:t>
      </w:r>
      <w:r>
        <w:rPr>
          <w:rFonts w:eastAsia="宋体"/>
          <w:color w:val="auto"/>
          <w:sz w:val="24"/>
          <w:szCs w:val="24"/>
          <w:highlight w:val="none"/>
        </w:rPr>
        <w:t>内向</w:t>
      </w:r>
      <w:r>
        <w:rPr>
          <w:rFonts w:hint="eastAsia" w:eastAsia="宋体"/>
          <w:color w:val="auto"/>
          <w:sz w:val="24"/>
          <w:szCs w:val="24"/>
          <w:highlight w:val="none"/>
          <w:lang w:eastAsia="zh-CN"/>
        </w:rPr>
        <w:t>发包人</w:t>
      </w:r>
      <w:r>
        <w:rPr>
          <w:rFonts w:eastAsia="宋体"/>
          <w:color w:val="auto"/>
          <w:sz w:val="24"/>
          <w:szCs w:val="24"/>
          <w:highlight w:val="none"/>
        </w:rPr>
        <w:t>申报《工程签证申请表》，并附签证指令、计划完成时间、预估签证费用等资料。承包人每延迟1天申报《工程签证申请表》的,按3000元/（天*单）承担违约金。在发包人未回复具体的审核价或双方对核价有争议时，承包人不得以核价等任何理由停工或拖延施工。若承包人停工或拖延施工的，由此导致的工期延误，由承包人自行承担，且承包人应按停工或拖延施工天数承担</w:t>
      </w:r>
      <w:r>
        <w:rPr>
          <w:rFonts w:eastAsia="宋体"/>
          <w:color w:val="auto"/>
          <w:sz w:val="24"/>
          <w:szCs w:val="24"/>
          <w:highlight w:val="none"/>
          <w:u w:val="single"/>
        </w:rPr>
        <w:t>10000元/天</w:t>
      </w:r>
      <w:r>
        <w:rPr>
          <w:rFonts w:eastAsia="宋体"/>
          <w:color w:val="auto"/>
          <w:sz w:val="24"/>
          <w:szCs w:val="24"/>
          <w:highlight w:val="none"/>
        </w:rPr>
        <w:t>的违约金。</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6）</w:t>
      </w:r>
      <w:r>
        <w:rPr>
          <w:rFonts w:ascii="Times New Roman" w:hAnsi="Times New Roman"/>
          <w:color w:val="auto"/>
          <w:kern w:val="0"/>
          <w:sz w:val="24"/>
          <w:szCs w:val="24"/>
          <w:highlight w:val="none"/>
        </w:rPr>
        <w:t>承包人应在签证实施完成后</w:t>
      </w:r>
      <w:r>
        <w:rPr>
          <w:rFonts w:ascii="Times New Roman" w:hAnsi="Times New Roman"/>
          <w:color w:val="auto"/>
          <w:kern w:val="0"/>
          <w:sz w:val="24"/>
          <w:szCs w:val="24"/>
          <w:highlight w:val="none"/>
          <w:u w:val="single"/>
        </w:rPr>
        <w:t>15天</w:t>
      </w:r>
      <w:r>
        <w:rPr>
          <w:rFonts w:ascii="Times New Roman" w:hAnsi="Times New Roman"/>
          <w:color w:val="auto"/>
          <w:kern w:val="0"/>
          <w:sz w:val="24"/>
          <w:szCs w:val="24"/>
          <w:highlight w:val="none"/>
        </w:rPr>
        <w:t>内向</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申报《工程签证完成确认表》，并附签证指令、完成验收确认资料、签证完成费用等资料。签证手续不完整、不及时的，发包人不予认可，不能作为结算依据；签证手续不得补办，若承包人在变更发生后超过15天（经发包人同意的特殊事项可相应延长15天）仍未办理签证申请，视为自动放弃此部分权利，费用增加部分结算时不再计取，费用减少部分经发包人核定后结算时予以扣减。同时,承包人每延迟1天申报完成确认的,按</w:t>
      </w:r>
      <w:r>
        <w:rPr>
          <w:rFonts w:ascii="Times New Roman" w:hAnsi="Times New Roman"/>
          <w:color w:val="auto"/>
          <w:kern w:val="0"/>
          <w:sz w:val="24"/>
          <w:szCs w:val="24"/>
          <w:highlight w:val="none"/>
          <w:u w:val="single"/>
        </w:rPr>
        <w:t>3000元/（天</w:t>
      </w:r>
      <w:r>
        <w:rPr>
          <w:rFonts w:hint="eastAsia" w:ascii="Times New Roman" w:hAnsi="Times New Roman"/>
          <w:color w:val="auto"/>
          <w:kern w:val="0"/>
          <w:sz w:val="24"/>
          <w:szCs w:val="24"/>
          <w:highlight w:val="none"/>
          <w:u w:val="single"/>
        </w:rPr>
        <w:t>*</w:t>
      </w:r>
      <w:r>
        <w:rPr>
          <w:rFonts w:ascii="Times New Roman" w:hAnsi="Times New Roman"/>
          <w:color w:val="auto"/>
          <w:kern w:val="0"/>
          <w:sz w:val="24"/>
          <w:szCs w:val="24"/>
          <w:highlight w:val="none"/>
          <w:u w:val="single"/>
        </w:rPr>
        <w:t>单）</w:t>
      </w:r>
      <w:r>
        <w:rPr>
          <w:rFonts w:ascii="Times New Roman" w:hAnsi="Times New Roman"/>
          <w:color w:val="auto"/>
          <w:kern w:val="0"/>
          <w:sz w:val="24"/>
          <w:szCs w:val="24"/>
          <w:highlight w:val="none"/>
        </w:rPr>
        <w:t>承担违约金,违约金上限为承包人自动放弃的签证增加费用。</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7）由</w:t>
      </w:r>
      <w:r>
        <w:rPr>
          <w:rFonts w:hint="eastAsia" w:ascii="Times New Roman" w:hAnsi="Times New Roman"/>
          <w:color w:val="auto"/>
          <w:kern w:val="0"/>
          <w:sz w:val="24"/>
          <w:szCs w:val="24"/>
          <w:highlight w:val="none"/>
          <w:lang w:val="en-US" w:eastAsia="zh-CN"/>
        </w:rPr>
        <w:t>发包人提供的市政路图纸中</w:t>
      </w:r>
      <w:r>
        <w:rPr>
          <w:rFonts w:ascii="Times New Roman" w:hAnsi="Times New Roman"/>
          <w:color w:val="auto"/>
          <w:kern w:val="0"/>
          <w:sz w:val="24"/>
          <w:szCs w:val="24"/>
          <w:highlight w:val="none"/>
        </w:rPr>
        <w:t>预留的</w:t>
      </w:r>
      <w:r>
        <w:rPr>
          <w:rFonts w:hint="eastAsia" w:ascii="Times New Roman" w:hAnsi="Times New Roman"/>
          <w:color w:val="auto"/>
          <w:kern w:val="0"/>
          <w:sz w:val="24"/>
          <w:szCs w:val="24"/>
          <w:highlight w:val="none"/>
          <w:lang w:val="en-US" w:eastAsia="zh-CN"/>
        </w:rPr>
        <w:t>接驳点位</w:t>
      </w:r>
      <w:r>
        <w:rPr>
          <w:rFonts w:ascii="Times New Roman" w:hAnsi="Times New Roman"/>
          <w:color w:val="auto"/>
          <w:kern w:val="0"/>
          <w:sz w:val="24"/>
          <w:szCs w:val="24"/>
          <w:highlight w:val="none"/>
        </w:rPr>
        <w:t>与承包人实际施工的专业工程图纸不符时，由承包人牵头组织查找、核验差异原因并提出解决建议</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书面报告</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，若非承包人原因导致的差异而需承包人发生打凿和修补，该部分产生的费用按合同关于工程签证的相关约定予以确认及计量。</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8）</w:t>
      </w:r>
      <w:r>
        <w:rPr>
          <w:rFonts w:ascii="Times New Roman" w:hAnsi="Times New Roman"/>
          <w:color w:val="auto"/>
          <w:kern w:val="0"/>
          <w:sz w:val="24"/>
          <w:szCs w:val="24"/>
          <w:highlight w:val="none"/>
        </w:rPr>
        <w:t>承包人须按专用条款第15条相关要求及时申报变更申请与变更完成确认资料，并按设计变更、现场签证、其他变更类别建立变更台账，载明变更编号、变更事项、变更原因、变更实施与完成日期、变更金额、变更依据等。承包人应在每月20日前将上月的变更台账抄报至</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并与发包人核对台账，但</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收到承包人变更台账的，并不视为对变更事项或金额的确认；若承包人未及时向</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抄报变更台账或台账存在严重质量问题或不配合核对台账的，视情节严重程度，承包人应向发包人按500~5000元/次支付违约金。</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9）</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代表或发包人现场工程师签署的现场确认变更资料应真实反映现场已完成的实际情况，营造做法内容完整、记录真实、说明详尽、文字表述无异议、图示尺寸准确。该类现场签署确认的变更资料，仅表明对实际发生事实的确认，变更计量计价原则应严格执行合同相关约定。</w:t>
      </w:r>
    </w:p>
    <w:p>
      <w:pPr>
        <w:pStyle w:val="2"/>
        <w:spacing w:line="360" w:lineRule="auto"/>
        <w:ind w:firstLine="480" w:firstLineChars="200"/>
        <w:rPr>
          <w:color w:val="auto"/>
          <w:highlight w:val="none"/>
        </w:rPr>
      </w:pPr>
      <w:r>
        <w:rPr>
          <w:rFonts w:hint="eastAsia"/>
          <w:color w:val="auto"/>
          <w:highlight w:val="none"/>
          <w:lang w:val="en-US" w:eastAsia="zh-CN"/>
        </w:rPr>
        <w:t>10）承包人</w:t>
      </w:r>
      <w:r>
        <w:rPr>
          <w:rFonts w:hint="eastAsia"/>
          <w:color w:val="auto"/>
          <w:highlight w:val="none"/>
        </w:rPr>
        <w:t>在收到设计变更资料后20</w:t>
      </w:r>
      <w:r>
        <w:rPr>
          <w:rFonts w:hint="eastAsia"/>
          <w:color w:val="auto"/>
          <w:highlight w:val="none"/>
          <w:lang w:val="en-US" w:eastAsia="zh-CN"/>
        </w:rPr>
        <w:t>个</w:t>
      </w:r>
      <w:r>
        <w:rPr>
          <w:rFonts w:hint="eastAsia"/>
          <w:color w:val="auto"/>
          <w:highlight w:val="none"/>
        </w:rPr>
        <w:t>日历天内按要求提交《工程核价申请单》及设计变更成本核价资料</w:t>
      </w:r>
      <w:r>
        <w:rPr>
          <w:rFonts w:hint="eastAsia"/>
          <w:color w:val="auto"/>
          <w:highlight w:val="none"/>
          <w:lang w:eastAsia="zh-CN"/>
        </w:rPr>
        <w:t>；</w:t>
      </w:r>
      <w:r>
        <w:rPr>
          <w:rFonts w:hint="eastAsia"/>
          <w:color w:val="auto"/>
          <w:highlight w:val="none"/>
          <w:lang w:val="en-US" w:eastAsia="zh-CN"/>
        </w:rPr>
        <w:t>承包人</w:t>
      </w:r>
      <w:r>
        <w:rPr>
          <w:rFonts w:hint="eastAsia"/>
          <w:color w:val="auto"/>
          <w:highlight w:val="none"/>
        </w:rPr>
        <w:t>在报送工程签证确认资料时，同时附上工程签证成本核价资料，相关时限要求按甲方要求执行</w:t>
      </w:r>
      <w:r>
        <w:rPr>
          <w:rFonts w:hint="eastAsia"/>
          <w:color w:val="auto"/>
          <w:highlight w:val="none"/>
          <w:lang w:eastAsia="zh-CN"/>
        </w:rPr>
        <w:t>；</w:t>
      </w:r>
      <w:r>
        <w:rPr>
          <w:rFonts w:hint="eastAsia"/>
          <w:color w:val="auto"/>
          <w:highlight w:val="none"/>
        </w:rPr>
        <w:t>签证变更资料需按</w:t>
      </w:r>
      <w:r>
        <w:rPr>
          <w:rFonts w:hint="eastAsia"/>
          <w:color w:val="auto"/>
          <w:highlight w:val="none"/>
          <w:lang w:val="en-US" w:eastAsia="zh-CN"/>
        </w:rPr>
        <w:t>甲方</w:t>
      </w:r>
      <w:r>
        <w:rPr>
          <w:rFonts w:hint="eastAsia"/>
          <w:color w:val="auto"/>
          <w:highlight w:val="none"/>
        </w:rPr>
        <w:t>“月清季结”管控要求执行，对于未能按时上报签证变更，甲方有权自行定价确认，乙方不得有异议。</w:t>
      </w:r>
    </w:p>
    <w:p>
      <w:pPr>
        <w:pStyle w:val="77"/>
        <w:spacing w:before="0" w:after="0"/>
        <w:ind w:firstLine="480"/>
        <w:rPr>
          <w:rFonts w:eastAsia="宋体"/>
          <w:b/>
          <w:color w:val="auto"/>
          <w:kern w:val="0"/>
          <w:szCs w:val="24"/>
          <w:highlight w:val="none"/>
        </w:rPr>
      </w:pPr>
      <w:r>
        <w:rPr>
          <w:rFonts w:hint="eastAsia" w:eastAsia="宋体"/>
          <w:bCs w:val="0"/>
          <w:color w:val="auto"/>
          <w:kern w:val="0"/>
          <w:szCs w:val="24"/>
          <w:highlight w:val="none"/>
        </w:rPr>
        <w:t xml:space="preserve">15.2.4. </w:t>
      </w:r>
      <w:r>
        <w:rPr>
          <w:rFonts w:eastAsia="宋体"/>
          <w:bCs w:val="0"/>
          <w:color w:val="auto"/>
          <w:kern w:val="0"/>
          <w:szCs w:val="24"/>
          <w:highlight w:val="none"/>
        </w:rPr>
        <w:t>变更程序其他约定（现场签证的变更程序按专用条款</w:t>
      </w:r>
      <w:r>
        <w:rPr>
          <w:rFonts w:hint="eastAsia" w:eastAsia="宋体"/>
          <w:bCs w:val="0"/>
          <w:color w:val="auto"/>
          <w:kern w:val="0"/>
          <w:szCs w:val="24"/>
          <w:highlight w:val="none"/>
        </w:rPr>
        <w:t>第</w:t>
      </w:r>
      <w:r>
        <w:rPr>
          <w:rFonts w:eastAsia="宋体"/>
          <w:bCs w:val="0"/>
          <w:color w:val="auto"/>
          <w:kern w:val="0"/>
          <w:szCs w:val="24"/>
          <w:highlight w:val="none"/>
        </w:rPr>
        <w:t>15.2.3</w:t>
      </w:r>
      <w:r>
        <w:rPr>
          <w:rFonts w:hint="eastAsia" w:eastAsia="宋体"/>
          <w:bCs w:val="0"/>
          <w:color w:val="auto"/>
          <w:kern w:val="0"/>
          <w:szCs w:val="24"/>
          <w:highlight w:val="none"/>
        </w:rPr>
        <w:t>款</w:t>
      </w:r>
      <w:r>
        <w:rPr>
          <w:rFonts w:eastAsia="宋体"/>
          <w:bCs w:val="0"/>
          <w:color w:val="auto"/>
          <w:kern w:val="0"/>
          <w:szCs w:val="24"/>
          <w:highlight w:val="none"/>
        </w:rPr>
        <w:t>约定执行）：</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 若因发包人原因发生上述变更，发包人应以书面形式通知承包人。若发包人要求承包人立刻实施变更的，承包人应无条件执行。承包人接到发包人的变更通知后有义务在10天内（变更较大时可征得发包人同意后适当延长）向发包人提交书面建议报告。</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承包人提交的书面建议报告中应包括但不限于：支持此项变更的理由、实施此项变更的工作内容、设备、材料、人力、机具、周转材料、消耗材料等资源消耗，以及相关管理费用和合理利润的估算。此项变更引起竣工日期延长时，应在报告中说明理由，并提交与此变更相关的进度计划。承包人未提交增加费用的估算及完工日期或竣工日期延长，视为该项变更不涉及合同价格调整和完工日期或竣工日期延长，发包人不再承担此项变更的任何费用及完工日期或竣工日期延长的责任。</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 如承包人不接受发包人变更通知中的变更时，建议报告中应包括不支持此项变更的理由，理由包括但不限于：</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（1）此变更不符合法律、法规等有关规定；</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（2）承包人难以取得变更所需的特殊设备、材料、部件；</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（3）承包人难以取得变更所需的工艺、技术；</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（4）变更将降低工程的安全性、稳定性、适用性；</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（5）对生产性能保证值、使用功能保证的实现产生不利影响等。</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发包人应在接到承包人提交的书面建议报告对此项报告给予审查</w:t>
      </w:r>
      <w:r>
        <w:rPr>
          <w:rFonts w:hint="eastAsia" w:ascii="宋体" w:hAnsi="宋体" w:cs="宋体"/>
          <w:color w:val="auto"/>
          <w:sz w:val="24"/>
          <w:szCs w:val="24"/>
          <w:highlight w:val="none"/>
        </w:rPr>
        <w:t>，</w:t>
      </w:r>
      <w:r>
        <w:rPr>
          <w:rFonts w:ascii="宋体" w:hAnsi="宋体" w:cs="宋体"/>
          <w:color w:val="auto"/>
          <w:sz w:val="24"/>
          <w:szCs w:val="24"/>
          <w:highlight w:val="none"/>
        </w:rPr>
        <w:t>审查完毕后</w:t>
      </w:r>
      <w:r>
        <w:rPr>
          <w:rFonts w:ascii="Times New Roman" w:hAnsi="Times New Roman"/>
          <w:color w:val="auto"/>
          <w:sz w:val="24"/>
          <w:szCs w:val="24"/>
          <w:highlight w:val="none"/>
        </w:rPr>
        <w:t>发出批准、撤销、改变、提出进一步要求的书面通知。承包人在等待发包人回复的时间内，不能停止或延误任何工作。发包人对承包人书面建议报告中的理由、估算、和（或）完工或竣工日期延长经发包人批准后，应以书面形式下达变更指令。</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 发包人对承包人提交的书面建议报告进行审查后，发出继续执行、改变、提出进一步补充资料的书面通知后，承包人应无条件予以执行。</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承包人在收到</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的变更指示后28天内向发包人提出变更工程价款的书面报告（格式应满足发包人管理要求），经</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书面审核批准，才能作为变更工程价款的结算依据。承包人在收到变更指示后28天内不提出变更工程价款报告，则视为默认该项变更不涉及合同价款的变更。但变更引起工程款减少的，发包人则有权从应支付的工程进度款或工程结算款中扣除。当承发包双方对变更核价有争议时，承包人应无条件按变更指令实施变更。</w:t>
      </w:r>
      <w:r>
        <w:rPr>
          <w:rFonts w:ascii="Times New Roman" w:hAnsi="Times New Roman"/>
          <w:b/>
          <w:bCs/>
          <w:color w:val="auto"/>
          <w:kern w:val="0"/>
          <w:sz w:val="24"/>
          <w:szCs w:val="24"/>
          <w:highlight w:val="none"/>
        </w:rPr>
        <w:t>承包人不得以核价等任何理由停工或拖延施工。</w:t>
      </w:r>
      <w:r>
        <w:rPr>
          <w:rFonts w:ascii="Times New Roman" w:hAnsi="Times New Roman"/>
          <w:color w:val="auto"/>
          <w:sz w:val="24"/>
          <w:szCs w:val="24"/>
          <w:highlight w:val="none"/>
        </w:rPr>
        <w:t>若承包人以核价争议等理由停工或拖延施工的，由此导致的工期延误，由承包人自行承担，且承包人应按停工或拖延施工天数承担10000元/天的违约金</w:t>
      </w:r>
      <w:r>
        <w:rPr>
          <w:rFonts w:ascii="Times New Roman" w:hAnsi="Times New Roman"/>
          <w:color w:val="auto"/>
          <w:kern w:val="0"/>
          <w:sz w:val="24"/>
          <w:szCs w:val="24"/>
          <w:highlight w:val="none"/>
        </w:rPr>
        <w:t>。</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变更实施完成后，承包人原则上应在28天内向发包人申报变更完成确认。经</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书面确认的变更完成确认价款，可并入最近一期工程进度款按进度款支付比例支付。当承发包双方对该阶段的变更核价仍有争议时，仅支付无争议部分的变更价款，争议部分待竣工结算时一并解决落实。</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如果承包人因施工现场情况、施工方法等原因，为便于组织施工或为了施工安全、避免干扰等原因需采取相应的技术措施而提出的施工组织措施等相关调整，除须得到</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的书面批准外，因此增加的费用由承包人自行承担。若该项调整导致本工程合同价款减少的，则发包人有权从应支付的工程进度款或工程结算款中扣除。</w:t>
      </w:r>
    </w:p>
    <w:p>
      <w:pPr>
        <w:spacing w:line="360" w:lineRule="auto"/>
        <w:ind w:firstLine="480" w:firstLineChars="200"/>
        <w:rPr>
          <w:rFonts w:ascii="Times New Roman" w:hAnsi="Times New Roman"/>
          <w:color w:val="auto"/>
          <w:kern w:val="0"/>
          <w:sz w:val="24"/>
          <w:szCs w:val="24"/>
          <w:highlight w:val="none"/>
          <w:u w:val="single"/>
        </w:rPr>
      </w:pPr>
      <w:r>
        <w:rPr>
          <w:rFonts w:ascii="Times New Roman" w:hAnsi="Times New Roman"/>
          <w:color w:val="auto"/>
          <w:sz w:val="24"/>
          <w:szCs w:val="24"/>
          <w:highlight w:val="none"/>
        </w:rPr>
        <w:t>9）如果发包人发出的变更指令是由于承包人的设计、采购、施工、调试等过错或承包人违反合同等造成的，工期不予顺延，导致工程款减少的，则发包人有权从应支付的工程进度款或工程结算款中扣除，因此引起的任何额外费用除由承包人自行承担外，还应赔偿因此造成发包人的实际经济损失，同时承包人应承担对应的违约责任。</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bCs/>
          <w:color w:val="auto"/>
          <w:sz w:val="24"/>
          <w:szCs w:val="24"/>
          <w:highlight w:val="none"/>
        </w:rPr>
        <w:t>15.4. 不予办理变更或签证的情形</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下列情形的工作内容不予办理工程变更或工程签证：</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1）招标文件及施工合同约定或已包括在合同价款内应由承包人自行承担的；</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2）承包人在投标文件中承诺自行承担的或投标时应预见的风险；</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3）非发包人原因，承包人为了便于组织施工需采取的技术措施的变更或临时工程变更；</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4）由承包人责任造成的工程量增加；</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5）法律、法规、规章规定不能办理的。</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238" w:name="_Toc44492600"/>
      <w:bookmarkStart w:id="1239" w:name="_Toc44228168"/>
      <w:bookmarkStart w:id="1240" w:name="_Toc5484"/>
      <w:bookmarkStart w:id="1241" w:name="_Toc38987285"/>
      <w:bookmarkStart w:id="1242" w:name="_Toc16572"/>
      <w:bookmarkStart w:id="1243" w:name="_Toc27085"/>
      <w:bookmarkStart w:id="1244" w:name="_Toc22571"/>
      <w:bookmarkStart w:id="1245" w:name="_Toc27433"/>
      <w:bookmarkStart w:id="1246" w:name="_Toc24599"/>
      <w:r>
        <w:rPr>
          <w:rFonts w:eastAsia="宋体"/>
          <w:color w:val="auto"/>
          <w:sz w:val="24"/>
          <w:szCs w:val="24"/>
          <w:highlight w:val="none"/>
        </w:rPr>
        <w:t>价格调整</w:t>
      </w:r>
      <w:bookmarkEnd w:id="1238"/>
      <w:bookmarkEnd w:id="1239"/>
      <w:bookmarkEnd w:id="1240"/>
      <w:bookmarkEnd w:id="1241"/>
      <w:bookmarkEnd w:id="1242"/>
      <w:bookmarkEnd w:id="1243"/>
      <w:bookmarkEnd w:id="1244"/>
      <w:bookmarkEnd w:id="1245"/>
      <w:bookmarkEnd w:id="1246"/>
    </w:p>
    <w:p>
      <w:pPr>
        <w:spacing w:line="360" w:lineRule="auto"/>
        <w:ind w:firstLine="480" w:firstLineChars="200"/>
        <w:rPr>
          <w:rFonts w:ascii="Times New Roman" w:hAnsi="Times New Roman"/>
          <w:color w:val="auto"/>
          <w:szCs w:val="24"/>
          <w:highlight w:val="none"/>
        </w:rPr>
      </w:pPr>
      <w:r>
        <w:rPr>
          <w:rFonts w:ascii="Times New Roman" w:hAnsi="Times New Roman"/>
          <w:color w:val="auto"/>
          <w:kern w:val="0"/>
          <w:sz w:val="24"/>
          <w:szCs w:val="24"/>
          <w:highlight w:val="none"/>
        </w:rPr>
        <w:t>16.1</w:t>
      </w:r>
      <w:r>
        <w:rPr>
          <w:rFonts w:hint="eastAsia" w:ascii="Times New Roman" w:hAnsi="Times New Roman"/>
          <w:color w:val="auto"/>
          <w:kern w:val="0"/>
          <w:sz w:val="24"/>
          <w:szCs w:val="24"/>
          <w:highlight w:val="none"/>
        </w:rPr>
        <w:t xml:space="preserve">. </w:t>
      </w:r>
      <w:r>
        <w:rPr>
          <w:rFonts w:ascii="Times New Roman" w:hAnsi="Times New Roman"/>
          <w:color w:val="auto"/>
          <w:kern w:val="0"/>
          <w:sz w:val="24"/>
          <w:szCs w:val="24"/>
          <w:highlight w:val="none"/>
        </w:rPr>
        <w:t>物价波动引起的价格调整</w:t>
      </w:r>
      <w:r>
        <w:rPr>
          <w:rFonts w:hint="eastAsia" w:ascii="Times New Roman" w:hAnsi="Times New Roman"/>
          <w:color w:val="auto"/>
          <w:kern w:val="0"/>
          <w:sz w:val="24"/>
          <w:szCs w:val="24"/>
          <w:highlight w:val="none"/>
        </w:rPr>
        <w:t>：</w:t>
      </w:r>
      <w:r>
        <w:rPr>
          <w:rFonts w:ascii="Times New Roman" w:hAnsi="Times New Roman"/>
          <w:color w:val="auto"/>
          <w:sz w:val="24"/>
          <w:szCs w:val="24"/>
          <w:highlight w:val="none"/>
        </w:rPr>
        <w:t>合同价格不因物价波动进行调整</w:t>
      </w:r>
      <w:r>
        <w:rPr>
          <w:rFonts w:hint="eastAsia" w:ascii="Times New Roman" w:hAnsi="Times New Roman"/>
          <w:color w:val="auto"/>
          <w:sz w:val="24"/>
          <w:szCs w:val="24"/>
          <w:highlight w:val="none"/>
        </w:rPr>
        <w:t>。</w:t>
      </w:r>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16.1.1</w:t>
      </w:r>
      <w:r>
        <w:rPr>
          <w:rFonts w:hint="eastAsia" w:ascii="Times New Roman" w:hAnsi="Times New Roman"/>
          <w:color w:val="auto"/>
          <w:kern w:val="0"/>
          <w:sz w:val="24"/>
          <w:szCs w:val="24"/>
          <w:highlight w:val="none"/>
        </w:rPr>
        <w:t xml:space="preserve">. </w:t>
      </w:r>
      <w:r>
        <w:rPr>
          <w:rFonts w:ascii="Times New Roman" w:hAnsi="Times New Roman"/>
          <w:color w:val="auto"/>
          <w:kern w:val="0"/>
          <w:sz w:val="24"/>
          <w:szCs w:val="24"/>
          <w:highlight w:val="none"/>
        </w:rPr>
        <w:t>信息价是</w:t>
      </w:r>
      <w:r>
        <w:rPr>
          <w:rFonts w:hint="eastAsia" w:ascii="宋体" w:hAnsi="宋体" w:cs="宋体"/>
          <w:color w:val="auto"/>
          <w:sz w:val="24"/>
          <w:szCs w:val="24"/>
          <w:highlight w:val="none"/>
          <w:u w:val="single" w:color="FF0000"/>
        </w:rPr>
        <w:t>江门市</w:t>
      </w:r>
      <w:r>
        <w:rPr>
          <w:rFonts w:ascii="Times New Roman" w:hAnsi="Times New Roman"/>
          <w:color w:val="auto"/>
          <w:kern w:val="0"/>
          <w:sz w:val="24"/>
          <w:szCs w:val="24"/>
          <w:highlight w:val="none"/>
        </w:rPr>
        <w:t>造价管理机构发布的价格</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是指</w:t>
      </w:r>
      <w:r>
        <w:rPr>
          <w:rFonts w:hint="eastAsia" w:ascii="宋体" w:hAnsi="宋体" w:cs="宋体"/>
          <w:color w:val="auto"/>
          <w:sz w:val="24"/>
          <w:szCs w:val="24"/>
          <w:highlight w:val="none"/>
          <w:u w:val="single" w:color="FF0000"/>
        </w:rPr>
        <w:t>江门</w:t>
      </w:r>
      <w:r>
        <w:rPr>
          <w:rFonts w:hint="eastAsia" w:ascii="Times New Roman" w:hAnsi="Times New Roman"/>
          <w:color w:val="auto"/>
          <w:kern w:val="0"/>
          <w:sz w:val="24"/>
          <w:szCs w:val="24"/>
          <w:highlight w:val="none"/>
        </w:rPr>
        <w:t>市</w:t>
      </w:r>
      <w:r>
        <w:rPr>
          <w:rFonts w:ascii="Times New Roman" w:hAnsi="Times New Roman"/>
          <w:color w:val="auto"/>
          <w:kern w:val="0"/>
          <w:sz w:val="24"/>
          <w:szCs w:val="24"/>
          <w:highlight w:val="none"/>
        </w:rPr>
        <w:t>建设工程造价管理站发布在《</w:t>
      </w:r>
      <w:r>
        <w:rPr>
          <w:rFonts w:hint="eastAsia" w:ascii="宋体" w:hAnsi="宋体" w:cs="宋体"/>
          <w:color w:val="auto"/>
          <w:sz w:val="24"/>
          <w:szCs w:val="24"/>
          <w:highlight w:val="none"/>
          <w:u w:val="single" w:color="FF0000"/>
        </w:rPr>
        <w:t xml:space="preserve"> / </w:t>
      </w:r>
      <w:r>
        <w:rPr>
          <w:rFonts w:hint="eastAsia" w:ascii="Times New Roman" w:hAnsi="Times New Roman"/>
          <w:color w:val="auto"/>
          <w:kern w:val="0"/>
          <w:sz w:val="24"/>
          <w:szCs w:val="24"/>
          <w:highlight w:val="none"/>
        </w:rPr>
        <w:t>市</w:t>
      </w:r>
      <w:r>
        <w:rPr>
          <w:rFonts w:hint="eastAsia" w:ascii="宋体" w:hAnsi="宋体" w:cs="宋体"/>
          <w:color w:val="auto"/>
          <w:sz w:val="24"/>
          <w:szCs w:val="24"/>
          <w:highlight w:val="none"/>
          <w:u w:val="single" w:color="FF0000"/>
        </w:rPr>
        <w:t xml:space="preserve"> / </w:t>
      </w:r>
      <w:r>
        <w:rPr>
          <w:rFonts w:ascii="Times New Roman" w:hAnsi="Times New Roman"/>
          <w:color w:val="auto"/>
          <w:kern w:val="0"/>
          <w:sz w:val="24"/>
          <w:szCs w:val="24"/>
          <w:highlight w:val="none"/>
        </w:rPr>
        <w:t>年</w:t>
      </w:r>
      <w:r>
        <w:rPr>
          <w:rFonts w:hint="eastAsia" w:ascii="宋体" w:hAnsi="宋体" w:cs="宋体"/>
          <w:color w:val="auto"/>
          <w:sz w:val="24"/>
          <w:szCs w:val="24"/>
          <w:highlight w:val="none"/>
          <w:u w:val="single" w:color="FF0000"/>
        </w:rPr>
        <w:t xml:space="preserve"> / </w:t>
      </w:r>
      <w:r>
        <w:rPr>
          <w:rFonts w:ascii="Times New Roman" w:hAnsi="Times New Roman"/>
          <w:color w:val="auto"/>
          <w:kern w:val="0"/>
          <w:sz w:val="24"/>
          <w:szCs w:val="24"/>
          <w:highlight w:val="none"/>
        </w:rPr>
        <w:t>月份建筑工程材料市场参考价》上的每个月度的材料价格。</w:t>
      </w:r>
      <w:r>
        <w:rPr>
          <w:rFonts w:hint="eastAsia" w:ascii="Times New Roman" w:hAnsi="Times New Roman"/>
          <w:color w:val="auto"/>
          <w:kern w:val="0"/>
          <w:sz w:val="24"/>
          <w:szCs w:val="24"/>
          <w:highlight w:val="none"/>
        </w:rPr>
        <w:t>（不适用）</w:t>
      </w:r>
    </w:p>
    <w:p>
      <w:pPr>
        <w:widowControl/>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16.1.2. </w:t>
      </w:r>
      <w:r>
        <w:rPr>
          <w:rFonts w:ascii="Times New Roman" w:hAnsi="Times New Roman"/>
          <w:color w:val="auto"/>
          <w:kern w:val="0"/>
          <w:sz w:val="24"/>
          <w:szCs w:val="24"/>
          <w:highlight w:val="none"/>
        </w:rPr>
        <w:t>价格调整范围：合同履行期间除</w:t>
      </w:r>
      <w:r>
        <w:rPr>
          <w:rFonts w:hint="eastAsia" w:ascii="Times New Roman" w:hAnsi="Times New Roman"/>
          <w:color w:val="auto"/>
          <w:kern w:val="0"/>
          <w:sz w:val="24"/>
          <w:szCs w:val="24"/>
          <w:highlight w:val="none"/>
        </w:rPr>
        <w:t>水泥、商品砂浆、电缆</w:t>
      </w:r>
      <w:r>
        <w:rPr>
          <w:rFonts w:ascii="Times New Roman" w:hAnsi="Times New Roman"/>
          <w:color w:val="auto"/>
          <w:kern w:val="0"/>
          <w:sz w:val="24"/>
          <w:szCs w:val="24"/>
          <w:highlight w:val="none"/>
        </w:rPr>
        <w:t>外，其他人工、材料、机械等物价的涨跌风险费用已包含在本合同</w:t>
      </w:r>
      <w:r>
        <w:rPr>
          <w:rFonts w:hint="eastAsia" w:ascii="Times New Roman" w:hAnsi="Times New Roman"/>
          <w:color w:val="auto"/>
          <w:kern w:val="0"/>
          <w:sz w:val="24"/>
          <w:szCs w:val="24"/>
          <w:highlight w:val="none"/>
        </w:rPr>
        <w:t>单价</w:t>
      </w:r>
      <w:r>
        <w:rPr>
          <w:rFonts w:ascii="Times New Roman" w:hAnsi="Times New Roman"/>
          <w:color w:val="auto"/>
          <w:kern w:val="0"/>
          <w:sz w:val="24"/>
          <w:szCs w:val="24"/>
          <w:highlight w:val="none"/>
        </w:rPr>
        <w:t>内，不因物价涨跌因素而调整合同价款。承包人原因导致的暂停施工、工期延误期间施工项目物价波动引起的全部涨价风险费用由承包人自行承担，合同价格不予调整；该期间的全部跌价收益归发包人所有，据实调整合同价格。调整价差仅按合同清单的税率计取增值税税金，不计管理费、利润等；投标报价时采用独立费计价方式的子目（即未按定额计价标准套用对应定额的子目），不适用以下调价方法。</w:t>
      </w:r>
      <w:r>
        <w:rPr>
          <w:rFonts w:hint="eastAsia" w:ascii="Times New Roman" w:hAnsi="Times New Roman"/>
          <w:color w:val="auto"/>
          <w:kern w:val="0"/>
          <w:sz w:val="24"/>
          <w:szCs w:val="24"/>
          <w:highlight w:val="none"/>
        </w:rPr>
        <w:t>（不适用）</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 xml:space="preserve">16.1.3. </w:t>
      </w:r>
      <w:r>
        <w:rPr>
          <w:rFonts w:ascii="Times New Roman" w:hAnsi="Times New Roman"/>
          <w:color w:val="auto"/>
          <w:kern w:val="0"/>
          <w:sz w:val="24"/>
          <w:szCs w:val="24"/>
          <w:highlight w:val="none"/>
        </w:rPr>
        <w:t>价格调整方法</w:t>
      </w:r>
      <w:r>
        <w:rPr>
          <w:rFonts w:hint="eastAsia" w:ascii="Times New Roman" w:hAnsi="Times New Roman"/>
          <w:color w:val="auto"/>
          <w:kern w:val="0"/>
          <w:sz w:val="24"/>
          <w:szCs w:val="24"/>
          <w:highlight w:val="none"/>
        </w:rPr>
        <w:t>（不适用）</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（1）价格调整基准</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sym w:font="Wingdings 2" w:char="F06A"/>
      </w:r>
      <w:r>
        <w:rPr>
          <w:rFonts w:ascii="Times New Roman" w:hAnsi="Times New Roman"/>
          <w:color w:val="auto"/>
          <w:kern w:val="0"/>
          <w:sz w:val="24"/>
          <w:szCs w:val="24"/>
          <w:highlight w:val="none"/>
        </w:rPr>
        <w:t>基准月：为</w:t>
      </w:r>
      <w:r>
        <w:rPr>
          <w:rFonts w:hint="eastAsia" w:ascii="宋体" w:hAnsi="宋体" w:cs="宋体"/>
          <w:color w:val="auto"/>
          <w:sz w:val="24"/>
          <w:szCs w:val="24"/>
          <w:highlight w:val="none"/>
          <w:u w:val="single" w:color="FF0000"/>
        </w:rPr>
        <w:t xml:space="preserve"> / </w:t>
      </w:r>
      <w:r>
        <w:rPr>
          <w:rFonts w:ascii="Times New Roman" w:hAnsi="Times New Roman"/>
          <w:color w:val="auto"/>
          <w:kern w:val="0"/>
          <w:sz w:val="24"/>
          <w:szCs w:val="24"/>
          <w:highlight w:val="none"/>
        </w:rPr>
        <w:t>年</w:t>
      </w:r>
      <w:r>
        <w:rPr>
          <w:rFonts w:hint="eastAsia" w:ascii="宋体" w:hAnsi="宋体" w:cs="宋体"/>
          <w:color w:val="auto"/>
          <w:sz w:val="24"/>
          <w:szCs w:val="24"/>
          <w:highlight w:val="none"/>
          <w:u w:val="single" w:color="FF0000"/>
        </w:rPr>
        <w:t xml:space="preserve"> / </w:t>
      </w:r>
      <w:r>
        <w:rPr>
          <w:rFonts w:ascii="Times New Roman" w:hAnsi="Times New Roman"/>
          <w:color w:val="auto"/>
          <w:kern w:val="0"/>
          <w:sz w:val="24"/>
          <w:szCs w:val="24"/>
          <w:highlight w:val="none"/>
        </w:rPr>
        <w:t>月，即招标公示的招标控制价中信息价采用的月度；当答疑补遗环节招标控制价中信息价月度有调整的，基准月相应调整；当招标控制价中信息价采用季度价格的，基准月相应调整为基准季。</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sym w:font="Wingdings 2" w:char="F06B"/>
      </w:r>
      <w:r>
        <w:rPr>
          <w:rFonts w:ascii="Times New Roman" w:hAnsi="Times New Roman"/>
          <w:color w:val="auto"/>
          <w:kern w:val="0"/>
          <w:sz w:val="24"/>
          <w:szCs w:val="24"/>
          <w:highlight w:val="none"/>
        </w:rPr>
        <w:t>基准价：即判断物价波动幅度的基本标准价格；调价材料的基准价为基准月信息价中对应材料单价。</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sym w:font="Wingdings 2" w:char="F06C"/>
      </w:r>
      <w:r>
        <w:rPr>
          <w:rFonts w:ascii="Times New Roman" w:hAnsi="Times New Roman"/>
          <w:color w:val="auto"/>
          <w:kern w:val="0"/>
          <w:sz w:val="24"/>
          <w:szCs w:val="24"/>
          <w:highlight w:val="none"/>
        </w:rPr>
        <w:t>调价材料的价格调整基数：指已标价工程量清单中对应调价材料净下浮后的不含税单价，若投标时该分部分项子目的净下浮设置为该子目综合净下浮或对应材料消耗量净下浮的，均按对应材料价格的净下浮计算。若已标价工程量清单中对应的调价材料单价大于基准月信息价价格的，当价格波动上涨时取净下浮后的基准月信息价为价格调整基数，当价格波动下跌时取净下浮后的投标材料单价为价格调整基数；若已标价工程量清单中对应的调价材料单价小于或等于基准月信息价价格的，无论价格波动涨跌，均按净下浮后的投标材料单价计取，即已标价工程量清单中对应调价材料净下浮后的不含税单价。</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sym w:font="Wingdings 2" w:char="F06D"/>
      </w:r>
      <w:r>
        <w:rPr>
          <w:rFonts w:ascii="Times New Roman" w:hAnsi="Times New Roman"/>
          <w:color w:val="auto"/>
          <w:kern w:val="0"/>
          <w:sz w:val="24"/>
          <w:szCs w:val="24"/>
          <w:highlight w:val="none"/>
        </w:rPr>
        <w:t>当已标价工程量清单存在严重不平衡报价的，应按本合同约定首先修订不平衡报价。</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价格调整计量区间：自实际开工日起至实际竣工日止，承包人实际完成的合格清单工程量；清单工程量指按清单计量原则（含招标清单中的工程量清单编制说明）计算的工程量，不含调价材料对应的消耗量。价格调整计量区间内各调价周期汇总工程量与经发包人确认的竣工结算工程量有差异的，差异工程量执行实际竣工前最后一个价格调整计量周期的价格涨幅调整标准，在竣工结算时一并调整。</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价格调整幅度及风险分担：当价格调整计量周期内的信息价（计量周期跨月时取月算术平均价格）与基准价相比，涨跌幅度在±5%（含本数）以内时，价格涨跌风险承发包双方各自自行承担，合同价格不予调整；当涨跌幅度在±5%（含本数）以外时，超过±5%且在价格调整范围内的的价格涨跌风险</w:t>
      </w:r>
      <w:r>
        <w:rPr>
          <w:rFonts w:hint="eastAsia" w:ascii="Times New Roman" w:hAnsi="Times New Roman"/>
          <w:color w:val="auto"/>
          <w:kern w:val="0"/>
          <w:sz w:val="24"/>
          <w:szCs w:val="24"/>
          <w:highlight w:val="none"/>
        </w:rPr>
        <w:t>或权益</w:t>
      </w:r>
      <w:r>
        <w:rPr>
          <w:rFonts w:ascii="Times New Roman" w:hAnsi="Times New Roman"/>
          <w:color w:val="auto"/>
          <w:kern w:val="0"/>
          <w:sz w:val="24"/>
          <w:szCs w:val="24"/>
          <w:highlight w:val="none"/>
        </w:rPr>
        <w:t>由发包人承担</w:t>
      </w:r>
      <w:r>
        <w:rPr>
          <w:rFonts w:hint="eastAsia" w:ascii="Times New Roman" w:hAnsi="Times New Roman"/>
          <w:color w:val="auto"/>
          <w:kern w:val="0"/>
          <w:sz w:val="24"/>
          <w:szCs w:val="24"/>
          <w:highlight w:val="none"/>
        </w:rPr>
        <w:t>或享有</w:t>
      </w:r>
      <w:r>
        <w:rPr>
          <w:rFonts w:ascii="Times New Roman" w:hAnsi="Times New Roman"/>
          <w:color w:val="auto"/>
          <w:kern w:val="0"/>
          <w:sz w:val="24"/>
          <w:szCs w:val="24"/>
          <w:highlight w:val="none"/>
        </w:rPr>
        <w:t>，合同价格调整额按专用条款16.1.4价格调整公式计算。</w:t>
      </w:r>
    </w:p>
    <w:p>
      <w:pPr>
        <w:widowControl/>
        <w:spacing w:line="360" w:lineRule="auto"/>
        <w:ind w:firstLine="480" w:firstLineChars="200"/>
        <w:rPr>
          <w:rFonts w:ascii="Times New Roman" w:hAnsi="Times New Roman"/>
          <w:color w:val="auto"/>
          <w:sz w:val="24"/>
          <w:szCs w:val="24"/>
          <w:highlight w:val="none"/>
        </w:rPr>
      </w:pPr>
      <w:r>
        <w:rPr>
          <w:rFonts w:ascii="Times New Roman" w:hAnsi="Times New Roman"/>
          <w:color w:val="auto"/>
          <w:kern w:val="0"/>
          <w:sz w:val="24"/>
          <w:szCs w:val="24"/>
          <w:highlight w:val="none"/>
        </w:rPr>
        <w:t>（4）价格调整计量及支付周期：调价计量周期设置同实际开工至实际竣工期间的工程进度款支付节点（不含预付款、绿色施工安全防护措施预付款、总承包服务费支付、工人工资支付的节点）；调价支付周期与比例同工程款支付约定。</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16.1.4</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 xml:space="preserve"> 价格调整公式</w:t>
      </w:r>
      <w:r>
        <w:rPr>
          <w:rFonts w:hint="eastAsia" w:ascii="Times New Roman" w:hAnsi="Times New Roman"/>
          <w:color w:val="auto"/>
          <w:kern w:val="0"/>
          <w:sz w:val="24"/>
          <w:szCs w:val="24"/>
          <w:highlight w:val="none"/>
        </w:rPr>
        <w:t>（不适用）</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（一）物价波动引起的调差范围内材料价格调整</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合同价格调整额=Σ价格调整计量周期内承包人实际完成的合格清单工程量×调价材料的价格调整基数×﹛﹝（价格调整计量周期内对应调价材料信息价的算术平均值/基准价）-1﹞±5%﹜×（1+工程量清单税率）；当涨价时“±”取“-”，当跌价时“±”取“﹢”。</w:t>
      </w:r>
    </w:p>
    <w:p>
      <w:pPr>
        <w:widowControl/>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（二）当连续施工时，中间各价格调整计量周期的月信息价按取头不取尾的原则执行，不得出现同一月份分别计算在两个连续价格调整计量周期的情形。</w:t>
      </w:r>
    </w:p>
    <w:p>
      <w:pPr>
        <w:adjustRightInd w:val="0"/>
        <w:snapToGrid w:val="0"/>
        <w:spacing w:line="360" w:lineRule="auto"/>
        <w:ind w:firstLine="480" w:firstLineChars="200"/>
        <w:rPr>
          <w:rFonts w:ascii="Times New Roman" w:hAnsi="Times New Roman"/>
          <w:snapToGrid w:val="0"/>
          <w:color w:val="auto"/>
          <w:kern w:val="0"/>
          <w:sz w:val="24"/>
          <w:szCs w:val="24"/>
          <w:highlight w:val="none"/>
        </w:rPr>
      </w:pPr>
      <w:r>
        <w:rPr>
          <w:rFonts w:ascii="Times New Roman" w:hAnsi="Times New Roman"/>
          <w:color w:val="auto"/>
          <w:kern w:val="0"/>
          <w:sz w:val="24"/>
          <w:szCs w:val="24"/>
          <w:highlight w:val="none"/>
        </w:rPr>
        <w:t>（</w:t>
      </w:r>
      <w:r>
        <w:rPr>
          <w:rFonts w:hint="eastAsia" w:ascii="Times New Roman" w:hAnsi="Times New Roman"/>
          <w:color w:val="auto"/>
          <w:kern w:val="0"/>
          <w:sz w:val="24"/>
          <w:szCs w:val="24"/>
          <w:highlight w:val="none"/>
        </w:rPr>
        <w:t>三</w:t>
      </w:r>
      <w:r>
        <w:rPr>
          <w:rFonts w:ascii="Times New Roman" w:hAnsi="Times New Roman"/>
          <w:color w:val="auto"/>
          <w:kern w:val="0"/>
          <w:sz w:val="24"/>
          <w:szCs w:val="24"/>
          <w:highlight w:val="none"/>
        </w:rPr>
        <w:t>）专用条款第16.1.4条第（一）款的调价材料</w:t>
      </w:r>
      <w:r>
        <w:rPr>
          <w:rFonts w:hint="eastAsia" w:ascii="Times New Roman" w:hAnsi="Times New Roman"/>
          <w:color w:val="auto"/>
          <w:kern w:val="0"/>
          <w:sz w:val="24"/>
          <w:szCs w:val="24"/>
          <w:highlight w:val="none"/>
        </w:rPr>
        <w:t>：</w:t>
      </w:r>
      <w:r>
        <w:rPr>
          <w:rFonts w:ascii="Times New Roman" w:hAnsi="Times New Roman"/>
          <w:color w:val="auto"/>
          <w:sz w:val="24"/>
          <w:szCs w:val="24"/>
          <w:highlight w:val="none"/>
          <w:u w:val="single"/>
        </w:rPr>
        <w:t>电缆按其原材料铜的价格涨幅计算材料价差，铜价涨跌幅度在</w:t>
      </w:r>
      <w:r>
        <w:rPr>
          <w:rFonts w:ascii="Times New Roman" w:hAnsi="Times New Roman"/>
          <w:color w:val="auto"/>
          <w:kern w:val="0"/>
          <w:sz w:val="24"/>
          <w:szCs w:val="24"/>
          <w:highlight w:val="none"/>
        </w:rPr>
        <w:t>±</w:t>
      </w:r>
      <w:r>
        <w:rPr>
          <w:rFonts w:ascii="Times New Roman" w:hAnsi="Times New Roman"/>
          <w:color w:val="auto"/>
          <w:sz w:val="24"/>
          <w:szCs w:val="24"/>
          <w:highlight w:val="none"/>
          <w:u w:val="single"/>
        </w:rPr>
        <w:t>5%以内（含5%）的，不予调整合同价款；铜价涨跌幅度超过</w:t>
      </w:r>
      <w:r>
        <w:rPr>
          <w:rFonts w:ascii="Times New Roman" w:hAnsi="Times New Roman"/>
          <w:color w:val="auto"/>
          <w:kern w:val="0"/>
          <w:sz w:val="24"/>
          <w:szCs w:val="24"/>
          <w:highlight w:val="none"/>
        </w:rPr>
        <w:t>±</w:t>
      </w:r>
      <w:r>
        <w:rPr>
          <w:rFonts w:ascii="Times New Roman" w:hAnsi="Times New Roman"/>
          <w:color w:val="auto"/>
          <w:sz w:val="24"/>
          <w:szCs w:val="24"/>
          <w:highlight w:val="none"/>
          <w:u w:val="single"/>
        </w:rPr>
        <w:t>5%时，超过</w:t>
      </w:r>
      <w:r>
        <w:rPr>
          <w:rFonts w:ascii="Times New Roman" w:hAnsi="Times New Roman"/>
          <w:color w:val="auto"/>
          <w:kern w:val="0"/>
          <w:sz w:val="24"/>
          <w:szCs w:val="24"/>
          <w:highlight w:val="none"/>
          <w:u w:val="single"/>
        </w:rPr>
        <w:t>部分</w:t>
      </w:r>
      <w:r>
        <w:rPr>
          <w:rFonts w:ascii="Times New Roman" w:hAnsi="Times New Roman"/>
          <w:color w:val="auto"/>
          <w:sz w:val="24"/>
          <w:szCs w:val="24"/>
          <w:highlight w:val="none"/>
          <w:u w:val="single"/>
        </w:rPr>
        <w:t>可以调整合同价款。电缆原材料铜的价格以上海有色金属网公布的当月铜价的算术平均值为准替代上述公式中的对应信息价。电缆每米铜重量（单位kg/m）=线缆截面积*铜密度/1000，铜密度为8.9吨/m</w:t>
      </w:r>
      <w:r>
        <w:rPr>
          <w:rFonts w:ascii="Times New Roman" w:hAnsi="Times New Roman"/>
          <w:color w:val="auto"/>
          <w:sz w:val="24"/>
          <w:szCs w:val="24"/>
          <w:highlight w:val="none"/>
          <w:u w:val="single"/>
          <w:vertAlign w:val="superscript"/>
        </w:rPr>
        <w:t>3</w:t>
      </w:r>
      <w:r>
        <w:rPr>
          <w:rFonts w:ascii="Times New Roman" w:hAnsi="Times New Roman"/>
          <w:color w:val="auto"/>
          <w:sz w:val="24"/>
          <w:szCs w:val="24"/>
          <w:highlight w:val="none"/>
          <w:u w:val="single"/>
        </w:rPr>
        <w:t>。</w:t>
      </w:r>
    </w:p>
    <w:p>
      <w:pPr>
        <w:adjustRightInd w:val="0"/>
        <w:snapToGrid w:val="0"/>
        <w:spacing w:line="360" w:lineRule="auto"/>
        <w:ind w:firstLine="480" w:firstLineChars="200"/>
        <w:rPr>
          <w:rFonts w:ascii="Times New Roman" w:hAnsi="Times New Roman"/>
          <w:snapToGrid w:val="0"/>
          <w:color w:val="auto"/>
          <w:kern w:val="0"/>
          <w:sz w:val="24"/>
          <w:szCs w:val="24"/>
          <w:highlight w:val="none"/>
        </w:rPr>
      </w:pPr>
      <w:r>
        <w:rPr>
          <w:rFonts w:ascii="Times New Roman" w:hAnsi="Times New Roman"/>
          <w:color w:val="auto"/>
          <w:sz w:val="24"/>
          <w:szCs w:val="24"/>
          <w:highlight w:val="none"/>
        </w:rPr>
        <w:t>16.1.5</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其他约定事项：</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u w:val="single"/>
        </w:rPr>
        <w:t>/</w:t>
      </w:r>
      <w:r>
        <w:rPr>
          <w:rFonts w:hint="eastAsia" w:ascii="Times New Roman" w:hAnsi="Times New Roman"/>
          <w:color w:val="auto"/>
          <w:sz w:val="24"/>
          <w:szCs w:val="24"/>
          <w:highlight w:val="none"/>
          <w:u w:val="single"/>
        </w:rPr>
        <w:t xml:space="preserve"> </w:t>
      </w:r>
      <w:r>
        <w:rPr>
          <w:rFonts w:ascii="Times New Roman" w:hAnsi="Times New Roman"/>
          <w:color w:val="auto"/>
          <w:sz w:val="24"/>
          <w:szCs w:val="24"/>
          <w:highlight w:val="none"/>
        </w:rPr>
        <w:t>。</w:t>
      </w:r>
      <w:r>
        <w:rPr>
          <w:rFonts w:ascii="Times New Roman" w:hAnsi="Times New Roman"/>
          <w:bCs/>
          <w:color w:val="auto"/>
          <w:kern w:val="0"/>
          <w:sz w:val="24"/>
          <w:szCs w:val="24"/>
          <w:highlight w:val="none"/>
        </w:rPr>
        <w:t xml:space="preserve">                                                           </w:t>
      </w:r>
    </w:p>
    <w:p>
      <w:pPr>
        <w:pStyle w:val="77"/>
        <w:spacing w:before="0" w:after="0"/>
        <w:ind w:firstLine="480"/>
        <w:rPr>
          <w:rFonts w:eastAsia="宋体"/>
          <w:color w:val="auto"/>
          <w:szCs w:val="24"/>
          <w:highlight w:val="none"/>
        </w:rPr>
      </w:pPr>
      <w:bookmarkStart w:id="1247" w:name="_Toc44492602"/>
      <w:bookmarkStart w:id="1248" w:name="_Toc21708"/>
      <w:bookmarkStart w:id="1249" w:name="_Toc511"/>
      <w:r>
        <w:rPr>
          <w:rFonts w:eastAsia="宋体"/>
          <w:color w:val="auto"/>
          <w:szCs w:val="24"/>
          <w:highlight w:val="none"/>
        </w:rPr>
        <w:t>16.2</w:t>
      </w:r>
      <w:r>
        <w:rPr>
          <w:rFonts w:hint="eastAsia" w:eastAsia="宋体"/>
          <w:color w:val="auto"/>
          <w:szCs w:val="24"/>
          <w:highlight w:val="none"/>
        </w:rPr>
        <w:t xml:space="preserve">. </w:t>
      </w:r>
      <w:r>
        <w:rPr>
          <w:rFonts w:eastAsia="宋体"/>
          <w:color w:val="auto"/>
          <w:szCs w:val="24"/>
          <w:highlight w:val="none"/>
        </w:rPr>
        <w:t>价格不予调整的情形</w:t>
      </w:r>
      <w:bookmarkEnd w:id="1247"/>
      <w:bookmarkEnd w:id="1248"/>
      <w:bookmarkEnd w:id="1249"/>
    </w:p>
    <w:p>
      <w:pPr>
        <w:pStyle w:val="52"/>
        <w:ind w:firstLine="480"/>
        <w:jc w:val="both"/>
        <w:rPr>
          <w:rFonts w:eastAsia="宋体"/>
          <w:color w:val="auto"/>
          <w:sz w:val="24"/>
          <w:szCs w:val="24"/>
          <w:highlight w:val="none"/>
        </w:rPr>
      </w:pPr>
      <w:r>
        <w:rPr>
          <w:rFonts w:eastAsia="宋体"/>
          <w:color w:val="auto"/>
          <w:sz w:val="24"/>
          <w:szCs w:val="24"/>
          <w:highlight w:val="none"/>
        </w:rPr>
        <w:t>16.2.1</w:t>
      </w:r>
      <w:r>
        <w:rPr>
          <w:rFonts w:hint="eastAsia" w:eastAsia="宋体"/>
          <w:color w:val="auto"/>
          <w:sz w:val="24"/>
          <w:szCs w:val="24"/>
          <w:highlight w:val="none"/>
        </w:rPr>
        <w:t>.</w:t>
      </w:r>
      <w:r>
        <w:rPr>
          <w:rFonts w:eastAsia="宋体"/>
          <w:color w:val="auto"/>
          <w:sz w:val="24"/>
          <w:szCs w:val="24"/>
          <w:highlight w:val="none"/>
        </w:rPr>
        <w:t xml:space="preserve"> 承包人在投标报价时及签订本合同前已对本工程的全部招标文件、工程所在地周围环境、交通道路、现场地质资料、周围地下管网等情况详细研究，投标报价中已按招标文件和合同条款及施工组织设计中的工程承包范围、质量标准、工期、付款条件、临设要求、安全维护、文明施工措施等要求充分考虑了人工、材料、机械、包装运输、施工技术、成品保护、甲供材料保管、设备调试、检验试验、验收、样品、管理、利润、税金</w:t>
      </w:r>
      <w:r>
        <w:rPr>
          <w:rFonts w:hint="eastAsia" w:eastAsia="宋体"/>
          <w:color w:val="auto"/>
          <w:sz w:val="24"/>
          <w:szCs w:val="24"/>
          <w:highlight w:val="none"/>
        </w:rPr>
        <w:t>，</w:t>
      </w:r>
      <w:r>
        <w:rPr>
          <w:rFonts w:eastAsia="宋体"/>
          <w:color w:val="auto"/>
          <w:sz w:val="24"/>
          <w:szCs w:val="24"/>
          <w:highlight w:val="none"/>
        </w:rPr>
        <w:t>并已考虑垃圾排放（包括建筑垃圾）、冬雨季气候条件等价格风险因素（合同约定因物价波动引起的可进行价格调整的除外）。</w:t>
      </w:r>
    </w:p>
    <w:p>
      <w:pPr>
        <w:pStyle w:val="52"/>
        <w:ind w:firstLine="480"/>
        <w:jc w:val="both"/>
        <w:rPr>
          <w:rFonts w:eastAsia="宋体"/>
          <w:color w:val="auto"/>
          <w:sz w:val="24"/>
          <w:szCs w:val="24"/>
          <w:highlight w:val="none"/>
        </w:rPr>
      </w:pPr>
      <w:r>
        <w:rPr>
          <w:rFonts w:eastAsia="宋体"/>
          <w:color w:val="auto"/>
          <w:sz w:val="24"/>
          <w:szCs w:val="24"/>
          <w:highlight w:val="none"/>
        </w:rPr>
        <w:t>16.2.2</w:t>
      </w:r>
      <w:r>
        <w:rPr>
          <w:rFonts w:hint="eastAsia" w:eastAsia="宋体"/>
          <w:color w:val="auto"/>
          <w:sz w:val="24"/>
          <w:szCs w:val="24"/>
          <w:highlight w:val="none"/>
        </w:rPr>
        <w:t xml:space="preserve">. </w:t>
      </w:r>
      <w:r>
        <w:rPr>
          <w:rFonts w:eastAsia="宋体"/>
          <w:color w:val="auto"/>
          <w:sz w:val="24"/>
          <w:szCs w:val="24"/>
          <w:highlight w:val="none"/>
        </w:rPr>
        <w:t>任何合同综合单价中对承包人不利的组价不当或差错（包括但不限于工作内容理解的偏差、工料耗量水平的确定、生产要素市场价格的判断、取费等）等，均视为承包人采取投标技巧将相关费用包含在相应的综合单价中，结算时不作调整（合同另有约定的除外）。按独立费计价的项目（即不按定额计价的子目）不在上述调价范围内。</w:t>
      </w:r>
    </w:p>
    <w:p>
      <w:pPr>
        <w:pStyle w:val="52"/>
        <w:ind w:firstLine="480"/>
        <w:jc w:val="both"/>
        <w:rPr>
          <w:rFonts w:eastAsia="宋体"/>
          <w:color w:val="auto"/>
          <w:sz w:val="24"/>
          <w:szCs w:val="24"/>
          <w:highlight w:val="none"/>
        </w:rPr>
      </w:pPr>
      <w:r>
        <w:rPr>
          <w:rFonts w:eastAsia="宋体"/>
          <w:color w:val="auto"/>
          <w:sz w:val="24"/>
          <w:szCs w:val="24"/>
          <w:highlight w:val="none"/>
        </w:rPr>
        <w:t>16.2.3</w:t>
      </w:r>
      <w:r>
        <w:rPr>
          <w:rFonts w:hint="eastAsia" w:eastAsia="宋体"/>
          <w:color w:val="auto"/>
          <w:sz w:val="24"/>
          <w:szCs w:val="24"/>
          <w:highlight w:val="none"/>
        </w:rPr>
        <w:t xml:space="preserve">. </w:t>
      </w:r>
      <w:r>
        <w:rPr>
          <w:rFonts w:eastAsia="宋体"/>
          <w:color w:val="auto"/>
          <w:sz w:val="24"/>
          <w:szCs w:val="24"/>
          <w:highlight w:val="none"/>
        </w:rPr>
        <w:t>因承包人的成员、雇员、分包人及进入施工现场的其它各方发生的各种事故、异常事件、人身伤害等给承包人造成的任何支出和损失均由承包人承担，承包人不得以此向发包人要求增加费用。</w:t>
      </w:r>
    </w:p>
    <w:p>
      <w:pPr>
        <w:pStyle w:val="52"/>
        <w:ind w:firstLine="480"/>
        <w:jc w:val="both"/>
        <w:rPr>
          <w:rFonts w:eastAsia="宋体"/>
          <w:color w:val="auto"/>
          <w:sz w:val="24"/>
          <w:szCs w:val="24"/>
          <w:highlight w:val="none"/>
        </w:rPr>
      </w:pPr>
      <w:r>
        <w:rPr>
          <w:rFonts w:eastAsia="宋体"/>
          <w:color w:val="auto"/>
          <w:sz w:val="24"/>
          <w:szCs w:val="24"/>
          <w:highlight w:val="none"/>
        </w:rPr>
        <w:t>16.2.4</w:t>
      </w:r>
      <w:r>
        <w:rPr>
          <w:rFonts w:hint="eastAsia" w:eastAsia="宋体"/>
          <w:color w:val="auto"/>
          <w:sz w:val="24"/>
          <w:szCs w:val="24"/>
          <w:highlight w:val="none"/>
        </w:rPr>
        <w:t>.</w:t>
      </w:r>
      <w:r>
        <w:rPr>
          <w:rFonts w:eastAsia="宋体"/>
          <w:color w:val="auto"/>
          <w:sz w:val="24"/>
          <w:szCs w:val="24"/>
          <w:highlight w:val="none"/>
        </w:rPr>
        <w:t xml:space="preserve"> 除非发生本合同规定的不可抗力事件外，因承包人原因导致的任何支出和损失均由承包人承担，承包人不得以此向发包人要求增加费用。</w:t>
      </w:r>
    </w:p>
    <w:p>
      <w:pPr>
        <w:pStyle w:val="52"/>
        <w:ind w:firstLine="480"/>
        <w:jc w:val="both"/>
        <w:rPr>
          <w:rFonts w:eastAsia="宋体"/>
          <w:color w:val="auto"/>
          <w:sz w:val="24"/>
          <w:szCs w:val="24"/>
          <w:highlight w:val="none"/>
        </w:rPr>
      </w:pPr>
      <w:r>
        <w:rPr>
          <w:rFonts w:eastAsia="宋体"/>
          <w:color w:val="auto"/>
          <w:sz w:val="24"/>
          <w:szCs w:val="24"/>
          <w:highlight w:val="none"/>
        </w:rPr>
        <w:t>16.2.5</w:t>
      </w:r>
      <w:r>
        <w:rPr>
          <w:rFonts w:hint="eastAsia" w:eastAsia="宋体"/>
          <w:color w:val="auto"/>
          <w:sz w:val="24"/>
          <w:szCs w:val="24"/>
          <w:highlight w:val="none"/>
        </w:rPr>
        <w:t>.</w:t>
      </w:r>
      <w:r>
        <w:rPr>
          <w:rFonts w:eastAsia="宋体"/>
          <w:color w:val="auto"/>
          <w:sz w:val="24"/>
          <w:szCs w:val="24"/>
          <w:highlight w:val="none"/>
        </w:rPr>
        <w:t xml:space="preserve"> 由承包人负责完成的图纸深化设计、施工组织设计等存在缺陷造成的任何支出，由承包人承担，即使此类内容已经获得发包人的审批。</w:t>
      </w:r>
    </w:p>
    <w:p>
      <w:pPr>
        <w:pStyle w:val="52"/>
        <w:ind w:firstLine="480"/>
        <w:jc w:val="both"/>
        <w:rPr>
          <w:rFonts w:eastAsia="宋体"/>
          <w:color w:val="auto"/>
          <w:sz w:val="24"/>
          <w:szCs w:val="24"/>
          <w:highlight w:val="none"/>
        </w:rPr>
      </w:pPr>
      <w:r>
        <w:rPr>
          <w:rFonts w:eastAsia="宋体"/>
          <w:color w:val="auto"/>
          <w:sz w:val="24"/>
          <w:szCs w:val="24"/>
          <w:highlight w:val="none"/>
        </w:rPr>
        <w:t>16.2.6. 发包人提供暂估价（含暂估材料、工程设备价）不适用以上调差约定。</w:t>
      </w:r>
    </w:p>
    <w:p>
      <w:pPr>
        <w:pStyle w:val="52"/>
        <w:ind w:firstLine="480"/>
        <w:jc w:val="both"/>
        <w:rPr>
          <w:rFonts w:eastAsia="宋体"/>
          <w:color w:val="auto"/>
          <w:sz w:val="24"/>
          <w:szCs w:val="24"/>
          <w:highlight w:val="none"/>
        </w:rPr>
      </w:pPr>
      <w:r>
        <w:rPr>
          <w:rFonts w:eastAsia="宋体"/>
          <w:color w:val="auto"/>
          <w:sz w:val="24"/>
          <w:szCs w:val="24"/>
          <w:highlight w:val="none"/>
        </w:rPr>
        <w:t>16.2.7</w:t>
      </w:r>
      <w:r>
        <w:rPr>
          <w:rFonts w:hint="eastAsia" w:eastAsia="宋体"/>
          <w:color w:val="auto"/>
          <w:sz w:val="24"/>
          <w:szCs w:val="24"/>
          <w:highlight w:val="none"/>
        </w:rPr>
        <w:t>.</w:t>
      </w:r>
      <w:r>
        <w:rPr>
          <w:rFonts w:eastAsia="宋体"/>
          <w:color w:val="auto"/>
          <w:sz w:val="24"/>
          <w:szCs w:val="24"/>
          <w:highlight w:val="none"/>
        </w:rPr>
        <w:t xml:space="preserve"> 风险费用包括在已标价的工程量及单价清单所列各项目的综合单价及报价中，不得调整。</w:t>
      </w:r>
    </w:p>
    <w:p>
      <w:pPr>
        <w:adjustRightInd w:val="0"/>
        <w:snapToGri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16.2.8.</w:t>
      </w:r>
      <w:r>
        <w:rPr>
          <w:rFonts w:hint="eastAsia" w:ascii="Times New Roman" w:hAnsi="Times New Roman"/>
          <w:color w:val="auto"/>
          <w:kern w:val="0"/>
          <w:sz w:val="24"/>
          <w:szCs w:val="24"/>
          <w:highlight w:val="none"/>
        </w:rPr>
        <w:t xml:space="preserve"> </w:t>
      </w:r>
      <w:r>
        <w:rPr>
          <w:rFonts w:ascii="Times New Roman" w:hAnsi="Times New Roman"/>
          <w:color w:val="auto"/>
          <w:kern w:val="0"/>
          <w:sz w:val="24"/>
          <w:szCs w:val="24"/>
          <w:highlight w:val="none"/>
        </w:rPr>
        <w:t>由于承包人原因导致工期延误的，所延误时段内物价上涨的风险全部由承包人承担，不予调整；如物价下跌，则仍按合同约定计算及扣回相应价款。</w:t>
      </w:r>
    </w:p>
    <w:p>
      <w:pPr>
        <w:pStyle w:val="52"/>
        <w:ind w:firstLine="480"/>
        <w:jc w:val="both"/>
        <w:rPr>
          <w:rFonts w:eastAsia="宋体"/>
          <w:color w:val="auto"/>
          <w:sz w:val="24"/>
          <w:szCs w:val="24"/>
          <w:highlight w:val="none"/>
        </w:rPr>
      </w:pPr>
      <w:r>
        <w:rPr>
          <w:rFonts w:eastAsia="宋体"/>
          <w:color w:val="auto"/>
          <w:sz w:val="24"/>
          <w:szCs w:val="24"/>
          <w:highlight w:val="none"/>
        </w:rPr>
        <w:t>16.2.9.</w:t>
      </w:r>
      <w:r>
        <w:rPr>
          <w:rFonts w:hint="eastAsia" w:eastAsia="宋体"/>
          <w:color w:val="auto"/>
          <w:sz w:val="24"/>
          <w:szCs w:val="24"/>
          <w:highlight w:val="none"/>
        </w:rPr>
        <w:t xml:space="preserve"> </w:t>
      </w:r>
      <w:r>
        <w:rPr>
          <w:rFonts w:eastAsia="宋体"/>
          <w:color w:val="auto"/>
          <w:sz w:val="24"/>
          <w:szCs w:val="24"/>
          <w:highlight w:val="none"/>
        </w:rPr>
        <w:t>合同约定的调差范围外的其它材料、设备不再调整价差。清单外新增单价由双方参照市场价格协商确定的，不适用于调价条款。</w:t>
      </w:r>
    </w:p>
    <w:p>
      <w:pPr>
        <w:pStyle w:val="52"/>
        <w:ind w:firstLine="480"/>
        <w:jc w:val="both"/>
        <w:rPr>
          <w:color w:val="auto"/>
          <w:highlight w:val="none"/>
        </w:rPr>
      </w:pPr>
      <w:r>
        <w:rPr>
          <w:rFonts w:eastAsia="宋体"/>
          <w:color w:val="auto"/>
          <w:sz w:val="24"/>
          <w:szCs w:val="24"/>
          <w:highlight w:val="none"/>
        </w:rPr>
        <w:t>16.2.10</w:t>
      </w:r>
      <w:r>
        <w:rPr>
          <w:rFonts w:hint="eastAsia" w:eastAsia="宋体"/>
          <w:color w:val="auto"/>
          <w:sz w:val="24"/>
          <w:szCs w:val="24"/>
          <w:highlight w:val="none"/>
        </w:rPr>
        <w:t>.</w:t>
      </w:r>
      <w:r>
        <w:rPr>
          <w:rFonts w:eastAsia="宋体"/>
          <w:color w:val="auto"/>
          <w:sz w:val="24"/>
          <w:szCs w:val="24"/>
          <w:highlight w:val="none"/>
        </w:rPr>
        <w:t xml:space="preserve"> 其他约定事项：</w:t>
      </w:r>
      <w:r>
        <w:rPr>
          <w:rFonts w:eastAsia="宋体"/>
          <w:color w:val="auto"/>
          <w:sz w:val="24"/>
          <w:szCs w:val="24"/>
          <w:highlight w:val="none"/>
          <w:u w:val="single"/>
        </w:rPr>
        <w:t xml:space="preserve">  无  </w:t>
      </w:r>
      <w:r>
        <w:rPr>
          <w:rFonts w:eastAsia="宋体"/>
          <w:color w:val="auto"/>
          <w:sz w:val="24"/>
          <w:szCs w:val="24"/>
          <w:highlight w:val="none"/>
        </w:rPr>
        <w:t>。</w:t>
      </w:r>
    </w:p>
    <w:p>
      <w:pPr>
        <w:pStyle w:val="77"/>
        <w:spacing w:before="0" w:after="0"/>
        <w:ind w:firstLine="480"/>
        <w:rPr>
          <w:rFonts w:eastAsia="宋体"/>
          <w:color w:val="auto"/>
          <w:szCs w:val="24"/>
          <w:highlight w:val="none"/>
        </w:rPr>
      </w:pPr>
      <w:bookmarkStart w:id="1250" w:name="_Toc30626"/>
      <w:bookmarkStart w:id="1251" w:name="_Toc44492603"/>
      <w:bookmarkStart w:id="1252" w:name="_Toc22042"/>
      <w:r>
        <w:rPr>
          <w:rFonts w:eastAsia="宋体"/>
          <w:color w:val="auto"/>
          <w:szCs w:val="24"/>
          <w:highlight w:val="none"/>
        </w:rPr>
        <w:t>16.3</w:t>
      </w:r>
      <w:r>
        <w:rPr>
          <w:rFonts w:hint="eastAsia" w:eastAsia="宋体"/>
          <w:color w:val="auto"/>
          <w:szCs w:val="24"/>
          <w:highlight w:val="none"/>
        </w:rPr>
        <w:t>.</w:t>
      </w:r>
      <w:r>
        <w:rPr>
          <w:rFonts w:eastAsia="宋体"/>
          <w:color w:val="auto"/>
          <w:szCs w:val="24"/>
          <w:highlight w:val="none"/>
        </w:rPr>
        <w:t xml:space="preserve"> 价格调整的补充说明</w:t>
      </w:r>
      <w:bookmarkEnd w:id="1250"/>
      <w:bookmarkEnd w:id="1251"/>
      <w:bookmarkEnd w:id="1252"/>
    </w:p>
    <w:p>
      <w:pPr>
        <w:pStyle w:val="52"/>
        <w:ind w:firstLine="480"/>
        <w:jc w:val="both"/>
        <w:rPr>
          <w:rFonts w:eastAsia="宋体"/>
          <w:color w:val="auto"/>
          <w:sz w:val="24"/>
          <w:szCs w:val="24"/>
          <w:highlight w:val="none"/>
        </w:rPr>
      </w:pPr>
      <w:r>
        <w:rPr>
          <w:rFonts w:eastAsia="宋体"/>
          <w:color w:val="auto"/>
          <w:sz w:val="24"/>
          <w:szCs w:val="24"/>
          <w:highlight w:val="none"/>
        </w:rPr>
        <w:t>16.3.1</w:t>
      </w:r>
      <w:r>
        <w:rPr>
          <w:rFonts w:hint="eastAsia" w:eastAsia="宋体"/>
          <w:color w:val="auto"/>
          <w:sz w:val="24"/>
          <w:szCs w:val="24"/>
          <w:highlight w:val="none"/>
        </w:rPr>
        <w:t xml:space="preserve">. </w:t>
      </w:r>
      <w:r>
        <w:rPr>
          <w:rFonts w:eastAsia="宋体"/>
          <w:color w:val="auto"/>
          <w:sz w:val="24"/>
          <w:szCs w:val="24"/>
          <w:highlight w:val="none"/>
        </w:rPr>
        <w:t>投标清单的不平衡报价</w:t>
      </w:r>
    </w:p>
    <w:p>
      <w:pPr>
        <w:pStyle w:val="52"/>
        <w:ind w:firstLine="480"/>
        <w:jc w:val="both"/>
        <w:rPr>
          <w:rFonts w:eastAsia="宋体"/>
          <w:color w:val="auto"/>
          <w:sz w:val="24"/>
          <w:szCs w:val="24"/>
          <w:highlight w:val="none"/>
        </w:rPr>
      </w:pPr>
      <w:r>
        <w:rPr>
          <w:rFonts w:eastAsia="宋体"/>
          <w:color w:val="auto"/>
          <w:sz w:val="24"/>
          <w:szCs w:val="24"/>
          <w:highlight w:val="none"/>
        </w:rPr>
        <w:t>本工程合同</w:t>
      </w:r>
      <w:r>
        <w:rPr>
          <w:rFonts w:hint="eastAsia" w:eastAsia="宋体"/>
          <w:color w:val="auto"/>
          <w:sz w:val="24"/>
          <w:szCs w:val="24"/>
          <w:highlight w:val="none"/>
        </w:rPr>
        <w:t>签订</w:t>
      </w:r>
      <w:r>
        <w:rPr>
          <w:rFonts w:eastAsia="宋体"/>
          <w:color w:val="auto"/>
          <w:sz w:val="24"/>
          <w:szCs w:val="24"/>
          <w:highlight w:val="none"/>
        </w:rPr>
        <w:t>前，招标人有权对投标人商务报价的合理性进行全面复核校对，投标人须无条件配合。若投标报价中有明显属不平衡报价清单项目的，则投标人应在保持投标总价不变的前提下，对不平衡报价清单项目的综合单价进行修正澄清，以修正澄清后清单作为本合同附件并按其约定履行。</w:t>
      </w:r>
    </w:p>
    <w:p>
      <w:pPr>
        <w:pStyle w:val="52"/>
        <w:ind w:firstLine="480"/>
        <w:jc w:val="both"/>
        <w:rPr>
          <w:rFonts w:eastAsia="宋体"/>
          <w:color w:val="auto"/>
          <w:sz w:val="24"/>
          <w:szCs w:val="24"/>
          <w:highlight w:val="none"/>
        </w:rPr>
      </w:pPr>
      <w:r>
        <w:rPr>
          <w:rFonts w:eastAsia="宋体"/>
          <w:color w:val="auto"/>
          <w:sz w:val="24"/>
          <w:szCs w:val="24"/>
          <w:highlight w:val="none"/>
        </w:rPr>
        <w:t>如合同签署前上述不平衡报价未能有效修正的，合同履约期间不平衡报价清单项目的综合单价按如下方式执行：</w:t>
      </w:r>
    </w:p>
    <w:p>
      <w:pPr>
        <w:pStyle w:val="52"/>
        <w:ind w:firstLine="480"/>
        <w:jc w:val="both"/>
        <w:rPr>
          <w:rFonts w:eastAsia="宋体"/>
          <w:color w:val="auto"/>
          <w:sz w:val="24"/>
          <w:szCs w:val="24"/>
          <w:highlight w:val="none"/>
        </w:rPr>
      </w:pPr>
      <w:r>
        <w:rPr>
          <w:rFonts w:eastAsia="宋体"/>
          <w:color w:val="auto"/>
          <w:sz w:val="24"/>
          <w:szCs w:val="24"/>
          <w:highlight w:val="none"/>
        </w:rPr>
        <w:t>（1）合同履约期不平衡报价的认定标准</w:t>
      </w:r>
    </w:p>
    <w:p>
      <w:pPr>
        <w:pStyle w:val="52"/>
        <w:ind w:firstLine="480"/>
        <w:jc w:val="both"/>
        <w:rPr>
          <w:rFonts w:eastAsia="宋体"/>
          <w:color w:val="auto"/>
          <w:sz w:val="24"/>
          <w:szCs w:val="24"/>
          <w:highlight w:val="none"/>
        </w:rPr>
      </w:pPr>
      <w:r>
        <w:rPr>
          <w:rFonts w:eastAsia="宋体"/>
          <w:color w:val="auto"/>
          <w:sz w:val="24"/>
          <w:szCs w:val="24"/>
          <w:highlight w:val="none"/>
        </w:rPr>
        <w:t>合同履约期不平衡报价指投标人投标清单的综合单价与按</w:t>
      </w:r>
      <w:r>
        <w:rPr>
          <w:rFonts w:eastAsia="宋体"/>
          <w:color w:val="auto"/>
          <w:sz w:val="24"/>
          <w:szCs w:val="24"/>
          <w:highlight w:val="none"/>
          <w:u w:val="single"/>
        </w:rPr>
        <w:t>2013清单规范</w:t>
      </w:r>
      <w:r>
        <w:rPr>
          <w:rFonts w:eastAsia="宋体"/>
          <w:color w:val="auto"/>
          <w:sz w:val="24"/>
          <w:szCs w:val="24"/>
          <w:highlight w:val="none"/>
        </w:rPr>
        <w:t>及相应工程计价规范编制的对应清单子目综合单价（即招标控制价的对应清单子目综合单价）*中标人的投标净下浮率后的价格相比，超出</w:t>
      </w:r>
      <w:r>
        <w:rPr>
          <w:rFonts w:eastAsia="宋体"/>
          <w:color w:val="auto"/>
          <w:sz w:val="24"/>
          <w:szCs w:val="24"/>
          <w:highlight w:val="none"/>
          <w:u w:val="single"/>
        </w:rPr>
        <w:t>±30%</w:t>
      </w:r>
      <w:r>
        <w:rPr>
          <w:rFonts w:eastAsia="宋体"/>
          <w:color w:val="auto"/>
          <w:sz w:val="24"/>
          <w:szCs w:val="24"/>
          <w:highlight w:val="none"/>
        </w:rPr>
        <w:t>的投标人清单项目综合单价，或招标人有对标证据或合理解释证明明显高于市场合理价格的投标人清单项目综合单价。</w:t>
      </w:r>
    </w:p>
    <w:p>
      <w:pPr>
        <w:pStyle w:val="52"/>
        <w:ind w:firstLine="480"/>
        <w:jc w:val="both"/>
        <w:rPr>
          <w:rFonts w:eastAsia="宋体"/>
          <w:color w:val="auto"/>
          <w:sz w:val="24"/>
          <w:szCs w:val="24"/>
          <w:highlight w:val="none"/>
        </w:rPr>
      </w:pPr>
      <w:r>
        <w:rPr>
          <w:rFonts w:eastAsia="宋体"/>
          <w:color w:val="auto"/>
          <w:sz w:val="24"/>
          <w:szCs w:val="24"/>
          <w:highlight w:val="none"/>
        </w:rPr>
        <w:t>（2）合同履约期不平衡报价的修正办法</w:t>
      </w:r>
    </w:p>
    <w:p>
      <w:pPr>
        <w:pStyle w:val="52"/>
        <w:ind w:firstLine="480"/>
        <w:jc w:val="both"/>
        <w:rPr>
          <w:rFonts w:eastAsia="宋体"/>
          <w:color w:val="auto"/>
          <w:sz w:val="24"/>
          <w:szCs w:val="24"/>
          <w:highlight w:val="none"/>
        </w:rPr>
      </w:pPr>
      <w:r>
        <w:rPr>
          <w:rFonts w:eastAsia="宋体"/>
          <w:color w:val="auto"/>
          <w:sz w:val="24"/>
          <w:szCs w:val="24"/>
          <w:highlight w:val="none"/>
        </w:rPr>
        <w:t>①当不平衡报价清单项目的履约实际工程量（以正式施工图计量为准）与对应招标清单工程量相比，工程量相差幅度在±15%（含本数）以内的，对应不平衡报价清单项目的综合单价不调整。</w:t>
      </w:r>
    </w:p>
    <w:p>
      <w:pPr>
        <w:pStyle w:val="52"/>
        <w:ind w:firstLine="480"/>
        <w:jc w:val="both"/>
        <w:rPr>
          <w:rFonts w:eastAsia="宋体"/>
          <w:color w:val="auto"/>
          <w:sz w:val="24"/>
          <w:szCs w:val="24"/>
          <w:highlight w:val="none"/>
        </w:rPr>
      </w:pPr>
      <w:r>
        <w:rPr>
          <w:rFonts w:eastAsia="宋体"/>
          <w:color w:val="auto"/>
          <w:sz w:val="24"/>
          <w:szCs w:val="24"/>
          <w:highlight w:val="none"/>
        </w:rPr>
        <w:t>②当不平衡报价清单项目的履约实际工程量（以正式施工图计量为准）与对应招标清单工程量相比，工程量相差幅度在±15%以外的，发包人有权直接对不平衡报价进行修订，承包人须无条件配合并按修订后价格履约。若承包人拒不按修订后价格履约的，应按不平衡报价修订前与修订后合同价款差额的2倍向发包人支付违约金。</w:t>
      </w:r>
    </w:p>
    <w:p>
      <w:pPr>
        <w:pStyle w:val="52"/>
        <w:ind w:firstLine="480"/>
        <w:jc w:val="both"/>
        <w:rPr>
          <w:rFonts w:eastAsia="宋体"/>
          <w:color w:val="auto"/>
          <w:sz w:val="24"/>
          <w:szCs w:val="24"/>
          <w:highlight w:val="none"/>
          <w:u w:val="single"/>
        </w:rPr>
      </w:pPr>
      <w:r>
        <w:rPr>
          <w:rFonts w:eastAsia="宋体"/>
          <w:color w:val="auto"/>
          <w:sz w:val="24"/>
          <w:szCs w:val="24"/>
          <w:highlight w:val="none"/>
        </w:rPr>
        <w:t>③修正原则：招标控制价的对应清单子目综合单价*（1-投标净下浮率）为修正后的综合单价；若招标控制价的清单子目综合单价有明显错误的，则招标控制价的对应清单子目综合单价按2013清单规范及相应工程计价规范确定；本工程竣工结算时按修正后综合单价</w:t>
      </w:r>
      <w:r>
        <w:rPr>
          <w:rFonts w:hint="eastAsia" w:eastAsia="宋体"/>
          <w:color w:val="auto"/>
          <w:sz w:val="24"/>
          <w:szCs w:val="24"/>
          <w:highlight w:val="none"/>
        </w:rPr>
        <w:t>根</w:t>
      </w:r>
      <w:r>
        <w:rPr>
          <w:rFonts w:eastAsia="宋体"/>
          <w:color w:val="auto"/>
          <w:sz w:val="24"/>
          <w:szCs w:val="24"/>
          <w:highlight w:val="none"/>
        </w:rPr>
        <w:t>据实际工程量结算。</w:t>
      </w:r>
    </w:p>
    <w:p>
      <w:pPr>
        <w:pStyle w:val="52"/>
        <w:ind w:firstLine="480"/>
        <w:jc w:val="both"/>
        <w:rPr>
          <w:rFonts w:eastAsia="宋体"/>
          <w:color w:val="auto"/>
          <w:sz w:val="24"/>
          <w:szCs w:val="24"/>
          <w:highlight w:val="none"/>
        </w:rPr>
      </w:pPr>
      <w:r>
        <w:rPr>
          <w:rFonts w:eastAsia="宋体"/>
          <w:color w:val="auto"/>
          <w:sz w:val="24"/>
          <w:szCs w:val="24"/>
          <w:highlight w:val="none"/>
        </w:rPr>
        <w:t>16.3.2</w:t>
      </w:r>
      <w:r>
        <w:rPr>
          <w:rFonts w:hint="eastAsia" w:eastAsia="宋体"/>
          <w:color w:val="auto"/>
          <w:sz w:val="24"/>
          <w:szCs w:val="24"/>
          <w:highlight w:val="none"/>
        </w:rPr>
        <w:t>.</w:t>
      </w:r>
      <w:r>
        <w:rPr>
          <w:rFonts w:eastAsia="宋体"/>
          <w:color w:val="auto"/>
          <w:sz w:val="24"/>
          <w:szCs w:val="24"/>
          <w:highlight w:val="none"/>
        </w:rPr>
        <w:t xml:space="preserve"> 政策影响的合同价格调整</w:t>
      </w:r>
    </w:p>
    <w:p>
      <w:pPr>
        <w:pStyle w:val="52"/>
        <w:ind w:firstLine="480"/>
        <w:jc w:val="both"/>
        <w:rPr>
          <w:rFonts w:eastAsia="宋体"/>
          <w:color w:val="auto"/>
          <w:sz w:val="24"/>
          <w:szCs w:val="24"/>
          <w:highlight w:val="none"/>
        </w:rPr>
      </w:pPr>
      <w:r>
        <w:rPr>
          <w:rFonts w:eastAsia="宋体"/>
          <w:color w:val="auto"/>
          <w:sz w:val="24"/>
          <w:szCs w:val="24"/>
          <w:highlight w:val="none"/>
        </w:rPr>
        <w:t>（1）截标日至本合同签署前发生增值税政策性调整的，调整后含税合同价款=不含增值税的中标金额*（1+政策调整后的增值税税率）</w:t>
      </w:r>
    </w:p>
    <w:p>
      <w:pPr>
        <w:pStyle w:val="52"/>
        <w:ind w:firstLine="480"/>
        <w:jc w:val="both"/>
        <w:rPr>
          <w:rFonts w:eastAsia="宋体"/>
          <w:color w:val="auto"/>
          <w:sz w:val="24"/>
          <w:szCs w:val="24"/>
          <w:highlight w:val="none"/>
        </w:rPr>
      </w:pPr>
      <w:r>
        <w:rPr>
          <w:rFonts w:eastAsia="宋体"/>
          <w:color w:val="auto"/>
          <w:sz w:val="24"/>
          <w:szCs w:val="24"/>
          <w:highlight w:val="none"/>
        </w:rPr>
        <w:t>（2）当合同履约期间发生政策性调整增值税税率时，承包人提供增值税专用发票的增值税税率应按政策性调整后的税率执行；若承包人拒绝执行或不积极配合执行的，自行承担付款延期责任及其相关违约责任。</w:t>
      </w:r>
    </w:p>
    <w:p>
      <w:pPr>
        <w:pStyle w:val="52"/>
        <w:ind w:firstLine="480"/>
        <w:jc w:val="both"/>
        <w:rPr>
          <w:rFonts w:eastAsia="宋体"/>
          <w:color w:val="auto"/>
          <w:sz w:val="24"/>
          <w:szCs w:val="24"/>
          <w:highlight w:val="none"/>
        </w:rPr>
      </w:pPr>
      <w:r>
        <w:rPr>
          <w:rFonts w:eastAsia="宋体"/>
          <w:color w:val="auto"/>
          <w:sz w:val="24"/>
          <w:szCs w:val="24"/>
          <w:highlight w:val="none"/>
        </w:rPr>
        <w:t>调整后含税合同价款=累计已付款含税金额+（原合同含税金额-累计已付款含税金额）/（1+原合同中的增值税税率）*（1+政策性调整后的增值税税率）</w:t>
      </w:r>
    </w:p>
    <w:p>
      <w:pPr>
        <w:pStyle w:val="52"/>
        <w:ind w:firstLine="480"/>
        <w:jc w:val="both"/>
        <w:rPr>
          <w:rFonts w:eastAsia="宋体"/>
          <w:color w:val="auto"/>
          <w:sz w:val="24"/>
          <w:szCs w:val="24"/>
          <w:highlight w:val="none"/>
        </w:rPr>
      </w:pPr>
      <w:r>
        <w:rPr>
          <w:rFonts w:eastAsia="宋体"/>
          <w:color w:val="auto"/>
          <w:sz w:val="24"/>
          <w:szCs w:val="24"/>
          <w:highlight w:val="none"/>
        </w:rPr>
        <w:t>16.3.3</w:t>
      </w:r>
      <w:r>
        <w:rPr>
          <w:rFonts w:hint="eastAsia" w:eastAsia="宋体"/>
          <w:color w:val="auto"/>
          <w:sz w:val="24"/>
          <w:szCs w:val="24"/>
          <w:highlight w:val="none"/>
        </w:rPr>
        <w:t>.</w:t>
      </w:r>
      <w:r>
        <w:rPr>
          <w:rFonts w:eastAsia="宋体"/>
          <w:color w:val="auto"/>
          <w:sz w:val="24"/>
          <w:szCs w:val="24"/>
          <w:highlight w:val="none"/>
        </w:rPr>
        <w:t xml:space="preserve"> 其他约定事项：</w:t>
      </w:r>
      <w:r>
        <w:rPr>
          <w:rFonts w:eastAsia="宋体"/>
          <w:color w:val="auto"/>
          <w:sz w:val="24"/>
          <w:szCs w:val="24"/>
          <w:highlight w:val="none"/>
          <w:u w:val="single"/>
        </w:rPr>
        <w:t xml:space="preserve">  无  </w:t>
      </w:r>
      <w:r>
        <w:rPr>
          <w:rFonts w:eastAsia="宋体"/>
          <w:color w:val="auto"/>
          <w:sz w:val="24"/>
          <w:szCs w:val="24"/>
          <w:highlight w:val="none"/>
        </w:rPr>
        <w:t>。</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253" w:name="_Toc44228169"/>
      <w:bookmarkStart w:id="1254" w:name="_Toc12032"/>
      <w:bookmarkStart w:id="1255" w:name="_Toc44492604"/>
      <w:bookmarkStart w:id="1256" w:name="_Toc11309"/>
      <w:bookmarkStart w:id="1257" w:name="_Toc8652"/>
      <w:bookmarkStart w:id="1258" w:name="_Toc9430"/>
      <w:bookmarkStart w:id="1259" w:name="_Toc38987286"/>
      <w:bookmarkStart w:id="1260" w:name="_Toc7487"/>
      <w:bookmarkStart w:id="1261" w:name="_Toc28107"/>
      <w:r>
        <w:rPr>
          <w:rFonts w:eastAsia="宋体"/>
          <w:color w:val="auto"/>
          <w:sz w:val="24"/>
          <w:szCs w:val="24"/>
          <w:highlight w:val="none"/>
        </w:rPr>
        <w:t>计量与支付</w:t>
      </w:r>
      <w:bookmarkEnd w:id="1253"/>
      <w:bookmarkEnd w:id="1254"/>
      <w:bookmarkEnd w:id="1255"/>
      <w:bookmarkEnd w:id="1256"/>
      <w:bookmarkEnd w:id="1257"/>
      <w:bookmarkEnd w:id="1258"/>
      <w:bookmarkEnd w:id="1259"/>
      <w:bookmarkEnd w:id="1260"/>
      <w:bookmarkEnd w:id="1261"/>
    </w:p>
    <w:p>
      <w:pPr>
        <w:pStyle w:val="77"/>
        <w:spacing w:before="0" w:after="0"/>
        <w:ind w:firstLine="480"/>
        <w:rPr>
          <w:rFonts w:eastAsia="宋体"/>
          <w:color w:val="auto"/>
          <w:szCs w:val="24"/>
          <w:highlight w:val="none"/>
        </w:rPr>
      </w:pPr>
      <w:bookmarkStart w:id="1262" w:name="_Toc28599"/>
      <w:bookmarkStart w:id="1263" w:name="_Toc32282"/>
      <w:bookmarkStart w:id="1264" w:name="_Toc44492605"/>
      <w:r>
        <w:rPr>
          <w:rFonts w:eastAsia="宋体"/>
          <w:color w:val="auto"/>
          <w:szCs w:val="24"/>
          <w:highlight w:val="none"/>
        </w:rPr>
        <w:t>17.1.</w:t>
      </w:r>
      <w:r>
        <w:rPr>
          <w:rFonts w:hint="eastAsia" w:eastAsia="宋体"/>
          <w:color w:val="auto"/>
          <w:szCs w:val="24"/>
          <w:highlight w:val="none"/>
        </w:rPr>
        <w:t xml:space="preserve"> </w:t>
      </w:r>
      <w:r>
        <w:rPr>
          <w:rFonts w:eastAsia="宋体"/>
          <w:color w:val="auto"/>
          <w:szCs w:val="24"/>
          <w:highlight w:val="none"/>
        </w:rPr>
        <w:t>计量</w:t>
      </w:r>
      <w:bookmarkEnd w:id="1262"/>
      <w:bookmarkEnd w:id="1263"/>
      <w:bookmarkEnd w:id="1264"/>
    </w:p>
    <w:p>
      <w:pPr>
        <w:pStyle w:val="52"/>
        <w:ind w:firstLine="480"/>
        <w:jc w:val="both"/>
        <w:rPr>
          <w:rFonts w:eastAsia="宋体"/>
          <w:color w:val="auto"/>
          <w:sz w:val="24"/>
          <w:szCs w:val="24"/>
          <w:highlight w:val="none"/>
        </w:rPr>
      </w:pPr>
      <w:r>
        <w:rPr>
          <w:rFonts w:eastAsia="宋体"/>
          <w:color w:val="auto"/>
          <w:sz w:val="24"/>
          <w:szCs w:val="24"/>
          <w:highlight w:val="none"/>
        </w:rPr>
        <w:t>17.1.1. 承包人向发包人提交已完工程量报告的时间：</w:t>
      </w:r>
      <w:r>
        <w:rPr>
          <w:rFonts w:eastAsia="宋体"/>
          <w:color w:val="auto"/>
          <w:sz w:val="24"/>
          <w:szCs w:val="24"/>
          <w:highlight w:val="none"/>
          <w:u w:val="single"/>
        </w:rPr>
        <w:t>满足每期支付节点之日起3</w:t>
      </w:r>
      <w:r>
        <w:rPr>
          <w:rFonts w:hint="eastAsia" w:eastAsia="宋体"/>
          <w:color w:val="auto"/>
          <w:sz w:val="24"/>
          <w:szCs w:val="24"/>
          <w:highlight w:val="none"/>
          <w:u w:val="single"/>
        </w:rPr>
        <w:t>天</w:t>
      </w:r>
      <w:r>
        <w:rPr>
          <w:rFonts w:eastAsia="宋体"/>
          <w:color w:val="auto"/>
          <w:sz w:val="24"/>
          <w:szCs w:val="24"/>
          <w:highlight w:val="none"/>
          <w:u w:val="single"/>
        </w:rPr>
        <w:t>内，承包人向</w:t>
      </w:r>
      <w:r>
        <w:rPr>
          <w:rFonts w:hint="eastAsia" w:eastAsia="宋体"/>
          <w:color w:val="auto"/>
          <w:sz w:val="24"/>
          <w:szCs w:val="24"/>
          <w:highlight w:val="none"/>
          <w:u w:val="single"/>
          <w:lang w:eastAsia="zh-CN"/>
        </w:rPr>
        <w:t>发包人</w:t>
      </w:r>
      <w:r>
        <w:rPr>
          <w:rFonts w:eastAsia="宋体"/>
          <w:color w:val="auto"/>
          <w:sz w:val="24"/>
          <w:szCs w:val="24"/>
          <w:highlight w:val="none"/>
          <w:u w:val="single"/>
        </w:rPr>
        <w:t>提交当期完成工作量统计报表、已完工程造价明细资料、付款申请及附件资料等，并列明当期完成工作量对应的进度款</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17.1.4.</w:t>
      </w:r>
      <w:r>
        <w:rPr>
          <w:rFonts w:hint="eastAsia" w:eastAsia="宋体"/>
          <w:color w:val="auto"/>
          <w:sz w:val="24"/>
          <w:szCs w:val="24"/>
          <w:highlight w:val="none"/>
        </w:rPr>
        <w:t xml:space="preserve"> </w:t>
      </w:r>
      <w:r>
        <w:rPr>
          <w:rFonts w:eastAsia="宋体"/>
          <w:color w:val="auto"/>
          <w:sz w:val="24"/>
          <w:szCs w:val="24"/>
          <w:highlight w:val="none"/>
        </w:rPr>
        <w:t>工程量计算规则确定方式（按以下先后顺序执行）</w:t>
      </w:r>
    </w:p>
    <w:p>
      <w:pPr>
        <w:pStyle w:val="52"/>
        <w:ind w:firstLine="480"/>
        <w:jc w:val="both"/>
        <w:rPr>
          <w:rFonts w:eastAsia="宋体"/>
          <w:color w:val="auto"/>
          <w:sz w:val="24"/>
          <w:szCs w:val="24"/>
          <w:highlight w:val="none"/>
        </w:rPr>
      </w:pPr>
      <w:r>
        <w:rPr>
          <w:rFonts w:eastAsia="宋体"/>
          <w:color w:val="auto"/>
          <w:sz w:val="24"/>
          <w:szCs w:val="24"/>
          <w:highlight w:val="none"/>
        </w:rPr>
        <w:t>（1）按本工程招标文件中的“工程量清单编制说明”的相关规定执行；</w:t>
      </w:r>
    </w:p>
    <w:p>
      <w:pPr>
        <w:pStyle w:val="52"/>
        <w:ind w:firstLine="480"/>
        <w:jc w:val="both"/>
        <w:rPr>
          <w:rFonts w:eastAsia="宋体"/>
          <w:color w:val="auto"/>
          <w:sz w:val="24"/>
          <w:szCs w:val="24"/>
          <w:highlight w:val="none"/>
        </w:rPr>
      </w:pPr>
      <w:r>
        <w:rPr>
          <w:rFonts w:eastAsia="宋体"/>
          <w:color w:val="auto"/>
          <w:sz w:val="24"/>
          <w:szCs w:val="24"/>
          <w:highlight w:val="none"/>
        </w:rPr>
        <w:t>（2）按</w:t>
      </w:r>
      <w:r>
        <w:rPr>
          <w:rFonts w:eastAsia="宋体"/>
          <w:color w:val="auto"/>
          <w:sz w:val="24"/>
          <w:szCs w:val="24"/>
          <w:highlight w:val="none"/>
          <w:u w:val="single"/>
        </w:rPr>
        <w:t>《建设工程工程量清单计价规范GB50500-2013》</w:t>
      </w:r>
      <w:r>
        <w:rPr>
          <w:rFonts w:eastAsia="宋体"/>
          <w:color w:val="auto"/>
          <w:sz w:val="24"/>
          <w:szCs w:val="24"/>
          <w:highlight w:val="none"/>
        </w:rPr>
        <w:t>的相关规定执行；</w:t>
      </w:r>
    </w:p>
    <w:p>
      <w:pPr>
        <w:pStyle w:val="52"/>
        <w:ind w:firstLine="480"/>
        <w:jc w:val="both"/>
        <w:rPr>
          <w:rFonts w:eastAsia="宋体"/>
          <w:color w:val="auto"/>
          <w:sz w:val="24"/>
          <w:szCs w:val="24"/>
          <w:highlight w:val="none"/>
        </w:rPr>
      </w:pPr>
      <w:r>
        <w:rPr>
          <w:rFonts w:eastAsia="宋体"/>
          <w:color w:val="auto"/>
          <w:sz w:val="24"/>
          <w:szCs w:val="24"/>
          <w:highlight w:val="none"/>
        </w:rPr>
        <w:t>（3）按</w:t>
      </w:r>
      <w:r>
        <w:rPr>
          <w:rFonts w:eastAsia="宋体"/>
          <w:color w:val="auto"/>
          <w:sz w:val="24"/>
          <w:szCs w:val="24"/>
          <w:highlight w:val="none"/>
          <w:u w:val="single"/>
        </w:rPr>
        <w:t>2018</w:t>
      </w:r>
      <w:r>
        <w:rPr>
          <w:rFonts w:eastAsia="宋体"/>
          <w:color w:val="auto"/>
          <w:sz w:val="24"/>
          <w:szCs w:val="24"/>
          <w:highlight w:val="none"/>
        </w:rPr>
        <w:t>年《</w:t>
      </w:r>
      <w:r>
        <w:rPr>
          <w:rFonts w:eastAsia="宋体"/>
          <w:color w:val="auto"/>
          <w:sz w:val="24"/>
          <w:szCs w:val="24"/>
          <w:highlight w:val="none"/>
          <w:u w:val="single"/>
        </w:rPr>
        <w:t xml:space="preserve"> 广东省</w:t>
      </w:r>
      <w:r>
        <w:rPr>
          <w:rFonts w:eastAsia="宋体"/>
          <w:color w:val="auto"/>
          <w:sz w:val="24"/>
          <w:szCs w:val="24"/>
          <w:highlight w:val="none"/>
        </w:rPr>
        <w:t>建设工程计价通则》、2018年《</w:t>
      </w:r>
      <w:r>
        <w:rPr>
          <w:rFonts w:eastAsia="宋体"/>
          <w:color w:val="auto"/>
          <w:sz w:val="24"/>
          <w:szCs w:val="24"/>
          <w:highlight w:val="none"/>
          <w:u w:val="single"/>
        </w:rPr>
        <w:t>广东省房屋</w:t>
      </w:r>
      <w:r>
        <w:rPr>
          <w:rFonts w:eastAsia="宋体"/>
          <w:color w:val="auto"/>
          <w:sz w:val="24"/>
          <w:szCs w:val="24"/>
          <w:highlight w:val="none"/>
        </w:rPr>
        <w:t xml:space="preserve">建筑与装饰工程综合定额》、 </w:t>
      </w:r>
      <w:r>
        <w:rPr>
          <w:rFonts w:eastAsia="宋体"/>
          <w:color w:val="auto"/>
          <w:sz w:val="24"/>
          <w:szCs w:val="24"/>
          <w:highlight w:val="none"/>
          <w:u w:val="single"/>
        </w:rPr>
        <w:t>2018</w:t>
      </w:r>
      <w:r>
        <w:rPr>
          <w:rFonts w:eastAsia="宋体"/>
          <w:color w:val="auto"/>
          <w:sz w:val="24"/>
          <w:szCs w:val="24"/>
          <w:highlight w:val="none"/>
        </w:rPr>
        <w:t>年《</w:t>
      </w:r>
      <w:r>
        <w:rPr>
          <w:rFonts w:eastAsia="宋体"/>
          <w:color w:val="auto"/>
          <w:sz w:val="24"/>
          <w:szCs w:val="24"/>
          <w:highlight w:val="none"/>
          <w:u w:val="single"/>
        </w:rPr>
        <w:t>广东省</w:t>
      </w:r>
      <w:r>
        <w:rPr>
          <w:rFonts w:eastAsia="宋体"/>
          <w:color w:val="auto"/>
          <w:sz w:val="24"/>
          <w:szCs w:val="24"/>
          <w:highlight w:val="none"/>
        </w:rPr>
        <w:t>市政工程综合定额》、</w:t>
      </w:r>
      <w:r>
        <w:rPr>
          <w:rFonts w:eastAsia="宋体"/>
          <w:color w:val="auto"/>
          <w:sz w:val="24"/>
          <w:szCs w:val="24"/>
          <w:highlight w:val="none"/>
          <w:u w:val="single"/>
        </w:rPr>
        <w:t>2018</w:t>
      </w:r>
      <w:r>
        <w:rPr>
          <w:rFonts w:eastAsia="宋体"/>
          <w:color w:val="auto"/>
          <w:sz w:val="24"/>
          <w:szCs w:val="24"/>
          <w:highlight w:val="none"/>
        </w:rPr>
        <w:t>年《</w:t>
      </w:r>
      <w:r>
        <w:rPr>
          <w:rFonts w:eastAsia="宋体"/>
          <w:color w:val="auto"/>
          <w:sz w:val="24"/>
          <w:szCs w:val="24"/>
          <w:highlight w:val="none"/>
          <w:u w:val="single"/>
        </w:rPr>
        <w:t>广东省通用</w:t>
      </w:r>
      <w:r>
        <w:rPr>
          <w:rFonts w:eastAsia="宋体"/>
          <w:color w:val="auto"/>
          <w:sz w:val="24"/>
          <w:szCs w:val="24"/>
          <w:highlight w:val="none"/>
        </w:rPr>
        <w:t>安装工程综合定额》、</w:t>
      </w:r>
      <w:r>
        <w:rPr>
          <w:rFonts w:eastAsia="宋体"/>
          <w:color w:val="auto"/>
          <w:sz w:val="24"/>
          <w:szCs w:val="24"/>
          <w:highlight w:val="none"/>
          <w:u w:val="single"/>
        </w:rPr>
        <w:t>2018</w:t>
      </w:r>
      <w:r>
        <w:rPr>
          <w:rFonts w:eastAsia="宋体"/>
          <w:color w:val="auto"/>
          <w:sz w:val="24"/>
          <w:szCs w:val="24"/>
          <w:highlight w:val="none"/>
        </w:rPr>
        <w:t>年《</w:t>
      </w:r>
      <w:r>
        <w:rPr>
          <w:rFonts w:eastAsia="宋体"/>
          <w:color w:val="auto"/>
          <w:sz w:val="24"/>
          <w:szCs w:val="24"/>
          <w:highlight w:val="none"/>
          <w:u w:val="single"/>
        </w:rPr>
        <w:t>广东省</w:t>
      </w:r>
      <w:r>
        <w:rPr>
          <w:rFonts w:eastAsia="宋体"/>
          <w:color w:val="auto"/>
          <w:sz w:val="24"/>
          <w:szCs w:val="24"/>
          <w:highlight w:val="none"/>
        </w:rPr>
        <w:t>园林绿化工程综合定额》的相关规定执行；</w:t>
      </w:r>
    </w:p>
    <w:p>
      <w:pPr>
        <w:pStyle w:val="52"/>
        <w:ind w:firstLine="480"/>
        <w:jc w:val="both"/>
        <w:rPr>
          <w:rFonts w:eastAsia="宋体"/>
          <w:color w:val="auto"/>
          <w:sz w:val="24"/>
          <w:szCs w:val="24"/>
          <w:highlight w:val="none"/>
        </w:rPr>
      </w:pPr>
      <w:r>
        <w:rPr>
          <w:rFonts w:eastAsia="宋体"/>
          <w:color w:val="auto"/>
          <w:sz w:val="24"/>
          <w:szCs w:val="24"/>
          <w:highlight w:val="none"/>
        </w:rPr>
        <w:t>（4）按发包人与承包人协商确定的计算办法执行。</w:t>
      </w:r>
    </w:p>
    <w:p>
      <w:pPr>
        <w:wordWrap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kern w:val="0"/>
          <w:sz w:val="24"/>
          <w:szCs w:val="24"/>
          <w:highlight w:val="none"/>
        </w:rPr>
        <w:t>当上述文件内容如有含糊不清或相互矛盾时，应当按照上述文件排序为准作出优先适用解释；不同专业文件对同一问题有不同解释的，以招标清单为准确定优先适用的专业分类。</w:t>
      </w:r>
    </w:p>
    <w:p>
      <w:pPr>
        <w:pStyle w:val="77"/>
        <w:spacing w:before="0" w:after="0"/>
        <w:ind w:firstLine="480"/>
        <w:rPr>
          <w:rFonts w:eastAsia="宋体"/>
          <w:color w:val="auto"/>
          <w:szCs w:val="24"/>
          <w:highlight w:val="none"/>
        </w:rPr>
      </w:pPr>
      <w:bookmarkStart w:id="1265" w:name="_Toc3353"/>
      <w:bookmarkStart w:id="1266" w:name="_Toc44492606"/>
      <w:bookmarkStart w:id="1267" w:name="_Toc26057"/>
      <w:r>
        <w:rPr>
          <w:rFonts w:eastAsia="宋体"/>
          <w:color w:val="auto"/>
          <w:szCs w:val="24"/>
          <w:highlight w:val="none"/>
        </w:rPr>
        <w:t>17.2.</w:t>
      </w:r>
      <w:r>
        <w:rPr>
          <w:rFonts w:hint="eastAsia" w:eastAsia="宋体"/>
          <w:color w:val="auto"/>
          <w:szCs w:val="24"/>
          <w:highlight w:val="none"/>
        </w:rPr>
        <w:t xml:space="preserve"> </w:t>
      </w:r>
      <w:r>
        <w:rPr>
          <w:rFonts w:eastAsia="宋体"/>
          <w:color w:val="auto"/>
          <w:szCs w:val="24"/>
          <w:highlight w:val="none"/>
        </w:rPr>
        <w:t>工程价款</w:t>
      </w:r>
      <w:bookmarkEnd w:id="1265"/>
      <w:bookmarkEnd w:id="1266"/>
      <w:bookmarkEnd w:id="1267"/>
    </w:p>
    <w:p>
      <w:pPr>
        <w:pStyle w:val="52"/>
        <w:ind w:firstLine="480"/>
        <w:jc w:val="both"/>
        <w:rPr>
          <w:rFonts w:eastAsia="宋体"/>
          <w:color w:val="auto"/>
          <w:sz w:val="24"/>
          <w:szCs w:val="24"/>
          <w:highlight w:val="none"/>
        </w:rPr>
      </w:pPr>
      <w:r>
        <w:rPr>
          <w:rFonts w:eastAsia="宋体"/>
          <w:color w:val="auto"/>
          <w:sz w:val="24"/>
          <w:szCs w:val="24"/>
          <w:highlight w:val="none"/>
        </w:rPr>
        <w:t>17.2.1.</w:t>
      </w:r>
      <w:r>
        <w:rPr>
          <w:rFonts w:hint="default" w:ascii="Times New Roman" w:hAnsi="Times New Roman" w:eastAsia="宋体"/>
          <w:bCs w:val="0"/>
          <w:color w:val="auto"/>
          <w:sz w:val="24"/>
          <w:szCs w:val="24"/>
          <w:highlight w:val="none"/>
        </w:rPr>
        <w:t>本工程暂定总价采用分部分项工程清单综合单价包干；措施项目费（除以费率计算的绿色施工安全防护措施费</w:t>
      </w:r>
      <w:r>
        <w:rPr>
          <w:rFonts w:hint="default" w:ascii="Times New Roman" w:hAnsi="Times New Roman" w:eastAsia="宋体"/>
          <w:bCs w:val="0"/>
          <w:color w:val="auto"/>
          <w:sz w:val="24"/>
          <w:szCs w:val="24"/>
          <w:highlight w:val="none"/>
          <w:lang w:val="en-US" w:eastAsia="zh-CN"/>
        </w:rPr>
        <w:t>及围挡相关费用</w:t>
      </w:r>
      <w:r>
        <w:rPr>
          <w:rFonts w:hint="default" w:ascii="Times New Roman" w:hAnsi="Times New Roman" w:eastAsia="宋体"/>
          <w:bCs w:val="0"/>
          <w:color w:val="auto"/>
          <w:sz w:val="24"/>
          <w:szCs w:val="24"/>
          <w:highlight w:val="none"/>
        </w:rPr>
        <w:t>外）固定总价包干（特别地，临时支撑相关费用在措施项目费中单独列项，总价包干；交通疏导和</w:t>
      </w:r>
      <w:r>
        <w:rPr>
          <w:rFonts w:hint="eastAsia" w:eastAsia="宋体"/>
          <w:bCs w:val="0"/>
          <w:color w:val="auto"/>
          <w:sz w:val="24"/>
          <w:szCs w:val="24"/>
          <w:highlight w:val="none"/>
          <w:lang w:eastAsia="zh-CN"/>
        </w:rPr>
        <w:t>交通调节</w:t>
      </w:r>
      <w:r>
        <w:rPr>
          <w:rFonts w:hint="default" w:ascii="Times New Roman" w:hAnsi="Times New Roman" w:eastAsia="宋体"/>
          <w:bCs w:val="0"/>
          <w:color w:val="auto"/>
          <w:sz w:val="24"/>
          <w:szCs w:val="24"/>
          <w:highlight w:val="none"/>
        </w:rPr>
        <w:t>费已包含在固定总价包干的措施项目费中，不再单独计取）；其他项目费和发包人供应材料设备的保管费以费率包干的承包方式；以费率计算的绿色施工安全防护措施费如按合同计算的费率超出定额规定的费率时，进度支付和结算按定额规定的费率计算；如按合同计算的费率低于定额规定的费率时，则按合同计算的费率计算</w:t>
      </w:r>
      <w:r>
        <w:rPr>
          <w:rFonts w:ascii="Times New Roman" w:hAnsi="Times New Roman" w:eastAsia="宋体"/>
          <w:bCs w:val="0"/>
          <w:color w:val="auto"/>
          <w:sz w:val="24"/>
          <w:szCs w:val="24"/>
          <w:highlight w:val="none"/>
        </w:rPr>
        <w:t>。</w:t>
      </w:r>
    </w:p>
    <w:p>
      <w:pPr>
        <w:pStyle w:val="52"/>
        <w:ind w:firstLine="480"/>
        <w:jc w:val="both"/>
        <w:rPr>
          <w:rFonts w:eastAsia="宋体"/>
          <w:color w:val="auto"/>
          <w:sz w:val="24"/>
          <w:szCs w:val="24"/>
          <w:highlight w:val="none"/>
          <w:u w:val="single"/>
        </w:rPr>
      </w:pPr>
      <w:r>
        <w:rPr>
          <w:rFonts w:eastAsia="宋体"/>
          <w:color w:val="auto"/>
          <w:sz w:val="24"/>
          <w:szCs w:val="24"/>
          <w:highlight w:val="none"/>
        </w:rPr>
        <w:t>4）风险费用的计算方法：</w:t>
      </w:r>
      <w:r>
        <w:rPr>
          <w:rFonts w:eastAsia="宋体"/>
          <w:color w:val="auto"/>
          <w:sz w:val="24"/>
          <w:szCs w:val="24"/>
          <w:highlight w:val="none"/>
          <w:u w:val="single"/>
        </w:rPr>
        <w:t>已在合同暂定</w:t>
      </w:r>
      <w:r>
        <w:rPr>
          <w:rFonts w:hint="eastAsia" w:eastAsia="宋体"/>
          <w:color w:val="auto"/>
          <w:sz w:val="24"/>
          <w:szCs w:val="24"/>
          <w:highlight w:val="none"/>
          <w:u w:val="single"/>
        </w:rPr>
        <w:t>总价中综合考虑</w:t>
      </w:r>
      <w:r>
        <w:rPr>
          <w:rFonts w:eastAsia="宋体"/>
          <w:color w:val="auto"/>
          <w:sz w:val="24"/>
          <w:szCs w:val="24"/>
          <w:highlight w:val="none"/>
          <w:u w:val="single"/>
        </w:rPr>
        <w:t>（包括但不限于固定综合单价、固定费率、</w:t>
      </w:r>
      <w:r>
        <w:rPr>
          <w:rFonts w:hint="eastAsia" w:eastAsia="宋体"/>
          <w:color w:val="auto"/>
          <w:sz w:val="24"/>
          <w:szCs w:val="24"/>
          <w:highlight w:val="none"/>
          <w:u w:val="single"/>
        </w:rPr>
        <w:t>固定</w:t>
      </w:r>
      <w:r>
        <w:rPr>
          <w:rFonts w:eastAsia="宋体"/>
          <w:color w:val="auto"/>
          <w:sz w:val="24"/>
          <w:szCs w:val="24"/>
          <w:highlight w:val="none"/>
          <w:u w:val="single"/>
        </w:rPr>
        <w:t>总价）</w:t>
      </w:r>
      <w:r>
        <w:rPr>
          <w:rFonts w:hint="eastAsia" w:eastAsia="宋体"/>
          <w:color w:val="auto"/>
          <w:sz w:val="24"/>
          <w:szCs w:val="24"/>
          <w:highlight w:val="none"/>
          <w:u w:val="single"/>
        </w:rPr>
        <w:t>，不再另行计取</w:t>
      </w:r>
      <w:r>
        <w:rPr>
          <w:rFonts w:eastAsia="宋体"/>
          <w:color w:val="auto"/>
          <w:sz w:val="24"/>
          <w:szCs w:val="24"/>
          <w:highlight w:val="none"/>
          <w:u w:val="single"/>
        </w:rPr>
        <w:t>，风险范围包括但不限于如下内容：</w:t>
      </w:r>
    </w:p>
    <w:p>
      <w:pPr>
        <w:pStyle w:val="52"/>
        <w:ind w:firstLine="480"/>
        <w:jc w:val="both"/>
        <w:rPr>
          <w:rFonts w:eastAsia="宋体"/>
          <w:color w:val="auto"/>
          <w:sz w:val="24"/>
          <w:szCs w:val="24"/>
          <w:highlight w:val="none"/>
          <w:u w:val="single"/>
        </w:rPr>
      </w:pPr>
      <w:r>
        <w:rPr>
          <w:rFonts w:eastAsia="宋体"/>
          <w:color w:val="auto"/>
          <w:sz w:val="24"/>
          <w:szCs w:val="24"/>
          <w:highlight w:val="none"/>
          <w:u w:val="single"/>
        </w:rPr>
        <w:t>①人工、设备、材料、施工机械使用费的市场价格变化（合同另有明确约定的除外）；</w:t>
      </w:r>
    </w:p>
    <w:p>
      <w:pPr>
        <w:pStyle w:val="52"/>
        <w:ind w:firstLine="480"/>
        <w:jc w:val="both"/>
        <w:rPr>
          <w:rFonts w:eastAsia="宋体"/>
          <w:color w:val="auto"/>
          <w:sz w:val="24"/>
          <w:szCs w:val="24"/>
          <w:highlight w:val="none"/>
          <w:u w:val="single"/>
        </w:rPr>
      </w:pPr>
      <w:r>
        <w:rPr>
          <w:rFonts w:eastAsia="宋体"/>
          <w:color w:val="auto"/>
          <w:sz w:val="24"/>
          <w:szCs w:val="24"/>
          <w:highlight w:val="none"/>
          <w:u w:val="single"/>
        </w:rPr>
        <w:t>②包括但不限于利率、汇率或相关法律法规政策的调整；</w:t>
      </w:r>
    </w:p>
    <w:p>
      <w:pPr>
        <w:pStyle w:val="52"/>
        <w:ind w:firstLine="480"/>
        <w:jc w:val="both"/>
        <w:rPr>
          <w:rFonts w:eastAsia="宋体"/>
          <w:color w:val="auto"/>
          <w:sz w:val="24"/>
          <w:szCs w:val="24"/>
          <w:highlight w:val="none"/>
          <w:u w:val="single"/>
        </w:rPr>
      </w:pPr>
      <w:r>
        <w:rPr>
          <w:rFonts w:eastAsia="宋体"/>
          <w:color w:val="auto"/>
          <w:sz w:val="24"/>
          <w:szCs w:val="24"/>
          <w:highlight w:val="none"/>
          <w:u w:val="single"/>
        </w:rPr>
        <w:t>③承包人、施工单位通常可以预料的风险；</w:t>
      </w:r>
    </w:p>
    <w:p>
      <w:pPr>
        <w:pStyle w:val="52"/>
        <w:ind w:firstLine="480"/>
        <w:jc w:val="both"/>
        <w:rPr>
          <w:rFonts w:eastAsia="宋体"/>
          <w:color w:val="auto"/>
          <w:sz w:val="24"/>
          <w:szCs w:val="24"/>
          <w:highlight w:val="none"/>
          <w:u w:val="single"/>
        </w:rPr>
      </w:pPr>
      <w:r>
        <w:rPr>
          <w:rFonts w:eastAsia="宋体"/>
          <w:color w:val="auto"/>
          <w:sz w:val="24"/>
          <w:szCs w:val="24"/>
          <w:highlight w:val="none"/>
          <w:u w:val="single"/>
        </w:rPr>
        <w:t>④图纸虽未明确表示但按国家或地方规范必须实施的内容</w:t>
      </w:r>
      <w:r>
        <w:rPr>
          <w:rFonts w:hint="eastAsia" w:eastAsia="宋体"/>
          <w:color w:val="auto"/>
          <w:sz w:val="24"/>
          <w:szCs w:val="24"/>
          <w:highlight w:val="none"/>
          <w:u w:val="single"/>
        </w:rPr>
        <w:t>；</w:t>
      </w:r>
    </w:p>
    <w:p>
      <w:pPr>
        <w:pStyle w:val="52"/>
        <w:ind w:firstLine="480"/>
        <w:jc w:val="both"/>
        <w:rPr>
          <w:rFonts w:eastAsia="宋体"/>
          <w:color w:val="auto"/>
          <w:sz w:val="24"/>
          <w:szCs w:val="24"/>
          <w:highlight w:val="none"/>
          <w:u w:val="single"/>
        </w:rPr>
      </w:pPr>
      <w:r>
        <w:rPr>
          <w:rFonts w:eastAsia="宋体"/>
          <w:color w:val="auto"/>
          <w:sz w:val="24"/>
          <w:szCs w:val="24"/>
          <w:highlight w:val="none"/>
          <w:u w:val="single"/>
        </w:rPr>
        <w:t>⑤承包人投标时应报而漏报的但属于发包人要求做的内容。</w:t>
      </w:r>
    </w:p>
    <w:p>
      <w:pPr>
        <w:pStyle w:val="52"/>
        <w:ind w:firstLine="480"/>
        <w:jc w:val="both"/>
        <w:rPr>
          <w:rFonts w:eastAsia="宋体"/>
          <w:color w:val="auto"/>
          <w:sz w:val="24"/>
          <w:szCs w:val="24"/>
          <w:highlight w:val="none"/>
        </w:rPr>
      </w:pPr>
      <w:r>
        <w:rPr>
          <w:rFonts w:eastAsia="宋体"/>
          <w:color w:val="auto"/>
          <w:sz w:val="24"/>
          <w:szCs w:val="24"/>
          <w:highlight w:val="none"/>
        </w:rPr>
        <w:t>6）双方约定其他可调整合同价款的情形：</w:t>
      </w:r>
    </w:p>
    <w:p>
      <w:pPr>
        <w:pStyle w:val="52"/>
        <w:ind w:firstLine="480"/>
        <w:jc w:val="both"/>
        <w:rPr>
          <w:rFonts w:eastAsia="宋体"/>
          <w:color w:val="auto"/>
          <w:sz w:val="24"/>
          <w:szCs w:val="24"/>
          <w:highlight w:val="none"/>
          <w:u w:val="single"/>
        </w:rPr>
      </w:pPr>
      <w:r>
        <w:rPr>
          <w:rFonts w:eastAsia="宋体"/>
          <w:color w:val="auto"/>
          <w:sz w:val="24"/>
          <w:szCs w:val="24"/>
          <w:highlight w:val="none"/>
          <w:u w:val="single"/>
        </w:rPr>
        <w:t>①图纸与已标价的工程量清单不一致的；</w:t>
      </w:r>
    </w:p>
    <w:p>
      <w:pPr>
        <w:pStyle w:val="52"/>
        <w:ind w:firstLine="480"/>
        <w:jc w:val="both"/>
        <w:rPr>
          <w:rFonts w:eastAsia="宋体"/>
          <w:color w:val="auto"/>
          <w:sz w:val="24"/>
          <w:szCs w:val="24"/>
          <w:highlight w:val="none"/>
          <w:u w:val="single"/>
        </w:rPr>
      </w:pPr>
      <w:r>
        <w:rPr>
          <w:rFonts w:eastAsia="宋体"/>
          <w:color w:val="auto"/>
          <w:sz w:val="24"/>
          <w:szCs w:val="24"/>
          <w:highlight w:val="none"/>
          <w:u w:val="single"/>
        </w:rPr>
        <w:t>②经设计人确认且发包人同意的设计变更；</w:t>
      </w:r>
    </w:p>
    <w:p>
      <w:pPr>
        <w:pStyle w:val="52"/>
        <w:ind w:firstLine="480"/>
        <w:jc w:val="both"/>
        <w:rPr>
          <w:rFonts w:eastAsia="宋体"/>
          <w:color w:val="auto"/>
          <w:sz w:val="24"/>
          <w:szCs w:val="24"/>
          <w:highlight w:val="none"/>
          <w:u w:val="single"/>
        </w:rPr>
      </w:pPr>
      <w:r>
        <w:rPr>
          <w:rFonts w:eastAsia="宋体"/>
          <w:color w:val="auto"/>
          <w:sz w:val="24"/>
          <w:szCs w:val="24"/>
          <w:highlight w:val="none"/>
          <w:u w:val="single"/>
        </w:rPr>
        <w:t>③经发包人确认的签证；</w:t>
      </w:r>
    </w:p>
    <w:p>
      <w:pPr>
        <w:pStyle w:val="52"/>
        <w:ind w:firstLine="480"/>
        <w:jc w:val="both"/>
        <w:rPr>
          <w:rFonts w:eastAsia="宋体"/>
          <w:color w:val="auto"/>
          <w:sz w:val="24"/>
          <w:szCs w:val="24"/>
          <w:highlight w:val="none"/>
          <w:u w:val="single"/>
        </w:rPr>
      </w:pPr>
      <w:r>
        <w:rPr>
          <w:rFonts w:eastAsia="宋体"/>
          <w:color w:val="auto"/>
          <w:sz w:val="24"/>
          <w:szCs w:val="24"/>
          <w:highlight w:val="none"/>
          <w:u w:val="single"/>
        </w:rPr>
        <w:t>④本合同专用条款第16条所约定的价格调整情形；</w:t>
      </w:r>
    </w:p>
    <w:p>
      <w:pPr>
        <w:pStyle w:val="52"/>
        <w:ind w:firstLine="480"/>
        <w:jc w:val="both"/>
        <w:rPr>
          <w:rFonts w:eastAsia="宋体"/>
          <w:color w:val="auto"/>
          <w:sz w:val="24"/>
          <w:szCs w:val="24"/>
          <w:highlight w:val="none"/>
          <w:u w:val="single"/>
        </w:rPr>
      </w:pPr>
      <w:r>
        <w:rPr>
          <w:rFonts w:eastAsia="宋体"/>
          <w:color w:val="auto"/>
          <w:sz w:val="24"/>
          <w:szCs w:val="24"/>
          <w:highlight w:val="none"/>
          <w:u w:val="single"/>
        </w:rPr>
        <w:t>⑤双方在本合同中约定可调整合同价款的其他情形。</w:t>
      </w:r>
    </w:p>
    <w:p>
      <w:pPr>
        <w:pStyle w:val="52"/>
        <w:ind w:firstLine="480"/>
        <w:jc w:val="both"/>
        <w:rPr>
          <w:rFonts w:eastAsia="宋体"/>
          <w:bCs/>
          <w:color w:val="auto"/>
          <w:sz w:val="24"/>
          <w:szCs w:val="24"/>
          <w:highlight w:val="none"/>
        </w:rPr>
      </w:pPr>
      <w:r>
        <w:rPr>
          <w:rFonts w:eastAsia="宋体"/>
          <w:bCs/>
          <w:color w:val="auto"/>
          <w:sz w:val="24"/>
          <w:szCs w:val="24"/>
          <w:highlight w:val="none"/>
        </w:rPr>
        <w:t>17.2.2</w:t>
      </w:r>
      <w:r>
        <w:rPr>
          <w:rFonts w:hint="eastAsia" w:eastAsia="宋体"/>
          <w:bCs/>
          <w:color w:val="auto"/>
          <w:sz w:val="24"/>
          <w:szCs w:val="24"/>
          <w:highlight w:val="none"/>
        </w:rPr>
        <w:t>.</w:t>
      </w:r>
      <w:r>
        <w:rPr>
          <w:rFonts w:eastAsia="宋体"/>
          <w:bCs/>
          <w:color w:val="auto"/>
          <w:sz w:val="24"/>
          <w:szCs w:val="24"/>
          <w:highlight w:val="none"/>
        </w:rPr>
        <w:t xml:space="preserve"> 工程</w:t>
      </w:r>
      <w:r>
        <w:rPr>
          <w:rFonts w:hint="eastAsia" w:eastAsia="宋体"/>
          <w:bCs/>
          <w:color w:val="auto"/>
          <w:sz w:val="24"/>
          <w:szCs w:val="24"/>
          <w:highlight w:val="none"/>
        </w:rPr>
        <w:t>价</w:t>
      </w:r>
      <w:r>
        <w:rPr>
          <w:rFonts w:eastAsia="宋体"/>
          <w:bCs/>
          <w:color w:val="auto"/>
          <w:sz w:val="24"/>
          <w:szCs w:val="24"/>
          <w:highlight w:val="none"/>
        </w:rPr>
        <w:t>款支付方式</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现金支付：指采用支票或银行转账等无账期的支付方式；</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非现金支付：指采用包括但不限于商业承兑汇票、供应链票据</w:t>
      </w:r>
      <w:r>
        <w:rPr>
          <w:rFonts w:hint="eastAsia" w:ascii="Times New Roman" w:hAnsi="Times New Roman" w:cs="Times New Roman"/>
          <w:color w:val="auto"/>
          <w:sz w:val="24"/>
          <w:szCs w:val="24"/>
          <w:highlight w:val="none"/>
          <w:lang w:val="en-US" w:eastAsia="zh-CN"/>
        </w:rPr>
        <w:t>/凭证</w:t>
      </w:r>
      <w:r>
        <w:rPr>
          <w:rFonts w:hint="default" w:ascii="Times New Roman" w:hAnsi="Times New Roman" w:eastAsia="宋体" w:cs="Times New Roman"/>
          <w:color w:val="auto"/>
          <w:sz w:val="24"/>
          <w:szCs w:val="24"/>
          <w:highlight w:val="none"/>
        </w:rPr>
        <w:t>等有账期的支付方式。</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1）合同每期含税应付</w:t>
      </w:r>
      <w:r>
        <w:rPr>
          <w:rFonts w:hint="eastAsia" w:ascii="Times New Roman" w:hAnsi="Times New Roman" w:cs="Times New Roman"/>
          <w:color w:val="auto"/>
          <w:sz w:val="24"/>
          <w:szCs w:val="24"/>
          <w:highlight w:val="none"/>
          <w:lang w:val="en-US" w:eastAsia="zh-CN"/>
        </w:rPr>
        <w:t>合同</w:t>
      </w:r>
      <w:r>
        <w:rPr>
          <w:rFonts w:hint="default" w:ascii="Times New Roman" w:hAnsi="Times New Roman" w:eastAsia="宋体" w:cs="Times New Roman"/>
          <w:color w:val="auto"/>
          <w:sz w:val="24"/>
          <w:szCs w:val="24"/>
          <w:highlight w:val="none"/>
        </w:rPr>
        <w:t>款50%采用现金支付；50%非现金支付，账期为</w:t>
      </w:r>
      <w:r>
        <w:rPr>
          <w:rFonts w:hint="eastAsia"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个月；</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2）采用非现金支付，承包人在</w:t>
      </w:r>
      <w:r>
        <w:rPr>
          <w:rFonts w:hint="eastAsia" w:ascii="Times New Roman" w:hAnsi="Times New Roman" w:cs="Times New Roman"/>
          <w:color w:val="auto"/>
          <w:sz w:val="24"/>
          <w:szCs w:val="24"/>
          <w:highlight w:val="none"/>
          <w:lang w:val="en-US" w:eastAsia="zh-CN"/>
        </w:rPr>
        <w:t>签收、登记或确认发包人开具的</w:t>
      </w:r>
      <w:r>
        <w:rPr>
          <w:rFonts w:hint="default" w:ascii="Times New Roman" w:hAnsi="Times New Roman" w:eastAsia="宋体" w:cs="Times New Roman"/>
          <w:color w:val="auto"/>
          <w:sz w:val="24"/>
          <w:szCs w:val="24"/>
          <w:highlight w:val="none"/>
        </w:rPr>
        <w:t>商业承兑汇票、供应链票据</w:t>
      </w:r>
      <w:r>
        <w:rPr>
          <w:rFonts w:hint="eastAsia" w:ascii="Times New Roman" w:hAnsi="Times New Roman" w:cs="Times New Roman"/>
          <w:color w:val="auto"/>
          <w:sz w:val="24"/>
          <w:szCs w:val="24"/>
          <w:highlight w:val="none"/>
          <w:lang w:val="en-US" w:eastAsia="zh-CN"/>
        </w:rPr>
        <w:t>/凭证时，视同已完成非现金支付部分合同款付款，发包人对应的应付合同款转为应履行相应商业承兑汇票、供应链票据/凭证项下的兑付义务；承包人在商业承兑汇票、供应链票据/凭证到期前</w:t>
      </w:r>
      <w:r>
        <w:rPr>
          <w:rFonts w:hint="default" w:ascii="Times New Roman" w:hAnsi="Times New Roman" w:eastAsia="宋体" w:cs="Times New Roman"/>
          <w:color w:val="auto"/>
          <w:sz w:val="24"/>
          <w:szCs w:val="24"/>
          <w:highlight w:val="none"/>
        </w:rPr>
        <w:t>进行贴现的，所有贴现相关费用由承包人自行承担；承包人将上述账期内对应的应收账款转让给保理公司进行保理融资的，由承包人与保理公司另行签署保理融资协议或合同，所有保理相关费用由承包人自行承担。</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3）在发包人向承包人付款（含非现金支付部分）前，承包人须向发包人提供经发包人审核同意的足额增值税专用发票</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发包人采用非现金支付方式的，承包人同意无条件配合办理开具商业承兑汇票、供应链票据/凭证等支付工具的相关手续，否则视同承包人违约，发包人可延后办理对应非现金付款手续且不承担任何责任</w:t>
      </w:r>
      <w:r>
        <w:rPr>
          <w:rFonts w:hint="default" w:ascii="Times New Roman" w:hAnsi="Times New Roman" w:eastAsia="宋体" w:cs="Times New Roman"/>
          <w:color w:val="auto"/>
          <w:sz w:val="24"/>
          <w:szCs w:val="24"/>
          <w:highlight w:val="none"/>
        </w:rPr>
        <w:t>。</w:t>
      </w:r>
    </w:p>
    <w:p>
      <w:pPr>
        <w:adjustRightInd w:val="0"/>
        <w:snapToGrid w:val="0"/>
        <w:spacing w:line="360" w:lineRule="auto"/>
        <w:ind w:firstLine="480" w:firstLineChars="200"/>
        <w:rPr>
          <w:rFonts w:ascii="Times New Roman" w:hAnsi="Times New Roman"/>
          <w:color w:val="auto"/>
          <w:sz w:val="24"/>
          <w:szCs w:val="24"/>
          <w:highlight w:val="none"/>
        </w:rPr>
      </w:pPr>
      <w:r>
        <w:rPr>
          <w:rFonts w:hint="default" w:ascii="Times New Roman" w:hAnsi="Times New Roman" w:eastAsia="宋体" w:cs="Times New Roman"/>
          <w:color w:val="auto"/>
          <w:sz w:val="24"/>
          <w:szCs w:val="24"/>
          <w:highlight w:val="none"/>
        </w:rPr>
        <w:t>4）支付每期应付</w:t>
      </w:r>
      <w:r>
        <w:rPr>
          <w:rFonts w:hint="eastAsia" w:ascii="Times New Roman" w:hAnsi="Times New Roman" w:cs="Times New Roman"/>
          <w:color w:val="auto"/>
          <w:sz w:val="24"/>
          <w:szCs w:val="24"/>
          <w:highlight w:val="none"/>
          <w:lang w:val="en-US" w:eastAsia="zh-CN"/>
        </w:rPr>
        <w:t>合同</w:t>
      </w:r>
      <w:r>
        <w:rPr>
          <w:rFonts w:hint="default" w:ascii="Times New Roman" w:hAnsi="Times New Roman" w:eastAsia="宋体" w:cs="Times New Roman"/>
          <w:color w:val="auto"/>
          <w:sz w:val="24"/>
          <w:szCs w:val="24"/>
          <w:highlight w:val="none"/>
        </w:rPr>
        <w:t>款时，对50%的非现金支付合同价款：如发包人选择使用现金支付方式向承包人支付的，承包人无条件同意，按该50%非现金支付合同价款的9</w:t>
      </w:r>
      <w:r>
        <w:rPr>
          <w:rFonts w:hint="eastAsia" w:ascii="Times New Roman" w:hAnsi="Times New Roman"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5%支付该期应付</w:t>
      </w:r>
      <w:r>
        <w:rPr>
          <w:rFonts w:hint="eastAsia" w:ascii="Times New Roman" w:hAnsi="Times New Roman" w:cs="Times New Roman"/>
          <w:color w:val="auto"/>
          <w:sz w:val="24"/>
          <w:szCs w:val="24"/>
          <w:highlight w:val="none"/>
          <w:lang w:val="en-US" w:eastAsia="zh-CN"/>
        </w:rPr>
        <w:t>合同</w:t>
      </w:r>
      <w:r>
        <w:rPr>
          <w:rFonts w:hint="default" w:ascii="Times New Roman" w:hAnsi="Times New Roman" w:eastAsia="宋体" w:cs="Times New Roman"/>
          <w:color w:val="auto"/>
          <w:sz w:val="24"/>
          <w:szCs w:val="24"/>
          <w:highlight w:val="none"/>
        </w:rPr>
        <w:t>款的非现金支付部分，并确认该期应付</w:t>
      </w:r>
      <w:r>
        <w:rPr>
          <w:rFonts w:hint="eastAsia" w:ascii="Times New Roman" w:hAnsi="Times New Roman" w:cs="Times New Roman"/>
          <w:color w:val="auto"/>
          <w:sz w:val="24"/>
          <w:szCs w:val="24"/>
          <w:highlight w:val="none"/>
          <w:lang w:val="en-US" w:eastAsia="zh-CN"/>
        </w:rPr>
        <w:t>合同</w:t>
      </w:r>
      <w:r>
        <w:rPr>
          <w:rFonts w:hint="default" w:ascii="Times New Roman" w:hAnsi="Times New Roman" w:eastAsia="宋体" w:cs="Times New Roman"/>
          <w:color w:val="auto"/>
          <w:sz w:val="24"/>
          <w:szCs w:val="24"/>
          <w:highlight w:val="none"/>
        </w:rPr>
        <w:t>款的50%非现金支付部分已按现金支付方式足额支付。</w:t>
      </w:r>
    </w:p>
    <w:p>
      <w:pPr>
        <w:pStyle w:val="77"/>
        <w:spacing w:before="0" w:after="0"/>
        <w:ind w:firstLine="480"/>
        <w:rPr>
          <w:rFonts w:eastAsia="宋体"/>
          <w:color w:val="auto"/>
          <w:szCs w:val="24"/>
          <w:highlight w:val="none"/>
        </w:rPr>
      </w:pPr>
      <w:r>
        <w:rPr>
          <w:rFonts w:eastAsia="宋体"/>
          <w:color w:val="auto"/>
          <w:szCs w:val="24"/>
          <w:highlight w:val="none"/>
        </w:rPr>
        <w:t>17.</w:t>
      </w:r>
      <w:r>
        <w:rPr>
          <w:rFonts w:hint="eastAsia" w:eastAsia="宋体"/>
          <w:color w:val="auto"/>
          <w:szCs w:val="24"/>
          <w:highlight w:val="none"/>
        </w:rPr>
        <w:t>3</w:t>
      </w:r>
      <w:r>
        <w:rPr>
          <w:rFonts w:eastAsia="宋体"/>
          <w:color w:val="auto"/>
          <w:szCs w:val="24"/>
          <w:highlight w:val="none"/>
        </w:rPr>
        <w:t>.</w:t>
      </w:r>
      <w:r>
        <w:rPr>
          <w:rFonts w:hint="eastAsia" w:eastAsia="宋体"/>
          <w:color w:val="auto"/>
          <w:szCs w:val="24"/>
          <w:highlight w:val="none"/>
        </w:rPr>
        <w:t xml:space="preserve"> 总承包服务费</w:t>
      </w:r>
    </w:p>
    <w:p>
      <w:pPr>
        <w:pStyle w:val="52"/>
        <w:ind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17.3.1.若承包人未能按照《总承包管理与配合服务管理要求》履行相应义务及职责，或恶意刁难专业承包人的，则视为承包人违约行为。承包人该等违约行为经</w:t>
      </w:r>
      <w:r>
        <w:rPr>
          <w:rFonts w:hint="eastAsia"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核实后，发包人有权直接从承包人应收工程进度款中扣减违约金，违约金视</w:t>
      </w:r>
      <w:r>
        <w:rPr>
          <w:rFonts w:hint="eastAsia"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裁定的违约情节严重程度，按2000~10000元/次计算。</w:t>
      </w:r>
    </w:p>
    <w:p>
      <w:pPr>
        <w:pStyle w:val="52"/>
        <w:ind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若承包人原因导致总承包的管理与配合工作执行不利影响工期进展的，则发包人有权另行委托第三方执行总承包的管理与配合工作。由发包人另行委托第三方执行的，则所发生的费用均应由承包人自行承担，并在承包人的当期应收工程款中直接扣除，同时承包人应向发包人支付违约金，违约金按另行委托第三方费用的2%计算。 </w:t>
      </w:r>
    </w:p>
    <w:p>
      <w:pPr>
        <w:pStyle w:val="52"/>
        <w:ind w:firstLine="42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17.3.2.通用条款17.3.2修订为：总承包服务费已在合同单价中综合考虑，发包人不再另行支付，承包人不得向分包工程或配合工程施工单位另外收取任何总承包管理配合费。发包人发现承包人存在向发包人另行发包的专业工程承包人另外收取总承包服务费的，承包人应按其收取服务费标准的双倍向发包人承担违约责任，同时发包人有权从应向承包人支付的工程款（包含总承包服务费）中扣除承包人应付违约金及向专业工程承包人另外收取的服务费用。</w:t>
      </w:r>
    </w:p>
    <w:p>
      <w:pPr>
        <w:pStyle w:val="77"/>
        <w:spacing w:before="0" w:after="0"/>
        <w:ind w:firstLine="480"/>
        <w:rPr>
          <w:rFonts w:eastAsia="宋体"/>
          <w:color w:val="auto"/>
          <w:szCs w:val="24"/>
          <w:highlight w:val="none"/>
        </w:rPr>
      </w:pPr>
      <w:bookmarkStart w:id="1268" w:name="_Toc21731"/>
      <w:bookmarkStart w:id="1269" w:name="_Toc44492607"/>
      <w:bookmarkStart w:id="1270" w:name="_Toc3610"/>
      <w:r>
        <w:rPr>
          <w:rFonts w:eastAsia="宋体"/>
          <w:color w:val="auto"/>
          <w:szCs w:val="24"/>
          <w:highlight w:val="none"/>
        </w:rPr>
        <w:t>17.4.</w:t>
      </w:r>
      <w:r>
        <w:rPr>
          <w:rFonts w:hint="eastAsia" w:eastAsia="宋体"/>
          <w:color w:val="auto"/>
          <w:szCs w:val="24"/>
          <w:highlight w:val="none"/>
        </w:rPr>
        <w:t xml:space="preserve"> </w:t>
      </w:r>
      <w:r>
        <w:rPr>
          <w:rFonts w:eastAsia="宋体"/>
          <w:color w:val="auto"/>
          <w:szCs w:val="24"/>
          <w:highlight w:val="none"/>
        </w:rPr>
        <w:t>预付款</w:t>
      </w:r>
      <w:bookmarkEnd w:id="1268"/>
      <w:bookmarkEnd w:id="1269"/>
      <w:bookmarkEnd w:id="1270"/>
    </w:p>
    <w:p>
      <w:pPr>
        <w:pStyle w:val="77"/>
        <w:spacing w:before="0" w:after="0"/>
        <w:ind w:firstLine="480"/>
        <w:rPr>
          <w:rFonts w:eastAsia="宋体"/>
          <w:color w:val="auto"/>
          <w:szCs w:val="24"/>
          <w:highlight w:val="none"/>
        </w:rPr>
      </w:pPr>
      <w:r>
        <w:rPr>
          <w:rFonts w:eastAsia="宋体"/>
          <w:color w:val="auto"/>
          <w:szCs w:val="24"/>
          <w:highlight w:val="none"/>
        </w:rPr>
        <w:t>本合同不设预付款</w:t>
      </w:r>
    </w:p>
    <w:p>
      <w:pPr>
        <w:pStyle w:val="77"/>
        <w:spacing w:before="0" w:after="0"/>
        <w:ind w:firstLine="480"/>
        <w:rPr>
          <w:rFonts w:eastAsia="宋体"/>
          <w:color w:val="auto"/>
          <w:szCs w:val="24"/>
          <w:highlight w:val="none"/>
        </w:rPr>
      </w:pPr>
      <w:bookmarkStart w:id="1271" w:name="_Toc44492608"/>
      <w:bookmarkStart w:id="1272" w:name="_Toc26072"/>
      <w:bookmarkStart w:id="1273" w:name="_Toc30989"/>
      <w:r>
        <w:rPr>
          <w:rFonts w:eastAsia="宋体"/>
          <w:color w:val="auto"/>
          <w:szCs w:val="24"/>
          <w:highlight w:val="none"/>
        </w:rPr>
        <w:t xml:space="preserve">17.5. </w:t>
      </w:r>
      <w:r>
        <w:rPr>
          <w:rFonts w:hint="eastAsia" w:eastAsia="宋体"/>
          <w:color w:val="auto"/>
          <w:szCs w:val="24"/>
          <w:highlight w:val="none"/>
        </w:rPr>
        <w:t>工程进度付款</w:t>
      </w:r>
      <w:bookmarkEnd w:id="1271"/>
      <w:bookmarkEnd w:id="1272"/>
      <w:bookmarkEnd w:id="1273"/>
    </w:p>
    <w:p>
      <w:pPr>
        <w:pStyle w:val="52"/>
        <w:ind w:firstLine="480"/>
        <w:jc w:val="both"/>
        <w:rPr>
          <w:rFonts w:eastAsia="宋体"/>
          <w:color w:val="auto"/>
          <w:sz w:val="24"/>
          <w:szCs w:val="24"/>
          <w:highlight w:val="none"/>
        </w:rPr>
      </w:pPr>
      <w:r>
        <w:rPr>
          <w:rFonts w:eastAsia="宋体"/>
          <w:color w:val="auto"/>
          <w:sz w:val="24"/>
          <w:szCs w:val="24"/>
          <w:highlight w:val="none"/>
        </w:rPr>
        <w:t xml:space="preserve">17.5.1. </w:t>
      </w:r>
      <w:r>
        <w:rPr>
          <w:rFonts w:hint="eastAsia" w:eastAsia="宋体"/>
          <w:color w:val="auto"/>
          <w:sz w:val="24"/>
          <w:szCs w:val="24"/>
          <w:highlight w:val="none"/>
        </w:rPr>
        <w:t>工程进度款根据以下各施工节点形象进度完成情况支付</w:t>
      </w:r>
      <w:r>
        <w:rPr>
          <w:rFonts w:eastAsia="宋体"/>
          <w:color w:val="auto"/>
          <w:sz w:val="24"/>
          <w:szCs w:val="24"/>
          <w:highlight w:val="none"/>
        </w:rPr>
        <w:t>:</w:t>
      </w:r>
    </w:p>
    <w:p>
      <w:pPr>
        <w:pStyle w:val="52"/>
        <w:ind w:firstLine="480"/>
        <w:jc w:val="both"/>
        <w:rPr>
          <w:rFonts w:hint="eastAsia" w:eastAsia="宋体"/>
          <w:color w:val="auto"/>
          <w:sz w:val="24"/>
          <w:szCs w:val="24"/>
          <w:highlight w:val="none"/>
          <w:lang w:val="en-US" w:eastAsia="zh-CN"/>
        </w:rPr>
      </w:pPr>
      <w:r>
        <w:rPr>
          <w:rFonts w:eastAsia="宋体"/>
          <w:color w:val="auto"/>
          <w:sz w:val="24"/>
          <w:szCs w:val="24"/>
          <w:highlight w:val="none"/>
        </w:rPr>
        <w:t>（1）绿色施工安全防护措施费支付方式：</w:t>
      </w:r>
    </w:p>
    <w:p>
      <w:pPr>
        <w:pStyle w:val="52"/>
        <w:ind w:firstLine="480"/>
        <w:jc w:val="both"/>
        <w:rPr>
          <w:rFonts w:eastAsia="宋体"/>
          <w:color w:val="auto"/>
          <w:sz w:val="24"/>
          <w:szCs w:val="24"/>
          <w:highlight w:val="none"/>
        </w:rPr>
      </w:pPr>
      <w:r>
        <w:rPr>
          <w:rFonts w:eastAsia="宋体"/>
          <w:color w:val="auto"/>
          <w:sz w:val="24"/>
          <w:szCs w:val="24"/>
          <w:highlight w:val="none"/>
        </w:rPr>
        <w:sym w:font="Wingdings 2" w:char="0052"/>
      </w:r>
      <w:r>
        <w:rPr>
          <w:rFonts w:eastAsia="宋体"/>
          <w:color w:val="auto"/>
          <w:sz w:val="24"/>
          <w:szCs w:val="24"/>
          <w:highlight w:val="none"/>
        </w:rPr>
        <w:t>方式一（适用于工期在一年以内的）：</w:t>
      </w:r>
    </w:p>
    <w:p>
      <w:pPr>
        <w:pStyle w:val="52"/>
        <w:ind w:firstLine="480"/>
        <w:jc w:val="both"/>
        <w:rPr>
          <w:rFonts w:eastAsia="宋体"/>
          <w:color w:val="auto"/>
          <w:sz w:val="24"/>
          <w:szCs w:val="24"/>
          <w:highlight w:val="none"/>
        </w:rPr>
      </w:pPr>
      <w:r>
        <w:rPr>
          <w:rFonts w:eastAsia="宋体"/>
          <w:color w:val="auto"/>
          <w:sz w:val="24"/>
          <w:szCs w:val="24"/>
          <w:highlight w:val="none"/>
        </w:rPr>
        <w:t>在本工程开工日起计</w:t>
      </w:r>
      <w:r>
        <w:rPr>
          <w:rFonts w:eastAsia="宋体"/>
          <w:color w:val="auto"/>
          <w:sz w:val="24"/>
          <w:szCs w:val="24"/>
          <w:highlight w:val="none"/>
          <w:u w:val="single"/>
        </w:rPr>
        <w:t>第28天</w:t>
      </w:r>
      <w:r>
        <w:rPr>
          <w:rFonts w:eastAsia="宋体"/>
          <w:color w:val="auto"/>
          <w:sz w:val="24"/>
          <w:szCs w:val="24"/>
          <w:highlight w:val="none"/>
        </w:rPr>
        <w:t>内，且承包人已向发包人提交</w:t>
      </w:r>
      <w:r>
        <w:rPr>
          <w:rFonts w:hint="eastAsia" w:eastAsia="宋体"/>
          <w:color w:val="auto"/>
          <w:sz w:val="24"/>
          <w:szCs w:val="24"/>
          <w:highlight w:val="none"/>
          <w:lang w:val="en-US" w:eastAsia="zh-CN"/>
        </w:rPr>
        <w:t>履约担保和</w:t>
      </w:r>
      <w:r>
        <w:rPr>
          <w:rFonts w:eastAsia="宋体"/>
          <w:color w:val="auto"/>
          <w:sz w:val="24"/>
          <w:szCs w:val="24"/>
          <w:highlight w:val="none"/>
        </w:rPr>
        <w:t>满足本工程要求的绿色施工安全防护措施方案与计划后，承包人可向发包人申请预付绿色施工安全防护措施费。经发包人审核满足支付条件后30天内，向承包人支付</w:t>
      </w:r>
      <w:r>
        <w:rPr>
          <w:rFonts w:hint="eastAsia" w:eastAsia="宋体"/>
          <w:bCs/>
          <w:color w:val="auto"/>
          <w:sz w:val="24"/>
          <w:szCs w:val="24"/>
          <w:highlight w:val="none"/>
        </w:rPr>
        <w:t>至</w:t>
      </w:r>
      <w:r>
        <w:rPr>
          <w:rFonts w:eastAsia="宋体"/>
          <w:color w:val="auto"/>
          <w:sz w:val="24"/>
          <w:szCs w:val="24"/>
          <w:highlight w:val="none"/>
        </w:rPr>
        <w:t>绿色施工安全防护措施费总额的</w:t>
      </w:r>
      <w:r>
        <w:rPr>
          <w:rFonts w:eastAsia="宋体"/>
          <w:color w:val="auto"/>
          <w:sz w:val="24"/>
          <w:szCs w:val="24"/>
          <w:highlight w:val="none"/>
          <w:u w:val="single"/>
        </w:rPr>
        <w:t>50%</w:t>
      </w:r>
      <w:r>
        <w:rPr>
          <w:rFonts w:eastAsia="宋体"/>
          <w:color w:val="auto"/>
          <w:sz w:val="24"/>
          <w:szCs w:val="24"/>
          <w:highlight w:val="none"/>
        </w:rPr>
        <w:t>，同时扣减应扣款项。该笔</w:t>
      </w:r>
      <w:r>
        <w:rPr>
          <w:rFonts w:hint="eastAsia" w:eastAsia="宋体"/>
          <w:color w:val="auto"/>
          <w:sz w:val="24"/>
          <w:szCs w:val="24"/>
          <w:highlight w:val="none"/>
        </w:rPr>
        <w:t>款项从</w:t>
      </w:r>
      <w:r>
        <w:rPr>
          <w:rFonts w:eastAsia="宋体"/>
          <w:color w:val="auto"/>
          <w:sz w:val="24"/>
          <w:szCs w:val="24"/>
          <w:highlight w:val="none"/>
        </w:rPr>
        <w:t>发包人支付第一期工程进度款时逐步扣回，每次回扣标准为当期已完工且合格工程估值中的对应绿色施工安全防护措施费，直至该笔</w:t>
      </w:r>
      <w:r>
        <w:rPr>
          <w:rFonts w:hint="eastAsia" w:eastAsia="宋体"/>
          <w:color w:val="auto"/>
          <w:sz w:val="24"/>
          <w:szCs w:val="24"/>
          <w:highlight w:val="none"/>
        </w:rPr>
        <w:t>款</w:t>
      </w:r>
      <w:r>
        <w:rPr>
          <w:rFonts w:eastAsia="宋体"/>
          <w:color w:val="auto"/>
          <w:sz w:val="24"/>
          <w:szCs w:val="24"/>
          <w:highlight w:val="none"/>
        </w:rPr>
        <w:t>项全部扣回为止。自该笔</w:t>
      </w:r>
      <w:r>
        <w:rPr>
          <w:rFonts w:hint="eastAsia" w:eastAsia="宋体"/>
          <w:color w:val="auto"/>
          <w:sz w:val="24"/>
          <w:szCs w:val="24"/>
          <w:highlight w:val="none"/>
        </w:rPr>
        <w:t>款项</w:t>
      </w:r>
      <w:r>
        <w:rPr>
          <w:rFonts w:eastAsia="宋体"/>
          <w:color w:val="auto"/>
          <w:sz w:val="24"/>
          <w:szCs w:val="24"/>
          <w:highlight w:val="none"/>
        </w:rPr>
        <w:t>全部扣回之日起，绿色施工安全防护措施费以当期工程进度完成的工程量为基础进行计算并随进度款同期、同比例支付。</w:t>
      </w:r>
    </w:p>
    <w:p>
      <w:pPr>
        <w:pStyle w:val="52"/>
        <w:ind w:firstLine="480"/>
        <w:jc w:val="both"/>
        <w:rPr>
          <w:rFonts w:eastAsia="宋体"/>
          <w:color w:val="auto"/>
          <w:sz w:val="24"/>
          <w:szCs w:val="24"/>
          <w:highlight w:val="none"/>
        </w:rPr>
      </w:pPr>
      <w:r>
        <w:rPr>
          <w:rFonts w:eastAsia="宋体"/>
          <w:color w:val="auto"/>
          <w:sz w:val="24"/>
          <w:szCs w:val="24"/>
          <w:highlight w:val="none"/>
        </w:rPr>
        <w:sym w:font="Wingdings 2" w:char="00A3"/>
      </w:r>
      <w:r>
        <w:rPr>
          <w:rFonts w:eastAsia="宋体"/>
          <w:color w:val="auto"/>
          <w:sz w:val="24"/>
          <w:szCs w:val="24"/>
          <w:highlight w:val="none"/>
        </w:rPr>
        <w:t>方式二（适用于工期满一年及以上的）：</w:t>
      </w:r>
    </w:p>
    <w:p>
      <w:pPr>
        <w:pStyle w:val="52"/>
        <w:ind w:firstLine="480"/>
        <w:jc w:val="both"/>
        <w:rPr>
          <w:rStyle w:val="45"/>
          <w:color w:val="auto"/>
          <w:kern w:val="2"/>
          <w:highlight w:val="none"/>
        </w:rPr>
      </w:pPr>
      <w:r>
        <w:rPr>
          <w:rFonts w:eastAsia="宋体"/>
          <w:color w:val="auto"/>
          <w:sz w:val="24"/>
          <w:szCs w:val="24"/>
          <w:highlight w:val="none"/>
        </w:rPr>
        <w:t>在本工程开工日起计第28天内，且承包人已向发包人提交满足本工程要求的绿色施工安全防护措施方案与计划后，承包人可向发包人申请</w:t>
      </w:r>
      <w:r>
        <w:rPr>
          <w:rFonts w:hint="eastAsia" w:eastAsia="宋体"/>
          <w:color w:val="auto"/>
          <w:sz w:val="24"/>
          <w:szCs w:val="24"/>
          <w:highlight w:val="none"/>
        </w:rPr>
        <w:t>支</w:t>
      </w:r>
      <w:r>
        <w:rPr>
          <w:rFonts w:eastAsia="宋体"/>
          <w:color w:val="auto"/>
          <w:sz w:val="24"/>
          <w:szCs w:val="24"/>
          <w:highlight w:val="none"/>
        </w:rPr>
        <w:t>付绿色施工安全防护措施费。经发包人审核满足支付条件后30天内，向承包人支付至绿色施工安全防护措施费总额的30%，同时扣减应扣款项。该笔</w:t>
      </w:r>
      <w:r>
        <w:rPr>
          <w:rFonts w:hint="eastAsia" w:eastAsia="宋体"/>
          <w:color w:val="auto"/>
          <w:sz w:val="24"/>
          <w:szCs w:val="24"/>
          <w:highlight w:val="none"/>
        </w:rPr>
        <w:t>款项从</w:t>
      </w:r>
      <w:r>
        <w:rPr>
          <w:rFonts w:eastAsia="宋体"/>
          <w:color w:val="auto"/>
          <w:sz w:val="24"/>
          <w:szCs w:val="24"/>
          <w:highlight w:val="none"/>
        </w:rPr>
        <w:t>发包人支付第一期工程进度款时逐步扣回，每次回扣标准为当期已完工且合格工程估值中的对应绿色施工安全防护措施费，直至该笔</w:t>
      </w:r>
      <w:r>
        <w:rPr>
          <w:rFonts w:hint="eastAsia" w:eastAsia="宋体"/>
          <w:color w:val="auto"/>
          <w:sz w:val="24"/>
          <w:szCs w:val="24"/>
          <w:highlight w:val="none"/>
        </w:rPr>
        <w:t>款</w:t>
      </w:r>
      <w:r>
        <w:rPr>
          <w:rFonts w:eastAsia="宋体"/>
          <w:color w:val="auto"/>
          <w:sz w:val="24"/>
          <w:szCs w:val="24"/>
          <w:highlight w:val="none"/>
        </w:rPr>
        <w:t>项全部扣回为止。自该笔</w:t>
      </w:r>
      <w:r>
        <w:rPr>
          <w:rFonts w:hint="eastAsia" w:eastAsia="宋体"/>
          <w:color w:val="auto"/>
          <w:sz w:val="24"/>
          <w:szCs w:val="24"/>
          <w:highlight w:val="none"/>
        </w:rPr>
        <w:t>款项</w:t>
      </w:r>
      <w:r>
        <w:rPr>
          <w:rFonts w:eastAsia="宋体"/>
          <w:color w:val="auto"/>
          <w:sz w:val="24"/>
          <w:szCs w:val="24"/>
          <w:highlight w:val="none"/>
        </w:rPr>
        <w:t>全部扣回之日起，绿色施工安全防护措施费以当期工程进度完成的工程量为基础进行计算并随进度款同期、同比例支付。</w:t>
      </w:r>
    </w:p>
    <w:p>
      <w:pPr>
        <w:pStyle w:val="52"/>
        <w:ind w:firstLine="480"/>
        <w:jc w:val="both"/>
        <w:rPr>
          <w:rFonts w:eastAsia="宋体"/>
          <w:color w:val="auto"/>
          <w:sz w:val="24"/>
          <w:szCs w:val="24"/>
          <w:highlight w:val="none"/>
        </w:rPr>
      </w:pPr>
      <w:r>
        <w:rPr>
          <w:rFonts w:eastAsia="宋体"/>
          <w:color w:val="auto"/>
          <w:sz w:val="24"/>
          <w:szCs w:val="24"/>
          <w:highlight w:val="none"/>
        </w:rPr>
        <w:t>承包人应建立绿色施工安全防护措施费账户，确保</w:t>
      </w:r>
      <w:r>
        <w:rPr>
          <w:rFonts w:hint="eastAsia" w:eastAsia="宋体"/>
          <w:color w:val="auto"/>
          <w:sz w:val="24"/>
          <w:szCs w:val="24"/>
          <w:highlight w:val="none"/>
        </w:rPr>
        <w:t>专</w:t>
      </w:r>
      <w:r>
        <w:rPr>
          <w:rFonts w:eastAsia="宋体"/>
          <w:color w:val="auto"/>
          <w:sz w:val="24"/>
          <w:szCs w:val="24"/>
          <w:highlight w:val="none"/>
        </w:rPr>
        <w:t>款专用，在财务管理中单独列出安全防护、文明施工措施费清单；发包人有权对建设工程安全防护、文明施工措施的组织实施进行现场监督检查。</w:t>
      </w:r>
    </w:p>
    <w:p>
      <w:pPr>
        <w:pStyle w:val="52"/>
        <w:ind w:firstLine="480"/>
        <w:jc w:val="both"/>
        <w:rPr>
          <w:rFonts w:eastAsia="宋体"/>
          <w:color w:val="auto"/>
          <w:sz w:val="24"/>
          <w:szCs w:val="24"/>
          <w:highlight w:val="none"/>
        </w:rPr>
      </w:pPr>
      <w:r>
        <w:rPr>
          <w:rFonts w:eastAsia="宋体"/>
          <w:color w:val="auto"/>
          <w:sz w:val="24"/>
          <w:szCs w:val="24"/>
          <w:highlight w:val="none"/>
        </w:rPr>
        <w:t>（2）工程进度款</w:t>
      </w:r>
    </w:p>
    <w:p>
      <w:pPr>
        <w:adjustRightInd w:val="0"/>
        <w:snapToGrid w:val="0"/>
        <w:spacing w:line="360" w:lineRule="auto"/>
        <w:ind w:firstLine="480" w:firstLineChars="200"/>
        <w:outlineLvl w:val="3"/>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1</w:t>
      </w:r>
      <w:r>
        <w:rPr>
          <w:rFonts w:ascii="Times New Roman" w:hAnsi="Times New Roman"/>
          <w:bCs/>
          <w:color w:val="auto"/>
          <w:kern w:val="0"/>
          <w:sz w:val="24"/>
          <w:szCs w:val="24"/>
          <w:highlight w:val="none"/>
        </w:rPr>
        <w:t>）</w:t>
      </w:r>
      <w:r>
        <w:rPr>
          <w:rFonts w:hint="eastAsia" w:ascii="Times New Roman" w:hAnsi="Times New Roman"/>
          <w:bCs/>
          <w:color w:val="auto"/>
          <w:kern w:val="0"/>
          <w:sz w:val="24"/>
          <w:szCs w:val="24"/>
          <w:highlight w:val="none"/>
          <w:lang w:eastAsia="zh-CN"/>
        </w:rPr>
        <w:t>发包人</w:t>
      </w:r>
      <w:r>
        <w:rPr>
          <w:rFonts w:ascii="Times New Roman" w:hAnsi="Times New Roman"/>
          <w:bCs/>
          <w:color w:val="auto"/>
          <w:kern w:val="0"/>
          <w:sz w:val="24"/>
          <w:szCs w:val="24"/>
          <w:highlight w:val="none"/>
        </w:rPr>
        <w:t>在收到承包人工程量报告后</w:t>
      </w:r>
      <w:r>
        <w:rPr>
          <w:rFonts w:hint="eastAsia" w:ascii="Times New Roman" w:hAnsi="Times New Roman"/>
          <w:bCs/>
          <w:color w:val="auto"/>
          <w:kern w:val="0"/>
          <w:sz w:val="24"/>
          <w:szCs w:val="24"/>
          <w:highlight w:val="none"/>
          <w:lang w:val="en-US" w:eastAsia="zh-CN"/>
        </w:rPr>
        <w:t>10</w:t>
      </w:r>
      <w:r>
        <w:rPr>
          <w:rFonts w:ascii="Times New Roman" w:hAnsi="Times New Roman"/>
          <w:bCs/>
          <w:color w:val="auto"/>
          <w:kern w:val="0"/>
          <w:sz w:val="24"/>
          <w:szCs w:val="24"/>
          <w:highlight w:val="none"/>
        </w:rPr>
        <w:t>天内完成工程量的审核，承包人根据经发包人确认的书面工程量向发包人申请支付合同款项。</w:t>
      </w:r>
    </w:p>
    <w:p>
      <w:pPr>
        <w:adjustRightInd w:val="0"/>
        <w:snapToGrid w:val="0"/>
        <w:spacing w:line="360" w:lineRule="auto"/>
        <w:ind w:firstLine="480" w:firstLineChars="200"/>
        <w:outlineLvl w:val="3"/>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2</w:t>
      </w:r>
      <w:r>
        <w:rPr>
          <w:rFonts w:ascii="Times New Roman" w:hAnsi="Times New Roman"/>
          <w:bCs/>
          <w:color w:val="auto"/>
          <w:kern w:val="0"/>
          <w:sz w:val="24"/>
          <w:szCs w:val="24"/>
          <w:highlight w:val="none"/>
        </w:rPr>
        <w:t>）分部分项进度款按如下节点分期支付：</w:t>
      </w:r>
    </w:p>
    <w:p>
      <w:pPr>
        <w:pStyle w:val="52"/>
        <w:ind w:firstLine="480"/>
        <w:rPr>
          <w:rFonts w:hint="eastAsia" w:eastAsia="宋体"/>
          <w:bCs/>
          <w:color w:val="auto"/>
          <w:sz w:val="24"/>
          <w:szCs w:val="24"/>
          <w:highlight w:val="none"/>
          <w:lang w:eastAsia="zh-CN"/>
        </w:rPr>
      </w:pPr>
      <w:r>
        <w:rPr>
          <w:rFonts w:hint="eastAsia" w:eastAsia="宋体"/>
          <w:bCs/>
          <w:color w:val="auto"/>
          <w:sz w:val="24"/>
          <w:szCs w:val="24"/>
          <w:highlight w:val="none"/>
          <w:lang w:val="en-US" w:eastAsia="zh-CN"/>
        </w:rPr>
        <w:t>承包人每月10日前提交本月施工及材料备货计划，经发包人审核通过后，作为本月施工进度标准；</w:t>
      </w:r>
      <w:r>
        <w:rPr>
          <w:rFonts w:hint="default" w:ascii="Times New Roman" w:hAnsi="Times New Roman" w:eastAsia="宋体"/>
          <w:bCs w:val="0"/>
          <w:color w:val="auto"/>
          <w:sz w:val="24"/>
          <w:szCs w:val="24"/>
          <w:highlight w:val="none"/>
        </w:rPr>
        <w:t>承包人材料的分批次采购与进场计划均应报发包人书面同意，且到场材料设备的仓储、保管、保护、二次搬运费用及对应的破损、毁损、丢失等风险均由承包人自行承担</w:t>
      </w:r>
      <w:r>
        <w:rPr>
          <w:rFonts w:hint="eastAsia" w:eastAsia="宋体"/>
          <w:bCs/>
          <w:color w:val="auto"/>
          <w:sz w:val="24"/>
          <w:szCs w:val="24"/>
          <w:highlight w:val="none"/>
          <w:lang w:val="en-US" w:eastAsia="zh-CN"/>
        </w:rPr>
        <w:t>。</w:t>
      </w:r>
      <w:r>
        <w:rPr>
          <w:rFonts w:hint="eastAsia" w:eastAsia="宋体"/>
          <w:bCs/>
          <w:color w:val="auto"/>
          <w:sz w:val="24"/>
          <w:szCs w:val="24"/>
          <w:highlight w:val="none"/>
        </w:rPr>
        <w:t>根据</w:t>
      </w:r>
      <w:r>
        <w:rPr>
          <w:rFonts w:hint="eastAsia" w:eastAsia="宋体"/>
          <w:bCs/>
          <w:color w:val="auto"/>
          <w:sz w:val="24"/>
          <w:szCs w:val="24"/>
          <w:highlight w:val="none"/>
          <w:lang w:val="en-US" w:eastAsia="zh-CN"/>
        </w:rPr>
        <w:t>经</w:t>
      </w:r>
      <w:r>
        <w:rPr>
          <w:rFonts w:hint="eastAsia" w:eastAsia="宋体"/>
          <w:bCs/>
          <w:color w:val="auto"/>
          <w:sz w:val="24"/>
          <w:szCs w:val="24"/>
          <w:highlight w:val="none"/>
          <w:lang w:eastAsia="zh-CN"/>
        </w:rPr>
        <w:t>发包人</w:t>
      </w:r>
      <w:r>
        <w:rPr>
          <w:rFonts w:hint="eastAsia" w:eastAsia="宋体"/>
          <w:bCs/>
          <w:color w:val="auto"/>
          <w:sz w:val="24"/>
          <w:szCs w:val="24"/>
          <w:highlight w:val="none"/>
        </w:rPr>
        <w:t>确认的</w:t>
      </w:r>
      <w:r>
        <w:rPr>
          <w:rFonts w:hint="eastAsia" w:eastAsia="宋体"/>
          <w:bCs/>
          <w:color w:val="auto"/>
          <w:sz w:val="24"/>
          <w:szCs w:val="24"/>
          <w:highlight w:val="none"/>
          <w:lang w:val="en-US" w:eastAsia="zh-CN"/>
        </w:rPr>
        <w:t>各里程碑节点验收通过后，承包人方可申请支付工程进度款</w:t>
      </w:r>
      <w:r>
        <w:rPr>
          <w:rFonts w:hint="eastAsia" w:eastAsia="宋体"/>
          <w:bCs/>
          <w:color w:val="auto"/>
          <w:sz w:val="24"/>
          <w:szCs w:val="24"/>
          <w:highlight w:val="none"/>
        </w:rPr>
        <w:t>；经发包人审核并确认满足支付条件后，</w:t>
      </w:r>
      <w:r>
        <w:rPr>
          <w:rFonts w:hint="eastAsia" w:eastAsia="宋体"/>
          <w:bCs/>
          <w:color w:val="auto"/>
          <w:sz w:val="24"/>
          <w:szCs w:val="24"/>
          <w:highlight w:val="none"/>
          <w:lang w:val="en-US" w:eastAsia="zh-CN"/>
        </w:rPr>
        <w:t>进度款</w:t>
      </w:r>
      <w:r>
        <w:rPr>
          <w:rFonts w:hint="eastAsia" w:eastAsia="宋体"/>
          <w:bCs/>
          <w:color w:val="auto"/>
          <w:sz w:val="24"/>
          <w:szCs w:val="24"/>
          <w:highlight w:val="none"/>
        </w:rPr>
        <w:t>支付至当期已完成合格工程量</w:t>
      </w:r>
      <w:r>
        <w:rPr>
          <w:rFonts w:eastAsia="宋体"/>
          <w:color w:val="auto"/>
          <w:sz w:val="24"/>
          <w:szCs w:val="24"/>
          <w:highlight w:val="none"/>
        </w:rPr>
        <w:t>估算价值</w:t>
      </w:r>
      <w:r>
        <w:rPr>
          <w:rFonts w:hint="eastAsia" w:eastAsia="宋体"/>
          <w:bCs/>
          <w:color w:val="auto"/>
          <w:sz w:val="24"/>
          <w:szCs w:val="24"/>
          <w:highlight w:val="none"/>
        </w:rPr>
        <w:t>的8</w:t>
      </w:r>
      <w:r>
        <w:rPr>
          <w:rFonts w:hint="eastAsia" w:eastAsia="宋体"/>
          <w:bCs/>
          <w:color w:val="auto"/>
          <w:sz w:val="24"/>
          <w:szCs w:val="24"/>
          <w:highlight w:val="none"/>
          <w:lang w:val="en-US" w:eastAsia="zh-CN"/>
        </w:rPr>
        <w:t>0</w:t>
      </w:r>
      <w:r>
        <w:rPr>
          <w:rFonts w:eastAsia="宋体"/>
          <w:bCs/>
          <w:color w:val="auto"/>
          <w:sz w:val="24"/>
          <w:szCs w:val="24"/>
          <w:highlight w:val="none"/>
        </w:rPr>
        <w:t>%</w:t>
      </w:r>
      <w:r>
        <w:rPr>
          <w:rFonts w:hint="eastAsia" w:eastAsia="宋体"/>
          <w:bCs/>
          <w:color w:val="auto"/>
          <w:sz w:val="24"/>
          <w:szCs w:val="24"/>
          <w:highlight w:val="none"/>
          <w:lang w:eastAsia="zh-CN"/>
        </w:rPr>
        <w:t>，</w:t>
      </w:r>
      <w:r>
        <w:rPr>
          <w:rFonts w:hint="eastAsia" w:eastAsia="宋体"/>
          <w:bCs/>
          <w:color w:val="auto"/>
          <w:sz w:val="24"/>
          <w:szCs w:val="24"/>
          <w:highlight w:val="none"/>
          <w:lang w:val="en-US" w:eastAsia="zh-CN"/>
        </w:rPr>
        <w:t>同时扣减应扣款项</w:t>
      </w:r>
      <w:r>
        <w:rPr>
          <w:rFonts w:hint="eastAsia" w:eastAsia="宋体"/>
          <w:bCs/>
          <w:color w:val="auto"/>
          <w:sz w:val="24"/>
          <w:szCs w:val="24"/>
          <w:highlight w:val="none"/>
        </w:rPr>
        <w:t>。</w:t>
      </w:r>
      <w:r>
        <w:rPr>
          <w:rFonts w:hint="eastAsia" w:eastAsia="宋体"/>
          <w:bCs/>
          <w:color w:val="auto"/>
          <w:sz w:val="24"/>
          <w:szCs w:val="24"/>
          <w:highlight w:val="none"/>
          <w:lang w:val="en-US" w:eastAsia="zh-CN"/>
        </w:rPr>
        <w:t>本</w:t>
      </w:r>
      <w:r>
        <w:rPr>
          <w:rFonts w:hint="eastAsia" w:eastAsia="宋体"/>
          <w:bCs/>
          <w:color w:val="auto"/>
          <w:sz w:val="24"/>
          <w:szCs w:val="24"/>
          <w:highlight w:val="none"/>
        </w:rPr>
        <w:t>工程竣工验收合格之前</w:t>
      </w:r>
      <w:r>
        <w:rPr>
          <w:rFonts w:hint="eastAsia" w:eastAsia="宋体"/>
          <w:bCs/>
          <w:color w:val="auto"/>
          <w:sz w:val="24"/>
          <w:szCs w:val="24"/>
          <w:highlight w:val="none"/>
          <w:lang w:eastAsia="zh-CN"/>
        </w:rPr>
        <w:t>，</w:t>
      </w:r>
      <w:r>
        <w:rPr>
          <w:rFonts w:hint="eastAsia" w:eastAsia="宋体"/>
          <w:bCs/>
          <w:color w:val="auto"/>
          <w:sz w:val="24"/>
          <w:szCs w:val="24"/>
          <w:highlight w:val="none"/>
        </w:rPr>
        <w:t>工程进度款累计支付比例不得高于</w:t>
      </w:r>
      <w:r>
        <w:rPr>
          <w:rFonts w:hint="eastAsia" w:eastAsia="宋体"/>
          <w:bCs/>
          <w:color w:val="auto"/>
          <w:sz w:val="24"/>
          <w:szCs w:val="24"/>
          <w:highlight w:val="none"/>
          <w:lang w:val="en-US" w:eastAsia="zh-CN"/>
        </w:rPr>
        <w:t>本合同暂定总价的</w:t>
      </w:r>
      <w:r>
        <w:rPr>
          <w:rFonts w:hint="eastAsia" w:eastAsia="宋体"/>
          <w:bCs/>
          <w:color w:val="auto"/>
          <w:sz w:val="24"/>
          <w:szCs w:val="24"/>
          <w:highlight w:val="none"/>
        </w:rPr>
        <w:t>85%</w:t>
      </w:r>
      <w:r>
        <w:rPr>
          <w:rFonts w:hint="eastAsia" w:eastAsia="宋体"/>
          <w:bCs/>
          <w:color w:val="auto"/>
          <w:sz w:val="24"/>
          <w:szCs w:val="24"/>
          <w:highlight w:val="none"/>
          <w:lang w:eastAsia="zh-CN"/>
        </w:rPr>
        <w:t>。</w:t>
      </w:r>
    </w:p>
    <w:p>
      <w:pPr>
        <w:pStyle w:val="52"/>
        <w:ind w:firstLine="48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里程碑节点：里程碑节点相互独立，可独立申请进度款。</w:t>
      </w:r>
    </w:p>
    <w:tbl>
      <w:tblPr>
        <w:tblStyle w:val="38"/>
        <w:tblW w:w="8056"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3"/>
        <w:gridCol w:w="3900"/>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3" w:type="dxa"/>
            <w:vAlign w:val="center"/>
          </w:tcPr>
          <w:p>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里程碑节点</w:t>
            </w:r>
          </w:p>
        </w:tc>
        <w:tc>
          <w:tcPr>
            <w:tcW w:w="3900" w:type="dxa"/>
            <w:vAlign w:val="center"/>
          </w:tcPr>
          <w:p>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完成标志</w:t>
            </w:r>
          </w:p>
        </w:tc>
        <w:tc>
          <w:tcPr>
            <w:tcW w:w="843" w:type="dxa"/>
            <w:vAlign w:val="center"/>
          </w:tcPr>
          <w:p>
            <w:pPr>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3" w:type="dxa"/>
            <w:vAlign w:val="center"/>
          </w:tcPr>
          <w:p>
            <w:pPr>
              <w:spacing w:line="360" w:lineRule="auto"/>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桩基础工程</w:t>
            </w:r>
          </w:p>
        </w:tc>
        <w:tc>
          <w:tcPr>
            <w:tcW w:w="3900" w:type="dxa"/>
            <w:vAlign w:val="center"/>
          </w:tcPr>
          <w:p>
            <w:pPr>
              <w:spacing w:line="240" w:lineRule="auto"/>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桩基础工程完成</w:t>
            </w:r>
          </w:p>
        </w:tc>
        <w:tc>
          <w:tcPr>
            <w:tcW w:w="843" w:type="dxa"/>
            <w:vAlign w:val="center"/>
          </w:tcPr>
          <w:p>
            <w:pPr>
              <w:spacing w:line="360" w:lineRule="auto"/>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3" w:type="dxa"/>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天桥主体结构工程</w:t>
            </w:r>
          </w:p>
        </w:tc>
        <w:tc>
          <w:tcPr>
            <w:tcW w:w="3900" w:type="dxa"/>
            <w:vAlign w:val="center"/>
          </w:tcPr>
          <w:p>
            <w:pPr>
              <w:spacing w:line="24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天桥主体结构工程完成</w:t>
            </w:r>
          </w:p>
        </w:tc>
        <w:tc>
          <w:tcPr>
            <w:tcW w:w="843" w:type="dxa"/>
            <w:vAlign w:val="center"/>
          </w:tcPr>
          <w:p>
            <w:pPr>
              <w:spacing w:line="360" w:lineRule="auto"/>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3" w:type="dxa"/>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装饰装修工程及机电工程</w:t>
            </w:r>
          </w:p>
        </w:tc>
        <w:tc>
          <w:tcPr>
            <w:tcW w:w="3900" w:type="dxa"/>
            <w:vAlign w:val="center"/>
          </w:tcPr>
          <w:p>
            <w:pPr>
              <w:spacing w:line="240" w:lineRule="auto"/>
              <w:jc w:val="center"/>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装饰装修工程及机电工程完成</w:t>
            </w:r>
          </w:p>
        </w:tc>
        <w:tc>
          <w:tcPr>
            <w:tcW w:w="843" w:type="dxa"/>
            <w:vAlign w:val="center"/>
          </w:tcPr>
          <w:p>
            <w:pPr>
              <w:spacing w:line="360" w:lineRule="auto"/>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3" w:type="dxa"/>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市政道路路基工程</w:t>
            </w:r>
          </w:p>
        </w:tc>
        <w:tc>
          <w:tcPr>
            <w:tcW w:w="3900" w:type="dxa"/>
            <w:vAlign w:val="center"/>
          </w:tcPr>
          <w:p>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道路路基完成</w:t>
            </w:r>
          </w:p>
        </w:tc>
        <w:tc>
          <w:tcPr>
            <w:tcW w:w="843" w:type="dxa"/>
            <w:vAlign w:val="center"/>
          </w:tcPr>
          <w:p>
            <w:pPr>
              <w:spacing w:line="360" w:lineRule="auto"/>
              <w:rPr>
                <w:rFonts w:hint="eastAsia"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3" w:type="dxa"/>
            <w:vAlign w:val="center"/>
          </w:tcPr>
          <w:p>
            <w:pPr>
              <w:spacing w:line="360" w:lineRule="auto"/>
              <w:jc w:val="center"/>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eastAsia="zh-CN"/>
              </w:rPr>
              <w:t>市政道路</w:t>
            </w:r>
            <w:r>
              <w:rPr>
                <w:rFonts w:hint="eastAsia" w:ascii="Times New Roman" w:hAnsi="Times New Roman" w:cs="Times New Roman"/>
                <w:color w:val="auto"/>
                <w:sz w:val="24"/>
                <w:szCs w:val="24"/>
                <w:highlight w:val="none"/>
                <w:lang w:val="en-US" w:eastAsia="zh-CN"/>
              </w:rPr>
              <w:t>路面工程</w:t>
            </w:r>
          </w:p>
        </w:tc>
        <w:tc>
          <w:tcPr>
            <w:tcW w:w="3900" w:type="dxa"/>
            <w:vAlign w:val="center"/>
          </w:tcPr>
          <w:p>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面层沥青完成</w:t>
            </w:r>
          </w:p>
        </w:tc>
        <w:tc>
          <w:tcPr>
            <w:tcW w:w="843" w:type="dxa"/>
            <w:vAlign w:val="center"/>
          </w:tcPr>
          <w:p>
            <w:pPr>
              <w:spacing w:line="360" w:lineRule="auto"/>
              <w:rPr>
                <w:rFonts w:hint="eastAsia" w:eastAsia="宋体"/>
                <w:color w:val="auto"/>
                <w:sz w:val="24"/>
                <w:szCs w:val="24"/>
                <w:highlight w:val="none"/>
              </w:rPr>
            </w:pPr>
          </w:p>
        </w:tc>
      </w:tr>
    </w:tbl>
    <w:p>
      <w:pPr>
        <w:pStyle w:val="52"/>
        <w:ind w:firstLine="480"/>
        <w:jc w:val="left"/>
        <w:rPr>
          <w:rFonts w:eastAsia="宋体"/>
          <w:color w:val="auto"/>
          <w:sz w:val="24"/>
          <w:szCs w:val="24"/>
          <w:highlight w:val="none"/>
        </w:rPr>
      </w:pPr>
      <w:r>
        <w:rPr>
          <w:rFonts w:hint="eastAsia" w:eastAsia="宋体"/>
          <w:color w:val="auto"/>
          <w:sz w:val="24"/>
          <w:szCs w:val="24"/>
          <w:highlight w:val="none"/>
        </w:rPr>
        <w:t>3</w:t>
      </w:r>
      <w:r>
        <w:rPr>
          <w:rFonts w:eastAsia="宋体"/>
          <w:color w:val="auto"/>
          <w:sz w:val="24"/>
          <w:szCs w:val="24"/>
          <w:highlight w:val="none"/>
        </w:rPr>
        <w:t>）工程进度款审批期限为28天，自承包人向发包人书面提出付款申请或经发包人要求后重新提出付款申请并附齐相关证明之日起计。发包人将在此期限内发出批准证书通知承包人本期应得款项,在收到承包人提供的税务部门认可的足额的税务发票后</w:t>
      </w:r>
      <w:r>
        <w:rPr>
          <w:rFonts w:eastAsia="宋体"/>
          <w:color w:val="auto"/>
          <w:sz w:val="24"/>
          <w:szCs w:val="24"/>
          <w:highlight w:val="none"/>
          <w:u w:val="single"/>
        </w:rPr>
        <w:t>28天</w:t>
      </w:r>
      <w:r>
        <w:rPr>
          <w:rFonts w:eastAsia="宋体"/>
          <w:color w:val="auto"/>
          <w:sz w:val="24"/>
          <w:szCs w:val="24"/>
          <w:highlight w:val="none"/>
        </w:rPr>
        <w:t>内支付工程款。双方对付款金额有异议的，发包人将在该期限内先支付已确认部分的款项。</w:t>
      </w:r>
    </w:p>
    <w:p>
      <w:pPr>
        <w:pStyle w:val="52"/>
        <w:ind w:firstLine="480"/>
        <w:jc w:val="both"/>
        <w:rPr>
          <w:rFonts w:eastAsia="宋体"/>
          <w:color w:val="auto"/>
          <w:sz w:val="24"/>
          <w:szCs w:val="24"/>
          <w:highlight w:val="none"/>
        </w:rPr>
      </w:pPr>
      <w:r>
        <w:rPr>
          <w:rFonts w:hint="eastAsia" w:eastAsia="宋体"/>
          <w:color w:val="auto"/>
          <w:sz w:val="24"/>
          <w:szCs w:val="24"/>
          <w:highlight w:val="none"/>
        </w:rPr>
        <w:t>4</w:t>
      </w:r>
      <w:r>
        <w:rPr>
          <w:rFonts w:eastAsia="宋体"/>
          <w:color w:val="auto"/>
          <w:sz w:val="24"/>
          <w:szCs w:val="24"/>
          <w:highlight w:val="none"/>
        </w:rPr>
        <w:t>）现场签证和设计变更费用支付：发包人已进行完工确认的现场签证和设计变更的增减费用，在随后最近一期进度款中按</w:t>
      </w:r>
      <w:r>
        <w:rPr>
          <w:rFonts w:hint="eastAsia" w:eastAsia="宋体"/>
          <w:bCs/>
          <w:color w:val="auto"/>
          <w:sz w:val="24"/>
          <w:szCs w:val="24"/>
          <w:highlight w:val="none"/>
        </w:rPr>
        <w:t>已完成合格工程量</w:t>
      </w:r>
      <w:r>
        <w:rPr>
          <w:rFonts w:eastAsia="宋体"/>
          <w:color w:val="auto"/>
          <w:sz w:val="24"/>
          <w:szCs w:val="24"/>
          <w:highlight w:val="none"/>
        </w:rPr>
        <w:t>估算价值的</w:t>
      </w:r>
      <w:r>
        <w:rPr>
          <w:rFonts w:eastAsia="宋体"/>
          <w:color w:val="auto"/>
          <w:sz w:val="24"/>
          <w:szCs w:val="24"/>
          <w:highlight w:val="none"/>
          <w:u w:val="single"/>
        </w:rPr>
        <w:t xml:space="preserve"> 8</w:t>
      </w:r>
      <w:r>
        <w:rPr>
          <w:rFonts w:hint="eastAsia" w:eastAsia="宋体"/>
          <w:color w:val="auto"/>
          <w:sz w:val="24"/>
          <w:szCs w:val="24"/>
          <w:highlight w:val="none"/>
          <w:u w:val="single"/>
          <w:lang w:val="en-US" w:eastAsia="zh-CN"/>
        </w:rPr>
        <w:t>0</w:t>
      </w:r>
      <w:r>
        <w:rPr>
          <w:rFonts w:eastAsia="宋体"/>
          <w:color w:val="auto"/>
          <w:sz w:val="24"/>
          <w:szCs w:val="24"/>
          <w:highlight w:val="none"/>
          <w:u w:val="single"/>
        </w:rPr>
        <w:t>%</w:t>
      </w:r>
      <w:r>
        <w:rPr>
          <w:rFonts w:hint="eastAsia" w:eastAsia="宋体"/>
          <w:color w:val="auto"/>
          <w:sz w:val="24"/>
          <w:szCs w:val="24"/>
          <w:highlight w:val="none"/>
          <w:u w:val="single"/>
        </w:rPr>
        <w:t xml:space="preserve"> </w:t>
      </w:r>
      <w:r>
        <w:rPr>
          <w:rFonts w:eastAsia="宋体"/>
          <w:color w:val="auto"/>
          <w:sz w:val="24"/>
          <w:szCs w:val="24"/>
          <w:highlight w:val="none"/>
        </w:rPr>
        <w:t>支付或扣回。当现场签证、设计变更、人工费调差等发生单纯性调减时，发包人有权直接在工程款支付环节扣减。</w:t>
      </w:r>
    </w:p>
    <w:p>
      <w:pPr>
        <w:pStyle w:val="52"/>
        <w:ind w:firstLine="480"/>
        <w:jc w:val="both"/>
        <w:rPr>
          <w:rFonts w:eastAsia="宋体"/>
          <w:color w:val="auto"/>
          <w:sz w:val="24"/>
          <w:szCs w:val="24"/>
          <w:highlight w:val="none"/>
        </w:rPr>
      </w:pPr>
      <w:r>
        <w:rPr>
          <w:rFonts w:hint="eastAsia" w:eastAsia="宋体"/>
          <w:color w:val="auto"/>
          <w:sz w:val="24"/>
          <w:szCs w:val="24"/>
          <w:highlight w:val="none"/>
          <w:lang w:val="en-US" w:eastAsia="zh-CN"/>
        </w:rPr>
        <w:t>5</w:t>
      </w:r>
      <w:r>
        <w:rPr>
          <w:rFonts w:eastAsia="宋体"/>
          <w:color w:val="auto"/>
          <w:sz w:val="24"/>
          <w:szCs w:val="24"/>
          <w:highlight w:val="none"/>
        </w:rPr>
        <w:t>）本工程竣工验收合格，且承包人移交全部工程、全部设备、器械、材料及其他物品全部搬离施工场地，承包人提交全部竣工备案资料及竣工图纸、竣工结算资料，并经</w:t>
      </w:r>
      <w:r>
        <w:rPr>
          <w:rFonts w:hint="eastAsia" w:eastAsia="宋体"/>
          <w:color w:val="auto"/>
          <w:sz w:val="24"/>
          <w:szCs w:val="24"/>
          <w:highlight w:val="none"/>
          <w:lang w:eastAsia="zh-CN"/>
        </w:rPr>
        <w:t>发包人</w:t>
      </w:r>
      <w:r>
        <w:rPr>
          <w:rFonts w:eastAsia="宋体"/>
          <w:color w:val="auto"/>
          <w:sz w:val="24"/>
          <w:szCs w:val="24"/>
          <w:highlight w:val="none"/>
        </w:rPr>
        <w:t>审核通过后，本合同工程款可累计支付至经发包人确认的已完成且质量合格工程量估算价值的</w:t>
      </w:r>
      <w:r>
        <w:rPr>
          <w:rFonts w:eastAsia="宋体"/>
          <w:color w:val="auto"/>
          <w:sz w:val="24"/>
          <w:szCs w:val="24"/>
          <w:highlight w:val="none"/>
          <w:u w:val="single"/>
        </w:rPr>
        <w:t xml:space="preserve"> 90%</w:t>
      </w:r>
      <w:r>
        <w:rPr>
          <w:rFonts w:hint="eastAsia" w:eastAsia="宋体"/>
          <w:color w:val="auto"/>
          <w:sz w:val="24"/>
          <w:szCs w:val="24"/>
          <w:highlight w:val="none"/>
          <w:u w:val="single"/>
        </w:rPr>
        <w:t xml:space="preserve"> </w:t>
      </w:r>
      <w:r>
        <w:rPr>
          <w:rFonts w:eastAsia="宋体"/>
          <w:color w:val="auto"/>
          <w:sz w:val="24"/>
          <w:szCs w:val="24"/>
          <w:highlight w:val="none"/>
        </w:rPr>
        <w:t>，同时扣减应扣款项。</w:t>
      </w:r>
    </w:p>
    <w:p>
      <w:pPr>
        <w:pStyle w:val="52"/>
        <w:ind w:firstLine="480"/>
        <w:jc w:val="both"/>
        <w:rPr>
          <w:rFonts w:eastAsia="宋体"/>
          <w:color w:val="auto"/>
          <w:sz w:val="24"/>
          <w:szCs w:val="24"/>
          <w:highlight w:val="none"/>
        </w:rPr>
      </w:pPr>
      <w:r>
        <w:rPr>
          <w:rFonts w:hint="eastAsia" w:eastAsia="宋体"/>
          <w:color w:val="auto"/>
          <w:sz w:val="24"/>
          <w:szCs w:val="24"/>
          <w:highlight w:val="none"/>
          <w:lang w:val="en-US" w:eastAsia="zh-CN"/>
        </w:rPr>
        <w:t>6</w:t>
      </w:r>
      <w:r>
        <w:rPr>
          <w:rFonts w:eastAsia="宋体"/>
          <w:color w:val="auto"/>
          <w:sz w:val="24"/>
          <w:szCs w:val="24"/>
          <w:highlight w:val="none"/>
        </w:rPr>
        <w:t>）双方已确认工程竣工结算且办理完毕结算确认手续后30天内，发包人向</w:t>
      </w:r>
      <w:r>
        <w:rPr>
          <w:rFonts w:eastAsia="宋体"/>
          <w:bCs/>
          <w:color w:val="auto"/>
          <w:sz w:val="24"/>
          <w:szCs w:val="24"/>
          <w:highlight w:val="none"/>
        </w:rPr>
        <w:t>承包人</w:t>
      </w:r>
      <w:r>
        <w:rPr>
          <w:rFonts w:eastAsia="宋体"/>
          <w:color w:val="auto"/>
          <w:sz w:val="24"/>
          <w:szCs w:val="24"/>
          <w:highlight w:val="none"/>
        </w:rPr>
        <w:t>支付至本合同工程结算总价的</w:t>
      </w:r>
      <w:r>
        <w:rPr>
          <w:rFonts w:hint="eastAsia" w:eastAsia="宋体"/>
          <w:color w:val="auto"/>
          <w:sz w:val="24"/>
          <w:szCs w:val="24"/>
          <w:highlight w:val="none"/>
        </w:rPr>
        <w:t xml:space="preserve"> </w:t>
      </w:r>
      <w:r>
        <w:rPr>
          <w:rFonts w:eastAsia="宋体"/>
          <w:color w:val="auto"/>
          <w:sz w:val="24"/>
          <w:szCs w:val="24"/>
          <w:highlight w:val="none"/>
          <w:u w:val="single"/>
        </w:rPr>
        <w:t>97 %</w:t>
      </w:r>
      <w:r>
        <w:rPr>
          <w:rFonts w:hint="eastAsia" w:eastAsia="宋体"/>
          <w:color w:val="auto"/>
          <w:sz w:val="24"/>
          <w:szCs w:val="24"/>
          <w:highlight w:val="none"/>
          <w:u w:val="single"/>
        </w:rPr>
        <w:t xml:space="preserve"> </w:t>
      </w:r>
      <w:r>
        <w:rPr>
          <w:rFonts w:eastAsia="宋体"/>
          <w:color w:val="auto"/>
          <w:sz w:val="24"/>
          <w:szCs w:val="24"/>
          <w:highlight w:val="none"/>
        </w:rPr>
        <w:t>，同时扣减应扣款项。质量保证金为本合同工程结算总价的</w:t>
      </w:r>
      <w:r>
        <w:rPr>
          <w:rFonts w:hint="eastAsia" w:eastAsia="宋体"/>
          <w:color w:val="auto"/>
          <w:sz w:val="24"/>
          <w:szCs w:val="24"/>
          <w:highlight w:val="none"/>
        </w:rPr>
        <w:t xml:space="preserve"> </w:t>
      </w:r>
      <w:r>
        <w:rPr>
          <w:rFonts w:eastAsia="宋体"/>
          <w:color w:val="auto"/>
          <w:sz w:val="24"/>
          <w:szCs w:val="24"/>
          <w:highlight w:val="none"/>
          <w:u w:val="single"/>
        </w:rPr>
        <w:t>3%</w:t>
      </w:r>
      <w:r>
        <w:rPr>
          <w:rFonts w:eastAsia="宋体"/>
          <w:color w:val="auto"/>
          <w:sz w:val="24"/>
          <w:szCs w:val="24"/>
          <w:highlight w:val="none"/>
        </w:rPr>
        <w:t>，根据本合同</w:t>
      </w:r>
      <w:r>
        <w:rPr>
          <w:rFonts w:eastAsia="宋体"/>
          <w:color w:val="auto"/>
          <w:sz w:val="24"/>
          <w:szCs w:val="24"/>
          <w:highlight w:val="none"/>
          <w:u w:val="single"/>
        </w:rPr>
        <w:t>附件</w:t>
      </w:r>
      <w:r>
        <w:rPr>
          <w:rFonts w:hint="eastAsia" w:eastAsia="宋体"/>
          <w:color w:val="auto"/>
          <w:sz w:val="24"/>
          <w:szCs w:val="24"/>
          <w:highlight w:val="none"/>
          <w:u w:val="single"/>
          <w:lang w:val="en-US" w:eastAsia="zh-CN"/>
        </w:rPr>
        <w:t>3</w:t>
      </w:r>
      <w:r>
        <w:rPr>
          <w:rFonts w:eastAsia="宋体"/>
          <w:color w:val="auto"/>
          <w:sz w:val="24"/>
          <w:szCs w:val="24"/>
          <w:highlight w:val="none"/>
          <w:u w:val="single"/>
        </w:rPr>
        <w:t>《工程质量保修书》</w:t>
      </w:r>
      <w:r>
        <w:rPr>
          <w:rFonts w:eastAsia="宋体"/>
          <w:color w:val="auto"/>
          <w:sz w:val="24"/>
          <w:szCs w:val="24"/>
          <w:highlight w:val="none"/>
        </w:rPr>
        <w:t xml:space="preserve">约定无息支付，同时扣除应扣款项。 </w:t>
      </w:r>
    </w:p>
    <w:p>
      <w:pPr>
        <w:pStyle w:val="52"/>
        <w:ind w:firstLine="480"/>
        <w:jc w:val="both"/>
        <w:rPr>
          <w:rFonts w:eastAsia="宋体"/>
          <w:color w:val="auto"/>
          <w:sz w:val="24"/>
          <w:szCs w:val="24"/>
          <w:highlight w:val="none"/>
        </w:rPr>
      </w:pPr>
      <w:r>
        <w:rPr>
          <w:rFonts w:hint="eastAsia" w:eastAsia="宋体"/>
          <w:color w:val="auto"/>
          <w:sz w:val="24"/>
          <w:szCs w:val="24"/>
          <w:highlight w:val="none"/>
          <w:lang w:val="en-US" w:eastAsia="zh-CN"/>
        </w:rPr>
        <w:t>7</w:t>
      </w:r>
      <w:r>
        <w:rPr>
          <w:rFonts w:eastAsia="宋体"/>
          <w:color w:val="auto"/>
          <w:sz w:val="24"/>
          <w:szCs w:val="24"/>
          <w:highlight w:val="none"/>
        </w:rPr>
        <w:t>）承包人及时报送工程进度相关确认资料，资料不完整的视作该项工作未完成，进度款中不予确认。</w:t>
      </w:r>
    </w:p>
    <w:p>
      <w:pPr>
        <w:pStyle w:val="52"/>
        <w:ind w:firstLine="480"/>
        <w:jc w:val="both"/>
        <w:rPr>
          <w:rFonts w:eastAsia="宋体"/>
          <w:color w:val="auto"/>
          <w:sz w:val="24"/>
          <w:szCs w:val="24"/>
          <w:highlight w:val="none"/>
        </w:rPr>
      </w:pPr>
      <w:r>
        <w:rPr>
          <w:rFonts w:hint="eastAsia" w:eastAsia="宋体"/>
          <w:color w:val="auto"/>
          <w:sz w:val="24"/>
          <w:szCs w:val="24"/>
          <w:highlight w:val="none"/>
          <w:lang w:val="en-US" w:eastAsia="zh-CN"/>
        </w:rPr>
        <w:t>8</w:t>
      </w:r>
      <w:r>
        <w:rPr>
          <w:rFonts w:eastAsia="宋体"/>
          <w:color w:val="auto"/>
          <w:sz w:val="24"/>
          <w:szCs w:val="24"/>
          <w:highlight w:val="none"/>
        </w:rPr>
        <w:t>）工程进度款支付时，应满足当地政府主管部门对工人工资管理与支付的相关规定。</w:t>
      </w:r>
    </w:p>
    <w:p>
      <w:pPr>
        <w:pStyle w:val="52"/>
        <w:ind w:firstLine="480"/>
        <w:jc w:val="both"/>
        <w:rPr>
          <w:rFonts w:eastAsia="宋体"/>
          <w:color w:val="auto"/>
          <w:sz w:val="24"/>
          <w:szCs w:val="24"/>
          <w:highlight w:val="none"/>
        </w:rPr>
      </w:pPr>
      <w:r>
        <w:rPr>
          <w:rFonts w:eastAsia="宋体"/>
          <w:color w:val="auto"/>
          <w:sz w:val="24"/>
          <w:szCs w:val="24"/>
          <w:highlight w:val="none"/>
        </w:rPr>
        <w:t>17.5.2. 在</w:t>
      </w:r>
      <w:r>
        <w:rPr>
          <w:rFonts w:ascii="Times New Roman" w:hAnsi="Times New Roman" w:eastAsia="宋体" w:cs="Times New Roman"/>
          <w:b w:val="0"/>
          <w:bCs w:val="0"/>
          <w:i w:val="0"/>
          <w:iCs w:val="0"/>
          <w:caps w:val="0"/>
          <w:color w:val="auto"/>
          <w:spacing w:val="0"/>
          <w:sz w:val="24"/>
          <w:szCs w:val="24"/>
          <w:highlight w:val="none"/>
          <w:shd w:val="clear"/>
        </w:rPr>
        <w:t>接到发包人工程款审核结果通知后</w:t>
      </w:r>
      <w:r>
        <w:rPr>
          <w:rFonts w:eastAsia="宋体"/>
          <w:color w:val="auto"/>
          <w:sz w:val="24"/>
          <w:szCs w:val="24"/>
          <w:highlight w:val="none"/>
        </w:rPr>
        <w:t>，承包人应向发包人开具满足发包人及主管税务机关要求且与收款金额一致的合法增值税专用发票；在支付至本合同工程竣工结算总价（含税价）的97%前，承包人应向发包人开具累计金额为竣工结算总价（含税价）100%的合法增值税专用发票；发票由承包人按发包人要求提供，发票未足额提供给发包人前或不按发包人的要求提供的，发包人有权拒付工程款，发包人不因此承担违约责任。上述增值税专用发票必须符合国家《增值税专用发票使用规定》的相关要求，如承包人开具的增值税专用发票是无效或虚假发票，或者发生延迟开具增值税专用发票的情况，承包人应负责赔偿发包人因为承包人开具虚假发票或延迟开具发票所造成的一切损失或损害（包括但不限于税金、附加费、罚金、滞纳金等）。</w:t>
      </w:r>
    </w:p>
    <w:p>
      <w:pPr>
        <w:pStyle w:val="52"/>
        <w:ind w:firstLine="480"/>
        <w:jc w:val="both"/>
        <w:rPr>
          <w:rFonts w:eastAsia="宋体"/>
          <w:color w:val="auto"/>
          <w:sz w:val="24"/>
          <w:szCs w:val="24"/>
          <w:highlight w:val="none"/>
        </w:rPr>
      </w:pPr>
      <w:r>
        <w:rPr>
          <w:rFonts w:eastAsia="宋体"/>
          <w:color w:val="auto"/>
          <w:sz w:val="24"/>
          <w:szCs w:val="24"/>
          <w:highlight w:val="none"/>
        </w:rPr>
        <w:t>同时，承包人开具的增值税专用发票在送达发包人前如发生丢失、灭失或被盗等情况，导致相应票据未顺利送达发包人的，承包人应负责按税收法规的规定向发包人提供丢失发票的记账联复印件及其所在地主管税务机关开具的《丢失增值税专用发票已报税证明单》并确保发包人顺利获得抵扣，否则，发包人因此遭受的经济损失由承包人负责赔偿。为保证取得的发票可以及时并成功获得抵扣，承包人开具的增值税专用发票送达并经发包人签收后，若发生丢失，承包人应积极协助发包人，按照相关税收法规和规定及主管税务机关的要求提供相应资料。</w:t>
      </w:r>
    </w:p>
    <w:p>
      <w:pPr>
        <w:pStyle w:val="77"/>
        <w:spacing w:before="0" w:after="0"/>
        <w:ind w:firstLine="480"/>
        <w:rPr>
          <w:rFonts w:eastAsia="宋体"/>
          <w:color w:val="auto"/>
          <w:szCs w:val="24"/>
          <w:highlight w:val="none"/>
        </w:rPr>
      </w:pPr>
      <w:bookmarkStart w:id="1274" w:name="_Toc24990"/>
      <w:bookmarkStart w:id="1275" w:name="_Toc44492609"/>
      <w:bookmarkStart w:id="1276" w:name="_Toc18043"/>
      <w:r>
        <w:rPr>
          <w:rFonts w:eastAsia="宋体"/>
          <w:color w:val="auto"/>
          <w:szCs w:val="24"/>
          <w:highlight w:val="none"/>
        </w:rPr>
        <w:t>17.6.</w:t>
      </w:r>
      <w:r>
        <w:rPr>
          <w:rFonts w:hint="eastAsia" w:eastAsia="宋体"/>
          <w:color w:val="auto"/>
          <w:szCs w:val="24"/>
          <w:highlight w:val="none"/>
        </w:rPr>
        <w:t xml:space="preserve"> </w:t>
      </w:r>
      <w:r>
        <w:rPr>
          <w:rFonts w:eastAsia="宋体"/>
          <w:color w:val="auto"/>
          <w:szCs w:val="24"/>
          <w:highlight w:val="none"/>
        </w:rPr>
        <w:t>质量保证金</w:t>
      </w:r>
      <w:bookmarkEnd w:id="1274"/>
      <w:bookmarkEnd w:id="1275"/>
      <w:bookmarkEnd w:id="1276"/>
    </w:p>
    <w:p>
      <w:pPr>
        <w:pStyle w:val="52"/>
        <w:ind w:firstLine="480"/>
        <w:jc w:val="both"/>
        <w:rPr>
          <w:rFonts w:eastAsia="宋体"/>
          <w:color w:val="auto"/>
          <w:sz w:val="24"/>
          <w:szCs w:val="24"/>
          <w:highlight w:val="none"/>
        </w:rPr>
      </w:pPr>
      <w:r>
        <w:rPr>
          <w:rFonts w:eastAsia="宋体"/>
          <w:color w:val="auto"/>
          <w:sz w:val="24"/>
          <w:szCs w:val="24"/>
          <w:highlight w:val="none"/>
        </w:rPr>
        <w:t>17.6.1. 质量保证金的预留与退还</w:t>
      </w:r>
    </w:p>
    <w:p>
      <w:pPr>
        <w:pStyle w:val="52"/>
        <w:ind w:firstLine="480"/>
        <w:jc w:val="both"/>
        <w:rPr>
          <w:rFonts w:eastAsia="宋体"/>
          <w:color w:val="auto"/>
          <w:sz w:val="24"/>
          <w:szCs w:val="24"/>
          <w:highlight w:val="none"/>
        </w:rPr>
      </w:pPr>
      <w:r>
        <w:rPr>
          <w:rFonts w:eastAsia="宋体"/>
          <w:color w:val="auto"/>
          <w:sz w:val="24"/>
          <w:szCs w:val="24"/>
          <w:highlight w:val="none"/>
        </w:rPr>
        <w:t>1）缺陷责任期满、承包人已全部完成缺陷修复责任时，承包人向发包人申请到期应返还承包人剩余的质量保证金金额，发包人应在</w:t>
      </w:r>
      <w:r>
        <w:rPr>
          <w:rFonts w:hint="eastAsia" w:ascii="宋体" w:hAnsi="宋体" w:eastAsia="宋体" w:cs="宋体"/>
          <w:color w:val="auto"/>
          <w:sz w:val="24"/>
          <w:szCs w:val="24"/>
          <w:highlight w:val="none"/>
        </w:rPr>
        <w:t>收到承包人通知后</w:t>
      </w:r>
      <w:r>
        <w:rPr>
          <w:rFonts w:eastAsia="宋体"/>
          <w:color w:val="auto"/>
          <w:sz w:val="24"/>
          <w:szCs w:val="24"/>
          <w:highlight w:val="none"/>
        </w:rPr>
        <w:t>30天内会同承包人按照合同、保修书约定的内容和相关法律法规规章核实承包人是否完成缺陷修复、整改责任。如无异议，发包人应当在核实后将剩余保证金返还承包人。质量保证金的返还具体详见</w:t>
      </w:r>
      <w:r>
        <w:rPr>
          <w:rFonts w:hint="eastAsia" w:eastAsia="宋体"/>
          <w:color w:val="auto"/>
          <w:sz w:val="24"/>
          <w:szCs w:val="24"/>
          <w:highlight w:val="none"/>
        </w:rPr>
        <w:t>本</w:t>
      </w:r>
      <w:r>
        <w:rPr>
          <w:rFonts w:eastAsia="宋体"/>
          <w:color w:val="auto"/>
          <w:sz w:val="24"/>
          <w:szCs w:val="24"/>
          <w:highlight w:val="none"/>
        </w:rPr>
        <w:t>合同附件</w:t>
      </w:r>
      <w:r>
        <w:rPr>
          <w:rFonts w:hint="eastAsia" w:eastAsia="宋体"/>
          <w:color w:val="auto"/>
          <w:sz w:val="24"/>
          <w:szCs w:val="24"/>
          <w:highlight w:val="none"/>
          <w:lang w:val="en-US" w:eastAsia="zh-CN"/>
        </w:rPr>
        <w:t>3</w:t>
      </w:r>
      <w:r>
        <w:rPr>
          <w:rFonts w:eastAsia="宋体"/>
          <w:color w:val="auto"/>
          <w:sz w:val="24"/>
          <w:szCs w:val="24"/>
          <w:highlight w:val="none"/>
        </w:rPr>
        <w:t>《工程质量保修书》。</w:t>
      </w:r>
    </w:p>
    <w:p>
      <w:pPr>
        <w:pStyle w:val="52"/>
        <w:ind w:firstLine="480"/>
        <w:jc w:val="both"/>
        <w:rPr>
          <w:rFonts w:eastAsia="宋体"/>
          <w:color w:val="auto"/>
          <w:sz w:val="24"/>
          <w:szCs w:val="24"/>
          <w:highlight w:val="none"/>
        </w:rPr>
      </w:pPr>
      <w:r>
        <w:rPr>
          <w:rFonts w:eastAsia="宋体"/>
          <w:color w:val="auto"/>
          <w:sz w:val="24"/>
          <w:szCs w:val="24"/>
          <w:highlight w:val="none"/>
        </w:rPr>
        <w:t>2）质量保证金不计利息。</w:t>
      </w:r>
    </w:p>
    <w:p>
      <w:pPr>
        <w:pStyle w:val="52"/>
        <w:ind w:firstLine="480"/>
        <w:jc w:val="both"/>
        <w:rPr>
          <w:rFonts w:eastAsia="宋体"/>
          <w:color w:val="auto"/>
          <w:sz w:val="24"/>
          <w:szCs w:val="24"/>
          <w:highlight w:val="none"/>
        </w:rPr>
      </w:pPr>
      <w:r>
        <w:rPr>
          <w:rFonts w:eastAsia="宋体"/>
          <w:color w:val="auto"/>
          <w:sz w:val="24"/>
          <w:szCs w:val="24"/>
          <w:highlight w:val="none"/>
        </w:rPr>
        <w:t xml:space="preserve">3) 发包人向承包人支付质量保证金余额前，承包人应承担所有缺陷责任导致的扣款，发包人凭扣款收据执行质量保证金扣款，否则，发包人有权拒付质量保证金余额，发包人不因此承担违约责任。  </w:t>
      </w:r>
    </w:p>
    <w:p>
      <w:pPr>
        <w:pStyle w:val="77"/>
        <w:spacing w:before="0" w:after="0"/>
        <w:ind w:firstLine="480"/>
        <w:rPr>
          <w:rFonts w:eastAsia="宋体"/>
          <w:color w:val="auto"/>
          <w:szCs w:val="24"/>
          <w:highlight w:val="none"/>
        </w:rPr>
      </w:pPr>
      <w:bookmarkStart w:id="1277" w:name="_Toc27342"/>
      <w:bookmarkStart w:id="1278" w:name="_Toc44492610"/>
      <w:bookmarkStart w:id="1279" w:name="_Toc17933"/>
      <w:r>
        <w:rPr>
          <w:rFonts w:eastAsia="宋体"/>
          <w:color w:val="auto"/>
          <w:szCs w:val="24"/>
          <w:highlight w:val="none"/>
        </w:rPr>
        <w:t>17.7.</w:t>
      </w:r>
      <w:r>
        <w:rPr>
          <w:rFonts w:hint="eastAsia" w:eastAsia="宋体"/>
          <w:color w:val="auto"/>
          <w:szCs w:val="24"/>
          <w:highlight w:val="none"/>
        </w:rPr>
        <w:t xml:space="preserve"> </w:t>
      </w:r>
      <w:r>
        <w:rPr>
          <w:rFonts w:eastAsia="宋体"/>
          <w:color w:val="auto"/>
          <w:szCs w:val="24"/>
          <w:highlight w:val="none"/>
        </w:rPr>
        <w:t>竣工结算</w:t>
      </w:r>
      <w:bookmarkEnd w:id="1277"/>
      <w:bookmarkEnd w:id="1278"/>
      <w:bookmarkEnd w:id="1279"/>
    </w:p>
    <w:p>
      <w:pPr>
        <w:pStyle w:val="52"/>
        <w:ind w:firstLine="480"/>
        <w:jc w:val="both"/>
        <w:rPr>
          <w:rFonts w:eastAsia="宋体"/>
          <w:color w:val="auto"/>
          <w:sz w:val="24"/>
          <w:szCs w:val="24"/>
          <w:highlight w:val="none"/>
        </w:rPr>
      </w:pPr>
      <w:r>
        <w:rPr>
          <w:rFonts w:eastAsia="宋体"/>
          <w:color w:val="auto"/>
          <w:sz w:val="24"/>
          <w:szCs w:val="24"/>
          <w:highlight w:val="none"/>
        </w:rPr>
        <w:t>17.7.1</w:t>
      </w:r>
      <w:r>
        <w:rPr>
          <w:rFonts w:hint="eastAsia" w:eastAsia="宋体"/>
          <w:color w:val="auto"/>
          <w:sz w:val="24"/>
          <w:szCs w:val="24"/>
          <w:highlight w:val="none"/>
        </w:rPr>
        <w:t>.</w:t>
      </w:r>
      <w:r>
        <w:rPr>
          <w:rFonts w:eastAsia="宋体"/>
          <w:color w:val="auto"/>
          <w:sz w:val="24"/>
          <w:szCs w:val="24"/>
          <w:highlight w:val="none"/>
        </w:rPr>
        <w:t xml:space="preserve"> 结算书及相关资料约定如下：</w:t>
      </w:r>
    </w:p>
    <w:p>
      <w:pPr>
        <w:pStyle w:val="52"/>
        <w:ind w:firstLine="480"/>
        <w:jc w:val="both"/>
        <w:rPr>
          <w:rFonts w:eastAsia="宋体"/>
          <w:color w:val="auto"/>
          <w:sz w:val="24"/>
          <w:szCs w:val="24"/>
          <w:highlight w:val="none"/>
        </w:rPr>
      </w:pPr>
      <w:r>
        <w:rPr>
          <w:rFonts w:eastAsia="宋体"/>
          <w:color w:val="auto"/>
          <w:sz w:val="24"/>
          <w:szCs w:val="24"/>
          <w:highlight w:val="none"/>
        </w:rPr>
        <w:t>1）承包人编制的结算书（包括结算资料目录、编制说明、结算金额与合同金额对比表、指标分析表及与结算相关的计价文件依据等，结算书内容须列明</w:t>
      </w:r>
      <w:r>
        <w:rPr>
          <w:rFonts w:hint="eastAsia" w:eastAsia="宋体"/>
          <w:color w:val="auto"/>
          <w:sz w:val="24"/>
          <w:szCs w:val="24"/>
          <w:highlight w:val="none"/>
        </w:rPr>
        <w:t>本合同第一部分</w:t>
      </w:r>
      <w:r>
        <w:rPr>
          <w:rFonts w:eastAsia="宋体"/>
          <w:color w:val="auto"/>
          <w:sz w:val="24"/>
          <w:szCs w:val="24"/>
          <w:highlight w:val="none"/>
        </w:rPr>
        <w:t xml:space="preserve">协议书约定的合同暂定总价、每项变更的价款及暂估价的处理，承包人并须提供前述价款的数量、单价及其组成及其他一切相关文件）、工程量计算底稿；    </w:t>
      </w:r>
    </w:p>
    <w:p>
      <w:pPr>
        <w:pStyle w:val="52"/>
        <w:ind w:firstLine="480"/>
        <w:jc w:val="both"/>
        <w:rPr>
          <w:rFonts w:eastAsia="宋体"/>
          <w:color w:val="auto"/>
          <w:sz w:val="24"/>
          <w:szCs w:val="24"/>
          <w:highlight w:val="none"/>
        </w:rPr>
      </w:pPr>
      <w:r>
        <w:rPr>
          <w:rFonts w:eastAsia="宋体"/>
          <w:color w:val="auto"/>
          <w:sz w:val="24"/>
          <w:szCs w:val="24"/>
          <w:highlight w:val="none"/>
        </w:rPr>
        <w:t>2）合同文件；</w:t>
      </w:r>
    </w:p>
    <w:p>
      <w:pPr>
        <w:pStyle w:val="52"/>
        <w:ind w:firstLine="480"/>
        <w:jc w:val="both"/>
        <w:rPr>
          <w:rFonts w:eastAsia="宋体"/>
          <w:color w:val="auto"/>
          <w:sz w:val="24"/>
          <w:szCs w:val="24"/>
          <w:highlight w:val="none"/>
        </w:rPr>
      </w:pPr>
      <w:r>
        <w:rPr>
          <w:rFonts w:eastAsia="宋体"/>
          <w:color w:val="auto"/>
          <w:sz w:val="24"/>
          <w:szCs w:val="24"/>
          <w:highlight w:val="none"/>
        </w:rPr>
        <w:t>3）开工报告；</w:t>
      </w:r>
    </w:p>
    <w:p>
      <w:pPr>
        <w:pStyle w:val="52"/>
        <w:ind w:firstLine="480"/>
        <w:jc w:val="both"/>
        <w:rPr>
          <w:rFonts w:eastAsia="宋体"/>
          <w:color w:val="auto"/>
          <w:sz w:val="24"/>
          <w:szCs w:val="24"/>
          <w:highlight w:val="none"/>
        </w:rPr>
      </w:pPr>
      <w:r>
        <w:rPr>
          <w:rFonts w:eastAsia="宋体"/>
          <w:color w:val="auto"/>
          <w:sz w:val="24"/>
          <w:szCs w:val="24"/>
          <w:highlight w:val="none"/>
        </w:rPr>
        <w:t>4）开工与竣工报告、竣工验收记录；</w:t>
      </w:r>
    </w:p>
    <w:p>
      <w:pPr>
        <w:pStyle w:val="52"/>
        <w:ind w:firstLine="480"/>
        <w:jc w:val="both"/>
        <w:rPr>
          <w:rFonts w:eastAsia="宋体"/>
          <w:color w:val="auto"/>
          <w:sz w:val="24"/>
          <w:szCs w:val="24"/>
          <w:highlight w:val="none"/>
        </w:rPr>
      </w:pPr>
      <w:r>
        <w:rPr>
          <w:rFonts w:eastAsia="宋体"/>
          <w:color w:val="auto"/>
          <w:sz w:val="24"/>
          <w:szCs w:val="24"/>
          <w:highlight w:val="none"/>
        </w:rPr>
        <w:t>5）按规定签字认可的施工图、竣工图纸、设计变更和附图；</w:t>
      </w:r>
    </w:p>
    <w:p>
      <w:pPr>
        <w:pStyle w:val="52"/>
        <w:ind w:firstLine="480"/>
        <w:jc w:val="both"/>
        <w:rPr>
          <w:rFonts w:eastAsia="宋体"/>
          <w:color w:val="auto"/>
          <w:sz w:val="24"/>
          <w:szCs w:val="24"/>
          <w:highlight w:val="none"/>
        </w:rPr>
      </w:pPr>
      <w:r>
        <w:rPr>
          <w:rFonts w:eastAsia="宋体"/>
          <w:color w:val="auto"/>
          <w:sz w:val="24"/>
          <w:szCs w:val="24"/>
          <w:highlight w:val="none"/>
        </w:rPr>
        <w:t>6）经审定的施工组织设计、施工方案或专项施工方案；</w:t>
      </w:r>
    </w:p>
    <w:p>
      <w:pPr>
        <w:pStyle w:val="52"/>
        <w:ind w:firstLine="480"/>
        <w:jc w:val="both"/>
        <w:rPr>
          <w:rFonts w:eastAsia="宋体"/>
          <w:color w:val="auto"/>
          <w:sz w:val="24"/>
          <w:szCs w:val="24"/>
          <w:highlight w:val="none"/>
        </w:rPr>
      </w:pPr>
      <w:r>
        <w:rPr>
          <w:rFonts w:eastAsia="宋体"/>
          <w:color w:val="auto"/>
          <w:sz w:val="24"/>
          <w:szCs w:val="24"/>
          <w:highlight w:val="none"/>
        </w:rPr>
        <w:t>7）过程结算资料；</w:t>
      </w:r>
    </w:p>
    <w:p>
      <w:pPr>
        <w:pStyle w:val="52"/>
        <w:ind w:firstLine="480"/>
        <w:jc w:val="both"/>
        <w:rPr>
          <w:rFonts w:eastAsia="宋体"/>
          <w:color w:val="auto"/>
          <w:sz w:val="24"/>
          <w:szCs w:val="24"/>
          <w:highlight w:val="none"/>
        </w:rPr>
      </w:pPr>
      <w:r>
        <w:rPr>
          <w:rFonts w:eastAsia="宋体"/>
          <w:color w:val="auto"/>
          <w:sz w:val="24"/>
          <w:szCs w:val="24"/>
          <w:highlight w:val="none"/>
        </w:rPr>
        <w:t>8）有效工程签证及索赔相关资料；</w:t>
      </w:r>
    </w:p>
    <w:p>
      <w:pPr>
        <w:pStyle w:val="52"/>
        <w:ind w:firstLine="480"/>
        <w:jc w:val="both"/>
        <w:rPr>
          <w:rFonts w:eastAsia="宋体"/>
          <w:color w:val="auto"/>
          <w:sz w:val="24"/>
          <w:szCs w:val="24"/>
          <w:highlight w:val="none"/>
        </w:rPr>
      </w:pPr>
      <w:r>
        <w:rPr>
          <w:rFonts w:eastAsia="宋体"/>
          <w:color w:val="auto"/>
          <w:sz w:val="24"/>
          <w:szCs w:val="24"/>
          <w:highlight w:val="none"/>
        </w:rPr>
        <w:t>9) 有效合同外单价核价表（需附明细汇总表）；</w:t>
      </w:r>
    </w:p>
    <w:p>
      <w:pPr>
        <w:pStyle w:val="52"/>
        <w:ind w:firstLine="480"/>
        <w:jc w:val="both"/>
        <w:rPr>
          <w:rFonts w:eastAsia="宋体"/>
          <w:color w:val="auto"/>
          <w:sz w:val="24"/>
          <w:szCs w:val="24"/>
          <w:highlight w:val="none"/>
        </w:rPr>
      </w:pPr>
      <w:r>
        <w:rPr>
          <w:rFonts w:eastAsia="宋体"/>
          <w:color w:val="auto"/>
          <w:sz w:val="24"/>
          <w:szCs w:val="24"/>
          <w:highlight w:val="none"/>
        </w:rPr>
        <w:t>10）甲供材料通知（含材料清单等）；</w:t>
      </w:r>
    </w:p>
    <w:p>
      <w:pPr>
        <w:pStyle w:val="52"/>
        <w:ind w:firstLine="480"/>
        <w:jc w:val="both"/>
        <w:rPr>
          <w:rFonts w:eastAsia="宋体"/>
          <w:color w:val="auto"/>
          <w:sz w:val="24"/>
          <w:szCs w:val="24"/>
          <w:highlight w:val="none"/>
        </w:rPr>
      </w:pPr>
      <w:r>
        <w:rPr>
          <w:rFonts w:eastAsia="宋体"/>
          <w:color w:val="auto"/>
          <w:sz w:val="24"/>
          <w:szCs w:val="24"/>
          <w:highlight w:val="none"/>
        </w:rPr>
        <w:t>11）甲控品牌进场使用的佐证资料；</w:t>
      </w:r>
    </w:p>
    <w:p>
      <w:pPr>
        <w:pStyle w:val="52"/>
        <w:ind w:firstLine="480"/>
        <w:jc w:val="both"/>
        <w:rPr>
          <w:rFonts w:eastAsia="宋体"/>
          <w:color w:val="auto"/>
          <w:sz w:val="24"/>
          <w:szCs w:val="24"/>
          <w:highlight w:val="none"/>
        </w:rPr>
      </w:pPr>
      <w:r>
        <w:rPr>
          <w:rFonts w:eastAsia="宋体"/>
          <w:color w:val="auto"/>
          <w:sz w:val="24"/>
          <w:szCs w:val="24"/>
          <w:highlight w:val="none"/>
        </w:rPr>
        <w:t>12）合同付款情况表；</w:t>
      </w:r>
    </w:p>
    <w:p>
      <w:pPr>
        <w:autoSpaceDE w:val="0"/>
        <w:autoSpaceDN w:val="0"/>
        <w:adjustRightIn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13）合同履行期间承包人的违约情况说明（如有）及承包人相关支持文件；</w:t>
      </w:r>
    </w:p>
    <w:p>
      <w:pPr>
        <w:autoSpaceDE w:val="0"/>
        <w:autoSpaceDN w:val="0"/>
        <w:adjustRightIn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14）结算资料目录应将整套报送结算资料按顺序编写页码进行填写、整理，以便双方查阅、核对；</w:t>
      </w:r>
    </w:p>
    <w:p>
      <w:pPr>
        <w:autoSpaceDE w:val="0"/>
        <w:autoSpaceDN w:val="0"/>
        <w:adjustRightIn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15）纸质版结算资料一式</w:t>
      </w:r>
      <w:r>
        <w:rPr>
          <w:rFonts w:hint="eastAsia" w:ascii="Times New Roman" w:hAnsi="Times New Roman"/>
          <w:color w:val="auto"/>
          <w:kern w:val="0"/>
          <w:sz w:val="24"/>
          <w:szCs w:val="24"/>
          <w:highlight w:val="none"/>
        </w:rPr>
        <w:t>5</w:t>
      </w:r>
      <w:r>
        <w:rPr>
          <w:rFonts w:ascii="Times New Roman" w:hAnsi="Times New Roman"/>
          <w:color w:val="auto"/>
          <w:kern w:val="0"/>
          <w:sz w:val="24"/>
          <w:szCs w:val="24"/>
          <w:highlight w:val="none"/>
        </w:rPr>
        <w:t>份，电子版2份，其中至少有一套纸质版结算资料原件</w:t>
      </w:r>
      <w:r>
        <w:rPr>
          <w:rFonts w:hint="eastAsia" w:ascii="Times New Roman" w:hAnsi="Times New Roman"/>
          <w:color w:val="auto"/>
          <w:kern w:val="0"/>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16）其它相关结算资料：</w:t>
      </w:r>
      <w:r>
        <w:rPr>
          <w:rFonts w:eastAsia="宋体"/>
          <w:color w:val="auto"/>
          <w:sz w:val="24"/>
          <w:szCs w:val="24"/>
          <w:highlight w:val="none"/>
          <w:u w:val="single"/>
        </w:rPr>
        <w:t xml:space="preserve"> </w:t>
      </w:r>
      <w:r>
        <w:rPr>
          <w:rFonts w:hint="eastAsia" w:eastAsia="宋体"/>
          <w:color w:val="auto"/>
          <w:sz w:val="24"/>
          <w:szCs w:val="24"/>
          <w:highlight w:val="none"/>
          <w:u w:val="single"/>
        </w:rPr>
        <w:t xml:space="preserve"> </w:t>
      </w:r>
      <w:r>
        <w:rPr>
          <w:rFonts w:eastAsia="宋体"/>
          <w:color w:val="auto"/>
          <w:sz w:val="24"/>
          <w:szCs w:val="24"/>
          <w:highlight w:val="none"/>
          <w:u w:val="single"/>
        </w:rPr>
        <w:t xml:space="preserve">/ </w:t>
      </w:r>
      <w:r>
        <w:rPr>
          <w:rFonts w:hint="eastAsia" w:eastAsia="宋体"/>
          <w:color w:val="auto"/>
          <w:sz w:val="24"/>
          <w:szCs w:val="24"/>
          <w:highlight w:val="none"/>
          <w:u w:val="single"/>
        </w:rPr>
        <w:t xml:space="preserve"> </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17.7.2</w:t>
      </w:r>
      <w:r>
        <w:rPr>
          <w:rFonts w:hint="eastAsia" w:eastAsia="宋体"/>
          <w:color w:val="auto"/>
          <w:sz w:val="24"/>
          <w:szCs w:val="24"/>
          <w:highlight w:val="none"/>
        </w:rPr>
        <w:t>.</w:t>
      </w:r>
      <w:r>
        <w:rPr>
          <w:rFonts w:eastAsia="宋体"/>
          <w:color w:val="auto"/>
          <w:sz w:val="24"/>
          <w:szCs w:val="24"/>
          <w:highlight w:val="none"/>
        </w:rPr>
        <w:t xml:space="preserve"> 自完整、有效的结算书及相关资料收到之日起</w:t>
      </w:r>
      <w:r>
        <w:rPr>
          <w:rFonts w:eastAsia="宋体"/>
          <w:color w:val="auto"/>
          <w:sz w:val="24"/>
          <w:szCs w:val="24"/>
          <w:highlight w:val="none"/>
          <w:u w:val="single"/>
        </w:rPr>
        <w:t xml:space="preserve"> </w:t>
      </w:r>
      <w:r>
        <w:rPr>
          <w:rFonts w:hint="eastAsia" w:eastAsia="宋体"/>
          <w:color w:val="auto"/>
          <w:sz w:val="24"/>
          <w:szCs w:val="24"/>
          <w:highlight w:val="none"/>
          <w:u w:val="single"/>
        </w:rPr>
        <w:t>180</w:t>
      </w:r>
      <w:r>
        <w:rPr>
          <w:rFonts w:eastAsia="宋体"/>
          <w:color w:val="auto"/>
          <w:sz w:val="24"/>
          <w:szCs w:val="24"/>
          <w:highlight w:val="none"/>
          <w:u w:val="single"/>
        </w:rPr>
        <w:t xml:space="preserve"> </w:t>
      </w:r>
      <w:r>
        <w:rPr>
          <w:rFonts w:eastAsia="宋体"/>
          <w:color w:val="auto"/>
          <w:sz w:val="24"/>
          <w:szCs w:val="24"/>
          <w:highlight w:val="none"/>
        </w:rPr>
        <w:t>天内，发包人对结算书进行审核，给予确认或提出修改意见，并将审核结果通知承包人。承包人确认同意的，则发包人审定的价款为双方竣工结算价款的最终依据；如承包人不同意的，双方针对争议部分进行核对和协商；经核对协商不能解决的争议部分，按本合同关于争议的约定处理。发包人与承包人就结算问题进行的沟通、协商、确认仅为协商过程性的行为。除非发包人法定代表人签字并加盖发包人公章，任何形式的文件以及任何人的行为都不能视为发包人对结算的认可。</w:t>
      </w:r>
    </w:p>
    <w:p>
      <w:pPr>
        <w:pStyle w:val="52"/>
        <w:ind w:firstLine="480"/>
        <w:jc w:val="both"/>
        <w:rPr>
          <w:rFonts w:eastAsia="宋体"/>
          <w:color w:val="auto"/>
          <w:sz w:val="24"/>
          <w:szCs w:val="24"/>
          <w:highlight w:val="none"/>
        </w:rPr>
      </w:pPr>
      <w:r>
        <w:rPr>
          <w:rFonts w:eastAsia="宋体"/>
          <w:color w:val="auto"/>
          <w:sz w:val="24"/>
          <w:szCs w:val="24"/>
          <w:highlight w:val="none"/>
        </w:rPr>
        <w:t>17.7.7</w:t>
      </w:r>
      <w:r>
        <w:rPr>
          <w:rFonts w:hint="eastAsia" w:eastAsia="宋体"/>
          <w:color w:val="auto"/>
          <w:sz w:val="24"/>
          <w:szCs w:val="24"/>
          <w:highlight w:val="none"/>
        </w:rPr>
        <w:t>.</w:t>
      </w:r>
      <w:r>
        <w:rPr>
          <w:rFonts w:eastAsia="宋体"/>
          <w:color w:val="auto"/>
          <w:sz w:val="24"/>
          <w:szCs w:val="24"/>
          <w:highlight w:val="none"/>
        </w:rPr>
        <w:t xml:space="preserve"> 对于竣工结算的其他约定：</w:t>
      </w:r>
    </w:p>
    <w:p>
      <w:pPr>
        <w:pStyle w:val="52"/>
        <w:ind w:firstLine="480"/>
        <w:jc w:val="both"/>
        <w:rPr>
          <w:rFonts w:eastAsia="宋体"/>
          <w:color w:val="auto"/>
          <w:sz w:val="24"/>
          <w:szCs w:val="24"/>
          <w:highlight w:val="none"/>
        </w:rPr>
      </w:pPr>
      <w:r>
        <w:rPr>
          <w:rFonts w:eastAsia="宋体"/>
          <w:color w:val="auto"/>
          <w:sz w:val="24"/>
          <w:szCs w:val="24"/>
          <w:highlight w:val="none"/>
        </w:rPr>
        <w:t>1)</w:t>
      </w:r>
      <w:r>
        <w:rPr>
          <w:rFonts w:hint="eastAsia" w:eastAsia="宋体"/>
          <w:color w:val="auto"/>
          <w:sz w:val="24"/>
          <w:szCs w:val="24"/>
          <w:highlight w:val="none"/>
        </w:rPr>
        <w:t xml:space="preserve"> </w:t>
      </w:r>
      <w:r>
        <w:rPr>
          <w:rFonts w:eastAsia="宋体"/>
          <w:color w:val="auto"/>
          <w:sz w:val="24"/>
          <w:szCs w:val="24"/>
          <w:highlight w:val="none"/>
        </w:rPr>
        <w:t>在发包人与承包人就结算金额达成一致或生效裁判文书确定前，发包人对争议部分的支付义务不能确定，因此也无支付义务。只有在双方就结算金额达成一致或生效裁判文书确定发包人的支付义务后，发包人才有按照双方达成的一致或生效裁判文书支付结算款的义务，并在未按双方达成的一致或生效裁判文书确定的支付时间支付结算款时，才开始承担逾期支付的违约金或承担其他违约责任。</w:t>
      </w:r>
    </w:p>
    <w:p>
      <w:pPr>
        <w:pStyle w:val="52"/>
        <w:ind w:firstLine="480"/>
        <w:jc w:val="both"/>
        <w:rPr>
          <w:rFonts w:eastAsia="宋体"/>
          <w:color w:val="auto"/>
          <w:sz w:val="24"/>
          <w:szCs w:val="24"/>
          <w:highlight w:val="none"/>
        </w:rPr>
      </w:pPr>
      <w:r>
        <w:rPr>
          <w:rFonts w:eastAsia="宋体"/>
          <w:color w:val="auto"/>
          <w:sz w:val="24"/>
          <w:szCs w:val="24"/>
          <w:highlight w:val="none"/>
        </w:rPr>
        <w:t>2）凡是涉及到工程造价增减的设计变更、工程签证均必须有发包人签字并盖章方为有效。</w:t>
      </w:r>
    </w:p>
    <w:p>
      <w:pPr>
        <w:pStyle w:val="52"/>
        <w:ind w:firstLine="480"/>
        <w:jc w:val="both"/>
        <w:rPr>
          <w:rFonts w:eastAsia="宋体"/>
          <w:color w:val="auto"/>
          <w:sz w:val="24"/>
          <w:szCs w:val="24"/>
          <w:highlight w:val="none"/>
        </w:rPr>
      </w:pPr>
      <w:r>
        <w:rPr>
          <w:rFonts w:eastAsia="宋体"/>
          <w:color w:val="auto"/>
          <w:sz w:val="24"/>
          <w:szCs w:val="24"/>
          <w:highlight w:val="none"/>
        </w:rPr>
        <w:t>3）设计变更、工程签证及现场签证按照相应规定执行。</w:t>
      </w:r>
    </w:p>
    <w:p>
      <w:pPr>
        <w:pStyle w:val="52"/>
        <w:ind w:firstLine="480"/>
        <w:jc w:val="both"/>
        <w:rPr>
          <w:rFonts w:eastAsia="宋体"/>
          <w:color w:val="auto"/>
          <w:sz w:val="24"/>
          <w:szCs w:val="24"/>
          <w:highlight w:val="none"/>
        </w:rPr>
      </w:pPr>
      <w:r>
        <w:rPr>
          <w:rFonts w:eastAsia="宋体"/>
          <w:color w:val="auto"/>
          <w:sz w:val="24"/>
          <w:szCs w:val="24"/>
          <w:highlight w:val="none"/>
        </w:rPr>
        <w:t>4）承包人违约金、水电费、赔偿金等相应扣款项，应扣未扣金额由发包人在应付结算价款中扣除。发包人凭收款收据及其他资料进行上述扣款。扣除部分不影响承包人应向发包人开具的发票数额。</w:t>
      </w:r>
    </w:p>
    <w:p>
      <w:pPr>
        <w:pStyle w:val="52"/>
        <w:ind w:firstLine="480"/>
        <w:jc w:val="both"/>
        <w:rPr>
          <w:rFonts w:eastAsia="宋体"/>
          <w:color w:val="auto"/>
          <w:sz w:val="24"/>
          <w:szCs w:val="24"/>
          <w:highlight w:val="none"/>
        </w:rPr>
      </w:pPr>
      <w:r>
        <w:rPr>
          <w:rFonts w:eastAsia="宋体"/>
          <w:color w:val="auto"/>
          <w:sz w:val="24"/>
          <w:szCs w:val="24"/>
          <w:highlight w:val="none"/>
        </w:rPr>
        <w:t>5）按国家规定由承包人交纳的各种税收、劳动保险费及其他费用已</w:t>
      </w:r>
      <w:r>
        <w:rPr>
          <w:rFonts w:hint="eastAsia" w:eastAsia="宋体"/>
          <w:color w:val="auto"/>
          <w:sz w:val="24"/>
          <w:szCs w:val="24"/>
          <w:highlight w:val="none"/>
        </w:rPr>
        <w:t>在合同暂定总价中综合考虑，不再另行计取</w:t>
      </w:r>
      <w:r>
        <w:rPr>
          <w:rFonts w:eastAsia="宋体"/>
          <w:color w:val="auto"/>
          <w:sz w:val="24"/>
          <w:szCs w:val="24"/>
          <w:highlight w:val="none"/>
        </w:rPr>
        <w:t>，由承包人负责向税收等部门交纳。</w:t>
      </w:r>
    </w:p>
    <w:p>
      <w:pPr>
        <w:pStyle w:val="52"/>
        <w:ind w:firstLine="480"/>
        <w:jc w:val="both"/>
        <w:rPr>
          <w:rFonts w:eastAsia="宋体"/>
          <w:color w:val="auto"/>
          <w:sz w:val="24"/>
          <w:szCs w:val="24"/>
          <w:highlight w:val="none"/>
        </w:rPr>
      </w:pPr>
      <w:r>
        <w:rPr>
          <w:rFonts w:eastAsia="宋体"/>
          <w:color w:val="auto"/>
          <w:sz w:val="24"/>
          <w:szCs w:val="24"/>
          <w:highlight w:val="none"/>
        </w:rPr>
        <w:t>6）</w:t>
      </w:r>
      <w:r>
        <w:rPr>
          <w:rFonts w:hint="eastAsia" w:eastAsia="宋体"/>
          <w:color w:val="auto"/>
          <w:sz w:val="24"/>
          <w:szCs w:val="24"/>
          <w:highlight w:val="none"/>
          <w:lang w:eastAsia="zh-CN"/>
        </w:rPr>
        <w:t>发包人</w:t>
      </w:r>
      <w:r>
        <w:rPr>
          <w:rFonts w:eastAsia="宋体"/>
          <w:color w:val="auto"/>
          <w:sz w:val="24"/>
          <w:szCs w:val="24"/>
          <w:highlight w:val="none"/>
        </w:rPr>
        <w:t>收到承包人的竣工结算申请单后，除非</w:t>
      </w:r>
      <w:r>
        <w:rPr>
          <w:rFonts w:hint="eastAsia" w:eastAsia="宋体"/>
          <w:color w:val="auto"/>
          <w:sz w:val="24"/>
          <w:szCs w:val="24"/>
          <w:highlight w:val="none"/>
          <w:lang w:eastAsia="zh-CN"/>
        </w:rPr>
        <w:t>发包人</w:t>
      </w:r>
      <w:r>
        <w:rPr>
          <w:rFonts w:eastAsia="宋体"/>
          <w:color w:val="auto"/>
          <w:sz w:val="24"/>
          <w:szCs w:val="24"/>
          <w:highlight w:val="none"/>
        </w:rPr>
        <w:t>以书面形式表示认可或接受，否则</w:t>
      </w:r>
      <w:r>
        <w:rPr>
          <w:rFonts w:hint="eastAsia" w:eastAsia="宋体"/>
          <w:color w:val="auto"/>
          <w:sz w:val="24"/>
          <w:szCs w:val="24"/>
          <w:highlight w:val="none"/>
          <w:lang w:eastAsia="zh-CN"/>
        </w:rPr>
        <w:t>发包人</w:t>
      </w:r>
      <w:r>
        <w:rPr>
          <w:rFonts w:eastAsia="宋体"/>
          <w:color w:val="auto"/>
          <w:sz w:val="24"/>
          <w:szCs w:val="24"/>
          <w:highlight w:val="none"/>
        </w:rPr>
        <w:t>的任何作为与不作为，包括要求承包人补充资料、不同意的表示、质疑、要求协商的会议、要求签订与承包人提出的报告不一致的协议或备忘录等，均视为对承包人申请单的不认可。本合同其他条款与此约定不一致的，以本条款约定为准。</w:t>
      </w:r>
    </w:p>
    <w:p>
      <w:pPr>
        <w:pStyle w:val="52"/>
        <w:ind w:firstLine="480"/>
        <w:jc w:val="both"/>
        <w:rPr>
          <w:rFonts w:eastAsia="宋体"/>
          <w:color w:val="auto"/>
          <w:sz w:val="24"/>
          <w:szCs w:val="24"/>
          <w:highlight w:val="none"/>
        </w:rPr>
      </w:pPr>
      <w:r>
        <w:rPr>
          <w:rFonts w:eastAsia="宋体"/>
          <w:color w:val="auto"/>
          <w:sz w:val="24"/>
          <w:szCs w:val="24"/>
          <w:highlight w:val="none"/>
        </w:rPr>
        <w:t>7）发包人委托第三方机构审核竣工结算的，承包人应积极配合第三方造价咨询机构开展结算审核工作，因承包人提供资料不积极或者不准确、不完整造成的审核责任由承包人承担。发包人委托第三方机构审核完工结算的，最终结算金额仍以发包人书面确认为准。</w:t>
      </w:r>
    </w:p>
    <w:p>
      <w:pPr>
        <w:pStyle w:val="52"/>
        <w:ind w:firstLine="480"/>
        <w:jc w:val="both"/>
        <w:rPr>
          <w:rFonts w:eastAsia="宋体"/>
          <w:color w:val="auto"/>
          <w:sz w:val="24"/>
          <w:szCs w:val="24"/>
          <w:highlight w:val="none"/>
        </w:rPr>
      </w:pPr>
      <w:r>
        <w:rPr>
          <w:rFonts w:eastAsia="宋体"/>
          <w:color w:val="auto"/>
          <w:sz w:val="24"/>
          <w:szCs w:val="24"/>
          <w:highlight w:val="none"/>
        </w:rPr>
        <w:t>8）本工程竣工结算方式（适用本合同的竣工结算方式为以下方框内已勾选方式，即</w:t>
      </w:r>
      <w:r>
        <w:rPr>
          <w:rFonts w:eastAsia="宋体"/>
          <w:color w:val="auto"/>
          <w:sz w:val="24"/>
          <w:szCs w:val="24"/>
          <w:highlight w:val="none"/>
        </w:rPr>
        <w:sym w:font="Wingdings 2" w:char="0052"/>
      </w:r>
      <w:r>
        <w:rPr>
          <w:rFonts w:eastAsia="宋体"/>
          <w:color w:val="auto"/>
          <w:sz w:val="24"/>
          <w:szCs w:val="24"/>
          <w:highlight w:val="none"/>
        </w:rPr>
        <w:t>）为:</w:t>
      </w:r>
    </w:p>
    <w:p>
      <w:pPr>
        <w:pStyle w:val="52"/>
        <w:ind w:firstLine="482"/>
        <w:jc w:val="both"/>
        <w:rPr>
          <w:rFonts w:eastAsia="宋体"/>
          <w:color w:val="auto"/>
          <w:sz w:val="24"/>
          <w:szCs w:val="24"/>
          <w:highlight w:val="none"/>
        </w:rPr>
      </w:pPr>
      <w:r>
        <w:rPr>
          <w:rFonts w:eastAsia="宋体"/>
          <w:b/>
          <w:bCs/>
          <w:color w:val="auto"/>
          <w:sz w:val="24"/>
          <w:szCs w:val="24"/>
          <w:highlight w:val="none"/>
        </w:rPr>
        <w:sym w:font="Wingdings 2" w:char="00A3"/>
      </w:r>
      <w:r>
        <w:rPr>
          <w:rFonts w:eastAsia="宋体"/>
          <w:b/>
          <w:bCs/>
          <w:color w:val="auto"/>
          <w:sz w:val="24"/>
          <w:szCs w:val="24"/>
          <w:highlight w:val="none"/>
        </w:rPr>
        <w:t>方式一（适用于模拟清单招标固定单价计价模式）</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当重计量阶段已通过补充协议转固定总价合同时，竣工结算=补充协议约定的固定合同总价+设计变更+签证+索赔+其他；当重计量阶段尚不具备通过补充协议转固定总价合同的，竣工结算=竣工图（含设计变更）+签证+索赔+其他。</w:t>
      </w:r>
    </w:p>
    <w:p>
      <w:pPr>
        <w:pStyle w:val="52"/>
        <w:ind w:firstLine="482"/>
        <w:jc w:val="both"/>
        <w:rPr>
          <w:rFonts w:eastAsia="宋体"/>
          <w:color w:val="auto"/>
          <w:sz w:val="24"/>
          <w:szCs w:val="24"/>
          <w:highlight w:val="none"/>
          <w:u w:val="single"/>
        </w:rPr>
      </w:pPr>
      <w:r>
        <w:rPr>
          <w:rFonts w:eastAsia="宋体"/>
          <w:b/>
          <w:bCs/>
          <w:color w:val="auto"/>
          <w:kern w:val="2"/>
          <w:sz w:val="24"/>
          <w:szCs w:val="24"/>
          <w:highlight w:val="none"/>
        </w:rPr>
        <w:sym w:font="Wingdings 2" w:char="F052"/>
      </w:r>
      <w:r>
        <w:rPr>
          <w:rFonts w:eastAsia="宋体"/>
          <w:b/>
          <w:bCs/>
          <w:color w:val="auto"/>
          <w:sz w:val="24"/>
          <w:szCs w:val="24"/>
          <w:highlight w:val="none"/>
          <w:u w:val="single"/>
        </w:rPr>
        <w:t>方式二（</w:t>
      </w:r>
      <w:r>
        <w:rPr>
          <w:rFonts w:eastAsia="宋体"/>
          <w:b/>
          <w:bCs/>
          <w:color w:val="auto"/>
          <w:sz w:val="24"/>
          <w:szCs w:val="24"/>
          <w:highlight w:val="none"/>
        </w:rPr>
        <w:t>适用于施工图清单招标固定单价计价模式</w:t>
      </w:r>
      <w:r>
        <w:rPr>
          <w:rFonts w:eastAsia="宋体"/>
          <w:b/>
          <w:bCs/>
          <w:color w:val="auto"/>
          <w:sz w:val="24"/>
          <w:szCs w:val="24"/>
          <w:highlight w:val="none"/>
          <w:u w:val="single"/>
        </w:rPr>
        <w:t>）：</w:t>
      </w:r>
    </w:p>
    <w:p>
      <w:pPr>
        <w:pStyle w:val="52"/>
        <w:ind w:firstLine="480"/>
        <w:jc w:val="both"/>
        <w:rPr>
          <w:rFonts w:eastAsia="宋体"/>
          <w:color w:val="auto"/>
          <w:sz w:val="24"/>
          <w:szCs w:val="24"/>
          <w:highlight w:val="none"/>
        </w:rPr>
      </w:pPr>
      <w:r>
        <w:rPr>
          <w:rFonts w:eastAsia="宋体"/>
          <w:color w:val="auto"/>
          <w:sz w:val="24"/>
          <w:szCs w:val="24"/>
          <w:highlight w:val="none"/>
        </w:rPr>
        <w:t>竣工结算=竣工图（含设计变更）+签证+索赔+其他；当施工过程中设计变更实际发生较少时，承发包</w:t>
      </w:r>
      <w:r>
        <w:rPr>
          <w:rFonts w:hint="eastAsia" w:eastAsia="宋体"/>
          <w:color w:val="auto"/>
          <w:sz w:val="24"/>
          <w:szCs w:val="24"/>
          <w:highlight w:val="none"/>
        </w:rPr>
        <w:t>双方</w:t>
      </w:r>
      <w:r>
        <w:rPr>
          <w:rFonts w:eastAsia="宋体"/>
          <w:color w:val="auto"/>
          <w:sz w:val="24"/>
          <w:szCs w:val="24"/>
          <w:highlight w:val="none"/>
        </w:rPr>
        <w:t>经协商竣工结算方式可以调整为：竣工结算=</w:t>
      </w:r>
      <w:r>
        <w:rPr>
          <w:rFonts w:hint="eastAsia" w:eastAsia="宋体"/>
          <w:color w:val="auto"/>
          <w:sz w:val="24"/>
          <w:szCs w:val="24"/>
          <w:highlight w:val="none"/>
        </w:rPr>
        <w:t>暂定</w:t>
      </w:r>
      <w:r>
        <w:rPr>
          <w:rFonts w:eastAsia="宋体"/>
          <w:color w:val="auto"/>
          <w:sz w:val="24"/>
          <w:szCs w:val="24"/>
          <w:highlight w:val="none"/>
        </w:rPr>
        <w:t>合同总价+设计变更+签证+索赔+其他</w:t>
      </w:r>
    </w:p>
    <w:p>
      <w:pPr>
        <w:pStyle w:val="52"/>
        <w:ind w:firstLine="480"/>
        <w:jc w:val="both"/>
        <w:rPr>
          <w:rFonts w:eastAsia="宋体"/>
          <w:color w:val="auto"/>
          <w:sz w:val="24"/>
          <w:szCs w:val="24"/>
          <w:highlight w:val="none"/>
        </w:rPr>
      </w:pPr>
      <w:r>
        <w:rPr>
          <w:rFonts w:hint="eastAsia" w:eastAsia="宋体"/>
          <w:color w:val="auto"/>
          <w:sz w:val="24"/>
          <w:szCs w:val="24"/>
          <w:highlight w:val="none"/>
        </w:rPr>
        <w:t>9）</w:t>
      </w:r>
      <w:r>
        <w:rPr>
          <w:rFonts w:eastAsia="宋体"/>
          <w:color w:val="auto"/>
          <w:sz w:val="24"/>
          <w:szCs w:val="24"/>
          <w:highlight w:val="none"/>
        </w:rPr>
        <w:t>承包人申报预（结）算时不得高估冒算，承包人预（结）算的送审价高出发包人审定价的，承包人应承担违约责任，由发包人按以下差额定率分段累进计算方式在预（结）算款项中以违约金形式扣除：</w:t>
      </w:r>
    </w:p>
    <w:p>
      <w:pPr>
        <w:pStyle w:val="52"/>
        <w:ind w:firstLine="480"/>
        <w:jc w:val="both"/>
        <w:rPr>
          <w:rFonts w:eastAsia="宋体"/>
          <w:color w:val="auto"/>
          <w:sz w:val="24"/>
          <w:szCs w:val="24"/>
          <w:highlight w:val="none"/>
        </w:rPr>
      </w:pPr>
      <w:r>
        <w:rPr>
          <w:rFonts w:eastAsia="宋体"/>
          <w:color w:val="auto"/>
          <w:sz w:val="24"/>
          <w:szCs w:val="24"/>
          <w:highlight w:val="none"/>
        </w:rPr>
        <w:t>①当承包人预（结）算的送审价高出发包人审定价在10%（不含本数）~20%（含本数）时：</w:t>
      </w:r>
    </w:p>
    <w:p>
      <w:pPr>
        <w:pStyle w:val="52"/>
        <w:ind w:firstLine="480"/>
        <w:jc w:val="both"/>
        <w:rPr>
          <w:rFonts w:eastAsia="宋体"/>
          <w:color w:val="auto"/>
          <w:sz w:val="24"/>
          <w:szCs w:val="24"/>
          <w:highlight w:val="none"/>
        </w:rPr>
      </w:pPr>
      <w:r>
        <w:rPr>
          <w:rFonts w:eastAsia="宋体"/>
          <w:color w:val="auto"/>
          <w:sz w:val="24"/>
          <w:szCs w:val="24"/>
          <w:highlight w:val="none"/>
        </w:rPr>
        <w:t>违约金＝(承包人预（结）算送审造价－发包人预（结）算审定价×1.1)×5%</w:t>
      </w:r>
    </w:p>
    <w:p>
      <w:pPr>
        <w:pStyle w:val="52"/>
        <w:ind w:firstLine="480"/>
        <w:jc w:val="both"/>
        <w:rPr>
          <w:rFonts w:eastAsia="宋体"/>
          <w:color w:val="auto"/>
          <w:sz w:val="24"/>
          <w:szCs w:val="24"/>
          <w:highlight w:val="none"/>
        </w:rPr>
      </w:pPr>
      <w:r>
        <w:rPr>
          <w:rFonts w:eastAsia="宋体"/>
          <w:color w:val="auto"/>
          <w:sz w:val="24"/>
          <w:szCs w:val="24"/>
          <w:highlight w:val="none"/>
        </w:rPr>
        <w:t>②当承包人预（结）算的送审价高出发包人审定价20%以上时：</w:t>
      </w:r>
    </w:p>
    <w:p>
      <w:pPr>
        <w:pStyle w:val="52"/>
        <w:ind w:firstLine="480"/>
        <w:jc w:val="both"/>
        <w:rPr>
          <w:rFonts w:eastAsia="宋体"/>
          <w:color w:val="auto"/>
          <w:sz w:val="24"/>
          <w:szCs w:val="24"/>
          <w:highlight w:val="none"/>
        </w:rPr>
      </w:pPr>
      <w:r>
        <w:rPr>
          <w:rFonts w:eastAsia="宋体"/>
          <w:color w:val="auto"/>
          <w:sz w:val="24"/>
          <w:szCs w:val="24"/>
          <w:highlight w:val="none"/>
        </w:rPr>
        <w:t>违约金＝(承包人预（结）算送审造价－发包人预（结）算审定价×1.2)×10%</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10）双方人员应每次对数前都在工作签到表上签名，签到表应注明当天双方办理结算的具体工作时间、内容、范围等事项，作为双方到场办理结算的现场工作记录。双方结算人员办理结算对数时应友好合作，对经核对确认无异议的数据和资料应当共同签字确认。如有异议，应当场提出，当场核对，当场记录争议的具体内容。如承包人对所核对的数据和资料没有书面提出异议，又不签字认可，发包人可以单方签名并在经过双方核对的文件资料上注明具体情况，将当天工作签到表和核对后的资料寄发给承包人，该资料即作为双方共同对数后确认的结算资料。对于双方意见分歧的书面记录，经双方对数人员共同核对清楚并签字确认后，上报领导协商解决</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任何人员不得因意见分歧而发生争执、对骂，甚至侮辱、殴打对方。如发生上述事件，受害方有权向侵权方索赔，由侵权方承担一切法律责任。承包人在结算期间，不按照发包人要求的时间或期限与发包人对数的，或者经过双方共同对数但承包人不签字对数结果的，或者推翻经过双方共同确认的对数成果的，发包人办理结算的时间向后顺延，期间不须支付剩余工程款，由承包人承担结算延误的违约责任。</w:t>
      </w:r>
    </w:p>
    <w:p>
      <w:pPr>
        <w:tabs>
          <w:tab w:val="left" w:pos="312"/>
        </w:tabs>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11）结算过程中，承包人发生民工讨薪事件，致使发包人为承包人垫付民工工资的，除发包人在承包人的结算款中扣除代付的民工工资外，承包人须向发包人承担结算特别违约责任，按照发包人所垫付的民工工资4倍向发包人支付违约金。</w:t>
      </w:r>
    </w:p>
    <w:p>
      <w:pPr>
        <w:pStyle w:val="52"/>
        <w:ind w:firstLine="480"/>
        <w:jc w:val="both"/>
        <w:rPr>
          <w:rFonts w:eastAsia="宋体"/>
          <w:color w:val="auto"/>
          <w:sz w:val="24"/>
          <w:szCs w:val="24"/>
          <w:highlight w:val="none"/>
        </w:rPr>
      </w:pPr>
      <w:r>
        <w:rPr>
          <w:rFonts w:eastAsia="宋体"/>
          <w:color w:val="auto"/>
          <w:sz w:val="24"/>
          <w:szCs w:val="24"/>
          <w:highlight w:val="none"/>
        </w:rPr>
        <w:t>12）承包人拒不配合分段结算、过程结算、竣工结算的，发包人有权进行单面结算或委托第三方中介机构结算。结算结果送达承包人后15天内承包人未向发包人反馈结算书面确认信息的，视为承包人已默认并同意结算结果。该等情形下，承包人需向发包人支付本合同</w:t>
      </w:r>
      <w:r>
        <w:rPr>
          <w:rFonts w:hint="eastAsia" w:eastAsia="宋体"/>
          <w:color w:val="auto"/>
          <w:sz w:val="24"/>
          <w:szCs w:val="24"/>
          <w:highlight w:val="none"/>
        </w:rPr>
        <w:t>暂定总价</w:t>
      </w:r>
      <w:r>
        <w:rPr>
          <w:rFonts w:eastAsia="宋体"/>
          <w:color w:val="auto"/>
          <w:sz w:val="24"/>
          <w:szCs w:val="24"/>
          <w:highlight w:val="none"/>
        </w:rPr>
        <w:t>0.5%的结算编制费用，同时应向发包人按本合同</w:t>
      </w:r>
      <w:r>
        <w:rPr>
          <w:rFonts w:hint="eastAsia" w:eastAsia="宋体"/>
          <w:color w:val="auto"/>
          <w:sz w:val="24"/>
          <w:szCs w:val="24"/>
          <w:highlight w:val="none"/>
        </w:rPr>
        <w:t>暂定总价</w:t>
      </w:r>
      <w:r>
        <w:rPr>
          <w:rFonts w:eastAsia="宋体"/>
          <w:color w:val="auto"/>
          <w:sz w:val="24"/>
          <w:szCs w:val="24"/>
          <w:highlight w:val="none"/>
        </w:rPr>
        <w:t>0.5%支付违约金，且发包人有权在应付承包人的工程款中直接扣留该款项。</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280" w:name="_Toc44492611"/>
      <w:bookmarkStart w:id="1281" w:name="_Toc9837"/>
      <w:bookmarkStart w:id="1282" w:name="_Toc10784"/>
      <w:bookmarkStart w:id="1283" w:name="_Toc38987287"/>
      <w:bookmarkStart w:id="1284" w:name="_Toc18449"/>
      <w:bookmarkStart w:id="1285" w:name="_Toc13438"/>
      <w:bookmarkStart w:id="1286" w:name="_Toc29108"/>
      <w:bookmarkStart w:id="1287" w:name="_Toc44228170"/>
      <w:bookmarkStart w:id="1288" w:name="_Toc4204"/>
      <w:r>
        <w:rPr>
          <w:rFonts w:eastAsia="宋体"/>
          <w:color w:val="auto"/>
          <w:sz w:val="24"/>
          <w:szCs w:val="24"/>
          <w:highlight w:val="none"/>
        </w:rPr>
        <w:t>竣工验收</w:t>
      </w:r>
      <w:bookmarkEnd w:id="1280"/>
      <w:bookmarkEnd w:id="1281"/>
      <w:bookmarkEnd w:id="1282"/>
      <w:bookmarkEnd w:id="1283"/>
      <w:bookmarkEnd w:id="1284"/>
      <w:bookmarkEnd w:id="1285"/>
      <w:bookmarkEnd w:id="1286"/>
      <w:bookmarkEnd w:id="1287"/>
      <w:bookmarkEnd w:id="1288"/>
    </w:p>
    <w:p>
      <w:pPr>
        <w:pStyle w:val="77"/>
        <w:spacing w:before="0" w:after="0"/>
        <w:ind w:firstLine="480"/>
        <w:rPr>
          <w:rFonts w:eastAsia="宋体"/>
          <w:color w:val="auto"/>
          <w:szCs w:val="24"/>
          <w:highlight w:val="none"/>
        </w:rPr>
      </w:pPr>
      <w:bookmarkStart w:id="1289" w:name="_Toc23922"/>
      <w:bookmarkStart w:id="1290" w:name="_Toc44492612"/>
      <w:bookmarkStart w:id="1291" w:name="_Toc29777"/>
      <w:r>
        <w:rPr>
          <w:rFonts w:eastAsia="宋体"/>
          <w:color w:val="auto"/>
          <w:szCs w:val="24"/>
          <w:highlight w:val="none"/>
        </w:rPr>
        <w:t>18.3.</w:t>
      </w:r>
      <w:r>
        <w:rPr>
          <w:rFonts w:hint="eastAsia" w:eastAsia="宋体"/>
          <w:color w:val="auto"/>
          <w:szCs w:val="24"/>
          <w:highlight w:val="none"/>
        </w:rPr>
        <w:t xml:space="preserve"> </w:t>
      </w:r>
      <w:r>
        <w:rPr>
          <w:rFonts w:eastAsia="宋体"/>
          <w:color w:val="auto"/>
          <w:szCs w:val="24"/>
          <w:highlight w:val="none"/>
        </w:rPr>
        <w:t>验收</w:t>
      </w:r>
      <w:bookmarkEnd w:id="1289"/>
      <w:bookmarkEnd w:id="1290"/>
      <w:bookmarkEnd w:id="1291"/>
    </w:p>
    <w:p>
      <w:pPr>
        <w:pStyle w:val="52"/>
        <w:ind w:firstLine="480"/>
        <w:jc w:val="both"/>
        <w:rPr>
          <w:rFonts w:eastAsia="宋体"/>
          <w:color w:val="auto"/>
          <w:sz w:val="24"/>
          <w:szCs w:val="24"/>
          <w:highlight w:val="none"/>
        </w:rPr>
      </w:pPr>
      <w:r>
        <w:rPr>
          <w:rFonts w:eastAsia="宋体"/>
          <w:color w:val="auto"/>
          <w:sz w:val="24"/>
          <w:szCs w:val="24"/>
          <w:highlight w:val="none"/>
        </w:rPr>
        <w:t>18.3.2. 通用条款第18.3.2</w:t>
      </w:r>
      <w:r>
        <w:rPr>
          <w:rFonts w:hint="eastAsia" w:eastAsia="宋体"/>
          <w:color w:val="auto"/>
          <w:sz w:val="24"/>
          <w:szCs w:val="24"/>
          <w:highlight w:val="none"/>
        </w:rPr>
        <w:t>款</w:t>
      </w:r>
      <w:r>
        <w:rPr>
          <w:rFonts w:eastAsia="宋体"/>
          <w:color w:val="auto"/>
          <w:sz w:val="24"/>
          <w:szCs w:val="24"/>
          <w:highlight w:val="none"/>
        </w:rPr>
        <w:t>修订为：</w:t>
      </w:r>
    </w:p>
    <w:p>
      <w:pPr>
        <w:pStyle w:val="52"/>
        <w:ind w:firstLine="480"/>
        <w:jc w:val="both"/>
        <w:rPr>
          <w:rFonts w:eastAsia="宋体"/>
          <w:color w:val="auto"/>
          <w:sz w:val="24"/>
          <w:szCs w:val="24"/>
          <w:highlight w:val="none"/>
        </w:rPr>
      </w:pPr>
      <w:r>
        <w:rPr>
          <w:rFonts w:eastAsia="宋体"/>
          <w:color w:val="auto"/>
          <w:sz w:val="24"/>
          <w:szCs w:val="24"/>
          <w:highlight w:val="none"/>
        </w:rPr>
        <w:t>工程竣工验收包括整体工程竣工验收（指按照相关规定，在政府主管部门立项的项目在竣工备案前须完成的整体工程竣工验收，包括总承包施工范围及专用工程施工范围）与专业承包工程竣工验收（指本合同约定的承包人施工范围内的工程项目竣工验收）。</w:t>
      </w:r>
    </w:p>
    <w:p>
      <w:pPr>
        <w:pStyle w:val="52"/>
        <w:ind w:firstLine="480"/>
        <w:jc w:val="both"/>
        <w:rPr>
          <w:rFonts w:eastAsia="宋体"/>
          <w:color w:val="auto"/>
          <w:sz w:val="24"/>
          <w:szCs w:val="24"/>
          <w:highlight w:val="none"/>
        </w:rPr>
      </w:pPr>
      <w:r>
        <w:rPr>
          <w:rFonts w:eastAsia="宋体"/>
          <w:color w:val="auto"/>
          <w:sz w:val="24"/>
          <w:szCs w:val="24"/>
          <w:highlight w:val="none"/>
        </w:rPr>
        <w:t>竣工验收前承包人应组织自检并根据检查结果整改合格后，向</w:t>
      </w:r>
      <w:r>
        <w:rPr>
          <w:rFonts w:hint="eastAsia" w:eastAsia="宋体"/>
          <w:color w:val="auto"/>
          <w:sz w:val="24"/>
          <w:szCs w:val="24"/>
          <w:highlight w:val="none"/>
          <w:lang w:eastAsia="zh-CN"/>
        </w:rPr>
        <w:t>发包人</w:t>
      </w:r>
      <w:r>
        <w:rPr>
          <w:rFonts w:eastAsia="宋体"/>
          <w:color w:val="auto"/>
          <w:sz w:val="24"/>
          <w:szCs w:val="24"/>
          <w:highlight w:val="none"/>
        </w:rPr>
        <w:t>提出书面竣工验收申请。经</w:t>
      </w:r>
      <w:r>
        <w:rPr>
          <w:rFonts w:hint="eastAsia" w:eastAsia="宋体"/>
          <w:color w:val="auto"/>
          <w:sz w:val="24"/>
          <w:szCs w:val="24"/>
          <w:highlight w:val="none"/>
          <w:lang w:eastAsia="zh-CN"/>
        </w:rPr>
        <w:t>发包人</w:t>
      </w:r>
      <w:r>
        <w:rPr>
          <w:rFonts w:eastAsia="宋体"/>
          <w:color w:val="auto"/>
          <w:sz w:val="24"/>
          <w:szCs w:val="24"/>
          <w:highlight w:val="none"/>
        </w:rPr>
        <w:t>组织承包人、发包人、设计人等验收合格后，参验单位签发并盖章确认的工程竣工验收通过并合格证明文件，并在规定时间内向</w:t>
      </w:r>
      <w:r>
        <w:rPr>
          <w:rFonts w:hint="eastAsia" w:eastAsia="宋体"/>
          <w:color w:val="auto"/>
          <w:sz w:val="24"/>
          <w:szCs w:val="24"/>
          <w:highlight w:val="none"/>
          <w:lang w:val="en-US" w:eastAsia="zh-CN"/>
        </w:rPr>
        <w:t>政府相关部门及</w:t>
      </w:r>
      <w:r>
        <w:rPr>
          <w:rFonts w:eastAsia="宋体"/>
          <w:color w:val="auto"/>
          <w:sz w:val="24"/>
          <w:szCs w:val="24"/>
          <w:highlight w:val="none"/>
        </w:rPr>
        <w:t>发包人或发包人指定的第三方办理工程移交手续。竣工验收通过且合格日期即为实际竣工验收合格日期。</w:t>
      </w:r>
    </w:p>
    <w:p>
      <w:pPr>
        <w:pStyle w:val="52"/>
        <w:ind w:firstLine="480"/>
        <w:jc w:val="both"/>
        <w:rPr>
          <w:rFonts w:eastAsia="宋体"/>
          <w:color w:val="auto"/>
          <w:sz w:val="24"/>
          <w:szCs w:val="24"/>
          <w:highlight w:val="none"/>
        </w:rPr>
      </w:pPr>
      <w:r>
        <w:rPr>
          <w:rFonts w:eastAsia="宋体"/>
          <w:color w:val="auto"/>
          <w:sz w:val="24"/>
          <w:szCs w:val="24"/>
          <w:highlight w:val="none"/>
        </w:rPr>
        <w:t>发包人验收后同意接收工程但提出整修和完善要求的，按甩项竣工验收处理。需整修和完善的具体内容应在竣工验收的相关资料内载明，并明确整修完成期限，承包人须按期整修和完善。甩项验收工作内容完成后，承包人向</w:t>
      </w:r>
      <w:r>
        <w:rPr>
          <w:rFonts w:hint="eastAsia" w:eastAsia="宋体"/>
          <w:color w:val="auto"/>
          <w:sz w:val="24"/>
          <w:szCs w:val="24"/>
          <w:highlight w:val="none"/>
          <w:lang w:eastAsia="zh-CN"/>
        </w:rPr>
        <w:t>发包人</w:t>
      </w:r>
      <w:r>
        <w:rPr>
          <w:rFonts w:eastAsia="宋体"/>
          <w:color w:val="auto"/>
          <w:sz w:val="24"/>
          <w:szCs w:val="24"/>
          <w:highlight w:val="none"/>
        </w:rPr>
        <w:t>申报查验，经</w:t>
      </w:r>
      <w:r>
        <w:rPr>
          <w:rFonts w:hint="eastAsia" w:eastAsia="宋体"/>
          <w:color w:val="auto"/>
          <w:sz w:val="24"/>
          <w:szCs w:val="24"/>
          <w:highlight w:val="none"/>
          <w:lang w:eastAsia="zh-CN"/>
        </w:rPr>
        <w:t>发包人</w:t>
      </w:r>
      <w:r>
        <w:rPr>
          <w:rFonts w:eastAsia="宋体"/>
          <w:color w:val="auto"/>
          <w:sz w:val="24"/>
          <w:szCs w:val="24"/>
          <w:highlight w:val="none"/>
        </w:rPr>
        <w:t>组织相关单位复查达到要求的，经发包人同意后，</w:t>
      </w:r>
      <w:r>
        <w:rPr>
          <w:rFonts w:hint="eastAsia" w:eastAsia="宋体"/>
          <w:color w:val="auto"/>
          <w:sz w:val="24"/>
          <w:szCs w:val="24"/>
          <w:highlight w:val="none"/>
          <w:lang w:eastAsia="zh-CN"/>
        </w:rPr>
        <w:t>发包人</w:t>
      </w:r>
      <w:r>
        <w:rPr>
          <w:rFonts w:eastAsia="宋体"/>
          <w:color w:val="auto"/>
          <w:sz w:val="24"/>
          <w:szCs w:val="24"/>
          <w:highlight w:val="none"/>
        </w:rPr>
        <w:t>、承包人等参验单位书面确认并签发甩项竣工验收通过并合格的证明文件。</w:t>
      </w:r>
    </w:p>
    <w:p>
      <w:pPr>
        <w:pStyle w:val="52"/>
        <w:ind w:firstLine="480"/>
        <w:jc w:val="both"/>
        <w:rPr>
          <w:rFonts w:eastAsia="宋体"/>
          <w:color w:val="auto"/>
          <w:sz w:val="24"/>
          <w:szCs w:val="24"/>
          <w:highlight w:val="none"/>
        </w:rPr>
      </w:pPr>
      <w:r>
        <w:rPr>
          <w:rFonts w:eastAsia="宋体"/>
          <w:color w:val="auto"/>
          <w:sz w:val="24"/>
          <w:szCs w:val="24"/>
          <w:highlight w:val="none"/>
        </w:rPr>
        <w:t>18.3.7. 竣工验收资料要求如下：</w:t>
      </w:r>
    </w:p>
    <w:p>
      <w:pPr>
        <w:pStyle w:val="52"/>
        <w:ind w:firstLine="480"/>
        <w:jc w:val="both"/>
        <w:rPr>
          <w:rFonts w:eastAsia="宋体"/>
          <w:color w:val="auto"/>
          <w:sz w:val="24"/>
          <w:szCs w:val="24"/>
          <w:highlight w:val="none"/>
        </w:rPr>
      </w:pPr>
      <w:r>
        <w:rPr>
          <w:rFonts w:eastAsia="宋体"/>
          <w:color w:val="auto"/>
          <w:sz w:val="24"/>
          <w:szCs w:val="24"/>
          <w:highlight w:val="none"/>
        </w:rPr>
        <w:t>1)</w:t>
      </w:r>
      <w:r>
        <w:rPr>
          <w:rFonts w:hint="eastAsia" w:eastAsia="宋体"/>
          <w:color w:val="auto"/>
          <w:sz w:val="24"/>
          <w:szCs w:val="24"/>
          <w:highlight w:val="none"/>
        </w:rPr>
        <w:t xml:space="preserve"> </w:t>
      </w:r>
      <w:r>
        <w:rPr>
          <w:rFonts w:eastAsia="宋体"/>
          <w:color w:val="auto"/>
          <w:sz w:val="24"/>
          <w:szCs w:val="24"/>
          <w:highlight w:val="none"/>
        </w:rPr>
        <w:t>承包人在申请工程验收（含工程竣工验收、甩项竣工验收和单位工程验收）之前，应提前7天以上按照任何有关管理机构的要求以及政府关于档案管理的规定进行整理和装订全套竣工资料（含竣工图）并保证其正确性、有效性和完整性，并在申请时将竣工资料和竣工图纸提交给发包人。所有发包人直接发包的专业承包工程的验收资料（含竣工图纸）由相应的专业工程承包人准备和编制，但由本工程承包人</w:t>
      </w: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即总承包人</w:t>
      </w:r>
      <w:r>
        <w:rPr>
          <w:rFonts w:hint="eastAsia" w:eastAsia="宋体"/>
          <w:color w:val="auto"/>
          <w:sz w:val="24"/>
          <w:szCs w:val="24"/>
          <w:highlight w:val="none"/>
          <w:lang w:eastAsia="zh-CN"/>
        </w:rPr>
        <w:t>）</w:t>
      </w:r>
      <w:r>
        <w:rPr>
          <w:rFonts w:eastAsia="宋体"/>
          <w:color w:val="auto"/>
          <w:sz w:val="24"/>
          <w:szCs w:val="24"/>
          <w:highlight w:val="none"/>
        </w:rPr>
        <w:t>负责审查、汇总和装订。承包人完成竣工图纸编制后应报</w:t>
      </w:r>
      <w:r>
        <w:rPr>
          <w:rFonts w:hint="eastAsia" w:eastAsia="宋体"/>
          <w:color w:val="auto"/>
          <w:sz w:val="24"/>
          <w:szCs w:val="24"/>
          <w:highlight w:val="none"/>
        </w:rPr>
        <w:t>设计人</w:t>
      </w:r>
      <w:r>
        <w:rPr>
          <w:rFonts w:eastAsia="宋体"/>
          <w:color w:val="auto"/>
          <w:sz w:val="24"/>
          <w:szCs w:val="24"/>
          <w:highlight w:val="none"/>
        </w:rPr>
        <w:t>、发包人审核，并根据审核意见及时据实修改。经</w:t>
      </w:r>
      <w:r>
        <w:rPr>
          <w:rFonts w:hint="eastAsia" w:eastAsia="宋体"/>
          <w:color w:val="auto"/>
          <w:sz w:val="24"/>
          <w:szCs w:val="24"/>
          <w:highlight w:val="none"/>
        </w:rPr>
        <w:t>设计人</w:t>
      </w:r>
      <w:r>
        <w:rPr>
          <w:rFonts w:eastAsia="宋体"/>
          <w:color w:val="auto"/>
          <w:sz w:val="24"/>
          <w:szCs w:val="24"/>
          <w:highlight w:val="none"/>
        </w:rPr>
        <w:t>、发包人审核通过的竣工图，由承包人按本合同约定的相关要求负责打印晒图，组织各审核单位签字确认并盖章。竣工验收资料（含竣工图）应包含纸版与电子版格式，竣工图电子版应满足工程所在地政府主管部门有关竣工图电子文档的软件格式与版本要求，同时承包人应向发包人提供与竣工图对应的CAD电子版本。</w:t>
      </w:r>
    </w:p>
    <w:p>
      <w:pPr>
        <w:pStyle w:val="52"/>
        <w:ind w:firstLine="480"/>
        <w:jc w:val="both"/>
        <w:rPr>
          <w:rFonts w:eastAsia="宋体"/>
          <w:color w:val="auto"/>
          <w:sz w:val="24"/>
          <w:szCs w:val="24"/>
          <w:highlight w:val="none"/>
        </w:rPr>
      </w:pPr>
      <w:r>
        <w:rPr>
          <w:rFonts w:eastAsia="宋体"/>
          <w:color w:val="auto"/>
          <w:sz w:val="24"/>
          <w:szCs w:val="24"/>
          <w:highlight w:val="none"/>
        </w:rPr>
        <w:t>2）竣工验收资料的份数：</w:t>
      </w:r>
      <w:r>
        <w:rPr>
          <w:rFonts w:hint="eastAsia" w:eastAsia="宋体"/>
          <w:color w:val="auto"/>
          <w:sz w:val="24"/>
          <w:szCs w:val="24"/>
          <w:highlight w:val="none"/>
          <w:u w:val="single"/>
        </w:rPr>
        <w:t xml:space="preserve"> 陆 </w:t>
      </w:r>
      <w:r>
        <w:rPr>
          <w:rFonts w:eastAsia="宋体"/>
          <w:color w:val="auto"/>
          <w:sz w:val="24"/>
          <w:szCs w:val="24"/>
          <w:highlight w:val="none"/>
        </w:rPr>
        <w:t>份 。</w:t>
      </w:r>
    </w:p>
    <w:p>
      <w:pPr>
        <w:pStyle w:val="52"/>
        <w:ind w:firstLine="480"/>
        <w:jc w:val="both"/>
        <w:rPr>
          <w:rFonts w:eastAsia="宋体"/>
          <w:color w:val="auto"/>
          <w:sz w:val="24"/>
          <w:szCs w:val="24"/>
          <w:highlight w:val="none"/>
        </w:rPr>
      </w:pPr>
      <w:r>
        <w:rPr>
          <w:rFonts w:eastAsia="宋体"/>
          <w:color w:val="auto"/>
          <w:sz w:val="24"/>
          <w:szCs w:val="24"/>
          <w:highlight w:val="none"/>
        </w:rPr>
        <w:t>竣工验收资料的费用支付方式：</w:t>
      </w:r>
      <w:r>
        <w:rPr>
          <w:rFonts w:eastAsia="宋体"/>
          <w:color w:val="auto"/>
          <w:sz w:val="24"/>
          <w:szCs w:val="24"/>
          <w:highlight w:val="none"/>
          <w:u w:val="single"/>
        </w:rPr>
        <w:t>已在合同暂定总价中综合考虑，发包人无需另行支付</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3）承包人延迟提供符合以上规定的竣工图纸及竣工资料的，每延迟1天，须支付相当于合同暂定总价</w:t>
      </w:r>
      <w:r>
        <w:rPr>
          <w:rFonts w:hint="eastAsia" w:eastAsia="宋体"/>
          <w:color w:val="auto"/>
          <w:sz w:val="24"/>
          <w:szCs w:val="24"/>
          <w:highlight w:val="none"/>
        </w:rPr>
        <w:t xml:space="preserve"> </w:t>
      </w:r>
      <w:r>
        <w:rPr>
          <w:rFonts w:eastAsia="宋体"/>
          <w:color w:val="auto"/>
          <w:sz w:val="24"/>
          <w:szCs w:val="24"/>
          <w:highlight w:val="none"/>
          <w:u w:val="single"/>
        </w:rPr>
        <w:t>万分之五</w:t>
      </w:r>
      <w:r>
        <w:rPr>
          <w:rFonts w:hint="eastAsia" w:eastAsia="宋体"/>
          <w:color w:val="auto"/>
          <w:sz w:val="24"/>
          <w:szCs w:val="24"/>
          <w:highlight w:val="none"/>
          <w:u w:val="single"/>
        </w:rPr>
        <w:t xml:space="preserve"> </w:t>
      </w:r>
      <w:r>
        <w:rPr>
          <w:rFonts w:eastAsia="宋体"/>
          <w:color w:val="auto"/>
          <w:sz w:val="24"/>
          <w:szCs w:val="24"/>
          <w:highlight w:val="none"/>
        </w:rPr>
        <w:t>的违约金。</w:t>
      </w:r>
    </w:p>
    <w:p>
      <w:pPr>
        <w:pStyle w:val="52"/>
        <w:ind w:firstLine="480"/>
        <w:jc w:val="both"/>
        <w:rPr>
          <w:rFonts w:eastAsia="宋体"/>
          <w:color w:val="auto"/>
          <w:sz w:val="24"/>
          <w:szCs w:val="24"/>
          <w:highlight w:val="none"/>
        </w:rPr>
      </w:pPr>
      <w:r>
        <w:rPr>
          <w:rFonts w:hint="eastAsia" w:eastAsia="宋体"/>
          <w:color w:val="auto"/>
          <w:sz w:val="24"/>
          <w:szCs w:val="24"/>
          <w:highlight w:val="none"/>
        </w:rPr>
        <w:t>18.3.8. 通用条款第18.3.8款修订为：</w:t>
      </w:r>
    </w:p>
    <w:p>
      <w:pPr>
        <w:pStyle w:val="52"/>
        <w:ind w:firstLine="480"/>
        <w:jc w:val="both"/>
        <w:rPr>
          <w:rFonts w:eastAsia="宋体"/>
          <w:color w:val="auto"/>
          <w:sz w:val="24"/>
          <w:szCs w:val="24"/>
          <w:highlight w:val="none"/>
        </w:rPr>
      </w:pPr>
      <w:r>
        <w:rPr>
          <w:rFonts w:hint="eastAsia" w:eastAsia="宋体"/>
          <w:color w:val="auto"/>
          <w:sz w:val="24"/>
          <w:szCs w:val="24"/>
          <w:highlight w:val="none"/>
        </w:rPr>
        <w:t>除非合同中另有约定，所有竣工资料（含竣工图纸）的准备、编制、整理和装订的费用均由承包人承担，该等费用已经包含在承包人的合同暂定总价中，发包人不再为此另行支付。</w:t>
      </w:r>
    </w:p>
    <w:p>
      <w:pPr>
        <w:pStyle w:val="77"/>
        <w:spacing w:before="0" w:after="0"/>
        <w:ind w:firstLine="480"/>
        <w:rPr>
          <w:rFonts w:eastAsia="宋体"/>
          <w:color w:val="auto"/>
          <w:szCs w:val="24"/>
          <w:highlight w:val="none"/>
        </w:rPr>
      </w:pPr>
      <w:bookmarkStart w:id="1292" w:name="_Toc3516"/>
      <w:bookmarkStart w:id="1293" w:name="_Toc27749"/>
      <w:bookmarkStart w:id="1294" w:name="_Toc44492613"/>
      <w:r>
        <w:rPr>
          <w:rFonts w:eastAsia="宋体"/>
          <w:color w:val="auto"/>
          <w:szCs w:val="24"/>
          <w:highlight w:val="none"/>
        </w:rPr>
        <w:t>18.4. 施工期运行</w:t>
      </w:r>
      <w:bookmarkEnd w:id="1292"/>
      <w:bookmarkEnd w:id="1293"/>
      <w:bookmarkEnd w:id="1294"/>
    </w:p>
    <w:p>
      <w:pPr>
        <w:pStyle w:val="52"/>
        <w:ind w:firstLine="480"/>
        <w:jc w:val="both"/>
        <w:rPr>
          <w:rFonts w:eastAsia="宋体"/>
          <w:color w:val="auto"/>
          <w:sz w:val="24"/>
          <w:szCs w:val="24"/>
          <w:highlight w:val="none"/>
        </w:rPr>
      </w:pPr>
      <w:r>
        <w:rPr>
          <w:rFonts w:eastAsia="宋体"/>
          <w:color w:val="auto"/>
          <w:sz w:val="24"/>
          <w:szCs w:val="24"/>
          <w:highlight w:val="none"/>
        </w:rPr>
        <w:t>18.4.1. 需要施工期运行的单位工程或设备安装工程：</w:t>
      </w:r>
      <w:r>
        <w:rPr>
          <w:rFonts w:eastAsia="宋体"/>
          <w:color w:val="auto"/>
          <w:sz w:val="24"/>
          <w:szCs w:val="24"/>
          <w:highlight w:val="none"/>
          <w:u w:val="single"/>
        </w:rPr>
        <w:t xml:space="preserve"> 无 </w:t>
      </w:r>
      <w:r>
        <w:rPr>
          <w:rFonts w:eastAsia="宋体"/>
          <w:color w:val="auto"/>
          <w:sz w:val="24"/>
          <w:szCs w:val="24"/>
          <w:highlight w:val="none"/>
        </w:rPr>
        <w:t>。</w:t>
      </w:r>
    </w:p>
    <w:p>
      <w:pPr>
        <w:pStyle w:val="77"/>
        <w:spacing w:before="0" w:after="0"/>
        <w:ind w:firstLine="480"/>
        <w:rPr>
          <w:rFonts w:eastAsia="宋体"/>
          <w:color w:val="auto"/>
          <w:szCs w:val="24"/>
          <w:highlight w:val="none"/>
        </w:rPr>
      </w:pPr>
      <w:bookmarkStart w:id="1295" w:name="_Toc44492614"/>
      <w:bookmarkStart w:id="1296" w:name="_Toc11828"/>
      <w:bookmarkStart w:id="1297" w:name="_Toc26667"/>
      <w:r>
        <w:rPr>
          <w:rFonts w:eastAsia="宋体"/>
          <w:color w:val="auto"/>
          <w:szCs w:val="24"/>
          <w:highlight w:val="none"/>
        </w:rPr>
        <w:t>18.5. 试运行</w:t>
      </w:r>
      <w:bookmarkEnd w:id="1295"/>
      <w:bookmarkEnd w:id="1296"/>
      <w:bookmarkEnd w:id="1297"/>
    </w:p>
    <w:p>
      <w:pPr>
        <w:pStyle w:val="52"/>
        <w:ind w:firstLine="480"/>
        <w:jc w:val="both"/>
        <w:rPr>
          <w:rFonts w:eastAsia="宋体"/>
          <w:color w:val="auto"/>
          <w:sz w:val="24"/>
          <w:szCs w:val="24"/>
          <w:highlight w:val="none"/>
        </w:rPr>
      </w:pPr>
      <w:r>
        <w:rPr>
          <w:rFonts w:eastAsia="宋体"/>
          <w:color w:val="auto"/>
          <w:sz w:val="24"/>
          <w:szCs w:val="24"/>
          <w:highlight w:val="none"/>
        </w:rPr>
        <w:t>18.5.1. 需要试运行的单位工程或设备安装工程：</w:t>
      </w:r>
      <w:r>
        <w:rPr>
          <w:rFonts w:eastAsia="宋体"/>
          <w:color w:val="auto"/>
          <w:sz w:val="24"/>
          <w:szCs w:val="24"/>
          <w:highlight w:val="none"/>
          <w:u w:val="single"/>
        </w:rPr>
        <w:t xml:space="preserve">  无  </w:t>
      </w:r>
      <w:r>
        <w:rPr>
          <w:rFonts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18.5.3</w:t>
      </w:r>
      <w:r>
        <w:rPr>
          <w:rFonts w:hint="eastAsia" w:eastAsia="宋体"/>
          <w:color w:val="auto"/>
          <w:sz w:val="24"/>
          <w:szCs w:val="24"/>
          <w:highlight w:val="none"/>
        </w:rPr>
        <w:t>.</w:t>
      </w:r>
      <w:r>
        <w:rPr>
          <w:rFonts w:eastAsia="宋体"/>
          <w:color w:val="auto"/>
          <w:sz w:val="24"/>
          <w:szCs w:val="24"/>
          <w:highlight w:val="none"/>
        </w:rPr>
        <w:t xml:space="preserve"> 试运行全部费用（包括但不限于水、电、汽费用，原材料费、人工费、检测费等）</w:t>
      </w:r>
      <w:r>
        <w:rPr>
          <w:rFonts w:eastAsia="宋体"/>
          <w:color w:val="auto"/>
          <w:sz w:val="24"/>
          <w:szCs w:val="24"/>
          <w:highlight w:val="none"/>
          <w:u w:val="single"/>
        </w:rPr>
        <w:t>已在合同暂定总价中综合考虑</w:t>
      </w:r>
      <w:r>
        <w:rPr>
          <w:rFonts w:eastAsia="宋体"/>
          <w:color w:val="auto"/>
          <w:sz w:val="24"/>
          <w:szCs w:val="24"/>
          <w:highlight w:val="none"/>
        </w:rPr>
        <w:t>，由承包人承担。</w:t>
      </w:r>
    </w:p>
    <w:p>
      <w:pPr>
        <w:pStyle w:val="52"/>
        <w:ind w:firstLine="480"/>
        <w:jc w:val="both"/>
        <w:rPr>
          <w:rFonts w:eastAsia="宋体"/>
          <w:color w:val="auto"/>
          <w:sz w:val="24"/>
          <w:szCs w:val="24"/>
          <w:highlight w:val="none"/>
        </w:rPr>
      </w:pPr>
      <w:r>
        <w:rPr>
          <w:rFonts w:eastAsia="宋体"/>
          <w:color w:val="auto"/>
          <w:sz w:val="24"/>
          <w:szCs w:val="24"/>
          <w:highlight w:val="none"/>
        </w:rPr>
        <w:t>18.5.4</w:t>
      </w:r>
      <w:r>
        <w:rPr>
          <w:rFonts w:hint="eastAsia" w:eastAsia="宋体"/>
          <w:color w:val="auto"/>
          <w:sz w:val="24"/>
          <w:szCs w:val="24"/>
          <w:highlight w:val="none"/>
        </w:rPr>
        <w:t>.</w:t>
      </w:r>
      <w:r>
        <w:rPr>
          <w:rFonts w:eastAsia="宋体"/>
          <w:color w:val="auto"/>
          <w:sz w:val="24"/>
          <w:szCs w:val="24"/>
          <w:highlight w:val="none"/>
        </w:rPr>
        <w:t xml:space="preserve"> 试运行的内容、范围及试运行时间具体要求：</w:t>
      </w:r>
      <w:r>
        <w:rPr>
          <w:rFonts w:eastAsia="宋体"/>
          <w:color w:val="auto"/>
          <w:sz w:val="24"/>
          <w:szCs w:val="24"/>
          <w:highlight w:val="none"/>
          <w:u w:val="single"/>
        </w:rPr>
        <w:t xml:space="preserve">  无</w:t>
      </w:r>
      <w:r>
        <w:rPr>
          <w:rFonts w:hint="eastAsia" w:eastAsia="宋体"/>
          <w:color w:val="auto"/>
          <w:sz w:val="24"/>
          <w:szCs w:val="24"/>
          <w:highlight w:val="none"/>
          <w:u w:val="single"/>
        </w:rPr>
        <w:t xml:space="preserve">  </w:t>
      </w:r>
      <w:r>
        <w:rPr>
          <w:rFonts w:eastAsia="宋体"/>
          <w:color w:val="auto"/>
          <w:sz w:val="24"/>
          <w:szCs w:val="24"/>
          <w:highlight w:val="none"/>
        </w:rPr>
        <w:t xml:space="preserve">。 </w:t>
      </w:r>
    </w:p>
    <w:p>
      <w:pPr>
        <w:pStyle w:val="52"/>
        <w:ind w:firstLine="480"/>
        <w:jc w:val="both"/>
        <w:rPr>
          <w:rFonts w:eastAsia="宋体"/>
          <w:color w:val="auto"/>
          <w:sz w:val="24"/>
          <w:szCs w:val="24"/>
          <w:highlight w:val="none"/>
        </w:rPr>
      </w:pPr>
      <w:r>
        <w:rPr>
          <w:rFonts w:eastAsia="宋体"/>
          <w:color w:val="auto"/>
          <w:sz w:val="24"/>
          <w:szCs w:val="24"/>
          <w:highlight w:val="none"/>
        </w:rPr>
        <w:t xml:space="preserve">18.5.5. 试运行达不到验收要求的，按下列规定处理： </w:t>
      </w:r>
    </w:p>
    <w:p>
      <w:pPr>
        <w:pStyle w:val="52"/>
        <w:ind w:firstLine="480"/>
        <w:jc w:val="both"/>
        <w:rPr>
          <w:rFonts w:eastAsia="宋体"/>
          <w:color w:val="auto"/>
          <w:sz w:val="24"/>
          <w:szCs w:val="24"/>
          <w:highlight w:val="none"/>
        </w:rPr>
      </w:pPr>
      <w:r>
        <w:rPr>
          <w:rFonts w:eastAsia="宋体"/>
          <w:color w:val="auto"/>
          <w:sz w:val="24"/>
          <w:szCs w:val="24"/>
          <w:highlight w:val="none"/>
        </w:rPr>
        <w:t>a.</w:t>
      </w:r>
      <w:r>
        <w:rPr>
          <w:rFonts w:hint="eastAsia" w:eastAsia="宋体"/>
          <w:color w:val="auto"/>
          <w:sz w:val="24"/>
          <w:szCs w:val="24"/>
          <w:highlight w:val="none"/>
        </w:rPr>
        <w:t xml:space="preserve"> </w:t>
      </w:r>
      <w:r>
        <w:rPr>
          <w:rFonts w:eastAsia="宋体"/>
          <w:color w:val="auto"/>
          <w:sz w:val="24"/>
          <w:szCs w:val="24"/>
          <w:highlight w:val="none"/>
        </w:rPr>
        <w:t>由于设计原因试运行达不到验收要求，发包人应要求</w:t>
      </w:r>
      <w:r>
        <w:rPr>
          <w:rFonts w:hint="eastAsia" w:eastAsia="宋体"/>
          <w:color w:val="auto"/>
          <w:sz w:val="24"/>
          <w:szCs w:val="24"/>
          <w:highlight w:val="none"/>
        </w:rPr>
        <w:t>设计人</w:t>
      </w:r>
      <w:r>
        <w:rPr>
          <w:rFonts w:eastAsia="宋体"/>
          <w:color w:val="auto"/>
          <w:sz w:val="24"/>
          <w:szCs w:val="24"/>
          <w:highlight w:val="none"/>
        </w:rPr>
        <w:t>修改设计，承包人按修改后的设计重新安装。发包人承担修改设计、拆除及重新安装的全部费用，工期相应顺延。</w:t>
      </w:r>
    </w:p>
    <w:p>
      <w:pPr>
        <w:pStyle w:val="52"/>
        <w:ind w:firstLine="480"/>
        <w:jc w:val="both"/>
        <w:rPr>
          <w:rFonts w:eastAsia="宋体"/>
          <w:color w:val="auto"/>
          <w:sz w:val="24"/>
          <w:szCs w:val="24"/>
          <w:highlight w:val="none"/>
        </w:rPr>
      </w:pPr>
      <w:r>
        <w:rPr>
          <w:rFonts w:eastAsia="宋体"/>
          <w:color w:val="auto"/>
          <w:sz w:val="24"/>
          <w:szCs w:val="24"/>
          <w:highlight w:val="none"/>
        </w:rPr>
        <w:t>b.</w:t>
      </w:r>
      <w:r>
        <w:rPr>
          <w:rFonts w:hint="eastAsia" w:eastAsia="宋体"/>
          <w:color w:val="auto"/>
          <w:sz w:val="24"/>
          <w:szCs w:val="24"/>
          <w:highlight w:val="none"/>
        </w:rPr>
        <w:t xml:space="preserve"> </w:t>
      </w:r>
      <w:r>
        <w:rPr>
          <w:rFonts w:eastAsia="宋体"/>
          <w:color w:val="auto"/>
          <w:sz w:val="24"/>
          <w:szCs w:val="24"/>
          <w:highlight w:val="none"/>
        </w:rPr>
        <w:t>由于设备制造质量原因试运行达不到验收要求，由该责任方负责重新购置或修理，承包人负责拆除和重新安装。设备由承包人采购的，由承包人承担修理或重新采购、拆除及重新安装的费用，工期不予顺延；设备由发包人供应的，发包人承担上述各项费用，并列入合同价款，工期相应顺延。</w:t>
      </w:r>
    </w:p>
    <w:p>
      <w:pPr>
        <w:pStyle w:val="52"/>
        <w:ind w:firstLine="480"/>
        <w:jc w:val="both"/>
        <w:rPr>
          <w:rFonts w:eastAsia="宋体"/>
          <w:color w:val="auto"/>
          <w:sz w:val="24"/>
          <w:szCs w:val="24"/>
          <w:highlight w:val="none"/>
        </w:rPr>
      </w:pPr>
      <w:r>
        <w:rPr>
          <w:rFonts w:eastAsia="宋体"/>
          <w:color w:val="auto"/>
          <w:sz w:val="24"/>
          <w:szCs w:val="24"/>
          <w:highlight w:val="none"/>
        </w:rPr>
        <w:t>c.</w:t>
      </w:r>
      <w:r>
        <w:rPr>
          <w:rFonts w:hint="eastAsia" w:eastAsia="宋体"/>
          <w:color w:val="auto"/>
          <w:sz w:val="24"/>
          <w:szCs w:val="24"/>
          <w:highlight w:val="none"/>
        </w:rPr>
        <w:t xml:space="preserve"> </w:t>
      </w:r>
      <w:r>
        <w:rPr>
          <w:rFonts w:eastAsia="宋体"/>
          <w:color w:val="auto"/>
          <w:sz w:val="24"/>
          <w:szCs w:val="24"/>
          <w:highlight w:val="none"/>
        </w:rPr>
        <w:t>由于承包人施工原因试运行达不到验收要求，承包人按</w:t>
      </w:r>
      <w:r>
        <w:rPr>
          <w:rFonts w:hint="eastAsia" w:eastAsia="宋体"/>
          <w:color w:val="auto"/>
          <w:sz w:val="24"/>
          <w:szCs w:val="24"/>
          <w:highlight w:val="none"/>
          <w:lang w:eastAsia="zh-CN"/>
        </w:rPr>
        <w:t>发包人</w:t>
      </w:r>
      <w:r>
        <w:rPr>
          <w:rFonts w:eastAsia="宋体"/>
          <w:color w:val="auto"/>
          <w:sz w:val="24"/>
          <w:szCs w:val="24"/>
          <w:highlight w:val="none"/>
        </w:rPr>
        <w:t>要求重新安装和试运行，并承担拆除、重新安装和重新试运行的费用，工期不予顺延。</w:t>
      </w:r>
    </w:p>
    <w:p>
      <w:pPr>
        <w:pStyle w:val="77"/>
        <w:spacing w:before="0" w:after="0"/>
        <w:ind w:firstLine="480"/>
        <w:rPr>
          <w:rFonts w:eastAsia="宋体"/>
          <w:bCs w:val="0"/>
          <w:color w:val="auto"/>
          <w:szCs w:val="24"/>
          <w:highlight w:val="none"/>
        </w:rPr>
      </w:pPr>
      <w:bookmarkStart w:id="1298" w:name="_Toc44492615"/>
      <w:bookmarkStart w:id="1299" w:name="_Toc1405"/>
      <w:bookmarkStart w:id="1300" w:name="_Toc15553"/>
      <w:r>
        <w:rPr>
          <w:rFonts w:eastAsia="宋体"/>
          <w:bCs w:val="0"/>
          <w:color w:val="auto"/>
          <w:szCs w:val="24"/>
          <w:highlight w:val="none"/>
        </w:rPr>
        <w:t>18.7. 施工队伍的撤离</w:t>
      </w:r>
      <w:bookmarkEnd w:id="1298"/>
      <w:bookmarkEnd w:id="1299"/>
      <w:bookmarkEnd w:id="1300"/>
    </w:p>
    <w:p>
      <w:pPr>
        <w:pStyle w:val="52"/>
        <w:ind w:firstLine="480"/>
        <w:jc w:val="both"/>
        <w:rPr>
          <w:rFonts w:eastAsia="宋体"/>
          <w:color w:val="auto"/>
          <w:sz w:val="24"/>
          <w:szCs w:val="24"/>
          <w:highlight w:val="none"/>
        </w:rPr>
      </w:pPr>
      <w:r>
        <w:rPr>
          <w:rFonts w:eastAsia="宋体"/>
          <w:color w:val="auto"/>
          <w:sz w:val="24"/>
          <w:szCs w:val="24"/>
          <w:highlight w:val="none"/>
        </w:rPr>
        <w:t>18.7.1. 承包人全部退场的时间为本工程竣工验收合格且移交后</w:t>
      </w:r>
      <w:r>
        <w:rPr>
          <w:rFonts w:eastAsia="宋体"/>
          <w:color w:val="auto"/>
          <w:sz w:val="24"/>
          <w:szCs w:val="24"/>
          <w:highlight w:val="none"/>
          <w:u w:val="single"/>
        </w:rPr>
        <w:t>10</w:t>
      </w:r>
      <w:r>
        <w:rPr>
          <w:rFonts w:eastAsia="宋体"/>
          <w:color w:val="auto"/>
          <w:sz w:val="24"/>
          <w:szCs w:val="24"/>
          <w:highlight w:val="none"/>
        </w:rPr>
        <w:t>天及以内，每迟延一天，承包人应向发包人支付人民币</w:t>
      </w:r>
      <w:r>
        <w:rPr>
          <w:rFonts w:eastAsia="宋体"/>
          <w:color w:val="auto"/>
          <w:sz w:val="24"/>
          <w:szCs w:val="24"/>
          <w:highlight w:val="none"/>
          <w:u w:val="single"/>
        </w:rPr>
        <w:t xml:space="preserve"> 3 </w:t>
      </w:r>
      <w:r>
        <w:rPr>
          <w:rFonts w:eastAsia="宋体"/>
          <w:color w:val="auto"/>
          <w:sz w:val="24"/>
          <w:szCs w:val="24"/>
          <w:highlight w:val="none"/>
        </w:rPr>
        <w:t>万元违约金。</w:t>
      </w:r>
    </w:p>
    <w:p>
      <w:pPr>
        <w:pStyle w:val="52"/>
        <w:ind w:firstLine="480"/>
        <w:jc w:val="both"/>
        <w:rPr>
          <w:rFonts w:eastAsia="宋体"/>
          <w:color w:val="auto"/>
          <w:sz w:val="24"/>
          <w:szCs w:val="24"/>
          <w:highlight w:val="none"/>
        </w:rPr>
      </w:pPr>
      <w:r>
        <w:rPr>
          <w:rFonts w:eastAsia="宋体"/>
          <w:color w:val="auto"/>
          <w:sz w:val="24"/>
          <w:szCs w:val="24"/>
          <w:highlight w:val="none"/>
        </w:rPr>
        <w:t>18.7.2.</w:t>
      </w:r>
      <w:r>
        <w:rPr>
          <w:rFonts w:hint="eastAsia" w:eastAsia="宋体"/>
          <w:color w:val="auto"/>
          <w:sz w:val="24"/>
          <w:szCs w:val="24"/>
          <w:highlight w:val="none"/>
        </w:rPr>
        <w:t xml:space="preserve"> </w:t>
      </w:r>
      <w:r>
        <w:rPr>
          <w:rFonts w:eastAsia="宋体"/>
          <w:color w:val="auto"/>
          <w:sz w:val="24"/>
          <w:szCs w:val="24"/>
          <w:highlight w:val="none"/>
        </w:rPr>
        <w:t>承包人不得因与发包人的工程款纠纷、其他纠纷或其他任何原因占据现场，拒绝撤离，否则按照迟延撤离承担违约责任。</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301" w:name="_Toc44492616"/>
      <w:bookmarkStart w:id="1302" w:name="_Toc38987288"/>
      <w:bookmarkStart w:id="1303" w:name="_Toc44228171"/>
      <w:bookmarkStart w:id="1304" w:name="_Toc19809"/>
      <w:bookmarkStart w:id="1305" w:name="_Toc30044"/>
      <w:bookmarkStart w:id="1306" w:name="_Toc1433"/>
      <w:bookmarkStart w:id="1307" w:name="_Toc24251"/>
      <w:bookmarkStart w:id="1308" w:name="_Toc5613"/>
      <w:bookmarkStart w:id="1309" w:name="_Toc8364"/>
      <w:r>
        <w:rPr>
          <w:rFonts w:eastAsia="宋体"/>
          <w:color w:val="auto"/>
          <w:sz w:val="24"/>
          <w:szCs w:val="24"/>
          <w:highlight w:val="none"/>
        </w:rPr>
        <w:t>缺陷责任</w:t>
      </w:r>
      <w:bookmarkEnd w:id="1301"/>
      <w:bookmarkEnd w:id="1302"/>
      <w:bookmarkEnd w:id="1303"/>
      <w:bookmarkEnd w:id="1304"/>
      <w:bookmarkEnd w:id="1305"/>
      <w:bookmarkEnd w:id="1306"/>
      <w:bookmarkStart w:id="1310" w:name="_Toc44492617"/>
      <w:bookmarkStart w:id="1311" w:name="_Toc15926"/>
      <w:bookmarkStart w:id="1312" w:name="_Toc9017"/>
      <w:r>
        <w:rPr>
          <w:rFonts w:eastAsia="宋体"/>
          <w:color w:val="auto"/>
          <w:sz w:val="24"/>
          <w:szCs w:val="24"/>
          <w:highlight w:val="none"/>
        </w:rPr>
        <w:t>与保修</w:t>
      </w:r>
      <w:bookmarkEnd w:id="1307"/>
      <w:bookmarkEnd w:id="1308"/>
      <w:bookmarkEnd w:id="1309"/>
    </w:p>
    <w:p>
      <w:pPr>
        <w:pStyle w:val="77"/>
        <w:spacing w:before="0" w:after="0"/>
        <w:ind w:firstLine="480"/>
        <w:rPr>
          <w:rFonts w:eastAsia="宋体"/>
          <w:color w:val="auto"/>
          <w:szCs w:val="24"/>
          <w:highlight w:val="none"/>
        </w:rPr>
      </w:pPr>
      <w:r>
        <w:rPr>
          <w:rFonts w:eastAsia="宋体"/>
          <w:color w:val="auto"/>
          <w:szCs w:val="24"/>
          <w:highlight w:val="none"/>
        </w:rPr>
        <w:t>19.2.</w:t>
      </w:r>
      <w:r>
        <w:rPr>
          <w:rFonts w:hint="eastAsia" w:eastAsia="宋体"/>
          <w:color w:val="auto"/>
          <w:szCs w:val="24"/>
          <w:highlight w:val="none"/>
        </w:rPr>
        <w:t xml:space="preserve"> </w:t>
      </w:r>
      <w:r>
        <w:rPr>
          <w:rFonts w:eastAsia="宋体"/>
          <w:color w:val="auto"/>
          <w:szCs w:val="24"/>
          <w:highlight w:val="none"/>
        </w:rPr>
        <w:t>缺陷责任期</w:t>
      </w:r>
      <w:bookmarkEnd w:id="1310"/>
      <w:bookmarkEnd w:id="1311"/>
      <w:bookmarkEnd w:id="1312"/>
    </w:p>
    <w:p>
      <w:pPr>
        <w:pStyle w:val="52"/>
        <w:ind w:firstLine="480"/>
        <w:jc w:val="both"/>
        <w:rPr>
          <w:rFonts w:eastAsia="宋体"/>
          <w:color w:val="auto"/>
          <w:sz w:val="24"/>
          <w:szCs w:val="24"/>
          <w:highlight w:val="none"/>
        </w:rPr>
      </w:pPr>
      <w:r>
        <w:rPr>
          <w:rFonts w:eastAsia="宋体"/>
          <w:color w:val="auto"/>
          <w:sz w:val="24"/>
          <w:szCs w:val="24"/>
          <w:highlight w:val="none"/>
        </w:rPr>
        <w:t>19.2.1. 本合同中的缺陷责任期自项目</w:t>
      </w:r>
      <w:r>
        <w:rPr>
          <w:rFonts w:hint="eastAsia" w:eastAsia="宋体"/>
          <w:color w:val="auto"/>
          <w:sz w:val="24"/>
          <w:szCs w:val="24"/>
          <w:highlight w:val="none"/>
          <w:lang w:val="en-US" w:eastAsia="zh-CN"/>
        </w:rPr>
        <w:t>整体</w:t>
      </w:r>
      <w:r>
        <w:rPr>
          <w:rFonts w:eastAsia="宋体"/>
          <w:color w:val="auto"/>
          <w:sz w:val="24"/>
          <w:szCs w:val="24"/>
          <w:highlight w:val="none"/>
          <w:u w:val="single"/>
        </w:rPr>
        <w:t>竣工验收合格</w:t>
      </w:r>
      <w:r>
        <w:rPr>
          <w:rFonts w:hint="eastAsia" w:eastAsia="宋体"/>
          <w:color w:val="auto"/>
          <w:sz w:val="24"/>
          <w:szCs w:val="24"/>
          <w:highlight w:val="none"/>
          <w:u w:val="single"/>
          <w:lang w:val="en-US" w:eastAsia="zh-CN"/>
        </w:rPr>
        <w:t>并移交发包人及政府相关部门</w:t>
      </w:r>
      <w:r>
        <w:rPr>
          <w:rFonts w:eastAsia="宋体"/>
          <w:color w:val="auto"/>
          <w:sz w:val="24"/>
          <w:szCs w:val="24"/>
          <w:highlight w:val="none"/>
          <w:u w:val="single"/>
        </w:rPr>
        <w:t>之日</w:t>
      </w:r>
      <w:r>
        <w:rPr>
          <w:rFonts w:eastAsia="宋体"/>
          <w:color w:val="auto"/>
          <w:sz w:val="24"/>
          <w:szCs w:val="24"/>
          <w:highlight w:val="none"/>
        </w:rPr>
        <w:t>起计算，缺陷责任期内，由承包人原因造成的缺陷，承包人应负责维修，并承担鉴定及维修费用。如承包人不维修也不承担费用，发包人可按合同约定从预留的质量保证金中扣除，费用超出保证金额的，发包人可按合同约定向承包人进行索赔。承包人维修并承担相应费用后，不免除对工程的损失赔偿责任。工程质量保修时间、责任及程序详细约定见</w:t>
      </w:r>
      <w:r>
        <w:rPr>
          <w:rFonts w:hint="eastAsia" w:eastAsia="宋体"/>
          <w:color w:val="auto"/>
          <w:sz w:val="24"/>
          <w:szCs w:val="24"/>
          <w:highlight w:val="none"/>
        </w:rPr>
        <w:t>本合同</w:t>
      </w:r>
      <w:r>
        <w:rPr>
          <w:rFonts w:eastAsia="宋体"/>
          <w:color w:val="auto"/>
          <w:sz w:val="24"/>
          <w:szCs w:val="24"/>
          <w:highlight w:val="none"/>
        </w:rPr>
        <w:t>附件</w:t>
      </w:r>
      <w:r>
        <w:rPr>
          <w:rFonts w:hint="eastAsia" w:eastAsia="宋体"/>
          <w:color w:val="auto"/>
          <w:sz w:val="24"/>
          <w:szCs w:val="24"/>
          <w:highlight w:val="none"/>
          <w:lang w:val="en-US" w:eastAsia="zh-CN"/>
        </w:rPr>
        <w:t>3</w:t>
      </w:r>
      <w:r>
        <w:rPr>
          <w:rFonts w:eastAsia="宋体"/>
          <w:color w:val="auto"/>
          <w:sz w:val="24"/>
          <w:szCs w:val="24"/>
          <w:highlight w:val="none"/>
        </w:rPr>
        <w:t>《工程质量保修书》。</w:t>
      </w:r>
    </w:p>
    <w:p>
      <w:pPr>
        <w:pStyle w:val="77"/>
        <w:spacing w:before="0" w:after="0"/>
        <w:ind w:firstLine="480"/>
        <w:rPr>
          <w:rFonts w:eastAsia="宋体"/>
          <w:color w:val="auto"/>
          <w:szCs w:val="24"/>
          <w:highlight w:val="none"/>
        </w:rPr>
      </w:pPr>
      <w:r>
        <w:rPr>
          <w:rFonts w:eastAsia="宋体"/>
          <w:color w:val="auto"/>
          <w:szCs w:val="24"/>
          <w:highlight w:val="none"/>
        </w:rPr>
        <w:t>19.</w:t>
      </w:r>
      <w:r>
        <w:rPr>
          <w:rFonts w:hint="eastAsia" w:eastAsia="宋体"/>
          <w:color w:val="auto"/>
          <w:szCs w:val="24"/>
          <w:highlight w:val="none"/>
        </w:rPr>
        <w:t>3</w:t>
      </w:r>
      <w:r>
        <w:rPr>
          <w:rFonts w:eastAsia="宋体"/>
          <w:color w:val="auto"/>
          <w:szCs w:val="24"/>
          <w:highlight w:val="none"/>
        </w:rPr>
        <w:t>.</w:t>
      </w:r>
      <w:r>
        <w:rPr>
          <w:rFonts w:hint="eastAsia" w:eastAsia="宋体"/>
          <w:color w:val="auto"/>
          <w:szCs w:val="24"/>
          <w:highlight w:val="none"/>
        </w:rPr>
        <w:t xml:space="preserve"> 缺陷责任程序</w:t>
      </w:r>
    </w:p>
    <w:p>
      <w:pPr>
        <w:pStyle w:val="52"/>
        <w:ind w:firstLine="480"/>
        <w:jc w:val="both"/>
        <w:rPr>
          <w:rFonts w:eastAsia="宋体"/>
          <w:color w:val="auto"/>
          <w:sz w:val="24"/>
          <w:szCs w:val="24"/>
          <w:highlight w:val="none"/>
        </w:rPr>
      </w:pPr>
      <w:r>
        <w:rPr>
          <w:rFonts w:hint="eastAsia" w:eastAsia="宋体"/>
          <w:color w:val="auto"/>
          <w:sz w:val="24"/>
          <w:szCs w:val="24"/>
          <w:highlight w:val="none"/>
        </w:rPr>
        <w:t>19.3.3.</w:t>
      </w:r>
      <w:r>
        <w:rPr>
          <w:rFonts w:eastAsia="宋体"/>
          <w:color w:val="auto"/>
          <w:sz w:val="24"/>
          <w:szCs w:val="24"/>
          <w:highlight w:val="none"/>
        </w:rPr>
        <w:t xml:space="preserve"> 通用条款</w:t>
      </w:r>
      <w:r>
        <w:rPr>
          <w:rFonts w:hint="eastAsia" w:eastAsia="宋体"/>
          <w:color w:val="auto"/>
          <w:sz w:val="24"/>
          <w:szCs w:val="24"/>
          <w:highlight w:val="none"/>
        </w:rPr>
        <w:t>第19.3.3款修订</w:t>
      </w:r>
      <w:r>
        <w:rPr>
          <w:rFonts w:eastAsia="宋体"/>
          <w:color w:val="auto"/>
          <w:sz w:val="24"/>
          <w:szCs w:val="24"/>
          <w:highlight w:val="none"/>
        </w:rPr>
        <w:t>为：</w:t>
      </w:r>
    </w:p>
    <w:p>
      <w:pPr>
        <w:pStyle w:val="52"/>
        <w:ind w:firstLine="480"/>
        <w:jc w:val="both"/>
        <w:rPr>
          <w:rFonts w:eastAsia="宋体"/>
          <w:color w:val="auto"/>
          <w:sz w:val="24"/>
          <w:szCs w:val="24"/>
          <w:highlight w:val="none"/>
        </w:rPr>
      </w:pPr>
      <w:r>
        <w:rPr>
          <w:rFonts w:eastAsia="宋体"/>
          <w:color w:val="auto"/>
          <w:sz w:val="24"/>
          <w:szCs w:val="24"/>
          <w:highlight w:val="none"/>
        </w:rPr>
        <w:t>质量保证金的返还</w:t>
      </w:r>
    </w:p>
    <w:p>
      <w:pPr>
        <w:pStyle w:val="52"/>
        <w:ind w:firstLine="480"/>
        <w:jc w:val="both"/>
        <w:rPr>
          <w:rFonts w:eastAsia="宋体"/>
          <w:color w:val="auto"/>
          <w:sz w:val="24"/>
          <w:szCs w:val="24"/>
          <w:highlight w:val="none"/>
        </w:rPr>
      </w:pPr>
      <w:r>
        <w:rPr>
          <w:rFonts w:hint="eastAsia" w:eastAsia="宋体"/>
          <w:color w:val="auto"/>
          <w:sz w:val="24"/>
          <w:szCs w:val="24"/>
          <w:highlight w:val="none"/>
        </w:rPr>
        <w:t>1）</w:t>
      </w:r>
      <w:r>
        <w:rPr>
          <w:rFonts w:eastAsia="宋体"/>
          <w:color w:val="auto"/>
          <w:sz w:val="24"/>
          <w:szCs w:val="24"/>
          <w:highlight w:val="none"/>
        </w:rPr>
        <w:t>缺陷责任期满两年，发包人</w:t>
      </w:r>
      <w:r>
        <w:rPr>
          <w:rFonts w:hint="eastAsia" w:eastAsia="宋体"/>
          <w:color w:val="auto"/>
          <w:sz w:val="24"/>
          <w:szCs w:val="24"/>
          <w:highlight w:val="none"/>
        </w:rPr>
        <w:t>确认对</w:t>
      </w:r>
      <w:r>
        <w:rPr>
          <w:rFonts w:eastAsia="宋体"/>
          <w:color w:val="auto"/>
          <w:sz w:val="24"/>
          <w:szCs w:val="24"/>
          <w:highlight w:val="none"/>
        </w:rPr>
        <w:t>工程质量无异议后30天内</w:t>
      </w:r>
      <w:r>
        <w:rPr>
          <w:rFonts w:hint="eastAsia" w:eastAsia="宋体"/>
          <w:color w:val="auto"/>
          <w:sz w:val="24"/>
          <w:szCs w:val="24"/>
          <w:highlight w:val="none"/>
        </w:rPr>
        <w:t>一次性</w:t>
      </w:r>
      <w:r>
        <w:rPr>
          <w:rFonts w:eastAsia="宋体"/>
          <w:color w:val="auto"/>
          <w:sz w:val="24"/>
          <w:szCs w:val="24"/>
          <w:highlight w:val="none"/>
        </w:rPr>
        <w:t>无息退还除扣款外的质量保证金。</w:t>
      </w:r>
    </w:p>
    <w:p>
      <w:pPr>
        <w:pStyle w:val="52"/>
        <w:ind w:firstLine="480"/>
        <w:jc w:val="both"/>
        <w:rPr>
          <w:rFonts w:eastAsia="宋体"/>
          <w:color w:val="auto"/>
          <w:sz w:val="24"/>
          <w:szCs w:val="24"/>
          <w:highlight w:val="none"/>
        </w:rPr>
      </w:pPr>
      <w:r>
        <w:rPr>
          <w:rFonts w:hint="eastAsia" w:eastAsia="宋体"/>
          <w:color w:val="auto"/>
          <w:sz w:val="24"/>
          <w:szCs w:val="24"/>
          <w:highlight w:val="none"/>
        </w:rPr>
        <w:t>2）</w:t>
      </w:r>
      <w:r>
        <w:rPr>
          <w:rFonts w:eastAsia="宋体"/>
          <w:color w:val="auto"/>
          <w:sz w:val="24"/>
          <w:szCs w:val="24"/>
          <w:highlight w:val="none"/>
        </w:rPr>
        <w:t>质量保证金不计利息。</w:t>
      </w:r>
    </w:p>
    <w:p>
      <w:pPr>
        <w:pStyle w:val="52"/>
        <w:ind w:firstLine="480"/>
        <w:jc w:val="both"/>
        <w:rPr>
          <w:rFonts w:eastAsia="宋体"/>
          <w:color w:val="auto"/>
          <w:sz w:val="24"/>
          <w:szCs w:val="24"/>
          <w:highlight w:val="none"/>
        </w:rPr>
      </w:pPr>
      <w:r>
        <w:rPr>
          <w:rFonts w:hint="eastAsia" w:eastAsia="宋体"/>
          <w:color w:val="auto"/>
          <w:sz w:val="24"/>
          <w:szCs w:val="24"/>
          <w:highlight w:val="none"/>
        </w:rPr>
        <w:t>3）</w:t>
      </w:r>
      <w:r>
        <w:rPr>
          <w:rFonts w:eastAsia="宋体"/>
          <w:color w:val="auto"/>
          <w:sz w:val="24"/>
          <w:szCs w:val="24"/>
          <w:highlight w:val="none"/>
        </w:rPr>
        <w:t>保修金的支付并不表示承包人保修责任的结束，承包人仍须按照相关法律法规规章及本合同，包括但不限于专用条款的规定继续履行保修责任、质量责任。</w:t>
      </w:r>
    </w:p>
    <w:p>
      <w:pPr>
        <w:pStyle w:val="77"/>
        <w:spacing w:before="0" w:after="0"/>
        <w:ind w:firstLine="480"/>
        <w:rPr>
          <w:rFonts w:eastAsia="宋体"/>
          <w:color w:val="auto"/>
          <w:szCs w:val="24"/>
          <w:highlight w:val="none"/>
        </w:rPr>
      </w:pPr>
      <w:r>
        <w:rPr>
          <w:rFonts w:eastAsia="宋体"/>
          <w:color w:val="auto"/>
          <w:szCs w:val="24"/>
          <w:highlight w:val="none"/>
        </w:rPr>
        <w:t>19.</w:t>
      </w:r>
      <w:r>
        <w:rPr>
          <w:rFonts w:hint="eastAsia" w:eastAsia="宋体"/>
          <w:color w:val="auto"/>
          <w:szCs w:val="24"/>
          <w:highlight w:val="none"/>
        </w:rPr>
        <w:t>4</w:t>
      </w:r>
      <w:r>
        <w:rPr>
          <w:rFonts w:eastAsia="宋体"/>
          <w:color w:val="auto"/>
          <w:szCs w:val="24"/>
          <w:highlight w:val="none"/>
        </w:rPr>
        <w:t>.</w:t>
      </w:r>
      <w:r>
        <w:rPr>
          <w:rFonts w:hint="eastAsia" w:eastAsia="宋体"/>
          <w:color w:val="auto"/>
          <w:szCs w:val="24"/>
          <w:highlight w:val="none"/>
        </w:rPr>
        <w:t xml:space="preserve"> 保修</w:t>
      </w:r>
    </w:p>
    <w:p>
      <w:pPr>
        <w:pStyle w:val="52"/>
        <w:ind w:firstLine="480"/>
        <w:jc w:val="both"/>
        <w:rPr>
          <w:rFonts w:eastAsia="宋体"/>
          <w:color w:val="auto"/>
          <w:sz w:val="24"/>
          <w:szCs w:val="24"/>
          <w:highlight w:val="none"/>
        </w:rPr>
      </w:pPr>
      <w:r>
        <w:rPr>
          <w:rFonts w:eastAsia="宋体"/>
          <w:color w:val="auto"/>
          <w:sz w:val="24"/>
          <w:szCs w:val="24"/>
          <w:highlight w:val="none"/>
        </w:rPr>
        <w:t>19.4.1</w:t>
      </w:r>
      <w:r>
        <w:rPr>
          <w:rFonts w:hint="eastAsia" w:eastAsia="宋体"/>
          <w:color w:val="auto"/>
          <w:sz w:val="24"/>
          <w:szCs w:val="24"/>
          <w:highlight w:val="none"/>
        </w:rPr>
        <w:t>.</w:t>
      </w:r>
      <w:r>
        <w:rPr>
          <w:rFonts w:eastAsia="宋体"/>
          <w:color w:val="auto"/>
          <w:sz w:val="24"/>
          <w:szCs w:val="24"/>
          <w:highlight w:val="none"/>
        </w:rPr>
        <w:t xml:space="preserve"> 保修责任</w:t>
      </w:r>
    </w:p>
    <w:p>
      <w:pPr>
        <w:pStyle w:val="52"/>
        <w:ind w:firstLine="480"/>
        <w:jc w:val="both"/>
        <w:rPr>
          <w:rFonts w:eastAsia="宋体"/>
          <w:color w:val="auto"/>
          <w:sz w:val="24"/>
          <w:szCs w:val="24"/>
          <w:highlight w:val="none"/>
        </w:rPr>
      </w:pPr>
      <w:r>
        <w:rPr>
          <w:rFonts w:eastAsia="宋体"/>
          <w:color w:val="auto"/>
          <w:sz w:val="24"/>
          <w:szCs w:val="24"/>
          <w:highlight w:val="none"/>
        </w:rPr>
        <w:t>工程保修期及具体分部分项工程的保修期以</w:t>
      </w:r>
      <w:r>
        <w:rPr>
          <w:rFonts w:hint="eastAsia" w:eastAsia="宋体"/>
          <w:color w:val="auto"/>
          <w:sz w:val="24"/>
          <w:szCs w:val="24"/>
          <w:highlight w:val="none"/>
        </w:rPr>
        <w:t>本合同附件</w:t>
      </w:r>
      <w:r>
        <w:rPr>
          <w:rFonts w:hint="eastAsia" w:eastAsia="宋体"/>
          <w:color w:val="auto"/>
          <w:sz w:val="24"/>
          <w:szCs w:val="24"/>
          <w:highlight w:val="none"/>
          <w:lang w:val="en-US" w:eastAsia="zh-CN"/>
        </w:rPr>
        <w:t>3</w:t>
      </w:r>
      <w:r>
        <w:rPr>
          <w:rFonts w:eastAsia="宋体"/>
          <w:color w:val="auto"/>
          <w:sz w:val="24"/>
          <w:szCs w:val="24"/>
          <w:highlight w:val="none"/>
        </w:rPr>
        <w:t>《工程质量保修书》为准。</w:t>
      </w:r>
    </w:p>
    <w:p>
      <w:pPr>
        <w:pStyle w:val="52"/>
        <w:ind w:firstLine="480"/>
        <w:jc w:val="both"/>
        <w:rPr>
          <w:rFonts w:eastAsia="宋体"/>
          <w:color w:val="auto"/>
          <w:sz w:val="24"/>
          <w:szCs w:val="24"/>
          <w:highlight w:val="none"/>
        </w:rPr>
      </w:pPr>
      <w:r>
        <w:rPr>
          <w:rFonts w:eastAsia="宋体"/>
          <w:color w:val="auto"/>
          <w:sz w:val="24"/>
          <w:szCs w:val="24"/>
          <w:highlight w:val="none"/>
        </w:rPr>
        <w:t>19.4.3. 修复通知</w:t>
      </w:r>
    </w:p>
    <w:p>
      <w:pPr>
        <w:pStyle w:val="52"/>
        <w:ind w:firstLine="480"/>
        <w:jc w:val="both"/>
        <w:rPr>
          <w:rFonts w:eastAsia="宋体"/>
          <w:color w:val="auto"/>
          <w:sz w:val="24"/>
          <w:szCs w:val="24"/>
          <w:highlight w:val="none"/>
        </w:rPr>
      </w:pPr>
      <w:r>
        <w:rPr>
          <w:rFonts w:eastAsia="宋体"/>
          <w:color w:val="auto"/>
          <w:sz w:val="24"/>
          <w:szCs w:val="24"/>
          <w:highlight w:val="none"/>
        </w:rPr>
        <w:t>在保修期内，发包人在使用过程中，发现已接收的工程存在缺陷或损坏的，应书面通知承包人予以修复，但情况紧急必须立即修复缺陷或损坏的，发包人可以口头通知承包人</w:t>
      </w:r>
      <w:r>
        <w:rPr>
          <w:rFonts w:hint="eastAsia" w:ascii="宋体" w:hAnsi="宋体" w:eastAsia="宋体" w:cs="宋体"/>
          <w:color w:val="auto"/>
          <w:sz w:val="24"/>
          <w:szCs w:val="24"/>
          <w:highlight w:val="none"/>
        </w:rPr>
        <w:t>，承包人要求的，发包人应及时补充书面</w:t>
      </w:r>
      <w:r>
        <w:rPr>
          <w:rFonts w:ascii="宋体" w:hAnsi="宋体" w:eastAsia="宋体" w:cs="宋体"/>
          <w:color w:val="auto"/>
          <w:sz w:val="24"/>
          <w:szCs w:val="24"/>
          <w:highlight w:val="none"/>
        </w:rPr>
        <w:t>通知</w:t>
      </w:r>
      <w:r>
        <w:rPr>
          <w:rFonts w:eastAsia="宋体"/>
          <w:color w:val="auto"/>
          <w:sz w:val="24"/>
          <w:szCs w:val="24"/>
          <w:highlight w:val="none"/>
        </w:rPr>
        <w:t>，承包人应在</w:t>
      </w:r>
      <w:r>
        <w:rPr>
          <w:rFonts w:hint="eastAsia" w:eastAsia="宋体"/>
          <w:color w:val="auto"/>
          <w:sz w:val="24"/>
          <w:szCs w:val="24"/>
          <w:highlight w:val="none"/>
        </w:rPr>
        <w:t>本合同附件</w:t>
      </w:r>
      <w:r>
        <w:rPr>
          <w:rFonts w:hint="eastAsia" w:eastAsia="宋体"/>
          <w:color w:val="auto"/>
          <w:sz w:val="24"/>
          <w:szCs w:val="24"/>
          <w:highlight w:val="none"/>
          <w:lang w:val="en-US" w:eastAsia="zh-CN"/>
        </w:rPr>
        <w:t>3</w:t>
      </w:r>
      <w:r>
        <w:rPr>
          <w:rFonts w:eastAsia="宋体"/>
          <w:color w:val="auto"/>
          <w:sz w:val="24"/>
          <w:szCs w:val="24"/>
          <w:highlight w:val="none"/>
          <w:u w:val="single"/>
        </w:rPr>
        <w:t xml:space="preserve">《工程质量保修书》约定 </w:t>
      </w:r>
      <w:r>
        <w:rPr>
          <w:rFonts w:eastAsia="宋体"/>
          <w:color w:val="auto"/>
          <w:sz w:val="24"/>
          <w:szCs w:val="24"/>
          <w:highlight w:val="none"/>
        </w:rPr>
        <w:t>的期限内到达工程现场并修复缺陷或损坏。</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313" w:name="_Toc11284"/>
      <w:bookmarkStart w:id="1314" w:name="_Toc26068"/>
      <w:bookmarkStart w:id="1315" w:name="_Toc27986"/>
      <w:bookmarkStart w:id="1316" w:name="_Toc38987289"/>
      <w:bookmarkStart w:id="1317" w:name="_Toc20996"/>
      <w:bookmarkStart w:id="1318" w:name="_Toc44492618"/>
      <w:bookmarkStart w:id="1319" w:name="_Toc15853"/>
      <w:bookmarkStart w:id="1320" w:name="_Toc15585"/>
      <w:bookmarkStart w:id="1321" w:name="_Toc44228172"/>
      <w:r>
        <w:rPr>
          <w:rFonts w:eastAsia="宋体"/>
          <w:color w:val="auto"/>
          <w:sz w:val="24"/>
          <w:szCs w:val="24"/>
          <w:highlight w:val="none"/>
        </w:rPr>
        <w:t>保险</w:t>
      </w:r>
      <w:bookmarkEnd w:id="1313"/>
      <w:bookmarkEnd w:id="1314"/>
      <w:bookmarkEnd w:id="1315"/>
      <w:bookmarkEnd w:id="1316"/>
      <w:bookmarkEnd w:id="1317"/>
      <w:bookmarkEnd w:id="1318"/>
      <w:bookmarkEnd w:id="1319"/>
      <w:bookmarkEnd w:id="1320"/>
      <w:bookmarkEnd w:id="1321"/>
    </w:p>
    <w:p>
      <w:pPr>
        <w:pStyle w:val="77"/>
        <w:spacing w:before="0" w:after="0"/>
        <w:ind w:firstLine="480"/>
        <w:rPr>
          <w:rFonts w:eastAsia="宋体"/>
          <w:color w:val="auto"/>
          <w:szCs w:val="24"/>
          <w:highlight w:val="none"/>
        </w:rPr>
      </w:pPr>
      <w:bookmarkStart w:id="1322" w:name="_Toc27339"/>
      <w:bookmarkStart w:id="1323" w:name="_Toc44492619"/>
      <w:bookmarkStart w:id="1324" w:name="_Toc24049"/>
      <w:r>
        <w:rPr>
          <w:rFonts w:eastAsia="宋体"/>
          <w:color w:val="auto"/>
          <w:szCs w:val="24"/>
          <w:highlight w:val="none"/>
        </w:rPr>
        <w:t>20.1. 建筑工程一切险(含第三者责任险）</w:t>
      </w:r>
      <w:bookmarkEnd w:id="1322"/>
      <w:bookmarkEnd w:id="1323"/>
      <w:bookmarkEnd w:id="1324"/>
    </w:p>
    <w:p>
      <w:pPr>
        <w:pStyle w:val="52"/>
        <w:ind w:firstLine="480"/>
        <w:jc w:val="both"/>
        <w:rPr>
          <w:rFonts w:eastAsia="宋体"/>
          <w:color w:val="auto"/>
          <w:sz w:val="24"/>
          <w:szCs w:val="24"/>
          <w:highlight w:val="none"/>
        </w:rPr>
      </w:pPr>
      <w:r>
        <w:rPr>
          <w:rFonts w:eastAsia="宋体"/>
          <w:color w:val="auto"/>
          <w:sz w:val="24"/>
          <w:szCs w:val="24"/>
          <w:highlight w:val="none"/>
        </w:rPr>
        <w:t>20.1.1. 通用条款第20.1.1条中“本工程项目应投保的建筑工程一切险（含第三者责任险）的相关费用均已包含在合同</w:t>
      </w:r>
      <w:r>
        <w:rPr>
          <w:rFonts w:hint="eastAsia" w:eastAsia="宋体"/>
          <w:color w:val="auto"/>
          <w:sz w:val="24"/>
          <w:szCs w:val="24"/>
          <w:highlight w:val="none"/>
        </w:rPr>
        <w:t>暂定</w:t>
      </w:r>
      <w:r>
        <w:rPr>
          <w:rFonts w:eastAsia="宋体"/>
          <w:color w:val="auto"/>
          <w:sz w:val="24"/>
          <w:szCs w:val="24"/>
          <w:highlight w:val="none"/>
        </w:rPr>
        <w:t>总价中”修订为“</w:t>
      </w:r>
      <w:r>
        <w:rPr>
          <w:rFonts w:hint="eastAsia" w:eastAsia="宋体"/>
          <w:color w:val="auto"/>
          <w:sz w:val="24"/>
          <w:szCs w:val="24"/>
          <w:highlight w:val="none"/>
        </w:rPr>
        <w:t>本工程项目应投保的建筑/安装工程一切险（含第三者责任险）由发包人和承包人按照相关规定自行购买</w:t>
      </w:r>
      <w:r>
        <w:rPr>
          <w:rFonts w:eastAsia="宋体"/>
          <w:color w:val="auto"/>
          <w:sz w:val="24"/>
          <w:szCs w:val="24"/>
          <w:highlight w:val="none"/>
        </w:rPr>
        <w:t>”，有关本工程项目建筑工程一切险（含第三者责任险）的投保条件规定如下：</w:t>
      </w:r>
    </w:p>
    <w:p>
      <w:pPr>
        <w:pStyle w:val="52"/>
        <w:ind w:firstLine="480"/>
        <w:jc w:val="both"/>
        <w:rPr>
          <w:rFonts w:eastAsia="宋体"/>
          <w:color w:val="auto"/>
          <w:sz w:val="24"/>
          <w:szCs w:val="24"/>
          <w:highlight w:val="none"/>
        </w:rPr>
      </w:pPr>
      <w:r>
        <w:rPr>
          <w:rFonts w:eastAsia="宋体"/>
          <w:color w:val="auto"/>
          <w:sz w:val="24"/>
          <w:szCs w:val="24"/>
          <w:highlight w:val="none"/>
        </w:rPr>
        <w:t>1）发包人已为本工程购买了 “建筑/安装工程一切险（含第三者责任险）”，其范围已包括此承包工程，但相应免赔额、保险除外责任部分由承包人自行承担。该保险条款的详细内容承包人可在法定工作时间内到发包人的办公室查阅。对发包人保险条款中的特别除外部分，承包人应以自己的义务考虑加保与否，并承担加保费用。该项保险若因承包人的过失而需延长，因此而增加的保险费由承包人承担。</w:t>
      </w:r>
    </w:p>
    <w:p>
      <w:pPr>
        <w:pStyle w:val="52"/>
        <w:ind w:firstLine="480"/>
        <w:jc w:val="both"/>
        <w:rPr>
          <w:rFonts w:eastAsia="宋体"/>
          <w:color w:val="auto"/>
          <w:sz w:val="24"/>
          <w:szCs w:val="24"/>
          <w:highlight w:val="none"/>
        </w:rPr>
      </w:pPr>
      <w:r>
        <w:rPr>
          <w:rFonts w:eastAsia="宋体"/>
          <w:color w:val="auto"/>
          <w:sz w:val="24"/>
          <w:szCs w:val="24"/>
          <w:highlight w:val="none"/>
        </w:rPr>
        <w:t>2）承包人须负责本工程每次索偿事件的现场保护工作，并及时向发包人提供保险公司所要求提交的有关索偿事件所需要的一切证据和资料，承包人确认上述工作所需要的费用已在合同</w:t>
      </w:r>
      <w:r>
        <w:rPr>
          <w:rFonts w:hint="eastAsia" w:eastAsia="宋体"/>
          <w:color w:val="auto"/>
          <w:sz w:val="24"/>
          <w:szCs w:val="24"/>
          <w:highlight w:val="none"/>
        </w:rPr>
        <w:t>暂定</w:t>
      </w:r>
      <w:r>
        <w:rPr>
          <w:rFonts w:eastAsia="宋体"/>
          <w:color w:val="auto"/>
          <w:sz w:val="24"/>
          <w:szCs w:val="24"/>
          <w:highlight w:val="none"/>
        </w:rPr>
        <w:t>总价</w:t>
      </w:r>
      <w:r>
        <w:rPr>
          <w:rFonts w:hint="eastAsia" w:eastAsia="宋体"/>
          <w:color w:val="auto"/>
          <w:sz w:val="24"/>
          <w:szCs w:val="24"/>
          <w:highlight w:val="none"/>
        </w:rPr>
        <w:t>中综合考虑，不再另行计取</w:t>
      </w:r>
      <w:r>
        <w:rPr>
          <w:rFonts w:eastAsia="宋体"/>
          <w:color w:val="auto"/>
          <w:sz w:val="24"/>
          <w:szCs w:val="24"/>
          <w:highlight w:val="none"/>
        </w:rPr>
        <w:t>。发包人所购买的工程一切险和第三</w:t>
      </w:r>
      <w:r>
        <w:rPr>
          <w:rFonts w:hint="eastAsia" w:eastAsia="宋体"/>
          <w:color w:val="auto"/>
          <w:sz w:val="24"/>
          <w:szCs w:val="24"/>
          <w:highlight w:val="none"/>
        </w:rPr>
        <w:t>者</w:t>
      </w:r>
      <w:r>
        <w:rPr>
          <w:rFonts w:eastAsia="宋体"/>
          <w:color w:val="auto"/>
          <w:sz w:val="24"/>
          <w:szCs w:val="24"/>
          <w:highlight w:val="none"/>
        </w:rPr>
        <w:t>责任险并不能解除或减少承包人按合同条款应承担的责任。</w:t>
      </w:r>
    </w:p>
    <w:p>
      <w:pPr>
        <w:pStyle w:val="52"/>
        <w:ind w:firstLine="480"/>
        <w:jc w:val="both"/>
        <w:rPr>
          <w:rFonts w:eastAsia="宋体"/>
          <w:color w:val="auto"/>
          <w:sz w:val="24"/>
          <w:szCs w:val="24"/>
          <w:highlight w:val="none"/>
        </w:rPr>
      </w:pPr>
      <w:r>
        <w:rPr>
          <w:rFonts w:eastAsia="宋体"/>
          <w:color w:val="auto"/>
          <w:sz w:val="24"/>
          <w:szCs w:val="24"/>
          <w:highlight w:val="none"/>
        </w:rPr>
        <w:t>3）无论有关一切险的索偿是否得到理赔，在本工程现场具备复原条件时，承包人须迅速地把损坏的工作复原,把损失或损坏了的未安装物料替换或修补、迁离和处理任何残砾和继续执行和完成本工程。所有由保险得到的应支付给承包人的款项（减去顾问费，如有），并入获保险理赔且承发包双反确认支付额后的最近一期进度款中支付给承包人。除保险所得的款项外，承包人不能对损坏工作的复原、未安装物料的替换和修补及残砾的迁离和处理，收取其它费用。</w:t>
      </w:r>
    </w:p>
    <w:p>
      <w:pPr>
        <w:pStyle w:val="52"/>
        <w:ind w:firstLine="480"/>
        <w:jc w:val="both"/>
        <w:rPr>
          <w:rFonts w:eastAsia="宋体"/>
          <w:color w:val="auto"/>
          <w:sz w:val="24"/>
          <w:szCs w:val="24"/>
          <w:highlight w:val="none"/>
        </w:rPr>
      </w:pPr>
      <w:r>
        <w:rPr>
          <w:rFonts w:eastAsia="宋体"/>
          <w:color w:val="auto"/>
          <w:sz w:val="24"/>
          <w:szCs w:val="24"/>
          <w:highlight w:val="none"/>
        </w:rPr>
        <w:t>4）若承包人认为发包人所购买的保险未足以保障其自身的风险时，可自费补充投保。</w:t>
      </w:r>
    </w:p>
    <w:p>
      <w:pPr>
        <w:pStyle w:val="77"/>
        <w:spacing w:before="0" w:after="0"/>
        <w:ind w:firstLine="480"/>
        <w:rPr>
          <w:rFonts w:eastAsia="宋体"/>
          <w:color w:val="auto"/>
          <w:szCs w:val="24"/>
          <w:highlight w:val="none"/>
        </w:rPr>
      </w:pPr>
      <w:bookmarkStart w:id="1325" w:name="_Toc9779"/>
      <w:bookmarkStart w:id="1326" w:name="_Toc367"/>
      <w:bookmarkStart w:id="1327" w:name="_Toc44492620"/>
      <w:r>
        <w:rPr>
          <w:rFonts w:eastAsia="宋体"/>
          <w:color w:val="auto"/>
          <w:szCs w:val="24"/>
          <w:highlight w:val="none"/>
        </w:rPr>
        <w:t>20.3</w:t>
      </w:r>
      <w:r>
        <w:rPr>
          <w:rFonts w:hint="eastAsia" w:eastAsia="宋体"/>
          <w:color w:val="auto"/>
          <w:szCs w:val="24"/>
          <w:highlight w:val="none"/>
        </w:rPr>
        <w:t xml:space="preserve">. </w:t>
      </w:r>
      <w:r>
        <w:rPr>
          <w:rFonts w:eastAsia="宋体"/>
          <w:snapToGrid w:val="0"/>
          <w:color w:val="auto"/>
          <w:kern w:val="0"/>
          <w:szCs w:val="24"/>
          <w:highlight w:val="none"/>
        </w:rPr>
        <w:t>雇员赔偿保险</w:t>
      </w:r>
      <w:r>
        <w:rPr>
          <w:rFonts w:eastAsia="宋体"/>
          <w:color w:val="auto"/>
          <w:szCs w:val="24"/>
          <w:highlight w:val="none"/>
        </w:rPr>
        <w:t>：</w:t>
      </w:r>
      <w:bookmarkEnd w:id="1325"/>
      <w:bookmarkEnd w:id="1326"/>
      <w:bookmarkEnd w:id="1327"/>
    </w:p>
    <w:p>
      <w:pPr>
        <w:pStyle w:val="52"/>
        <w:ind w:firstLine="480"/>
        <w:jc w:val="both"/>
        <w:rPr>
          <w:rFonts w:eastAsia="宋体"/>
          <w:color w:val="auto"/>
          <w:sz w:val="24"/>
          <w:szCs w:val="24"/>
          <w:highlight w:val="none"/>
        </w:rPr>
      </w:pPr>
      <w:r>
        <w:rPr>
          <w:rFonts w:eastAsia="宋体"/>
          <w:color w:val="auto"/>
          <w:sz w:val="24"/>
          <w:szCs w:val="24"/>
          <w:highlight w:val="none"/>
        </w:rPr>
        <w:t>20.3.2.</w:t>
      </w:r>
      <w:r>
        <w:rPr>
          <w:rFonts w:hint="eastAsia" w:eastAsia="宋体"/>
          <w:color w:val="auto"/>
          <w:sz w:val="24"/>
          <w:szCs w:val="24"/>
          <w:highlight w:val="none"/>
        </w:rPr>
        <w:t xml:space="preserve"> </w:t>
      </w:r>
      <w:r>
        <w:rPr>
          <w:rFonts w:eastAsia="宋体"/>
          <w:color w:val="auto"/>
          <w:sz w:val="24"/>
          <w:szCs w:val="24"/>
          <w:highlight w:val="none"/>
        </w:rPr>
        <w:t>通用条款第20.3.2</w:t>
      </w:r>
      <w:r>
        <w:rPr>
          <w:rFonts w:hint="eastAsia" w:eastAsia="宋体"/>
          <w:color w:val="auto"/>
          <w:sz w:val="24"/>
          <w:szCs w:val="24"/>
          <w:highlight w:val="none"/>
        </w:rPr>
        <w:t>款</w:t>
      </w:r>
      <w:r>
        <w:rPr>
          <w:rFonts w:eastAsia="宋体"/>
          <w:color w:val="auto"/>
          <w:sz w:val="24"/>
          <w:szCs w:val="24"/>
          <w:highlight w:val="none"/>
        </w:rPr>
        <w:t>内容修订为：发包人对任何承包人的雇员、代理人、劳务人员或其他人的意外或伤亡，不论该人是受雇于承包人或承包人的分包</w:t>
      </w:r>
      <w:r>
        <w:rPr>
          <w:rFonts w:hint="eastAsia" w:eastAsia="宋体"/>
          <w:color w:val="auto"/>
          <w:sz w:val="24"/>
          <w:szCs w:val="24"/>
          <w:highlight w:val="none"/>
        </w:rPr>
        <w:t>人</w:t>
      </w:r>
      <w:r>
        <w:rPr>
          <w:rFonts w:eastAsia="宋体"/>
          <w:color w:val="auto"/>
          <w:sz w:val="24"/>
          <w:szCs w:val="24"/>
          <w:highlight w:val="none"/>
        </w:rPr>
        <w:t>，皆不负任何法律上的赔偿责任。承包人须保障发包人免负任何有关的索偿、要求、诉讼、成本、费用和支出。若发包人因有关法律规定或司法行政决定或和解协议需要先行承担责任或承担连带责任的，承包人应予赔偿。</w:t>
      </w:r>
    </w:p>
    <w:p>
      <w:pPr>
        <w:pStyle w:val="52"/>
        <w:ind w:firstLine="480"/>
        <w:jc w:val="both"/>
        <w:rPr>
          <w:rFonts w:eastAsia="宋体"/>
          <w:color w:val="auto"/>
          <w:sz w:val="24"/>
          <w:szCs w:val="24"/>
          <w:highlight w:val="none"/>
        </w:rPr>
      </w:pPr>
      <w:r>
        <w:rPr>
          <w:rFonts w:eastAsia="宋体"/>
          <w:color w:val="auto"/>
          <w:sz w:val="24"/>
          <w:szCs w:val="24"/>
          <w:highlight w:val="none"/>
        </w:rPr>
        <w:t>20.3.4.</w:t>
      </w:r>
      <w:r>
        <w:rPr>
          <w:rFonts w:hint="eastAsia" w:eastAsia="宋体"/>
          <w:color w:val="auto"/>
          <w:sz w:val="24"/>
          <w:szCs w:val="24"/>
          <w:highlight w:val="none"/>
        </w:rPr>
        <w:t xml:space="preserve"> </w:t>
      </w:r>
      <w:r>
        <w:rPr>
          <w:rFonts w:eastAsia="宋体"/>
          <w:color w:val="auto"/>
          <w:sz w:val="24"/>
          <w:szCs w:val="24"/>
          <w:highlight w:val="none"/>
        </w:rPr>
        <w:t>通用条款第20.3.</w:t>
      </w:r>
      <w:r>
        <w:rPr>
          <w:rFonts w:hint="eastAsia" w:eastAsia="宋体"/>
          <w:color w:val="auto"/>
          <w:sz w:val="24"/>
          <w:szCs w:val="24"/>
          <w:highlight w:val="none"/>
        </w:rPr>
        <w:t>4条</w:t>
      </w:r>
      <w:r>
        <w:rPr>
          <w:rFonts w:eastAsia="宋体"/>
          <w:color w:val="auto"/>
          <w:sz w:val="24"/>
          <w:szCs w:val="24"/>
          <w:highlight w:val="none"/>
        </w:rPr>
        <w:t>内容修订为：假若有任何受雇于本工程或与本合同有关的雇员或其他人士，受到损伤，不论有无索偿，承包人须马上以书面形式将该损伤通知发包人。</w:t>
      </w:r>
    </w:p>
    <w:p>
      <w:pPr>
        <w:pStyle w:val="52"/>
        <w:ind w:firstLine="480"/>
        <w:jc w:val="both"/>
        <w:rPr>
          <w:rFonts w:eastAsia="宋体"/>
          <w:color w:val="auto"/>
          <w:sz w:val="24"/>
          <w:szCs w:val="24"/>
          <w:highlight w:val="none"/>
        </w:rPr>
      </w:pPr>
      <w:r>
        <w:rPr>
          <w:rFonts w:eastAsia="宋体"/>
          <w:color w:val="auto"/>
          <w:sz w:val="24"/>
          <w:szCs w:val="24"/>
          <w:highlight w:val="none"/>
        </w:rPr>
        <w:t>20.3.5.</w:t>
      </w:r>
      <w:r>
        <w:rPr>
          <w:rFonts w:hint="eastAsia" w:eastAsia="宋体"/>
          <w:color w:val="auto"/>
          <w:sz w:val="24"/>
          <w:szCs w:val="24"/>
          <w:highlight w:val="none"/>
        </w:rPr>
        <w:t xml:space="preserve"> </w:t>
      </w:r>
      <w:r>
        <w:rPr>
          <w:rFonts w:eastAsia="宋体"/>
          <w:color w:val="auto"/>
          <w:sz w:val="24"/>
          <w:szCs w:val="24"/>
          <w:highlight w:val="none"/>
        </w:rPr>
        <w:t>承包人必须为其服务于本工程的雇佣员工购买人身意外保险</w:t>
      </w:r>
      <w:r>
        <w:rPr>
          <w:rFonts w:hint="eastAsia" w:eastAsia="宋体"/>
          <w:color w:val="auto"/>
          <w:sz w:val="24"/>
          <w:szCs w:val="24"/>
          <w:highlight w:val="none"/>
        </w:rPr>
        <w:t>。</w:t>
      </w:r>
    </w:p>
    <w:p>
      <w:pPr>
        <w:pStyle w:val="52"/>
        <w:ind w:firstLine="480"/>
        <w:jc w:val="both"/>
        <w:rPr>
          <w:rFonts w:eastAsia="宋体"/>
          <w:color w:val="auto"/>
          <w:sz w:val="24"/>
          <w:szCs w:val="24"/>
          <w:highlight w:val="none"/>
        </w:rPr>
      </w:pPr>
      <w:r>
        <w:rPr>
          <w:rFonts w:eastAsia="宋体"/>
          <w:color w:val="auto"/>
          <w:sz w:val="24"/>
          <w:szCs w:val="24"/>
          <w:highlight w:val="none"/>
        </w:rPr>
        <w:t>承包人应在工程施工开始直至缺陷责任期完结期间对所有其雇用的工作人员进行此类保险并持续这种保险。但对于承包人的任何分包人雇用</w:t>
      </w:r>
      <w:r>
        <w:rPr>
          <w:rFonts w:hint="eastAsia" w:eastAsia="宋体"/>
          <w:color w:val="auto"/>
          <w:sz w:val="24"/>
          <w:szCs w:val="24"/>
          <w:highlight w:val="none"/>
        </w:rPr>
        <w:t>的</w:t>
      </w:r>
      <w:r>
        <w:rPr>
          <w:rFonts w:eastAsia="宋体"/>
          <w:color w:val="auto"/>
          <w:sz w:val="24"/>
          <w:szCs w:val="24"/>
          <w:highlight w:val="none"/>
        </w:rPr>
        <w:t>任何人员，如果分包人已经对上述雇员进行了保险，则本条款前述的承包人保险义务即得到履行，但在必要时，承包人应要求分包人向发包人提交有关的保险单及本期保险金的支付收据。一旦发生人员伤亡事故，承包人须立即通知发包人，并以书面形式提供详细经过。</w:t>
      </w:r>
    </w:p>
    <w:p>
      <w:pPr>
        <w:pStyle w:val="52"/>
        <w:ind w:firstLine="480"/>
        <w:jc w:val="both"/>
        <w:rPr>
          <w:rFonts w:eastAsia="宋体"/>
          <w:color w:val="auto"/>
          <w:sz w:val="24"/>
          <w:szCs w:val="24"/>
          <w:highlight w:val="none"/>
        </w:rPr>
      </w:pPr>
      <w:r>
        <w:rPr>
          <w:rFonts w:eastAsia="宋体"/>
          <w:color w:val="auto"/>
          <w:sz w:val="24"/>
          <w:szCs w:val="24"/>
          <w:highlight w:val="none"/>
        </w:rPr>
        <w:t>承包人须对其雇员的意外或伤亡负全责。承包人须与受雇者签订劳动合同，并与参与本工程的所有有关人员包括其自身的施工人员、管理人员及分包人（不论是否发包人指定的）的施工及管理人员等，投保其认为必要的人身意外保险。发包人对于任何雇员的意外或伤亡，不论该人是受雇于承包人还是其分包</w:t>
      </w:r>
      <w:r>
        <w:rPr>
          <w:rFonts w:hint="eastAsia" w:eastAsia="宋体"/>
          <w:color w:val="auto"/>
          <w:sz w:val="24"/>
          <w:szCs w:val="24"/>
          <w:highlight w:val="none"/>
        </w:rPr>
        <w:t>人</w:t>
      </w:r>
      <w:r>
        <w:rPr>
          <w:rFonts w:eastAsia="宋体"/>
          <w:color w:val="auto"/>
          <w:sz w:val="24"/>
          <w:szCs w:val="24"/>
          <w:highlight w:val="none"/>
        </w:rPr>
        <w:t>（不论是否发包人指定的），都不负任何法律上的赔偿责任，承包人须保障发包人免负任何有关的索偿、要求、诉讼、成本、费用和支出。</w:t>
      </w:r>
    </w:p>
    <w:p>
      <w:pPr>
        <w:pStyle w:val="52"/>
        <w:ind w:firstLine="480"/>
        <w:jc w:val="both"/>
        <w:rPr>
          <w:rFonts w:eastAsia="宋体"/>
          <w:color w:val="auto"/>
          <w:sz w:val="24"/>
          <w:szCs w:val="24"/>
          <w:highlight w:val="none"/>
        </w:rPr>
      </w:pPr>
      <w:r>
        <w:rPr>
          <w:rFonts w:eastAsia="宋体"/>
          <w:bCs/>
          <w:color w:val="auto"/>
          <w:kern w:val="2"/>
          <w:sz w:val="24"/>
          <w:szCs w:val="24"/>
          <w:highlight w:val="none"/>
        </w:rPr>
        <w:t>20.4</w:t>
      </w:r>
      <w:r>
        <w:rPr>
          <w:rFonts w:hint="eastAsia" w:eastAsia="宋体"/>
          <w:color w:val="auto"/>
          <w:szCs w:val="24"/>
          <w:highlight w:val="none"/>
        </w:rPr>
        <w:t xml:space="preserve">. </w:t>
      </w:r>
      <w:r>
        <w:rPr>
          <w:rFonts w:eastAsia="宋体"/>
          <w:bCs/>
          <w:color w:val="auto"/>
          <w:kern w:val="2"/>
          <w:sz w:val="24"/>
          <w:szCs w:val="24"/>
          <w:highlight w:val="none"/>
        </w:rPr>
        <w:t>其他保险</w:t>
      </w:r>
    </w:p>
    <w:p>
      <w:pPr>
        <w:pStyle w:val="52"/>
        <w:ind w:firstLine="480"/>
        <w:jc w:val="both"/>
        <w:rPr>
          <w:rFonts w:eastAsia="宋体"/>
          <w:color w:val="auto"/>
          <w:sz w:val="24"/>
          <w:szCs w:val="24"/>
          <w:highlight w:val="none"/>
        </w:rPr>
      </w:pPr>
      <w:r>
        <w:rPr>
          <w:rFonts w:hint="eastAsia" w:eastAsia="宋体"/>
          <w:color w:val="auto"/>
          <w:sz w:val="24"/>
          <w:szCs w:val="24"/>
          <w:highlight w:val="none"/>
        </w:rPr>
        <w:t>20.4.2. 承包人应当依据《安全生产责任保险实施办法》中的要求，自行投保安全生产责任险，</w:t>
      </w:r>
      <w:r>
        <w:rPr>
          <w:rFonts w:hint="eastAsia" w:eastAsia="宋体"/>
          <w:color w:val="auto"/>
          <w:sz w:val="24"/>
          <w:szCs w:val="24"/>
          <w:highlight w:val="none"/>
          <w:lang w:val="en-US" w:eastAsia="zh-CN"/>
        </w:rPr>
        <w:t>且</w:t>
      </w:r>
      <w:r>
        <w:rPr>
          <w:rFonts w:hint="eastAsia" w:eastAsia="宋体"/>
          <w:color w:val="auto"/>
          <w:sz w:val="24"/>
          <w:szCs w:val="24"/>
          <w:highlight w:val="none"/>
        </w:rPr>
        <w:t>必须购买员工人身意外保险。</w:t>
      </w:r>
      <w:r>
        <w:rPr>
          <w:rFonts w:hint="eastAsia" w:eastAsia="宋体"/>
          <w:color w:val="auto"/>
          <w:sz w:val="24"/>
          <w:szCs w:val="24"/>
          <w:highlight w:val="none"/>
          <w:lang w:val="en-US" w:eastAsia="zh-CN"/>
        </w:rPr>
        <w:t>同时，承包人</w:t>
      </w:r>
      <w:r>
        <w:rPr>
          <w:rFonts w:hint="eastAsia" w:eastAsia="宋体"/>
          <w:color w:val="auto"/>
          <w:sz w:val="24"/>
          <w:szCs w:val="24"/>
          <w:highlight w:val="none"/>
        </w:rPr>
        <w:t>应为本工程自费购买其认为所需的但不包含在发包人保险范围内的其他保险。</w:t>
      </w:r>
      <w:r>
        <w:rPr>
          <w:rFonts w:eastAsia="宋体"/>
          <w:color w:val="auto"/>
          <w:sz w:val="24"/>
          <w:szCs w:val="24"/>
          <w:highlight w:val="none"/>
        </w:rPr>
        <w:t>承包人不得以任何借口对其未保险事项或不能向其保险公司收回的金额向发包人提出索赔。</w:t>
      </w:r>
    </w:p>
    <w:p>
      <w:pPr>
        <w:pStyle w:val="52"/>
        <w:ind w:firstLine="480"/>
        <w:jc w:val="both"/>
        <w:rPr>
          <w:rFonts w:eastAsia="宋体"/>
          <w:color w:val="auto"/>
          <w:sz w:val="24"/>
          <w:szCs w:val="24"/>
          <w:highlight w:val="none"/>
        </w:rPr>
      </w:pPr>
      <w:r>
        <w:rPr>
          <w:rFonts w:eastAsia="宋体"/>
          <w:bCs/>
          <w:color w:val="auto"/>
          <w:kern w:val="2"/>
          <w:sz w:val="24"/>
          <w:szCs w:val="24"/>
          <w:highlight w:val="none"/>
        </w:rPr>
        <w:t>20.5</w:t>
      </w:r>
      <w:r>
        <w:rPr>
          <w:rFonts w:hint="eastAsia" w:eastAsia="宋体"/>
          <w:bCs/>
          <w:color w:val="auto"/>
          <w:kern w:val="2"/>
          <w:sz w:val="24"/>
          <w:szCs w:val="24"/>
          <w:highlight w:val="none"/>
        </w:rPr>
        <w:t>.</w:t>
      </w:r>
      <w:r>
        <w:rPr>
          <w:rFonts w:eastAsia="宋体"/>
          <w:bCs/>
          <w:color w:val="auto"/>
          <w:kern w:val="2"/>
          <w:sz w:val="24"/>
          <w:szCs w:val="24"/>
          <w:highlight w:val="none"/>
        </w:rPr>
        <w:t xml:space="preserve"> 对各项保险的一般要求</w:t>
      </w:r>
    </w:p>
    <w:p>
      <w:pPr>
        <w:pStyle w:val="52"/>
        <w:ind w:firstLine="480"/>
        <w:jc w:val="both"/>
        <w:rPr>
          <w:rFonts w:eastAsia="宋体"/>
          <w:color w:val="auto"/>
          <w:sz w:val="24"/>
          <w:szCs w:val="24"/>
          <w:highlight w:val="none"/>
        </w:rPr>
      </w:pPr>
      <w:r>
        <w:rPr>
          <w:rFonts w:eastAsia="宋体"/>
          <w:color w:val="auto"/>
          <w:sz w:val="24"/>
          <w:szCs w:val="24"/>
          <w:highlight w:val="none"/>
        </w:rPr>
        <w:t>20.5.7.</w:t>
      </w:r>
      <w:r>
        <w:rPr>
          <w:rFonts w:hint="eastAsia" w:eastAsia="宋体"/>
          <w:color w:val="auto"/>
          <w:sz w:val="24"/>
          <w:szCs w:val="24"/>
          <w:highlight w:val="none"/>
        </w:rPr>
        <w:t xml:space="preserve"> </w:t>
      </w:r>
      <w:r>
        <w:rPr>
          <w:rFonts w:eastAsia="宋体"/>
          <w:color w:val="auto"/>
          <w:sz w:val="24"/>
          <w:szCs w:val="24"/>
          <w:highlight w:val="none"/>
        </w:rPr>
        <w:t>承包人不得在其投保合同条款中加入“其保险人有权或可以向发包人的保险人提出索赔”的条款。</w:t>
      </w:r>
    </w:p>
    <w:p>
      <w:pPr>
        <w:pStyle w:val="52"/>
        <w:ind w:firstLine="480"/>
        <w:jc w:val="both"/>
        <w:rPr>
          <w:rFonts w:eastAsia="宋体"/>
          <w:color w:val="auto"/>
          <w:sz w:val="24"/>
          <w:szCs w:val="24"/>
          <w:highlight w:val="none"/>
        </w:rPr>
      </w:pPr>
      <w:r>
        <w:rPr>
          <w:rFonts w:eastAsia="宋体"/>
          <w:color w:val="auto"/>
          <w:sz w:val="24"/>
          <w:szCs w:val="24"/>
          <w:highlight w:val="none"/>
        </w:rPr>
        <w:t>20.5.8.</w:t>
      </w:r>
      <w:r>
        <w:rPr>
          <w:rFonts w:hint="eastAsia" w:eastAsia="宋体"/>
          <w:color w:val="auto"/>
          <w:sz w:val="24"/>
          <w:szCs w:val="24"/>
          <w:highlight w:val="none"/>
        </w:rPr>
        <w:t xml:space="preserve"> </w:t>
      </w:r>
      <w:r>
        <w:rPr>
          <w:rFonts w:eastAsia="宋体"/>
          <w:color w:val="auto"/>
          <w:sz w:val="24"/>
          <w:szCs w:val="24"/>
          <w:highlight w:val="none"/>
        </w:rPr>
        <w:t>承包人应在工程开工前向发包人提供根据合同要求的保险投保证明，并在承包人所需保险的工作开始前提前7天以上向发包人提交有效的保险单，保险单应与合同的条款一致，承包人投保的保险公司应经发包人批准。</w:t>
      </w:r>
    </w:p>
    <w:p>
      <w:pPr>
        <w:pStyle w:val="52"/>
        <w:ind w:firstLine="480"/>
        <w:jc w:val="both"/>
        <w:rPr>
          <w:rFonts w:eastAsia="宋体"/>
          <w:color w:val="auto"/>
          <w:sz w:val="24"/>
          <w:szCs w:val="24"/>
          <w:highlight w:val="none"/>
        </w:rPr>
      </w:pPr>
      <w:r>
        <w:rPr>
          <w:rFonts w:eastAsia="宋体"/>
          <w:color w:val="auto"/>
          <w:sz w:val="24"/>
          <w:szCs w:val="24"/>
          <w:highlight w:val="none"/>
        </w:rPr>
        <w:t>20.5.9.</w:t>
      </w:r>
      <w:r>
        <w:rPr>
          <w:rFonts w:hint="eastAsia" w:eastAsia="宋体"/>
          <w:color w:val="auto"/>
          <w:sz w:val="24"/>
          <w:szCs w:val="24"/>
          <w:highlight w:val="none"/>
        </w:rPr>
        <w:t xml:space="preserve"> </w:t>
      </w:r>
      <w:r>
        <w:rPr>
          <w:rFonts w:eastAsia="宋体"/>
          <w:color w:val="auto"/>
          <w:sz w:val="24"/>
          <w:szCs w:val="24"/>
          <w:highlight w:val="none"/>
        </w:rPr>
        <w:t>承包人应在施工进度、范围、性质发生变化时通知其保险人，以确保根据合同条款在所有时间内有完备的保险，由此所发生的费用，由承包人自行承担。</w:t>
      </w:r>
    </w:p>
    <w:p>
      <w:pPr>
        <w:pStyle w:val="52"/>
        <w:ind w:firstLine="480"/>
        <w:jc w:val="both"/>
        <w:rPr>
          <w:rFonts w:eastAsia="宋体"/>
          <w:color w:val="auto"/>
          <w:sz w:val="24"/>
          <w:szCs w:val="24"/>
          <w:highlight w:val="none"/>
        </w:rPr>
      </w:pPr>
      <w:r>
        <w:rPr>
          <w:rFonts w:eastAsia="宋体"/>
          <w:color w:val="auto"/>
          <w:sz w:val="24"/>
          <w:szCs w:val="24"/>
          <w:highlight w:val="none"/>
        </w:rPr>
        <w:t>20.5.10.</w:t>
      </w:r>
      <w:r>
        <w:rPr>
          <w:rFonts w:hint="eastAsia" w:eastAsia="宋体"/>
          <w:color w:val="auto"/>
          <w:sz w:val="24"/>
          <w:szCs w:val="24"/>
          <w:highlight w:val="none"/>
        </w:rPr>
        <w:t xml:space="preserve"> </w:t>
      </w:r>
      <w:r>
        <w:rPr>
          <w:rFonts w:eastAsia="宋体"/>
          <w:color w:val="auto"/>
          <w:sz w:val="24"/>
          <w:szCs w:val="24"/>
          <w:highlight w:val="none"/>
        </w:rPr>
        <w:t>如果承包人未使或未保证任何合同规定的保险生效，或未按规定的时间向发包人提供保险单，发包人在任何这种情况发生时，有权使任何这些保险生效并支付保险金，并随时从支付给或应支付给承包人的款项中扣回，或视同到期债务从承包人扣回。</w:t>
      </w:r>
    </w:p>
    <w:p>
      <w:pPr>
        <w:pStyle w:val="52"/>
        <w:ind w:firstLine="480"/>
        <w:jc w:val="both"/>
        <w:rPr>
          <w:rFonts w:eastAsia="宋体"/>
          <w:color w:val="auto"/>
          <w:sz w:val="24"/>
          <w:szCs w:val="24"/>
          <w:highlight w:val="none"/>
        </w:rPr>
      </w:pPr>
      <w:r>
        <w:rPr>
          <w:rFonts w:eastAsia="宋体"/>
          <w:color w:val="auto"/>
          <w:sz w:val="24"/>
          <w:szCs w:val="24"/>
          <w:highlight w:val="none"/>
        </w:rPr>
        <w:t>20.5.11.</w:t>
      </w:r>
      <w:r>
        <w:rPr>
          <w:rFonts w:hint="eastAsia" w:eastAsia="宋体"/>
          <w:color w:val="auto"/>
          <w:sz w:val="24"/>
          <w:szCs w:val="24"/>
          <w:highlight w:val="none"/>
        </w:rPr>
        <w:t xml:space="preserve"> </w:t>
      </w:r>
      <w:r>
        <w:rPr>
          <w:rFonts w:eastAsia="宋体"/>
          <w:color w:val="auto"/>
          <w:sz w:val="24"/>
          <w:szCs w:val="24"/>
          <w:highlight w:val="none"/>
        </w:rPr>
        <w:t>承包人或发包人未能遵循根据合同生效的保险单条款给对方造成损失的，责任一方应赔偿另一方由此而造成的全部损失。但承包人投保的保险合同投保前未经发包人确认，或使发包人承担责任或费用的除外。</w:t>
      </w:r>
    </w:p>
    <w:p>
      <w:pPr>
        <w:pStyle w:val="52"/>
        <w:ind w:firstLine="480"/>
        <w:jc w:val="both"/>
        <w:rPr>
          <w:rFonts w:eastAsia="宋体"/>
          <w:color w:val="auto"/>
          <w:sz w:val="24"/>
          <w:szCs w:val="24"/>
          <w:highlight w:val="none"/>
        </w:rPr>
      </w:pPr>
      <w:r>
        <w:rPr>
          <w:rFonts w:eastAsia="宋体"/>
          <w:color w:val="auto"/>
          <w:sz w:val="24"/>
          <w:szCs w:val="24"/>
          <w:highlight w:val="none"/>
        </w:rPr>
        <w:t>20.5.12</w:t>
      </w:r>
      <w:r>
        <w:rPr>
          <w:rFonts w:hint="eastAsia" w:eastAsia="宋体"/>
          <w:color w:val="auto"/>
          <w:sz w:val="24"/>
          <w:szCs w:val="24"/>
          <w:highlight w:val="none"/>
        </w:rPr>
        <w:t xml:space="preserve">. </w:t>
      </w:r>
      <w:r>
        <w:rPr>
          <w:rFonts w:eastAsia="宋体"/>
          <w:color w:val="auto"/>
          <w:sz w:val="24"/>
          <w:szCs w:val="24"/>
          <w:highlight w:val="none"/>
        </w:rPr>
        <w:t>若承包人未能按规定购买和维持该等保险，发包人可代为投保，保险费在支付的工程款中抵扣。</w:t>
      </w:r>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328" w:name="_Toc44492621"/>
      <w:bookmarkStart w:id="1329" w:name="_Toc30774"/>
      <w:bookmarkStart w:id="1330" w:name="_Toc17186"/>
      <w:bookmarkStart w:id="1331" w:name="_Toc30481"/>
      <w:bookmarkStart w:id="1332" w:name="_Toc19149"/>
      <w:bookmarkStart w:id="1333" w:name="_Toc32518"/>
      <w:bookmarkStart w:id="1334" w:name="_Toc10582"/>
      <w:bookmarkStart w:id="1335" w:name="_Toc44228173"/>
      <w:bookmarkStart w:id="1336" w:name="_Toc38987290"/>
      <w:r>
        <w:rPr>
          <w:rFonts w:eastAsia="宋体"/>
          <w:color w:val="auto"/>
          <w:sz w:val="24"/>
          <w:szCs w:val="24"/>
          <w:highlight w:val="none"/>
        </w:rPr>
        <w:t>不可抗力</w:t>
      </w:r>
      <w:bookmarkEnd w:id="1328"/>
      <w:bookmarkEnd w:id="1329"/>
      <w:bookmarkEnd w:id="1330"/>
      <w:bookmarkEnd w:id="1331"/>
      <w:bookmarkEnd w:id="1332"/>
      <w:bookmarkEnd w:id="1333"/>
      <w:bookmarkEnd w:id="1334"/>
      <w:bookmarkEnd w:id="1335"/>
      <w:bookmarkEnd w:id="1336"/>
    </w:p>
    <w:p>
      <w:pPr>
        <w:pStyle w:val="52"/>
        <w:ind w:firstLine="480"/>
        <w:jc w:val="both"/>
        <w:rPr>
          <w:rFonts w:eastAsia="宋体"/>
          <w:color w:val="auto"/>
          <w:sz w:val="24"/>
          <w:szCs w:val="24"/>
          <w:highlight w:val="none"/>
        </w:rPr>
      </w:pPr>
      <w:r>
        <w:rPr>
          <w:rFonts w:eastAsia="宋体"/>
          <w:color w:val="auto"/>
          <w:sz w:val="24"/>
          <w:szCs w:val="24"/>
          <w:highlight w:val="none"/>
        </w:rPr>
        <w:t>21.3.2.</w:t>
      </w:r>
      <w:r>
        <w:rPr>
          <w:rFonts w:hint="eastAsia" w:eastAsia="宋体"/>
          <w:color w:val="auto"/>
          <w:sz w:val="24"/>
          <w:szCs w:val="24"/>
          <w:highlight w:val="none"/>
        </w:rPr>
        <w:t xml:space="preserve"> </w:t>
      </w:r>
      <w:r>
        <w:rPr>
          <w:rFonts w:eastAsia="宋体"/>
          <w:color w:val="auto"/>
          <w:sz w:val="24"/>
          <w:szCs w:val="24"/>
          <w:highlight w:val="none"/>
        </w:rPr>
        <w:t>不可抗力后果及其处理的其他约定：</w:t>
      </w:r>
      <w:r>
        <w:rPr>
          <w:rFonts w:eastAsia="宋体"/>
          <w:color w:val="auto"/>
          <w:sz w:val="24"/>
          <w:szCs w:val="24"/>
          <w:highlight w:val="none"/>
          <w:u w:val="single"/>
        </w:rPr>
        <w:t xml:space="preserve">  无  </w:t>
      </w:r>
      <w:r>
        <w:rPr>
          <w:rFonts w:eastAsia="宋体"/>
          <w:color w:val="auto"/>
          <w:sz w:val="24"/>
          <w:szCs w:val="24"/>
          <w:highlight w:val="none"/>
        </w:rPr>
        <w:t>。</w:t>
      </w:r>
      <w:bookmarkStart w:id="1337" w:name="_Toc44228174"/>
      <w:bookmarkStart w:id="1338" w:name="_Toc20588"/>
      <w:bookmarkStart w:id="1339" w:name="_Toc44492622"/>
      <w:bookmarkStart w:id="1340" w:name="_Toc9988"/>
      <w:bookmarkStart w:id="1341" w:name="_Toc38987291"/>
    </w:p>
    <w:p>
      <w:pPr>
        <w:pStyle w:val="73"/>
        <w:numPr>
          <w:ilvl w:val="0"/>
          <w:numId w:val="45"/>
        </w:numPr>
        <w:spacing w:before="0" w:after="0"/>
        <w:ind w:firstLine="480" w:firstLineChars="200"/>
        <w:jc w:val="left"/>
        <w:outlineLvl w:val="0"/>
        <w:rPr>
          <w:rFonts w:eastAsia="宋体"/>
          <w:color w:val="auto"/>
          <w:sz w:val="24"/>
          <w:szCs w:val="24"/>
          <w:highlight w:val="none"/>
        </w:rPr>
      </w:pPr>
      <w:bookmarkStart w:id="1342" w:name="_Toc21471"/>
      <w:bookmarkStart w:id="1343" w:name="_Toc8129"/>
      <w:bookmarkStart w:id="1344" w:name="_Toc18953"/>
      <w:bookmarkStart w:id="1345" w:name="_Toc31501"/>
      <w:r>
        <w:rPr>
          <w:rFonts w:eastAsia="宋体"/>
          <w:color w:val="auto"/>
          <w:sz w:val="24"/>
          <w:szCs w:val="24"/>
          <w:highlight w:val="none"/>
        </w:rPr>
        <w:t>违约</w:t>
      </w:r>
      <w:bookmarkEnd w:id="1337"/>
      <w:bookmarkEnd w:id="1338"/>
      <w:bookmarkEnd w:id="1339"/>
      <w:bookmarkEnd w:id="1340"/>
      <w:bookmarkEnd w:id="1341"/>
      <w:bookmarkEnd w:id="1342"/>
      <w:bookmarkEnd w:id="1343"/>
      <w:bookmarkEnd w:id="1344"/>
      <w:bookmarkEnd w:id="1345"/>
      <w:bookmarkStart w:id="1346" w:name="_Toc20484"/>
      <w:bookmarkStart w:id="1347" w:name="_Toc44492623"/>
      <w:bookmarkStart w:id="1348" w:name="_Toc13732"/>
    </w:p>
    <w:p>
      <w:pPr>
        <w:pStyle w:val="52"/>
        <w:ind w:firstLine="482"/>
        <w:jc w:val="both"/>
        <w:rPr>
          <w:rFonts w:eastAsia="宋体"/>
          <w:b/>
          <w:bCs/>
          <w:color w:val="auto"/>
          <w:sz w:val="24"/>
          <w:szCs w:val="24"/>
          <w:highlight w:val="none"/>
        </w:rPr>
      </w:pPr>
      <w:r>
        <w:rPr>
          <w:rFonts w:eastAsia="宋体"/>
          <w:b/>
          <w:bCs/>
          <w:color w:val="auto"/>
          <w:sz w:val="24"/>
          <w:szCs w:val="24"/>
          <w:highlight w:val="none"/>
        </w:rPr>
        <w:t>22.1</w:t>
      </w:r>
      <w:r>
        <w:rPr>
          <w:rFonts w:hint="eastAsia" w:eastAsia="宋体"/>
          <w:b/>
          <w:bCs/>
          <w:color w:val="auto"/>
          <w:sz w:val="24"/>
          <w:szCs w:val="24"/>
          <w:highlight w:val="none"/>
        </w:rPr>
        <w:t>.</w:t>
      </w:r>
      <w:r>
        <w:rPr>
          <w:rFonts w:eastAsia="宋体"/>
          <w:b/>
          <w:bCs/>
          <w:color w:val="auto"/>
          <w:sz w:val="24"/>
          <w:szCs w:val="24"/>
          <w:highlight w:val="none"/>
        </w:rPr>
        <w:t xml:space="preserve"> 承包人违约</w:t>
      </w:r>
      <w:bookmarkEnd w:id="1346"/>
      <w:bookmarkEnd w:id="1347"/>
      <w:bookmarkEnd w:id="1348"/>
      <w:bookmarkStart w:id="1349" w:name="_Toc44492624"/>
    </w:p>
    <w:bookmarkEnd w:id="1349"/>
    <w:p>
      <w:pPr>
        <w:pStyle w:val="77"/>
        <w:spacing w:before="0" w:after="0"/>
        <w:ind w:firstLine="480"/>
        <w:rPr>
          <w:rFonts w:eastAsia="宋体"/>
          <w:bCs w:val="0"/>
          <w:color w:val="auto"/>
          <w:kern w:val="0"/>
          <w:szCs w:val="24"/>
          <w:highlight w:val="none"/>
        </w:rPr>
      </w:pPr>
      <w:r>
        <w:rPr>
          <w:rFonts w:eastAsia="宋体"/>
          <w:bCs w:val="0"/>
          <w:color w:val="auto"/>
          <w:kern w:val="0"/>
          <w:szCs w:val="24"/>
          <w:highlight w:val="none"/>
        </w:rPr>
        <w:t>22.1.1</w:t>
      </w:r>
      <w:r>
        <w:rPr>
          <w:rFonts w:hint="eastAsia" w:eastAsia="宋体"/>
          <w:bCs w:val="0"/>
          <w:color w:val="auto"/>
          <w:kern w:val="0"/>
          <w:szCs w:val="24"/>
          <w:highlight w:val="none"/>
        </w:rPr>
        <w:t>.</w:t>
      </w:r>
      <w:r>
        <w:rPr>
          <w:rFonts w:eastAsia="宋体"/>
          <w:bCs w:val="0"/>
          <w:color w:val="auto"/>
          <w:kern w:val="0"/>
          <w:szCs w:val="24"/>
          <w:highlight w:val="none"/>
        </w:rPr>
        <w:t xml:space="preserve"> 通用条款</w:t>
      </w:r>
      <w:r>
        <w:rPr>
          <w:rFonts w:hint="eastAsia" w:eastAsia="宋体"/>
          <w:bCs w:val="0"/>
          <w:color w:val="auto"/>
          <w:kern w:val="0"/>
          <w:szCs w:val="24"/>
          <w:highlight w:val="none"/>
        </w:rPr>
        <w:t>第</w:t>
      </w:r>
      <w:r>
        <w:rPr>
          <w:rFonts w:eastAsia="宋体"/>
          <w:bCs w:val="0"/>
          <w:color w:val="auto"/>
          <w:kern w:val="0"/>
          <w:szCs w:val="24"/>
          <w:highlight w:val="none"/>
        </w:rPr>
        <w:t>22.1.1</w:t>
      </w:r>
      <w:r>
        <w:rPr>
          <w:rFonts w:hint="eastAsia" w:eastAsia="宋体"/>
          <w:bCs w:val="0"/>
          <w:color w:val="auto"/>
          <w:kern w:val="0"/>
          <w:szCs w:val="24"/>
          <w:highlight w:val="none"/>
        </w:rPr>
        <w:t>款</w:t>
      </w:r>
      <w:r>
        <w:rPr>
          <w:rFonts w:eastAsia="宋体"/>
          <w:bCs w:val="0"/>
          <w:color w:val="auto"/>
          <w:kern w:val="0"/>
          <w:szCs w:val="24"/>
          <w:highlight w:val="none"/>
        </w:rPr>
        <w:t>修订为：承包人有任何违反本合同责任和义务的行为均构成违约，包括但不限于在履行合同过程中发生的下列情况：</w:t>
      </w:r>
    </w:p>
    <w:p>
      <w:pPr>
        <w:pStyle w:val="52"/>
        <w:ind w:firstLine="480"/>
        <w:jc w:val="both"/>
        <w:rPr>
          <w:rFonts w:eastAsia="宋体"/>
          <w:color w:val="auto"/>
          <w:sz w:val="24"/>
          <w:szCs w:val="24"/>
          <w:highlight w:val="none"/>
        </w:rPr>
      </w:pPr>
      <w:r>
        <w:rPr>
          <w:rFonts w:eastAsia="宋体"/>
          <w:color w:val="auto"/>
          <w:sz w:val="24"/>
          <w:szCs w:val="24"/>
          <w:highlight w:val="none"/>
        </w:rPr>
        <w:t>1)</w:t>
      </w:r>
      <w:r>
        <w:rPr>
          <w:rFonts w:eastAsia="宋体"/>
          <w:color w:val="auto"/>
          <w:sz w:val="24"/>
          <w:szCs w:val="24"/>
          <w:highlight w:val="none"/>
        </w:rPr>
        <w:tab/>
      </w:r>
      <w:r>
        <w:rPr>
          <w:rFonts w:eastAsia="宋体"/>
          <w:color w:val="auto"/>
          <w:sz w:val="24"/>
          <w:szCs w:val="24"/>
          <w:highlight w:val="none"/>
        </w:rPr>
        <w:t>承包人私自将合同的全部或部分权利转让给其他人，或私自将合同的全部或部分义务转移给其他人；</w:t>
      </w:r>
    </w:p>
    <w:p>
      <w:pPr>
        <w:pStyle w:val="52"/>
        <w:ind w:firstLine="480"/>
        <w:jc w:val="both"/>
        <w:rPr>
          <w:rFonts w:eastAsia="宋体"/>
          <w:color w:val="auto"/>
          <w:sz w:val="24"/>
          <w:szCs w:val="24"/>
          <w:highlight w:val="none"/>
        </w:rPr>
      </w:pPr>
      <w:r>
        <w:rPr>
          <w:rFonts w:eastAsia="宋体"/>
          <w:color w:val="auto"/>
          <w:sz w:val="24"/>
          <w:szCs w:val="24"/>
          <w:highlight w:val="none"/>
        </w:rPr>
        <w:t>2)</w:t>
      </w:r>
      <w:r>
        <w:rPr>
          <w:rFonts w:eastAsia="宋体"/>
          <w:color w:val="auto"/>
          <w:sz w:val="24"/>
          <w:szCs w:val="24"/>
          <w:highlight w:val="none"/>
        </w:rPr>
        <w:tab/>
      </w:r>
      <w:r>
        <w:rPr>
          <w:rFonts w:eastAsia="宋体"/>
          <w:color w:val="auto"/>
          <w:sz w:val="24"/>
          <w:szCs w:val="24"/>
          <w:highlight w:val="none"/>
        </w:rPr>
        <w:t>承包人未经</w:t>
      </w:r>
      <w:r>
        <w:rPr>
          <w:rFonts w:hint="eastAsia" w:eastAsia="宋体"/>
          <w:color w:val="auto"/>
          <w:sz w:val="24"/>
          <w:szCs w:val="24"/>
          <w:highlight w:val="none"/>
          <w:lang w:eastAsia="zh-CN"/>
        </w:rPr>
        <w:t>发包人</w:t>
      </w:r>
      <w:r>
        <w:rPr>
          <w:rFonts w:eastAsia="宋体"/>
          <w:color w:val="auto"/>
          <w:sz w:val="24"/>
          <w:szCs w:val="24"/>
          <w:highlight w:val="none"/>
        </w:rPr>
        <w:t>批准，私自将已按合同约定进入施工场地的施工设备、临时设施或材料撤离施工场地；</w:t>
      </w:r>
    </w:p>
    <w:p>
      <w:pPr>
        <w:pStyle w:val="52"/>
        <w:ind w:firstLine="480"/>
        <w:jc w:val="both"/>
        <w:rPr>
          <w:rFonts w:eastAsia="宋体"/>
          <w:color w:val="auto"/>
          <w:sz w:val="24"/>
          <w:szCs w:val="24"/>
          <w:highlight w:val="none"/>
        </w:rPr>
      </w:pPr>
      <w:r>
        <w:rPr>
          <w:rFonts w:eastAsia="宋体"/>
          <w:color w:val="auto"/>
          <w:sz w:val="24"/>
          <w:szCs w:val="24"/>
          <w:highlight w:val="none"/>
        </w:rPr>
        <w:t>3)</w:t>
      </w:r>
      <w:r>
        <w:rPr>
          <w:rFonts w:eastAsia="宋体"/>
          <w:color w:val="auto"/>
          <w:sz w:val="24"/>
          <w:szCs w:val="24"/>
          <w:highlight w:val="none"/>
        </w:rPr>
        <w:tab/>
      </w:r>
      <w:r>
        <w:rPr>
          <w:rFonts w:eastAsia="宋体"/>
          <w:color w:val="auto"/>
          <w:sz w:val="24"/>
          <w:szCs w:val="24"/>
          <w:highlight w:val="none"/>
        </w:rPr>
        <w:t>承包人使用了不合格材料或工程设备，工程质量达不到标准要求，又拒绝清除不合格工程；</w:t>
      </w:r>
    </w:p>
    <w:p>
      <w:pPr>
        <w:pStyle w:val="52"/>
        <w:ind w:firstLine="480"/>
        <w:jc w:val="both"/>
        <w:rPr>
          <w:rFonts w:eastAsia="宋体"/>
          <w:color w:val="auto"/>
          <w:sz w:val="24"/>
          <w:szCs w:val="24"/>
          <w:highlight w:val="none"/>
        </w:rPr>
      </w:pPr>
      <w:r>
        <w:rPr>
          <w:rFonts w:eastAsia="宋体"/>
          <w:color w:val="auto"/>
          <w:sz w:val="24"/>
          <w:szCs w:val="24"/>
          <w:highlight w:val="none"/>
        </w:rPr>
        <w:t>4)</w:t>
      </w:r>
      <w:r>
        <w:rPr>
          <w:rFonts w:eastAsia="宋体"/>
          <w:color w:val="auto"/>
          <w:sz w:val="24"/>
          <w:szCs w:val="24"/>
          <w:highlight w:val="none"/>
        </w:rPr>
        <w:tab/>
      </w:r>
      <w:r>
        <w:rPr>
          <w:rFonts w:eastAsia="宋体"/>
          <w:color w:val="auto"/>
          <w:sz w:val="24"/>
          <w:szCs w:val="24"/>
          <w:highlight w:val="none"/>
        </w:rPr>
        <w:t>承包人未能按合同进度计划及时完成合同约定的工作，已造成或预期造成工期延误；</w:t>
      </w:r>
    </w:p>
    <w:p>
      <w:pPr>
        <w:pStyle w:val="52"/>
        <w:ind w:firstLine="480"/>
        <w:jc w:val="both"/>
        <w:rPr>
          <w:rFonts w:eastAsia="宋体"/>
          <w:color w:val="auto"/>
          <w:sz w:val="24"/>
          <w:szCs w:val="24"/>
          <w:highlight w:val="none"/>
        </w:rPr>
      </w:pPr>
      <w:r>
        <w:rPr>
          <w:rFonts w:eastAsia="宋体"/>
          <w:color w:val="auto"/>
          <w:sz w:val="24"/>
          <w:szCs w:val="24"/>
          <w:highlight w:val="none"/>
        </w:rPr>
        <w:t>5)</w:t>
      </w:r>
      <w:r>
        <w:rPr>
          <w:rFonts w:eastAsia="宋体"/>
          <w:color w:val="auto"/>
          <w:sz w:val="24"/>
          <w:szCs w:val="24"/>
          <w:highlight w:val="none"/>
        </w:rPr>
        <w:tab/>
      </w:r>
      <w:r>
        <w:rPr>
          <w:rFonts w:eastAsia="宋体"/>
          <w:color w:val="auto"/>
          <w:sz w:val="24"/>
          <w:szCs w:val="24"/>
          <w:highlight w:val="none"/>
        </w:rPr>
        <w:t>承包人无法继续履行或明确表示不履行或实质上已停止履行合同；</w:t>
      </w:r>
    </w:p>
    <w:p>
      <w:pPr>
        <w:pStyle w:val="52"/>
        <w:ind w:firstLine="480"/>
        <w:jc w:val="both"/>
        <w:rPr>
          <w:rFonts w:eastAsia="宋体"/>
          <w:color w:val="auto"/>
          <w:sz w:val="24"/>
          <w:szCs w:val="24"/>
          <w:highlight w:val="none"/>
        </w:rPr>
      </w:pPr>
      <w:r>
        <w:rPr>
          <w:rFonts w:eastAsia="宋体"/>
          <w:color w:val="auto"/>
          <w:sz w:val="24"/>
          <w:szCs w:val="24"/>
          <w:highlight w:val="none"/>
        </w:rPr>
        <w:t>6)</w:t>
      </w:r>
      <w:r>
        <w:rPr>
          <w:rFonts w:eastAsia="宋体"/>
          <w:color w:val="auto"/>
          <w:sz w:val="24"/>
          <w:szCs w:val="24"/>
          <w:highlight w:val="none"/>
        </w:rPr>
        <w:tab/>
      </w:r>
      <w:r>
        <w:rPr>
          <w:rFonts w:eastAsia="宋体"/>
          <w:color w:val="auto"/>
          <w:sz w:val="24"/>
          <w:szCs w:val="24"/>
          <w:highlight w:val="none"/>
        </w:rPr>
        <w:t>承包人不按合同约定履行义务的其他情况。</w:t>
      </w:r>
    </w:p>
    <w:p>
      <w:pPr>
        <w:pStyle w:val="52"/>
        <w:ind w:firstLine="480"/>
        <w:jc w:val="both"/>
        <w:rPr>
          <w:rFonts w:eastAsia="宋体"/>
          <w:color w:val="auto"/>
          <w:sz w:val="24"/>
          <w:szCs w:val="24"/>
          <w:highlight w:val="none"/>
        </w:rPr>
      </w:pPr>
      <w:r>
        <w:rPr>
          <w:rFonts w:eastAsia="宋体"/>
          <w:color w:val="auto"/>
          <w:sz w:val="24"/>
          <w:szCs w:val="24"/>
          <w:highlight w:val="none"/>
        </w:rPr>
        <w:t>22.1.3.</w:t>
      </w:r>
      <w:r>
        <w:rPr>
          <w:rFonts w:eastAsia="宋体"/>
          <w:color w:val="auto"/>
          <w:sz w:val="24"/>
          <w:szCs w:val="24"/>
          <w:highlight w:val="none"/>
        </w:rPr>
        <w:tab/>
      </w:r>
      <w:r>
        <w:rPr>
          <w:rFonts w:eastAsia="宋体"/>
          <w:color w:val="auto"/>
          <w:sz w:val="24"/>
          <w:szCs w:val="24"/>
          <w:highlight w:val="none"/>
        </w:rPr>
        <w:t>通用条款</w:t>
      </w:r>
      <w:r>
        <w:rPr>
          <w:rFonts w:hint="eastAsia" w:eastAsia="宋体"/>
          <w:color w:val="auto"/>
          <w:sz w:val="24"/>
          <w:szCs w:val="24"/>
          <w:highlight w:val="none"/>
        </w:rPr>
        <w:t>第</w:t>
      </w:r>
      <w:r>
        <w:rPr>
          <w:rFonts w:eastAsia="宋体"/>
          <w:color w:val="auto"/>
          <w:sz w:val="24"/>
          <w:szCs w:val="24"/>
          <w:highlight w:val="none"/>
        </w:rPr>
        <w:t>22.1.3</w:t>
      </w:r>
      <w:r>
        <w:rPr>
          <w:rFonts w:hint="eastAsia" w:eastAsia="宋体"/>
          <w:color w:val="auto"/>
          <w:sz w:val="24"/>
          <w:szCs w:val="24"/>
          <w:highlight w:val="none"/>
        </w:rPr>
        <w:t>条</w:t>
      </w:r>
      <w:r>
        <w:rPr>
          <w:rFonts w:eastAsia="宋体"/>
          <w:color w:val="auto"/>
          <w:sz w:val="24"/>
          <w:szCs w:val="24"/>
          <w:highlight w:val="none"/>
        </w:rPr>
        <w:t>第1）</w:t>
      </w:r>
      <w:r>
        <w:rPr>
          <w:rFonts w:hint="eastAsia" w:eastAsia="宋体"/>
          <w:color w:val="auto"/>
          <w:sz w:val="24"/>
          <w:szCs w:val="24"/>
          <w:highlight w:val="none"/>
        </w:rPr>
        <w:t>至</w:t>
      </w:r>
      <w:r>
        <w:rPr>
          <w:rFonts w:eastAsia="宋体"/>
          <w:color w:val="auto"/>
          <w:sz w:val="24"/>
          <w:szCs w:val="24"/>
          <w:highlight w:val="none"/>
        </w:rPr>
        <w:t>3）</w:t>
      </w:r>
      <w:r>
        <w:rPr>
          <w:rFonts w:hint="eastAsia" w:eastAsia="宋体"/>
          <w:color w:val="auto"/>
          <w:sz w:val="24"/>
          <w:szCs w:val="24"/>
          <w:highlight w:val="none"/>
        </w:rPr>
        <w:t>款</w:t>
      </w:r>
      <w:r>
        <w:rPr>
          <w:rFonts w:eastAsia="宋体"/>
          <w:color w:val="auto"/>
          <w:sz w:val="24"/>
          <w:szCs w:val="24"/>
          <w:highlight w:val="none"/>
        </w:rPr>
        <w:t>不适用本合同，修订为：</w:t>
      </w:r>
    </w:p>
    <w:p>
      <w:pPr>
        <w:pStyle w:val="52"/>
        <w:ind w:firstLine="480"/>
        <w:jc w:val="both"/>
        <w:rPr>
          <w:rFonts w:eastAsia="宋体"/>
          <w:color w:val="auto"/>
          <w:sz w:val="24"/>
          <w:szCs w:val="24"/>
          <w:highlight w:val="none"/>
        </w:rPr>
      </w:pPr>
      <w:r>
        <w:rPr>
          <w:rFonts w:eastAsia="宋体"/>
          <w:color w:val="auto"/>
          <w:sz w:val="24"/>
          <w:szCs w:val="24"/>
          <w:highlight w:val="none"/>
        </w:rPr>
        <w:t>1)</w:t>
      </w:r>
      <w:r>
        <w:rPr>
          <w:rFonts w:eastAsia="宋体"/>
          <w:color w:val="auto"/>
          <w:sz w:val="24"/>
          <w:szCs w:val="24"/>
          <w:highlight w:val="none"/>
        </w:rPr>
        <w:tab/>
      </w:r>
      <w:r>
        <w:rPr>
          <w:rFonts w:eastAsia="宋体"/>
          <w:color w:val="auto"/>
          <w:sz w:val="24"/>
          <w:szCs w:val="24"/>
          <w:highlight w:val="none"/>
        </w:rPr>
        <w:t>承包人发生</w:t>
      </w:r>
      <w:r>
        <w:rPr>
          <w:rFonts w:hint="eastAsia" w:eastAsia="宋体"/>
          <w:color w:val="auto"/>
          <w:sz w:val="24"/>
          <w:szCs w:val="24"/>
          <w:highlight w:val="none"/>
        </w:rPr>
        <w:t>专用条款</w:t>
      </w:r>
      <w:r>
        <w:rPr>
          <w:rFonts w:eastAsia="宋体"/>
          <w:color w:val="auto"/>
          <w:sz w:val="24"/>
          <w:szCs w:val="24"/>
          <w:highlight w:val="none"/>
        </w:rPr>
        <w:t>第22.1.1</w:t>
      </w:r>
      <w:r>
        <w:rPr>
          <w:rFonts w:hint="eastAsia" w:eastAsia="宋体"/>
          <w:color w:val="auto"/>
          <w:sz w:val="24"/>
          <w:szCs w:val="24"/>
          <w:highlight w:val="none"/>
        </w:rPr>
        <w:t>条</w:t>
      </w:r>
      <w:r>
        <w:rPr>
          <w:rFonts w:eastAsia="宋体"/>
          <w:color w:val="auto"/>
          <w:sz w:val="24"/>
          <w:szCs w:val="24"/>
          <w:highlight w:val="none"/>
        </w:rPr>
        <w:t>第5）</w:t>
      </w:r>
      <w:r>
        <w:rPr>
          <w:rFonts w:hint="eastAsia" w:eastAsia="宋体"/>
          <w:color w:val="auto"/>
          <w:sz w:val="24"/>
          <w:szCs w:val="24"/>
          <w:highlight w:val="none"/>
        </w:rPr>
        <w:t>款</w:t>
      </w:r>
      <w:r>
        <w:rPr>
          <w:rFonts w:eastAsia="宋体"/>
          <w:color w:val="auto"/>
          <w:sz w:val="24"/>
          <w:szCs w:val="24"/>
          <w:highlight w:val="none"/>
        </w:rPr>
        <w:t>约定的违约情况时，发包人可通知承包人立即解除合同，并按有关法律处理。</w:t>
      </w:r>
    </w:p>
    <w:p>
      <w:pPr>
        <w:pStyle w:val="52"/>
        <w:ind w:firstLine="480"/>
        <w:jc w:val="both"/>
        <w:rPr>
          <w:rFonts w:eastAsia="宋体"/>
          <w:color w:val="auto"/>
          <w:sz w:val="24"/>
          <w:szCs w:val="24"/>
          <w:highlight w:val="none"/>
        </w:rPr>
      </w:pPr>
      <w:r>
        <w:rPr>
          <w:rFonts w:eastAsia="宋体"/>
          <w:color w:val="auto"/>
          <w:sz w:val="24"/>
          <w:szCs w:val="24"/>
          <w:highlight w:val="none"/>
        </w:rPr>
        <w:t>2)</w:t>
      </w:r>
      <w:r>
        <w:rPr>
          <w:rFonts w:eastAsia="宋体"/>
          <w:color w:val="auto"/>
          <w:sz w:val="24"/>
          <w:szCs w:val="24"/>
          <w:highlight w:val="none"/>
        </w:rPr>
        <w:tab/>
      </w:r>
      <w:r>
        <w:rPr>
          <w:rFonts w:eastAsia="宋体"/>
          <w:color w:val="auto"/>
          <w:sz w:val="24"/>
          <w:szCs w:val="24"/>
          <w:highlight w:val="none"/>
        </w:rPr>
        <w:t>承包人发生除第22.1.1</w:t>
      </w:r>
      <w:r>
        <w:rPr>
          <w:rFonts w:hint="eastAsia" w:eastAsia="宋体"/>
          <w:color w:val="auto"/>
          <w:sz w:val="24"/>
          <w:szCs w:val="24"/>
          <w:highlight w:val="none"/>
        </w:rPr>
        <w:t>条</w:t>
      </w:r>
      <w:r>
        <w:rPr>
          <w:rFonts w:eastAsia="宋体"/>
          <w:color w:val="auto"/>
          <w:sz w:val="24"/>
          <w:szCs w:val="24"/>
          <w:highlight w:val="none"/>
        </w:rPr>
        <w:t>第5）</w:t>
      </w:r>
      <w:r>
        <w:rPr>
          <w:rFonts w:hint="eastAsia" w:eastAsia="宋体"/>
          <w:color w:val="auto"/>
          <w:sz w:val="24"/>
          <w:szCs w:val="24"/>
          <w:highlight w:val="none"/>
        </w:rPr>
        <w:t>款</w:t>
      </w:r>
      <w:r>
        <w:rPr>
          <w:rFonts w:eastAsia="宋体"/>
          <w:color w:val="auto"/>
          <w:sz w:val="24"/>
          <w:szCs w:val="24"/>
          <w:highlight w:val="none"/>
        </w:rPr>
        <w:t>约定以外的其他违约情况时，除另有约定外，</w:t>
      </w:r>
      <w:r>
        <w:rPr>
          <w:rFonts w:hint="eastAsia" w:eastAsia="宋体"/>
          <w:color w:val="auto"/>
          <w:sz w:val="24"/>
          <w:szCs w:val="24"/>
          <w:highlight w:val="none"/>
          <w:lang w:eastAsia="zh-CN"/>
        </w:rPr>
        <w:t>发包人</w:t>
      </w:r>
      <w:r>
        <w:rPr>
          <w:rFonts w:eastAsia="宋体"/>
          <w:color w:val="auto"/>
          <w:sz w:val="24"/>
          <w:szCs w:val="24"/>
          <w:highlight w:val="none"/>
        </w:rPr>
        <w:t>可向承包人发出整改通知，要求其在指定的期限内改正。承包人应承担其违约所引起的费用增加和（或）工期延误。</w:t>
      </w:r>
    </w:p>
    <w:p>
      <w:pPr>
        <w:pStyle w:val="52"/>
        <w:ind w:firstLine="480"/>
        <w:jc w:val="both"/>
        <w:rPr>
          <w:rFonts w:eastAsia="宋体"/>
          <w:color w:val="auto"/>
          <w:sz w:val="24"/>
          <w:szCs w:val="24"/>
          <w:highlight w:val="none"/>
        </w:rPr>
      </w:pPr>
      <w:r>
        <w:rPr>
          <w:rFonts w:eastAsia="宋体"/>
          <w:color w:val="auto"/>
          <w:sz w:val="24"/>
          <w:szCs w:val="24"/>
          <w:highlight w:val="none"/>
        </w:rPr>
        <w:t>3)</w:t>
      </w:r>
      <w:r>
        <w:rPr>
          <w:rFonts w:eastAsia="宋体"/>
          <w:color w:val="auto"/>
          <w:sz w:val="24"/>
          <w:szCs w:val="24"/>
          <w:highlight w:val="none"/>
        </w:rPr>
        <w:tab/>
      </w:r>
      <w:r>
        <w:rPr>
          <w:rFonts w:hint="eastAsia" w:eastAsia="宋体"/>
          <w:color w:val="auto"/>
          <w:sz w:val="24"/>
          <w:szCs w:val="24"/>
          <w:highlight w:val="none"/>
          <w:lang w:eastAsia="zh-CN"/>
        </w:rPr>
        <w:t>发包人</w:t>
      </w:r>
      <w:r>
        <w:rPr>
          <w:rFonts w:eastAsia="宋体"/>
          <w:color w:val="auto"/>
          <w:sz w:val="24"/>
          <w:szCs w:val="24"/>
          <w:highlight w:val="none"/>
        </w:rPr>
        <w:t>要求承包人停工整改的,经检查证明承包人已采取了有效措施纠正违约行为，具备复工条件的，</w:t>
      </w:r>
      <w:r>
        <w:rPr>
          <w:rFonts w:hint="eastAsia" w:eastAsia="宋体"/>
          <w:color w:val="auto"/>
          <w:sz w:val="24"/>
          <w:szCs w:val="24"/>
          <w:highlight w:val="none"/>
          <w:lang w:eastAsia="zh-CN"/>
        </w:rPr>
        <w:t>发包人</w:t>
      </w:r>
      <w:r>
        <w:rPr>
          <w:rFonts w:eastAsia="宋体"/>
          <w:color w:val="auto"/>
          <w:sz w:val="24"/>
          <w:szCs w:val="24"/>
          <w:highlight w:val="none"/>
        </w:rPr>
        <w:t>签发复工通知复工。</w:t>
      </w:r>
    </w:p>
    <w:p>
      <w:pPr>
        <w:pStyle w:val="77"/>
        <w:spacing w:before="0" w:after="0"/>
        <w:ind w:firstLine="480"/>
        <w:rPr>
          <w:rFonts w:eastAsia="宋体"/>
          <w:color w:val="auto"/>
          <w:szCs w:val="24"/>
          <w:highlight w:val="none"/>
        </w:rPr>
      </w:pPr>
      <w:bookmarkStart w:id="1350" w:name="_Toc44492625"/>
      <w:r>
        <w:rPr>
          <w:rFonts w:eastAsia="宋体"/>
          <w:color w:val="auto"/>
          <w:szCs w:val="24"/>
          <w:highlight w:val="none"/>
        </w:rPr>
        <w:t>22.1.9</w:t>
      </w:r>
      <w:r>
        <w:rPr>
          <w:rFonts w:hint="eastAsia" w:eastAsia="宋体"/>
          <w:color w:val="auto"/>
          <w:szCs w:val="24"/>
          <w:highlight w:val="none"/>
        </w:rPr>
        <w:t xml:space="preserve">. </w:t>
      </w:r>
      <w:r>
        <w:rPr>
          <w:rFonts w:eastAsia="宋体"/>
          <w:color w:val="auto"/>
          <w:szCs w:val="24"/>
          <w:highlight w:val="none"/>
        </w:rPr>
        <w:t>承包人其他违约情况</w:t>
      </w:r>
      <w:bookmarkEnd w:id="1350"/>
    </w:p>
    <w:p>
      <w:pPr>
        <w:pStyle w:val="52"/>
        <w:ind w:firstLine="480"/>
        <w:jc w:val="both"/>
        <w:rPr>
          <w:rFonts w:eastAsia="宋体"/>
          <w:color w:val="auto"/>
          <w:sz w:val="24"/>
          <w:szCs w:val="24"/>
          <w:highlight w:val="none"/>
        </w:rPr>
      </w:pPr>
      <w:r>
        <w:rPr>
          <w:rFonts w:eastAsia="宋体"/>
          <w:color w:val="auto"/>
          <w:sz w:val="24"/>
          <w:szCs w:val="24"/>
          <w:highlight w:val="none"/>
        </w:rPr>
        <w:t>22.1.9.1.</w:t>
      </w:r>
      <w:r>
        <w:rPr>
          <w:rFonts w:hint="eastAsia" w:eastAsia="宋体"/>
          <w:color w:val="auto"/>
          <w:sz w:val="24"/>
          <w:szCs w:val="24"/>
          <w:highlight w:val="none"/>
        </w:rPr>
        <w:t xml:space="preserve"> </w:t>
      </w:r>
      <w:r>
        <w:rPr>
          <w:rFonts w:eastAsia="宋体"/>
          <w:color w:val="auto"/>
          <w:sz w:val="24"/>
          <w:szCs w:val="24"/>
          <w:highlight w:val="none"/>
        </w:rPr>
        <w:t>承包人人员管理方面：</w:t>
      </w:r>
    </w:p>
    <w:p>
      <w:pPr>
        <w:pStyle w:val="52"/>
        <w:ind w:firstLine="480"/>
        <w:jc w:val="both"/>
        <w:rPr>
          <w:rFonts w:eastAsia="宋体"/>
          <w:color w:val="auto"/>
          <w:sz w:val="24"/>
          <w:szCs w:val="24"/>
          <w:highlight w:val="none"/>
        </w:rPr>
      </w:pPr>
      <w:r>
        <w:rPr>
          <w:rFonts w:eastAsia="宋体"/>
          <w:color w:val="auto"/>
          <w:sz w:val="24"/>
          <w:szCs w:val="24"/>
          <w:highlight w:val="none"/>
        </w:rPr>
        <w:t>1）承包人的所有管理人员均应向发包人提供不少于一年</w:t>
      </w:r>
      <w:r>
        <w:rPr>
          <w:rFonts w:hint="eastAsia" w:eastAsia="宋体"/>
          <w:color w:val="auto"/>
          <w:sz w:val="24"/>
          <w:szCs w:val="24"/>
          <w:highlight w:val="none"/>
        </w:rPr>
        <w:t>（至少最近一年）</w:t>
      </w:r>
      <w:r>
        <w:rPr>
          <w:rFonts w:eastAsia="宋体"/>
          <w:color w:val="auto"/>
          <w:sz w:val="24"/>
          <w:szCs w:val="24"/>
          <w:highlight w:val="none"/>
        </w:rPr>
        <w:t>在承包人公司的社保证明，承包人未能提供社保证明须向发包人支付每人每天1000元违约金，直到提供社保证明为止或另派管理人员。</w:t>
      </w:r>
    </w:p>
    <w:p>
      <w:pPr>
        <w:pStyle w:val="52"/>
        <w:ind w:firstLine="480"/>
        <w:jc w:val="both"/>
        <w:rPr>
          <w:rFonts w:eastAsia="宋体"/>
          <w:color w:val="auto"/>
          <w:sz w:val="24"/>
          <w:szCs w:val="24"/>
          <w:highlight w:val="none"/>
        </w:rPr>
      </w:pPr>
      <w:r>
        <w:rPr>
          <w:rFonts w:eastAsia="宋体"/>
          <w:color w:val="auto"/>
          <w:sz w:val="24"/>
          <w:szCs w:val="24"/>
          <w:highlight w:val="none"/>
        </w:rPr>
        <w:t>2）承包人项目管理部主要人员须常驻现场：项目经理、</w:t>
      </w:r>
      <w:r>
        <w:rPr>
          <w:rFonts w:hint="eastAsia" w:eastAsia="宋体"/>
          <w:color w:val="auto"/>
          <w:sz w:val="24"/>
          <w:szCs w:val="24"/>
          <w:highlight w:val="none"/>
        </w:rPr>
        <w:t>执行</w:t>
      </w:r>
      <w:r>
        <w:rPr>
          <w:rFonts w:eastAsia="宋体"/>
          <w:color w:val="auto"/>
          <w:sz w:val="24"/>
          <w:szCs w:val="24"/>
          <w:highlight w:val="none"/>
        </w:rPr>
        <w:t>经理、</w:t>
      </w:r>
      <w:r>
        <w:rPr>
          <w:rFonts w:hint="eastAsia" w:eastAsia="宋体"/>
          <w:color w:val="auto"/>
          <w:sz w:val="24"/>
          <w:szCs w:val="24"/>
          <w:highlight w:val="none"/>
        </w:rPr>
        <w:t>生产经理</w:t>
      </w:r>
      <w:r>
        <w:rPr>
          <w:rFonts w:eastAsia="宋体"/>
          <w:color w:val="auto"/>
          <w:sz w:val="24"/>
          <w:szCs w:val="24"/>
          <w:highlight w:val="none"/>
        </w:rPr>
        <w:t>、专职安全员每月在现场工作时间不得少于26天、每天工作时间不得少于8小时；项目管理人员离开工地需经</w:t>
      </w:r>
      <w:r>
        <w:rPr>
          <w:rFonts w:hint="eastAsia" w:eastAsia="宋体"/>
          <w:color w:val="auto"/>
          <w:sz w:val="24"/>
          <w:szCs w:val="24"/>
          <w:highlight w:val="none"/>
          <w:lang w:eastAsia="zh-CN"/>
        </w:rPr>
        <w:t>发包人</w:t>
      </w:r>
      <w:r>
        <w:rPr>
          <w:rFonts w:eastAsia="宋体"/>
          <w:color w:val="auto"/>
          <w:sz w:val="24"/>
          <w:szCs w:val="24"/>
          <w:highlight w:val="none"/>
        </w:rPr>
        <w:t>同意；若无正当理由且未经</w:t>
      </w:r>
      <w:r>
        <w:rPr>
          <w:rFonts w:hint="eastAsia" w:eastAsia="宋体"/>
          <w:color w:val="auto"/>
          <w:sz w:val="24"/>
          <w:szCs w:val="24"/>
          <w:highlight w:val="none"/>
          <w:lang w:eastAsia="zh-CN"/>
        </w:rPr>
        <w:t>发包人</w:t>
      </w:r>
      <w:r>
        <w:rPr>
          <w:rFonts w:eastAsia="宋体"/>
          <w:color w:val="auto"/>
          <w:sz w:val="24"/>
          <w:szCs w:val="24"/>
          <w:highlight w:val="none"/>
        </w:rPr>
        <w:t>同意不在工地的或出勤不满足以上要求的，发包人有权视情况按每天每人人民币5000~8000元向承包人收取违约金，发包人有权将违约金在当期进度款中直接扣减；若承包人管理人员无故连续3天不在工地，又无发包人可以接受的理由，则发包人有权要求承包人将其更换。</w:t>
      </w:r>
    </w:p>
    <w:p>
      <w:pPr>
        <w:pStyle w:val="52"/>
        <w:ind w:firstLine="480"/>
        <w:jc w:val="both"/>
        <w:rPr>
          <w:rFonts w:eastAsia="宋体"/>
          <w:color w:val="auto"/>
          <w:sz w:val="24"/>
          <w:szCs w:val="24"/>
          <w:highlight w:val="none"/>
        </w:rPr>
      </w:pPr>
      <w:r>
        <w:rPr>
          <w:rFonts w:eastAsia="宋体"/>
          <w:color w:val="auto"/>
          <w:sz w:val="24"/>
          <w:szCs w:val="24"/>
          <w:highlight w:val="none"/>
        </w:rPr>
        <w:t>3）如承包人未按合同约定（当投标文件中人员配备高于招标文件要求时以投标文件人员配备为准，当投标文件中人员配备低于招标文件要求时以招标文件中人员配备要求为准）投入管理人员，且经发现后，未能在24小时内增补至合同约定人数的，承包人应按1万/人标准向发包人支付违约金，且承包人须在3天内补充完整，否则承包人应按5000元/人/天标准向发包人支付违约金。</w:t>
      </w:r>
    </w:p>
    <w:p>
      <w:pPr>
        <w:pStyle w:val="52"/>
        <w:ind w:firstLine="480"/>
        <w:jc w:val="both"/>
        <w:rPr>
          <w:rFonts w:eastAsia="宋体"/>
          <w:color w:val="auto"/>
          <w:sz w:val="24"/>
          <w:szCs w:val="24"/>
          <w:highlight w:val="none"/>
        </w:rPr>
      </w:pPr>
      <w:r>
        <w:rPr>
          <w:rFonts w:eastAsia="宋体"/>
          <w:color w:val="auto"/>
          <w:sz w:val="24"/>
          <w:szCs w:val="24"/>
          <w:highlight w:val="none"/>
        </w:rPr>
        <w:t>4）如出现承包人工程施工期间无管理人员在岗的，一经发现，承包人应按3万/次标准向发包人支付违约金。</w:t>
      </w:r>
    </w:p>
    <w:p>
      <w:pPr>
        <w:pStyle w:val="52"/>
        <w:ind w:firstLine="480"/>
        <w:jc w:val="both"/>
        <w:rPr>
          <w:rFonts w:eastAsia="宋体"/>
          <w:color w:val="auto"/>
          <w:sz w:val="24"/>
          <w:szCs w:val="24"/>
          <w:highlight w:val="none"/>
        </w:rPr>
      </w:pPr>
      <w:r>
        <w:rPr>
          <w:rFonts w:eastAsia="宋体"/>
          <w:color w:val="auto"/>
          <w:sz w:val="24"/>
          <w:szCs w:val="24"/>
          <w:highlight w:val="none"/>
        </w:rPr>
        <w:t>5）经</w:t>
      </w:r>
      <w:r>
        <w:rPr>
          <w:rFonts w:hint="eastAsia" w:eastAsia="宋体"/>
          <w:color w:val="auto"/>
          <w:sz w:val="24"/>
          <w:szCs w:val="24"/>
          <w:highlight w:val="none"/>
          <w:lang w:eastAsia="zh-CN"/>
        </w:rPr>
        <w:t>发包人</w:t>
      </w:r>
      <w:r>
        <w:rPr>
          <w:rFonts w:eastAsia="宋体"/>
          <w:color w:val="auto"/>
          <w:sz w:val="24"/>
          <w:szCs w:val="24"/>
          <w:highlight w:val="none"/>
        </w:rPr>
        <w:t>审核明确的项目管理人员，不得擅自变更。开工时或施工过程中若有擅自变更，则承包人应向发包人支付的违约金，具体约定金额为：</w:t>
      </w:r>
    </w:p>
    <w:tbl>
      <w:tblPr>
        <w:tblStyle w:val="37"/>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180"/>
        <w:gridCol w:w="1691"/>
        <w:gridCol w:w="1514"/>
        <w:gridCol w:w="1302"/>
        <w:gridCol w:w="1295"/>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Align w:val="center"/>
          </w:tcPr>
          <w:p>
            <w:pPr>
              <w:jc w:val="center"/>
              <w:rPr>
                <w:rFonts w:ascii="Times New Roman" w:hAnsi="Times New Roman"/>
                <w:color w:val="auto"/>
                <w:kern w:val="0"/>
                <w:szCs w:val="21"/>
                <w:highlight w:val="none"/>
              </w:rPr>
            </w:pPr>
            <w:r>
              <w:rPr>
                <w:rFonts w:ascii="Times New Roman" w:hAnsi="Times New Roman"/>
                <w:color w:val="auto"/>
                <w:kern w:val="0"/>
                <w:szCs w:val="21"/>
                <w:highlight w:val="none"/>
              </w:rPr>
              <w:t>岗位人员</w:t>
            </w:r>
          </w:p>
        </w:tc>
        <w:tc>
          <w:tcPr>
            <w:tcW w:w="1180" w:type="dxa"/>
            <w:vAlign w:val="center"/>
          </w:tcPr>
          <w:p>
            <w:pPr>
              <w:jc w:val="center"/>
              <w:rPr>
                <w:rFonts w:ascii="Times New Roman" w:hAnsi="Times New Roman"/>
                <w:color w:val="auto"/>
                <w:kern w:val="0"/>
                <w:szCs w:val="21"/>
                <w:highlight w:val="none"/>
              </w:rPr>
            </w:pPr>
            <w:r>
              <w:rPr>
                <w:rFonts w:ascii="Times New Roman" w:hAnsi="Times New Roman"/>
                <w:color w:val="auto"/>
                <w:kern w:val="0"/>
                <w:szCs w:val="21"/>
                <w:highlight w:val="none"/>
              </w:rPr>
              <w:t>项目经理</w:t>
            </w:r>
          </w:p>
        </w:tc>
        <w:tc>
          <w:tcPr>
            <w:tcW w:w="1691" w:type="dxa"/>
            <w:vAlign w:val="center"/>
          </w:tcPr>
          <w:p>
            <w:pPr>
              <w:jc w:val="center"/>
              <w:rPr>
                <w:rFonts w:ascii="Times New Roman" w:hAnsi="Times New Roman"/>
                <w:color w:val="auto"/>
                <w:kern w:val="0"/>
                <w:szCs w:val="21"/>
                <w:highlight w:val="none"/>
              </w:rPr>
            </w:pPr>
            <w:r>
              <w:rPr>
                <w:rFonts w:ascii="Times New Roman" w:hAnsi="Times New Roman"/>
                <w:color w:val="auto"/>
                <w:kern w:val="0"/>
                <w:szCs w:val="21"/>
                <w:highlight w:val="none"/>
              </w:rPr>
              <w:t>项目技术负责人</w:t>
            </w:r>
          </w:p>
        </w:tc>
        <w:tc>
          <w:tcPr>
            <w:tcW w:w="1514" w:type="dxa"/>
            <w:vAlign w:val="center"/>
          </w:tcPr>
          <w:p>
            <w:pPr>
              <w:jc w:val="center"/>
              <w:rPr>
                <w:rFonts w:ascii="Times New Roman" w:hAnsi="Times New Roman"/>
                <w:color w:val="auto"/>
                <w:kern w:val="0"/>
                <w:szCs w:val="21"/>
                <w:highlight w:val="none"/>
              </w:rPr>
            </w:pPr>
            <w:r>
              <w:rPr>
                <w:rFonts w:ascii="Times New Roman" w:hAnsi="Times New Roman"/>
                <w:color w:val="auto"/>
                <w:kern w:val="0"/>
                <w:szCs w:val="21"/>
                <w:highlight w:val="none"/>
              </w:rPr>
              <w:t>项目生产经理</w:t>
            </w:r>
          </w:p>
        </w:tc>
        <w:tc>
          <w:tcPr>
            <w:tcW w:w="1302" w:type="dxa"/>
            <w:vAlign w:val="center"/>
          </w:tcPr>
          <w:p>
            <w:pPr>
              <w:jc w:val="center"/>
              <w:rPr>
                <w:rFonts w:ascii="Times New Roman" w:hAnsi="Times New Roman"/>
                <w:color w:val="auto"/>
                <w:kern w:val="0"/>
                <w:szCs w:val="21"/>
                <w:highlight w:val="none"/>
              </w:rPr>
            </w:pPr>
            <w:r>
              <w:rPr>
                <w:rFonts w:ascii="Times New Roman" w:hAnsi="Times New Roman"/>
                <w:color w:val="auto"/>
                <w:kern w:val="0"/>
                <w:szCs w:val="21"/>
                <w:highlight w:val="none"/>
              </w:rPr>
              <w:t>主办施工员</w:t>
            </w:r>
          </w:p>
        </w:tc>
        <w:tc>
          <w:tcPr>
            <w:tcW w:w="1295" w:type="dxa"/>
            <w:vAlign w:val="center"/>
          </w:tcPr>
          <w:p>
            <w:pPr>
              <w:jc w:val="center"/>
              <w:rPr>
                <w:rFonts w:ascii="Times New Roman" w:hAnsi="Times New Roman"/>
                <w:color w:val="auto"/>
                <w:kern w:val="0"/>
                <w:szCs w:val="21"/>
                <w:highlight w:val="none"/>
              </w:rPr>
            </w:pPr>
            <w:r>
              <w:rPr>
                <w:rFonts w:ascii="Times New Roman" w:hAnsi="Times New Roman"/>
                <w:color w:val="auto"/>
                <w:kern w:val="0"/>
                <w:szCs w:val="21"/>
                <w:highlight w:val="none"/>
              </w:rPr>
              <w:t>主办预算员</w:t>
            </w:r>
          </w:p>
        </w:tc>
        <w:tc>
          <w:tcPr>
            <w:tcW w:w="1144" w:type="dxa"/>
            <w:vAlign w:val="center"/>
          </w:tcPr>
          <w:p>
            <w:pPr>
              <w:jc w:val="center"/>
              <w:rPr>
                <w:rFonts w:ascii="Times New Roman" w:hAnsi="Times New Roman"/>
                <w:color w:val="auto"/>
                <w:kern w:val="0"/>
                <w:szCs w:val="21"/>
                <w:highlight w:val="none"/>
              </w:rPr>
            </w:pPr>
            <w:r>
              <w:rPr>
                <w:rFonts w:ascii="Times New Roman" w:hAnsi="Times New Roman"/>
                <w:color w:val="auto"/>
                <w:kern w:val="0"/>
                <w:szCs w:val="21"/>
                <w:highlight w:val="none"/>
              </w:rPr>
              <w:t>安全主任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80" w:type="dxa"/>
            <w:vAlign w:val="center"/>
          </w:tcPr>
          <w:p>
            <w:pPr>
              <w:ind w:left="105" w:hanging="105" w:hangingChars="50"/>
              <w:jc w:val="center"/>
              <w:rPr>
                <w:rFonts w:ascii="Times New Roman" w:hAnsi="Times New Roman"/>
                <w:color w:val="auto"/>
                <w:kern w:val="0"/>
                <w:szCs w:val="21"/>
                <w:highlight w:val="none"/>
              </w:rPr>
            </w:pPr>
            <w:r>
              <w:rPr>
                <w:rFonts w:ascii="Times New Roman" w:hAnsi="Times New Roman"/>
                <w:color w:val="auto"/>
                <w:kern w:val="0"/>
                <w:szCs w:val="21"/>
                <w:highlight w:val="none"/>
              </w:rPr>
              <w:t>违约金额（元）</w:t>
            </w:r>
          </w:p>
        </w:tc>
        <w:tc>
          <w:tcPr>
            <w:tcW w:w="1180" w:type="dxa"/>
            <w:vAlign w:val="center"/>
          </w:tcPr>
          <w:p>
            <w:pPr>
              <w:ind w:firstLine="0" w:firstLineChars="0"/>
              <w:jc w:val="center"/>
              <w:rPr>
                <w:rFonts w:ascii="Times New Roman" w:hAnsi="Times New Roman"/>
                <w:color w:val="auto"/>
                <w:kern w:val="0"/>
                <w:szCs w:val="21"/>
                <w:highlight w:val="none"/>
              </w:rPr>
            </w:pPr>
            <w:r>
              <w:rPr>
                <w:rFonts w:ascii="Times New Roman" w:hAnsi="Times New Roman"/>
                <w:color w:val="auto"/>
                <w:kern w:val="0"/>
                <w:szCs w:val="21"/>
                <w:highlight w:val="none"/>
              </w:rPr>
              <w:t>30000</w:t>
            </w:r>
          </w:p>
        </w:tc>
        <w:tc>
          <w:tcPr>
            <w:tcW w:w="1691" w:type="dxa"/>
            <w:vAlign w:val="center"/>
          </w:tcPr>
          <w:p>
            <w:pPr>
              <w:ind w:firstLine="0" w:firstLineChars="0"/>
              <w:jc w:val="center"/>
              <w:rPr>
                <w:rFonts w:ascii="Times New Roman" w:hAnsi="Times New Roman"/>
                <w:color w:val="auto"/>
                <w:kern w:val="0"/>
                <w:szCs w:val="21"/>
                <w:highlight w:val="none"/>
              </w:rPr>
            </w:pPr>
            <w:r>
              <w:rPr>
                <w:rFonts w:ascii="Times New Roman" w:hAnsi="Times New Roman"/>
                <w:color w:val="auto"/>
                <w:kern w:val="0"/>
                <w:szCs w:val="21"/>
                <w:highlight w:val="none"/>
              </w:rPr>
              <w:t>30000</w:t>
            </w:r>
          </w:p>
        </w:tc>
        <w:tc>
          <w:tcPr>
            <w:tcW w:w="1514" w:type="dxa"/>
            <w:vAlign w:val="center"/>
          </w:tcPr>
          <w:p>
            <w:pPr>
              <w:ind w:firstLine="0" w:firstLineChars="0"/>
              <w:jc w:val="center"/>
              <w:rPr>
                <w:rFonts w:ascii="Times New Roman" w:hAnsi="Times New Roman"/>
                <w:color w:val="auto"/>
                <w:kern w:val="0"/>
                <w:szCs w:val="21"/>
                <w:highlight w:val="none"/>
              </w:rPr>
            </w:pPr>
            <w:r>
              <w:rPr>
                <w:rFonts w:ascii="Times New Roman" w:hAnsi="Times New Roman"/>
                <w:color w:val="auto"/>
                <w:kern w:val="0"/>
                <w:szCs w:val="21"/>
                <w:highlight w:val="none"/>
              </w:rPr>
              <w:t>30000</w:t>
            </w:r>
          </w:p>
        </w:tc>
        <w:tc>
          <w:tcPr>
            <w:tcW w:w="1302" w:type="dxa"/>
            <w:vAlign w:val="center"/>
          </w:tcPr>
          <w:p>
            <w:pPr>
              <w:ind w:firstLine="0" w:firstLineChars="0"/>
              <w:jc w:val="center"/>
              <w:rPr>
                <w:rFonts w:ascii="Times New Roman" w:hAnsi="Times New Roman"/>
                <w:color w:val="auto"/>
                <w:kern w:val="0"/>
                <w:szCs w:val="21"/>
                <w:highlight w:val="none"/>
              </w:rPr>
            </w:pPr>
            <w:r>
              <w:rPr>
                <w:rFonts w:ascii="Times New Roman" w:hAnsi="Times New Roman"/>
                <w:color w:val="auto"/>
                <w:kern w:val="0"/>
                <w:szCs w:val="21"/>
                <w:highlight w:val="none"/>
              </w:rPr>
              <w:t>10000</w:t>
            </w:r>
          </w:p>
        </w:tc>
        <w:tc>
          <w:tcPr>
            <w:tcW w:w="1295" w:type="dxa"/>
            <w:vAlign w:val="center"/>
          </w:tcPr>
          <w:p>
            <w:pPr>
              <w:ind w:firstLine="0" w:firstLineChars="0"/>
              <w:jc w:val="center"/>
              <w:rPr>
                <w:rFonts w:ascii="Times New Roman" w:hAnsi="Times New Roman"/>
                <w:color w:val="auto"/>
                <w:kern w:val="0"/>
                <w:szCs w:val="21"/>
                <w:highlight w:val="none"/>
              </w:rPr>
            </w:pPr>
            <w:r>
              <w:rPr>
                <w:rFonts w:ascii="Times New Roman" w:hAnsi="Times New Roman"/>
                <w:color w:val="auto"/>
                <w:kern w:val="0"/>
                <w:szCs w:val="21"/>
                <w:highlight w:val="none"/>
              </w:rPr>
              <w:t>10000</w:t>
            </w:r>
          </w:p>
        </w:tc>
        <w:tc>
          <w:tcPr>
            <w:tcW w:w="1144" w:type="dxa"/>
            <w:vAlign w:val="center"/>
          </w:tcPr>
          <w:p>
            <w:pPr>
              <w:ind w:firstLine="0" w:firstLineChars="0"/>
              <w:jc w:val="center"/>
              <w:rPr>
                <w:rFonts w:ascii="Times New Roman" w:hAnsi="Times New Roman"/>
                <w:color w:val="auto"/>
                <w:kern w:val="0"/>
                <w:szCs w:val="21"/>
                <w:highlight w:val="none"/>
              </w:rPr>
            </w:pPr>
            <w:r>
              <w:rPr>
                <w:rFonts w:ascii="Times New Roman" w:hAnsi="Times New Roman"/>
                <w:color w:val="auto"/>
                <w:kern w:val="0"/>
                <w:szCs w:val="21"/>
                <w:highlight w:val="none"/>
              </w:rPr>
              <w:t>10000</w:t>
            </w:r>
          </w:p>
        </w:tc>
      </w:tr>
    </w:tbl>
    <w:p>
      <w:pPr>
        <w:pStyle w:val="52"/>
        <w:ind w:firstLine="480"/>
        <w:jc w:val="both"/>
        <w:rPr>
          <w:rFonts w:eastAsia="宋体"/>
          <w:color w:val="auto"/>
          <w:sz w:val="24"/>
          <w:szCs w:val="24"/>
          <w:highlight w:val="none"/>
        </w:rPr>
      </w:pPr>
      <w:r>
        <w:rPr>
          <w:rFonts w:eastAsia="宋体"/>
          <w:color w:val="auto"/>
          <w:sz w:val="24"/>
          <w:szCs w:val="24"/>
          <w:highlight w:val="none"/>
        </w:rPr>
        <w:t>6）承包人项目技术负责人、安全主任、劳务负责人等专业知识、业务水平及管理、协调能力须能满足发包人的要求和服从发包人的管理,发包人有权撤换专业知识、业务水平及管理、协调能力差的承包人项目管理人员。若承包人拒不撤换相关人员或撤换的人员仍不合格的，承包人须向发包人支付人民币10000元/人的违约金。承包人在收到发包人有关撤换人员的书面通知后，应在</w:t>
      </w:r>
      <w:r>
        <w:rPr>
          <w:rFonts w:eastAsia="宋体"/>
          <w:b/>
          <w:bCs/>
          <w:color w:val="auto"/>
          <w:sz w:val="24"/>
          <w:szCs w:val="24"/>
          <w:highlight w:val="none"/>
        </w:rPr>
        <w:t>7天内</w:t>
      </w:r>
      <w:r>
        <w:rPr>
          <w:rFonts w:eastAsia="宋体"/>
          <w:color w:val="auto"/>
          <w:sz w:val="24"/>
          <w:szCs w:val="24"/>
          <w:highlight w:val="none"/>
        </w:rPr>
        <w:t>递交更换相关人员的相关资料，经发包人审核确认后的</w:t>
      </w:r>
      <w:r>
        <w:rPr>
          <w:rFonts w:hint="eastAsia" w:eastAsia="宋体"/>
          <w:color w:val="auto"/>
          <w:sz w:val="24"/>
          <w:szCs w:val="24"/>
          <w:highlight w:val="none"/>
        </w:rPr>
        <w:t>3天</w:t>
      </w:r>
      <w:r>
        <w:rPr>
          <w:rFonts w:eastAsia="宋体"/>
          <w:color w:val="auto"/>
          <w:sz w:val="24"/>
          <w:szCs w:val="24"/>
          <w:highlight w:val="none"/>
        </w:rPr>
        <w:t>内到岗，撤换人员自接替的对应管理人员到岗后</w:t>
      </w:r>
      <w:r>
        <w:rPr>
          <w:rFonts w:hint="eastAsia" w:eastAsia="宋体"/>
          <w:color w:val="auto"/>
          <w:sz w:val="24"/>
          <w:szCs w:val="24"/>
          <w:highlight w:val="none"/>
        </w:rPr>
        <w:t>3天</w:t>
      </w:r>
      <w:r>
        <w:rPr>
          <w:rFonts w:eastAsia="宋体"/>
          <w:color w:val="auto"/>
          <w:sz w:val="24"/>
          <w:szCs w:val="24"/>
          <w:highlight w:val="none"/>
        </w:rPr>
        <w:t>内调离</w:t>
      </w:r>
      <w:r>
        <w:rPr>
          <w:rStyle w:val="45"/>
          <w:color w:val="auto"/>
          <w:kern w:val="2"/>
          <w:sz w:val="24"/>
          <w:szCs w:val="24"/>
          <w:highlight w:val="none"/>
        </w:rPr>
        <w:t>。</w:t>
      </w:r>
      <w:r>
        <w:rPr>
          <w:rFonts w:eastAsia="宋体"/>
          <w:color w:val="auto"/>
          <w:sz w:val="24"/>
          <w:szCs w:val="24"/>
          <w:highlight w:val="none"/>
        </w:rPr>
        <w:t>若承包人未及时调离撤换人员或更换后的管理人员延迟到岗、延迟递交更换人员资料的，每逾期一日，承包人须向发包人支付人民币3000元/人/天违约金。</w:t>
      </w:r>
    </w:p>
    <w:p>
      <w:pPr>
        <w:pStyle w:val="52"/>
        <w:ind w:firstLine="480"/>
        <w:jc w:val="both"/>
        <w:rPr>
          <w:rFonts w:eastAsia="宋体"/>
          <w:color w:val="auto"/>
          <w:sz w:val="24"/>
          <w:szCs w:val="24"/>
          <w:highlight w:val="none"/>
        </w:rPr>
      </w:pPr>
      <w:r>
        <w:rPr>
          <w:rFonts w:eastAsia="宋体"/>
          <w:color w:val="auto"/>
          <w:sz w:val="24"/>
          <w:szCs w:val="24"/>
          <w:highlight w:val="none"/>
        </w:rPr>
        <w:t>7) 在与造价咨询人进行结算核对过程中，承包人不得向</w:t>
      </w:r>
      <w:r>
        <w:rPr>
          <w:rFonts w:hint="eastAsia" w:eastAsia="宋体"/>
          <w:color w:val="auto"/>
          <w:sz w:val="24"/>
          <w:szCs w:val="24"/>
          <w:highlight w:val="none"/>
        </w:rPr>
        <w:t>相关</w:t>
      </w:r>
      <w:r>
        <w:rPr>
          <w:rFonts w:eastAsia="宋体"/>
          <w:color w:val="auto"/>
          <w:sz w:val="24"/>
          <w:szCs w:val="24"/>
          <w:highlight w:val="none"/>
        </w:rPr>
        <w:t>人员请客送礼、赠送钱物，</w:t>
      </w:r>
      <w:r>
        <w:rPr>
          <w:rFonts w:hint="eastAsia" w:eastAsia="宋体"/>
          <w:color w:val="auto"/>
          <w:sz w:val="24"/>
          <w:szCs w:val="24"/>
          <w:highlight w:val="none"/>
        </w:rPr>
        <w:t>每</w:t>
      </w:r>
      <w:r>
        <w:rPr>
          <w:rFonts w:eastAsia="宋体"/>
          <w:color w:val="auto"/>
          <w:sz w:val="24"/>
          <w:szCs w:val="24"/>
          <w:highlight w:val="none"/>
        </w:rPr>
        <w:t>发现一次，视情节严重程度承包人须向发包人支付违约金10~50万元。</w:t>
      </w:r>
    </w:p>
    <w:p>
      <w:pPr>
        <w:pStyle w:val="52"/>
        <w:ind w:firstLine="480"/>
        <w:jc w:val="both"/>
        <w:rPr>
          <w:rFonts w:eastAsia="宋体"/>
          <w:color w:val="auto"/>
          <w:sz w:val="24"/>
          <w:szCs w:val="24"/>
          <w:highlight w:val="none"/>
        </w:rPr>
      </w:pPr>
      <w:r>
        <w:rPr>
          <w:rFonts w:eastAsia="宋体"/>
          <w:color w:val="auto"/>
          <w:sz w:val="24"/>
          <w:szCs w:val="24"/>
          <w:highlight w:val="none"/>
        </w:rPr>
        <w:t>8）合同约定的施工期按日历天计算，不考虑假期，承包人根据有关规定或自行安排员工假期的，承包人应将项目部管理人员值班名单于放假前7个日历天交</w:t>
      </w:r>
      <w:r>
        <w:rPr>
          <w:rFonts w:hint="eastAsia" w:eastAsia="宋体"/>
          <w:color w:val="auto"/>
          <w:sz w:val="24"/>
          <w:szCs w:val="24"/>
          <w:highlight w:val="none"/>
          <w:lang w:eastAsia="zh-CN"/>
        </w:rPr>
        <w:t>发包人</w:t>
      </w:r>
      <w:r>
        <w:rPr>
          <w:rFonts w:eastAsia="宋体"/>
          <w:color w:val="auto"/>
          <w:sz w:val="24"/>
          <w:szCs w:val="24"/>
          <w:highlight w:val="none"/>
        </w:rPr>
        <w:t>审批，审批后需变更人员的，承包人应及时通知</w:t>
      </w:r>
      <w:r>
        <w:rPr>
          <w:rFonts w:hint="eastAsia" w:eastAsia="宋体"/>
          <w:color w:val="auto"/>
          <w:sz w:val="24"/>
          <w:szCs w:val="24"/>
          <w:highlight w:val="none"/>
          <w:lang w:eastAsia="zh-CN"/>
        </w:rPr>
        <w:t>发包人</w:t>
      </w:r>
      <w:r>
        <w:rPr>
          <w:rFonts w:eastAsia="宋体"/>
          <w:color w:val="auto"/>
          <w:sz w:val="24"/>
          <w:szCs w:val="24"/>
          <w:highlight w:val="none"/>
        </w:rPr>
        <w:t>补办审批手续。承包人安排放假而无人值班的，按1万元每人次每天向发包人支付违约金，造成工程进度滞后或其他质量、安全事故的，由承包人承担全部责任。</w:t>
      </w:r>
    </w:p>
    <w:p>
      <w:pPr>
        <w:pStyle w:val="52"/>
        <w:ind w:firstLine="480"/>
        <w:jc w:val="both"/>
        <w:rPr>
          <w:rFonts w:eastAsia="宋体"/>
          <w:color w:val="auto"/>
          <w:sz w:val="24"/>
          <w:szCs w:val="24"/>
          <w:highlight w:val="none"/>
        </w:rPr>
      </w:pPr>
      <w:r>
        <w:rPr>
          <w:rFonts w:eastAsia="宋体"/>
          <w:color w:val="auto"/>
          <w:sz w:val="24"/>
          <w:szCs w:val="24"/>
          <w:highlight w:val="none"/>
        </w:rPr>
        <w:t>9）</w:t>
      </w:r>
      <w:r>
        <w:rPr>
          <w:rFonts w:hint="eastAsia" w:eastAsia="宋体"/>
          <w:color w:val="auto"/>
          <w:sz w:val="24"/>
          <w:szCs w:val="24"/>
          <w:highlight w:val="none"/>
        </w:rPr>
        <w:t xml:space="preserve"> </w:t>
      </w:r>
      <w:r>
        <w:rPr>
          <w:rFonts w:eastAsia="宋体"/>
          <w:color w:val="auto"/>
          <w:sz w:val="24"/>
          <w:szCs w:val="24"/>
          <w:highlight w:val="none"/>
        </w:rPr>
        <w:t>合同期间实际投入的管理人员替换率超过</w:t>
      </w:r>
      <w:r>
        <w:rPr>
          <w:rFonts w:hint="eastAsia" w:eastAsia="宋体"/>
          <w:color w:val="auto"/>
          <w:sz w:val="24"/>
          <w:szCs w:val="24"/>
          <w:highlight w:val="none"/>
        </w:rPr>
        <w:t xml:space="preserve"> </w:t>
      </w:r>
      <w:r>
        <w:rPr>
          <w:rFonts w:eastAsia="宋体"/>
          <w:color w:val="auto"/>
          <w:sz w:val="24"/>
          <w:szCs w:val="24"/>
          <w:highlight w:val="none"/>
          <w:u w:val="single"/>
        </w:rPr>
        <w:t>30 %</w:t>
      </w:r>
      <w:r>
        <w:rPr>
          <w:rFonts w:eastAsia="宋体"/>
          <w:color w:val="auto"/>
          <w:sz w:val="24"/>
          <w:szCs w:val="24"/>
          <w:highlight w:val="none"/>
        </w:rPr>
        <w:t>的属于违约行为，发包人有权解除合同，承包人须向发包人承担违约责任，每发生一次该违约行为，承包人应向发包人支付10万元违约金。</w:t>
      </w:r>
    </w:p>
    <w:p>
      <w:pPr>
        <w:pStyle w:val="52"/>
        <w:ind w:firstLine="480"/>
        <w:jc w:val="both"/>
        <w:rPr>
          <w:rFonts w:eastAsia="宋体"/>
          <w:color w:val="auto"/>
          <w:sz w:val="24"/>
          <w:szCs w:val="24"/>
          <w:highlight w:val="none"/>
        </w:rPr>
      </w:pPr>
      <w:r>
        <w:rPr>
          <w:rFonts w:eastAsia="宋体"/>
          <w:color w:val="auto"/>
          <w:sz w:val="24"/>
          <w:szCs w:val="24"/>
          <w:highlight w:val="none"/>
        </w:rPr>
        <w:t>10）若承包人擅自更换或调走工程管理人员或工程技术人员的，每发生一次则承包人应向发包人承担违约责任，违约金按专用条款</w:t>
      </w:r>
      <w:r>
        <w:rPr>
          <w:rFonts w:hint="eastAsia" w:eastAsia="宋体"/>
          <w:color w:val="auto"/>
          <w:sz w:val="24"/>
          <w:szCs w:val="24"/>
          <w:highlight w:val="none"/>
        </w:rPr>
        <w:t>第</w:t>
      </w:r>
      <w:r>
        <w:rPr>
          <w:rFonts w:eastAsia="宋体"/>
          <w:color w:val="auto"/>
          <w:sz w:val="24"/>
          <w:szCs w:val="24"/>
          <w:highlight w:val="none"/>
        </w:rPr>
        <w:t>22.1.9.1</w:t>
      </w:r>
      <w:r>
        <w:rPr>
          <w:rFonts w:hint="eastAsia" w:eastAsia="宋体"/>
          <w:color w:val="auto"/>
          <w:sz w:val="24"/>
          <w:szCs w:val="24"/>
          <w:highlight w:val="none"/>
        </w:rPr>
        <w:t>条</w:t>
      </w:r>
      <w:r>
        <w:rPr>
          <w:rFonts w:eastAsia="宋体"/>
          <w:color w:val="auto"/>
          <w:sz w:val="24"/>
          <w:szCs w:val="24"/>
          <w:highlight w:val="none"/>
        </w:rPr>
        <w:t>第3）款执行。</w:t>
      </w:r>
    </w:p>
    <w:p>
      <w:pPr>
        <w:pStyle w:val="52"/>
        <w:ind w:firstLine="480"/>
        <w:jc w:val="both"/>
        <w:rPr>
          <w:rFonts w:eastAsia="宋体"/>
          <w:color w:val="auto"/>
          <w:sz w:val="24"/>
          <w:szCs w:val="24"/>
          <w:highlight w:val="none"/>
        </w:rPr>
      </w:pPr>
      <w:r>
        <w:rPr>
          <w:rFonts w:eastAsia="宋体"/>
          <w:color w:val="auto"/>
          <w:sz w:val="24"/>
          <w:szCs w:val="24"/>
          <w:highlight w:val="none"/>
        </w:rPr>
        <w:t>11）承包人提交的深化设计图纸必须一次性满足发包人的深化设计要求，否则，每超过一次，承包人须向发包人承担1000元/次违约责任，且不免除承包人需完成的深化设计任务。</w:t>
      </w:r>
    </w:p>
    <w:p>
      <w:pPr>
        <w:pStyle w:val="52"/>
        <w:ind w:firstLine="480"/>
        <w:jc w:val="both"/>
        <w:rPr>
          <w:rFonts w:eastAsia="宋体"/>
          <w:color w:val="auto"/>
          <w:sz w:val="24"/>
          <w:szCs w:val="24"/>
          <w:highlight w:val="none"/>
        </w:rPr>
      </w:pPr>
      <w:r>
        <w:rPr>
          <w:rFonts w:eastAsia="宋体"/>
          <w:color w:val="auto"/>
          <w:sz w:val="24"/>
          <w:szCs w:val="24"/>
          <w:highlight w:val="none"/>
        </w:rPr>
        <w:t>12）如发现承包人无正当理由不按分包合同约定的工程费用足额支付或延迟支付给分包人，承包人须向发包人承担10000元/次违约责任。</w:t>
      </w:r>
    </w:p>
    <w:p>
      <w:pPr>
        <w:pStyle w:val="52"/>
        <w:ind w:firstLine="480"/>
        <w:jc w:val="both"/>
        <w:rPr>
          <w:rFonts w:eastAsia="宋体"/>
          <w:color w:val="auto"/>
          <w:sz w:val="24"/>
          <w:szCs w:val="24"/>
          <w:highlight w:val="none"/>
        </w:rPr>
      </w:pPr>
      <w:r>
        <w:rPr>
          <w:rFonts w:eastAsia="宋体"/>
          <w:color w:val="auto"/>
          <w:sz w:val="24"/>
          <w:szCs w:val="24"/>
          <w:highlight w:val="none"/>
        </w:rPr>
        <w:t>22.1.9.2.</w:t>
      </w:r>
      <w:r>
        <w:rPr>
          <w:rFonts w:hint="eastAsia" w:eastAsia="宋体"/>
          <w:color w:val="auto"/>
          <w:sz w:val="24"/>
          <w:szCs w:val="24"/>
          <w:highlight w:val="none"/>
        </w:rPr>
        <w:t xml:space="preserve"> </w:t>
      </w:r>
      <w:r>
        <w:rPr>
          <w:rFonts w:eastAsia="宋体"/>
          <w:color w:val="auto"/>
          <w:sz w:val="24"/>
          <w:szCs w:val="24"/>
          <w:highlight w:val="none"/>
        </w:rPr>
        <w:t>工程进度方面：</w:t>
      </w:r>
    </w:p>
    <w:p>
      <w:pPr>
        <w:pStyle w:val="52"/>
        <w:ind w:firstLine="480"/>
        <w:jc w:val="both"/>
        <w:rPr>
          <w:rFonts w:hint="eastAsia" w:eastAsia="宋体"/>
          <w:bCs/>
          <w:color w:val="auto"/>
          <w:sz w:val="24"/>
          <w:szCs w:val="24"/>
          <w:highlight w:val="none"/>
          <w:lang w:eastAsia="zh-CN"/>
        </w:rPr>
      </w:pPr>
      <w:r>
        <w:rPr>
          <w:rFonts w:eastAsia="宋体"/>
          <w:bCs/>
          <w:color w:val="auto"/>
          <w:sz w:val="24"/>
          <w:szCs w:val="24"/>
          <w:highlight w:val="none"/>
        </w:rPr>
        <w:t>1）本工程竣工验收且移交后，承包人的施工人员、材料、设备必须在</w:t>
      </w:r>
      <w:r>
        <w:rPr>
          <w:rFonts w:eastAsia="宋体"/>
          <w:bCs/>
          <w:color w:val="auto"/>
          <w:sz w:val="24"/>
          <w:szCs w:val="24"/>
          <w:highlight w:val="none"/>
          <w:u w:val="single"/>
        </w:rPr>
        <w:t xml:space="preserve"> 10天</w:t>
      </w:r>
      <w:r>
        <w:rPr>
          <w:rFonts w:hint="eastAsia" w:eastAsia="宋体"/>
          <w:bCs/>
          <w:color w:val="auto"/>
          <w:sz w:val="24"/>
          <w:szCs w:val="24"/>
          <w:highlight w:val="none"/>
          <w:u w:val="single"/>
        </w:rPr>
        <w:t xml:space="preserve"> </w:t>
      </w:r>
      <w:r>
        <w:rPr>
          <w:rFonts w:eastAsia="宋体"/>
          <w:bCs/>
          <w:color w:val="auto"/>
          <w:sz w:val="24"/>
          <w:szCs w:val="24"/>
          <w:highlight w:val="none"/>
        </w:rPr>
        <w:t>内全部退出现场，每延迟一天退场发包人收取承包人</w:t>
      </w:r>
      <w:r>
        <w:rPr>
          <w:rFonts w:hint="eastAsia" w:eastAsia="宋体"/>
          <w:bCs/>
          <w:color w:val="auto"/>
          <w:sz w:val="24"/>
          <w:szCs w:val="24"/>
          <w:highlight w:val="none"/>
          <w:u w:val="single"/>
        </w:rPr>
        <w:t xml:space="preserve"> 3万</w:t>
      </w:r>
      <w:r>
        <w:rPr>
          <w:rFonts w:eastAsia="宋体"/>
          <w:bCs/>
          <w:color w:val="auto"/>
          <w:sz w:val="24"/>
          <w:szCs w:val="24"/>
          <w:highlight w:val="none"/>
          <w:u w:val="single"/>
        </w:rPr>
        <w:t>元</w:t>
      </w:r>
      <w:r>
        <w:rPr>
          <w:rFonts w:hint="eastAsia" w:eastAsia="宋体"/>
          <w:bCs/>
          <w:color w:val="auto"/>
          <w:sz w:val="24"/>
          <w:szCs w:val="24"/>
          <w:highlight w:val="none"/>
          <w:u w:val="single"/>
        </w:rPr>
        <w:t xml:space="preserve"> </w:t>
      </w:r>
      <w:r>
        <w:rPr>
          <w:rFonts w:eastAsia="宋体"/>
          <w:bCs/>
          <w:color w:val="auto"/>
          <w:sz w:val="24"/>
          <w:szCs w:val="24"/>
          <w:highlight w:val="none"/>
        </w:rPr>
        <w:t>违约金</w:t>
      </w:r>
      <w:r>
        <w:rPr>
          <w:rFonts w:hint="eastAsia" w:eastAsia="宋体"/>
          <w:bCs/>
          <w:color w:val="auto"/>
          <w:sz w:val="24"/>
          <w:szCs w:val="24"/>
          <w:highlight w:val="none"/>
          <w:lang w:eastAsia="zh-CN"/>
        </w:rPr>
        <w:t>。</w:t>
      </w:r>
    </w:p>
    <w:p>
      <w:pPr>
        <w:pStyle w:val="52"/>
        <w:ind w:firstLine="480"/>
        <w:jc w:val="both"/>
        <w:rPr>
          <w:rFonts w:eastAsia="宋体"/>
          <w:color w:val="auto"/>
          <w:sz w:val="24"/>
          <w:szCs w:val="24"/>
          <w:highlight w:val="none"/>
        </w:rPr>
      </w:pPr>
      <w:r>
        <w:rPr>
          <w:rFonts w:eastAsia="宋体"/>
          <w:color w:val="auto"/>
          <w:sz w:val="24"/>
          <w:szCs w:val="24"/>
          <w:highlight w:val="none"/>
        </w:rPr>
        <w:t>2）无论因何原因按照约定或法定解除合同的，承包人的施工人员、材料、设备必须在</w:t>
      </w:r>
      <w:r>
        <w:rPr>
          <w:rFonts w:eastAsia="宋体"/>
          <w:color w:val="auto"/>
          <w:sz w:val="24"/>
          <w:szCs w:val="24"/>
          <w:highlight w:val="none"/>
          <w:u w:val="single"/>
        </w:rPr>
        <w:t xml:space="preserve"> </w:t>
      </w:r>
      <w:r>
        <w:rPr>
          <w:rFonts w:hint="eastAsia" w:eastAsia="宋体"/>
          <w:color w:val="auto"/>
          <w:sz w:val="24"/>
          <w:szCs w:val="24"/>
          <w:highlight w:val="none"/>
          <w:u w:val="single"/>
        </w:rPr>
        <w:t>10</w:t>
      </w:r>
      <w:r>
        <w:rPr>
          <w:rFonts w:eastAsia="宋体"/>
          <w:color w:val="auto"/>
          <w:sz w:val="24"/>
          <w:szCs w:val="24"/>
          <w:highlight w:val="none"/>
          <w:u w:val="single"/>
        </w:rPr>
        <w:t>天</w:t>
      </w:r>
      <w:r>
        <w:rPr>
          <w:rFonts w:hint="eastAsia" w:eastAsia="宋体"/>
          <w:color w:val="auto"/>
          <w:sz w:val="24"/>
          <w:szCs w:val="24"/>
          <w:highlight w:val="none"/>
          <w:u w:val="single"/>
        </w:rPr>
        <w:t xml:space="preserve"> </w:t>
      </w:r>
      <w:r>
        <w:rPr>
          <w:rFonts w:eastAsia="宋体"/>
          <w:color w:val="auto"/>
          <w:sz w:val="24"/>
          <w:szCs w:val="24"/>
          <w:highlight w:val="none"/>
        </w:rPr>
        <w:t>内清场并全部退出现场，如逾期退场或拒绝退场的，每延迟一天退场，发包人收取承包人</w:t>
      </w:r>
      <w:r>
        <w:rPr>
          <w:rFonts w:hint="eastAsia" w:eastAsia="宋体"/>
          <w:color w:val="auto"/>
          <w:sz w:val="24"/>
          <w:szCs w:val="24"/>
          <w:highlight w:val="none"/>
        </w:rPr>
        <w:t xml:space="preserve"> </w:t>
      </w:r>
      <w:r>
        <w:rPr>
          <w:rFonts w:eastAsia="宋体"/>
          <w:color w:val="auto"/>
          <w:sz w:val="24"/>
          <w:szCs w:val="24"/>
          <w:highlight w:val="none"/>
          <w:u w:val="single"/>
        </w:rPr>
        <w:t>5000元</w:t>
      </w:r>
      <w:r>
        <w:rPr>
          <w:rFonts w:hint="eastAsia" w:eastAsia="宋体"/>
          <w:color w:val="auto"/>
          <w:sz w:val="24"/>
          <w:szCs w:val="24"/>
          <w:highlight w:val="none"/>
          <w:u w:val="single"/>
        </w:rPr>
        <w:t xml:space="preserve"> </w:t>
      </w:r>
      <w:r>
        <w:rPr>
          <w:rFonts w:eastAsia="宋体"/>
          <w:color w:val="auto"/>
          <w:sz w:val="24"/>
          <w:szCs w:val="24"/>
          <w:highlight w:val="none"/>
        </w:rPr>
        <w:t>违约金。承包人拒绝清场的，应同时承担发包人委托第三方清场的费用。</w:t>
      </w:r>
    </w:p>
    <w:p>
      <w:pPr>
        <w:pStyle w:val="52"/>
        <w:ind w:firstLine="480"/>
        <w:jc w:val="both"/>
        <w:rPr>
          <w:rFonts w:eastAsia="宋体"/>
          <w:color w:val="auto"/>
          <w:sz w:val="24"/>
          <w:szCs w:val="24"/>
          <w:highlight w:val="none"/>
        </w:rPr>
      </w:pPr>
      <w:r>
        <w:rPr>
          <w:rFonts w:eastAsia="宋体"/>
          <w:color w:val="auto"/>
          <w:sz w:val="24"/>
          <w:szCs w:val="24"/>
          <w:highlight w:val="none"/>
        </w:rPr>
        <w:t>3）承包人延迟提供符合以上规定的竣工图纸及竣工资料的，每延迟1天，须按照</w:t>
      </w:r>
      <w:r>
        <w:rPr>
          <w:rFonts w:hint="eastAsia" w:eastAsia="宋体"/>
          <w:color w:val="auto"/>
          <w:sz w:val="24"/>
          <w:szCs w:val="24"/>
          <w:highlight w:val="none"/>
        </w:rPr>
        <w:t xml:space="preserve"> </w:t>
      </w:r>
      <w:r>
        <w:rPr>
          <w:rFonts w:eastAsia="宋体"/>
          <w:color w:val="auto"/>
          <w:sz w:val="24"/>
          <w:szCs w:val="24"/>
          <w:highlight w:val="none"/>
          <w:u w:val="single"/>
        </w:rPr>
        <w:t>3000元/天</w:t>
      </w:r>
      <w:r>
        <w:rPr>
          <w:rFonts w:hint="eastAsia" w:eastAsia="宋体"/>
          <w:color w:val="auto"/>
          <w:sz w:val="24"/>
          <w:szCs w:val="24"/>
          <w:highlight w:val="none"/>
        </w:rPr>
        <w:t xml:space="preserve"> </w:t>
      </w:r>
      <w:r>
        <w:rPr>
          <w:rFonts w:eastAsia="宋体"/>
          <w:color w:val="auto"/>
          <w:sz w:val="24"/>
          <w:szCs w:val="24"/>
          <w:highlight w:val="none"/>
        </w:rPr>
        <w:t>向发包人支付违约金。</w:t>
      </w:r>
    </w:p>
    <w:p>
      <w:pPr>
        <w:pStyle w:val="52"/>
        <w:ind w:firstLine="480"/>
        <w:jc w:val="both"/>
        <w:rPr>
          <w:rFonts w:eastAsia="宋体"/>
          <w:color w:val="auto"/>
          <w:sz w:val="24"/>
          <w:szCs w:val="24"/>
          <w:highlight w:val="none"/>
        </w:rPr>
      </w:pPr>
      <w:r>
        <w:rPr>
          <w:rFonts w:hint="eastAsia" w:eastAsia="宋体"/>
          <w:color w:val="auto"/>
          <w:sz w:val="24"/>
          <w:szCs w:val="24"/>
          <w:highlight w:val="none"/>
        </w:rPr>
        <w:t>4）承包人未按经发包人审核确认的施工进度计划施工，造成工期延误的，</w:t>
      </w:r>
      <w:r>
        <w:rPr>
          <w:rFonts w:eastAsia="宋体"/>
          <w:color w:val="auto"/>
          <w:sz w:val="24"/>
          <w:szCs w:val="24"/>
          <w:highlight w:val="none"/>
        </w:rPr>
        <w:t>每延迟1天，须按照</w:t>
      </w:r>
      <w:r>
        <w:rPr>
          <w:rFonts w:hint="eastAsia" w:eastAsia="宋体"/>
          <w:color w:val="auto"/>
          <w:sz w:val="24"/>
          <w:szCs w:val="24"/>
          <w:highlight w:val="none"/>
        </w:rPr>
        <w:t xml:space="preserve"> 5</w:t>
      </w:r>
      <w:r>
        <w:rPr>
          <w:rFonts w:eastAsia="宋体"/>
          <w:color w:val="auto"/>
          <w:sz w:val="24"/>
          <w:szCs w:val="24"/>
          <w:highlight w:val="none"/>
          <w:u w:val="single"/>
        </w:rPr>
        <w:t>000元/天</w:t>
      </w:r>
      <w:r>
        <w:rPr>
          <w:rFonts w:hint="eastAsia" w:eastAsia="宋体"/>
          <w:color w:val="auto"/>
          <w:sz w:val="24"/>
          <w:szCs w:val="24"/>
          <w:highlight w:val="none"/>
        </w:rPr>
        <w:t xml:space="preserve"> </w:t>
      </w:r>
      <w:r>
        <w:rPr>
          <w:rFonts w:eastAsia="宋体"/>
          <w:color w:val="auto"/>
          <w:sz w:val="24"/>
          <w:szCs w:val="24"/>
          <w:highlight w:val="none"/>
        </w:rPr>
        <w:t>向发包人支付违约金。</w:t>
      </w:r>
    </w:p>
    <w:p>
      <w:pPr>
        <w:pStyle w:val="52"/>
        <w:ind w:firstLine="480"/>
        <w:jc w:val="both"/>
        <w:rPr>
          <w:rFonts w:eastAsia="宋体"/>
          <w:color w:val="auto"/>
          <w:sz w:val="24"/>
          <w:szCs w:val="24"/>
          <w:highlight w:val="none"/>
        </w:rPr>
      </w:pPr>
      <w:r>
        <w:rPr>
          <w:rFonts w:eastAsia="宋体"/>
          <w:color w:val="auto"/>
          <w:sz w:val="24"/>
          <w:szCs w:val="24"/>
          <w:highlight w:val="none"/>
        </w:rPr>
        <w:t>22.1.9.3</w:t>
      </w:r>
      <w:r>
        <w:rPr>
          <w:rFonts w:hint="eastAsia" w:eastAsia="宋体"/>
          <w:color w:val="auto"/>
          <w:sz w:val="24"/>
          <w:szCs w:val="24"/>
          <w:highlight w:val="none"/>
        </w:rPr>
        <w:t xml:space="preserve">. </w:t>
      </w:r>
      <w:r>
        <w:rPr>
          <w:rFonts w:eastAsia="宋体"/>
          <w:color w:val="auto"/>
          <w:sz w:val="24"/>
          <w:szCs w:val="24"/>
          <w:highlight w:val="none"/>
        </w:rPr>
        <w:t>工程质量方面：</w:t>
      </w:r>
    </w:p>
    <w:p>
      <w:pPr>
        <w:pStyle w:val="52"/>
        <w:ind w:firstLine="480"/>
        <w:jc w:val="both"/>
        <w:rPr>
          <w:rFonts w:eastAsia="宋体"/>
          <w:color w:val="auto"/>
          <w:sz w:val="24"/>
          <w:szCs w:val="24"/>
          <w:highlight w:val="none"/>
        </w:rPr>
      </w:pPr>
      <w:r>
        <w:rPr>
          <w:rFonts w:eastAsia="宋体"/>
          <w:color w:val="auto"/>
          <w:sz w:val="24"/>
          <w:szCs w:val="24"/>
          <w:highlight w:val="none"/>
        </w:rPr>
        <w:t>1）承包人在施工过程中，因质量问题需对已完工程进行整改、返工的，产生的费用增加由承包人全部负责。若承包人有违反质量评定标准的质量问题，或者导致</w:t>
      </w:r>
      <w:r>
        <w:rPr>
          <w:rFonts w:hint="eastAsia" w:eastAsia="宋体"/>
          <w:color w:val="auto"/>
          <w:sz w:val="24"/>
          <w:szCs w:val="24"/>
          <w:highlight w:val="none"/>
          <w:lang w:eastAsia="zh-CN"/>
        </w:rPr>
        <w:t>发包人</w:t>
      </w:r>
      <w:r>
        <w:rPr>
          <w:rFonts w:eastAsia="宋体"/>
          <w:color w:val="auto"/>
          <w:sz w:val="24"/>
          <w:szCs w:val="24"/>
          <w:highlight w:val="none"/>
        </w:rPr>
        <w:t>、建设主管部门就质量问题发出停工整改通知的，视情节轻重，每次（项）须承担</w:t>
      </w:r>
      <w:r>
        <w:rPr>
          <w:rFonts w:hint="eastAsia" w:eastAsia="宋体"/>
          <w:color w:val="auto"/>
          <w:sz w:val="24"/>
          <w:szCs w:val="24"/>
          <w:highlight w:val="none"/>
        </w:rPr>
        <w:t xml:space="preserve"> </w:t>
      </w:r>
      <w:r>
        <w:rPr>
          <w:rFonts w:eastAsia="宋体"/>
          <w:color w:val="auto"/>
          <w:sz w:val="24"/>
          <w:szCs w:val="24"/>
          <w:highlight w:val="none"/>
          <w:u w:val="single"/>
        </w:rPr>
        <w:t>1</w:t>
      </w:r>
      <w:r>
        <w:rPr>
          <w:rFonts w:hint="eastAsia" w:eastAsia="宋体"/>
          <w:color w:val="auto"/>
          <w:sz w:val="24"/>
          <w:szCs w:val="24"/>
          <w:highlight w:val="none"/>
          <w:u w:val="single"/>
        </w:rPr>
        <w:t>~</w:t>
      </w:r>
      <w:r>
        <w:rPr>
          <w:rFonts w:eastAsia="宋体"/>
          <w:color w:val="auto"/>
          <w:sz w:val="24"/>
          <w:szCs w:val="24"/>
          <w:highlight w:val="none"/>
          <w:u w:val="single"/>
        </w:rPr>
        <w:t>5万元</w:t>
      </w:r>
      <w:r>
        <w:rPr>
          <w:rFonts w:hint="eastAsia" w:eastAsia="宋体"/>
          <w:color w:val="auto"/>
          <w:sz w:val="24"/>
          <w:szCs w:val="24"/>
          <w:highlight w:val="none"/>
        </w:rPr>
        <w:t xml:space="preserve"> </w:t>
      </w:r>
      <w:r>
        <w:rPr>
          <w:rFonts w:eastAsia="宋体"/>
          <w:color w:val="auto"/>
          <w:sz w:val="24"/>
          <w:szCs w:val="24"/>
          <w:highlight w:val="none"/>
        </w:rPr>
        <w:t>的违约金，同时亦不免除承包人对不合格工程进行整改、返工的责任</w:t>
      </w:r>
      <w:r>
        <w:rPr>
          <w:rFonts w:hint="eastAsia" w:eastAsia="宋体"/>
          <w:color w:val="auto"/>
          <w:sz w:val="24"/>
          <w:szCs w:val="24"/>
          <w:highlight w:val="none"/>
        </w:rPr>
        <w:t>，</w:t>
      </w:r>
      <w:r>
        <w:rPr>
          <w:rFonts w:eastAsia="宋体"/>
          <w:color w:val="auto"/>
          <w:sz w:val="24"/>
          <w:szCs w:val="24"/>
          <w:highlight w:val="none"/>
        </w:rPr>
        <w:t>工期不予顺延。</w:t>
      </w:r>
    </w:p>
    <w:p>
      <w:pPr>
        <w:pStyle w:val="52"/>
        <w:ind w:firstLine="480"/>
        <w:jc w:val="both"/>
        <w:rPr>
          <w:rFonts w:eastAsia="宋体"/>
          <w:color w:val="auto"/>
          <w:sz w:val="24"/>
          <w:szCs w:val="24"/>
          <w:highlight w:val="none"/>
        </w:rPr>
      </w:pPr>
      <w:r>
        <w:rPr>
          <w:rFonts w:eastAsia="宋体"/>
          <w:color w:val="auto"/>
          <w:sz w:val="24"/>
          <w:szCs w:val="24"/>
          <w:highlight w:val="none"/>
        </w:rPr>
        <w:t>2）承包人未按发包人审定的施工方案、施工工艺和图纸进行施工的，每次（项）须承担</w:t>
      </w:r>
      <w:r>
        <w:rPr>
          <w:rFonts w:hint="eastAsia" w:eastAsia="宋体"/>
          <w:color w:val="auto"/>
          <w:sz w:val="24"/>
          <w:szCs w:val="24"/>
          <w:highlight w:val="none"/>
        </w:rPr>
        <w:t xml:space="preserve"> </w:t>
      </w:r>
      <w:r>
        <w:rPr>
          <w:rFonts w:eastAsia="宋体"/>
          <w:color w:val="auto"/>
          <w:sz w:val="24"/>
          <w:szCs w:val="24"/>
          <w:highlight w:val="none"/>
          <w:u w:val="single"/>
        </w:rPr>
        <w:t>2万元</w:t>
      </w:r>
      <w:r>
        <w:rPr>
          <w:rFonts w:hint="eastAsia" w:eastAsia="宋体"/>
          <w:color w:val="auto"/>
          <w:sz w:val="24"/>
          <w:szCs w:val="24"/>
          <w:highlight w:val="none"/>
        </w:rPr>
        <w:t xml:space="preserve"> </w:t>
      </w:r>
      <w:r>
        <w:rPr>
          <w:rFonts w:eastAsia="宋体"/>
          <w:color w:val="auto"/>
          <w:sz w:val="24"/>
          <w:szCs w:val="24"/>
          <w:highlight w:val="none"/>
        </w:rPr>
        <w:t xml:space="preserve">的违约金，同时亦不免除承包人对不合格施工方案、施工工艺的整改责任。  </w:t>
      </w:r>
    </w:p>
    <w:p>
      <w:pPr>
        <w:pStyle w:val="52"/>
        <w:ind w:firstLine="480"/>
        <w:jc w:val="both"/>
        <w:rPr>
          <w:rFonts w:eastAsia="宋体"/>
          <w:color w:val="auto"/>
          <w:sz w:val="24"/>
          <w:szCs w:val="24"/>
          <w:highlight w:val="none"/>
        </w:rPr>
      </w:pPr>
      <w:r>
        <w:rPr>
          <w:rFonts w:eastAsia="宋体"/>
          <w:color w:val="auto"/>
          <w:sz w:val="24"/>
          <w:szCs w:val="24"/>
          <w:highlight w:val="none"/>
        </w:rPr>
        <w:t>3）承包人对发包人指出的质量问题未按时整改并回复，承包人应限期整改完成并向发包人支付</w:t>
      </w:r>
      <w:r>
        <w:rPr>
          <w:rFonts w:hint="eastAsia" w:eastAsia="宋体"/>
          <w:color w:val="auto"/>
          <w:sz w:val="24"/>
          <w:szCs w:val="24"/>
          <w:highlight w:val="none"/>
        </w:rPr>
        <w:t xml:space="preserve"> </w:t>
      </w:r>
      <w:r>
        <w:rPr>
          <w:rFonts w:eastAsia="宋体"/>
          <w:color w:val="auto"/>
          <w:sz w:val="24"/>
          <w:szCs w:val="24"/>
          <w:highlight w:val="none"/>
          <w:u w:val="single"/>
        </w:rPr>
        <w:t>1000元/条/天</w:t>
      </w:r>
      <w:r>
        <w:rPr>
          <w:rFonts w:hint="eastAsia" w:eastAsia="宋体"/>
          <w:color w:val="auto"/>
          <w:sz w:val="24"/>
          <w:szCs w:val="24"/>
          <w:highlight w:val="none"/>
        </w:rPr>
        <w:t xml:space="preserve"> </w:t>
      </w:r>
      <w:r>
        <w:rPr>
          <w:rFonts w:eastAsia="宋体"/>
          <w:color w:val="auto"/>
          <w:sz w:val="24"/>
          <w:szCs w:val="24"/>
          <w:highlight w:val="none"/>
        </w:rPr>
        <w:t>的违约金。</w:t>
      </w:r>
    </w:p>
    <w:p>
      <w:pPr>
        <w:pStyle w:val="52"/>
        <w:ind w:firstLine="480"/>
        <w:jc w:val="both"/>
        <w:rPr>
          <w:rFonts w:eastAsia="宋体"/>
          <w:color w:val="auto"/>
          <w:sz w:val="24"/>
          <w:szCs w:val="24"/>
          <w:highlight w:val="none"/>
        </w:rPr>
      </w:pPr>
      <w:r>
        <w:rPr>
          <w:rFonts w:hint="eastAsia" w:eastAsia="宋体"/>
          <w:color w:val="auto"/>
          <w:sz w:val="24"/>
          <w:szCs w:val="24"/>
          <w:highlight w:val="none"/>
        </w:rPr>
        <w:t>4</w:t>
      </w:r>
      <w:r>
        <w:rPr>
          <w:rFonts w:eastAsia="宋体"/>
          <w:color w:val="auto"/>
          <w:sz w:val="24"/>
          <w:szCs w:val="24"/>
          <w:highlight w:val="none"/>
        </w:rPr>
        <w:t>）工程施工期间和缺陷责任期内，由于承包人责任出现质量问题、安全事故或者其他原因，使发包人或项目受到报纸、电视等媒体的曝光或政府有关主管部门的通报批评的，每出现一次，承包人应向发包人支付</w:t>
      </w:r>
      <w:r>
        <w:rPr>
          <w:rFonts w:hint="eastAsia" w:eastAsia="宋体"/>
          <w:color w:val="auto"/>
          <w:sz w:val="24"/>
          <w:szCs w:val="24"/>
          <w:highlight w:val="none"/>
          <w:u w:val="single"/>
        </w:rPr>
        <w:t xml:space="preserve"> </w:t>
      </w:r>
      <w:r>
        <w:rPr>
          <w:rFonts w:eastAsia="宋体"/>
          <w:color w:val="auto"/>
          <w:sz w:val="24"/>
          <w:szCs w:val="24"/>
          <w:highlight w:val="none"/>
          <w:u w:val="single"/>
        </w:rPr>
        <w:t>20万元</w:t>
      </w:r>
      <w:r>
        <w:rPr>
          <w:rFonts w:hint="eastAsia" w:eastAsia="宋体"/>
          <w:color w:val="auto"/>
          <w:sz w:val="24"/>
          <w:szCs w:val="24"/>
          <w:highlight w:val="none"/>
          <w:u w:val="single"/>
        </w:rPr>
        <w:t xml:space="preserve"> </w:t>
      </w:r>
      <w:r>
        <w:rPr>
          <w:rFonts w:eastAsia="宋体"/>
          <w:color w:val="auto"/>
          <w:sz w:val="24"/>
          <w:szCs w:val="24"/>
          <w:highlight w:val="none"/>
        </w:rPr>
        <w:t>违约金。</w:t>
      </w:r>
    </w:p>
    <w:p>
      <w:pPr>
        <w:pStyle w:val="52"/>
        <w:ind w:firstLine="480"/>
        <w:jc w:val="both"/>
        <w:rPr>
          <w:rFonts w:eastAsia="宋体"/>
          <w:color w:val="auto"/>
          <w:sz w:val="24"/>
          <w:szCs w:val="24"/>
          <w:highlight w:val="none"/>
        </w:rPr>
      </w:pPr>
      <w:r>
        <w:rPr>
          <w:rFonts w:hint="eastAsia" w:eastAsia="宋体"/>
          <w:color w:val="auto"/>
          <w:sz w:val="24"/>
          <w:szCs w:val="24"/>
          <w:highlight w:val="none"/>
        </w:rPr>
        <w:t>5</w:t>
      </w:r>
      <w:r>
        <w:rPr>
          <w:rFonts w:eastAsia="宋体"/>
          <w:color w:val="auto"/>
          <w:sz w:val="24"/>
          <w:szCs w:val="24"/>
          <w:highlight w:val="none"/>
        </w:rPr>
        <w:t>）承包人未经报验，擅自进行下道工序施工的，承包人应拆除擅自施工的部位，并向发包人支付</w:t>
      </w:r>
      <w:r>
        <w:rPr>
          <w:rFonts w:hint="eastAsia" w:eastAsia="宋体"/>
          <w:color w:val="auto"/>
          <w:sz w:val="24"/>
          <w:szCs w:val="24"/>
          <w:highlight w:val="none"/>
          <w:u w:val="single"/>
        </w:rPr>
        <w:t xml:space="preserve"> </w:t>
      </w:r>
      <w:r>
        <w:rPr>
          <w:rFonts w:eastAsia="宋体"/>
          <w:color w:val="auto"/>
          <w:sz w:val="24"/>
          <w:szCs w:val="24"/>
          <w:highlight w:val="none"/>
          <w:u w:val="single"/>
        </w:rPr>
        <w:t>1万元/次</w:t>
      </w:r>
      <w:r>
        <w:rPr>
          <w:rFonts w:hint="eastAsia" w:eastAsia="宋体"/>
          <w:color w:val="auto"/>
          <w:sz w:val="24"/>
          <w:szCs w:val="24"/>
          <w:highlight w:val="none"/>
          <w:u w:val="single"/>
        </w:rPr>
        <w:t xml:space="preserve"> </w:t>
      </w:r>
      <w:r>
        <w:rPr>
          <w:rFonts w:eastAsia="宋体"/>
          <w:color w:val="auto"/>
          <w:sz w:val="24"/>
          <w:szCs w:val="24"/>
          <w:highlight w:val="none"/>
        </w:rPr>
        <w:t>的违约金。</w:t>
      </w:r>
    </w:p>
    <w:p>
      <w:pPr>
        <w:pStyle w:val="52"/>
        <w:ind w:firstLine="480"/>
        <w:jc w:val="both"/>
        <w:rPr>
          <w:rFonts w:eastAsia="宋体"/>
          <w:color w:val="auto"/>
          <w:sz w:val="24"/>
          <w:szCs w:val="24"/>
          <w:highlight w:val="none"/>
        </w:rPr>
      </w:pPr>
      <w:r>
        <w:rPr>
          <w:rFonts w:hint="eastAsia" w:eastAsia="宋体"/>
          <w:color w:val="auto"/>
          <w:sz w:val="24"/>
          <w:szCs w:val="24"/>
          <w:highlight w:val="none"/>
        </w:rPr>
        <w:t>6</w:t>
      </w:r>
      <w:r>
        <w:rPr>
          <w:rFonts w:eastAsia="宋体"/>
          <w:color w:val="auto"/>
          <w:sz w:val="24"/>
          <w:szCs w:val="24"/>
          <w:highlight w:val="none"/>
        </w:rPr>
        <w:t>）隐蔽工程未经发包人同意承包人私自进行隐蔽的，承包人应向发包人支付</w:t>
      </w:r>
      <w:r>
        <w:rPr>
          <w:rFonts w:hint="eastAsia" w:eastAsia="宋体"/>
          <w:color w:val="auto"/>
          <w:sz w:val="24"/>
          <w:szCs w:val="24"/>
          <w:highlight w:val="none"/>
          <w:u w:val="single"/>
        </w:rPr>
        <w:t xml:space="preserve"> </w:t>
      </w:r>
      <w:r>
        <w:rPr>
          <w:rFonts w:eastAsia="宋体"/>
          <w:color w:val="auto"/>
          <w:sz w:val="24"/>
          <w:szCs w:val="24"/>
          <w:highlight w:val="none"/>
          <w:u w:val="single"/>
        </w:rPr>
        <w:t>1~5万元</w:t>
      </w:r>
      <w:r>
        <w:rPr>
          <w:rFonts w:hint="eastAsia" w:eastAsia="宋体"/>
          <w:color w:val="auto"/>
          <w:sz w:val="24"/>
          <w:szCs w:val="24"/>
          <w:highlight w:val="none"/>
          <w:u w:val="single"/>
        </w:rPr>
        <w:t xml:space="preserve"> </w:t>
      </w:r>
      <w:r>
        <w:rPr>
          <w:rFonts w:eastAsia="宋体"/>
          <w:color w:val="auto"/>
          <w:sz w:val="24"/>
          <w:szCs w:val="24"/>
          <w:highlight w:val="none"/>
        </w:rPr>
        <w:t>的违约金，且承包人应无条件配合发包人进行检验，如检验不合格承包人须无条件返工直至验收合格。该等检验、返工等所发生的费用、工期延误由承包人自行承担，同时承包人应承担因此而发生的发包人与第三方单位的损失，且第三方单位的工期索赔应由承包人承担。</w:t>
      </w:r>
    </w:p>
    <w:p>
      <w:pPr>
        <w:pStyle w:val="52"/>
        <w:ind w:firstLine="480"/>
        <w:jc w:val="both"/>
        <w:rPr>
          <w:rFonts w:eastAsia="宋体"/>
          <w:color w:val="auto"/>
          <w:sz w:val="24"/>
          <w:szCs w:val="24"/>
          <w:highlight w:val="none"/>
        </w:rPr>
      </w:pPr>
      <w:r>
        <w:rPr>
          <w:rFonts w:hint="eastAsia" w:eastAsia="宋体"/>
          <w:color w:val="auto"/>
          <w:sz w:val="24"/>
          <w:szCs w:val="24"/>
          <w:highlight w:val="none"/>
        </w:rPr>
        <w:t>7</w:t>
      </w:r>
      <w:r>
        <w:rPr>
          <w:rFonts w:eastAsia="宋体"/>
          <w:color w:val="auto"/>
          <w:sz w:val="24"/>
          <w:szCs w:val="24"/>
          <w:highlight w:val="none"/>
        </w:rPr>
        <w:t>）因承包人施工质量问题造成发包人损失的，承包人应赔偿发包人一切损失，并按以下约定向发包人支付违约金：</w:t>
      </w:r>
    </w:p>
    <w:p>
      <w:pPr>
        <w:pStyle w:val="52"/>
        <w:ind w:firstLine="480"/>
        <w:jc w:val="both"/>
        <w:rPr>
          <w:rFonts w:eastAsia="宋体"/>
          <w:color w:val="auto"/>
          <w:sz w:val="24"/>
          <w:szCs w:val="24"/>
          <w:highlight w:val="none"/>
        </w:rPr>
      </w:pPr>
      <w:r>
        <w:rPr>
          <w:rFonts w:eastAsia="宋体"/>
          <w:color w:val="auto"/>
          <w:sz w:val="24"/>
          <w:szCs w:val="24"/>
          <w:highlight w:val="none"/>
        </w:rPr>
        <w:t>因承包人施工质量问题造成发包人损失100万以上</w:t>
      </w:r>
      <w:r>
        <w:rPr>
          <w:rFonts w:hint="eastAsia" w:eastAsia="宋体"/>
          <w:color w:val="auto"/>
          <w:sz w:val="24"/>
          <w:szCs w:val="24"/>
          <w:highlight w:val="none"/>
        </w:rPr>
        <w:t>（含100万）</w:t>
      </w:r>
      <w:r>
        <w:rPr>
          <w:rFonts w:eastAsia="宋体"/>
          <w:color w:val="auto"/>
          <w:sz w:val="24"/>
          <w:szCs w:val="24"/>
          <w:highlight w:val="none"/>
        </w:rPr>
        <w:t>的，每出现一次，承包人应向发包人支付</w:t>
      </w:r>
      <w:r>
        <w:rPr>
          <w:rFonts w:hint="eastAsia" w:eastAsia="宋体"/>
          <w:color w:val="auto"/>
          <w:sz w:val="24"/>
          <w:szCs w:val="24"/>
          <w:highlight w:val="none"/>
          <w:u w:val="single"/>
        </w:rPr>
        <w:t xml:space="preserve"> </w:t>
      </w:r>
      <w:r>
        <w:rPr>
          <w:rFonts w:eastAsia="宋体"/>
          <w:color w:val="auto"/>
          <w:sz w:val="24"/>
          <w:szCs w:val="24"/>
          <w:highlight w:val="none"/>
          <w:u w:val="single"/>
        </w:rPr>
        <w:t>20万元</w:t>
      </w:r>
      <w:r>
        <w:rPr>
          <w:rFonts w:hint="eastAsia" w:eastAsia="宋体"/>
          <w:color w:val="auto"/>
          <w:sz w:val="24"/>
          <w:szCs w:val="24"/>
          <w:highlight w:val="none"/>
          <w:u w:val="single"/>
        </w:rPr>
        <w:t xml:space="preserve"> </w:t>
      </w:r>
      <w:r>
        <w:rPr>
          <w:rFonts w:eastAsia="宋体"/>
          <w:color w:val="auto"/>
          <w:sz w:val="24"/>
          <w:szCs w:val="24"/>
          <w:highlight w:val="none"/>
        </w:rPr>
        <w:t>违约金；造成发包人损失50万以上</w:t>
      </w:r>
      <w:r>
        <w:rPr>
          <w:rFonts w:hint="eastAsia" w:eastAsia="宋体"/>
          <w:color w:val="auto"/>
          <w:sz w:val="24"/>
          <w:szCs w:val="24"/>
          <w:highlight w:val="none"/>
        </w:rPr>
        <w:t>（含50万）</w:t>
      </w:r>
      <w:r>
        <w:rPr>
          <w:rFonts w:eastAsia="宋体"/>
          <w:color w:val="auto"/>
          <w:sz w:val="24"/>
          <w:szCs w:val="24"/>
          <w:highlight w:val="none"/>
        </w:rPr>
        <w:t>、100万以下</w:t>
      </w:r>
      <w:r>
        <w:rPr>
          <w:rFonts w:hint="eastAsia" w:eastAsia="宋体"/>
          <w:color w:val="auto"/>
          <w:sz w:val="24"/>
          <w:szCs w:val="24"/>
          <w:highlight w:val="none"/>
        </w:rPr>
        <w:t>（不含100万）</w:t>
      </w:r>
      <w:r>
        <w:rPr>
          <w:rFonts w:eastAsia="宋体"/>
          <w:color w:val="auto"/>
          <w:sz w:val="24"/>
          <w:szCs w:val="24"/>
          <w:highlight w:val="none"/>
        </w:rPr>
        <w:t>的，每出现一次承包人应向发包人支付</w:t>
      </w:r>
      <w:r>
        <w:rPr>
          <w:rFonts w:hint="eastAsia" w:eastAsia="宋体"/>
          <w:color w:val="auto"/>
          <w:sz w:val="24"/>
          <w:szCs w:val="24"/>
          <w:highlight w:val="none"/>
          <w:u w:val="single"/>
        </w:rPr>
        <w:t xml:space="preserve"> </w:t>
      </w:r>
      <w:r>
        <w:rPr>
          <w:rFonts w:eastAsia="宋体"/>
          <w:color w:val="auto"/>
          <w:sz w:val="24"/>
          <w:szCs w:val="24"/>
          <w:highlight w:val="none"/>
          <w:u w:val="single"/>
        </w:rPr>
        <w:t>15万元</w:t>
      </w:r>
      <w:r>
        <w:rPr>
          <w:rFonts w:hint="eastAsia" w:eastAsia="宋体"/>
          <w:color w:val="auto"/>
          <w:sz w:val="24"/>
          <w:szCs w:val="24"/>
          <w:highlight w:val="none"/>
          <w:u w:val="single"/>
        </w:rPr>
        <w:t xml:space="preserve"> </w:t>
      </w:r>
      <w:r>
        <w:rPr>
          <w:rFonts w:eastAsia="宋体"/>
          <w:color w:val="auto"/>
          <w:sz w:val="24"/>
          <w:szCs w:val="24"/>
          <w:highlight w:val="none"/>
        </w:rPr>
        <w:t>违约金；造成发包人损失20万以上</w:t>
      </w:r>
      <w:r>
        <w:rPr>
          <w:rFonts w:hint="eastAsia" w:eastAsia="宋体"/>
          <w:color w:val="auto"/>
          <w:sz w:val="24"/>
          <w:szCs w:val="24"/>
          <w:highlight w:val="none"/>
        </w:rPr>
        <w:t>（含20万）</w:t>
      </w:r>
      <w:r>
        <w:rPr>
          <w:rFonts w:eastAsia="宋体"/>
          <w:color w:val="auto"/>
          <w:sz w:val="24"/>
          <w:szCs w:val="24"/>
          <w:highlight w:val="none"/>
        </w:rPr>
        <w:t>、50万以下</w:t>
      </w:r>
      <w:r>
        <w:rPr>
          <w:rFonts w:hint="eastAsia" w:eastAsia="宋体"/>
          <w:color w:val="auto"/>
          <w:sz w:val="24"/>
          <w:szCs w:val="24"/>
          <w:highlight w:val="none"/>
        </w:rPr>
        <w:t>（不含50万）</w:t>
      </w:r>
      <w:r>
        <w:rPr>
          <w:rFonts w:eastAsia="宋体"/>
          <w:color w:val="auto"/>
          <w:sz w:val="24"/>
          <w:szCs w:val="24"/>
          <w:highlight w:val="none"/>
        </w:rPr>
        <w:t>的，每出现一次承包人应向发包人支付</w:t>
      </w:r>
      <w:r>
        <w:rPr>
          <w:rFonts w:hint="eastAsia" w:eastAsia="宋体"/>
          <w:color w:val="auto"/>
          <w:sz w:val="24"/>
          <w:szCs w:val="24"/>
          <w:highlight w:val="none"/>
          <w:u w:val="single"/>
        </w:rPr>
        <w:t xml:space="preserve"> </w:t>
      </w:r>
      <w:r>
        <w:rPr>
          <w:rFonts w:eastAsia="宋体"/>
          <w:color w:val="auto"/>
          <w:sz w:val="24"/>
          <w:szCs w:val="24"/>
          <w:highlight w:val="none"/>
          <w:u w:val="single"/>
        </w:rPr>
        <w:t>10万元</w:t>
      </w:r>
      <w:r>
        <w:rPr>
          <w:rFonts w:hint="eastAsia" w:eastAsia="宋体"/>
          <w:color w:val="auto"/>
          <w:sz w:val="24"/>
          <w:szCs w:val="24"/>
          <w:highlight w:val="none"/>
          <w:u w:val="single"/>
        </w:rPr>
        <w:t xml:space="preserve"> </w:t>
      </w:r>
      <w:r>
        <w:rPr>
          <w:rFonts w:eastAsia="宋体"/>
          <w:color w:val="auto"/>
          <w:sz w:val="24"/>
          <w:szCs w:val="24"/>
          <w:highlight w:val="none"/>
        </w:rPr>
        <w:t>违约金；造成发包人损失20万以下</w:t>
      </w:r>
      <w:r>
        <w:rPr>
          <w:rFonts w:hint="eastAsia" w:eastAsia="宋体"/>
          <w:color w:val="auto"/>
          <w:sz w:val="24"/>
          <w:szCs w:val="24"/>
          <w:highlight w:val="none"/>
        </w:rPr>
        <w:t>（不含20万）</w:t>
      </w:r>
      <w:r>
        <w:rPr>
          <w:rFonts w:eastAsia="宋体"/>
          <w:color w:val="auto"/>
          <w:sz w:val="24"/>
          <w:szCs w:val="24"/>
          <w:highlight w:val="none"/>
        </w:rPr>
        <w:t>的，每出现一次承包人应向发包人支付</w:t>
      </w:r>
      <w:r>
        <w:rPr>
          <w:rFonts w:hint="eastAsia" w:eastAsia="宋体"/>
          <w:color w:val="auto"/>
          <w:sz w:val="24"/>
          <w:szCs w:val="24"/>
          <w:highlight w:val="none"/>
          <w:u w:val="single"/>
        </w:rPr>
        <w:t xml:space="preserve"> </w:t>
      </w:r>
      <w:r>
        <w:rPr>
          <w:rFonts w:eastAsia="宋体"/>
          <w:color w:val="auto"/>
          <w:sz w:val="24"/>
          <w:szCs w:val="24"/>
          <w:highlight w:val="none"/>
          <w:u w:val="single"/>
        </w:rPr>
        <w:t>5万元</w:t>
      </w:r>
      <w:r>
        <w:rPr>
          <w:rFonts w:hint="eastAsia" w:eastAsia="宋体"/>
          <w:color w:val="auto"/>
          <w:sz w:val="24"/>
          <w:szCs w:val="24"/>
          <w:highlight w:val="none"/>
          <w:u w:val="single"/>
        </w:rPr>
        <w:t xml:space="preserve"> </w:t>
      </w:r>
      <w:r>
        <w:rPr>
          <w:rFonts w:eastAsia="宋体"/>
          <w:color w:val="auto"/>
          <w:sz w:val="24"/>
          <w:szCs w:val="24"/>
          <w:highlight w:val="none"/>
        </w:rPr>
        <w:t>违约金。</w:t>
      </w:r>
    </w:p>
    <w:p>
      <w:pPr>
        <w:pStyle w:val="52"/>
        <w:ind w:firstLine="480"/>
        <w:jc w:val="both"/>
        <w:rPr>
          <w:rFonts w:eastAsia="宋体"/>
          <w:color w:val="auto"/>
          <w:sz w:val="24"/>
          <w:szCs w:val="24"/>
          <w:highlight w:val="none"/>
        </w:rPr>
      </w:pPr>
      <w:r>
        <w:rPr>
          <w:rFonts w:hint="eastAsia" w:eastAsia="宋体"/>
          <w:color w:val="auto"/>
          <w:sz w:val="24"/>
          <w:szCs w:val="24"/>
          <w:highlight w:val="none"/>
        </w:rPr>
        <w:t>8</w:t>
      </w:r>
      <w:r>
        <w:rPr>
          <w:rFonts w:eastAsia="宋体"/>
          <w:color w:val="auto"/>
          <w:sz w:val="24"/>
          <w:szCs w:val="24"/>
          <w:highlight w:val="none"/>
        </w:rPr>
        <w:t>）发包人在施工过程中发现承包人未按照本项目的质量控制点要求进行施工的，其中，每发现一次一类控制点的，承包人应向发包人支付</w:t>
      </w:r>
      <w:r>
        <w:rPr>
          <w:rFonts w:hint="eastAsia" w:eastAsia="宋体"/>
          <w:color w:val="auto"/>
          <w:sz w:val="24"/>
          <w:szCs w:val="24"/>
          <w:highlight w:val="none"/>
          <w:u w:val="single"/>
        </w:rPr>
        <w:t xml:space="preserve"> </w:t>
      </w:r>
      <w:r>
        <w:rPr>
          <w:rFonts w:eastAsia="宋体"/>
          <w:color w:val="auto"/>
          <w:sz w:val="24"/>
          <w:szCs w:val="24"/>
          <w:highlight w:val="none"/>
          <w:u w:val="single"/>
        </w:rPr>
        <w:t>5000元</w:t>
      </w:r>
      <w:r>
        <w:rPr>
          <w:rFonts w:hint="eastAsia" w:eastAsia="宋体"/>
          <w:color w:val="auto"/>
          <w:sz w:val="24"/>
          <w:szCs w:val="24"/>
          <w:highlight w:val="none"/>
          <w:u w:val="single"/>
        </w:rPr>
        <w:t xml:space="preserve"> </w:t>
      </w:r>
      <w:r>
        <w:rPr>
          <w:rFonts w:eastAsia="宋体"/>
          <w:color w:val="auto"/>
          <w:sz w:val="24"/>
          <w:szCs w:val="24"/>
          <w:highlight w:val="none"/>
        </w:rPr>
        <w:t>违约金；每发现一次二类控制点的，承包人应向发包人支付</w:t>
      </w:r>
      <w:r>
        <w:rPr>
          <w:rFonts w:hint="eastAsia" w:eastAsia="宋体"/>
          <w:color w:val="auto"/>
          <w:sz w:val="24"/>
          <w:szCs w:val="24"/>
          <w:highlight w:val="none"/>
          <w:u w:val="single"/>
        </w:rPr>
        <w:t xml:space="preserve"> </w:t>
      </w:r>
      <w:r>
        <w:rPr>
          <w:rFonts w:eastAsia="宋体"/>
          <w:color w:val="auto"/>
          <w:sz w:val="24"/>
          <w:szCs w:val="24"/>
          <w:highlight w:val="none"/>
          <w:u w:val="single"/>
        </w:rPr>
        <w:t>3000元</w:t>
      </w:r>
      <w:r>
        <w:rPr>
          <w:rFonts w:hint="eastAsia" w:eastAsia="宋体"/>
          <w:color w:val="auto"/>
          <w:sz w:val="24"/>
          <w:szCs w:val="24"/>
          <w:highlight w:val="none"/>
          <w:u w:val="single"/>
        </w:rPr>
        <w:t xml:space="preserve"> </w:t>
      </w:r>
      <w:r>
        <w:rPr>
          <w:rFonts w:eastAsia="宋体"/>
          <w:color w:val="auto"/>
          <w:sz w:val="24"/>
          <w:szCs w:val="24"/>
          <w:highlight w:val="none"/>
        </w:rPr>
        <w:t>违约金；每发现一次三类控制点的，承包人应向发包人支付</w:t>
      </w:r>
      <w:r>
        <w:rPr>
          <w:rFonts w:hint="eastAsia" w:eastAsia="宋体"/>
          <w:color w:val="auto"/>
          <w:sz w:val="24"/>
          <w:szCs w:val="24"/>
          <w:highlight w:val="none"/>
          <w:u w:val="single"/>
        </w:rPr>
        <w:t xml:space="preserve"> </w:t>
      </w:r>
      <w:r>
        <w:rPr>
          <w:rFonts w:eastAsia="宋体"/>
          <w:color w:val="auto"/>
          <w:sz w:val="24"/>
          <w:szCs w:val="24"/>
          <w:highlight w:val="none"/>
          <w:u w:val="single"/>
        </w:rPr>
        <w:t>1000元</w:t>
      </w:r>
      <w:r>
        <w:rPr>
          <w:rFonts w:hint="eastAsia" w:eastAsia="宋体"/>
          <w:color w:val="auto"/>
          <w:sz w:val="24"/>
          <w:szCs w:val="24"/>
          <w:highlight w:val="none"/>
          <w:u w:val="single"/>
        </w:rPr>
        <w:t xml:space="preserve"> </w:t>
      </w:r>
      <w:r>
        <w:rPr>
          <w:rFonts w:eastAsia="宋体"/>
          <w:color w:val="auto"/>
          <w:sz w:val="24"/>
          <w:szCs w:val="24"/>
          <w:highlight w:val="none"/>
        </w:rPr>
        <w:t>违约金。（一类控制点与主体结构安全相关，整改难度极大；二类控制点对项目整体工程质量起指导性或关键性作用；三类控制点需要按质量规范执行，对施工过程中工序、工艺进行纠偏。）</w:t>
      </w:r>
    </w:p>
    <w:p>
      <w:pPr>
        <w:pStyle w:val="52"/>
        <w:ind w:firstLine="480"/>
        <w:jc w:val="both"/>
        <w:rPr>
          <w:color w:val="auto"/>
          <w:highlight w:val="none"/>
        </w:rPr>
      </w:pPr>
      <w:r>
        <w:rPr>
          <w:rFonts w:hint="eastAsia" w:eastAsia="宋体"/>
          <w:color w:val="auto"/>
          <w:sz w:val="24"/>
          <w:szCs w:val="24"/>
          <w:highlight w:val="none"/>
        </w:rPr>
        <w:t>9</w:t>
      </w:r>
      <w:r>
        <w:rPr>
          <w:rFonts w:eastAsia="宋体"/>
          <w:color w:val="auto"/>
          <w:sz w:val="24"/>
          <w:szCs w:val="24"/>
          <w:highlight w:val="none"/>
        </w:rPr>
        <w:t>）承包人使用了不合格材料或工程设备，工程质量达不到标准要求，又拒绝清除不合格工程的，除按本合同通用条款约定执行外，每发生一次该事项承包人还需向发包人支付</w:t>
      </w:r>
      <w:r>
        <w:rPr>
          <w:rFonts w:hint="eastAsia" w:eastAsia="宋体"/>
          <w:color w:val="auto"/>
          <w:sz w:val="24"/>
          <w:szCs w:val="24"/>
          <w:highlight w:val="none"/>
          <w:u w:val="single"/>
        </w:rPr>
        <w:t xml:space="preserve"> </w:t>
      </w:r>
      <w:r>
        <w:rPr>
          <w:rFonts w:eastAsia="宋体"/>
          <w:color w:val="auto"/>
          <w:sz w:val="24"/>
          <w:szCs w:val="24"/>
          <w:highlight w:val="none"/>
          <w:u w:val="single"/>
        </w:rPr>
        <w:t>5万元</w:t>
      </w:r>
      <w:r>
        <w:rPr>
          <w:rFonts w:hint="eastAsia" w:eastAsia="宋体"/>
          <w:color w:val="auto"/>
          <w:sz w:val="24"/>
          <w:szCs w:val="24"/>
          <w:highlight w:val="none"/>
          <w:u w:val="single"/>
        </w:rPr>
        <w:t xml:space="preserve"> </w:t>
      </w:r>
      <w:r>
        <w:rPr>
          <w:rFonts w:eastAsia="宋体"/>
          <w:color w:val="auto"/>
          <w:sz w:val="24"/>
          <w:szCs w:val="24"/>
          <w:highlight w:val="none"/>
        </w:rPr>
        <w:t>违约金。</w:t>
      </w:r>
    </w:p>
    <w:p>
      <w:pPr>
        <w:pStyle w:val="52"/>
        <w:ind w:firstLine="480"/>
        <w:jc w:val="both"/>
        <w:rPr>
          <w:rFonts w:eastAsia="宋体"/>
          <w:color w:val="auto"/>
          <w:sz w:val="24"/>
          <w:szCs w:val="24"/>
          <w:highlight w:val="none"/>
        </w:rPr>
      </w:pPr>
      <w:r>
        <w:rPr>
          <w:rFonts w:hint="eastAsia" w:eastAsia="宋体"/>
          <w:color w:val="auto"/>
          <w:sz w:val="24"/>
          <w:szCs w:val="24"/>
          <w:highlight w:val="none"/>
        </w:rPr>
        <w:t>10）</w:t>
      </w:r>
      <w:r>
        <w:rPr>
          <w:rFonts w:eastAsia="宋体"/>
          <w:color w:val="auto"/>
          <w:sz w:val="24"/>
          <w:szCs w:val="24"/>
          <w:highlight w:val="none"/>
        </w:rPr>
        <w:t xml:space="preserve"> </w:t>
      </w:r>
      <w:r>
        <w:rPr>
          <w:rFonts w:hint="eastAsia" w:eastAsia="宋体"/>
          <w:color w:val="auto"/>
          <w:sz w:val="24"/>
          <w:szCs w:val="24"/>
          <w:highlight w:val="none"/>
        </w:rPr>
        <w:t>在粤海置地系统内在建工地质量安全综合评审中，排名倒数第一的，承包人项目管理团队将被约谈、公示；连续两次排名倒数第一的，承包人实施公司董事长（或总经理）须亲自出面协调解决项目管理中存在的问题，并由其牵头整改落实。自公布排名起一周内，经评定不合格的，由相关承包人提交专项整改方案，并经其实施公司董事长（或总经理）签批后报第三方评估单位审核，并</w:t>
      </w:r>
      <w:r>
        <w:rPr>
          <w:rFonts w:hint="eastAsia" w:eastAsia="宋体"/>
          <w:color w:val="auto"/>
          <w:sz w:val="24"/>
          <w:szCs w:val="24"/>
          <w:highlight w:val="none"/>
          <w:lang w:val="en-US" w:eastAsia="zh-CN"/>
        </w:rPr>
        <w:t>报</w:t>
      </w:r>
      <w:r>
        <w:rPr>
          <w:rFonts w:hint="eastAsia" w:eastAsia="宋体"/>
          <w:color w:val="auto"/>
          <w:sz w:val="24"/>
          <w:szCs w:val="24"/>
          <w:highlight w:val="none"/>
        </w:rPr>
        <w:t>发包人</w:t>
      </w:r>
      <w:r>
        <w:rPr>
          <w:rFonts w:hint="eastAsia" w:eastAsia="宋体"/>
          <w:color w:val="auto"/>
          <w:sz w:val="24"/>
          <w:szCs w:val="24"/>
          <w:highlight w:val="none"/>
          <w:lang w:val="en-US" w:eastAsia="zh-CN"/>
        </w:rPr>
        <w:t>审批</w:t>
      </w:r>
      <w:r>
        <w:rPr>
          <w:rFonts w:hint="eastAsia" w:eastAsia="宋体"/>
          <w:color w:val="auto"/>
          <w:sz w:val="24"/>
          <w:szCs w:val="24"/>
          <w:highlight w:val="none"/>
        </w:rPr>
        <w:t>备案，第三方评估单位、</w:t>
      </w:r>
      <w:r>
        <w:rPr>
          <w:rFonts w:hint="eastAsia" w:eastAsia="宋体"/>
          <w:color w:val="auto"/>
          <w:sz w:val="24"/>
          <w:szCs w:val="24"/>
          <w:highlight w:val="none"/>
          <w:lang w:eastAsia="zh-CN"/>
        </w:rPr>
        <w:t>发包人</w:t>
      </w:r>
      <w:r>
        <w:rPr>
          <w:rFonts w:hint="eastAsia" w:eastAsia="宋体"/>
          <w:color w:val="auto"/>
          <w:sz w:val="24"/>
          <w:szCs w:val="24"/>
          <w:highlight w:val="none"/>
        </w:rPr>
        <w:t>根据整改方案监督承包人整改落实效果；承包人整改后经评定仍不合格的，应按不合格次数向发包人按</w:t>
      </w:r>
      <w:r>
        <w:rPr>
          <w:rFonts w:eastAsia="宋体"/>
          <w:color w:val="auto"/>
          <w:sz w:val="24"/>
          <w:szCs w:val="24"/>
          <w:highlight w:val="none"/>
        </w:rPr>
        <w:t>10</w:t>
      </w:r>
      <w:r>
        <w:rPr>
          <w:rFonts w:hint="eastAsia" w:eastAsia="宋体"/>
          <w:color w:val="auto"/>
          <w:sz w:val="24"/>
          <w:szCs w:val="24"/>
          <w:highlight w:val="none"/>
        </w:rPr>
        <w:t>万元</w:t>
      </w:r>
      <w:r>
        <w:rPr>
          <w:rFonts w:eastAsia="宋体"/>
          <w:color w:val="auto"/>
          <w:sz w:val="24"/>
          <w:szCs w:val="24"/>
          <w:highlight w:val="none"/>
        </w:rPr>
        <w:t>/</w:t>
      </w:r>
      <w:r>
        <w:rPr>
          <w:rFonts w:hint="eastAsia" w:eastAsia="宋体"/>
          <w:color w:val="auto"/>
          <w:sz w:val="24"/>
          <w:szCs w:val="24"/>
          <w:highlight w:val="none"/>
        </w:rPr>
        <w:t>次承担违约责任，直至整改合格为止。若发现承包人在整改过程或整改结果中存在弄虚作假行为的，则承包人应按</w:t>
      </w:r>
      <w:r>
        <w:rPr>
          <w:rFonts w:eastAsia="宋体"/>
          <w:color w:val="auto"/>
          <w:sz w:val="24"/>
          <w:szCs w:val="24"/>
          <w:highlight w:val="none"/>
        </w:rPr>
        <w:t>15</w:t>
      </w:r>
      <w:r>
        <w:rPr>
          <w:rFonts w:hint="eastAsia" w:eastAsia="宋体"/>
          <w:color w:val="auto"/>
          <w:sz w:val="24"/>
          <w:szCs w:val="24"/>
          <w:highlight w:val="none"/>
        </w:rPr>
        <w:t>万元</w:t>
      </w:r>
      <w:r>
        <w:rPr>
          <w:rFonts w:eastAsia="宋体"/>
          <w:color w:val="auto"/>
          <w:sz w:val="24"/>
          <w:szCs w:val="24"/>
          <w:highlight w:val="none"/>
        </w:rPr>
        <w:t>/</w:t>
      </w:r>
      <w:r>
        <w:rPr>
          <w:rFonts w:hint="eastAsia" w:eastAsia="宋体"/>
          <w:color w:val="auto"/>
          <w:sz w:val="24"/>
          <w:szCs w:val="24"/>
          <w:highlight w:val="none"/>
        </w:rPr>
        <w:t>次承担违约责任。</w:t>
      </w:r>
    </w:p>
    <w:p>
      <w:pPr>
        <w:pStyle w:val="52"/>
        <w:ind w:firstLine="480"/>
        <w:jc w:val="both"/>
        <w:rPr>
          <w:rFonts w:eastAsia="宋体"/>
          <w:color w:val="auto"/>
          <w:sz w:val="24"/>
          <w:szCs w:val="24"/>
          <w:highlight w:val="none"/>
        </w:rPr>
      </w:pPr>
      <w:r>
        <w:rPr>
          <w:rFonts w:hint="eastAsia" w:eastAsia="宋体"/>
          <w:color w:val="auto"/>
          <w:sz w:val="24"/>
          <w:szCs w:val="24"/>
          <w:highlight w:val="none"/>
        </w:rPr>
        <w:t>11）承包人需积极配合发包人的供应商评价工作，配合落实供应商评价管理的实施。</w:t>
      </w:r>
    </w:p>
    <w:p>
      <w:pPr>
        <w:pStyle w:val="52"/>
        <w:ind w:firstLine="480"/>
        <w:jc w:val="both"/>
        <w:rPr>
          <w:rFonts w:eastAsia="宋体"/>
          <w:color w:val="auto"/>
          <w:sz w:val="24"/>
          <w:szCs w:val="24"/>
          <w:highlight w:val="none"/>
        </w:rPr>
      </w:pPr>
      <w:r>
        <w:rPr>
          <w:rFonts w:hint="eastAsia" w:eastAsia="宋体"/>
          <w:color w:val="auto"/>
          <w:sz w:val="24"/>
          <w:szCs w:val="24"/>
          <w:highlight w:val="none"/>
        </w:rPr>
        <w:t>12）承包人无正当理由拒绝或不积极配合发包人第三方质量安全评估、供应商评价工作的，每发生一次，发包人有权视情节严重程度要求承包人应按</w:t>
      </w:r>
      <w:r>
        <w:rPr>
          <w:rFonts w:eastAsia="宋体"/>
          <w:color w:val="auto"/>
          <w:sz w:val="24"/>
          <w:szCs w:val="24"/>
          <w:highlight w:val="none"/>
        </w:rPr>
        <w:t>3~5</w:t>
      </w:r>
      <w:r>
        <w:rPr>
          <w:rFonts w:hint="eastAsia" w:eastAsia="宋体"/>
          <w:color w:val="auto"/>
          <w:sz w:val="24"/>
          <w:szCs w:val="24"/>
          <w:highlight w:val="none"/>
        </w:rPr>
        <w:t>万元</w:t>
      </w:r>
      <w:r>
        <w:rPr>
          <w:rFonts w:eastAsia="宋体"/>
          <w:color w:val="auto"/>
          <w:sz w:val="24"/>
          <w:szCs w:val="24"/>
          <w:highlight w:val="none"/>
        </w:rPr>
        <w:t>/</w:t>
      </w:r>
      <w:r>
        <w:rPr>
          <w:rFonts w:hint="eastAsia" w:eastAsia="宋体"/>
          <w:color w:val="auto"/>
          <w:sz w:val="24"/>
          <w:szCs w:val="24"/>
          <w:highlight w:val="none"/>
        </w:rPr>
        <w:t>次向发包人支付违约金。</w:t>
      </w:r>
    </w:p>
    <w:p>
      <w:pPr>
        <w:pStyle w:val="52"/>
        <w:ind w:firstLine="480"/>
        <w:jc w:val="both"/>
        <w:rPr>
          <w:rFonts w:eastAsia="宋体"/>
          <w:color w:val="auto"/>
          <w:sz w:val="24"/>
          <w:szCs w:val="24"/>
          <w:highlight w:val="none"/>
        </w:rPr>
      </w:pPr>
      <w:r>
        <w:rPr>
          <w:rFonts w:eastAsia="宋体"/>
          <w:color w:val="auto"/>
          <w:sz w:val="24"/>
          <w:szCs w:val="24"/>
          <w:highlight w:val="none"/>
        </w:rPr>
        <w:t>22.1.9.4</w:t>
      </w:r>
      <w:r>
        <w:rPr>
          <w:rFonts w:hint="eastAsia" w:eastAsia="宋体"/>
          <w:color w:val="auto"/>
          <w:sz w:val="24"/>
          <w:szCs w:val="24"/>
          <w:highlight w:val="none"/>
        </w:rPr>
        <w:t xml:space="preserve">. </w:t>
      </w:r>
      <w:r>
        <w:rPr>
          <w:rFonts w:eastAsia="宋体"/>
          <w:color w:val="auto"/>
          <w:sz w:val="24"/>
          <w:szCs w:val="24"/>
          <w:highlight w:val="none"/>
        </w:rPr>
        <w:t>绿色施工安全防护措施方面：</w:t>
      </w:r>
    </w:p>
    <w:p>
      <w:pPr>
        <w:pStyle w:val="52"/>
        <w:ind w:firstLine="480"/>
        <w:jc w:val="both"/>
        <w:rPr>
          <w:rFonts w:eastAsia="宋体"/>
          <w:color w:val="auto"/>
          <w:sz w:val="24"/>
          <w:szCs w:val="24"/>
          <w:highlight w:val="none"/>
        </w:rPr>
      </w:pPr>
      <w:r>
        <w:rPr>
          <w:rFonts w:eastAsia="宋体"/>
          <w:color w:val="auto"/>
          <w:sz w:val="24"/>
          <w:szCs w:val="24"/>
          <w:highlight w:val="none"/>
        </w:rPr>
        <w:t>1）发生承包人施工人员或者劳务人员以非正常手段索取工程款或者聚众滋事或到党政机关、司法部门、发包人所在单位及其上级主管公司非法上访、聚众闹事、拉横幅、静坐、游行等事件的，每发生一次，承包人应向发包人支付人民币</w:t>
      </w:r>
      <w:r>
        <w:rPr>
          <w:rFonts w:eastAsia="宋体"/>
          <w:color w:val="auto"/>
          <w:sz w:val="24"/>
          <w:szCs w:val="24"/>
          <w:highlight w:val="none"/>
          <w:u w:val="single"/>
        </w:rPr>
        <w:t xml:space="preserve"> 20 万元/次</w:t>
      </w:r>
      <w:r>
        <w:rPr>
          <w:rFonts w:hint="eastAsia" w:eastAsia="宋体"/>
          <w:color w:val="auto"/>
          <w:sz w:val="24"/>
          <w:szCs w:val="24"/>
          <w:highlight w:val="none"/>
          <w:u w:val="single"/>
        </w:rPr>
        <w:t xml:space="preserve"> </w:t>
      </w:r>
      <w:r>
        <w:rPr>
          <w:rFonts w:eastAsia="宋体"/>
          <w:color w:val="auto"/>
          <w:sz w:val="24"/>
          <w:szCs w:val="24"/>
          <w:highlight w:val="none"/>
        </w:rPr>
        <w:t>的违约金。</w:t>
      </w:r>
    </w:p>
    <w:p>
      <w:pPr>
        <w:pStyle w:val="52"/>
        <w:ind w:firstLine="480"/>
        <w:jc w:val="both"/>
        <w:rPr>
          <w:rFonts w:eastAsia="宋体"/>
          <w:color w:val="auto"/>
          <w:sz w:val="24"/>
          <w:szCs w:val="24"/>
          <w:highlight w:val="none"/>
        </w:rPr>
      </w:pPr>
      <w:r>
        <w:rPr>
          <w:rFonts w:eastAsia="宋体"/>
          <w:color w:val="auto"/>
          <w:sz w:val="24"/>
          <w:szCs w:val="24"/>
          <w:highlight w:val="none"/>
        </w:rPr>
        <w:t>2）安全文明施工若达不到项目所在地市级建设行政主管部门安全文明验收标准或者验收后不能保持到工程移交完毕的，承包人应限期整改完成，并向发包人支付人民币</w:t>
      </w:r>
      <w:r>
        <w:rPr>
          <w:rFonts w:eastAsia="宋体"/>
          <w:color w:val="auto"/>
          <w:sz w:val="24"/>
          <w:szCs w:val="24"/>
          <w:highlight w:val="none"/>
          <w:u w:val="single"/>
        </w:rPr>
        <w:t xml:space="preserve"> 1万 </w:t>
      </w:r>
      <w:r>
        <w:rPr>
          <w:rFonts w:eastAsia="宋体"/>
          <w:color w:val="auto"/>
          <w:sz w:val="24"/>
          <w:szCs w:val="24"/>
          <w:highlight w:val="none"/>
        </w:rPr>
        <w:t>元的违约金。</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3）承包人违反发包人现场管理制度有关规定的，按照发包人现场管理制度的有关规定处理，并视实际情况支付违约金人民币</w:t>
      </w:r>
      <w:r>
        <w:rPr>
          <w:rFonts w:eastAsiaTheme="majorEastAsia"/>
          <w:color w:val="auto"/>
          <w:sz w:val="24"/>
          <w:szCs w:val="24"/>
          <w:highlight w:val="none"/>
          <w:u w:val="single"/>
        </w:rPr>
        <w:t xml:space="preserve"> 5000 </w:t>
      </w:r>
      <w:r>
        <w:rPr>
          <w:rFonts w:eastAsiaTheme="majorEastAsia"/>
          <w:color w:val="auto"/>
          <w:sz w:val="24"/>
          <w:szCs w:val="24"/>
          <w:highlight w:val="none"/>
        </w:rPr>
        <w:t>元。</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4）承包人对发包人指出的安全问题未按时整改并回复，承包人应限期整改完成并向发包人支付</w:t>
      </w:r>
      <w:r>
        <w:rPr>
          <w:rFonts w:hint="eastAsia" w:eastAsiaTheme="majorEastAsia"/>
          <w:color w:val="auto"/>
          <w:sz w:val="24"/>
          <w:szCs w:val="24"/>
          <w:highlight w:val="none"/>
          <w:u w:val="single"/>
        </w:rPr>
        <w:t xml:space="preserve"> </w:t>
      </w:r>
      <w:r>
        <w:rPr>
          <w:rFonts w:eastAsiaTheme="majorEastAsia"/>
          <w:color w:val="auto"/>
          <w:sz w:val="24"/>
          <w:szCs w:val="24"/>
          <w:highlight w:val="none"/>
          <w:u w:val="single"/>
        </w:rPr>
        <w:t>5000元/次</w:t>
      </w:r>
      <w:r>
        <w:rPr>
          <w:rFonts w:hint="eastAsia" w:eastAsiaTheme="majorEastAsia"/>
          <w:color w:val="auto"/>
          <w:sz w:val="24"/>
          <w:szCs w:val="24"/>
          <w:highlight w:val="none"/>
          <w:u w:val="single"/>
        </w:rPr>
        <w:t xml:space="preserve"> </w:t>
      </w:r>
      <w:r>
        <w:rPr>
          <w:rFonts w:eastAsiaTheme="majorEastAsia"/>
          <w:color w:val="auto"/>
          <w:sz w:val="24"/>
          <w:szCs w:val="24"/>
          <w:highlight w:val="none"/>
        </w:rPr>
        <w:t>违约金，对严重安全隐患未及时整改的，承包人向发包人支付</w:t>
      </w:r>
      <w:r>
        <w:rPr>
          <w:rFonts w:hint="eastAsia" w:eastAsiaTheme="majorEastAsia"/>
          <w:color w:val="auto"/>
          <w:sz w:val="24"/>
          <w:szCs w:val="24"/>
          <w:highlight w:val="none"/>
          <w:u w:val="single"/>
        </w:rPr>
        <w:t xml:space="preserve"> </w:t>
      </w:r>
      <w:r>
        <w:rPr>
          <w:rFonts w:eastAsiaTheme="majorEastAsia"/>
          <w:color w:val="auto"/>
          <w:sz w:val="24"/>
          <w:szCs w:val="24"/>
          <w:highlight w:val="none"/>
          <w:u w:val="single"/>
        </w:rPr>
        <w:t>10000元/次</w:t>
      </w:r>
      <w:r>
        <w:rPr>
          <w:rFonts w:hint="eastAsia" w:eastAsiaTheme="majorEastAsia"/>
          <w:color w:val="auto"/>
          <w:sz w:val="24"/>
          <w:szCs w:val="24"/>
          <w:highlight w:val="none"/>
          <w:u w:val="single"/>
        </w:rPr>
        <w:t xml:space="preserve"> </w:t>
      </w:r>
      <w:r>
        <w:rPr>
          <w:rFonts w:eastAsiaTheme="majorEastAsia"/>
          <w:color w:val="auto"/>
          <w:sz w:val="24"/>
          <w:szCs w:val="24"/>
          <w:highlight w:val="none"/>
        </w:rPr>
        <w:t>的违约金，并在当月进度款中扣除。</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5）承包人应保证施工场地清洁符合环境卫生管理的有关要求，做到工完场清，即建筑垃圾须及时清运出场，否则发包人有权另行委托他人清理，发生的费用由承包人双倍承担，且不低于</w:t>
      </w:r>
      <w:r>
        <w:rPr>
          <w:rFonts w:hint="eastAsia" w:eastAsiaTheme="majorEastAsia"/>
          <w:color w:val="auto"/>
          <w:sz w:val="24"/>
          <w:szCs w:val="24"/>
          <w:highlight w:val="none"/>
          <w:u w:val="single"/>
        </w:rPr>
        <w:t xml:space="preserve"> </w:t>
      </w:r>
      <w:r>
        <w:rPr>
          <w:rFonts w:eastAsiaTheme="majorEastAsia"/>
          <w:color w:val="auto"/>
          <w:sz w:val="24"/>
          <w:szCs w:val="24"/>
          <w:highlight w:val="none"/>
          <w:u w:val="single"/>
        </w:rPr>
        <w:t>2000元/次</w:t>
      </w:r>
      <w:r>
        <w:rPr>
          <w:rFonts w:hint="eastAsia" w:eastAsiaTheme="majorEastAsia"/>
          <w:color w:val="auto"/>
          <w:sz w:val="24"/>
          <w:szCs w:val="24"/>
          <w:highlight w:val="none"/>
          <w:u w:val="single"/>
        </w:rPr>
        <w:t xml:space="preserve"> </w:t>
      </w:r>
      <w:r>
        <w:rPr>
          <w:rFonts w:eastAsiaTheme="majorEastAsia"/>
          <w:color w:val="auto"/>
          <w:sz w:val="24"/>
          <w:szCs w:val="24"/>
          <w:highlight w:val="none"/>
        </w:rPr>
        <w:t>。</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6）对于承包人未予实施的分项安全文明措施项目，发包人将对包干安全文明措施费作相应的扣减，该费用将直接从合同</w:t>
      </w:r>
      <w:r>
        <w:rPr>
          <w:rFonts w:hint="eastAsia" w:eastAsiaTheme="majorEastAsia"/>
          <w:color w:val="auto"/>
          <w:sz w:val="24"/>
          <w:szCs w:val="24"/>
          <w:highlight w:val="none"/>
        </w:rPr>
        <w:t>暂定</w:t>
      </w:r>
      <w:r>
        <w:rPr>
          <w:rFonts w:eastAsiaTheme="majorEastAsia"/>
          <w:color w:val="auto"/>
          <w:sz w:val="24"/>
          <w:szCs w:val="24"/>
          <w:highlight w:val="none"/>
        </w:rPr>
        <w:t>总价中扣除。其他违反本规定的行为，</w:t>
      </w:r>
      <w:r>
        <w:rPr>
          <w:rFonts w:hint="eastAsia" w:eastAsiaTheme="majorEastAsia"/>
          <w:color w:val="auto"/>
          <w:sz w:val="24"/>
          <w:szCs w:val="24"/>
          <w:highlight w:val="none"/>
          <w:lang w:eastAsia="zh-CN"/>
        </w:rPr>
        <w:t>发包人</w:t>
      </w:r>
      <w:r>
        <w:rPr>
          <w:rFonts w:eastAsiaTheme="majorEastAsia"/>
          <w:color w:val="auto"/>
          <w:sz w:val="24"/>
          <w:szCs w:val="24"/>
          <w:highlight w:val="none"/>
        </w:rPr>
        <w:t>有权按照本合同的条款收取违约金。</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7）承包人因自身原因造成安全事故（含工程质量事故）的，除按国家规定由行政主管部门处罚外，承包人应承担事故处理的所有责任和费用、赔偿发包人的一切损失（包括但不限于行政主管部门的罚款、工期等延误损失、第三方索赔、名誉损害、因此增加的费用支出等），并视安全或质量事故严重程度，发包人保留随时解除合同的权利。</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8）除本合同约定外，承包人还应严格执行</w:t>
      </w:r>
      <w:r>
        <w:rPr>
          <w:rFonts w:eastAsia="宋体"/>
          <w:color w:val="auto"/>
          <w:sz w:val="24"/>
          <w:szCs w:val="24"/>
          <w:highlight w:val="none"/>
        </w:rPr>
        <w:t>本合同</w:t>
      </w:r>
      <w:r>
        <w:rPr>
          <w:rFonts w:hint="eastAsia" w:eastAsia="宋体"/>
          <w:color w:val="auto"/>
          <w:sz w:val="24"/>
          <w:szCs w:val="24"/>
          <w:highlight w:val="none"/>
          <w:lang w:eastAsia="zh-CN"/>
        </w:rPr>
        <w:t>附件1</w:t>
      </w:r>
      <w:r>
        <w:rPr>
          <w:rFonts w:hint="eastAsia" w:eastAsia="宋体"/>
          <w:color w:val="auto"/>
          <w:sz w:val="24"/>
          <w:szCs w:val="24"/>
          <w:highlight w:val="none"/>
          <w:lang w:val="en-US" w:eastAsia="zh-CN"/>
        </w:rPr>
        <w:t>1</w:t>
      </w:r>
      <w:r>
        <w:rPr>
          <w:rFonts w:hint="eastAsia" w:eastAsia="宋体"/>
          <w:color w:val="auto"/>
          <w:sz w:val="24"/>
          <w:szCs w:val="24"/>
          <w:highlight w:val="none"/>
          <w:lang w:eastAsia="zh-CN"/>
        </w:rPr>
        <w:t>《安全管理协议书》</w:t>
      </w:r>
      <w:r>
        <w:rPr>
          <w:rFonts w:hint="eastAsia" w:eastAsia="宋体"/>
          <w:color w:val="auto"/>
          <w:sz w:val="24"/>
          <w:szCs w:val="24"/>
          <w:highlight w:val="none"/>
        </w:rPr>
        <w:t>和</w:t>
      </w:r>
      <w:r>
        <w:rPr>
          <w:rFonts w:eastAsia="宋体"/>
          <w:color w:val="auto"/>
          <w:sz w:val="24"/>
          <w:szCs w:val="24"/>
          <w:highlight w:val="none"/>
        </w:rPr>
        <w:t>本合同</w:t>
      </w:r>
      <w:r>
        <w:rPr>
          <w:rFonts w:hint="eastAsia" w:eastAsia="宋体"/>
          <w:color w:val="auto"/>
          <w:sz w:val="24"/>
          <w:szCs w:val="24"/>
          <w:highlight w:val="none"/>
          <w:lang w:eastAsia="zh-CN"/>
        </w:rPr>
        <w:t>附件1</w:t>
      </w:r>
      <w:r>
        <w:rPr>
          <w:rFonts w:hint="eastAsia" w:eastAsia="宋体"/>
          <w:color w:val="auto"/>
          <w:sz w:val="24"/>
          <w:szCs w:val="24"/>
          <w:highlight w:val="none"/>
          <w:lang w:val="en-US" w:eastAsia="zh-CN"/>
        </w:rPr>
        <w:t>2</w:t>
      </w:r>
      <w:r>
        <w:rPr>
          <w:rFonts w:hint="eastAsia" w:eastAsia="宋体"/>
          <w:color w:val="auto"/>
          <w:sz w:val="24"/>
          <w:szCs w:val="24"/>
          <w:highlight w:val="none"/>
          <w:lang w:eastAsia="zh-CN"/>
        </w:rPr>
        <w:t>《安全管理专篇》</w:t>
      </w:r>
      <w:r>
        <w:rPr>
          <w:rFonts w:eastAsiaTheme="majorEastAsia"/>
          <w:color w:val="auto"/>
          <w:sz w:val="24"/>
          <w:szCs w:val="24"/>
          <w:highlight w:val="none"/>
        </w:rPr>
        <w:t>的相关规定并承担违约责任。本合同违约责任约定与</w:t>
      </w:r>
      <w:r>
        <w:rPr>
          <w:rFonts w:eastAsia="宋体"/>
          <w:color w:val="auto"/>
          <w:sz w:val="24"/>
          <w:szCs w:val="24"/>
          <w:highlight w:val="none"/>
        </w:rPr>
        <w:t>本合同</w:t>
      </w:r>
      <w:r>
        <w:rPr>
          <w:rFonts w:hint="eastAsia" w:eastAsia="宋体"/>
          <w:color w:val="auto"/>
          <w:sz w:val="24"/>
          <w:szCs w:val="24"/>
          <w:highlight w:val="none"/>
          <w:lang w:eastAsia="zh-CN"/>
        </w:rPr>
        <w:t>附件1</w:t>
      </w:r>
      <w:r>
        <w:rPr>
          <w:rFonts w:hint="eastAsia" w:eastAsia="宋体"/>
          <w:color w:val="auto"/>
          <w:sz w:val="24"/>
          <w:szCs w:val="24"/>
          <w:highlight w:val="none"/>
          <w:lang w:val="en-US" w:eastAsia="zh-CN"/>
        </w:rPr>
        <w:t>1</w:t>
      </w:r>
      <w:r>
        <w:rPr>
          <w:rFonts w:hint="eastAsia" w:eastAsia="宋体"/>
          <w:color w:val="auto"/>
          <w:sz w:val="24"/>
          <w:szCs w:val="24"/>
          <w:highlight w:val="none"/>
          <w:lang w:eastAsia="zh-CN"/>
        </w:rPr>
        <w:t>《安全管理协议书》</w:t>
      </w:r>
      <w:r>
        <w:rPr>
          <w:rFonts w:hint="eastAsia" w:eastAsia="宋体"/>
          <w:color w:val="auto"/>
          <w:sz w:val="24"/>
          <w:szCs w:val="24"/>
          <w:highlight w:val="none"/>
        </w:rPr>
        <w:t>和</w:t>
      </w:r>
      <w:r>
        <w:rPr>
          <w:rFonts w:eastAsia="宋体"/>
          <w:color w:val="auto"/>
          <w:sz w:val="24"/>
          <w:szCs w:val="24"/>
          <w:highlight w:val="none"/>
        </w:rPr>
        <w:t>本合同</w:t>
      </w:r>
      <w:r>
        <w:rPr>
          <w:rFonts w:hint="eastAsia" w:eastAsia="宋体"/>
          <w:color w:val="auto"/>
          <w:sz w:val="24"/>
          <w:szCs w:val="24"/>
          <w:highlight w:val="none"/>
          <w:lang w:eastAsia="zh-CN"/>
        </w:rPr>
        <w:t>附件</w:t>
      </w:r>
      <w:r>
        <w:rPr>
          <w:rFonts w:hint="eastAsia" w:eastAsia="宋体"/>
          <w:color w:val="auto"/>
          <w:sz w:val="24"/>
          <w:szCs w:val="24"/>
          <w:highlight w:val="none"/>
          <w:lang w:val="en-US" w:eastAsia="zh-CN"/>
        </w:rPr>
        <w:t>12</w:t>
      </w:r>
      <w:r>
        <w:rPr>
          <w:rFonts w:hint="eastAsia" w:eastAsia="宋体"/>
          <w:color w:val="auto"/>
          <w:sz w:val="24"/>
          <w:szCs w:val="24"/>
          <w:highlight w:val="none"/>
          <w:lang w:eastAsia="zh-CN"/>
        </w:rPr>
        <w:t>《安全管理专篇》</w:t>
      </w:r>
      <w:r>
        <w:rPr>
          <w:rFonts w:eastAsiaTheme="majorEastAsia"/>
          <w:color w:val="auto"/>
          <w:sz w:val="24"/>
          <w:szCs w:val="24"/>
          <w:highlight w:val="none"/>
        </w:rPr>
        <w:t>约定不一致的，以较严或较高违约约定为准。</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22.1.9.5</w:t>
      </w:r>
      <w:r>
        <w:rPr>
          <w:rFonts w:hint="eastAsia" w:eastAsiaTheme="majorEastAsia"/>
          <w:color w:val="auto"/>
          <w:sz w:val="24"/>
          <w:szCs w:val="24"/>
          <w:highlight w:val="none"/>
        </w:rPr>
        <w:t xml:space="preserve">. </w:t>
      </w:r>
      <w:r>
        <w:rPr>
          <w:rFonts w:eastAsiaTheme="majorEastAsia"/>
          <w:color w:val="auto"/>
          <w:sz w:val="24"/>
          <w:szCs w:val="24"/>
          <w:highlight w:val="none"/>
        </w:rPr>
        <w:t>工程组织管理方面：</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1）承包人违反本合同的约定，不服从</w:t>
      </w:r>
      <w:r>
        <w:rPr>
          <w:rFonts w:hint="eastAsia" w:eastAsiaTheme="majorEastAsia"/>
          <w:color w:val="auto"/>
          <w:sz w:val="24"/>
          <w:szCs w:val="24"/>
          <w:highlight w:val="none"/>
          <w:lang w:eastAsia="zh-CN"/>
        </w:rPr>
        <w:t>发包人</w:t>
      </w:r>
      <w:r>
        <w:rPr>
          <w:rFonts w:eastAsiaTheme="majorEastAsia"/>
          <w:color w:val="auto"/>
          <w:sz w:val="24"/>
          <w:szCs w:val="24"/>
          <w:highlight w:val="none"/>
        </w:rPr>
        <w:t>的管理，对</w:t>
      </w:r>
      <w:r>
        <w:rPr>
          <w:rFonts w:hint="eastAsia" w:eastAsiaTheme="majorEastAsia"/>
          <w:color w:val="auto"/>
          <w:sz w:val="24"/>
          <w:szCs w:val="24"/>
          <w:highlight w:val="none"/>
          <w:lang w:eastAsia="zh-CN"/>
        </w:rPr>
        <w:t>发包人</w:t>
      </w:r>
      <w:r>
        <w:rPr>
          <w:rFonts w:eastAsiaTheme="majorEastAsia"/>
          <w:color w:val="auto"/>
          <w:sz w:val="24"/>
          <w:szCs w:val="24"/>
          <w:highlight w:val="none"/>
        </w:rPr>
        <w:t>的指令和书面通知（具体形式包括但不限于设计变更通知、工程指令、现场签证、工程联系单、会议纪要等）公开或变相拒不执行的，发包人视情节严重程度有权要求承包人支付违约金人民币5000元至50000元，并由承包人承担由此造成的一切经济损失。情节特别严重的，发包人有权单方面部分解除合同或解除合同。</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2）项目经理未经发包人同意不参加会议的，每人次须向发包人支付</w:t>
      </w:r>
      <w:r>
        <w:rPr>
          <w:rFonts w:hint="eastAsia" w:eastAsiaTheme="majorEastAsia"/>
          <w:color w:val="auto"/>
          <w:sz w:val="24"/>
          <w:szCs w:val="24"/>
          <w:highlight w:val="none"/>
          <w:u w:val="single"/>
        </w:rPr>
        <w:t xml:space="preserve"> </w:t>
      </w:r>
      <w:r>
        <w:rPr>
          <w:rFonts w:eastAsiaTheme="majorEastAsia"/>
          <w:color w:val="auto"/>
          <w:sz w:val="24"/>
          <w:szCs w:val="24"/>
          <w:highlight w:val="none"/>
          <w:u w:val="single"/>
        </w:rPr>
        <w:t>5000元</w:t>
      </w:r>
      <w:r>
        <w:rPr>
          <w:rFonts w:hint="eastAsia" w:eastAsiaTheme="majorEastAsia"/>
          <w:color w:val="auto"/>
          <w:sz w:val="24"/>
          <w:szCs w:val="24"/>
          <w:highlight w:val="none"/>
          <w:u w:val="single"/>
        </w:rPr>
        <w:t xml:space="preserve"> </w:t>
      </w:r>
      <w:r>
        <w:rPr>
          <w:rFonts w:eastAsiaTheme="majorEastAsia"/>
          <w:color w:val="auto"/>
          <w:sz w:val="24"/>
          <w:szCs w:val="24"/>
          <w:highlight w:val="none"/>
        </w:rPr>
        <w:t>违约金。</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22.1.9.6</w:t>
      </w:r>
      <w:r>
        <w:rPr>
          <w:rFonts w:hint="eastAsia" w:eastAsiaTheme="majorEastAsia"/>
          <w:color w:val="auto"/>
          <w:sz w:val="24"/>
          <w:szCs w:val="24"/>
          <w:highlight w:val="none"/>
        </w:rPr>
        <w:t>.</w:t>
      </w:r>
      <w:r>
        <w:rPr>
          <w:rFonts w:eastAsiaTheme="majorEastAsia"/>
          <w:color w:val="auto"/>
          <w:sz w:val="24"/>
          <w:szCs w:val="24"/>
          <w:highlight w:val="none"/>
        </w:rPr>
        <w:t xml:space="preserve"> 本合同因承包人的原因解除的，承包人应向发包人支付合同暂定总价10%的违约金，发包人有权从结算款中直接扣除上述违约金。如上述违约金不足以弥补发包人由此所遭受损失的，承包人还应承担继续赔偿的责任。</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22.1.9.7</w:t>
      </w:r>
      <w:r>
        <w:rPr>
          <w:rFonts w:hint="eastAsia" w:eastAsiaTheme="majorEastAsia"/>
          <w:color w:val="auto"/>
          <w:sz w:val="24"/>
          <w:szCs w:val="24"/>
          <w:highlight w:val="none"/>
        </w:rPr>
        <w:t>.</w:t>
      </w:r>
      <w:r>
        <w:rPr>
          <w:rFonts w:eastAsiaTheme="majorEastAsia"/>
          <w:color w:val="auto"/>
          <w:sz w:val="24"/>
          <w:szCs w:val="24"/>
          <w:highlight w:val="none"/>
        </w:rPr>
        <w:t xml:space="preserve"> 除本合同另有约定外，承包人违约造成发包人损失的，除应支付本合同约定的违约金外，还应赔偿发包人的损失，承包人承担违约赔偿责任的范围包括但不限于发包人的直接经济损失、向第三方承担的违约责任以及发生的诉讼费、仲裁费、律师费等费用支出。</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22.1.9.8</w:t>
      </w:r>
      <w:r>
        <w:rPr>
          <w:rFonts w:hint="eastAsia" w:eastAsiaTheme="majorEastAsia"/>
          <w:color w:val="auto"/>
          <w:sz w:val="24"/>
          <w:szCs w:val="24"/>
          <w:highlight w:val="none"/>
        </w:rPr>
        <w:t>.</w:t>
      </w:r>
      <w:r>
        <w:rPr>
          <w:rFonts w:eastAsiaTheme="majorEastAsia"/>
          <w:color w:val="auto"/>
          <w:sz w:val="24"/>
          <w:szCs w:val="24"/>
          <w:highlight w:val="none"/>
        </w:rPr>
        <w:t xml:space="preserve"> 在出现以下情况时，发包人有权拒绝承包人参与发包人后续招标项目的投标：</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（1）承包人因过错行为被生效法律文书认定承担违约或侵权责任的；</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（2）承包人就其与发包人之间的争议问题向人民法院提起诉讼或向仲裁机构提请仲裁，且该诉讼或仲裁案件尚未审理终结的；</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（3）承包人不按合同及有关规定按时、足额支付分包人合同价款及工人工资被投诉，经发包人查证属实的，或因此致使工人集体上访、集聚围阻而造成社会不良影响的；</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4）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（5）发包人无法接受的承包人严重违约行为。</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22.1.9.9</w:t>
      </w:r>
      <w:r>
        <w:rPr>
          <w:rFonts w:hint="eastAsia" w:eastAsiaTheme="majorEastAsia"/>
          <w:color w:val="auto"/>
          <w:sz w:val="24"/>
          <w:szCs w:val="24"/>
          <w:highlight w:val="none"/>
        </w:rPr>
        <w:t>.</w:t>
      </w:r>
      <w:r>
        <w:rPr>
          <w:rFonts w:eastAsiaTheme="majorEastAsia"/>
          <w:color w:val="auto"/>
          <w:sz w:val="24"/>
          <w:szCs w:val="24"/>
          <w:highlight w:val="none"/>
        </w:rPr>
        <w:t xml:space="preserve"> 若因承包人原因使得发包人为其垫付有关费用的，自垫付之日起，承包人应按中国人民银行同期同类存款基准利率向发包人支付利息，直至垫付费用及利息被发包人在当期应支付的进度款中抵扣完毕或承包人直接向发包人偿还该垫付费用及利息为止。同时，除本合同另有约定外，每发生一次垫付行为，发包人有权要求承包人按垫付金额的 </w:t>
      </w:r>
      <w:r>
        <w:rPr>
          <w:rFonts w:eastAsiaTheme="majorEastAsia"/>
          <w:color w:val="auto"/>
          <w:sz w:val="24"/>
          <w:szCs w:val="24"/>
          <w:highlight w:val="none"/>
          <w:u w:val="single"/>
        </w:rPr>
        <w:t xml:space="preserve">20％ </w:t>
      </w:r>
      <w:r>
        <w:rPr>
          <w:rFonts w:eastAsiaTheme="majorEastAsia"/>
          <w:color w:val="auto"/>
          <w:sz w:val="24"/>
          <w:szCs w:val="24"/>
          <w:highlight w:val="none"/>
        </w:rPr>
        <w:t>向发包人支付违约金。</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22.1.9.10</w:t>
      </w:r>
      <w:r>
        <w:rPr>
          <w:rFonts w:hint="eastAsia" w:eastAsiaTheme="majorEastAsia"/>
          <w:color w:val="auto"/>
          <w:sz w:val="24"/>
          <w:szCs w:val="24"/>
          <w:highlight w:val="none"/>
        </w:rPr>
        <w:t>.</w:t>
      </w:r>
      <w:r>
        <w:rPr>
          <w:rFonts w:eastAsiaTheme="majorEastAsia"/>
          <w:color w:val="auto"/>
          <w:sz w:val="24"/>
          <w:szCs w:val="24"/>
          <w:highlight w:val="none"/>
        </w:rPr>
        <w:t xml:space="preserve"> 承包人发生重大诉讼或仲裁、经营状况严重恶化、资质吊销或降级、重大不利报道、银行账户被冻结及其他对本合同继续履行构成重大不利情形，或进入破产、重整、解散或清算程序的，或者因承包人自身债务问题造成发包人被法院要求协助诉讼保全、协助执行（法院的法律文书形式包括但不限于协助执行通知、履行到期债务通知等协助执行函件），承包人在发包人通知后14日内不能妥善解决的，发包人有权通知承包人解除本合同，承包人应按合同</w:t>
      </w:r>
      <w:r>
        <w:rPr>
          <w:rFonts w:hint="eastAsia" w:eastAsiaTheme="majorEastAsia"/>
          <w:color w:val="auto"/>
          <w:sz w:val="24"/>
          <w:szCs w:val="24"/>
          <w:highlight w:val="none"/>
        </w:rPr>
        <w:t>暂定</w:t>
      </w:r>
      <w:r>
        <w:rPr>
          <w:rFonts w:eastAsiaTheme="majorEastAsia"/>
          <w:color w:val="auto"/>
          <w:sz w:val="24"/>
          <w:szCs w:val="24"/>
          <w:highlight w:val="none"/>
        </w:rPr>
        <w:t>总价的</w:t>
      </w:r>
      <w:r>
        <w:rPr>
          <w:rFonts w:eastAsiaTheme="majorEastAsia"/>
          <w:color w:val="auto"/>
          <w:sz w:val="24"/>
          <w:szCs w:val="24"/>
          <w:highlight w:val="none"/>
          <w:u w:val="single"/>
        </w:rPr>
        <w:t>10%</w:t>
      </w:r>
      <w:r>
        <w:rPr>
          <w:rFonts w:eastAsiaTheme="majorEastAsia"/>
          <w:color w:val="auto"/>
          <w:sz w:val="24"/>
          <w:szCs w:val="24"/>
          <w:highlight w:val="none"/>
        </w:rPr>
        <w:t>向发包人支付违约金，并在约定或发包人指示的期限内完成清场和撤离</w:t>
      </w:r>
      <w:r>
        <w:rPr>
          <w:rFonts w:hint="eastAsia" w:eastAsiaTheme="majorEastAsia"/>
          <w:color w:val="auto"/>
          <w:sz w:val="24"/>
          <w:szCs w:val="24"/>
          <w:highlight w:val="none"/>
        </w:rPr>
        <w:t>。</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22.1.9.11</w:t>
      </w:r>
      <w:r>
        <w:rPr>
          <w:rFonts w:hint="eastAsia" w:eastAsiaTheme="majorEastAsia"/>
          <w:color w:val="auto"/>
          <w:sz w:val="24"/>
          <w:szCs w:val="24"/>
          <w:highlight w:val="none"/>
        </w:rPr>
        <w:t>.</w:t>
      </w:r>
      <w:r>
        <w:rPr>
          <w:rFonts w:eastAsiaTheme="majorEastAsia"/>
          <w:color w:val="auto"/>
          <w:sz w:val="24"/>
          <w:szCs w:val="24"/>
          <w:highlight w:val="none"/>
        </w:rPr>
        <w:t xml:space="preserve"> 承包人未能按照合同约定履行其他义务，又未能在</w:t>
      </w:r>
      <w:r>
        <w:rPr>
          <w:rFonts w:hint="eastAsia" w:eastAsiaTheme="majorEastAsia"/>
          <w:color w:val="auto"/>
          <w:sz w:val="24"/>
          <w:szCs w:val="24"/>
          <w:highlight w:val="none"/>
          <w:lang w:eastAsia="zh-CN"/>
        </w:rPr>
        <w:t>发包人</w:t>
      </w:r>
      <w:r>
        <w:rPr>
          <w:rFonts w:eastAsiaTheme="majorEastAsia"/>
          <w:color w:val="auto"/>
          <w:sz w:val="24"/>
          <w:szCs w:val="24"/>
          <w:highlight w:val="none"/>
        </w:rPr>
        <w:t>指定的期限内有效改正的，每逾期一日，应向发包人承担合同暂定总价的万分之一的违约金（专用条款另外有明确约定违约金的，按该等约定执行），且发包人有权随时向承包人发出解除合同通知。</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22.1.9.12</w:t>
      </w:r>
      <w:r>
        <w:rPr>
          <w:rFonts w:hint="eastAsia" w:eastAsiaTheme="majorEastAsia"/>
          <w:color w:val="auto"/>
          <w:sz w:val="24"/>
          <w:szCs w:val="24"/>
          <w:highlight w:val="none"/>
        </w:rPr>
        <w:t>.</w:t>
      </w:r>
      <w:r>
        <w:rPr>
          <w:rFonts w:eastAsiaTheme="majorEastAsia"/>
          <w:color w:val="auto"/>
          <w:sz w:val="24"/>
          <w:szCs w:val="24"/>
          <w:highlight w:val="none"/>
        </w:rPr>
        <w:t xml:space="preserve"> 合同解除不免除承包人履行合同项下的清理和结算责任。承包人应将解除合同时的工程现状及经其签署盖章的施工资料全部妥善、清楚地移交予发包人并经发包人审核确认，承包人须配合发包人另行发包或完成工程善后事宜及向政府部门申报或办理相关手续直至工程完工及验收，并按发包人要求清理和撤离现场，否则发包人有权不支付合同价款并要求承包人承担损失赔偿责任。</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22.1.9.13</w:t>
      </w:r>
      <w:r>
        <w:rPr>
          <w:rFonts w:hint="eastAsia" w:eastAsiaTheme="majorEastAsia"/>
          <w:color w:val="auto"/>
          <w:sz w:val="24"/>
          <w:szCs w:val="24"/>
          <w:highlight w:val="none"/>
        </w:rPr>
        <w:t>.</w:t>
      </w:r>
      <w:r>
        <w:rPr>
          <w:rFonts w:eastAsiaTheme="majorEastAsia"/>
          <w:color w:val="auto"/>
          <w:sz w:val="24"/>
          <w:szCs w:val="24"/>
          <w:highlight w:val="none"/>
        </w:rPr>
        <w:t xml:space="preserve"> 本合同条款约定的违约责任与其他合同文件或附件约定不一致的，以较严格的责任为准。</w:t>
      </w:r>
    </w:p>
    <w:p>
      <w:pPr>
        <w:pStyle w:val="73"/>
        <w:numPr>
          <w:ilvl w:val="0"/>
          <w:numId w:val="45"/>
        </w:numPr>
        <w:spacing w:before="0" w:after="0"/>
        <w:ind w:firstLine="480" w:firstLineChars="200"/>
        <w:jc w:val="left"/>
        <w:outlineLvl w:val="0"/>
        <w:rPr>
          <w:rFonts w:eastAsiaTheme="majorEastAsia"/>
          <w:color w:val="auto"/>
          <w:sz w:val="24"/>
          <w:szCs w:val="24"/>
          <w:highlight w:val="none"/>
        </w:rPr>
      </w:pPr>
      <w:bookmarkStart w:id="1351" w:name="_Toc44228175"/>
      <w:bookmarkStart w:id="1352" w:name="_Toc22630"/>
      <w:bookmarkStart w:id="1353" w:name="_Toc44492626"/>
      <w:bookmarkStart w:id="1354" w:name="_Toc8019"/>
      <w:bookmarkStart w:id="1355" w:name="_Toc31945"/>
      <w:bookmarkStart w:id="1356" w:name="_Toc11019"/>
      <w:bookmarkStart w:id="1357" w:name="_Toc12456"/>
      <w:bookmarkStart w:id="1358" w:name="_Toc11470"/>
      <w:bookmarkStart w:id="1359" w:name="_Toc38987292"/>
      <w:r>
        <w:rPr>
          <w:rFonts w:eastAsiaTheme="majorEastAsia"/>
          <w:color w:val="auto"/>
          <w:sz w:val="24"/>
          <w:szCs w:val="24"/>
          <w:highlight w:val="none"/>
        </w:rPr>
        <w:t>争议的解决</w:t>
      </w:r>
      <w:bookmarkEnd w:id="1351"/>
      <w:bookmarkEnd w:id="1352"/>
      <w:bookmarkEnd w:id="1353"/>
      <w:bookmarkEnd w:id="1354"/>
      <w:bookmarkEnd w:id="1355"/>
      <w:bookmarkEnd w:id="1356"/>
    </w:p>
    <w:p>
      <w:pPr>
        <w:keepNext/>
        <w:keepLines/>
        <w:spacing w:line="360" w:lineRule="auto"/>
        <w:ind w:firstLine="480" w:firstLineChars="200"/>
        <w:outlineLvl w:val="2"/>
        <w:rPr>
          <w:rFonts w:ascii="Times New Roman" w:hAnsi="Times New Roman" w:eastAsiaTheme="majorEastAsia"/>
          <w:bCs/>
          <w:color w:val="auto"/>
          <w:sz w:val="24"/>
          <w:szCs w:val="24"/>
          <w:highlight w:val="none"/>
        </w:rPr>
      </w:pPr>
      <w:r>
        <w:rPr>
          <w:rFonts w:ascii="Times New Roman" w:hAnsi="Times New Roman" w:eastAsiaTheme="majorEastAsia"/>
          <w:bCs/>
          <w:color w:val="auto"/>
          <w:sz w:val="24"/>
          <w:szCs w:val="24"/>
          <w:highlight w:val="none"/>
        </w:rPr>
        <w:t>23.1</w:t>
      </w:r>
      <w:r>
        <w:rPr>
          <w:rFonts w:hint="eastAsia" w:ascii="Times New Roman" w:hAnsi="Times New Roman" w:eastAsiaTheme="majorEastAsia"/>
          <w:bCs/>
          <w:color w:val="auto"/>
          <w:sz w:val="24"/>
          <w:szCs w:val="24"/>
          <w:highlight w:val="none"/>
        </w:rPr>
        <w:t xml:space="preserve">. </w:t>
      </w:r>
      <w:r>
        <w:rPr>
          <w:rFonts w:ascii="Times New Roman" w:hAnsi="Times New Roman" w:eastAsiaTheme="majorEastAsia"/>
          <w:bCs/>
          <w:color w:val="auto"/>
          <w:sz w:val="24"/>
          <w:szCs w:val="24"/>
          <w:highlight w:val="none"/>
        </w:rPr>
        <w:t>争议的解决方式</w:t>
      </w:r>
    </w:p>
    <w:p>
      <w:pPr>
        <w:autoSpaceDE w:val="0"/>
        <w:autoSpaceDN w:val="0"/>
        <w:adjustRightInd w:val="0"/>
        <w:spacing w:line="360" w:lineRule="auto"/>
        <w:ind w:firstLine="480" w:firstLineChars="200"/>
        <w:rPr>
          <w:rFonts w:ascii="Times New Roman" w:hAnsi="Times New Roman" w:eastAsiaTheme="majorEastAsia"/>
          <w:color w:val="auto"/>
          <w:sz w:val="24"/>
          <w:szCs w:val="24"/>
          <w:highlight w:val="none"/>
        </w:rPr>
      </w:pPr>
      <w:r>
        <w:rPr>
          <w:rFonts w:ascii="Times New Roman" w:hAnsi="Times New Roman" w:eastAsiaTheme="majorEastAsia"/>
          <w:color w:val="auto"/>
          <w:kern w:val="0"/>
          <w:sz w:val="24"/>
          <w:szCs w:val="24"/>
          <w:highlight w:val="none"/>
        </w:rPr>
        <w:t>通用条款</w:t>
      </w:r>
      <w:r>
        <w:rPr>
          <w:rFonts w:hint="eastAsia" w:ascii="Times New Roman" w:hAnsi="Times New Roman" w:eastAsiaTheme="majorEastAsia"/>
          <w:color w:val="auto"/>
          <w:kern w:val="0"/>
          <w:sz w:val="24"/>
          <w:szCs w:val="24"/>
          <w:highlight w:val="none"/>
        </w:rPr>
        <w:t>第</w:t>
      </w:r>
      <w:r>
        <w:rPr>
          <w:rFonts w:ascii="Times New Roman" w:hAnsi="Times New Roman" w:eastAsiaTheme="majorEastAsia"/>
          <w:color w:val="auto"/>
          <w:kern w:val="0"/>
          <w:sz w:val="24"/>
          <w:szCs w:val="24"/>
          <w:highlight w:val="none"/>
        </w:rPr>
        <w:t>23.1.1条</w:t>
      </w:r>
      <w:r>
        <w:rPr>
          <w:rFonts w:hint="eastAsia" w:ascii="Times New Roman" w:hAnsi="Times New Roman" w:eastAsiaTheme="majorEastAsia"/>
          <w:color w:val="auto"/>
          <w:kern w:val="0"/>
          <w:sz w:val="24"/>
          <w:szCs w:val="24"/>
          <w:highlight w:val="none"/>
        </w:rPr>
        <w:t>修订</w:t>
      </w:r>
      <w:r>
        <w:rPr>
          <w:rFonts w:ascii="Times New Roman" w:hAnsi="Times New Roman" w:eastAsiaTheme="majorEastAsia"/>
          <w:color w:val="auto"/>
          <w:kern w:val="0"/>
          <w:sz w:val="24"/>
          <w:szCs w:val="24"/>
          <w:highlight w:val="none"/>
        </w:rPr>
        <w:t>为：合同当事人双方在履行合同时发生争议，双方应友好协商，可以采取和解或者要求有关主管部门调解。当事人不愿和解、调解或者和解、调解不成的，采取向工程所在地有管辖权的人民法院提起诉讼的方式解决。</w:t>
      </w:r>
    </w:p>
    <w:p>
      <w:pPr>
        <w:pStyle w:val="73"/>
        <w:numPr>
          <w:ilvl w:val="0"/>
          <w:numId w:val="45"/>
        </w:numPr>
        <w:spacing w:before="0" w:after="0"/>
        <w:ind w:firstLine="480" w:firstLineChars="200"/>
        <w:jc w:val="left"/>
        <w:outlineLvl w:val="0"/>
        <w:rPr>
          <w:rFonts w:eastAsiaTheme="majorEastAsia"/>
          <w:color w:val="auto"/>
          <w:sz w:val="24"/>
          <w:szCs w:val="24"/>
          <w:highlight w:val="none"/>
        </w:rPr>
      </w:pPr>
      <w:bookmarkStart w:id="1360" w:name="_Toc1563"/>
      <w:bookmarkStart w:id="1361" w:name="_Toc15830"/>
      <w:bookmarkStart w:id="1362" w:name="_Toc16801"/>
      <w:bookmarkStart w:id="1363" w:name="_Toc44228176"/>
      <w:bookmarkStart w:id="1364" w:name="_Toc44492627"/>
      <w:bookmarkStart w:id="1365" w:name="_Toc28754"/>
      <w:r>
        <w:rPr>
          <w:rFonts w:eastAsiaTheme="majorEastAsia"/>
          <w:color w:val="auto"/>
          <w:sz w:val="24"/>
          <w:szCs w:val="24"/>
          <w:highlight w:val="none"/>
        </w:rPr>
        <w:t>合同的解除</w:t>
      </w:r>
      <w:bookmarkEnd w:id="1360"/>
      <w:bookmarkEnd w:id="1361"/>
      <w:bookmarkEnd w:id="1362"/>
      <w:bookmarkEnd w:id="1363"/>
      <w:bookmarkEnd w:id="1364"/>
      <w:bookmarkEnd w:id="1365"/>
    </w:p>
    <w:p>
      <w:pPr>
        <w:wordWrap w:val="0"/>
        <w:spacing w:line="360" w:lineRule="auto"/>
        <w:ind w:firstLine="480" w:firstLineChars="200"/>
        <w:outlineLvl w:val="1"/>
        <w:rPr>
          <w:rFonts w:ascii="Times New Roman" w:hAnsi="Times New Roman" w:eastAsiaTheme="majorEastAsia"/>
          <w:color w:val="auto"/>
          <w:kern w:val="0"/>
          <w:sz w:val="24"/>
          <w:szCs w:val="24"/>
          <w:highlight w:val="none"/>
        </w:rPr>
      </w:pPr>
      <w:r>
        <w:rPr>
          <w:rFonts w:ascii="Times New Roman" w:hAnsi="Times New Roman" w:eastAsiaTheme="majorEastAsia"/>
          <w:bCs/>
          <w:color w:val="auto"/>
          <w:sz w:val="24"/>
          <w:szCs w:val="24"/>
          <w:highlight w:val="none"/>
        </w:rPr>
        <w:t>24.1</w:t>
      </w:r>
      <w:r>
        <w:rPr>
          <w:rFonts w:hint="eastAsia" w:ascii="Times New Roman" w:hAnsi="Times New Roman" w:eastAsiaTheme="majorEastAsia"/>
          <w:bCs/>
          <w:color w:val="auto"/>
          <w:sz w:val="24"/>
          <w:szCs w:val="24"/>
          <w:highlight w:val="none"/>
        </w:rPr>
        <w:t xml:space="preserve">. </w:t>
      </w:r>
      <w:r>
        <w:rPr>
          <w:rFonts w:ascii="Times New Roman" w:hAnsi="Times New Roman" w:eastAsiaTheme="majorEastAsia"/>
          <w:bCs/>
          <w:color w:val="auto"/>
          <w:sz w:val="24"/>
          <w:szCs w:val="24"/>
          <w:highlight w:val="none"/>
        </w:rPr>
        <w:t>由于发包人原因解除本合同</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1）发包人根据市场需要，工程停建、缓建或工程设计修改后相应承包工程项目不存在时，有权单方面解除本合同或解除本合同的部分工作，并向承包人发出解除本合同通知。发包人解除本合同并不影响其根据本合同约定享有的任何其他权利。</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（2）合同解除的处理</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1）承包人应妥善做好已完工程和已购材料、设备的保护和移交工作，并按发包人要求将自有机械设备和人员撤出施工场地。发包人为承包人撤出提供必要条件，已完工程价款在承包人根据发包人要求完全撤离施工场地后办理结算手续后支付。</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2）承包人所有人员、设备必须在收到解除本合同书面通知后</w:t>
      </w:r>
      <w:r>
        <w:rPr>
          <w:rFonts w:hint="eastAsia" w:eastAsiaTheme="majorEastAsia"/>
          <w:color w:val="auto"/>
          <w:sz w:val="24"/>
          <w:szCs w:val="24"/>
          <w:highlight w:val="none"/>
          <w:u w:val="single"/>
        </w:rPr>
        <w:t xml:space="preserve"> 10 </w:t>
      </w:r>
      <w:r>
        <w:rPr>
          <w:rFonts w:eastAsiaTheme="majorEastAsia"/>
          <w:color w:val="auto"/>
          <w:sz w:val="24"/>
          <w:szCs w:val="24"/>
          <w:highlight w:val="none"/>
        </w:rPr>
        <w:t>天内撤离施工场地并向发包人移交所有工程资料和发包人交予承包人使用的材料/设备/设施/配件、工具或其他物品。否则，承包人留在现场的设备的安全与发包人无关，并且发包人可在本合同解除之后安排其他单位进场施工。</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3）已经根据本工程需要订货的材料、设备由订货方负责退货或解除订货合同，不能退还的货款和因退货、解除订货合同发生的费用及由此造成对方的损失由责任方承担，因未及时退货造成的损失由责任方承担。</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4）双方仍应遵循诚实信用原则，按本合同的约定履行通知、协助、保密等义务，并且双方在本合同中约定的工程质量、结算、清理、违约与索赔条款等全部相关内容仍然有效。</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（3）解除本合同后的结算方式：根据承包人实际完成合格工程量及本合同相关条款双方协商确定。结算将</w:t>
      </w:r>
      <w:r>
        <w:rPr>
          <w:rFonts w:hint="eastAsia" w:eastAsiaTheme="majorEastAsia"/>
          <w:color w:val="auto"/>
          <w:sz w:val="24"/>
          <w:szCs w:val="24"/>
          <w:highlight w:val="none"/>
        </w:rPr>
        <w:t>在</w:t>
      </w:r>
      <w:r>
        <w:rPr>
          <w:rFonts w:eastAsiaTheme="majorEastAsia"/>
          <w:color w:val="auto"/>
          <w:sz w:val="24"/>
          <w:szCs w:val="24"/>
          <w:highlight w:val="none"/>
        </w:rPr>
        <w:t>承发包双方确认后，结算款项应分期支付，第一期用于支付承包人应付的工人工资，第二期在承包人已全部顺利退场、所有相关资料已全部移交发包人且半年内无因合同解除、退场、移交而发生干扰、滋事情形影响后续项目正常施工或营业时支付，每期付款需扣除应扣款项，且承包人应提供有效增值税发票（参见本合同专用条款第17条相关约定）。</w:t>
      </w:r>
    </w:p>
    <w:p>
      <w:pPr>
        <w:wordWrap w:val="0"/>
        <w:spacing w:line="360" w:lineRule="auto"/>
        <w:ind w:firstLine="480" w:firstLineChars="200"/>
        <w:outlineLvl w:val="1"/>
        <w:rPr>
          <w:rFonts w:ascii="Times New Roman" w:hAnsi="Times New Roman" w:eastAsiaTheme="majorEastAsia"/>
          <w:color w:val="auto"/>
          <w:kern w:val="0"/>
          <w:sz w:val="24"/>
          <w:szCs w:val="24"/>
          <w:highlight w:val="none"/>
        </w:rPr>
      </w:pPr>
      <w:r>
        <w:rPr>
          <w:rFonts w:ascii="Times New Roman" w:hAnsi="Times New Roman" w:eastAsiaTheme="majorEastAsia"/>
          <w:bCs/>
          <w:color w:val="auto"/>
          <w:sz w:val="24"/>
          <w:szCs w:val="24"/>
          <w:highlight w:val="none"/>
        </w:rPr>
        <w:t>24.2</w:t>
      </w:r>
      <w:r>
        <w:rPr>
          <w:rFonts w:hint="eastAsia" w:ascii="Times New Roman" w:hAnsi="Times New Roman" w:eastAsiaTheme="majorEastAsia"/>
          <w:bCs/>
          <w:color w:val="auto"/>
          <w:sz w:val="24"/>
          <w:szCs w:val="24"/>
          <w:highlight w:val="none"/>
        </w:rPr>
        <w:t>.</w:t>
      </w:r>
      <w:r>
        <w:rPr>
          <w:rFonts w:ascii="Times New Roman" w:hAnsi="Times New Roman" w:eastAsiaTheme="majorEastAsia"/>
          <w:color w:val="auto"/>
          <w:kern w:val="0"/>
          <w:sz w:val="24"/>
          <w:szCs w:val="24"/>
          <w:highlight w:val="none"/>
        </w:rPr>
        <w:t xml:space="preserve"> </w:t>
      </w:r>
      <w:r>
        <w:rPr>
          <w:rFonts w:ascii="Times New Roman" w:hAnsi="Times New Roman" w:eastAsiaTheme="majorEastAsia"/>
          <w:bCs/>
          <w:color w:val="auto"/>
          <w:sz w:val="24"/>
          <w:szCs w:val="24"/>
          <w:highlight w:val="none"/>
        </w:rPr>
        <w:t>由于承包人原因解除本合同</w:t>
      </w:r>
    </w:p>
    <w:p>
      <w:pPr>
        <w:pStyle w:val="52"/>
        <w:ind w:firstLine="480"/>
        <w:jc w:val="both"/>
        <w:outlineLvl w:val="2"/>
        <w:rPr>
          <w:rFonts w:eastAsiaTheme="majorEastAsia"/>
          <w:color w:val="auto"/>
          <w:sz w:val="24"/>
          <w:szCs w:val="24"/>
          <w:highlight w:val="none"/>
        </w:rPr>
      </w:pPr>
      <w:r>
        <w:rPr>
          <w:rFonts w:eastAsiaTheme="majorEastAsia"/>
          <w:color w:val="auto"/>
          <w:sz w:val="24"/>
          <w:szCs w:val="24"/>
          <w:highlight w:val="none"/>
        </w:rPr>
        <w:t>（1）基于下列原因，发包人有权书面通知承包人解除本合同或解除本合同的部分工作：</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1）承包人破产、重整、解散或清算的，但为机构重组或联合的目的除外。</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2）承包人明确表示或以自己的行为表明不履行本合同约定主要义务的。</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3）承包人在订立或履行本合同期间有欺诈行为的。</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4）承包人发生严重违约行为的。</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5）承包人通过挂靠方式承包本工程或将本工程转包、违法分包的。</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6）</w:t>
      </w:r>
      <w:r>
        <w:rPr>
          <w:rFonts w:eastAsiaTheme="majorEastAsia"/>
          <w:color w:val="auto"/>
          <w:sz w:val="24"/>
          <w:szCs w:val="24"/>
          <w:highlight w:val="none"/>
          <w:lang w:bidi="ar"/>
        </w:rPr>
        <w:t>合同约定的期限内没有完工，且在发包人催告的合理期限内仍未完工的</w:t>
      </w:r>
      <w:r>
        <w:rPr>
          <w:rFonts w:eastAsiaTheme="majorEastAsia"/>
          <w:color w:val="auto"/>
          <w:sz w:val="24"/>
          <w:szCs w:val="24"/>
          <w:highlight w:val="none"/>
        </w:rPr>
        <w:t>。</w:t>
      </w:r>
    </w:p>
    <w:p>
      <w:pPr>
        <w:pStyle w:val="52"/>
        <w:ind w:firstLine="480"/>
        <w:jc w:val="both"/>
        <w:rPr>
          <w:rFonts w:eastAsiaTheme="majorEastAsia"/>
          <w:color w:val="auto"/>
          <w:sz w:val="24"/>
          <w:szCs w:val="24"/>
          <w:highlight w:val="none"/>
          <w:lang w:bidi="ar"/>
        </w:rPr>
      </w:pPr>
      <w:r>
        <w:rPr>
          <w:rFonts w:eastAsiaTheme="majorEastAsia"/>
          <w:color w:val="auto"/>
          <w:sz w:val="24"/>
          <w:szCs w:val="24"/>
          <w:highlight w:val="none"/>
        </w:rPr>
        <w:t>7）</w:t>
      </w:r>
      <w:r>
        <w:rPr>
          <w:rFonts w:eastAsiaTheme="majorEastAsia"/>
          <w:color w:val="auto"/>
          <w:sz w:val="24"/>
          <w:szCs w:val="24"/>
          <w:highlight w:val="none"/>
          <w:lang w:bidi="ar"/>
        </w:rPr>
        <w:t>已经完成的建设工程质量不合格，并拒绝修复的。</w:t>
      </w:r>
    </w:p>
    <w:p>
      <w:pPr>
        <w:pStyle w:val="52"/>
        <w:ind w:firstLine="480"/>
        <w:jc w:val="both"/>
        <w:rPr>
          <w:rFonts w:eastAsiaTheme="majorEastAsia"/>
          <w:color w:val="auto"/>
          <w:sz w:val="24"/>
          <w:szCs w:val="24"/>
          <w:highlight w:val="none"/>
          <w:lang w:bidi="ar"/>
        </w:rPr>
      </w:pPr>
      <w:r>
        <w:rPr>
          <w:rFonts w:eastAsiaTheme="majorEastAsia"/>
          <w:color w:val="auto"/>
          <w:sz w:val="24"/>
          <w:szCs w:val="24"/>
          <w:highlight w:val="none"/>
        </w:rPr>
        <w:t>8）承包人进入破产、重整、解散或清算程序。</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9）因承包人自身债务问题造成发包人被法院要求协助诉讼保全、协助执行（法院的法律文书形式包括但不限于协助执行通知、履行到期债务通知等协助执行函件），承包人在发包人通知后14</w:t>
      </w:r>
      <w:r>
        <w:rPr>
          <w:rFonts w:hint="eastAsia" w:eastAsiaTheme="majorEastAsia"/>
          <w:color w:val="auto"/>
          <w:sz w:val="24"/>
          <w:szCs w:val="24"/>
          <w:highlight w:val="none"/>
        </w:rPr>
        <w:t>天</w:t>
      </w:r>
      <w:r>
        <w:rPr>
          <w:rFonts w:eastAsiaTheme="majorEastAsia"/>
          <w:color w:val="auto"/>
          <w:sz w:val="24"/>
          <w:szCs w:val="24"/>
          <w:highlight w:val="none"/>
        </w:rPr>
        <w:t>内不能妥善解决的。</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10）本合同或法律法规规定的因承包人违约发包人有权解除本合同的情形。</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lang w:bidi="ar"/>
        </w:rPr>
        <w:t>因承包人出现以上严重违约情形发包人确定要立即解除合同的，发包人</w:t>
      </w:r>
      <w:r>
        <w:rPr>
          <w:rFonts w:hint="eastAsia" w:ascii="宋体" w:hAnsi="宋体" w:eastAsia="宋体" w:cs="宋体"/>
          <w:color w:val="auto"/>
          <w:sz w:val="24"/>
          <w:szCs w:val="24"/>
          <w:highlight w:val="none"/>
          <w:lang w:bidi="ar"/>
        </w:rPr>
        <w:t>有权</w:t>
      </w:r>
      <w:r>
        <w:rPr>
          <w:rFonts w:eastAsiaTheme="majorEastAsia"/>
          <w:color w:val="auto"/>
          <w:sz w:val="24"/>
          <w:szCs w:val="24"/>
          <w:highlight w:val="none"/>
          <w:lang w:bidi="ar"/>
        </w:rPr>
        <w:t>立即向承包人发出正式解除通知，通知送达</w:t>
      </w:r>
      <w:r>
        <w:rPr>
          <w:rFonts w:hint="eastAsia" w:ascii="宋体" w:hAnsi="宋体" w:eastAsia="宋体" w:cs="宋体"/>
          <w:color w:val="auto"/>
          <w:sz w:val="24"/>
          <w:szCs w:val="24"/>
          <w:highlight w:val="none"/>
          <w:lang w:bidi="ar"/>
        </w:rPr>
        <w:t>之日生效</w:t>
      </w:r>
      <w:r>
        <w:rPr>
          <w:rFonts w:eastAsiaTheme="majorEastAsia"/>
          <w:color w:val="auto"/>
          <w:sz w:val="24"/>
          <w:szCs w:val="24"/>
          <w:highlight w:val="none"/>
          <w:lang w:bidi="ar"/>
        </w:rPr>
        <w:t>。</w:t>
      </w:r>
    </w:p>
    <w:p>
      <w:pPr>
        <w:pStyle w:val="52"/>
        <w:ind w:firstLine="480"/>
        <w:jc w:val="both"/>
        <w:outlineLvl w:val="2"/>
        <w:rPr>
          <w:rFonts w:eastAsiaTheme="majorEastAsia"/>
          <w:color w:val="auto"/>
          <w:sz w:val="24"/>
          <w:szCs w:val="24"/>
          <w:highlight w:val="none"/>
        </w:rPr>
      </w:pPr>
      <w:r>
        <w:rPr>
          <w:rFonts w:eastAsiaTheme="majorEastAsia"/>
          <w:color w:val="auto"/>
          <w:sz w:val="24"/>
          <w:szCs w:val="24"/>
          <w:highlight w:val="none"/>
        </w:rPr>
        <w:t>（2）合同解除的处理：</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1）承包人按相关条款的约定承担违约责任。</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2）承包人必须在收到解除本合同书面通知后</w:t>
      </w:r>
      <w:r>
        <w:rPr>
          <w:rFonts w:hint="eastAsia" w:eastAsiaTheme="majorEastAsia"/>
          <w:color w:val="auto"/>
          <w:sz w:val="24"/>
          <w:szCs w:val="24"/>
          <w:highlight w:val="none"/>
          <w:u w:val="single"/>
        </w:rPr>
        <w:t xml:space="preserve"> 10 </w:t>
      </w:r>
      <w:r>
        <w:rPr>
          <w:rFonts w:eastAsiaTheme="majorEastAsia"/>
          <w:color w:val="auto"/>
          <w:sz w:val="24"/>
          <w:szCs w:val="24"/>
          <w:highlight w:val="none"/>
        </w:rPr>
        <w:t>天内完成退场，不得提出异议。发包人有权决定是否接收属于承包人在现场的一切设施、设备、材料使用于本工程，并有进一步要求向承包人索赔的权利。本合同解除后，承包人拒绝撤场的，发包人可以雇请第三方代为撤场，发生的费用全部由承包人承担；承包人拒绝撤场导致损失扩大的，即便发包人是解除合同的过错方，发包人亦无需承担此部分扩大的损失。</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3）发包人即可以进驻现场和接管本工程或另行雇用专业承包替代方（其他承包人），通知解除承包人在本合同项下的承包，但不因此免除本合同约定的承包人的任何义务和责任，也不影响本合同赋予发包人的各种权利和权限，发包人可自行完成该工程，或雇用其他专业承包替代方完成该工程。发包人或上述其他专业承包人为了完成本工程，可以使用他们认为合适数量的承包人装备、临时工程和材料。</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4）发包人解除本合同之后，</w:t>
      </w:r>
      <w:r>
        <w:rPr>
          <w:rFonts w:hint="eastAsia" w:eastAsiaTheme="majorEastAsia"/>
          <w:color w:val="auto"/>
          <w:sz w:val="24"/>
          <w:szCs w:val="24"/>
          <w:highlight w:val="none"/>
          <w:lang w:eastAsia="zh-CN"/>
        </w:rPr>
        <w:t>发包人</w:t>
      </w:r>
      <w:r>
        <w:rPr>
          <w:rFonts w:eastAsiaTheme="majorEastAsia"/>
          <w:color w:val="auto"/>
          <w:sz w:val="24"/>
          <w:szCs w:val="24"/>
          <w:highlight w:val="none"/>
        </w:rPr>
        <w:t>应通过协商和调查之后，尽快地确定并认证：</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A）发包人解除本合同时，承包人根据本合同已实际完成的合格工程量、发包人已付与应付的款额（如有应付）、承包人已收与应收合同价款总额（为其截至合同解除日已实际完成的合格工程量所对应应计的价款，扣除依合同承包人违约责任金额、应承担费用等后的余额）等。但承包人不得以该等款额待收取或待确定而不予退场。</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（B）未使用或部分使用过的材料、承包人装备、临时工程的价值及其它承包人因本工程承包发生的费用，发包人概不负责。</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（C）在发包人解除本合同后，发包人有权要求承包人在收到发包人书面通知的</w:t>
      </w:r>
      <w:r>
        <w:rPr>
          <w:rFonts w:hint="eastAsia" w:eastAsiaTheme="majorEastAsia"/>
          <w:color w:val="auto"/>
          <w:sz w:val="24"/>
          <w:szCs w:val="24"/>
          <w:highlight w:val="none"/>
          <w:u w:val="single"/>
        </w:rPr>
        <w:t xml:space="preserve"> 7 </w:t>
      </w:r>
      <w:r>
        <w:rPr>
          <w:rFonts w:eastAsiaTheme="majorEastAsia"/>
          <w:color w:val="auto"/>
          <w:sz w:val="24"/>
          <w:szCs w:val="24"/>
          <w:highlight w:val="none"/>
        </w:rPr>
        <w:t>天内提供为本合同工程已经签订的任何货物或材料、劳务、服务合同（协议），将在该等合同（协议）和（或）本合同中任何工程的施工协议的利益无偿转让给发包人。</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D）发包人将暂停向承包人支付任何款额；在本工程质量缺陷责任期满之后，再由发包人核清承包人实施和完成本工程质量保修期内应结算的费用，发包人有权从其中扣除承包人应支付的违约金、赔偿金以及已实际支付给承包人的各项费用。</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5）</w:t>
      </w:r>
      <w:r>
        <w:rPr>
          <w:rFonts w:hint="eastAsia" w:eastAsiaTheme="majorEastAsia"/>
          <w:color w:val="auto"/>
          <w:sz w:val="24"/>
          <w:szCs w:val="24"/>
          <w:highlight w:val="none"/>
          <w:lang w:eastAsia="zh-CN"/>
        </w:rPr>
        <w:t>发包人</w:t>
      </w:r>
      <w:r>
        <w:rPr>
          <w:rFonts w:eastAsiaTheme="majorEastAsia"/>
          <w:color w:val="auto"/>
          <w:sz w:val="24"/>
          <w:szCs w:val="24"/>
          <w:highlight w:val="none"/>
        </w:rPr>
        <w:t>的核查、确认后，发包人就承包人已完成的合格工程量进行结算，并扣除上述应扣款额，承包人不得要求任何补偿。如果应扣款额超过承包人应得的款额，此超出部分款额应被视为承包人所欠债务，发包人有权向承包人追偿。</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6）承包人应在收到解除本合同的通知后，立即妥善做好已完工程和已购材料、设备的保护和移交工作，10天内无条件将施工人员全部撤离施工现场并将已完工程向发包人移交完毕(包括但不限于工作面移交，施工机械设备清场，施工剩余材料及建筑垃圾清运，施工人员的退场，临时设施的拆除清场，施工临时用水用电移交等)。现场工程材料、设备及施工机具装备、临时设施等由发包人决定是由承包人转交其他承包人继续使用(承包人同意发包人全权处置上述工程材料、设备及施工机具设备、临时设施的数量和价格并做好配合工作)还是由承包人撤离现场。若发包人决定由承包人将承包人上述工程材料、设备及施工机具设备、临时设施等撤离现场的，承包人应当严格按时处理。否则，承包人留在现场的设备设施及任何其他物品视为放弃（丢弃），发包人可将其清理、处置，有关费用由承包人承担并且发包人可在本合同解除、终止之后安排其他单位进场施工。</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7）承包人必须在收到解除本合同书面通知后</w:t>
      </w:r>
      <w:r>
        <w:rPr>
          <w:rFonts w:hint="eastAsia" w:eastAsiaTheme="majorEastAsia"/>
          <w:color w:val="auto"/>
          <w:sz w:val="24"/>
          <w:szCs w:val="24"/>
          <w:highlight w:val="none"/>
        </w:rPr>
        <w:t>10</w:t>
      </w:r>
      <w:r>
        <w:rPr>
          <w:rFonts w:eastAsiaTheme="majorEastAsia"/>
          <w:color w:val="auto"/>
          <w:sz w:val="24"/>
          <w:szCs w:val="24"/>
          <w:highlight w:val="none"/>
        </w:rPr>
        <w:t>天内向发包人移交所有工程资料和发包人、业主交予承包人使用的图纸资料、材料/设备/设施/配件、工具或其他物品，否则发包人有权不支付任何款项，因承包人延长移交上述工程资料及设备设施造成发包人损失的，应承担全部赔偿责任。</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8）合同解除后，发包人委托第三方进场施工的，承包人必须配合发包人（及第三方）办理相关报建的变更手续，如承包人在发包人要求的时限内未积极配合办理的，发包人有权不予支付任何款项，且每延迟一天，承包人应向发包人承担</w:t>
      </w:r>
      <w:r>
        <w:rPr>
          <w:rFonts w:hint="eastAsia" w:eastAsiaTheme="majorEastAsia"/>
          <w:color w:val="auto"/>
          <w:sz w:val="24"/>
          <w:szCs w:val="24"/>
          <w:highlight w:val="none"/>
          <w:u w:val="single"/>
        </w:rPr>
        <w:t xml:space="preserve"> </w:t>
      </w:r>
      <w:r>
        <w:rPr>
          <w:rFonts w:eastAsiaTheme="majorEastAsia"/>
          <w:color w:val="auto"/>
          <w:sz w:val="24"/>
          <w:szCs w:val="24"/>
          <w:highlight w:val="none"/>
          <w:u w:val="single"/>
        </w:rPr>
        <w:t>5万元</w:t>
      </w:r>
      <w:r>
        <w:rPr>
          <w:rFonts w:hint="eastAsia" w:eastAsiaTheme="majorEastAsia"/>
          <w:color w:val="auto"/>
          <w:sz w:val="24"/>
          <w:szCs w:val="24"/>
          <w:highlight w:val="none"/>
          <w:u w:val="single"/>
        </w:rPr>
        <w:t xml:space="preserve"> </w:t>
      </w:r>
      <w:r>
        <w:rPr>
          <w:rFonts w:eastAsiaTheme="majorEastAsia"/>
          <w:color w:val="auto"/>
          <w:sz w:val="24"/>
          <w:szCs w:val="24"/>
          <w:highlight w:val="none"/>
        </w:rPr>
        <w:t>的违约金，如违约金不足以弥补发包人损失的，发包人还有权向承包人追偿。</w:t>
      </w:r>
    </w:p>
    <w:p>
      <w:pPr>
        <w:pStyle w:val="52"/>
        <w:ind w:firstLine="480"/>
        <w:jc w:val="both"/>
        <w:outlineLvl w:val="1"/>
        <w:rPr>
          <w:rFonts w:eastAsiaTheme="majorEastAsia"/>
          <w:color w:val="auto"/>
          <w:sz w:val="24"/>
          <w:szCs w:val="24"/>
          <w:highlight w:val="none"/>
        </w:rPr>
      </w:pPr>
      <w:r>
        <w:rPr>
          <w:rFonts w:eastAsiaTheme="majorEastAsia"/>
          <w:bCs/>
          <w:color w:val="auto"/>
          <w:kern w:val="2"/>
          <w:sz w:val="24"/>
          <w:szCs w:val="24"/>
          <w:highlight w:val="none"/>
        </w:rPr>
        <w:t>24.3</w:t>
      </w:r>
      <w:r>
        <w:rPr>
          <w:rFonts w:hint="eastAsia" w:eastAsiaTheme="majorEastAsia"/>
          <w:bCs/>
          <w:color w:val="auto"/>
          <w:kern w:val="2"/>
          <w:sz w:val="24"/>
          <w:szCs w:val="24"/>
          <w:highlight w:val="none"/>
        </w:rPr>
        <w:t xml:space="preserve">. </w:t>
      </w:r>
      <w:r>
        <w:rPr>
          <w:rFonts w:eastAsiaTheme="majorEastAsia"/>
          <w:bCs/>
          <w:color w:val="auto"/>
          <w:kern w:val="2"/>
          <w:sz w:val="24"/>
          <w:szCs w:val="24"/>
          <w:highlight w:val="none"/>
        </w:rPr>
        <w:t>合同解除的其它条件：</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（1）发包人在与承包人签订本合同前，发现承包人的投标文件中存在不符合招标文件资格审查要求的，投标文件中有弄虚作假的，</w:t>
      </w:r>
      <w:r>
        <w:rPr>
          <w:rFonts w:hint="eastAsia" w:eastAsiaTheme="majorEastAsia"/>
          <w:color w:val="auto"/>
          <w:sz w:val="24"/>
          <w:szCs w:val="24"/>
          <w:highlight w:val="none"/>
        </w:rPr>
        <w:t>或者</w:t>
      </w:r>
      <w:r>
        <w:rPr>
          <w:rFonts w:eastAsiaTheme="majorEastAsia"/>
          <w:color w:val="auto"/>
          <w:sz w:val="24"/>
          <w:szCs w:val="24"/>
          <w:highlight w:val="none"/>
        </w:rPr>
        <w:t>投标文件中带有附加性条件等未完全响应招标文件实质性内容的情形的，发包人有权取消承包人的中标资格，不予退还投标担保金；在签订本合同后，发包人发现承包人存在前述情形的，发包人有权单方解除本合同、不予退还履约担保，并要求承包人赔偿因此给发包人造成的损失（包括但不限于重新招标选择施工单位的费用损失及工期延误的损失等）。</w:t>
      </w:r>
    </w:p>
    <w:p>
      <w:pPr>
        <w:pStyle w:val="52"/>
        <w:ind w:firstLine="480"/>
        <w:jc w:val="both"/>
        <w:rPr>
          <w:rFonts w:eastAsiaTheme="majorEastAsia"/>
          <w:color w:val="auto"/>
          <w:sz w:val="24"/>
          <w:szCs w:val="24"/>
          <w:highlight w:val="none"/>
        </w:rPr>
      </w:pPr>
      <w:r>
        <w:rPr>
          <w:rFonts w:eastAsiaTheme="majorEastAsia"/>
          <w:color w:val="auto"/>
          <w:sz w:val="24"/>
          <w:szCs w:val="24"/>
          <w:highlight w:val="none"/>
        </w:rPr>
        <w:t>（2）本合同签订后发现承包人被列入失信被执行人名单且无法在14</w:t>
      </w:r>
      <w:r>
        <w:rPr>
          <w:rFonts w:hint="eastAsia" w:eastAsiaTheme="majorEastAsia"/>
          <w:color w:val="auto"/>
          <w:sz w:val="24"/>
          <w:szCs w:val="24"/>
          <w:highlight w:val="none"/>
        </w:rPr>
        <w:t>天</w:t>
      </w:r>
      <w:r>
        <w:rPr>
          <w:rFonts w:eastAsiaTheme="majorEastAsia"/>
          <w:color w:val="auto"/>
          <w:sz w:val="24"/>
          <w:szCs w:val="24"/>
          <w:highlight w:val="none"/>
        </w:rPr>
        <w:t>内解决并提供有效执行证明的，发包人有权单方解除合同。承包人因上述原因解除合同的，无权要求任何补偿或者赔偿，且承包人应当赔偿由此给发包人造成的损失。</w:t>
      </w:r>
    </w:p>
    <w:bookmarkEnd w:id="981"/>
    <w:bookmarkEnd w:id="1357"/>
    <w:bookmarkEnd w:id="1358"/>
    <w:bookmarkEnd w:id="1359"/>
    <w:p>
      <w:pPr>
        <w:widowControl/>
        <w:spacing w:line="360" w:lineRule="auto"/>
        <w:ind w:firstLine="482" w:firstLineChars="200"/>
        <w:rPr>
          <w:rFonts w:ascii="Times New Roman" w:hAnsi="Times New Roman" w:eastAsiaTheme="majorEastAsia"/>
          <w:b/>
          <w:color w:val="auto"/>
          <w:sz w:val="24"/>
          <w:szCs w:val="24"/>
          <w:highlight w:val="none"/>
        </w:rPr>
      </w:pPr>
      <w:bookmarkStart w:id="1366" w:name="_Toc402450479"/>
      <w:r>
        <w:rPr>
          <w:rFonts w:ascii="Times New Roman" w:hAnsi="Times New Roman" w:eastAsiaTheme="majorEastAsia"/>
          <w:b/>
          <w:color w:val="auto"/>
          <w:sz w:val="24"/>
          <w:szCs w:val="24"/>
          <w:highlight w:val="none"/>
        </w:rPr>
        <w:t>附件</w:t>
      </w:r>
      <w:bookmarkEnd w:id="1366"/>
      <w:r>
        <w:rPr>
          <w:rFonts w:hint="eastAsia" w:ascii="Times New Roman" w:hAnsi="Times New Roman" w:eastAsiaTheme="majorEastAsia"/>
          <w:b/>
          <w:color w:val="auto"/>
          <w:sz w:val="24"/>
          <w:szCs w:val="24"/>
          <w:highlight w:val="none"/>
        </w:rPr>
        <w:t>：</w:t>
      </w:r>
    </w:p>
    <w:p>
      <w:pPr>
        <w:pStyle w:val="52"/>
        <w:ind w:firstLine="480"/>
        <w:jc w:val="both"/>
        <w:outlineLvl w:val="0"/>
        <w:rPr>
          <w:rFonts w:eastAsiaTheme="majorEastAsia"/>
          <w:color w:val="auto"/>
          <w:sz w:val="24"/>
          <w:szCs w:val="24"/>
          <w:highlight w:val="none"/>
        </w:rPr>
      </w:pPr>
      <w:bookmarkStart w:id="1367" w:name="_Toc22270"/>
      <w:bookmarkStart w:id="1368" w:name="_Toc2699"/>
      <w:bookmarkStart w:id="1369" w:name="_Toc40186515"/>
      <w:r>
        <w:rPr>
          <w:rFonts w:eastAsiaTheme="majorEastAsia"/>
          <w:color w:val="auto"/>
          <w:sz w:val="24"/>
          <w:szCs w:val="24"/>
          <w:highlight w:val="none"/>
        </w:rPr>
        <w:t>附件</w:t>
      </w:r>
      <w:r>
        <w:rPr>
          <w:rFonts w:hint="eastAsia" w:eastAsiaTheme="majorEastAsia"/>
          <w:color w:val="auto"/>
          <w:sz w:val="24"/>
          <w:szCs w:val="24"/>
          <w:highlight w:val="none"/>
        </w:rPr>
        <w:t>1：《</w:t>
      </w:r>
      <w:r>
        <w:rPr>
          <w:rFonts w:eastAsiaTheme="majorEastAsia"/>
          <w:color w:val="auto"/>
          <w:sz w:val="24"/>
          <w:szCs w:val="24"/>
          <w:highlight w:val="none"/>
        </w:rPr>
        <w:t>合同范围及边界</w:t>
      </w:r>
      <w:r>
        <w:rPr>
          <w:rFonts w:hint="eastAsia" w:eastAsiaTheme="majorEastAsia"/>
          <w:color w:val="auto"/>
          <w:sz w:val="24"/>
          <w:szCs w:val="24"/>
          <w:highlight w:val="none"/>
        </w:rPr>
        <w:t>》</w:t>
      </w:r>
      <w:bookmarkEnd w:id="1367"/>
      <w:bookmarkEnd w:id="1368"/>
      <w:r>
        <w:rPr>
          <w:rFonts w:eastAsiaTheme="majorEastAsia"/>
          <w:color w:val="auto"/>
          <w:sz w:val="24"/>
          <w:szCs w:val="24"/>
          <w:highlight w:val="none"/>
        </w:rPr>
        <w:t xml:space="preserve">    </w:t>
      </w:r>
      <w:bookmarkEnd w:id="1369"/>
    </w:p>
    <w:p>
      <w:pPr>
        <w:pStyle w:val="52"/>
        <w:ind w:firstLine="480"/>
        <w:jc w:val="both"/>
        <w:outlineLvl w:val="0"/>
        <w:rPr>
          <w:rFonts w:eastAsiaTheme="majorEastAsia"/>
          <w:color w:val="auto"/>
          <w:sz w:val="24"/>
          <w:szCs w:val="24"/>
          <w:highlight w:val="none"/>
        </w:rPr>
      </w:pPr>
      <w:bookmarkStart w:id="1370" w:name="_Toc3980"/>
      <w:bookmarkStart w:id="1371" w:name="_Toc12414"/>
      <w:bookmarkStart w:id="1372" w:name="_Toc40186517"/>
      <w:r>
        <w:rPr>
          <w:rFonts w:eastAsiaTheme="majorEastAsia"/>
          <w:color w:val="auto"/>
          <w:sz w:val="24"/>
          <w:szCs w:val="24"/>
          <w:highlight w:val="none"/>
        </w:rPr>
        <w:t>附件</w:t>
      </w:r>
      <w:r>
        <w:rPr>
          <w:rFonts w:hint="eastAsia" w:eastAsiaTheme="majorEastAsia"/>
          <w:color w:val="auto"/>
          <w:sz w:val="24"/>
          <w:szCs w:val="24"/>
          <w:highlight w:val="none"/>
          <w:lang w:val="en-US" w:eastAsia="zh-CN"/>
        </w:rPr>
        <w:t>2</w:t>
      </w:r>
      <w:r>
        <w:rPr>
          <w:rFonts w:hint="eastAsia" w:eastAsiaTheme="majorEastAsia"/>
          <w:color w:val="auto"/>
          <w:sz w:val="24"/>
          <w:szCs w:val="24"/>
          <w:highlight w:val="none"/>
        </w:rPr>
        <w:t>：《</w:t>
      </w:r>
      <w:r>
        <w:rPr>
          <w:rFonts w:eastAsiaTheme="majorEastAsia"/>
          <w:color w:val="auto"/>
          <w:sz w:val="24"/>
          <w:szCs w:val="24"/>
          <w:highlight w:val="none"/>
        </w:rPr>
        <w:t>履约保函（样式）</w:t>
      </w:r>
      <w:r>
        <w:rPr>
          <w:rFonts w:hint="eastAsia" w:eastAsiaTheme="majorEastAsia"/>
          <w:color w:val="auto"/>
          <w:sz w:val="24"/>
          <w:szCs w:val="24"/>
          <w:highlight w:val="none"/>
        </w:rPr>
        <w:t>》</w:t>
      </w:r>
      <w:bookmarkEnd w:id="1370"/>
      <w:bookmarkEnd w:id="1371"/>
      <w:r>
        <w:rPr>
          <w:rFonts w:eastAsiaTheme="majorEastAsia"/>
          <w:color w:val="auto"/>
          <w:sz w:val="24"/>
          <w:szCs w:val="24"/>
          <w:highlight w:val="none"/>
        </w:rPr>
        <w:t xml:space="preserve">   </w:t>
      </w:r>
      <w:bookmarkEnd w:id="1372"/>
    </w:p>
    <w:p>
      <w:pPr>
        <w:pStyle w:val="52"/>
        <w:ind w:firstLine="480"/>
        <w:jc w:val="both"/>
        <w:outlineLvl w:val="0"/>
        <w:rPr>
          <w:rFonts w:hint="eastAsia" w:eastAsiaTheme="majorEastAsia"/>
          <w:color w:val="auto"/>
          <w:sz w:val="24"/>
          <w:szCs w:val="24"/>
          <w:highlight w:val="none"/>
        </w:rPr>
      </w:pPr>
      <w:bookmarkStart w:id="1373" w:name="_Toc12686"/>
      <w:bookmarkStart w:id="1374" w:name="_Toc15153"/>
      <w:bookmarkStart w:id="1375" w:name="_Toc40186520"/>
      <w:r>
        <w:rPr>
          <w:rFonts w:eastAsiaTheme="majorEastAsia"/>
          <w:color w:val="auto"/>
          <w:sz w:val="24"/>
          <w:szCs w:val="24"/>
          <w:highlight w:val="none"/>
        </w:rPr>
        <w:t>附件</w:t>
      </w:r>
      <w:r>
        <w:rPr>
          <w:rFonts w:hint="eastAsia" w:eastAsiaTheme="majorEastAsia"/>
          <w:color w:val="auto"/>
          <w:sz w:val="24"/>
          <w:szCs w:val="24"/>
          <w:highlight w:val="none"/>
          <w:lang w:val="en-US" w:eastAsia="zh-CN"/>
        </w:rPr>
        <w:t>3</w:t>
      </w:r>
      <w:r>
        <w:rPr>
          <w:rFonts w:hint="eastAsia" w:eastAsiaTheme="majorEastAsia"/>
          <w:color w:val="auto"/>
          <w:sz w:val="24"/>
          <w:szCs w:val="24"/>
          <w:highlight w:val="none"/>
        </w:rPr>
        <w:t>：《</w:t>
      </w:r>
      <w:r>
        <w:rPr>
          <w:rFonts w:eastAsiaTheme="majorEastAsia"/>
          <w:color w:val="auto"/>
          <w:sz w:val="24"/>
          <w:szCs w:val="24"/>
          <w:highlight w:val="none"/>
        </w:rPr>
        <w:t>工程质量保修书</w:t>
      </w:r>
      <w:r>
        <w:rPr>
          <w:rFonts w:hint="eastAsia" w:eastAsiaTheme="majorEastAsia"/>
          <w:color w:val="auto"/>
          <w:sz w:val="24"/>
          <w:szCs w:val="24"/>
          <w:highlight w:val="none"/>
        </w:rPr>
        <w:t>》</w:t>
      </w:r>
      <w:bookmarkEnd w:id="1373"/>
      <w:bookmarkEnd w:id="1374"/>
    </w:p>
    <w:p>
      <w:pPr>
        <w:pStyle w:val="52"/>
        <w:ind w:firstLine="480"/>
        <w:jc w:val="both"/>
        <w:outlineLvl w:val="0"/>
        <w:rPr>
          <w:rFonts w:hint="eastAsia" w:eastAsiaTheme="majorEastAsia"/>
          <w:color w:val="auto"/>
          <w:sz w:val="24"/>
          <w:szCs w:val="24"/>
          <w:highlight w:val="none"/>
        </w:rPr>
      </w:pPr>
      <w:r>
        <w:rPr>
          <w:rFonts w:hint="eastAsia" w:eastAsiaTheme="majorEastAsia"/>
          <w:color w:val="auto"/>
          <w:sz w:val="24"/>
          <w:szCs w:val="24"/>
          <w:highlight w:val="none"/>
        </w:rPr>
        <w:t>附件</w:t>
      </w:r>
      <w:r>
        <w:rPr>
          <w:rFonts w:hint="eastAsia" w:eastAsiaTheme="majorEastAsia"/>
          <w:color w:val="auto"/>
          <w:sz w:val="24"/>
          <w:szCs w:val="24"/>
          <w:highlight w:val="none"/>
          <w:lang w:val="en-US" w:eastAsia="zh-CN"/>
        </w:rPr>
        <w:t>4</w:t>
      </w:r>
      <w:r>
        <w:rPr>
          <w:rFonts w:hint="eastAsia" w:eastAsiaTheme="majorEastAsia"/>
          <w:color w:val="auto"/>
          <w:sz w:val="24"/>
          <w:szCs w:val="24"/>
          <w:highlight w:val="none"/>
        </w:rPr>
        <w:t>：《</w:t>
      </w:r>
      <w:r>
        <w:rPr>
          <w:rFonts w:hint="eastAsia" w:ascii="Times New Roman" w:hAnsi="Times New Roman" w:cs="Times New Roman" w:eastAsiaTheme="majorEastAsia"/>
          <w:b w:val="0"/>
          <w:bCs w:val="0"/>
          <w:color w:val="auto"/>
          <w:sz w:val="24"/>
          <w:szCs w:val="24"/>
          <w:highlight w:val="none"/>
          <w:lang w:val="en-US"/>
        </w:rPr>
        <w:t>总承包管理与配合服务管理要求</w:t>
      </w:r>
      <w:r>
        <w:rPr>
          <w:rFonts w:hint="eastAsia" w:eastAsiaTheme="majorEastAsia"/>
          <w:color w:val="auto"/>
          <w:sz w:val="24"/>
          <w:szCs w:val="24"/>
          <w:highlight w:val="none"/>
        </w:rPr>
        <w:t xml:space="preserve">》    </w:t>
      </w:r>
      <w:bookmarkEnd w:id="1375"/>
    </w:p>
    <w:p>
      <w:pPr>
        <w:pStyle w:val="52"/>
        <w:ind w:firstLine="480"/>
        <w:jc w:val="both"/>
        <w:outlineLvl w:val="0"/>
        <w:rPr>
          <w:rFonts w:eastAsiaTheme="majorEastAsia"/>
          <w:color w:val="auto"/>
          <w:sz w:val="24"/>
          <w:szCs w:val="24"/>
          <w:highlight w:val="none"/>
        </w:rPr>
      </w:pPr>
      <w:bookmarkStart w:id="1376" w:name="_Toc14762"/>
      <w:bookmarkStart w:id="1377" w:name="_Toc3348"/>
      <w:bookmarkStart w:id="1378" w:name="_Toc40186522"/>
      <w:r>
        <w:rPr>
          <w:rFonts w:eastAsiaTheme="majorEastAsia"/>
          <w:color w:val="auto"/>
          <w:sz w:val="24"/>
          <w:szCs w:val="24"/>
          <w:highlight w:val="none"/>
        </w:rPr>
        <w:t>附件</w:t>
      </w:r>
      <w:r>
        <w:rPr>
          <w:rFonts w:hint="eastAsia" w:eastAsiaTheme="majorEastAsia"/>
          <w:color w:val="auto"/>
          <w:sz w:val="24"/>
          <w:szCs w:val="24"/>
          <w:highlight w:val="none"/>
          <w:lang w:val="en-US" w:eastAsia="zh-CN"/>
        </w:rPr>
        <w:t>5</w:t>
      </w:r>
      <w:r>
        <w:rPr>
          <w:rFonts w:hint="eastAsia" w:eastAsiaTheme="majorEastAsia"/>
          <w:color w:val="auto"/>
          <w:sz w:val="24"/>
          <w:szCs w:val="24"/>
          <w:highlight w:val="none"/>
        </w:rPr>
        <w:t>：《</w:t>
      </w:r>
      <w:r>
        <w:rPr>
          <w:rFonts w:eastAsiaTheme="majorEastAsia"/>
          <w:color w:val="auto"/>
          <w:sz w:val="24"/>
          <w:szCs w:val="24"/>
          <w:highlight w:val="none"/>
        </w:rPr>
        <w:t>工程建设项目廉政责任书</w:t>
      </w:r>
      <w:r>
        <w:rPr>
          <w:rFonts w:hint="eastAsia" w:eastAsiaTheme="majorEastAsia"/>
          <w:color w:val="auto"/>
          <w:sz w:val="24"/>
          <w:szCs w:val="24"/>
          <w:highlight w:val="none"/>
        </w:rPr>
        <w:t>》</w:t>
      </w:r>
      <w:bookmarkEnd w:id="1376"/>
      <w:bookmarkEnd w:id="1377"/>
      <w:r>
        <w:rPr>
          <w:rFonts w:eastAsiaTheme="majorEastAsia"/>
          <w:color w:val="auto"/>
          <w:sz w:val="24"/>
          <w:szCs w:val="24"/>
          <w:highlight w:val="none"/>
        </w:rPr>
        <w:t xml:space="preserve">     </w:t>
      </w:r>
      <w:bookmarkEnd w:id="1378"/>
    </w:p>
    <w:p>
      <w:pPr>
        <w:pStyle w:val="52"/>
        <w:ind w:firstLine="480"/>
        <w:jc w:val="both"/>
        <w:outlineLvl w:val="0"/>
        <w:rPr>
          <w:rFonts w:eastAsiaTheme="majorEastAsia"/>
          <w:color w:val="auto"/>
          <w:sz w:val="24"/>
          <w:szCs w:val="24"/>
          <w:highlight w:val="none"/>
        </w:rPr>
      </w:pPr>
      <w:bookmarkStart w:id="1379" w:name="_Toc16248"/>
      <w:bookmarkStart w:id="1380" w:name="_Toc14024"/>
      <w:bookmarkStart w:id="1381" w:name="_Toc40186524"/>
      <w:r>
        <w:rPr>
          <w:rFonts w:eastAsiaTheme="majorEastAsia"/>
          <w:color w:val="auto"/>
          <w:sz w:val="24"/>
          <w:szCs w:val="24"/>
          <w:highlight w:val="none"/>
        </w:rPr>
        <w:t>附件</w:t>
      </w:r>
      <w:r>
        <w:rPr>
          <w:rFonts w:hint="eastAsia" w:eastAsiaTheme="majorEastAsia"/>
          <w:color w:val="auto"/>
          <w:sz w:val="24"/>
          <w:szCs w:val="24"/>
          <w:highlight w:val="none"/>
          <w:lang w:val="en-US" w:eastAsia="zh-CN"/>
        </w:rPr>
        <w:t>6</w:t>
      </w:r>
      <w:r>
        <w:rPr>
          <w:rFonts w:hint="eastAsia" w:eastAsiaTheme="majorEastAsia"/>
          <w:color w:val="auto"/>
          <w:sz w:val="24"/>
          <w:szCs w:val="24"/>
          <w:highlight w:val="none"/>
        </w:rPr>
        <w:t>：《</w:t>
      </w:r>
      <w:r>
        <w:rPr>
          <w:rFonts w:eastAsiaTheme="majorEastAsia"/>
          <w:color w:val="auto"/>
          <w:sz w:val="24"/>
          <w:szCs w:val="24"/>
          <w:highlight w:val="none"/>
        </w:rPr>
        <w:t>已标价工程量清单</w:t>
      </w:r>
      <w:r>
        <w:rPr>
          <w:rFonts w:hint="eastAsia" w:eastAsiaTheme="majorEastAsia"/>
          <w:color w:val="auto"/>
          <w:sz w:val="24"/>
          <w:szCs w:val="24"/>
          <w:highlight w:val="none"/>
        </w:rPr>
        <w:t>》</w:t>
      </w:r>
      <w:r>
        <w:rPr>
          <w:rFonts w:eastAsiaTheme="majorEastAsia"/>
          <w:color w:val="auto"/>
          <w:sz w:val="24"/>
          <w:szCs w:val="24"/>
          <w:highlight w:val="none"/>
        </w:rPr>
        <w:t>（另册）</w:t>
      </w:r>
      <w:bookmarkEnd w:id="1379"/>
      <w:bookmarkEnd w:id="1380"/>
      <w:r>
        <w:rPr>
          <w:rFonts w:eastAsiaTheme="majorEastAsia"/>
          <w:color w:val="auto"/>
          <w:sz w:val="24"/>
          <w:szCs w:val="24"/>
          <w:highlight w:val="none"/>
        </w:rPr>
        <w:t xml:space="preserve">    </w:t>
      </w:r>
      <w:bookmarkEnd w:id="1381"/>
    </w:p>
    <w:p>
      <w:pPr>
        <w:pStyle w:val="52"/>
        <w:ind w:firstLine="480"/>
        <w:jc w:val="both"/>
        <w:outlineLvl w:val="0"/>
        <w:rPr>
          <w:rFonts w:eastAsiaTheme="majorEastAsia"/>
          <w:color w:val="auto"/>
          <w:sz w:val="24"/>
          <w:szCs w:val="24"/>
          <w:highlight w:val="none"/>
        </w:rPr>
      </w:pPr>
      <w:bookmarkStart w:id="1382" w:name="_Toc11663"/>
      <w:bookmarkStart w:id="1383" w:name="_Toc6662"/>
      <w:r>
        <w:rPr>
          <w:rFonts w:eastAsiaTheme="majorEastAsia"/>
          <w:color w:val="auto"/>
          <w:sz w:val="24"/>
          <w:szCs w:val="24"/>
          <w:highlight w:val="none"/>
        </w:rPr>
        <w:t>附件</w:t>
      </w:r>
      <w:r>
        <w:rPr>
          <w:rFonts w:hint="eastAsia" w:eastAsiaTheme="majorEastAsia"/>
          <w:color w:val="auto"/>
          <w:sz w:val="24"/>
          <w:szCs w:val="24"/>
          <w:highlight w:val="none"/>
          <w:lang w:val="en-US" w:eastAsia="zh-CN"/>
        </w:rPr>
        <w:t>7</w:t>
      </w:r>
      <w:r>
        <w:rPr>
          <w:rFonts w:hint="eastAsia" w:eastAsiaTheme="majorEastAsia"/>
          <w:color w:val="auto"/>
          <w:sz w:val="24"/>
          <w:szCs w:val="24"/>
          <w:highlight w:val="none"/>
        </w:rPr>
        <w:t>：《</w:t>
      </w:r>
      <w:r>
        <w:rPr>
          <w:rFonts w:eastAsiaTheme="majorEastAsia"/>
          <w:color w:val="auto"/>
          <w:sz w:val="24"/>
          <w:szCs w:val="24"/>
          <w:highlight w:val="none"/>
        </w:rPr>
        <w:t>项目工程施工现场管理办法</w:t>
      </w:r>
      <w:r>
        <w:rPr>
          <w:rFonts w:hint="eastAsia" w:eastAsiaTheme="majorEastAsia"/>
          <w:color w:val="auto"/>
          <w:sz w:val="24"/>
          <w:szCs w:val="24"/>
          <w:highlight w:val="none"/>
        </w:rPr>
        <w:t>》</w:t>
      </w:r>
      <w:bookmarkEnd w:id="1382"/>
      <w:bookmarkEnd w:id="1383"/>
    </w:p>
    <w:p>
      <w:pPr>
        <w:pStyle w:val="52"/>
        <w:ind w:firstLine="480"/>
        <w:jc w:val="both"/>
        <w:outlineLvl w:val="0"/>
        <w:rPr>
          <w:color w:val="auto"/>
          <w:highlight w:val="none"/>
        </w:rPr>
      </w:pPr>
      <w:bookmarkStart w:id="1384" w:name="_Toc21486"/>
      <w:r>
        <w:rPr>
          <w:rFonts w:hint="eastAsia" w:eastAsiaTheme="majorEastAsia"/>
          <w:color w:val="auto"/>
          <w:sz w:val="24"/>
          <w:szCs w:val="24"/>
          <w:highlight w:val="none"/>
        </w:rPr>
        <w:t>附件</w:t>
      </w:r>
      <w:r>
        <w:rPr>
          <w:rFonts w:hint="eastAsia" w:eastAsiaTheme="majorEastAsia"/>
          <w:color w:val="auto"/>
          <w:sz w:val="24"/>
          <w:szCs w:val="24"/>
          <w:highlight w:val="none"/>
          <w:lang w:val="en-US" w:eastAsia="zh-CN"/>
        </w:rPr>
        <w:t>8</w:t>
      </w:r>
      <w:r>
        <w:rPr>
          <w:rFonts w:hint="eastAsia" w:eastAsiaTheme="majorEastAsia"/>
          <w:color w:val="auto"/>
          <w:sz w:val="24"/>
          <w:szCs w:val="24"/>
          <w:highlight w:val="none"/>
        </w:rPr>
        <w:t>：</w:t>
      </w:r>
      <w:r>
        <w:rPr>
          <w:rFonts w:eastAsia="宋体"/>
          <w:color w:val="auto"/>
          <w:sz w:val="24"/>
          <w:szCs w:val="24"/>
          <w:highlight w:val="none"/>
        </w:rPr>
        <w:t>《</w:t>
      </w:r>
      <w:r>
        <w:rPr>
          <w:rFonts w:eastAsia="宋体"/>
          <w:bCs/>
          <w:color w:val="auto"/>
          <w:sz w:val="24"/>
          <w:szCs w:val="24"/>
          <w:highlight w:val="none"/>
          <w:lang w:val="zh-CN"/>
        </w:rPr>
        <w:t>工程文明施工管理规定》</w:t>
      </w:r>
      <w:bookmarkEnd w:id="1384"/>
    </w:p>
    <w:p>
      <w:pPr>
        <w:pStyle w:val="3"/>
        <w:spacing w:before="0" w:after="0" w:line="360" w:lineRule="auto"/>
        <w:ind w:firstLine="480" w:firstLineChars="200"/>
        <w:rPr>
          <w:rFonts w:hint="eastAsia" w:eastAsiaTheme="majorEastAsia"/>
          <w:b w:val="0"/>
          <w:bCs w:val="0"/>
          <w:color w:val="auto"/>
          <w:kern w:val="0"/>
          <w:sz w:val="24"/>
          <w:szCs w:val="24"/>
          <w:highlight w:val="none"/>
        </w:rPr>
      </w:pPr>
      <w:r>
        <w:rPr>
          <w:rFonts w:hint="eastAsia" w:eastAsiaTheme="majorEastAsia"/>
          <w:b w:val="0"/>
          <w:bCs w:val="0"/>
          <w:color w:val="auto"/>
          <w:kern w:val="0"/>
          <w:sz w:val="24"/>
          <w:szCs w:val="24"/>
          <w:highlight w:val="none"/>
          <w:lang w:val="en-US"/>
        </w:rPr>
        <w:t>附件</w:t>
      </w:r>
      <w:r>
        <w:rPr>
          <w:rFonts w:hint="eastAsia" w:eastAsiaTheme="majorEastAsia"/>
          <w:b w:val="0"/>
          <w:bCs w:val="0"/>
          <w:color w:val="auto"/>
          <w:kern w:val="0"/>
          <w:sz w:val="24"/>
          <w:szCs w:val="24"/>
          <w:highlight w:val="none"/>
          <w:lang w:val="en-US" w:eastAsia="zh-CN"/>
        </w:rPr>
        <w:t>9</w:t>
      </w:r>
      <w:r>
        <w:rPr>
          <w:rFonts w:hint="eastAsia" w:eastAsiaTheme="majorEastAsia"/>
          <w:b w:val="0"/>
          <w:bCs w:val="0"/>
          <w:color w:val="auto"/>
          <w:kern w:val="0"/>
          <w:sz w:val="24"/>
          <w:szCs w:val="24"/>
          <w:highlight w:val="none"/>
          <w:lang w:val="en-US"/>
        </w:rPr>
        <w:t>：</w:t>
      </w:r>
      <w:r>
        <w:rPr>
          <w:rFonts w:hint="eastAsia" w:eastAsiaTheme="majorEastAsia"/>
          <w:b w:val="0"/>
          <w:bCs w:val="0"/>
          <w:color w:val="auto"/>
          <w:kern w:val="0"/>
          <w:sz w:val="24"/>
          <w:szCs w:val="24"/>
          <w:highlight w:val="none"/>
          <w:lang w:val="en-US" w:eastAsia="zh-CN"/>
        </w:rPr>
        <w:t>《</w:t>
      </w:r>
      <w:r>
        <w:rPr>
          <w:rFonts w:hint="eastAsia" w:eastAsiaTheme="majorEastAsia"/>
          <w:b w:val="0"/>
          <w:bCs w:val="0"/>
          <w:color w:val="auto"/>
          <w:kern w:val="0"/>
          <w:sz w:val="24"/>
          <w:szCs w:val="24"/>
          <w:highlight w:val="none"/>
          <w:lang w:eastAsia="zh-CN"/>
        </w:rPr>
        <w:t>农民工工资专用账户管理协议书》</w:t>
      </w:r>
    </w:p>
    <w:p>
      <w:pPr>
        <w:pStyle w:val="52"/>
        <w:ind w:firstLine="480"/>
        <w:jc w:val="both"/>
        <w:outlineLvl w:val="0"/>
        <w:rPr>
          <w:rFonts w:eastAsiaTheme="majorEastAsia"/>
          <w:color w:val="auto"/>
          <w:sz w:val="24"/>
          <w:szCs w:val="24"/>
          <w:highlight w:val="none"/>
        </w:rPr>
      </w:pPr>
      <w:bookmarkStart w:id="1385" w:name="_Toc30307"/>
      <w:bookmarkStart w:id="1386" w:name="_Toc13939"/>
      <w:r>
        <w:rPr>
          <w:rFonts w:hint="eastAsia" w:eastAsiaTheme="majorEastAsia"/>
          <w:color w:val="auto"/>
          <w:sz w:val="24"/>
          <w:szCs w:val="24"/>
          <w:highlight w:val="none"/>
          <w:lang w:eastAsia="zh-CN"/>
        </w:rPr>
        <w:t>附件</w:t>
      </w:r>
      <w:r>
        <w:rPr>
          <w:rFonts w:hint="eastAsia" w:eastAsiaTheme="majorEastAsia"/>
          <w:color w:val="auto"/>
          <w:sz w:val="24"/>
          <w:szCs w:val="24"/>
          <w:highlight w:val="none"/>
          <w:lang w:val="en-US" w:eastAsia="zh-CN"/>
        </w:rPr>
        <w:t>10</w:t>
      </w:r>
      <w:r>
        <w:rPr>
          <w:rFonts w:hint="eastAsia" w:eastAsiaTheme="majorEastAsia"/>
          <w:color w:val="auto"/>
          <w:sz w:val="24"/>
          <w:szCs w:val="24"/>
          <w:highlight w:val="none"/>
        </w:rPr>
        <w:t>：《</w:t>
      </w:r>
      <w:r>
        <w:rPr>
          <w:rFonts w:eastAsiaTheme="majorEastAsia"/>
          <w:color w:val="auto"/>
          <w:sz w:val="24"/>
          <w:szCs w:val="24"/>
          <w:highlight w:val="none"/>
        </w:rPr>
        <w:t>图纸目录</w:t>
      </w:r>
      <w:r>
        <w:rPr>
          <w:rFonts w:hint="eastAsia" w:eastAsiaTheme="majorEastAsia"/>
          <w:color w:val="auto"/>
          <w:sz w:val="24"/>
          <w:szCs w:val="24"/>
          <w:highlight w:val="none"/>
        </w:rPr>
        <w:t>》</w:t>
      </w:r>
      <w:bookmarkEnd w:id="1385"/>
      <w:r>
        <w:rPr>
          <w:rFonts w:hint="eastAsia" w:eastAsiaTheme="majorEastAsia"/>
          <w:color w:val="auto"/>
          <w:sz w:val="24"/>
          <w:szCs w:val="24"/>
          <w:highlight w:val="none"/>
        </w:rPr>
        <w:t>（另册）</w:t>
      </w:r>
      <w:bookmarkEnd w:id="1386"/>
    </w:p>
    <w:p>
      <w:pPr>
        <w:pStyle w:val="52"/>
        <w:ind w:firstLine="480"/>
        <w:jc w:val="both"/>
        <w:outlineLvl w:val="0"/>
        <w:rPr>
          <w:rFonts w:eastAsiaTheme="majorEastAsia"/>
          <w:color w:val="auto"/>
          <w:sz w:val="24"/>
          <w:szCs w:val="24"/>
          <w:highlight w:val="none"/>
        </w:rPr>
      </w:pPr>
      <w:bookmarkStart w:id="1387" w:name="_Toc17985"/>
      <w:bookmarkStart w:id="1388" w:name="_Toc1130"/>
      <w:r>
        <w:rPr>
          <w:rFonts w:hint="eastAsia" w:eastAsiaTheme="majorEastAsia"/>
          <w:color w:val="auto"/>
          <w:sz w:val="24"/>
          <w:szCs w:val="24"/>
          <w:highlight w:val="none"/>
          <w:lang w:eastAsia="zh-CN"/>
        </w:rPr>
        <w:t>附件1</w:t>
      </w:r>
      <w:r>
        <w:rPr>
          <w:rFonts w:hint="eastAsia" w:eastAsiaTheme="majorEastAsia"/>
          <w:color w:val="auto"/>
          <w:sz w:val="24"/>
          <w:szCs w:val="24"/>
          <w:highlight w:val="none"/>
          <w:lang w:val="en-US" w:eastAsia="zh-CN"/>
        </w:rPr>
        <w:t>1</w:t>
      </w:r>
      <w:r>
        <w:rPr>
          <w:rFonts w:hint="eastAsia" w:eastAsiaTheme="majorEastAsia"/>
          <w:color w:val="auto"/>
          <w:sz w:val="24"/>
          <w:szCs w:val="24"/>
          <w:highlight w:val="none"/>
        </w:rPr>
        <w:t>：《</w:t>
      </w:r>
      <w:r>
        <w:rPr>
          <w:rFonts w:eastAsiaTheme="majorEastAsia"/>
          <w:color w:val="auto"/>
          <w:sz w:val="24"/>
          <w:szCs w:val="24"/>
          <w:highlight w:val="none"/>
        </w:rPr>
        <w:t>安全管理协议书</w:t>
      </w:r>
      <w:r>
        <w:rPr>
          <w:rFonts w:hint="eastAsia" w:eastAsiaTheme="majorEastAsia"/>
          <w:color w:val="auto"/>
          <w:sz w:val="24"/>
          <w:szCs w:val="24"/>
          <w:highlight w:val="none"/>
        </w:rPr>
        <w:t>》</w:t>
      </w:r>
      <w:bookmarkEnd w:id="1387"/>
      <w:bookmarkEnd w:id="1388"/>
    </w:p>
    <w:p>
      <w:pPr>
        <w:pStyle w:val="52"/>
        <w:ind w:firstLine="480"/>
        <w:jc w:val="both"/>
        <w:outlineLvl w:val="0"/>
        <w:rPr>
          <w:rFonts w:eastAsiaTheme="majorEastAsia"/>
          <w:color w:val="auto"/>
          <w:sz w:val="24"/>
          <w:szCs w:val="24"/>
          <w:highlight w:val="none"/>
        </w:rPr>
      </w:pPr>
      <w:bookmarkStart w:id="1389" w:name="_Toc29296"/>
      <w:bookmarkStart w:id="1390" w:name="_Toc10539"/>
      <w:r>
        <w:rPr>
          <w:rFonts w:hint="eastAsia" w:eastAsiaTheme="majorEastAsia"/>
          <w:color w:val="auto"/>
          <w:sz w:val="24"/>
          <w:szCs w:val="24"/>
          <w:highlight w:val="none"/>
          <w:lang w:eastAsia="zh-CN"/>
        </w:rPr>
        <w:t>附件1</w:t>
      </w:r>
      <w:r>
        <w:rPr>
          <w:rFonts w:hint="eastAsia" w:eastAsiaTheme="majorEastAsia"/>
          <w:color w:val="auto"/>
          <w:sz w:val="24"/>
          <w:szCs w:val="24"/>
          <w:highlight w:val="none"/>
          <w:lang w:val="en-US" w:eastAsia="zh-CN"/>
        </w:rPr>
        <w:t>2</w:t>
      </w:r>
      <w:r>
        <w:rPr>
          <w:rFonts w:hint="eastAsia" w:eastAsiaTheme="majorEastAsia"/>
          <w:color w:val="auto"/>
          <w:sz w:val="24"/>
          <w:szCs w:val="24"/>
          <w:highlight w:val="none"/>
        </w:rPr>
        <w:t>：《</w:t>
      </w:r>
      <w:r>
        <w:rPr>
          <w:rFonts w:eastAsiaTheme="majorEastAsia"/>
          <w:color w:val="auto"/>
          <w:sz w:val="24"/>
          <w:szCs w:val="24"/>
          <w:highlight w:val="none"/>
        </w:rPr>
        <w:t>安全管理专篇</w:t>
      </w:r>
      <w:r>
        <w:rPr>
          <w:rFonts w:hint="eastAsia" w:eastAsiaTheme="majorEastAsia"/>
          <w:color w:val="auto"/>
          <w:sz w:val="24"/>
          <w:szCs w:val="24"/>
          <w:highlight w:val="none"/>
        </w:rPr>
        <w:t>》</w:t>
      </w:r>
      <w:bookmarkEnd w:id="1389"/>
      <w:bookmarkEnd w:id="1390"/>
    </w:p>
    <w:p>
      <w:pPr>
        <w:pStyle w:val="52"/>
        <w:ind w:firstLine="480"/>
        <w:jc w:val="both"/>
        <w:outlineLvl w:val="0"/>
        <w:rPr>
          <w:rFonts w:eastAsiaTheme="majorEastAsia"/>
          <w:color w:val="auto"/>
          <w:sz w:val="24"/>
          <w:szCs w:val="24"/>
          <w:highlight w:val="none"/>
        </w:rPr>
      </w:pPr>
      <w:bookmarkStart w:id="1391" w:name="_Toc22901"/>
      <w:bookmarkStart w:id="1392" w:name="_Toc12847"/>
      <w:r>
        <w:rPr>
          <w:rFonts w:hint="eastAsia" w:eastAsiaTheme="majorEastAsia"/>
          <w:color w:val="auto"/>
          <w:sz w:val="24"/>
          <w:szCs w:val="24"/>
          <w:highlight w:val="none"/>
          <w:lang w:eastAsia="zh-CN"/>
        </w:rPr>
        <w:t>附件1</w:t>
      </w:r>
      <w:r>
        <w:rPr>
          <w:rFonts w:hint="eastAsia" w:eastAsiaTheme="majorEastAsia"/>
          <w:color w:val="auto"/>
          <w:sz w:val="24"/>
          <w:szCs w:val="24"/>
          <w:highlight w:val="none"/>
          <w:lang w:val="en-US" w:eastAsia="zh-CN"/>
        </w:rPr>
        <w:t>3</w:t>
      </w:r>
      <w:r>
        <w:rPr>
          <w:rFonts w:hint="eastAsia" w:eastAsiaTheme="majorEastAsia"/>
          <w:color w:val="auto"/>
          <w:sz w:val="24"/>
          <w:szCs w:val="24"/>
          <w:highlight w:val="none"/>
        </w:rPr>
        <w:t>：《</w:t>
      </w:r>
      <w:r>
        <w:rPr>
          <w:rFonts w:eastAsiaTheme="majorEastAsia"/>
          <w:color w:val="auto"/>
          <w:sz w:val="24"/>
          <w:szCs w:val="24"/>
          <w:highlight w:val="none"/>
        </w:rPr>
        <w:t>项目管理班子及其他管理人员配备情况表</w:t>
      </w:r>
      <w:r>
        <w:rPr>
          <w:rFonts w:hint="eastAsia" w:eastAsiaTheme="majorEastAsia"/>
          <w:color w:val="auto"/>
          <w:sz w:val="24"/>
          <w:szCs w:val="24"/>
          <w:highlight w:val="none"/>
        </w:rPr>
        <w:t>》</w:t>
      </w:r>
      <w:r>
        <w:rPr>
          <w:rFonts w:eastAsiaTheme="majorEastAsia"/>
          <w:color w:val="auto"/>
          <w:sz w:val="24"/>
          <w:szCs w:val="24"/>
          <w:highlight w:val="none"/>
        </w:rPr>
        <w:t>（按投标文件）</w:t>
      </w:r>
      <w:bookmarkEnd w:id="1391"/>
      <w:bookmarkEnd w:id="1392"/>
    </w:p>
    <w:p>
      <w:pPr>
        <w:pStyle w:val="52"/>
        <w:ind w:firstLine="480" w:firstLineChars="0"/>
        <w:jc w:val="left"/>
        <w:outlineLvl w:val="9"/>
        <w:rPr>
          <w:rFonts w:hint="eastAsia" w:eastAsiaTheme="majorEastAsia"/>
          <w:color w:val="auto"/>
          <w:sz w:val="24"/>
          <w:szCs w:val="24"/>
          <w:highlight w:val="none"/>
          <w:lang w:val="zh-CN"/>
        </w:rPr>
      </w:pPr>
      <w:r>
        <w:rPr>
          <w:rFonts w:hint="eastAsia" w:eastAsiaTheme="majorEastAsia"/>
          <w:color w:val="auto"/>
          <w:sz w:val="24"/>
          <w:szCs w:val="24"/>
          <w:highlight w:val="none"/>
          <w:lang w:val="zh-CN"/>
        </w:rPr>
        <w:t>附件1</w:t>
      </w:r>
      <w:r>
        <w:rPr>
          <w:rFonts w:hint="eastAsia" w:eastAsiaTheme="majorEastAsia"/>
          <w:color w:val="auto"/>
          <w:sz w:val="24"/>
          <w:szCs w:val="24"/>
          <w:highlight w:val="none"/>
          <w:lang w:val="en-US" w:eastAsia="zh-CN"/>
        </w:rPr>
        <w:t>4</w:t>
      </w:r>
      <w:r>
        <w:rPr>
          <w:rFonts w:hint="eastAsia" w:eastAsiaTheme="majorEastAsia"/>
          <w:color w:val="auto"/>
          <w:sz w:val="24"/>
          <w:szCs w:val="24"/>
          <w:highlight w:val="none"/>
          <w:lang w:val="zh-CN"/>
        </w:rPr>
        <w:t>：《广东粤海控股集团有限公司工程建设承包商安全生产违规行为管理暂行办法》（另册）</w:t>
      </w:r>
    </w:p>
    <w:p>
      <w:pPr>
        <w:pStyle w:val="52"/>
        <w:ind w:firstLine="480"/>
        <w:rPr>
          <w:rFonts w:eastAsiaTheme="majorEastAsia"/>
          <w:color w:val="auto"/>
          <w:sz w:val="24"/>
          <w:szCs w:val="24"/>
          <w:highlight w:val="none"/>
        </w:rPr>
        <w:sectPr>
          <w:headerReference r:id="rId6" w:type="default"/>
          <w:footerReference r:id="rId7" w:type="default"/>
          <w:type w:val="continuous"/>
          <w:pgSz w:w="11906" w:h="16838"/>
          <w:pgMar w:top="1418" w:right="1554" w:bottom="1418" w:left="1531" w:header="851" w:footer="992" w:gutter="0"/>
          <w:pgNumType w:fmt="decimal"/>
          <w:cols w:space="720" w:num="1"/>
          <w:titlePg/>
          <w:docGrid w:type="lines" w:linePitch="312" w:charSpace="0"/>
        </w:sectPr>
      </w:pPr>
    </w:p>
    <w:p>
      <w:pPr>
        <w:pStyle w:val="52"/>
        <w:ind w:firstLine="0" w:firstLineChars="0"/>
        <w:jc w:val="both"/>
        <w:rPr>
          <w:rFonts w:eastAsia="宋体"/>
          <w:color w:val="auto"/>
          <w:highlight w:val="none"/>
        </w:rPr>
      </w:pPr>
      <w:r>
        <w:rPr>
          <w:color w:val="auto"/>
          <w:highlight w:val="none"/>
        </w:rPr>
        <w:br w:type="page"/>
      </w:r>
      <w:bookmarkStart w:id="1393" w:name="_Toc10027"/>
      <w:bookmarkStart w:id="1394" w:name="_Toc44492628"/>
      <w:bookmarkStart w:id="1395" w:name="_Toc44227951"/>
      <w:bookmarkStart w:id="1396" w:name="_Toc27297"/>
    </w:p>
    <w:p>
      <w:pPr>
        <w:pStyle w:val="3"/>
        <w:spacing w:before="0" w:after="0"/>
        <w:rPr>
          <w:rStyle w:val="102"/>
          <w:b/>
          <w:bCs/>
          <w:color w:val="auto"/>
          <w:sz w:val="28"/>
          <w:szCs w:val="28"/>
          <w:highlight w:val="none"/>
          <w:lang w:val="zh-CN"/>
        </w:rPr>
      </w:pPr>
      <w:bookmarkStart w:id="1397" w:name="_Toc21496"/>
      <w:bookmarkStart w:id="1398" w:name="_Toc18070"/>
      <w:r>
        <w:rPr>
          <w:rStyle w:val="102"/>
          <w:b/>
          <w:bCs/>
          <w:color w:val="auto"/>
          <w:sz w:val="28"/>
          <w:szCs w:val="28"/>
          <w:highlight w:val="none"/>
          <w:lang w:val="zh-CN"/>
        </w:rPr>
        <w:t>附件</w:t>
      </w:r>
      <w:r>
        <w:rPr>
          <w:rStyle w:val="102"/>
          <w:b/>
          <w:bCs/>
          <w:color w:val="auto"/>
          <w:sz w:val="28"/>
          <w:szCs w:val="28"/>
          <w:highlight w:val="none"/>
        </w:rPr>
        <w:t>1</w:t>
      </w:r>
      <w:r>
        <w:rPr>
          <w:rStyle w:val="102"/>
          <w:b/>
          <w:bCs/>
          <w:color w:val="auto"/>
          <w:sz w:val="28"/>
          <w:szCs w:val="28"/>
          <w:highlight w:val="none"/>
          <w:lang w:val="zh-CN"/>
        </w:rPr>
        <w:t>：合同范围及边界</w:t>
      </w:r>
      <w:bookmarkEnd w:id="1397"/>
      <w:bookmarkEnd w:id="1398"/>
      <w:r>
        <w:rPr>
          <w:rStyle w:val="102"/>
          <w:rFonts w:hint="eastAsia"/>
          <w:b/>
          <w:bCs/>
          <w:color w:val="auto"/>
          <w:sz w:val="28"/>
          <w:szCs w:val="28"/>
          <w:highlight w:val="none"/>
          <w:lang w:val="zh-CN"/>
        </w:rPr>
        <w:t>（</w:t>
      </w:r>
      <w:r>
        <w:rPr>
          <w:rStyle w:val="102"/>
          <w:rFonts w:hint="eastAsia"/>
          <w:b/>
          <w:bCs/>
          <w:color w:val="auto"/>
          <w:sz w:val="28"/>
          <w:szCs w:val="28"/>
          <w:highlight w:val="none"/>
          <w:lang w:val="en-US" w:eastAsia="zh-CN"/>
        </w:rPr>
        <w:t>另册</w:t>
      </w:r>
      <w:r>
        <w:rPr>
          <w:rStyle w:val="102"/>
          <w:rFonts w:hint="eastAsia"/>
          <w:b/>
          <w:bCs/>
          <w:color w:val="auto"/>
          <w:sz w:val="28"/>
          <w:szCs w:val="28"/>
          <w:highlight w:val="none"/>
          <w:lang w:val="zh-CN"/>
        </w:rPr>
        <w:t>）</w:t>
      </w:r>
    </w:p>
    <w:bookmarkEnd w:id="1393"/>
    <w:bookmarkEnd w:id="1394"/>
    <w:bookmarkEnd w:id="1395"/>
    <w:bookmarkEnd w:id="1396"/>
    <w:p>
      <w:pPr>
        <w:pStyle w:val="3"/>
        <w:spacing w:before="0" w:after="0" w:line="360" w:lineRule="auto"/>
        <w:rPr>
          <w:rStyle w:val="102"/>
          <w:b/>
          <w:bCs/>
          <w:color w:val="auto"/>
          <w:sz w:val="28"/>
          <w:szCs w:val="28"/>
          <w:highlight w:val="none"/>
          <w:lang w:val="zh-CN"/>
        </w:rPr>
      </w:pPr>
      <w:bookmarkStart w:id="1399" w:name="_Toc7324"/>
      <w:bookmarkStart w:id="1400" w:name="_Toc23448"/>
      <w:bookmarkStart w:id="1401" w:name="_Toc23359"/>
      <w:bookmarkStart w:id="1402" w:name="_Toc44492629"/>
      <w:bookmarkStart w:id="1403" w:name="_Toc23147"/>
      <w:bookmarkStart w:id="1404" w:name="_Toc12199"/>
      <w:bookmarkStart w:id="1405" w:name="_Toc67300361"/>
      <w:bookmarkStart w:id="1406" w:name="_Toc44227952"/>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rStyle w:val="102"/>
          <w:b/>
          <w:bCs/>
          <w:color w:val="auto"/>
          <w:sz w:val="28"/>
          <w:szCs w:val="28"/>
          <w:highlight w:val="none"/>
          <w:lang w:val="zh-CN"/>
        </w:rPr>
      </w:pPr>
    </w:p>
    <w:p>
      <w:pPr>
        <w:pStyle w:val="3"/>
        <w:spacing w:before="0" w:after="0" w:line="360" w:lineRule="auto"/>
        <w:rPr>
          <w:color w:val="auto"/>
          <w:sz w:val="28"/>
          <w:szCs w:val="28"/>
          <w:highlight w:val="none"/>
        </w:rPr>
      </w:pPr>
      <w:r>
        <w:rPr>
          <w:rStyle w:val="102"/>
          <w:b/>
          <w:bCs/>
          <w:color w:val="auto"/>
          <w:sz w:val="28"/>
          <w:szCs w:val="28"/>
          <w:highlight w:val="none"/>
          <w:lang w:val="zh-CN"/>
        </w:rPr>
        <w:t>附件</w:t>
      </w:r>
      <w:r>
        <w:rPr>
          <w:rStyle w:val="102"/>
          <w:rFonts w:hint="eastAsia"/>
          <w:b/>
          <w:bCs/>
          <w:color w:val="auto"/>
          <w:sz w:val="28"/>
          <w:szCs w:val="28"/>
          <w:highlight w:val="none"/>
          <w:lang w:val="en-US" w:eastAsia="zh-CN"/>
        </w:rPr>
        <w:t>2</w:t>
      </w:r>
      <w:r>
        <w:rPr>
          <w:rStyle w:val="102"/>
          <w:b/>
          <w:bCs/>
          <w:color w:val="auto"/>
          <w:sz w:val="28"/>
          <w:szCs w:val="28"/>
          <w:highlight w:val="none"/>
          <w:lang w:val="zh-CN"/>
        </w:rPr>
        <w:t>：履约保函（样式）</w:t>
      </w:r>
      <w:bookmarkEnd w:id="1399"/>
      <w:bookmarkEnd w:id="1400"/>
      <w:bookmarkEnd w:id="1401"/>
      <w:bookmarkEnd w:id="1402"/>
      <w:bookmarkEnd w:id="1403"/>
      <w:bookmarkEnd w:id="1404"/>
      <w:bookmarkEnd w:id="1405"/>
      <w:bookmarkEnd w:id="1406"/>
    </w:p>
    <w:p>
      <w:pPr>
        <w:spacing w:before="120" w:after="120"/>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履约保函</w:t>
      </w:r>
    </w:p>
    <w:p>
      <w:pPr>
        <w:wordWrap w:val="0"/>
        <w:spacing w:before="120" w:after="120"/>
        <w:jc w:val="righ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签发日期：</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pPr>
        <w:adjustRightInd w:val="0"/>
        <w:snapToGrid w:val="0"/>
        <w:spacing w:before="156" w:beforeLines="50" w:line="360" w:lineRule="auto"/>
        <w:jc w:val="left"/>
        <w:rPr>
          <w:rFonts w:ascii="华文仿宋" w:hAnsi="华文仿宋" w:eastAsia="华文仿宋" w:cs="Times New Roman"/>
          <w:color w:val="auto"/>
          <w:sz w:val="28"/>
          <w:szCs w:val="28"/>
          <w:highlight w:val="none"/>
        </w:rPr>
      </w:pPr>
    </w:p>
    <w:p>
      <w:pPr>
        <w:adjustRightInd w:val="0"/>
        <w:snapToGrid w:val="0"/>
        <w:spacing w:before="156" w:beforeLines="50" w:line="360" w:lineRule="auto"/>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致：</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（以下简称“受益人”）：</w:t>
      </w:r>
    </w:p>
    <w:p>
      <w:pPr>
        <w:adjustRightInd w:val="0"/>
        <w:snapToGrid w:val="0"/>
        <w:spacing w:before="156"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鉴于</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（以下简称“被担保人”）已与受益人签订了编号为</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 （以下简称“合同”），金额 （大写）：人民币</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元（RMB</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）。我方作为保证人，在此向受益人就被担保人履行合同提供</w:t>
      </w:r>
      <w:r>
        <w:rPr>
          <w:rFonts w:hint="default" w:ascii="Times New Roman" w:hAnsi="Times New Roman" w:eastAsia="宋体" w:cs="Times New Roman"/>
          <w:b/>
          <w:color w:val="auto"/>
          <w:sz w:val="24"/>
          <w:szCs w:val="24"/>
          <w:highlight w:val="none"/>
        </w:rPr>
        <w:t>不可撤销</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b/>
          <w:color w:val="auto"/>
          <w:sz w:val="24"/>
          <w:szCs w:val="24"/>
          <w:highlight w:val="none"/>
        </w:rPr>
        <w:t>连带责任保证担保</w:t>
      </w:r>
      <w:r>
        <w:rPr>
          <w:rFonts w:hint="default" w:ascii="Times New Roman" w:hAnsi="Times New Roman" w:eastAsia="宋体" w:cs="Times New Roman"/>
          <w:color w:val="auto"/>
          <w:sz w:val="24"/>
          <w:szCs w:val="24"/>
          <w:highlight w:val="none"/>
        </w:rPr>
        <w:t>：</w:t>
      </w:r>
    </w:p>
    <w:p>
      <w:pPr>
        <w:adjustRightInd w:val="0"/>
        <w:snapToGrid w:val="0"/>
        <w:spacing w:before="156"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一、本保函担保的金额为（大写）人民币</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元（RMB</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w:t>
      </w:r>
    </w:p>
    <w:p>
      <w:pPr>
        <w:adjustRightInd w:val="0"/>
        <w:snapToGrid w:val="0"/>
        <w:spacing w:before="156"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二、本保函的有效期从合同生效之日起至合同项下工程竣工验收合格、结算完成且工程交付发包人（以时间较晚者为准）后第30天止。本保函有效期即为本保函的担保期限。</w:t>
      </w:r>
    </w:p>
    <w:p>
      <w:pPr>
        <w:adjustRightInd w:val="0"/>
        <w:snapToGrid w:val="0"/>
        <w:spacing w:before="156"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三、本保函为</w:t>
      </w:r>
      <w:r>
        <w:rPr>
          <w:rFonts w:hint="default" w:ascii="Times New Roman" w:hAnsi="Times New Roman" w:eastAsia="宋体" w:cs="Times New Roman"/>
          <w:b/>
          <w:color w:val="auto"/>
          <w:sz w:val="24"/>
          <w:szCs w:val="24"/>
          <w:highlight w:val="none"/>
        </w:rPr>
        <w:t>见索即付</w:t>
      </w:r>
      <w:r>
        <w:rPr>
          <w:rFonts w:hint="default" w:ascii="Times New Roman" w:hAnsi="Times New Roman" w:eastAsia="宋体" w:cs="Times New Roman"/>
          <w:color w:val="auto"/>
          <w:sz w:val="24"/>
          <w:szCs w:val="24"/>
          <w:highlight w:val="none"/>
        </w:rPr>
        <w:t>保函，在本保函的担保期限内，我方将在收到受益人经法定代表人或其授权委托代理人签字并加盖公章的书面索赔通知原件后</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个工作日内，</w:t>
      </w:r>
      <w:r>
        <w:rPr>
          <w:rFonts w:hint="default" w:ascii="Times New Roman" w:hAnsi="Times New Roman" w:eastAsia="宋体" w:cs="Times New Roman"/>
          <w:b/>
          <w:color w:val="auto"/>
          <w:sz w:val="24"/>
          <w:szCs w:val="24"/>
          <w:highlight w:val="none"/>
        </w:rPr>
        <w:t>不争辩、不挑剔、不可撤销</w:t>
      </w:r>
      <w:r>
        <w:rPr>
          <w:rFonts w:hint="default" w:ascii="Times New Roman" w:hAnsi="Times New Roman" w:eastAsia="宋体" w:cs="Times New Roman"/>
          <w:color w:val="auto"/>
          <w:sz w:val="24"/>
          <w:szCs w:val="24"/>
          <w:highlight w:val="none"/>
        </w:rPr>
        <w:t>地向受益人支付索赔款，直至本保函担保的最高金额。</w:t>
      </w:r>
      <w:r>
        <w:rPr>
          <w:rFonts w:hint="default" w:ascii="Times New Roman" w:hAnsi="Times New Roman" w:eastAsia="宋体" w:cs="Times New Roman"/>
          <w:b/>
          <w:color w:val="auto"/>
          <w:sz w:val="24"/>
          <w:szCs w:val="24"/>
          <w:highlight w:val="none"/>
        </w:rPr>
        <w:t>受益人出具的书面索赔通知书无需要求证明被担保人是否违约或索赔金额是否恰当</w:t>
      </w:r>
      <w:r>
        <w:rPr>
          <w:rFonts w:hint="default" w:ascii="Times New Roman" w:hAnsi="Times New Roman" w:eastAsia="宋体" w:cs="Times New Roman"/>
          <w:color w:val="auto"/>
          <w:sz w:val="24"/>
          <w:szCs w:val="24"/>
          <w:highlight w:val="none"/>
        </w:rPr>
        <w:t>。</w:t>
      </w:r>
    </w:p>
    <w:p>
      <w:pPr>
        <w:adjustRightInd w:val="0"/>
        <w:snapToGrid w:val="0"/>
        <w:spacing w:before="156"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四、我方出具本保函后，</w:t>
      </w:r>
      <w:r>
        <w:rPr>
          <w:rFonts w:hint="default" w:ascii="Times New Roman" w:hAnsi="Times New Roman" w:eastAsia="宋体" w:cs="Times New Roman"/>
          <w:b/>
          <w:color w:val="auto"/>
          <w:sz w:val="24"/>
          <w:szCs w:val="24"/>
          <w:highlight w:val="none"/>
        </w:rPr>
        <w:t>受益人与被担保人对合同进行的任何修订，或受益人对合同有关事项的任何豁免或未追究皆不会解除或减轻我方于本保函担保项下的责任</w:t>
      </w:r>
      <w:r>
        <w:rPr>
          <w:rFonts w:hint="default" w:ascii="Times New Roman" w:hAnsi="Times New Roman" w:eastAsia="宋体" w:cs="Times New Roman"/>
          <w:color w:val="auto"/>
          <w:sz w:val="24"/>
          <w:szCs w:val="24"/>
          <w:highlight w:val="none"/>
        </w:rPr>
        <w:t>。</w:t>
      </w:r>
    </w:p>
    <w:p>
      <w:pPr>
        <w:adjustRightInd w:val="0"/>
        <w:snapToGrid w:val="0"/>
        <w:spacing w:before="156"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五、本保函有效期届满，或我方向受益人支付索赔款已达本保函担保的最高金额，我方的担保责任免除，以两者中较早发生者为准。本保函到期后无论本保函原件是否退还我方，本保函到期即自动失效。</w:t>
      </w:r>
    </w:p>
    <w:p>
      <w:pPr>
        <w:adjustRightInd w:val="0"/>
        <w:snapToGrid w:val="0"/>
        <w:spacing w:before="156"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六、本保函对我方及我方继受人有不可撤销的约束力，我方自愿作出上述承诺，并清楚了解本保函法律含义。</w:t>
      </w:r>
    </w:p>
    <w:p>
      <w:pPr>
        <w:adjustRightInd w:val="0"/>
        <w:snapToGrid w:val="0"/>
        <w:spacing w:before="156"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七、本保函担保项下的权利不得转让或出让，但可由受益人之继承人或其受让人继承。</w:t>
      </w:r>
    </w:p>
    <w:p>
      <w:pPr>
        <w:adjustRightInd w:val="0"/>
        <w:snapToGrid w:val="0"/>
        <w:spacing w:before="156" w:beforeLines="50"/>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八、受益人提出索赔的，应按以下通讯信息向我方发出书面通知：</w:t>
      </w:r>
    </w:p>
    <w:p>
      <w:pPr>
        <w:adjustRightInd w:val="0"/>
        <w:snapToGrid w:val="0"/>
        <w:spacing w:before="156" w:beforeLines="50"/>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收件人：</w:t>
      </w:r>
    </w:p>
    <w:p>
      <w:pPr>
        <w:adjustRightInd w:val="0"/>
        <w:snapToGrid w:val="0"/>
        <w:spacing w:before="156" w:beforeLines="50"/>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通讯地址：</w:t>
      </w:r>
    </w:p>
    <w:p>
      <w:pPr>
        <w:adjustRightInd w:val="0"/>
        <w:snapToGrid w:val="0"/>
        <w:spacing w:before="156" w:beforeLines="50"/>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联系电话：</w:t>
      </w:r>
    </w:p>
    <w:p>
      <w:pPr>
        <w:adjustRightInd w:val="0"/>
        <w:snapToGrid w:val="0"/>
        <w:spacing w:before="156"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索赔通知如果通过专人送达，该通知在接收时即视为已经送达；如果通过信函邮寄方式送达，该通知在发出之日后【三】个工作日即视为已经送达。</w:t>
      </w:r>
    </w:p>
    <w:p>
      <w:pPr>
        <w:adjustRightInd w:val="0"/>
        <w:snapToGrid w:val="0"/>
        <w:spacing w:before="156"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九、本保函适用中华人民共和国法律法规。</w:t>
      </w:r>
    </w:p>
    <w:p>
      <w:pPr>
        <w:adjustRightInd w:val="0"/>
        <w:snapToGrid w:val="0"/>
        <w:spacing w:line="360" w:lineRule="auto"/>
        <w:ind w:firstLine="480" w:firstLineChars="200"/>
        <w:rPr>
          <w:rFonts w:ascii="Times New Roman" w:hAnsi="Times New Roman"/>
          <w:color w:val="auto"/>
          <w:sz w:val="24"/>
          <w:szCs w:val="24"/>
          <w:highlight w:val="none"/>
        </w:rPr>
      </w:pP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单位名称：</w:t>
      </w:r>
      <w:r>
        <w:rPr>
          <w:rFonts w:hint="eastAsia" w:ascii="宋体" w:hAnsi="宋体" w:cs="宋体"/>
          <w:color w:val="auto"/>
          <w:sz w:val="24"/>
          <w:szCs w:val="24"/>
          <w:highlight w:val="none"/>
          <w:u w:val="single" w:color="FF0000"/>
          <w:lang w:eastAsia="zh-CN"/>
        </w:rPr>
        <w:t xml:space="preserve">                    </w:t>
      </w:r>
      <w:r>
        <w:rPr>
          <w:rFonts w:ascii="Times New Roman" w:hAnsi="Times New Roman"/>
          <w:color w:val="auto"/>
          <w:sz w:val="24"/>
          <w:szCs w:val="24"/>
          <w:highlight w:val="none"/>
        </w:rPr>
        <w:t>（盖章）</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单位负责人：（签字）</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地    址：</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邮政编码：                       </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日期：</w:t>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ascii="Times New Roman" w:hAnsi="Times New Roman"/>
          <w:color w:val="auto"/>
          <w:sz w:val="24"/>
          <w:szCs w:val="24"/>
          <w:highlight w:val="none"/>
        </w:rPr>
        <w:t>年</w:t>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ascii="Times New Roman" w:hAnsi="Times New Roman"/>
          <w:color w:val="auto"/>
          <w:sz w:val="24"/>
          <w:szCs w:val="24"/>
          <w:highlight w:val="none"/>
        </w:rPr>
        <w:t>月</w:t>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ascii="Times New Roman" w:hAnsi="Times New Roman"/>
          <w:color w:val="auto"/>
          <w:sz w:val="24"/>
          <w:szCs w:val="24"/>
          <w:highlight w:val="none"/>
        </w:rPr>
        <w:t>日</w:t>
      </w: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2"/>
        <w:rPr>
          <w:rFonts w:ascii="Times New Roman" w:hAnsi="Times New Roman"/>
          <w:color w:val="auto"/>
          <w:sz w:val="24"/>
          <w:szCs w:val="24"/>
          <w:highlight w:val="none"/>
        </w:rPr>
      </w:pPr>
    </w:p>
    <w:p>
      <w:pPr>
        <w:pStyle w:val="3"/>
        <w:spacing w:before="0" w:after="0" w:line="360" w:lineRule="auto"/>
        <w:rPr>
          <w:rStyle w:val="102"/>
          <w:b/>
          <w:bCs/>
          <w:color w:val="auto"/>
          <w:sz w:val="28"/>
          <w:szCs w:val="28"/>
          <w:highlight w:val="none"/>
          <w:lang w:val="zh-CN"/>
        </w:rPr>
      </w:pPr>
      <w:bookmarkStart w:id="1407" w:name="_Toc44492631"/>
      <w:bookmarkStart w:id="1408" w:name="_Toc29522"/>
      <w:bookmarkStart w:id="1409" w:name="_Toc57"/>
      <w:bookmarkStart w:id="1410" w:name="_Toc15731"/>
      <w:bookmarkStart w:id="1411" w:name="_Toc4042"/>
      <w:bookmarkStart w:id="1412" w:name="_Toc67300363"/>
      <w:bookmarkStart w:id="1413" w:name="_Toc23495"/>
      <w:bookmarkStart w:id="1414" w:name="_Toc44227954"/>
      <w:r>
        <w:rPr>
          <w:rStyle w:val="102"/>
          <w:rFonts w:hint="eastAsia"/>
          <w:b/>
          <w:bCs/>
          <w:color w:val="auto"/>
          <w:sz w:val="28"/>
          <w:szCs w:val="28"/>
          <w:highlight w:val="none"/>
          <w:lang w:val="zh-CN"/>
        </w:rPr>
        <w:t>附件</w:t>
      </w:r>
      <w:r>
        <w:rPr>
          <w:rStyle w:val="102"/>
          <w:rFonts w:hint="eastAsia"/>
          <w:b/>
          <w:bCs/>
          <w:color w:val="auto"/>
          <w:sz w:val="28"/>
          <w:szCs w:val="28"/>
          <w:highlight w:val="none"/>
          <w:lang w:val="en-US" w:eastAsia="zh-CN"/>
        </w:rPr>
        <w:t>3</w:t>
      </w:r>
      <w:r>
        <w:rPr>
          <w:rStyle w:val="102"/>
          <w:b/>
          <w:bCs/>
          <w:color w:val="auto"/>
          <w:sz w:val="28"/>
          <w:szCs w:val="28"/>
          <w:highlight w:val="none"/>
          <w:lang w:val="zh-CN"/>
        </w:rPr>
        <w:t>：</w:t>
      </w:r>
      <w:r>
        <w:rPr>
          <w:rStyle w:val="102"/>
          <w:rFonts w:hint="eastAsia"/>
          <w:b/>
          <w:bCs/>
          <w:color w:val="auto"/>
          <w:sz w:val="28"/>
          <w:szCs w:val="28"/>
          <w:highlight w:val="none"/>
          <w:lang w:val="zh-CN"/>
        </w:rPr>
        <w:t>工程质量保修书</w:t>
      </w:r>
      <w:bookmarkEnd w:id="1407"/>
      <w:bookmarkEnd w:id="1408"/>
      <w:bookmarkEnd w:id="1409"/>
      <w:bookmarkEnd w:id="1410"/>
      <w:bookmarkEnd w:id="1411"/>
      <w:bookmarkEnd w:id="1412"/>
      <w:bookmarkEnd w:id="1413"/>
      <w:bookmarkEnd w:id="1414"/>
    </w:p>
    <w:p>
      <w:pPr>
        <w:spacing w:line="720" w:lineRule="auto"/>
        <w:jc w:val="center"/>
        <w:rPr>
          <w:rFonts w:hint="eastAsia" w:ascii="Times New Roman" w:hAnsi="Times New Roman" w:eastAsia="宋体"/>
          <w:b/>
          <w:color w:val="auto"/>
          <w:sz w:val="28"/>
          <w:szCs w:val="28"/>
          <w:highlight w:val="none"/>
          <w:lang w:eastAsia="zh-CN"/>
        </w:rPr>
      </w:pPr>
      <w:r>
        <w:rPr>
          <w:rFonts w:ascii="Times New Roman" w:hAnsi="Times New Roman"/>
          <w:b/>
          <w:color w:val="auto"/>
          <w:sz w:val="28"/>
          <w:szCs w:val="28"/>
          <w:highlight w:val="none"/>
        </w:rPr>
        <w:t>工程质量保修书</w:t>
      </w:r>
      <w:r>
        <w:rPr>
          <w:rFonts w:hint="eastAsia" w:ascii="Times New Roman" w:hAnsi="Times New Roman"/>
          <w:b/>
          <w:color w:val="auto"/>
          <w:sz w:val="28"/>
          <w:szCs w:val="28"/>
          <w:highlight w:val="none"/>
          <w:lang w:eastAsia="zh-CN"/>
        </w:rPr>
        <w:t>（</w:t>
      </w:r>
      <w:r>
        <w:rPr>
          <w:rFonts w:hint="eastAsia" w:ascii="Times New Roman" w:hAnsi="Times New Roman"/>
          <w:b/>
          <w:color w:val="auto"/>
          <w:sz w:val="28"/>
          <w:szCs w:val="28"/>
          <w:highlight w:val="none"/>
          <w:lang w:val="en-US" w:eastAsia="zh-CN"/>
        </w:rPr>
        <w:t>格式</w:t>
      </w:r>
      <w:r>
        <w:rPr>
          <w:rFonts w:hint="eastAsia" w:ascii="Times New Roman" w:hAnsi="Times New Roman"/>
          <w:b/>
          <w:color w:val="auto"/>
          <w:sz w:val="28"/>
          <w:szCs w:val="28"/>
          <w:highlight w:val="none"/>
          <w:lang w:eastAsia="zh-CN"/>
        </w:rPr>
        <w:t>）</w:t>
      </w:r>
    </w:p>
    <w:p>
      <w:pPr>
        <w:rPr>
          <w:rFonts w:ascii="Times New Roman" w:hAnsi="Times New Roman"/>
          <w:color w:val="auto"/>
          <w:highlight w:val="none"/>
        </w:rPr>
      </w:pPr>
    </w:p>
    <w:p>
      <w:pPr>
        <w:pStyle w:val="16"/>
        <w:snapToGrid w:val="0"/>
        <w:spacing w:after="0" w:line="360" w:lineRule="auto"/>
        <w:ind w:left="0" w:leftChars="0" w:right="0" w:rightChars="0" w:firstLine="480" w:firstLineChars="200"/>
        <w:jc w:val="both"/>
        <w:rPr>
          <w:rFonts w:hint="default" w:eastAsia="宋体"/>
          <w:b/>
          <w:color w:val="auto"/>
          <w:sz w:val="24"/>
          <w:szCs w:val="24"/>
          <w:highlight w:val="none"/>
          <w:u w:val="single"/>
          <w:lang w:val="en-US" w:eastAsia="zh-CN"/>
        </w:rPr>
      </w:pPr>
      <w:r>
        <w:rPr>
          <w:color w:val="auto"/>
          <w:sz w:val="24"/>
          <w:szCs w:val="24"/>
          <w:highlight w:val="none"/>
        </w:rPr>
        <w:t>发包人：</w:t>
      </w:r>
      <w:r>
        <w:rPr>
          <w:rFonts w:hint="eastAsia" w:ascii="宋体" w:hAnsi="宋体" w:cs="宋体"/>
          <w:color w:val="auto"/>
          <w:sz w:val="24"/>
          <w:szCs w:val="24"/>
          <w:highlight w:val="none"/>
          <w:u w:val="single" w:color="FF0000"/>
          <w:lang w:val="en-US" w:eastAsia="zh-CN"/>
        </w:rPr>
        <w:t>江门粤海置地有限公司</w:t>
      </w:r>
    </w:p>
    <w:p>
      <w:pPr>
        <w:pStyle w:val="16"/>
        <w:snapToGrid w:val="0"/>
        <w:spacing w:after="0" w:line="360" w:lineRule="auto"/>
        <w:ind w:left="0" w:leftChars="0" w:right="0" w:rightChars="0" w:firstLine="480" w:firstLineChars="200"/>
        <w:jc w:val="both"/>
        <w:rPr>
          <w:rFonts w:hint="eastAsia" w:eastAsia="宋体"/>
          <w:color w:val="auto"/>
          <w:sz w:val="24"/>
          <w:szCs w:val="24"/>
          <w:highlight w:val="none"/>
          <w:u w:val="single"/>
          <w:lang w:eastAsia="zh-CN"/>
        </w:rPr>
      </w:pPr>
      <w:r>
        <w:rPr>
          <w:color w:val="auto"/>
          <w:sz w:val="24"/>
          <w:szCs w:val="24"/>
          <w:highlight w:val="none"/>
        </w:rPr>
        <w:t>承包人：</w:t>
      </w:r>
      <w:r>
        <w:rPr>
          <w:rFonts w:hint="eastAsia" w:ascii="宋体" w:hAnsi="宋体" w:cs="宋体"/>
          <w:color w:val="auto"/>
          <w:sz w:val="24"/>
          <w:szCs w:val="24"/>
          <w:highlight w:val="none"/>
          <w:u w:val="single" w:color="FF0000"/>
          <w:lang w:eastAsia="zh-CN"/>
        </w:rPr>
        <w:t xml:space="preserve">                  </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为保证</w:t>
      </w:r>
      <w:r>
        <w:rPr>
          <w:rFonts w:hint="eastAsia" w:ascii="宋体" w:hAnsi="宋体" w:cs="宋体"/>
          <w:color w:val="auto"/>
          <w:sz w:val="24"/>
          <w:szCs w:val="24"/>
          <w:highlight w:val="none"/>
          <w:u w:val="single" w:color="FF0000"/>
          <w:lang w:eastAsia="zh-CN"/>
        </w:rPr>
        <w:t>粤海江门甘化厂项目新宁街道路及天桥工程</w:t>
      </w:r>
      <w:r>
        <w:rPr>
          <w:rFonts w:ascii="Times New Roman" w:hAnsi="Times New Roman"/>
          <w:color w:val="auto"/>
          <w:sz w:val="24"/>
          <w:szCs w:val="24"/>
          <w:highlight w:val="none"/>
        </w:rPr>
        <w:t>在合理使用期限内正常使用，发包人、承包人经协商一致签订本工程质量保修书。承包人在工程质量保修期内按照有关管理规定及双方约定承担工程质量保修责任。</w:t>
      </w:r>
    </w:p>
    <w:p>
      <w:pPr>
        <w:pStyle w:val="107"/>
        <w:numPr>
          <w:ilvl w:val="0"/>
          <w:numId w:val="47"/>
        </w:numPr>
        <w:adjustRightInd w:val="0"/>
        <w:snapToGrid w:val="0"/>
        <w:spacing w:line="360" w:lineRule="auto"/>
        <w:ind w:left="0" w:firstLine="480"/>
        <w:rPr>
          <w:color w:val="auto"/>
          <w:sz w:val="24"/>
          <w:szCs w:val="24"/>
          <w:highlight w:val="none"/>
        </w:rPr>
      </w:pPr>
      <w:r>
        <w:rPr>
          <w:color w:val="auto"/>
          <w:sz w:val="24"/>
          <w:szCs w:val="24"/>
          <w:highlight w:val="none"/>
        </w:rPr>
        <w:t>工程质量保修范围和内容</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质量保修范围包括但不限于包括：</w:t>
      </w:r>
      <w:r>
        <w:rPr>
          <w:rFonts w:ascii="Times New Roman" w:hAnsi="Times New Roman"/>
          <w:color w:val="auto"/>
          <w:sz w:val="24"/>
          <w:szCs w:val="24"/>
          <w:highlight w:val="none"/>
          <w:u w:val="single"/>
        </w:rPr>
        <w:t>详见合同承包范围内容</w:t>
      </w:r>
      <w:r>
        <w:rPr>
          <w:rFonts w:ascii="Times New Roman" w:hAnsi="Times New Roman"/>
          <w:color w:val="auto"/>
          <w:sz w:val="24"/>
          <w:szCs w:val="24"/>
          <w:highlight w:val="none"/>
        </w:rPr>
        <w:t>。</w:t>
      </w:r>
    </w:p>
    <w:p>
      <w:pPr>
        <w:pStyle w:val="107"/>
        <w:numPr>
          <w:ilvl w:val="0"/>
          <w:numId w:val="47"/>
        </w:numPr>
        <w:adjustRightInd w:val="0"/>
        <w:snapToGrid w:val="0"/>
        <w:spacing w:line="360" w:lineRule="auto"/>
        <w:ind w:left="0" w:firstLine="480"/>
        <w:rPr>
          <w:color w:val="auto"/>
          <w:sz w:val="24"/>
          <w:szCs w:val="24"/>
          <w:highlight w:val="none"/>
        </w:rPr>
      </w:pPr>
      <w:r>
        <w:rPr>
          <w:color w:val="auto"/>
          <w:sz w:val="24"/>
          <w:szCs w:val="24"/>
          <w:highlight w:val="none"/>
        </w:rPr>
        <w:t>工程质量保修期</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工程质量保修期从工程</w:t>
      </w:r>
      <w:r>
        <w:rPr>
          <w:rFonts w:hint="eastAsia" w:ascii="Times New Roman" w:hAnsi="Times New Roman"/>
          <w:color w:val="auto"/>
          <w:sz w:val="24"/>
          <w:szCs w:val="24"/>
          <w:highlight w:val="none"/>
          <w:lang w:val="en-US" w:eastAsia="zh-CN"/>
        </w:rPr>
        <w:t>项目</w:t>
      </w:r>
      <w:r>
        <w:rPr>
          <w:rFonts w:ascii="Times New Roman" w:hAnsi="Times New Roman"/>
          <w:color w:val="auto"/>
          <w:sz w:val="24"/>
          <w:szCs w:val="24"/>
          <w:highlight w:val="none"/>
        </w:rPr>
        <w:t>实际</w:t>
      </w:r>
      <w:r>
        <w:rPr>
          <w:rFonts w:hint="eastAsia" w:ascii="Times New Roman" w:hAnsi="Times New Roman"/>
          <w:color w:val="auto"/>
          <w:sz w:val="24"/>
          <w:szCs w:val="24"/>
          <w:highlight w:val="none"/>
          <w:lang w:val="en-US" w:eastAsia="zh-CN"/>
        </w:rPr>
        <w:t>整体</w:t>
      </w:r>
      <w:r>
        <w:rPr>
          <w:rFonts w:ascii="Times New Roman" w:hAnsi="Times New Roman"/>
          <w:color w:val="auto"/>
          <w:sz w:val="24"/>
          <w:szCs w:val="24"/>
          <w:highlight w:val="none"/>
        </w:rPr>
        <w:t>竣工验收合格并移交</w:t>
      </w:r>
      <w:r>
        <w:rPr>
          <w:rFonts w:hint="default" w:ascii="Times New Roman" w:hAnsi="Times New Roman"/>
          <w:color w:val="auto"/>
          <w:sz w:val="24"/>
          <w:szCs w:val="24"/>
          <w:highlight w:val="none"/>
          <w:lang w:val="en-US"/>
        </w:rPr>
        <w:t>发包人</w:t>
      </w:r>
      <w:r>
        <w:rPr>
          <w:rFonts w:hint="eastAsia" w:ascii="Times New Roman" w:hAnsi="Times New Roman"/>
          <w:color w:val="auto"/>
          <w:sz w:val="24"/>
          <w:szCs w:val="24"/>
          <w:highlight w:val="none"/>
          <w:lang w:val="en-US" w:eastAsia="zh-CN"/>
        </w:rPr>
        <w:t>及政府相关部门</w:t>
      </w:r>
      <w:r>
        <w:rPr>
          <w:rFonts w:ascii="Times New Roman" w:hAnsi="Times New Roman"/>
          <w:color w:val="auto"/>
          <w:sz w:val="24"/>
          <w:szCs w:val="24"/>
          <w:highlight w:val="none"/>
        </w:rPr>
        <w:t>之日算起。双方根据国家有关规定，结合具体工程约定质量保修期如下：</w:t>
      </w:r>
    </w:p>
    <w:p>
      <w:pPr>
        <w:pStyle w:val="107"/>
        <w:numPr>
          <w:ilvl w:val="0"/>
          <w:numId w:val="48"/>
        </w:numPr>
        <w:adjustRightInd w:val="0"/>
        <w:snapToGrid w:val="0"/>
        <w:spacing w:line="360" w:lineRule="auto"/>
        <w:ind w:left="0" w:firstLine="480"/>
        <w:rPr>
          <w:color w:val="auto"/>
          <w:sz w:val="24"/>
          <w:szCs w:val="24"/>
          <w:highlight w:val="none"/>
        </w:rPr>
      </w:pPr>
      <w:r>
        <w:rPr>
          <w:color w:val="auto"/>
          <w:sz w:val="24"/>
          <w:szCs w:val="24"/>
          <w:highlight w:val="none"/>
        </w:rPr>
        <w:t>主体结构工程为设计文件规定的该工程合理使用年限；</w:t>
      </w:r>
    </w:p>
    <w:p>
      <w:pPr>
        <w:pStyle w:val="107"/>
        <w:numPr>
          <w:ilvl w:val="0"/>
          <w:numId w:val="48"/>
        </w:numPr>
        <w:adjustRightInd w:val="0"/>
        <w:snapToGrid w:val="0"/>
        <w:spacing w:line="360" w:lineRule="auto"/>
        <w:ind w:left="0" w:firstLine="480"/>
        <w:rPr>
          <w:color w:val="auto"/>
          <w:sz w:val="24"/>
          <w:szCs w:val="24"/>
          <w:highlight w:val="none"/>
        </w:rPr>
      </w:pPr>
      <w:r>
        <w:rPr>
          <w:color w:val="auto"/>
          <w:sz w:val="24"/>
          <w:szCs w:val="24"/>
          <w:highlight w:val="none"/>
        </w:rPr>
        <w:t>防水工程、有防水要求的卫生间、房间和外墙面的防渗漏，为</w:t>
      </w:r>
      <w:r>
        <w:rPr>
          <w:color w:val="auto"/>
          <w:sz w:val="24"/>
          <w:szCs w:val="24"/>
          <w:highlight w:val="none"/>
          <w:u w:val="single"/>
        </w:rPr>
        <w:t xml:space="preserve"> 伍 </w:t>
      </w:r>
      <w:r>
        <w:rPr>
          <w:color w:val="auto"/>
          <w:sz w:val="24"/>
          <w:szCs w:val="24"/>
          <w:highlight w:val="none"/>
        </w:rPr>
        <w:t>年；</w:t>
      </w:r>
    </w:p>
    <w:p>
      <w:pPr>
        <w:pStyle w:val="107"/>
        <w:numPr>
          <w:ilvl w:val="0"/>
          <w:numId w:val="48"/>
        </w:numPr>
        <w:adjustRightInd w:val="0"/>
        <w:snapToGrid w:val="0"/>
        <w:spacing w:line="360" w:lineRule="auto"/>
        <w:ind w:left="0" w:firstLine="480"/>
        <w:rPr>
          <w:color w:val="auto"/>
          <w:sz w:val="24"/>
          <w:szCs w:val="24"/>
          <w:highlight w:val="none"/>
        </w:rPr>
      </w:pPr>
      <w:r>
        <w:rPr>
          <w:color w:val="auto"/>
          <w:sz w:val="24"/>
          <w:szCs w:val="24"/>
          <w:highlight w:val="none"/>
        </w:rPr>
        <w:t>装饰装修工程为</w:t>
      </w:r>
      <w:r>
        <w:rPr>
          <w:color w:val="auto"/>
          <w:sz w:val="24"/>
          <w:szCs w:val="24"/>
          <w:highlight w:val="none"/>
          <w:u w:val="single"/>
        </w:rPr>
        <w:t xml:space="preserve"> 贰 </w:t>
      </w:r>
      <w:r>
        <w:rPr>
          <w:color w:val="auto"/>
          <w:sz w:val="24"/>
          <w:szCs w:val="24"/>
          <w:highlight w:val="none"/>
        </w:rPr>
        <w:t>年；</w:t>
      </w:r>
    </w:p>
    <w:p>
      <w:pPr>
        <w:pStyle w:val="107"/>
        <w:numPr>
          <w:ilvl w:val="0"/>
          <w:numId w:val="48"/>
        </w:numPr>
        <w:adjustRightInd w:val="0"/>
        <w:snapToGrid w:val="0"/>
        <w:spacing w:line="360" w:lineRule="auto"/>
        <w:ind w:left="0" w:firstLine="480"/>
        <w:rPr>
          <w:color w:val="auto"/>
          <w:sz w:val="24"/>
          <w:szCs w:val="24"/>
          <w:highlight w:val="none"/>
        </w:rPr>
      </w:pPr>
      <w:r>
        <w:rPr>
          <w:color w:val="auto"/>
          <w:sz w:val="24"/>
          <w:szCs w:val="24"/>
          <w:highlight w:val="none"/>
        </w:rPr>
        <w:t>电气管线、给排水管道、设备安装工程为</w:t>
      </w:r>
      <w:r>
        <w:rPr>
          <w:color w:val="auto"/>
          <w:sz w:val="24"/>
          <w:szCs w:val="24"/>
          <w:highlight w:val="none"/>
          <w:u w:val="single"/>
        </w:rPr>
        <w:t xml:space="preserve"> 贰 </w:t>
      </w:r>
      <w:r>
        <w:rPr>
          <w:color w:val="auto"/>
          <w:sz w:val="24"/>
          <w:szCs w:val="24"/>
          <w:highlight w:val="none"/>
        </w:rPr>
        <w:t>年；</w:t>
      </w:r>
    </w:p>
    <w:p>
      <w:pPr>
        <w:pStyle w:val="107"/>
        <w:numPr>
          <w:ilvl w:val="0"/>
          <w:numId w:val="48"/>
        </w:numPr>
        <w:adjustRightInd w:val="0"/>
        <w:snapToGrid w:val="0"/>
        <w:spacing w:line="360" w:lineRule="auto"/>
        <w:ind w:left="0" w:firstLine="480"/>
        <w:rPr>
          <w:color w:val="auto"/>
          <w:sz w:val="24"/>
          <w:szCs w:val="24"/>
          <w:highlight w:val="none"/>
        </w:rPr>
      </w:pPr>
      <w:r>
        <w:rPr>
          <w:color w:val="auto"/>
          <w:sz w:val="24"/>
          <w:szCs w:val="24"/>
          <w:highlight w:val="none"/>
        </w:rPr>
        <w:t>供热及供冷为</w:t>
      </w:r>
      <w:r>
        <w:rPr>
          <w:color w:val="auto"/>
          <w:sz w:val="24"/>
          <w:szCs w:val="24"/>
          <w:highlight w:val="none"/>
          <w:u w:val="single"/>
        </w:rPr>
        <w:t xml:space="preserve">  </w:t>
      </w:r>
      <w:r>
        <w:rPr>
          <w:rFonts w:hint="eastAsia"/>
          <w:color w:val="auto"/>
          <w:sz w:val="24"/>
          <w:szCs w:val="24"/>
          <w:highlight w:val="none"/>
          <w:u w:val="single"/>
        </w:rPr>
        <w:t>/</w:t>
      </w:r>
      <w:r>
        <w:rPr>
          <w:color w:val="auto"/>
          <w:sz w:val="24"/>
          <w:szCs w:val="24"/>
          <w:highlight w:val="none"/>
          <w:u w:val="single"/>
        </w:rPr>
        <w:t xml:space="preserve"> </w:t>
      </w:r>
      <w:r>
        <w:rPr>
          <w:color w:val="auto"/>
          <w:sz w:val="24"/>
          <w:szCs w:val="24"/>
          <w:highlight w:val="none"/>
        </w:rPr>
        <w:t>个采暖期、供冷期；</w:t>
      </w:r>
    </w:p>
    <w:p>
      <w:pPr>
        <w:pStyle w:val="107"/>
        <w:numPr>
          <w:ilvl w:val="0"/>
          <w:numId w:val="48"/>
        </w:numPr>
        <w:adjustRightInd w:val="0"/>
        <w:snapToGrid w:val="0"/>
        <w:spacing w:line="360" w:lineRule="auto"/>
        <w:ind w:left="0" w:firstLine="480"/>
        <w:rPr>
          <w:color w:val="auto"/>
          <w:sz w:val="24"/>
          <w:szCs w:val="24"/>
          <w:highlight w:val="none"/>
        </w:rPr>
      </w:pPr>
      <w:r>
        <w:rPr>
          <w:color w:val="auto"/>
          <w:sz w:val="24"/>
          <w:szCs w:val="24"/>
          <w:highlight w:val="none"/>
        </w:rPr>
        <w:t>其他项目质量保修期限约定如下：质量保修期为</w:t>
      </w:r>
      <w:r>
        <w:rPr>
          <w:color w:val="auto"/>
          <w:sz w:val="24"/>
          <w:szCs w:val="24"/>
          <w:highlight w:val="none"/>
          <w:u w:val="single"/>
        </w:rPr>
        <w:t>工程整体竣工验收合格并移交</w:t>
      </w:r>
      <w:r>
        <w:rPr>
          <w:rFonts w:hint="default"/>
          <w:color w:val="auto"/>
          <w:sz w:val="24"/>
          <w:szCs w:val="24"/>
          <w:highlight w:val="none"/>
          <w:u w:val="single"/>
          <w:lang w:val="en-US"/>
        </w:rPr>
        <w:t>发包人</w:t>
      </w:r>
      <w:r>
        <w:rPr>
          <w:rFonts w:hint="eastAsia"/>
          <w:color w:val="auto"/>
          <w:sz w:val="24"/>
          <w:szCs w:val="24"/>
          <w:highlight w:val="none"/>
          <w:u w:val="single"/>
          <w:lang w:val="en-US" w:eastAsia="zh-CN"/>
        </w:rPr>
        <w:t>及政府相关部门</w:t>
      </w:r>
      <w:r>
        <w:rPr>
          <w:color w:val="auto"/>
          <w:sz w:val="24"/>
          <w:szCs w:val="24"/>
          <w:highlight w:val="none"/>
          <w:u w:val="single"/>
        </w:rPr>
        <w:t>后的24个月</w:t>
      </w:r>
      <w:r>
        <w:rPr>
          <w:color w:val="auto"/>
          <w:sz w:val="24"/>
          <w:szCs w:val="24"/>
          <w:highlight w:val="none"/>
        </w:rPr>
        <w:t>。</w:t>
      </w:r>
    </w:p>
    <w:p>
      <w:pPr>
        <w:pStyle w:val="107"/>
        <w:numPr>
          <w:ilvl w:val="0"/>
          <w:numId w:val="48"/>
        </w:numPr>
        <w:adjustRightInd w:val="0"/>
        <w:snapToGrid w:val="0"/>
        <w:spacing w:line="360" w:lineRule="auto"/>
        <w:ind w:left="0" w:firstLine="480"/>
        <w:rPr>
          <w:color w:val="auto"/>
          <w:sz w:val="24"/>
          <w:szCs w:val="24"/>
          <w:highlight w:val="none"/>
        </w:rPr>
      </w:pPr>
      <w:r>
        <w:rPr>
          <w:color w:val="auto"/>
          <w:sz w:val="24"/>
          <w:szCs w:val="24"/>
          <w:highlight w:val="none"/>
        </w:rPr>
        <w:t>其他约定：未尽事宜按国家现行规程、规范执行。</w:t>
      </w:r>
    </w:p>
    <w:p>
      <w:pPr>
        <w:pStyle w:val="107"/>
        <w:numPr>
          <w:ilvl w:val="0"/>
          <w:numId w:val="47"/>
        </w:numPr>
        <w:adjustRightInd w:val="0"/>
        <w:snapToGrid w:val="0"/>
        <w:spacing w:line="360" w:lineRule="auto"/>
        <w:ind w:left="0" w:firstLine="480"/>
        <w:rPr>
          <w:color w:val="auto"/>
          <w:sz w:val="24"/>
          <w:szCs w:val="24"/>
          <w:highlight w:val="none"/>
        </w:rPr>
      </w:pPr>
      <w:r>
        <w:rPr>
          <w:color w:val="auto"/>
          <w:sz w:val="24"/>
          <w:szCs w:val="24"/>
          <w:highlight w:val="none"/>
        </w:rPr>
        <w:t>质量保修责任</w:t>
      </w:r>
    </w:p>
    <w:p>
      <w:pPr>
        <w:pStyle w:val="107"/>
        <w:numPr>
          <w:ilvl w:val="0"/>
          <w:numId w:val="49"/>
        </w:numPr>
        <w:adjustRightInd w:val="0"/>
        <w:snapToGrid w:val="0"/>
        <w:spacing w:line="360" w:lineRule="auto"/>
        <w:ind w:left="0" w:firstLine="480"/>
        <w:rPr>
          <w:color w:val="auto"/>
          <w:sz w:val="24"/>
          <w:szCs w:val="24"/>
          <w:highlight w:val="none"/>
        </w:rPr>
      </w:pPr>
      <w:r>
        <w:rPr>
          <w:color w:val="auto"/>
          <w:sz w:val="24"/>
          <w:szCs w:val="24"/>
          <w:highlight w:val="none"/>
        </w:rPr>
        <w:t>属于保修范围、内容的项目，承包人应当在接到保修通知之日起</w:t>
      </w:r>
      <w:r>
        <w:rPr>
          <w:color w:val="auto"/>
          <w:sz w:val="24"/>
          <w:szCs w:val="24"/>
          <w:highlight w:val="none"/>
          <w:u w:val="single"/>
        </w:rPr>
        <w:t xml:space="preserve">  24  </w:t>
      </w:r>
      <w:r>
        <w:rPr>
          <w:color w:val="auto"/>
          <w:sz w:val="24"/>
          <w:szCs w:val="24"/>
          <w:highlight w:val="none"/>
        </w:rPr>
        <w:t>小时内派人保修。承包人不在约定期限内派人保修，发包人可以委托他人维修，所需维修费用由承包人承担，直接从工程质量保证金冲抵，保证金不足以支付保修费用时，发包人有权进一步向承包人追索。因承包人原因导致发包人委托他人维修的，承包人同时应按合同约定向发包人承担违约责任。</w:t>
      </w:r>
    </w:p>
    <w:p>
      <w:pPr>
        <w:pStyle w:val="107"/>
        <w:numPr>
          <w:ilvl w:val="0"/>
          <w:numId w:val="49"/>
        </w:numPr>
        <w:adjustRightInd w:val="0"/>
        <w:snapToGrid w:val="0"/>
        <w:spacing w:line="360" w:lineRule="auto"/>
        <w:ind w:left="0" w:firstLine="480"/>
        <w:rPr>
          <w:color w:val="auto"/>
          <w:sz w:val="24"/>
          <w:szCs w:val="24"/>
          <w:highlight w:val="none"/>
        </w:rPr>
      </w:pPr>
      <w:r>
        <w:rPr>
          <w:color w:val="auto"/>
          <w:sz w:val="24"/>
          <w:szCs w:val="24"/>
          <w:highlight w:val="none"/>
        </w:rPr>
        <w:t>渗水、漏水、给排水、供电设施及线路出现故障</w:t>
      </w:r>
      <w:r>
        <w:rPr>
          <w:rFonts w:hint="eastAsia"/>
          <w:color w:val="auto"/>
          <w:sz w:val="24"/>
          <w:szCs w:val="24"/>
          <w:highlight w:val="none"/>
        </w:rPr>
        <w:t>等</w:t>
      </w:r>
      <w:r>
        <w:rPr>
          <w:color w:val="auto"/>
          <w:sz w:val="24"/>
          <w:szCs w:val="24"/>
          <w:highlight w:val="none"/>
        </w:rPr>
        <w:t>影响居民正常生活或商家经营活动时，承包人承诺在发包人通知后</w:t>
      </w:r>
      <w:r>
        <w:rPr>
          <w:color w:val="auto"/>
          <w:sz w:val="24"/>
          <w:szCs w:val="24"/>
          <w:highlight w:val="none"/>
          <w:u w:val="single"/>
        </w:rPr>
        <w:t xml:space="preserve"> 4 </w:t>
      </w:r>
      <w:r>
        <w:rPr>
          <w:color w:val="auto"/>
          <w:sz w:val="24"/>
          <w:szCs w:val="24"/>
          <w:highlight w:val="none"/>
        </w:rPr>
        <w:t>小时内赶到现场并于</w:t>
      </w:r>
      <w:r>
        <w:rPr>
          <w:color w:val="auto"/>
          <w:sz w:val="24"/>
          <w:szCs w:val="24"/>
          <w:highlight w:val="none"/>
          <w:u w:val="single"/>
        </w:rPr>
        <w:t xml:space="preserve"> 6 </w:t>
      </w:r>
      <w:r>
        <w:rPr>
          <w:color w:val="auto"/>
          <w:sz w:val="24"/>
          <w:szCs w:val="24"/>
          <w:highlight w:val="none"/>
        </w:rPr>
        <w:t>小时内完成维修。</w:t>
      </w:r>
    </w:p>
    <w:p>
      <w:pPr>
        <w:pStyle w:val="107"/>
        <w:numPr>
          <w:ilvl w:val="0"/>
          <w:numId w:val="49"/>
        </w:numPr>
        <w:adjustRightInd w:val="0"/>
        <w:snapToGrid w:val="0"/>
        <w:spacing w:line="360" w:lineRule="auto"/>
        <w:ind w:left="0" w:firstLine="480"/>
        <w:rPr>
          <w:color w:val="auto"/>
          <w:sz w:val="24"/>
          <w:szCs w:val="24"/>
          <w:highlight w:val="none"/>
          <w:u w:val="single"/>
        </w:rPr>
      </w:pPr>
      <w:r>
        <w:rPr>
          <w:color w:val="auto"/>
          <w:sz w:val="24"/>
          <w:szCs w:val="24"/>
          <w:highlight w:val="none"/>
          <w:u w:val="single"/>
        </w:rPr>
        <w:t>发生紧急抢修事故的，承包人接到事故通知后，应当立即到达事故现场抢修。</w:t>
      </w:r>
    </w:p>
    <w:p>
      <w:pPr>
        <w:pStyle w:val="107"/>
        <w:numPr>
          <w:ilvl w:val="0"/>
          <w:numId w:val="49"/>
        </w:numPr>
        <w:adjustRightInd w:val="0"/>
        <w:snapToGrid w:val="0"/>
        <w:spacing w:line="360" w:lineRule="auto"/>
        <w:ind w:left="0" w:firstLine="480"/>
        <w:rPr>
          <w:color w:val="auto"/>
          <w:sz w:val="24"/>
          <w:szCs w:val="24"/>
          <w:highlight w:val="none"/>
        </w:rPr>
      </w:pPr>
      <w:r>
        <w:rPr>
          <w:color w:val="auto"/>
          <w:sz w:val="24"/>
          <w:szCs w:val="24"/>
          <w:highlight w:val="none"/>
        </w:rPr>
        <w:t>对于涉及结构安全的质量问题，应当按照《房屋建筑工程质量保修办法》的规定，立即向当地建设行政主管部门报告，采取安全防范措施；由原</w:t>
      </w:r>
      <w:r>
        <w:rPr>
          <w:rFonts w:hint="eastAsia"/>
          <w:color w:val="auto"/>
          <w:sz w:val="24"/>
          <w:szCs w:val="24"/>
          <w:highlight w:val="none"/>
        </w:rPr>
        <w:t>设计人</w:t>
      </w:r>
      <w:r>
        <w:rPr>
          <w:color w:val="auto"/>
          <w:sz w:val="24"/>
          <w:szCs w:val="24"/>
          <w:highlight w:val="none"/>
        </w:rPr>
        <w:t>或者具有相应资质等级的</w:t>
      </w:r>
      <w:r>
        <w:rPr>
          <w:rFonts w:hint="eastAsia"/>
          <w:color w:val="auto"/>
          <w:sz w:val="24"/>
          <w:szCs w:val="24"/>
          <w:highlight w:val="none"/>
        </w:rPr>
        <w:t>设计人</w:t>
      </w:r>
      <w:r>
        <w:rPr>
          <w:color w:val="auto"/>
          <w:sz w:val="24"/>
          <w:szCs w:val="24"/>
          <w:highlight w:val="none"/>
        </w:rPr>
        <w:t>提出保修方法，承包人实施保修。</w:t>
      </w:r>
    </w:p>
    <w:p>
      <w:pPr>
        <w:pStyle w:val="107"/>
        <w:numPr>
          <w:ilvl w:val="0"/>
          <w:numId w:val="49"/>
        </w:numPr>
        <w:adjustRightInd w:val="0"/>
        <w:snapToGrid w:val="0"/>
        <w:spacing w:line="360" w:lineRule="auto"/>
        <w:ind w:left="0" w:firstLine="480"/>
        <w:rPr>
          <w:color w:val="auto"/>
          <w:sz w:val="24"/>
          <w:szCs w:val="24"/>
          <w:highlight w:val="none"/>
        </w:rPr>
      </w:pPr>
      <w:r>
        <w:rPr>
          <w:color w:val="auto"/>
          <w:sz w:val="24"/>
          <w:szCs w:val="24"/>
          <w:highlight w:val="none"/>
        </w:rPr>
        <w:t>质量保修完成后，由发包人组织验收，由于承包人工程质量问题造成发包人和业主的全部和间接损失，由承包人无条件承担。</w:t>
      </w:r>
    </w:p>
    <w:p>
      <w:pPr>
        <w:pStyle w:val="107"/>
        <w:numPr>
          <w:ilvl w:val="0"/>
          <w:numId w:val="47"/>
        </w:numPr>
        <w:adjustRightInd w:val="0"/>
        <w:snapToGrid w:val="0"/>
        <w:spacing w:line="360" w:lineRule="auto"/>
        <w:ind w:left="0" w:firstLine="480"/>
        <w:rPr>
          <w:color w:val="auto"/>
          <w:sz w:val="24"/>
          <w:szCs w:val="24"/>
          <w:highlight w:val="none"/>
        </w:rPr>
      </w:pPr>
      <w:r>
        <w:rPr>
          <w:color w:val="auto"/>
          <w:sz w:val="24"/>
          <w:szCs w:val="24"/>
          <w:highlight w:val="none"/>
        </w:rPr>
        <w:t>质量保证金的支付</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本工程约定的工程质量保证金为该工程结算价款的</w:t>
      </w:r>
      <w:r>
        <w:rPr>
          <w:rFonts w:hint="default" w:ascii="Times New Roman" w:hAnsi="Times New Roman" w:cs="Times New Roman"/>
          <w:color w:val="auto"/>
          <w:sz w:val="24"/>
          <w:szCs w:val="24"/>
          <w:highlight w:val="none"/>
          <w:u w:val="single" w:color="FF0000"/>
          <w:lang w:val="en-US" w:eastAsia="zh-CN"/>
        </w:rPr>
        <w:t>3%</w:t>
      </w:r>
      <w:r>
        <w:rPr>
          <w:rFonts w:ascii="Times New Roman" w:hAnsi="Times New Roman"/>
          <w:color w:val="auto"/>
          <w:sz w:val="24"/>
          <w:szCs w:val="24"/>
          <w:highlight w:val="none"/>
        </w:rPr>
        <w:t>。</w:t>
      </w:r>
    </w:p>
    <w:p>
      <w:pPr>
        <w:pStyle w:val="107"/>
        <w:numPr>
          <w:ilvl w:val="0"/>
          <w:numId w:val="47"/>
        </w:numPr>
        <w:adjustRightInd w:val="0"/>
        <w:snapToGrid w:val="0"/>
        <w:spacing w:line="360" w:lineRule="auto"/>
        <w:ind w:left="0" w:firstLine="480"/>
        <w:rPr>
          <w:color w:val="auto"/>
          <w:sz w:val="24"/>
          <w:szCs w:val="24"/>
          <w:highlight w:val="none"/>
        </w:rPr>
      </w:pPr>
      <w:r>
        <w:rPr>
          <w:color w:val="auto"/>
          <w:sz w:val="24"/>
          <w:szCs w:val="24"/>
          <w:highlight w:val="none"/>
        </w:rPr>
        <w:t>质量保证金的返还</w:t>
      </w:r>
    </w:p>
    <w:p>
      <w:pPr>
        <w:pStyle w:val="107"/>
        <w:numPr>
          <w:ilvl w:val="0"/>
          <w:numId w:val="50"/>
        </w:numPr>
        <w:adjustRightInd w:val="0"/>
        <w:snapToGrid w:val="0"/>
        <w:spacing w:line="360" w:lineRule="auto"/>
        <w:ind w:left="0" w:firstLine="480"/>
        <w:rPr>
          <w:color w:val="auto"/>
          <w:sz w:val="24"/>
          <w:szCs w:val="24"/>
          <w:highlight w:val="none"/>
        </w:rPr>
      </w:pPr>
      <w:r>
        <w:rPr>
          <w:color w:val="auto"/>
          <w:sz w:val="24"/>
          <w:szCs w:val="24"/>
          <w:highlight w:val="none"/>
        </w:rPr>
        <w:t>缺陷责任期满两年，发包人</w:t>
      </w:r>
      <w:r>
        <w:rPr>
          <w:rFonts w:hint="eastAsia"/>
          <w:color w:val="auto"/>
          <w:sz w:val="24"/>
          <w:szCs w:val="24"/>
          <w:highlight w:val="none"/>
        </w:rPr>
        <w:t>确认</w:t>
      </w:r>
      <w:r>
        <w:rPr>
          <w:color w:val="auto"/>
          <w:sz w:val="24"/>
          <w:szCs w:val="24"/>
          <w:highlight w:val="none"/>
        </w:rPr>
        <w:t>对工程质量无异议后30天内</w:t>
      </w:r>
      <w:r>
        <w:rPr>
          <w:rFonts w:hint="eastAsia"/>
          <w:color w:val="auto"/>
          <w:sz w:val="24"/>
          <w:szCs w:val="24"/>
          <w:highlight w:val="none"/>
        </w:rPr>
        <w:t>，一次性</w:t>
      </w:r>
      <w:r>
        <w:rPr>
          <w:color w:val="auto"/>
          <w:sz w:val="24"/>
          <w:szCs w:val="24"/>
          <w:highlight w:val="none"/>
        </w:rPr>
        <w:t>无息退还除扣款外的质量保证金。</w:t>
      </w:r>
    </w:p>
    <w:p>
      <w:pPr>
        <w:pStyle w:val="107"/>
        <w:numPr>
          <w:ilvl w:val="0"/>
          <w:numId w:val="50"/>
        </w:numPr>
        <w:adjustRightInd w:val="0"/>
        <w:snapToGrid w:val="0"/>
        <w:spacing w:line="360" w:lineRule="auto"/>
        <w:ind w:left="0" w:firstLine="480"/>
        <w:rPr>
          <w:color w:val="auto"/>
          <w:sz w:val="24"/>
          <w:szCs w:val="24"/>
          <w:highlight w:val="none"/>
        </w:rPr>
      </w:pPr>
      <w:r>
        <w:rPr>
          <w:color w:val="auto"/>
          <w:sz w:val="24"/>
          <w:szCs w:val="24"/>
          <w:highlight w:val="none"/>
        </w:rPr>
        <w:t>质量保证金不计利息。</w:t>
      </w:r>
    </w:p>
    <w:p>
      <w:pPr>
        <w:pStyle w:val="107"/>
        <w:numPr>
          <w:ilvl w:val="0"/>
          <w:numId w:val="47"/>
        </w:numPr>
        <w:adjustRightInd w:val="0"/>
        <w:snapToGrid w:val="0"/>
        <w:spacing w:line="360" w:lineRule="auto"/>
        <w:ind w:left="0" w:firstLine="480"/>
        <w:rPr>
          <w:color w:val="auto"/>
          <w:sz w:val="24"/>
          <w:szCs w:val="24"/>
          <w:highlight w:val="none"/>
        </w:rPr>
      </w:pPr>
      <w:r>
        <w:rPr>
          <w:color w:val="auto"/>
          <w:sz w:val="24"/>
          <w:szCs w:val="24"/>
          <w:highlight w:val="none"/>
        </w:rPr>
        <w:t>其他</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双方约定的其他工程质量保修事项：</w:t>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ascii="Times New Roman" w:hAnsi="Times New Roman"/>
          <w:color w:val="auto"/>
          <w:sz w:val="24"/>
          <w:szCs w:val="24"/>
          <w:highlight w:val="none"/>
        </w:rPr>
        <w:t>。</w:t>
      </w:r>
    </w:p>
    <w:p>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本工程质量保修书作为施工合同附件，由施工合同发包人承包人双方共同签署。</w:t>
      </w:r>
    </w:p>
    <w:p>
      <w:pPr>
        <w:adjustRightInd w:val="0"/>
        <w:snapToGrid w:val="0"/>
        <w:spacing w:line="360" w:lineRule="auto"/>
        <w:ind w:firstLine="420" w:firstLineChars="200"/>
        <w:rPr>
          <w:rFonts w:ascii="Times New Roman" w:hAnsi="Times New Roman"/>
          <w:color w:val="auto"/>
          <w:szCs w:val="21"/>
          <w:highlight w:val="none"/>
        </w:rPr>
      </w:pPr>
    </w:p>
    <w:p>
      <w:pPr>
        <w:pStyle w:val="2"/>
        <w:rPr>
          <w:color w:val="auto"/>
          <w:szCs w:val="21"/>
          <w:highlight w:val="none"/>
        </w:rPr>
      </w:pPr>
    </w:p>
    <w:p>
      <w:pPr>
        <w:pStyle w:val="2"/>
        <w:rPr>
          <w:color w:val="auto"/>
          <w:szCs w:val="21"/>
          <w:highlight w:val="none"/>
        </w:rPr>
      </w:pPr>
    </w:p>
    <w:p>
      <w:pPr>
        <w:adjustRightInd w:val="0"/>
        <w:snapToGrid w:val="0"/>
        <w:spacing w:line="360" w:lineRule="auto"/>
        <w:ind w:firstLine="0" w:firstLineChars="0"/>
        <w:jc w:val="left"/>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发包人(公章)：</w:t>
      </w:r>
      <w:r>
        <w:rPr>
          <w:rFonts w:hint="eastAsia" w:ascii="宋体" w:hAnsi="宋体" w:cs="宋体"/>
          <w:color w:val="auto"/>
          <w:sz w:val="24"/>
          <w:szCs w:val="24"/>
          <w:highlight w:val="none"/>
          <w:u w:val="single" w:color="FF0000"/>
          <w:lang w:val="en-US" w:eastAsia="zh-CN"/>
        </w:rPr>
        <w:t>江门粤海置地有限公司</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承包人(公章)：</w:t>
      </w:r>
      <w:r>
        <w:rPr>
          <w:rFonts w:hint="eastAsia" w:ascii="宋体" w:hAnsi="宋体" w:cs="宋体"/>
          <w:color w:val="auto"/>
          <w:sz w:val="24"/>
          <w:szCs w:val="24"/>
          <w:highlight w:val="none"/>
          <w:u w:val="single" w:color="FF0000"/>
          <w:lang w:eastAsia="zh-CN"/>
        </w:rPr>
        <w:t xml:space="preserve">                  </w:t>
      </w:r>
    </w:p>
    <w:p>
      <w:pPr>
        <w:adjustRightInd w:val="0"/>
        <w:snapToGrid w:val="0"/>
        <w:spacing w:line="360" w:lineRule="auto"/>
        <w:rPr>
          <w:rFonts w:ascii="Times New Roman" w:hAnsi="Times New Roman"/>
          <w:color w:val="auto"/>
          <w:sz w:val="24"/>
          <w:szCs w:val="24"/>
          <w:highlight w:val="none"/>
        </w:rPr>
      </w:pPr>
    </w:p>
    <w:p>
      <w:pPr>
        <w:adjustRightInd w:val="0"/>
        <w:snapToGrid w:val="0"/>
        <w:spacing w:line="360" w:lineRule="auto"/>
        <w:ind w:firstLine="0" w:firstLineChars="0"/>
        <w:jc w:val="left"/>
        <w:rPr>
          <w:rFonts w:ascii="Times New Roman" w:hAnsi="Times New Roman"/>
          <w:color w:val="auto"/>
          <w:sz w:val="24"/>
          <w:szCs w:val="24"/>
          <w:highlight w:val="none"/>
        </w:rPr>
      </w:pPr>
      <w:r>
        <w:rPr>
          <w:rFonts w:ascii="Times New Roman" w:hAnsi="Times New Roman"/>
          <w:color w:val="auto"/>
          <w:sz w:val="24"/>
          <w:szCs w:val="24"/>
          <w:highlight w:val="none"/>
        </w:rPr>
        <w:t>法定代表人或</w:t>
      </w:r>
      <w:r>
        <w:rPr>
          <w:rFonts w:hint="eastAsia" w:ascii="Times New Roman" w:hAnsi="Times New Roman"/>
          <w:color w:val="auto"/>
          <w:sz w:val="24"/>
          <w:szCs w:val="24"/>
          <w:highlight w:val="none"/>
        </w:rPr>
        <w:t>其授权代表</w:t>
      </w:r>
      <w:r>
        <w:rPr>
          <w:rFonts w:ascii="Times New Roman" w:hAnsi="Times New Roman"/>
          <w:color w:val="auto"/>
          <w:sz w:val="24"/>
          <w:szCs w:val="24"/>
          <w:highlight w:val="none"/>
        </w:rPr>
        <w:t xml:space="preserve">(签署)：  </w:t>
      </w:r>
      <w:r>
        <w:rPr>
          <w:rFonts w:hint="eastAsia" w:ascii="Times New Roman" w:hAnsi="Times New Roman"/>
          <w:color w:val="auto"/>
          <w:sz w:val="24"/>
          <w:szCs w:val="24"/>
          <w:highlight w:val="none"/>
          <w:lang w:val="en-US" w:eastAsia="zh-CN"/>
        </w:rPr>
        <w:t xml:space="preserve">    </w:t>
      </w:r>
      <w:r>
        <w:rPr>
          <w:rFonts w:ascii="Times New Roman" w:hAnsi="Times New Roman"/>
          <w:color w:val="auto"/>
          <w:sz w:val="24"/>
          <w:szCs w:val="24"/>
          <w:highlight w:val="none"/>
        </w:rPr>
        <w:t xml:space="preserve"> 法定代表人或</w:t>
      </w:r>
      <w:r>
        <w:rPr>
          <w:rFonts w:hint="eastAsia" w:ascii="Times New Roman" w:hAnsi="Times New Roman"/>
          <w:color w:val="auto"/>
          <w:sz w:val="24"/>
          <w:szCs w:val="24"/>
          <w:highlight w:val="none"/>
        </w:rPr>
        <w:t>其授权代表</w:t>
      </w:r>
      <w:r>
        <w:rPr>
          <w:rFonts w:ascii="Times New Roman" w:hAnsi="Times New Roman"/>
          <w:color w:val="auto"/>
          <w:sz w:val="24"/>
          <w:szCs w:val="24"/>
          <w:highlight w:val="none"/>
        </w:rPr>
        <w:t>(签署)：</w:t>
      </w:r>
    </w:p>
    <w:p>
      <w:pPr>
        <w:adjustRightInd w:val="0"/>
        <w:snapToGrid w:val="0"/>
        <w:spacing w:line="360" w:lineRule="auto"/>
        <w:jc w:val="left"/>
        <w:rPr>
          <w:rFonts w:ascii="Times New Roman" w:hAnsi="Times New Roman"/>
          <w:color w:val="auto"/>
          <w:sz w:val="24"/>
          <w:szCs w:val="24"/>
          <w:highlight w:val="none"/>
          <w:u w:val="single"/>
        </w:rPr>
      </w:pPr>
    </w:p>
    <w:p>
      <w:pPr>
        <w:adjustRightInd w:val="0"/>
        <w:snapToGrid w:val="0"/>
        <w:spacing w:line="360" w:lineRule="auto"/>
        <w:ind w:firstLine="0" w:firstLineChars="0"/>
        <w:jc w:val="left"/>
        <w:rPr>
          <w:rFonts w:ascii="Times New Roman" w:hAnsi="Times New Roman"/>
          <w:color w:val="auto"/>
          <w:sz w:val="24"/>
          <w:szCs w:val="24"/>
          <w:highlight w:val="none"/>
        </w:rPr>
      </w:pPr>
      <w:r>
        <w:rPr>
          <w:rFonts w:hint="eastAsia" w:ascii="宋体" w:hAnsi="宋体" w:cs="宋体"/>
          <w:color w:val="auto"/>
          <w:sz w:val="24"/>
          <w:szCs w:val="24"/>
          <w:highlight w:val="none"/>
          <w:u w:val="single" w:color="FF0000"/>
          <w:lang w:val="en-US" w:eastAsia="zh-CN"/>
        </w:rPr>
        <w:t>2023</w:t>
      </w:r>
      <w:r>
        <w:rPr>
          <w:rFonts w:ascii="Times New Roman" w:hAnsi="Times New Roman"/>
          <w:color w:val="auto"/>
          <w:sz w:val="24"/>
          <w:szCs w:val="24"/>
          <w:highlight w:val="none"/>
        </w:rPr>
        <w:t>年</w:t>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ascii="Times New Roman" w:hAnsi="Times New Roman"/>
          <w:color w:val="auto"/>
          <w:sz w:val="24"/>
          <w:szCs w:val="24"/>
          <w:highlight w:val="none"/>
        </w:rPr>
        <w:t>月</w:t>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ascii="Times New Roman" w:hAnsi="Times New Roman"/>
          <w:color w:val="auto"/>
          <w:sz w:val="24"/>
          <w:szCs w:val="24"/>
          <w:highlight w:val="none"/>
        </w:rPr>
        <w:t xml:space="preserve">日   </w:t>
      </w:r>
      <w:r>
        <w:rPr>
          <w:rFonts w:hint="eastAsia"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 xml:space="preserve"> </w:t>
      </w:r>
      <w:r>
        <w:rPr>
          <w:rFonts w:hint="eastAsia" w:ascii="宋体" w:hAnsi="宋体" w:cs="宋体"/>
          <w:color w:val="auto"/>
          <w:sz w:val="24"/>
          <w:szCs w:val="24"/>
          <w:highlight w:val="none"/>
          <w:u w:val="single" w:color="FF0000"/>
          <w:lang w:val="en-US" w:eastAsia="zh-CN"/>
        </w:rPr>
        <w:t>2023</w:t>
      </w:r>
      <w:r>
        <w:rPr>
          <w:rFonts w:ascii="Times New Roman" w:hAnsi="Times New Roman"/>
          <w:color w:val="auto"/>
          <w:sz w:val="24"/>
          <w:szCs w:val="24"/>
          <w:highlight w:val="none"/>
        </w:rPr>
        <w:t>年</w:t>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ascii="Times New Roman" w:hAnsi="Times New Roman"/>
          <w:color w:val="auto"/>
          <w:sz w:val="24"/>
          <w:szCs w:val="24"/>
          <w:highlight w:val="none"/>
        </w:rPr>
        <w:t>月</w:t>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ascii="Times New Roman" w:hAnsi="Times New Roman"/>
          <w:color w:val="auto"/>
          <w:sz w:val="24"/>
          <w:szCs w:val="24"/>
          <w:highlight w:val="none"/>
        </w:rPr>
        <w:t>日</w:t>
      </w:r>
    </w:p>
    <w:p>
      <w:pPr>
        <w:pStyle w:val="2"/>
        <w:rPr>
          <w:color w:val="auto"/>
          <w:szCs w:val="21"/>
          <w:highlight w:val="none"/>
        </w:rPr>
      </w:pPr>
      <w:r>
        <w:rPr>
          <w:color w:val="auto"/>
          <w:highlight w:val="none"/>
        </w:rPr>
        <w:t xml:space="preserve"> </w:t>
      </w:r>
      <w:bookmarkStart w:id="1415" w:name="_Toc30211"/>
      <w:bookmarkStart w:id="1416" w:name="_Toc44492632"/>
      <w:bookmarkStart w:id="1417" w:name="_Toc44227955"/>
      <w:bookmarkStart w:id="1418" w:name="_Toc18546"/>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2"/>
        <w:rPr>
          <w:color w:val="auto"/>
          <w:szCs w:val="21"/>
          <w:highlight w:val="none"/>
        </w:rPr>
      </w:pPr>
    </w:p>
    <w:p>
      <w:pPr>
        <w:pStyle w:val="3"/>
        <w:spacing w:before="0" w:after="0" w:line="360" w:lineRule="auto"/>
        <w:rPr>
          <w:rStyle w:val="102"/>
          <w:b/>
          <w:bCs/>
          <w:color w:val="auto"/>
          <w:sz w:val="28"/>
          <w:szCs w:val="28"/>
          <w:highlight w:val="none"/>
          <w:lang w:val="zh-CN"/>
        </w:rPr>
        <w:sectPr>
          <w:type w:val="continuous"/>
          <w:pgSz w:w="11906" w:h="16838"/>
          <w:pgMar w:top="1418" w:right="1554" w:bottom="1418" w:left="1531" w:header="851" w:footer="992" w:gutter="0"/>
          <w:pgNumType w:fmt="decimal"/>
          <w:cols w:space="720" w:num="1"/>
          <w:titlePg/>
          <w:docGrid w:type="lines" w:linePitch="312" w:charSpace="0"/>
        </w:sectPr>
      </w:pPr>
      <w:bookmarkStart w:id="1419" w:name="_Toc67300365"/>
      <w:bookmarkStart w:id="1420" w:name="_Toc10256"/>
      <w:bookmarkStart w:id="1421" w:name="_Toc9912"/>
    </w:p>
    <w:p>
      <w:pPr>
        <w:pStyle w:val="3"/>
        <w:spacing w:before="0" w:after="0" w:line="360" w:lineRule="auto"/>
        <w:rPr>
          <w:rStyle w:val="102"/>
          <w:rFonts w:hint="default" w:ascii="Times New Roman" w:hAnsi="Times New Roman" w:cs="Times New Roman"/>
          <w:b/>
          <w:bCs/>
          <w:color w:val="auto"/>
          <w:sz w:val="28"/>
          <w:szCs w:val="28"/>
          <w:highlight w:val="none"/>
          <w:lang w:val="zh-CN"/>
        </w:rPr>
      </w:pPr>
      <w:bookmarkStart w:id="1422" w:name="_Toc40186525"/>
      <w:bookmarkStart w:id="1423" w:name="_Toc59539412"/>
      <w:bookmarkStart w:id="1424" w:name="_Toc28370"/>
      <w:r>
        <w:rPr>
          <w:rStyle w:val="102"/>
          <w:rFonts w:hint="default" w:ascii="Times New Roman" w:hAnsi="Times New Roman" w:cs="Times New Roman"/>
          <w:b/>
          <w:bCs/>
          <w:color w:val="auto"/>
          <w:sz w:val="28"/>
          <w:szCs w:val="28"/>
          <w:highlight w:val="none"/>
          <w:lang w:val="zh-CN"/>
        </w:rPr>
        <w:t>附件</w:t>
      </w:r>
      <w:r>
        <w:rPr>
          <w:rStyle w:val="102"/>
          <w:rFonts w:hint="eastAsia" w:cs="Times New Roman"/>
          <w:b/>
          <w:bCs/>
          <w:color w:val="auto"/>
          <w:sz w:val="28"/>
          <w:szCs w:val="28"/>
          <w:highlight w:val="none"/>
          <w:lang w:val="en-US" w:eastAsia="zh-CN"/>
        </w:rPr>
        <w:t>4</w:t>
      </w:r>
      <w:r>
        <w:rPr>
          <w:rStyle w:val="102"/>
          <w:rFonts w:hint="default" w:ascii="Times New Roman" w:hAnsi="Times New Roman" w:cs="Times New Roman"/>
          <w:b/>
          <w:bCs/>
          <w:color w:val="auto"/>
          <w:sz w:val="28"/>
          <w:szCs w:val="28"/>
          <w:highlight w:val="none"/>
          <w:lang w:val="en-US" w:eastAsia="zh-CN"/>
        </w:rPr>
        <w:t xml:space="preserve">: </w:t>
      </w:r>
      <w:r>
        <w:rPr>
          <w:rStyle w:val="102"/>
          <w:rFonts w:hint="default" w:ascii="Times New Roman" w:hAnsi="Times New Roman" w:cs="Times New Roman"/>
          <w:b/>
          <w:bCs/>
          <w:color w:val="auto"/>
          <w:sz w:val="28"/>
          <w:szCs w:val="28"/>
          <w:highlight w:val="none"/>
          <w:lang w:val="zh-CN"/>
        </w:rPr>
        <w:t>总承包管理与配合服务管理要求</w:t>
      </w:r>
      <w:bookmarkEnd w:id="1422"/>
      <w:bookmarkEnd w:id="1423"/>
    </w:p>
    <w:p>
      <w:pPr>
        <w:adjustRightInd w:val="0"/>
        <w:snapToGrid w:val="0"/>
        <w:spacing w:line="360" w:lineRule="auto"/>
        <w:jc w:val="center"/>
        <w:outlineLvl w:val="1"/>
        <w:rPr>
          <w:rFonts w:ascii="Times New Roman" w:hAnsi="Times New Roman" w:cs="Times New Roman"/>
          <w:b/>
          <w:bCs/>
          <w:snapToGrid w:val="0"/>
          <w:color w:val="auto"/>
          <w:kern w:val="0"/>
          <w:sz w:val="24"/>
          <w:szCs w:val="24"/>
          <w:highlight w:val="none"/>
        </w:rPr>
      </w:pPr>
      <w:bookmarkStart w:id="1425" w:name="_Toc465342876"/>
      <w:bookmarkStart w:id="1426" w:name="_Toc468699498"/>
      <w:bookmarkStart w:id="1427" w:name="_Toc484439176"/>
      <w:bookmarkStart w:id="1428" w:name="_Toc467749114"/>
      <w:bookmarkStart w:id="1429" w:name="_Toc468694204"/>
      <w:bookmarkStart w:id="1430" w:name="_Toc475028322"/>
      <w:r>
        <w:rPr>
          <w:rFonts w:hint="default" w:ascii="Times New Roman" w:hAnsi="Times New Roman" w:cs="Times New Roman"/>
          <w:b/>
          <w:color w:val="auto"/>
          <w:sz w:val="24"/>
          <w:szCs w:val="24"/>
          <w:highlight w:val="none"/>
        </w:rPr>
        <w:t>施工</w:t>
      </w:r>
      <w:r>
        <w:rPr>
          <w:rFonts w:hint="default" w:ascii="Times New Roman" w:hAnsi="Times New Roman" w:cs="Times New Roman"/>
          <w:b/>
          <w:bCs/>
          <w:snapToGrid w:val="0"/>
          <w:color w:val="auto"/>
          <w:kern w:val="0"/>
          <w:sz w:val="24"/>
          <w:szCs w:val="24"/>
          <w:highlight w:val="none"/>
        </w:rPr>
        <w:t>总承包管理与配合服务要求</w:t>
      </w:r>
      <w:bookmarkEnd w:id="1425"/>
      <w:bookmarkEnd w:id="1426"/>
      <w:bookmarkEnd w:id="1427"/>
      <w:bookmarkEnd w:id="1428"/>
      <w:bookmarkEnd w:id="1429"/>
      <w:bookmarkEnd w:id="1430"/>
    </w:p>
    <w:p>
      <w:pPr>
        <w:adjustRightInd w:val="0"/>
        <w:snapToGrid w:val="0"/>
        <w:spacing w:line="360" w:lineRule="auto"/>
        <w:jc w:val="center"/>
        <w:outlineLvl w:val="2"/>
        <w:rPr>
          <w:rFonts w:ascii="Times New Roman" w:hAnsi="Times New Roman" w:cs="Times New Roman"/>
          <w:b/>
          <w:bCs/>
          <w:color w:val="auto"/>
          <w:kern w:val="0"/>
          <w:sz w:val="24"/>
          <w:szCs w:val="24"/>
          <w:highlight w:val="none"/>
        </w:rPr>
      </w:pPr>
      <w:bookmarkStart w:id="1431" w:name="_Toc468699499"/>
      <w:bookmarkStart w:id="1432" w:name="_Toc484439177"/>
      <w:bookmarkStart w:id="1433" w:name="_Toc468694205"/>
      <w:bookmarkStart w:id="1434" w:name="_Toc465342877"/>
      <w:bookmarkStart w:id="1435" w:name="_Toc467749115"/>
      <w:bookmarkStart w:id="1436" w:name="_Toc475028323"/>
      <w:r>
        <w:rPr>
          <w:rFonts w:hint="default" w:ascii="Times New Roman" w:hAnsi="Times New Roman" w:cs="Times New Roman"/>
          <w:b/>
          <w:bCs/>
          <w:color w:val="auto"/>
          <w:kern w:val="0"/>
          <w:sz w:val="24"/>
          <w:szCs w:val="24"/>
          <w:highlight w:val="none"/>
        </w:rPr>
        <w:t>第一部分  施工总承包管理工作内容</w:t>
      </w:r>
    </w:p>
    <w:p>
      <w:pPr>
        <w:spacing w:line="360" w:lineRule="auto"/>
        <w:ind w:firstLine="482"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总则</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1.1制定本办法主要目的为明确总承包人在总包工作方面的管理、施工配合范围、义务和责任，以及专业承包人相应承担的义务和责任。总承包人在实施总包服务管理、施工配合及协调工作时，必须服从</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的指令。</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本办法制订的基本原则为：建立以总承包人为首的包括由各专业承包人组合而成的的现场管理机构。在总承包人的统筹、管理及协调下，各专业承包人分别按各自的合同要求进行施工的同时，为了一个共同的目标而精诚合作，由此组成一个既独立（权责利相对独立）又统一（目标统一）的共同建设体。</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1.3若本办法中、本办法与其它文件中存在互相矛盾时，以较严格者为准。</w:t>
      </w:r>
    </w:p>
    <w:p>
      <w:pPr>
        <w:spacing w:line="360" w:lineRule="auto"/>
        <w:ind w:firstLine="482"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基本定义与要求</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2.1定义：</w:t>
      </w:r>
    </w:p>
    <w:p>
      <w:pPr>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u w:val="none"/>
        </w:rPr>
        <w:t>总承包人是指：</w:t>
      </w:r>
      <w:r>
        <w:rPr>
          <w:rFonts w:hint="eastAsia" w:ascii="宋体" w:hAnsi="宋体" w:cs="宋体"/>
          <w:color w:val="auto"/>
          <w:sz w:val="24"/>
          <w:szCs w:val="24"/>
          <w:highlight w:val="none"/>
          <w:u w:val="single" w:color="FF0000"/>
          <w:lang w:eastAsia="zh-CN"/>
        </w:rPr>
        <w:t xml:space="preserve">                  </w:t>
      </w:r>
    </w:p>
    <w:p>
      <w:pPr>
        <w:spacing w:line="360" w:lineRule="auto"/>
        <w:ind w:firstLine="480"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u w:val="none"/>
        </w:rPr>
        <w:t>专业承包人定义与合同通用条款</w:t>
      </w:r>
      <w:r>
        <w:rPr>
          <w:rFonts w:hint="eastAsia" w:ascii="Times New Roman" w:hAnsi="Times New Roman" w:eastAsia="宋体" w:cs="Times New Roman"/>
          <w:color w:val="auto"/>
          <w:sz w:val="24"/>
          <w:szCs w:val="24"/>
          <w:highlight w:val="none"/>
          <w:u w:val="none"/>
          <w:lang w:val="en-US" w:eastAsia="zh-CN"/>
        </w:rPr>
        <w:t>及</w:t>
      </w:r>
      <w:r>
        <w:rPr>
          <w:rFonts w:hint="default" w:ascii="Times New Roman" w:hAnsi="Times New Roman" w:eastAsia="宋体" w:cs="Times New Roman"/>
          <w:color w:val="auto"/>
          <w:sz w:val="24"/>
          <w:szCs w:val="24"/>
          <w:highlight w:val="none"/>
          <w:u w:val="none"/>
        </w:rPr>
        <w:t>专用条款中的词语定义一致。</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2.2总承包人在中标进场后，需根据招文件、合同条款及本办法相关要求编制详尽的现场管理办法（所包含的内容包括但不限于本办法），经报</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批准后实施。</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2.3发包人在组织专业承包工程的招标时，需将本办法及2.2款中的“现场管理办法”作为招标文件附件，要求投标单位作同意响应。</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2.4总承包人在与专业承包人签订管理协议时，需将本办法及发包人批准后实施的现场管理办法作为管理协议中的必要内容。</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2.5本项目现场管理原则上以总承包人全面负责，各专业承包人各自负责自身承包范围内的相应工作及提供必要的配合。现场管理的实施未能达到合约与本办法要求的，由总承包人向发包人全面承担违约责任，若导致发包人损失的，则经发包人同意由总承包人先行向发包人全面承责。总承包人有义务督促专业承包人按要求完成，因专业承包人未履行或未按期按约完成的，由总承包人先行代为完成，并收集相关资料报经</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确认，以作为总承包人向专业承包人的索赔依据。</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2.6为更好地协调好参与本项目建设的各方关系，促进项目建设，本项目采用互为监督、互为促进的考核办法，每月将由专业承包人和总承包人之间互相进行打分考核，并将此考核纳入双方工程进度款支付的约束条件。具体考核办法由总承包人代为拟订，报</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批准后实施。</w:t>
      </w:r>
    </w:p>
    <w:p>
      <w:pPr>
        <w:spacing w:line="360" w:lineRule="auto"/>
        <w:ind w:firstLine="482"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3</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承包范围</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总承包范围：包括</w:t>
      </w:r>
      <w:r>
        <w:rPr>
          <w:rFonts w:hint="eastAsia" w:ascii="Times New Roman" w:hAnsi="Times New Roman" w:cs="Times New Roman"/>
          <w:color w:val="auto"/>
          <w:sz w:val="24"/>
          <w:szCs w:val="24"/>
          <w:highlight w:val="none"/>
          <w:u w:val="single"/>
          <w:lang w:eastAsia="zh-CN"/>
        </w:rPr>
        <w:t>粤海江门甘化厂项目新宁街道路及天桥工程</w:t>
      </w:r>
      <w:r>
        <w:rPr>
          <w:rFonts w:hint="default" w:ascii="Times New Roman" w:hAnsi="Times New Roman" w:eastAsia="宋体" w:cs="Times New Roman"/>
          <w:color w:val="auto"/>
          <w:sz w:val="24"/>
          <w:szCs w:val="24"/>
          <w:highlight w:val="none"/>
          <w:u w:val="single"/>
        </w:rPr>
        <w:t>施工项目</w:t>
      </w:r>
      <w:r>
        <w:rPr>
          <w:rFonts w:hint="eastAsia" w:ascii="Times New Roman" w:hAnsi="Times New Roman" w:eastAsia="宋体" w:cs="Times New Roman"/>
          <w:color w:val="auto"/>
          <w:sz w:val="24"/>
          <w:szCs w:val="24"/>
          <w:highlight w:val="none"/>
          <w:u w:val="single"/>
          <w:lang w:eastAsia="zh-CN"/>
        </w:rPr>
        <w:t>（</w:t>
      </w:r>
      <w:r>
        <w:rPr>
          <w:rFonts w:hint="eastAsia" w:ascii="Times New Roman" w:hAnsi="Times New Roman" w:eastAsia="宋体" w:cs="Times New Roman"/>
          <w:color w:val="auto"/>
          <w:sz w:val="24"/>
          <w:szCs w:val="24"/>
          <w:highlight w:val="none"/>
          <w:u w:val="single"/>
          <w:lang w:val="en-US" w:eastAsia="zh-CN"/>
        </w:rPr>
        <w:t>简称“总承包施工项目”</w:t>
      </w:r>
      <w:r>
        <w:rPr>
          <w:rFonts w:hint="eastAsia" w:ascii="Times New Roman" w:hAnsi="Times New Roman" w:eastAsia="宋体"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rPr>
        <w:t>和总包管理项目。</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总包管理范围：</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1）所有由发包人选定的具有相应施工承包资格和资质的专业施工单位，作为发包人的专业承包人所承包的项目，包括</w:t>
      </w:r>
      <w:r>
        <w:rPr>
          <w:rFonts w:hint="eastAsia" w:ascii="Times New Roman" w:hAnsi="Times New Roman"/>
          <w:color w:val="auto"/>
          <w:sz w:val="24"/>
          <w:szCs w:val="24"/>
          <w:highlight w:val="none"/>
          <w:u w:val="single"/>
          <w:lang w:eastAsia="zh-CN"/>
        </w:rPr>
        <w:t>粤海江门甘化厂项目</w:t>
      </w:r>
      <w:r>
        <w:rPr>
          <w:rFonts w:hint="eastAsia" w:ascii="Times New Roman" w:hAnsi="Times New Roman"/>
          <w:color w:val="auto"/>
          <w:sz w:val="24"/>
          <w:szCs w:val="24"/>
          <w:highlight w:val="none"/>
          <w:u w:val="single"/>
          <w:lang w:val="en-US" w:eastAsia="zh-CN"/>
        </w:rPr>
        <w:t>新宁街天桥所需电梯设备</w:t>
      </w:r>
      <w:r>
        <w:rPr>
          <w:rFonts w:ascii="Times New Roman" w:hAnsi="Times New Roman"/>
          <w:color w:val="auto"/>
          <w:sz w:val="24"/>
          <w:szCs w:val="24"/>
          <w:highlight w:val="none"/>
          <w:u w:val="single"/>
        </w:rPr>
        <w:t>安装施工</w:t>
      </w:r>
      <w:r>
        <w:rPr>
          <w:rFonts w:hint="default" w:ascii="Times New Roman" w:hAnsi="Times New Roman" w:eastAsia="宋体" w:cs="Times New Roman"/>
          <w:color w:val="auto"/>
          <w:sz w:val="24"/>
          <w:szCs w:val="24"/>
          <w:highlight w:val="none"/>
        </w:rPr>
        <w:t>。</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2）发包人依法直接供应的材料设备设施专项供应商：</w:t>
      </w:r>
      <w:r>
        <w:rPr>
          <w:rFonts w:hint="eastAsia" w:ascii="Times New Roman" w:hAnsi="Times New Roman" w:eastAsia="宋体"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rPr>
        <w:t>。</w:t>
      </w:r>
    </w:p>
    <w:bookmarkEnd w:id="1431"/>
    <w:bookmarkEnd w:id="1432"/>
    <w:bookmarkEnd w:id="1433"/>
    <w:bookmarkEnd w:id="1434"/>
    <w:bookmarkEnd w:id="1435"/>
    <w:bookmarkEnd w:id="1436"/>
    <w:p>
      <w:pPr>
        <w:spacing w:line="360" w:lineRule="auto"/>
        <w:ind w:firstLine="482" w:firstLineChars="200"/>
        <w:jc w:val="left"/>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工程管理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.1总承包人对专业承包工程实施总包服务管理及协调，总承包管理、施工配合及协调费</w:t>
      </w:r>
      <w:r>
        <w:rPr>
          <w:rFonts w:hint="eastAsia" w:ascii="Times New Roman" w:hAnsi="Times New Roman" w:eastAsia="宋体" w:cs="Times New Roman"/>
          <w:color w:val="auto"/>
          <w:sz w:val="24"/>
          <w:szCs w:val="24"/>
          <w:highlight w:val="none"/>
          <w:lang w:val="en-US" w:eastAsia="zh-CN"/>
        </w:rPr>
        <w:t>已在合同单价中综合考虑</w:t>
      </w:r>
      <w:r>
        <w:rPr>
          <w:rFonts w:hint="default" w:ascii="Times New Roman" w:hAnsi="Times New Roman" w:eastAsia="宋体" w:cs="Times New Roman"/>
          <w:color w:val="auto"/>
          <w:sz w:val="24"/>
          <w:szCs w:val="24"/>
          <w:highlight w:val="none"/>
        </w:rPr>
        <w:t>。</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.2总承包人对各专业承包工程承担服务、管理及协调义务。专业承包人任何违约行为或疏忽导致工程损害或给发包人造成其它损失，由于总承包人管理不力的，总承包人承担相应的责任。</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.3各专业承包人不得在未得到发包人及总承包人同意前对其负责施工的专业承包工程全部或部分分包或转包，否则相应专业承包人将承担责任。</w:t>
      </w:r>
    </w:p>
    <w:p>
      <w:pPr>
        <w:spacing w:line="360" w:lineRule="auto"/>
        <w:ind w:firstLine="482" w:firstLineChars="200"/>
        <w:jc w:val="left"/>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总承包人一般义务</w:t>
      </w:r>
    </w:p>
    <w:p>
      <w:pPr>
        <w:spacing w:line="360" w:lineRule="auto"/>
        <w:ind w:firstLine="482" w:firstLineChars="200"/>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rPr>
        <w:t>.1 施工组织设计的提交和确认</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.1.1.承包人应于收到</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的进场通知后7天内向</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提交一式五份的项目及单位工程的施工组织设计。</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承包人提交的施工组织设计应当载明如下内容（包括但不限于）：</w:t>
      </w:r>
    </w:p>
    <w:p>
      <w:pPr>
        <w:numPr>
          <w:ilvl w:val="0"/>
          <w:numId w:val="51"/>
        </w:numPr>
        <w:adjustRightInd w:val="0"/>
        <w:snapToGrid w:val="0"/>
        <w:spacing w:line="360" w:lineRule="auto"/>
        <w:ind w:left="499" w:firstLine="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工程概况</w:t>
      </w:r>
    </w:p>
    <w:p>
      <w:pPr>
        <w:numPr>
          <w:ilvl w:val="0"/>
          <w:numId w:val="51"/>
        </w:numPr>
        <w:adjustRightInd w:val="0"/>
        <w:snapToGrid w:val="0"/>
        <w:spacing w:line="360" w:lineRule="auto"/>
        <w:ind w:left="499" w:firstLine="0" w:firstLineChars="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施工现场组织机构（质量、安全、进度管理机构及职责）</w:t>
      </w:r>
    </w:p>
    <w:p>
      <w:pPr>
        <w:numPr>
          <w:ilvl w:val="0"/>
          <w:numId w:val="51"/>
        </w:numPr>
        <w:adjustRightInd w:val="0"/>
        <w:snapToGrid w:val="0"/>
        <w:spacing w:line="360" w:lineRule="auto"/>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各分部分项工程完整的施工方案（包括施工准备、施工工序总体安排、主要工序和特殊工序的施工方法和施工效率估计，潜在问题的分析、工程成本的控制措施</w:t>
      </w:r>
      <w:r>
        <w:rPr>
          <w:rFonts w:hint="eastAsia" w:ascii="Times New Roman" w:hAnsi="Times New Roman" w:eastAsia="宋体" w:cs="Times New Roman"/>
          <w:color w:val="auto"/>
          <w:sz w:val="24"/>
          <w:szCs w:val="24"/>
          <w:highlight w:val="none"/>
          <w:lang w:val="en-US" w:eastAsia="zh-CN"/>
        </w:rPr>
        <w:t>以及</w:t>
      </w:r>
      <w:r>
        <w:rPr>
          <w:rFonts w:hint="default" w:ascii="Times New Roman" w:hAnsi="Times New Roman" w:eastAsia="宋体" w:cs="Times New Roman"/>
          <w:color w:val="auto"/>
          <w:sz w:val="24"/>
          <w:szCs w:val="24"/>
          <w:highlight w:val="none"/>
        </w:rPr>
        <w:t>为控制成本，提高效益，拟采取的措施）；</w:t>
      </w:r>
    </w:p>
    <w:p>
      <w:pPr>
        <w:numPr>
          <w:ilvl w:val="0"/>
          <w:numId w:val="51"/>
        </w:numPr>
        <w:adjustRightInd w:val="0"/>
        <w:snapToGrid w:val="0"/>
        <w:spacing w:line="360" w:lineRule="auto"/>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施工资源投入计划，包括：机械设备进场计划、工程材料和物料进场及仓储计划、施工人员进场计划等；</w:t>
      </w:r>
    </w:p>
    <w:p>
      <w:pPr>
        <w:numPr>
          <w:ilvl w:val="0"/>
          <w:numId w:val="51"/>
        </w:numPr>
        <w:adjustRightInd w:val="0"/>
        <w:snapToGrid w:val="0"/>
        <w:spacing w:line="360" w:lineRule="auto"/>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施工现场平面布置图（包括施工道路平面图、各种临时设施、施工用水、监控设施、施工机具、材料构配件存放位置）；</w:t>
      </w:r>
    </w:p>
    <w:p>
      <w:pPr>
        <w:numPr>
          <w:ilvl w:val="0"/>
          <w:numId w:val="51"/>
        </w:numPr>
        <w:adjustRightInd w:val="0"/>
        <w:snapToGrid w:val="0"/>
        <w:spacing w:line="360" w:lineRule="auto"/>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季节性施工措施；</w:t>
      </w:r>
    </w:p>
    <w:p>
      <w:pPr>
        <w:numPr>
          <w:ilvl w:val="0"/>
          <w:numId w:val="51"/>
        </w:numPr>
        <w:adjustRightInd w:val="0"/>
        <w:snapToGrid w:val="0"/>
        <w:spacing w:line="360" w:lineRule="auto"/>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地下管线及其他地下设施的处理措施；</w:t>
      </w:r>
    </w:p>
    <w:p>
      <w:pPr>
        <w:numPr>
          <w:ilvl w:val="0"/>
          <w:numId w:val="51"/>
        </w:numPr>
        <w:adjustRightInd w:val="0"/>
        <w:snapToGrid w:val="0"/>
        <w:spacing w:line="360" w:lineRule="auto"/>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保证工期、质量的措施；</w:t>
      </w:r>
    </w:p>
    <w:p>
      <w:pPr>
        <w:numPr>
          <w:ilvl w:val="0"/>
          <w:numId w:val="51"/>
        </w:numPr>
        <w:adjustRightInd w:val="0"/>
        <w:snapToGrid w:val="0"/>
        <w:spacing w:line="360" w:lineRule="auto"/>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保证安全生产、文明施工、减少扰民，且满足环境保护要求的措施；</w:t>
      </w:r>
    </w:p>
    <w:p>
      <w:pPr>
        <w:numPr>
          <w:ilvl w:val="0"/>
          <w:numId w:val="51"/>
        </w:numPr>
        <w:adjustRightInd w:val="0"/>
        <w:snapToGrid w:val="0"/>
        <w:spacing w:line="360" w:lineRule="auto"/>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妥善处理与相邻施工作业现场关系的措施；</w:t>
      </w:r>
    </w:p>
    <w:p>
      <w:pPr>
        <w:numPr>
          <w:ilvl w:val="0"/>
          <w:numId w:val="51"/>
        </w:numPr>
        <w:adjustRightInd w:val="0"/>
        <w:snapToGrid w:val="0"/>
        <w:spacing w:line="360" w:lineRule="auto"/>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其他与工程施工有关的管理方案、措施。</w:t>
      </w:r>
    </w:p>
    <w:p>
      <w:pPr>
        <w:adjustRightInd w:val="0"/>
        <w:snapToGrid w:val="0"/>
        <w:spacing w:line="360" w:lineRule="auto"/>
        <w:ind w:left="0" w:leftChars="0"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.1.2.</w:t>
      </w:r>
      <w:r>
        <w:rPr>
          <w:rFonts w:hint="eastAsia" w:ascii="Times New Roman" w:hAnsi="Times New Roman" w:cs="Times New Roman"/>
          <w:color w:val="auto"/>
          <w:sz w:val="24"/>
          <w:szCs w:val="24"/>
          <w:highlight w:val="none"/>
          <w:u w:val="single"/>
          <w:lang w:eastAsia="zh-CN"/>
        </w:rPr>
        <w:t>发包人</w:t>
      </w:r>
      <w:r>
        <w:rPr>
          <w:rFonts w:hint="default" w:ascii="Times New Roman" w:hAnsi="Times New Roman" w:eastAsia="宋体" w:cs="Times New Roman"/>
          <w:color w:val="auto"/>
          <w:sz w:val="24"/>
          <w:szCs w:val="24"/>
          <w:highlight w:val="none"/>
          <w:u w:val="single"/>
        </w:rPr>
        <w:t>在接到承包人提交的施工组织设计和工程进度计划后7天内予以确认或提出修改意见（</w:t>
      </w:r>
      <w:r>
        <w:rPr>
          <w:rFonts w:hint="eastAsia" w:ascii="Times New Roman" w:hAnsi="Times New Roman" w:cs="Times New Roman"/>
          <w:color w:val="auto"/>
          <w:sz w:val="24"/>
          <w:szCs w:val="24"/>
          <w:highlight w:val="none"/>
          <w:u w:val="single"/>
          <w:lang w:eastAsia="zh-CN"/>
        </w:rPr>
        <w:t>发包人</w:t>
      </w:r>
      <w:r>
        <w:rPr>
          <w:rFonts w:hint="default" w:ascii="Times New Roman" w:hAnsi="Times New Roman" w:eastAsia="宋体" w:cs="Times New Roman"/>
          <w:color w:val="auto"/>
          <w:sz w:val="24"/>
          <w:szCs w:val="24"/>
          <w:highlight w:val="none"/>
          <w:u w:val="single"/>
        </w:rPr>
        <w:t>在4天内审核并签署意见，发包人在3天内审核并签署意见）</w:t>
      </w:r>
      <w:r>
        <w:rPr>
          <w:rFonts w:hint="default" w:ascii="Times New Roman" w:hAnsi="Times New Roman" w:eastAsia="宋体" w:cs="Times New Roman"/>
          <w:color w:val="auto"/>
          <w:sz w:val="24"/>
          <w:szCs w:val="24"/>
          <w:highlight w:val="none"/>
        </w:rPr>
        <w:t>。逾期既不确认，也不提出书面意见的视为同意，但如遇到重大或技术复杂、难度大的施工方案（如深基坑支护及高支模等施工方案），则应按政府有关规定召开专家评审会评审。</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施工场地</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.1本项目位于</w:t>
      </w:r>
      <w:r>
        <w:rPr>
          <w:rFonts w:hint="default" w:ascii="Times New Roman" w:hAnsi="Times New Roman" w:eastAsia="宋体" w:cs="Times New Roman"/>
          <w:color w:val="auto"/>
          <w:sz w:val="24"/>
          <w:szCs w:val="24"/>
          <w:highlight w:val="none"/>
          <w:u w:val="single"/>
        </w:rPr>
        <w:t>江门市蓬江区白沙街道甘北路东侧、西江西侧、泮边街南侧、北新街北侧地段</w:t>
      </w:r>
      <w:r>
        <w:rPr>
          <w:rFonts w:hint="default" w:ascii="Times New Roman" w:hAnsi="Times New Roman" w:eastAsia="宋体" w:cs="Times New Roman"/>
          <w:color w:val="auto"/>
          <w:sz w:val="24"/>
          <w:szCs w:val="24"/>
          <w:highlight w:val="none"/>
        </w:rPr>
        <w:t>，场地内施工、办公区域由施工单位按实际情况考虑，本项目严禁在</w:t>
      </w:r>
      <w:r>
        <w:rPr>
          <w:rFonts w:hint="eastAsia" w:ascii="Times New Roman" w:hAnsi="Times New Roman" w:eastAsia="宋体" w:cs="Times New Roman"/>
          <w:color w:val="auto"/>
          <w:sz w:val="24"/>
          <w:szCs w:val="24"/>
          <w:highlight w:val="none"/>
          <w:lang w:val="en-US" w:eastAsia="zh-CN"/>
        </w:rPr>
        <w:t>发包人指定的工作区域</w:t>
      </w:r>
      <w:r>
        <w:rPr>
          <w:rFonts w:hint="default" w:ascii="Times New Roman" w:hAnsi="Times New Roman" w:eastAsia="宋体" w:cs="Times New Roman"/>
          <w:color w:val="auto"/>
          <w:sz w:val="24"/>
          <w:szCs w:val="24"/>
          <w:highlight w:val="none"/>
        </w:rPr>
        <w:t>内设置生活区。</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在施工作业区内，各专业承包人进场施工前，应向总承包人提供其施工机械及材料堆放所需场地面积、部位等要求，以便于总承包人合理安排施工作业区场地。对于作业区内临建设施，总承包人应统一规划，统一布置，对作业区现场容貌进行管理，不得私自乱搭临建。总承包人负责施工作业区文明施工、安全生产管理，并自觉接受</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的监督和协调管理。</w:t>
      </w:r>
    </w:p>
    <w:p>
      <w:pPr>
        <w:spacing w:line="360" w:lineRule="auto"/>
        <w:ind w:firstLine="480" w:firstLineChars="200"/>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w:t>
      </w:r>
      <w:r>
        <w:rPr>
          <w:rFonts w:hint="eastAsia"/>
          <w:color w:val="auto"/>
          <w:highlight w:val="none"/>
          <w:lang w:val="en-US" w:eastAsia="zh-CN"/>
        </w:rPr>
        <w:t xml:space="preserve"> </w:t>
      </w:r>
      <w:r>
        <w:rPr>
          <w:rFonts w:hint="default" w:ascii="Times New Roman" w:hAnsi="Times New Roman"/>
          <w:color w:val="auto"/>
          <w:sz w:val="24"/>
          <w:szCs w:val="24"/>
          <w:highlight w:val="none"/>
          <w:lang w:val="en-US" w:eastAsia="zh-CN"/>
        </w:rPr>
        <w:t>承包人需按当地政府相关要求进行工地实名制管理</w:t>
      </w:r>
      <w:r>
        <w:rPr>
          <w:rFonts w:hint="default" w:ascii="Times New Roman" w:hAnsi="Times New Roman"/>
          <w:color w:val="auto"/>
          <w:sz w:val="24"/>
          <w:szCs w:val="24"/>
          <w:highlight w:val="none"/>
          <w:lang w:eastAsia="zh-CN"/>
        </w:rPr>
        <w:t>。</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施工临时道路</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总承包人应协调各专业承包人的施工顺序、设备、材料进场时间、车辆流量控制，以确保现场施工道路畅通。总承包人负责施工临时道路的修筑和使用期间的维修和保养。</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施工用水、用电</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.1总承包人应保证施工期间水、电的正常使用，各级施工用电电箱负荷及水压均需确保满足施工要求。</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.2总承包人应在每个施工（区域）开设供水龙头，以便于各专业承包人用水方便。</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.3总承包人必要时有义务为专业承包人提供超高加压水泵，同时委派专人管理。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总承包人统一为所有专业承包人代缴水电费。需要使用水电的专业承包人进场后，由总承包人提供水电接驳点，每月按其实际使用的水电费向总承包人缴交。</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垃圾清运</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各专业承包人应做好各自作业区内的废弃物与垃圾的整理工作。建筑废弃物与垃圾由各专业承包人按总承包人的要求集中到指定地点，由总承包人统一外运。</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安全设施</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.1总承包人必须在施工临时道路入口处设置安全警示牌、限速等标志，保证场内交通畅通、安全；在靠近场地的主要施工地段要设置安全警示栏杆或者标志。</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2总承包人必须在“四口、五临边”位置按招标文件及省、市有关文件要求做好安全防护工作，如设置安全设施、安全围网、围板和警示标志等。各专业承包人如施工需要须提前拆除时，必须经总承包人批准，并由总承包人采取有效的补救措施，专业承包人必须配合。</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.3井架、塔吊等垂直运输工具</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总承包人应向各专业承包人提供井架、塔吊等垂直运输装置和机械，包括机架人员的操作，但进出垂直运输工具的装卸或工作由专业承包人自行负责。</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.4现场施工管理及协调</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必须安排对各专业承包工程有相关工作经验的现场技术人员负责协调及管理各有关专业承包工程,包括安排必须的工地协调会议,以协调各专业承包工程与总承包工程的工作界面、争议和冲突，配合整体施工进度，并监督各专业工程的施工，以保证专业承包工程的质量能满足要求。</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.5施工脚手架、排栅</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.6在施工脚手架、排栅尚未拆除前，总承包人应向各专业承包人无条件地提供现有的施工脚手架、排栅和现成的爬梯等设施使用，并保证上述设施使用过程的安全。</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.7总承包人搭设脚手架时应协调各专业承包人的施工需要及进度，满足各专业承包人的合理要求。</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8虽经总承包人充分协调，但如专业承包人因自身原因未能按工程整体进度计划要求，在总承包人拆除脚手架、排栅前进行相应工程施工，需要总承包人推迟拆除日期或另行搭设脚手架、排栅的，总承包人有权要求相应专业承包人支付相应费用。</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轴线与标高、施工收口处理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总承包人有义务为各专业承包人提供轴线和标高的控制点，以供各专业承包人做施工定位和高程使用。待各专业承包人施工完毕后，由总承包人负责最后一道工序施工收口处理工作。</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总承包人应认真执行上述各项规定，并对执行情况进行检查、监督和管理，如专业承包人违反了本办法有关规定而总承包人无及时发现、指出并采取相应管理措施的，且对此工程造成任何损失，总承包人应承担责任。</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专业承包人必须按规定要求提交工程技术资料，总承包人对专业承包人的相关技术资料进行归档备案管理。</w:t>
      </w:r>
    </w:p>
    <w:p>
      <w:pPr>
        <w:spacing w:line="360" w:lineRule="auto"/>
        <w:ind w:firstLine="482" w:firstLineChars="200"/>
        <w:jc w:val="left"/>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专业承包人一般义务</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.1专业承包人要接受总承包人的管理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承包人必须满足发包人与总承包人所签订的施工协议管理要求，在工期、质量、安全、现场文明施工等方面接受总承包人的管理和协调。若因专业承包人的原因引至总承包人需向发包人对整体工程的延误或专业承包工程的施工质量承担违约责任，专业承包人需向总承包人赔偿因其引至的损失。</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.2进入现场施工的必备条件</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.2.1提交由发包人确认为专业承包人的证明文件。</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.2.2中标通知书（或具有同等效力的暂行施工协议）。</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.2.3专业承包人的营业执照及资质等级证书复印件。</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.2.4提交分专业承包工程的“施工组织方案”，包括：</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专业承包人简介。</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(2)专业承包工程施工进度计划。</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(3)主要技术措施方案。</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(4)质量保证措施。</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(5)安全保证措施。</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(6)材料设备进场计划。</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(7)劳动力进场计划。</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(8)提供专业承包人施工经验及业绩。</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(9)提供专业承包人施工组织体系简况。</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.2.5按专业工程承包合同约定做好专业承包工程保险等事宜。</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.3质量管理基本义务</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.3.1对工程作业人员进行工艺过程技术交底，并做好交底记录。</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.3.2实施有关质量检验的规定，并做好质量检验记录。</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.3.3对工序间的技术接口实行交接手续。</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.3.4提供原材料、半成品、成品的产品合格证及质保书。</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.3.5做好不合格品处理的记录及纠正和预防措施工作。</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.3.6加强成品保护。</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.3.7认真做好本专业承包工程的验收交付工作。</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.3.8按合同规定做好本专业承包工程的回访保修工作。</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.3.9发生质量事故时，必须及时向总承包人报告，并作出事故分析调查及善后处理意见。</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.4进度管理基本义务</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.4.1编制施工进度计划，包括：</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(1)编制施工方案，明确施工区域的划分，施工顺序与施工流向，以及作业方式，同时明确承包人法和施工队伍的组织架构。</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(2)编制科学、合理、且可行的施工项目进度计划，以保证项目施工的均衡进行。</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(3)编制资源供应计划，包括物料供应计划、机械设备的进场计划、劳务计划等。</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(4)编制图纸优化及供应计划。</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.4.2执行月报制度</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(1)按每月20日向总承包人报告本分包工程的执行情况。</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(2)提交月度施工作业计划。</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(3)提交各种资源与进度配合调度情况。</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.4.3顾全大局，主动做好协调工作</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(1)参加有关现场工作协调会议，积极支持和配合总承包人做好工作协调。</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(2)及时根据总承包人工作安排主动调整进度计划。</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(3)在进度上有任何提前及延误应及时向总承包人报告。</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(4)专业承包人有权向总承包人提出工程协调的建议，总承包人应在规定的时间内作出回复和解决。</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.5安全、消防、现场标准化管理等的基本义务</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.5.1遵守各种安全生产规程与规定：</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(1)遵守国家、省、市政府、主管部门颁布的安全生产规程与规定，以及发包人向总承包人提出的各种安全生产规定。</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(2)结合工程项目实际，识别和评价危险源，必要时指定管理方案，并认真实施。</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(3)接受总承包人的安全交底及部署。</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(4)完善和健全安全管理各种台帐，强化安全资料工作。</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(5)开展安全教育工作，做好分部（分项）工程技术安全交底工作。</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(6)特殊工种必须持证上岗，复印件汇总后报总承包人检查备案。</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(7)专业承包人有义务保护现场各项安全、消防设施</w:t>
      </w:r>
      <w:r>
        <w:rPr>
          <w:rFonts w:hint="eastAsia"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rPr>
        <w:t>完好，如施工脚手架、临边护栏及消防器材等，不得擅自变更及增加施工荷载。</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(8)必须接受总承包人的安全监控，参与工地的各项安全、消防检查工作，并落实有关整改事宜。专业承包人的整改工作若不能达到有关安全、消防管理标准（或不能及时达到要求的），经</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核准，总承包人可以协助专业承包人予以整改，其发生的人工、机械、材料等一切相关费用将由专业承包人承担。</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(9)专业承包人的所属人员，在作业过程中发生各类违章作业，总承包人应该并根据情节轻重、危害程度等具体情况或有关规定予以劝阻警告，情节严重者，</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根据有关规定责令停工整顿直至退场。</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(10)发生安全事故时，必须及时向总承包人报告，并作出事故分析调查及善后处理意见。</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.5.2做好消防与治安管理工作。</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(1)开展消防与治安的教育工作。</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(2)配合总承包人、政府主管部门做好治安管理工作。</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.5.3做好现场标准化管理工作</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(1)各专业承包人进场施工前应根据总承包人制定的施工场地划分设计施工场地平面布置图，经总承包人审核同意后执行，实施“定置”管理。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(2)按总承包人要求做好场容场貌管理工作，废弃物与垃圾应按总承包人的要求集中到指定地点。</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(3)遵守文明施工的有关规定，维护安全防护设施的完好。</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(4)保持工地卫生、文明，努力做好宿舍内卫生工作。</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.6进场材料管理的基本义务</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.6.1各专业承包人应指定专人负责对进场所需材料的管理，并服从总承包人关于进场材料管理方面的要求。</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.6.2专业承包人提供材料（包括乙供材料、甲招乙供材料或甲供材料）进场的总计划，并提供月度材料进场计划。</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.6.3进场材料的流转程序：专业承包人各种进场材料必须在10天前按总承包人规定的要求，向总承包人提出申请，待总承包人批复后再执行。总承包人必须在2天内办理批复。</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.6.4材料进场后，总承包人向专业承包人应提供必要的协助。</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.7劳动力管理基本义务</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.7.1各专业承包人有责任约束所有员工遵守政府部门发布的有关政府、法律、法规、发包人的各项规章制度，以及施工现场的各项管理规定，确保现场文明施工有序进行。</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.7.2专业承包人应将进入现场的施工人员名单及照片向总承包人申报。</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.7.3专业承包人必须向总承包人提供劳务人员的身份证复印件，特殊工种的相应操作证及上岗证。</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对上述专业承包人的一般义务，总承包人应采取有效措施督促其执行，并监督其执行情况，对专业承包人违反上述有关规定的行为实际发生的，属自主分包项目的，总承包人承担全部违约责任，属专业承包项目，总承包人承担法定的连带责任。</w:t>
      </w:r>
    </w:p>
    <w:p>
      <w:pPr>
        <w:spacing w:line="360" w:lineRule="auto"/>
        <w:ind w:firstLine="482" w:firstLineChars="200"/>
        <w:jc w:val="left"/>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施工现场管理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总承包人必须对专业承包人承担总体管理的义务和责任。</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.1施工总平面布置</w:t>
      </w:r>
    </w:p>
    <w:p>
      <w:pPr>
        <w:numPr>
          <w:ilvl w:val="-1"/>
          <w:numId w:val="0"/>
        </w:numPr>
        <w:spacing w:line="360" w:lineRule="auto"/>
        <w:ind w:left="420" w:leftChars="200" w:firstLine="0" w:firstLineChars="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7.1.1</w:t>
      </w:r>
      <w:r>
        <w:rPr>
          <w:rFonts w:hint="default" w:ascii="Times New Roman" w:hAnsi="Times New Roman" w:eastAsia="宋体" w:cs="Times New Roman"/>
          <w:color w:val="auto"/>
          <w:sz w:val="24"/>
          <w:szCs w:val="24"/>
          <w:highlight w:val="none"/>
        </w:rPr>
        <w:t>总平面布置原则</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(1)在满足施工需要的前提下，尽量紧凑合理，不用（或少用）施工用地；</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(2)保证场内施工道路畅通；</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(3)科学确定施工区域内要满足方便生产，有利于生活，安全防火，环境保护和劳动保护要求；</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(4)各项施工设施布置要满足方便生产，有利于生活，安全防火，环境保护和劳动保护要求；</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(5)将生产性和生活性设施分开布置。</w:t>
      </w:r>
    </w:p>
    <w:p>
      <w:pPr>
        <w:numPr>
          <w:ilvl w:val="-1"/>
          <w:numId w:val="0"/>
        </w:numPr>
        <w:spacing w:line="360" w:lineRule="auto"/>
        <w:ind w:left="420" w:leftChars="200" w:firstLine="0" w:firstLineChars="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7.1.2</w:t>
      </w:r>
      <w:r>
        <w:rPr>
          <w:rFonts w:hint="default" w:ascii="Times New Roman" w:hAnsi="Times New Roman" w:eastAsia="宋体" w:cs="Times New Roman"/>
          <w:color w:val="auto"/>
          <w:sz w:val="24"/>
          <w:szCs w:val="24"/>
          <w:highlight w:val="none"/>
        </w:rPr>
        <w:t>总平面布置依据</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(1)建筑设计总平面图、基础施工平面、建筑立面图；</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(2)施工组织总设计；</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(3)有关施工规范、规程及地区建设工程文明施工标准；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(4)施工总平面具体布置及做法；</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.2施工总平面管理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.2.1施工临时道路管理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根据投标文件承诺及招标文件、合同规定，满足施工过程中各种车辆、大型机械运输的通畅运行，满足安全文明施工的正常需要。施工临时道路包括施工标段内各拟建建筑物之间、拟建建筑物与施工临时设施之间，及</w:t>
      </w:r>
      <w:r>
        <w:rPr>
          <w:rFonts w:hint="eastAsia" w:ascii="Times New Roman" w:hAnsi="Times New Roman" w:cs="Times New Roman"/>
          <w:color w:val="auto"/>
          <w:sz w:val="24"/>
          <w:szCs w:val="24"/>
          <w:highlight w:val="none"/>
          <w:lang w:val="en-US" w:eastAsia="zh-CN"/>
        </w:rPr>
        <w:t>粤海江门甘化厂项目</w:t>
      </w:r>
      <w:r>
        <w:rPr>
          <w:rFonts w:hint="default" w:ascii="Times New Roman" w:hAnsi="Times New Roman" w:eastAsia="宋体" w:cs="Times New Roman"/>
          <w:color w:val="auto"/>
          <w:sz w:val="24"/>
          <w:szCs w:val="24"/>
          <w:highlight w:val="none"/>
        </w:rPr>
        <w:t>现有道路与正在施工中道路之间的施工连接通道，施工临时道路必须硬地化，道路两旁设满足施工需求的临时排水设施。并按批准的施工组织总设计的施工总平面图布置要求布置施工临时道路；</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(2)设专人负责道路的清洁、障碍清除维修保养工作，保持道路清洁、畅通，保证环境卫生，预防空气污染和环境污染；</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(3)专业承包人的大型构件场内运输和卸货必须由专业承包人向总承包人申请，由总承包人统筹安排；</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为保证总承包人、各专业承包人施工人员、管理人员、专项供应商、发包人以及省市政府有关领导和职能部门人员方便、安全地到达各作业区域，总承包人负责全部施工作业通道的搭设、维护和管理工作。总承包人在自身及各专业承包人施工方案时应有相应的措施，保证施工通道有</w:t>
      </w:r>
      <w:r>
        <w:rPr>
          <w:rFonts w:hint="eastAsia" w:ascii="Times New Roman" w:hAnsi="Times New Roman" w:eastAsia="宋体" w:cs="Times New Roman"/>
          <w:color w:val="auto"/>
          <w:sz w:val="24"/>
          <w:szCs w:val="24"/>
          <w:highlight w:val="none"/>
          <w:lang w:val="en-US" w:eastAsia="zh-CN"/>
        </w:rPr>
        <w:t>显著</w:t>
      </w:r>
      <w:r>
        <w:rPr>
          <w:rFonts w:hint="default" w:ascii="Times New Roman" w:hAnsi="Times New Roman" w:eastAsia="宋体" w:cs="Times New Roman"/>
          <w:color w:val="auto"/>
          <w:sz w:val="24"/>
          <w:szCs w:val="24"/>
          <w:highlight w:val="none"/>
        </w:rPr>
        <w:t>标志、无建筑垃圾、有良好的采光或照明、易于行走、安全措施可靠，总承包人应每天巡视检查，对于不符合要求需要整改的内容发文给相关单位或部门要求立即做出整改。总承包人在施工作业通道的管理上达不到要求的，承担全部责任。</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.2.2施工用水（排水）管理</w:t>
      </w:r>
    </w:p>
    <w:p>
      <w:pPr>
        <w:spacing w:line="360" w:lineRule="auto"/>
        <w:ind w:firstLine="480" w:firstLineChars="200"/>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(1)总承包人需按发包人提供的可用水量和施工组织总设计、总平面布置要求，在现场布置施工用水总管线（平面、立面），并报</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批准。施工用水主管道要有明显的保护标志，以防以外损坏；</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(2)总承包人对工地用水，设置总、分表实行统一管理；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(3)各专业承包人用水必须向总承包人提出申请，并按总承包人指定的位置接驳，并负责各自的用水计量；</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(4)总承包人对总用水管线进行日常维护管理，保证正常，连续、足量供应、保证正常施工；</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(5)总承包人做好各专业承包人用水计量管理、水费管理，专业承包人现场使用的施工、生活用水费由专业承包人负责；</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(6)总承包人在施工区域设置数量足够的临时蓄水池以保证施工及消防需求；</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(7)总承包人对场内的排水（污）系统实行统一管理，定期或不定期的对各专业承包人施工区域和生活的排水（污）进行检查，保证排水（污）系统畅通，保护环境，防止污染河涌；</w:t>
      </w:r>
    </w:p>
    <w:p>
      <w:pPr>
        <w:numPr>
          <w:ilvl w:val="1"/>
          <w:numId w:val="0"/>
        </w:numPr>
        <w:tabs>
          <w:tab w:val="left" w:pos="540"/>
          <w:tab w:val="left" w:pos="2160"/>
          <w:tab w:val="left" w:pos="2700"/>
          <w:tab w:val="left" w:pos="2880"/>
        </w:tabs>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（8）总承包人对</w:t>
      </w:r>
      <w:r>
        <w:rPr>
          <w:rFonts w:hint="eastAsia" w:ascii="Times New Roman" w:hAnsi="Times New Roman" w:cs="Times New Roman"/>
          <w:color w:val="auto"/>
          <w:sz w:val="24"/>
          <w:szCs w:val="24"/>
          <w:highlight w:val="none"/>
          <w:lang w:val="en-US" w:eastAsia="zh-CN"/>
        </w:rPr>
        <w:t>场地</w:t>
      </w:r>
      <w:r>
        <w:rPr>
          <w:rFonts w:hint="default" w:ascii="Times New Roman" w:hAnsi="Times New Roman" w:eastAsia="宋体" w:cs="Times New Roman"/>
          <w:color w:val="auto"/>
          <w:sz w:val="24"/>
          <w:szCs w:val="24"/>
          <w:highlight w:val="none"/>
        </w:rPr>
        <w:t>排水系统需达到两套排水设备及排水管道（主管），在雨季及汛期能满足两套排水系统同时使用，确保已安装的设备及电梯地坑不泡水。</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）确保整个项目施工期间，采取适当的防护和排水措施防止地下室和其他施工现场遭到水浸。</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.2.3施工用电管理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(1)施工用电要遵守中华人民共和国建设部《施工现场临时用电安全技术规范》及《建筑施工安全检查标准》；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(2)总承包人按发包人提供的可用电量和施工组织总设计确定的电源类型和用量，根据施工需求自行铺设完善，横跨大门或道路时，高度应≥6m；</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(3)用电按生产用电和生活用电分别设置；</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(4)总承包人负责施工用电管理，在建筑物内各楼层及必要的位置设置分配电箱，以提供专业承包人施工用电接驳，专业承包人负责用电管理配合工作；不得随意拖地乱拉乱用；</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(5)各专业承包人向总承包人提出用电申请，并按总承包人指定位置驳接，负责各自的用电计量；</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(6)总承包人对施工用电线路进行日常维修管理工作，保证现场正常用电；</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(7)总承包人应对各专业承包人的用电进行计量管理、电费管理，专业承包人现场使用的施工、生活用电费由专业承包人负责；</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(8)承包人应定期或不定期的对现场用电进行检查，杜绝安全事故（隐患）的发生，杜绝乱拉乱用的现象；</w:t>
      </w:r>
    </w:p>
    <w:p>
      <w:pPr>
        <w:spacing w:line="360" w:lineRule="auto"/>
        <w:ind w:firstLine="480" w:firstLineChars="200"/>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(9)为确保现场正常施工，总承包人在现场配置数量、型号适合的发电机，且现场配置的发电机数量和型号应和投标文件中的承诺一致。</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.2.4施工场地管理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施工场地的布置应服从</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的指示。现场四周设置施工围墙、大门。原则是严谨、完整、牢固、美观大方；</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按照投标文件承诺，招标文件、合同的规定，施工现场的场地、施工临时道路保证（持）平整、坚实、畅通；</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在大门两边分别设置“五板一图”；</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总承包人负责施工场地的用地安排协调管理工作，根据安全生产及文明施工规定的具体要求向专业承包人详细交底及部署，各专业承包人应协助总承包人对各自施工区域的场地做好管理配合工作，总承包人根据各专业承包工程具体情况统一划分施工场地安排；</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总承包人按主要施工机械进场安装及拆卸退场计划结合平面布置进行综合管理。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.2.5施工现场公共厕所、办公区管理</w:t>
      </w:r>
    </w:p>
    <w:p>
      <w:pPr>
        <w:spacing w:line="360" w:lineRule="auto"/>
        <w:ind w:firstLine="480" w:firstLineChars="200"/>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(1)总承包人有义务在施工现场设置合适数量的公共厕所，公共厕所的布置必须能满足施工和办公的方便，并严格按照有关文明施工管理规定和卫生要求派专人清扫整理，保持现场清洁。</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施工现场禁止设置生活区，但总承包人有义务在施工场地外自行设置生活区并按规定进行安全文明管理。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施工现场实行封闭管理，办公区与施工区分开管理。</w:t>
      </w:r>
    </w:p>
    <w:p>
      <w:pPr>
        <w:numPr>
          <w:ilvl w:val="3"/>
          <w:numId w:val="0"/>
        </w:numPr>
        <w:tabs>
          <w:tab w:val="left" w:pos="2160"/>
          <w:tab w:val="left" w:pos="2700"/>
          <w:tab w:val="left" w:pos="3780"/>
        </w:tabs>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）总承</w:t>
      </w:r>
      <w:r>
        <w:rPr>
          <w:rFonts w:hint="eastAsia" w:ascii="Times New Roman" w:hAnsi="Times New Roman" w:eastAsia="宋体" w:cs="Times New Roman"/>
          <w:color w:val="auto"/>
          <w:sz w:val="24"/>
          <w:szCs w:val="24"/>
          <w:highlight w:val="none"/>
          <w:lang w:val="en-US" w:eastAsia="zh-CN"/>
        </w:rPr>
        <w:t>包</w:t>
      </w:r>
      <w:r>
        <w:rPr>
          <w:rFonts w:hint="default" w:ascii="Times New Roman" w:hAnsi="Times New Roman" w:eastAsia="宋体" w:cs="Times New Roman"/>
          <w:color w:val="auto"/>
          <w:sz w:val="24"/>
          <w:szCs w:val="24"/>
          <w:highlight w:val="none"/>
        </w:rPr>
        <w:t>人需定期安排施工场地灭蚊工作。</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.3人员管理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3.1各专业承包人必须对进场所有施工人员进行严格的管理。各专业承包人必须对本单位所有进场施工人员进行登记，各自统一着装，及时上报总承包人，进行汇总并统一管理。流动人口必须持有“三证”；施工过程中发生人员流动的，必须及时更改登记记录，并将更改记录及时上报总承包人，由总承包人报知</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.3.2各专业承包人必须以班组为单位在进场后3天内以及每月定期进行安全技术交底，并对交底情况进行书面记录，并由交底人签名确认。</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.3.3各专业承包人必须对进场所属施工人员办理劳动保险等，并将有关资料报总承包人，并向进场施工人员提供符合《建筑施工安全检查标准》、《</w:t>
      </w:r>
      <w:r>
        <w:rPr>
          <w:rFonts w:hint="eastAsia" w:ascii="Times New Roman" w:hAnsi="Times New Roman" w:eastAsia="宋体" w:cs="Times New Roman"/>
          <w:color w:val="auto"/>
          <w:sz w:val="24"/>
          <w:szCs w:val="24"/>
          <w:highlight w:val="none"/>
          <w:u w:val="single"/>
          <w:lang w:val="en-US" w:eastAsia="zh-CN"/>
        </w:rPr>
        <w:t>江门</w:t>
      </w:r>
      <w:r>
        <w:rPr>
          <w:rFonts w:hint="default" w:ascii="Times New Roman" w:hAnsi="Times New Roman" w:eastAsia="宋体" w:cs="Times New Roman"/>
          <w:color w:val="auto"/>
          <w:sz w:val="24"/>
          <w:szCs w:val="24"/>
          <w:highlight w:val="none"/>
          <w:u w:val="single"/>
        </w:rPr>
        <w:t>市建设工程现场文明施工管理办法》和广东省、</w:t>
      </w:r>
      <w:r>
        <w:rPr>
          <w:rFonts w:hint="eastAsia" w:ascii="Times New Roman" w:hAnsi="Times New Roman" w:eastAsia="宋体" w:cs="Times New Roman"/>
          <w:color w:val="auto"/>
          <w:sz w:val="24"/>
          <w:szCs w:val="24"/>
          <w:highlight w:val="none"/>
          <w:u w:val="single"/>
          <w:lang w:val="en-US" w:eastAsia="zh-CN"/>
        </w:rPr>
        <w:t>江门</w:t>
      </w:r>
      <w:r>
        <w:rPr>
          <w:rFonts w:hint="default" w:ascii="Times New Roman" w:hAnsi="Times New Roman" w:eastAsia="宋体" w:cs="Times New Roman"/>
          <w:color w:val="auto"/>
          <w:sz w:val="24"/>
          <w:szCs w:val="24"/>
          <w:highlight w:val="none"/>
          <w:u w:val="single"/>
        </w:rPr>
        <w:t>市现行安全管理办法</w:t>
      </w:r>
      <w:r>
        <w:rPr>
          <w:rFonts w:hint="default" w:ascii="Times New Roman" w:hAnsi="Times New Roman" w:eastAsia="宋体" w:cs="Times New Roman"/>
          <w:color w:val="auto"/>
          <w:sz w:val="24"/>
          <w:szCs w:val="24"/>
          <w:highlight w:val="none"/>
        </w:rPr>
        <w:t>规定的食宿、生活和施工环境及条件。</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.3.4各专业承包人必须对所属进场施工人员进行全天候管理。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.3.5为了便于人员管理，正确识别其所属单位和身份，特制订如下制定:</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(1)工号识别制定：</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专业承包人进场后在2天内向总承包人提交有关人员资料，内容包括公司标志的样本、所有人员的名单及初始工号，总承包人根据各专业承包人人员的初始工号进行统一编号。总承包人对自身人员及专业承包人人员进行统一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(2)工作牌制定：</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建立工作牌制定，统一管理。进入现场的所有施工人员及施工管理人员必须佩带工作牌。工作牌内容包括姓名、本人近期免冠照片、所属单位、所属班组、职务、工号、工种等。总承包人通过佩带工作牌制度对全体施工人员及施工管理人员进行检查、监督和管理，对违反佩带工作牌制度和其它管理制度人员的立即做出登记，并定期汇总上报</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(3)安全帽识别制定：</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总承包人及各专业承包人的施工管理人员与施工人员佩戴不同颜色的安全帽，安全帽正面粘贴其所属单位的标志。</w:t>
      </w:r>
    </w:p>
    <w:p>
      <w:pPr>
        <w:spacing w:line="360" w:lineRule="auto"/>
        <w:ind w:firstLine="482"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（4）IC卡/平安卡管理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总承包人必须根据现场管理要求，在出入口设置IC卡/平安卡刷卡机，对所有进出现场人员实施IC卡/平安卡管理。保证所有人员进出现场都有准确记录。现场人员信息必须进行录入，并由总承包人统一管理。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.4主要施工机械设备管理：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.4.1总承包人应对</w:t>
      </w:r>
      <w:r>
        <w:rPr>
          <w:rFonts w:hint="eastAsia" w:ascii="Times New Roman" w:hAnsi="Times New Roman" w:eastAsia="宋体" w:cs="Times New Roman"/>
          <w:color w:val="auto"/>
          <w:sz w:val="24"/>
          <w:szCs w:val="24"/>
          <w:highlight w:val="none"/>
          <w:lang w:val="en-US" w:eastAsia="zh-CN"/>
        </w:rPr>
        <w:t>所有</w:t>
      </w:r>
      <w:r>
        <w:rPr>
          <w:rFonts w:hint="default" w:ascii="Times New Roman" w:hAnsi="Times New Roman" w:eastAsia="宋体" w:cs="Times New Roman"/>
          <w:color w:val="auto"/>
          <w:sz w:val="24"/>
          <w:szCs w:val="24"/>
          <w:highlight w:val="none"/>
        </w:rPr>
        <w:t>进入现场的施工机械设备进行统一的管理。所有进入现场的施工机械设备都必须服从总承包人的协调管理。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.4.2施工机具设备的进退场和使用必须遵循：</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(1)各专业承包人所有进场的施工机械设备必须提前向总承包人提出申报，并在进场时做好登记报总承包人。</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(2)凡是没有进场登记的施工机械设备一律拒绝进场。总承包人有义务定期进行检查，杜绝出现施工机械设备未做登记的现象。</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(3)总承包人及相应专业承包人有义务确保现场使用的施工机械设备符合有关施工机具安全操作规程及安全用电要求，施工机械设备不得带病作业。</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(4)总承包人应及时对进入现场的所有施工机械设备进行检查，对检查中发现的不符合要求的施工机械设备必须立即停止使用，并在24小时内出场外。</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(5)总承包人及有关专业承包人必须严格按照有关规定</w:t>
      </w:r>
      <w:r>
        <w:rPr>
          <w:rFonts w:hint="eastAsia" w:ascii="Times New Roman" w:hAnsi="Times New Roman" w:eastAsia="宋体" w:cs="Times New Roman"/>
          <w:color w:val="auto"/>
          <w:sz w:val="24"/>
          <w:szCs w:val="24"/>
          <w:highlight w:val="none"/>
          <w:lang w:val="en-US" w:eastAsia="zh-CN"/>
        </w:rPr>
        <w:t>进行</w:t>
      </w:r>
      <w:r>
        <w:rPr>
          <w:rFonts w:hint="default" w:ascii="Times New Roman" w:hAnsi="Times New Roman" w:eastAsia="宋体" w:cs="Times New Roman"/>
          <w:color w:val="auto"/>
          <w:sz w:val="24"/>
          <w:szCs w:val="24"/>
          <w:highlight w:val="none"/>
        </w:rPr>
        <w:t>施工机械用电的管理，总承包人有义务对专业承包人进行安全用电的交底，并</w:t>
      </w:r>
      <w:r>
        <w:rPr>
          <w:rFonts w:hint="eastAsia" w:ascii="Times New Roman" w:hAnsi="Times New Roman" w:eastAsia="宋体" w:cs="Times New Roman"/>
          <w:color w:val="auto"/>
          <w:sz w:val="24"/>
          <w:szCs w:val="24"/>
          <w:highlight w:val="none"/>
          <w:lang w:val="en-US" w:eastAsia="zh-CN"/>
        </w:rPr>
        <w:t>对</w:t>
      </w:r>
      <w:r>
        <w:rPr>
          <w:rFonts w:hint="default" w:ascii="Times New Roman" w:hAnsi="Times New Roman" w:eastAsia="宋体" w:cs="Times New Roman"/>
          <w:color w:val="auto"/>
          <w:sz w:val="24"/>
          <w:szCs w:val="24"/>
          <w:highlight w:val="none"/>
        </w:rPr>
        <w:t>所负责标段现场的用电情况进行检查和管理。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(6)大型施工机械所属单位应设立专职机械调度员负责对大型施工机械的统一调配，总承包人有义务进行跟踪管理监督。</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(7)各专业承包人必须对所属进场的全部施工机械设备进行全天候管理，严禁施工机械设备未经总承包人</w:t>
      </w:r>
      <w:r>
        <w:rPr>
          <w:rFonts w:hint="eastAsia" w:ascii="Times New Roman" w:hAnsi="Times New Roman" w:cs="Times New Roman"/>
          <w:color w:val="auto"/>
          <w:sz w:val="24"/>
          <w:szCs w:val="24"/>
          <w:highlight w:val="none"/>
          <w:lang w:val="en-US" w:eastAsia="zh-CN"/>
        </w:rPr>
        <w:t>及发包人</w:t>
      </w:r>
      <w:r>
        <w:rPr>
          <w:rFonts w:hint="default" w:ascii="Times New Roman" w:hAnsi="Times New Roman" w:eastAsia="宋体" w:cs="Times New Roman"/>
          <w:color w:val="auto"/>
          <w:sz w:val="24"/>
          <w:szCs w:val="24"/>
          <w:highlight w:val="none"/>
        </w:rPr>
        <w:t>批准擅自进入其它标段或公共区域。</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.5关键区域出入管理：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.5.1当施工现场的某些区域（关键区域）施工到一定程度（如设备安装阶段）时，在征得</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批准后，总承包人有权在</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的统一安排下对进入关键区域的施工人员进行限制，即根据施工需要，确定可以进入该区域的总承包人人员、专业承包人及数量。总承包人在需要执行关键区域出入管理前10天内，书面通知各有关专业承包人，并上报</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各专业承包人在接到书面通知后3天内向总承包人递交进入关键区域申请表，确定进入关键区域施工及管理人员的数量，由总承包人制作进入关键区域的特别通行证。总承包人派驻专人在指定入口验证放行。在专业承包人的工作完成并通过有关单</w:t>
      </w:r>
      <w:r>
        <w:rPr>
          <w:rFonts w:hint="eastAsia" w:ascii="Times New Roman" w:hAnsi="Times New Roman" w:eastAsia="宋体" w:cs="Times New Roman"/>
          <w:color w:val="auto"/>
          <w:sz w:val="24"/>
          <w:szCs w:val="24"/>
          <w:highlight w:val="none"/>
          <w:lang w:val="en-US" w:eastAsia="zh-CN"/>
        </w:rPr>
        <w:t>位</w:t>
      </w:r>
      <w:r>
        <w:rPr>
          <w:rFonts w:hint="default" w:ascii="Times New Roman" w:hAnsi="Times New Roman" w:eastAsia="宋体" w:cs="Times New Roman"/>
          <w:color w:val="auto"/>
          <w:sz w:val="24"/>
          <w:szCs w:val="24"/>
          <w:highlight w:val="none"/>
        </w:rPr>
        <w:t>验收后，各专业承包人将特别通行证退回。</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.5.2由于总承包人关键区域出入管理不力导致出现质量问题、返工、或影响关键节点工期的，总承包人承担责任。</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.6来客管理：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.6.1总承包人及各专业承包人的来访客人（指定在本工地工作的人员）必须办理来客登记手续才能进入现场：</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(1)来客向门卫递交有效证件并办理必要的来访登记；</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(2)由门卫向来客发给临时出入证；</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(3)来客离场时凭临时出入证领取有效证件。如客人丢失临时出入证，由被访人所在单位向门卫办理丢失临时出入证登记手续。</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.6.2总承包人</w:t>
      </w:r>
      <w:r>
        <w:rPr>
          <w:rFonts w:hint="eastAsia" w:ascii="Times New Roman" w:hAnsi="Times New Roman" w:cs="Times New Roman"/>
          <w:color w:val="auto"/>
          <w:sz w:val="24"/>
          <w:szCs w:val="24"/>
          <w:highlight w:val="none"/>
          <w:lang w:val="en-US" w:eastAsia="zh-CN"/>
        </w:rPr>
        <w:t>应对施工现场做封闭管理，出入口处设门岗进行管理。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.6.3总承包人应为来客提供工地安全教育及安全设施。</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.6.4总承包人有为前来检查的相关政府机构工作人员、发包人委托的第三方监测人员等提供接待的义务，并有义务为其工作开展提供相关安全便利的条件。</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.7车辆出入管理：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为保证现场的施工秩序，对所有进入施工现场的施工车辆，实施车辆出入管理制度，由总承包人统一进行管理。</w:t>
      </w:r>
    </w:p>
    <w:p>
      <w:pPr>
        <w:numPr>
          <w:ilvl w:val="-1"/>
          <w:numId w:val="0"/>
        </w:numPr>
        <w:spacing w:line="360" w:lineRule="auto"/>
        <w:ind w:left="420" w:leftChars="200" w:firstLine="0" w:firstLineChars="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7.7.1</w:t>
      </w:r>
      <w:r>
        <w:rPr>
          <w:rFonts w:hint="default" w:ascii="Times New Roman" w:hAnsi="Times New Roman" w:eastAsia="宋体" w:cs="Times New Roman"/>
          <w:color w:val="auto"/>
          <w:sz w:val="24"/>
          <w:szCs w:val="24"/>
          <w:highlight w:val="none"/>
        </w:rPr>
        <w:t>大型车辆及长派小型车辆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应对进入施工现场的大型车辆及长派小型车辆（包括总承包人及专业承包人的车辆）进行统一管理，制作车辆出入证。大型车辆是指5T以上载重汽车、轮胎或履带工吊车等大型施工机械。专业承包人必须提前3天向总承包人提出大型车辆和长派小型车辆进出申请，注明车辆型号、拍照号码、进场日期及时间，经总承包人批准后，发给车辆出入证。车辆到达现场大门入口处必须出示有效的出入证才可进场。根据各单位登记车辆情况合理安排各单位车辆的停放位置，杜绝出项现场车辆乱停乱放阻碍施工的现象。</w:t>
      </w:r>
    </w:p>
    <w:p>
      <w:pPr>
        <w:numPr>
          <w:ilvl w:val="-1"/>
          <w:numId w:val="0"/>
        </w:numPr>
        <w:spacing w:line="360" w:lineRule="auto"/>
        <w:ind w:left="420" w:leftChars="200" w:firstLine="0" w:firstLineChars="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7.7.2</w:t>
      </w:r>
      <w:r>
        <w:rPr>
          <w:rFonts w:hint="default" w:ascii="Times New Roman" w:hAnsi="Times New Roman" w:eastAsia="宋体" w:cs="Times New Roman"/>
          <w:color w:val="auto"/>
          <w:sz w:val="24"/>
          <w:szCs w:val="24"/>
          <w:highlight w:val="none"/>
        </w:rPr>
        <w:t>非长派小型车辆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总承包人及各专业承包人的非长派小型车辆进入现场实行登记制度。车辆进入现场时在门卫处登记所属单位名称、车牌号、进场时间、大约停止时间后，方可进入施工现场。</w:t>
      </w:r>
    </w:p>
    <w:p>
      <w:pPr>
        <w:numPr>
          <w:ilvl w:val="-1"/>
          <w:numId w:val="0"/>
        </w:numPr>
        <w:spacing w:line="360" w:lineRule="auto"/>
        <w:ind w:left="420" w:leftChars="200" w:firstLine="0" w:firstLineChars="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7.7.3</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、设计单位等车辆凭有效证件进入现场。</w:t>
      </w:r>
    </w:p>
    <w:p>
      <w:pPr>
        <w:numPr>
          <w:ilvl w:val="-1"/>
          <w:numId w:val="0"/>
        </w:numPr>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7.7.4</w:t>
      </w:r>
      <w:r>
        <w:rPr>
          <w:rFonts w:hint="default" w:ascii="Times New Roman" w:hAnsi="Times New Roman" w:eastAsia="宋体" w:cs="Times New Roman"/>
          <w:color w:val="auto"/>
          <w:sz w:val="24"/>
          <w:szCs w:val="24"/>
          <w:highlight w:val="none"/>
        </w:rPr>
        <w:t>总承包人对运出现场的材料进行严格的管理。所有材料，如无总承包人或</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签字并盖章，书面同意外运的，不得运离现场。</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.8现场广告、标语、条幅的管理：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为保持良好的现场施工次序和整体形象，现场广告、标语、条幅的内容、设置、张贴和悬挂必须服从</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的统一管理和协调。</w:t>
      </w:r>
    </w:p>
    <w:p>
      <w:pPr>
        <w:numPr>
          <w:ilvl w:val="-1"/>
          <w:numId w:val="0"/>
        </w:numPr>
        <w:spacing w:line="360" w:lineRule="auto"/>
        <w:ind w:left="420" w:leftChars="200" w:firstLine="0" w:firstLineChars="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7.8.1</w:t>
      </w:r>
      <w:r>
        <w:rPr>
          <w:rFonts w:hint="default" w:ascii="Times New Roman" w:hAnsi="Times New Roman" w:eastAsia="宋体" w:cs="Times New Roman"/>
          <w:color w:val="auto"/>
          <w:sz w:val="24"/>
          <w:szCs w:val="24"/>
          <w:highlight w:val="none"/>
        </w:rPr>
        <w:t>统一策划制度</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总承包人应统一策划管理现场设置和各类非商业宣传性标牌、条幅，如现场导向牌、安全施工标志牌、各类标语等。要求统一字体、样式、规格和设置。</w:t>
      </w:r>
    </w:p>
    <w:p>
      <w:pPr>
        <w:numPr>
          <w:ilvl w:val="-1"/>
          <w:numId w:val="0"/>
        </w:numPr>
        <w:spacing w:line="360" w:lineRule="auto"/>
        <w:ind w:left="420" w:leftChars="200" w:firstLine="0" w:firstLineChars="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7.8.2</w:t>
      </w:r>
      <w:r>
        <w:rPr>
          <w:rFonts w:hint="default" w:ascii="Times New Roman" w:hAnsi="Times New Roman" w:eastAsia="宋体" w:cs="Times New Roman"/>
          <w:color w:val="auto"/>
          <w:sz w:val="24"/>
          <w:szCs w:val="24"/>
          <w:highlight w:val="none"/>
        </w:rPr>
        <w:t>实行申请制度</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（1）各专业承包人安全标志牌费用由相应单位负责，由专业承包人根据自身需要提前15天向总承包人提出申请。</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总承包人、各专业承包人、以及其它单位要求在现场悬挂、设置的各类带有商业宣传性质的广告、标语、条幅，须提前15个工作日向总承包人提出书面申请，说明广告、标语、条幅的规格、样式、内容、悬挂位置和时间。</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（3）总承包人应对现场各类带有商业宣传性质的广告、条幅、标语设置意见提前7个工作日</w:t>
      </w:r>
      <w:r>
        <w:rPr>
          <w:rFonts w:hint="eastAsia" w:ascii="Times New Roman" w:hAnsi="Times New Roman" w:eastAsia="宋体" w:cs="Times New Roman"/>
          <w:color w:val="auto"/>
          <w:sz w:val="24"/>
          <w:szCs w:val="24"/>
          <w:highlight w:val="none"/>
          <w:lang w:val="en-US" w:eastAsia="zh-CN"/>
        </w:rPr>
        <w:t>报</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，经审批同意后方可实施。</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（4）需要在现场设置的各类带有商业宣传性质的广告、条幅、标语等必须按</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书面允许方可实施，否则</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将按有关规定限期拆除，并可视情况进一步处理。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.9</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当地协调：</w:t>
      </w:r>
    </w:p>
    <w:p>
      <w:pPr>
        <w:numPr>
          <w:ilvl w:val="-1"/>
          <w:numId w:val="0"/>
        </w:numPr>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7.9.1</w:t>
      </w:r>
      <w:r>
        <w:rPr>
          <w:rFonts w:hint="default" w:ascii="Times New Roman" w:hAnsi="Times New Roman" w:eastAsia="宋体" w:cs="Times New Roman"/>
          <w:color w:val="auto"/>
          <w:sz w:val="24"/>
          <w:szCs w:val="24"/>
          <w:highlight w:val="none"/>
        </w:rPr>
        <w:t>总承包人有义务协调好当地地方政府与人员的关系，确保工程质量、进度和组织管理等不受当地外来因素的干扰。</w:t>
      </w:r>
    </w:p>
    <w:p>
      <w:pPr>
        <w:numPr>
          <w:ilvl w:val="-1"/>
          <w:numId w:val="0"/>
        </w:numPr>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7.9.2</w:t>
      </w:r>
      <w:r>
        <w:rPr>
          <w:rFonts w:hint="default" w:ascii="Times New Roman" w:hAnsi="Times New Roman" w:eastAsia="宋体" w:cs="Times New Roman"/>
          <w:color w:val="auto"/>
          <w:sz w:val="24"/>
          <w:szCs w:val="24"/>
          <w:highlight w:val="none"/>
        </w:rPr>
        <w:t>因总承包人协调工作不力导致工程建设实际受到当地外来因素影响的，发包人有权部分或全部扣除其地方协调费。</w:t>
      </w:r>
    </w:p>
    <w:p>
      <w:pPr>
        <w:spacing w:line="360" w:lineRule="auto"/>
        <w:ind w:firstLine="482" w:firstLineChars="200"/>
        <w:jc w:val="left"/>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8</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施工进度计划与工期管理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施工进度计划</w:t>
      </w:r>
    </w:p>
    <w:p>
      <w:pPr>
        <w:numPr>
          <w:ilvl w:val="-1"/>
          <w:numId w:val="0"/>
        </w:numPr>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8.1.1</w:t>
      </w:r>
      <w:r>
        <w:rPr>
          <w:rFonts w:hint="default" w:ascii="Times New Roman" w:hAnsi="Times New Roman" w:eastAsia="宋体" w:cs="Times New Roman"/>
          <w:color w:val="auto"/>
          <w:sz w:val="24"/>
          <w:szCs w:val="24"/>
          <w:highlight w:val="none"/>
        </w:rPr>
        <w:t>总承包人有义务要求各专业承包人提交专业承包工程的各类施工进度计划，并统筹审核各专业承包工程的进度计划，有义务通过组织协调有效解决不同专业承包工程不同施工交叉作业的配合施工问题，确保各专业承包</w:t>
      </w:r>
      <w:r>
        <w:rPr>
          <w:rFonts w:hint="eastAsia" w:ascii="Times New Roman" w:hAnsi="Times New Roman" w:eastAsia="宋体" w:cs="Times New Roman"/>
          <w:color w:val="auto"/>
          <w:sz w:val="24"/>
          <w:szCs w:val="24"/>
          <w:highlight w:val="none"/>
          <w:lang w:val="en-US" w:eastAsia="zh-CN"/>
        </w:rPr>
        <w:t>工</w:t>
      </w:r>
      <w:r>
        <w:rPr>
          <w:rFonts w:hint="default" w:ascii="Times New Roman" w:hAnsi="Times New Roman" w:eastAsia="宋体" w:cs="Times New Roman"/>
          <w:color w:val="auto"/>
          <w:sz w:val="24"/>
          <w:szCs w:val="24"/>
          <w:highlight w:val="none"/>
        </w:rPr>
        <w:t>程施工进度能按照工程总进度计划实施。</w:t>
      </w:r>
    </w:p>
    <w:p>
      <w:pPr>
        <w:numPr>
          <w:ilvl w:val="-1"/>
          <w:numId w:val="0"/>
        </w:numPr>
        <w:spacing w:line="360" w:lineRule="auto"/>
        <w:ind w:left="0" w:leftChars="0" w:firstLine="480" w:firstLineChars="200"/>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8.1.2</w:t>
      </w:r>
      <w:r>
        <w:rPr>
          <w:rFonts w:hint="eastAsia" w:ascii="Times New Roman" w:hAnsi="Times New Roman" w:eastAsia="宋体" w:cs="Times New Roman"/>
          <w:color w:val="auto"/>
          <w:sz w:val="24"/>
          <w:szCs w:val="24"/>
          <w:highlight w:val="none"/>
        </w:rPr>
        <w:t>专业承包人有义务接受总承包人对进度计划进行调整的意见，并按照调整意见落实现场劳动力、材料、施工机械等的供应配合情况。</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暂停施工</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因专业承包人原因造成总承包人项目停工的，总承包人承担责任，工期不予顺延。总承包人可按分包合同向专业承包人追讨损失。</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工程竣工</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总承包人应督促专业承包人按计划办理工程竣工，并对专业承包人竣工予以积极的配合，因总承包人未能及时提供必要的配合工作而导致专业承包工程不能按计划办理工程竣工的，总承包人承担主要责任。</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工期管理</w:t>
      </w:r>
    </w:p>
    <w:p>
      <w:pPr>
        <w:numPr>
          <w:ilvl w:val="-1"/>
          <w:numId w:val="0"/>
        </w:numPr>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8.4.1</w:t>
      </w:r>
      <w:r>
        <w:rPr>
          <w:rFonts w:hint="default" w:ascii="Times New Roman" w:hAnsi="Times New Roman" w:eastAsia="宋体" w:cs="Times New Roman"/>
          <w:color w:val="auto"/>
          <w:sz w:val="24"/>
          <w:szCs w:val="24"/>
          <w:highlight w:val="none"/>
        </w:rPr>
        <w:t>总承包人应根据发包人提供的本项目总体控制目标及各关键节点工期要求编制总进度实施计划。总承包人对本项目的进度实行统一管理(含总承包人施工及总包管理的项目)，并重点对关键节点工期进行控制。</w:t>
      </w:r>
    </w:p>
    <w:p>
      <w:pPr>
        <w:numPr>
          <w:ilvl w:val="-1"/>
          <w:numId w:val="0"/>
        </w:numPr>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8.4.2</w:t>
      </w:r>
      <w:r>
        <w:rPr>
          <w:rFonts w:hint="default" w:ascii="Times New Roman" w:hAnsi="Times New Roman" w:eastAsia="宋体" w:cs="Times New Roman"/>
          <w:color w:val="auto"/>
          <w:sz w:val="24"/>
          <w:szCs w:val="24"/>
          <w:highlight w:val="none"/>
        </w:rPr>
        <w:t>总承包人应审核各专业承包工程施工进度计划，并有义务根据工程总进度计划调整各专业承包工程的进度计划和施工配合，确保各专业承包工程能按照主体工程的关键节点工期按计划完成，并按发包人规定的竣工日期办理工程竣工验收。</w:t>
      </w:r>
    </w:p>
    <w:p>
      <w:pPr>
        <w:numPr>
          <w:ilvl w:val="-1"/>
          <w:numId w:val="0"/>
        </w:numPr>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8.4.3</w:t>
      </w:r>
      <w:r>
        <w:rPr>
          <w:rFonts w:hint="default" w:ascii="Times New Roman" w:hAnsi="Times New Roman" w:eastAsia="宋体" w:cs="Times New Roman"/>
          <w:color w:val="auto"/>
          <w:sz w:val="24"/>
          <w:szCs w:val="24"/>
          <w:highlight w:val="none"/>
        </w:rPr>
        <w:t>总承包人应对各专业承包工程的施工提供必要的协助，以确保专业承包工程能按经审定的进度计划执行。同时总承包人有义务对专业承包工程进行监督管理，纠正进度负偏差，协调专业承包人之间的关系，保证主体工程与各专业承包工程之间能协调推进。因总承包人未能对专业承包工程提供必要的配合，以及未能有效管理专业承包人工程进度的，并由此造成主体工程或专业承包工程关键节点施工进度有所滞后的，总承包人承担全部责任。</w:t>
      </w:r>
    </w:p>
    <w:p>
      <w:pPr>
        <w:numPr>
          <w:ilvl w:val="-1"/>
          <w:numId w:val="0"/>
        </w:numPr>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8.4.4</w:t>
      </w:r>
      <w:r>
        <w:rPr>
          <w:rFonts w:hint="default" w:ascii="Times New Roman" w:hAnsi="Times New Roman" w:eastAsia="宋体" w:cs="Times New Roman"/>
          <w:color w:val="auto"/>
          <w:sz w:val="24"/>
          <w:szCs w:val="24"/>
          <w:highlight w:val="none"/>
        </w:rPr>
        <w:t>总承包人通过组织协调，有效解决不同专业工程、不同工序交叉作业的配合问题，确保各施工进度能按照总进度实施计划实施。</w:t>
      </w:r>
    </w:p>
    <w:p>
      <w:pPr>
        <w:spacing w:line="360" w:lineRule="auto"/>
        <w:ind w:firstLine="482" w:firstLineChars="200"/>
        <w:jc w:val="left"/>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9</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质量与检验</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工程质量</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专业承包工程质量达不到约定质量标准总承包人承担连带责任。</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检查和返工</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因专业承包人达不到约定标准的，由责任方承担拆除和重新施工的费用，承担质量违约责任，工期不予顺延，有总承包人管理不力的，总承包人承担责任。</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隐蔽工程和中间验收</w:t>
      </w:r>
    </w:p>
    <w:p>
      <w:pPr>
        <w:numPr>
          <w:ilvl w:val="-1"/>
          <w:numId w:val="0"/>
        </w:numPr>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9.3.1</w:t>
      </w:r>
      <w:r>
        <w:rPr>
          <w:rFonts w:hint="default" w:ascii="Times New Roman" w:hAnsi="Times New Roman" w:eastAsia="宋体" w:cs="Times New Roman"/>
          <w:color w:val="auto"/>
          <w:sz w:val="24"/>
          <w:szCs w:val="24"/>
          <w:highlight w:val="none"/>
        </w:rPr>
        <w:t>工程具备隐蔽条件或属于“穗建监字[2001]068号”文规定的中间验收部位，专业承包人必须先进行自检，自检合格后由总承包人在隐蔽或中间验收前24个小时以书面形式通知</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验收，通知应包括隐蔽和中间的内容、验收时间和地点。</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在验收记录上签字后，专业承包人方可进行隐蔽和继续施工。验收不合格的，专业承包人必须在24个小时内或</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限定的时间内修改后重新验收。</w:t>
      </w:r>
    </w:p>
    <w:p>
      <w:pPr>
        <w:numPr>
          <w:ilvl w:val="-1"/>
          <w:numId w:val="0"/>
        </w:numPr>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9.3.2</w:t>
      </w:r>
      <w:r>
        <w:rPr>
          <w:rFonts w:hint="default" w:ascii="Times New Roman" w:hAnsi="Times New Roman" w:eastAsia="宋体" w:cs="Times New Roman"/>
          <w:color w:val="auto"/>
          <w:sz w:val="24"/>
          <w:szCs w:val="24"/>
          <w:highlight w:val="none"/>
        </w:rPr>
        <w:t>总承包人应对专业承包工程的隐蔽及中间验收工作创造便利条件，并提供足够的配合。</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工程试车</w:t>
      </w:r>
    </w:p>
    <w:p>
      <w:pPr>
        <w:numPr>
          <w:ilvl w:val="-1"/>
          <w:numId w:val="0"/>
        </w:numPr>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9.4.1</w:t>
      </w:r>
      <w:r>
        <w:rPr>
          <w:rFonts w:hint="default" w:ascii="Times New Roman" w:hAnsi="Times New Roman" w:eastAsia="宋体" w:cs="Times New Roman"/>
          <w:color w:val="auto"/>
          <w:sz w:val="24"/>
          <w:szCs w:val="24"/>
          <w:highlight w:val="none"/>
        </w:rPr>
        <w:t>设备安装工程具备单机无负荷试车条件，由专业承包人组织试车；属总包施工项目范围内的，由总承包人组织；属总包管理项目范围的，由专业承包人组织。</w:t>
      </w:r>
    </w:p>
    <w:p>
      <w:pPr>
        <w:numPr>
          <w:ilvl w:val="-1"/>
          <w:numId w:val="0"/>
        </w:numPr>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9.4.2</w:t>
      </w:r>
      <w:r>
        <w:rPr>
          <w:rFonts w:hint="default" w:ascii="Times New Roman" w:hAnsi="Times New Roman" w:eastAsia="宋体" w:cs="Times New Roman"/>
          <w:color w:val="auto"/>
          <w:sz w:val="24"/>
          <w:szCs w:val="24"/>
          <w:highlight w:val="none"/>
        </w:rPr>
        <w:t>设备安装工程具备无负荷联动试车条件，由总承包人组织、发包人参加试车，总承包人在试车前24小时内以书面形式通知</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和参加试车的有关单位。</w:t>
      </w:r>
    </w:p>
    <w:p>
      <w:pPr>
        <w:numPr>
          <w:ilvl w:val="-1"/>
          <w:numId w:val="0"/>
        </w:numPr>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9.4.3</w:t>
      </w:r>
      <w:r>
        <w:rPr>
          <w:rFonts w:hint="default" w:ascii="Times New Roman" w:hAnsi="Times New Roman" w:eastAsia="宋体" w:cs="Times New Roman"/>
          <w:color w:val="auto"/>
          <w:sz w:val="24"/>
          <w:szCs w:val="24"/>
          <w:highlight w:val="none"/>
        </w:rPr>
        <w:t>工程试车，属总包施工项目范围内的，由总承包人负责试车费用；属总包管理项目范围的，由专业承包人负责试车费用，总承包人应予以配合服务。</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t>保修管理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有义务对各专业承包工程的保修工作进行协调和管理，总包管理项目完工后及时督促相关专业承包人在保修期内做好保修工作。专业承包人无及时做好保修工作，且存在总承包人管理不力原因的，总承包人承担法定的连带责任。</w:t>
      </w:r>
    </w:p>
    <w:p>
      <w:pPr>
        <w:spacing w:line="360" w:lineRule="auto"/>
        <w:ind w:firstLine="482"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w:t>
      </w:r>
      <w:r>
        <w:rPr>
          <w:rFonts w:hint="eastAsia" w:ascii="Times New Roman" w:hAnsi="Times New Roman" w:eastAsia="宋体" w:cs="Times New Roman"/>
          <w:b/>
          <w:bCs/>
          <w:color w:val="auto"/>
          <w:sz w:val="24"/>
          <w:szCs w:val="24"/>
          <w:highlight w:val="none"/>
          <w:lang w:val="en-US" w:eastAsia="zh-CN"/>
        </w:rPr>
        <w:t>0</w:t>
      </w:r>
      <w:r>
        <w:rPr>
          <w:rFonts w:hint="default" w:ascii="Times New Roman" w:hAnsi="Times New Roman" w:eastAsia="宋体" w:cs="Times New Roman"/>
          <w:b/>
          <w:bCs/>
          <w:color w:val="auto"/>
          <w:sz w:val="24"/>
          <w:szCs w:val="24"/>
          <w:highlight w:val="none"/>
        </w:rPr>
        <w:tab/>
      </w:r>
      <w:r>
        <w:rPr>
          <w:rFonts w:hint="default" w:ascii="Times New Roman" w:hAnsi="Times New Roman" w:eastAsia="宋体" w:cs="Times New Roman"/>
          <w:b/>
          <w:bCs/>
          <w:color w:val="auto"/>
          <w:sz w:val="24"/>
          <w:szCs w:val="24"/>
          <w:highlight w:val="none"/>
        </w:rPr>
        <w:t>文明施工和安全生产管理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.1安全生产与检查</w:t>
      </w:r>
    </w:p>
    <w:p>
      <w:pPr>
        <w:numPr>
          <w:ilvl w:val="-1"/>
          <w:numId w:val="0"/>
        </w:numPr>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10.1.1</w:t>
      </w:r>
      <w:r>
        <w:rPr>
          <w:rFonts w:hint="default" w:ascii="Times New Roman" w:hAnsi="Times New Roman" w:eastAsia="宋体" w:cs="Times New Roman"/>
          <w:color w:val="auto"/>
          <w:sz w:val="24"/>
          <w:szCs w:val="24"/>
          <w:highlight w:val="none"/>
        </w:rPr>
        <w:t>总承包人有义务对所负责标段内全部文明施工和安全生产进行全面的管理。进行详细交底及部署。</w:t>
      </w:r>
    </w:p>
    <w:p>
      <w:pPr>
        <w:numPr>
          <w:ilvl w:val="-1"/>
          <w:numId w:val="0"/>
        </w:numPr>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10.1.2</w:t>
      </w:r>
      <w:r>
        <w:rPr>
          <w:rFonts w:hint="default" w:ascii="Times New Roman" w:hAnsi="Times New Roman" w:eastAsia="宋体" w:cs="Times New Roman"/>
          <w:color w:val="auto"/>
          <w:sz w:val="24"/>
          <w:szCs w:val="24"/>
          <w:highlight w:val="none"/>
        </w:rPr>
        <w:t>专业承包人应严格做好所负责工程的安全生产工作，并自觉接受总承包人的检查，并按照其提出的意见进行整改。</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 xml:space="preserve">.2事故处理 </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承包工程发生重大伤亡及其它安全事故的，专业承包人必须立即通知总承包人，总承包人必须立即按有关规定上报发包人及有关部门，同时按政府有关部门要求处理。对于专业承包工程发生重大伤亡及其它安全事故，由专业承包人承担主要责任，总承包人承担法定的连带责任；属自主分包工程的，由总承包人承担责任。</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.3统一实施场地的场容场貌和施工保洁管理。</w:t>
      </w:r>
    </w:p>
    <w:p>
      <w:pPr>
        <w:numPr>
          <w:ilvl w:val="0"/>
          <w:numId w:val="52"/>
        </w:numPr>
        <w:spacing w:line="360" w:lineRule="auto"/>
        <w:ind w:left="0" w:firstLine="482"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竣工验收与结算管理</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竣工验收</w:t>
      </w:r>
    </w:p>
    <w:p>
      <w:pPr>
        <w:numPr>
          <w:ilvl w:val="2"/>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各专业承包人必须负责施工工程竣工图的编制管理工作。总承包人有责任根据竣工图验收要求对专业承包人所绘制的竣工图进行符合性审查。</w:t>
      </w:r>
    </w:p>
    <w:p>
      <w:pPr>
        <w:numPr>
          <w:ilvl w:val="2"/>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总包管理项目属于专业工程需单独验收的，经总承包人预验合格后，由该专业承包人与专业工程验收管理部门、发包人协商确定验收时间，并及时通知总承包人参与验收。</w:t>
      </w:r>
    </w:p>
    <w:p>
      <w:pPr>
        <w:numPr>
          <w:ilvl w:val="2"/>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总包管理项目不需要办理单独验收的，经总承包人预验合格后，上报</w:t>
      </w:r>
      <w:r>
        <w:rPr>
          <w:rFonts w:hint="eastAsia" w:ascii="Times New Roman" w:hAnsi="Times New Roman" w:cs="Times New Roman"/>
          <w:color w:val="auto"/>
          <w:sz w:val="24"/>
          <w:szCs w:val="24"/>
          <w:highlight w:val="none"/>
          <w:lang w:val="en-US" w:eastAsia="zh-CN"/>
        </w:rPr>
        <w:t>发包人</w:t>
      </w:r>
      <w:r>
        <w:rPr>
          <w:rFonts w:hint="default" w:ascii="Times New Roman" w:hAnsi="Times New Roman" w:eastAsia="宋体" w:cs="Times New Roman"/>
          <w:color w:val="auto"/>
          <w:sz w:val="24"/>
          <w:szCs w:val="24"/>
          <w:highlight w:val="none"/>
        </w:rPr>
        <w:t>，由专业承包人、总承包人、</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协商验收。</w:t>
      </w:r>
    </w:p>
    <w:p>
      <w:pPr>
        <w:numPr>
          <w:ilvl w:val="2"/>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总承包人必须对各专业承包工程的预验收、验收给予积极的配合加具有关意见。</w:t>
      </w:r>
    </w:p>
    <w:p>
      <w:pPr>
        <w:numPr>
          <w:ilvl w:val="2"/>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总承包人在所有总包施工项目及总包管理项目（预）验收完成后，认为满足工程竣工验收条件时，方可向</w:t>
      </w:r>
      <w:r>
        <w:rPr>
          <w:rFonts w:hint="eastAsia" w:ascii="Times New Roman" w:hAnsi="Times New Roman" w:cs="Times New Roman"/>
          <w:color w:val="auto"/>
          <w:sz w:val="24"/>
          <w:szCs w:val="24"/>
          <w:highlight w:val="none"/>
          <w:lang w:val="en-US" w:eastAsia="zh-CN"/>
        </w:rPr>
        <w:t>发包人</w:t>
      </w:r>
      <w:r>
        <w:rPr>
          <w:rFonts w:hint="default" w:ascii="Times New Roman" w:hAnsi="Times New Roman" w:eastAsia="宋体" w:cs="Times New Roman"/>
          <w:color w:val="auto"/>
          <w:sz w:val="24"/>
          <w:szCs w:val="24"/>
          <w:highlight w:val="none"/>
        </w:rPr>
        <w:t>提出预验收通知。</w:t>
      </w:r>
    </w:p>
    <w:p>
      <w:pPr>
        <w:numPr>
          <w:ilvl w:val="2"/>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办理工程预验及验收前，各专业承包人应将准备验收工程的场地清理干净；主体工程竣工验收后合格后10天内，总承包人和发包人签署工程交接验收证明文件，并再次对场地进行检查，确保场地已清理干净，并将工程移交</w:t>
      </w:r>
      <w:r>
        <w:rPr>
          <w:rFonts w:hint="default" w:ascii="Times New Roman" w:hAnsi="Times New Roman" w:eastAsia="宋体" w:cs="Times New Roman"/>
          <w:color w:val="auto"/>
          <w:sz w:val="24"/>
          <w:szCs w:val="24"/>
          <w:highlight w:val="none"/>
          <w:lang w:val="en-US"/>
        </w:rPr>
        <w:t>发包人</w:t>
      </w:r>
      <w:r>
        <w:rPr>
          <w:rFonts w:hint="eastAsia" w:ascii="Times New Roman" w:hAnsi="Times New Roman" w:cs="Times New Roman"/>
          <w:color w:val="auto"/>
          <w:sz w:val="24"/>
          <w:szCs w:val="24"/>
          <w:highlight w:val="none"/>
          <w:lang w:val="en-US" w:eastAsia="zh-CN"/>
        </w:rPr>
        <w:t>及政府相关部门</w:t>
      </w:r>
      <w:r>
        <w:rPr>
          <w:rFonts w:hint="default" w:ascii="Times New Roman" w:hAnsi="Times New Roman" w:eastAsia="宋体" w:cs="Times New Roman"/>
          <w:color w:val="auto"/>
          <w:sz w:val="24"/>
          <w:szCs w:val="24"/>
          <w:highlight w:val="none"/>
        </w:rPr>
        <w:t>管理。</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竣工档案管理</w:t>
      </w:r>
    </w:p>
    <w:p>
      <w:pPr>
        <w:numPr>
          <w:ilvl w:val="2"/>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总承包人有义务对总包施工及总包管理工程的工程资料按照国家《城市建设档案管理规定》、《</w:t>
      </w:r>
      <w:r>
        <w:rPr>
          <w:rFonts w:hint="eastAsia" w:ascii="Times New Roman" w:hAnsi="Times New Roman" w:eastAsia="宋体" w:cs="Times New Roman"/>
          <w:color w:val="auto"/>
          <w:sz w:val="24"/>
          <w:szCs w:val="24"/>
          <w:highlight w:val="none"/>
          <w:lang w:val="en-US" w:eastAsia="zh-CN"/>
        </w:rPr>
        <w:t>江门</w:t>
      </w:r>
      <w:r>
        <w:rPr>
          <w:rFonts w:hint="default" w:ascii="Times New Roman" w:hAnsi="Times New Roman" w:eastAsia="宋体" w:cs="Times New Roman"/>
          <w:color w:val="auto"/>
          <w:sz w:val="24"/>
          <w:szCs w:val="24"/>
          <w:highlight w:val="none"/>
        </w:rPr>
        <w:t>市城乡建设档案管理办法》、《广东省建筑工程竣工验收技术资料统一用表》和发包人的具体要求等进行收集、整理、编制、汇总和管理。</w:t>
      </w:r>
    </w:p>
    <w:p>
      <w:pPr>
        <w:numPr>
          <w:ilvl w:val="2"/>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指导专业承包人整理工程资料，使其满足档案接收要求。</w:t>
      </w:r>
    </w:p>
    <w:p>
      <w:pPr>
        <w:numPr>
          <w:ilvl w:val="2"/>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专业承包人对其施工的专业承包工程负有具体收集、整理、编制、汇总档案资料的义务，并保证所提供的档案资料是齐全完备和有效的，需要时总承包人亦要签名盖章。</w:t>
      </w:r>
    </w:p>
    <w:p>
      <w:pPr>
        <w:numPr>
          <w:ilvl w:val="2"/>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督促专业承包人在完成专业承包工程竣工验收前7天内，完成工程档案资料的汇总，并上报总承包人，总承包人有义务对该资料的完备性、有效性进行检查，对不符合要求的资料，要求专业承包人限期进行整改。整改后再上报总承包人。</w:t>
      </w:r>
    </w:p>
    <w:p>
      <w:pPr>
        <w:numPr>
          <w:ilvl w:val="2"/>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竣工图纸由总承包人、专业承包人根据设计院提供的施工图纸电子文件、竣工资料进行绘制，并须经设计单位审核、签署。</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办理竣工备案手续</w:t>
      </w:r>
    </w:p>
    <w:p>
      <w:pPr>
        <w:numPr>
          <w:ilvl w:val="2"/>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在规定时间内应收集所有竣工备案资料，对不属于施工总承包管理直接提供的其它单位的资料，有责任进行跟踪、督促、协调，及时向发包人反馈收集和协调情况。收集齐所有竣工备案资料后，负责按规定向有关部门提交竣工备案资料，并向发包人反馈备案办理进度。</w:t>
      </w:r>
    </w:p>
    <w:p>
      <w:pPr>
        <w:numPr>
          <w:ilvl w:val="2"/>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总承包人于工程竣工验收后按</w:t>
      </w:r>
      <w:r>
        <w:rPr>
          <w:rFonts w:hint="eastAsia" w:ascii="Times New Roman" w:hAnsi="Times New Roman" w:eastAsia="宋体" w:cs="Times New Roman"/>
          <w:color w:val="auto"/>
          <w:sz w:val="24"/>
          <w:szCs w:val="24"/>
          <w:highlight w:val="none"/>
          <w:lang w:val="en-US" w:eastAsia="zh-CN"/>
        </w:rPr>
        <w:t>江门</w:t>
      </w:r>
      <w:r>
        <w:rPr>
          <w:rFonts w:hint="default" w:ascii="Times New Roman" w:hAnsi="Times New Roman" w:eastAsia="宋体" w:cs="Times New Roman"/>
          <w:color w:val="auto"/>
          <w:sz w:val="24"/>
          <w:szCs w:val="24"/>
          <w:highlight w:val="none"/>
        </w:rPr>
        <w:t>市建设工程档案管理与移交办法向发包人</w:t>
      </w:r>
      <w:r>
        <w:rPr>
          <w:rFonts w:hint="eastAsia" w:ascii="Times New Roman" w:hAnsi="Times New Roman" w:cs="Times New Roman"/>
          <w:color w:val="auto"/>
          <w:sz w:val="24"/>
          <w:szCs w:val="24"/>
          <w:highlight w:val="none"/>
          <w:lang w:val="en-US" w:eastAsia="zh-CN"/>
        </w:rPr>
        <w:t>及政府相关部门</w:t>
      </w:r>
      <w:r>
        <w:rPr>
          <w:rFonts w:hint="default" w:ascii="Times New Roman" w:hAnsi="Times New Roman" w:eastAsia="宋体" w:cs="Times New Roman"/>
          <w:color w:val="auto"/>
          <w:sz w:val="24"/>
          <w:szCs w:val="24"/>
          <w:highlight w:val="none"/>
        </w:rPr>
        <w:t>完整移交档案。</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竣工结算管理</w:t>
      </w:r>
    </w:p>
    <w:p>
      <w:pPr>
        <w:numPr>
          <w:ilvl w:val="2"/>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总包管理项目竣工结算报告由专业承包人具体编制，在总包管理项目完成竣工验收后28天内，督促专业承包人收集完整的竣工结算资料。</w:t>
      </w:r>
    </w:p>
    <w:p>
      <w:pPr>
        <w:numPr>
          <w:ilvl w:val="2"/>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在测量师、发包人审核工程结算期间，总承包人、专业承包人必须按照要求提供积极的配合协助，并按要求及时提供相关资料。</w:t>
      </w:r>
    </w:p>
    <w:p>
      <w:pPr>
        <w:numPr>
          <w:ilvl w:val="0"/>
          <w:numId w:val="52"/>
        </w:numPr>
        <w:spacing w:line="360" w:lineRule="auto"/>
        <w:ind w:left="0" w:firstLine="482"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产品保护或照管</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总承包人承担本项目总体产品保护或照管责任（规定由专业承包人负责的除外）。</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管理工序交接工作，移交产品保护责任。对土建产品的保护向专业承包人进行交底。</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在专业工程施工过程中，根据工程性质需分阶段施工和移交工程施工总承包管理单位照管时，专业承包人应报</w:t>
      </w:r>
      <w:r>
        <w:rPr>
          <w:rFonts w:hint="eastAsia" w:ascii="Times New Roman" w:hAnsi="Times New Roman" w:cs="Times New Roman"/>
          <w:color w:val="auto"/>
          <w:sz w:val="24"/>
          <w:szCs w:val="24"/>
          <w:highlight w:val="none"/>
          <w:lang w:val="en-US" w:eastAsia="zh-CN"/>
        </w:rPr>
        <w:t>发包人</w:t>
      </w:r>
      <w:r>
        <w:rPr>
          <w:rFonts w:hint="default" w:ascii="Times New Roman" w:hAnsi="Times New Roman" w:eastAsia="宋体" w:cs="Times New Roman"/>
          <w:color w:val="auto"/>
          <w:sz w:val="24"/>
          <w:szCs w:val="24"/>
          <w:highlight w:val="none"/>
        </w:rPr>
        <w:t>批准，批准后的分阶段施工工程即为中间验收工程。对每个中间验收工程，</w:t>
      </w:r>
      <w:r>
        <w:rPr>
          <w:rFonts w:hint="eastAsia" w:ascii="Times New Roman" w:hAnsi="Times New Roman" w:cs="Times New Roman"/>
          <w:color w:val="auto"/>
          <w:sz w:val="24"/>
          <w:szCs w:val="24"/>
          <w:highlight w:val="none"/>
          <w:lang w:val="en-US" w:eastAsia="zh-CN"/>
        </w:rPr>
        <w:t>发包人</w:t>
      </w:r>
      <w:r>
        <w:rPr>
          <w:rFonts w:hint="default" w:ascii="Times New Roman" w:hAnsi="Times New Roman" w:eastAsia="宋体" w:cs="Times New Roman"/>
          <w:color w:val="auto"/>
          <w:sz w:val="24"/>
          <w:szCs w:val="24"/>
          <w:highlight w:val="none"/>
        </w:rPr>
        <w:t>组织设计单位、总承包单位和专业承包人进行质量验收评定。若验收合格，则移交给总承包管理单位负责照管，时间至专业工程安装单位下次开始施工时止；若不合格，则专业单位应按规定的时间内返修或更换材料后再验收。在总承包单位负责照管的期限内，总承包单位应对这些中间验收工程做好保护工作。而在专业承包人继续进行施工后，总承包单位对已进行中间验收的工程不负责照管，其照管责任移交至专业承包人。</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已竣工验收的专业工程的照管：从专业工程竣工验收合格并办理移交总承包人手续起，直至整个工程竣工验收合格移交给发包人</w:t>
      </w:r>
      <w:r>
        <w:rPr>
          <w:rFonts w:hint="eastAsia" w:ascii="Times New Roman" w:hAnsi="Times New Roman" w:cs="Times New Roman"/>
          <w:color w:val="auto"/>
          <w:sz w:val="24"/>
          <w:szCs w:val="24"/>
          <w:highlight w:val="none"/>
          <w:lang w:val="en-US" w:eastAsia="zh-CN"/>
        </w:rPr>
        <w:t>及政府相关部门</w:t>
      </w:r>
      <w:r>
        <w:rPr>
          <w:rFonts w:hint="default" w:ascii="Times New Roman" w:hAnsi="Times New Roman" w:eastAsia="宋体" w:cs="Times New Roman"/>
          <w:color w:val="auto"/>
          <w:sz w:val="24"/>
          <w:szCs w:val="24"/>
          <w:highlight w:val="none"/>
        </w:rPr>
        <w:t>之日止，总承包人应按照合同约定对移交给施工总承包人的专业工程的成品负责照管。但对那些已办理中间移交手续并交付发包人的工程，办理移交手续之日起，照管责任已移交给了发包人</w:t>
      </w:r>
      <w:r>
        <w:rPr>
          <w:rFonts w:hint="eastAsia" w:ascii="Times New Roman" w:hAnsi="Times New Roman" w:cs="Times New Roman"/>
          <w:color w:val="auto"/>
          <w:sz w:val="24"/>
          <w:szCs w:val="24"/>
          <w:highlight w:val="none"/>
          <w:lang w:val="en-US" w:eastAsia="zh-CN"/>
        </w:rPr>
        <w:t>及政府相关部门</w:t>
      </w:r>
      <w:r>
        <w:rPr>
          <w:rFonts w:hint="default" w:ascii="Times New Roman" w:hAnsi="Times New Roman" w:eastAsia="宋体" w:cs="Times New Roman"/>
          <w:color w:val="auto"/>
          <w:sz w:val="24"/>
          <w:szCs w:val="24"/>
          <w:highlight w:val="none"/>
        </w:rPr>
        <w:t>。</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如果在总承包单位负责的照管期内，由于不可抗力以外的原因导致总承包单位照管工程的任何部分损失或损坏，由总承包单位负责修补，赔偿经济赔偿责任，并通过修补使该工程或设备质量达到该专业合同的有关规定和要求。</w:t>
      </w:r>
    </w:p>
    <w:p>
      <w:pPr>
        <w:numPr>
          <w:ilvl w:val="0"/>
          <w:numId w:val="52"/>
        </w:numPr>
        <w:spacing w:line="360" w:lineRule="auto"/>
        <w:ind w:left="0" w:firstLine="482"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设计配合</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根据总承包施工的需要，从施工角度参与不同专业间的综合图纸会审，如土建和机电、机电和弱电、机电和精装修、土建和幕墙、幕墙和精装修等，发现各专业图纸间的有关配合、协调等问题，并提出解决方案。</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参加各专业工程的图纸会审，提出有关建议。</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审查承包范围内各专业工程的施工组织设计，对各专业工程施工组织设计不满足项目总体进度、场地安排、安全和文明施工等方面，和专业承包人进行沟通和协商，督促其进行调整。</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及时掌握每个专业工程的变更情况，并从总承包管理方面分析与其它有关方面的变化情况，若对项目总进度，或其它专业质量或造价方面出现影响，及时提出建议方案报发包人批准后实施。</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当发包人提出要求时，对于发包人提出的设计变更研究，提出相应的</w:t>
      </w:r>
      <w:r>
        <w:rPr>
          <w:rFonts w:hint="eastAsia" w:ascii="Times New Roman" w:hAnsi="Times New Roman" w:eastAsia="宋体" w:cs="Times New Roman"/>
          <w:color w:val="auto"/>
          <w:sz w:val="24"/>
          <w:szCs w:val="24"/>
          <w:highlight w:val="none"/>
          <w:lang w:val="en-US" w:eastAsia="zh-CN"/>
        </w:rPr>
        <w:t>实施方案</w:t>
      </w:r>
      <w:r>
        <w:rPr>
          <w:rFonts w:hint="default" w:ascii="Times New Roman" w:hAnsi="Times New Roman" w:eastAsia="宋体" w:cs="Times New Roman"/>
          <w:color w:val="auto"/>
          <w:sz w:val="24"/>
          <w:szCs w:val="24"/>
          <w:highlight w:val="none"/>
        </w:rPr>
        <w:t>供发包人变更决策参考。</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当发包人提出要求时，对于发包人组织的设计变更研究，从施工可行性</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总承包管理等方面提出建议供发包人决策。</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根据预留、预埋需要编制相关预留预埋图，根据施工工艺需要编制相关节点大样图，根据现场管线布置需要编制综合布线图。由承包商编制图纸需要经过发包人确认后才能进行施工。</w:t>
      </w:r>
    </w:p>
    <w:p>
      <w:pPr>
        <w:numPr>
          <w:ilvl w:val="0"/>
          <w:numId w:val="52"/>
        </w:numPr>
        <w:spacing w:line="360" w:lineRule="auto"/>
        <w:ind w:left="0" w:firstLine="482"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合同管理</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分包管理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对于可合法分包工程由承包人按照有关规定合规合法分别选定分包人，并与其签订分包合同，分包合同必须送</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备案。</w:t>
      </w:r>
    </w:p>
    <w:p>
      <w:pPr>
        <w:numPr>
          <w:ilvl w:val="1"/>
          <w:numId w:val="52"/>
        </w:numPr>
        <w:spacing w:line="360" w:lineRule="auto"/>
        <w:ind w:lef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甲控乙供材料买卖合同管理</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承包人与中标的专项供应商根据材料采购招标文件、合同条件及本办法的要求，与专项供应商签订具体材料买卖合同。材料买卖合同必须送</w:t>
      </w:r>
      <w:r>
        <w:rPr>
          <w:rFonts w:hint="eastAsia" w:ascii="Times New Roman" w:hAnsi="Times New Roman"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备案。</w:t>
      </w:r>
    </w:p>
    <w:p>
      <w:pPr>
        <w:spacing w:line="360" w:lineRule="auto"/>
        <w:ind w:firstLine="482" w:firstLineChars="20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kern w:val="0"/>
          <w:sz w:val="24"/>
          <w:szCs w:val="24"/>
          <w:highlight w:val="none"/>
        </w:rPr>
        <w:t>第二部分  配合服务工作内容</w:t>
      </w:r>
    </w:p>
    <w:p>
      <w:pPr>
        <w:numPr>
          <w:ilvl w:val="0"/>
          <w:numId w:val="53"/>
        </w:numPr>
        <w:spacing w:line="360" w:lineRule="auto"/>
        <w:ind w:left="0" w:firstLine="482"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 xml:space="preserve"> 统一配合内容</w:t>
      </w:r>
    </w:p>
    <w:p>
      <w:pPr>
        <w:autoSpaceDE w:val="0"/>
        <w:autoSpaceDN w:val="0"/>
        <w:adjustRightInd w:val="0"/>
        <w:spacing w:line="360" w:lineRule="auto"/>
        <w:ind w:firstLine="488"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pacing w:val="2"/>
          <w:kern w:val="0"/>
          <w:sz w:val="24"/>
          <w:szCs w:val="24"/>
          <w:highlight w:val="none"/>
        </w:rPr>
        <w:t>1.1</w:t>
      </w:r>
      <w:r>
        <w:rPr>
          <w:rFonts w:hint="default" w:ascii="Times New Roman" w:hAnsi="Times New Roman" w:eastAsia="宋体" w:cs="Times New Roman"/>
          <w:color w:val="auto"/>
          <w:spacing w:val="2"/>
          <w:kern w:val="0"/>
          <w:sz w:val="24"/>
          <w:szCs w:val="24"/>
          <w:highlight w:val="none"/>
        </w:rPr>
        <w:tab/>
      </w:r>
      <w:r>
        <w:rPr>
          <w:rFonts w:hint="default" w:ascii="Times New Roman" w:hAnsi="Times New Roman" w:eastAsia="宋体" w:cs="Times New Roman"/>
          <w:color w:val="auto"/>
          <w:spacing w:val="2"/>
          <w:kern w:val="0"/>
          <w:sz w:val="24"/>
          <w:szCs w:val="24"/>
          <w:highlight w:val="none"/>
        </w:rPr>
        <w:t>向专业</w:t>
      </w:r>
      <w:r>
        <w:rPr>
          <w:rFonts w:hint="default" w:ascii="Times New Roman" w:hAnsi="Times New Roman" w:eastAsia="宋体" w:cs="Times New Roman"/>
          <w:color w:val="auto"/>
          <w:sz w:val="24"/>
          <w:szCs w:val="24"/>
          <w:highlight w:val="none"/>
        </w:rPr>
        <w:t>承包</w:t>
      </w:r>
      <w:r>
        <w:rPr>
          <w:rFonts w:hint="default" w:ascii="Times New Roman" w:hAnsi="Times New Roman" w:eastAsia="宋体" w:cs="Times New Roman"/>
          <w:color w:val="auto"/>
          <w:spacing w:val="2"/>
          <w:kern w:val="0"/>
          <w:sz w:val="24"/>
          <w:szCs w:val="24"/>
          <w:highlight w:val="none"/>
        </w:rPr>
        <w:t>人</w:t>
      </w:r>
      <w:r>
        <w:rPr>
          <w:rFonts w:hint="default" w:ascii="Times New Roman" w:hAnsi="Times New Roman" w:eastAsia="宋体" w:cs="Times New Roman"/>
          <w:color w:val="auto"/>
          <w:kern w:val="0"/>
          <w:sz w:val="24"/>
          <w:szCs w:val="24"/>
          <w:highlight w:val="none"/>
        </w:rPr>
        <w:t>提</w:t>
      </w:r>
      <w:r>
        <w:rPr>
          <w:rFonts w:hint="default" w:ascii="Times New Roman" w:hAnsi="Times New Roman" w:eastAsia="宋体" w:cs="Times New Roman"/>
          <w:color w:val="auto"/>
          <w:spacing w:val="2"/>
          <w:kern w:val="0"/>
          <w:sz w:val="24"/>
          <w:szCs w:val="24"/>
          <w:highlight w:val="none"/>
        </w:rPr>
        <w:t>供相</w:t>
      </w:r>
      <w:r>
        <w:rPr>
          <w:rFonts w:hint="default" w:ascii="Times New Roman" w:hAnsi="Times New Roman" w:eastAsia="宋体" w:cs="Times New Roman"/>
          <w:color w:val="auto"/>
          <w:kern w:val="0"/>
          <w:sz w:val="24"/>
          <w:szCs w:val="24"/>
          <w:highlight w:val="none"/>
        </w:rPr>
        <w:t>应</w:t>
      </w:r>
      <w:r>
        <w:rPr>
          <w:rFonts w:hint="default" w:ascii="Times New Roman" w:hAnsi="Times New Roman" w:eastAsia="宋体" w:cs="Times New Roman"/>
          <w:color w:val="auto"/>
          <w:spacing w:val="2"/>
          <w:kern w:val="0"/>
          <w:sz w:val="24"/>
          <w:szCs w:val="24"/>
          <w:highlight w:val="none"/>
        </w:rPr>
        <w:t>的</w:t>
      </w:r>
      <w:r>
        <w:rPr>
          <w:rFonts w:hint="default" w:ascii="Times New Roman" w:hAnsi="Times New Roman" w:eastAsia="宋体" w:cs="Times New Roman"/>
          <w:color w:val="auto"/>
          <w:kern w:val="0"/>
          <w:sz w:val="24"/>
          <w:szCs w:val="24"/>
          <w:highlight w:val="none"/>
        </w:rPr>
        <w:t>施</w:t>
      </w:r>
      <w:r>
        <w:rPr>
          <w:rFonts w:hint="default" w:ascii="Times New Roman" w:hAnsi="Times New Roman" w:eastAsia="宋体" w:cs="Times New Roman"/>
          <w:color w:val="auto"/>
          <w:spacing w:val="2"/>
          <w:kern w:val="0"/>
          <w:sz w:val="24"/>
          <w:szCs w:val="24"/>
          <w:highlight w:val="none"/>
        </w:rPr>
        <w:t>工用</w:t>
      </w:r>
      <w:r>
        <w:rPr>
          <w:rFonts w:hint="default" w:ascii="Times New Roman" w:hAnsi="Times New Roman" w:eastAsia="宋体" w:cs="Times New Roman"/>
          <w:color w:val="auto"/>
          <w:kern w:val="0"/>
          <w:sz w:val="24"/>
          <w:szCs w:val="24"/>
          <w:highlight w:val="none"/>
        </w:rPr>
        <w:t>水</w:t>
      </w:r>
      <w:r>
        <w:rPr>
          <w:rFonts w:hint="default" w:ascii="Times New Roman" w:hAnsi="Times New Roman" w:eastAsia="宋体" w:cs="Times New Roman"/>
          <w:color w:val="auto"/>
          <w:spacing w:val="2"/>
          <w:kern w:val="0"/>
          <w:sz w:val="24"/>
          <w:szCs w:val="24"/>
          <w:highlight w:val="none"/>
        </w:rPr>
        <w:t>、</w:t>
      </w:r>
      <w:r>
        <w:rPr>
          <w:rFonts w:hint="default" w:ascii="Times New Roman" w:hAnsi="Times New Roman" w:eastAsia="宋体" w:cs="Times New Roman"/>
          <w:color w:val="auto"/>
          <w:kern w:val="0"/>
          <w:sz w:val="24"/>
          <w:szCs w:val="24"/>
          <w:highlight w:val="none"/>
        </w:rPr>
        <w:t>用</w:t>
      </w:r>
      <w:r>
        <w:rPr>
          <w:rFonts w:hint="default" w:ascii="Times New Roman" w:hAnsi="Times New Roman" w:eastAsia="宋体" w:cs="Times New Roman"/>
          <w:color w:val="auto"/>
          <w:spacing w:val="2"/>
          <w:kern w:val="0"/>
          <w:sz w:val="24"/>
          <w:szCs w:val="24"/>
          <w:highlight w:val="none"/>
        </w:rPr>
        <w:t>电的</w:t>
      </w:r>
      <w:r>
        <w:rPr>
          <w:rFonts w:hint="default" w:ascii="Times New Roman" w:hAnsi="Times New Roman" w:eastAsia="宋体" w:cs="Times New Roman"/>
          <w:color w:val="auto"/>
          <w:kern w:val="0"/>
          <w:sz w:val="24"/>
          <w:szCs w:val="24"/>
          <w:highlight w:val="none"/>
        </w:rPr>
        <w:t>接驳</w:t>
      </w:r>
      <w:r>
        <w:rPr>
          <w:rFonts w:hint="default" w:ascii="Times New Roman" w:hAnsi="Times New Roman" w:eastAsia="宋体" w:cs="Times New Roman"/>
          <w:color w:val="auto"/>
          <w:spacing w:val="2"/>
          <w:kern w:val="0"/>
          <w:sz w:val="24"/>
          <w:szCs w:val="24"/>
          <w:highlight w:val="none"/>
        </w:rPr>
        <w:t>，并设置水、电表，且容量或负</w:t>
      </w:r>
      <w:r>
        <w:rPr>
          <w:rFonts w:hint="default" w:ascii="Times New Roman" w:hAnsi="Times New Roman" w:eastAsia="宋体" w:cs="Times New Roman"/>
          <w:color w:val="auto"/>
          <w:kern w:val="0"/>
          <w:sz w:val="24"/>
          <w:szCs w:val="24"/>
          <w:highlight w:val="none"/>
        </w:rPr>
        <w:t>荷</w:t>
      </w:r>
      <w:r>
        <w:rPr>
          <w:rFonts w:hint="default" w:ascii="Times New Roman" w:hAnsi="Times New Roman" w:eastAsia="宋体" w:cs="Times New Roman"/>
          <w:color w:val="auto"/>
          <w:spacing w:val="2"/>
          <w:kern w:val="0"/>
          <w:sz w:val="24"/>
          <w:szCs w:val="24"/>
          <w:highlight w:val="none"/>
        </w:rPr>
        <w:t>满足</w:t>
      </w:r>
      <w:r>
        <w:rPr>
          <w:rFonts w:hint="default" w:ascii="Times New Roman" w:hAnsi="Times New Roman" w:eastAsia="宋体" w:cs="Times New Roman"/>
          <w:color w:val="auto"/>
          <w:kern w:val="0"/>
          <w:sz w:val="24"/>
          <w:szCs w:val="24"/>
          <w:highlight w:val="none"/>
        </w:rPr>
        <w:t>专</w:t>
      </w:r>
      <w:r>
        <w:rPr>
          <w:rFonts w:hint="default" w:ascii="Times New Roman" w:hAnsi="Times New Roman" w:eastAsia="宋体" w:cs="Times New Roman"/>
          <w:color w:val="auto"/>
          <w:spacing w:val="2"/>
          <w:kern w:val="0"/>
          <w:sz w:val="24"/>
          <w:szCs w:val="24"/>
          <w:highlight w:val="none"/>
        </w:rPr>
        <w:t>业</w:t>
      </w:r>
      <w:r>
        <w:rPr>
          <w:rFonts w:hint="default" w:ascii="Times New Roman" w:hAnsi="Times New Roman" w:eastAsia="宋体" w:cs="Times New Roman"/>
          <w:color w:val="auto"/>
          <w:kern w:val="0"/>
          <w:sz w:val="24"/>
          <w:szCs w:val="24"/>
          <w:highlight w:val="none"/>
        </w:rPr>
        <w:t>单</w:t>
      </w:r>
      <w:r>
        <w:rPr>
          <w:rFonts w:hint="default" w:ascii="Times New Roman" w:hAnsi="Times New Roman" w:eastAsia="宋体" w:cs="Times New Roman"/>
          <w:color w:val="auto"/>
          <w:spacing w:val="2"/>
          <w:kern w:val="0"/>
          <w:sz w:val="24"/>
          <w:szCs w:val="24"/>
          <w:highlight w:val="none"/>
        </w:rPr>
        <w:t>位的要</w:t>
      </w:r>
      <w:r>
        <w:rPr>
          <w:rFonts w:hint="default" w:ascii="Times New Roman" w:hAnsi="Times New Roman" w:eastAsia="宋体" w:cs="Times New Roman"/>
          <w:color w:val="auto"/>
          <w:kern w:val="0"/>
          <w:sz w:val="24"/>
          <w:szCs w:val="24"/>
          <w:highlight w:val="none"/>
        </w:rPr>
        <w:t>求</w:t>
      </w:r>
      <w:r>
        <w:rPr>
          <w:rFonts w:hint="default" w:ascii="Times New Roman" w:hAnsi="Times New Roman" w:eastAsia="宋体" w:cs="Times New Roman"/>
          <w:color w:val="auto"/>
          <w:spacing w:val="2"/>
          <w:kern w:val="0"/>
          <w:sz w:val="24"/>
          <w:szCs w:val="24"/>
          <w:highlight w:val="none"/>
        </w:rPr>
        <w:t>。但</w:t>
      </w:r>
      <w:r>
        <w:rPr>
          <w:rFonts w:hint="default" w:ascii="Times New Roman" w:hAnsi="Times New Roman" w:eastAsia="宋体" w:cs="Times New Roman"/>
          <w:color w:val="auto"/>
          <w:kern w:val="0"/>
          <w:sz w:val="24"/>
          <w:szCs w:val="24"/>
          <w:highlight w:val="none"/>
        </w:rPr>
        <w:t>接</w:t>
      </w:r>
      <w:r>
        <w:rPr>
          <w:rFonts w:hint="default" w:ascii="Times New Roman" w:hAnsi="Times New Roman" w:eastAsia="宋体" w:cs="Times New Roman"/>
          <w:color w:val="auto"/>
          <w:spacing w:val="2"/>
          <w:kern w:val="0"/>
          <w:sz w:val="24"/>
          <w:szCs w:val="24"/>
          <w:highlight w:val="none"/>
        </w:rPr>
        <w:t>驳点</w:t>
      </w:r>
      <w:r>
        <w:rPr>
          <w:rFonts w:hint="default" w:ascii="Times New Roman" w:hAnsi="Times New Roman" w:eastAsia="宋体" w:cs="Times New Roman"/>
          <w:color w:val="auto"/>
          <w:kern w:val="0"/>
          <w:sz w:val="24"/>
          <w:szCs w:val="24"/>
          <w:highlight w:val="none"/>
        </w:rPr>
        <w:t>以</w:t>
      </w:r>
      <w:r>
        <w:rPr>
          <w:rFonts w:hint="default" w:ascii="Times New Roman" w:hAnsi="Times New Roman" w:eastAsia="宋体" w:cs="Times New Roman"/>
          <w:color w:val="auto"/>
          <w:spacing w:val="2"/>
          <w:kern w:val="0"/>
          <w:sz w:val="24"/>
          <w:szCs w:val="24"/>
          <w:highlight w:val="none"/>
        </w:rPr>
        <w:t>后</w:t>
      </w:r>
      <w:r>
        <w:rPr>
          <w:rFonts w:hint="default" w:ascii="Times New Roman" w:hAnsi="Times New Roman" w:eastAsia="宋体" w:cs="Times New Roman"/>
          <w:color w:val="auto"/>
          <w:kern w:val="0"/>
          <w:sz w:val="24"/>
          <w:szCs w:val="24"/>
          <w:highlight w:val="none"/>
        </w:rPr>
        <w:t>的</w:t>
      </w:r>
      <w:r>
        <w:rPr>
          <w:rFonts w:hint="default" w:ascii="Times New Roman" w:hAnsi="Times New Roman" w:eastAsia="宋体" w:cs="Times New Roman"/>
          <w:color w:val="auto"/>
          <w:spacing w:val="2"/>
          <w:kern w:val="0"/>
          <w:sz w:val="24"/>
          <w:szCs w:val="24"/>
          <w:highlight w:val="none"/>
        </w:rPr>
        <w:t>管道</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pacing w:val="2"/>
          <w:kern w:val="0"/>
          <w:sz w:val="24"/>
          <w:szCs w:val="24"/>
          <w:highlight w:val="none"/>
        </w:rPr>
        <w:t>线</w:t>
      </w:r>
      <w:r>
        <w:rPr>
          <w:rFonts w:hint="default" w:ascii="Times New Roman" w:hAnsi="Times New Roman" w:eastAsia="宋体" w:cs="Times New Roman"/>
          <w:color w:val="auto"/>
          <w:kern w:val="0"/>
          <w:sz w:val="24"/>
          <w:szCs w:val="24"/>
          <w:highlight w:val="none"/>
        </w:rPr>
        <w:t>路</w:t>
      </w:r>
      <w:r>
        <w:rPr>
          <w:rFonts w:hint="default" w:ascii="Times New Roman" w:hAnsi="Times New Roman" w:eastAsia="宋体" w:cs="Times New Roman"/>
          <w:color w:val="auto"/>
          <w:spacing w:val="2"/>
          <w:kern w:val="0"/>
          <w:sz w:val="24"/>
          <w:szCs w:val="24"/>
          <w:highlight w:val="none"/>
        </w:rPr>
        <w:t>由专业</w:t>
      </w:r>
      <w:r>
        <w:rPr>
          <w:rFonts w:hint="default" w:ascii="Times New Roman" w:hAnsi="Times New Roman" w:eastAsia="宋体" w:cs="Times New Roman"/>
          <w:color w:val="auto"/>
          <w:sz w:val="24"/>
          <w:szCs w:val="24"/>
          <w:highlight w:val="none"/>
        </w:rPr>
        <w:t>承包</w:t>
      </w:r>
      <w:r>
        <w:rPr>
          <w:rFonts w:hint="default" w:ascii="Times New Roman" w:hAnsi="Times New Roman" w:eastAsia="宋体" w:cs="Times New Roman"/>
          <w:color w:val="auto"/>
          <w:spacing w:val="2"/>
          <w:kern w:val="0"/>
          <w:sz w:val="24"/>
          <w:szCs w:val="24"/>
          <w:highlight w:val="none"/>
        </w:rPr>
        <w:t>人</w:t>
      </w:r>
      <w:r>
        <w:rPr>
          <w:rFonts w:hint="default" w:ascii="Times New Roman" w:hAnsi="Times New Roman" w:eastAsia="宋体" w:cs="Times New Roman"/>
          <w:color w:val="auto"/>
          <w:kern w:val="0"/>
          <w:sz w:val="24"/>
          <w:szCs w:val="24"/>
          <w:highlight w:val="none"/>
        </w:rPr>
        <w:t>负</w:t>
      </w:r>
      <w:r>
        <w:rPr>
          <w:rFonts w:hint="default" w:ascii="Times New Roman" w:hAnsi="Times New Roman" w:eastAsia="宋体" w:cs="Times New Roman"/>
          <w:color w:val="auto"/>
          <w:spacing w:val="2"/>
          <w:kern w:val="0"/>
          <w:sz w:val="24"/>
          <w:szCs w:val="24"/>
          <w:highlight w:val="none"/>
        </w:rPr>
        <w:t>责</w:t>
      </w:r>
      <w:r>
        <w:rPr>
          <w:rFonts w:hint="default" w:ascii="Times New Roman" w:hAnsi="Times New Roman" w:eastAsia="宋体" w:cs="Times New Roman"/>
          <w:color w:val="auto"/>
          <w:kern w:val="0"/>
          <w:sz w:val="24"/>
          <w:szCs w:val="24"/>
          <w:highlight w:val="none"/>
        </w:rPr>
        <w:t>安</w:t>
      </w:r>
      <w:r>
        <w:rPr>
          <w:rFonts w:hint="default" w:ascii="Times New Roman" w:hAnsi="Times New Roman" w:eastAsia="宋体" w:cs="Times New Roman"/>
          <w:color w:val="auto"/>
          <w:spacing w:val="2"/>
          <w:kern w:val="0"/>
          <w:sz w:val="24"/>
          <w:szCs w:val="24"/>
          <w:highlight w:val="none"/>
        </w:rPr>
        <w:t>装、</w:t>
      </w:r>
      <w:r>
        <w:rPr>
          <w:rFonts w:hint="default" w:ascii="Times New Roman" w:hAnsi="Times New Roman" w:eastAsia="宋体" w:cs="Times New Roman"/>
          <w:color w:val="auto"/>
          <w:kern w:val="0"/>
          <w:sz w:val="24"/>
          <w:szCs w:val="24"/>
          <w:highlight w:val="none"/>
        </w:rPr>
        <w:t>拆除</w:t>
      </w:r>
      <w:r>
        <w:rPr>
          <w:rFonts w:hint="default" w:ascii="Times New Roman" w:hAnsi="Times New Roman" w:eastAsia="宋体" w:cs="Times New Roman"/>
          <w:color w:val="auto"/>
          <w:spacing w:val="2"/>
          <w:kern w:val="0"/>
          <w:sz w:val="24"/>
          <w:szCs w:val="24"/>
          <w:highlight w:val="none"/>
        </w:rPr>
        <w:t>，并承</w:t>
      </w:r>
      <w:r>
        <w:rPr>
          <w:rFonts w:hint="default" w:ascii="Times New Roman" w:hAnsi="Times New Roman" w:eastAsia="宋体" w:cs="Times New Roman"/>
          <w:color w:val="auto"/>
          <w:kern w:val="0"/>
          <w:sz w:val="24"/>
          <w:szCs w:val="24"/>
          <w:highlight w:val="none"/>
        </w:rPr>
        <w:t>担其费用；各专业单位每月用水、电量为实际用水、电量加上每月的损耗量（损耗量按照用水、电量的比例分摊）；</w:t>
      </w:r>
    </w:p>
    <w:p>
      <w:pPr>
        <w:autoSpaceDE w:val="0"/>
        <w:autoSpaceDN w:val="0"/>
        <w:adjustRightInd w:val="0"/>
        <w:spacing w:line="360" w:lineRule="auto"/>
        <w:ind w:firstLine="488" w:firstLineChars="200"/>
        <w:jc w:val="left"/>
        <w:rPr>
          <w:rFonts w:hint="default" w:ascii="Times New Roman" w:hAnsi="Times New Roman" w:eastAsia="宋体" w:cs="Times New Roman"/>
          <w:color w:val="auto"/>
          <w:spacing w:val="2"/>
          <w:kern w:val="0"/>
          <w:sz w:val="24"/>
          <w:szCs w:val="24"/>
          <w:highlight w:val="none"/>
        </w:rPr>
      </w:pPr>
      <w:r>
        <w:rPr>
          <w:rFonts w:hint="default" w:ascii="Times New Roman" w:hAnsi="Times New Roman" w:eastAsia="宋体" w:cs="Times New Roman"/>
          <w:color w:val="auto"/>
          <w:spacing w:val="2"/>
          <w:kern w:val="0"/>
          <w:sz w:val="24"/>
          <w:szCs w:val="24"/>
          <w:highlight w:val="none"/>
        </w:rPr>
        <w:t>1.2</w:t>
      </w:r>
      <w:r>
        <w:rPr>
          <w:rFonts w:hint="default" w:ascii="Times New Roman" w:hAnsi="Times New Roman" w:eastAsia="宋体" w:cs="Times New Roman"/>
          <w:color w:val="auto"/>
          <w:spacing w:val="2"/>
          <w:kern w:val="0"/>
          <w:sz w:val="24"/>
          <w:szCs w:val="24"/>
          <w:highlight w:val="none"/>
        </w:rPr>
        <w:tab/>
      </w:r>
      <w:r>
        <w:rPr>
          <w:rFonts w:hint="default" w:ascii="Times New Roman" w:hAnsi="Times New Roman" w:eastAsia="宋体" w:cs="Times New Roman"/>
          <w:color w:val="auto"/>
          <w:spacing w:val="2"/>
          <w:kern w:val="0"/>
          <w:sz w:val="24"/>
          <w:szCs w:val="24"/>
          <w:highlight w:val="none"/>
        </w:rPr>
        <w:t>将总承包人负责修建和维护的道路免费提供给专业</w:t>
      </w:r>
      <w:r>
        <w:rPr>
          <w:rFonts w:hint="default" w:ascii="Times New Roman" w:hAnsi="Times New Roman" w:eastAsia="宋体" w:cs="Times New Roman"/>
          <w:color w:val="auto"/>
          <w:sz w:val="24"/>
          <w:szCs w:val="24"/>
          <w:highlight w:val="none"/>
        </w:rPr>
        <w:t>承包</w:t>
      </w:r>
      <w:r>
        <w:rPr>
          <w:rFonts w:hint="default" w:ascii="Times New Roman" w:hAnsi="Times New Roman" w:eastAsia="宋体" w:cs="Times New Roman"/>
          <w:color w:val="auto"/>
          <w:spacing w:val="2"/>
          <w:kern w:val="0"/>
          <w:sz w:val="24"/>
          <w:szCs w:val="24"/>
          <w:highlight w:val="none"/>
        </w:rPr>
        <w:t>人使用并负责管理；</w:t>
      </w:r>
    </w:p>
    <w:p>
      <w:pPr>
        <w:autoSpaceDE w:val="0"/>
        <w:autoSpaceDN w:val="0"/>
        <w:adjustRightInd w:val="0"/>
        <w:spacing w:line="360" w:lineRule="auto"/>
        <w:ind w:firstLine="488" w:firstLineChars="200"/>
        <w:jc w:val="left"/>
        <w:rPr>
          <w:rFonts w:hint="default" w:ascii="Times New Roman" w:hAnsi="Times New Roman" w:eastAsia="宋体" w:cs="Times New Roman"/>
          <w:color w:val="auto"/>
          <w:spacing w:val="2"/>
          <w:kern w:val="0"/>
          <w:sz w:val="24"/>
          <w:szCs w:val="24"/>
          <w:highlight w:val="none"/>
        </w:rPr>
      </w:pPr>
      <w:r>
        <w:rPr>
          <w:rFonts w:hint="default" w:ascii="Times New Roman" w:hAnsi="Times New Roman" w:eastAsia="宋体" w:cs="Times New Roman"/>
          <w:color w:val="auto"/>
          <w:spacing w:val="2"/>
          <w:kern w:val="0"/>
          <w:sz w:val="24"/>
          <w:szCs w:val="24"/>
          <w:highlight w:val="none"/>
        </w:rPr>
        <w:t>1.3</w:t>
      </w:r>
      <w:r>
        <w:rPr>
          <w:rFonts w:hint="default" w:ascii="Times New Roman" w:hAnsi="Times New Roman" w:eastAsia="宋体" w:cs="Times New Roman"/>
          <w:color w:val="auto"/>
          <w:spacing w:val="2"/>
          <w:kern w:val="0"/>
          <w:sz w:val="24"/>
          <w:szCs w:val="24"/>
          <w:highlight w:val="none"/>
        </w:rPr>
        <w:tab/>
      </w:r>
      <w:r>
        <w:rPr>
          <w:rFonts w:hint="default" w:ascii="Times New Roman" w:hAnsi="Times New Roman" w:eastAsia="宋体" w:cs="Times New Roman"/>
          <w:color w:val="auto"/>
          <w:spacing w:val="2"/>
          <w:kern w:val="0"/>
          <w:sz w:val="24"/>
          <w:szCs w:val="24"/>
          <w:highlight w:val="none"/>
        </w:rPr>
        <w:t>免费向各专业</w:t>
      </w:r>
      <w:r>
        <w:rPr>
          <w:rFonts w:hint="default" w:ascii="Times New Roman" w:hAnsi="Times New Roman" w:eastAsia="宋体" w:cs="Times New Roman"/>
          <w:color w:val="auto"/>
          <w:sz w:val="24"/>
          <w:szCs w:val="24"/>
          <w:highlight w:val="none"/>
        </w:rPr>
        <w:t>承包</w:t>
      </w:r>
      <w:r>
        <w:rPr>
          <w:rFonts w:hint="default" w:ascii="Times New Roman" w:hAnsi="Times New Roman" w:eastAsia="宋体" w:cs="Times New Roman"/>
          <w:color w:val="auto"/>
          <w:spacing w:val="2"/>
          <w:kern w:val="0"/>
          <w:sz w:val="24"/>
          <w:szCs w:val="24"/>
          <w:highlight w:val="none"/>
        </w:rPr>
        <w:t>人提供施工所需的室内外水平及垂直控制墨线；</w:t>
      </w:r>
    </w:p>
    <w:p>
      <w:pPr>
        <w:autoSpaceDE w:val="0"/>
        <w:autoSpaceDN w:val="0"/>
        <w:adjustRightInd w:val="0"/>
        <w:spacing w:line="360" w:lineRule="auto"/>
        <w:ind w:firstLine="488" w:firstLineChars="200"/>
        <w:jc w:val="left"/>
        <w:rPr>
          <w:rFonts w:hint="default" w:ascii="Times New Roman" w:hAnsi="Times New Roman" w:eastAsia="宋体" w:cs="Times New Roman"/>
          <w:color w:val="auto"/>
          <w:spacing w:val="2"/>
          <w:kern w:val="0"/>
          <w:sz w:val="24"/>
          <w:szCs w:val="24"/>
          <w:highlight w:val="none"/>
        </w:rPr>
      </w:pPr>
      <w:r>
        <w:rPr>
          <w:rFonts w:hint="default" w:ascii="Times New Roman" w:hAnsi="Times New Roman" w:eastAsia="宋体" w:cs="Times New Roman"/>
          <w:color w:val="auto"/>
          <w:spacing w:val="2"/>
          <w:kern w:val="0"/>
          <w:sz w:val="24"/>
          <w:szCs w:val="24"/>
          <w:highlight w:val="none"/>
        </w:rPr>
        <w:t>1.4</w:t>
      </w:r>
      <w:r>
        <w:rPr>
          <w:rFonts w:hint="default" w:ascii="Times New Roman" w:hAnsi="Times New Roman" w:eastAsia="宋体" w:cs="Times New Roman"/>
          <w:color w:val="auto"/>
          <w:spacing w:val="2"/>
          <w:kern w:val="0"/>
          <w:sz w:val="24"/>
          <w:szCs w:val="24"/>
          <w:highlight w:val="none"/>
        </w:rPr>
        <w:tab/>
      </w:r>
      <w:r>
        <w:rPr>
          <w:rFonts w:hint="default" w:ascii="Times New Roman" w:hAnsi="Times New Roman" w:eastAsia="宋体" w:cs="Times New Roman"/>
          <w:color w:val="auto"/>
          <w:spacing w:val="2"/>
          <w:kern w:val="0"/>
          <w:sz w:val="24"/>
          <w:szCs w:val="24"/>
          <w:highlight w:val="none"/>
        </w:rPr>
        <w:t>提供现场材料、机具转堆场地；</w:t>
      </w:r>
    </w:p>
    <w:p>
      <w:pPr>
        <w:autoSpaceDE w:val="0"/>
        <w:autoSpaceDN w:val="0"/>
        <w:adjustRightInd w:val="0"/>
        <w:spacing w:line="360" w:lineRule="auto"/>
        <w:ind w:firstLine="488" w:firstLineChars="200"/>
        <w:jc w:val="left"/>
        <w:rPr>
          <w:rFonts w:hint="default" w:ascii="Times New Roman" w:hAnsi="Times New Roman" w:eastAsia="宋体" w:cs="Times New Roman"/>
          <w:color w:val="auto"/>
          <w:spacing w:val="2"/>
          <w:kern w:val="0"/>
          <w:sz w:val="24"/>
          <w:szCs w:val="24"/>
          <w:highlight w:val="none"/>
        </w:rPr>
      </w:pPr>
      <w:r>
        <w:rPr>
          <w:rFonts w:hint="default" w:ascii="Times New Roman" w:hAnsi="Times New Roman" w:eastAsia="宋体" w:cs="Times New Roman"/>
          <w:color w:val="auto"/>
          <w:spacing w:val="2"/>
          <w:kern w:val="0"/>
          <w:sz w:val="24"/>
          <w:szCs w:val="24"/>
          <w:highlight w:val="none"/>
        </w:rPr>
        <w:t>1.5</w:t>
      </w:r>
      <w:r>
        <w:rPr>
          <w:rFonts w:hint="default" w:ascii="Times New Roman" w:hAnsi="Times New Roman" w:eastAsia="宋体" w:cs="Times New Roman"/>
          <w:color w:val="auto"/>
          <w:spacing w:val="2"/>
          <w:kern w:val="0"/>
          <w:sz w:val="24"/>
          <w:szCs w:val="24"/>
          <w:highlight w:val="none"/>
        </w:rPr>
        <w:tab/>
      </w:r>
      <w:r>
        <w:rPr>
          <w:rFonts w:hint="default" w:ascii="Times New Roman" w:hAnsi="Times New Roman" w:eastAsia="宋体" w:cs="Times New Roman"/>
          <w:color w:val="auto"/>
          <w:spacing w:val="2"/>
          <w:kern w:val="0"/>
          <w:sz w:val="24"/>
          <w:szCs w:val="24"/>
          <w:highlight w:val="none"/>
        </w:rPr>
        <w:t>做好各专业工程施工完毕后的一次性收口、修补、冲缝、塞洞和塞缝工作，但该工作不得影响已完成的专业工程的施工质量。如因专业</w:t>
      </w:r>
      <w:r>
        <w:rPr>
          <w:rFonts w:hint="default" w:ascii="Times New Roman" w:hAnsi="Times New Roman" w:eastAsia="宋体" w:cs="Times New Roman"/>
          <w:color w:val="auto"/>
          <w:sz w:val="24"/>
          <w:szCs w:val="24"/>
          <w:highlight w:val="none"/>
        </w:rPr>
        <w:t>承包</w:t>
      </w:r>
      <w:r>
        <w:rPr>
          <w:rFonts w:hint="default" w:ascii="Times New Roman" w:hAnsi="Times New Roman" w:eastAsia="宋体" w:cs="Times New Roman"/>
          <w:color w:val="auto"/>
          <w:spacing w:val="2"/>
          <w:kern w:val="0"/>
          <w:sz w:val="24"/>
          <w:szCs w:val="24"/>
          <w:highlight w:val="none"/>
        </w:rPr>
        <w:t>人施工质量不合格，返工后造成需二次修补时，所发生的费用由专业</w:t>
      </w:r>
      <w:r>
        <w:rPr>
          <w:rFonts w:hint="default" w:ascii="Times New Roman" w:hAnsi="Times New Roman" w:eastAsia="宋体" w:cs="Times New Roman"/>
          <w:color w:val="auto"/>
          <w:sz w:val="24"/>
          <w:szCs w:val="24"/>
          <w:highlight w:val="none"/>
        </w:rPr>
        <w:t>承包</w:t>
      </w:r>
      <w:r>
        <w:rPr>
          <w:rFonts w:hint="default" w:ascii="Times New Roman" w:hAnsi="Times New Roman" w:eastAsia="宋体" w:cs="Times New Roman"/>
          <w:color w:val="auto"/>
          <w:spacing w:val="2"/>
          <w:kern w:val="0"/>
          <w:sz w:val="24"/>
          <w:szCs w:val="24"/>
          <w:highlight w:val="none"/>
        </w:rPr>
        <w:t>人负责；</w:t>
      </w:r>
    </w:p>
    <w:p>
      <w:pPr>
        <w:autoSpaceDE w:val="0"/>
        <w:autoSpaceDN w:val="0"/>
        <w:adjustRightInd w:val="0"/>
        <w:spacing w:line="360" w:lineRule="auto"/>
        <w:ind w:firstLine="488" w:firstLineChars="200"/>
        <w:jc w:val="left"/>
        <w:rPr>
          <w:rFonts w:hint="default" w:ascii="Times New Roman" w:hAnsi="Times New Roman" w:eastAsia="宋体" w:cs="Times New Roman"/>
          <w:color w:val="auto"/>
          <w:spacing w:val="2"/>
          <w:kern w:val="0"/>
          <w:sz w:val="24"/>
          <w:szCs w:val="24"/>
          <w:highlight w:val="none"/>
        </w:rPr>
      </w:pPr>
      <w:r>
        <w:rPr>
          <w:rFonts w:hint="default" w:ascii="Times New Roman" w:hAnsi="Times New Roman" w:eastAsia="宋体" w:cs="Times New Roman"/>
          <w:color w:val="auto"/>
          <w:spacing w:val="2"/>
          <w:kern w:val="0"/>
          <w:sz w:val="24"/>
          <w:szCs w:val="24"/>
          <w:highlight w:val="none"/>
        </w:rPr>
        <w:t>1.6</w:t>
      </w:r>
      <w:r>
        <w:rPr>
          <w:rFonts w:hint="default" w:ascii="Times New Roman" w:hAnsi="Times New Roman" w:eastAsia="宋体" w:cs="Times New Roman"/>
          <w:color w:val="auto"/>
          <w:spacing w:val="2"/>
          <w:kern w:val="0"/>
          <w:sz w:val="24"/>
          <w:szCs w:val="24"/>
          <w:highlight w:val="none"/>
        </w:rPr>
        <w:tab/>
      </w:r>
      <w:r>
        <w:rPr>
          <w:rFonts w:hint="default" w:ascii="Times New Roman" w:hAnsi="Times New Roman" w:eastAsia="宋体" w:cs="Times New Roman"/>
          <w:color w:val="auto"/>
          <w:spacing w:val="2"/>
          <w:kern w:val="0"/>
          <w:sz w:val="24"/>
          <w:szCs w:val="24"/>
          <w:highlight w:val="none"/>
        </w:rPr>
        <w:t>在工作安排、进度计划、费用报价等方面，应考虑由于对专业工程提供配合服务和提供总承包服务所产生的工种穿插、交叉、预埋配合工效损失等所有相关情况；</w:t>
      </w:r>
    </w:p>
    <w:p>
      <w:pPr>
        <w:autoSpaceDE w:val="0"/>
        <w:autoSpaceDN w:val="0"/>
        <w:adjustRightInd w:val="0"/>
        <w:spacing w:line="360" w:lineRule="auto"/>
        <w:ind w:firstLine="488" w:firstLineChars="200"/>
        <w:jc w:val="left"/>
        <w:rPr>
          <w:rFonts w:hint="default" w:ascii="Times New Roman" w:hAnsi="Times New Roman" w:eastAsia="宋体" w:cs="Times New Roman"/>
          <w:color w:val="auto"/>
          <w:spacing w:val="2"/>
          <w:kern w:val="0"/>
          <w:sz w:val="24"/>
          <w:szCs w:val="24"/>
          <w:highlight w:val="none"/>
        </w:rPr>
      </w:pPr>
      <w:r>
        <w:rPr>
          <w:rFonts w:hint="default" w:ascii="Times New Roman" w:hAnsi="Times New Roman" w:eastAsia="宋体" w:cs="Times New Roman"/>
          <w:color w:val="auto"/>
          <w:spacing w:val="2"/>
          <w:kern w:val="0"/>
          <w:sz w:val="24"/>
          <w:szCs w:val="24"/>
          <w:highlight w:val="none"/>
        </w:rPr>
        <w:t>1.7</w:t>
      </w:r>
      <w:r>
        <w:rPr>
          <w:rFonts w:hint="default" w:ascii="Times New Roman" w:hAnsi="Times New Roman" w:eastAsia="宋体" w:cs="Times New Roman"/>
          <w:color w:val="auto"/>
          <w:spacing w:val="2"/>
          <w:kern w:val="0"/>
          <w:sz w:val="24"/>
          <w:szCs w:val="24"/>
          <w:highlight w:val="none"/>
        </w:rPr>
        <w:tab/>
      </w:r>
      <w:r>
        <w:rPr>
          <w:rFonts w:hint="default" w:ascii="Times New Roman" w:hAnsi="Times New Roman" w:eastAsia="宋体" w:cs="Times New Roman"/>
          <w:color w:val="auto"/>
          <w:spacing w:val="2"/>
          <w:kern w:val="0"/>
          <w:sz w:val="24"/>
          <w:szCs w:val="24"/>
          <w:highlight w:val="none"/>
        </w:rPr>
        <w:t>对征得发包人同意，工程后期提前使用的电梯，由总承包单位负责其电费及产品保护、运行管理及相关费用；</w:t>
      </w:r>
    </w:p>
    <w:p>
      <w:pPr>
        <w:autoSpaceDE w:val="0"/>
        <w:autoSpaceDN w:val="0"/>
        <w:adjustRightInd w:val="0"/>
        <w:spacing w:line="360" w:lineRule="auto"/>
        <w:ind w:firstLine="488" w:firstLineChars="200"/>
        <w:jc w:val="left"/>
        <w:rPr>
          <w:rFonts w:hint="default" w:ascii="Times New Roman" w:hAnsi="Times New Roman" w:eastAsia="宋体" w:cs="Times New Roman"/>
          <w:color w:val="auto"/>
          <w:spacing w:val="2"/>
          <w:kern w:val="0"/>
          <w:sz w:val="24"/>
          <w:szCs w:val="24"/>
          <w:highlight w:val="none"/>
        </w:rPr>
      </w:pPr>
      <w:r>
        <w:rPr>
          <w:rFonts w:hint="default" w:ascii="Times New Roman" w:hAnsi="Times New Roman" w:eastAsia="宋体" w:cs="Times New Roman"/>
          <w:color w:val="auto"/>
          <w:spacing w:val="2"/>
          <w:kern w:val="0"/>
          <w:sz w:val="24"/>
          <w:szCs w:val="24"/>
          <w:highlight w:val="none"/>
        </w:rPr>
        <w:t>1.8</w:t>
      </w:r>
      <w:r>
        <w:rPr>
          <w:rFonts w:hint="default" w:ascii="Times New Roman" w:hAnsi="Times New Roman" w:eastAsia="宋体" w:cs="Times New Roman"/>
          <w:color w:val="auto"/>
          <w:spacing w:val="2"/>
          <w:kern w:val="0"/>
          <w:sz w:val="24"/>
          <w:szCs w:val="24"/>
          <w:highlight w:val="none"/>
        </w:rPr>
        <w:tab/>
      </w:r>
      <w:r>
        <w:rPr>
          <w:rFonts w:hint="default" w:ascii="Times New Roman" w:hAnsi="Times New Roman" w:eastAsia="宋体" w:cs="Times New Roman"/>
          <w:color w:val="auto"/>
          <w:spacing w:val="2"/>
          <w:kern w:val="0"/>
          <w:sz w:val="24"/>
          <w:szCs w:val="24"/>
          <w:highlight w:val="none"/>
        </w:rPr>
        <w:t>配合专业</w:t>
      </w:r>
      <w:r>
        <w:rPr>
          <w:rFonts w:hint="default" w:ascii="Times New Roman" w:hAnsi="Times New Roman" w:eastAsia="宋体" w:cs="Times New Roman"/>
          <w:color w:val="auto"/>
          <w:sz w:val="24"/>
          <w:szCs w:val="24"/>
          <w:highlight w:val="none"/>
        </w:rPr>
        <w:t>承包</w:t>
      </w:r>
      <w:r>
        <w:rPr>
          <w:rFonts w:hint="default" w:ascii="Times New Roman" w:hAnsi="Times New Roman" w:eastAsia="宋体" w:cs="Times New Roman"/>
          <w:color w:val="auto"/>
          <w:spacing w:val="2"/>
          <w:kern w:val="0"/>
          <w:sz w:val="24"/>
          <w:szCs w:val="24"/>
          <w:highlight w:val="none"/>
        </w:rPr>
        <w:t>人完成总承包管理范围内整个工程的产品保护，并进行统一管理。必要时应提前完成相关土建工程及机房门等，以便机电等安装单位能够确保设备的安全保护。</w:t>
      </w:r>
    </w:p>
    <w:bookmarkEnd w:id="1415"/>
    <w:bookmarkEnd w:id="1416"/>
    <w:bookmarkEnd w:id="1417"/>
    <w:bookmarkEnd w:id="1418"/>
    <w:bookmarkEnd w:id="1419"/>
    <w:bookmarkEnd w:id="1420"/>
    <w:bookmarkEnd w:id="1421"/>
    <w:bookmarkEnd w:id="1424"/>
    <w:p>
      <w:pPr>
        <w:spacing w:line="720" w:lineRule="auto"/>
        <w:jc w:val="left"/>
        <w:rPr>
          <w:rStyle w:val="102"/>
          <w:rFonts w:hint="eastAsia"/>
          <w:b/>
          <w:bCs/>
          <w:color w:val="auto"/>
          <w:sz w:val="28"/>
          <w:szCs w:val="28"/>
          <w:highlight w:val="none"/>
          <w:lang w:val="zh-CN"/>
        </w:rPr>
      </w:pPr>
    </w:p>
    <w:p>
      <w:pPr>
        <w:pStyle w:val="2"/>
        <w:rPr>
          <w:rStyle w:val="102"/>
          <w:rFonts w:hint="eastAsia"/>
          <w:b/>
          <w:bCs/>
          <w:color w:val="auto"/>
          <w:sz w:val="28"/>
          <w:szCs w:val="28"/>
          <w:highlight w:val="none"/>
          <w:lang w:val="zh-CN"/>
        </w:rPr>
      </w:pPr>
    </w:p>
    <w:p>
      <w:pPr>
        <w:pStyle w:val="2"/>
        <w:rPr>
          <w:rStyle w:val="102"/>
          <w:rFonts w:hint="eastAsia"/>
          <w:b/>
          <w:bCs/>
          <w:color w:val="auto"/>
          <w:sz w:val="28"/>
          <w:szCs w:val="28"/>
          <w:highlight w:val="none"/>
          <w:lang w:val="zh-CN"/>
        </w:rPr>
      </w:pPr>
    </w:p>
    <w:p>
      <w:pPr>
        <w:pStyle w:val="2"/>
        <w:rPr>
          <w:rStyle w:val="102"/>
          <w:rFonts w:hint="eastAsia"/>
          <w:b/>
          <w:bCs/>
          <w:color w:val="auto"/>
          <w:sz w:val="28"/>
          <w:szCs w:val="28"/>
          <w:highlight w:val="none"/>
          <w:lang w:val="zh-CN"/>
        </w:rPr>
      </w:pPr>
    </w:p>
    <w:p>
      <w:pPr>
        <w:pStyle w:val="2"/>
        <w:rPr>
          <w:rStyle w:val="102"/>
          <w:rFonts w:hint="eastAsia"/>
          <w:b/>
          <w:bCs/>
          <w:color w:val="auto"/>
          <w:sz w:val="28"/>
          <w:szCs w:val="28"/>
          <w:highlight w:val="none"/>
          <w:lang w:val="zh-CN"/>
        </w:rPr>
      </w:pPr>
    </w:p>
    <w:p>
      <w:pPr>
        <w:spacing w:line="720" w:lineRule="auto"/>
        <w:jc w:val="left"/>
        <w:rPr>
          <w:rStyle w:val="102"/>
          <w:rFonts w:hint="eastAsia"/>
          <w:b/>
          <w:bCs/>
          <w:color w:val="auto"/>
          <w:sz w:val="28"/>
          <w:szCs w:val="28"/>
          <w:highlight w:val="none"/>
          <w:lang w:val="zh-CN"/>
        </w:rPr>
      </w:pPr>
    </w:p>
    <w:p>
      <w:pPr>
        <w:spacing w:line="720" w:lineRule="auto"/>
        <w:jc w:val="left"/>
        <w:rPr>
          <w:rStyle w:val="102"/>
          <w:rFonts w:hint="eastAsia"/>
          <w:b/>
          <w:bCs/>
          <w:color w:val="auto"/>
          <w:sz w:val="28"/>
          <w:szCs w:val="28"/>
          <w:highlight w:val="none"/>
          <w:lang w:val="zh-CN"/>
        </w:rPr>
      </w:pPr>
    </w:p>
    <w:p>
      <w:pPr>
        <w:spacing w:line="720" w:lineRule="auto"/>
        <w:jc w:val="left"/>
        <w:rPr>
          <w:rStyle w:val="102"/>
          <w:rFonts w:hint="eastAsia"/>
          <w:b/>
          <w:bCs/>
          <w:color w:val="auto"/>
          <w:sz w:val="28"/>
          <w:szCs w:val="28"/>
          <w:highlight w:val="none"/>
          <w:lang w:val="zh-CN"/>
        </w:rPr>
      </w:pPr>
    </w:p>
    <w:p>
      <w:pPr>
        <w:spacing w:line="720" w:lineRule="auto"/>
        <w:jc w:val="left"/>
        <w:rPr>
          <w:rStyle w:val="102"/>
          <w:rFonts w:hint="eastAsia"/>
          <w:b/>
          <w:bCs/>
          <w:color w:val="auto"/>
          <w:sz w:val="28"/>
          <w:szCs w:val="28"/>
          <w:highlight w:val="none"/>
          <w:lang w:val="zh-CN"/>
        </w:rPr>
      </w:pPr>
    </w:p>
    <w:p>
      <w:pPr>
        <w:spacing w:line="720" w:lineRule="auto"/>
        <w:jc w:val="left"/>
        <w:rPr>
          <w:rStyle w:val="102"/>
          <w:rFonts w:hint="eastAsia"/>
          <w:b/>
          <w:bCs/>
          <w:color w:val="auto"/>
          <w:sz w:val="28"/>
          <w:szCs w:val="28"/>
          <w:highlight w:val="none"/>
          <w:lang w:val="zh-CN"/>
        </w:rPr>
      </w:pPr>
    </w:p>
    <w:p>
      <w:pPr>
        <w:spacing w:line="720" w:lineRule="auto"/>
        <w:jc w:val="left"/>
        <w:rPr>
          <w:rStyle w:val="102"/>
          <w:rFonts w:hint="eastAsia"/>
          <w:b/>
          <w:bCs/>
          <w:color w:val="auto"/>
          <w:sz w:val="28"/>
          <w:szCs w:val="28"/>
          <w:highlight w:val="none"/>
          <w:lang w:val="zh-CN"/>
        </w:rPr>
      </w:pPr>
    </w:p>
    <w:p>
      <w:pPr>
        <w:spacing w:line="720" w:lineRule="auto"/>
        <w:jc w:val="left"/>
        <w:rPr>
          <w:rStyle w:val="102"/>
          <w:rFonts w:hint="eastAsia"/>
          <w:b/>
          <w:bCs/>
          <w:color w:val="auto"/>
          <w:sz w:val="28"/>
          <w:szCs w:val="28"/>
          <w:highlight w:val="none"/>
          <w:lang w:val="zh-CN"/>
        </w:rPr>
      </w:pPr>
    </w:p>
    <w:p>
      <w:pPr>
        <w:spacing w:line="720" w:lineRule="auto"/>
        <w:jc w:val="left"/>
        <w:rPr>
          <w:rStyle w:val="102"/>
          <w:rFonts w:hint="eastAsia"/>
          <w:b/>
          <w:bCs/>
          <w:color w:val="auto"/>
          <w:sz w:val="28"/>
          <w:szCs w:val="28"/>
          <w:highlight w:val="none"/>
          <w:lang w:val="zh-CN"/>
        </w:rPr>
      </w:pPr>
    </w:p>
    <w:p>
      <w:pPr>
        <w:spacing w:line="720" w:lineRule="auto"/>
        <w:jc w:val="left"/>
        <w:rPr>
          <w:rStyle w:val="102"/>
          <w:rFonts w:hint="eastAsia"/>
          <w:b/>
          <w:bCs/>
          <w:color w:val="auto"/>
          <w:sz w:val="28"/>
          <w:szCs w:val="28"/>
          <w:highlight w:val="none"/>
          <w:lang w:val="zh-CN"/>
        </w:rPr>
      </w:pPr>
      <w:r>
        <w:rPr>
          <w:rStyle w:val="102"/>
          <w:rFonts w:hint="eastAsia"/>
          <w:b/>
          <w:bCs/>
          <w:color w:val="auto"/>
          <w:sz w:val="28"/>
          <w:szCs w:val="28"/>
          <w:highlight w:val="none"/>
          <w:lang w:val="zh-CN"/>
        </w:rPr>
        <w:t>附件</w:t>
      </w:r>
      <w:r>
        <w:rPr>
          <w:rStyle w:val="102"/>
          <w:rFonts w:hint="eastAsia"/>
          <w:b/>
          <w:bCs/>
          <w:color w:val="auto"/>
          <w:sz w:val="28"/>
          <w:szCs w:val="28"/>
          <w:highlight w:val="none"/>
          <w:lang w:val="en-US" w:eastAsia="zh-CN"/>
        </w:rPr>
        <w:t>5</w:t>
      </w:r>
      <w:r>
        <w:rPr>
          <w:rStyle w:val="102"/>
          <w:rFonts w:hint="eastAsia"/>
          <w:b/>
          <w:bCs/>
          <w:color w:val="auto"/>
          <w:sz w:val="28"/>
          <w:szCs w:val="28"/>
          <w:highlight w:val="none"/>
          <w:lang w:val="zh-CN"/>
        </w:rPr>
        <w:t>：工程建设项目廉政责任书</w:t>
      </w:r>
    </w:p>
    <w:p>
      <w:pPr>
        <w:spacing w:line="720" w:lineRule="auto"/>
        <w:jc w:val="center"/>
        <w:rPr>
          <w:rFonts w:ascii="Times New Roman" w:hAnsi="Times New Roman"/>
          <w:b/>
          <w:color w:val="auto"/>
          <w:sz w:val="28"/>
          <w:szCs w:val="28"/>
          <w:highlight w:val="none"/>
        </w:rPr>
      </w:pPr>
      <w:r>
        <w:rPr>
          <w:rFonts w:ascii="Times New Roman" w:hAnsi="Times New Roman"/>
          <w:b/>
          <w:color w:val="auto"/>
          <w:sz w:val="28"/>
          <w:szCs w:val="28"/>
          <w:highlight w:val="none"/>
        </w:rPr>
        <w:t>工程建设项目廉政责任书</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为加强</w:t>
      </w:r>
      <w:r>
        <w:rPr>
          <w:rFonts w:hint="eastAsia" w:ascii="宋体" w:hAnsi="宋体" w:cs="宋体"/>
          <w:color w:val="auto"/>
          <w:sz w:val="24"/>
          <w:szCs w:val="24"/>
          <w:highlight w:val="none"/>
          <w:u w:val="single" w:color="FF0000"/>
          <w:lang w:eastAsia="zh-CN"/>
        </w:rPr>
        <w:t>粤海江门甘化厂项目新宁街道路及天桥工程</w:t>
      </w:r>
      <w:r>
        <w:rPr>
          <w:rFonts w:ascii="Times New Roman" w:hAnsi="Times New Roman"/>
          <w:color w:val="auto"/>
          <w:kern w:val="0"/>
          <w:sz w:val="24"/>
          <w:szCs w:val="24"/>
          <w:highlight w:val="none"/>
        </w:rPr>
        <w:t>建设过程的廉政建设，规范工程建设中双方的各项活动，防止发生各种谋取不正当利益的违法违纪行为，保护国家和当事人的合法权益，根据国家有关工程建设的法律法规和廉政建设责任制规定，特订立本廉政责任书。</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第一条　</w:t>
      </w:r>
      <w:r>
        <w:rPr>
          <w:rFonts w:hint="eastAsia" w:ascii="Times New Roman" w:hAnsi="Times New Roman"/>
          <w:color w:val="auto"/>
          <w:kern w:val="0"/>
          <w:sz w:val="24"/>
          <w:szCs w:val="24"/>
          <w:highlight w:val="none"/>
        </w:rPr>
        <w:t>发包人和承包人双方</w:t>
      </w:r>
      <w:r>
        <w:rPr>
          <w:rFonts w:ascii="Times New Roman" w:hAnsi="Times New Roman"/>
          <w:color w:val="auto"/>
          <w:kern w:val="0"/>
          <w:sz w:val="24"/>
          <w:szCs w:val="24"/>
          <w:highlight w:val="none"/>
        </w:rPr>
        <w:t>的责任</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（一）应严格遵守国家关于市场准入、项目招标投标、工程建设、施工安装和市场活动等有关法律、法规、政策，以及廉政建设的各项规定。</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（二）严格履行工程建设项目中所签订的所有合同文件，自觉按合同办事。</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（三）业务活动必须坚持公开、公平、公正、诚信、透明的原则（除法律法规另有规定者外），不得为获取不正当的利益，损害国家和对方利益，不得违反工程建设管理、施工安装的规章制度。</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（四）教育、监督本单位所有相关人员(包括担任领导职务人员，下同）廉洁、尽职地工作，制定和严格执行相关规章制度，防范和严肃查处相关人员违法、违纪利用工作便利谋取个人利益的行为。</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（五）不得向另一方的相关人员提供第二条或第三条各项所列个人利益，三方的合同另有明文规定的奖励、考察不受此限。</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第二条　发包人的责任</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发包人应教育和监督本方与该工程建设项目有关的人员，在工程建设的事前、事中、事后均严格遵守以下规定：</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（一）不准向承包人和相关单位（包括但不限于施工单位、勘察、</w:t>
      </w:r>
      <w:r>
        <w:rPr>
          <w:rFonts w:hint="eastAsia" w:ascii="Times New Roman" w:hAnsi="Times New Roman"/>
          <w:color w:val="auto"/>
          <w:kern w:val="0"/>
          <w:sz w:val="24"/>
          <w:szCs w:val="24"/>
          <w:highlight w:val="none"/>
        </w:rPr>
        <w:t>设计人</w:t>
      </w:r>
      <w:r>
        <w:rPr>
          <w:rFonts w:ascii="Times New Roman" w:hAnsi="Times New Roman"/>
          <w:color w:val="auto"/>
          <w:kern w:val="0"/>
          <w:sz w:val="24"/>
          <w:szCs w:val="24"/>
          <w:highlight w:val="none"/>
        </w:rPr>
        <w:t>、设备或原材料供应单位，下同）索要或接受回扣、礼金、红包、有价证券、银行卡、物品和好处费、感谢费、其他财产性利益等。</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（二）不准在承包人和相关单位报销任何应由发包人支付的费用，或借用承包人的车辆办理私事。</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（三）不准要求、暗示和接受发包人和相关单位为个人装修住房、婚丧嫁娶、配偶子女的工作安排以及出国（境）、旅游（双方相关合同所规定的考察不受此限）等提供方便。</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（四）不准参加有可能影响公正执行公务的承包人和相关单位的宴请、健身、娱乐等活动。</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五）不准向承包人介绍或为配偶、子女、亲属参与同发包人有关的设备、材料、工程分包、劳务等经济活动。不得以任何理由向承包人和相关单位推荐分包人和要求承包人购买规定以外的材料、设备等（合同所规定的属于发包人行使的相关权利不受此限）。</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第三条　承包人的责任</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应与发包人保持正常的业务交往，按照有关法律法规和程序开展业务工作，严格执行工程建设的有关方针、政策，尤其是有关建筑施工、安装及强制性标准和规范，并教育和监督其领导和有关人员严格遵守以下规定：</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（一）不准以任何理由向发包人、相关单位及其工作人员索要、接受或赠送礼金、红包、有价证券、银行卡、物品和回扣、好处费、感谢费、其他财产性利益等。</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（二）不准以任何理由为发包人和相关单位报销应由对方或个人支付的费用，或出借车辆给发包人人员办理私事。</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（三）不准接受或暗示为发包人、相关单位或个人装修住房、婚丧嫁娶、配偶子女的工作安排以及出国（境）、旅游等提供方便。</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（四）不准以任何理由为发包人、相关单位或个人组织有可能影响公正执行公务的宴请、健身、娱乐等活动。</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第四条　法律和纪律责任</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一）发包人工作人员有违反本责任书第一、二条谋取个人利益行为的，承包人应向发包人或有关机关举报，发包人应按照管理权限调查核实，并依据有关法律法规和规定给予党纪、政纪处分或公司制度项下处分处理；涉嫌犯罪的，向司法机关举报，追究刑事责任。</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二）承包人工作人员有违反本责任书第一、三条谋取个人利益行为的，发包人应向承包人或有关机关举报，承包人应按照管理权限调查核实，并依据有关法律法规和规定给予党纪、政纪处分或公司制度项下处分处理；涉嫌犯罪的，向司法机关举报，追究刑事责任。</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三）A方（指任何一方，下同）向B方（指另一方，下同）有关人员提供前述各条所禁止提供或收受的个人利益的，无论是否依B方有关人员的要求提供，也无论通过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50万元计算违约金。</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（四）B方有关人员因索要前述禁止的个人利益未成功或因未取得A方给付该等利益而未正常处理有关工作，造成B方违反合同的，B方须向A方承担违约责任，赔偿A方全部损失。</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第五条　本责任书作为本工程合同的附件，与工程合同具有同等法律效力。</w:t>
      </w:r>
    </w:p>
    <w:p>
      <w:pPr>
        <w:tabs>
          <w:tab w:val="left" w:pos="630"/>
        </w:tabs>
        <w:adjustRightIn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第六条　本责任书的有效期为双方签署之日起至该工程建设项目竣工验收符合合同要求且结算完毕时止。</w:t>
      </w:r>
    </w:p>
    <w:p>
      <w:pPr>
        <w:tabs>
          <w:tab w:val="left" w:pos="630"/>
        </w:tabs>
        <w:adjustRightInd w:val="0"/>
        <w:spacing w:line="360" w:lineRule="auto"/>
        <w:textAlignment w:val="baseline"/>
        <w:rPr>
          <w:rFonts w:ascii="Times New Roman" w:hAnsi="Times New Roman"/>
          <w:color w:val="auto"/>
          <w:kern w:val="0"/>
          <w:sz w:val="22"/>
          <w:highlight w:val="none"/>
        </w:rPr>
      </w:pPr>
      <w:r>
        <w:rPr>
          <w:rFonts w:ascii="Times New Roman" w:hAnsi="Times New Roman"/>
          <w:color w:val="auto"/>
          <w:kern w:val="0"/>
          <w:szCs w:val="21"/>
          <w:highlight w:val="none"/>
        </w:rPr>
        <w:t xml:space="preserve">    </w:t>
      </w:r>
    </w:p>
    <w:p>
      <w:pPr>
        <w:tabs>
          <w:tab w:val="left" w:pos="1870"/>
        </w:tabs>
        <w:adjustRightInd w:val="0"/>
        <w:snapToGrid w:val="0"/>
        <w:spacing w:before="624" w:beforeLines="200" w:after="624" w:afterLines="200" w:line="360" w:lineRule="auto"/>
        <w:ind w:firstLine="480" w:firstLineChars="200"/>
        <w:textAlignment w:val="baseline"/>
        <w:rPr>
          <w:rFonts w:hint="eastAsia" w:ascii="宋体" w:hAnsi="宋体" w:eastAsia="宋体" w:cs="宋体"/>
          <w:color w:val="auto"/>
          <w:sz w:val="24"/>
          <w:szCs w:val="24"/>
          <w:highlight w:val="none"/>
          <w:u w:val="single" w:color="FF0000"/>
          <w:lang w:eastAsia="zh-CN"/>
        </w:rPr>
      </w:pPr>
      <w:r>
        <w:rPr>
          <w:rFonts w:ascii="Times New Roman" w:hAnsi="Times New Roman"/>
          <w:color w:val="auto"/>
          <w:kern w:val="0"/>
          <w:sz w:val="24"/>
          <w:szCs w:val="24"/>
          <w:highlight w:val="none"/>
        </w:rPr>
        <w:t>发包人：</w:t>
      </w:r>
      <w:r>
        <w:rPr>
          <w:rFonts w:hint="eastAsia" w:ascii="宋体" w:hAnsi="宋体" w:cs="宋体"/>
          <w:color w:val="auto"/>
          <w:sz w:val="24"/>
          <w:szCs w:val="24"/>
          <w:highlight w:val="none"/>
          <w:u w:val="single" w:color="FF0000"/>
          <w:lang w:val="en-US" w:eastAsia="zh-CN"/>
        </w:rPr>
        <w:t>江门粤海置地有限公司</w:t>
      </w:r>
      <w:r>
        <w:rPr>
          <w:rFonts w:hint="eastAsia" w:ascii="Times New Roman" w:hAnsi="Times New Roman"/>
          <w:color w:val="auto"/>
          <w:kern w:val="0"/>
          <w:sz w:val="24"/>
          <w:szCs w:val="24"/>
          <w:highlight w:val="none"/>
          <w:lang w:val="en-US" w:eastAsia="zh-CN"/>
        </w:rPr>
        <w:t xml:space="preserve">        </w:t>
      </w:r>
      <w:r>
        <w:rPr>
          <w:rFonts w:ascii="Times New Roman" w:hAnsi="Times New Roman"/>
          <w:color w:val="auto"/>
          <w:kern w:val="0"/>
          <w:sz w:val="24"/>
          <w:szCs w:val="24"/>
          <w:highlight w:val="none"/>
        </w:rPr>
        <w:t>承包人：</w:t>
      </w:r>
      <w:r>
        <w:rPr>
          <w:rFonts w:hint="eastAsia" w:ascii="宋体" w:hAnsi="宋体" w:cs="宋体"/>
          <w:color w:val="auto"/>
          <w:sz w:val="24"/>
          <w:szCs w:val="24"/>
          <w:highlight w:val="none"/>
          <w:u w:val="single" w:color="FF0000"/>
          <w:lang w:eastAsia="zh-CN"/>
        </w:rPr>
        <w:t xml:space="preserve">                  </w:t>
      </w:r>
    </w:p>
    <w:p>
      <w:pPr>
        <w:tabs>
          <w:tab w:val="left" w:pos="1870"/>
        </w:tabs>
        <w:adjustRightInd w:val="0"/>
        <w:snapToGrid w:val="0"/>
        <w:spacing w:before="0" w:beforeLines="0" w:after="0" w:afterLines="0" w:line="360" w:lineRule="auto"/>
        <w:ind w:firstLine="1440" w:firstLineChars="6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（盖章）</w:t>
      </w:r>
      <w:r>
        <w:rPr>
          <w:rFonts w:hint="eastAsia" w:ascii="Times New Roman" w:hAnsi="Times New Roman"/>
          <w:color w:val="auto"/>
          <w:kern w:val="0"/>
          <w:sz w:val="24"/>
          <w:szCs w:val="24"/>
          <w:highlight w:val="none"/>
          <w:lang w:val="en-US" w:eastAsia="zh-CN"/>
        </w:rPr>
        <w:t xml:space="preserve">                            </w:t>
      </w:r>
      <w:r>
        <w:rPr>
          <w:rFonts w:ascii="Times New Roman" w:hAnsi="Times New Roman"/>
          <w:color w:val="auto"/>
          <w:kern w:val="0"/>
          <w:sz w:val="24"/>
          <w:szCs w:val="24"/>
          <w:highlight w:val="none"/>
        </w:rPr>
        <w:t>（盖章）</w:t>
      </w:r>
    </w:p>
    <w:p>
      <w:pPr>
        <w:tabs>
          <w:tab w:val="left" w:pos="1870"/>
        </w:tabs>
        <w:adjustRightInd w:val="0"/>
        <w:snapToGrid w:val="0"/>
        <w:spacing w:before="312" w:beforeLines="100" w:after="312" w:afterLines="100"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法定代表人或</w:t>
      </w:r>
      <w:r>
        <w:rPr>
          <w:rFonts w:hint="eastAsia" w:ascii="Times New Roman" w:hAnsi="Times New Roman"/>
          <w:color w:val="auto"/>
          <w:kern w:val="0"/>
          <w:sz w:val="24"/>
          <w:szCs w:val="24"/>
          <w:highlight w:val="none"/>
        </w:rPr>
        <w:t>其</w:t>
      </w:r>
      <w:r>
        <w:rPr>
          <w:rFonts w:ascii="Times New Roman" w:hAnsi="Times New Roman"/>
          <w:color w:val="auto"/>
          <w:kern w:val="0"/>
          <w:sz w:val="24"/>
          <w:szCs w:val="24"/>
          <w:highlight w:val="none"/>
        </w:rPr>
        <w:t>授权代表：             法定代表人或</w:t>
      </w:r>
      <w:r>
        <w:rPr>
          <w:rFonts w:hint="eastAsia" w:ascii="Times New Roman" w:hAnsi="Times New Roman"/>
          <w:color w:val="auto"/>
          <w:kern w:val="0"/>
          <w:sz w:val="24"/>
          <w:szCs w:val="24"/>
          <w:highlight w:val="none"/>
        </w:rPr>
        <w:t>其</w:t>
      </w:r>
      <w:r>
        <w:rPr>
          <w:rFonts w:ascii="Times New Roman" w:hAnsi="Times New Roman"/>
          <w:color w:val="auto"/>
          <w:kern w:val="0"/>
          <w:sz w:val="24"/>
          <w:szCs w:val="24"/>
          <w:highlight w:val="none"/>
        </w:rPr>
        <w:t>授权代表：</w:t>
      </w:r>
    </w:p>
    <w:p>
      <w:pPr>
        <w:tabs>
          <w:tab w:val="left" w:pos="1870"/>
        </w:tabs>
        <w:adjustRightInd w:val="0"/>
        <w:snapToGrid w:val="0"/>
        <w:spacing w:line="360" w:lineRule="auto"/>
        <w:ind w:firstLine="480" w:firstLineChars="200"/>
        <w:textAlignment w:val="baseline"/>
        <w:rPr>
          <w:rFonts w:ascii="Times New Roman" w:hAnsi="Times New Roman"/>
          <w:color w:val="auto"/>
          <w:kern w:val="0"/>
          <w:sz w:val="24"/>
          <w:szCs w:val="24"/>
          <w:highlight w:val="none"/>
        </w:rPr>
      </w:pPr>
    </w:p>
    <w:p>
      <w:pPr>
        <w:tabs>
          <w:tab w:val="left" w:pos="1870"/>
        </w:tabs>
        <w:adjustRightInd w:val="0"/>
        <w:snapToGrid w:val="0"/>
        <w:spacing w:line="360" w:lineRule="auto"/>
        <w:ind w:firstLine="480" w:firstLineChars="200"/>
        <w:textAlignment w:val="baseline"/>
        <w:rPr>
          <w:rFonts w:ascii="Times New Roman" w:hAnsi="Times New Roman"/>
          <w:color w:val="auto"/>
          <w:kern w:val="0"/>
          <w:sz w:val="24"/>
          <w:szCs w:val="24"/>
          <w:highlight w:val="none"/>
        </w:rPr>
      </w:pPr>
      <w:r>
        <w:rPr>
          <w:rFonts w:ascii="Times New Roman" w:hAnsi="Times New Roman"/>
          <w:color w:val="auto"/>
          <w:kern w:val="0"/>
          <w:sz w:val="24"/>
          <w:szCs w:val="24"/>
          <w:highlight w:val="none"/>
        </w:rPr>
        <w:t>签约日期：</w:t>
      </w:r>
      <w:r>
        <w:rPr>
          <w:rFonts w:hint="eastAsia" w:ascii="宋体" w:hAnsi="宋体" w:cs="宋体"/>
          <w:color w:val="auto"/>
          <w:sz w:val="24"/>
          <w:szCs w:val="24"/>
          <w:highlight w:val="none"/>
          <w:u w:val="single" w:color="FF0000"/>
          <w:lang w:val="en-US" w:eastAsia="zh-CN"/>
        </w:rPr>
        <w:t>2023</w:t>
      </w:r>
      <w:r>
        <w:rPr>
          <w:rFonts w:ascii="Times New Roman" w:hAnsi="Times New Roman"/>
          <w:color w:val="auto"/>
          <w:sz w:val="24"/>
          <w:szCs w:val="24"/>
          <w:highlight w:val="none"/>
        </w:rPr>
        <w:t>年</w:t>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ascii="Times New Roman" w:hAnsi="Times New Roman"/>
          <w:color w:val="auto"/>
          <w:sz w:val="24"/>
          <w:szCs w:val="24"/>
          <w:highlight w:val="none"/>
        </w:rPr>
        <w:t>月</w:t>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ascii="Times New Roman" w:hAnsi="Times New Roman"/>
          <w:color w:val="auto"/>
          <w:sz w:val="24"/>
          <w:szCs w:val="24"/>
          <w:highlight w:val="none"/>
        </w:rPr>
        <w:t>日</w:t>
      </w:r>
      <w:r>
        <w:rPr>
          <w:rFonts w:ascii="Times New Roman" w:hAnsi="Times New Roman"/>
          <w:color w:val="auto"/>
          <w:kern w:val="0"/>
          <w:sz w:val="24"/>
          <w:szCs w:val="24"/>
          <w:highlight w:val="none"/>
        </w:rPr>
        <w:t xml:space="preserve">      签约日期：</w:t>
      </w:r>
      <w:r>
        <w:rPr>
          <w:rFonts w:hint="eastAsia" w:ascii="宋体" w:hAnsi="宋体" w:cs="宋体"/>
          <w:color w:val="auto"/>
          <w:sz w:val="24"/>
          <w:szCs w:val="24"/>
          <w:highlight w:val="none"/>
          <w:u w:val="single" w:color="FF0000"/>
          <w:lang w:val="en-US" w:eastAsia="zh-CN"/>
        </w:rPr>
        <w:t>2023</w:t>
      </w:r>
      <w:r>
        <w:rPr>
          <w:rFonts w:ascii="Times New Roman" w:hAnsi="Times New Roman"/>
          <w:color w:val="auto"/>
          <w:sz w:val="24"/>
          <w:szCs w:val="24"/>
          <w:highlight w:val="none"/>
        </w:rPr>
        <w:t>年</w:t>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ascii="Times New Roman" w:hAnsi="Times New Roman"/>
          <w:color w:val="auto"/>
          <w:sz w:val="24"/>
          <w:szCs w:val="24"/>
          <w:highlight w:val="none"/>
        </w:rPr>
        <w:t>月</w:t>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ascii="Times New Roman" w:hAnsi="Times New Roman"/>
          <w:color w:val="auto"/>
          <w:sz w:val="24"/>
          <w:szCs w:val="24"/>
          <w:highlight w:val="none"/>
        </w:rPr>
        <w:t>日</w:t>
      </w:r>
    </w:p>
    <w:p>
      <w:pPr>
        <w:adjustRightInd w:val="0"/>
        <w:spacing w:line="312" w:lineRule="atLeast"/>
        <w:textAlignment w:val="baseline"/>
        <w:rPr>
          <w:rFonts w:ascii="Times New Roman" w:hAnsi="Times New Roman"/>
          <w:color w:val="auto"/>
          <w:kern w:val="0"/>
          <w:szCs w:val="20"/>
          <w:highlight w:val="none"/>
        </w:rPr>
      </w:pPr>
    </w:p>
    <w:p>
      <w:pPr>
        <w:pStyle w:val="3"/>
        <w:spacing w:before="0" w:after="0" w:line="360" w:lineRule="auto"/>
        <w:rPr>
          <w:color w:val="auto"/>
          <w:sz w:val="30"/>
          <w:szCs w:val="30"/>
          <w:highlight w:val="none"/>
        </w:rPr>
        <w:sectPr>
          <w:type w:val="continuous"/>
          <w:pgSz w:w="11906" w:h="16838"/>
          <w:pgMar w:top="1418" w:right="1554" w:bottom="1418" w:left="1531" w:header="851" w:footer="992" w:gutter="0"/>
          <w:pgNumType w:fmt="decimal"/>
          <w:cols w:space="720" w:num="1"/>
          <w:titlePg/>
          <w:docGrid w:type="lines" w:linePitch="312" w:charSpace="0"/>
        </w:sectPr>
      </w:pPr>
      <w:r>
        <w:rPr>
          <w:color w:val="auto"/>
          <w:sz w:val="30"/>
          <w:szCs w:val="30"/>
          <w:highlight w:val="none"/>
        </w:rPr>
        <w:br w:type="page"/>
      </w:r>
      <w:bookmarkStart w:id="1437" w:name="_Toc18962"/>
      <w:bookmarkStart w:id="1438" w:name="_Toc22912"/>
      <w:bookmarkStart w:id="1439" w:name="_Toc67300366"/>
      <w:bookmarkStart w:id="1440" w:name="_Toc7459"/>
      <w:bookmarkStart w:id="1441" w:name="_Toc44492633"/>
      <w:bookmarkStart w:id="1442" w:name="_Toc11990"/>
      <w:bookmarkStart w:id="1443" w:name="_Toc44227956"/>
    </w:p>
    <w:p>
      <w:pPr>
        <w:pStyle w:val="3"/>
        <w:spacing w:before="0" w:after="0" w:line="360" w:lineRule="auto"/>
        <w:rPr>
          <w:color w:val="auto"/>
          <w:sz w:val="30"/>
          <w:szCs w:val="30"/>
          <w:highlight w:val="none"/>
        </w:rPr>
      </w:pPr>
      <w:bookmarkStart w:id="1444" w:name="_Toc23562"/>
      <w:r>
        <w:rPr>
          <w:rStyle w:val="102"/>
          <w:rFonts w:hint="eastAsia"/>
          <w:b/>
          <w:bCs/>
          <w:color w:val="auto"/>
          <w:sz w:val="28"/>
          <w:szCs w:val="28"/>
          <w:highlight w:val="none"/>
          <w:lang w:val="zh-CN"/>
        </w:rPr>
        <w:t>附件</w:t>
      </w:r>
      <w:r>
        <w:rPr>
          <w:rStyle w:val="102"/>
          <w:rFonts w:hint="eastAsia"/>
          <w:b/>
          <w:bCs/>
          <w:color w:val="auto"/>
          <w:sz w:val="28"/>
          <w:szCs w:val="28"/>
          <w:highlight w:val="none"/>
          <w:lang w:val="en-US" w:eastAsia="zh-CN"/>
        </w:rPr>
        <w:t>6</w:t>
      </w:r>
      <w:r>
        <w:rPr>
          <w:rStyle w:val="102"/>
          <w:b/>
          <w:bCs/>
          <w:color w:val="auto"/>
          <w:sz w:val="28"/>
          <w:szCs w:val="28"/>
          <w:highlight w:val="none"/>
          <w:lang w:val="zh-CN"/>
        </w:rPr>
        <w:t>：</w:t>
      </w:r>
      <w:r>
        <w:rPr>
          <w:rStyle w:val="102"/>
          <w:rFonts w:hint="eastAsia"/>
          <w:b/>
          <w:bCs/>
          <w:color w:val="auto"/>
          <w:sz w:val="28"/>
          <w:szCs w:val="28"/>
          <w:highlight w:val="none"/>
          <w:lang w:val="zh-CN"/>
        </w:rPr>
        <w:t>已标价工程量清单（另册）</w:t>
      </w:r>
      <w:bookmarkEnd w:id="1437"/>
      <w:bookmarkEnd w:id="1438"/>
      <w:bookmarkEnd w:id="1439"/>
      <w:bookmarkEnd w:id="1444"/>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rPr>
          <w:rFonts w:ascii="Times New Roman" w:hAnsi="Times New Roman"/>
          <w:color w:val="auto"/>
          <w:sz w:val="30"/>
          <w:szCs w:val="30"/>
          <w:highlight w:val="none"/>
        </w:rPr>
      </w:pPr>
    </w:p>
    <w:p>
      <w:pPr>
        <w:spacing w:line="360" w:lineRule="auto"/>
        <w:outlineLvl w:val="0"/>
        <w:rPr>
          <w:rStyle w:val="102"/>
          <w:color w:val="auto"/>
          <w:sz w:val="28"/>
          <w:szCs w:val="28"/>
          <w:highlight w:val="none"/>
          <w:lang w:val="zh-CN"/>
        </w:rPr>
        <w:sectPr>
          <w:type w:val="continuous"/>
          <w:pgSz w:w="11906" w:h="16838"/>
          <w:pgMar w:top="1418" w:right="1554" w:bottom="1418" w:left="1531" w:header="851" w:footer="992" w:gutter="0"/>
          <w:pgNumType w:fmt="decimal"/>
          <w:cols w:space="720" w:num="1"/>
          <w:titlePg/>
          <w:docGrid w:type="lines" w:linePitch="312" w:charSpace="0"/>
        </w:sectPr>
      </w:pPr>
      <w:bookmarkStart w:id="1445" w:name="_Toc24781"/>
      <w:bookmarkStart w:id="1446" w:name="_Toc10455"/>
      <w:bookmarkStart w:id="1447" w:name="_Toc67300367"/>
    </w:p>
    <w:bookmarkEnd w:id="1445"/>
    <w:bookmarkEnd w:id="1446"/>
    <w:bookmarkEnd w:id="1447"/>
    <w:p>
      <w:pPr>
        <w:spacing w:line="360" w:lineRule="auto"/>
        <w:outlineLvl w:val="0"/>
        <w:rPr>
          <w:rStyle w:val="102"/>
          <w:color w:val="auto"/>
          <w:sz w:val="28"/>
          <w:szCs w:val="28"/>
          <w:highlight w:val="none"/>
          <w:lang w:val="zh-CN"/>
        </w:rPr>
      </w:pPr>
      <w:bookmarkStart w:id="1448" w:name="_Toc14712"/>
      <w:bookmarkStart w:id="1449" w:name="_Toc19595"/>
      <w:bookmarkStart w:id="1450" w:name="_Toc67300368"/>
      <w:bookmarkStart w:id="1451" w:name="_Toc3018"/>
      <w:r>
        <w:rPr>
          <w:rStyle w:val="102"/>
          <w:rFonts w:hint="eastAsia"/>
          <w:color w:val="auto"/>
          <w:sz w:val="28"/>
          <w:szCs w:val="28"/>
          <w:highlight w:val="none"/>
          <w:lang w:val="zh-CN"/>
        </w:rPr>
        <w:t>附件</w:t>
      </w:r>
      <w:r>
        <w:rPr>
          <w:rStyle w:val="102"/>
          <w:rFonts w:hint="eastAsia"/>
          <w:color w:val="auto"/>
          <w:sz w:val="28"/>
          <w:szCs w:val="28"/>
          <w:highlight w:val="none"/>
          <w:lang w:val="en-US" w:eastAsia="zh-CN"/>
        </w:rPr>
        <w:t>7</w:t>
      </w:r>
      <w:r>
        <w:rPr>
          <w:rStyle w:val="102"/>
          <w:color w:val="auto"/>
          <w:sz w:val="28"/>
          <w:szCs w:val="28"/>
          <w:highlight w:val="none"/>
          <w:lang w:val="zh-CN"/>
        </w:rPr>
        <w:t>：</w:t>
      </w:r>
      <w:r>
        <w:rPr>
          <w:rStyle w:val="102"/>
          <w:rFonts w:hint="eastAsia"/>
          <w:color w:val="auto"/>
          <w:sz w:val="28"/>
          <w:szCs w:val="28"/>
          <w:highlight w:val="none"/>
          <w:lang w:val="zh-CN"/>
        </w:rPr>
        <w:t>项目工程施工现场管理办法</w:t>
      </w:r>
      <w:bookmarkEnd w:id="1448"/>
      <w:bookmarkEnd w:id="1449"/>
      <w:bookmarkEnd w:id="1450"/>
      <w:bookmarkEnd w:id="1451"/>
    </w:p>
    <w:p>
      <w:pPr>
        <w:pStyle w:val="2"/>
        <w:spacing w:line="720" w:lineRule="auto"/>
        <w:ind w:firstLine="0"/>
        <w:jc w:val="center"/>
        <w:rPr>
          <w:rStyle w:val="102"/>
          <w:color w:val="auto"/>
          <w:sz w:val="28"/>
          <w:szCs w:val="28"/>
          <w:highlight w:val="none"/>
          <w:lang w:val="zh-CN"/>
        </w:rPr>
      </w:pPr>
      <w:bookmarkStart w:id="1452" w:name="_Toc5888"/>
      <w:bookmarkStart w:id="1453" w:name="_Toc30141"/>
      <w:r>
        <w:rPr>
          <w:rStyle w:val="102"/>
          <w:color w:val="auto"/>
          <w:sz w:val="28"/>
          <w:szCs w:val="28"/>
          <w:highlight w:val="none"/>
          <w:lang w:val="zh-CN"/>
        </w:rPr>
        <w:t>项目工程施工现场管理办法</w:t>
      </w:r>
    </w:p>
    <w:bookmarkEnd w:id="1452"/>
    <w:bookmarkEnd w:id="1453"/>
    <w:p>
      <w:pPr>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1.目的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为了加强对本工程总承包人、专业工程承包人的管理，使所选择的承包人能满足发包人的要求，以确保整个工程安全、质量和进度，并保证对承包人的管理更加规范、有效，达到统一管理,规范行动，特制订本制度。 </w:t>
      </w:r>
    </w:p>
    <w:p>
      <w:pPr>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2.适用范围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本制度适用于</w:t>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hint="eastAsia" w:ascii="宋体" w:hAnsi="宋体" w:cs="宋体"/>
          <w:color w:val="auto"/>
          <w:sz w:val="24"/>
          <w:szCs w:val="24"/>
          <w:highlight w:val="none"/>
          <w:u w:val="single" w:color="FF0000"/>
          <w:lang w:eastAsia="zh-CN"/>
        </w:rPr>
        <w:t>粤海江门甘化厂项目新宁街道路及天桥工程</w:t>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ascii="Times New Roman" w:hAnsi="Times New Roman"/>
          <w:color w:val="auto"/>
          <w:sz w:val="24"/>
          <w:szCs w:val="24"/>
          <w:highlight w:val="none"/>
        </w:rPr>
        <w:t>项目。任何按合同及协议进入现场的总承包人、专业工程承包人以及承包人的分包人均必须遵照执行。 </w:t>
      </w:r>
    </w:p>
    <w:p>
      <w:pPr>
        <w:spacing w:line="360" w:lineRule="auto"/>
        <w:ind w:firstLine="482" w:firstLineChars="200"/>
        <w:rPr>
          <w:rFonts w:ascii="Times New Roman" w:hAnsi="Times New Roman"/>
          <w:b/>
          <w:color w:val="auto"/>
          <w:sz w:val="24"/>
          <w:szCs w:val="24"/>
          <w:highlight w:val="none"/>
        </w:rPr>
      </w:pPr>
      <w:r>
        <w:rPr>
          <w:rFonts w:ascii="Times New Roman" w:hAnsi="Times New Roman"/>
          <w:b/>
          <w:color w:val="auto"/>
          <w:sz w:val="24"/>
          <w:szCs w:val="24"/>
          <w:highlight w:val="none"/>
        </w:rPr>
        <w:t>3.发包人项目部职责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3.1负责质量管理、成品保护管理、资料管理、物资材料管理、工程预结算管理、环境体系管理及相关培训管理工作；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3.2负责现场施工管理、计划管理、技术管理、计量管理及相关培训管理工作；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3.3负责进场管理、牵头负责对分包人的教育培训管理和质量、环境、职业安全卫生体系运行管理、消防管理、现场安全生产管理、文明施工管理及相关培训管理工作；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3.4负责机电管理、施工机械管理、施工机具管理、施工用电管理、施工用水管理及相关培训管理工作；</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3.5负责各参建单位、政府、各相关职能部门的协调管理工作</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 </w:t>
      </w:r>
    </w:p>
    <w:p>
      <w:pPr>
        <w:spacing w:line="360" w:lineRule="auto"/>
        <w:ind w:firstLine="482" w:firstLineChars="200"/>
        <w:rPr>
          <w:rFonts w:ascii="Times New Roman" w:hAnsi="Times New Roman"/>
          <w:color w:val="auto"/>
          <w:sz w:val="24"/>
          <w:szCs w:val="24"/>
          <w:highlight w:val="none"/>
        </w:rPr>
      </w:pPr>
      <w:r>
        <w:rPr>
          <w:rFonts w:ascii="Times New Roman" w:hAnsi="Times New Roman"/>
          <w:b/>
          <w:color w:val="auto"/>
          <w:sz w:val="24"/>
          <w:szCs w:val="24"/>
          <w:highlight w:val="none"/>
        </w:rPr>
        <w:t>4. 总承包人、专业工程承包人管理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4.1组织管理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各承包人各自组建项目管理机构，并在开工前报</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，承包人所投入的工程管理人员和工程技术人员应与投标文件保持一致，发包人不要求更换时不得更换，因特殊情况需要更换的，承包人应至少提前7天以书面形式向</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提出</w:t>
      </w:r>
      <w:r>
        <w:rPr>
          <w:rFonts w:hint="eastAsia" w:ascii="Times New Roman" w:hAnsi="Times New Roman"/>
          <w:color w:val="auto"/>
          <w:sz w:val="24"/>
          <w:szCs w:val="24"/>
          <w:highlight w:val="none"/>
          <w:lang w:val="en-US" w:eastAsia="zh-CN"/>
        </w:rPr>
        <w:t>申请</w:t>
      </w:r>
      <w:r>
        <w:rPr>
          <w:rFonts w:ascii="Times New Roman" w:hAnsi="Times New Roman"/>
          <w:color w:val="auto"/>
          <w:sz w:val="24"/>
          <w:szCs w:val="24"/>
          <w:highlight w:val="none"/>
        </w:rPr>
        <w:t>（附前任和后任人员的详细履历资料），并征得发包人同意。承包人必须保证后任人员的资质、资历、业绩、实际工作能力不低于前任人员的素质。即使发包人同意更换，也不免除承包人应承担的违约责任。工程管理人员和工程技术人员的资格证书需报</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备案。</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lang w:eastAsia="zh-CN"/>
        </w:rPr>
        <w:t>发包人项目部</w:t>
      </w:r>
      <w:r>
        <w:rPr>
          <w:rFonts w:ascii="Times New Roman" w:hAnsi="Times New Roman"/>
          <w:color w:val="auto"/>
          <w:sz w:val="24"/>
          <w:szCs w:val="24"/>
          <w:highlight w:val="none"/>
        </w:rPr>
        <w:t>每月对各承包人主要管理人员进行工作能力、协调能力、工作饱和度、积极性等综合考评，连续三次考评成绩不达标的将进行警告和通报，对综合能力不能胜任者将予以劝退及更换并按合同追究违约责任。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4.2技术质量管理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4.2.1施工技术管理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必须建立技术文件管理制度，因承包人原因造成的施工错误的一切后果自负。 各承包人负责编制施工组织设计及本专业各类施工方案，负责方案的落实工作。施工前，首先由承包人项目部技术负责人对施工管理人员进行技术交底及安全技术交底，由施工管理人员给作业人员进行技术交底并指导施工，安全技术交底须明确交至每位作业人员并签字确认，并需将交底书面上报承包人项目部，项目总技术负责人、项目经理审批后方可依照施工。各承包人的分包人由各承包人的技术负责人对分包人技术负责人进行技术交底及安全技术交底，分包人技术负责人给作业人员进行技术交底并指导施工，安全技术交底须明确交至每位作业人员并签字确认，并需将交底书面上报</w:t>
      </w:r>
      <w:r>
        <w:rPr>
          <w:rFonts w:hint="eastAsia" w:ascii="Times New Roman" w:hAnsi="Times New Roman"/>
          <w:color w:val="auto"/>
          <w:sz w:val="24"/>
          <w:szCs w:val="24"/>
          <w:highlight w:val="none"/>
        </w:rPr>
        <w:t>总承包人项目部</w:t>
      </w:r>
      <w:r>
        <w:rPr>
          <w:rFonts w:ascii="Times New Roman" w:hAnsi="Times New Roman"/>
          <w:color w:val="auto"/>
          <w:sz w:val="24"/>
          <w:szCs w:val="24"/>
          <w:highlight w:val="none"/>
        </w:rPr>
        <w:t>，项目总技术负责人、项目经理审批后方可依照施工。未经批准的各类施工方案及未经安全技术交底进行施工的，除立即停止施工外，每次收取违约金1000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20000元。</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4.2.2设计变更、洽商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施工过程中发生的图纸、设计问题，由承包人技术负责人及时向</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反映，由发包人与</w:t>
      </w:r>
      <w:r>
        <w:rPr>
          <w:rFonts w:hint="eastAsia" w:ascii="Times New Roman" w:hAnsi="Times New Roman"/>
          <w:color w:val="auto"/>
          <w:sz w:val="24"/>
          <w:szCs w:val="24"/>
          <w:highlight w:val="none"/>
        </w:rPr>
        <w:t>设计人</w:t>
      </w:r>
      <w:r>
        <w:rPr>
          <w:rFonts w:ascii="Times New Roman" w:hAnsi="Times New Roman"/>
          <w:color w:val="auto"/>
          <w:sz w:val="24"/>
          <w:szCs w:val="24"/>
          <w:highlight w:val="none"/>
        </w:rPr>
        <w:t>联系，并办理设计变更、洽商记录。施工过程中发生的图纸更改、洽商等，均由发包人统一下发给各相关承包人施工技术负责人</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4.2.3材料管理及施工试验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（1）各承包人负责编制本单位的材料、设备进场计划及施工试验计划，并报</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备案；需根据项目的材料设备进场计划时间，至少提前</w:t>
      </w:r>
      <w:r>
        <w:rPr>
          <w:rFonts w:hint="eastAsia" w:ascii="Times New Roman" w:hAnsi="Times New Roman"/>
          <w:color w:val="auto"/>
          <w:sz w:val="24"/>
          <w:szCs w:val="24"/>
          <w:highlight w:val="none"/>
          <w:lang w:val="en-US" w:eastAsia="zh-CN"/>
        </w:rPr>
        <w:t>30</w:t>
      </w:r>
      <w:r>
        <w:rPr>
          <w:rFonts w:ascii="Times New Roman" w:hAnsi="Times New Roman"/>
          <w:color w:val="auto"/>
          <w:sz w:val="24"/>
          <w:szCs w:val="24"/>
          <w:highlight w:val="none"/>
        </w:rPr>
        <w:t xml:space="preserve">天进行材料设备品牌、型号送审工作，所选的材料设备品牌需在发包人提供的品牌范围内；所选材料设备型号的技术参数应满足设计图纸及发包人提供的技术参数要求，送审的主要设备材料技术参数必须与招标文件技术要求相一致。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（2）施工单位需提供的材料基础资料包括但不限于如下所列：</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1）《主要材料送审审批表》（表格按发包人提供）</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2）设备材料厂家、供应商的营业执照、税务登记证</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3）设备材料的产品合格证</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4）设备材料的型式检验报告</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5）进口关税报单（进口产品）</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6）品牌/厂家的授权书</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7）其它需要提供的证明、证书文件（如消防、认证、节能等）</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8）所选用产品的技术参数及对应的样本</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9）填写提供所选用产品型号的参数与技术文件的技术响应表、差异对比表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（3）材料、设备进场前承包人需完成进场报审工作，经发包人审批同意进场后，方可通知供应商安排材料设备进场，进场报审资料包括但不限于：承包人或其经审批的专业</w:t>
      </w:r>
      <w:r>
        <w:rPr>
          <w:rFonts w:hint="eastAsia" w:ascii="Times New Roman" w:hAnsi="Times New Roman"/>
          <w:color w:val="auto"/>
          <w:sz w:val="24"/>
          <w:szCs w:val="24"/>
          <w:highlight w:val="none"/>
        </w:rPr>
        <w:t>分包</w:t>
      </w:r>
      <w:r>
        <w:rPr>
          <w:rFonts w:ascii="Times New Roman" w:hAnsi="Times New Roman"/>
          <w:color w:val="auto"/>
          <w:sz w:val="24"/>
          <w:szCs w:val="24"/>
          <w:highlight w:val="none"/>
        </w:rPr>
        <w:t>人与相关厂家或授权代理商签订的供货合同（注：授权代理商须提供项目授权或年度授权证明）、出厂合格证、各种产品质量认证证书、出厂试验报告、型式试验报告、第三方检测报告、相关保证函、厂家联系方式、验证方式、厂家确认的出货单等相关正规渠道出货证明。其中，进口材料设备还需要提供报关单、原产地证明、商检证明文件。进场后必须认真按有关标准、样板进行检验、试验，验收合格后方可报发包人，经发包人确认后方能使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（4）各承包人的材料计划、定板计划提交给</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审核</w:t>
      </w:r>
      <w:r>
        <w:rPr>
          <w:rFonts w:hint="eastAsia" w:ascii="Times New Roman" w:hAnsi="Times New Roman"/>
          <w:color w:val="auto"/>
          <w:sz w:val="24"/>
          <w:szCs w:val="24"/>
          <w:highlight w:val="none"/>
          <w:lang w:val="en-US" w:eastAsia="zh-CN"/>
        </w:rPr>
        <w:t>备案</w:t>
      </w:r>
      <w:r>
        <w:rPr>
          <w:rFonts w:ascii="Times New Roman" w:hAnsi="Times New Roman"/>
          <w:color w:val="auto"/>
          <w:sz w:val="24"/>
          <w:szCs w:val="24"/>
          <w:highlight w:val="none"/>
        </w:rPr>
        <w:t>。发包人根据实际情况启动材料看样定板审批程序，看样定板材料未经审批封存的不准进场投入施工需要。重点看样定板材料进场计划需提前</w:t>
      </w:r>
      <w:r>
        <w:rPr>
          <w:rFonts w:hint="eastAsia" w:ascii="Times New Roman" w:hAnsi="Times New Roman"/>
          <w:color w:val="auto"/>
          <w:sz w:val="24"/>
          <w:szCs w:val="24"/>
          <w:highlight w:val="none"/>
          <w:lang w:val="en-US" w:eastAsia="zh-CN"/>
        </w:rPr>
        <w:t>30</w:t>
      </w:r>
      <w:r>
        <w:rPr>
          <w:rFonts w:ascii="Times New Roman" w:hAnsi="Times New Roman"/>
          <w:color w:val="auto"/>
          <w:sz w:val="24"/>
          <w:szCs w:val="24"/>
          <w:highlight w:val="none"/>
        </w:rPr>
        <w:t>天报发包人项目部，予以对其在技术性能、经济指标、规格、颜色、所申报品牌/厂家是否符合发包人确定的品牌/厂家范围等方面进行审核。</w:t>
      </w:r>
    </w:p>
    <w:p>
      <w:pPr>
        <w:autoSpaceDE w:val="0"/>
        <w:autoSpaceDN w:val="0"/>
        <w:adjustRightIn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（5）</w:t>
      </w:r>
      <w:r>
        <w:rPr>
          <w:rFonts w:ascii="Times New Roman" w:hAnsi="Times New Roman"/>
          <w:color w:val="auto"/>
          <w:sz w:val="24"/>
          <w:szCs w:val="24"/>
          <w:highlight w:val="none"/>
        </w:rPr>
        <w:t>用于本工程上的所有</w:t>
      </w:r>
      <w:r>
        <w:rPr>
          <w:rFonts w:ascii="Times New Roman" w:hAnsi="Times New Roman"/>
          <w:color w:val="auto"/>
          <w:kern w:val="0"/>
          <w:sz w:val="24"/>
          <w:szCs w:val="24"/>
          <w:highlight w:val="none"/>
        </w:rPr>
        <w:t>材料、设备的品牌、供应商（含代理商、经销商）及专业安装队伍等必须预先向</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申报，经</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审核批准的才允许使用，未经审批的不准进行定购，不准进场，违者将材料清出现场，并收取违约金1000</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10000元/次。</w:t>
      </w:r>
    </w:p>
    <w:p>
      <w:pPr>
        <w:autoSpaceDE w:val="0"/>
        <w:autoSpaceDN w:val="0"/>
        <w:adjustRightIn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（6）本工程的材料、设备在制造、运输、安装等实施过程中，</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有权视需要采取形式不一的监督行为，施工单位须无条件配合。</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（7）物料进场及施工过程中的试验必须听从</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安排，执行见证取样规定经</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见证取样。物料进场不及时报验，每批次收取违约金2000元，如果发生物料、设备已用到工程上或发现不合格者，除全部拆除或退场外，每发生一次收取违约金5000元。</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（8） </w:t>
      </w:r>
      <w:r>
        <w:rPr>
          <w:rFonts w:ascii="Times New Roman" w:hAnsi="Times New Roman"/>
          <w:color w:val="auto"/>
          <w:kern w:val="0"/>
          <w:sz w:val="24"/>
          <w:szCs w:val="24"/>
          <w:highlight w:val="none"/>
        </w:rPr>
        <w:t>本工程的材料、设备的进场报验，</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有权视需要聘请第三方专业检测机构进行检测，施工单位须无条件配合并承担相关费用。</w:t>
      </w:r>
    </w:p>
    <w:p>
      <w:pPr>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9）发包人抽检：根据工程实际情况，发包人对有疑问、高价值、对效果有重大影响、易产生不合格品的材料设备有权实施抽检，计划内的抽检不得提出工期索赔。检验的结果证明该项材料、设备不符合合同要求的，因此增加的费用和（或）工期延误由承包人承担；检验结果证明该项材料、设备符合合同要求的，由发包人承担因此增加的费用和（或）工期延误。</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4.2.4施工测量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由</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负责向承包人提供基准线，</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负责对承包人所放线进行校核工作；承包人测量员负责对基准线、点进行检查、维护工作。承包人使用的测量仪器必须是在有效期内、按经检测、校准确保合格后方可使用，并将有关检测证明资料报</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备案。 发现测量仪器不在有效期内、按经检测、校准不合格而使用，每发生一次收取违约金2000元，并重新进行测量。</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4.2.5工序验收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各工序完成后，承包人首先进行自检，自检合格后，按照项目资料报验要求，报质检员验收，质检员验收合格后，报发包人验收，合格并书面签认后方可进行下道工序。分包人：首先进行自检，自检合格后，由分包人质检员按照项目资料报验要求，报</w:t>
      </w:r>
      <w:r>
        <w:rPr>
          <w:rFonts w:hint="eastAsia" w:ascii="Times New Roman" w:hAnsi="Times New Roman"/>
          <w:color w:val="auto"/>
          <w:sz w:val="24"/>
          <w:szCs w:val="24"/>
          <w:highlight w:val="none"/>
        </w:rPr>
        <w:t>总承包人</w:t>
      </w:r>
      <w:r>
        <w:rPr>
          <w:rFonts w:ascii="Times New Roman" w:hAnsi="Times New Roman"/>
          <w:color w:val="auto"/>
          <w:sz w:val="24"/>
          <w:szCs w:val="24"/>
          <w:highlight w:val="none"/>
        </w:rPr>
        <w:t>质检员验收，质检员验收合格后，报发包人验收，合格并书面签认后方可进行下道工序。未经验收合格签字而进行下道工序施工的，除全部拆除返工外，每发生一次收取违约金1000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30000元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所有分包人人员不得直接找</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、设计</w:t>
      </w:r>
      <w:r>
        <w:rPr>
          <w:rFonts w:hint="eastAsia" w:ascii="Times New Roman" w:hAnsi="Times New Roman"/>
          <w:color w:val="auto"/>
          <w:sz w:val="24"/>
          <w:szCs w:val="24"/>
          <w:highlight w:val="none"/>
        </w:rPr>
        <w:t>人</w:t>
      </w:r>
      <w:r>
        <w:rPr>
          <w:rFonts w:ascii="Times New Roman" w:hAnsi="Times New Roman"/>
          <w:color w:val="auto"/>
          <w:sz w:val="24"/>
          <w:szCs w:val="24"/>
          <w:highlight w:val="none"/>
        </w:rPr>
        <w:t>报验，所有检验、试验等均由项目</w:t>
      </w:r>
      <w:r>
        <w:rPr>
          <w:rFonts w:hint="eastAsia" w:ascii="Times New Roman" w:hAnsi="Times New Roman"/>
          <w:color w:val="auto"/>
          <w:sz w:val="24"/>
          <w:szCs w:val="24"/>
          <w:highlight w:val="none"/>
        </w:rPr>
        <w:t>总承包人</w:t>
      </w:r>
      <w:r>
        <w:rPr>
          <w:rFonts w:ascii="Times New Roman" w:hAnsi="Times New Roman"/>
          <w:color w:val="auto"/>
          <w:sz w:val="24"/>
          <w:szCs w:val="24"/>
          <w:highlight w:val="none"/>
        </w:rPr>
        <w:t>报验</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设计人</w:t>
      </w:r>
      <w:r>
        <w:rPr>
          <w:rFonts w:ascii="Times New Roman" w:hAnsi="Times New Roman"/>
          <w:color w:val="auto"/>
          <w:sz w:val="24"/>
          <w:szCs w:val="24"/>
          <w:highlight w:val="none"/>
        </w:rPr>
        <w:t>。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4.2.6质量管理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本工程质量管理目标：确保</w:t>
      </w:r>
      <w:r>
        <w:rPr>
          <w:rFonts w:hint="eastAsia" w:ascii="宋体" w:hAnsi="宋体" w:cs="宋体"/>
          <w:color w:val="auto"/>
          <w:sz w:val="24"/>
          <w:szCs w:val="24"/>
          <w:highlight w:val="none"/>
          <w:u w:val="single" w:color="FF0000"/>
        </w:rPr>
        <w:t xml:space="preserve"> / </w:t>
      </w:r>
      <w:r>
        <w:rPr>
          <w:rFonts w:ascii="Times New Roman" w:hAnsi="Times New Roman"/>
          <w:color w:val="auto"/>
          <w:sz w:val="24"/>
          <w:szCs w:val="24"/>
          <w:highlight w:val="none"/>
        </w:rPr>
        <w:t>优质合格工程，争创市样板工程奖。</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（1）对此目标，各承包人必须建立质量管理体系，有明确的职责分工和管理程序，并报</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认可后组织实施，在实施过程中接受</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的监督管理。承包人质检员必须严格按标准规范、《建筑工程质量通病防治手册》和本单位编制的质量目标进行自检、验收，自检合格后报验收。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（2）为保证工程质量，使承包人、</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对现场施工工艺及质量标准达成共识，实行样板制度。实行“样板先行”制度既是对施工工艺的检验，也是对分项工程施工质量标准的确定；本工程所有分项工程均需做施工样板，各分项工程施工样板的展示及施工质量标准经</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验收合格后方可进行大面施工，样板展示内容包括：现浇混凝土观感样板、砌筑工程的植筋样板、墙体砌筑样板、墙体抹灰样板、卫生间防水样板、墙体水电管预埋样板、外墙砖贴砖样板、屋面防水样板、门窗安装、装修样板等等。</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施工样板第一次验收不合格，进行整改并收取违约金2000元；</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施工样板第二次验收不合格，进行整改并收取违约金5000元；</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施工样板第三次验收不合格，施工队伍退场并收取违约金10000元</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 xml:space="preserve">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（3）每个施工班组（队伍）在施工前均必须进行工程样板施工，样板、施工工艺经</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验收合格，该施工班组（队伍）方可进行大面积施工；经验收不合格，经整改还不达标的样板、施工工艺，该施工班组（队伍）应在2天内撤离现场，不配合或拒绝撤离现场，向责任单位收取违约金2000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10000元/天。</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装修、机电安装班组（队伍）必须具有类似工程经验，并在进场前提供近两年施工项目业绩，并配合项目部组织考察。考察不合格班组，不允许进场，已经进场的2天内撤离现场，不配合或拒绝撤离现场，向责任单位收取违约金2000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10000元/天。</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（5）对</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提出的问题必须立即整改，局部整改或整改后仍然达不到要求的或未按规定时间整改的每次收取违约金1000元。施工过程中，必须严格遵守强制性条文，违反规范中强制性条文的必须全部整改，同时每发生一次收取违约金5000元。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4.2.7计量管理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每月25日前上报本月已完成工程量，经审核无误后方可上报</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进行审核计量计价。未经审核无误或延迟上报的完成工程量 ，发包人将无法按时拨付工程款。(未按约定时间上报当月工程量的，将自动累计到下月上报)</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4.2.8资料管理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本工程执行《</w:t>
      </w:r>
      <w:r>
        <w:rPr>
          <w:rFonts w:hint="eastAsia" w:ascii="宋体" w:hAnsi="宋体" w:cs="宋体"/>
          <w:color w:val="auto"/>
          <w:sz w:val="24"/>
          <w:szCs w:val="24"/>
          <w:highlight w:val="none"/>
          <w:u w:val="single" w:color="FF0000"/>
        </w:rPr>
        <w:t>广东</w:t>
      </w:r>
      <w:r>
        <w:rPr>
          <w:rFonts w:ascii="Times New Roman" w:hAnsi="Times New Roman"/>
          <w:color w:val="auto"/>
          <w:sz w:val="24"/>
          <w:szCs w:val="24"/>
          <w:highlight w:val="none"/>
          <w:u w:val="single"/>
        </w:rPr>
        <w:t>省</w:t>
      </w:r>
      <w:r>
        <w:rPr>
          <w:rFonts w:ascii="Times New Roman" w:hAnsi="Times New Roman"/>
          <w:color w:val="auto"/>
          <w:sz w:val="24"/>
          <w:szCs w:val="24"/>
          <w:highlight w:val="none"/>
        </w:rPr>
        <w:t>建筑工程资料规程》和全面实施的各种验收规范，各承包人应严格按</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规定执行资料报验，所有资料必须与工程进度同步进行，对迟报、漏报、不齐全、不真实、未与工程进度同步进行的每次收取违约金1000元。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施工过程中各类内业资料，如工程档案、安全内业、工程签证资料、工程日志、照录相声光资料及工程竣工验收档案资料必须按照</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和相关档案编制要求及时进行收集整理，分类归档，按时报送有关部门，违反上述规定收取违约金1000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5000元/次；经</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检查存在不到位情况的，除限期整改外收取违约金1000元/次。</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分包人所承包范围内资料的编制与整理按照相关规范、规程进行整理，分包人的竣工图及施工资料应在指定的期限内自行编制完成，并符合有关规定，每周每月接受</w:t>
      </w:r>
      <w:r>
        <w:rPr>
          <w:rFonts w:hint="eastAsia" w:ascii="Times New Roman" w:hAnsi="Times New Roman"/>
          <w:color w:val="auto"/>
          <w:sz w:val="24"/>
          <w:szCs w:val="24"/>
          <w:highlight w:val="none"/>
        </w:rPr>
        <w:t>总承包人</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检查，经</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检查合格后方可进行竣工结算。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4.2.9例会制度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每周二下午2点30分举行定期工程例会，各参建单位应按时参加（另：根据工程需要不定期举行专项协调会），迟到者每次收取违约金300元。</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参加会议要求至少必须有项目经理负责人、技术总负责人、质量、安全、资料各一名及发包人要求出席的人员，以上人员无故缺席每次收取违约金1000元。</w:t>
      </w:r>
    </w:p>
    <w:p>
      <w:pPr>
        <w:autoSpaceDE w:val="0"/>
        <w:autoSpaceDN w:val="0"/>
        <w:adjustRightIn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工程例会主持人员：</w:t>
      </w:r>
      <w:r>
        <w:rPr>
          <w:rFonts w:hint="eastAsia" w:ascii="Times New Roman" w:hAnsi="Times New Roman"/>
          <w:color w:val="auto"/>
          <w:kern w:val="0"/>
          <w:sz w:val="24"/>
          <w:szCs w:val="24"/>
          <w:highlight w:val="none"/>
          <w:lang w:eastAsia="zh-CN"/>
        </w:rPr>
        <w:t>发包人</w:t>
      </w:r>
      <w:r>
        <w:rPr>
          <w:rFonts w:hint="eastAsia" w:ascii="Times New Roman" w:hAnsi="Times New Roman"/>
          <w:color w:val="auto"/>
          <w:kern w:val="0"/>
          <w:sz w:val="24"/>
          <w:szCs w:val="24"/>
          <w:highlight w:val="none"/>
          <w:lang w:val="en-US" w:eastAsia="zh-CN"/>
        </w:rPr>
        <w:t>代表</w:t>
      </w:r>
      <w:r>
        <w:rPr>
          <w:rFonts w:ascii="Times New Roman" w:hAnsi="Times New Roman"/>
          <w:color w:val="auto"/>
          <w:kern w:val="0"/>
          <w:sz w:val="24"/>
          <w:szCs w:val="24"/>
          <w:highlight w:val="none"/>
        </w:rPr>
        <w:t>。安全例会主持人员:</w:t>
      </w:r>
      <w:r>
        <w:rPr>
          <w:rFonts w:hint="eastAsia" w:ascii="Times New Roman" w:hAnsi="Times New Roman"/>
          <w:color w:val="auto"/>
          <w:kern w:val="0"/>
          <w:sz w:val="24"/>
          <w:szCs w:val="24"/>
          <w:highlight w:val="none"/>
          <w:lang w:eastAsia="zh-CN"/>
        </w:rPr>
        <w:t>发包人</w:t>
      </w:r>
      <w:r>
        <w:rPr>
          <w:rFonts w:hint="eastAsia" w:ascii="Times New Roman" w:hAnsi="Times New Roman"/>
          <w:color w:val="auto"/>
          <w:kern w:val="0"/>
          <w:sz w:val="24"/>
          <w:szCs w:val="24"/>
          <w:highlight w:val="none"/>
          <w:lang w:val="en-US" w:eastAsia="zh-CN"/>
        </w:rPr>
        <w:t>代表</w:t>
      </w:r>
      <w:r>
        <w:rPr>
          <w:rFonts w:ascii="Times New Roman" w:hAnsi="Times New Roman"/>
          <w:color w:val="auto"/>
          <w:kern w:val="0"/>
          <w:sz w:val="24"/>
          <w:szCs w:val="24"/>
          <w:highlight w:val="none"/>
        </w:rPr>
        <w:t>。会议纪要由</w:t>
      </w:r>
      <w:r>
        <w:rPr>
          <w:rFonts w:hint="eastAsia" w:ascii="Times New Roman" w:hAnsi="Times New Roman"/>
          <w:color w:val="auto"/>
          <w:kern w:val="0"/>
          <w:sz w:val="24"/>
          <w:szCs w:val="24"/>
          <w:highlight w:val="none"/>
          <w:lang w:val="en-US" w:eastAsia="zh-CN"/>
        </w:rPr>
        <w:t>发包人</w:t>
      </w:r>
      <w:r>
        <w:rPr>
          <w:rFonts w:ascii="Times New Roman" w:hAnsi="Times New Roman"/>
          <w:color w:val="auto"/>
          <w:kern w:val="0"/>
          <w:sz w:val="24"/>
          <w:szCs w:val="24"/>
          <w:highlight w:val="none"/>
        </w:rPr>
        <w:t>整理并</w:t>
      </w:r>
      <w:r>
        <w:rPr>
          <w:rFonts w:hint="eastAsia" w:ascii="Times New Roman" w:hAnsi="Times New Roman"/>
          <w:color w:val="auto"/>
          <w:kern w:val="0"/>
          <w:sz w:val="24"/>
          <w:szCs w:val="24"/>
          <w:highlight w:val="none"/>
          <w:lang w:val="en-US" w:eastAsia="zh-CN"/>
        </w:rPr>
        <w:t>发</w:t>
      </w:r>
      <w:r>
        <w:rPr>
          <w:rFonts w:ascii="Times New Roman" w:hAnsi="Times New Roman"/>
          <w:color w:val="auto"/>
          <w:kern w:val="0"/>
          <w:sz w:val="24"/>
          <w:szCs w:val="24"/>
          <w:highlight w:val="none"/>
        </w:rPr>
        <w:t>送各参建单位。各参建单位每周一下午3：00前向</w:t>
      </w:r>
      <w:r>
        <w:rPr>
          <w:rFonts w:hint="eastAsia" w:ascii="Times New Roman" w:hAnsi="Times New Roman"/>
          <w:color w:val="auto"/>
          <w:kern w:val="0"/>
          <w:sz w:val="24"/>
          <w:szCs w:val="24"/>
          <w:highlight w:val="none"/>
          <w:lang w:val="en-US" w:eastAsia="zh-CN"/>
        </w:rPr>
        <w:t>总承包人</w:t>
      </w:r>
      <w:r>
        <w:rPr>
          <w:rFonts w:ascii="Times New Roman" w:hAnsi="Times New Roman"/>
          <w:color w:val="auto"/>
          <w:kern w:val="0"/>
          <w:sz w:val="24"/>
          <w:szCs w:val="24"/>
          <w:highlight w:val="none"/>
        </w:rPr>
        <w:t>提交周报，</w:t>
      </w:r>
      <w:r>
        <w:rPr>
          <w:rFonts w:hint="eastAsia" w:ascii="Times New Roman" w:hAnsi="Times New Roman"/>
          <w:color w:val="auto"/>
          <w:kern w:val="0"/>
          <w:sz w:val="24"/>
          <w:szCs w:val="24"/>
          <w:highlight w:val="none"/>
          <w:lang w:val="en-US" w:eastAsia="zh-CN"/>
        </w:rPr>
        <w:t>总承包人</w:t>
      </w:r>
      <w:r>
        <w:rPr>
          <w:rFonts w:ascii="Times New Roman" w:hAnsi="Times New Roman"/>
          <w:color w:val="auto"/>
          <w:kern w:val="0"/>
          <w:sz w:val="24"/>
          <w:szCs w:val="24"/>
          <w:highlight w:val="none"/>
        </w:rPr>
        <w:t>将周报汇总后报发包人。</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4.2.10成品保护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各单位在施工过程中必须采取切实有效的措施，保护自身及其他专业（单位）施工成品，如果因为施工不当对别人的成品造成破坏，除全额赔偿损失外，发包人将视影响情况收取违约金1000～10000元。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4.2.11奖惩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在施工过程管理中，</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有权对承包人绿色施工安全防护措施、技术质量活动中不正确的地方进行经济或其它方式的惩处，如因承包人提出的工艺可行而导致的节约、提高质量、加快进度的，发包人</w:t>
      </w:r>
      <w:r>
        <w:rPr>
          <w:rFonts w:hint="eastAsia" w:ascii="宋体" w:hAnsi="宋体" w:cs="宋体"/>
          <w:color w:val="auto"/>
          <w:sz w:val="24"/>
          <w:szCs w:val="24"/>
          <w:highlight w:val="none"/>
        </w:rPr>
        <w:t>可以</w:t>
      </w:r>
      <w:r>
        <w:rPr>
          <w:rFonts w:ascii="Times New Roman" w:hAnsi="Times New Roman"/>
          <w:color w:val="auto"/>
          <w:sz w:val="24"/>
          <w:szCs w:val="24"/>
          <w:highlight w:val="none"/>
        </w:rPr>
        <w:t>实施奖励。惩处和奖励的额度除上述明确规定的原则上由发包人确定。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4.3施工进度控制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4.3.1总进度计划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根据本工程编制的工程总体进度计划，各专业单位根据自身施工特点编制本专业施工的总进度计划，报</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审核确认，并将总计划进行量化分解，每周一下午16:00之前上报下周施工计划，每月25日上报下月施工计划，便于</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进行有效监控管理。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4.3.2管理措施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（1）不按时上报分解计划的，每次收取违约金1000元，所报计划无量化指标者每</w:t>
      </w:r>
      <w:r>
        <w:rPr>
          <w:rFonts w:hint="eastAsia" w:ascii="Times New Roman" w:hAnsi="Times New Roman"/>
          <w:color w:val="auto"/>
          <w:sz w:val="24"/>
          <w:szCs w:val="24"/>
          <w:highlight w:val="none"/>
        </w:rPr>
        <w:t>次</w:t>
      </w:r>
      <w:r>
        <w:rPr>
          <w:rFonts w:ascii="Times New Roman" w:hAnsi="Times New Roman"/>
          <w:color w:val="auto"/>
          <w:sz w:val="24"/>
          <w:szCs w:val="24"/>
          <w:highlight w:val="none"/>
        </w:rPr>
        <w:t>收取违约金1000元。</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（2）施工进度与计划滞后而不采取有效措施者，</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有权视具体情况进行下列处罚： 收取违约金1000～20000元。 </w:t>
      </w:r>
    </w:p>
    <w:p>
      <w:pPr>
        <w:autoSpaceDE w:val="0"/>
        <w:autoSpaceDN w:val="0"/>
        <w:adjustRightIn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（3）严格执行已经上报且经过</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审核同意的阶段性进度计划，若阶段性进度计划节点滞后，并对后续工作产生影响的，收取违约金 3000元/天；</w:t>
      </w:r>
    </w:p>
    <w:p>
      <w:pPr>
        <w:autoSpaceDE w:val="0"/>
        <w:autoSpaceDN w:val="0"/>
        <w:adjustRightIn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（4）施工合同中已明确的大节点，施工单位应严格执行，若滞后将按合同有关条款收取违约金。</w:t>
      </w:r>
    </w:p>
    <w:p>
      <w:pPr>
        <w:autoSpaceDE w:val="0"/>
        <w:autoSpaceDN w:val="0"/>
        <w:adjustRightIn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（5）施工单位因劳动人员组织不力，工程材料以及施工机具设备、周转材料等组织不到位，而影响工程进度或对其它施工单位的进度造成影响，收取违约金3000元/天。</w:t>
      </w:r>
    </w:p>
    <w:p>
      <w:pPr>
        <w:autoSpaceDE w:val="0"/>
        <w:autoSpaceDN w:val="0"/>
        <w:adjustRightIn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（6）必须按发包人统一部署，确保外协单位及时进场，提供合理的工作面，对故意不执行发包人要求的，收取违约金2000元/次。</w:t>
      </w:r>
    </w:p>
    <w:p>
      <w:pPr>
        <w:autoSpaceDE w:val="0"/>
        <w:autoSpaceDN w:val="0"/>
        <w:adjustRightIn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（7）必须按照发包人的相关要求按时上报月报、周报、进度计划等有关资料，违者收取违约金1000元/次。</w:t>
      </w:r>
    </w:p>
    <w:p>
      <w:pPr>
        <w:autoSpaceDE w:val="0"/>
        <w:autoSpaceDN w:val="0"/>
        <w:adjustRightInd w:val="0"/>
        <w:spacing w:line="360" w:lineRule="auto"/>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（8）各施工单位必须遵从</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发出的指令，不得以指令所涉及费用未确定或找不到实施队伍为借口不执行或拖延执行。若施工单位未在合理时间内执行，或在收到</w:t>
      </w:r>
      <w:r>
        <w:rPr>
          <w:rFonts w:hint="eastAsia" w:ascii="Times New Roman" w:hAnsi="Times New Roman"/>
          <w:color w:val="auto"/>
          <w:kern w:val="0"/>
          <w:sz w:val="24"/>
          <w:szCs w:val="24"/>
          <w:highlight w:val="none"/>
          <w:lang w:eastAsia="zh-CN"/>
        </w:rPr>
        <w:t>发包人</w:t>
      </w:r>
      <w:r>
        <w:rPr>
          <w:rFonts w:ascii="Times New Roman" w:hAnsi="Times New Roman"/>
          <w:color w:val="auto"/>
          <w:kern w:val="0"/>
          <w:sz w:val="24"/>
          <w:szCs w:val="24"/>
          <w:highlight w:val="none"/>
        </w:rPr>
        <w:t>催促执行的书面通知后3天内仍未执行，则发包人有权聘请第三方执行该指令所要求的工作，由此产生的费用全部由责任方承担，发包人将从其承包合同款项中直接划扣该部分费用。同时对责任单位按每次5000</w:t>
      </w:r>
      <w:r>
        <w:rPr>
          <w:rFonts w:ascii="Times New Roman" w:hAnsi="Times New Roman"/>
          <w:color w:val="auto"/>
          <w:sz w:val="24"/>
          <w:szCs w:val="24"/>
          <w:highlight w:val="none"/>
        </w:rPr>
        <w:t>～</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50000元收取违约金。情节特别严重，发包人有权解除合同并追究施工单位违约责任。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4.4现场管理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（1）分包人进入现场施工人员必须统一着装、统一戴安全帽、并随身携带出入证件。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（2）现场内的布置必须经过</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审批，所有标牌、标志的张贴悬挂，由</w:t>
      </w:r>
      <w:r>
        <w:rPr>
          <w:rFonts w:hint="eastAsia" w:ascii="Times New Roman" w:hAnsi="Times New Roman"/>
          <w:color w:val="auto"/>
          <w:sz w:val="24"/>
          <w:szCs w:val="24"/>
          <w:highlight w:val="none"/>
        </w:rPr>
        <w:t>总承包人</w:t>
      </w:r>
      <w:r>
        <w:rPr>
          <w:rFonts w:ascii="Times New Roman" w:hAnsi="Times New Roman"/>
          <w:color w:val="auto"/>
          <w:sz w:val="24"/>
          <w:szCs w:val="24"/>
          <w:highlight w:val="none"/>
        </w:rPr>
        <w:t>按规定制作。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（3）分包人施工管理人员须着装整洁，头发理顺，注意举止行为。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（4）分包人对公司的函件必须统一格式、正式打印、有统一编号，并且有负责人签字或单位公章，否则</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将拒收。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（5）进入施工区域戴好安全帽，并符合规定。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（6）现场内严禁随地大小便，违者收取违约金小便200元/人次，大便300元/人次。 （无法界定责任者均归咎于</w:t>
      </w:r>
      <w:r>
        <w:rPr>
          <w:rFonts w:hint="eastAsia" w:ascii="Times New Roman" w:hAnsi="Times New Roman"/>
          <w:color w:val="auto"/>
          <w:sz w:val="24"/>
          <w:szCs w:val="24"/>
          <w:highlight w:val="none"/>
        </w:rPr>
        <w:t>总承包人</w:t>
      </w:r>
      <w:r>
        <w:rPr>
          <w:rFonts w:ascii="Times New Roman" w:hAnsi="Times New Roman"/>
          <w:color w:val="auto"/>
          <w:sz w:val="24"/>
          <w:szCs w:val="24"/>
          <w:highlight w:val="none"/>
        </w:rPr>
        <w:t>）</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（7）爱护现场内的安全、消防、测量、照明设施及有关标牌等，违者收取违约金200元/人，并负责赔偿损失。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（8）现场内严禁乱抛垃圾、烟头、水果皮、废纸等，否则每起收取违约金100元/人。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（9）施工现场、生活区严禁带有金钱性质的赌博，酗酒行为，否则对承包人</w:t>
      </w:r>
      <w:r>
        <w:rPr>
          <w:rFonts w:hint="eastAsia" w:ascii="Times New Roman" w:hAnsi="Times New Roman"/>
          <w:color w:val="auto"/>
          <w:sz w:val="24"/>
          <w:szCs w:val="24"/>
          <w:highlight w:val="none"/>
        </w:rPr>
        <w:t>负责人</w:t>
      </w:r>
      <w:r>
        <w:rPr>
          <w:rFonts w:ascii="Times New Roman" w:hAnsi="Times New Roman"/>
          <w:color w:val="auto"/>
          <w:sz w:val="24"/>
          <w:szCs w:val="24"/>
          <w:highlight w:val="none"/>
        </w:rPr>
        <w:t>收取违约金1000元/次。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4.5安全、环境、文明施工管理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4.5.1安全管理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（1）承包人现场成立绿色施工安全防护措施领导小组，切实加强施工全过程的安全管理，确保工人在劳动过程中的安全与健康。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（2）承包人施工管理人员、工程技术人员，操作工人必须熟悉和掌握本工种的“安全技术操作规程”，否则不许参加施工。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（3）认真坚持安全自检制度，搞好隐患整改，并做到定人、定时间、定措施。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（4）新入场及变换工种人员必须经过安全教育，上岗作业前必须进行安全技术交底。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（5）特种作业人员必须经安全技术培训，考试合格持证上岗作业。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（6）进入施工现场必须正确戴好安全帽，高处作业系牢安全带。正确使用个人防护用品。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（7）施工现场内严禁穿高跟鞋、拖鞋，光脚，赤裸上身作业。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施工中的“四口”（即楼梯口、电梯口、预留洞口、通道口），“五临边”（尚未安装好的阳台边、无外架防护的屋面周边、框架工程楼层周边、跑道（斜道）两侧边、卸料台的外侧边）必须有严密、牢固的安全防护设施，任何人不许改动和破坏。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（9）现场的机电设备、电动工具、供电设施中持证电工操作，严禁非电气工人乱接乱动。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（10）一切机械设备和垂直运输、超重机械的安全防护及保险装置必须齐全，灵敏可靠，严禁非机械人员随意开动机械设备。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（11）工程中使用的易燃易爆物品，有毒、有害物品要严格保管使用。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（12）现场道路要畅通，料具堆放要整齐、安全。危险部位和场</w:t>
      </w:r>
      <w:r>
        <w:rPr>
          <w:rFonts w:hint="eastAsia" w:ascii="Times New Roman" w:hAnsi="Times New Roman"/>
          <w:color w:val="auto"/>
          <w:sz w:val="24"/>
          <w:szCs w:val="24"/>
          <w:highlight w:val="none"/>
        </w:rPr>
        <w:t>所</w:t>
      </w:r>
      <w:r>
        <w:rPr>
          <w:rFonts w:ascii="Times New Roman" w:hAnsi="Times New Roman"/>
          <w:color w:val="auto"/>
          <w:sz w:val="24"/>
          <w:szCs w:val="24"/>
          <w:highlight w:val="none"/>
        </w:rPr>
        <w:t>应设置安全标志牌。夜间要设红灯示警。</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（13）非施工人员不得擅自进入现场。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（14）施工现场禁止抽烟。</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（15）现场集水井、排水沟等易积水地方的积水要及时清理，防止疾病传播。</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违反以上各条安全管理制度的，视情况每次处收取违约金100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2000元。 </w:t>
      </w:r>
    </w:p>
    <w:p>
      <w:pPr>
        <w:autoSpaceDE w:val="0"/>
        <w:autoSpaceDN w:val="0"/>
        <w:adjustRightIn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安全生产是工程建设的重中之重，各参建单位必须按照安全生产的有关安全规章制度组织各项工作，建立健全安全保障体系和各项安全制度，制定专项安全施工方案，对作业人员认真作好各级安全教育和安全技术交底，若不进行安全教育与交底的，按下表进行处罚；加强对作业人员的安全保护，原则上不进行立体交叉作业，当必须进行时，应采取可靠的安全措施，违反安全生产的有关规定或疏忽管理造成重伤事故以上的收取违约金10000元/次；造成轻伤事故的收取违约金1000元/次。</w:t>
      </w:r>
    </w:p>
    <w:p>
      <w:pPr>
        <w:autoSpaceDE w:val="0"/>
        <w:autoSpaceDN w:val="0"/>
        <w:adjustRightInd w:val="0"/>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A.安全管理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100"/>
        <w:gridCol w:w="4837"/>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1" w:type="dxa"/>
            <w:vAlign w:val="center"/>
          </w:tcPr>
          <w:p>
            <w:pPr>
              <w:rPr>
                <w:rFonts w:ascii="Times New Roman" w:hAnsi="Times New Roman"/>
                <w:b/>
                <w:color w:val="auto"/>
                <w:szCs w:val="21"/>
                <w:highlight w:val="none"/>
              </w:rPr>
            </w:pPr>
            <w:r>
              <w:rPr>
                <w:rFonts w:ascii="Times New Roman" w:hAnsi="Times New Roman"/>
                <w:b/>
                <w:color w:val="auto"/>
                <w:szCs w:val="21"/>
                <w:highlight w:val="none"/>
              </w:rPr>
              <w:t>序号</w:t>
            </w:r>
          </w:p>
        </w:tc>
        <w:tc>
          <w:tcPr>
            <w:tcW w:w="1100" w:type="dxa"/>
            <w:vAlign w:val="center"/>
          </w:tcPr>
          <w:p>
            <w:pPr>
              <w:rPr>
                <w:rFonts w:ascii="Times New Roman" w:hAnsi="Times New Roman"/>
                <w:b/>
                <w:color w:val="auto"/>
                <w:szCs w:val="21"/>
                <w:highlight w:val="none"/>
              </w:rPr>
            </w:pPr>
            <w:r>
              <w:rPr>
                <w:rFonts w:ascii="Times New Roman" w:hAnsi="Times New Roman"/>
                <w:b/>
                <w:color w:val="auto"/>
                <w:szCs w:val="21"/>
                <w:highlight w:val="none"/>
              </w:rPr>
              <w:t>项目</w:t>
            </w:r>
          </w:p>
        </w:tc>
        <w:tc>
          <w:tcPr>
            <w:tcW w:w="4837" w:type="dxa"/>
            <w:vAlign w:val="center"/>
          </w:tcPr>
          <w:p>
            <w:pPr>
              <w:rPr>
                <w:rFonts w:ascii="Times New Roman" w:hAnsi="Times New Roman"/>
                <w:b/>
                <w:color w:val="auto"/>
                <w:szCs w:val="21"/>
                <w:highlight w:val="none"/>
              </w:rPr>
            </w:pPr>
            <w:r>
              <w:rPr>
                <w:rFonts w:ascii="Times New Roman" w:hAnsi="Times New Roman"/>
                <w:b/>
                <w:color w:val="auto"/>
                <w:szCs w:val="21"/>
                <w:highlight w:val="none"/>
              </w:rPr>
              <w:t>检查标准</w:t>
            </w:r>
          </w:p>
        </w:tc>
        <w:tc>
          <w:tcPr>
            <w:tcW w:w="1734" w:type="dxa"/>
            <w:vAlign w:val="center"/>
          </w:tcPr>
          <w:p>
            <w:pPr>
              <w:rPr>
                <w:rFonts w:ascii="Times New Roman" w:hAnsi="Times New Roman"/>
                <w:b/>
                <w:color w:val="auto"/>
                <w:szCs w:val="21"/>
                <w:highlight w:val="none"/>
              </w:rPr>
            </w:pPr>
            <w:r>
              <w:rPr>
                <w:rFonts w:ascii="Times New Roman" w:hAnsi="Times New Roman"/>
                <w:b/>
                <w:color w:val="auto"/>
                <w:szCs w:val="21"/>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1"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1</w:t>
            </w:r>
          </w:p>
        </w:tc>
        <w:tc>
          <w:tcPr>
            <w:tcW w:w="1100" w:type="dxa"/>
            <w:vAlign w:val="center"/>
          </w:tcPr>
          <w:p>
            <w:pPr>
              <w:rPr>
                <w:rFonts w:ascii="Times New Roman" w:hAnsi="Times New Roman"/>
                <w:color w:val="auto"/>
                <w:szCs w:val="21"/>
                <w:highlight w:val="none"/>
              </w:rPr>
            </w:pPr>
            <w:r>
              <w:rPr>
                <w:rFonts w:ascii="Times New Roman" w:hAnsi="Times New Roman"/>
                <w:color w:val="auto"/>
                <w:szCs w:val="21"/>
                <w:highlight w:val="none"/>
              </w:rPr>
              <w:t>安全管理员</w:t>
            </w:r>
          </w:p>
        </w:tc>
        <w:tc>
          <w:tcPr>
            <w:tcW w:w="4837" w:type="dxa"/>
            <w:vAlign w:val="center"/>
          </w:tcPr>
          <w:p>
            <w:pPr>
              <w:rPr>
                <w:rFonts w:ascii="Times New Roman" w:hAnsi="Times New Roman"/>
                <w:color w:val="auto"/>
                <w:szCs w:val="21"/>
                <w:highlight w:val="none"/>
              </w:rPr>
            </w:pPr>
            <w:r>
              <w:rPr>
                <w:rFonts w:ascii="Times New Roman" w:hAnsi="Times New Roman"/>
                <w:color w:val="auto"/>
                <w:szCs w:val="21"/>
                <w:highlight w:val="none"/>
              </w:rPr>
              <w:t>安全员无安全员证或安全主任证的</w:t>
            </w:r>
          </w:p>
          <w:p>
            <w:pPr>
              <w:rPr>
                <w:rFonts w:ascii="Times New Roman" w:hAnsi="Times New Roman"/>
                <w:color w:val="auto"/>
                <w:szCs w:val="21"/>
                <w:highlight w:val="none"/>
              </w:rPr>
            </w:pPr>
            <w:r>
              <w:rPr>
                <w:rFonts w:ascii="Times New Roman" w:hAnsi="Times New Roman"/>
                <w:color w:val="auto"/>
                <w:szCs w:val="21"/>
                <w:highlight w:val="none"/>
              </w:rPr>
              <w:t>安全员不了解本身职责的</w:t>
            </w:r>
          </w:p>
          <w:p>
            <w:pPr>
              <w:rPr>
                <w:rFonts w:ascii="Times New Roman" w:hAnsi="Times New Roman"/>
                <w:color w:val="auto"/>
                <w:szCs w:val="21"/>
                <w:highlight w:val="none"/>
              </w:rPr>
            </w:pPr>
            <w:r>
              <w:rPr>
                <w:rFonts w:ascii="Times New Roman" w:hAnsi="Times New Roman"/>
                <w:color w:val="auto"/>
                <w:szCs w:val="21"/>
                <w:highlight w:val="none"/>
              </w:rPr>
              <w:t>安全员不懂各工种安全技术操作规程，不能有效履职的</w:t>
            </w:r>
          </w:p>
          <w:p>
            <w:pPr>
              <w:rPr>
                <w:rFonts w:ascii="Times New Roman" w:hAnsi="Times New Roman"/>
                <w:color w:val="auto"/>
                <w:szCs w:val="21"/>
                <w:highlight w:val="none"/>
              </w:rPr>
            </w:pPr>
            <w:r>
              <w:rPr>
                <w:rFonts w:ascii="Times New Roman" w:hAnsi="Times New Roman"/>
                <w:color w:val="auto"/>
                <w:szCs w:val="21"/>
                <w:highlight w:val="none"/>
              </w:rPr>
              <w:t>安全员不在岗位的</w:t>
            </w:r>
          </w:p>
          <w:p>
            <w:pPr>
              <w:rPr>
                <w:rFonts w:ascii="Times New Roman" w:hAnsi="Times New Roman"/>
                <w:color w:val="auto"/>
                <w:szCs w:val="21"/>
                <w:highlight w:val="none"/>
              </w:rPr>
            </w:pPr>
            <w:r>
              <w:rPr>
                <w:rFonts w:ascii="Times New Roman" w:hAnsi="Times New Roman"/>
                <w:color w:val="auto"/>
                <w:szCs w:val="21"/>
                <w:highlight w:val="none"/>
              </w:rPr>
              <w:t>安全员对施工中的安全不能做到有效管控的</w:t>
            </w:r>
          </w:p>
        </w:tc>
        <w:tc>
          <w:tcPr>
            <w:tcW w:w="1734" w:type="dxa"/>
            <w:vAlign w:val="center"/>
          </w:tcPr>
          <w:p>
            <w:pPr>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300~1000元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1" w:type="dxa"/>
            <w:vMerge w:val="restart"/>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3</w:t>
            </w:r>
          </w:p>
        </w:tc>
        <w:tc>
          <w:tcPr>
            <w:tcW w:w="1100" w:type="dxa"/>
            <w:vMerge w:val="restart"/>
            <w:vAlign w:val="center"/>
          </w:tcPr>
          <w:p>
            <w:pPr>
              <w:rPr>
                <w:rFonts w:ascii="Times New Roman" w:hAnsi="Times New Roman"/>
                <w:color w:val="auto"/>
                <w:szCs w:val="21"/>
                <w:highlight w:val="none"/>
              </w:rPr>
            </w:pPr>
            <w:r>
              <w:rPr>
                <w:rFonts w:ascii="Times New Roman" w:hAnsi="Times New Roman"/>
                <w:color w:val="auto"/>
                <w:szCs w:val="21"/>
                <w:highlight w:val="none"/>
              </w:rPr>
              <w:t>安全检查</w:t>
            </w:r>
          </w:p>
        </w:tc>
        <w:tc>
          <w:tcPr>
            <w:tcW w:w="4837" w:type="dxa"/>
            <w:vAlign w:val="center"/>
          </w:tcPr>
          <w:p>
            <w:pPr>
              <w:rPr>
                <w:rFonts w:ascii="Times New Roman" w:hAnsi="Times New Roman"/>
                <w:color w:val="auto"/>
                <w:szCs w:val="21"/>
                <w:highlight w:val="none"/>
              </w:rPr>
            </w:pPr>
            <w:r>
              <w:rPr>
                <w:rFonts w:ascii="Times New Roman" w:hAnsi="Times New Roman"/>
                <w:color w:val="auto"/>
                <w:szCs w:val="21"/>
                <w:highlight w:val="none"/>
              </w:rPr>
              <w:t>现场无定期安全检查的</w:t>
            </w:r>
          </w:p>
          <w:p>
            <w:pPr>
              <w:rPr>
                <w:rFonts w:ascii="Times New Roman" w:hAnsi="Times New Roman"/>
                <w:color w:val="auto"/>
                <w:szCs w:val="21"/>
                <w:highlight w:val="none"/>
              </w:rPr>
            </w:pPr>
            <w:r>
              <w:rPr>
                <w:rFonts w:ascii="Times New Roman" w:hAnsi="Times New Roman"/>
                <w:color w:val="auto"/>
                <w:szCs w:val="21"/>
                <w:highlight w:val="none"/>
              </w:rPr>
              <w:t>安全检查无记录的</w:t>
            </w:r>
          </w:p>
        </w:tc>
        <w:tc>
          <w:tcPr>
            <w:tcW w:w="1734" w:type="dxa"/>
            <w:vAlign w:val="center"/>
          </w:tcPr>
          <w:p>
            <w:pPr>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200~500元／人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1" w:type="dxa"/>
            <w:vMerge w:val="continue"/>
            <w:vAlign w:val="center"/>
          </w:tcPr>
          <w:p>
            <w:pPr>
              <w:jc w:val="center"/>
              <w:rPr>
                <w:rFonts w:ascii="Times New Roman" w:hAnsi="Times New Roman"/>
                <w:color w:val="auto"/>
                <w:szCs w:val="21"/>
                <w:highlight w:val="none"/>
              </w:rPr>
            </w:pPr>
          </w:p>
        </w:tc>
        <w:tc>
          <w:tcPr>
            <w:tcW w:w="1100" w:type="dxa"/>
            <w:vMerge w:val="continue"/>
            <w:vAlign w:val="center"/>
          </w:tcPr>
          <w:p>
            <w:pPr>
              <w:rPr>
                <w:rFonts w:ascii="Times New Roman" w:hAnsi="Times New Roman"/>
                <w:color w:val="auto"/>
                <w:szCs w:val="21"/>
                <w:highlight w:val="none"/>
              </w:rPr>
            </w:pPr>
          </w:p>
        </w:tc>
        <w:tc>
          <w:tcPr>
            <w:tcW w:w="4837" w:type="dxa"/>
            <w:vAlign w:val="center"/>
          </w:tcPr>
          <w:p>
            <w:pPr>
              <w:rPr>
                <w:rFonts w:ascii="Times New Roman" w:hAnsi="Times New Roman"/>
                <w:color w:val="auto"/>
                <w:szCs w:val="21"/>
                <w:highlight w:val="none"/>
              </w:rPr>
            </w:pPr>
            <w:r>
              <w:rPr>
                <w:rFonts w:ascii="Times New Roman" w:hAnsi="Times New Roman"/>
                <w:color w:val="auto"/>
                <w:szCs w:val="21"/>
                <w:highlight w:val="none"/>
              </w:rPr>
              <w:t>查出事故隐患整改做不到定时、定人、定措施的</w:t>
            </w:r>
          </w:p>
          <w:p>
            <w:pPr>
              <w:rPr>
                <w:rFonts w:ascii="Times New Roman" w:hAnsi="Times New Roman"/>
                <w:color w:val="auto"/>
                <w:szCs w:val="21"/>
                <w:highlight w:val="none"/>
              </w:rPr>
            </w:pPr>
            <w:r>
              <w:rPr>
                <w:rFonts w:ascii="Times New Roman" w:hAnsi="Times New Roman"/>
                <w:color w:val="auto"/>
                <w:szCs w:val="21"/>
                <w:highlight w:val="none"/>
              </w:rPr>
              <w:t>项目经理两周内未参加安全检查的</w:t>
            </w:r>
          </w:p>
          <w:p>
            <w:pPr>
              <w:rPr>
                <w:rFonts w:ascii="Times New Roman" w:hAnsi="Times New Roman"/>
                <w:color w:val="auto"/>
                <w:szCs w:val="21"/>
                <w:highlight w:val="none"/>
              </w:rPr>
            </w:pPr>
            <w:r>
              <w:rPr>
                <w:rFonts w:ascii="Times New Roman" w:hAnsi="Times New Roman"/>
                <w:color w:val="auto"/>
                <w:szCs w:val="21"/>
                <w:highlight w:val="none"/>
              </w:rPr>
              <w:t>对事故隐患整改通知书所列项目未按要求完成的</w:t>
            </w:r>
          </w:p>
          <w:p>
            <w:pPr>
              <w:rPr>
                <w:rFonts w:ascii="Times New Roman" w:hAnsi="Times New Roman"/>
                <w:color w:val="auto"/>
                <w:szCs w:val="21"/>
                <w:highlight w:val="none"/>
              </w:rPr>
            </w:pPr>
            <w:r>
              <w:rPr>
                <w:rFonts w:ascii="Times New Roman" w:hAnsi="Times New Roman"/>
                <w:color w:val="auto"/>
                <w:szCs w:val="21"/>
                <w:highlight w:val="none"/>
              </w:rPr>
              <w:t>未按要求填报安全工作月报表的</w:t>
            </w:r>
          </w:p>
        </w:tc>
        <w:tc>
          <w:tcPr>
            <w:tcW w:w="1734" w:type="dxa"/>
            <w:vAlign w:val="center"/>
          </w:tcPr>
          <w:p>
            <w:pPr>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300~1000元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1"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4</w:t>
            </w:r>
          </w:p>
        </w:tc>
        <w:tc>
          <w:tcPr>
            <w:tcW w:w="1100" w:type="dxa"/>
            <w:vAlign w:val="center"/>
          </w:tcPr>
          <w:p>
            <w:pPr>
              <w:rPr>
                <w:rFonts w:ascii="Times New Roman" w:hAnsi="Times New Roman"/>
                <w:color w:val="auto"/>
                <w:szCs w:val="21"/>
                <w:highlight w:val="none"/>
              </w:rPr>
            </w:pPr>
            <w:r>
              <w:rPr>
                <w:rFonts w:ascii="Times New Roman" w:hAnsi="Times New Roman"/>
                <w:color w:val="auto"/>
                <w:szCs w:val="21"/>
                <w:highlight w:val="none"/>
              </w:rPr>
              <w:t>安全教育</w:t>
            </w:r>
          </w:p>
        </w:tc>
        <w:tc>
          <w:tcPr>
            <w:tcW w:w="4837" w:type="dxa"/>
            <w:vAlign w:val="center"/>
          </w:tcPr>
          <w:p>
            <w:pPr>
              <w:rPr>
                <w:rFonts w:ascii="Times New Roman" w:hAnsi="Times New Roman"/>
                <w:color w:val="auto"/>
                <w:szCs w:val="21"/>
                <w:highlight w:val="none"/>
              </w:rPr>
            </w:pPr>
            <w:r>
              <w:rPr>
                <w:rFonts w:ascii="Times New Roman" w:hAnsi="Times New Roman"/>
                <w:color w:val="auto"/>
                <w:szCs w:val="21"/>
                <w:highlight w:val="none"/>
              </w:rPr>
              <w:t>现场施工人员中未登记备案或三证不齐的</w:t>
            </w:r>
          </w:p>
          <w:p>
            <w:pPr>
              <w:rPr>
                <w:rFonts w:ascii="Times New Roman" w:hAnsi="Times New Roman"/>
                <w:color w:val="auto"/>
                <w:szCs w:val="21"/>
                <w:highlight w:val="none"/>
              </w:rPr>
            </w:pPr>
            <w:r>
              <w:rPr>
                <w:rFonts w:ascii="Times New Roman" w:hAnsi="Times New Roman"/>
                <w:color w:val="auto"/>
                <w:szCs w:val="21"/>
                <w:highlight w:val="none"/>
              </w:rPr>
              <w:t>抽考工人安全知识及安全操作规程不合格的</w:t>
            </w:r>
          </w:p>
          <w:p>
            <w:pPr>
              <w:rPr>
                <w:rFonts w:ascii="Times New Roman" w:hAnsi="Times New Roman"/>
                <w:color w:val="auto"/>
                <w:szCs w:val="21"/>
                <w:highlight w:val="none"/>
              </w:rPr>
            </w:pPr>
            <w:r>
              <w:rPr>
                <w:rFonts w:ascii="Times New Roman" w:hAnsi="Times New Roman"/>
                <w:color w:val="auto"/>
                <w:szCs w:val="21"/>
                <w:highlight w:val="none"/>
              </w:rPr>
              <w:t>新进场工人未进行施工安全教育的</w:t>
            </w:r>
          </w:p>
          <w:p>
            <w:pPr>
              <w:rPr>
                <w:rFonts w:ascii="Times New Roman" w:hAnsi="Times New Roman"/>
                <w:color w:val="auto"/>
                <w:szCs w:val="21"/>
                <w:highlight w:val="none"/>
              </w:rPr>
            </w:pPr>
            <w:r>
              <w:rPr>
                <w:rFonts w:ascii="Times New Roman" w:hAnsi="Times New Roman"/>
                <w:color w:val="auto"/>
                <w:szCs w:val="21"/>
                <w:highlight w:val="none"/>
              </w:rPr>
              <w:t>未存三级安全教育记录、考试卷的</w:t>
            </w:r>
          </w:p>
          <w:p>
            <w:pPr>
              <w:rPr>
                <w:rFonts w:ascii="Times New Roman" w:hAnsi="Times New Roman"/>
                <w:color w:val="auto"/>
                <w:szCs w:val="21"/>
                <w:highlight w:val="none"/>
              </w:rPr>
            </w:pPr>
            <w:r>
              <w:rPr>
                <w:rFonts w:ascii="Times New Roman" w:hAnsi="Times New Roman"/>
                <w:color w:val="auto"/>
                <w:szCs w:val="21"/>
                <w:highlight w:val="none"/>
              </w:rPr>
              <w:t>工人安全培训学习每月不足两小时的</w:t>
            </w:r>
          </w:p>
        </w:tc>
        <w:tc>
          <w:tcPr>
            <w:tcW w:w="1734" w:type="dxa"/>
            <w:vAlign w:val="center"/>
          </w:tcPr>
          <w:p>
            <w:pPr>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1" w:type="dxa"/>
            <w:vMerge w:val="restart"/>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5</w:t>
            </w:r>
          </w:p>
        </w:tc>
        <w:tc>
          <w:tcPr>
            <w:tcW w:w="1100" w:type="dxa"/>
            <w:vMerge w:val="restart"/>
            <w:vAlign w:val="center"/>
          </w:tcPr>
          <w:p>
            <w:pPr>
              <w:rPr>
                <w:rFonts w:ascii="Times New Roman" w:hAnsi="Times New Roman"/>
                <w:color w:val="auto"/>
                <w:szCs w:val="21"/>
                <w:highlight w:val="none"/>
              </w:rPr>
            </w:pPr>
            <w:r>
              <w:rPr>
                <w:rFonts w:ascii="Times New Roman" w:hAnsi="Times New Roman"/>
                <w:color w:val="auto"/>
                <w:szCs w:val="21"/>
                <w:highlight w:val="none"/>
              </w:rPr>
              <w:t>特种作业人员</w:t>
            </w:r>
          </w:p>
        </w:tc>
        <w:tc>
          <w:tcPr>
            <w:tcW w:w="4837" w:type="dxa"/>
            <w:vAlign w:val="center"/>
          </w:tcPr>
          <w:p>
            <w:pPr>
              <w:rPr>
                <w:rFonts w:ascii="Times New Roman" w:hAnsi="Times New Roman"/>
                <w:color w:val="auto"/>
                <w:szCs w:val="21"/>
                <w:highlight w:val="none"/>
              </w:rPr>
            </w:pPr>
            <w:r>
              <w:rPr>
                <w:rFonts w:ascii="Times New Roman" w:hAnsi="Times New Roman"/>
                <w:color w:val="auto"/>
                <w:szCs w:val="21"/>
                <w:highlight w:val="none"/>
              </w:rPr>
              <w:t>特种作业人员未列册登记备案的</w:t>
            </w:r>
          </w:p>
          <w:p>
            <w:pPr>
              <w:rPr>
                <w:rFonts w:ascii="Times New Roman" w:hAnsi="Times New Roman"/>
                <w:color w:val="auto"/>
                <w:szCs w:val="21"/>
                <w:highlight w:val="none"/>
              </w:rPr>
            </w:pPr>
            <w:r>
              <w:rPr>
                <w:rFonts w:ascii="Times New Roman" w:hAnsi="Times New Roman"/>
                <w:color w:val="auto"/>
                <w:szCs w:val="21"/>
                <w:highlight w:val="none"/>
              </w:rPr>
              <w:t>未随身携带证件从事特种作业的</w:t>
            </w:r>
          </w:p>
        </w:tc>
        <w:tc>
          <w:tcPr>
            <w:tcW w:w="1734" w:type="dxa"/>
            <w:vAlign w:val="center"/>
          </w:tcPr>
          <w:p>
            <w:pPr>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1000元／人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1" w:type="dxa"/>
            <w:vMerge w:val="continue"/>
            <w:vAlign w:val="center"/>
          </w:tcPr>
          <w:p>
            <w:pPr>
              <w:jc w:val="center"/>
              <w:rPr>
                <w:rFonts w:ascii="Times New Roman" w:hAnsi="Times New Roman"/>
                <w:color w:val="auto"/>
                <w:szCs w:val="21"/>
                <w:highlight w:val="none"/>
              </w:rPr>
            </w:pPr>
          </w:p>
        </w:tc>
        <w:tc>
          <w:tcPr>
            <w:tcW w:w="1100" w:type="dxa"/>
            <w:vMerge w:val="continue"/>
            <w:vAlign w:val="center"/>
          </w:tcPr>
          <w:p>
            <w:pPr>
              <w:rPr>
                <w:rFonts w:ascii="Times New Roman" w:hAnsi="Times New Roman"/>
                <w:color w:val="auto"/>
                <w:szCs w:val="21"/>
                <w:highlight w:val="none"/>
              </w:rPr>
            </w:pPr>
          </w:p>
        </w:tc>
        <w:tc>
          <w:tcPr>
            <w:tcW w:w="4837" w:type="dxa"/>
            <w:vAlign w:val="center"/>
          </w:tcPr>
          <w:p>
            <w:pPr>
              <w:rPr>
                <w:rFonts w:ascii="Times New Roman" w:hAnsi="Times New Roman"/>
                <w:color w:val="auto"/>
                <w:szCs w:val="21"/>
                <w:highlight w:val="none"/>
              </w:rPr>
            </w:pPr>
            <w:r>
              <w:rPr>
                <w:rFonts w:ascii="Times New Roman" w:hAnsi="Times New Roman"/>
                <w:color w:val="auto"/>
                <w:szCs w:val="21"/>
                <w:highlight w:val="none"/>
              </w:rPr>
              <w:t>无证从事特种作业的或者证件过期、无年审</w:t>
            </w:r>
          </w:p>
        </w:tc>
        <w:tc>
          <w:tcPr>
            <w:tcW w:w="1734" w:type="dxa"/>
            <w:vAlign w:val="center"/>
          </w:tcPr>
          <w:p>
            <w:pPr>
              <w:ind w:firstLine="190" w:firstLineChars="100"/>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1"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w:t>
            </w:r>
          </w:p>
        </w:tc>
        <w:tc>
          <w:tcPr>
            <w:tcW w:w="1100" w:type="dxa"/>
            <w:vAlign w:val="center"/>
          </w:tcPr>
          <w:p>
            <w:pPr>
              <w:rPr>
                <w:rFonts w:ascii="Times New Roman" w:hAnsi="Times New Roman"/>
                <w:color w:val="auto"/>
                <w:spacing w:val="-10"/>
                <w:szCs w:val="21"/>
                <w:highlight w:val="none"/>
              </w:rPr>
            </w:pPr>
            <w:r>
              <w:rPr>
                <w:rFonts w:ascii="Times New Roman" w:hAnsi="Times New Roman"/>
                <w:color w:val="auto"/>
                <w:spacing w:val="-10"/>
                <w:szCs w:val="21"/>
                <w:highlight w:val="none"/>
              </w:rPr>
              <w:t>分部（分项）工程安全技术交底</w:t>
            </w:r>
          </w:p>
        </w:tc>
        <w:tc>
          <w:tcPr>
            <w:tcW w:w="4837" w:type="dxa"/>
            <w:vAlign w:val="center"/>
          </w:tcPr>
          <w:p>
            <w:pPr>
              <w:rPr>
                <w:rFonts w:ascii="Times New Roman" w:hAnsi="Times New Roman"/>
                <w:color w:val="auto"/>
                <w:szCs w:val="21"/>
                <w:highlight w:val="none"/>
              </w:rPr>
            </w:pPr>
            <w:r>
              <w:rPr>
                <w:rFonts w:ascii="Times New Roman" w:hAnsi="Times New Roman"/>
                <w:color w:val="auto"/>
                <w:szCs w:val="21"/>
                <w:highlight w:val="none"/>
              </w:rPr>
              <w:t>无书面安全技术交底的</w:t>
            </w:r>
          </w:p>
        </w:tc>
        <w:tc>
          <w:tcPr>
            <w:tcW w:w="1734" w:type="dxa"/>
            <w:vAlign w:val="center"/>
          </w:tcPr>
          <w:p>
            <w:pPr>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1"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7</w:t>
            </w:r>
          </w:p>
        </w:tc>
        <w:tc>
          <w:tcPr>
            <w:tcW w:w="1100" w:type="dxa"/>
            <w:vAlign w:val="center"/>
          </w:tcPr>
          <w:p>
            <w:pPr>
              <w:rPr>
                <w:rFonts w:ascii="Times New Roman" w:hAnsi="Times New Roman"/>
                <w:color w:val="auto"/>
                <w:szCs w:val="21"/>
                <w:highlight w:val="none"/>
              </w:rPr>
            </w:pPr>
            <w:r>
              <w:rPr>
                <w:rFonts w:ascii="Times New Roman" w:hAnsi="Times New Roman"/>
                <w:color w:val="auto"/>
                <w:szCs w:val="21"/>
                <w:highlight w:val="none"/>
              </w:rPr>
              <w:t>安全标志</w:t>
            </w:r>
          </w:p>
        </w:tc>
        <w:tc>
          <w:tcPr>
            <w:tcW w:w="4837" w:type="dxa"/>
            <w:vAlign w:val="center"/>
          </w:tcPr>
          <w:p>
            <w:pPr>
              <w:rPr>
                <w:rFonts w:ascii="Times New Roman" w:hAnsi="Times New Roman"/>
                <w:color w:val="auto"/>
                <w:szCs w:val="21"/>
                <w:highlight w:val="none"/>
              </w:rPr>
            </w:pPr>
            <w:r>
              <w:rPr>
                <w:rFonts w:ascii="Times New Roman" w:hAnsi="Times New Roman"/>
                <w:color w:val="auto"/>
                <w:szCs w:val="21"/>
                <w:highlight w:val="none"/>
              </w:rPr>
              <w:t>无现场安全标志平面图的</w:t>
            </w:r>
          </w:p>
          <w:p>
            <w:pPr>
              <w:rPr>
                <w:rFonts w:ascii="Times New Roman" w:hAnsi="Times New Roman"/>
                <w:color w:val="auto"/>
                <w:szCs w:val="21"/>
                <w:highlight w:val="none"/>
              </w:rPr>
            </w:pPr>
            <w:r>
              <w:rPr>
                <w:rFonts w:ascii="Times New Roman" w:hAnsi="Times New Roman"/>
                <w:color w:val="auto"/>
                <w:szCs w:val="21"/>
                <w:highlight w:val="none"/>
              </w:rPr>
              <w:t>现场未按安全标志平面图设置安全标志的</w:t>
            </w:r>
          </w:p>
        </w:tc>
        <w:tc>
          <w:tcPr>
            <w:tcW w:w="1734" w:type="dxa"/>
            <w:vAlign w:val="center"/>
          </w:tcPr>
          <w:p>
            <w:pPr>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1"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8</w:t>
            </w:r>
          </w:p>
        </w:tc>
        <w:tc>
          <w:tcPr>
            <w:tcW w:w="1100" w:type="dxa"/>
            <w:vAlign w:val="center"/>
          </w:tcPr>
          <w:p>
            <w:pPr>
              <w:rPr>
                <w:rFonts w:ascii="Times New Roman" w:hAnsi="Times New Roman"/>
                <w:color w:val="auto"/>
                <w:szCs w:val="21"/>
                <w:highlight w:val="none"/>
              </w:rPr>
            </w:pPr>
            <w:r>
              <w:rPr>
                <w:rFonts w:ascii="Times New Roman" w:hAnsi="Times New Roman"/>
                <w:color w:val="auto"/>
                <w:szCs w:val="21"/>
                <w:highlight w:val="none"/>
              </w:rPr>
              <w:t>班前安全活动</w:t>
            </w:r>
          </w:p>
        </w:tc>
        <w:tc>
          <w:tcPr>
            <w:tcW w:w="4837" w:type="dxa"/>
            <w:vAlign w:val="center"/>
          </w:tcPr>
          <w:p>
            <w:pPr>
              <w:rPr>
                <w:rFonts w:ascii="Times New Roman" w:hAnsi="Times New Roman"/>
                <w:color w:val="auto"/>
                <w:szCs w:val="21"/>
                <w:highlight w:val="none"/>
              </w:rPr>
            </w:pPr>
            <w:r>
              <w:rPr>
                <w:rFonts w:ascii="Times New Roman" w:hAnsi="Times New Roman"/>
                <w:color w:val="auto"/>
                <w:szCs w:val="21"/>
                <w:highlight w:val="none"/>
              </w:rPr>
              <w:t>未建立班前和每周安全活动制度的</w:t>
            </w:r>
          </w:p>
          <w:p>
            <w:pPr>
              <w:rPr>
                <w:rFonts w:ascii="Times New Roman" w:hAnsi="Times New Roman"/>
                <w:color w:val="auto"/>
                <w:szCs w:val="21"/>
                <w:highlight w:val="none"/>
              </w:rPr>
            </w:pPr>
            <w:r>
              <w:rPr>
                <w:rFonts w:ascii="Times New Roman" w:hAnsi="Times New Roman"/>
                <w:color w:val="auto"/>
                <w:szCs w:val="21"/>
                <w:highlight w:val="none"/>
              </w:rPr>
              <w:t>班前和每周安全活动无记录或记录不全的</w:t>
            </w:r>
          </w:p>
        </w:tc>
        <w:tc>
          <w:tcPr>
            <w:tcW w:w="1734" w:type="dxa"/>
            <w:vAlign w:val="center"/>
          </w:tcPr>
          <w:p>
            <w:pPr>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300元</w:t>
            </w:r>
          </w:p>
        </w:tc>
      </w:tr>
    </w:tbl>
    <w:p>
      <w:pPr>
        <w:autoSpaceDE w:val="0"/>
        <w:autoSpaceDN w:val="0"/>
        <w:adjustRightInd w:val="0"/>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B.“三宝”、“四口”、防护管理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158"/>
        <w:gridCol w:w="4724"/>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1" w:type="dxa"/>
            <w:vAlign w:val="center"/>
          </w:tcPr>
          <w:p>
            <w:pPr>
              <w:rPr>
                <w:rFonts w:ascii="Times New Roman" w:hAnsi="Times New Roman"/>
                <w:b/>
                <w:color w:val="auto"/>
                <w:szCs w:val="21"/>
                <w:highlight w:val="none"/>
              </w:rPr>
            </w:pPr>
            <w:r>
              <w:rPr>
                <w:rFonts w:ascii="Times New Roman" w:hAnsi="Times New Roman"/>
                <w:b/>
                <w:color w:val="auto"/>
                <w:szCs w:val="21"/>
                <w:highlight w:val="none"/>
              </w:rPr>
              <w:t>序号</w:t>
            </w:r>
          </w:p>
        </w:tc>
        <w:tc>
          <w:tcPr>
            <w:tcW w:w="1158" w:type="dxa"/>
            <w:vAlign w:val="center"/>
          </w:tcPr>
          <w:p>
            <w:pPr>
              <w:rPr>
                <w:rFonts w:ascii="Times New Roman" w:hAnsi="Times New Roman"/>
                <w:b/>
                <w:color w:val="auto"/>
                <w:szCs w:val="21"/>
                <w:highlight w:val="none"/>
              </w:rPr>
            </w:pPr>
            <w:r>
              <w:rPr>
                <w:rFonts w:ascii="Times New Roman" w:hAnsi="Times New Roman"/>
                <w:b/>
                <w:color w:val="auto"/>
                <w:szCs w:val="21"/>
                <w:highlight w:val="none"/>
              </w:rPr>
              <w:t>项目</w:t>
            </w:r>
          </w:p>
        </w:tc>
        <w:tc>
          <w:tcPr>
            <w:tcW w:w="4724" w:type="dxa"/>
            <w:vAlign w:val="center"/>
          </w:tcPr>
          <w:p>
            <w:pPr>
              <w:rPr>
                <w:rFonts w:ascii="Times New Roman" w:hAnsi="Times New Roman"/>
                <w:b/>
                <w:color w:val="auto"/>
                <w:szCs w:val="21"/>
                <w:highlight w:val="none"/>
              </w:rPr>
            </w:pPr>
            <w:r>
              <w:rPr>
                <w:rFonts w:ascii="Times New Roman" w:hAnsi="Times New Roman"/>
                <w:b/>
                <w:color w:val="auto"/>
                <w:szCs w:val="21"/>
                <w:highlight w:val="none"/>
              </w:rPr>
              <w:t>检查标准</w:t>
            </w:r>
          </w:p>
        </w:tc>
        <w:tc>
          <w:tcPr>
            <w:tcW w:w="1834" w:type="dxa"/>
            <w:vAlign w:val="center"/>
          </w:tcPr>
          <w:p>
            <w:pPr>
              <w:rPr>
                <w:rFonts w:ascii="Times New Roman" w:hAnsi="Times New Roman"/>
                <w:b/>
                <w:color w:val="auto"/>
                <w:szCs w:val="21"/>
                <w:highlight w:val="none"/>
              </w:rPr>
            </w:pPr>
            <w:r>
              <w:rPr>
                <w:rFonts w:ascii="Times New Roman" w:hAnsi="Times New Roman"/>
                <w:b/>
                <w:color w:val="auto"/>
                <w:szCs w:val="21"/>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1"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1</w:t>
            </w:r>
          </w:p>
        </w:tc>
        <w:tc>
          <w:tcPr>
            <w:tcW w:w="1158" w:type="dxa"/>
            <w:vAlign w:val="center"/>
          </w:tcPr>
          <w:p>
            <w:pPr>
              <w:rPr>
                <w:rFonts w:ascii="Times New Roman" w:hAnsi="Times New Roman"/>
                <w:color w:val="auto"/>
                <w:szCs w:val="21"/>
                <w:highlight w:val="none"/>
              </w:rPr>
            </w:pPr>
            <w:r>
              <w:rPr>
                <w:rFonts w:ascii="Times New Roman" w:hAnsi="Times New Roman"/>
                <w:color w:val="auto"/>
                <w:szCs w:val="21"/>
                <w:highlight w:val="none"/>
              </w:rPr>
              <w:t>安全帽</w:t>
            </w:r>
          </w:p>
        </w:tc>
        <w:tc>
          <w:tcPr>
            <w:tcW w:w="4724" w:type="dxa"/>
            <w:vAlign w:val="center"/>
          </w:tcPr>
          <w:p>
            <w:pPr>
              <w:rPr>
                <w:rFonts w:ascii="Times New Roman" w:hAnsi="Times New Roman"/>
                <w:color w:val="auto"/>
                <w:szCs w:val="21"/>
                <w:highlight w:val="none"/>
              </w:rPr>
            </w:pPr>
            <w:r>
              <w:rPr>
                <w:rFonts w:ascii="Times New Roman" w:hAnsi="Times New Roman"/>
                <w:color w:val="auto"/>
                <w:szCs w:val="21"/>
                <w:highlight w:val="none"/>
              </w:rPr>
              <w:t>不戴安全帽的; 未戴安全帽者，班组人员处罚50元/次，管理人员处罚100元/次。</w:t>
            </w:r>
          </w:p>
          <w:p>
            <w:pPr>
              <w:rPr>
                <w:rFonts w:ascii="Times New Roman" w:hAnsi="Times New Roman"/>
                <w:dstrike/>
                <w:color w:val="auto"/>
                <w:szCs w:val="21"/>
                <w:highlight w:val="none"/>
              </w:rPr>
            </w:pPr>
            <w:r>
              <w:rPr>
                <w:rFonts w:ascii="Times New Roman" w:hAnsi="Times New Roman"/>
                <w:color w:val="auto"/>
                <w:szCs w:val="21"/>
                <w:highlight w:val="none"/>
              </w:rPr>
              <w:t>安全帽不符合标准的（有效期、合格证）</w:t>
            </w:r>
          </w:p>
        </w:tc>
        <w:tc>
          <w:tcPr>
            <w:tcW w:w="1834"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1" w:type="dxa"/>
            <w:vMerge w:val="restart"/>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2</w:t>
            </w:r>
          </w:p>
        </w:tc>
        <w:tc>
          <w:tcPr>
            <w:tcW w:w="1158" w:type="dxa"/>
            <w:vMerge w:val="restart"/>
            <w:vAlign w:val="center"/>
          </w:tcPr>
          <w:p>
            <w:pPr>
              <w:rPr>
                <w:rFonts w:ascii="Times New Roman" w:hAnsi="Times New Roman"/>
                <w:color w:val="auto"/>
                <w:szCs w:val="21"/>
                <w:highlight w:val="none"/>
              </w:rPr>
            </w:pPr>
            <w:r>
              <w:rPr>
                <w:rFonts w:ascii="Times New Roman" w:hAnsi="Times New Roman"/>
                <w:color w:val="auto"/>
                <w:szCs w:val="21"/>
                <w:highlight w:val="none"/>
              </w:rPr>
              <w:t>安全网</w:t>
            </w:r>
          </w:p>
        </w:tc>
        <w:tc>
          <w:tcPr>
            <w:tcW w:w="4724" w:type="dxa"/>
            <w:vAlign w:val="center"/>
          </w:tcPr>
          <w:p>
            <w:pPr>
              <w:rPr>
                <w:rFonts w:ascii="Times New Roman" w:hAnsi="Times New Roman"/>
                <w:color w:val="auto"/>
                <w:szCs w:val="21"/>
                <w:highlight w:val="none"/>
              </w:rPr>
            </w:pPr>
            <w:r>
              <w:rPr>
                <w:rFonts w:ascii="Times New Roman" w:hAnsi="Times New Roman"/>
                <w:color w:val="auto"/>
                <w:szCs w:val="21"/>
                <w:highlight w:val="none"/>
              </w:rPr>
              <w:t>安全网规格、材质不符合要求，安全网未取得建筑安全监督部门生产许可证的</w:t>
            </w:r>
          </w:p>
        </w:tc>
        <w:tc>
          <w:tcPr>
            <w:tcW w:w="1834" w:type="dxa"/>
            <w:vAlign w:val="center"/>
          </w:tcPr>
          <w:p>
            <w:pPr>
              <w:jc w:val="center"/>
              <w:rPr>
                <w:rFonts w:ascii="Times New Roman" w:hAnsi="Times New Roman"/>
                <w:color w:val="auto"/>
                <w:szCs w:val="21"/>
                <w:highlight w:val="none"/>
              </w:rPr>
            </w:pPr>
          </w:p>
          <w:p>
            <w:pPr>
              <w:jc w:val="center"/>
              <w:rPr>
                <w:rFonts w:ascii="Times New Roman" w:hAnsi="Times New Roman"/>
                <w:color w:val="auto"/>
                <w:szCs w:val="21"/>
                <w:highlight w:val="none"/>
              </w:rPr>
            </w:pPr>
            <w:r>
              <w:rPr>
                <w:rFonts w:ascii="Times New Roman" w:hAnsi="Times New Roman"/>
                <w:color w:val="auto"/>
                <w:szCs w:val="21"/>
                <w:highlight w:val="none"/>
              </w:rPr>
              <w:t>2000元/项</w:t>
            </w:r>
          </w:p>
          <w:p>
            <w:pPr>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1" w:type="dxa"/>
            <w:vMerge w:val="continue"/>
            <w:vAlign w:val="center"/>
          </w:tcPr>
          <w:p>
            <w:pPr>
              <w:jc w:val="center"/>
              <w:rPr>
                <w:rFonts w:ascii="Times New Roman" w:hAnsi="Times New Roman"/>
                <w:color w:val="auto"/>
                <w:szCs w:val="21"/>
                <w:highlight w:val="none"/>
              </w:rPr>
            </w:pPr>
          </w:p>
        </w:tc>
        <w:tc>
          <w:tcPr>
            <w:tcW w:w="1158" w:type="dxa"/>
            <w:vMerge w:val="continue"/>
            <w:vAlign w:val="center"/>
          </w:tcPr>
          <w:p>
            <w:pPr>
              <w:rPr>
                <w:rFonts w:ascii="Times New Roman" w:hAnsi="Times New Roman"/>
                <w:color w:val="auto"/>
                <w:szCs w:val="21"/>
                <w:highlight w:val="none"/>
              </w:rPr>
            </w:pPr>
          </w:p>
        </w:tc>
        <w:tc>
          <w:tcPr>
            <w:tcW w:w="4724" w:type="dxa"/>
            <w:vAlign w:val="center"/>
          </w:tcPr>
          <w:p>
            <w:pPr>
              <w:rPr>
                <w:rFonts w:ascii="Times New Roman" w:hAnsi="Times New Roman"/>
                <w:color w:val="auto"/>
                <w:szCs w:val="21"/>
                <w:highlight w:val="none"/>
              </w:rPr>
            </w:pPr>
            <w:r>
              <w:rPr>
                <w:rFonts w:ascii="Times New Roman" w:hAnsi="Times New Roman"/>
                <w:color w:val="auto"/>
                <w:szCs w:val="21"/>
                <w:highlight w:val="none"/>
              </w:rPr>
              <w:t>安全网未能满足进度要求的，擅自损坏、拆除、移动安全防护装置、安全标志、警示牌的</w:t>
            </w:r>
          </w:p>
        </w:tc>
        <w:tc>
          <w:tcPr>
            <w:tcW w:w="1834"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500~1500元/次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1" w:type="dxa"/>
            <w:tcBorders>
              <w:bottom w:val="single" w:color="auto" w:sz="4" w:space="0"/>
            </w:tcBorders>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3</w:t>
            </w:r>
          </w:p>
        </w:tc>
        <w:tc>
          <w:tcPr>
            <w:tcW w:w="1158" w:type="dxa"/>
            <w:tcBorders>
              <w:bottom w:val="single" w:color="auto" w:sz="4" w:space="0"/>
            </w:tcBorders>
            <w:vAlign w:val="center"/>
          </w:tcPr>
          <w:p>
            <w:pPr>
              <w:rPr>
                <w:rFonts w:ascii="Times New Roman" w:hAnsi="Times New Roman"/>
                <w:color w:val="auto"/>
                <w:szCs w:val="21"/>
                <w:highlight w:val="none"/>
              </w:rPr>
            </w:pPr>
            <w:r>
              <w:rPr>
                <w:rFonts w:ascii="Times New Roman" w:hAnsi="Times New Roman"/>
                <w:color w:val="auto"/>
                <w:szCs w:val="21"/>
                <w:highlight w:val="none"/>
              </w:rPr>
              <w:t>安全带</w:t>
            </w:r>
          </w:p>
        </w:tc>
        <w:tc>
          <w:tcPr>
            <w:tcW w:w="4724" w:type="dxa"/>
            <w:tcBorders>
              <w:bottom w:val="single" w:color="auto" w:sz="4" w:space="0"/>
            </w:tcBorders>
            <w:vAlign w:val="center"/>
          </w:tcPr>
          <w:p>
            <w:pPr>
              <w:rPr>
                <w:rFonts w:ascii="Times New Roman" w:hAnsi="Times New Roman"/>
                <w:color w:val="auto"/>
                <w:szCs w:val="21"/>
                <w:highlight w:val="none"/>
              </w:rPr>
            </w:pPr>
            <w:r>
              <w:rPr>
                <w:rFonts w:ascii="Times New Roman" w:hAnsi="Times New Roman"/>
                <w:color w:val="auto"/>
                <w:szCs w:val="21"/>
                <w:highlight w:val="none"/>
              </w:rPr>
              <w:t>高处作业未系安全带的</w:t>
            </w:r>
          </w:p>
          <w:p>
            <w:pPr>
              <w:rPr>
                <w:rFonts w:ascii="Times New Roman" w:hAnsi="Times New Roman"/>
                <w:color w:val="auto"/>
                <w:szCs w:val="21"/>
                <w:highlight w:val="none"/>
              </w:rPr>
            </w:pPr>
            <w:r>
              <w:rPr>
                <w:rFonts w:ascii="Times New Roman" w:hAnsi="Times New Roman"/>
                <w:color w:val="auto"/>
                <w:szCs w:val="21"/>
                <w:highlight w:val="none"/>
              </w:rPr>
              <w:t>高处作业安全带系扣不符合要求的</w:t>
            </w:r>
          </w:p>
          <w:p>
            <w:pPr>
              <w:rPr>
                <w:rFonts w:ascii="Times New Roman" w:hAnsi="Times New Roman"/>
                <w:color w:val="auto"/>
                <w:szCs w:val="21"/>
                <w:highlight w:val="none"/>
              </w:rPr>
            </w:pPr>
            <w:r>
              <w:rPr>
                <w:rFonts w:ascii="Times New Roman" w:hAnsi="Times New Roman"/>
                <w:color w:val="auto"/>
                <w:szCs w:val="21"/>
                <w:highlight w:val="none"/>
              </w:rPr>
              <w:t>安全带不符合生产标准要求的</w:t>
            </w:r>
          </w:p>
        </w:tc>
        <w:tc>
          <w:tcPr>
            <w:tcW w:w="1834" w:type="dxa"/>
            <w:tcBorders>
              <w:bottom w:val="single" w:color="auto" w:sz="4" w:space="0"/>
            </w:tcBorders>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1" w:type="dxa"/>
            <w:tcBorders>
              <w:bottom w:val="single" w:color="auto" w:sz="4" w:space="0"/>
            </w:tcBorders>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4</w:t>
            </w:r>
          </w:p>
        </w:tc>
        <w:tc>
          <w:tcPr>
            <w:tcW w:w="1158" w:type="dxa"/>
            <w:tcBorders>
              <w:bottom w:val="single" w:color="auto" w:sz="4" w:space="0"/>
            </w:tcBorders>
            <w:vAlign w:val="center"/>
          </w:tcPr>
          <w:p>
            <w:pPr>
              <w:rPr>
                <w:rFonts w:ascii="Times New Roman" w:hAnsi="Times New Roman"/>
                <w:color w:val="auto"/>
                <w:szCs w:val="21"/>
                <w:highlight w:val="none"/>
              </w:rPr>
            </w:pPr>
            <w:r>
              <w:rPr>
                <w:rFonts w:ascii="Times New Roman" w:hAnsi="Times New Roman"/>
                <w:color w:val="auto"/>
                <w:szCs w:val="21"/>
                <w:highlight w:val="none"/>
              </w:rPr>
              <w:t>楼梯口、电梯井口防护</w:t>
            </w:r>
          </w:p>
        </w:tc>
        <w:tc>
          <w:tcPr>
            <w:tcW w:w="4724" w:type="dxa"/>
            <w:tcBorders>
              <w:bottom w:val="single" w:color="auto" w:sz="4" w:space="0"/>
            </w:tcBorders>
            <w:vAlign w:val="center"/>
          </w:tcPr>
          <w:p>
            <w:pPr>
              <w:rPr>
                <w:rFonts w:ascii="Times New Roman" w:hAnsi="Times New Roman"/>
                <w:color w:val="auto"/>
                <w:szCs w:val="21"/>
                <w:highlight w:val="none"/>
              </w:rPr>
            </w:pPr>
            <w:r>
              <w:rPr>
                <w:rFonts w:ascii="Times New Roman" w:hAnsi="Times New Roman"/>
                <w:color w:val="auto"/>
                <w:szCs w:val="21"/>
                <w:highlight w:val="none"/>
              </w:rPr>
              <w:t>楼梯口、电梯井口无安全防护</w:t>
            </w:r>
          </w:p>
          <w:p>
            <w:pPr>
              <w:rPr>
                <w:rFonts w:ascii="Times New Roman" w:hAnsi="Times New Roman"/>
                <w:color w:val="auto"/>
                <w:szCs w:val="21"/>
                <w:highlight w:val="none"/>
              </w:rPr>
            </w:pPr>
            <w:r>
              <w:rPr>
                <w:rFonts w:ascii="Times New Roman" w:hAnsi="Times New Roman"/>
                <w:color w:val="auto"/>
                <w:szCs w:val="21"/>
                <w:highlight w:val="none"/>
              </w:rPr>
              <w:t>防护措施不符合要求或不严密的</w:t>
            </w:r>
          </w:p>
          <w:p>
            <w:pPr>
              <w:rPr>
                <w:rFonts w:ascii="Times New Roman" w:hAnsi="Times New Roman"/>
                <w:color w:val="auto"/>
                <w:szCs w:val="21"/>
                <w:highlight w:val="none"/>
              </w:rPr>
            </w:pPr>
            <w:r>
              <w:rPr>
                <w:rFonts w:ascii="Times New Roman" w:hAnsi="Times New Roman"/>
                <w:color w:val="auto"/>
                <w:szCs w:val="21"/>
                <w:highlight w:val="none"/>
              </w:rPr>
              <w:t>电梯井内每隔两层（不大于10m）无平网的</w:t>
            </w:r>
          </w:p>
        </w:tc>
        <w:tc>
          <w:tcPr>
            <w:tcW w:w="1834" w:type="dxa"/>
            <w:tcBorders>
              <w:bottom w:val="single" w:color="auto" w:sz="4" w:space="0"/>
            </w:tcBorders>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1"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5</w:t>
            </w:r>
          </w:p>
        </w:tc>
        <w:tc>
          <w:tcPr>
            <w:tcW w:w="1158" w:type="dxa"/>
            <w:vAlign w:val="center"/>
          </w:tcPr>
          <w:p>
            <w:pPr>
              <w:rPr>
                <w:rFonts w:ascii="Times New Roman" w:hAnsi="Times New Roman"/>
                <w:color w:val="auto"/>
                <w:szCs w:val="21"/>
                <w:highlight w:val="none"/>
              </w:rPr>
            </w:pPr>
            <w:r>
              <w:rPr>
                <w:rFonts w:ascii="Times New Roman" w:hAnsi="Times New Roman"/>
                <w:color w:val="auto"/>
                <w:szCs w:val="21"/>
                <w:highlight w:val="none"/>
              </w:rPr>
              <w:t>预留洞口（管</w:t>
            </w:r>
          </w:p>
          <w:p>
            <w:pPr>
              <w:rPr>
                <w:rFonts w:ascii="Times New Roman" w:hAnsi="Times New Roman"/>
                <w:color w:val="auto"/>
                <w:szCs w:val="21"/>
                <w:highlight w:val="none"/>
              </w:rPr>
            </w:pPr>
            <w:r>
              <w:rPr>
                <w:rFonts w:ascii="Times New Roman" w:hAnsi="Times New Roman"/>
                <w:color w:val="auto"/>
                <w:szCs w:val="21"/>
                <w:highlight w:val="none"/>
              </w:rPr>
              <w:t>井口、坑井口）防护</w:t>
            </w:r>
          </w:p>
        </w:tc>
        <w:tc>
          <w:tcPr>
            <w:tcW w:w="4724" w:type="dxa"/>
            <w:vAlign w:val="center"/>
          </w:tcPr>
          <w:p>
            <w:pPr>
              <w:rPr>
                <w:rFonts w:ascii="Times New Roman" w:hAnsi="Times New Roman"/>
                <w:color w:val="auto"/>
                <w:szCs w:val="21"/>
                <w:highlight w:val="none"/>
              </w:rPr>
            </w:pPr>
            <w:r>
              <w:rPr>
                <w:rFonts w:ascii="Times New Roman" w:hAnsi="Times New Roman"/>
                <w:color w:val="auto"/>
                <w:szCs w:val="21"/>
                <w:highlight w:val="none"/>
              </w:rPr>
              <w:t>无有效的安全防护措施的</w:t>
            </w:r>
          </w:p>
          <w:p>
            <w:pPr>
              <w:rPr>
                <w:rFonts w:ascii="Times New Roman" w:hAnsi="Times New Roman"/>
                <w:color w:val="auto"/>
                <w:szCs w:val="21"/>
                <w:highlight w:val="none"/>
              </w:rPr>
            </w:pPr>
            <w:r>
              <w:rPr>
                <w:rFonts w:ascii="Times New Roman" w:hAnsi="Times New Roman"/>
                <w:color w:val="auto"/>
                <w:szCs w:val="21"/>
                <w:highlight w:val="none"/>
              </w:rPr>
              <w:t>措施不符合要求或不严密的</w:t>
            </w:r>
          </w:p>
        </w:tc>
        <w:tc>
          <w:tcPr>
            <w:tcW w:w="1834"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1"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w:t>
            </w:r>
          </w:p>
        </w:tc>
        <w:tc>
          <w:tcPr>
            <w:tcW w:w="1158" w:type="dxa"/>
            <w:vAlign w:val="center"/>
          </w:tcPr>
          <w:p>
            <w:pPr>
              <w:rPr>
                <w:rFonts w:ascii="Times New Roman" w:hAnsi="Times New Roman"/>
                <w:color w:val="auto"/>
                <w:spacing w:val="-10"/>
                <w:szCs w:val="21"/>
                <w:highlight w:val="none"/>
              </w:rPr>
            </w:pPr>
            <w:r>
              <w:rPr>
                <w:rFonts w:ascii="Times New Roman" w:hAnsi="Times New Roman"/>
                <w:color w:val="auto"/>
                <w:spacing w:val="-10"/>
                <w:szCs w:val="21"/>
                <w:highlight w:val="none"/>
              </w:rPr>
              <w:t>通道口、提升架出入口、加工区防护</w:t>
            </w:r>
          </w:p>
        </w:tc>
        <w:tc>
          <w:tcPr>
            <w:tcW w:w="4724" w:type="dxa"/>
            <w:vAlign w:val="center"/>
          </w:tcPr>
          <w:p>
            <w:pPr>
              <w:rPr>
                <w:rFonts w:ascii="Times New Roman" w:hAnsi="Times New Roman"/>
                <w:color w:val="auto"/>
                <w:szCs w:val="21"/>
                <w:highlight w:val="none"/>
              </w:rPr>
            </w:pPr>
            <w:r>
              <w:rPr>
                <w:rFonts w:ascii="Times New Roman" w:hAnsi="Times New Roman"/>
                <w:color w:val="auto"/>
                <w:szCs w:val="21"/>
                <w:highlight w:val="none"/>
              </w:rPr>
              <w:t>无防护棚的</w:t>
            </w:r>
          </w:p>
          <w:p>
            <w:pPr>
              <w:rPr>
                <w:rFonts w:ascii="Times New Roman" w:hAnsi="Times New Roman"/>
                <w:color w:val="auto"/>
                <w:szCs w:val="21"/>
                <w:highlight w:val="none"/>
              </w:rPr>
            </w:pPr>
            <w:r>
              <w:rPr>
                <w:rFonts w:ascii="Times New Roman" w:hAnsi="Times New Roman"/>
                <w:color w:val="auto"/>
                <w:szCs w:val="21"/>
                <w:highlight w:val="none"/>
              </w:rPr>
              <w:t>防护不严的</w:t>
            </w:r>
          </w:p>
          <w:p>
            <w:pPr>
              <w:rPr>
                <w:rFonts w:ascii="Times New Roman" w:hAnsi="Times New Roman"/>
                <w:color w:val="auto"/>
                <w:szCs w:val="21"/>
                <w:highlight w:val="none"/>
              </w:rPr>
            </w:pPr>
            <w:r>
              <w:rPr>
                <w:rFonts w:ascii="Times New Roman" w:hAnsi="Times New Roman"/>
                <w:color w:val="auto"/>
                <w:szCs w:val="21"/>
                <w:highlight w:val="none"/>
              </w:rPr>
              <w:t>防护棚不牢固、材质不符合要求的</w:t>
            </w:r>
          </w:p>
        </w:tc>
        <w:tc>
          <w:tcPr>
            <w:tcW w:w="1834"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1"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7</w:t>
            </w:r>
          </w:p>
        </w:tc>
        <w:tc>
          <w:tcPr>
            <w:tcW w:w="1158" w:type="dxa"/>
            <w:vAlign w:val="center"/>
          </w:tcPr>
          <w:p>
            <w:pPr>
              <w:rPr>
                <w:rFonts w:ascii="Times New Roman" w:hAnsi="Times New Roman"/>
                <w:color w:val="auto"/>
                <w:szCs w:val="21"/>
                <w:highlight w:val="none"/>
              </w:rPr>
            </w:pPr>
            <w:r>
              <w:rPr>
                <w:rFonts w:ascii="Times New Roman" w:hAnsi="Times New Roman"/>
                <w:color w:val="auto"/>
                <w:szCs w:val="21"/>
                <w:highlight w:val="none"/>
              </w:rPr>
              <w:t>阳台、楼板、屋面、脚手架、通道口等临边防护．</w:t>
            </w:r>
          </w:p>
        </w:tc>
        <w:tc>
          <w:tcPr>
            <w:tcW w:w="4724" w:type="dxa"/>
            <w:vAlign w:val="center"/>
          </w:tcPr>
          <w:p>
            <w:pPr>
              <w:rPr>
                <w:rFonts w:ascii="Times New Roman" w:hAnsi="Times New Roman"/>
                <w:color w:val="auto"/>
                <w:szCs w:val="21"/>
                <w:highlight w:val="none"/>
              </w:rPr>
            </w:pPr>
            <w:r>
              <w:rPr>
                <w:rFonts w:ascii="Times New Roman" w:hAnsi="Times New Roman"/>
                <w:color w:val="auto"/>
                <w:szCs w:val="21"/>
                <w:highlight w:val="none"/>
              </w:rPr>
              <w:t>无有效安全措施的</w:t>
            </w:r>
          </w:p>
          <w:p>
            <w:pPr>
              <w:rPr>
                <w:rFonts w:ascii="Times New Roman" w:hAnsi="Times New Roman"/>
                <w:color w:val="auto"/>
                <w:szCs w:val="21"/>
                <w:highlight w:val="none"/>
              </w:rPr>
            </w:pPr>
            <w:r>
              <w:rPr>
                <w:rFonts w:ascii="Times New Roman" w:hAnsi="Times New Roman"/>
                <w:color w:val="auto"/>
                <w:szCs w:val="21"/>
                <w:highlight w:val="none"/>
              </w:rPr>
              <w:t>临边防护不符合要求的</w:t>
            </w:r>
          </w:p>
        </w:tc>
        <w:tc>
          <w:tcPr>
            <w:tcW w:w="1834"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1"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8</w:t>
            </w:r>
          </w:p>
        </w:tc>
        <w:tc>
          <w:tcPr>
            <w:tcW w:w="1158" w:type="dxa"/>
            <w:vAlign w:val="center"/>
          </w:tcPr>
          <w:p>
            <w:pPr>
              <w:rPr>
                <w:rFonts w:ascii="Times New Roman" w:hAnsi="Times New Roman"/>
                <w:color w:val="auto"/>
                <w:szCs w:val="21"/>
                <w:highlight w:val="none"/>
              </w:rPr>
            </w:pPr>
            <w:r>
              <w:rPr>
                <w:rFonts w:ascii="Times New Roman" w:hAnsi="Times New Roman"/>
                <w:color w:val="auto"/>
                <w:szCs w:val="21"/>
                <w:highlight w:val="none"/>
              </w:rPr>
              <w:t>外脚手架</w:t>
            </w:r>
          </w:p>
        </w:tc>
        <w:tc>
          <w:tcPr>
            <w:tcW w:w="4724" w:type="dxa"/>
            <w:vAlign w:val="center"/>
          </w:tcPr>
          <w:p>
            <w:pPr>
              <w:rPr>
                <w:rFonts w:ascii="Times New Roman" w:hAnsi="Times New Roman"/>
                <w:color w:val="auto"/>
                <w:szCs w:val="21"/>
                <w:highlight w:val="none"/>
              </w:rPr>
            </w:pPr>
            <w:r>
              <w:rPr>
                <w:rFonts w:ascii="Times New Roman" w:hAnsi="Times New Roman"/>
                <w:color w:val="auto"/>
                <w:szCs w:val="21"/>
                <w:highlight w:val="none"/>
              </w:rPr>
              <w:t>未能按照施工组织设计搭设的</w:t>
            </w:r>
          </w:p>
          <w:p>
            <w:pPr>
              <w:rPr>
                <w:rFonts w:ascii="Times New Roman" w:hAnsi="Times New Roman"/>
                <w:color w:val="auto"/>
                <w:szCs w:val="21"/>
                <w:highlight w:val="none"/>
              </w:rPr>
            </w:pPr>
            <w:r>
              <w:rPr>
                <w:rFonts w:ascii="Times New Roman" w:hAnsi="Times New Roman"/>
                <w:color w:val="auto"/>
                <w:szCs w:val="21"/>
                <w:highlight w:val="none"/>
              </w:rPr>
              <w:t>外脚手架未能跟上施工进度的，脚手架未满挂安全网</w:t>
            </w:r>
          </w:p>
          <w:p>
            <w:pPr>
              <w:rPr>
                <w:rFonts w:ascii="Times New Roman" w:hAnsi="Times New Roman"/>
                <w:color w:val="auto"/>
                <w:szCs w:val="21"/>
                <w:highlight w:val="none"/>
              </w:rPr>
            </w:pPr>
            <w:r>
              <w:rPr>
                <w:rFonts w:ascii="Times New Roman" w:hAnsi="Times New Roman"/>
                <w:color w:val="auto"/>
                <w:szCs w:val="21"/>
                <w:highlight w:val="none"/>
              </w:rPr>
              <w:t>擅自拆除连墙件、大小横杆、立杆的</w:t>
            </w:r>
          </w:p>
          <w:p>
            <w:pPr>
              <w:rPr>
                <w:rFonts w:ascii="Times New Roman" w:hAnsi="Times New Roman"/>
                <w:color w:val="auto"/>
                <w:szCs w:val="21"/>
                <w:highlight w:val="none"/>
              </w:rPr>
            </w:pPr>
            <w:r>
              <w:rPr>
                <w:rFonts w:ascii="Times New Roman" w:hAnsi="Times New Roman"/>
                <w:color w:val="auto"/>
                <w:szCs w:val="21"/>
                <w:highlight w:val="none"/>
              </w:rPr>
              <w:t>堆放材料，存在安全隐患或阻塞通道的</w:t>
            </w:r>
          </w:p>
        </w:tc>
        <w:tc>
          <w:tcPr>
            <w:tcW w:w="1834"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1"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9</w:t>
            </w:r>
          </w:p>
        </w:tc>
        <w:tc>
          <w:tcPr>
            <w:tcW w:w="1158" w:type="dxa"/>
            <w:vAlign w:val="center"/>
          </w:tcPr>
          <w:p>
            <w:pPr>
              <w:rPr>
                <w:rFonts w:ascii="Times New Roman" w:hAnsi="Times New Roman"/>
                <w:color w:val="auto"/>
                <w:szCs w:val="21"/>
                <w:highlight w:val="none"/>
              </w:rPr>
            </w:pPr>
            <w:r>
              <w:rPr>
                <w:rFonts w:ascii="Times New Roman" w:hAnsi="Times New Roman"/>
                <w:color w:val="auto"/>
                <w:szCs w:val="21"/>
                <w:highlight w:val="none"/>
              </w:rPr>
              <w:t>模板工程</w:t>
            </w:r>
          </w:p>
        </w:tc>
        <w:tc>
          <w:tcPr>
            <w:tcW w:w="4724" w:type="dxa"/>
            <w:vAlign w:val="center"/>
          </w:tcPr>
          <w:p>
            <w:pPr>
              <w:rPr>
                <w:rFonts w:ascii="Times New Roman" w:hAnsi="Times New Roman"/>
                <w:color w:val="auto"/>
                <w:szCs w:val="21"/>
                <w:highlight w:val="none"/>
              </w:rPr>
            </w:pPr>
            <w:r>
              <w:rPr>
                <w:rFonts w:ascii="Times New Roman" w:hAnsi="Times New Roman"/>
                <w:color w:val="auto"/>
                <w:szCs w:val="21"/>
                <w:highlight w:val="none"/>
              </w:rPr>
              <w:t>未按照施工组织设计进行搭设的</w:t>
            </w:r>
          </w:p>
          <w:p>
            <w:pPr>
              <w:rPr>
                <w:rFonts w:ascii="Times New Roman" w:hAnsi="Times New Roman"/>
                <w:color w:val="auto"/>
                <w:szCs w:val="21"/>
                <w:highlight w:val="none"/>
              </w:rPr>
            </w:pPr>
            <w:r>
              <w:rPr>
                <w:rFonts w:ascii="Times New Roman" w:hAnsi="Times New Roman"/>
                <w:color w:val="auto"/>
                <w:szCs w:val="21"/>
                <w:highlight w:val="none"/>
              </w:rPr>
              <w:t>擅自拆模或拆模管理不到位的</w:t>
            </w:r>
          </w:p>
        </w:tc>
        <w:tc>
          <w:tcPr>
            <w:tcW w:w="1834"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200~1000/处</w:t>
            </w:r>
          </w:p>
        </w:tc>
      </w:tr>
    </w:tbl>
    <w:p>
      <w:pPr>
        <w:autoSpaceDE w:val="0"/>
        <w:autoSpaceDN w:val="0"/>
        <w:adjustRightInd w:val="0"/>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 xml:space="preserve">C、施工用电管理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063"/>
        <w:gridCol w:w="4962"/>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03" w:type="dxa"/>
            <w:vAlign w:val="center"/>
          </w:tcPr>
          <w:p>
            <w:pPr>
              <w:rPr>
                <w:rFonts w:ascii="Times New Roman" w:hAnsi="Times New Roman"/>
                <w:color w:val="auto"/>
                <w:szCs w:val="21"/>
                <w:highlight w:val="none"/>
              </w:rPr>
            </w:pPr>
            <w:r>
              <w:rPr>
                <w:rFonts w:ascii="Times New Roman" w:hAnsi="Times New Roman"/>
                <w:b/>
                <w:color w:val="auto"/>
                <w:szCs w:val="21"/>
                <w:highlight w:val="none"/>
              </w:rPr>
              <w:t>序号</w:t>
            </w:r>
          </w:p>
        </w:tc>
        <w:tc>
          <w:tcPr>
            <w:tcW w:w="1063" w:type="dxa"/>
            <w:vAlign w:val="center"/>
          </w:tcPr>
          <w:p>
            <w:pPr>
              <w:rPr>
                <w:rFonts w:ascii="Times New Roman" w:hAnsi="Times New Roman"/>
                <w:color w:val="auto"/>
                <w:szCs w:val="21"/>
                <w:highlight w:val="none"/>
              </w:rPr>
            </w:pPr>
            <w:r>
              <w:rPr>
                <w:rFonts w:ascii="Times New Roman" w:hAnsi="Times New Roman"/>
                <w:b/>
                <w:color w:val="auto"/>
                <w:szCs w:val="21"/>
                <w:highlight w:val="none"/>
              </w:rPr>
              <w:t>项目</w:t>
            </w:r>
          </w:p>
        </w:tc>
        <w:tc>
          <w:tcPr>
            <w:tcW w:w="4962" w:type="dxa"/>
            <w:vAlign w:val="center"/>
          </w:tcPr>
          <w:p>
            <w:pPr>
              <w:rPr>
                <w:rFonts w:ascii="Times New Roman" w:hAnsi="Times New Roman"/>
                <w:color w:val="auto"/>
                <w:szCs w:val="21"/>
                <w:highlight w:val="none"/>
              </w:rPr>
            </w:pPr>
            <w:r>
              <w:rPr>
                <w:rFonts w:ascii="Times New Roman" w:hAnsi="Times New Roman"/>
                <w:b/>
                <w:color w:val="auto"/>
                <w:szCs w:val="21"/>
                <w:highlight w:val="none"/>
              </w:rPr>
              <w:t>检查标准</w:t>
            </w:r>
          </w:p>
        </w:tc>
        <w:tc>
          <w:tcPr>
            <w:tcW w:w="1713" w:type="dxa"/>
            <w:vAlign w:val="center"/>
          </w:tcPr>
          <w:p>
            <w:pPr>
              <w:rPr>
                <w:rFonts w:ascii="Times New Roman" w:hAnsi="Times New Roman"/>
                <w:color w:val="auto"/>
                <w:szCs w:val="21"/>
                <w:highlight w:val="none"/>
              </w:rPr>
            </w:pPr>
            <w:r>
              <w:rPr>
                <w:rFonts w:ascii="Times New Roman" w:hAnsi="Times New Roman"/>
                <w:b/>
                <w:color w:val="auto"/>
                <w:szCs w:val="21"/>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03"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1</w:t>
            </w:r>
          </w:p>
        </w:tc>
        <w:tc>
          <w:tcPr>
            <w:tcW w:w="1063" w:type="dxa"/>
            <w:vAlign w:val="center"/>
          </w:tcPr>
          <w:p>
            <w:pPr>
              <w:rPr>
                <w:rFonts w:ascii="Times New Roman" w:hAnsi="Times New Roman"/>
                <w:color w:val="auto"/>
                <w:szCs w:val="21"/>
                <w:highlight w:val="none"/>
              </w:rPr>
            </w:pPr>
            <w:r>
              <w:rPr>
                <w:rFonts w:ascii="Times New Roman" w:hAnsi="Times New Roman"/>
                <w:color w:val="auto"/>
                <w:szCs w:val="21"/>
                <w:highlight w:val="none"/>
              </w:rPr>
              <w:t>接地与接零保护系统</w:t>
            </w:r>
          </w:p>
        </w:tc>
        <w:tc>
          <w:tcPr>
            <w:tcW w:w="4962" w:type="dxa"/>
            <w:vAlign w:val="center"/>
          </w:tcPr>
          <w:p>
            <w:pPr>
              <w:rPr>
                <w:rFonts w:ascii="Times New Roman" w:hAnsi="Times New Roman"/>
                <w:color w:val="auto"/>
                <w:szCs w:val="21"/>
                <w:highlight w:val="none"/>
              </w:rPr>
            </w:pPr>
            <w:r>
              <w:rPr>
                <w:rFonts w:ascii="Times New Roman" w:hAnsi="Times New Roman"/>
                <w:color w:val="auto"/>
                <w:szCs w:val="21"/>
                <w:highlight w:val="none"/>
              </w:rPr>
              <w:t>未采用三相五线制的</w:t>
            </w:r>
          </w:p>
          <w:p>
            <w:pPr>
              <w:rPr>
                <w:rFonts w:ascii="Times New Roman" w:hAnsi="Times New Roman"/>
                <w:color w:val="auto"/>
                <w:szCs w:val="21"/>
                <w:highlight w:val="none"/>
              </w:rPr>
            </w:pPr>
            <w:r>
              <w:rPr>
                <w:rFonts w:ascii="Times New Roman" w:hAnsi="Times New Roman"/>
                <w:color w:val="auto"/>
                <w:szCs w:val="21"/>
                <w:highlight w:val="none"/>
              </w:rPr>
              <w:t>工作接地与重复接地不符合要求的</w:t>
            </w:r>
          </w:p>
          <w:p>
            <w:pPr>
              <w:rPr>
                <w:rFonts w:ascii="Times New Roman" w:hAnsi="Times New Roman"/>
                <w:color w:val="auto"/>
                <w:szCs w:val="21"/>
                <w:highlight w:val="none"/>
              </w:rPr>
            </w:pPr>
            <w:r>
              <w:rPr>
                <w:rFonts w:ascii="Times New Roman" w:hAnsi="Times New Roman"/>
                <w:color w:val="auto"/>
                <w:szCs w:val="21"/>
                <w:highlight w:val="none"/>
              </w:rPr>
              <w:t>专用保护零线设置不符合要求的</w:t>
            </w:r>
          </w:p>
          <w:p>
            <w:pPr>
              <w:rPr>
                <w:rFonts w:ascii="Times New Roman" w:hAnsi="Times New Roman"/>
                <w:color w:val="auto"/>
                <w:szCs w:val="21"/>
                <w:highlight w:val="none"/>
              </w:rPr>
            </w:pPr>
            <w:r>
              <w:rPr>
                <w:rFonts w:ascii="Times New Roman" w:hAnsi="Times New Roman"/>
                <w:color w:val="auto"/>
                <w:szCs w:val="21"/>
                <w:highlight w:val="none"/>
              </w:rPr>
              <w:t>保护零线与工作零线混合接口的</w:t>
            </w:r>
          </w:p>
        </w:tc>
        <w:tc>
          <w:tcPr>
            <w:tcW w:w="1713"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03" w:type="dxa"/>
            <w:tcBorders>
              <w:bottom w:val="single" w:color="auto" w:sz="4" w:space="0"/>
            </w:tcBorders>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2</w:t>
            </w:r>
          </w:p>
        </w:tc>
        <w:tc>
          <w:tcPr>
            <w:tcW w:w="1063" w:type="dxa"/>
            <w:tcBorders>
              <w:bottom w:val="single" w:color="auto" w:sz="4" w:space="0"/>
            </w:tcBorders>
            <w:vAlign w:val="center"/>
          </w:tcPr>
          <w:p>
            <w:pPr>
              <w:rPr>
                <w:rFonts w:ascii="Times New Roman" w:hAnsi="Times New Roman"/>
                <w:color w:val="auto"/>
                <w:szCs w:val="21"/>
                <w:highlight w:val="none"/>
              </w:rPr>
            </w:pPr>
            <w:r>
              <w:rPr>
                <w:rFonts w:ascii="Times New Roman" w:hAnsi="Times New Roman"/>
                <w:color w:val="auto"/>
                <w:szCs w:val="21"/>
                <w:highlight w:val="none"/>
              </w:rPr>
              <w:t>配电箱开关箱</w:t>
            </w:r>
          </w:p>
        </w:tc>
        <w:tc>
          <w:tcPr>
            <w:tcW w:w="4962" w:type="dxa"/>
            <w:tcBorders>
              <w:bottom w:val="single" w:color="auto" w:sz="4" w:space="0"/>
            </w:tcBorders>
            <w:vAlign w:val="center"/>
          </w:tcPr>
          <w:p>
            <w:pPr>
              <w:rPr>
                <w:rFonts w:ascii="Times New Roman" w:hAnsi="Times New Roman"/>
                <w:color w:val="auto"/>
                <w:szCs w:val="21"/>
                <w:highlight w:val="none"/>
              </w:rPr>
            </w:pPr>
            <w:r>
              <w:rPr>
                <w:rFonts w:ascii="Times New Roman" w:hAnsi="Times New Roman"/>
                <w:color w:val="auto"/>
                <w:szCs w:val="21"/>
                <w:highlight w:val="none"/>
              </w:rPr>
              <w:t>不符合“三级配电两级保护”要求的</w:t>
            </w:r>
          </w:p>
          <w:p>
            <w:pPr>
              <w:rPr>
                <w:rFonts w:ascii="Times New Roman" w:hAnsi="Times New Roman"/>
                <w:color w:val="auto"/>
                <w:szCs w:val="21"/>
                <w:highlight w:val="none"/>
              </w:rPr>
            </w:pPr>
            <w:r>
              <w:rPr>
                <w:rFonts w:ascii="Times New Roman" w:hAnsi="Times New Roman"/>
                <w:color w:val="auto"/>
                <w:szCs w:val="21"/>
                <w:highlight w:val="none"/>
              </w:rPr>
              <w:t>开关箱（末端）无漏电保护的或保护器失灵的</w:t>
            </w:r>
          </w:p>
          <w:p>
            <w:pPr>
              <w:rPr>
                <w:rFonts w:ascii="Times New Roman" w:hAnsi="Times New Roman"/>
                <w:color w:val="auto"/>
                <w:szCs w:val="21"/>
                <w:highlight w:val="none"/>
              </w:rPr>
            </w:pPr>
            <w:r>
              <w:rPr>
                <w:rFonts w:ascii="Times New Roman" w:hAnsi="Times New Roman"/>
                <w:color w:val="auto"/>
                <w:szCs w:val="21"/>
                <w:highlight w:val="none"/>
              </w:rPr>
              <w:t>漏电保护装置参数不匹配的</w:t>
            </w:r>
          </w:p>
          <w:p>
            <w:pPr>
              <w:rPr>
                <w:rFonts w:ascii="Times New Roman" w:hAnsi="Times New Roman"/>
                <w:color w:val="auto"/>
                <w:szCs w:val="21"/>
                <w:highlight w:val="none"/>
              </w:rPr>
            </w:pPr>
            <w:r>
              <w:rPr>
                <w:rFonts w:ascii="Times New Roman" w:hAnsi="Times New Roman"/>
                <w:color w:val="auto"/>
                <w:szCs w:val="21"/>
                <w:highlight w:val="none"/>
              </w:rPr>
              <w:t>电箱内无隔离开关的</w:t>
            </w:r>
          </w:p>
          <w:p>
            <w:pPr>
              <w:rPr>
                <w:rFonts w:ascii="Times New Roman" w:hAnsi="Times New Roman"/>
                <w:color w:val="auto"/>
                <w:szCs w:val="21"/>
                <w:highlight w:val="none"/>
              </w:rPr>
            </w:pPr>
            <w:r>
              <w:rPr>
                <w:rFonts w:ascii="Times New Roman" w:hAnsi="Times New Roman"/>
                <w:color w:val="auto"/>
                <w:szCs w:val="21"/>
                <w:highlight w:val="none"/>
              </w:rPr>
              <w:t>违反“一闸、一漏、一箱”的</w:t>
            </w:r>
          </w:p>
          <w:p>
            <w:pPr>
              <w:rPr>
                <w:rFonts w:ascii="Times New Roman" w:hAnsi="Times New Roman"/>
                <w:color w:val="auto"/>
                <w:szCs w:val="21"/>
                <w:highlight w:val="none"/>
              </w:rPr>
            </w:pPr>
            <w:r>
              <w:rPr>
                <w:rFonts w:ascii="Times New Roman" w:hAnsi="Times New Roman"/>
                <w:color w:val="auto"/>
                <w:szCs w:val="21"/>
                <w:highlight w:val="none"/>
              </w:rPr>
              <w:t>安装位置不当、周围杂物多等不便操作的</w:t>
            </w:r>
          </w:p>
          <w:p>
            <w:pPr>
              <w:rPr>
                <w:rFonts w:ascii="Times New Roman" w:hAnsi="Times New Roman"/>
                <w:color w:val="auto"/>
                <w:szCs w:val="21"/>
                <w:highlight w:val="none"/>
              </w:rPr>
            </w:pPr>
            <w:r>
              <w:rPr>
                <w:rFonts w:ascii="Times New Roman" w:hAnsi="Times New Roman"/>
                <w:color w:val="auto"/>
                <w:szCs w:val="21"/>
                <w:highlight w:val="none"/>
              </w:rPr>
              <w:t>闸具损坏、闸具不符合要求或保险丝外漏的</w:t>
            </w:r>
          </w:p>
          <w:p>
            <w:pPr>
              <w:rPr>
                <w:rFonts w:ascii="Times New Roman" w:hAnsi="Times New Roman"/>
                <w:color w:val="auto"/>
                <w:szCs w:val="21"/>
                <w:highlight w:val="none"/>
              </w:rPr>
            </w:pPr>
            <w:r>
              <w:rPr>
                <w:rFonts w:ascii="Times New Roman" w:hAnsi="Times New Roman"/>
                <w:color w:val="auto"/>
                <w:szCs w:val="21"/>
                <w:highlight w:val="none"/>
              </w:rPr>
              <w:t>电箱下引出线混乱的</w:t>
            </w:r>
          </w:p>
          <w:p>
            <w:pPr>
              <w:rPr>
                <w:rFonts w:ascii="Times New Roman" w:hAnsi="Times New Roman"/>
                <w:color w:val="auto"/>
                <w:szCs w:val="21"/>
                <w:highlight w:val="none"/>
              </w:rPr>
            </w:pPr>
            <w:r>
              <w:rPr>
                <w:rFonts w:ascii="Times New Roman" w:hAnsi="Times New Roman"/>
                <w:color w:val="auto"/>
                <w:szCs w:val="21"/>
                <w:highlight w:val="none"/>
              </w:rPr>
              <w:t>电箱无门、无锁、无防雨措施的，无巡检或巡检滞后</w:t>
            </w:r>
          </w:p>
        </w:tc>
        <w:tc>
          <w:tcPr>
            <w:tcW w:w="1713" w:type="dxa"/>
            <w:tcBorders>
              <w:bottom w:val="single" w:color="auto" w:sz="4" w:space="0"/>
            </w:tcBorders>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03" w:type="dxa"/>
            <w:tcBorders>
              <w:bottom w:val="single" w:color="auto" w:sz="4" w:space="0"/>
            </w:tcBorders>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3</w:t>
            </w:r>
          </w:p>
        </w:tc>
        <w:tc>
          <w:tcPr>
            <w:tcW w:w="1063" w:type="dxa"/>
            <w:tcBorders>
              <w:bottom w:val="single" w:color="auto" w:sz="4" w:space="0"/>
            </w:tcBorders>
            <w:vAlign w:val="center"/>
          </w:tcPr>
          <w:p>
            <w:pPr>
              <w:rPr>
                <w:rFonts w:ascii="Times New Roman" w:hAnsi="Times New Roman"/>
                <w:color w:val="auto"/>
                <w:spacing w:val="-10"/>
                <w:szCs w:val="21"/>
                <w:highlight w:val="none"/>
              </w:rPr>
            </w:pPr>
            <w:r>
              <w:rPr>
                <w:rFonts w:ascii="Times New Roman" w:hAnsi="Times New Roman"/>
                <w:color w:val="auto"/>
                <w:spacing w:val="-10"/>
                <w:szCs w:val="21"/>
                <w:highlight w:val="none"/>
              </w:rPr>
              <w:t>现场照明</w:t>
            </w:r>
          </w:p>
        </w:tc>
        <w:tc>
          <w:tcPr>
            <w:tcW w:w="4962" w:type="dxa"/>
            <w:tcBorders>
              <w:bottom w:val="single" w:color="auto" w:sz="4" w:space="0"/>
            </w:tcBorders>
            <w:vAlign w:val="center"/>
          </w:tcPr>
          <w:p>
            <w:pPr>
              <w:rPr>
                <w:rFonts w:ascii="Times New Roman" w:hAnsi="Times New Roman"/>
                <w:color w:val="auto"/>
                <w:szCs w:val="21"/>
                <w:highlight w:val="none"/>
              </w:rPr>
            </w:pPr>
            <w:r>
              <w:rPr>
                <w:rFonts w:ascii="Times New Roman" w:hAnsi="Times New Roman"/>
                <w:color w:val="auto"/>
                <w:szCs w:val="21"/>
                <w:highlight w:val="none"/>
              </w:rPr>
              <w:t>照明专用回路无漏电保护的</w:t>
            </w:r>
          </w:p>
          <w:p>
            <w:pPr>
              <w:rPr>
                <w:rFonts w:ascii="Times New Roman" w:hAnsi="Times New Roman"/>
                <w:color w:val="auto"/>
                <w:szCs w:val="21"/>
                <w:highlight w:val="none"/>
              </w:rPr>
            </w:pPr>
            <w:r>
              <w:rPr>
                <w:rFonts w:ascii="Times New Roman" w:hAnsi="Times New Roman"/>
                <w:color w:val="auto"/>
                <w:szCs w:val="21"/>
                <w:highlight w:val="none"/>
              </w:rPr>
              <w:t>灯具金属外壳未作接零保护或接地保护的</w:t>
            </w:r>
          </w:p>
          <w:p>
            <w:pPr>
              <w:rPr>
                <w:rFonts w:ascii="Times New Roman" w:hAnsi="Times New Roman"/>
                <w:color w:val="auto"/>
                <w:szCs w:val="21"/>
                <w:highlight w:val="none"/>
              </w:rPr>
            </w:pPr>
            <w:r>
              <w:rPr>
                <w:rFonts w:ascii="Times New Roman" w:hAnsi="Times New Roman"/>
                <w:color w:val="auto"/>
                <w:szCs w:val="21"/>
                <w:highlight w:val="none"/>
              </w:rPr>
              <w:t>室内线路及灯具安装高度低于2.4m无使用安全电压供电的</w:t>
            </w:r>
          </w:p>
          <w:p>
            <w:pPr>
              <w:rPr>
                <w:rFonts w:ascii="Times New Roman" w:hAnsi="Times New Roman"/>
                <w:color w:val="auto"/>
                <w:szCs w:val="21"/>
                <w:highlight w:val="none"/>
              </w:rPr>
            </w:pPr>
            <w:r>
              <w:rPr>
                <w:rFonts w:ascii="Times New Roman" w:hAnsi="Times New Roman"/>
                <w:color w:val="auto"/>
                <w:szCs w:val="21"/>
                <w:highlight w:val="none"/>
              </w:rPr>
              <w:t>潮湿场所作业未使用36v以下安全电压的</w:t>
            </w:r>
          </w:p>
          <w:p>
            <w:pPr>
              <w:rPr>
                <w:rFonts w:ascii="Times New Roman" w:hAnsi="Times New Roman"/>
                <w:color w:val="auto"/>
                <w:szCs w:val="21"/>
                <w:highlight w:val="none"/>
              </w:rPr>
            </w:pPr>
            <w:r>
              <w:rPr>
                <w:rFonts w:ascii="Times New Roman" w:hAnsi="Times New Roman"/>
                <w:color w:val="auto"/>
                <w:szCs w:val="21"/>
                <w:highlight w:val="none"/>
              </w:rPr>
              <w:t>使用36v安全电压照明线路混乱和接头处未用绝缘布包扎的</w:t>
            </w:r>
          </w:p>
          <w:p>
            <w:pPr>
              <w:rPr>
                <w:rFonts w:ascii="Times New Roman" w:hAnsi="Times New Roman"/>
                <w:color w:val="auto"/>
                <w:szCs w:val="21"/>
                <w:highlight w:val="none"/>
              </w:rPr>
            </w:pPr>
            <w:r>
              <w:rPr>
                <w:rFonts w:ascii="Times New Roman" w:hAnsi="Times New Roman"/>
                <w:color w:val="auto"/>
                <w:szCs w:val="21"/>
                <w:highlight w:val="none"/>
              </w:rPr>
              <w:t>手持照明灯未使用36v及以下电源供电的</w:t>
            </w:r>
          </w:p>
        </w:tc>
        <w:tc>
          <w:tcPr>
            <w:tcW w:w="1713" w:type="dxa"/>
            <w:tcBorders>
              <w:bottom w:val="single" w:color="auto" w:sz="4" w:space="0"/>
            </w:tcBorders>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03"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4</w:t>
            </w:r>
          </w:p>
        </w:tc>
        <w:tc>
          <w:tcPr>
            <w:tcW w:w="1063" w:type="dxa"/>
            <w:vAlign w:val="center"/>
          </w:tcPr>
          <w:p>
            <w:pPr>
              <w:rPr>
                <w:rFonts w:ascii="Times New Roman" w:hAnsi="Times New Roman"/>
                <w:color w:val="auto"/>
                <w:szCs w:val="21"/>
                <w:highlight w:val="none"/>
              </w:rPr>
            </w:pPr>
            <w:r>
              <w:rPr>
                <w:rFonts w:ascii="Times New Roman" w:hAnsi="Times New Roman"/>
                <w:color w:val="auto"/>
                <w:szCs w:val="21"/>
                <w:highlight w:val="none"/>
              </w:rPr>
              <w:t>配电线路</w:t>
            </w:r>
          </w:p>
        </w:tc>
        <w:tc>
          <w:tcPr>
            <w:tcW w:w="4962" w:type="dxa"/>
            <w:vAlign w:val="center"/>
          </w:tcPr>
          <w:p>
            <w:pPr>
              <w:rPr>
                <w:rFonts w:ascii="Times New Roman" w:hAnsi="Times New Roman"/>
                <w:color w:val="auto"/>
                <w:szCs w:val="21"/>
                <w:highlight w:val="none"/>
              </w:rPr>
            </w:pPr>
            <w:r>
              <w:rPr>
                <w:rFonts w:ascii="Times New Roman" w:hAnsi="Times New Roman"/>
                <w:color w:val="auto"/>
                <w:szCs w:val="21"/>
                <w:highlight w:val="none"/>
              </w:rPr>
              <w:t>不按规定选用导线的</w:t>
            </w:r>
          </w:p>
          <w:p>
            <w:pPr>
              <w:rPr>
                <w:rFonts w:ascii="Times New Roman" w:hAnsi="Times New Roman"/>
                <w:color w:val="auto"/>
                <w:szCs w:val="21"/>
                <w:highlight w:val="none"/>
              </w:rPr>
            </w:pPr>
            <w:r>
              <w:rPr>
                <w:rFonts w:ascii="Times New Roman" w:hAnsi="Times New Roman"/>
                <w:color w:val="auto"/>
                <w:szCs w:val="21"/>
                <w:highlight w:val="none"/>
              </w:rPr>
              <w:t>导线拖地、浸水或用光身金属线绑扎的</w:t>
            </w:r>
          </w:p>
          <w:p>
            <w:pPr>
              <w:rPr>
                <w:rFonts w:ascii="Times New Roman" w:hAnsi="Times New Roman"/>
                <w:color w:val="auto"/>
                <w:szCs w:val="21"/>
                <w:highlight w:val="none"/>
              </w:rPr>
            </w:pPr>
            <w:r>
              <w:rPr>
                <w:rFonts w:ascii="Times New Roman" w:hAnsi="Times New Roman"/>
                <w:color w:val="auto"/>
                <w:szCs w:val="21"/>
                <w:highlight w:val="none"/>
              </w:rPr>
              <w:t>导线老化、破皮未包扎的</w:t>
            </w:r>
          </w:p>
          <w:p>
            <w:pPr>
              <w:rPr>
                <w:rFonts w:ascii="Times New Roman" w:hAnsi="Times New Roman"/>
                <w:color w:val="auto"/>
                <w:szCs w:val="21"/>
                <w:highlight w:val="none"/>
              </w:rPr>
            </w:pPr>
            <w:r>
              <w:rPr>
                <w:rFonts w:ascii="Times New Roman" w:hAnsi="Times New Roman"/>
                <w:color w:val="auto"/>
                <w:szCs w:val="21"/>
                <w:highlight w:val="none"/>
              </w:rPr>
              <w:t>线路过道无保护的</w:t>
            </w:r>
          </w:p>
          <w:p>
            <w:pPr>
              <w:rPr>
                <w:rFonts w:ascii="Times New Roman" w:hAnsi="Times New Roman"/>
                <w:color w:val="auto"/>
                <w:szCs w:val="21"/>
                <w:highlight w:val="none"/>
              </w:rPr>
            </w:pPr>
            <w:r>
              <w:rPr>
                <w:rFonts w:ascii="Times New Roman" w:hAnsi="Times New Roman"/>
                <w:color w:val="auto"/>
                <w:szCs w:val="21"/>
                <w:highlight w:val="none"/>
              </w:rPr>
              <w:t>没有将电线架空，或电线架空不符合要求的</w:t>
            </w:r>
          </w:p>
          <w:p>
            <w:pPr>
              <w:rPr>
                <w:rFonts w:ascii="Times New Roman" w:hAnsi="Times New Roman"/>
                <w:color w:val="auto"/>
                <w:szCs w:val="21"/>
                <w:highlight w:val="none"/>
              </w:rPr>
            </w:pPr>
            <w:r>
              <w:rPr>
                <w:rFonts w:ascii="Times New Roman" w:hAnsi="Times New Roman"/>
                <w:color w:val="auto"/>
                <w:szCs w:val="21"/>
                <w:highlight w:val="none"/>
              </w:rPr>
              <w:t>未使用五芯（电缆）的</w:t>
            </w:r>
          </w:p>
          <w:p>
            <w:pPr>
              <w:rPr>
                <w:rFonts w:ascii="Times New Roman" w:hAnsi="Times New Roman"/>
                <w:color w:val="auto"/>
                <w:szCs w:val="21"/>
                <w:highlight w:val="none"/>
              </w:rPr>
            </w:pPr>
            <w:r>
              <w:rPr>
                <w:rFonts w:ascii="Times New Roman" w:hAnsi="Times New Roman"/>
                <w:color w:val="auto"/>
                <w:szCs w:val="21"/>
                <w:highlight w:val="none"/>
              </w:rPr>
              <w:t>使用四芯电缆外加一根线替代五芯电缆的</w:t>
            </w:r>
          </w:p>
          <w:p>
            <w:pPr>
              <w:rPr>
                <w:rFonts w:ascii="Times New Roman" w:hAnsi="Times New Roman"/>
                <w:color w:val="auto"/>
                <w:szCs w:val="21"/>
                <w:highlight w:val="none"/>
              </w:rPr>
            </w:pPr>
            <w:r>
              <w:rPr>
                <w:rFonts w:ascii="Times New Roman" w:hAnsi="Times New Roman"/>
                <w:color w:val="auto"/>
                <w:szCs w:val="21"/>
                <w:highlight w:val="none"/>
              </w:rPr>
              <w:t>电缆架设或埋设不符合要求的</w:t>
            </w:r>
          </w:p>
          <w:p>
            <w:pPr>
              <w:rPr>
                <w:rFonts w:ascii="Times New Roman" w:hAnsi="Times New Roman"/>
                <w:color w:val="auto"/>
                <w:szCs w:val="21"/>
                <w:highlight w:val="none"/>
              </w:rPr>
            </w:pPr>
            <w:r>
              <w:rPr>
                <w:rFonts w:ascii="Times New Roman" w:hAnsi="Times New Roman"/>
                <w:color w:val="auto"/>
                <w:szCs w:val="21"/>
                <w:highlight w:val="none"/>
              </w:rPr>
              <w:t>导线乱拉乱接的</w:t>
            </w:r>
          </w:p>
        </w:tc>
        <w:tc>
          <w:tcPr>
            <w:tcW w:w="1713"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200~500元/处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03"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5</w:t>
            </w:r>
          </w:p>
        </w:tc>
        <w:tc>
          <w:tcPr>
            <w:tcW w:w="1063" w:type="dxa"/>
            <w:tcBorders>
              <w:left w:val="single" w:color="auto" w:sz="4" w:space="0"/>
            </w:tcBorders>
            <w:vAlign w:val="center"/>
          </w:tcPr>
          <w:p>
            <w:pPr>
              <w:rPr>
                <w:rFonts w:ascii="Times New Roman" w:hAnsi="Times New Roman"/>
                <w:color w:val="auto"/>
                <w:szCs w:val="21"/>
                <w:highlight w:val="none"/>
              </w:rPr>
            </w:pPr>
            <w:r>
              <w:rPr>
                <w:rFonts w:ascii="Times New Roman" w:hAnsi="Times New Roman"/>
                <w:color w:val="auto"/>
                <w:szCs w:val="21"/>
                <w:highlight w:val="none"/>
              </w:rPr>
              <w:t>电器装置</w:t>
            </w:r>
          </w:p>
        </w:tc>
        <w:tc>
          <w:tcPr>
            <w:tcW w:w="4962" w:type="dxa"/>
            <w:vAlign w:val="center"/>
          </w:tcPr>
          <w:p>
            <w:pPr>
              <w:rPr>
                <w:rFonts w:ascii="Times New Roman" w:hAnsi="Times New Roman"/>
                <w:color w:val="auto"/>
                <w:szCs w:val="21"/>
                <w:highlight w:val="none"/>
              </w:rPr>
            </w:pPr>
            <w:r>
              <w:rPr>
                <w:rFonts w:ascii="Times New Roman" w:hAnsi="Times New Roman"/>
                <w:color w:val="auto"/>
                <w:szCs w:val="21"/>
                <w:highlight w:val="none"/>
              </w:rPr>
              <w:t>闸具、熔断器参数与设备容量不匹配、安装不合要求的</w:t>
            </w:r>
          </w:p>
          <w:p>
            <w:pPr>
              <w:rPr>
                <w:rFonts w:ascii="Times New Roman" w:hAnsi="Times New Roman"/>
                <w:color w:val="auto"/>
                <w:szCs w:val="21"/>
                <w:highlight w:val="none"/>
              </w:rPr>
            </w:pPr>
            <w:r>
              <w:rPr>
                <w:rFonts w:ascii="Times New Roman" w:hAnsi="Times New Roman"/>
                <w:color w:val="auto"/>
                <w:szCs w:val="21"/>
                <w:highlight w:val="none"/>
              </w:rPr>
              <w:t>用其他金属丝代替熔丝的</w:t>
            </w:r>
          </w:p>
          <w:p>
            <w:pPr>
              <w:rPr>
                <w:rFonts w:ascii="Times New Roman" w:hAnsi="Times New Roman"/>
                <w:color w:val="auto"/>
                <w:szCs w:val="21"/>
                <w:highlight w:val="none"/>
              </w:rPr>
            </w:pPr>
            <w:r>
              <w:rPr>
                <w:rFonts w:ascii="Times New Roman" w:hAnsi="Times New Roman"/>
                <w:color w:val="auto"/>
                <w:szCs w:val="21"/>
                <w:highlight w:val="none"/>
              </w:rPr>
              <w:t>漏电开关电源侧无空气开关或闸刀开关控制的</w:t>
            </w:r>
          </w:p>
          <w:p>
            <w:pPr>
              <w:rPr>
                <w:rFonts w:ascii="Times New Roman" w:hAnsi="Times New Roman"/>
                <w:color w:val="auto"/>
                <w:szCs w:val="21"/>
                <w:highlight w:val="none"/>
              </w:rPr>
            </w:pPr>
            <w:r>
              <w:rPr>
                <w:rFonts w:ascii="Times New Roman" w:hAnsi="Times New Roman"/>
                <w:color w:val="auto"/>
                <w:szCs w:val="21"/>
                <w:highlight w:val="none"/>
              </w:rPr>
              <w:t>开关接线后无盖的</w:t>
            </w:r>
          </w:p>
          <w:p>
            <w:pPr>
              <w:rPr>
                <w:rFonts w:ascii="Times New Roman" w:hAnsi="Times New Roman"/>
                <w:color w:val="auto"/>
                <w:szCs w:val="21"/>
                <w:highlight w:val="none"/>
              </w:rPr>
            </w:pPr>
            <w:r>
              <w:rPr>
                <w:rFonts w:ascii="Times New Roman" w:hAnsi="Times New Roman"/>
                <w:color w:val="auto"/>
                <w:szCs w:val="21"/>
                <w:highlight w:val="none"/>
              </w:rPr>
              <w:t>电器、设备、导线残缺破损的</w:t>
            </w:r>
          </w:p>
          <w:p>
            <w:pPr>
              <w:rPr>
                <w:rFonts w:ascii="Times New Roman" w:hAnsi="Times New Roman"/>
                <w:color w:val="auto"/>
                <w:szCs w:val="21"/>
                <w:highlight w:val="none"/>
              </w:rPr>
            </w:pPr>
            <w:r>
              <w:rPr>
                <w:rFonts w:ascii="Times New Roman" w:hAnsi="Times New Roman"/>
                <w:color w:val="auto"/>
                <w:szCs w:val="21"/>
                <w:highlight w:val="none"/>
              </w:rPr>
              <w:t>使用多用插座的</w:t>
            </w:r>
          </w:p>
        </w:tc>
        <w:tc>
          <w:tcPr>
            <w:tcW w:w="1713"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200~500元/处</w:t>
            </w:r>
          </w:p>
        </w:tc>
      </w:tr>
    </w:tbl>
    <w:p>
      <w:pPr>
        <w:autoSpaceDE w:val="0"/>
        <w:autoSpaceDN w:val="0"/>
        <w:adjustRightInd w:val="0"/>
        <w:spacing w:line="360" w:lineRule="auto"/>
        <w:rPr>
          <w:rFonts w:ascii="Times New Roman" w:hAnsi="Times New Roman"/>
          <w:color w:val="auto"/>
          <w:kern w:val="0"/>
          <w:sz w:val="24"/>
          <w:szCs w:val="24"/>
          <w:highlight w:val="none"/>
        </w:rPr>
      </w:pPr>
      <w:r>
        <w:rPr>
          <w:rFonts w:ascii="Times New Roman" w:hAnsi="Times New Roman"/>
          <w:color w:val="auto"/>
          <w:kern w:val="0"/>
          <w:sz w:val="24"/>
          <w:szCs w:val="24"/>
          <w:highlight w:val="none"/>
        </w:rPr>
        <w:t xml:space="preserve">D、施工机具、设备管理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30"/>
        <w:gridCol w:w="4745"/>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7" w:type="dxa"/>
            <w:tcBorders>
              <w:bottom w:val="single" w:color="auto" w:sz="4" w:space="0"/>
            </w:tcBorders>
            <w:vAlign w:val="center"/>
          </w:tcPr>
          <w:p>
            <w:pPr>
              <w:rPr>
                <w:rFonts w:ascii="Times New Roman" w:hAnsi="Times New Roman"/>
                <w:b/>
                <w:color w:val="auto"/>
                <w:szCs w:val="21"/>
                <w:highlight w:val="none"/>
              </w:rPr>
            </w:pPr>
            <w:r>
              <w:rPr>
                <w:rFonts w:ascii="Times New Roman" w:hAnsi="Times New Roman"/>
                <w:b/>
                <w:color w:val="auto"/>
                <w:szCs w:val="21"/>
                <w:highlight w:val="none"/>
              </w:rPr>
              <w:t>序号</w:t>
            </w:r>
          </w:p>
        </w:tc>
        <w:tc>
          <w:tcPr>
            <w:tcW w:w="1230" w:type="dxa"/>
            <w:vAlign w:val="center"/>
          </w:tcPr>
          <w:p>
            <w:pPr>
              <w:rPr>
                <w:rFonts w:ascii="Times New Roman" w:hAnsi="Times New Roman"/>
                <w:b/>
                <w:color w:val="auto"/>
                <w:szCs w:val="21"/>
                <w:highlight w:val="none"/>
              </w:rPr>
            </w:pPr>
            <w:r>
              <w:rPr>
                <w:rFonts w:ascii="Times New Roman" w:hAnsi="Times New Roman"/>
                <w:b/>
                <w:color w:val="auto"/>
                <w:szCs w:val="21"/>
                <w:highlight w:val="none"/>
              </w:rPr>
              <w:t>项目</w:t>
            </w:r>
          </w:p>
        </w:tc>
        <w:tc>
          <w:tcPr>
            <w:tcW w:w="4745" w:type="dxa"/>
            <w:vAlign w:val="center"/>
          </w:tcPr>
          <w:p>
            <w:pPr>
              <w:rPr>
                <w:rFonts w:ascii="Times New Roman" w:hAnsi="Times New Roman"/>
                <w:b/>
                <w:color w:val="auto"/>
                <w:szCs w:val="21"/>
                <w:highlight w:val="none"/>
              </w:rPr>
            </w:pPr>
            <w:r>
              <w:rPr>
                <w:rFonts w:ascii="Times New Roman" w:hAnsi="Times New Roman"/>
                <w:b/>
                <w:color w:val="auto"/>
                <w:szCs w:val="21"/>
                <w:highlight w:val="none"/>
              </w:rPr>
              <w:t>检查标准</w:t>
            </w:r>
          </w:p>
        </w:tc>
        <w:tc>
          <w:tcPr>
            <w:tcW w:w="1797" w:type="dxa"/>
            <w:vAlign w:val="center"/>
          </w:tcPr>
          <w:p>
            <w:pPr>
              <w:rPr>
                <w:rFonts w:ascii="Times New Roman" w:hAnsi="Times New Roman"/>
                <w:b/>
                <w:color w:val="auto"/>
                <w:szCs w:val="21"/>
                <w:highlight w:val="none"/>
              </w:rPr>
            </w:pPr>
            <w:r>
              <w:rPr>
                <w:rFonts w:ascii="Times New Roman" w:hAnsi="Times New Roman"/>
                <w:b/>
                <w:color w:val="auto"/>
                <w:szCs w:val="21"/>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7" w:type="dxa"/>
            <w:tcBorders>
              <w:right w:val="single" w:color="auto" w:sz="4" w:space="0"/>
            </w:tcBorders>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1</w:t>
            </w:r>
          </w:p>
        </w:tc>
        <w:tc>
          <w:tcPr>
            <w:tcW w:w="1230" w:type="dxa"/>
            <w:vAlign w:val="center"/>
          </w:tcPr>
          <w:p>
            <w:pPr>
              <w:rPr>
                <w:rFonts w:ascii="Times New Roman" w:hAnsi="Times New Roman"/>
                <w:color w:val="auto"/>
                <w:szCs w:val="21"/>
                <w:highlight w:val="none"/>
              </w:rPr>
            </w:pPr>
            <w:r>
              <w:rPr>
                <w:rFonts w:ascii="Times New Roman" w:hAnsi="Times New Roman"/>
                <w:color w:val="auto"/>
                <w:szCs w:val="21"/>
                <w:highlight w:val="none"/>
              </w:rPr>
              <w:t>套丝机、圆盘锯等</w:t>
            </w:r>
          </w:p>
        </w:tc>
        <w:tc>
          <w:tcPr>
            <w:tcW w:w="4745" w:type="dxa"/>
            <w:vAlign w:val="center"/>
          </w:tcPr>
          <w:p>
            <w:pPr>
              <w:rPr>
                <w:rFonts w:ascii="Times New Roman" w:hAnsi="Times New Roman"/>
                <w:color w:val="auto"/>
                <w:szCs w:val="21"/>
                <w:highlight w:val="none"/>
              </w:rPr>
            </w:pPr>
            <w:r>
              <w:rPr>
                <w:rFonts w:ascii="Times New Roman" w:hAnsi="Times New Roman"/>
                <w:color w:val="auto"/>
                <w:szCs w:val="21"/>
                <w:highlight w:val="none"/>
              </w:rPr>
              <w:t>操作人员戴手套操作的, （违反操作规程的）</w:t>
            </w:r>
          </w:p>
          <w:p>
            <w:pPr>
              <w:rPr>
                <w:rFonts w:ascii="Times New Roman" w:hAnsi="Times New Roman"/>
                <w:color w:val="auto"/>
                <w:szCs w:val="21"/>
                <w:highlight w:val="none"/>
              </w:rPr>
            </w:pPr>
            <w:r>
              <w:rPr>
                <w:rFonts w:ascii="Times New Roman" w:hAnsi="Times New Roman"/>
                <w:color w:val="auto"/>
                <w:szCs w:val="21"/>
                <w:highlight w:val="none"/>
              </w:rPr>
              <w:t>锯片、传动部位防护罩缺失</w:t>
            </w:r>
          </w:p>
        </w:tc>
        <w:tc>
          <w:tcPr>
            <w:tcW w:w="1797" w:type="dxa"/>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7" w:type="dxa"/>
            <w:tcBorders>
              <w:right w:val="single" w:color="auto" w:sz="4" w:space="0"/>
            </w:tcBorders>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2</w:t>
            </w:r>
          </w:p>
        </w:tc>
        <w:tc>
          <w:tcPr>
            <w:tcW w:w="1230" w:type="dxa"/>
            <w:vAlign w:val="center"/>
          </w:tcPr>
          <w:p>
            <w:pPr>
              <w:rPr>
                <w:rFonts w:ascii="Times New Roman" w:hAnsi="Times New Roman"/>
                <w:color w:val="auto"/>
                <w:szCs w:val="21"/>
                <w:highlight w:val="none"/>
              </w:rPr>
            </w:pPr>
            <w:r>
              <w:rPr>
                <w:rFonts w:ascii="Times New Roman" w:hAnsi="Times New Roman"/>
                <w:color w:val="auto"/>
                <w:szCs w:val="21"/>
                <w:highlight w:val="none"/>
              </w:rPr>
              <w:t>空气压缩机</w:t>
            </w:r>
          </w:p>
        </w:tc>
        <w:tc>
          <w:tcPr>
            <w:tcW w:w="4745" w:type="dxa"/>
            <w:vAlign w:val="center"/>
          </w:tcPr>
          <w:p>
            <w:pPr>
              <w:rPr>
                <w:rFonts w:ascii="Times New Roman" w:hAnsi="Times New Roman"/>
                <w:color w:val="auto"/>
                <w:szCs w:val="21"/>
                <w:highlight w:val="none"/>
              </w:rPr>
            </w:pPr>
            <w:r>
              <w:rPr>
                <w:rFonts w:ascii="Times New Roman" w:hAnsi="Times New Roman"/>
                <w:color w:val="auto"/>
                <w:szCs w:val="21"/>
                <w:highlight w:val="none"/>
              </w:rPr>
              <w:t>传动部位无防护罩的</w:t>
            </w:r>
          </w:p>
          <w:p>
            <w:pPr>
              <w:rPr>
                <w:rFonts w:ascii="Times New Roman" w:hAnsi="Times New Roman"/>
                <w:color w:val="auto"/>
                <w:szCs w:val="21"/>
                <w:highlight w:val="none"/>
              </w:rPr>
            </w:pPr>
            <w:r>
              <w:rPr>
                <w:rFonts w:ascii="Times New Roman" w:hAnsi="Times New Roman"/>
                <w:color w:val="auto"/>
                <w:szCs w:val="21"/>
                <w:highlight w:val="none"/>
              </w:rPr>
              <w:t>自动控制器件失灵或残缺破损未更换的</w:t>
            </w:r>
          </w:p>
          <w:p>
            <w:pPr>
              <w:rPr>
                <w:rFonts w:ascii="Times New Roman" w:hAnsi="Times New Roman"/>
                <w:color w:val="auto"/>
                <w:szCs w:val="21"/>
                <w:highlight w:val="none"/>
              </w:rPr>
            </w:pPr>
            <w:r>
              <w:rPr>
                <w:rFonts w:ascii="Times New Roman" w:hAnsi="Times New Roman"/>
                <w:color w:val="auto"/>
                <w:szCs w:val="21"/>
                <w:highlight w:val="none"/>
              </w:rPr>
              <w:t>1Mpa、150L以上无检测证的</w:t>
            </w:r>
          </w:p>
          <w:p>
            <w:pPr>
              <w:rPr>
                <w:rFonts w:ascii="Times New Roman" w:hAnsi="Times New Roman"/>
                <w:color w:val="auto"/>
                <w:szCs w:val="21"/>
                <w:highlight w:val="none"/>
              </w:rPr>
            </w:pPr>
            <w:r>
              <w:rPr>
                <w:rFonts w:ascii="Times New Roman" w:hAnsi="Times New Roman"/>
                <w:color w:val="auto"/>
                <w:szCs w:val="21"/>
                <w:highlight w:val="none"/>
              </w:rPr>
              <w:t>周边无降噪措施</w:t>
            </w:r>
          </w:p>
        </w:tc>
        <w:tc>
          <w:tcPr>
            <w:tcW w:w="1797" w:type="dxa"/>
            <w:vAlign w:val="center"/>
          </w:tcPr>
          <w:p>
            <w:pPr>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100</w:t>
            </w:r>
            <w:r>
              <w:rPr>
                <w:rFonts w:ascii="Times New Roman" w:hAnsi="Times New Roman"/>
                <w:color w:val="auto"/>
                <w:szCs w:val="21"/>
                <w:highlight w:val="none"/>
              </w:rPr>
              <w:t>~</w:t>
            </w:r>
            <w:r>
              <w:rPr>
                <w:rFonts w:ascii="Times New Roman" w:hAnsi="Times New Roman"/>
                <w:color w:val="auto"/>
                <w:spacing w:val="-10"/>
                <w:szCs w:val="21"/>
                <w:highlight w:val="none"/>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7" w:type="dxa"/>
            <w:tcBorders>
              <w:bottom w:val="single" w:color="auto" w:sz="4" w:space="0"/>
              <w:right w:val="single" w:color="auto" w:sz="4" w:space="0"/>
            </w:tcBorders>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3</w:t>
            </w:r>
          </w:p>
        </w:tc>
        <w:tc>
          <w:tcPr>
            <w:tcW w:w="1230" w:type="dxa"/>
            <w:tcBorders>
              <w:bottom w:val="single" w:color="auto" w:sz="4" w:space="0"/>
            </w:tcBorders>
            <w:vAlign w:val="center"/>
          </w:tcPr>
          <w:p>
            <w:pPr>
              <w:rPr>
                <w:rFonts w:ascii="Times New Roman" w:hAnsi="Times New Roman"/>
                <w:color w:val="auto"/>
                <w:szCs w:val="21"/>
                <w:highlight w:val="none"/>
              </w:rPr>
            </w:pPr>
            <w:r>
              <w:rPr>
                <w:rFonts w:ascii="Times New Roman" w:hAnsi="Times New Roman"/>
                <w:color w:val="auto"/>
                <w:szCs w:val="21"/>
                <w:highlight w:val="none"/>
              </w:rPr>
              <w:t>手持电动工具</w:t>
            </w:r>
          </w:p>
        </w:tc>
        <w:tc>
          <w:tcPr>
            <w:tcW w:w="4745" w:type="dxa"/>
            <w:tcBorders>
              <w:bottom w:val="single" w:color="auto" w:sz="4" w:space="0"/>
            </w:tcBorders>
            <w:vAlign w:val="center"/>
          </w:tcPr>
          <w:p>
            <w:pPr>
              <w:rPr>
                <w:rFonts w:ascii="Times New Roman" w:hAnsi="Times New Roman"/>
                <w:color w:val="auto"/>
                <w:szCs w:val="21"/>
                <w:highlight w:val="none"/>
              </w:rPr>
            </w:pPr>
            <w:r>
              <w:rPr>
                <w:rFonts w:ascii="Times New Roman" w:hAnsi="Times New Roman"/>
                <w:color w:val="auto"/>
                <w:szCs w:val="21"/>
                <w:highlight w:val="none"/>
              </w:rPr>
              <w:t>使用I类手持电动工具的</w:t>
            </w:r>
          </w:p>
        </w:tc>
        <w:tc>
          <w:tcPr>
            <w:tcW w:w="1797" w:type="dxa"/>
            <w:tcBorders>
              <w:bottom w:val="single" w:color="auto" w:sz="4" w:space="0"/>
            </w:tcBorders>
            <w:vAlign w:val="center"/>
          </w:tcPr>
          <w:p>
            <w:pPr>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7" w:type="dxa"/>
            <w:tcBorders>
              <w:bottom w:val="single" w:color="auto" w:sz="4" w:space="0"/>
              <w:right w:val="single" w:color="auto" w:sz="4" w:space="0"/>
            </w:tcBorders>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4</w:t>
            </w:r>
          </w:p>
        </w:tc>
        <w:tc>
          <w:tcPr>
            <w:tcW w:w="1230" w:type="dxa"/>
            <w:tcBorders>
              <w:bottom w:val="single" w:color="auto" w:sz="4" w:space="0"/>
            </w:tcBorders>
            <w:vAlign w:val="center"/>
          </w:tcPr>
          <w:p>
            <w:pPr>
              <w:rPr>
                <w:rFonts w:ascii="Times New Roman" w:hAnsi="Times New Roman"/>
                <w:color w:val="auto"/>
                <w:spacing w:val="-10"/>
                <w:szCs w:val="21"/>
                <w:highlight w:val="none"/>
              </w:rPr>
            </w:pPr>
            <w:r>
              <w:rPr>
                <w:rFonts w:ascii="Times New Roman" w:hAnsi="Times New Roman"/>
                <w:color w:val="auto"/>
                <w:szCs w:val="21"/>
                <w:highlight w:val="none"/>
              </w:rPr>
              <w:t>电焊机</w:t>
            </w:r>
          </w:p>
        </w:tc>
        <w:tc>
          <w:tcPr>
            <w:tcW w:w="4745" w:type="dxa"/>
            <w:tcBorders>
              <w:bottom w:val="single" w:color="auto" w:sz="4" w:space="0"/>
            </w:tcBorders>
            <w:vAlign w:val="center"/>
          </w:tcPr>
          <w:p>
            <w:pPr>
              <w:rPr>
                <w:rFonts w:ascii="Times New Roman" w:hAnsi="Times New Roman"/>
                <w:color w:val="auto"/>
                <w:szCs w:val="21"/>
                <w:highlight w:val="none"/>
              </w:rPr>
            </w:pPr>
            <w:r>
              <w:rPr>
                <w:rFonts w:ascii="Times New Roman" w:hAnsi="Times New Roman"/>
                <w:color w:val="auto"/>
                <w:szCs w:val="21"/>
                <w:highlight w:val="none"/>
              </w:rPr>
              <w:t>无二次空载降压保护器或防触电保护器的</w:t>
            </w:r>
          </w:p>
          <w:p>
            <w:pPr>
              <w:rPr>
                <w:rFonts w:ascii="Times New Roman" w:hAnsi="Times New Roman"/>
                <w:color w:val="auto"/>
                <w:szCs w:val="21"/>
                <w:highlight w:val="none"/>
              </w:rPr>
            </w:pPr>
            <w:r>
              <w:rPr>
                <w:rFonts w:ascii="Times New Roman" w:hAnsi="Times New Roman"/>
                <w:color w:val="auto"/>
                <w:szCs w:val="21"/>
                <w:highlight w:val="none"/>
              </w:rPr>
              <w:t>一次线长度超过5米，二次焊线长度超过30米的</w:t>
            </w:r>
          </w:p>
          <w:p>
            <w:pPr>
              <w:numPr>
                <w:ilvl w:val="0"/>
                <w:numId w:val="54"/>
              </w:numPr>
              <w:ind w:left="0" w:firstLine="0"/>
              <w:rPr>
                <w:rFonts w:ascii="Times New Roman" w:hAnsi="Times New Roman"/>
                <w:color w:val="auto"/>
                <w:szCs w:val="21"/>
                <w:highlight w:val="none"/>
              </w:rPr>
            </w:pPr>
            <w:r>
              <w:rPr>
                <w:rFonts w:ascii="Times New Roman" w:hAnsi="Times New Roman"/>
                <w:color w:val="auto"/>
                <w:szCs w:val="21"/>
                <w:highlight w:val="none"/>
              </w:rPr>
              <w:t>二次侧导线不采用橡套电缆的</w:t>
            </w:r>
          </w:p>
          <w:p>
            <w:pPr>
              <w:numPr>
                <w:ilvl w:val="0"/>
                <w:numId w:val="54"/>
              </w:numPr>
              <w:ind w:left="0" w:firstLine="0"/>
              <w:rPr>
                <w:rFonts w:ascii="Times New Roman" w:hAnsi="Times New Roman"/>
                <w:color w:val="auto"/>
                <w:szCs w:val="21"/>
                <w:highlight w:val="none"/>
              </w:rPr>
            </w:pPr>
            <w:r>
              <w:rPr>
                <w:rFonts w:ascii="Times New Roman" w:hAnsi="Times New Roman"/>
                <w:color w:val="auto"/>
                <w:szCs w:val="21"/>
                <w:highlight w:val="none"/>
              </w:rPr>
              <w:t>二次侧电缆线芯截面选择不当的</w:t>
            </w:r>
          </w:p>
          <w:p>
            <w:pPr>
              <w:rPr>
                <w:rFonts w:ascii="Times New Roman" w:hAnsi="Times New Roman"/>
                <w:color w:val="auto"/>
                <w:szCs w:val="21"/>
                <w:highlight w:val="none"/>
              </w:rPr>
            </w:pPr>
            <w:r>
              <w:rPr>
                <w:rFonts w:ascii="Times New Roman" w:hAnsi="Times New Roman"/>
                <w:color w:val="auto"/>
                <w:szCs w:val="21"/>
                <w:highlight w:val="none"/>
              </w:rPr>
              <w:t>二次侧电缆跨楼层焊接作业的</w:t>
            </w:r>
          </w:p>
          <w:p>
            <w:pPr>
              <w:rPr>
                <w:rFonts w:ascii="Times New Roman" w:hAnsi="Times New Roman"/>
                <w:color w:val="auto"/>
                <w:szCs w:val="21"/>
                <w:highlight w:val="none"/>
              </w:rPr>
            </w:pPr>
            <w:r>
              <w:rPr>
                <w:rFonts w:ascii="Times New Roman" w:hAnsi="Times New Roman"/>
                <w:color w:val="auto"/>
                <w:szCs w:val="21"/>
                <w:highlight w:val="none"/>
              </w:rPr>
              <w:t>焊接线接头超过3处或绝缘老化的</w:t>
            </w:r>
          </w:p>
          <w:p>
            <w:pPr>
              <w:rPr>
                <w:rFonts w:ascii="Times New Roman" w:hAnsi="Times New Roman"/>
                <w:color w:val="auto"/>
                <w:szCs w:val="21"/>
                <w:highlight w:val="none"/>
              </w:rPr>
            </w:pPr>
            <w:r>
              <w:rPr>
                <w:rFonts w:ascii="Times New Roman" w:hAnsi="Times New Roman"/>
                <w:color w:val="auto"/>
                <w:szCs w:val="21"/>
                <w:highlight w:val="none"/>
              </w:rPr>
              <w:t>一、二次侧两端无保护罩的</w:t>
            </w:r>
          </w:p>
          <w:p>
            <w:pPr>
              <w:rPr>
                <w:rFonts w:ascii="Times New Roman" w:hAnsi="Times New Roman"/>
                <w:color w:val="auto"/>
                <w:szCs w:val="21"/>
                <w:highlight w:val="none"/>
              </w:rPr>
            </w:pPr>
            <w:r>
              <w:rPr>
                <w:rFonts w:ascii="Times New Roman" w:hAnsi="Times New Roman"/>
                <w:color w:val="auto"/>
                <w:szCs w:val="21"/>
                <w:highlight w:val="none"/>
              </w:rPr>
              <w:t>一、二次侧接线端子残缺破损的或接线不牢固的</w:t>
            </w:r>
          </w:p>
          <w:p>
            <w:pPr>
              <w:rPr>
                <w:rFonts w:ascii="Times New Roman" w:hAnsi="Times New Roman"/>
                <w:color w:val="auto"/>
                <w:szCs w:val="21"/>
                <w:highlight w:val="none"/>
              </w:rPr>
            </w:pPr>
            <w:r>
              <w:rPr>
                <w:rFonts w:ascii="Times New Roman" w:hAnsi="Times New Roman"/>
                <w:color w:val="auto"/>
                <w:szCs w:val="21"/>
                <w:highlight w:val="none"/>
              </w:rPr>
              <w:t>电源不使用自动开关的</w:t>
            </w:r>
          </w:p>
          <w:p>
            <w:pPr>
              <w:rPr>
                <w:rFonts w:ascii="Times New Roman" w:hAnsi="Times New Roman"/>
                <w:color w:val="auto"/>
                <w:szCs w:val="21"/>
                <w:highlight w:val="none"/>
              </w:rPr>
            </w:pPr>
            <w:r>
              <w:rPr>
                <w:rFonts w:ascii="Times New Roman" w:hAnsi="Times New Roman"/>
                <w:color w:val="auto"/>
                <w:szCs w:val="21"/>
                <w:highlight w:val="none"/>
              </w:rPr>
              <w:t>露天作业电焊机无防雨措施的</w:t>
            </w:r>
          </w:p>
          <w:p>
            <w:pPr>
              <w:rPr>
                <w:rFonts w:ascii="Times New Roman" w:hAnsi="Times New Roman"/>
                <w:color w:val="auto"/>
                <w:szCs w:val="21"/>
                <w:highlight w:val="none"/>
              </w:rPr>
            </w:pPr>
            <w:r>
              <w:rPr>
                <w:rFonts w:ascii="Times New Roman" w:hAnsi="Times New Roman"/>
                <w:color w:val="auto"/>
                <w:szCs w:val="21"/>
                <w:highlight w:val="none"/>
              </w:rPr>
              <w:t>工人焊接作业无防护用具，如电渣压力焊作业无绝缘手套绝缘鞋等</w:t>
            </w:r>
          </w:p>
        </w:tc>
        <w:tc>
          <w:tcPr>
            <w:tcW w:w="1797" w:type="dxa"/>
            <w:tcBorders>
              <w:bottom w:val="single" w:color="auto" w:sz="4" w:space="0"/>
            </w:tcBorders>
            <w:vAlign w:val="center"/>
          </w:tcPr>
          <w:p>
            <w:pPr>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100</w:t>
            </w:r>
            <w:r>
              <w:rPr>
                <w:rFonts w:ascii="Times New Roman" w:hAnsi="Times New Roman"/>
                <w:color w:val="auto"/>
                <w:szCs w:val="21"/>
                <w:highlight w:val="none"/>
              </w:rPr>
              <w:t>~</w:t>
            </w:r>
            <w:r>
              <w:rPr>
                <w:rFonts w:ascii="Times New Roman" w:hAnsi="Times New Roman"/>
                <w:color w:val="auto"/>
                <w:spacing w:val="-10"/>
                <w:szCs w:val="21"/>
                <w:highlight w:val="none"/>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7" w:type="dxa"/>
            <w:tcBorders>
              <w:right w:val="single" w:color="auto" w:sz="4" w:space="0"/>
            </w:tcBorders>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5</w:t>
            </w:r>
          </w:p>
        </w:tc>
        <w:tc>
          <w:tcPr>
            <w:tcW w:w="1230" w:type="dxa"/>
            <w:vAlign w:val="center"/>
          </w:tcPr>
          <w:p>
            <w:pPr>
              <w:rPr>
                <w:rFonts w:ascii="Times New Roman" w:hAnsi="Times New Roman"/>
                <w:color w:val="auto"/>
                <w:szCs w:val="21"/>
                <w:highlight w:val="none"/>
              </w:rPr>
            </w:pPr>
            <w:r>
              <w:rPr>
                <w:rFonts w:ascii="Times New Roman" w:hAnsi="Times New Roman"/>
                <w:color w:val="auto"/>
                <w:szCs w:val="21"/>
                <w:highlight w:val="none"/>
              </w:rPr>
              <w:t>气瓶</w:t>
            </w:r>
          </w:p>
        </w:tc>
        <w:tc>
          <w:tcPr>
            <w:tcW w:w="4745" w:type="dxa"/>
            <w:vAlign w:val="center"/>
          </w:tcPr>
          <w:p>
            <w:pPr>
              <w:rPr>
                <w:rFonts w:ascii="Times New Roman" w:hAnsi="Times New Roman"/>
                <w:color w:val="auto"/>
                <w:szCs w:val="21"/>
                <w:highlight w:val="none"/>
              </w:rPr>
            </w:pPr>
            <w:r>
              <w:rPr>
                <w:rFonts w:ascii="Times New Roman" w:hAnsi="Times New Roman"/>
                <w:color w:val="auto"/>
                <w:szCs w:val="21"/>
                <w:highlight w:val="none"/>
              </w:rPr>
              <w:t>各种气瓶无标准色标的</w:t>
            </w:r>
          </w:p>
          <w:p>
            <w:pPr>
              <w:rPr>
                <w:rFonts w:ascii="Times New Roman" w:hAnsi="Times New Roman"/>
                <w:color w:val="auto"/>
                <w:szCs w:val="21"/>
                <w:highlight w:val="none"/>
              </w:rPr>
            </w:pPr>
            <w:r>
              <w:rPr>
                <w:rFonts w:ascii="Times New Roman" w:hAnsi="Times New Roman"/>
                <w:color w:val="auto"/>
                <w:szCs w:val="21"/>
                <w:highlight w:val="none"/>
              </w:rPr>
              <w:t>使用时气瓶间距小于5米，距明火小于10米又无间隔措施的</w:t>
            </w:r>
          </w:p>
          <w:p>
            <w:pPr>
              <w:rPr>
                <w:rFonts w:ascii="Times New Roman" w:hAnsi="Times New Roman"/>
                <w:color w:val="auto"/>
                <w:szCs w:val="21"/>
                <w:highlight w:val="none"/>
              </w:rPr>
            </w:pPr>
            <w:r>
              <w:rPr>
                <w:rFonts w:ascii="Times New Roman" w:hAnsi="Times New Roman"/>
                <w:color w:val="auto"/>
                <w:szCs w:val="21"/>
                <w:highlight w:val="none"/>
              </w:rPr>
              <w:t>乙炔瓶使用或存放时平放或加热气瓶的</w:t>
            </w:r>
          </w:p>
          <w:p>
            <w:pPr>
              <w:rPr>
                <w:rFonts w:ascii="Times New Roman" w:hAnsi="Times New Roman"/>
                <w:color w:val="auto"/>
                <w:szCs w:val="21"/>
                <w:highlight w:val="none"/>
              </w:rPr>
            </w:pPr>
            <w:r>
              <w:rPr>
                <w:rFonts w:ascii="Times New Roman" w:hAnsi="Times New Roman"/>
                <w:color w:val="auto"/>
                <w:szCs w:val="21"/>
                <w:highlight w:val="none"/>
              </w:rPr>
              <w:t>气瓶存放不符合要求的</w:t>
            </w:r>
          </w:p>
          <w:p>
            <w:pPr>
              <w:rPr>
                <w:rFonts w:ascii="Times New Roman" w:hAnsi="Times New Roman"/>
                <w:color w:val="auto"/>
                <w:szCs w:val="21"/>
                <w:highlight w:val="none"/>
              </w:rPr>
            </w:pPr>
            <w:r>
              <w:rPr>
                <w:rFonts w:ascii="Times New Roman" w:hAnsi="Times New Roman"/>
                <w:color w:val="auto"/>
                <w:szCs w:val="21"/>
                <w:highlight w:val="none"/>
              </w:rPr>
              <w:t>气瓶使用时，减压阀、回火阀等相关配置不齐全或损坏</w:t>
            </w:r>
          </w:p>
        </w:tc>
        <w:tc>
          <w:tcPr>
            <w:tcW w:w="1797" w:type="dxa"/>
            <w:vAlign w:val="center"/>
          </w:tcPr>
          <w:p>
            <w:pPr>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100</w:t>
            </w:r>
            <w:r>
              <w:rPr>
                <w:rFonts w:ascii="Times New Roman" w:hAnsi="Times New Roman"/>
                <w:color w:val="auto"/>
                <w:szCs w:val="21"/>
                <w:highlight w:val="none"/>
              </w:rPr>
              <w:t>~</w:t>
            </w:r>
            <w:r>
              <w:rPr>
                <w:rFonts w:ascii="Times New Roman" w:hAnsi="Times New Roman"/>
                <w:color w:val="auto"/>
                <w:spacing w:val="-10"/>
                <w:szCs w:val="21"/>
                <w:highlight w:val="none"/>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7" w:type="dxa"/>
            <w:vMerge w:val="restart"/>
            <w:tcBorders>
              <w:bottom w:val="single" w:color="auto" w:sz="4" w:space="0"/>
              <w:right w:val="single" w:color="auto" w:sz="4" w:space="0"/>
            </w:tcBorders>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w:t>
            </w:r>
          </w:p>
        </w:tc>
        <w:tc>
          <w:tcPr>
            <w:tcW w:w="1230" w:type="dxa"/>
            <w:vMerge w:val="restart"/>
            <w:tcBorders>
              <w:bottom w:val="single" w:color="auto" w:sz="4" w:space="0"/>
            </w:tcBorders>
            <w:vAlign w:val="center"/>
          </w:tcPr>
          <w:p>
            <w:pPr>
              <w:rPr>
                <w:rFonts w:ascii="Times New Roman" w:hAnsi="Times New Roman"/>
                <w:color w:val="auto"/>
                <w:szCs w:val="21"/>
                <w:highlight w:val="none"/>
              </w:rPr>
            </w:pPr>
            <w:r>
              <w:rPr>
                <w:rFonts w:ascii="Times New Roman" w:hAnsi="Times New Roman"/>
                <w:color w:val="auto"/>
                <w:szCs w:val="21"/>
                <w:highlight w:val="none"/>
              </w:rPr>
              <w:t>施工机具通用部分</w:t>
            </w:r>
          </w:p>
        </w:tc>
        <w:tc>
          <w:tcPr>
            <w:tcW w:w="4745" w:type="dxa"/>
            <w:tcBorders>
              <w:bottom w:val="single" w:color="auto" w:sz="4" w:space="0"/>
            </w:tcBorders>
            <w:vAlign w:val="center"/>
          </w:tcPr>
          <w:p>
            <w:pPr>
              <w:rPr>
                <w:rFonts w:ascii="Times New Roman" w:hAnsi="Times New Roman"/>
                <w:color w:val="auto"/>
                <w:szCs w:val="21"/>
                <w:highlight w:val="none"/>
              </w:rPr>
            </w:pPr>
            <w:r>
              <w:rPr>
                <w:rFonts w:ascii="Times New Roman" w:hAnsi="Times New Roman"/>
                <w:color w:val="auto"/>
                <w:szCs w:val="21"/>
                <w:highlight w:val="none"/>
              </w:rPr>
              <w:t>电源线无选用橡套电缆的</w:t>
            </w:r>
          </w:p>
          <w:p>
            <w:pPr>
              <w:rPr>
                <w:rFonts w:ascii="Times New Roman" w:hAnsi="Times New Roman"/>
                <w:color w:val="auto"/>
                <w:szCs w:val="21"/>
                <w:highlight w:val="none"/>
              </w:rPr>
            </w:pPr>
            <w:r>
              <w:rPr>
                <w:rFonts w:ascii="Times New Roman" w:hAnsi="Times New Roman"/>
                <w:color w:val="auto"/>
                <w:szCs w:val="21"/>
                <w:highlight w:val="none"/>
              </w:rPr>
              <w:t>电源线、插头残缺破损未更换的</w:t>
            </w:r>
          </w:p>
          <w:p>
            <w:pPr>
              <w:rPr>
                <w:rFonts w:ascii="Times New Roman" w:hAnsi="Times New Roman"/>
                <w:color w:val="auto"/>
                <w:szCs w:val="21"/>
                <w:highlight w:val="none"/>
              </w:rPr>
            </w:pPr>
            <w:r>
              <w:rPr>
                <w:rFonts w:ascii="Times New Roman" w:hAnsi="Times New Roman"/>
                <w:color w:val="auto"/>
                <w:szCs w:val="21"/>
                <w:highlight w:val="none"/>
              </w:rPr>
              <w:t>未作保护接零（或保护接地）的</w:t>
            </w:r>
          </w:p>
          <w:p>
            <w:pPr>
              <w:rPr>
                <w:rFonts w:ascii="Times New Roman" w:hAnsi="Times New Roman"/>
                <w:color w:val="auto"/>
                <w:szCs w:val="21"/>
                <w:highlight w:val="none"/>
              </w:rPr>
            </w:pPr>
            <w:r>
              <w:rPr>
                <w:rFonts w:ascii="Times New Roman" w:hAnsi="Times New Roman"/>
                <w:color w:val="auto"/>
                <w:szCs w:val="21"/>
                <w:highlight w:val="none"/>
              </w:rPr>
              <w:t>无漏电开关保护或漏电开关动作电流选择不当的</w:t>
            </w:r>
          </w:p>
        </w:tc>
        <w:tc>
          <w:tcPr>
            <w:tcW w:w="1797" w:type="dxa"/>
            <w:vMerge w:val="restart"/>
            <w:tcBorders>
              <w:bottom w:val="single" w:color="auto" w:sz="4" w:space="0"/>
            </w:tcBorders>
            <w:vAlign w:val="center"/>
          </w:tcPr>
          <w:p>
            <w:pPr>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100</w:t>
            </w:r>
            <w:r>
              <w:rPr>
                <w:rFonts w:ascii="Times New Roman" w:hAnsi="Times New Roman"/>
                <w:color w:val="auto"/>
                <w:szCs w:val="21"/>
                <w:highlight w:val="none"/>
              </w:rPr>
              <w:t>~</w:t>
            </w:r>
            <w:r>
              <w:rPr>
                <w:rFonts w:ascii="Times New Roman" w:hAnsi="Times New Roman"/>
                <w:color w:val="auto"/>
                <w:spacing w:val="-10"/>
                <w:szCs w:val="21"/>
                <w:highlight w:val="none"/>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7" w:type="dxa"/>
            <w:vMerge w:val="continue"/>
            <w:tcBorders>
              <w:right w:val="single" w:color="auto" w:sz="4" w:space="0"/>
            </w:tcBorders>
            <w:vAlign w:val="center"/>
          </w:tcPr>
          <w:p>
            <w:pPr>
              <w:rPr>
                <w:rFonts w:ascii="Times New Roman" w:hAnsi="Times New Roman"/>
                <w:color w:val="auto"/>
                <w:szCs w:val="21"/>
                <w:highlight w:val="none"/>
              </w:rPr>
            </w:pPr>
          </w:p>
        </w:tc>
        <w:tc>
          <w:tcPr>
            <w:tcW w:w="1230" w:type="dxa"/>
            <w:vMerge w:val="continue"/>
            <w:vAlign w:val="center"/>
          </w:tcPr>
          <w:p>
            <w:pPr>
              <w:rPr>
                <w:rFonts w:ascii="Times New Roman" w:hAnsi="Times New Roman"/>
                <w:color w:val="auto"/>
                <w:szCs w:val="21"/>
                <w:highlight w:val="none"/>
              </w:rPr>
            </w:pPr>
          </w:p>
        </w:tc>
        <w:tc>
          <w:tcPr>
            <w:tcW w:w="4745" w:type="dxa"/>
            <w:vAlign w:val="center"/>
          </w:tcPr>
          <w:p>
            <w:pPr>
              <w:rPr>
                <w:rFonts w:ascii="Times New Roman" w:hAnsi="Times New Roman"/>
                <w:color w:val="auto"/>
                <w:szCs w:val="21"/>
                <w:highlight w:val="none"/>
              </w:rPr>
            </w:pPr>
            <w:r>
              <w:rPr>
                <w:rFonts w:ascii="Times New Roman" w:hAnsi="Times New Roman"/>
                <w:color w:val="auto"/>
                <w:szCs w:val="21"/>
                <w:highlight w:val="none"/>
              </w:rPr>
              <w:t>随意接长机具电源线的</w:t>
            </w:r>
          </w:p>
          <w:p>
            <w:pPr>
              <w:rPr>
                <w:rFonts w:ascii="Times New Roman" w:hAnsi="Times New Roman"/>
                <w:color w:val="auto"/>
                <w:szCs w:val="21"/>
                <w:highlight w:val="none"/>
              </w:rPr>
            </w:pPr>
            <w:r>
              <w:rPr>
                <w:rFonts w:ascii="Times New Roman" w:hAnsi="Times New Roman"/>
                <w:color w:val="auto"/>
                <w:szCs w:val="21"/>
                <w:highlight w:val="none"/>
              </w:rPr>
              <w:t>机具无人操作未切断电源的</w:t>
            </w:r>
          </w:p>
        </w:tc>
        <w:tc>
          <w:tcPr>
            <w:tcW w:w="1797" w:type="dxa"/>
            <w:vMerge w:val="continue"/>
            <w:vAlign w:val="center"/>
          </w:tcPr>
          <w:p>
            <w:pPr>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7" w:type="dxa"/>
            <w:vMerge w:val="continue"/>
            <w:tcBorders>
              <w:right w:val="single" w:color="auto" w:sz="4" w:space="0"/>
            </w:tcBorders>
            <w:vAlign w:val="center"/>
          </w:tcPr>
          <w:p>
            <w:pPr>
              <w:rPr>
                <w:rFonts w:ascii="Times New Roman" w:hAnsi="Times New Roman"/>
                <w:color w:val="auto"/>
                <w:szCs w:val="21"/>
                <w:highlight w:val="none"/>
              </w:rPr>
            </w:pPr>
          </w:p>
        </w:tc>
        <w:tc>
          <w:tcPr>
            <w:tcW w:w="1230" w:type="dxa"/>
            <w:vMerge w:val="continue"/>
            <w:vAlign w:val="center"/>
          </w:tcPr>
          <w:p>
            <w:pPr>
              <w:rPr>
                <w:rFonts w:ascii="Times New Roman" w:hAnsi="Times New Roman"/>
                <w:color w:val="auto"/>
                <w:szCs w:val="21"/>
                <w:highlight w:val="none"/>
              </w:rPr>
            </w:pPr>
          </w:p>
        </w:tc>
        <w:tc>
          <w:tcPr>
            <w:tcW w:w="4745" w:type="dxa"/>
            <w:vAlign w:val="center"/>
          </w:tcPr>
          <w:p>
            <w:pPr>
              <w:rPr>
                <w:rFonts w:ascii="Times New Roman" w:hAnsi="Times New Roman"/>
                <w:color w:val="auto"/>
                <w:szCs w:val="21"/>
                <w:highlight w:val="none"/>
              </w:rPr>
            </w:pPr>
            <w:r>
              <w:rPr>
                <w:rFonts w:ascii="Times New Roman" w:hAnsi="Times New Roman"/>
                <w:color w:val="auto"/>
                <w:szCs w:val="21"/>
                <w:highlight w:val="none"/>
              </w:rPr>
              <w:t>无安全检测记录便投入使用的</w:t>
            </w:r>
          </w:p>
        </w:tc>
        <w:tc>
          <w:tcPr>
            <w:tcW w:w="1797" w:type="dxa"/>
            <w:vAlign w:val="center"/>
          </w:tcPr>
          <w:p>
            <w:pPr>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100</w:t>
            </w:r>
            <w:r>
              <w:rPr>
                <w:rFonts w:ascii="Times New Roman" w:hAnsi="Times New Roman"/>
                <w:color w:val="auto"/>
                <w:szCs w:val="21"/>
                <w:highlight w:val="none"/>
              </w:rPr>
              <w:t>~</w:t>
            </w:r>
            <w:r>
              <w:rPr>
                <w:rFonts w:ascii="Times New Roman" w:hAnsi="Times New Roman"/>
                <w:color w:val="auto"/>
                <w:spacing w:val="-10"/>
                <w:szCs w:val="21"/>
                <w:highlight w:val="none"/>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7" w:type="dxa"/>
            <w:tcBorders>
              <w:right w:val="single" w:color="auto" w:sz="4" w:space="0"/>
            </w:tcBorders>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7</w:t>
            </w:r>
          </w:p>
        </w:tc>
        <w:tc>
          <w:tcPr>
            <w:tcW w:w="1230" w:type="dxa"/>
            <w:vAlign w:val="center"/>
          </w:tcPr>
          <w:p>
            <w:pPr>
              <w:rPr>
                <w:rFonts w:ascii="Times New Roman" w:hAnsi="Times New Roman"/>
                <w:color w:val="auto"/>
                <w:szCs w:val="21"/>
                <w:highlight w:val="none"/>
              </w:rPr>
            </w:pPr>
            <w:r>
              <w:rPr>
                <w:rFonts w:ascii="Times New Roman" w:hAnsi="Times New Roman"/>
                <w:color w:val="auto"/>
                <w:szCs w:val="21"/>
                <w:highlight w:val="none"/>
              </w:rPr>
              <w:t>塔吊、人货梯</w:t>
            </w:r>
          </w:p>
        </w:tc>
        <w:tc>
          <w:tcPr>
            <w:tcW w:w="4745" w:type="dxa"/>
            <w:vAlign w:val="center"/>
          </w:tcPr>
          <w:p>
            <w:pPr>
              <w:rPr>
                <w:rFonts w:ascii="Times New Roman" w:hAnsi="Times New Roman"/>
                <w:color w:val="auto"/>
                <w:szCs w:val="21"/>
                <w:highlight w:val="none"/>
              </w:rPr>
            </w:pPr>
            <w:r>
              <w:rPr>
                <w:rFonts w:ascii="Times New Roman" w:hAnsi="Times New Roman"/>
                <w:color w:val="auto"/>
                <w:szCs w:val="21"/>
                <w:highlight w:val="none"/>
              </w:rPr>
              <w:t>违规调物的</w:t>
            </w:r>
          </w:p>
          <w:p>
            <w:pPr>
              <w:rPr>
                <w:rFonts w:ascii="Times New Roman" w:hAnsi="Times New Roman"/>
                <w:color w:val="auto"/>
                <w:szCs w:val="21"/>
                <w:highlight w:val="none"/>
              </w:rPr>
            </w:pPr>
            <w:r>
              <w:rPr>
                <w:rFonts w:ascii="Times New Roman" w:hAnsi="Times New Roman"/>
                <w:color w:val="auto"/>
                <w:szCs w:val="21"/>
                <w:highlight w:val="none"/>
              </w:rPr>
              <w:t>特种人员未持有效资格证上岗的</w:t>
            </w:r>
          </w:p>
          <w:p>
            <w:pPr>
              <w:rPr>
                <w:rFonts w:ascii="Times New Roman" w:hAnsi="Times New Roman"/>
                <w:color w:val="auto"/>
                <w:szCs w:val="21"/>
                <w:highlight w:val="none"/>
              </w:rPr>
            </w:pPr>
            <w:r>
              <w:rPr>
                <w:rFonts w:ascii="Times New Roman" w:hAnsi="Times New Roman"/>
                <w:color w:val="auto"/>
                <w:szCs w:val="21"/>
                <w:highlight w:val="none"/>
              </w:rPr>
              <w:t>未定期维护保养记录的（非司索指挥塔吊的或操作人货梯）</w:t>
            </w:r>
          </w:p>
        </w:tc>
        <w:tc>
          <w:tcPr>
            <w:tcW w:w="1797" w:type="dxa"/>
            <w:vAlign w:val="center"/>
          </w:tcPr>
          <w:p>
            <w:pPr>
              <w:jc w:val="center"/>
              <w:rPr>
                <w:rFonts w:ascii="Times New Roman" w:hAnsi="Times New Roman"/>
                <w:color w:val="auto"/>
                <w:spacing w:val="-10"/>
                <w:szCs w:val="21"/>
                <w:highlight w:val="none"/>
              </w:rPr>
            </w:pPr>
            <w:r>
              <w:rPr>
                <w:rFonts w:ascii="Times New Roman" w:hAnsi="Times New Roman"/>
                <w:color w:val="auto"/>
                <w:spacing w:val="-10"/>
                <w:szCs w:val="21"/>
                <w:highlight w:val="none"/>
              </w:rPr>
              <w:t>500</w:t>
            </w:r>
            <w:r>
              <w:rPr>
                <w:rFonts w:ascii="Times New Roman" w:hAnsi="Times New Roman"/>
                <w:color w:val="auto"/>
                <w:szCs w:val="21"/>
                <w:highlight w:val="none"/>
              </w:rPr>
              <w:t>~</w:t>
            </w:r>
            <w:r>
              <w:rPr>
                <w:rFonts w:ascii="Times New Roman" w:hAnsi="Times New Roman"/>
                <w:color w:val="auto"/>
                <w:spacing w:val="-10"/>
                <w:szCs w:val="21"/>
                <w:highlight w:val="none"/>
              </w:rPr>
              <w:t>2000元/项</w:t>
            </w:r>
          </w:p>
        </w:tc>
      </w:tr>
    </w:tbl>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4.5.2环境、文明施工管理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（1）严格执行本项目部制定的现场卫生管理制度、文明施工管理制度、扬尘控制措施、环境管理方案，保持场容整洁卫生，杜绝扬尘污染。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（2）认真执行环境管理方案，对噪音源进行有效控制，确保噪音达标排放。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（3）一切垃圾（包括包装物、零碎料等施工垃圾、生活垃圾）必须通过包装物或装盛器具运到现场指定垃圾堆放点存放，不得由空中向下抛洒任何物体。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（4）工程施工使用的材料应符合国家、当地政府的有关环保规定。材料采购合同，应明确包装的回收约定。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（5）化学危险品采购、运输、储存、使用、包装回收应有专人负责，严格执行国家及当地政府的有关规定。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（6）加强现场消防防火工作，避免火灾引起的环境污染。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（7）加强施工人员教育，关心工人生活，杜绝打架斗殴、集体中毒、违法刑事案件、集体上访、拖欠农民工工资等影响本项目形象的事件发生。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（8）违反以上各条环境、文明施工管理制度的，视情况每次处收取违约金100</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10000元。</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4.5.3奖罚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由</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制定绿色施工安全防护措施奖罚制度，并严格按照制度实施，现场罚没的资金直接上缴至安全专项资金里，做到专款专用。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5.纪律约束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5.1对分包人的纪律约束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（1）所有分包人必须严格执行国家、</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及</w:t>
      </w:r>
      <w:r>
        <w:rPr>
          <w:rFonts w:hint="eastAsia" w:ascii="Times New Roman" w:hAnsi="Times New Roman"/>
          <w:color w:val="auto"/>
          <w:sz w:val="24"/>
          <w:szCs w:val="24"/>
          <w:highlight w:val="none"/>
        </w:rPr>
        <w:t>总承包人</w:t>
      </w:r>
      <w:r>
        <w:rPr>
          <w:rFonts w:ascii="Times New Roman" w:hAnsi="Times New Roman"/>
          <w:color w:val="auto"/>
          <w:sz w:val="24"/>
          <w:szCs w:val="24"/>
          <w:highlight w:val="none"/>
        </w:rPr>
        <w:t>的有关规定。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（2）在工程施工中，不准有弄虚作假等欺诈行为，不准送礼行贿。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（3）在施工中发现分包人有违法、违纪行为者，将对其清退出现场，并永不再与其合作。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5.2对</w:t>
      </w:r>
      <w:r>
        <w:rPr>
          <w:rFonts w:hint="eastAsia" w:ascii="Times New Roman" w:hAnsi="Times New Roman"/>
          <w:color w:val="auto"/>
          <w:sz w:val="24"/>
          <w:szCs w:val="24"/>
          <w:highlight w:val="none"/>
        </w:rPr>
        <w:t>总承包人人</w:t>
      </w:r>
      <w:r>
        <w:rPr>
          <w:rFonts w:ascii="Times New Roman" w:hAnsi="Times New Roman"/>
          <w:color w:val="auto"/>
          <w:sz w:val="24"/>
          <w:szCs w:val="24"/>
          <w:highlight w:val="none"/>
        </w:rPr>
        <w:t>员的纪律约束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总承包人</w:t>
      </w:r>
      <w:r>
        <w:rPr>
          <w:rFonts w:ascii="Times New Roman" w:hAnsi="Times New Roman"/>
          <w:color w:val="auto"/>
          <w:sz w:val="24"/>
          <w:szCs w:val="24"/>
          <w:highlight w:val="none"/>
        </w:rPr>
        <w:t>各管理人员要秉公办事，坚持原则，尽职尽责。</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rPr>
        <w:t>总承包人</w:t>
      </w:r>
      <w:r>
        <w:rPr>
          <w:rFonts w:ascii="Times New Roman" w:hAnsi="Times New Roman"/>
          <w:color w:val="auto"/>
          <w:sz w:val="24"/>
          <w:szCs w:val="24"/>
          <w:highlight w:val="none"/>
        </w:rPr>
        <w:t>人员要廉洁自律，严禁对分包人吃、拿、卡、要，索贿受贿，如有违犯者，按有关规定处理。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（3）对在工程管理中给发包人造成损失的单位、个人，将视其情节轻重，予以经济处罚及行政处分。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6.其他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（1）上述各项管理制度如与其他管理制度或合同条款约定有冲突的，按最严格的执行。</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（2）本管理制度解释权归本项目发包人。</w:t>
      </w:r>
    </w:p>
    <w:p>
      <w:pPr>
        <w:spacing w:line="360" w:lineRule="auto"/>
        <w:ind w:firstLine="480" w:firstLineChars="200"/>
        <w:rPr>
          <w:rFonts w:ascii="Times New Roman" w:hAnsi="Times New Roman"/>
          <w:color w:val="auto"/>
          <w:sz w:val="24"/>
          <w:szCs w:val="24"/>
          <w:highlight w:val="none"/>
        </w:rPr>
      </w:pPr>
    </w:p>
    <w:bookmarkEnd w:id="1440"/>
    <w:bookmarkEnd w:id="1441"/>
    <w:bookmarkEnd w:id="1442"/>
    <w:bookmarkEnd w:id="1443"/>
    <w:p>
      <w:pPr>
        <w:spacing w:line="360" w:lineRule="auto"/>
        <w:outlineLvl w:val="0"/>
        <w:rPr>
          <w:rStyle w:val="102"/>
          <w:rFonts w:hint="eastAsia"/>
          <w:color w:val="auto"/>
          <w:sz w:val="28"/>
          <w:szCs w:val="28"/>
          <w:highlight w:val="none"/>
          <w:lang w:val="zh-CN"/>
        </w:rPr>
      </w:pPr>
      <w:bookmarkStart w:id="1454" w:name="_Toc991"/>
      <w:bookmarkStart w:id="1455" w:name="_Toc14263"/>
    </w:p>
    <w:p>
      <w:pPr>
        <w:spacing w:line="360" w:lineRule="auto"/>
        <w:outlineLvl w:val="0"/>
        <w:rPr>
          <w:rStyle w:val="102"/>
          <w:rFonts w:hint="eastAsia"/>
          <w:color w:val="auto"/>
          <w:sz w:val="28"/>
          <w:szCs w:val="28"/>
          <w:highlight w:val="none"/>
          <w:lang w:val="zh-CN"/>
        </w:rPr>
      </w:pPr>
    </w:p>
    <w:p>
      <w:pPr>
        <w:spacing w:line="360" w:lineRule="auto"/>
        <w:outlineLvl w:val="0"/>
        <w:rPr>
          <w:rStyle w:val="102"/>
          <w:rFonts w:hint="eastAsia"/>
          <w:color w:val="auto"/>
          <w:sz w:val="28"/>
          <w:szCs w:val="28"/>
          <w:highlight w:val="none"/>
          <w:lang w:val="zh-CN"/>
        </w:rPr>
      </w:pPr>
    </w:p>
    <w:p>
      <w:pPr>
        <w:spacing w:line="360" w:lineRule="auto"/>
        <w:outlineLvl w:val="0"/>
        <w:rPr>
          <w:rStyle w:val="102"/>
          <w:color w:val="auto"/>
          <w:sz w:val="28"/>
          <w:szCs w:val="28"/>
          <w:highlight w:val="none"/>
          <w:lang w:val="zh-CN"/>
        </w:rPr>
      </w:pPr>
      <w:r>
        <w:rPr>
          <w:rStyle w:val="102"/>
          <w:rFonts w:hint="eastAsia"/>
          <w:color w:val="auto"/>
          <w:sz w:val="28"/>
          <w:szCs w:val="28"/>
          <w:highlight w:val="none"/>
          <w:lang w:val="zh-CN"/>
        </w:rPr>
        <w:t>附件</w:t>
      </w:r>
      <w:r>
        <w:rPr>
          <w:rStyle w:val="102"/>
          <w:rFonts w:hint="eastAsia"/>
          <w:color w:val="auto"/>
          <w:sz w:val="28"/>
          <w:szCs w:val="28"/>
          <w:highlight w:val="none"/>
          <w:lang w:val="en-US" w:eastAsia="zh-CN"/>
        </w:rPr>
        <w:t>8</w:t>
      </w:r>
      <w:r>
        <w:rPr>
          <w:rStyle w:val="102"/>
          <w:rFonts w:hint="eastAsia"/>
          <w:color w:val="auto"/>
          <w:sz w:val="28"/>
          <w:szCs w:val="28"/>
          <w:highlight w:val="none"/>
          <w:lang w:val="zh-CN"/>
        </w:rPr>
        <w:t>：</w:t>
      </w:r>
      <w:bookmarkEnd w:id="1454"/>
      <w:bookmarkStart w:id="1456" w:name="_Toc67300371"/>
      <w:bookmarkStart w:id="1457" w:name="_Toc24680"/>
      <w:bookmarkStart w:id="1458" w:name="_Toc44492670"/>
      <w:bookmarkStart w:id="1459" w:name="_Toc993"/>
      <w:bookmarkStart w:id="1460" w:name="_Toc44227958"/>
      <w:bookmarkStart w:id="1461" w:name="_Toc40186532"/>
      <w:bookmarkStart w:id="1462" w:name="_Toc22024"/>
      <w:bookmarkStart w:id="1463" w:name="_Toc24837"/>
      <w:r>
        <w:rPr>
          <w:rStyle w:val="102"/>
          <w:color w:val="auto"/>
          <w:sz w:val="28"/>
          <w:szCs w:val="28"/>
          <w:highlight w:val="none"/>
          <w:lang w:val="zh-CN"/>
        </w:rPr>
        <w:t>工程文明施工管理规定</w:t>
      </w:r>
      <w:bookmarkEnd w:id="1455"/>
    </w:p>
    <w:p>
      <w:pPr>
        <w:spacing w:line="720" w:lineRule="auto"/>
        <w:jc w:val="center"/>
        <w:rPr>
          <w:rFonts w:ascii="Times New Roman" w:hAnsi="Times New Roman"/>
          <w:b/>
          <w:color w:val="auto"/>
          <w:sz w:val="28"/>
          <w:szCs w:val="28"/>
          <w:highlight w:val="none"/>
        </w:rPr>
      </w:pPr>
      <w:r>
        <w:rPr>
          <w:rFonts w:ascii="Times New Roman" w:hAnsi="Times New Roman"/>
          <w:b/>
          <w:color w:val="auto"/>
          <w:sz w:val="28"/>
          <w:szCs w:val="28"/>
          <w:highlight w:val="none"/>
        </w:rPr>
        <w:t>工程文明施工管理规定</w:t>
      </w:r>
    </w:p>
    <w:p>
      <w:pPr>
        <w:pStyle w:val="107"/>
        <w:adjustRightInd w:val="0"/>
        <w:snapToGrid w:val="0"/>
        <w:ind w:firstLine="480"/>
        <w:jc w:val="left"/>
        <w:rPr>
          <w:color w:val="auto"/>
          <w:sz w:val="24"/>
          <w:szCs w:val="24"/>
          <w:highlight w:val="none"/>
        </w:rPr>
      </w:pPr>
      <w:r>
        <w:rPr>
          <w:color w:val="auto"/>
          <w:sz w:val="24"/>
          <w:szCs w:val="24"/>
          <w:highlight w:val="none"/>
        </w:rPr>
        <w:t>1</w:t>
      </w:r>
      <w:r>
        <w:rPr>
          <w:color w:val="auto"/>
          <w:sz w:val="24"/>
          <w:szCs w:val="24"/>
          <w:highlight w:val="none"/>
        </w:rPr>
        <w:tab/>
      </w:r>
      <w:r>
        <w:rPr>
          <w:color w:val="auto"/>
          <w:sz w:val="24"/>
          <w:szCs w:val="24"/>
          <w:highlight w:val="none"/>
        </w:rPr>
        <w:t>综合管理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w:t>
      </w:r>
      <w:r>
        <w:rPr>
          <w:rFonts w:ascii="Times New Roman" w:hAnsi="Times New Roman"/>
          <w:color w:val="auto"/>
          <w:sz w:val="24"/>
          <w:szCs w:val="24"/>
          <w:highlight w:val="none"/>
        </w:rPr>
        <w:tab/>
      </w:r>
      <w:r>
        <w:rPr>
          <w:rFonts w:ascii="Times New Roman" w:hAnsi="Times New Roman"/>
          <w:color w:val="auto"/>
          <w:sz w:val="24"/>
          <w:szCs w:val="24"/>
          <w:highlight w:val="none"/>
        </w:rPr>
        <w:t>承包人负有实施文明施工的责任，严格遵守</w:t>
      </w:r>
      <w:r>
        <w:rPr>
          <w:rFonts w:hint="eastAsia" w:ascii="Times New Roman" w:hAnsi="Times New Roman"/>
          <w:color w:val="auto"/>
          <w:sz w:val="24"/>
          <w:szCs w:val="24"/>
          <w:highlight w:val="none"/>
        </w:rPr>
        <w:t>江门</w:t>
      </w:r>
      <w:r>
        <w:rPr>
          <w:rFonts w:ascii="Times New Roman" w:hAnsi="Times New Roman"/>
          <w:color w:val="auto"/>
          <w:sz w:val="24"/>
          <w:szCs w:val="24"/>
          <w:highlight w:val="none"/>
        </w:rPr>
        <w:t>粤海置地有限公司《</w:t>
      </w:r>
      <w:r>
        <w:rPr>
          <w:rFonts w:hint="eastAsia" w:ascii="Times New Roman" w:hAnsi="Times New Roman"/>
          <w:color w:val="auto"/>
          <w:sz w:val="24"/>
          <w:szCs w:val="24"/>
          <w:highlight w:val="none"/>
        </w:rPr>
        <w:t>江门</w:t>
      </w:r>
      <w:r>
        <w:rPr>
          <w:rFonts w:hint="eastAsia" w:ascii="Times New Roman" w:hAnsi="Times New Roman"/>
          <w:color w:val="auto"/>
          <w:sz w:val="24"/>
          <w:szCs w:val="24"/>
          <w:highlight w:val="none"/>
          <w:lang w:eastAsia="zh-CN"/>
        </w:rPr>
        <w:t>甘化</w:t>
      </w:r>
      <w:r>
        <w:rPr>
          <w:rFonts w:hint="eastAsia" w:ascii="Times New Roman" w:hAnsi="Times New Roman"/>
          <w:color w:val="auto"/>
          <w:sz w:val="24"/>
          <w:szCs w:val="24"/>
          <w:highlight w:val="none"/>
        </w:rPr>
        <w:t>项目</w:t>
      </w:r>
      <w:r>
        <w:rPr>
          <w:rFonts w:hint="eastAsia" w:ascii="Times New Roman" w:hAnsi="Times New Roman"/>
          <w:color w:val="auto"/>
          <w:sz w:val="24"/>
          <w:szCs w:val="24"/>
          <w:highlight w:val="none"/>
          <w:lang w:eastAsia="zh-CN"/>
        </w:rPr>
        <w:t>新宁街道路及天桥工程</w:t>
      </w:r>
      <w:r>
        <w:rPr>
          <w:rFonts w:ascii="Times New Roman" w:hAnsi="Times New Roman"/>
          <w:color w:val="auto"/>
          <w:sz w:val="24"/>
          <w:szCs w:val="24"/>
          <w:highlight w:val="none"/>
        </w:rPr>
        <w:t>施工现场管理办法》。承包人的项目经理是本工程施工项目的安全文明施工直接负责人，也是治安和消防的直接负责人。各分包单位应当严格执行总承包人的规定，接受管理。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w:t>
      </w:r>
      <w:r>
        <w:rPr>
          <w:rFonts w:ascii="Times New Roman" w:hAnsi="Times New Roman"/>
          <w:color w:val="auto"/>
          <w:sz w:val="24"/>
          <w:szCs w:val="24"/>
          <w:highlight w:val="none"/>
        </w:rPr>
        <w:tab/>
      </w:r>
      <w:r>
        <w:rPr>
          <w:rFonts w:ascii="Times New Roman" w:hAnsi="Times New Roman"/>
          <w:color w:val="auto"/>
          <w:sz w:val="24"/>
          <w:szCs w:val="24"/>
          <w:highlight w:val="none"/>
        </w:rPr>
        <w:t>承包人应实现施工封闭化、围栏标准化、现场硬地化、厕所卫生化、仓库和办公室规范化。建设工程应减小对周围环境的污染和影响。鼓励美化建设工程周围环境。</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w:t>
      </w:r>
      <w:r>
        <w:rPr>
          <w:rFonts w:ascii="Times New Roman" w:hAnsi="Times New Roman"/>
          <w:color w:val="auto"/>
          <w:sz w:val="24"/>
          <w:szCs w:val="24"/>
          <w:highlight w:val="none"/>
        </w:rPr>
        <w:tab/>
      </w:r>
      <w:r>
        <w:rPr>
          <w:rFonts w:ascii="Times New Roman" w:hAnsi="Times New Roman"/>
          <w:color w:val="auto"/>
          <w:sz w:val="24"/>
          <w:szCs w:val="24"/>
          <w:highlight w:val="none"/>
        </w:rPr>
        <w:t>文明施工设施主要内容包括封闭施工、硬地、安全防护和施工现场临时设置的办公室、厕所、仓库、水电设施及污水排放设施。</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w:t>
      </w:r>
      <w:r>
        <w:rPr>
          <w:rFonts w:ascii="Times New Roman" w:hAnsi="Times New Roman"/>
          <w:color w:val="auto"/>
          <w:sz w:val="24"/>
          <w:szCs w:val="24"/>
          <w:highlight w:val="none"/>
        </w:rPr>
        <w:tab/>
      </w:r>
      <w:r>
        <w:rPr>
          <w:rFonts w:ascii="Times New Roman" w:hAnsi="Times New Roman"/>
          <w:color w:val="auto"/>
          <w:sz w:val="24"/>
          <w:szCs w:val="24"/>
          <w:highlight w:val="none"/>
        </w:rPr>
        <w:t>承包人应对施工现场的设备、材料堆放、场地道路、临时生产设施进行统一合理布局，并纳入施工组织设计，经</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审核同意后执行。</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1.5</w:t>
      </w:r>
      <w:r>
        <w:rPr>
          <w:rFonts w:ascii="Times New Roman" w:hAnsi="Times New Roman"/>
          <w:color w:val="auto"/>
          <w:sz w:val="24"/>
          <w:szCs w:val="24"/>
          <w:highlight w:val="none"/>
        </w:rPr>
        <w:tab/>
      </w:r>
      <w:r>
        <w:rPr>
          <w:rFonts w:ascii="Times New Roman" w:hAnsi="Times New Roman"/>
          <w:color w:val="auto"/>
          <w:sz w:val="24"/>
          <w:szCs w:val="24"/>
          <w:highlight w:val="none"/>
        </w:rPr>
        <w:t>承包人的项目经理必须制定并监督执行文明施工的目标、标准、制度以及工程各阶段实施文明施工的计划和措施。指定各作业场所、材料堆放场、生产设施的文明施工责任人。制定的文明施工目标和标准不得低于本办法的规定。</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1.6</w:t>
      </w:r>
      <w:r>
        <w:rPr>
          <w:rFonts w:ascii="Times New Roman" w:hAnsi="Times New Roman"/>
          <w:color w:val="auto"/>
          <w:sz w:val="24"/>
          <w:szCs w:val="24"/>
          <w:highlight w:val="none"/>
        </w:rPr>
        <w:tab/>
      </w:r>
      <w:r>
        <w:rPr>
          <w:rFonts w:ascii="Times New Roman" w:hAnsi="Times New Roman"/>
          <w:color w:val="auto"/>
          <w:sz w:val="24"/>
          <w:szCs w:val="24"/>
          <w:highlight w:val="none"/>
        </w:rPr>
        <w:t>文明施工制度的内容包括：</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w:t>
      </w:r>
      <w:r>
        <w:rPr>
          <w:rFonts w:hint="eastAsia" w:ascii="Times New Roman" w:hAnsi="Times New Roman"/>
          <w:color w:val="auto"/>
          <w:sz w:val="24"/>
          <w:szCs w:val="24"/>
          <w:highlight w:val="none"/>
        </w:rPr>
        <w:t>1</w:t>
      </w:r>
      <w:r>
        <w:rPr>
          <w:rFonts w:ascii="Times New Roman" w:hAnsi="Times New Roman"/>
          <w:color w:val="auto"/>
          <w:sz w:val="24"/>
          <w:szCs w:val="24"/>
          <w:highlight w:val="none"/>
        </w:rPr>
        <w:t>）各责任人的权力和义务；</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（2）环境管理；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（3）场地设施管理；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（4）安全生产和防火管理；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（5）教育培训；</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（6）检查验收要求；</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（7）卫生管理。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1.7</w:t>
      </w:r>
      <w:r>
        <w:rPr>
          <w:rFonts w:ascii="Times New Roman" w:hAnsi="Times New Roman"/>
          <w:color w:val="auto"/>
          <w:sz w:val="24"/>
          <w:szCs w:val="24"/>
          <w:highlight w:val="none"/>
        </w:rPr>
        <w:tab/>
      </w:r>
      <w:r>
        <w:rPr>
          <w:rFonts w:ascii="Times New Roman" w:hAnsi="Times New Roman"/>
          <w:color w:val="auto"/>
          <w:sz w:val="24"/>
          <w:szCs w:val="24"/>
          <w:highlight w:val="none"/>
        </w:rPr>
        <w:t>承包人应建立文明施工档案，将施工现场文明施工的各项制度的执行情况，和建设行政主管部门及城监、质监</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发包人</w:t>
      </w:r>
      <w:r>
        <w:rPr>
          <w:rFonts w:ascii="Times New Roman" w:hAnsi="Times New Roman"/>
          <w:color w:val="auto"/>
          <w:sz w:val="24"/>
          <w:szCs w:val="24"/>
          <w:highlight w:val="none"/>
        </w:rPr>
        <w:t>等部门对施工现场检查情况一并归档，作为工程竣工验收的条件。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1.8</w:t>
      </w:r>
      <w:r>
        <w:rPr>
          <w:rFonts w:ascii="Times New Roman" w:hAnsi="Times New Roman"/>
          <w:color w:val="auto"/>
          <w:sz w:val="24"/>
          <w:szCs w:val="24"/>
          <w:highlight w:val="none"/>
        </w:rPr>
        <w:tab/>
      </w:r>
      <w:r>
        <w:rPr>
          <w:rFonts w:ascii="Times New Roman" w:hAnsi="Times New Roman"/>
          <w:color w:val="auto"/>
          <w:sz w:val="24"/>
          <w:szCs w:val="24"/>
          <w:highlight w:val="none"/>
        </w:rPr>
        <w:t>承包人应当加强施工队伍的全面管理，坚持岗前培训和持证上岗，严禁接受“无暂住证、无劳动就业证、无计划生育证”人员。施工现场的管理人员和作业人员应当在胸前佩戴个人身份标卡，标卡由发包人项目工程科提供样本承包人统一制作，并上报标卡样本备案，各分包单位纳入承包人的管理范围内。</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1.9</w:t>
      </w:r>
      <w:r>
        <w:rPr>
          <w:rFonts w:ascii="Times New Roman" w:hAnsi="Times New Roman"/>
          <w:color w:val="auto"/>
          <w:sz w:val="24"/>
          <w:szCs w:val="24"/>
          <w:highlight w:val="none"/>
        </w:rPr>
        <w:tab/>
      </w:r>
      <w:r>
        <w:rPr>
          <w:rFonts w:ascii="Times New Roman" w:hAnsi="Times New Roman"/>
          <w:color w:val="auto"/>
          <w:sz w:val="24"/>
          <w:szCs w:val="24"/>
          <w:highlight w:val="none"/>
        </w:rPr>
        <w:t>承包人应当做好建设工地施工现场安全保卫工作，落实防盗、防火措施，对各类违法行为和犯罪行为要及时制止，并报公安机关。</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ascii="Times New Roman" w:hAnsi="Times New Roman"/>
          <w:color w:val="auto"/>
          <w:sz w:val="24"/>
          <w:szCs w:val="24"/>
          <w:highlight w:val="none"/>
        </w:rPr>
        <w:tab/>
      </w:r>
      <w:r>
        <w:rPr>
          <w:rFonts w:ascii="Times New Roman" w:hAnsi="Times New Roman"/>
          <w:color w:val="auto"/>
          <w:sz w:val="24"/>
          <w:szCs w:val="24"/>
          <w:highlight w:val="none"/>
        </w:rPr>
        <w:t>场地、设施和环境建设</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w:t>
      </w:r>
      <w:r>
        <w:rPr>
          <w:rFonts w:ascii="Times New Roman" w:hAnsi="Times New Roman"/>
          <w:color w:val="auto"/>
          <w:sz w:val="24"/>
          <w:szCs w:val="24"/>
          <w:highlight w:val="none"/>
        </w:rPr>
        <w:tab/>
      </w:r>
      <w:r>
        <w:rPr>
          <w:rFonts w:ascii="Times New Roman" w:hAnsi="Times New Roman"/>
          <w:color w:val="auto"/>
          <w:sz w:val="24"/>
          <w:szCs w:val="24"/>
          <w:highlight w:val="none"/>
        </w:rPr>
        <w:t>施工现场实行封闭式施工。现场四周除留必要的人员、车辆进出口通道外，承包人必须在施工前设置好连续封闭的围墙或围板，其高度从内外地面最高处计，围墙不得低于2米，围板不得低于1.8米。各类工程高出＋0.00线2米以上的工程立面必须用符合规定的围网封闭。</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w:t>
      </w:r>
      <w:r>
        <w:rPr>
          <w:rFonts w:ascii="Times New Roman" w:hAnsi="Times New Roman"/>
          <w:color w:val="auto"/>
          <w:sz w:val="24"/>
          <w:szCs w:val="24"/>
          <w:highlight w:val="none"/>
        </w:rPr>
        <w:tab/>
      </w:r>
      <w:r>
        <w:rPr>
          <w:rFonts w:ascii="Times New Roman" w:hAnsi="Times New Roman"/>
          <w:color w:val="auto"/>
          <w:sz w:val="24"/>
          <w:szCs w:val="24"/>
          <w:highlight w:val="none"/>
        </w:rPr>
        <w:t>围墙统一用砖砌18墙，高度2米以上并压顶。围墙形式力求美观，与周围环境协调。砌筑围墙时必须砌筑基础底脚和墙柱，基础底脚埋地深度不小于50厘米，墙柱与墙体连接必须牢固、安全、可靠，外墙面要批荡抹光作刷白处理，并应绘制与周围环境协调的图案及美术字体。图案和字体要求颜色协调、整洁美观。工地大门的设置，其高度与围墙相适应，宽度不得少于5米，材料统一采用镀锌2寸水管做架，双面铁板做面，红丹打底上油漆，焊接要平整、坚固、耐用。工地大门右侧的外墙上应挂设施工标牌。鼓励建设工程采用特色造型和绿化、美化外墙。</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2.3</w:t>
      </w:r>
      <w:r>
        <w:rPr>
          <w:rFonts w:ascii="Times New Roman" w:hAnsi="Times New Roman"/>
          <w:color w:val="auto"/>
          <w:sz w:val="24"/>
          <w:szCs w:val="24"/>
          <w:highlight w:val="none"/>
        </w:rPr>
        <w:tab/>
      </w:r>
      <w:r>
        <w:rPr>
          <w:rFonts w:ascii="Times New Roman" w:hAnsi="Times New Roman"/>
          <w:color w:val="auto"/>
          <w:sz w:val="24"/>
          <w:szCs w:val="24"/>
          <w:highlight w:val="none"/>
        </w:rPr>
        <w:t>围板封闭应在沿线砌筑30厘米高的护脚18砖墙作界线，防止淤泥杂物泻出围板外，并用镀锌铁板、塑料板或木板高1.5米封闭。要求清洁、整齐、不影响市容。</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2.4</w:t>
      </w:r>
      <w:r>
        <w:rPr>
          <w:rFonts w:ascii="Times New Roman" w:hAnsi="Times New Roman"/>
          <w:color w:val="auto"/>
          <w:sz w:val="24"/>
          <w:szCs w:val="24"/>
          <w:highlight w:val="none"/>
        </w:rPr>
        <w:tab/>
      </w:r>
      <w:r>
        <w:rPr>
          <w:rFonts w:ascii="Times New Roman" w:hAnsi="Times New Roman"/>
          <w:color w:val="auto"/>
          <w:sz w:val="24"/>
          <w:szCs w:val="24"/>
          <w:highlight w:val="none"/>
        </w:rPr>
        <w:t>结构施工队的围网封闭应当统一采用密目式阻燃安全网，要求平整、绷紧、密拼连接、整齐美观，不得漏挂，脱落。安全网应为100平方厘米不小于2000米的密目式绿色围护立网。鼓励围网封闭采用新式美观合格的材料。</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w:t>
      </w:r>
      <w:r>
        <w:rPr>
          <w:rFonts w:ascii="Times New Roman" w:hAnsi="Times New Roman"/>
          <w:color w:val="auto"/>
          <w:sz w:val="24"/>
          <w:szCs w:val="24"/>
          <w:highlight w:val="none"/>
        </w:rPr>
        <w:tab/>
      </w:r>
      <w:r>
        <w:rPr>
          <w:rFonts w:ascii="Times New Roman" w:hAnsi="Times New Roman"/>
          <w:color w:val="auto"/>
          <w:sz w:val="24"/>
          <w:szCs w:val="24"/>
          <w:highlight w:val="none"/>
        </w:rPr>
        <w:t>工地内车辆出入口应当设置用混凝土浇筑的由宽30厘米、深40厘米沟槽围成宽3米、长5米的矩形洗车场和沉淀池、高压冲洗水枪，驾出工地的机动车辆必须在出入口洗车场内冲洗干净方可上路行驶。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2.6</w:t>
      </w:r>
      <w:r>
        <w:rPr>
          <w:rFonts w:ascii="Times New Roman" w:hAnsi="Times New Roman"/>
          <w:color w:val="auto"/>
          <w:sz w:val="24"/>
          <w:szCs w:val="24"/>
          <w:highlight w:val="none"/>
        </w:rPr>
        <w:tab/>
      </w:r>
      <w:r>
        <w:rPr>
          <w:rFonts w:ascii="Times New Roman" w:hAnsi="Times New Roman"/>
          <w:color w:val="auto"/>
          <w:sz w:val="24"/>
          <w:szCs w:val="24"/>
          <w:highlight w:val="none"/>
        </w:rPr>
        <w:t>施工现场推行硬地化。施工现场的工地大门内外通道要求浇厚度不小于200㎜、强度不小于C15混凝土硬底。临时设施室内地面、材料堆放场、加工厂、仓库地面等要求浇厚度不小于100㎜，强度不小于C10混凝土硬底，机动车通道的宽度不小于3.5米，其外侧设置排水沟、浆槽。上述以外的地面可铺石粉、炉渣或砾石。鼓励建设工程在工地内空地实施绿化。</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w:t>
      </w:r>
      <w:r>
        <w:rPr>
          <w:rFonts w:ascii="Times New Roman" w:hAnsi="Times New Roman"/>
          <w:color w:val="auto"/>
          <w:sz w:val="24"/>
          <w:szCs w:val="24"/>
          <w:highlight w:val="none"/>
        </w:rPr>
        <w:tab/>
      </w:r>
      <w:r>
        <w:rPr>
          <w:rFonts w:ascii="Times New Roman" w:hAnsi="Times New Roman"/>
          <w:color w:val="auto"/>
          <w:sz w:val="24"/>
          <w:szCs w:val="24"/>
          <w:highlight w:val="none"/>
        </w:rPr>
        <w:t>施工现场的建设材料和设施，不得堆放在围墙和围板外，如确需要占用堆放的，必须按有关规定办理手续，并设置临时围栏，房屋工程的首层建好后（其他工程的一旦条件许可），材料要移入围墙内。材料堆放应当离开围墙，与办公设施分隔，分类堆放整齐，标识清楚，散料要砌池围筑、杆料要立杆设栏、块料要起堆叠放，堆放高度不得高于1.6米。</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2.8</w:t>
      </w:r>
      <w:r>
        <w:rPr>
          <w:rFonts w:ascii="Times New Roman" w:hAnsi="Times New Roman"/>
          <w:color w:val="auto"/>
          <w:sz w:val="24"/>
          <w:szCs w:val="24"/>
          <w:highlight w:val="none"/>
        </w:rPr>
        <w:tab/>
      </w:r>
      <w:r>
        <w:rPr>
          <w:rFonts w:ascii="Times New Roman" w:hAnsi="Times New Roman"/>
          <w:color w:val="auto"/>
          <w:sz w:val="24"/>
          <w:szCs w:val="24"/>
          <w:highlight w:val="none"/>
        </w:rPr>
        <w:t>施工现场内设置的临时设施（办公室、厕所、仓库、设施）统一采用砖砌墙体，锌铁瓦盖顶或阻燃材料活动板房，要求宽敞、明亮、整洁并设置防火标牌和防火设施。</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w:t>
      </w:r>
      <w:r>
        <w:rPr>
          <w:rFonts w:ascii="Times New Roman" w:hAnsi="Times New Roman"/>
          <w:color w:val="auto"/>
          <w:sz w:val="24"/>
          <w:szCs w:val="24"/>
          <w:highlight w:val="none"/>
        </w:rPr>
        <w:tab/>
      </w:r>
      <w:r>
        <w:rPr>
          <w:rFonts w:ascii="Times New Roman" w:hAnsi="Times New Roman"/>
          <w:color w:val="auto"/>
          <w:sz w:val="24"/>
          <w:szCs w:val="24"/>
          <w:highlight w:val="none"/>
        </w:rPr>
        <w:t>施工现场必须道路畅通，设置连续、通畅的排水设备和其他应急设施，场地内不得大面积积水、泥浆、污水废水必须经硬底硬壁沉淀池沉淀计其他必要处理，未经处理禁止排入下水道。废浆和淤泥必须使用封闭的专用车辆进行运输。</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2.10</w:t>
      </w:r>
      <w:r>
        <w:rPr>
          <w:rFonts w:ascii="Times New Roman" w:hAnsi="Times New Roman"/>
          <w:color w:val="auto"/>
          <w:sz w:val="24"/>
          <w:szCs w:val="24"/>
          <w:highlight w:val="none"/>
        </w:rPr>
        <w:tab/>
      </w:r>
      <w:r>
        <w:rPr>
          <w:rFonts w:ascii="Times New Roman" w:hAnsi="Times New Roman"/>
          <w:color w:val="auto"/>
          <w:sz w:val="24"/>
          <w:szCs w:val="24"/>
          <w:highlight w:val="none"/>
        </w:rPr>
        <w:t>施工垃圾应当设立垃圾集中堆放并及时清理，否则，除负责清理费用外，还要执行违约赔偿处理。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w:t>
      </w:r>
      <w:r>
        <w:rPr>
          <w:rFonts w:ascii="Times New Roman" w:hAnsi="Times New Roman"/>
          <w:color w:val="auto"/>
          <w:sz w:val="24"/>
          <w:szCs w:val="24"/>
          <w:highlight w:val="none"/>
        </w:rPr>
        <w:tab/>
      </w:r>
      <w:r>
        <w:rPr>
          <w:rFonts w:ascii="Times New Roman" w:hAnsi="Times New Roman"/>
          <w:color w:val="auto"/>
          <w:sz w:val="24"/>
          <w:szCs w:val="24"/>
          <w:highlight w:val="none"/>
        </w:rPr>
        <w:t>施工现场应在醒目处张贴《施工许可证》、《规划许可证》、《淤泥渣土排放证》、《夜间施工许可证》等证件的复印件，必须悬挂“五牌一图”（工程概况牌、组织架构牌、安全纪律牌、防火须知牌、文明施工管理牌、施工现场平面布置图）。</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w:t>
      </w:r>
      <w:r>
        <w:rPr>
          <w:rFonts w:ascii="Times New Roman" w:hAnsi="Times New Roman"/>
          <w:color w:val="auto"/>
          <w:sz w:val="24"/>
          <w:szCs w:val="24"/>
          <w:highlight w:val="none"/>
        </w:rPr>
        <w:tab/>
      </w:r>
      <w:r>
        <w:rPr>
          <w:rFonts w:ascii="Times New Roman" w:hAnsi="Times New Roman"/>
          <w:color w:val="auto"/>
          <w:sz w:val="24"/>
          <w:szCs w:val="24"/>
          <w:highlight w:val="none"/>
        </w:rPr>
        <w:t>施工现场应当设置厕所，厕所内要求通风、卫生、经常保持清洁。厕所内墙裙应当铺贴高度为1.5米的白瓷片，便槽内底部和旁侧应铺贴白瓷片，地面、蹲台采用水泥浆抹面。厕所内应当设置洗手槽、便槽自动冲洗设备、加盖化粪池，禁止将粪便直接排入下水道和河道。堆厕所要落实专人清扫，定期喷药，不得有异味，经常保持清洁卫生。</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2.13</w:t>
      </w:r>
      <w:r>
        <w:rPr>
          <w:rFonts w:ascii="Times New Roman" w:hAnsi="Times New Roman"/>
          <w:color w:val="auto"/>
          <w:sz w:val="24"/>
          <w:szCs w:val="24"/>
          <w:highlight w:val="none"/>
        </w:rPr>
        <w:tab/>
      </w:r>
      <w:r>
        <w:rPr>
          <w:rFonts w:ascii="Times New Roman" w:hAnsi="Times New Roman"/>
          <w:color w:val="auto"/>
          <w:sz w:val="24"/>
          <w:szCs w:val="24"/>
          <w:highlight w:val="none"/>
        </w:rPr>
        <w:t>施工现场严禁设置厨房和工人宿舍，禁止在施工区内留宿。</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2.14</w:t>
      </w:r>
      <w:r>
        <w:rPr>
          <w:rFonts w:ascii="Times New Roman" w:hAnsi="Times New Roman"/>
          <w:color w:val="auto"/>
          <w:sz w:val="24"/>
          <w:szCs w:val="24"/>
          <w:highlight w:val="none"/>
        </w:rPr>
        <w:tab/>
      </w:r>
      <w:r>
        <w:rPr>
          <w:rFonts w:ascii="Times New Roman" w:hAnsi="Times New Roman"/>
          <w:color w:val="auto"/>
          <w:sz w:val="24"/>
          <w:szCs w:val="24"/>
          <w:highlight w:val="none"/>
        </w:rPr>
        <w:t>建设工程竣工后，承包人应当在一个月内（市政道路工程在通车半个月内）拆除工地围栏，安全防护措施和其他临时设施，做到“工完料净、场地清”。工地及四周环境要及时清理干净。</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w:t>
      </w:r>
      <w:r>
        <w:rPr>
          <w:rFonts w:ascii="Times New Roman" w:hAnsi="Times New Roman"/>
          <w:color w:val="auto"/>
          <w:sz w:val="24"/>
          <w:szCs w:val="24"/>
          <w:highlight w:val="none"/>
        </w:rPr>
        <w:tab/>
      </w:r>
      <w:r>
        <w:rPr>
          <w:rFonts w:ascii="Times New Roman" w:hAnsi="Times New Roman"/>
          <w:color w:val="auto"/>
          <w:sz w:val="24"/>
          <w:szCs w:val="24"/>
          <w:highlight w:val="none"/>
        </w:rPr>
        <w:t>安全生产</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w:t>
      </w:r>
      <w:r>
        <w:rPr>
          <w:rFonts w:ascii="Times New Roman" w:hAnsi="Times New Roman"/>
          <w:color w:val="auto"/>
          <w:sz w:val="24"/>
          <w:szCs w:val="24"/>
          <w:highlight w:val="none"/>
        </w:rPr>
        <w:tab/>
      </w:r>
      <w:r>
        <w:rPr>
          <w:rFonts w:ascii="Times New Roman" w:hAnsi="Times New Roman"/>
          <w:color w:val="auto"/>
          <w:sz w:val="24"/>
          <w:szCs w:val="24"/>
          <w:highlight w:val="none"/>
        </w:rPr>
        <w:t>进入施工现场的各类人员应当戴好安全帽，系好帽带；临空和高空作业的人员应当系好安全带；各类洞口和脚手架应当设置安全网。安全网、安全带、安全帽应当符合技术安全标准、送检合格后才能使用。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安全帽颜色按：A）</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采用白色安全帽。</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B）承包人管理层采用红色安全帽。</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C）现场施工人员采用黄色、蓝色、橙色安全帽。</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要求：每个单位统一用一种颜色、好企业标识LOGO。</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3.2</w:t>
      </w:r>
      <w:r>
        <w:rPr>
          <w:rFonts w:ascii="Times New Roman" w:hAnsi="Times New Roman"/>
          <w:color w:val="auto"/>
          <w:sz w:val="24"/>
          <w:szCs w:val="24"/>
          <w:highlight w:val="none"/>
        </w:rPr>
        <w:tab/>
      </w:r>
      <w:r>
        <w:rPr>
          <w:rFonts w:ascii="Times New Roman" w:hAnsi="Times New Roman"/>
          <w:color w:val="auto"/>
          <w:sz w:val="24"/>
          <w:szCs w:val="24"/>
          <w:highlight w:val="none"/>
        </w:rPr>
        <w:t>施工机械应当按照施工总平面图规定的位置和线路设置，位置合理、固定牢固，不得任意侵占场内道路。施工机具进场须经过安全检查、进场验收合格方能使用。施工机械操作人员应当建立机组责任制，并按照有关规定持证上岗，禁止无证人员操作。</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3.3</w:t>
      </w:r>
      <w:r>
        <w:rPr>
          <w:rFonts w:ascii="Times New Roman" w:hAnsi="Times New Roman"/>
          <w:color w:val="auto"/>
          <w:sz w:val="24"/>
          <w:szCs w:val="24"/>
          <w:highlight w:val="none"/>
        </w:rPr>
        <w:tab/>
      </w:r>
      <w:r>
        <w:rPr>
          <w:rFonts w:ascii="Times New Roman" w:hAnsi="Times New Roman"/>
          <w:color w:val="auto"/>
          <w:sz w:val="24"/>
          <w:szCs w:val="24"/>
          <w:highlight w:val="none"/>
        </w:rPr>
        <w:t>施工现场内木材加工间、易燃易爆的化学物品、建材、油料必须入库存放，不得露天堆积。乙块和氧气使用时两瓶间距必须大于5米以上，存放时必须封闭隔离，动用明火必须由项目经理和安全负责人在现场核验签字后报发包人项目工程部审批同意方可进行，操作人员必须持证上岗。施工现场内、办公室、仓库禁止使用电热器具烧水、煮饭。</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3.4</w:t>
      </w:r>
      <w:r>
        <w:rPr>
          <w:rFonts w:ascii="Times New Roman" w:hAnsi="Times New Roman"/>
          <w:color w:val="auto"/>
          <w:sz w:val="24"/>
          <w:szCs w:val="24"/>
          <w:highlight w:val="none"/>
        </w:rPr>
        <w:tab/>
      </w:r>
      <w:r>
        <w:rPr>
          <w:rFonts w:ascii="Times New Roman" w:hAnsi="Times New Roman"/>
          <w:color w:val="auto"/>
          <w:sz w:val="24"/>
          <w:szCs w:val="24"/>
          <w:highlight w:val="none"/>
        </w:rPr>
        <w:t>木材加工间、仓库、动火现场、作业区域、吸烟室以及易燃易爆材料堆放场等场所合理规划及布置，必须按规定配备足够的各消防设施、灭火器材，并经常检查。</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3.5</w:t>
      </w:r>
      <w:r>
        <w:rPr>
          <w:rFonts w:ascii="Times New Roman" w:hAnsi="Times New Roman"/>
          <w:color w:val="auto"/>
          <w:sz w:val="24"/>
          <w:szCs w:val="24"/>
          <w:highlight w:val="none"/>
        </w:rPr>
        <w:tab/>
      </w:r>
      <w:r>
        <w:rPr>
          <w:rFonts w:ascii="Times New Roman" w:hAnsi="Times New Roman"/>
          <w:color w:val="auto"/>
          <w:sz w:val="24"/>
          <w:szCs w:val="24"/>
          <w:highlight w:val="none"/>
        </w:rPr>
        <w:t>施工现场的危险区域应当设立危险警示标志。</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w:t>
      </w:r>
      <w:r>
        <w:rPr>
          <w:rFonts w:ascii="Times New Roman" w:hAnsi="Times New Roman"/>
          <w:color w:val="auto"/>
          <w:sz w:val="24"/>
          <w:szCs w:val="24"/>
          <w:highlight w:val="none"/>
        </w:rPr>
        <w:tab/>
      </w:r>
      <w:r>
        <w:rPr>
          <w:rFonts w:ascii="Times New Roman" w:hAnsi="Times New Roman"/>
          <w:color w:val="auto"/>
          <w:sz w:val="24"/>
          <w:szCs w:val="24"/>
          <w:highlight w:val="none"/>
        </w:rPr>
        <w:t>安全生产管理要求：</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w:t>
      </w:r>
      <w:r>
        <w:rPr>
          <w:rFonts w:ascii="Times New Roman" w:hAnsi="Times New Roman"/>
          <w:color w:val="auto"/>
          <w:sz w:val="24"/>
          <w:szCs w:val="24"/>
          <w:highlight w:val="none"/>
        </w:rPr>
        <w:tab/>
      </w:r>
      <w:r>
        <w:rPr>
          <w:rFonts w:ascii="Times New Roman" w:hAnsi="Times New Roman"/>
          <w:color w:val="auto"/>
          <w:sz w:val="24"/>
          <w:szCs w:val="24"/>
          <w:highlight w:val="none"/>
        </w:rPr>
        <w:t>外墙脚手架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3.6.1.1外墙脚手架搭设及每阶段加高后，必须由承包人检查自验收后并报</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验收。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3.6.1.2 外墙脚手架必须采用扣件式钢管双排脚手架，并按规范要求搭设，严禁使用竹、木外脚手架。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3.6.1.3架体与建筑结构按规范要求拉结，严禁在脚手架使用期间随意拆除连墙杆件。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3.6.1.4脚手架上平桥（脚手板）必须按架体宽度铺满；平桥与建筑物之间缝隙不得大于20㎝；每层平桥上在外立杆的内侧必须设置挡脚板，板高度不少于18㎝。</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3.6.1.5按规范设置硬防护和兜底网（水平网）。</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3.6.1.6脚手架上必须按规范设置阻燃密目式安全网（立网）；安全网设置在外排立杆的里面；安全网必须有国家指定的监督检验部门批量验证和工厂检验合格证并按要求送检合格。</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3.6.1.7安全网必须挂设完整，不得空缺及破损。</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3.6.1.8每层外用施工梯必须铺满踏板和踢脚板，底部设兜底网。</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3.6.1.9按要求设置安全斜挡板。</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3.6.1.10脚手架搭设必须高于施工作业层2M或以上，搭设高度严禁低于作业层。</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3.6.1.11承包人必须在工程开工前向</w:t>
      </w:r>
      <w:r>
        <w:rPr>
          <w:rFonts w:hint="eastAsia" w:ascii="Times New Roman" w:hAnsi="Times New Roman"/>
          <w:color w:val="auto"/>
          <w:sz w:val="24"/>
          <w:szCs w:val="24"/>
          <w:highlight w:val="none"/>
          <w:lang w:val="en-US" w:eastAsia="zh-CN"/>
        </w:rPr>
        <w:t>发包人</w:t>
      </w:r>
      <w:r>
        <w:rPr>
          <w:rFonts w:ascii="Times New Roman" w:hAnsi="Times New Roman"/>
          <w:color w:val="auto"/>
          <w:sz w:val="24"/>
          <w:szCs w:val="24"/>
          <w:highlight w:val="none"/>
        </w:rPr>
        <w:t xml:space="preserve">提交外墙脚手架搭设施工方案作审核。 </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3.6.2</w:t>
      </w:r>
      <w:r>
        <w:rPr>
          <w:rFonts w:ascii="Times New Roman" w:hAnsi="Times New Roman"/>
          <w:color w:val="auto"/>
          <w:sz w:val="24"/>
          <w:szCs w:val="24"/>
          <w:highlight w:val="none"/>
        </w:rPr>
        <w:tab/>
      </w:r>
      <w:r>
        <w:rPr>
          <w:rFonts w:ascii="Times New Roman" w:hAnsi="Times New Roman"/>
          <w:color w:val="auto"/>
          <w:sz w:val="24"/>
          <w:szCs w:val="24"/>
          <w:highlight w:val="none"/>
        </w:rPr>
        <w:t>悬挑式脚手架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3.6.2.1高层建筑（或场地条件）必须采用悬挑式脚手架。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3.6.2.2悬挑梁采用槽钢（或工字钢）外挑支撑上部脚手架荷载，槽钢规格不少于12；槽钢伸入楼面内两端固定，两固定端间距不少于1.5M；固定端在浇筑砼时预埋用不少于3道Ф18钢筋；待槽钢定位安装后焊接牢固。</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3.6.2.3悬挑时脚手架以不超过每5层用钢丝绳进行一次卸荷；卸荷层上，在建筑物预埋拉环，用不少于Ф12钢丝绳分别吊扣</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着内、外主立杆和主横杆，把脚手架的荷载通过钢丝绳传递给建筑结构。</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3.6.2.4高层建筑悬挑时脚手架必须采用全部卸荷方法：每十层设置一道悬挑梁作全部卸荷，与原底下部分完全断开。即按高度分段搭设，每十层一段，每一段分别设置槽钢搭设悬挑梁，每段按原搭设方案。</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3.6..2.5脚手架立杆底部与悬挑梁（钢槽）牢固焊接。</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3.6.2.6其他均按第6.1条外墙脚手架要求。</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3.6.3</w:t>
      </w:r>
      <w:r>
        <w:rPr>
          <w:rFonts w:ascii="Times New Roman" w:hAnsi="Times New Roman"/>
          <w:color w:val="auto"/>
          <w:sz w:val="24"/>
          <w:szCs w:val="24"/>
          <w:highlight w:val="none"/>
        </w:rPr>
        <w:tab/>
      </w:r>
      <w:r>
        <w:rPr>
          <w:rFonts w:ascii="Times New Roman" w:hAnsi="Times New Roman"/>
          <w:color w:val="auto"/>
          <w:sz w:val="24"/>
          <w:szCs w:val="24"/>
          <w:highlight w:val="none"/>
        </w:rPr>
        <w:t>钢井架（物料提升机）</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3.6.3.1钢井架必须由安全监督专门机构检测合格及签发提供《准用证》方可使用。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3.6.3.2钢井架必须安装电视监控器和双向对讲通讯器；驾驶操作人员在控制室内可清楚看到各层作业情况、能听到每一层站的联系，并能向每一层对讲通讯。</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3.6.3.3钢井架每层卸料平台必须设置常闭型安全门；每层安全门与吊篮装设电气连锁装置：只有当吊篮运行到位时，楼层防护门方可开启；只有当各层防护门全部关闭时，吊篮方可上下运行；在防护门全部关闭之前，吊篮应处于停止状态。安全门为钢格栅门，内加密钢网；安全门高不少于1.8m，门底卸料平台面缝隙不大于15m。</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3.6.3.4钢井架必须设有定型化的首层安全门，首层安全门应有连锁装置，只有当吊篮位于底部规定位置时，才能开启。</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3.6.3.5吊篮两侧必须设置高度不低于1m的安全挡板或挡网；吊篮必须设置前、后安全门且灵活可靠。</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3.6.3.6钢井架体三侧作严密封闭防护，首层必须按规范设置防护棚。</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3.6.3.7每层卸料平台必须挂设安全警告标语、安全操作守则、最大额定荷载等标志。</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3.6.3.8驾驶操作人员必须持有上岗证；控制室内张贴该操作人员上岗证副本及挂设安全操作规程牌。</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3.6.3.9严禁使用不符合安全要求的钢井架，严禁无证人员操作。</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3.6.4</w:t>
      </w:r>
      <w:r>
        <w:rPr>
          <w:rFonts w:ascii="Times New Roman" w:hAnsi="Times New Roman"/>
          <w:color w:val="auto"/>
          <w:sz w:val="24"/>
          <w:szCs w:val="24"/>
          <w:highlight w:val="none"/>
        </w:rPr>
        <w:tab/>
      </w:r>
      <w:r>
        <w:rPr>
          <w:rFonts w:ascii="Times New Roman" w:hAnsi="Times New Roman"/>
          <w:color w:val="auto"/>
          <w:sz w:val="24"/>
          <w:szCs w:val="24"/>
          <w:highlight w:val="none"/>
        </w:rPr>
        <w:t>塔吊、外用电梯</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3.6.4.1塔吊、外用电梯必须由安全检测专门机构检测合格及签发并提供《准用证》方可使用。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3.6.4.2塔吊、外用电梯驾驶操作人员及指挥作业人员必须井正式培训考核并取得合格证书，控制室内张贴该操作人员上岗证副本及挂设安全操作规程牌，严禁无证人员操作。</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3.6.4.3外用电梯每层进出口平台必须安装常闭型安全门，安全门必须有灵敏可靠的机械及电气连锁装置，梯笼运行时及平时全部处于关闭状态，当梯笼运行到那一层时，该层站的安全门方可开启，不能使安全门随意打开，形同虚设。安全门为钢格栅门，内加密钢网；安全门高不少于1.8m，门底与进出口平台缝隙不大于15cm。</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3.6.4.4外用电梯每层进出口平台必须挂设安全警告标语、安全操作守则、最大额定载重、额定搭载人数等标志。</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3.6.4.5塔吊自由高度应符合要求，按规定应与建筑物进行附着装置，以确保塔吊的稳定性。</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3.6.4.6外用电梯的导轨架顶部自由高度、导轨架与建筑物距离、附壁架之门的垂直距离以及最低点附壁架离地面离度均不得超过说明书规定。</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3.6.4.7塔吊、外用电梯安装及使用必须符合安全规范要求。</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3.6.4.8承包人必须在开工前提交塔吊、外用电梯的技术资料及安装、拆卸方案及各项安全专项方案，由</w:t>
      </w:r>
      <w:r>
        <w:rPr>
          <w:rFonts w:hint="eastAsia" w:ascii="Times New Roman" w:hAnsi="Times New Roman"/>
          <w:color w:val="auto"/>
          <w:sz w:val="24"/>
          <w:szCs w:val="24"/>
          <w:highlight w:val="none"/>
          <w:lang w:val="en-US" w:eastAsia="zh-CN"/>
        </w:rPr>
        <w:t>发包人</w:t>
      </w:r>
      <w:r>
        <w:rPr>
          <w:rFonts w:ascii="Times New Roman" w:hAnsi="Times New Roman"/>
          <w:color w:val="auto"/>
          <w:sz w:val="24"/>
          <w:szCs w:val="24"/>
          <w:highlight w:val="none"/>
        </w:rPr>
        <w:t>审核。</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3.6.5</w:t>
      </w:r>
      <w:r>
        <w:rPr>
          <w:rFonts w:ascii="Times New Roman" w:hAnsi="Times New Roman"/>
          <w:color w:val="auto"/>
          <w:sz w:val="24"/>
          <w:szCs w:val="24"/>
          <w:highlight w:val="none"/>
        </w:rPr>
        <w:tab/>
      </w:r>
      <w:r>
        <w:rPr>
          <w:rFonts w:ascii="Times New Roman" w:hAnsi="Times New Roman"/>
          <w:color w:val="auto"/>
          <w:sz w:val="24"/>
          <w:szCs w:val="24"/>
          <w:highlight w:val="none"/>
        </w:rPr>
        <w:t>临时用电</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3.6.5.1施工现场临时用电设施必须符合规范要求，必须经承包人检查验收签证后方可使用。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3.6.5.2临时用电必须按“三相五线”制供电：即必须设置专用地线，保护地线为绿/黄双色线；配电箱及所有用电设备必须作可靠的重复接地保护。</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3.6.5.3施工现场的总配电箱和开关箱应至少设置两级漏电保护器，而且两级漏电保护器的额定漏电电动作电流和额定漏电动作时间应合理配合，使之具有分级保护的功能。照明配电与动力配电分别设置。</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3.6.5.4临时用电必须按“一机、一闸、一漏”要求配设：严禁同一个开关电器直接控制2台及2台以上用电设备（含插座），防止误操作；开关箱中必须装设漏电保护器，每台用电设备都要有漏电保护器，不能一个漏电保护器保护2台或多台设备的情况，否则容易发生误动作和影响保护效果。</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3.6.5.5末级开关箱内的漏电保护器其额定漏电动作电流应不大于30mA，额定漏电动作时间应少于0.1s。</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3.6.5.6配电箱、开关箱安装要端正、牢固，移动式箱体应庄子坚固的支架上。固定式配电箱、开关箱底与地面垂直距离应大于1.3m。小于1.5m。移动式配电箱、开关箱底与地面垂直距离为0.6～1.5m。严禁随意把电箱放置于地面、</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3.6.5.7必须使用金属外壳配电箱，箱内电器安装在绝缘板上；严禁使用木质电箱和木质底板，严禁使用残缺、失效的开关。</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3.6.6</w:t>
      </w:r>
      <w:r>
        <w:rPr>
          <w:rFonts w:ascii="Times New Roman" w:hAnsi="Times New Roman"/>
          <w:color w:val="auto"/>
          <w:sz w:val="24"/>
          <w:szCs w:val="24"/>
          <w:highlight w:val="none"/>
        </w:rPr>
        <w:tab/>
      </w:r>
      <w:r>
        <w:rPr>
          <w:rFonts w:ascii="Times New Roman" w:hAnsi="Times New Roman"/>
          <w:color w:val="auto"/>
          <w:sz w:val="24"/>
          <w:szCs w:val="24"/>
          <w:highlight w:val="none"/>
        </w:rPr>
        <w:t>工地消防</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3.6.6.1设立消防安全责任人，成立义务消防队。</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3.6.6.2工地办公室、仓库、发电机房等明显处必须配备充足的消防灭火器。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3.6.6.3建筑物内每层必须配备消防灭火器。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3.6.6.4施工现场应</w:t>
      </w:r>
      <w:r>
        <w:rPr>
          <w:rFonts w:hint="eastAsia" w:ascii="Times New Roman" w:hAnsi="Times New Roman"/>
          <w:color w:val="auto"/>
          <w:sz w:val="24"/>
          <w:szCs w:val="24"/>
          <w:highlight w:val="none"/>
          <w:lang w:val="en-US" w:eastAsia="zh-CN"/>
        </w:rPr>
        <w:t>监督管理</w:t>
      </w:r>
      <w:r>
        <w:rPr>
          <w:rFonts w:ascii="Times New Roman" w:hAnsi="Times New Roman"/>
          <w:color w:val="auto"/>
          <w:sz w:val="24"/>
          <w:szCs w:val="24"/>
          <w:highlight w:val="none"/>
        </w:rPr>
        <w:t>动火审批制度，凡有明火作业的必经审批；按不同作业条件，合理配备灭火器材。</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3.6.6.5 30m以上的高层建筑除每层配备灭火器外，必须配备消防栓，要求配备有足够的消防水源和自救用水量，立管直径在2小时以上，有足够扬程的高压水泵保证水压的每层设有消防水源接口，配备消防水带。</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3.6.7</w:t>
      </w:r>
      <w:r>
        <w:rPr>
          <w:rFonts w:ascii="Times New Roman" w:hAnsi="Times New Roman"/>
          <w:color w:val="auto"/>
          <w:sz w:val="24"/>
          <w:szCs w:val="24"/>
          <w:highlight w:val="none"/>
        </w:rPr>
        <w:tab/>
      </w:r>
      <w:r>
        <w:rPr>
          <w:rFonts w:ascii="Times New Roman" w:hAnsi="Times New Roman"/>
          <w:color w:val="auto"/>
          <w:sz w:val="24"/>
          <w:szCs w:val="24"/>
          <w:highlight w:val="none"/>
        </w:rPr>
        <w:t>临时临口防护</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3.6.7.1楼梯、阳台等临边临口必须按规范设置稳固栏杆等防护设施。</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3.6.7.2预留洞口必须设置稳固护栏或用盖板盖严，施工完毕必须立即作防护。</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3.6.7.3每层电梯井口必须设置可活动的常闭型安全门；安全门为钢格栅门，内加密钢网；安全门高不少于1.5m，门底离地面缝隙不大于15m。</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3.6.7.4电梯井内必须每层搭设水平防护棚。</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3.6.8</w:t>
      </w:r>
      <w:r>
        <w:rPr>
          <w:rFonts w:ascii="Times New Roman" w:hAnsi="Times New Roman"/>
          <w:color w:val="auto"/>
          <w:sz w:val="24"/>
          <w:szCs w:val="24"/>
          <w:highlight w:val="none"/>
        </w:rPr>
        <w:tab/>
      </w:r>
      <w:r>
        <w:rPr>
          <w:rFonts w:ascii="Times New Roman" w:hAnsi="Times New Roman"/>
          <w:color w:val="auto"/>
          <w:sz w:val="24"/>
          <w:szCs w:val="24"/>
          <w:highlight w:val="none"/>
        </w:rPr>
        <w:t>模板工程</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3.6.8.1模板工程支撑系统必须采用钢管门型架作支顶。高支模施工方案应经过专家论证并上报发包人审批。</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3.6.9</w:t>
      </w:r>
      <w:r>
        <w:rPr>
          <w:rFonts w:ascii="Times New Roman" w:hAnsi="Times New Roman"/>
          <w:color w:val="auto"/>
          <w:sz w:val="24"/>
          <w:szCs w:val="24"/>
          <w:highlight w:val="none"/>
        </w:rPr>
        <w:tab/>
      </w:r>
      <w:r>
        <w:rPr>
          <w:rFonts w:ascii="Times New Roman" w:hAnsi="Times New Roman"/>
          <w:color w:val="auto"/>
          <w:sz w:val="24"/>
          <w:szCs w:val="24"/>
          <w:highlight w:val="none"/>
        </w:rPr>
        <w:t>楼层清理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3.6.9.1清理楼层上的模板、支顶、垃圾等杂物时，必须由钢井架或其他。</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3.6.9.2垂直运输机具向下送，严禁高处向下抛物料。</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3.6.10未述及之处均按国家标准规范及上级主管部门要求执行。</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3.6.11强制执行措施：</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3.6.11.1上述安全、文明施工管理要求的完成和执行情况为承包人每期工程款的发放依据之一。</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3.6.11.2承包人在施工期间如违反或未按上述要求执行任何一项或多项，</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会向承包人发出整改通知，承包人必须在限期内按要求全部整改完成，逾期不作整改或未整改完成，发包人将暂缓发放全部或部分工程款。</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3.6.11.3如通知后仍不整改，发包人将每三天向承包人执行违约赔偿处理一次，每次违约赔偿金额为人民币贰万元正，违约赔偿将在工程款中扣除，直至承包人按要求全部整改完成为止。</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3.6.11.4如属情况严重者，将由</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向承包人发出停工整改通知。</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3.6.11.5如对多次通知承包人仍不整改，除执行以上处理外，并由</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向建设局建设工程管理科如实汇报情况，由建设局建设工程管理科对承包人作行政处罚。</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3.6.11.6承包人未按国家标准规范及上级主管部门要求，涉及</w:t>
      </w:r>
      <w:r>
        <w:rPr>
          <w:rFonts w:hint="eastAsia" w:ascii="Times New Roman" w:hAnsi="Times New Roman"/>
          <w:color w:val="auto"/>
          <w:sz w:val="24"/>
          <w:szCs w:val="24"/>
          <w:highlight w:val="none"/>
          <w:lang w:val="en-US" w:eastAsia="zh-CN"/>
        </w:rPr>
        <w:t>发包人</w:t>
      </w:r>
      <w:r>
        <w:rPr>
          <w:rFonts w:ascii="Times New Roman" w:hAnsi="Times New Roman"/>
          <w:color w:val="auto"/>
          <w:sz w:val="24"/>
          <w:szCs w:val="24"/>
          <w:highlight w:val="none"/>
        </w:rPr>
        <w:t>受行政处罚的，</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将向承包人追讨经济损失，承包人必须承担一切经济责任。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3.6.11.7发生安全事故，承包人必须按国家和上级的有关规定，支出一切善后处理费用，承包人必须承担由此造成</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的一切经济损失；按“谁主管、谁负责”的原则，承包人的项目经理及负责人、主管安全生产有关责任人必须承担法律责任。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3.6.11.8 承包人不接受发包人执行的合理性管理，有辱骂、恐吓、报复管理人员等恶劣行为，每次执行违约赔偿贰万元-伍万元人民币。</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w:t>
      </w:r>
      <w:r>
        <w:rPr>
          <w:rFonts w:ascii="Times New Roman" w:hAnsi="Times New Roman"/>
          <w:color w:val="auto"/>
          <w:sz w:val="24"/>
          <w:szCs w:val="24"/>
          <w:highlight w:val="none"/>
        </w:rPr>
        <w:tab/>
      </w:r>
      <w:r>
        <w:rPr>
          <w:rFonts w:ascii="Times New Roman" w:hAnsi="Times New Roman"/>
          <w:color w:val="auto"/>
          <w:sz w:val="24"/>
          <w:szCs w:val="24"/>
          <w:highlight w:val="none"/>
        </w:rPr>
        <w:t>安全资料管理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3.7.1 </w:t>
      </w:r>
      <w:r>
        <w:rPr>
          <w:rFonts w:ascii="Times New Roman" w:hAnsi="Times New Roman"/>
          <w:color w:val="auto"/>
          <w:sz w:val="24"/>
          <w:szCs w:val="24"/>
          <w:highlight w:val="none"/>
        </w:rPr>
        <w:tab/>
      </w:r>
      <w:r>
        <w:rPr>
          <w:rFonts w:ascii="Times New Roman" w:hAnsi="Times New Roman"/>
          <w:color w:val="auto"/>
          <w:sz w:val="24"/>
          <w:szCs w:val="24"/>
          <w:highlight w:val="none"/>
        </w:rPr>
        <w:t>安全资料管理要求</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3.7.1.1 承包人必须设立专职安全员，按建设质量安全监督站编制的《安全管理资料汇编》内容要求，结合工地实际情况与施工期间同步进行填制资料，并须配合</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的检查工作。</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3.7.1.2  在工地开工前，承包人须编制完成并向</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提交《安全生产保证体系》及《专项安全技术措施方案》作审核。</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3.7.1.3  承包人必须按《安全管理资料汇编》内容要求，按实际情况，与施工期间同步进行：对工人进行安全教育、安全技术交底、班前安全活动、组织安全会议、安全检查验收、施工用电安全技术档案等资料，作规范记录、收集、整理，定期向发包人汇报完成情况。</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3.7.1.4  必须及时向</w:t>
      </w:r>
      <w:r>
        <w:rPr>
          <w:rFonts w:hint="eastAsia" w:ascii="Times New Roman" w:hAnsi="Times New Roman"/>
          <w:color w:val="auto"/>
          <w:sz w:val="24"/>
          <w:szCs w:val="24"/>
          <w:highlight w:val="none"/>
          <w:lang w:val="en-US" w:eastAsia="zh-CN"/>
        </w:rPr>
        <w:t>发包人</w:t>
      </w:r>
      <w:r>
        <w:rPr>
          <w:rFonts w:ascii="Times New Roman" w:hAnsi="Times New Roman"/>
          <w:color w:val="auto"/>
          <w:sz w:val="24"/>
          <w:szCs w:val="24"/>
          <w:highlight w:val="none"/>
        </w:rPr>
        <w:t>提交：钢井架、塔吊、外用电梯、临时用电等设备安装完成后及每次加高、顶升后经承包人自检验收资料，。</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3.7.1.5  资料签名必须由对应相关本人签署，不得由他人随意乱写，不得弄虚作假，保障资料真实性及起着安全管理作用。</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3.7.1.6 </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将作不定期随时抽查有关资料，如不合格，承包人必须按要求重新填制。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3.7.1.7工程竣工前，承包人须完成所有资料并送交</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审查，合格后送交建设局作资料备案。</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3.7.1.8资料内容或要求如有变更，以</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最新通知为准，承包人须无条件配合完成。</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3.7.2</w:t>
      </w:r>
      <w:r>
        <w:rPr>
          <w:rFonts w:ascii="Times New Roman" w:hAnsi="Times New Roman"/>
          <w:color w:val="auto"/>
          <w:sz w:val="24"/>
          <w:szCs w:val="24"/>
          <w:highlight w:val="none"/>
        </w:rPr>
        <w:tab/>
      </w:r>
      <w:r>
        <w:rPr>
          <w:rFonts w:ascii="Times New Roman" w:hAnsi="Times New Roman"/>
          <w:color w:val="auto"/>
          <w:sz w:val="24"/>
          <w:szCs w:val="24"/>
          <w:highlight w:val="none"/>
        </w:rPr>
        <w:t>强制执行措施</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3.7.2.1承包人的施工安全资料将作为发放每期工程款的依据之一。</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3.7.2.2承包人如未能按时或所提交的安全资料不齐全、不符合要求、或拒绝提交该安全资料的，发包人除可暂缓全部或部分工程款外，并将以执行违约赔偿督促承包人；初次给予书面通知，第二次执行违约赔偿人们把壹千元正的处理，第三次执行违约赔偿人民币贰千元的处理，以后违约赔偿金额将每次递增人民币壹千元，违约赔偿将在该期工程款项中扣除，直至承包人按要求完成并提交安全资料。</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3.7.2.3承包人安全员（或资料员）如多次未能按时或不能按要求提交安全资料的，除执行上述处理外，</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可要求承包人更换安全员（或资料员）</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3.7.2.4承包人发逾期未能提供安全资料，则须承担一切过失责任。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w:t>
      </w:r>
      <w:r>
        <w:rPr>
          <w:rFonts w:ascii="Times New Roman" w:hAnsi="Times New Roman"/>
          <w:color w:val="auto"/>
          <w:sz w:val="24"/>
          <w:szCs w:val="24"/>
          <w:highlight w:val="none"/>
        </w:rPr>
        <w:tab/>
      </w:r>
      <w:r>
        <w:rPr>
          <w:rFonts w:ascii="Times New Roman" w:hAnsi="Times New Roman"/>
          <w:color w:val="auto"/>
          <w:sz w:val="24"/>
          <w:szCs w:val="24"/>
          <w:highlight w:val="none"/>
        </w:rPr>
        <w:t>人员管理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3.8.1</w:t>
      </w:r>
      <w:r>
        <w:rPr>
          <w:rFonts w:ascii="Times New Roman" w:hAnsi="Times New Roman"/>
          <w:color w:val="auto"/>
          <w:sz w:val="24"/>
          <w:szCs w:val="24"/>
          <w:highlight w:val="none"/>
        </w:rPr>
        <w:tab/>
      </w:r>
      <w:r>
        <w:rPr>
          <w:rFonts w:ascii="Times New Roman" w:hAnsi="Times New Roman"/>
          <w:color w:val="auto"/>
          <w:sz w:val="24"/>
          <w:szCs w:val="24"/>
          <w:highlight w:val="none"/>
        </w:rPr>
        <w:t>承包人的负责人、项目经理、安全员管理责任。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3.8.1.1承包人的负责人、项目经理、安全员必须落实安全生产责任制。</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3.8.1.2 承包人必须设立并聘用专职安全员。</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3.8.1.3 安全员在工作时间内必须到位（施工作业现场），并履行其职责。</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3.8.1.4 配合</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及上级主管部门人员在工地现场进行安全检查工作。</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3.8.1.5 积极贯彻上级下达的安全隐患整改通知，并监督检查执行及整改情况。</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3.8.1.6 建立健全安全保证体系，制定专项安全技术措施方案，并须落实执行。</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3.8.1.7 充分辨析潜在的危险源和隐患，及时纠正违章作业人员，以防事故发生，确保安全生产、文明施工。</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3.8.1.8 经常性对工人进行安全教育及安全宣传活动，并按规范记录。</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3.8.1.9对无法处理的重点安全隐患或突发情况，必须及时如实向</w:t>
      </w:r>
      <w:r>
        <w:rPr>
          <w:rFonts w:hint="eastAsia" w:ascii="Times New Roman" w:hAnsi="Times New Roman"/>
          <w:color w:val="auto"/>
          <w:sz w:val="24"/>
          <w:szCs w:val="24"/>
          <w:highlight w:val="none"/>
          <w:lang w:val="en-US" w:eastAsia="zh-CN"/>
        </w:rPr>
        <w:t>发包人</w:t>
      </w:r>
      <w:r>
        <w:rPr>
          <w:rFonts w:ascii="Times New Roman" w:hAnsi="Times New Roman"/>
          <w:color w:val="auto"/>
          <w:sz w:val="24"/>
          <w:szCs w:val="24"/>
          <w:highlight w:val="none"/>
        </w:rPr>
        <w:t>汇报。</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3.8.2</w:t>
      </w:r>
      <w:r>
        <w:rPr>
          <w:rFonts w:ascii="Times New Roman" w:hAnsi="Times New Roman"/>
          <w:color w:val="auto"/>
          <w:sz w:val="24"/>
          <w:szCs w:val="24"/>
          <w:highlight w:val="none"/>
        </w:rPr>
        <w:tab/>
      </w:r>
      <w:r>
        <w:rPr>
          <w:rFonts w:ascii="Times New Roman" w:hAnsi="Times New Roman"/>
          <w:color w:val="auto"/>
          <w:sz w:val="24"/>
          <w:szCs w:val="24"/>
          <w:highlight w:val="none"/>
        </w:rPr>
        <w:t>施工作业人员安全管理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3.8.2.1 承包人必须对施工作业人员进行安全教育的责任。</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3.8.2.2 承包人必须对施工作业人员提供个人劳动保护用品：如安全帽、安全带等。</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3.8.2.3进入工地现场的所有施工作业人员必须（包括检查人员）规范佩戴安全帽。</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3.8.2.4 凡从事高处施工作业人员必须按规定正确佩戴合格的安全带。</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3.8.3</w:t>
      </w:r>
      <w:r>
        <w:rPr>
          <w:rFonts w:ascii="Times New Roman" w:hAnsi="Times New Roman"/>
          <w:color w:val="auto"/>
          <w:sz w:val="24"/>
          <w:szCs w:val="24"/>
          <w:highlight w:val="none"/>
        </w:rPr>
        <w:tab/>
      </w:r>
      <w:r>
        <w:rPr>
          <w:rFonts w:ascii="Times New Roman" w:hAnsi="Times New Roman"/>
          <w:color w:val="auto"/>
          <w:sz w:val="24"/>
          <w:szCs w:val="24"/>
          <w:highlight w:val="none"/>
        </w:rPr>
        <w:t>强制执行措施</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3.8.3.1如承包人没按要求设立专职安全员，发包人将暂缓发放全部或部分工程款。</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3.8.3.2 如安全员多次未能履行上述职责、工作能力差、管理水平低、综合技能达不到发包人评核要求的，</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可要求承包人更换安全员，直至情况能按要求改善为止。</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3.8.3.3</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将随时会同承包人项目负责人或安全员进行工地安全检查，对于施工过程中发现的隐患问题未及时有效整改的，将会执行违约赔偿人民币贰佰元-贰万元人民币处理，违约赔偿将在工程款项中扣除。</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3..8.3.4 承包人的负责人、项目经理、安全员没履行其职责，多次违反上述条例，</w:t>
      </w: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可按第6.11条的“强制执行措施”对承包人作处理。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w:t>
      </w:r>
      <w:r>
        <w:rPr>
          <w:rFonts w:ascii="Times New Roman" w:hAnsi="Times New Roman"/>
          <w:color w:val="auto"/>
          <w:sz w:val="24"/>
          <w:szCs w:val="24"/>
          <w:highlight w:val="none"/>
        </w:rPr>
        <w:tab/>
      </w:r>
      <w:r>
        <w:rPr>
          <w:rFonts w:ascii="Times New Roman" w:hAnsi="Times New Roman"/>
          <w:color w:val="auto"/>
          <w:sz w:val="24"/>
          <w:szCs w:val="24"/>
          <w:highlight w:val="none"/>
        </w:rPr>
        <w:t>环境保护和卫生防疫</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4.1</w:t>
      </w:r>
      <w:r>
        <w:rPr>
          <w:rFonts w:ascii="Times New Roman" w:hAnsi="Times New Roman"/>
          <w:color w:val="auto"/>
          <w:sz w:val="24"/>
          <w:szCs w:val="24"/>
          <w:highlight w:val="none"/>
        </w:rPr>
        <w:tab/>
      </w:r>
      <w:r>
        <w:rPr>
          <w:rFonts w:ascii="Times New Roman" w:hAnsi="Times New Roman"/>
          <w:color w:val="auto"/>
          <w:sz w:val="24"/>
          <w:szCs w:val="24"/>
          <w:highlight w:val="none"/>
        </w:rPr>
        <w:t>所有施工场所必须工完场清，严格执行绿色环保相关要求施工作业面必须采取喷水降尘措施必须在灰尘土飞扬处采取遮挡围蔽或喷水降尘措施。严禁高空抛物，违者将执行违约赔偿处理。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4.2</w:t>
      </w:r>
      <w:r>
        <w:rPr>
          <w:rFonts w:ascii="Times New Roman" w:hAnsi="Times New Roman"/>
          <w:color w:val="auto"/>
          <w:sz w:val="24"/>
          <w:szCs w:val="24"/>
          <w:highlight w:val="none"/>
        </w:rPr>
        <w:tab/>
      </w:r>
      <w:r>
        <w:rPr>
          <w:rFonts w:ascii="Times New Roman" w:hAnsi="Times New Roman"/>
          <w:color w:val="auto"/>
          <w:sz w:val="24"/>
          <w:szCs w:val="24"/>
          <w:highlight w:val="none"/>
        </w:rPr>
        <w:t>施工车辆应当经行政主管部门批准后营运，并采取措施防止灰尘飞扬。</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4.3</w:t>
      </w:r>
      <w:r>
        <w:rPr>
          <w:rFonts w:ascii="Times New Roman" w:hAnsi="Times New Roman"/>
          <w:color w:val="auto"/>
          <w:sz w:val="24"/>
          <w:szCs w:val="24"/>
          <w:highlight w:val="none"/>
        </w:rPr>
        <w:tab/>
      </w:r>
      <w:r>
        <w:rPr>
          <w:rFonts w:ascii="Times New Roman" w:hAnsi="Times New Roman"/>
          <w:color w:val="auto"/>
          <w:sz w:val="24"/>
          <w:szCs w:val="24"/>
          <w:highlight w:val="none"/>
        </w:rPr>
        <w:t>因工程技术或工程质量要求连续作业的，应当经工程所在地建设行政主管部门批准，并采取措施降低设备噪音后，方能延长作业时间。</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4.4</w:t>
      </w:r>
      <w:r>
        <w:rPr>
          <w:rFonts w:ascii="Times New Roman" w:hAnsi="Times New Roman"/>
          <w:color w:val="auto"/>
          <w:sz w:val="24"/>
          <w:szCs w:val="24"/>
          <w:highlight w:val="none"/>
        </w:rPr>
        <w:tab/>
      </w:r>
      <w:r>
        <w:rPr>
          <w:rFonts w:ascii="Times New Roman" w:hAnsi="Times New Roman"/>
          <w:color w:val="auto"/>
          <w:sz w:val="24"/>
          <w:szCs w:val="24"/>
          <w:highlight w:val="none"/>
        </w:rPr>
        <w:t>施工现场内禁止使用有毒、有害物体作燃料，禁止燃烧各类建筑废料和生活垃圾。</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4.5</w:t>
      </w:r>
      <w:r>
        <w:rPr>
          <w:rFonts w:ascii="Times New Roman" w:hAnsi="Times New Roman"/>
          <w:color w:val="auto"/>
          <w:sz w:val="24"/>
          <w:szCs w:val="24"/>
          <w:highlight w:val="none"/>
        </w:rPr>
        <w:tab/>
      </w:r>
      <w:r>
        <w:rPr>
          <w:rFonts w:ascii="Times New Roman" w:hAnsi="Times New Roman"/>
          <w:color w:val="auto"/>
          <w:sz w:val="24"/>
          <w:szCs w:val="24"/>
          <w:highlight w:val="none"/>
        </w:rPr>
        <w:t>施工现场应当设茶水亭和茶水桶，茶水桶要有盖、加锁和有标志。夏季施工时应当有防暑降温措施。</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4.6</w:t>
      </w:r>
      <w:r>
        <w:rPr>
          <w:rFonts w:ascii="Times New Roman" w:hAnsi="Times New Roman"/>
          <w:color w:val="auto"/>
          <w:sz w:val="24"/>
          <w:szCs w:val="24"/>
          <w:highlight w:val="none"/>
        </w:rPr>
        <w:tab/>
      </w:r>
      <w:r>
        <w:rPr>
          <w:rFonts w:ascii="Times New Roman" w:hAnsi="Times New Roman"/>
          <w:color w:val="auto"/>
          <w:sz w:val="24"/>
          <w:szCs w:val="24"/>
          <w:highlight w:val="none"/>
        </w:rPr>
        <w:t>人数超过500人的施工现场，必须设立医疗室，其他施工现场必须设立有效的医疗急救箱。</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4.7</w:t>
      </w:r>
      <w:r>
        <w:rPr>
          <w:rFonts w:ascii="Times New Roman" w:hAnsi="Times New Roman"/>
          <w:color w:val="auto"/>
          <w:sz w:val="24"/>
          <w:szCs w:val="24"/>
          <w:highlight w:val="none"/>
        </w:rPr>
        <w:tab/>
      </w:r>
      <w:r>
        <w:rPr>
          <w:rFonts w:ascii="Times New Roman" w:hAnsi="Times New Roman"/>
          <w:color w:val="auto"/>
          <w:sz w:val="24"/>
          <w:szCs w:val="24"/>
          <w:highlight w:val="none"/>
        </w:rPr>
        <w:t>施工现场应当落实各项除“四害”措施，严格控制“四害”孽生，无力自行落实除“四害”措施的，可委托社会服务机构代为处理。</w:t>
      </w:r>
    </w:p>
    <w:p>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4.8</w:t>
      </w:r>
      <w:r>
        <w:rPr>
          <w:rFonts w:ascii="Times New Roman" w:hAnsi="Times New Roman"/>
          <w:color w:val="auto"/>
          <w:sz w:val="24"/>
          <w:szCs w:val="24"/>
          <w:highlight w:val="none"/>
        </w:rPr>
        <w:tab/>
      </w:r>
      <w:r>
        <w:rPr>
          <w:rFonts w:ascii="Times New Roman" w:hAnsi="Times New Roman"/>
          <w:color w:val="auto"/>
          <w:sz w:val="24"/>
          <w:szCs w:val="24"/>
          <w:highlight w:val="none"/>
        </w:rPr>
        <w:t>施工现场内的保护区域，各单位进场前，要书面制定出防止污染破坏的措施。否则，所带来的经济责任和法律责任由责任分包单位和承包人单位承担。</w:t>
      </w:r>
    </w:p>
    <w:p>
      <w:pPr>
        <w:pStyle w:val="3"/>
        <w:spacing w:before="0" w:after="0" w:line="360" w:lineRule="auto"/>
        <w:rPr>
          <w:rStyle w:val="102"/>
          <w:b/>
          <w:bCs/>
          <w:color w:val="auto"/>
          <w:sz w:val="28"/>
          <w:szCs w:val="28"/>
          <w:highlight w:val="none"/>
        </w:rPr>
      </w:pPr>
    </w:p>
    <w:p>
      <w:pPr>
        <w:rPr>
          <w:color w:val="auto"/>
          <w:highlight w:val="none"/>
          <w:lang w:val="zh-CN"/>
        </w:rPr>
      </w:pPr>
    </w:p>
    <w:p>
      <w:pPr>
        <w:pStyle w:val="2"/>
        <w:rPr>
          <w:color w:val="auto"/>
          <w:highlight w:val="none"/>
          <w:lang w:val="zh-CN"/>
        </w:rPr>
      </w:pPr>
    </w:p>
    <w:p>
      <w:pPr>
        <w:pStyle w:val="2"/>
        <w:ind w:firstLine="0"/>
        <w:rPr>
          <w:color w:val="auto"/>
          <w:highlight w:val="none"/>
          <w:lang w:val="zh-CN"/>
        </w:rPr>
      </w:pPr>
    </w:p>
    <w:p>
      <w:pPr>
        <w:pStyle w:val="2"/>
        <w:rPr>
          <w:color w:val="auto"/>
          <w:highlight w:val="none"/>
          <w:lang w:val="zh-CN"/>
        </w:rPr>
      </w:pPr>
    </w:p>
    <w:p>
      <w:pPr>
        <w:pStyle w:val="2"/>
        <w:rPr>
          <w:rStyle w:val="102"/>
          <w:b w:val="0"/>
          <w:bCs w:val="0"/>
          <w:color w:val="auto"/>
          <w:sz w:val="28"/>
          <w:szCs w:val="28"/>
          <w:highlight w:val="none"/>
          <w:lang w:val="zh-CN"/>
        </w:rPr>
        <w:sectPr>
          <w:type w:val="continuous"/>
          <w:pgSz w:w="11906" w:h="16838"/>
          <w:pgMar w:top="1418" w:right="1554" w:bottom="1418" w:left="1531" w:header="851" w:footer="992" w:gutter="0"/>
          <w:pgNumType w:fmt="decimal"/>
          <w:cols w:space="720" w:num="1"/>
          <w:titlePg/>
          <w:docGrid w:type="lines" w:linePitch="312" w:charSpace="0"/>
        </w:sectPr>
      </w:pPr>
    </w:p>
    <w:p>
      <w:pPr>
        <w:pStyle w:val="3"/>
        <w:spacing w:before="0" w:after="0" w:line="360" w:lineRule="auto"/>
        <w:rPr>
          <w:rStyle w:val="102"/>
          <w:b/>
          <w:bCs/>
          <w:color w:val="auto"/>
          <w:sz w:val="28"/>
          <w:szCs w:val="28"/>
          <w:highlight w:val="none"/>
          <w:lang w:val="zh-CN"/>
        </w:rPr>
        <w:sectPr>
          <w:type w:val="continuous"/>
          <w:pgSz w:w="11906" w:h="16838"/>
          <w:pgMar w:top="1418" w:right="1554" w:bottom="1418" w:left="1531" w:header="851" w:footer="992" w:gutter="0"/>
          <w:pgNumType w:fmt="decimal" w:start="1"/>
          <w:cols w:space="720" w:num="1"/>
          <w:titlePg/>
          <w:docGrid w:type="lines" w:linePitch="312" w:charSpace="0"/>
        </w:sectPr>
      </w:pPr>
    </w:p>
    <w:bookmarkEnd w:id="1456"/>
    <w:bookmarkEnd w:id="1457"/>
    <w:bookmarkEnd w:id="1458"/>
    <w:bookmarkEnd w:id="1459"/>
    <w:bookmarkEnd w:id="1460"/>
    <w:bookmarkEnd w:id="1461"/>
    <w:bookmarkEnd w:id="1462"/>
    <w:bookmarkEnd w:id="1463"/>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pStyle w:val="52"/>
        <w:ind w:firstLine="0" w:firstLineChars="0"/>
        <w:jc w:val="both"/>
        <w:rPr>
          <w:rFonts w:eastAsia="宋体"/>
          <w:b/>
          <w:color w:val="auto"/>
          <w:sz w:val="28"/>
          <w:szCs w:val="28"/>
          <w:highlight w:val="none"/>
        </w:rPr>
      </w:pPr>
    </w:p>
    <w:p>
      <w:pPr>
        <w:pStyle w:val="52"/>
        <w:ind w:firstLine="0" w:firstLineChars="0"/>
        <w:jc w:val="both"/>
        <w:rPr>
          <w:rFonts w:eastAsia="宋体"/>
          <w:b/>
          <w:color w:val="auto"/>
          <w:sz w:val="28"/>
          <w:szCs w:val="28"/>
          <w:highlight w:val="none"/>
        </w:rPr>
      </w:pPr>
    </w:p>
    <w:p>
      <w:pPr>
        <w:pStyle w:val="52"/>
        <w:ind w:firstLine="0" w:firstLineChars="0"/>
        <w:jc w:val="both"/>
        <w:rPr>
          <w:rFonts w:eastAsia="宋体"/>
          <w:color w:val="auto"/>
          <w:highlight w:val="none"/>
        </w:rPr>
      </w:pPr>
    </w:p>
    <w:p>
      <w:pPr>
        <w:pStyle w:val="3"/>
        <w:spacing w:before="0" w:after="0" w:line="360" w:lineRule="auto"/>
        <w:rPr>
          <w:color w:val="auto"/>
          <w:highlight w:val="none"/>
        </w:rPr>
        <w:sectPr>
          <w:type w:val="continuous"/>
          <w:pgSz w:w="11906" w:h="16838"/>
          <w:pgMar w:top="1418" w:right="1554" w:bottom="1418" w:left="1531" w:header="851" w:footer="992" w:gutter="0"/>
          <w:pgNumType w:fmt="decimal"/>
          <w:cols w:space="720" w:num="1"/>
          <w:titlePg/>
          <w:docGrid w:type="lines" w:linePitch="312" w:charSpace="0"/>
        </w:sectPr>
      </w:pPr>
      <w:r>
        <w:rPr>
          <w:color w:val="auto"/>
          <w:highlight w:val="none"/>
        </w:rPr>
        <w:br w:type="page"/>
      </w:r>
      <w:bookmarkStart w:id="1464" w:name="_Toc19582"/>
      <w:bookmarkStart w:id="1465" w:name="_Toc5602"/>
      <w:bookmarkStart w:id="1466" w:name="_Toc44492671"/>
      <w:bookmarkStart w:id="1467" w:name="_Toc67300372"/>
      <w:bookmarkStart w:id="1468" w:name="_Toc40186533"/>
      <w:bookmarkStart w:id="1469" w:name="_Toc44227959"/>
      <w:bookmarkStart w:id="1470" w:name="_Toc13764"/>
      <w:bookmarkStart w:id="1471" w:name="_Toc23824"/>
    </w:p>
    <w:p>
      <w:pPr>
        <w:pStyle w:val="3"/>
        <w:spacing w:before="0" w:after="0" w:line="360" w:lineRule="auto"/>
        <w:rPr>
          <w:rStyle w:val="102"/>
          <w:rFonts w:hint="eastAsia"/>
          <w:b/>
          <w:bCs/>
          <w:color w:val="auto"/>
          <w:sz w:val="28"/>
          <w:szCs w:val="28"/>
          <w:highlight w:val="none"/>
        </w:rPr>
      </w:pPr>
      <w:bookmarkStart w:id="1472" w:name="_Toc14875"/>
      <w:r>
        <w:rPr>
          <w:rStyle w:val="102"/>
          <w:rFonts w:hint="eastAsia"/>
          <w:b/>
          <w:bCs/>
          <w:color w:val="auto"/>
          <w:sz w:val="28"/>
          <w:szCs w:val="28"/>
          <w:highlight w:val="none"/>
          <w:lang w:val="zh-CN"/>
        </w:rPr>
        <w:t>附件</w:t>
      </w:r>
      <w:r>
        <w:rPr>
          <w:rStyle w:val="102"/>
          <w:rFonts w:hint="eastAsia"/>
          <w:b/>
          <w:bCs/>
          <w:color w:val="auto"/>
          <w:sz w:val="28"/>
          <w:szCs w:val="28"/>
          <w:highlight w:val="none"/>
          <w:lang w:val="en-US" w:eastAsia="zh-CN"/>
        </w:rPr>
        <w:t>9</w:t>
      </w:r>
      <w:r>
        <w:rPr>
          <w:rStyle w:val="102"/>
          <w:rFonts w:hint="eastAsia"/>
          <w:b/>
          <w:bCs/>
          <w:color w:val="auto"/>
          <w:sz w:val="28"/>
          <w:szCs w:val="28"/>
          <w:highlight w:val="none"/>
          <w:lang w:val="zh-CN"/>
        </w:rPr>
        <w:t>：</w:t>
      </w:r>
      <w:bookmarkEnd w:id="1464"/>
      <w:bookmarkEnd w:id="1465"/>
      <w:bookmarkEnd w:id="1466"/>
      <w:bookmarkEnd w:id="1467"/>
      <w:bookmarkEnd w:id="1468"/>
      <w:bookmarkEnd w:id="1469"/>
      <w:bookmarkEnd w:id="1470"/>
      <w:bookmarkEnd w:id="1471"/>
      <w:bookmarkEnd w:id="1472"/>
      <w:r>
        <w:rPr>
          <w:rStyle w:val="102"/>
          <w:rFonts w:hint="eastAsia"/>
          <w:b/>
          <w:bCs/>
          <w:color w:val="auto"/>
          <w:sz w:val="28"/>
          <w:szCs w:val="28"/>
          <w:highlight w:val="none"/>
          <w:lang w:eastAsia="zh-CN"/>
        </w:rPr>
        <w:t>农民工工资专用账户管理协议书</w:t>
      </w:r>
    </w:p>
    <w:p>
      <w:pPr>
        <w:jc w:val="center"/>
        <w:rPr>
          <w:rFonts w:hint="eastAsia" w:ascii="宋体" w:hAnsi="宋体"/>
          <w:b/>
          <w:color w:val="auto"/>
          <w:sz w:val="28"/>
          <w:szCs w:val="28"/>
          <w:highlight w:val="none"/>
        </w:rPr>
      </w:pPr>
      <w:r>
        <w:rPr>
          <w:rFonts w:hint="eastAsia" w:ascii="宋体" w:hAnsi="宋体"/>
          <w:b/>
          <w:color w:val="auto"/>
          <w:sz w:val="28"/>
          <w:szCs w:val="28"/>
          <w:highlight w:val="none"/>
        </w:rPr>
        <w:t>农民工工资专用账户管理协议书</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甲方：（建筑业主单位）</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乙方：（施工单位）</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丙方：（商业银行）</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丁方：江门市蓬江区人力资源和社会保障局</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为共同预防和妥善处理建筑施工企业拖欠工人工资违法行为，切实保护工人利益，根据《关于印发江门市建设领域工人工资支付分账管理实施方案的通知》的有关规定，现甲、乙、丙、丁四方就乙方位于</w:t>
      </w:r>
      <w:r>
        <w:rPr>
          <w:rFonts w:hint="default" w:ascii="Times New Roman" w:hAnsi="Times New Roman" w:eastAsia="宋体" w:cs="Times New Roman"/>
          <w:color w:val="auto"/>
          <w:sz w:val="24"/>
          <w:szCs w:val="24"/>
          <w:highlight w:val="none"/>
          <w:u w:val="single"/>
        </w:rPr>
        <w:t xml:space="preserve">                                       （建设地址）</w:t>
      </w:r>
      <w:r>
        <w:rPr>
          <w:rFonts w:hint="default" w:ascii="Times New Roman" w:hAnsi="Times New Roman" w:eastAsia="宋体" w:cs="Times New Roman"/>
          <w:color w:val="auto"/>
          <w:sz w:val="24"/>
          <w:szCs w:val="24"/>
          <w:highlight w:val="none"/>
        </w:rPr>
        <w:t>的建筑工程项目</w:t>
      </w:r>
      <w:r>
        <w:rPr>
          <w:rFonts w:hint="default" w:ascii="Times New Roman" w:hAnsi="Times New Roman" w:eastAsia="宋体" w:cs="Times New Roman"/>
          <w:b/>
          <w:color w:val="auto"/>
          <w:sz w:val="24"/>
          <w:szCs w:val="24"/>
          <w:highlight w:val="none"/>
        </w:rPr>
        <w:t>农民工工资专用账户</w:t>
      </w:r>
      <w:r>
        <w:rPr>
          <w:rFonts w:hint="default" w:ascii="Times New Roman" w:hAnsi="Times New Roman" w:eastAsia="宋体" w:cs="Times New Roman"/>
          <w:color w:val="auto"/>
          <w:sz w:val="24"/>
          <w:szCs w:val="24"/>
          <w:highlight w:val="none"/>
        </w:rPr>
        <w:t>的存储、管理、使用、退款、销户等事项自愿达成以下协议：</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一、甲方义务：</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本协议项目开工前，甲方将工程总价款的4%，划入乙方在丙方开立的</w:t>
      </w:r>
      <w:r>
        <w:rPr>
          <w:rFonts w:hint="default" w:ascii="Times New Roman" w:hAnsi="Times New Roman" w:eastAsia="宋体" w:cs="Times New Roman"/>
          <w:b/>
          <w:color w:val="auto"/>
          <w:sz w:val="24"/>
          <w:szCs w:val="24"/>
          <w:highlight w:val="none"/>
        </w:rPr>
        <w:t>农民工工资专用账户</w:t>
      </w:r>
      <w:r>
        <w:rPr>
          <w:rFonts w:hint="default" w:ascii="Times New Roman" w:hAnsi="Times New Roman" w:eastAsia="宋体" w:cs="Times New Roman"/>
          <w:color w:val="auto"/>
          <w:sz w:val="24"/>
          <w:szCs w:val="24"/>
          <w:highlight w:val="none"/>
        </w:rPr>
        <w:t>；此后每笔支付给乙方的工程资金，甲方按不少于该笔工程资金20%的比例，将资金划入</w:t>
      </w:r>
      <w:r>
        <w:rPr>
          <w:rFonts w:hint="default" w:ascii="Times New Roman" w:hAnsi="Times New Roman" w:eastAsia="宋体" w:cs="Times New Roman"/>
          <w:b/>
          <w:color w:val="auto"/>
          <w:sz w:val="24"/>
          <w:szCs w:val="24"/>
          <w:highlight w:val="none"/>
        </w:rPr>
        <w:t>农民工工资专用账户</w:t>
      </w:r>
      <w:r>
        <w:rPr>
          <w:rFonts w:hint="default" w:ascii="Times New Roman" w:hAnsi="Times New Roman" w:eastAsia="宋体" w:cs="Times New Roman"/>
          <w:color w:val="auto"/>
          <w:sz w:val="24"/>
          <w:szCs w:val="24"/>
          <w:highlight w:val="none"/>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二、乙方义务：</w:t>
      </w:r>
    </w:p>
    <w:p>
      <w:pPr>
        <w:spacing w:line="360" w:lineRule="auto"/>
        <w:ind w:firstLine="360" w:firstLineChars="15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（一）乙方承建的</w:t>
      </w:r>
      <w:r>
        <w:rPr>
          <w:rFonts w:hint="default" w:ascii="Times New Roman" w:hAnsi="Times New Roman" w:eastAsia="宋体" w:cs="Times New Roman"/>
          <w:color w:val="auto"/>
          <w:sz w:val="24"/>
          <w:szCs w:val="24"/>
          <w:highlight w:val="none"/>
          <w:u w:val="single"/>
        </w:rPr>
        <w:t xml:space="preserve">                                                                 </w:t>
      </w:r>
    </w:p>
    <w:p>
      <w:pPr>
        <w:spacing w:line="360" w:lineRule="auto"/>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工程（项目），标书或合同总造价为</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万元，同意于</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 xml:space="preserve">日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之前在丙方开立</w:t>
      </w:r>
      <w:r>
        <w:rPr>
          <w:rFonts w:hint="default" w:ascii="Times New Roman" w:hAnsi="Times New Roman" w:eastAsia="宋体" w:cs="Times New Roman"/>
          <w:b/>
          <w:color w:val="auto"/>
          <w:sz w:val="24"/>
          <w:szCs w:val="24"/>
          <w:highlight w:val="none"/>
        </w:rPr>
        <w:t>农民工工资专用账户</w:t>
      </w:r>
      <w:r>
        <w:rPr>
          <w:rFonts w:hint="default" w:ascii="Times New Roman" w:hAnsi="Times New Roman" w:eastAsia="宋体" w:cs="Times New Roman"/>
          <w:color w:val="auto"/>
          <w:sz w:val="24"/>
          <w:szCs w:val="24"/>
          <w:highlight w:val="none"/>
        </w:rPr>
        <w:t>，并于</w:t>
      </w:r>
      <w:r>
        <w:rPr>
          <w:rFonts w:hint="default" w:ascii="Times New Roman" w:hAnsi="Times New Roman" w:eastAsia="宋体" w:cs="Times New Roman"/>
          <w:color w:val="auto"/>
          <w:sz w:val="24"/>
          <w:szCs w:val="24"/>
          <w:highlight w:val="none"/>
          <w:u w:val="single"/>
        </w:rPr>
        <w:t xml:space="preserve">2      </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月开始使用该专户支付农民工工资。该专用存款账户的资金只能用于支付乙方承建工程内农民工工资，专款专用，不得提现或其他用途，也不能用于抵押担保。</w:t>
      </w: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乙方所属农民工的工资，由上述条款中开设的乙方农民工工资专用账户对农民工个人工资账户进行统一划拨发放。如乙方将承建的建筑工程项目分包给其他施工单位的，乙方有责任监督各分包单位，为参与本项目施工的农民工按要求开设个人工资专户并备案相关用工信息，各分包单位每月统计在本项目施工的农民工工资情况，制作工资表报送乙方，由乙方通过上述条款中开设的农民工工资专用账户对农民工个人工资账户进行统一划拨发放。</w:t>
      </w: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（三）乙方承诺依时结算和足额支付农民工工资，各岗位（工种）支付周期按自然月支付，支付时间最迟不超过支付周期届满后15天。以完成一定工作任务计发工资的，在工作任务完成后10天内支付劳动者工资。</w:t>
      </w: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（四）人面识别考勤系统建成后，乙方承建的施工工地门口须配备人面识别考勤机，实时监控工地人员出勤情况。乙方须配合丁方宣传引导工人在该设备上考勤，并按丁方要求制定相应的考勤管理制度。</w:t>
      </w: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乙方在每月发放工资7个工作日前，通过江门市企业用工和人力资源服务平台（简称平台）向丙方提交委托银行批量业务申请书、农民工工资发放计划清单（按丙方代发固定格式整理，平台功能建成前按照丁方要求的方式提交上述资料），并确保在代发前1个工作日款项已划入农民工工资专用账户。</w:t>
      </w: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（六）由于乙方提供的数据不准确造成的经济法律责任，均由乙方承担。</w:t>
      </w: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七）乙方规范工资支付管理，防止发生工人群体性事件，在每个季度最后10个工作日向丁方报送本工程项目农民工管理和工资支付自查情况；不得故意制造拖欠工资假象，以追讨欠薪为由煽动工人追讨工程款，套取农民工工资专用账户资金；否则，由此造成的一切后果由乙方承担。</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三、丙方义务：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配合丁方做好对农民工工资专用账户的监管工作，监管乙方在使用账户时必须专款专用，不得擅自挪用或借用。不得为农民工工资专用账户开通网上银行等电子支付渠道（电子银行查询除外），不得提取现金。严格按照银行有关规定，审核相关票据材料，依法保障农民工工资专用账户的合法权益和资金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（二）对“农民工工资专用账户”的所有资料，负有保密义务，不得向外泄露，有权机关要求调阅查询时除外。丁方需要查阅专户情况时，应积极配合和提供服务。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丙方应当在“农民工工资专用账户”建立之日起10个工作日内，通过平台向丁方反馈与该“农民工工资专用账户”相关的信息，包括“工地地址、建筑业主单位名称、施工单位名称、项目竣工时间、承建工程内务工人员人数、农民工工人姓名和身份证号码”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在乙方提供工资支付手续齐全的情况下，丙方应在7个工作日内将工资发放到核定的农民工个人账户内；如遇特殊情况导致工资未能按期发放到农民工个人账户，丙方应当及时向乙方和丁方反馈，并在特殊情况处置完毕之日起2个工作日内支付发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（五）丙方通过农民工工资专用账户代发工资时，产生的费用不得通过专用账户进行扣除，不得随意克扣工人工资。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（六）丙方应每月10日前将上月施工单位开户、销户状况，监管账户资金结余情况和每月工资发放结果汇总以报表形式报丁方。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（七）如出现有权单位对该专户采取保全或执行等措施，丙方严格履行下列义务：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1.在核实对方身份等情况及办理相关手续后，迅速通知丁方；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2.向有权单位告知：该账户资金系政府用于防范和应对该企业在施工期间被拖欠农民工工资的应急专项基金，受国家法律法规保护，不用于解决其他经济纠纷，启动的权限在当地政府，并及时与丁方联系。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（八）未收到丁方出具并加具批复意见的《注销农民工工资保证金专户、农民工工资专用账户申请表》，不得办理专户资金的提取、销户等手续。</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四、丁方义务：</w:t>
      </w: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（一）监督乙方是否在规定期限内开设农民工工资专用账户，甲、乙方是否按约定存入相应款项。</w:t>
      </w: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（二）监督乙方在规定期限内的农民工工资专用账户的使用情况。</w:t>
      </w: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（三）对甲、乙双方不按《保障农民工工资支付条例》进行支付农民工工资的情况进行行政处理。</w:t>
      </w: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（四）严格审查乙方提出的农民工工资专用账户销户申请；对符合条件的，应加具意见。</w:t>
      </w: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（五）审核考核丙方代发工资工作。</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五、本次设立的工资支付专户信息：</w:t>
      </w:r>
    </w:p>
    <w:p>
      <w:pPr>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农民工工资专户账户户名：</w:t>
      </w:r>
      <w:r>
        <w:rPr>
          <w:rFonts w:hint="default"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账号：</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开户银行：</w:t>
      </w:r>
      <w:r>
        <w:rPr>
          <w:rFonts w:hint="default"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六、违约责任</w:t>
      </w: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（一）本协议自四方签订之日起生效，至本协议约定开立的建筑施工单位农民工工资专用账户销户时终止，期间任何一方违反规定的，非过错方可终止本协议，并保留追究有关法律责任的权利。</w:t>
      </w: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丙方未履行工资支付管理规定的监管责任，被乙方擅自挪用或借用工资支付专户内资金，或不按约定反馈工资发放、专户内资金情况或有其他不配合丁方履行工资支付专户监管的情况，一经发现，丁方有权立即终止与丙方的合作关系，并保留追究有关法律责任的权利。</w:t>
      </w:r>
    </w:p>
    <w:p>
      <w:pPr>
        <w:spacing w:line="360" w:lineRule="auto"/>
        <w:ind w:firstLine="360" w:firstLineChars="150"/>
        <w:rPr>
          <w:rFonts w:hint="default" w:ascii="Times New Roman" w:hAnsi="Times New Roman" w:eastAsia="宋体" w:cs="Times New Roman"/>
          <w:color w:val="auto"/>
          <w:sz w:val="24"/>
          <w:szCs w:val="24"/>
          <w:highlight w:val="none"/>
        </w:rPr>
      </w:pPr>
    </w:p>
    <w:p>
      <w:pPr>
        <w:spacing w:line="360" w:lineRule="auto"/>
        <w:ind w:firstLine="360" w:firstLineChars="150"/>
        <w:rPr>
          <w:rFonts w:hint="default" w:ascii="Times New Roman" w:hAnsi="Times New Roman" w:eastAsia="宋体" w:cs="Times New Roman"/>
          <w:color w:val="auto"/>
          <w:sz w:val="24"/>
          <w:szCs w:val="24"/>
          <w:highlight w:val="none"/>
        </w:rPr>
      </w:pP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本协议书一式四份，甲、乙、丙、丁四方各执一份。</w:t>
      </w:r>
    </w:p>
    <w:p>
      <w:pPr>
        <w:spacing w:line="360" w:lineRule="auto"/>
        <w:ind w:firstLine="360" w:firstLineChars="150"/>
        <w:rPr>
          <w:rFonts w:hint="default" w:ascii="Times New Roman" w:hAnsi="Times New Roman" w:eastAsia="宋体" w:cs="Times New Roman"/>
          <w:color w:val="auto"/>
          <w:sz w:val="24"/>
          <w:szCs w:val="24"/>
          <w:highlight w:val="none"/>
        </w:rPr>
      </w:pPr>
    </w:p>
    <w:p>
      <w:pPr>
        <w:spacing w:line="360" w:lineRule="auto"/>
        <w:ind w:firstLine="360" w:firstLineChars="150"/>
        <w:rPr>
          <w:rFonts w:hint="default" w:ascii="Times New Roman" w:hAnsi="Times New Roman" w:eastAsia="宋体" w:cs="Times New Roman"/>
          <w:color w:val="auto"/>
          <w:sz w:val="24"/>
          <w:szCs w:val="24"/>
          <w:highlight w:val="none"/>
        </w:rPr>
      </w:pP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甲方（签章）：                       乙方（签章）：</w:t>
      </w:r>
    </w:p>
    <w:p>
      <w:pPr>
        <w:spacing w:line="360" w:lineRule="auto"/>
        <w:ind w:firstLine="360" w:firstLineChars="150"/>
        <w:rPr>
          <w:rFonts w:hint="default" w:ascii="Times New Roman" w:hAnsi="Times New Roman" w:eastAsia="宋体" w:cs="Times New Roman"/>
          <w:color w:val="auto"/>
          <w:sz w:val="24"/>
          <w:szCs w:val="24"/>
          <w:highlight w:val="none"/>
        </w:rPr>
      </w:pPr>
    </w:p>
    <w:p>
      <w:pPr>
        <w:spacing w:line="360" w:lineRule="auto"/>
        <w:ind w:firstLine="360" w:firstLineChars="150"/>
        <w:rPr>
          <w:rFonts w:hint="default" w:ascii="Times New Roman" w:hAnsi="Times New Roman" w:eastAsia="宋体" w:cs="Times New Roman"/>
          <w:color w:val="auto"/>
          <w:sz w:val="24"/>
          <w:szCs w:val="24"/>
          <w:highlight w:val="none"/>
        </w:rPr>
      </w:pPr>
    </w:p>
    <w:p>
      <w:pPr>
        <w:spacing w:line="360" w:lineRule="auto"/>
        <w:ind w:firstLine="360" w:firstLineChars="150"/>
        <w:rPr>
          <w:rFonts w:hint="default" w:ascii="Times New Roman" w:hAnsi="Times New Roman" w:eastAsia="宋体" w:cs="Times New Roman"/>
          <w:color w:val="auto"/>
          <w:sz w:val="24"/>
          <w:szCs w:val="24"/>
          <w:highlight w:val="none"/>
        </w:rPr>
      </w:pPr>
    </w:p>
    <w:p>
      <w:pPr>
        <w:spacing w:line="360" w:lineRule="auto"/>
        <w:ind w:firstLine="360" w:firstLineChars="150"/>
        <w:rPr>
          <w:rFonts w:hint="default" w:ascii="Times New Roman" w:hAnsi="Times New Roman" w:eastAsia="宋体" w:cs="Times New Roman"/>
          <w:color w:val="auto"/>
          <w:sz w:val="24"/>
          <w:szCs w:val="24"/>
          <w:highlight w:val="none"/>
        </w:rPr>
      </w:pPr>
    </w:p>
    <w:p>
      <w:pPr>
        <w:spacing w:line="360" w:lineRule="auto"/>
        <w:ind w:firstLine="360" w:firstLineChars="150"/>
        <w:rPr>
          <w:rFonts w:hint="default" w:ascii="Times New Roman" w:hAnsi="Times New Roman" w:eastAsia="宋体" w:cs="Times New Roman"/>
          <w:color w:val="auto"/>
          <w:sz w:val="24"/>
          <w:szCs w:val="24"/>
          <w:highlight w:val="none"/>
        </w:rPr>
      </w:pP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丙方（签章）：                       丁方（签章）：</w:t>
      </w:r>
    </w:p>
    <w:p>
      <w:pPr>
        <w:spacing w:line="360" w:lineRule="auto"/>
        <w:rPr>
          <w:rFonts w:hint="default" w:ascii="Times New Roman" w:hAnsi="Times New Roman" w:eastAsia="宋体" w:cs="Times New Roman"/>
          <w:color w:val="auto"/>
          <w:sz w:val="24"/>
          <w:szCs w:val="24"/>
          <w:highlight w:val="none"/>
        </w:rPr>
      </w:pPr>
    </w:p>
    <w:p>
      <w:pPr>
        <w:spacing w:line="360" w:lineRule="auto"/>
        <w:jc w:val="center"/>
        <w:rPr>
          <w:rFonts w:hint="default" w:ascii="Times New Roman" w:hAnsi="Times New Roman" w:eastAsia="宋体" w:cs="Times New Roman"/>
          <w:color w:val="auto"/>
          <w:sz w:val="24"/>
          <w:szCs w:val="24"/>
          <w:highlight w:val="none"/>
        </w:rPr>
      </w:pPr>
    </w:p>
    <w:p>
      <w:pPr>
        <w:spacing w:line="360" w:lineRule="auto"/>
        <w:jc w:val="center"/>
        <w:rPr>
          <w:rFonts w:hint="default" w:ascii="Times New Roman" w:hAnsi="Times New Roman" w:eastAsia="宋体" w:cs="Times New Roman"/>
          <w:color w:val="auto"/>
          <w:sz w:val="24"/>
          <w:szCs w:val="24"/>
          <w:highlight w:val="none"/>
        </w:rPr>
      </w:pPr>
    </w:p>
    <w:p>
      <w:pPr>
        <w:spacing w:line="360" w:lineRule="auto"/>
        <w:jc w:val="center"/>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年   月   日</w:t>
      </w:r>
    </w:p>
    <w:p>
      <w:pPr>
        <w:spacing w:line="360" w:lineRule="auto"/>
        <w:ind w:firstLine="420" w:firstLineChars="200"/>
        <w:rPr>
          <w:rFonts w:ascii="Times New Roman" w:hAnsi="Times New Roman"/>
          <w:color w:val="auto"/>
          <w:highlight w:val="none"/>
        </w:rPr>
      </w:pPr>
    </w:p>
    <w:p>
      <w:pPr>
        <w:pStyle w:val="52"/>
        <w:ind w:firstLine="0" w:firstLineChars="0"/>
        <w:jc w:val="both"/>
        <w:rPr>
          <w:rFonts w:eastAsia="宋体"/>
          <w:color w:val="auto"/>
          <w:highlight w:val="none"/>
        </w:rPr>
      </w:pPr>
    </w:p>
    <w:p>
      <w:pPr>
        <w:pStyle w:val="52"/>
        <w:ind w:firstLine="0" w:firstLineChars="0"/>
        <w:jc w:val="both"/>
        <w:outlineLvl w:val="0"/>
        <w:rPr>
          <w:rFonts w:eastAsia="宋体"/>
          <w:color w:val="auto"/>
          <w:highlight w:val="none"/>
        </w:rPr>
        <w:sectPr>
          <w:type w:val="continuous"/>
          <w:pgSz w:w="11906" w:h="16838"/>
          <w:pgMar w:top="1418" w:right="1554" w:bottom="1418" w:left="1531" w:header="851" w:footer="992" w:gutter="0"/>
          <w:pgNumType w:fmt="decimal"/>
          <w:cols w:space="720" w:num="1"/>
          <w:titlePg/>
          <w:docGrid w:type="lines" w:linePitch="312" w:charSpace="0"/>
        </w:sectPr>
      </w:pPr>
      <w:bookmarkStart w:id="1473" w:name="_Toc27457"/>
      <w:bookmarkStart w:id="1474" w:name="_Toc67300374"/>
      <w:bookmarkStart w:id="1475" w:name="_Toc14385"/>
    </w:p>
    <w:p>
      <w:pPr>
        <w:pStyle w:val="52"/>
        <w:ind w:firstLine="0" w:firstLineChars="0"/>
        <w:jc w:val="both"/>
        <w:outlineLvl w:val="0"/>
        <w:rPr>
          <w:rStyle w:val="102"/>
          <w:rFonts w:hint="eastAsia"/>
          <w:color w:val="auto"/>
          <w:sz w:val="28"/>
          <w:szCs w:val="28"/>
          <w:highlight w:val="none"/>
          <w:lang w:val="zh-CN"/>
        </w:rPr>
      </w:pPr>
      <w:bookmarkStart w:id="1476" w:name="_Toc28993"/>
    </w:p>
    <w:p>
      <w:pPr>
        <w:pStyle w:val="52"/>
        <w:ind w:firstLine="0" w:firstLineChars="0"/>
        <w:jc w:val="both"/>
        <w:outlineLvl w:val="0"/>
        <w:rPr>
          <w:rStyle w:val="102"/>
          <w:rFonts w:hint="eastAsia"/>
          <w:color w:val="auto"/>
          <w:sz w:val="28"/>
          <w:szCs w:val="28"/>
          <w:highlight w:val="none"/>
          <w:lang w:val="zh-CN"/>
        </w:rPr>
      </w:pPr>
    </w:p>
    <w:p>
      <w:pPr>
        <w:pStyle w:val="52"/>
        <w:ind w:firstLine="0" w:firstLineChars="0"/>
        <w:jc w:val="both"/>
        <w:outlineLvl w:val="0"/>
        <w:rPr>
          <w:rStyle w:val="102"/>
          <w:rFonts w:hint="eastAsia"/>
          <w:color w:val="auto"/>
          <w:sz w:val="28"/>
          <w:szCs w:val="28"/>
          <w:highlight w:val="none"/>
          <w:lang w:val="zh-CN"/>
        </w:rPr>
      </w:pPr>
    </w:p>
    <w:p>
      <w:pPr>
        <w:pStyle w:val="52"/>
        <w:ind w:firstLine="0" w:firstLineChars="0"/>
        <w:jc w:val="both"/>
        <w:outlineLvl w:val="0"/>
        <w:rPr>
          <w:rStyle w:val="102"/>
          <w:rFonts w:hint="eastAsia"/>
          <w:color w:val="auto"/>
          <w:sz w:val="28"/>
          <w:szCs w:val="28"/>
          <w:highlight w:val="none"/>
          <w:lang w:val="zh-CN"/>
        </w:rPr>
      </w:pPr>
    </w:p>
    <w:p>
      <w:pPr>
        <w:pStyle w:val="52"/>
        <w:ind w:firstLine="0" w:firstLineChars="0"/>
        <w:jc w:val="both"/>
        <w:outlineLvl w:val="0"/>
        <w:rPr>
          <w:rStyle w:val="102"/>
          <w:rFonts w:hint="eastAsia"/>
          <w:color w:val="auto"/>
          <w:sz w:val="28"/>
          <w:szCs w:val="28"/>
          <w:highlight w:val="none"/>
          <w:lang w:val="zh-CN"/>
        </w:rPr>
      </w:pPr>
    </w:p>
    <w:p>
      <w:pPr>
        <w:pStyle w:val="52"/>
        <w:ind w:firstLine="0" w:firstLineChars="0"/>
        <w:jc w:val="both"/>
        <w:outlineLvl w:val="0"/>
        <w:rPr>
          <w:rStyle w:val="102"/>
          <w:rFonts w:hint="eastAsia"/>
          <w:color w:val="auto"/>
          <w:sz w:val="28"/>
          <w:szCs w:val="28"/>
          <w:highlight w:val="none"/>
          <w:lang w:val="zh-CN"/>
        </w:rPr>
      </w:pPr>
    </w:p>
    <w:p>
      <w:pPr>
        <w:pStyle w:val="52"/>
        <w:ind w:firstLine="0" w:firstLineChars="0"/>
        <w:jc w:val="both"/>
        <w:outlineLvl w:val="0"/>
        <w:rPr>
          <w:rStyle w:val="102"/>
          <w:rFonts w:hint="eastAsia"/>
          <w:color w:val="auto"/>
          <w:sz w:val="28"/>
          <w:szCs w:val="28"/>
          <w:highlight w:val="none"/>
          <w:lang w:val="zh-CN"/>
        </w:rPr>
      </w:pPr>
    </w:p>
    <w:p>
      <w:pPr>
        <w:pStyle w:val="52"/>
        <w:ind w:firstLine="0" w:firstLineChars="0"/>
        <w:jc w:val="both"/>
        <w:outlineLvl w:val="0"/>
        <w:rPr>
          <w:rStyle w:val="102"/>
          <w:rFonts w:hint="eastAsia"/>
          <w:color w:val="auto"/>
          <w:sz w:val="28"/>
          <w:szCs w:val="28"/>
          <w:highlight w:val="none"/>
          <w:lang w:val="zh-CN"/>
        </w:rPr>
      </w:pPr>
    </w:p>
    <w:p>
      <w:pPr>
        <w:pStyle w:val="52"/>
        <w:ind w:firstLine="0" w:firstLineChars="0"/>
        <w:jc w:val="both"/>
        <w:outlineLvl w:val="0"/>
        <w:rPr>
          <w:rStyle w:val="102"/>
          <w:rFonts w:hint="eastAsia"/>
          <w:color w:val="auto"/>
          <w:sz w:val="28"/>
          <w:szCs w:val="28"/>
          <w:highlight w:val="none"/>
          <w:lang w:val="zh-CN"/>
        </w:rPr>
      </w:pPr>
    </w:p>
    <w:p>
      <w:pPr>
        <w:pStyle w:val="52"/>
        <w:ind w:firstLine="0" w:firstLineChars="0"/>
        <w:jc w:val="both"/>
        <w:outlineLvl w:val="0"/>
        <w:rPr>
          <w:rFonts w:eastAsia="宋体"/>
          <w:b/>
          <w:bCs/>
          <w:color w:val="auto"/>
          <w:kern w:val="44"/>
          <w:sz w:val="30"/>
          <w:szCs w:val="30"/>
          <w:highlight w:val="none"/>
        </w:rPr>
      </w:pPr>
      <w:r>
        <w:rPr>
          <w:rStyle w:val="102"/>
          <w:rFonts w:hint="eastAsia"/>
          <w:color w:val="auto"/>
          <w:sz w:val="28"/>
          <w:szCs w:val="28"/>
          <w:highlight w:val="none"/>
          <w:lang w:val="zh-CN"/>
        </w:rPr>
        <w:t>附件</w:t>
      </w:r>
      <w:r>
        <w:rPr>
          <w:rStyle w:val="102"/>
          <w:rFonts w:hint="eastAsia" w:eastAsia="宋体"/>
          <w:color w:val="auto"/>
          <w:sz w:val="28"/>
          <w:szCs w:val="28"/>
          <w:highlight w:val="none"/>
          <w:lang w:val="en-US" w:eastAsia="zh-CN"/>
        </w:rPr>
        <w:t>10</w:t>
      </w:r>
      <w:r>
        <w:rPr>
          <w:rStyle w:val="102"/>
          <w:color w:val="auto"/>
          <w:sz w:val="28"/>
          <w:szCs w:val="28"/>
          <w:highlight w:val="none"/>
          <w:lang w:val="zh-CN"/>
        </w:rPr>
        <w:t>：</w:t>
      </w:r>
      <w:r>
        <w:rPr>
          <w:rStyle w:val="102"/>
          <w:rFonts w:hint="eastAsia"/>
          <w:color w:val="auto"/>
          <w:sz w:val="28"/>
          <w:szCs w:val="28"/>
          <w:highlight w:val="none"/>
          <w:lang w:val="zh-CN"/>
        </w:rPr>
        <w:t>图纸目录</w:t>
      </w:r>
      <w:bookmarkEnd w:id="1473"/>
      <w:bookmarkEnd w:id="1474"/>
      <w:bookmarkEnd w:id="1475"/>
      <w:r>
        <w:rPr>
          <w:rStyle w:val="102"/>
          <w:rFonts w:hint="eastAsia"/>
          <w:color w:val="auto"/>
          <w:sz w:val="28"/>
          <w:szCs w:val="28"/>
          <w:highlight w:val="none"/>
          <w:lang w:val="zh-CN"/>
        </w:rPr>
        <w:t>（</w:t>
      </w:r>
      <w:r>
        <w:rPr>
          <w:rStyle w:val="102"/>
          <w:rFonts w:hint="eastAsia"/>
          <w:color w:val="auto"/>
          <w:sz w:val="28"/>
          <w:szCs w:val="28"/>
          <w:highlight w:val="none"/>
        </w:rPr>
        <w:t>另册</w:t>
      </w:r>
      <w:r>
        <w:rPr>
          <w:rStyle w:val="102"/>
          <w:rFonts w:hint="eastAsia"/>
          <w:color w:val="auto"/>
          <w:sz w:val="28"/>
          <w:szCs w:val="28"/>
          <w:highlight w:val="none"/>
          <w:lang w:val="zh-CN"/>
        </w:rPr>
        <w:t>）</w:t>
      </w:r>
      <w:bookmarkEnd w:id="1476"/>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pStyle w:val="52"/>
        <w:ind w:firstLine="0" w:firstLineChars="0"/>
        <w:jc w:val="both"/>
        <w:outlineLvl w:val="0"/>
        <w:rPr>
          <w:rStyle w:val="102"/>
          <w:color w:val="auto"/>
          <w:sz w:val="28"/>
          <w:szCs w:val="28"/>
          <w:highlight w:val="none"/>
          <w:lang w:val="zh-CN"/>
        </w:rPr>
        <w:sectPr>
          <w:type w:val="continuous"/>
          <w:pgSz w:w="11906" w:h="16838"/>
          <w:pgMar w:top="1418" w:right="1554" w:bottom="1418" w:left="1531" w:header="851" w:footer="992" w:gutter="0"/>
          <w:pgNumType w:fmt="decimal"/>
          <w:cols w:space="720" w:num="1"/>
          <w:titlePg/>
          <w:docGrid w:type="lines" w:linePitch="312" w:charSpace="0"/>
        </w:sectPr>
      </w:pPr>
      <w:bookmarkStart w:id="1477" w:name="_Toc30301"/>
      <w:bookmarkStart w:id="1478" w:name="_Toc67300375"/>
      <w:bookmarkStart w:id="1479" w:name="_Toc17912"/>
    </w:p>
    <w:bookmarkEnd w:id="1477"/>
    <w:bookmarkEnd w:id="1478"/>
    <w:bookmarkEnd w:id="1479"/>
    <w:p>
      <w:pPr>
        <w:pStyle w:val="52"/>
        <w:ind w:firstLine="0" w:firstLineChars="0"/>
        <w:jc w:val="both"/>
        <w:outlineLvl w:val="0"/>
        <w:rPr>
          <w:rStyle w:val="102"/>
          <w:color w:val="auto"/>
          <w:sz w:val="28"/>
          <w:szCs w:val="28"/>
          <w:highlight w:val="none"/>
          <w:lang w:val="zh-CN"/>
        </w:rPr>
      </w:pPr>
      <w:bookmarkStart w:id="1480" w:name="_Toc23399"/>
      <w:bookmarkStart w:id="1481" w:name="_Toc16339"/>
      <w:r>
        <w:rPr>
          <w:rStyle w:val="102"/>
          <w:rFonts w:hint="eastAsia"/>
          <w:color w:val="auto"/>
          <w:sz w:val="28"/>
          <w:szCs w:val="28"/>
          <w:highlight w:val="none"/>
          <w:lang w:val="zh-CN"/>
        </w:rPr>
        <w:t>附件1</w:t>
      </w:r>
      <w:r>
        <w:rPr>
          <w:rStyle w:val="102"/>
          <w:rFonts w:hint="eastAsia" w:eastAsia="宋体"/>
          <w:color w:val="auto"/>
          <w:sz w:val="28"/>
          <w:szCs w:val="28"/>
          <w:highlight w:val="none"/>
          <w:lang w:val="en-US" w:eastAsia="zh-CN"/>
        </w:rPr>
        <w:t>1</w:t>
      </w:r>
      <w:r>
        <w:rPr>
          <w:rStyle w:val="102"/>
          <w:color w:val="auto"/>
          <w:sz w:val="28"/>
          <w:szCs w:val="28"/>
          <w:highlight w:val="none"/>
          <w:lang w:val="zh-CN"/>
        </w:rPr>
        <w:t>：</w:t>
      </w:r>
      <w:r>
        <w:rPr>
          <w:rStyle w:val="102"/>
          <w:rFonts w:hint="eastAsia"/>
          <w:color w:val="auto"/>
          <w:sz w:val="28"/>
          <w:szCs w:val="28"/>
          <w:highlight w:val="none"/>
          <w:lang w:val="zh-CN"/>
        </w:rPr>
        <w:t>安全管理协议书</w:t>
      </w:r>
      <w:bookmarkEnd w:id="1480"/>
      <w:bookmarkEnd w:id="1481"/>
    </w:p>
    <w:p>
      <w:pPr>
        <w:wordWrap w:val="0"/>
        <w:spacing w:line="720" w:lineRule="auto"/>
        <w:jc w:val="center"/>
        <w:rPr>
          <w:rFonts w:ascii="Times New Roman" w:hAnsi="Times New Roman"/>
          <w:b/>
          <w:color w:val="auto"/>
          <w:sz w:val="28"/>
          <w:szCs w:val="28"/>
          <w:highlight w:val="none"/>
        </w:rPr>
      </w:pPr>
      <w:r>
        <w:rPr>
          <w:rFonts w:ascii="Times New Roman" w:hAnsi="Times New Roman"/>
          <w:b/>
          <w:color w:val="auto"/>
          <w:sz w:val="28"/>
          <w:szCs w:val="28"/>
          <w:highlight w:val="none"/>
        </w:rPr>
        <w:t>安全管理协议书</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根据《中华人民共和国安全生产法》《中华人民共和国建筑法》《建设工程安全生产管理条例》等相关法律法规，为贯彻“安全第一，预防为主，综合治理”的安全生产方针，全面落实安全生产主体责任，切实加强施工安全管理，明确双方安全责任，创造安全、高效的施工环境，</w:t>
      </w:r>
      <w:r>
        <w:rPr>
          <w:rFonts w:hint="eastAsia" w:ascii="宋体" w:hAnsi="宋体" w:cs="宋体"/>
          <w:color w:val="auto"/>
          <w:sz w:val="24"/>
          <w:szCs w:val="24"/>
          <w:highlight w:val="none"/>
          <w:u w:val="single" w:color="FF0000"/>
          <w:lang w:val="en-US" w:eastAsia="zh-CN"/>
        </w:rPr>
        <w:t>江门粤海置地有限公司</w:t>
      </w:r>
      <w:r>
        <w:rPr>
          <w:rFonts w:ascii="Times New Roman" w:hAnsi="Times New Roman"/>
          <w:color w:val="auto"/>
          <w:sz w:val="24"/>
          <w:szCs w:val="24"/>
          <w:highlight w:val="none"/>
        </w:rPr>
        <w:t>（下称</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）与</w:t>
      </w:r>
      <w:r>
        <w:rPr>
          <w:rFonts w:hint="eastAsia" w:ascii="宋体" w:hAnsi="宋体" w:cs="宋体"/>
          <w:color w:val="auto"/>
          <w:sz w:val="24"/>
          <w:szCs w:val="24"/>
          <w:highlight w:val="none"/>
          <w:u w:val="single" w:color="FF0000"/>
        </w:rPr>
        <w:fldChar w:fldCharType="begin">
          <w:ffData>
            <w:name w:val="Text143"/>
            <w:enabled/>
            <w:calcOnExit w:val="0"/>
            <w:textInput/>
          </w:ffData>
        </w:fldChar>
      </w:r>
      <w:r>
        <w:rPr>
          <w:rFonts w:hint="eastAsia" w:ascii="宋体" w:hAnsi="宋体" w:cs="宋体"/>
          <w:color w:val="auto"/>
          <w:sz w:val="24"/>
          <w:szCs w:val="24"/>
          <w:highlight w:val="none"/>
          <w:u w:val="single" w:color="FF0000"/>
        </w:rPr>
        <w:instrText xml:space="preserve"> FORMTEXT </w:instrText>
      </w:r>
      <w:r>
        <w:rPr>
          <w:rFonts w:hint="eastAsia" w:ascii="宋体" w:hAnsi="宋体" w:cs="宋体"/>
          <w:color w:val="auto"/>
          <w:sz w:val="24"/>
          <w:szCs w:val="24"/>
          <w:highlight w:val="none"/>
          <w:u w:val="single" w:color="FF0000"/>
        </w:rPr>
        <w:fldChar w:fldCharType="separate"/>
      </w:r>
      <w:r>
        <w:rPr>
          <w:rFonts w:hint="eastAsia" w:ascii="宋体" w:hAnsi="宋体" w:cs="宋体"/>
          <w:color w:val="auto"/>
          <w:sz w:val="24"/>
          <w:szCs w:val="24"/>
          <w:highlight w:val="none"/>
          <w:u w:val="single" w:color="FF0000"/>
        </w:rPr>
        <w:t>     </w:t>
      </w:r>
      <w:r>
        <w:rPr>
          <w:rFonts w:hint="eastAsia" w:ascii="宋体" w:hAnsi="宋体" w:cs="宋体"/>
          <w:color w:val="auto"/>
          <w:sz w:val="24"/>
          <w:szCs w:val="24"/>
          <w:highlight w:val="none"/>
          <w:u w:val="single" w:color="FF0000"/>
        </w:rPr>
        <w:fldChar w:fldCharType="end"/>
      </w:r>
      <w:r>
        <w:rPr>
          <w:rFonts w:ascii="Times New Roman" w:hAnsi="Times New Roman"/>
          <w:color w:val="auto"/>
          <w:sz w:val="24"/>
          <w:szCs w:val="24"/>
          <w:highlight w:val="none"/>
        </w:rPr>
        <w:t>（下称</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）签订本协议书。此协议为合同附件，具有同样的法律效力。</w:t>
      </w:r>
    </w:p>
    <w:p>
      <w:pPr>
        <w:wordWrap w:val="0"/>
        <w:snapToGrid w:val="0"/>
        <w:spacing w:line="360" w:lineRule="auto"/>
        <w:rPr>
          <w:rFonts w:ascii="Times New Roman" w:hAnsi="Times New Roman"/>
          <w:b/>
          <w:bCs/>
          <w:color w:val="auto"/>
          <w:sz w:val="24"/>
          <w:szCs w:val="24"/>
          <w:highlight w:val="none"/>
        </w:rPr>
      </w:pPr>
      <w:r>
        <w:rPr>
          <w:rFonts w:ascii="Times New Roman" w:hAnsi="Times New Roman"/>
          <w:b/>
          <w:bCs/>
          <w:color w:val="auto"/>
          <w:sz w:val="24"/>
          <w:szCs w:val="24"/>
          <w:highlight w:val="none"/>
        </w:rPr>
        <w:t>（一）</w:t>
      </w:r>
      <w:r>
        <w:rPr>
          <w:rFonts w:hint="eastAsia" w:ascii="Times New Roman" w:hAnsi="Times New Roman"/>
          <w:b/>
          <w:bCs/>
          <w:color w:val="auto"/>
          <w:sz w:val="24"/>
          <w:szCs w:val="24"/>
          <w:highlight w:val="none"/>
        </w:rPr>
        <w:t>发包人</w:t>
      </w:r>
      <w:r>
        <w:rPr>
          <w:rFonts w:ascii="Times New Roman" w:hAnsi="Times New Roman"/>
          <w:b/>
          <w:bCs/>
          <w:color w:val="auto"/>
          <w:sz w:val="24"/>
          <w:szCs w:val="24"/>
          <w:highlight w:val="none"/>
        </w:rPr>
        <w:t>安全管理责任和义务</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1、遵守适用的法律、法规和规章，认真执行工程承包合同中的有关安全施工要求。</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2、组织召开安全专题会议，落实集团有关安全的规定。</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3、按照合同约定履行安全文明施工措施费的支付义务。</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4、定期组织施工现场安全文明施工大检查，监督</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按时整改，促进</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创建安全文明双优工地。</w:t>
      </w:r>
    </w:p>
    <w:p>
      <w:pPr>
        <w:wordWrap w:val="0"/>
        <w:spacing w:line="360" w:lineRule="auto"/>
        <w:ind w:firstLine="480" w:firstLineChars="200"/>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5、委托</w:t>
      </w:r>
      <w:r>
        <w:rPr>
          <w:rFonts w:hint="eastAsia" w:ascii="Times New Roman" w:hAnsi="Times New Roman"/>
          <w:color w:val="auto"/>
          <w:sz w:val="24"/>
          <w:szCs w:val="24"/>
          <w:highlight w:val="none"/>
          <w:lang w:val="en-US" w:eastAsia="zh-CN"/>
        </w:rPr>
        <w:t>发包人现场</w:t>
      </w:r>
      <w:r>
        <w:rPr>
          <w:rFonts w:ascii="Times New Roman" w:hAnsi="Times New Roman"/>
          <w:color w:val="auto"/>
          <w:sz w:val="24"/>
          <w:szCs w:val="24"/>
          <w:highlight w:val="none"/>
        </w:rPr>
        <w:t>工程师对工程进行</w:t>
      </w:r>
      <w:r>
        <w:rPr>
          <w:rFonts w:hint="eastAsia" w:ascii="Times New Roman" w:hAnsi="Times New Roman"/>
          <w:color w:val="auto"/>
          <w:sz w:val="24"/>
          <w:szCs w:val="24"/>
          <w:highlight w:val="none"/>
          <w:lang w:val="en-US" w:eastAsia="zh-CN"/>
        </w:rPr>
        <w:t>监督管理</w:t>
      </w:r>
      <w:r>
        <w:rPr>
          <w:rFonts w:ascii="Times New Roman" w:hAnsi="Times New Roman"/>
          <w:color w:val="auto"/>
          <w:sz w:val="24"/>
          <w:szCs w:val="24"/>
          <w:highlight w:val="none"/>
        </w:rPr>
        <w:t>。</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6、履行合同中约定的其他职责和义务。</w:t>
      </w:r>
    </w:p>
    <w:p>
      <w:pPr>
        <w:wordWrap w:val="0"/>
        <w:snapToGrid w:val="0"/>
        <w:spacing w:line="360" w:lineRule="auto"/>
        <w:rPr>
          <w:rFonts w:ascii="Times New Roman" w:hAnsi="Times New Roman"/>
          <w:b/>
          <w:bCs/>
          <w:color w:val="auto"/>
          <w:sz w:val="24"/>
          <w:szCs w:val="24"/>
          <w:highlight w:val="none"/>
        </w:rPr>
      </w:pPr>
      <w:r>
        <w:rPr>
          <w:rFonts w:ascii="Times New Roman" w:hAnsi="Times New Roman"/>
          <w:b/>
          <w:bCs/>
          <w:color w:val="auto"/>
          <w:sz w:val="24"/>
          <w:szCs w:val="24"/>
          <w:highlight w:val="none"/>
        </w:rPr>
        <w:t>（二）</w:t>
      </w:r>
      <w:r>
        <w:rPr>
          <w:rFonts w:hint="eastAsia" w:ascii="Times New Roman" w:hAnsi="Times New Roman"/>
          <w:b/>
          <w:bCs/>
          <w:color w:val="auto"/>
          <w:sz w:val="24"/>
          <w:szCs w:val="24"/>
          <w:highlight w:val="none"/>
        </w:rPr>
        <w:t>承包人</w:t>
      </w:r>
      <w:r>
        <w:rPr>
          <w:rFonts w:ascii="Times New Roman" w:hAnsi="Times New Roman"/>
          <w:b/>
          <w:bCs/>
          <w:color w:val="auto"/>
          <w:sz w:val="24"/>
          <w:szCs w:val="24"/>
          <w:highlight w:val="none"/>
        </w:rPr>
        <w:t>安全管理责任和义务</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 xml:space="preserve">安全责任与义务 </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对合同范围内所有工程施工安全负全部责任，是本工程安全文明施工、职业健康、环境保护、治安综合治理的责任主体单位，对工程的安全文明施工、职业健康、环境保护和治安综合治理负总责。承包人必须贯彻执行国家相关法律、法规、标准和规范，符合设计相关要求，同时必须满足发包人对安全文明施工、环境保护、职业健康和治安综合治理等制定的相关管理制度和发包人的其他管理要求。</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1.1 安全目标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遵守国家、工程所在地法律、法规及合同有关安全的要求，安全目标达到合同约定</w:t>
      </w:r>
      <w:r>
        <w:rPr>
          <w:rFonts w:hint="eastAsia" w:ascii="Times New Roman" w:hAnsi="Times New Roman"/>
          <w:color w:val="auto"/>
          <w:sz w:val="24"/>
          <w:szCs w:val="24"/>
          <w:highlight w:val="none"/>
        </w:rPr>
        <w:t>。</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1.2安全保证措施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1.2.1安全管理制度 </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应当按照有关规定编制安全技术措施或者专项施工方案，建立安全生产责任制度、治安保卫制度及安全生产教育培训制度，并按安全生产法律规定及合同约定履行安全职责，接受</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及政府安全监督部门的检查与监督。</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1.2.2 特别安全生产事项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编制危险性较大分部分项专项工程施工方案，对要求进行专家论证的超过一定规模的危险性较大的分部分项工程，按要求组织专家论证，并修改完善，报</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审批；开工前做好安全技术交底工作，施工过程中做好各项安全防护措施。为实施合同而雇用的特殊工种的人员，必须受过专门的培训且已取得政府有关管理机构颁发的上岗证书。</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在动力设备、输电线路、地下管道、密封防震车间、易燃易爆地段以及临街交通要道附近施工时，施工开始前应向</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提出安全防护措施，经</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认可后实施。</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在放射、毒害性环境中施工（含储存、运输、使用）及使用毒害性、腐蚀性物品施工时，</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应在施工前7天以书面形式通知</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，并报送相应的安全防护措施，经</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 xml:space="preserve">认可后实施。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对易燃易爆、腐蚀性等危险化学品须按相关规范要求贮存、登记台账与使用；对有防燃、防爆等要求的材料及临建材料等，进场后立即组织检查，不合格的材料须立即清退出场。</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1.2.3文明施工 </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在工程施工期间，须按当地政府行政管理部门及合同条款要求进行文明施工。在工程移交之前，</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应当从施工现场清除</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的全部工程设备、多余材料、垃圾和各种临时工程，并保持施工现场清洁整齐。</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1.2.4治安保卫 </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应与当地公安部门协商，在现场建立治安管理机构或联防组织，统一管理自身施工范围内的治安保卫事项，履行合同工程的治安保卫职责。</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除应协助现场治安管理机构或联防组织维护施工场地的社会治安外，还应做好包括生活区在内的各自管辖区的治安保卫工作。</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应在工程开工后7天内编制施工场地治安管理计划，并制定应对突发治安事件的紧急预案。在工程施工过程中，发生暴乱、爆炸等恐怖事件，以及群殴、械斗等群体性突发治安事件的，</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应立即向</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和当地政府报告。</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应积极协助当地有关部门采取措施平息事态，防止事态扩大，尽量避免人员伤亡和财产损失。</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1.2.5紧急情况处理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在工程实施期间或缺陷责任期内发生危及工程安全的事件，</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应及时报告</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，同时启动相关应急预案。</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1.2.6安全事故处理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工程施工过程中发生安全事故，</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应立即通知</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，并组织人员和设备进行紧急抢救和抢修，减少人员伤亡和财产损失，防止事故扩大，并保护事故现场。需要移动现场物品时，应作出标记和书面记录，妥善保管有关证据。及时如实地向</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、有关部门报告事故发生的情况，以及正在采取的紧急措施等。</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项目发生安全事故，</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应无条件整改直至合格，不得以任何理由要求延长工期、索赔费用或利润，并赔偿</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一切经济损失，接受</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依据合同进行追究违约责任，包括支付违约金和承担其他违约责任。</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1.2.7安全生产责任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由于</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原因在施工场地内及其毗邻地带给</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以及其他第三方造成人员伤亡和财产损失，由此引发的赔偿由</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承担。</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1.3 职业健康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1.3.1劳动保护 </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应按照法律规定合理安排现场施工人员的劳动和休息时间，并支付合理的报酬和费用。</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应依法为其履行合同所雇用的人员办理必要的证件、许可、保险和注册等，</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应督促其分包商为</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的分包商所雇用的人员办理必要的证件、许可、保险和注册等。</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应按照法律规定保障现场施工人员的劳动安全，提供劳动保护,并应按国家有关劳动保护的规定，采取有效的防止粉尘、降低噪声、控制有害气体和保障高温、高寒、高空作业安全等劳动保护措施。</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雇佣人员在施工中受到伤害的，</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 xml:space="preserve">应立即采取有效措施进行抢救和治疗。 </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应按法律规定安排工作时间，保证其雇佣人员享有休息和休假的权利。因工程施工的特殊需要占用休假日或延长工作时间的，应不超过法律规定的限度，并按法律规定给予补休或付酬。</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1.3.2 生活条件 </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应为其履行合同所雇用的人员提供必要的膳宿条件和生活环境；</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应采取有效措施预防传染病，保证施工人员的健康，并定期对施工现场、施工人员生活基地和工程进行防疫和卫生的专业检查和处理。</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1.4环境保护 </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应在施工组织设计中列明环境保护的具体措施。在合同履行期间，</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应采取合理措施保护施工现场环境（特别是控制扬尘与嗓音）。对施工作业过程中可能引起的大气、水、噪音以及固体废物污染采取具体可行的防范措施。</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应当承担因其原因引起的环境污染侵权损害赔偿责任，因上述环境污染引起纠纷而导致暂停施工的，由此增加的费用和（或）延误的工期由</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承担。</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1.5应急管理 </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应在工程风险评估和应急资源调查的基础上，制定突发事件应急预案，应急预案由突发事件综合应急预案、专项应急预案和现场处置方案组成。</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须建立相应可靠的应急管理组织机构（包括三防应急组织机构），明确应急处理流程，以便能迅速处理突发事件。</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应根据应急预案，准备应急响应所需要的物资、器材、药品，如紧急排水设备，医学急救器材等，并且应设置安全的应急集合点。</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应制定本单位的应急预案演练计划，每年至少组织一次综合应急预案演练或者专项应急预案演练，每半年至少组织一次现场处置方案演练。承包人对员工的培训和应急演练都应记录存档。</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1.6 配合检查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无条件配合</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及</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委托的第三方检测单位对安全生产的检查，不得提出任何与此有关的工期和费用主张。</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1.7 接受</w:t>
      </w:r>
      <w:r>
        <w:rPr>
          <w:rFonts w:hint="eastAsia" w:ascii="Times New Roman" w:hAnsi="Times New Roman"/>
          <w:color w:val="auto"/>
          <w:sz w:val="24"/>
          <w:szCs w:val="24"/>
          <w:highlight w:val="none"/>
          <w:lang w:val="en-US" w:eastAsia="zh-CN"/>
        </w:rPr>
        <w:t>发包人现场工程师</w:t>
      </w:r>
      <w:r>
        <w:rPr>
          <w:rFonts w:ascii="Times New Roman" w:hAnsi="Times New Roman"/>
          <w:color w:val="auto"/>
          <w:sz w:val="24"/>
          <w:szCs w:val="24"/>
          <w:highlight w:val="none"/>
        </w:rPr>
        <w:t xml:space="preserve">监督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接受</w:t>
      </w:r>
      <w:r>
        <w:rPr>
          <w:rFonts w:hint="eastAsia" w:ascii="Times New Roman" w:hAnsi="Times New Roman"/>
          <w:color w:val="auto"/>
          <w:sz w:val="24"/>
          <w:szCs w:val="24"/>
          <w:highlight w:val="none"/>
        </w:rPr>
        <w:t>发包人</w:t>
      </w:r>
      <w:r>
        <w:rPr>
          <w:rFonts w:hint="eastAsia" w:ascii="Times New Roman" w:hAnsi="Times New Roman"/>
          <w:color w:val="auto"/>
          <w:sz w:val="24"/>
          <w:szCs w:val="24"/>
          <w:highlight w:val="none"/>
          <w:lang w:val="en-US" w:eastAsia="zh-CN"/>
        </w:rPr>
        <w:t>现场工程师</w:t>
      </w:r>
      <w:r>
        <w:rPr>
          <w:rFonts w:ascii="Times New Roman" w:hAnsi="Times New Roman"/>
          <w:color w:val="auto"/>
          <w:sz w:val="24"/>
          <w:szCs w:val="24"/>
          <w:highlight w:val="none"/>
        </w:rPr>
        <w:t>依据合同对安全生产监督管理。</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1.8安全隐患整改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项目存在的安全隐患，</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应无条件整改直至合格，不得以任何理由要求延长工期、索赔费用或利润，并赔偿</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一切经济损失，接受</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依据合同追究违约责任，包括支付违约金和承担其他违约责任。</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1.9安全违约责任 </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应无条件接受</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依据合同对项目安全问题追究违约责任，包括支付违约金和承担其他违约责任。</w:t>
      </w:r>
    </w:p>
    <w:p>
      <w:pPr>
        <w:wordWrap w:val="0"/>
        <w:snapToGrid w:val="0"/>
        <w:spacing w:line="360" w:lineRule="auto"/>
        <w:rPr>
          <w:rFonts w:ascii="Times New Roman" w:hAnsi="Times New Roman"/>
          <w:b/>
          <w:bCs/>
          <w:color w:val="auto"/>
          <w:sz w:val="24"/>
          <w:szCs w:val="24"/>
          <w:highlight w:val="none"/>
        </w:rPr>
      </w:pPr>
      <w:r>
        <w:rPr>
          <w:rFonts w:ascii="Times New Roman" w:hAnsi="Times New Roman"/>
          <w:b/>
          <w:bCs/>
          <w:color w:val="auto"/>
          <w:sz w:val="24"/>
          <w:szCs w:val="24"/>
          <w:highlight w:val="none"/>
        </w:rPr>
        <w:t>（三）</w:t>
      </w:r>
      <w:r>
        <w:rPr>
          <w:rFonts w:hint="eastAsia" w:ascii="Times New Roman" w:hAnsi="Times New Roman"/>
          <w:b/>
          <w:bCs/>
          <w:color w:val="auto"/>
          <w:sz w:val="24"/>
          <w:szCs w:val="24"/>
          <w:highlight w:val="none"/>
        </w:rPr>
        <w:t>发包人</w:t>
      </w:r>
      <w:r>
        <w:rPr>
          <w:rFonts w:hint="eastAsia" w:ascii="Times New Roman" w:hAnsi="Times New Roman"/>
          <w:b/>
          <w:bCs/>
          <w:color w:val="auto"/>
          <w:sz w:val="24"/>
          <w:szCs w:val="24"/>
          <w:highlight w:val="none"/>
          <w:lang w:eastAsia="zh-CN"/>
        </w:rPr>
        <w:t>、</w:t>
      </w:r>
      <w:r>
        <w:rPr>
          <w:rFonts w:hint="eastAsia" w:ascii="Times New Roman" w:hAnsi="Times New Roman"/>
          <w:b/>
          <w:bCs/>
          <w:color w:val="auto"/>
          <w:sz w:val="24"/>
          <w:szCs w:val="24"/>
          <w:highlight w:val="none"/>
          <w:lang w:val="en-US" w:eastAsia="zh-CN"/>
        </w:rPr>
        <w:t>发包人</w:t>
      </w:r>
      <w:r>
        <w:rPr>
          <w:rFonts w:hint="default" w:ascii="Times New Roman" w:hAnsi="Times New Roman"/>
          <w:b/>
          <w:bCs/>
          <w:color w:val="auto"/>
          <w:sz w:val="24"/>
          <w:szCs w:val="24"/>
          <w:highlight w:val="none"/>
          <w:lang w:val="en-US" w:eastAsia="zh-CN"/>
        </w:rPr>
        <w:t>现场工程师</w:t>
      </w:r>
      <w:r>
        <w:rPr>
          <w:rFonts w:ascii="Times New Roman" w:hAnsi="Times New Roman"/>
          <w:b/>
          <w:bCs/>
          <w:color w:val="auto"/>
          <w:sz w:val="24"/>
          <w:szCs w:val="24"/>
          <w:highlight w:val="none"/>
        </w:rPr>
        <w:t>安全管理权限及工作内容</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 xml:space="preserve">的权限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w:t>
      </w:r>
      <w:r>
        <w:rPr>
          <w:rFonts w:hint="eastAsia" w:ascii="Times New Roman" w:hAnsi="Times New Roman"/>
          <w:color w:val="auto"/>
          <w:sz w:val="24"/>
          <w:szCs w:val="24"/>
          <w:highlight w:val="none"/>
        </w:rPr>
        <w:t xml:space="preserve"> 发包人</w:t>
      </w:r>
      <w:r>
        <w:rPr>
          <w:rFonts w:ascii="Times New Roman" w:hAnsi="Times New Roman"/>
          <w:color w:val="auto"/>
          <w:sz w:val="24"/>
          <w:szCs w:val="24"/>
          <w:highlight w:val="none"/>
        </w:rPr>
        <w:t>对安全进行检查，</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 xml:space="preserve">对检查提出的问题须按期无条件整改完成； </w:t>
      </w:r>
    </w:p>
    <w:p>
      <w:pPr>
        <w:wordWrap w:val="0"/>
        <w:spacing w:line="360" w:lineRule="auto"/>
        <w:ind w:left="315" w:leftChars="150" w:firstLine="120" w:firstLineChars="50"/>
        <w:rPr>
          <w:rFonts w:ascii="Times New Roman" w:hAnsi="Times New Roman"/>
          <w:color w:val="auto"/>
          <w:sz w:val="24"/>
          <w:szCs w:val="24"/>
          <w:highlight w:val="none"/>
        </w:rPr>
      </w:pPr>
      <w:r>
        <w:rPr>
          <w:rFonts w:ascii="Times New Roman" w:hAnsi="Times New Roman"/>
          <w:color w:val="auto"/>
          <w:sz w:val="24"/>
          <w:szCs w:val="24"/>
          <w:highlight w:val="none"/>
        </w:rPr>
        <w:t>1.2</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项目存在安全问题，</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应无条件整改直至合格，</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有权依据合同对</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 xml:space="preserve">追究违约责任； </w:t>
      </w:r>
    </w:p>
    <w:p>
      <w:pPr>
        <w:wordWrap w:val="0"/>
        <w:spacing w:line="360" w:lineRule="auto"/>
        <w:ind w:left="315" w:leftChars="150" w:firstLine="120" w:firstLineChars="50"/>
        <w:rPr>
          <w:rFonts w:ascii="Times New Roman" w:hAnsi="Times New Roman"/>
          <w:color w:val="auto"/>
          <w:sz w:val="24"/>
          <w:szCs w:val="24"/>
          <w:highlight w:val="none"/>
        </w:rPr>
      </w:pPr>
      <w:r>
        <w:rPr>
          <w:rFonts w:ascii="Times New Roman" w:hAnsi="Times New Roman"/>
          <w:color w:val="auto"/>
          <w:sz w:val="24"/>
          <w:szCs w:val="24"/>
          <w:highlight w:val="none"/>
        </w:rPr>
        <w:t>1.3</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项目发生安全事故，</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应无条件整改直至合格，赔偿</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一切经济损失，且</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有权依据合同对</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 xml:space="preserve">追究违约责任；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因</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原因工程安全未达到合同约定标准的，</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有权要求</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返工直至工程安全达到合同约定的标准，</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 xml:space="preserve">不得以任何理由要求延长工期、索赔费用或利润。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hint="eastAsia" w:ascii="Times New Roman" w:hAnsi="Times New Roman"/>
          <w:color w:val="auto"/>
          <w:sz w:val="24"/>
          <w:szCs w:val="24"/>
          <w:highlight w:val="none"/>
          <w:lang w:val="en-US" w:eastAsia="zh-CN"/>
        </w:rPr>
        <w:t>发包人现场</w:t>
      </w:r>
      <w:r>
        <w:rPr>
          <w:rFonts w:ascii="Times New Roman" w:hAnsi="Times New Roman"/>
          <w:color w:val="auto"/>
          <w:sz w:val="24"/>
          <w:szCs w:val="24"/>
          <w:highlight w:val="none"/>
        </w:rPr>
        <w:t xml:space="preserve">工程师的权限和工作内容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权限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2.1.1 </w:t>
      </w:r>
      <w:r>
        <w:rPr>
          <w:rFonts w:hint="eastAsia" w:ascii="Times New Roman" w:hAnsi="Times New Roman"/>
          <w:color w:val="auto"/>
          <w:sz w:val="24"/>
          <w:szCs w:val="24"/>
          <w:highlight w:val="none"/>
          <w:lang w:val="en-US" w:eastAsia="zh-CN"/>
        </w:rPr>
        <w:t>发包人现场</w:t>
      </w:r>
      <w:r>
        <w:rPr>
          <w:rFonts w:ascii="Times New Roman" w:hAnsi="Times New Roman"/>
          <w:color w:val="auto"/>
          <w:sz w:val="24"/>
          <w:szCs w:val="24"/>
          <w:highlight w:val="none"/>
        </w:rPr>
        <w:t>工程师作为项目管理的监管执行人，对</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进场至项目竣工、移交等全过程阶段进行安全监督管理，有权对</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违反项目会议管理、施工人员管理、安全文明施工、安全内业资料管理等问题追究违约责任；所有违约处理单须经</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审核、签确，并由</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 xml:space="preserve">执行违约处理；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2.1.2 </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对</w:t>
      </w:r>
      <w:r>
        <w:rPr>
          <w:rFonts w:hint="eastAsia" w:ascii="Times New Roman" w:hAnsi="Times New Roman"/>
          <w:color w:val="auto"/>
          <w:sz w:val="24"/>
          <w:szCs w:val="24"/>
          <w:highlight w:val="none"/>
          <w:lang w:val="en-US" w:eastAsia="zh-CN"/>
        </w:rPr>
        <w:t>发包人现场</w:t>
      </w:r>
      <w:r>
        <w:rPr>
          <w:rFonts w:ascii="Times New Roman" w:hAnsi="Times New Roman"/>
          <w:color w:val="auto"/>
          <w:sz w:val="24"/>
          <w:szCs w:val="24"/>
          <w:highlight w:val="none"/>
        </w:rPr>
        <w:t>工程师和</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提出的安全隐患未整改或整改不合格，</w:t>
      </w:r>
      <w:r>
        <w:rPr>
          <w:rFonts w:hint="eastAsia" w:ascii="Times New Roman" w:hAnsi="Times New Roman"/>
          <w:color w:val="auto"/>
          <w:sz w:val="24"/>
          <w:szCs w:val="24"/>
          <w:highlight w:val="none"/>
          <w:lang w:val="en-US" w:eastAsia="zh-CN"/>
        </w:rPr>
        <w:t>发包人现场</w:t>
      </w:r>
      <w:r>
        <w:rPr>
          <w:rFonts w:ascii="Times New Roman" w:hAnsi="Times New Roman"/>
          <w:color w:val="auto"/>
          <w:sz w:val="24"/>
          <w:szCs w:val="24"/>
          <w:highlight w:val="none"/>
        </w:rPr>
        <w:t>工程师有权要求</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不得进行下一道工序，并按本合同追究违约责任；对于不配合</w:t>
      </w:r>
      <w:r>
        <w:rPr>
          <w:rFonts w:hint="eastAsia" w:ascii="Times New Roman" w:hAnsi="Times New Roman"/>
          <w:color w:val="auto"/>
          <w:sz w:val="24"/>
          <w:szCs w:val="24"/>
          <w:highlight w:val="none"/>
          <w:lang w:val="en-US" w:eastAsia="zh-CN"/>
        </w:rPr>
        <w:t>发包人现场</w:t>
      </w:r>
      <w:r>
        <w:rPr>
          <w:rFonts w:ascii="Times New Roman" w:hAnsi="Times New Roman"/>
          <w:color w:val="auto"/>
          <w:sz w:val="24"/>
          <w:szCs w:val="24"/>
          <w:highlight w:val="none"/>
        </w:rPr>
        <w:t>工程师管理的行为，</w:t>
      </w:r>
      <w:r>
        <w:rPr>
          <w:rFonts w:hint="eastAsia" w:ascii="Times New Roman" w:hAnsi="Times New Roman"/>
          <w:color w:val="auto"/>
          <w:sz w:val="24"/>
          <w:szCs w:val="24"/>
          <w:highlight w:val="none"/>
          <w:lang w:val="en-US" w:eastAsia="zh-CN"/>
        </w:rPr>
        <w:t>发包人现场</w:t>
      </w:r>
      <w:r>
        <w:rPr>
          <w:rFonts w:ascii="Times New Roman" w:hAnsi="Times New Roman"/>
          <w:color w:val="auto"/>
          <w:sz w:val="24"/>
          <w:szCs w:val="24"/>
          <w:highlight w:val="none"/>
        </w:rPr>
        <w:t>工程师将要求</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 xml:space="preserve">加倍支付违约金；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2.1.3 施工过程中发现重大及以上安全隐患，</w:t>
      </w:r>
      <w:r>
        <w:rPr>
          <w:rFonts w:hint="eastAsia" w:ascii="Times New Roman" w:hAnsi="Times New Roman"/>
          <w:color w:val="auto"/>
          <w:sz w:val="24"/>
          <w:szCs w:val="24"/>
          <w:highlight w:val="none"/>
          <w:lang w:val="en-US" w:eastAsia="zh-CN"/>
        </w:rPr>
        <w:t>发包人现场</w:t>
      </w:r>
      <w:r>
        <w:rPr>
          <w:rFonts w:ascii="Times New Roman" w:hAnsi="Times New Roman"/>
          <w:color w:val="auto"/>
          <w:sz w:val="24"/>
          <w:szCs w:val="24"/>
          <w:highlight w:val="none"/>
        </w:rPr>
        <w:t>工程师有权要求停工，并按规定时限向</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上报；</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 xml:space="preserve">应无条件整改直至合格，不得以任何理由要求延长工期、索赔费用或利润；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2.1.4 审查</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 xml:space="preserve">及雇员的安全资质、资格；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2.1.5 审核</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提交的施工组织设计、安全专项施工方案、安全管理体系、防护设备设施清单；</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2.1.6每周召开安全文明施工例会和其他专题会，</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 xml:space="preserve">按时参会；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2.1.7 施工过程中发生安全事故，</w:t>
      </w:r>
      <w:r>
        <w:rPr>
          <w:rFonts w:hint="eastAsia" w:ascii="Times New Roman" w:hAnsi="Times New Roman"/>
          <w:color w:val="auto"/>
          <w:sz w:val="24"/>
          <w:szCs w:val="24"/>
          <w:highlight w:val="none"/>
          <w:lang w:val="en-US" w:eastAsia="zh-CN"/>
        </w:rPr>
        <w:t>发包人现场</w:t>
      </w:r>
      <w:r>
        <w:rPr>
          <w:rFonts w:ascii="Times New Roman" w:hAnsi="Times New Roman"/>
          <w:color w:val="auto"/>
          <w:sz w:val="24"/>
          <w:szCs w:val="24"/>
          <w:highlight w:val="none"/>
        </w:rPr>
        <w:t>工程师有权要求</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立即保护现场，并实施应急预案，按规定时限向</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 xml:space="preserve">项目公司总经理上报；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2.1.8法律法规及合同规定的其它职责。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2.2 工作内容 </w:t>
      </w:r>
    </w:p>
    <w:p>
      <w:pPr>
        <w:wordWrap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发包人现场</w:t>
      </w:r>
      <w:r>
        <w:rPr>
          <w:rFonts w:ascii="Times New Roman" w:hAnsi="Times New Roman"/>
          <w:color w:val="auto"/>
          <w:sz w:val="24"/>
          <w:szCs w:val="24"/>
          <w:highlight w:val="none"/>
        </w:rPr>
        <w:t>应按照规定，从建设工程施工准备阶段开始，施工阶段旁站</w:t>
      </w:r>
      <w:r>
        <w:rPr>
          <w:rFonts w:hint="eastAsia" w:ascii="Times New Roman" w:hAnsi="Times New Roman"/>
          <w:color w:val="auto"/>
          <w:sz w:val="24"/>
          <w:szCs w:val="24"/>
          <w:highlight w:val="none"/>
          <w:lang w:val="en-US" w:eastAsia="zh-CN"/>
        </w:rPr>
        <w:t>监督管理</w:t>
      </w:r>
      <w:r>
        <w:rPr>
          <w:rFonts w:ascii="Times New Roman" w:hAnsi="Times New Roman"/>
          <w:color w:val="auto"/>
          <w:sz w:val="24"/>
          <w:szCs w:val="24"/>
          <w:highlight w:val="none"/>
        </w:rPr>
        <w:t>，到移交及工程质量保修阶段，对工程实施全过程</w:t>
      </w:r>
      <w:r>
        <w:rPr>
          <w:rFonts w:hint="eastAsia" w:ascii="Times New Roman" w:hAnsi="Times New Roman"/>
          <w:color w:val="auto"/>
          <w:sz w:val="24"/>
          <w:szCs w:val="24"/>
          <w:highlight w:val="none"/>
          <w:lang w:val="en-US" w:eastAsia="zh-CN"/>
        </w:rPr>
        <w:t>监督管理</w:t>
      </w:r>
      <w:r>
        <w:rPr>
          <w:rFonts w:ascii="Times New Roman" w:hAnsi="Times New Roman"/>
          <w:color w:val="auto"/>
          <w:sz w:val="24"/>
          <w:szCs w:val="24"/>
          <w:highlight w:val="none"/>
        </w:rPr>
        <w:t>服务工作。</w:t>
      </w:r>
      <w:r>
        <w:rPr>
          <w:rFonts w:hint="eastAsia" w:ascii="Times New Roman" w:hAnsi="Times New Roman"/>
          <w:color w:val="auto"/>
          <w:sz w:val="24"/>
          <w:szCs w:val="24"/>
          <w:highlight w:val="none"/>
          <w:lang w:val="en-US" w:eastAsia="zh-CN"/>
        </w:rPr>
        <w:t>监督管理</w:t>
      </w:r>
      <w:r>
        <w:rPr>
          <w:rFonts w:ascii="Times New Roman" w:hAnsi="Times New Roman"/>
          <w:color w:val="auto"/>
          <w:sz w:val="24"/>
          <w:szCs w:val="24"/>
          <w:highlight w:val="none"/>
        </w:rPr>
        <w:t>工作内容包括且不限于以下内容：</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2.2.1 组织安全交底；</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2.2.2 主持例会并根据工程需要主持或参加专题安全会议；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2.2.3 审查</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 xml:space="preserve">提交的施工组织设计、施工方案，重点审查其中的安全技术措施、专项施工方案与工程建设强制性标准的符合性；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2.2.4 检查</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、分包商安全生产管理制度及组织机构和人员资格；检查</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、分包商专职安全生产管理人员的配备情况；督促</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严格执行国家和地方的工程规范、安全技术标准及设计要求，协助</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 xml:space="preserve">完善项目安全管理体系；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2.2.5 在巡视、旁站和检验过程中，发现施工安全存在事故隐患，书面要求</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整改并报</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；对危险性较大的分部分项工程进行安全</w:t>
      </w:r>
      <w:r>
        <w:rPr>
          <w:rFonts w:hint="eastAsia" w:ascii="Times New Roman" w:hAnsi="Times New Roman"/>
          <w:color w:val="auto"/>
          <w:sz w:val="24"/>
          <w:szCs w:val="24"/>
          <w:highlight w:val="none"/>
          <w:lang w:val="en-US" w:eastAsia="zh-CN"/>
        </w:rPr>
        <w:t>监督管理</w:t>
      </w:r>
      <w:r>
        <w:rPr>
          <w:rFonts w:ascii="Times New Roman" w:hAnsi="Times New Roman"/>
          <w:color w:val="auto"/>
          <w:sz w:val="24"/>
          <w:szCs w:val="24"/>
          <w:highlight w:val="none"/>
        </w:rPr>
        <w:t xml:space="preserve">；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2.2.6 经</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 xml:space="preserve">同意，签发工程暂停令和复工令； </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2.2.7 参加并配合</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对专业重大技术问题和工程质量事故的调查、分析和处理。</w:t>
      </w:r>
    </w:p>
    <w:p>
      <w:pPr>
        <w:numPr>
          <w:ilvl w:val="0"/>
          <w:numId w:val="55"/>
        </w:numPr>
        <w:wordWrap w:val="0"/>
        <w:snapToGrid w:val="0"/>
        <w:spacing w:line="360" w:lineRule="auto"/>
        <w:rPr>
          <w:rFonts w:ascii="Times New Roman" w:hAnsi="Times New Roman"/>
          <w:b/>
          <w:bCs/>
          <w:color w:val="auto"/>
          <w:sz w:val="24"/>
          <w:szCs w:val="24"/>
          <w:highlight w:val="none"/>
        </w:rPr>
      </w:pPr>
      <w:r>
        <w:rPr>
          <w:rFonts w:ascii="Times New Roman" w:hAnsi="Times New Roman"/>
          <w:b/>
          <w:bCs/>
          <w:color w:val="auto"/>
          <w:sz w:val="24"/>
          <w:szCs w:val="24"/>
          <w:highlight w:val="none"/>
        </w:rPr>
        <w:t>安全管控重点</w:t>
      </w:r>
    </w:p>
    <w:p>
      <w:pPr>
        <w:wordWrap w:val="0"/>
        <w:snapToGrid w:val="0"/>
        <w:spacing w:line="360" w:lineRule="auto"/>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1.安全管控重点</w:t>
      </w:r>
    </w:p>
    <w:p>
      <w:pPr>
        <w:wordWrap w:val="0"/>
        <w:spacing w:line="360" w:lineRule="auto"/>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1.1</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应严格按照《现场施工区安全技术标准》布置施工现场</w:t>
      </w:r>
      <w:r>
        <w:rPr>
          <w:rFonts w:hint="eastAsia" w:ascii="Times New Roman" w:hAnsi="Times New Roman"/>
          <w:color w:val="auto"/>
          <w:sz w:val="24"/>
          <w:szCs w:val="24"/>
          <w:highlight w:val="none"/>
        </w:rPr>
        <w:t>。</w:t>
      </w:r>
    </w:p>
    <w:p>
      <w:pPr>
        <w:wordWrap w:val="0"/>
        <w:spacing w:line="360" w:lineRule="auto"/>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1.2</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应严格按照《现场生活办公区安全技术标准》布置生活办公区。</w:t>
      </w:r>
    </w:p>
    <w:p>
      <w:pPr>
        <w:wordWrap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1.3安全的管控重点要求应包括但不限于下表：</w:t>
      </w:r>
    </w:p>
    <w:tbl>
      <w:tblPr>
        <w:tblStyle w:val="37"/>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5"/>
        <w:gridCol w:w="5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14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hAnsi="Times New Roman"/>
                <w:color w:val="auto"/>
                <w:szCs w:val="21"/>
                <w:highlight w:val="none"/>
              </w:rPr>
            </w:pPr>
            <w:r>
              <w:rPr>
                <w:rFonts w:ascii="Times New Roman" w:hAnsi="Times New Roman"/>
                <w:b/>
                <w:bCs/>
                <w:color w:val="auto"/>
                <w:szCs w:val="21"/>
                <w:highlight w:val="none"/>
              </w:rPr>
              <w:t>检查项目</w:t>
            </w:r>
          </w:p>
        </w:tc>
        <w:tc>
          <w:tcPr>
            <w:tcW w:w="5570" w:type="dxa"/>
            <w:tcBorders>
              <w:top w:val="single" w:color="auto" w:sz="4" w:space="0"/>
              <w:left w:val="single" w:color="auto" w:sz="4" w:space="0"/>
              <w:bottom w:val="single" w:color="auto" w:sz="4" w:space="0"/>
              <w:right w:val="single" w:color="auto" w:sz="4" w:space="0"/>
            </w:tcBorders>
          </w:tcPr>
          <w:p>
            <w:pPr>
              <w:wordWrap w:val="0"/>
              <w:jc w:val="center"/>
              <w:rPr>
                <w:rFonts w:ascii="Times New Roman" w:hAnsi="Times New Roman"/>
                <w:color w:val="auto"/>
                <w:szCs w:val="21"/>
                <w:highlight w:val="none"/>
              </w:rPr>
            </w:pPr>
            <w:r>
              <w:rPr>
                <w:rFonts w:ascii="Times New Roman" w:hAnsi="Times New Roman"/>
                <w:b/>
                <w:bCs/>
                <w:color w:val="auto"/>
                <w:szCs w:val="21"/>
                <w:highlight w:val="none"/>
              </w:rPr>
              <w:t>管控重点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4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hAnsi="Times New Roman"/>
                <w:color w:val="auto"/>
                <w:szCs w:val="21"/>
                <w:highlight w:val="none"/>
              </w:rPr>
            </w:pPr>
            <w:r>
              <w:rPr>
                <w:rFonts w:ascii="Times New Roman" w:hAnsi="Times New Roman"/>
                <w:color w:val="auto"/>
                <w:szCs w:val="21"/>
                <w:highlight w:val="none"/>
              </w:rPr>
              <w:t>临电</w:t>
            </w:r>
          </w:p>
        </w:tc>
        <w:tc>
          <w:tcPr>
            <w:tcW w:w="5570" w:type="dxa"/>
            <w:tcBorders>
              <w:top w:val="single" w:color="auto" w:sz="4" w:space="0"/>
              <w:left w:val="single" w:color="auto" w:sz="4" w:space="0"/>
              <w:bottom w:val="single" w:color="auto" w:sz="4" w:space="0"/>
              <w:right w:val="single" w:color="auto" w:sz="4" w:space="0"/>
            </w:tcBorders>
          </w:tcPr>
          <w:p>
            <w:pPr>
              <w:wordWrap w:val="0"/>
              <w:rPr>
                <w:rFonts w:ascii="Times New Roman" w:hAnsi="Times New Roman"/>
                <w:color w:val="auto"/>
                <w:szCs w:val="21"/>
                <w:highlight w:val="none"/>
              </w:rPr>
            </w:pPr>
            <w:r>
              <w:rPr>
                <w:rFonts w:ascii="Times New Roman" w:hAnsi="Times New Roman"/>
                <w:color w:val="auto"/>
                <w:szCs w:val="21"/>
                <w:highlight w:val="none"/>
              </w:rPr>
              <w:t>采用三级配电系统，是否正确设置，接线及线路敷设是否规范；</w:t>
            </w:r>
          </w:p>
          <w:p>
            <w:pPr>
              <w:wordWrap w:val="0"/>
              <w:rPr>
                <w:rFonts w:ascii="Times New Roman" w:hAnsi="Times New Roman"/>
                <w:color w:val="auto"/>
                <w:szCs w:val="21"/>
                <w:highlight w:val="none"/>
              </w:rPr>
            </w:pPr>
            <w:r>
              <w:rPr>
                <w:rFonts w:ascii="Times New Roman" w:hAnsi="Times New Roman"/>
                <w:color w:val="auto"/>
                <w:szCs w:val="21"/>
                <w:highlight w:val="none"/>
              </w:rPr>
              <w:t xml:space="preserve">采用三相五线制，TN-S接零保护系统； </w:t>
            </w:r>
          </w:p>
          <w:p>
            <w:pPr>
              <w:wordWrap w:val="0"/>
              <w:rPr>
                <w:rFonts w:ascii="Times New Roman" w:hAnsi="Times New Roman"/>
                <w:color w:val="auto"/>
                <w:szCs w:val="21"/>
                <w:highlight w:val="none"/>
              </w:rPr>
            </w:pPr>
            <w:r>
              <w:rPr>
                <w:rFonts w:ascii="Times New Roman" w:hAnsi="Times New Roman"/>
                <w:color w:val="auto"/>
                <w:szCs w:val="21"/>
                <w:highlight w:val="none"/>
              </w:rPr>
              <w:t>电线不拖地、未被浸泡</w:t>
            </w:r>
            <w:r>
              <w:rPr>
                <w:rFonts w:hint="eastAsia" w:ascii="Times New Roman" w:hAnsi="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4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hAnsi="Times New Roman"/>
                <w:color w:val="auto"/>
                <w:szCs w:val="21"/>
                <w:highlight w:val="none"/>
              </w:rPr>
            </w:pPr>
            <w:r>
              <w:rPr>
                <w:rFonts w:ascii="Times New Roman" w:hAnsi="Times New Roman"/>
                <w:color w:val="auto"/>
                <w:szCs w:val="21"/>
                <w:highlight w:val="none"/>
              </w:rPr>
              <w:t>临时消防</w:t>
            </w:r>
          </w:p>
        </w:tc>
        <w:tc>
          <w:tcPr>
            <w:tcW w:w="5570" w:type="dxa"/>
            <w:tcBorders>
              <w:top w:val="single" w:color="auto" w:sz="4" w:space="0"/>
              <w:left w:val="single" w:color="auto" w:sz="4" w:space="0"/>
              <w:bottom w:val="single" w:color="auto" w:sz="4" w:space="0"/>
              <w:right w:val="single" w:color="auto" w:sz="4" w:space="0"/>
            </w:tcBorders>
          </w:tcPr>
          <w:p>
            <w:pPr>
              <w:wordWrap w:val="0"/>
              <w:rPr>
                <w:rFonts w:ascii="Times New Roman" w:hAnsi="Times New Roman"/>
                <w:color w:val="auto"/>
                <w:szCs w:val="21"/>
                <w:highlight w:val="none"/>
              </w:rPr>
            </w:pPr>
            <w:r>
              <w:rPr>
                <w:rFonts w:ascii="Times New Roman" w:hAnsi="Times New Roman"/>
                <w:color w:val="auto"/>
                <w:szCs w:val="21"/>
                <w:highlight w:val="none"/>
              </w:rPr>
              <w:t>现场临时消防设施、主管管径、消火栓间距、水压是否满足要求；</w:t>
            </w:r>
          </w:p>
          <w:p>
            <w:pPr>
              <w:wordWrap w:val="0"/>
              <w:rPr>
                <w:rFonts w:ascii="Times New Roman" w:hAnsi="Times New Roman"/>
                <w:color w:val="auto"/>
                <w:szCs w:val="21"/>
                <w:highlight w:val="none"/>
              </w:rPr>
            </w:pPr>
            <w:r>
              <w:rPr>
                <w:rFonts w:ascii="Times New Roman" w:hAnsi="Times New Roman"/>
                <w:color w:val="auto"/>
                <w:szCs w:val="21"/>
                <w:highlight w:val="none"/>
              </w:rPr>
              <w:t>楼层水平支管设置；</w:t>
            </w:r>
          </w:p>
          <w:p>
            <w:pPr>
              <w:wordWrap w:val="0"/>
              <w:rPr>
                <w:rFonts w:ascii="Times New Roman" w:hAnsi="Times New Roman"/>
                <w:color w:val="auto"/>
                <w:szCs w:val="21"/>
                <w:highlight w:val="none"/>
              </w:rPr>
            </w:pPr>
            <w:r>
              <w:rPr>
                <w:rFonts w:ascii="Times New Roman" w:hAnsi="Times New Roman"/>
                <w:color w:val="auto"/>
                <w:szCs w:val="21"/>
                <w:highlight w:val="none"/>
              </w:rPr>
              <w:t>现场临时消防通道是否畅通</w:t>
            </w:r>
            <w:r>
              <w:rPr>
                <w:rFonts w:hint="eastAsia" w:ascii="Times New Roman" w:hAnsi="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14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hAnsi="Times New Roman"/>
                <w:color w:val="auto"/>
                <w:szCs w:val="21"/>
                <w:highlight w:val="none"/>
              </w:rPr>
            </w:pPr>
            <w:r>
              <w:rPr>
                <w:rFonts w:ascii="Times New Roman" w:hAnsi="Times New Roman"/>
                <w:color w:val="auto"/>
                <w:szCs w:val="21"/>
                <w:highlight w:val="none"/>
              </w:rPr>
              <w:t>大型机械</w:t>
            </w:r>
          </w:p>
        </w:tc>
        <w:tc>
          <w:tcPr>
            <w:tcW w:w="5570" w:type="dxa"/>
            <w:tcBorders>
              <w:top w:val="single" w:color="auto" w:sz="4" w:space="0"/>
              <w:left w:val="single" w:color="auto" w:sz="4" w:space="0"/>
              <w:bottom w:val="single" w:color="auto" w:sz="4" w:space="0"/>
              <w:right w:val="single" w:color="auto" w:sz="4" w:space="0"/>
            </w:tcBorders>
          </w:tcPr>
          <w:p>
            <w:pPr>
              <w:wordWrap w:val="0"/>
              <w:rPr>
                <w:rFonts w:ascii="Times New Roman" w:hAnsi="Times New Roman"/>
                <w:color w:val="auto"/>
                <w:szCs w:val="21"/>
                <w:highlight w:val="none"/>
              </w:rPr>
            </w:pPr>
            <w:r>
              <w:rPr>
                <w:rFonts w:ascii="Times New Roman" w:hAnsi="Times New Roman"/>
                <w:color w:val="auto"/>
                <w:szCs w:val="21"/>
                <w:highlight w:val="none"/>
              </w:rPr>
              <w:t>吊篮合格证、定期检查、使用不违规；</w:t>
            </w:r>
          </w:p>
          <w:p>
            <w:pPr>
              <w:wordWrap w:val="0"/>
              <w:rPr>
                <w:rFonts w:ascii="Times New Roman" w:hAnsi="Times New Roman"/>
                <w:color w:val="auto"/>
                <w:szCs w:val="21"/>
                <w:highlight w:val="none"/>
              </w:rPr>
            </w:pPr>
            <w:r>
              <w:rPr>
                <w:rFonts w:ascii="Times New Roman" w:hAnsi="Times New Roman"/>
                <w:color w:val="auto"/>
                <w:szCs w:val="21"/>
                <w:highlight w:val="none"/>
              </w:rPr>
              <w:t>施工吊篮安全绳、配重、施工荷载情况</w:t>
            </w:r>
            <w:r>
              <w:rPr>
                <w:rFonts w:hint="eastAsia" w:ascii="Times New Roman" w:hAnsi="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14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hAnsi="Times New Roman"/>
                <w:color w:val="auto"/>
                <w:szCs w:val="21"/>
                <w:highlight w:val="none"/>
              </w:rPr>
            </w:pPr>
            <w:r>
              <w:rPr>
                <w:rFonts w:ascii="Times New Roman" w:hAnsi="Times New Roman"/>
                <w:color w:val="auto"/>
                <w:szCs w:val="21"/>
                <w:highlight w:val="none"/>
              </w:rPr>
              <w:t>现场办公、生活区</w:t>
            </w:r>
          </w:p>
        </w:tc>
        <w:tc>
          <w:tcPr>
            <w:tcW w:w="5570" w:type="dxa"/>
            <w:tcBorders>
              <w:top w:val="single" w:color="auto" w:sz="4" w:space="0"/>
              <w:left w:val="single" w:color="auto" w:sz="4" w:space="0"/>
              <w:bottom w:val="single" w:color="auto" w:sz="4" w:space="0"/>
              <w:right w:val="single" w:color="auto" w:sz="4" w:space="0"/>
            </w:tcBorders>
          </w:tcPr>
          <w:p>
            <w:pPr>
              <w:wordWrap w:val="0"/>
              <w:rPr>
                <w:rFonts w:ascii="Times New Roman" w:hAnsi="Times New Roman"/>
                <w:color w:val="auto"/>
                <w:szCs w:val="21"/>
                <w:highlight w:val="none"/>
              </w:rPr>
            </w:pPr>
            <w:r>
              <w:rPr>
                <w:rFonts w:ascii="Times New Roman" w:hAnsi="Times New Roman"/>
                <w:color w:val="auto"/>
                <w:szCs w:val="21"/>
                <w:highlight w:val="none"/>
              </w:rPr>
              <w:t>消防安全、防火、疏散通道满足要求</w:t>
            </w:r>
            <w:r>
              <w:rPr>
                <w:rFonts w:hint="eastAsia" w:ascii="Times New Roman" w:hAnsi="Times New Roman"/>
                <w:color w:val="auto"/>
                <w:szCs w:val="21"/>
                <w:highlight w:val="none"/>
              </w:rPr>
              <w:t>；</w:t>
            </w:r>
          </w:p>
          <w:p>
            <w:pPr>
              <w:wordWrap w:val="0"/>
              <w:rPr>
                <w:rFonts w:ascii="Times New Roman" w:hAnsi="Times New Roman"/>
                <w:color w:val="auto"/>
                <w:szCs w:val="21"/>
                <w:highlight w:val="none"/>
              </w:rPr>
            </w:pPr>
            <w:r>
              <w:rPr>
                <w:rFonts w:ascii="Times New Roman" w:hAnsi="Times New Roman"/>
                <w:color w:val="auto"/>
                <w:szCs w:val="21"/>
                <w:highlight w:val="none"/>
              </w:rPr>
              <w:t>消防器材齐全，通道畅通，用电安全</w:t>
            </w:r>
            <w:r>
              <w:rPr>
                <w:rFonts w:hint="eastAsia" w:ascii="Times New Roman" w:hAnsi="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14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hAnsi="Times New Roman"/>
                <w:color w:val="auto"/>
                <w:szCs w:val="21"/>
                <w:highlight w:val="none"/>
              </w:rPr>
            </w:pPr>
            <w:r>
              <w:rPr>
                <w:rFonts w:ascii="Times New Roman" w:hAnsi="Times New Roman"/>
                <w:color w:val="auto"/>
                <w:szCs w:val="21"/>
                <w:highlight w:val="none"/>
              </w:rPr>
              <w:t>安全防护</w:t>
            </w:r>
          </w:p>
        </w:tc>
        <w:tc>
          <w:tcPr>
            <w:tcW w:w="5570" w:type="dxa"/>
            <w:tcBorders>
              <w:top w:val="single" w:color="auto" w:sz="4" w:space="0"/>
              <w:left w:val="single" w:color="auto" w:sz="4" w:space="0"/>
              <w:bottom w:val="single" w:color="auto" w:sz="4" w:space="0"/>
              <w:right w:val="single" w:color="auto" w:sz="4" w:space="0"/>
            </w:tcBorders>
          </w:tcPr>
          <w:p>
            <w:pPr>
              <w:wordWrap w:val="0"/>
              <w:rPr>
                <w:rFonts w:ascii="Times New Roman" w:hAnsi="Times New Roman"/>
                <w:color w:val="auto"/>
                <w:szCs w:val="21"/>
                <w:highlight w:val="none"/>
              </w:rPr>
            </w:pPr>
            <w:r>
              <w:rPr>
                <w:rFonts w:ascii="Times New Roman" w:hAnsi="Times New Roman"/>
                <w:color w:val="auto"/>
                <w:szCs w:val="21"/>
                <w:highlight w:val="none"/>
              </w:rPr>
              <w:t>水平及立面防护安全网是否符合要求；</w:t>
            </w:r>
          </w:p>
          <w:p>
            <w:pPr>
              <w:wordWrap w:val="0"/>
              <w:rPr>
                <w:rFonts w:ascii="Times New Roman" w:hAnsi="Times New Roman"/>
                <w:color w:val="auto"/>
                <w:szCs w:val="21"/>
                <w:highlight w:val="none"/>
              </w:rPr>
            </w:pPr>
            <w:r>
              <w:rPr>
                <w:rFonts w:ascii="Times New Roman" w:hAnsi="Times New Roman"/>
                <w:color w:val="auto"/>
                <w:szCs w:val="21"/>
                <w:highlight w:val="none"/>
              </w:rPr>
              <w:t>"三宝四口"防护的设置是否符合要求</w:t>
            </w:r>
            <w:r>
              <w:rPr>
                <w:rFonts w:hint="eastAsia" w:ascii="Times New Roman" w:hAnsi="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45"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Times New Roman" w:hAnsi="Times New Roman"/>
                <w:color w:val="auto"/>
                <w:szCs w:val="21"/>
                <w:highlight w:val="none"/>
              </w:rPr>
            </w:pPr>
            <w:r>
              <w:rPr>
                <w:rFonts w:ascii="Times New Roman" w:hAnsi="Times New Roman"/>
                <w:color w:val="auto"/>
                <w:szCs w:val="21"/>
                <w:highlight w:val="none"/>
              </w:rPr>
              <w:t>动火管理</w:t>
            </w:r>
          </w:p>
        </w:tc>
        <w:tc>
          <w:tcPr>
            <w:tcW w:w="5570" w:type="dxa"/>
            <w:tcBorders>
              <w:top w:val="single" w:color="auto" w:sz="4" w:space="0"/>
              <w:left w:val="single" w:color="auto" w:sz="4" w:space="0"/>
              <w:bottom w:val="single" w:color="auto" w:sz="4" w:space="0"/>
              <w:right w:val="single" w:color="auto" w:sz="4" w:space="0"/>
            </w:tcBorders>
          </w:tcPr>
          <w:p>
            <w:pPr>
              <w:wordWrap w:val="0"/>
              <w:rPr>
                <w:rFonts w:ascii="Times New Roman" w:hAnsi="Times New Roman"/>
                <w:color w:val="auto"/>
                <w:szCs w:val="21"/>
                <w:highlight w:val="none"/>
              </w:rPr>
            </w:pPr>
            <w:r>
              <w:rPr>
                <w:rFonts w:ascii="Times New Roman" w:hAnsi="Times New Roman"/>
                <w:color w:val="auto"/>
                <w:szCs w:val="21"/>
                <w:highlight w:val="none"/>
              </w:rPr>
              <w:t>动火申请手续齐全；</w:t>
            </w:r>
          </w:p>
          <w:p>
            <w:pPr>
              <w:wordWrap w:val="0"/>
              <w:rPr>
                <w:rFonts w:ascii="Times New Roman" w:hAnsi="Times New Roman"/>
                <w:color w:val="auto"/>
                <w:szCs w:val="21"/>
                <w:highlight w:val="none"/>
              </w:rPr>
            </w:pPr>
            <w:r>
              <w:rPr>
                <w:rFonts w:ascii="Times New Roman" w:hAnsi="Times New Roman"/>
                <w:color w:val="auto"/>
                <w:szCs w:val="21"/>
                <w:highlight w:val="none"/>
              </w:rPr>
              <w:t>灭火设施、电焊施工设置接火盘、看火人等是否到位；</w:t>
            </w:r>
          </w:p>
          <w:p>
            <w:pPr>
              <w:wordWrap w:val="0"/>
              <w:rPr>
                <w:rFonts w:ascii="Times New Roman" w:hAnsi="Times New Roman"/>
                <w:color w:val="auto"/>
                <w:szCs w:val="21"/>
                <w:highlight w:val="none"/>
              </w:rPr>
            </w:pPr>
            <w:r>
              <w:rPr>
                <w:rFonts w:ascii="Times New Roman" w:hAnsi="Times New Roman"/>
                <w:color w:val="auto"/>
                <w:szCs w:val="21"/>
                <w:highlight w:val="none"/>
              </w:rPr>
              <w:t>动火人是否合规。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45"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olor w:val="auto"/>
                <w:szCs w:val="21"/>
                <w:highlight w:val="none"/>
              </w:rPr>
            </w:pPr>
            <w:r>
              <w:rPr>
                <w:rFonts w:ascii="Times New Roman" w:hAnsi="Times New Roman"/>
                <w:color w:val="auto"/>
                <w:szCs w:val="21"/>
                <w:highlight w:val="none"/>
              </w:rPr>
              <w:t>物料、堆放</w:t>
            </w:r>
          </w:p>
          <w:p>
            <w:pPr>
              <w:wordWrap w:val="0"/>
              <w:rPr>
                <w:rFonts w:ascii="Times New Roman" w:hAnsi="Times New Roman"/>
                <w:color w:val="auto"/>
                <w:szCs w:val="21"/>
                <w:highlight w:val="none"/>
              </w:rPr>
            </w:pPr>
            <w:r>
              <w:rPr>
                <w:rFonts w:ascii="Times New Roman" w:hAnsi="Times New Roman"/>
                <w:color w:val="auto"/>
                <w:szCs w:val="21"/>
                <w:highlight w:val="none"/>
              </w:rPr>
              <w:t>危险化学品、易燃、易爆物料管理</w:t>
            </w:r>
          </w:p>
        </w:tc>
        <w:tc>
          <w:tcPr>
            <w:tcW w:w="5570" w:type="dxa"/>
            <w:tcBorders>
              <w:top w:val="single" w:color="auto" w:sz="4" w:space="0"/>
              <w:left w:val="single" w:color="auto" w:sz="4" w:space="0"/>
              <w:bottom w:val="single" w:color="auto" w:sz="4" w:space="0"/>
              <w:right w:val="single" w:color="auto" w:sz="4" w:space="0"/>
            </w:tcBorders>
          </w:tcPr>
          <w:p>
            <w:pPr>
              <w:wordWrap w:val="0"/>
              <w:rPr>
                <w:rFonts w:ascii="Times New Roman" w:hAnsi="Times New Roman"/>
                <w:color w:val="auto"/>
                <w:szCs w:val="21"/>
                <w:highlight w:val="none"/>
              </w:rPr>
            </w:pPr>
            <w:r>
              <w:rPr>
                <w:rFonts w:ascii="Times New Roman" w:hAnsi="Times New Roman"/>
                <w:color w:val="auto"/>
                <w:szCs w:val="21"/>
                <w:highlight w:val="none"/>
              </w:rPr>
              <w:t>防火、阻燃材料符合要求；</w:t>
            </w:r>
          </w:p>
          <w:p>
            <w:pPr>
              <w:wordWrap w:val="0"/>
              <w:rPr>
                <w:rFonts w:ascii="Times New Roman" w:hAnsi="Times New Roman"/>
                <w:color w:val="auto"/>
                <w:szCs w:val="21"/>
                <w:highlight w:val="none"/>
              </w:rPr>
            </w:pPr>
            <w:r>
              <w:rPr>
                <w:rFonts w:ascii="Times New Roman" w:hAnsi="Times New Roman"/>
                <w:color w:val="auto"/>
                <w:szCs w:val="21"/>
                <w:highlight w:val="none"/>
              </w:rPr>
              <w:t>危险化学品、易燃、易爆物料管理；</w:t>
            </w:r>
          </w:p>
          <w:p>
            <w:pPr>
              <w:wordWrap w:val="0"/>
              <w:rPr>
                <w:rFonts w:ascii="Times New Roman" w:hAnsi="Times New Roman"/>
                <w:color w:val="auto"/>
                <w:szCs w:val="21"/>
                <w:highlight w:val="none"/>
              </w:rPr>
            </w:pPr>
            <w:r>
              <w:rPr>
                <w:rFonts w:ascii="Times New Roman" w:hAnsi="Times New Roman"/>
                <w:color w:val="auto"/>
                <w:szCs w:val="21"/>
                <w:highlight w:val="none"/>
              </w:rPr>
              <w:t>施工现场是否有吸烟及违反消防要求设备</w:t>
            </w:r>
            <w:r>
              <w:rPr>
                <w:rFonts w:hint="eastAsia" w:ascii="Times New Roman" w:hAnsi="Times New Roman"/>
                <w:color w:val="auto"/>
                <w:szCs w:val="21"/>
                <w:highlight w:val="none"/>
              </w:rPr>
              <w:t>。</w:t>
            </w:r>
          </w:p>
        </w:tc>
      </w:tr>
    </w:tbl>
    <w:p>
      <w:pPr>
        <w:wordWrap w:val="0"/>
        <w:spacing w:line="360" w:lineRule="auto"/>
        <w:rPr>
          <w:rFonts w:ascii="Times New Roman" w:hAnsi="Times New Roman"/>
          <w:color w:val="auto"/>
          <w:sz w:val="24"/>
          <w:szCs w:val="24"/>
          <w:highlight w:val="none"/>
        </w:rPr>
      </w:pPr>
    </w:p>
    <w:p>
      <w:pPr>
        <w:wordWrap w:val="0"/>
        <w:spacing w:line="360" w:lineRule="auto"/>
        <w:rPr>
          <w:rFonts w:ascii="Times New Roman" w:hAnsi="Times New Roman"/>
          <w:color w:val="auto"/>
          <w:sz w:val="24"/>
          <w:szCs w:val="24"/>
          <w:highlight w:val="none"/>
        </w:rPr>
      </w:pPr>
    </w:p>
    <w:p>
      <w:pPr>
        <w:spacing w:line="720" w:lineRule="auto"/>
        <w:rPr>
          <w:rFonts w:ascii="宋体" w:hAnsi="宋体" w:cs="宋体"/>
          <w:color w:val="auto"/>
          <w:sz w:val="24"/>
          <w:szCs w:val="24"/>
          <w:highlight w:val="none"/>
          <w:u w:val="single" w:color="FF0000"/>
        </w:rPr>
      </w:pP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w:t>
      </w:r>
      <w:r>
        <w:rPr>
          <w:rFonts w:hint="eastAsia" w:ascii="宋体" w:hAnsi="宋体" w:cs="宋体"/>
          <w:color w:val="auto"/>
          <w:sz w:val="24"/>
          <w:szCs w:val="24"/>
          <w:highlight w:val="none"/>
          <w:u w:val="single" w:color="FF0000"/>
          <w:lang w:val="en-US" w:eastAsia="zh-CN"/>
        </w:rPr>
        <w:t>江门粤海置地有限公司</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承包人</w:t>
      </w:r>
      <w:r>
        <w:rPr>
          <w:rFonts w:ascii="Times New Roman" w:hAnsi="Times New Roman"/>
          <w:color w:val="auto"/>
          <w:sz w:val="24"/>
          <w:szCs w:val="24"/>
          <w:highlight w:val="none"/>
        </w:rPr>
        <w:t>：</w:t>
      </w:r>
      <w:r>
        <w:rPr>
          <w:rFonts w:hint="eastAsia" w:ascii="宋体" w:hAnsi="宋体" w:cs="宋体"/>
          <w:i w:val="0"/>
          <w:iCs w:val="0"/>
          <w:color w:val="auto"/>
          <w:kern w:val="2"/>
          <w:sz w:val="24"/>
          <w:szCs w:val="24"/>
          <w:highlight w:val="none"/>
          <w:u w:val="single" w:color="FF0000"/>
          <w:lang w:val="en-US" w:eastAsia="zh-CN" w:bidi="ar"/>
        </w:rPr>
        <w:t xml:space="preserve">                  </w:t>
      </w:r>
    </w:p>
    <w:p>
      <w:pPr>
        <w:spacing w:line="720" w:lineRule="auto"/>
        <w:rPr>
          <w:rFonts w:ascii="Times New Roman" w:hAnsi="Times New Roman"/>
          <w:b/>
          <w:bCs/>
          <w:color w:val="auto"/>
          <w:sz w:val="24"/>
          <w:szCs w:val="24"/>
          <w:highlight w:val="none"/>
        </w:rPr>
        <w:sectPr>
          <w:type w:val="continuous"/>
          <w:pgSz w:w="11906" w:h="16838"/>
          <w:pgMar w:top="1418" w:right="1554" w:bottom="1418" w:left="1531" w:header="851" w:footer="992" w:gutter="0"/>
          <w:pgNumType w:fmt="decimal"/>
          <w:cols w:space="720" w:num="1"/>
          <w:titlePg/>
          <w:docGrid w:type="lines" w:linePitch="312" w:charSpace="0"/>
        </w:sectPr>
      </w:pPr>
      <w:r>
        <w:rPr>
          <w:rFonts w:ascii="Times New Roman" w:hAnsi="Times New Roman"/>
          <w:color w:val="auto"/>
          <w:sz w:val="24"/>
          <w:szCs w:val="24"/>
          <w:highlight w:val="none"/>
        </w:rPr>
        <w:t xml:space="preserve">法定代表人或其授权代表：            </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法定代表人或其授权代表：</w:t>
      </w:r>
    </w:p>
    <w:p>
      <w:pPr>
        <w:pStyle w:val="52"/>
        <w:ind w:firstLine="0" w:firstLineChars="0"/>
        <w:jc w:val="both"/>
        <w:outlineLvl w:val="0"/>
        <w:rPr>
          <w:rStyle w:val="102"/>
          <w:color w:val="auto"/>
          <w:sz w:val="28"/>
          <w:szCs w:val="28"/>
          <w:highlight w:val="none"/>
          <w:lang w:val="zh-CN"/>
        </w:rPr>
      </w:pPr>
      <w:bookmarkStart w:id="1482" w:name="_Toc31961"/>
      <w:bookmarkStart w:id="1483" w:name="_Toc8136"/>
      <w:bookmarkStart w:id="1484" w:name="_Toc67300377"/>
      <w:bookmarkStart w:id="1485" w:name="_Toc13156"/>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bookmarkStart w:id="1486" w:name="_Toc5455"/>
      <w:r>
        <w:rPr>
          <w:rStyle w:val="102"/>
          <w:rFonts w:hint="eastAsia"/>
          <w:color w:val="auto"/>
          <w:sz w:val="28"/>
          <w:szCs w:val="28"/>
          <w:highlight w:val="none"/>
          <w:lang w:val="zh-CN"/>
        </w:rPr>
        <w:t>附件1</w:t>
      </w:r>
      <w:r>
        <w:rPr>
          <w:rStyle w:val="102"/>
          <w:rFonts w:hint="eastAsia" w:eastAsia="宋体"/>
          <w:color w:val="auto"/>
          <w:sz w:val="28"/>
          <w:szCs w:val="28"/>
          <w:highlight w:val="none"/>
          <w:lang w:val="en-US" w:eastAsia="zh-CN"/>
        </w:rPr>
        <w:t>2</w:t>
      </w:r>
      <w:r>
        <w:rPr>
          <w:rStyle w:val="102"/>
          <w:color w:val="auto"/>
          <w:sz w:val="28"/>
          <w:szCs w:val="28"/>
          <w:highlight w:val="none"/>
          <w:lang w:val="zh-CN"/>
        </w:rPr>
        <w:t>：安全管理专篇</w:t>
      </w:r>
      <w:bookmarkEnd w:id="1482"/>
      <w:bookmarkEnd w:id="1483"/>
      <w:bookmarkEnd w:id="1484"/>
      <w:bookmarkEnd w:id="1485"/>
      <w:bookmarkEnd w:id="1486"/>
    </w:p>
    <w:p>
      <w:pPr>
        <w:tabs>
          <w:tab w:val="left" w:pos="3928"/>
        </w:tabs>
        <w:spacing w:line="720" w:lineRule="auto"/>
        <w:jc w:val="center"/>
        <w:rPr>
          <w:rFonts w:ascii="Times New Roman" w:hAnsi="Times New Roman"/>
          <w:b/>
          <w:color w:val="auto"/>
          <w:sz w:val="28"/>
          <w:szCs w:val="28"/>
          <w:highlight w:val="none"/>
        </w:rPr>
      </w:pPr>
      <w:r>
        <w:rPr>
          <w:rFonts w:ascii="Times New Roman" w:hAnsi="Times New Roman"/>
          <w:b/>
          <w:color w:val="auto"/>
          <w:sz w:val="28"/>
          <w:szCs w:val="28"/>
          <w:highlight w:val="none"/>
        </w:rPr>
        <w:t>安全管理专篇</w:t>
      </w:r>
    </w:p>
    <w:p>
      <w:pPr>
        <w:numPr>
          <w:ilvl w:val="0"/>
          <w:numId w:val="56"/>
        </w:numPr>
        <w:snapToGrid w:val="0"/>
        <w:spacing w:line="360" w:lineRule="auto"/>
        <w:outlineLvl w:val="2"/>
        <w:rPr>
          <w:rFonts w:ascii="Times New Roman" w:hAnsi="Times New Roman"/>
          <w:b/>
          <w:bCs/>
          <w:color w:val="auto"/>
          <w:sz w:val="24"/>
          <w:szCs w:val="24"/>
          <w:highlight w:val="none"/>
        </w:rPr>
      </w:pPr>
      <w:bookmarkStart w:id="1487" w:name="_Toc213660313"/>
      <w:bookmarkStart w:id="1488" w:name="_Toc213658612"/>
      <w:bookmarkStart w:id="1489" w:name="_Toc41569103"/>
      <w:bookmarkStart w:id="1490" w:name="一"/>
      <w:r>
        <w:rPr>
          <w:rFonts w:ascii="Times New Roman" w:hAnsi="Times New Roman"/>
          <w:b/>
          <w:bCs/>
          <w:color w:val="auto"/>
          <w:sz w:val="24"/>
          <w:szCs w:val="24"/>
          <w:highlight w:val="none"/>
        </w:rPr>
        <w:t>总则</w:t>
      </w:r>
      <w:bookmarkEnd w:id="1487"/>
      <w:bookmarkEnd w:id="1488"/>
      <w:bookmarkEnd w:id="1489"/>
    </w:p>
    <w:bookmarkEnd w:id="1490"/>
    <w:p>
      <w:pPr>
        <w:snapToGrid w:val="0"/>
        <w:spacing w:line="360" w:lineRule="auto"/>
        <w:ind w:left="424" w:leftChars="202"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依据中华人民共和国职业健康、安全生产类、环境保护类相关法律、法规、标准的要求</w:t>
      </w:r>
      <w:r>
        <w:rPr>
          <w:rFonts w:ascii="Times New Roman" w:hAnsi="Times New Roman"/>
          <w:bCs/>
          <w:color w:val="auto"/>
          <w:sz w:val="24"/>
          <w:szCs w:val="24"/>
          <w:highlight w:val="none"/>
        </w:rPr>
        <w:t>，</w:t>
      </w:r>
      <w:r>
        <w:rPr>
          <w:rFonts w:ascii="Times New Roman" w:hAnsi="Times New Roman"/>
          <w:color w:val="auto"/>
          <w:sz w:val="24"/>
          <w:szCs w:val="24"/>
          <w:highlight w:val="none"/>
        </w:rPr>
        <w:t>发包人对承包人承包合同规定的活动中的职业健康、安全生产和环境保护（以下简称安全）工作实行统一的协调、管理和指导。</w:t>
      </w:r>
    </w:p>
    <w:p>
      <w:pPr>
        <w:numPr>
          <w:ilvl w:val="0"/>
          <w:numId w:val="56"/>
        </w:numPr>
        <w:snapToGrid w:val="0"/>
        <w:spacing w:line="360" w:lineRule="auto"/>
        <w:outlineLvl w:val="2"/>
        <w:rPr>
          <w:rFonts w:ascii="Times New Roman" w:hAnsi="Times New Roman"/>
          <w:b/>
          <w:bCs/>
          <w:color w:val="auto"/>
          <w:sz w:val="24"/>
          <w:szCs w:val="24"/>
          <w:highlight w:val="none"/>
        </w:rPr>
      </w:pPr>
      <w:bookmarkStart w:id="1491" w:name="_Toc41569104"/>
      <w:bookmarkStart w:id="1492" w:name="_Toc213660314"/>
      <w:bookmarkStart w:id="1493" w:name="_Toc213658613"/>
      <w:bookmarkStart w:id="1494" w:name="二"/>
      <w:r>
        <w:rPr>
          <w:rFonts w:ascii="Times New Roman" w:hAnsi="Times New Roman"/>
          <w:b/>
          <w:bCs/>
          <w:color w:val="auto"/>
          <w:sz w:val="24"/>
          <w:szCs w:val="24"/>
          <w:highlight w:val="none"/>
        </w:rPr>
        <w:t>法律法规</w:t>
      </w:r>
      <w:bookmarkEnd w:id="1491"/>
      <w:bookmarkEnd w:id="1492"/>
      <w:bookmarkEnd w:id="1493"/>
    </w:p>
    <w:p>
      <w:pPr>
        <w:snapToGrid w:val="0"/>
        <w:spacing w:line="360" w:lineRule="auto"/>
        <w:ind w:left="418" w:leftChars="199" w:firstLine="444" w:firstLineChars="185"/>
        <w:rPr>
          <w:rFonts w:ascii="Times New Roman" w:hAnsi="Times New Roman"/>
          <w:color w:val="auto"/>
          <w:sz w:val="24"/>
          <w:szCs w:val="24"/>
          <w:highlight w:val="none"/>
        </w:rPr>
      </w:pPr>
      <w:r>
        <w:rPr>
          <w:rFonts w:ascii="Times New Roman" w:hAnsi="Times New Roman"/>
          <w:color w:val="auto"/>
          <w:sz w:val="24"/>
          <w:szCs w:val="24"/>
          <w:highlight w:val="none"/>
        </w:rPr>
        <w:t>承包人在从事项目活动时必须遵守国家安全生产和环境保护相关的法律、法规、强制性国家标准和相关行业标准，当国家法律、法规、标准变更时，以新版本为准。</w:t>
      </w:r>
    </w:p>
    <w:bookmarkEnd w:id="1494"/>
    <w:p>
      <w:pPr>
        <w:numPr>
          <w:ilvl w:val="0"/>
          <w:numId w:val="56"/>
        </w:numPr>
        <w:snapToGrid w:val="0"/>
        <w:spacing w:line="360" w:lineRule="auto"/>
        <w:outlineLvl w:val="2"/>
        <w:rPr>
          <w:rFonts w:ascii="Times New Roman" w:hAnsi="Times New Roman"/>
          <w:b/>
          <w:bCs/>
          <w:color w:val="auto"/>
          <w:sz w:val="24"/>
          <w:szCs w:val="24"/>
          <w:highlight w:val="none"/>
        </w:rPr>
      </w:pPr>
      <w:bookmarkStart w:id="1495" w:name="_Toc213660316"/>
      <w:bookmarkStart w:id="1496" w:name="_Toc41569105"/>
      <w:bookmarkStart w:id="1497" w:name="_Toc213658615"/>
      <w:bookmarkStart w:id="1498" w:name="四"/>
      <w:r>
        <w:rPr>
          <w:rFonts w:ascii="Times New Roman" w:hAnsi="Times New Roman"/>
          <w:b/>
          <w:bCs/>
          <w:color w:val="auto"/>
          <w:sz w:val="24"/>
          <w:szCs w:val="24"/>
          <w:highlight w:val="none"/>
        </w:rPr>
        <w:t>对承包人安全、环境管理程序的要求</w:t>
      </w:r>
      <w:bookmarkEnd w:id="1495"/>
      <w:bookmarkEnd w:id="1496"/>
      <w:bookmarkEnd w:id="1497"/>
    </w:p>
    <w:bookmarkEnd w:id="1498"/>
    <w:p>
      <w:pPr>
        <w:numPr>
          <w:ilvl w:val="1"/>
          <w:numId w:val="56"/>
        </w:numPr>
        <w:tabs>
          <w:tab w:val="left" w:pos="1155"/>
          <w:tab w:val="left" w:pos="1575"/>
        </w:tabs>
        <w:snapToGrid w:val="0"/>
        <w:spacing w:line="360" w:lineRule="auto"/>
        <w:ind w:left="1155" w:hanging="730"/>
        <w:rPr>
          <w:rFonts w:ascii="Times New Roman" w:hAnsi="Times New Roman"/>
          <w:bCs/>
          <w:snapToGrid w:val="0"/>
          <w:color w:val="auto"/>
          <w:sz w:val="24"/>
          <w:szCs w:val="24"/>
          <w:highlight w:val="none"/>
        </w:rPr>
      </w:pPr>
      <w:r>
        <w:rPr>
          <w:rFonts w:ascii="Times New Roman" w:hAnsi="Times New Roman"/>
          <w:bCs/>
          <w:snapToGrid w:val="0"/>
          <w:color w:val="auto"/>
          <w:sz w:val="24"/>
          <w:szCs w:val="24"/>
          <w:highlight w:val="none"/>
        </w:rPr>
        <w:t>承包人应建立健全本单位本工程的安全管理大纲及程序体系，在合同签订后1个月内(工程开工前)向发包人提供安全程序清单。</w:t>
      </w:r>
    </w:p>
    <w:p>
      <w:pPr>
        <w:numPr>
          <w:ilvl w:val="1"/>
          <w:numId w:val="56"/>
        </w:numPr>
        <w:tabs>
          <w:tab w:val="left" w:pos="1155"/>
          <w:tab w:val="left" w:pos="1575"/>
        </w:tabs>
        <w:snapToGrid w:val="0"/>
        <w:spacing w:line="360" w:lineRule="auto"/>
        <w:ind w:left="1155" w:hanging="730"/>
        <w:rPr>
          <w:rFonts w:ascii="Times New Roman" w:hAnsi="Times New Roman"/>
          <w:color w:val="auto"/>
          <w:sz w:val="24"/>
          <w:szCs w:val="24"/>
          <w:highlight w:val="none"/>
        </w:rPr>
      </w:pPr>
      <w:r>
        <w:rPr>
          <w:rFonts w:ascii="Times New Roman" w:hAnsi="Times New Roman"/>
          <w:color w:val="auto"/>
          <w:sz w:val="24"/>
          <w:szCs w:val="24"/>
          <w:highlight w:val="none"/>
        </w:rPr>
        <w:t>参照执行发包人的程序和其他相关规定时，不取代承包人的安全、环境管理责任，不影响或减轻承包人履行合同安全、环境条款所规定的责任。</w:t>
      </w:r>
    </w:p>
    <w:p>
      <w:pPr>
        <w:numPr>
          <w:ilvl w:val="1"/>
          <w:numId w:val="56"/>
        </w:numPr>
        <w:tabs>
          <w:tab w:val="left" w:pos="1155"/>
          <w:tab w:val="left" w:pos="1575"/>
        </w:tabs>
        <w:snapToGrid w:val="0"/>
        <w:spacing w:line="360" w:lineRule="auto"/>
        <w:ind w:left="1155" w:hanging="730"/>
        <w:rPr>
          <w:rFonts w:ascii="Times New Roman" w:hAnsi="Times New Roman"/>
          <w:color w:val="auto"/>
          <w:sz w:val="24"/>
          <w:szCs w:val="24"/>
          <w:highlight w:val="none"/>
        </w:rPr>
      </w:pPr>
      <w:r>
        <w:rPr>
          <w:rFonts w:ascii="Times New Roman" w:hAnsi="Times New Roman"/>
          <w:color w:val="auto"/>
          <w:sz w:val="24"/>
          <w:szCs w:val="24"/>
          <w:highlight w:val="none"/>
        </w:rPr>
        <w:t>承包人编制的所有安全大纲、程序、方案必须符合国家和当地法律法规及发包人程序规范要求，在</w:t>
      </w:r>
      <w:r>
        <w:rPr>
          <w:rFonts w:ascii="Times New Roman" w:hAnsi="Times New Roman"/>
          <w:bCs/>
          <w:snapToGrid w:val="0"/>
          <w:color w:val="auto"/>
          <w:sz w:val="24"/>
          <w:szCs w:val="24"/>
          <w:highlight w:val="none"/>
        </w:rPr>
        <w:t>合同签订后1个月内(工程开工前)向发包人提供，批准生效后方可执行。</w:t>
      </w:r>
    </w:p>
    <w:p>
      <w:pPr>
        <w:numPr>
          <w:ilvl w:val="1"/>
          <w:numId w:val="56"/>
        </w:numPr>
        <w:tabs>
          <w:tab w:val="left" w:pos="1155"/>
          <w:tab w:val="left" w:pos="1575"/>
        </w:tabs>
        <w:snapToGrid w:val="0"/>
        <w:spacing w:line="360" w:lineRule="auto"/>
        <w:ind w:left="1155" w:hanging="730"/>
        <w:rPr>
          <w:rFonts w:ascii="Times New Roman" w:hAnsi="Times New Roman"/>
          <w:color w:val="auto"/>
          <w:sz w:val="24"/>
          <w:szCs w:val="24"/>
          <w:highlight w:val="none"/>
        </w:rPr>
      </w:pPr>
      <w:r>
        <w:rPr>
          <w:rFonts w:ascii="Times New Roman" w:hAnsi="Times New Roman"/>
          <w:bCs/>
          <w:snapToGrid w:val="0"/>
          <w:color w:val="auto"/>
          <w:sz w:val="24"/>
          <w:szCs w:val="24"/>
          <w:highlight w:val="none"/>
        </w:rPr>
        <w:t>承包人在合同签订后公司主要负责人（董事长、总经理）、项目经理须到发包人所在地做安全管理汇报（全程录像）。</w:t>
      </w:r>
    </w:p>
    <w:p>
      <w:pPr>
        <w:numPr>
          <w:ilvl w:val="0"/>
          <w:numId w:val="56"/>
        </w:numPr>
        <w:snapToGrid w:val="0"/>
        <w:spacing w:line="360" w:lineRule="auto"/>
        <w:outlineLvl w:val="2"/>
        <w:rPr>
          <w:rFonts w:ascii="Times New Roman" w:hAnsi="Times New Roman"/>
          <w:b/>
          <w:bCs/>
          <w:color w:val="auto"/>
          <w:sz w:val="24"/>
          <w:szCs w:val="24"/>
          <w:highlight w:val="none"/>
        </w:rPr>
      </w:pPr>
      <w:bookmarkStart w:id="1499" w:name="五"/>
      <w:bookmarkEnd w:id="1499"/>
      <w:bookmarkStart w:id="1500" w:name="_Toc41569106"/>
      <w:bookmarkStart w:id="1501" w:name="_Toc213660317"/>
      <w:bookmarkStart w:id="1502" w:name="_Toc213658616"/>
      <w:r>
        <w:rPr>
          <w:rFonts w:ascii="Times New Roman" w:hAnsi="Times New Roman"/>
          <w:b/>
          <w:bCs/>
          <w:color w:val="auto"/>
          <w:sz w:val="24"/>
          <w:szCs w:val="24"/>
          <w:highlight w:val="none"/>
        </w:rPr>
        <w:t>安全、环境目标</w:t>
      </w:r>
      <w:bookmarkEnd w:id="1500"/>
      <w:bookmarkEnd w:id="1501"/>
      <w:bookmarkEnd w:id="1502"/>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承包人安全管理要求应实现以下安全目标：</w:t>
      </w:r>
    </w:p>
    <w:p>
      <w:pPr>
        <w:numPr>
          <w:ilvl w:val="2"/>
          <w:numId w:val="56"/>
        </w:numPr>
        <w:tabs>
          <w:tab w:val="left" w:pos="1260"/>
        </w:tabs>
        <w:snapToGrid w:val="0"/>
        <w:spacing w:line="360" w:lineRule="auto"/>
        <w:ind w:left="1260" w:hanging="409"/>
        <w:rPr>
          <w:rFonts w:ascii="Times New Roman" w:hAnsi="Times New Roman"/>
          <w:bCs/>
          <w:color w:val="auto"/>
          <w:sz w:val="24"/>
          <w:szCs w:val="24"/>
          <w:highlight w:val="none"/>
        </w:rPr>
      </w:pPr>
      <w:r>
        <w:rPr>
          <w:rFonts w:ascii="Times New Roman" w:hAnsi="Times New Roman"/>
          <w:bCs/>
          <w:color w:val="auto"/>
          <w:sz w:val="24"/>
          <w:szCs w:val="24"/>
          <w:highlight w:val="none"/>
        </w:rPr>
        <w:t>不发生死亡及以上安全生产责任事故；员工重伤及轻伤率不超过千分之一；</w:t>
      </w:r>
    </w:p>
    <w:p>
      <w:pPr>
        <w:numPr>
          <w:ilvl w:val="2"/>
          <w:numId w:val="56"/>
        </w:numPr>
        <w:tabs>
          <w:tab w:val="left" w:pos="1260"/>
        </w:tabs>
        <w:snapToGrid w:val="0"/>
        <w:spacing w:line="360" w:lineRule="auto"/>
        <w:ind w:left="1260" w:hanging="409"/>
        <w:rPr>
          <w:rFonts w:ascii="Times New Roman" w:hAnsi="Times New Roman"/>
          <w:bCs/>
          <w:color w:val="auto"/>
          <w:sz w:val="24"/>
          <w:szCs w:val="24"/>
          <w:highlight w:val="none"/>
        </w:rPr>
      </w:pPr>
      <w:r>
        <w:rPr>
          <w:rFonts w:ascii="Times New Roman" w:hAnsi="Times New Roman"/>
          <w:bCs/>
          <w:color w:val="auto"/>
          <w:sz w:val="24"/>
          <w:szCs w:val="24"/>
          <w:highlight w:val="none"/>
        </w:rPr>
        <w:t>直接经济损失100万元以上的非人员伤亡安全生产责任事故为零；</w:t>
      </w:r>
    </w:p>
    <w:p>
      <w:pPr>
        <w:numPr>
          <w:ilvl w:val="2"/>
          <w:numId w:val="56"/>
        </w:numPr>
        <w:tabs>
          <w:tab w:val="left" w:pos="1260"/>
        </w:tabs>
        <w:snapToGrid w:val="0"/>
        <w:spacing w:line="360" w:lineRule="auto"/>
        <w:ind w:left="1260" w:hanging="409"/>
        <w:rPr>
          <w:rFonts w:ascii="Times New Roman" w:hAnsi="Times New Roman"/>
          <w:bCs/>
          <w:color w:val="auto"/>
          <w:sz w:val="24"/>
          <w:szCs w:val="24"/>
          <w:highlight w:val="none"/>
        </w:rPr>
      </w:pPr>
      <w:r>
        <w:rPr>
          <w:rFonts w:ascii="Times New Roman" w:hAnsi="Times New Roman"/>
          <w:bCs/>
          <w:color w:val="auto"/>
          <w:sz w:val="24"/>
          <w:szCs w:val="24"/>
          <w:highlight w:val="none"/>
        </w:rPr>
        <w:t>员工职业病率不超过千分之一</w:t>
      </w:r>
      <w:r>
        <w:rPr>
          <w:rFonts w:hint="eastAsia" w:ascii="Times New Roman" w:hAnsi="Times New Roman"/>
          <w:bCs/>
          <w:color w:val="auto"/>
          <w:sz w:val="24"/>
          <w:szCs w:val="24"/>
          <w:highlight w:val="none"/>
        </w:rPr>
        <w:t>。</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03" w:name="六"/>
      <w:bookmarkEnd w:id="1503"/>
      <w:bookmarkStart w:id="1504" w:name="_Toc213660318"/>
      <w:bookmarkStart w:id="1505" w:name="_Toc213658617"/>
      <w:bookmarkStart w:id="1506" w:name="_Toc41569107"/>
      <w:r>
        <w:rPr>
          <w:rFonts w:ascii="Times New Roman" w:hAnsi="Times New Roman"/>
          <w:b/>
          <w:bCs/>
          <w:color w:val="auto"/>
          <w:sz w:val="24"/>
          <w:szCs w:val="24"/>
          <w:highlight w:val="none"/>
        </w:rPr>
        <w:t>责任</w:t>
      </w:r>
      <w:bookmarkEnd w:id="1504"/>
      <w:bookmarkEnd w:id="1505"/>
      <w:r>
        <w:rPr>
          <w:rFonts w:ascii="Times New Roman" w:hAnsi="Times New Roman"/>
          <w:b/>
          <w:bCs/>
          <w:color w:val="auto"/>
          <w:sz w:val="24"/>
          <w:szCs w:val="24"/>
          <w:highlight w:val="none"/>
        </w:rPr>
        <w:t>承担</w:t>
      </w:r>
      <w:bookmarkEnd w:id="1506"/>
    </w:p>
    <w:p>
      <w:pPr>
        <w:tabs>
          <w:tab w:val="left" w:pos="1260"/>
        </w:tabs>
        <w:snapToGrid w:val="0"/>
        <w:spacing w:line="360" w:lineRule="auto"/>
        <w:ind w:left="851"/>
        <w:rPr>
          <w:rFonts w:ascii="Times New Roman" w:hAnsi="Times New Roman"/>
          <w:bCs/>
          <w:color w:val="auto"/>
          <w:sz w:val="24"/>
          <w:szCs w:val="24"/>
          <w:highlight w:val="none"/>
        </w:rPr>
      </w:pPr>
      <w:r>
        <w:rPr>
          <w:rFonts w:ascii="Times New Roman" w:hAnsi="Times New Roman"/>
          <w:bCs/>
          <w:color w:val="auto"/>
          <w:sz w:val="24"/>
          <w:szCs w:val="24"/>
          <w:highlight w:val="none"/>
        </w:rPr>
        <w:t>承包人应承诺在合同规定的活动中承担以下安全、环境责任：</w:t>
      </w:r>
    </w:p>
    <w:p>
      <w:pPr>
        <w:numPr>
          <w:ilvl w:val="2"/>
          <w:numId w:val="56"/>
        </w:numPr>
        <w:tabs>
          <w:tab w:val="left" w:pos="1365"/>
          <w:tab w:val="clear" w:pos="1418"/>
        </w:tabs>
        <w:snapToGrid w:val="0"/>
        <w:spacing w:line="360" w:lineRule="auto"/>
        <w:ind w:left="1365" w:hanging="514"/>
        <w:rPr>
          <w:rFonts w:ascii="Times New Roman" w:hAnsi="Times New Roman"/>
          <w:bCs/>
          <w:iCs/>
          <w:color w:val="auto"/>
          <w:sz w:val="24"/>
          <w:szCs w:val="24"/>
          <w:highlight w:val="none"/>
        </w:rPr>
      </w:pPr>
      <w:r>
        <w:rPr>
          <w:rFonts w:ascii="Times New Roman" w:hAnsi="Times New Roman"/>
          <w:bCs/>
          <w:iCs/>
          <w:color w:val="auto"/>
          <w:sz w:val="24"/>
          <w:szCs w:val="24"/>
          <w:highlight w:val="none"/>
        </w:rPr>
        <w:t>承包人的法人代表或其授权人对本合同活动的安全、环境负有全面的领导责任。</w:t>
      </w:r>
    </w:p>
    <w:p>
      <w:pPr>
        <w:numPr>
          <w:ilvl w:val="2"/>
          <w:numId w:val="56"/>
        </w:numPr>
        <w:tabs>
          <w:tab w:val="left" w:pos="1365"/>
          <w:tab w:val="clear" w:pos="1418"/>
        </w:tabs>
        <w:snapToGrid w:val="0"/>
        <w:spacing w:line="360" w:lineRule="auto"/>
        <w:ind w:left="1365" w:hanging="514"/>
        <w:rPr>
          <w:rFonts w:ascii="Times New Roman" w:hAnsi="Times New Roman"/>
          <w:bCs/>
          <w:color w:val="auto"/>
          <w:sz w:val="24"/>
          <w:szCs w:val="24"/>
          <w:highlight w:val="none"/>
        </w:rPr>
      </w:pPr>
      <w:r>
        <w:rPr>
          <w:rFonts w:ascii="Times New Roman" w:hAnsi="Times New Roman"/>
          <w:bCs/>
          <w:color w:val="auto"/>
          <w:sz w:val="24"/>
          <w:szCs w:val="24"/>
          <w:highlight w:val="none"/>
        </w:rPr>
        <w:t>承包人项目经理对合同活动的安全</w:t>
      </w:r>
      <w:r>
        <w:rPr>
          <w:rFonts w:ascii="Times New Roman" w:hAnsi="Times New Roman"/>
          <w:bCs/>
          <w:iCs/>
          <w:color w:val="auto"/>
          <w:sz w:val="24"/>
          <w:szCs w:val="24"/>
          <w:highlight w:val="none"/>
        </w:rPr>
        <w:t>、环境</w:t>
      </w:r>
      <w:r>
        <w:rPr>
          <w:rFonts w:ascii="Times New Roman" w:hAnsi="Times New Roman"/>
          <w:bCs/>
          <w:color w:val="auto"/>
          <w:sz w:val="24"/>
          <w:szCs w:val="24"/>
          <w:highlight w:val="none"/>
        </w:rPr>
        <w:t>工作负有全面的直接领导责任。</w:t>
      </w:r>
    </w:p>
    <w:p>
      <w:pPr>
        <w:numPr>
          <w:ilvl w:val="2"/>
          <w:numId w:val="56"/>
        </w:numPr>
        <w:tabs>
          <w:tab w:val="left" w:pos="1365"/>
          <w:tab w:val="clear" w:pos="1418"/>
        </w:tabs>
        <w:snapToGrid w:val="0"/>
        <w:spacing w:line="360" w:lineRule="auto"/>
        <w:ind w:left="1365" w:hanging="514"/>
        <w:rPr>
          <w:rFonts w:ascii="Times New Roman" w:hAnsi="Times New Roman"/>
          <w:bCs/>
          <w:iCs/>
          <w:color w:val="auto"/>
          <w:sz w:val="24"/>
          <w:szCs w:val="24"/>
          <w:highlight w:val="none"/>
        </w:rPr>
      </w:pPr>
      <w:r>
        <w:rPr>
          <w:rFonts w:ascii="Times New Roman" w:hAnsi="Times New Roman"/>
          <w:bCs/>
          <w:iCs/>
          <w:color w:val="auto"/>
          <w:sz w:val="24"/>
          <w:szCs w:val="24"/>
          <w:highlight w:val="none"/>
        </w:rPr>
        <w:t>承包人应保证本单位安全生产投入的有效实施。</w:t>
      </w:r>
    </w:p>
    <w:p>
      <w:pPr>
        <w:numPr>
          <w:ilvl w:val="2"/>
          <w:numId w:val="56"/>
        </w:numPr>
        <w:tabs>
          <w:tab w:val="left" w:pos="1365"/>
          <w:tab w:val="clear" w:pos="1418"/>
        </w:tabs>
        <w:snapToGrid w:val="0"/>
        <w:spacing w:line="360" w:lineRule="auto"/>
        <w:ind w:left="1365" w:hanging="514"/>
        <w:rPr>
          <w:rFonts w:ascii="Times New Roman" w:hAnsi="Times New Roman"/>
          <w:bCs/>
          <w:iCs/>
          <w:color w:val="auto"/>
          <w:sz w:val="24"/>
          <w:szCs w:val="24"/>
          <w:highlight w:val="none"/>
        </w:rPr>
      </w:pPr>
      <w:r>
        <w:rPr>
          <w:rFonts w:ascii="Times New Roman" w:hAnsi="Times New Roman"/>
          <w:bCs/>
          <w:iCs/>
          <w:color w:val="auto"/>
          <w:sz w:val="24"/>
          <w:szCs w:val="24"/>
          <w:highlight w:val="none"/>
        </w:rPr>
        <w:t>承包人应承诺服从发包人对安全、环境工作的统一协调和管理。</w:t>
      </w:r>
    </w:p>
    <w:p>
      <w:pPr>
        <w:numPr>
          <w:ilvl w:val="2"/>
          <w:numId w:val="56"/>
        </w:numPr>
        <w:tabs>
          <w:tab w:val="left" w:pos="1365"/>
          <w:tab w:val="clear" w:pos="1418"/>
        </w:tabs>
        <w:snapToGrid w:val="0"/>
        <w:spacing w:line="360" w:lineRule="auto"/>
        <w:ind w:left="1365" w:hanging="514"/>
        <w:rPr>
          <w:rFonts w:ascii="Times New Roman" w:hAnsi="Times New Roman"/>
          <w:bCs/>
          <w:iCs/>
          <w:color w:val="auto"/>
          <w:sz w:val="24"/>
          <w:szCs w:val="24"/>
          <w:highlight w:val="none"/>
        </w:rPr>
      </w:pPr>
      <w:r>
        <w:rPr>
          <w:rFonts w:ascii="Times New Roman" w:hAnsi="Times New Roman"/>
          <w:bCs/>
          <w:iCs/>
          <w:color w:val="auto"/>
          <w:sz w:val="24"/>
          <w:szCs w:val="24"/>
          <w:highlight w:val="none"/>
        </w:rPr>
        <w:t>承包人应与分包商、供应商签订安全协议，明确双方安全职责与分工，保证分包商、供应商的资格符合发包人的要求，对施工队伍的安全实施统一管理，对分包商、供应商的安全向发包人负责。</w:t>
      </w:r>
    </w:p>
    <w:p>
      <w:pPr>
        <w:numPr>
          <w:ilvl w:val="2"/>
          <w:numId w:val="56"/>
        </w:numPr>
        <w:tabs>
          <w:tab w:val="left" w:pos="1365"/>
          <w:tab w:val="clear" w:pos="1418"/>
        </w:tabs>
        <w:snapToGrid w:val="0"/>
        <w:spacing w:line="360" w:lineRule="auto"/>
        <w:ind w:left="1365" w:hanging="514"/>
        <w:rPr>
          <w:rFonts w:ascii="Times New Roman" w:hAnsi="Times New Roman"/>
          <w:bCs/>
          <w:iCs/>
          <w:color w:val="auto"/>
          <w:sz w:val="24"/>
          <w:szCs w:val="24"/>
          <w:highlight w:val="none"/>
        </w:rPr>
      </w:pPr>
      <w:r>
        <w:rPr>
          <w:rFonts w:ascii="Times New Roman" w:hAnsi="Times New Roman"/>
          <w:bCs/>
          <w:iCs/>
          <w:color w:val="auto"/>
          <w:sz w:val="24"/>
          <w:szCs w:val="24"/>
          <w:highlight w:val="none"/>
        </w:rPr>
        <w:t>承包人应保证采购、租赁物项的安全性能、环保性能符合国家法律、标准和发包人的要求，对其实施统一的安全管理，并向发包人负责。</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07" w:name="七"/>
      <w:bookmarkEnd w:id="1507"/>
      <w:bookmarkStart w:id="1508" w:name="_Toc213658618"/>
      <w:bookmarkStart w:id="1509" w:name="_Toc213660319"/>
      <w:bookmarkStart w:id="1510" w:name="_Toc41569108"/>
      <w:r>
        <w:rPr>
          <w:rFonts w:ascii="Times New Roman" w:hAnsi="Times New Roman"/>
          <w:b/>
          <w:bCs/>
          <w:color w:val="auto"/>
          <w:sz w:val="24"/>
          <w:szCs w:val="24"/>
          <w:highlight w:val="none"/>
        </w:rPr>
        <w:t>安全协议与接口协调</w:t>
      </w:r>
      <w:bookmarkEnd w:id="1508"/>
      <w:bookmarkEnd w:id="1509"/>
      <w:bookmarkEnd w:id="1510"/>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发包人与承包人可根据实际需要（如现场风险变化或国家新的安全法规要求或合同内容变更等）依据《安全生产法》的规定签订《安全生产管理协议》，该协议作为合同双方安全生产方面的补充规定，具有与合同相同的法律效力。</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承包人应建立“管生产必须管安全”的责任落实和责任链传递机制、“现场施工区域”的安全责任落实及协调机制、承包人引入人员（包括学习人员、参观人员、供应商代表等临时人员）的安全管理和协调机制。</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承包人应指定专人作为安全协调人，与发包人的安全相关部门接口，参与协调管理。</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的安全协调人应具备协调安全工作的能力和权利。发包人有权对协调人的能力和权力做出评价，对于不能胜任的协调人，发包人有权要求承包人换人；合同生效后的5个工作日之内，承包人指定的安全协调人员应与发包人的安全相关部门建立联系。</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在发生同一区域多个单位施工且影响相互间的安全生产时，承包人有义务与有关单位协商，确定协调的责任和方法，必要时可签订相关协议。该协议应征求发包人的意见，并在发包人备案。</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11" w:name="八"/>
      <w:bookmarkEnd w:id="1511"/>
      <w:bookmarkStart w:id="1512" w:name="_Toc213660320"/>
      <w:bookmarkStart w:id="1513" w:name="_Toc213658619"/>
      <w:bookmarkStart w:id="1514" w:name="_Toc41569109"/>
      <w:r>
        <w:rPr>
          <w:rFonts w:ascii="Times New Roman" w:hAnsi="Times New Roman"/>
          <w:b/>
          <w:bCs/>
          <w:color w:val="auto"/>
          <w:sz w:val="24"/>
          <w:szCs w:val="24"/>
          <w:highlight w:val="none"/>
        </w:rPr>
        <w:t>安全监督组织与网络</w:t>
      </w:r>
      <w:bookmarkEnd w:id="1512"/>
      <w:bookmarkEnd w:id="1513"/>
      <w:bookmarkEnd w:id="1514"/>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承包人必须达到《建筑施工企业安全生产管理机构设置及专职安全生产管理人员配备办法》要求，配备足够专职安全生产管理人员。</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承包人配备项目专职安全生产管理人员应当满足下列要求：</w:t>
      </w:r>
    </w:p>
    <w:p>
      <w:pPr>
        <w:numPr>
          <w:ilvl w:val="-1"/>
          <w:numId w:val="0"/>
        </w:numPr>
        <w:tabs>
          <w:tab w:val="left" w:pos="1155"/>
        </w:tabs>
        <w:snapToGrid w:val="0"/>
        <w:spacing w:line="360" w:lineRule="auto"/>
        <w:ind w:left="1260" w:leftChars="600" w:firstLine="0" w:firstLineChars="0"/>
        <w:rPr>
          <w:rFonts w:ascii="Times New Roman" w:hAnsi="Times New Roman"/>
          <w:bCs/>
          <w:color w:val="auto"/>
          <w:sz w:val="24"/>
          <w:szCs w:val="24"/>
          <w:highlight w:val="none"/>
        </w:rPr>
      </w:pPr>
      <w:r>
        <w:rPr>
          <w:rFonts w:ascii="Times New Roman" w:hAnsi="Times New Roman"/>
          <w:bCs/>
          <w:color w:val="auto"/>
          <w:sz w:val="24"/>
          <w:szCs w:val="24"/>
          <w:highlight w:val="none"/>
        </w:rPr>
        <w:t>（一）建筑工程、装修工程按照建筑面积配备：</w:t>
      </w:r>
    </w:p>
    <w:p>
      <w:pPr>
        <w:numPr>
          <w:ilvl w:val="-1"/>
          <w:numId w:val="0"/>
        </w:numPr>
        <w:tabs>
          <w:tab w:val="left" w:pos="1155"/>
        </w:tabs>
        <w:snapToGrid w:val="0"/>
        <w:spacing w:line="360" w:lineRule="auto"/>
        <w:ind w:left="1260" w:leftChars="600" w:firstLine="0" w:firstLineChars="0"/>
        <w:rPr>
          <w:rFonts w:ascii="Times New Roman" w:hAnsi="Times New Roman"/>
          <w:bCs/>
          <w:color w:val="auto"/>
          <w:sz w:val="24"/>
          <w:szCs w:val="24"/>
          <w:highlight w:val="none"/>
        </w:rPr>
      </w:pPr>
      <w:r>
        <w:rPr>
          <w:rFonts w:ascii="Times New Roman" w:hAnsi="Times New Roman"/>
          <w:bCs/>
          <w:color w:val="auto"/>
          <w:sz w:val="24"/>
          <w:szCs w:val="24"/>
          <w:highlight w:val="none"/>
        </w:rPr>
        <w:t>1、1万平方米以下的工程不少于1人；</w:t>
      </w:r>
    </w:p>
    <w:p>
      <w:pPr>
        <w:numPr>
          <w:ilvl w:val="-1"/>
          <w:numId w:val="0"/>
        </w:numPr>
        <w:tabs>
          <w:tab w:val="left" w:pos="1155"/>
        </w:tabs>
        <w:snapToGrid w:val="0"/>
        <w:spacing w:line="360" w:lineRule="auto"/>
        <w:ind w:left="1260" w:leftChars="600" w:firstLine="0" w:firstLineChars="0"/>
        <w:rPr>
          <w:rFonts w:ascii="Times New Roman" w:hAnsi="Times New Roman"/>
          <w:bCs/>
          <w:color w:val="auto"/>
          <w:sz w:val="24"/>
          <w:szCs w:val="24"/>
          <w:highlight w:val="none"/>
        </w:rPr>
      </w:pPr>
      <w:r>
        <w:rPr>
          <w:rFonts w:ascii="Times New Roman" w:hAnsi="Times New Roman"/>
          <w:bCs/>
          <w:color w:val="auto"/>
          <w:sz w:val="24"/>
          <w:szCs w:val="24"/>
          <w:highlight w:val="none"/>
        </w:rPr>
        <w:t>2、1万～5万平方米的工程不少于2人；</w:t>
      </w:r>
    </w:p>
    <w:p>
      <w:pPr>
        <w:numPr>
          <w:ilvl w:val="-1"/>
          <w:numId w:val="0"/>
        </w:numPr>
        <w:tabs>
          <w:tab w:val="left" w:pos="1155"/>
        </w:tabs>
        <w:snapToGrid w:val="0"/>
        <w:spacing w:line="360" w:lineRule="auto"/>
        <w:ind w:left="1260" w:leftChars="600" w:firstLine="0" w:firstLineChars="0"/>
        <w:rPr>
          <w:rFonts w:ascii="Times New Roman" w:hAnsi="Times New Roman"/>
          <w:bCs/>
          <w:color w:val="auto"/>
          <w:sz w:val="24"/>
          <w:szCs w:val="24"/>
          <w:highlight w:val="none"/>
        </w:rPr>
      </w:pPr>
      <w:r>
        <w:rPr>
          <w:rFonts w:ascii="Times New Roman" w:hAnsi="Times New Roman"/>
          <w:bCs/>
          <w:color w:val="auto"/>
          <w:sz w:val="24"/>
          <w:szCs w:val="24"/>
          <w:highlight w:val="none"/>
        </w:rPr>
        <w:t>3、5万平方米及以上的工程不少于3人，且按专业配备专职安全生产管理人员。</w:t>
      </w:r>
    </w:p>
    <w:p>
      <w:pPr>
        <w:numPr>
          <w:ilvl w:val="-1"/>
          <w:numId w:val="0"/>
        </w:numPr>
        <w:tabs>
          <w:tab w:val="left" w:pos="1155"/>
        </w:tabs>
        <w:snapToGrid w:val="0"/>
        <w:spacing w:line="360" w:lineRule="auto"/>
        <w:ind w:left="1260" w:leftChars="600" w:firstLine="0" w:firstLineChars="0"/>
        <w:rPr>
          <w:rFonts w:ascii="Times New Roman" w:hAnsi="Times New Roman"/>
          <w:bCs/>
          <w:color w:val="auto"/>
          <w:sz w:val="24"/>
          <w:szCs w:val="24"/>
          <w:highlight w:val="none"/>
        </w:rPr>
      </w:pPr>
      <w:r>
        <w:rPr>
          <w:rFonts w:ascii="Times New Roman" w:hAnsi="Times New Roman"/>
          <w:bCs/>
          <w:color w:val="auto"/>
          <w:sz w:val="24"/>
          <w:szCs w:val="24"/>
          <w:highlight w:val="none"/>
        </w:rPr>
        <w:t>（二）土木工程、线路管道、设备安装工程按照工程合同价配备：</w:t>
      </w:r>
    </w:p>
    <w:p>
      <w:pPr>
        <w:numPr>
          <w:ilvl w:val="-1"/>
          <w:numId w:val="0"/>
        </w:numPr>
        <w:tabs>
          <w:tab w:val="left" w:pos="1155"/>
        </w:tabs>
        <w:snapToGrid w:val="0"/>
        <w:spacing w:line="360" w:lineRule="auto"/>
        <w:ind w:left="1260" w:leftChars="600" w:firstLine="0" w:firstLineChars="0"/>
        <w:rPr>
          <w:rFonts w:ascii="Times New Roman" w:hAnsi="Times New Roman"/>
          <w:bCs/>
          <w:color w:val="auto"/>
          <w:sz w:val="24"/>
          <w:szCs w:val="24"/>
          <w:highlight w:val="none"/>
        </w:rPr>
      </w:pPr>
      <w:r>
        <w:rPr>
          <w:rFonts w:ascii="Times New Roman" w:hAnsi="Times New Roman"/>
          <w:bCs/>
          <w:color w:val="auto"/>
          <w:sz w:val="24"/>
          <w:szCs w:val="24"/>
          <w:highlight w:val="none"/>
        </w:rPr>
        <w:t>1、5000万元以下的工程不少于1人；</w:t>
      </w:r>
    </w:p>
    <w:p>
      <w:pPr>
        <w:numPr>
          <w:ilvl w:val="-1"/>
          <w:numId w:val="0"/>
        </w:numPr>
        <w:tabs>
          <w:tab w:val="left" w:pos="1155"/>
        </w:tabs>
        <w:snapToGrid w:val="0"/>
        <w:spacing w:line="360" w:lineRule="auto"/>
        <w:ind w:left="1260" w:leftChars="600" w:firstLine="0" w:firstLineChars="0"/>
        <w:rPr>
          <w:rFonts w:ascii="Times New Roman" w:hAnsi="Times New Roman"/>
          <w:bCs/>
          <w:color w:val="auto"/>
          <w:sz w:val="24"/>
          <w:szCs w:val="24"/>
          <w:highlight w:val="none"/>
        </w:rPr>
      </w:pPr>
      <w:r>
        <w:rPr>
          <w:rFonts w:ascii="Times New Roman" w:hAnsi="Times New Roman"/>
          <w:bCs/>
          <w:color w:val="auto"/>
          <w:sz w:val="24"/>
          <w:szCs w:val="24"/>
          <w:highlight w:val="none"/>
        </w:rPr>
        <w:t>2、5000万～1亿元的工程不少于2人；</w:t>
      </w:r>
    </w:p>
    <w:p>
      <w:pPr>
        <w:numPr>
          <w:ilvl w:val="-1"/>
          <w:numId w:val="0"/>
        </w:numPr>
        <w:tabs>
          <w:tab w:val="left" w:pos="1155"/>
        </w:tabs>
        <w:snapToGrid w:val="0"/>
        <w:spacing w:line="360" w:lineRule="auto"/>
        <w:ind w:left="1260" w:leftChars="600" w:firstLine="0" w:firstLineChars="0"/>
        <w:rPr>
          <w:rFonts w:ascii="Times New Roman" w:hAnsi="Times New Roman"/>
          <w:bCs/>
          <w:color w:val="auto"/>
          <w:sz w:val="24"/>
          <w:szCs w:val="24"/>
          <w:highlight w:val="none"/>
        </w:rPr>
      </w:pPr>
      <w:r>
        <w:rPr>
          <w:rFonts w:ascii="Times New Roman" w:hAnsi="Times New Roman"/>
          <w:bCs/>
          <w:color w:val="auto"/>
          <w:sz w:val="24"/>
          <w:szCs w:val="24"/>
          <w:highlight w:val="none"/>
        </w:rPr>
        <w:t>3、1亿元及以上的工程不少于3人，且按专业配备专职安全生产管理人员。</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承包人的分包单位配备项目专职安全生产管理人员应当满足下列要求：</w:t>
      </w:r>
    </w:p>
    <w:p>
      <w:pPr>
        <w:numPr>
          <w:ilvl w:val="-1"/>
          <w:numId w:val="0"/>
        </w:numPr>
        <w:tabs>
          <w:tab w:val="left" w:pos="1155"/>
        </w:tabs>
        <w:snapToGrid w:val="0"/>
        <w:spacing w:line="360" w:lineRule="auto"/>
        <w:ind w:left="1260" w:leftChars="600" w:firstLine="0"/>
        <w:rPr>
          <w:rFonts w:ascii="Times New Roman" w:hAnsi="Times New Roman"/>
          <w:bCs/>
          <w:color w:val="auto"/>
          <w:sz w:val="24"/>
          <w:szCs w:val="24"/>
          <w:highlight w:val="none"/>
        </w:rPr>
      </w:pPr>
      <w:r>
        <w:rPr>
          <w:rFonts w:ascii="Times New Roman" w:hAnsi="Times New Roman"/>
          <w:bCs/>
          <w:color w:val="auto"/>
          <w:sz w:val="24"/>
          <w:szCs w:val="24"/>
          <w:highlight w:val="none"/>
        </w:rPr>
        <w:t>（一）专业承包单位应当配置至少1人，并根据所承担的分部分项工程的工程量和施工危险程度增加。</w:t>
      </w:r>
    </w:p>
    <w:p>
      <w:pPr>
        <w:numPr>
          <w:ilvl w:val="-1"/>
          <w:numId w:val="0"/>
        </w:numPr>
        <w:tabs>
          <w:tab w:val="left" w:pos="1155"/>
        </w:tabs>
        <w:snapToGrid w:val="0"/>
        <w:spacing w:line="360" w:lineRule="auto"/>
        <w:ind w:left="1260" w:leftChars="600" w:firstLine="0"/>
        <w:rPr>
          <w:rFonts w:ascii="Times New Roman" w:hAnsi="Times New Roman"/>
          <w:bCs/>
          <w:color w:val="auto"/>
          <w:sz w:val="24"/>
          <w:szCs w:val="24"/>
          <w:highlight w:val="none"/>
        </w:rPr>
      </w:pPr>
      <w:r>
        <w:rPr>
          <w:rFonts w:ascii="Times New Roman" w:hAnsi="Times New Roman"/>
          <w:bCs/>
          <w:color w:val="auto"/>
          <w:sz w:val="24"/>
          <w:szCs w:val="24"/>
          <w:highlight w:val="none"/>
        </w:rPr>
        <w:t>（二）劳务分包单位施工人员在50人以下的，应当配备1名专职安全生产管理人员；50人</w:t>
      </w:r>
      <w:r>
        <w:rPr>
          <w:rFonts w:hint="eastAsia" w:ascii="Times New Roman" w:hAnsi="Times New Roman"/>
          <w:bCs/>
          <w:color w:val="auto"/>
          <w:sz w:val="24"/>
          <w:szCs w:val="24"/>
          <w:highlight w:val="none"/>
        </w:rPr>
        <w:t>～</w:t>
      </w:r>
      <w:r>
        <w:rPr>
          <w:rFonts w:ascii="Times New Roman" w:hAnsi="Times New Roman"/>
          <w:bCs/>
          <w:color w:val="auto"/>
          <w:sz w:val="24"/>
          <w:szCs w:val="24"/>
          <w:highlight w:val="none"/>
        </w:rPr>
        <w:t>200人的，应当配备2名专职安全生产管理人员；200人及以上的，应当配备3名及以上专职安全生产管理人员，并根据所承担的分部分项工程施工危险实际情况增加，不得少于工程施工人员总人数的5‰。</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承包人专职安全管理人员必须持安全C证，安全负责人工作年限必须3年以上，持注册安全工程师资格证。</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如不能达到安全管理要求的岗位能力，发包人有权要求更换安全管理人员，承包</w:t>
      </w:r>
      <w:r>
        <w:rPr>
          <w:rFonts w:hint="eastAsia" w:ascii="Times New Roman" w:hAnsi="Times New Roman"/>
          <w:bCs/>
          <w:color w:val="auto"/>
          <w:sz w:val="24"/>
          <w:szCs w:val="24"/>
          <w:highlight w:val="none"/>
        </w:rPr>
        <w:t>人</w:t>
      </w:r>
      <w:r>
        <w:rPr>
          <w:rFonts w:ascii="Times New Roman" w:hAnsi="Times New Roman"/>
          <w:bCs/>
          <w:color w:val="auto"/>
          <w:sz w:val="24"/>
          <w:szCs w:val="24"/>
          <w:highlight w:val="none"/>
        </w:rPr>
        <w:t>必须无条件执行。</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建立安全管理监督网络，建立诸如安全委员会或其他形式的安全协调机构，并至少每季度组织一次全体会议，必要时组织专项会议。承包人工程安质环委员会对主要管理者关键的HSE职责履行情况进行检查，检查结果和改进措施输入安全委</w:t>
      </w:r>
      <w:r>
        <w:rPr>
          <w:rFonts w:hint="eastAsia" w:ascii="Times New Roman" w:hAnsi="Times New Roman"/>
          <w:bCs/>
          <w:color w:val="auto"/>
          <w:sz w:val="24"/>
          <w:szCs w:val="24"/>
          <w:highlight w:val="none"/>
        </w:rPr>
        <w:t>员</w:t>
      </w:r>
      <w:r>
        <w:rPr>
          <w:rFonts w:ascii="Times New Roman" w:hAnsi="Times New Roman"/>
          <w:bCs/>
          <w:color w:val="auto"/>
          <w:sz w:val="24"/>
          <w:szCs w:val="24"/>
          <w:highlight w:val="none"/>
        </w:rPr>
        <w:t>会会议纪要。</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承包人应建立生产会议上的安全议题制度。</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承包人应参加发包人组织的现场工程安全委员会，积极参与工程安全管理。</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承包人应建立领导HSE 管理带班巡视制度，明确高、中层管理人员HSE 管理巡视的具体方式、频次、参与人员等。承包人项目经理部成员应每周进行现场管理巡视。</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承包人项目经理部每季度发布项目季度良好表现简报，在项目部会议室、员工食堂、施工现场主要出入口、宣传栏等醒目场所张贴，对良好表现的表扬进行推广。</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当发包人生产主管部门和安全部门的人员要求立即中止违章作业时，承包人员工应无条件立即执行；发包人有权根据现场的安全风险情况进行区域性停工或全场停工，在接到停工令后，承包人应立即停止规定范围内的施工活动，组织安全整改，停工造成的影响和损失由承包人负责承担。</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承包人应健全安全监督机制，现场如有施工，安全员必须到场监督，管理人员上班时间与工人上班时间要同步，杜绝</w:t>
      </w:r>
      <w:r>
        <w:rPr>
          <w:rFonts w:hint="eastAsia" w:ascii="Times New Roman" w:hAnsi="Times New Roman"/>
          <w:bCs/>
          <w:color w:val="auto"/>
          <w:sz w:val="24"/>
          <w:szCs w:val="24"/>
          <w:highlight w:val="none"/>
        </w:rPr>
        <w:t>现场</w:t>
      </w:r>
      <w:r>
        <w:rPr>
          <w:rFonts w:ascii="Times New Roman" w:hAnsi="Times New Roman"/>
          <w:bCs/>
          <w:color w:val="auto"/>
          <w:sz w:val="24"/>
          <w:szCs w:val="24"/>
          <w:highlight w:val="none"/>
        </w:rPr>
        <w:t>出现管理真空。</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15" w:name="九"/>
      <w:bookmarkEnd w:id="1515"/>
      <w:bookmarkStart w:id="1516" w:name="_Toc213658620"/>
      <w:bookmarkStart w:id="1517" w:name="_Toc41569110"/>
      <w:bookmarkStart w:id="1518" w:name="_Toc213660321"/>
      <w:r>
        <w:rPr>
          <w:rFonts w:ascii="Times New Roman" w:hAnsi="Times New Roman"/>
          <w:b/>
          <w:bCs/>
          <w:color w:val="auto"/>
          <w:sz w:val="24"/>
          <w:szCs w:val="24"/>
          <w:highlight w:val="none"/>
        </w:rPr>
        <w:t>人员基本素质</w:t>
      </w:r>
      <w:bookmarkEnd w:id="1516"/>
      <w:bookmarkEnd w:id="1517"/>
      <w:bookmarkEnd w:id="1518"/>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 xml:space="preserve">承包人须保证施工人员（包括临时劳务人员、分包人员、劳务人员）的基本素质满足以下要求，并在申请入场证件时以书面形式予以承诺： </w:t>
      </w:r>
    </w:p>
    <w:p>
      <w:pPr>
        <w:numPr>
          <w:ilvl w:val="2"/>
          <w:numId w:val="57"/>
        </w:numPr>
        <w:snapToGrid w:val="0"/>
        <w:spacing w:line="360" w:lineRule="auto"/>
        <w:ind w:left="1365" w:hanging="5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承包人应在入场前对施工人员进行医学健康检查，且至少每年度进行一次医学健康检查，原则上要求由县级以上医院出具体检报告。特殊工种和特殊岗位人员应按照国家相关规定进行特殊职业能力体检。</w:t>
      </w:r>
    </w:p>
    <w:p>
      <w:pPr>
        <w:numPr>
          <w:ilvl w:val="2"/>
          <w:numId w:val="57"/>
        </w:numPr>
        <w:snapToGrid w:val="0"/>
        <w:spacing w:line="360" w:lineRule="auto"/>
        <w:ind w:left="1365" w:hanging="514"/>
        <w:rPr>
          <w:rFonts w:ascii="Times New Roman" w:hAnsi="Times New Roman"/>
          <w:bCs/>
          <w:color w:val="auto"/>
          <w:sz w:val="24"/>
          <w:szCs w:val="24"/>
          <w:highlight w:val="none"/>
        </w:rPr>
      </w:pPr>
      <w:r>
        <w:rPr>
          <w:rFonts w:ascii="Times New Roman" w:hAnsi="Times New Roman"/>
          <w:bCs/>
          <w:color w:val="auto"/>
          <w:sz w:val="24"/>
          <w:szCs w:val="24"/>
          <w:highlight w:val="none"/>
        </w:rPr>
        <w:t>保证入场人员身体健康，无影响工作的残疾、禁忌症，无传染病和其他影响正常工作的严重疾病，无刑事案件牵连。</w:t>
      </w:r>
    </w:p>
    <w:p>
      <w:pPr>
        <w:numPr>
          <w:ilvl w:val="2"/>
          <w:numId w:val="57"/>
        </w:numPr>
        <w:snapToGrid w:val="0"/>
        <w:spacing w:line="360" w:lineRule="auto"/>
        <w:ind w:left="1365" w:hanging="514"/>
        <w:rPr>
          <w:rFonts w:ascii="Times New Roman" w:hAnsi="Times New Roman"/>
          <w:bCs/>
          <w:color w:val="auto"/>
          <w:sz w:val="24"/>
          <w:szCs w:val="24"/>
          <w:highlight w:val="none"/>
        </w:rPr>
      </w:pPr>
      <w:r>
        <w:rPr>
          <w:rFonts w:ascii="Times New Roman" w:hAnsi="Times New Roman"/>
          <w:bCs/>
          <w:color w:val="auto"/>
          <w:sz w:val="24"/>
          <w:szCs w:val="24"/>
          <w:highlight w:val="none"/>
        </w:rPr>
        <w:t>工作经验、经历及身体素质应能与所从事的工种相适应。</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承包人的主要负责人、项目负责人、专职安全生产管理人员和特种从业人员应当</w:t>
      </w:r>
      <w:r>
        <w:rPr>
          <w:rFonts w:hint="eastAsia" w:ascii="Times New Roman" w:hAnsi="Times New Roman"/>
          <w:bCs/>
          <w:color w:val="auto"/>
          <w:sz w:val="24"/>
          <w:szCs w:val="24"/>
          <w:highlight w:val="none"/>
        </w:rPr>
        <w:t>在</w:t>
      </w:r>
      <w:r>
        <w:rPr>
          <w:rFonts w:ascii="Times New Roman" w:hAnsi="Times New Roman"/>
          <w:bCs/>
          <w:color w:val="auto"/>
          <w:sz w:val="24"/>
          <w:szCs w:val="24"/>
          <w:highlight w:val="none"/>
        </w:rPr>
        <w:t>国家及地方行政主管部门或者其他有关部门考核合格后方可任职。</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发包人及其上级单位（业主、政府部门等）有权对承包人人员的基本素质情况进行检查，对不能满足要求的人员有权清退出场，由此产生的经济和法律后果由承包人承担</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19" w:name="十"/>
      <w:bookmarkEnd w:id="1519"/>
      <w:bookmarkStart w:id="1520" w:name="_Toc213658621"/>
      <w:bookmarkStart w:id="1521" w:name="_Toc213660322"/>
      <w:bookmarkStart w:id="1522" w:name="_Toc41569111"/>
      <w:r>
        <w:rPr>
          <w:rFonts w:ascii="Times New Roman" w:hAnsi="Times New Roman"/>
          <w:b/>
          <w:bCs/>
          <w:color w:val="auto"/>
          <w:sz w:val="24"/>
          <w:szCs w:val="24"/>
          <w:highlight w:val="none"/>
        </w:rPr>
        <w:t>安全培训与授权</w:t>
      </w:r>
      <w:bookmarkEnd w:id="1520"/>
      <w:bookmarkEnd w:id="1521"/>
      <w:bookmarkEnd w:id="1522"/>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承包人应建立健全安全培训和考核制度，</w:t>
      </w:r>
      <w:r>
        <w:rPr>
          <w:rFonts w:ascii="Times New Roman" w:hAnsi="Times New Roman"/>
          <w:color w:val="auto"/>
          <w:sz w:val="24"/>
          <w:szCs w:val="24"/>
          <w:highlight w:val="none"/>
        </w:rPr>
        <w:t>对项目主要负责人、安全生产管理人员、特种作业人员和其他从业人员进行安全培训，使其熟悉有关安全生产规章制度和安全操作规程，具备必要的安全生产知识，掌握本岗位的安全操作技能，增强预防事故、控制职业危害和应急处理的能力。承包人所有入场人员必须接受入场三级教育和定期安全复训，未经安全生产培训合格的从业人员，不得上岗作业。</w:t>
      </w:r>
    </w:p>
    <w:p>
      <w:pPr>
        <w:numPr>
          <w:ilvl w:val="1"/>
          <w:numId w:val="56"/>
        </w:numPr>
        <w:tabs>
          <w:tab w:val="left" w:pos="1155"/>
        </w:tabs>
        <w:snapToGrid w:val="0"/>
        <w:spacing w:line="360" w:lineRule="auto"/>
        <w:ind w:left="1134" w:hanging="714"/>
        <w:rPr>
          <w:rFonts w:ascii="Times New Roman" w:hAnsi="Times New Roman"/>
          <w:color w:val="auto"/>
          <w:sz w:val="24"/>
          <w:szCs w:val="24"/>
          <w:highlight w:val="none"/>
        </w:rPr>
      </w:pPr>
      <w:r>
        <w:rPr>
          <w:rFonts w:ascii="Times New Roman" w:hAnsi="Times New Roman"/>
          <w:color w:val="auto"/>
          <w:sz w:val="24"/>
          <w:szCs w:val="24"/>
          <w:highlight w:val="none"/>
        </w:rPr>
        <w:t>承包人应根据工程进展和需要编制培训教材和培训滚动计划，并报发包人备案。承包人应根据培训安排组织考试，并为每一位入场人员建立安全培训档案。</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承包人应建设有专门的培训教室，并且培训教室配备有良好的培训设施，包括桌椅、投影仪、电脑、音响、空调等。同时根据施工规模和员工数量配备情况对培训设施必要的增加、更新。</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承包人引入的学习人员、参观人员、供应商代表等负有同样的安全培训的责任，包括入场安全培训和现场作业过程安全监督。</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必要时，发包人有权对承包人进行专项安全培训和考核，承包人应予组织、配合。</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在开工前向发包人安全部门提供特殊工种人员的清单、统计资料和证书复印件，在发包人安全部门备案。承包人开工后，应定期对本单位三类人员（项目主要负责人、安全管理人员和特种从业人员）资质进行统计和核实，确保其资质满足要求，并报发包人备案。</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承包人在发包人安全部门备案的岗位包括但不限于以下内容：项目经理、专职安全管理人员、消防负责人等，</w:t>
      </w:r>
      <w:bookmarkStart w:id="1523" w:name="OLE_LINK8"/>
      <w:bookmarkStart w:id="1524" w:name="OLE_LINK7"/>
      <w:r>
        <w:rPr>
          <w:rFonts w:ascii="Times New Roman" w:hAnsi="Times New Roman"/>
          <w:bCs/>
          <w:color w:val="auto"/>
          <w:sz w:val="24"/>
          <w:szCs w:val="24"/>
          <w:highlight w:val="none"/>
        </w:rPr>
        <w:t>每个岗位都必须有人负责</w:t>
      </w:r>
      <w:bookmarkEnd w:id="1523"/>
      <w:bookmarkEnd w:id="1524"/>
      <w:r>
        <w:rPr>
          <w:rFonts w:ascii="Times New Roman" w:hAnsi="Times New Roman"/>
          <w:bCs/>
          <w:color w:val="auto"/>
          <w:sz w:val="24"/>
          <w:szCs w:val="24"/>
          <w:highlight w:val="none"/>
        </w:rPr>
        <w:t>，如有变动及时通知发包人。</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承包人的项目经理、施工经理、安全负责人和主要管理人员应认真学习合同中的安全管理部分的条款及发包人的培训要求。</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25" w:name="十一"/>
      <w:bookmarkEnd w:id="1525"/>
      <w:bookmarkStart w:id="1526" w:name="_Toc41569112"/>
      <w:bookmarkStart w:id="1527" w:name="_Toc213658622"/>
      <w:bookmarkStart w:id="1528" w:name="_Toc213660323"/>
      <w:r>
        <w:rPr>
          <w:rFonts w:ascii="Times New Roman" w:hAnsi="Times New Roman"/>
          <w:b/>
          <w:bCs/>
          <w:color w:val="auto"/>
          <w:sz w:val="24"/>
          <w:szCs w:val="24"/>
          <w:highlight w:val="none"/>
        </w:rPr>
        <w:t>入场控制</w:t>
      </w:r>
      <w:bookmarkEnd w:id="1526"/>
      <w:bookmarkEnd w:id="1527"/>
      <w:bookmarkEnd w:id="1528"/>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入场前安全检查的基本内容包括：安全责任制建设、安全投入、危害识别和风险分析、施工机械的安全状况、安全工器具和材料、安全培训教材和教员、专职安全人员的到岗情况、培训的有效性、人员控制、个人劳动保护用品的发放、防灾物资配备情况等内容。一般情况下，承包人入场前必须满足（但不限于）以下各条件：</w:t>
      </w:r>
    </w:p>
    <w:p>
      <w:pPr>
        <w:numPr>
          <w:ilvl w:val="2"/>
          <w:numId w:val="58"/>
        </w:numPr>
        <w:snapToGrid w:val="0"/>
        <w:spacing w:line="360" w:lineRule="auto"/>
        <w:ind w:left="1365" w:hanging="514"/>
        <w:rPr>
          <w:rFonts w:ascii="Times New Roman" w:hAnsi="Times New Roman"/>
          <w:bCs/>
          <w:color w:val="auto"/>
          <w:sz w:val="24"/>
          <w:szCs w:val="24"/>
          <w:highlight w:val="none"/>
        </w:rPr>
      </w:pPr>
      <w:r>
        <w:rPr>
          <w:rFonts w:ascii="Times New Roman" w:hAnsi="Times New Roman"/>
          <w:bCs/>
          <w:color w:val="auto"/>
          <w:sz w:val="24"/>
          <w:szCs w:val="24"/>
          <w:highlight w:val="none"/>
        </w:rPr>
        <w:t>已建立安全责任制且主要部门的责任人已到岗，已建立安全责任考核的制度，包括奖惩制度。</w:t>
      </w:r>
    </w:p>
    <w:p>
      <w:pPr>
        <w:numPr>
          <w:ilvl w:val="2"/>
          <w:numId w:val="58"/>
        </w:numPr>
        <w:snapToGrid w:val="0"/>
        <w:spacing w:line="360" w:lineRule="auto"/>
        <w:ind w:left="1365" w:hanging="514"/>
        <w:rPr>
          <w:rFonts w:ascii="Times New Roman" w:hAnsi="Times New Roman"/>
          <w:bCs/>
          <w:color w:val="auto"/>
          <w:sz w:val="24"/>
          <w:szCs w:val="24"/>
          <w:highlight w:val="none"/>
        </w:rPr>
      </w:pPr>
      <w:r>
        <w:rPr>
          <w:rFonts w:ascii="Times New Roman" w:hAnsi="Times New Roman"/>
          <w:bCs/>
          <w:color w:val="auto"/>
          <w:sz w:val="24"/>
          <w:szCs w:val="24"/>
          <w:highlight w:val="none"/>
        </w:rPr>
        <w:t>安全专职机构已经成立，建立了现场安全组织，确定了安全协调员，人员数量和资格满足合同要求，并向发包人安全部门递交安全专职人员名单。</w:t>
      </w:r>
    </w:p>
    <w:p>
      <w:pPr>
        <w:numPr>
          <w:ilvl w:val="2"/>
          <w:numId w:val="58"/>
        </w:numPr>
        <w:snapToGrid w:val="0"/>
        <w:spacing w:line="360" w:lineRule="auto"/>
        <w:ind w:left="1365" w:hanging="5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向发包人安全部门提供书面材料，说明分包商及使用临时劳务工的情况（至少根据前三个月的施工计划）。这些情况应包括活动的内容、人数、与分包商合作的历史、劳务工来源、劳务单位资质等。承包人在办理入场证件时应保证已经为上述职工购买了工伤保险及建筑工程团体人身意外伤害保险或者相应保障的雇主责任保险。</w:t>
      </w:r>
    </w:p>
    <w:p>
      <w:pPr>
        <w:numPr>
          <w:ilvl w:val="2"/>
          <w:numId w:val="58"/>
        </w:numPr>
        <w:snapToGrid w:val="0"/>
        <w:spacing w:line="360" w:lineRule="auto"/>
        <w:ind w:left="1365" w:hanging="514"/>
        <w:rPr>
          <w:rFonts w:ascii="Times New Roman" w:hAnsi="Times New Roman"/>
          <w:bCs/>
          <w:color w:val="auto"/>
          <w:sz w:val="24"/>
          <w:szCs w:val="24"/>
          <w:highlight w:val="none"/>
        </w:rPr>
      </w:pPr>
      <w:r>
        <w:rPr>
          <w:rFonts w:ascii="Times New Roman" w:hAnsi="Times New Roman"/>
          <w:bCs/>
          <w:color w:val="auto"/>
          <w:sz w:val="24"/>
          <w:szCs w:val="24"/>
          <w:highlight w:val="none"/>
        </w:rPr>
        <w:t>已按“安全投入项目清单”制定了安全预算和采购计划（至少包括前三个月活动的需要）。</w:t>
      </w:r>
    </w:p>
    <w:p>
      <w:pPr>
        <w:numPr>
          <w:ilvl w:val="2"/>
          <w:numId w:val="58"/>
        </w:numPr>
        <w:snapToGrid w:val="0"/>
        <w:spacing w:line="360" w:lineRule="auto"/>
        <w:ind w:left="1365" w:hanging="514"/>
        <w:rPr>
          <w:rFonts w:ascii="Times New Roman" w:hAnsi="Times New Roman"/>
          <w:bCs/>
          <w:color w:val="auto"/>
          <w:sz w:val="24"/>
          <w:szCs w:val="24"/>
          <w:highlight w:val="none"/>
        </w:rPr>
      </w:pPr>
      <w:r>
        <w:rPr>
          <w:rFonts w:ascii="Times New Roman" w:hAnsi="Times New Roman"/>
          <w:bCs/>
          <w:color w:val="auto"/>
          <w:sz w:val="24"/>
          <w:szCs w:val="24"/>
          <w:highlight w:val="none"/>
        </w:rPr>
        <w:t>已完成危险、危害、环境因素识别和风险分析报告（至少包括入场后前三个月与施工计划相应的风险和工业危害分析）及应对措施。</w:t>
      </w:r>
    </w:p>
    <w:p>
      <w:pPr>
        <w:numPr>
          <w:ilvl w:val="2"/>
          <w:numId w:val="58"/>
        </w:numPr>
        <w:snapToGrid w:val="0"/>
        <w:spacing w:line="360" w:lineRule="auto"/>
        <w:ind w:left="1365" w:hanging="514"/>
        <w:rPr>
          <w:rFonts w:ascii="Times New Roman" w:hAnsi="Times New Roman"/>
          <w:bCs/>
          <w:color w:val="auto"/>
          <w:sz w:val="24"/>
          <w:szCs w:val="24"/>
          <w:highlight w:val="none"/>
        </w:rPr>
      </w:pPr>
      <w:r>
        <w:rPr>
          <w:rFonts w:ascii="Times New Roman" w:hAnsi="Times New Roman"/>
          <w:bCs/>
          <w:color w:val="auto"/>
          <w:sz w:val="24"/>
          <w:szCs w:val="24"/>
          <w:highlight w:val="none"/>
        </w:rPr>
        <w:t>已完成施工机械、作业材料、安全工器具准备情况的报告和证明资料，应提供各类安全专用器材、仪表的清单（品种和数量，至少包括入场后前三个月的活动的需要）。</w:t>
      </w:r>
    </w:p>
    <w:p>
      <w:pPr>
        <w:numPr>
          <w:ilvl w:val="2"/>
          <w:numId w:val="58"/>
        </w:numPr>
        <w:snapToGrid w:val="0"/>
        <w:spacing w:line="360" w:lineRule="auto"/>
        <w:ind w:left="1365" w:hanging="514"/>
        <w:rPr>
          <w:rFonts w:ascii="Times New Roman" w:hAnsi="Times New Roman"/>
          <w:bCs/>
          <w:color w:val="auto"/>
          <w:sz w:val="24"/>
          <w:szCs w:val="24"/>
          <w:highlight w:val="none"/>
        </w:rPr>
      </w:pPr>
      <w:r>
        <w:rPr>
          <w:rFonts w:ascii="Times New Roman" w:hAnsi="Times New Roman"/>
          <w:bCs/>
          <w:color w:val="auto"/>
          <w:sz w:val="24"/>
          <w:szCs w:val="24"/>
          <w:highlight w:val="none"/>
        </w:rPr>
        <w:t>已完成首批人员培训（至少包括前一个月进场的员工）、个人劳动保护用品的发放。</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采购、租赁的安全防护用具、机械设备、施工机具及配件，应当具有生产(制造)许可证、产品合格证，并在场外进行预先验收，对不合格产品一律做清退处理。对于现场检查中发现的不合格产品，发包人对承包人入场验收放行人员保留责任追究权利。</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施工现场的安全防护用具、机械设备、施工机具及配件必须由专人管理，承包人应指定专门部门按照国家法规及技术标准要求定期进行检查、维修和保养，建立相应的资料档案，并按照国家有关规定及时报废。</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29" w:name="十三"/>
      <w:bookmarkEnd w:id="1529"/>
      <w:bookmarkStart w:id="1530" w:name="十二"/>
      <w:bookmarkEnd w:id="1530"/>
      <w:bookmarkStart w:id="1531" w:name="_Toc213658624"/>
      <w:bookmarkStart w:id="1532" w:name="_Toc213660325"/>
      <w:bookmarkStart w:id="1533" w:name="_Toc41569113"/>
      <w:r>
        <w:rPr>
          <w:rFonts w:ascii="Times New Roman" w:hAnsi="Times New Roman"/>
          <w:b/>
          <w:bCs/>
          <w:color w:val="auto"/>
          <w:sz w:val="24"/>
          <w:szCs w:val="24"/>
          <w:highlight w:val="none"/>
        </w:rPr>
        <w:t>安全投入</w:t>
      </w:r>
      <w:bookmarkEnd w:id="1531"/>
      <w:bookmarkEnd w:id="1532"/>
      <w:bookmarkEnd w:id="1533"/>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承包人应留存安全费用工程量清单累计完成情况及相关安全费用凭证。</w:t>
      </w:r>
      <w:r>
        <w:rPr>
          <w:rFonts w:ascii="Times New Roman" w:hAnsi="Times New Roman"/>
          <w:color w:val="auto"/>
          <w:sz w:val="24"/>
          <w:szCs w:val="24"/>
          <w:highlight w:val="none"/>
        </w:rPr>
        <w:t>发包人有权对承包人安全费用的使用情况进行检查验证，承包人若不能提供相关安全费用凭证，则发包人视为承包人未产生相关安全费用，有权</w:t>
      </w:r>
      <w:r>
        <w:rPr>
          <w:rFonts w:hint="eastAsia" w:ascii="Times New Roman" w:hAnsi="Times New Roman"/>
          <w:color w:val="auto"/>
          <w:sz w:val="24"/>
          <w:szCs w:val="24"/>
          <w:highlight w:val="none"/>
        </w:rPr>
        <w:t>从</w:t>
      </w:r>
      <w:r>
        <w:rPr>
          <w:rFonts w:ascii="Times New Roman" w:hAnsi="Times New Roman"/>
          <w:bCs/>
          <w:color w:val="auto"/>
          <w:sz w:val="24"/>
          <w:szCs w:val="24"/>
          <w:highlight w:val="none"/>
        </w:rPr>
        <w:t>承包人合同款中扣除等金额费用</w:t>
      </w:r>
      <w:r>
        <w:rPr>
          <w:rFonts w:ascii="Times New Roman" w:hAnsi="Times New Roman"/>
          <w:color w:val="auto"/>
          <w:sz w:val="24"/>
          <w:szCs w:val="24"/>
          <w:highlight w:val="none"/>
        </w:rPr>
        <w:t>。</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承包人应建立安全费用专用账户，保证施工合同安全费用资金专款专用。</w:t>
      </w:r>
      <w:r>
        <w:rPr>
          <w:rFonts w:ascii="Times New Roman" w:hAnsi="Times New Roman"/>
          <w:color w:val="auto"/>
          <w:sz w:val="24"/>
          <w:szCs w:val="24"/>
          <w:highlight w:val="none"/>
        </w:rPr>
        <w:t>承包人应建立安措费支取、安全设施采购和使用数据库，并向发包人无条件公开，</w:t>
      </w:r>
      <w:r>
        <w:rPr>
          <w:rFonts w:ascii="Times New Roman" w:hAnsi="Times New Roman"/>
          <w:bCs/>
          <w:color w:val="auto"/>
          <w:sz w:val="24"/>
          <w:szCs w:val="24"/>
          <w:highlight w:val="none"/>
        </w:rPr>
        <w:t>发包人有权不定期核查。</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如承包人未建立安措费支取、安全设施采购和使用数据库，或虽建立但未向发包人无条件公开，或发包人在核查承包人的安措费使用情况发现重大问题而承包人未按时整改的，则发包人有权扣除承包人剩余安全措施费用相应金额的合同款。</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承包人安全费用（包括安全生产、文明施工和环境保护费用）的费率不得低于国家或地方政府相关部门规定的最低标准，发包人将安全费用列入工程造价，在竞标时，不得删减，列入标外管理。</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承包人不得克扣其分供商或分包商的安全投入，并且要监督其分供商或分包商安全投入使用情况。</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承包人应监督检查其劳保用品发放情况，严禁承包人从劳务工工资中扣除劳保费用。</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34" w:name="十五"/>
      <w:bookmarkEnd w:id="1534"/>
      <w:bookmarkStart w:id="1535" w:name="_Toc213660327"/>
      <w:bookmarkStart w:id="1536" w:name="_Toc213658626"/>
      <w:bookmarkStart w:id="1537" w:name="_Toc41569114"/>
      <w:r>
        <w:rPr>
          <w:rFonts w:ascii="Times New Roman" w:hAnsi="Times New Roman"/>
          <w:b/>
          <w:bCs/>
          <w:color w:val="auto"/>
          <w:sz w:val="24"/>
          <w:szCs w:val="24"/>
          <w:highlight w:val="none"/>
        </w:rPr>
        <w:t>分包商及劳务用工安全</w:t>
      </w:r>
      <w:bookmarkEnd w:id="1535"/>
      <w:bookmarkEnd w:id="1536"/>
      <w:bookmarkEnd w:id="1537"/>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承包人应根据合同约定建立合格分包</w:t>
      </w:r>
      <w:r>
        <w:rPr>
          <w:rFonts w:hint="eastAsia" w:ascii="Times New Roman" w:hAnsi="Times New Roman"/>
          <w:bCs/>
          <w:color w:val="auto"/>
          <w:sz w:val="24"/>
          <w:szCs w:val="24"/>
          <w:highlight w:val="none"/>
        </w:rPr>
        <w:t>商</w:t>
      </w:r>
      <w:r>
        <w:rPr>
          <w:rFonts w:ascii="Times New Roman" w:hAnsi="Times New Roman"/>
          <w:bCs/>
          <w:color w:val="auto"/>
          <w:sz w:val="24"/>
          <w:szCs w:val="24"/>
          <w:highlight w:val="none"/>
        </w:rPr>
        <w:t>名录（清单），建立分包商资格审查程序，审核验证分包商资质，并报发包人审核备案。</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承包人按照合同规定与分包</w:t>
      </w:r>
      <w:r>
        <w:rPr>
          <w:rFonts w:hint="eastAsia" w:ascii="Times New Roman" w:hAnsi="Times New Roman"/>
          <w:bCs/>
          <w:color w:val="auto"/>
          <w:sz w:val="24"/>
          <w:szCs w:val="24"/>
          <w:highlight w:val="none"/>
        </w:rPr>
        <w:t>商</w:t>
      </w:r>
      <w:r>
        <w:rPr>
          <w:rFonts w:ascii="Times New Roman" w:hAnsi="Times New Roman"/>
          <w:bCs/>
          <w:color w:val="auto"/>
          <w:sz w:val="24"/>
          <w:szCs w:val="24"/>
          <w:highlight w:val="none"/>
        </w:rPr>
        <w:t>签订分包合同，分包合同包含安全协议，并对分包</w:t>
      </w:r>
      <w:r>
        <w:rPr>
          <w:rFonts w:hint="eastAsia" w:ascii="Times New Roman" w:hAnsi="Times New Roman"/>
          <w:bCs/>
          <w:color w:val="auto"/>
          <w:sz w:val="24"/>
          <w:szCs w:val="24"/>
          <w:highlight w:val="none"/>
        </w:rPr>
        <w:t>商</w:t>
      </w:r>
      <w:r>
        <w:rPr>
          <w:rFonts w:ascii="Times New Roman" w:hAnsi="Times New Roman"/>
          <w:bCs/>
          <w:color w:val="auto"/>
          <w:sz w:val="24"/>
          <w:szCs w:val="24"/>
          <w:highlight w:val="none"/>
        </w:rPr>
        <w:t>进行安全监管，并执行发包人安全规定。</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以任何用工形式使用的长期劳务用工和短期、临时劳务用工、参观人员都属于承包人本单位员工。承包人应对其分包商及劳务用工或学徒、技校生实行直接的安全管理，承包人对分包商、劳务用工、本单位临时人员的安全管理负有全部责任。</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38" w:name="十六"/>
      <w:bookmarkEnd w:id="1538"/>
      <w:bookmarkStart w:id="1539" w:name="_Toc213660328"/>
      <w:bookmarkStart w:id="1540" w:name="_Toc41569115"/>
      <w:bookmarkStart w:id="1541" w:name="_Toc213658627"/>
      <w:r>
        <w:rPr>
          <w:rFonts w:ascii="Times New Roman" w:hAnsi="Times New Roman"/>
          <w:b/>
          <w:bCs/>
          <w:color w:val="auto"/>
          <w:sz w:val="24"/>
          <w:szCs w:val="24"/>
          <w:highlight w:val="none"/>
        </w:rPr>
        <w:t>职业健康与卫生防疫</w:t>
      </w:r>
      <w:bookmarkEnd w:id="1539"/>
      <w:bookmarkEnd w:id="1540"/>
      <w:bookmarkEnd w:id="1541"/>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根据国家有关法律法规及标准和发包人要求建立职业健康管理制度，识别涉职业危害重点岗位和人员，并为其建立职业健康监护档案。同时实施施工作业环境影响监测制度，对作业区域粉尘、噪声、有毒有害物质以及温湿度等影响从业人员职业健康因素进行定期监测。</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涉及高温作业、低温作业执行国家标准。</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承包人应保证卫生防疫基本设施的投入，以满足医疗、急救的要求，建立外部医疗支持渠道。</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建立卫生防疫措施计划，做好生活区和施工区的卫生防疫工作；制定和执行保证饮水卫生、饮食卫生、环境卫生和预防集体食物中毒的措施；有灭蚊、灭鼠和消毒的专项工作计划和措施；有针对性地制订预防各类传染疾病的措施。</w:t>
      </w:r>
      <w:bookmarkStart w:id="1542" w:name="十七"/>
      <w:bookmarkEnd w:id="1542"/>
    </w:p>
    <w:p>
      <w:pPr>
        <w:numPr>
          <w:ilvl w:val="0"/>
          <w:numId w:val="56"/>
        </w:numPr>
        <w:snapToGrid w:val="0"/>
        <w:spacing w:line="360" w:lineRule="auto"/>
        <w:outlineLvl w:val="2"/>
        <w:rPr>
          <w:rFonts w:ascii="Times New Roman" w:hAnsi="Times New Roman"/>
          <w:b/>
          <w:bCs/>
          <w:color w:val="auto"/>
          <w:sz w:val="24"/>
          <w:szCs w:val="24"/>
          <w:highlight w:val="none"/>
        </w:rPr>
      </w:pPr>
      <w:bookmarkStart w:id="1543" w:name="一、"/>
      <w:bookmarkEnd w:id="1543"/>
      <w:bookmarkStart w:id="1544" w:name="二十"/>
      <w:bookmarkEnd w:id="1544"/>
      <w:bookmarkStart w:id="1545" w:name="_Toc41569116"/>
      <w:r>
        <w:rPr>
          <w:rFonts w:ascii="Times New Roman" w:hAnsi="Times New Roman"/>
          <w:b/>
          <w:bCs/>
          <w:color w:val="auto"/>
          <w:sz w:val="24"/>
          <w:szCs w:val="24"/>
          <w:highlight w:val="none"/>
        </w:rPr>
        <w:t>安全风险管理</w:t>
      </w:r>
      <w:bookmarkEnd w:id="1545"/>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承包人应对合同活动进行全面、深入的危险源辨识和风险分析，应向发包人危险源辨识台账。</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承包人应结合本单位的施工计划，识别编制阶段性危大工程清单并报发包人备案。</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承包人应建立施工方案安全技术措施交底机制，施工作业开始前进行安全技术交底，制定针对的风险控制措施。</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承包人应积极发明或推广能够提高作业工艺安全性能的新技术、新工艺、新材料。</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46" w:name="二、"/>
      <w:bookmarkEnd w:id="1546"/>
      <w:bookmarkStart w:id="1547" w:name="_Toc41569117"/>
      <w:r>
        <w:rPr>
          <w:rFonts w:ascii="Times New Roman" w:hAnsi="Times New Roman"/>
          <w:b/>
          <w:bCs/>
          <w:color w:val="auto"/>
          <w:sz w:val="24"/>
          <w:szCs w:val="24"/>
          <w:highlight w:val="none"/>
        </w:rPr>
        <w:t>现场作业基本安全条件</w:t>
      </w:r>
      <w:bookmarkEnd w:id="1547"/>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根据发包人要求规定现场作业的基本安全条件，包括照明条件、通风条件、作业平台和通道条件、物料堆放条件、供电供水条件、吸烟点、休息点等，并对临边现场、水边现场、立体交叉作业现场、地面坑洞和沟道、夜间作业现场等的基本安全条件做出特别规定。</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对于特种作业现场的安全条件，如脚手架、吊篮、密闭场所、基坑等，除一般规定外，承包人应对作业基本安全条件予以明确。</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对内部通道及作业区域的照明进行设计和规划。当任意一个部位形成室内作业且照明不足时（特别是地下室），承包人应及时设置施工照明和应急照明，保证任何区域均有足够的照明满足施工作业需求。现场室内应急照明应根据施工进展同步安装完成。</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48" w:name="三、"/>
      <w:bookmarkEnd w:id="1548"/>
      <w:bookmarkStart w:id="1549" w:name="_Toc41569118"/>
      <w:r>
        <w:rPr>
          <w:rFonts w:ascii="Times New Roman" w:hAnsi="Times New Roman"/>
          <w:b/>
          <w:bCs/>
          <w:color w:val="auto"/>
          <w:sz w:val="24"/>
          <w:szCs w:val="24"/>
          <w:highlight w:val="none"/>
        </w:rPr>
        <w:t>劳动保护</w:t>
      </w:r>
      <w:bookmarkEnd w:id="1549"/>
    </w:p>
    <w:p>
      <w:pPr>
        <w:numPr>
          <w:ilvl w:val="1"/>
          <w:numId w:val="56"/>
        </w:numPr>
        <w:tabs>
          <w:tab w:val="left" w:pos="1155"/>
          <w:tab w:val="left" w:pos="1560"/>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承包人为高处作业人员配备的安全带必须为带缓冲包的五点式双钩安全带。</w:t>
      </w:r>
    </w:p>
    <w:p>
      <w:pPr>
        <w:numPr>
          <w:ilvl w:val="1"/>
          <w:numId w:val="56"/>
        </w:numPr>
        <w:tabs>
          <w:tab w:val="left" w:pos="1155"/>
          <w:tab w:val="left" w:pos="1560"/>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承包人按国家标准所规定的劳保用品配备标准为员工配备个人防护用品，并制定管理规定，对个人防护用品进行管理。</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承包人在制定施工方案时，考虑在合适的地方采用设计、工程和管理控制来取代个人防护用品的方案。</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特殊作业环境中作业必须结合安全风险特点佩戴对应特殊劳动防护用品，如带电作业必须穿戴绝缘手套和绝缘鞋。</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特种作业人员应采取一定的措施，在安全帽或工作服标识上与其他工种进行区分。</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50" w:name="四、"/>
      <w:bookmarkEnd w:id="1550"/>
      <w:bookmarkStart w:id="1551" w:name="_Toc41569119"/>
      <w:r>
        <w:rPr>
          <w:rFonts w:ascii="Times New Roman" w:hAnsi="Times New Roman"/>
          <w:b/>
          <w:bCs/>
          <w:color w:val="auto"/>
          <w:sz w:val="24"/>
          <w:szCs w:val="24"/>
          <w:highlight w:val="none"/>
        </w:rPr>
        <w:t>施工机械、施工作业材料和施工机具安全</w:t>
      </w:r>
      <w:bookmarkEnd w:id="1551"/>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对于承包人带入现场的设备、工具、材料，如起重设备、索具、机动车辆、压缩气瓶等，承包人必须按国家法规和标准进行检测、试验，并持有法定部门出具的检验证书。</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承包人要建立施工机械的定期检查保养制度，并有记录。承包人对使用的施工机械、机具（包括租赁的施工机械/机具）的安全承担直接责任。</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承包人应建立施工机械安全的管理程序，对维护、维修、检测、报废以及档案、记录等各个环节作出规定。</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52" w:name="五、"/>
      <w:bookmarkEnd w:id="1552"/>
      <w:bookmarkStart w:id="1553" w:name="_Toc41569120"/>
      <w:bookmarkStart w:id="1554" w:name="_Toc213658628"/>
      <w:bookmarkStart w:id="1555" w:name="_Toc213660329"/>
      <w:bookmarkStart w:id="1556" w:name="_Toc213660333"/>
      <w:bookmarkStart w:id="1557" w:name="_Toc213658632"/>
      <w:r>
        <w:rPr>
          <w:rFonts w:ascii="Times New Roman" w:hAnsi="Times New Roman"/>
          <w:b/>
          <w:bCs/>
          <w:color w:val="auto"/>
          <w:sz w:val="24"/>
          <w:szCs w:val="24"/>
          <w:highlight w:val="none"/>
        </w:rPr>
        <w:t>消防安全</w:t>
      </w:r>
      <w:bookmarkEnd w:id="1553"/>
      <w:bookmarkEnd w:id="1554"/>
      <w:bookmarkEnd w:id="1555"/>
    </w:p>
    <w:p>
      <w:pPr>
        <w:numPr>
          <w:ilvl w:val="1"/>
          <w:numId w:val="56"/>
        </w:numPr>
        <w:tabs>
          <w:tab w:val="left" w:pos="1155"/>
          <w:tab w:val="left" w:pos="1560"/>
          <w:tab w:val="clear" w:pos="1512"/>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承包人应根据发包人提供的设计资料并结合施工现场实际进行临时消防系统设计，消防系统设计应符合《建设工程施工现场消防安全技术规范》（GB50720）的技术要求。</w:t>
      </w:r>
    </w:p>
    <w:p>
      <w:pPr>
        <w:numPr>
          <w:ilvl w:val="1"/>
          <w:numId w:val="56"/>
        </w:numPr>
        <w:tabs>
          <w:tab w:val="left" w:pos="1155"/>
          <w:tab w:val="left" w:pos="1560"/>
          <w:tab w:val="clear" w:pos="1512"/>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承包人应根据临时消防系统设计方案进行临时消防系统施工和维护，确保临时消防系统可用。</w:t>
      </w:r>
    </w:p>
    <w:p>
      <w:pPr>
        <w:numPr>
          <w:ilvl w:val="1"/>
          <w:numId w:val="56"/>
        </w:numPr>
        <w:tabs>
          <w:tab w:val="left" w:pos="1155"/>
          <w:tab w:val="left" w:pos="1560"/>
          <w:tab w:val="clear" w:pos="1512"/>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承包人在施工过程中阻断/更改临时消防管路，对临时消防系统的可用性产生影响时，需提前征得</w:t>
      </w:r>
      <w:r>
        <w:rPr>
          <w:rFonts w:hint="eastAsia" w:ascii="Times New Roman" w:hAnsi="Times New Roman"/>
          <w:bCs/>
          <w:color w:val="auto"/>
          <w:sz w:val="24"/>
          <w:szCs w:val="24"/>
          <w:highlight w:val="none"/>
        </w:rPr>
        <w:t>发包人</w:t>
      </w:r>
      <w:r>
        <w:rPr>
          <w:rFonts w:ascii="Times New Roman" w:hAnsi="Times New Roman"/>
          <w:bCs/>
          <w:color w:val="auto"/>
          <w:sz w:val="24"/>
          <w:szCs w:val="24"/>
          <w:highlight w:val="none"/>
        </w:rPr>
        <w:t>项目部有关部门的同意。</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承包人应落实责任范围内给排水的管理措施和技术措施，保证消防用水。</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承包人应参照发包人程序建立施工动火控制制度，动火作业须办理动火证，并根据《建筑工程消防安全技术规范》为动火作业点配置专职监护人。</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发包人对“流动吸烟”实行“清退出场”处理措施，承包人应建立吸烟点并负责定期清扫，保持清洁卫生，禁止在非指定的吸烟点吸烟。禁止在现场焚烧各类物品及垃圾等。</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58" w:name="_Toc41569121"/>
      <w:r>
        <w:rPr>
          <w:rFonts w:ascii="Times New Roman" w:hAnsi="Times New Roman"/>
          <w:b/>
          <w:bCs/>
          <w:color w:val="auto"/>
          <w:sz w:val="24"/>
          <w:szCs w:val="24"/>
          <w:highlight w:val="none"/>
        </w:rPr>
        <w:t>电气安全</w:t>
      </w:r>
      <w:bookmarkEnd w:id="1558"/>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按《施工现场临时用电安全技术规范》（JGJ46）、《用电安全导则》（GBT13869），编制《临时用电施工组织设计》，对用电设备容量、电缆走向、电缆敷设、电器安全设施参数、用电管理等进行规定；现场实际情况变更时，《临时用电施工组织设计》应予提前升版和报审。</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配电系统应设置配电柜或总配电箱（即一级配电箱）、分配电箱、开关箱，实行三级配电。总配电箱、开关箱必须装设漏电保护。</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施工现场临时用电工程必须采用三级配电系统、TN-S接零保护系统和二级漏电保护系统。临时用电采用TN-S 系统，符合“三级配电、两级保护”，达到“一机、一闸、一漏”的要求。</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施工现场</w:t>
      </w:r>
      <w:r>
        <w:rPr>
          <w:rFonts w:ascii="Times New Roman" w:hAnsi="Times New Roman"/>
          <w:color w:val="auto"/>
          <w:sz w:val="24"/>
          <w:szCs w:val="24"/>
          <w:highlight w:val="none"/>
        </w:rPr>
        <w:t>地埋电缆禁止直埋，必须加套管或保护层</w:t>
      </w:r>
      <w:r>
        <w:rPr>
          <w:rFonts w:ascii="Times New Roman" w:hAnsi="Times New Roman"/>
          <w:bCs/>
          <w:color w:val="auto"/>
          <w:sz w:val="24"/>
          <w:szCs w:val="24"/>
          <w:highlight w:val="none"/>
        </w:rPr>
        <w:t>。室内</w:t>
      </w:r>
      <w:r>
        <w:rPr>
          <w:rFonts w:ascii="Times New Roman" w:hAnsi="Times New Roman"/>
          <w:color w:val="auto"/>
          <w:sz w:val="24"/>
          <w:highlight w:val="none"/>
        </w:rPr>
        <w:t>电缆敷设应根据施工环境特点安装高度应能够避免机械损伤和其他损伤，采用绝缘挂钩悬挂走线，不得直接挂在金属构架、脚手架等其他支架上。当</w:t>
      </w:r>
      <w:r>
        <w:rPr>
          <w:rFonts w:ascii="Times New Roman" w:hAnsi="Times New Roman"/>
          <w:color w:val="auto"/>
          <w:sz w:val="24"/>
          <w:szCs w:val="24"/>
          <w:highlight w:val="none"/>
        </w:rPr>
        <w:t>电缆敷设穿越楼板、墙壁和空洞时应采取绝缘管或护套进行保护。</w:t>
      </w:r>
      <w:r>
        <w:rPr>
          <w:rFonts w:ascii="Times New Roman" w:hAnsi="Times New Roman"/>
          <w:bCs/>
          <w:color w:val="auto"/>
          <w:sz w:val="24"/>
          <w:szCs w:val="24"/>
          <w:highlight w:val="none"/>
        </w:rPr>
        <w:t>当采用地面走线时，电缆布置应根据施工用电配电系统及用电需求布置配电线路槽盒，通道处须设置过桥保护。</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结合施工现场临时施工用电施工组织设计建立匹配的接地网络，接地网络按建筑层逐层布置，综合考虑配电系统、用电设备就近连接。不得采用铝导体做接地体或地下接地线。垂直接地体宜采用角钢、钢管或光面圆钢，不得采用螺纹钢。</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移动工具、手持工具等用电设备应有各自的电源开关，必须实行“一机一闸”制，严禁2台或2台以上用电设备(含插座)使用同一开关。</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在水下或潮湿环境中使用电气设备或电动工具，作业前应由电工对其绝缘进行测试，带电零件与壳体之间，基本绝缘不得小于2MΩ，加强绝缘不得小于7MΩ。</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承包人须配备足够的电工（持证）对所有电气设备进行日常维护，保存好维护记录。</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现场带电设备必须张贴安全用电警示牌。</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配电箱张贴设备标牌、维护责任人信息牌、警示标牌。</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59" w:name="十八"/>
      <w:bookmarkEnd w:id="1559"/>
      <w:bookmarkStart w:id="1560" w:name="_Toc41569122"/>
      <w:bookmarkStart w:id="1561" w:name="_Toc213660330"/>
      <w:bookmarkStart w:id="1562" w:name="_Toc213658629"/>
      <w:r>
        <w:rPr>
          <w:rFonts w:ascii="Times New Roman" w:hAnsi="Times New Roman"/>
          <w:b/>
          <w:bCs/>
          <w:color w:val="auto"/>
          <w:sz w:val="24"/>
          <w:szCs w:val="24"/>
          <w:highlight w:val="none"/>
        </w:rPr>
        <w:t>临时照明、应急照明</w:t>
      </w:r>
      <w:bookmarkEnd w:id="1560"/>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承包人应制定临时照明系统总体设计方案，并根据施工进展进行实施更新，满足现场施工照度要求。</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施工区域作业面最低照度满足施工工艺所需照度，应大于50Lx。</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灯具外壳应采用密封保护罩，不得采用无防护措施的简易照明灯具。照明灯具宜采用环保节能的LED。照明器具和器材的质量应符合国家现行有关强制性标准的规定，不得使用绝缘老化或破损的器具和器材，照明灯具均应设置保护罩。</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地下室、楼梯间等采光不足的地方需设置采用蓄电池为备用电源的应急照明设置，其连续供电能力不小于30 分钟。应急照明的高度不低于2m，间距需满足能见度要求。</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承包人工作人员在易燃易爆场所必须使用防爆手电等照明灯具。</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63" w:name="_Toc41569123"/>
      <w:r>
        <w:rPr>
          <w:rFonts w:ascii="Times New Roman" w:hAnsi="Times New Roman"/>
          <w:b/>
          <w:bCs/>
          <w:color w:val="auto"/>
          <w:sz w:val="24"/>
          <w:szCs w:val="24"/>
          <w:highlight w:val="none"/>
        </w:rPr>
        <w:t>环境保护</w:t>
      </w:r>
      <w:bookmarkEnd w:id="1561"/>
      <w:bookmarkEnd w:id="1562"/>
      <w:bookmarkEnd w:id="1563"/>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承包人应根据实际需要，在施工现场布置满足发包人要求的临时卫生设施（洗手间、卫生间等），并安排专门人员、设备等资源维护现场卫生设施，保证卫生设施清洁、整洁、无异味。</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承包人施工中应及时对裸露的地基、边坡、开挖出来的沙、土以及砂、石、水泥等建筑材料予以保护，防止风刮扬尘，雨水冲刷，流入市政道路等。</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64" w:name="_Toc213658630"/>
      <w:bookmarkStart w:id="1565" w:name="_Toc213660331"/>
      <w:bookmarkStart w:id="1566" w:name="_Toc41569124"/>
      <w:r>
        <w:rPr>
          <w:rFonts w:ascii="Times New Roman" w:hAnsi="Times New Roman"/>
          <w:b/>
          <w:bCs/>
          <w:color w:val="auto"/>
          <w:sz w:val="24"/>
          <w:szCs w:val="24"/>
          <w:highlight w:val="none"/>
        </w:rPr>
        <w:t>施工临建安全</w:t>
      </w:r>
      <w:bookmarkEnd w:id="1564"/>
      <w:bookmarkEnd w:id="1565"/>
      <w:bookmarkEnd w:id="1566"/>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承包人根据发包人现场总体规划制定生产临建规划方案，临建规划布置应满足有关法律法规及标准要求。</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在工地内的临建设施，必须满足国家法规和地方政府的安全规定。临时施工建筑的建设标准应不低于地方规范。应满足消防、安全用电、卫生防疫、防抗台风、雷雨、暴雨、大风等方面的安全要求，尤其严格消防管理，禁止封锁逃生通道。禁止使用工作场所、仓库、生活场所“三合一”的设施。</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67" w:name="_Toc41569125"/>
      <w:r>
        <w:rPr>
          <w:rFonts w:ascii="Times New Roman" w:hAnsi="Times New Roman"/>
          <w:b/>
          <w:bCs/>
          <w:color w:val="auto"/>
          <w:sz w:val="24"/>
          <w:szCs w:val="24"/>
          <w:highlight w:val="none"/>
        </w:rPr>
        <w:t>安全文明施工标准化建设</w:t>
      </w:r>
      <w:bookmarkEnd w:id="1567"/>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承包人应落实《广东粤海置地集团有限公司安全文明施工标准化图册》要求，规范作业安全防护、施工区域、临建办公区定置化标准。图册中</w:t>
      </w:r>
      <w:r>
        <w:rPr>
          <w:rFonts w:ascii="Times New Roman" w:hAnsi="Times New Roman"/>
          <w:color w:val="auto"/>
          <w:sz w:val="24"/>
          <w:szCs w:val="21"/>
          <w:highlight w:val="none"/>
        </w:rPr>
        <w:t>各项标准为工程安全文明施工基本要求，各单位安全文明施工标准应不低于此图册相关要求。</w:t>
      </w:r>
    </w:p>
    <w:bookmarkEnd w:id="1556"/>
    <w:bookmarkEnd w:id="1557"/>
    <w:p>
      <w:pPr>
        <w:numPr>
          <w:ilvl w:val="0"/>
          <w:numId w:val="56"/>
        </w:numPr>
        <w:snapToGrid w:val="0"/>
        <w:spacing w:line="360" w:lineRule="auto"/>
        <w:outlineLvl w:val="2"/>
        <w:rPr>
          <w:rFonts w:ascii="Times New Roman" w:hAnsi="Times New Roman"/>
          <w:b/>
          <w:bCs/>
          <w:color w:val="auto"/>
          <w:sz w:val="24"/>
          <w:szCs w:val="24"/>
          <w:highlight w:val="none"/>
        </w:rPr>
      </w:pPr>
      <w:bookmarkStart w:id="1568" w:name="二十一"/>
      <w:bookmarkEnd w:id="1568"/>
      <w:bookmarkStart w:id="1569" w:name="_Toc213658634"/>
      <w:bookmarkStart w:id="1570" w:name="_Toc213660335"/>
      <w:bookmarkStart w:id="1571" w:name="_Toc41569126"/>
      <w:r>
        <w:rPr>
          <w:rFonts w:ascii="Times New Roman" w:hAnsi="Times New Roman"/>
          <w:b/>
          <w:bCs/>
          <w:color w:val="auto"/>
          <w:sz w:val="24"/>
          <w:szCs w:val="24"/>
          <w:highlight w:val="none"/>
        </w:rPr>
        <w:t>事故报告与应急救援</w:t>
      </w:r>
      <w:bookmarkEnd w:id="1569"/>
      <w:bookmarkEnd w:id="1570"/>
      <w:bookmarkEnd w:id="1571"/>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承包人应根据发包人及当地应急资源的具体情况，建立相应的应急响应组织，建立统一的应急渠道，以便能迅速处理突发意外。</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承包人应参照发包人的标准，建立生产安全事件报告准则；应建立事故快速报告制度，不得迟报、谎报、漏报和瞒报。</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承包人应建立事故应急救援机制，明确事故处置的基本原则，即现场发生事故时，首先抢救生命，向救援组织报警，并采取措施限制事故扩大。</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建立专项应急响应预案，包括重大人身伤亡事故的应急预案、消防应急预案、“自然灾害”预案（如防台风、防暴雨、防暑等）。承包人应对应急预案进行适当演练，保证应急预案的可操作性。针对施工临建设施、现场固定施工机械和施工围挡等受强台风或超强台风影响的设施及物项，应充分考虑季节性气候特点做好相关防范工作。因承包人考虑不周或防护不足等造成的损失，由承包人自行承担。</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承包人应保证准备好为实行应急响应预案所需的设施、设备、器材、用品，并维护其可用。</w:t>
      </w:r>
    </w:p>
    <w:p>
      <w:pPr>
        <w:numPr>
          <w:ilvl w:val="0"/>
          <w:numId w:val="56"/>
        </w:numPr>
        <w:snapToGrid w:val="0"/>
        <w:spacing w:line="360" w:lineRule="auto"/>
        <w:outlineLvl w:val="2"/>
        <w:rPr>
          <w:rFonts w:ascii="Times New Roman" w:hAnsi="Times New Roman"/>
          <w:b/>
          <w:bCs/>
          <w:color w:val="auto"/>
          <w:sz w:val="24"/>
          <w:szCs w:val="24"/>
          <w:highlight w:val="none"/>
        </w:rPr>
      </w:pPr>
      <w:bookmarkStart w:id="1572" w:name="_Toc41569127"/>
      <w:r>
        <w:rPr>
          <w:rFonts w:ascii="Times New Roman" w:hAnsi="Times New Roman"/>
          <w:b/>
          <w:bCs/>
          <w:color w:val="auto"/>
          <w:sz w:val="24"/>
          <w:szCs w:val="24"/>
          <w:highlight w:val="none"/>
        </w:rPr>
        <w:t>安全生产考核</w:t>
      </w:r>
      <w:bookmarkEnd w:id="1572"/>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发包人对承包人定期进行安全生产考核，承包人应无条件配合。</w:t>
      </w:r>
    </w:p>
    <w:p>
      <w:pPr>
        <w:numPr>
          <w:ilvl w:val="1"/>
          <w:numId w:val="56"/>
        </w:numPr>
        <w:tabs>
          <w:tab w:val="left" w:pos="1155"/>
        </w:tabs>
        <w:snapToGrid w:val="0"/>
        <w:spacing w:line="360" w:lineRule="auto"/>
        <w:ind w:left="1134" w:hanging="714"/>
        <w:rPr>
          <w:rFonts w:ascii="Times New Roman" w:hAnsi="Times New Roman"/>
          <w:bCs/>
          <w:color w:val="auto"/>
          <w:sz w:val="24"/>
          <w:szCs w:val="24"/>
          <w:highlight w:val="none"/>
        </w:rPr>
      </w:pPr>
      <w:r>
        <w:rPr>
          <w:rFonts w:ascii="Times New Roman" w:hAnsi="Times New Roman"/>
          <w:bCs/>
          <w:color w:val="auto"/>
          <w:sz w:val="24"/>
          <w:szCs w:val="24"/>
          <w:highlight w:val="none"/>
        </w:rPr>
        <w:t>安全生产考核在发包人所属项目中排名末尾的，发包人视情况有权要求更换项目负责人、技术负责人、工程经理、安全负责人、安全员等，并约谈承包人企业负责人、公司总部分管工程、安全的负责人，必要时要求承包人公司分管工程、安全的负责人驻点督办。</w:t>
      </w:r>
    </w:p>
    <w:p>
      <w:pPr>
        <w:numPr>
          <w:ilvl w:val="0"/>
          <w:numId w:val="56"/>
        </w:numPr>
        <w:snapToGrid w:val="0"/>
        <w:spacing w:line="360" w:lineRule="auto"/>
        <w:ind w:firstLine="0"/>
        <w:outlineLvl w:val="2"/>
        <w:rPr>
          <w:rFonts w:ascii="Times New Roman" w:hAnsi="Times New Roman"/>
          <w:bCs/>
          <w:color w:val="auto"/>
          <w:sz w:val="24"/>
          <w:szCs w:val="24"/>
          <w:highlight w:val="none"/>
        </w:rPr>
      </w:pPr>
      <w:bookmarkStart w:id="1573" w:name="十四"/>
      <w:bookmarkEnd w:id="1573"/>
      <w:bookmarkStart w:id="1574" w:name="二十二"/>
      <w:bookmarkEnd w:id="1574"/>
      <w:bookmarkStart w:id="1575" w:name="_Toc41569128"/>
      <w:r>
        <w:rPr>
          <w:rFonts w:ascii="Times New Roman" w:hAnsi="Times New Roman"/>
          <w:b/>
          <w:bCs/>
          <w:color w:val="auto"/>
          <w:sz w:val="24"/>
          <w:szCs w:val="24"/>
          <w:highlight w:val="none"/>
        </w:rPr>
        <w:t>违约</w:t>
      </w:r>
      <w:bookmarkEnd w:id="1575"/>
    </w:p>
    <w:p>
      <w:pPr>
        <w:tabs>
          <w:tab w:val="left" w:pos="1512"/>
        </w:tabs>
        <w:snapToGrid w:val="0"/>
        <w:spacing w:line="360" w:lineRule="auto"/>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26.1安全生产事故违约考核</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对于承包人的以下严重违约行为，发包人将直接扣除相应金额的合同款作为违约金。（以每次或起计算）：</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ascii="Times New Roman" w:hAnsi="Times New Roman"/>
          <w:color w:val="auto"/>
          <w:sz w:val="24"/>
          <w:szCs w:val="24"/>
          <w:highlight w:val="none"/>
        </w:rPr>
        <w:tab/>
      </w:r>
      <w:r>
        <w:rPr>
          <w:rFonts w:ascii="Times New Roman" w:hAnsi="Times New Roman"/>
          <w:color w:val="auto"/>
          <w:sz w:val="24"/>
          <w:szCs w:val="24"/>
          <w:highlight w:val="none"/>
        </w:rPr>
        <w:t xml:space="preserve">承包人发生死亡事故（50~100万元/起）； </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ascii="Times New Roman" w:hAnsi="Times New Roman"/>
          <w:color w:val="auto"/>
          <w:sz w:val="24"/>
          <w:szCs w:val="24"/>
          <w:highlight w:val="none"/>
        </w:rPr>
        <w:tab/>
      </w:r>
      <w:r>
        <w:rPr>
          <w:rFonts w:ascii="Times New Roman" w:hAnsi="Times New Roman"/>
          <w:color w:val="auto"/>
          <w:sz w:val="24"/>
          <w:szCs w:val="24"/>
          <w:highlight w:val="none"/>
        </w:rPr>
        <w:t>承包人发生重伤事故（10~50万元/起）；</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w:t>
      </w:r>
      <w:r>
        <w:rPr>
          <w:rFonts w:ascii="Times New Roman" w:hAnsi="Times New Roman"/>
          <w:color w:val="auto"/>
          <w:sz w:val="24"/>
          <w:szCs w:val="24"/>
          <w:highlight w:val="none"/>
        </w:rPr>
        <w:tab/>
      </w:r>
      <w:r>
        <w:rPr>
          <w:rFonts w:ascii="Times New Roman" w:hAnsi="Times New Roman"/>
          <w:color w:val="auto"/>
          <w:sz w:val="24"/>
          <w:szCs w:val="24"/>
          <w:highlight w:val="none"/>
        </w:rPr>
        <w:t>承包人导致环境污染受到政府处罚（10万~50万元/起）；</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w:t>
      </w:r>
      <w:r>
        <w:rPr>
          <w:rFonts w:ascii="Times New Roman" w:hAnsi="Times New Roman"/>
          <w:color w:val="auto"/>
          <w:sz w:val="24"/>
          <w:szCs w:val="24"/>
          <w:highlight w:val="none"/>
        </w:rPr>
        <w:tab/>
      </w:r>
      <w:r>
        <w:rPr>
          <w:rFonts w:ascii="Times New Roman" w:hAnsi="Times New Roman"/>
          <w:color w:val="auto"/>
          <w:sz w:val="24"/>
          <w:szCs w:val="24"/>
          <w:highlight w:val="none"/>
        </w:rPr>
        <w:t>承包人挪用合同安全措施费的，直接扣除挪用金2倍金额的合同款。</w:t>
      </w:r>
    </w:p>
    <w:p>
      <w:pPr>
        <w:tabs>
          <w:tab w:val="left" w:pos="1512"/>
        </w:tabs>
        <w:snapToGrid w:val="0"/>
        <w:spacing w:line="360" w:lineRule="auto"/>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26.2安全管理违约考核</w:t>
      </w:r>
    </w:p>
    <w:p>
      <w:pPr>
        <w:tabs>
          <w:tab w:val="left" w:pos="1512"/>
        </w:tabs>
        <w:snapToGrid w:val="0"/>
        <w:spacing w:line="360" w:lineRule="auto"/>
        <w:ind w:firstLine="480" w:firstLineChars="200"/>
        <w:rPr>
          <w:rFonts w:ascii="Times New Roman" w:hAnsi="Times New Roman"/>
          <w:bCs/>
          <w:color w:val="auto"/>
          <w:sz w:val="24"/>
          <w:szCs w:val="24"/>
          <w:highlight w:val="none"/>
        </w:rPr>
      </w:pPr>
      <w:r>
        <w:rPr>
          <w:rFonts w:ascii="Times New Roman" w:hAnsi="Times New Roman"/>
          <w:bCs/>
          <w:color w:val="auto"/>
          <w:sz w:val="24"/>
          <w:szCs w:val="24"/>
          <w:highlight w:val="none"/>
        </w:rPr>
        <w:t>发包人对承包人管理人员及工人严重违章行为实行“一棒出局”零容忍机制，对高处作业不挂安全带、无证从事特殊工作作业、无作业许可进行作业、违章指挥或强令他人冒险作业等行为，一经查处，清退出施工现场，承包人必须无条件执行。</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对于承包人的违约行为，发包人有权在合同款中直接予以扣除相应的违约金。</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w:t>
      </w:r>
      <w:r>
        <w:rPr>
          <w:rFonts w:ascii="Times New Roman" w:hAnsi="Times New Roman"/>
          <w:color w:val="auto"/>
          <w:sz w:val="24"/>
          <w:szCs w:val="24"/>
          <w:highlight w:val="none"/>
        </w:rPr>
        <w:tab/>
      </w:r>
      <w:r>
        <w:rPr>
          <w:rFonts w:ascii="Times New Roman" w:hAnsi="Times New Roman"/>
          <w:color w:val="auto"/>
          <w:sz w:val="24"/>
          <w:szCs w:val="24"/>
          <w:highlight w:val="none"/>
        </w:rPr>
        <w:t>发生安全事件隐瞒不报或谎报（5万~10万元）；</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w:t>
      </w:r>
      <w:r>
        <w:rPr>
          <w:rFonts w:ascii="Times New Roman" w:hAnsi="Times New Roman"/>
          <w:color w:val="auto"/>
          <w:sz w:val="24"/>
          <w:szCs w:val="24"/>
          <w:highlight w:val="none"/>
        </w:rPr>
        <w:tab/>
      </w:r>
      <w:r>
        <w:rPr>
          <w:rFonts w:ascii="Times New Roman" w:hAnsi="Times New Roman"/>
          <w:color w:val="auto"/>
          <w:sz w:val="24"/>
          <w:szCs w:val="24"/>
          <w:highlight w:val="none"/>
        </w:rPr>
        <w:t>设备、设施、机具不符合国家标准要求进入现场（1万~2万元）；</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w:t>
      </w:r>
      <w:r>
        <w:rPr>
          <w:rFonts w:ascii="Times New Roman" w:hAnsi="Times New Roman"/>
          <w:color w:val="auto"/>
          <w:sz w:val="24"/>
          <w:szCs w:val="24"/>
          <w:highlight w:val="none"/>
        </w:rPr>
        <w:tab/>
      </w:r>
      <w:r>
        <w:rPr>
          <w:rFonts w:ascii="Times New Roman" w:hAnsi="Times New Roman"/>
          <w:color w:val="auto"/>
          <w:sz w:val="24"/>
          <w:szCs w:val="24"/>
          <w:highlight w:val="none"/>
        </w:rPr>
        <w:t>未办理作业许可进行作业（2万~3万元）；</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w:t>
      </w:r>
      <w:r>
        <w:rPr>
          <w:rFonts w:ascii="Times New Roman" w:hAnsi="Times New Roman"/>
          <w:color w:val="auto"/>
          <w:sz w:val="24"/>
          <w:szCs w:val="24"/>
          <w:highlight w:val="none"/>
        </w:rPr>
        <w:tab/>
      </w:r>
      <w:r>
        <w:rPr>
          <w:rFonts w:ascii="Times New Roman" w:hAnsi="Times New Roman"/>
          <w:color w:val="auto"/>
          <w:sz w:val="24"/>
          <w:szCs w:val="24"/>
          <w:highlight w:val="none"/>
        </w:rPr>
        <w:t>未进行作业前安全交底、违章指挥、强令冒险作业（2万~3万元）；</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rPr>
        <w:tab/>
      </w:r>
      <w:r>
        <w:rPr>
          <w:rFonts w:ascii="Times New Roman" w:hAnsi="Times New Roman"/>
          <w:color w:val="auto"/>
          <w:sz w:val="24"/>
          <w:szCs w:val="24"/>
          <w:highlight w:val="none"/>
        </w:rPr>
        <w:t>无方案施工（包括未审批）、不按程序/方案施工，擅自改变既定的安全措施，降低防护水平或条件（2万~3万元）；</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w:t>
      </w:r>
      <w:r>
        <w:rPr>
          <w:rFonts w:ascii="Times New Roman" w:hAnsi="Times New Roman"/>
          <w:color w:val="auto"/>
          <w:sz w:val="24"/>
          <w:szCs w:val="24"/>
          <w:highlight w:val="none"/>
        </w:rPr>
        <w:tab/>
      </w:r>
      <w:r>
        <w:rPr>
          <w:rFonts w:ascii="Times New Roman" w:hAnsi="Times New Roman"/>
          <w:color w:val="auto"/>
          <w:sz w:val="24"/>
          <w:szCs w:val="24"/>
          <w:highlight w:val="none"/>
        </w:rPr>
        <w:t>形成即刻事故风险的违章行为，拒绝及时整改（1万~2万元）；</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w:t>
      </w:r>
      <w:r>
        <w:rPr>
          <w:rFonts w:ascii="Times New Roman" w:hAnsi="Times New Roman"/>
          <w:color w:val="auto"/>
          <w:sz w:val="24"/>
          <w:szCs w:val="24"/>
          <w:highlight w:val="none"/>
        </w:rPr>
        <w:tab/>
      </w:r>
      <w:r>
        <w:rPr>
          <w:rFonts w:ascii="Times New Roman" w:hAnsi="Times New Roman"/>
          <w:color w:val="auto"/>
          <w:sz w:val="24"/>
          <w:szCs w:val="24"/>
          <w:highlight w:val="none"/>
        </w:rPr>
        <w:t>重大安全缺陷未整改继续施工（1万~2万元）；</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（8）</w:t>
      </w:r>
      <w:r>
        <w:rPr>
          <w:rFonts w:ascii="Times New Roman" w:hAnsi="Times New Roman"/>
          <w:color w:val="auto"/>
          <w:sz w:val="24"/>
          <w:szCs w:val="24"/>
          <w:highlight w:val="none"/>
        </w:rPr>
        <w:tab/>
      </w:r>
      <w:r>
        <w:rPr>
          <w:rFonts w:ascii="Times New Roman" w:hAnsi="Times New Roman"/>
          <w:color w:val="auto"/>
          <w:sz w:val="24"/>
          <w:szCs w:val="24"/>
          <w:highlight w:val="none"/>
        </w:rPr>
        <w:t>承包人管理人员对重大违章、集体违章、即刻风险不及时制止或拒绝整改（1万~2万元）；</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（9）</w:t>
      </w:r>
      <w:r>
        <w:rPr>
          <w:rFonts w:ascii="Times New Roman" w:hAnsi="Times New Roman"/>
          <w:color w:val="auto"/>
          <w:sz w:val="24"/>
          <w:szCs w:val="24"/>
          <w:highlight w:val="none"/>
        </w:rPr>
        <w:tab/>
      </w:r>
      <w:r>
        <w:rPr>
          <w:rFonts w:ascii="Times New Roman" w:hAnsi="Times New Roman"/>
          <w:color w:val="auto"/>
          <w:sz w:val="24"/>
          <w:szCs w:val="24"/>
          <w:highlight w:val="none"/>
        </w:rPr>
        <w:t>承包人对分包商或劳务公司以包代管、包而不管（1万~2万元）；</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（10）</w:t>
      </w:r>
      <w:r>
        <w:rPr>
          <w:rFonts w:ascii="Times New Roman" w:hAnsi="Times New Roman"/>
          <w:color w:val="auto"/>
          <w:sz w:val="24"/>
          <w:szCs w:val="24"/>
          <w:highlight w:val="none"/>
        </w:rPr>
        <w:tab/>
      </w:r>
      <w:r>
        <w:rPr>
          <w:rFonts w:ascii="Times New Roman" w:hAnsi="Times New Roman"/>
          <w:color w:val="auto"/>
          <w:sz w:val="24"/>
          <w:szCs w:val="24"/>
          <w:highlight w:val="none"/>
        </w:rPr>
        <w:t>关键岗位人员未持证上岗或从事的工作与其技能不符，逾期不整改（1万~2万元），关键岗位人员未征得</w:t>
      </w:r>
      <w:r>
        <w:rPr>
          <w:rFonts w:hint="eastAsia" w:ascii="Times New Roman" w:hAnsi="Times New Roman"/>
          <w:color w:val="auto"/>
          <w:sz w:val="24"/>
          <w:szCs w:val="24"/>
          <w:highlight w:val="none"/>
        </w:rPr>
        <w:t>发包人</w:t>
      </w:r>
      <w:r>
        <w:rPr>
          <w:rFonts w:ascii="Times New Roman" w:hAnsi="Times New Roman"/>
          <w:color w:val="auto"/>
          <w:sz w:val="24"/>
          <w:szCs w:val="24"/>
          <w:highlight w:val="none"/>
        </w:rPr>
        <w:t>同意私自更换（10~50万元）；</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w:t>
      </w:r>
      <w:r>
        <w:rPr>
          <w:rFonts w:ascii="Times New Roman" w:hAnsi="Times New Roman"/>
          <w:color w:val="auto"/>
          <w:sz w:val="24"/>
          <w:szCs w:val="24"/>
          <w:highlight w:val="none"/>
        </w:rPr>
        <w:tab/>
      </w:r>
      <w:r>
        <w:rPr>
          <w:rFonts w:ascii="Times New Roman" w:hAnsi="Times New Roman"/>
          <w:color w:val="auto"/>
          <w:sz w:val="24"/>
          <w:szCs w:val="24"/>
          <w:highlight w:val="none"/>
        </w:rPr>
        <w:t>承包人现场人员个人劳动保护用品质量不符合相应标准，逾期不更换的（1万~5万元）；</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（12）</w:t>
      </w:r>
      <w:r>
        <w:rPr>
          <w:rFonts w:ascii="Times New Roman" w:hAnsi="Times New Roman"/>
          <w:color w:val="auto"/>
          <w:sz w:val="24"/>
          <w:szCs w:val="24"/>
          <w:highlight w:val="none"/>
        </w:rPr>
        <w:tab/>
      </w:r>
      <w:r>
        <w:rPr>
          <w:rFonts w:ascii="Times New Roman" w:hAnsi="Times New Roman"/>
          <w:color w:val="auto"/>
          <w:sz w:val="24"/>
          <w:szCs w:val="24"/>
          <w:highlight w:val="none"/>
        </w:rPr>
        <w:t>影响现场整体安全生产条件和环境条件的活动（3万~4万元）；</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（13）</w:t>
      </w:r>
      <w:r>
        <w:rPr>
          <w:rFonts w:ascii="Times New Roman" w:hAnsi="Times New Roman"/>
          <w:color w:val="auto"/>
          <w:sz w:val="24"/>
          <w:szCs w:val="24"/>
          <w:highlight w:val="none"/>
        </w:rPr>
        <w:tab/>
      </w:r>
      <w:r>
        <w:rPr>
          <w:rFonts w:ascii="Times New Roman" w:hAnsi="Times New Roman"/>
          <w:color w:val="auto"/>
          <w:sz w:val="24"/>
          <w:szCs w:val="24"/>
          <w:highlight w:val="none"/>
        </w:rPr>
        <w:t>发包人发出的书面整改行动未按期整改（2万~3万元）；</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w:t>
      </w:r>
      <w:r>
        <w:rPr>
          <w:rFonts w:ascii="Times New Roman" w:hAnsi="Times New Roman"/>
          <w:color w:val="auto"/>
          <w:sz w:val="24"/>
          <w:szCs w:val="24"/>
          <w:highlight w:val="none"/>
        </w:rPr>
        <w:tab/>
      </w:r>
      <w:r>
        <w:rPr>
          <w:rFonts w:ascii="Times New Roman" w:hAnsi="Times New Roman"/>
          <w:color w:val="auto"/>
          <w:sz w:val="24"/>
          <w:szCs w:val="24"/>
          <w:highlight w:val="none"/>
        </w:rPr>
        <w:t>被各相关方认为具有较大事故隐患的行为或缺陷（1万~5万元）</w:t>
      </w:r>
      <w:r>
        <w:rPr>
          <w:rFonts w:hint="eastAsia" w:ascii="Times New Roman" w:hAnsi="Times New Roman"/>
          <w:color w:val="auto"/>
          <w:sz w:val="24"/>
          <w:szCs w:val="24"/>
          <w:highlight w:val="none"/>
        </w:rPr>
        <w:t>；</w:t>
      </w:r>
    </w:p>
    <w:p>
      <w:pPr>
        <w:widowControl/>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（15）承包人导致环境污染受到政府处罚（10万~50万元/起）；</w:t>
      </w:r>
    </w:p>
    <w:p>
      <w:pPr>
        <w:widowControl/>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（16）承包人挪用合同安全措施费的，直接扣除挪用金2倍金额的合同款。</w:t>
      </w:r>
    </w:p>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26.3现场人员违章</w:t>
      </w:r>
    </w:p>
    <w:p>
      <w:pPr>
        <w:widowControl/>
        <w:snapToGrid w:val="0"/>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lang w:eastAsia="zh-CN"/>
        </w:rPr>
        <w:t>发包人</w:t>
      </w:r>
      <w:r>
        <w:rPr>
          <w:rFonts w:ascii="Times New Roman" w:hAnsi="Times New Roman"/>
          <w:color w:val="auto"/>
          <w:sz w:val="24"/>
          <w:szCs w:val="24"/>
          <w:highlight w:val="none"/>
        </w:rPr>
        <w:t>发现承包人现场施工人员发生违章行为的，将按照《安全文明施工违章考核表》对承包人进行考核。</w:t>
      </w:r>
    </w:p>
    <w:p>
      <w:pPr>
        <w:widowControl/>
        <w:snapToGrid w:val="0"/>
        <w:spacing w:line="360" w:lineRule="auto"/>
        <w:jc w:val="center"/>
        <w:rPr>
          <w:rFonts w:ascii="Times New Roman" w:hAnsi="Times New Roman"/>
          <w:color w:val="auto"/>
          <w:sz w:val="24"/>
          <w:szCs w:val="24"/>
          <w:highlight w:val="none"/>
        </w:rPr>
      </w:pPr>
      <w:r>
        <w:rPr>
          <w:rFonts w:ascii="Times New Roman" w:hAnsi="Times New Roman"/>
          <w:color w:val="auto"/>
          <w:sz w:val="24"/>
          <w:szCs w:val="24"/>
          <w:highlight w:val="none"/>
        </w:rPr>
        <w:t>安全文明施工违章考核表</w:t>
      </w:r>
    </w:p>
    <w:tbl>
      <w:tblPr>
        <w:tblStyle w:val="3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944"/>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序号</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违章行为</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考核扣款标准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b/>
                <w:bCs/>
                <w:color w:val="auto"/>
                <w:szCs w:val="21"/>
                <w:highlight w:val="none"/>
              </w:rPr>
            </w:pPr>
            <w:r>
              <w:rPr>
                <w:rFonts w:ascii="Times New Roman" w:hAnsi="Times New Roman"/>
                <w:b/>
                <w:bCs/>
                <w:color w:val="auto"/>
                <w:szCs w:val="21"/>
                <w:highlight w:val="none"/>
              </w:rPr>
              <w:t>一</w:t>
            </w:r>
          </w:p>
        </w:tc>
        <w:tc>
          <w:tcPr>
            <w:tcW w:w="6944" w:type="dxa"/>
            <w:vAlign w:val="center"/>
          </w:tcPr>
          <w:p>
            <w:pPr>
              <w:snapToGrid w:val="0"/>
              <w:rPr>
                <w:rFonts w:ascii="Times New Roman" w:hAnsi="Times New Roman"/>
                <w:b/>
                <w:bCs/>
                <w:color w:val="auto"/>
                <w:szCs w:val="21"/>
                <w:highlight w:val="none"/>
              </w:rPr>
            </w:pPr>
            <w:r>
              <w:rPr>
                <w:rFonts w:ascii="Times New Roman" w:hAnsi="Times New Roman"/>
                <w:b/>
                <w:bCs/>
                <w:color w:val="auto"/>
                <w:szCs w:val="21"/>
                <w:highlight w:val="none"/>
              </w:rPr>
              <w:t>安全施工</w:t>
            </w:r>
          </w:p>
        </w:tc>
        <w:tc>
          <w:tcPr>
            <w:tcW w:w="1690" w:type="dxa"/>
            <w:vAlign w:val="center"/>
          </w:tcPr>
          <w:p>
            <w:pPr>
              <w:keepNext/>
              <w:keepLines/>
              <w:snapToGrid w:val="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穿高跟鞋，露脚趾、带钉鞋、凉鞋、裙子、短裤、背心或裸背、长发披肩进入施工现场。</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2</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酒后进入施工现场。</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3</w:t>
            </w:r>
          </w:p>
        </w:tc>
        <w:tc>
          <w:tcPr>
            <w:tcW w:w="6944" w:type="dxa"/>
            <w:vAlign w:val="center"/>
          </w:tcPr>
          <w:p>
            <w:pPr>
              <w:snapToGrid w:val="0"/>
              <w:rPr>
                <w:rFonts w:ascii="Times New Roman" w:hAnsi="Times New Roman"/>
                <w:bCs/>
                <w:color w:val="auto"/>
                <w:szCs w:val="21"/>
                <w:highlight w:val="none"/>
              </w:rPr>
            </w:pPr>
            <w:r>
              <w:rPr>
                <w:rFonts w:ascii="Times New Roman" w:hAnsi="Times New Roman"/>
                <w:bCs/>
                <w:color w:val="auto"/>
                <w:szCs w:val="21"/>
                <w:highlight w:val="none"/>
              </w:rPr>
              <w:t>现场作业人员未进行安全教育的</w:t>
            </w:r>
          </w:p>
        </w:tc>
        <w:tc>
          <w:tcPr>
            <w:tcW w:w="1690" w:type="dxa"/>
            <w:vAlign w:val="center"/>
          </w:tcPr>
          <w:p>
            <w:pPr>
              <w:keepNext/>
              <w:keepLines/>
              <w:snapToGrid w:val="0"/>
              <w:jc w:val="center"/>
              <w:rPr>
                <w:rFonts w:ascii="Times New Roman" w:hAnsi="Times New Roman"/>
                <w:color w:val="auto"/>
                <w:szCs w:val="21"/>
                <w:highlight w:val="none"/>
              </w:rPr>
            </w:pPr>
            <w:r>
              <w:rPr>
                <w:rFonts w:ascii="Times New Roman" w:hAnsi="Times New Roman"/>
                <w:color w:val="auto"/>
                <w:szCs w:val="21"/>
                <w:highlight w:val="none"/>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4</w:t>
            </w:r>
          </w:p>
        </w:tc>
        <w:tc>
          <w:tcPr>
            <w:tcW w:w="6944" w:type="dxa"/>
            <w:vAlign w:val="center"/>
          </w:tcPr>
          <w:p>
            <w:pPr>
              <w:snapToGrid w:val="0"/>
              <w:rPr>
                <w:rFonts w:ascii="Times New Roman" w:hAnsi="Times New Roman"/>
                <w:bCs/>
                <w:color w:val="auto"/>
                <w:szCs w:val="21"/>
                <w:highlight w:val="none"/>
              </w:rPr>
            </w:pPr>
            <w:r>
              <w:rPr>
                <w:rFonts w:ascii="Times New Roman" w:hAnsi="Times New Roman"/>
                <w:bCs/>
                <w:color w:val="auto"/>
                <w:szCs w:val="21"/>
                <w:highlight w:val="none"/>
              </w:rPr>
              <w:t>违反起重作业“十不吊”</w:t>
            </w:r>
          </w:p>
        </w:tc>
        <w:tc>
          <w:tcPr>
            <w:tcW w:w="1690" w:type="dxa"/>
            <w:vAlign w:val="center"/>
          </w:tcPr>
          <w:p>
            <w:pPr>
              <w:keepNext/>
              <w:keepLines/>
              <w:snapToGrid w:val="0"/>
              <w:jc w:val="center"/>
              <w:rPr>
                <w:rFonts w:ascii="Times New Roman" w:hAnsi="Times New Roman"/>
                <w:color w:val="auto"/>
                <w:szCs w:val="21"/>
                <w:highlight w:val="none"/>
              </w:rPr>
            </w:pPr>
            <w:r>
              <w:rPr>
                <w:rFonts w:ascii="Times New Roman" w:hAnsi="Times New Roman"/>
                <w:color w:val="auto"/>
                <w:szCs w:val="21"/>
                <w:highlight w:val="none"/>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5</w:t>
            </w:r>
          </w:p>
        </w:tc>
        <w:tc>
          <w:tcPr>
            <w:tcW w:w="6944" w:type="dxa"/>
            <w:vAlign w:val="center"/>
          </w:tcPr>
          <w:p>
            <w:pPr>
              <w:snapToGrid w:val="0"/>
              <w:rPr>
                <w:rFonts w:ascii="Times New Roman" w:hAnsi="Times New Roman"/>
                <w:bCs/>
                <w:color w:val="auto"/>
                <w:szCs w:val="21"/>
                <w:highlight w:val="none"/>
              </w:rPr>
            </w:pPr>
            <w:r>
              <w:rPr>
                <w:rFonts w:ascii="Times New Roman" w:hAnsi="Times New Roman"/>
                <w:bCs/>
                <w:color w:val="auto"/>
                <w:szCs w:val="21"/>
                <w:highlight w:val="none"/>
              </w:rPr>
              <w:t>起重机作业完成后，钢丝绳未摘除，吊钩未复位</w:t>
            </w:r>
          </w:p>
        </w:tc>
        <w:tc>
          <w:tcPr>
            <w:tcW w:w="1690" w:type="dxa"/>
            <w:vAlign w:val="center"/>
          </w:tcPr>
          <w:p>
            <w:pPr>
              <w:keepNext/>
              <w:keepLines/>
              <w:snapToGrid w:val="0"/>
              <w:jc w:val="center"/>
              <w:rPr>
                <w:rFonts w:ascii="Times New Roman" w:hAnsi="Times New Roman"/>
                <w:color w:val="auto"/>
                <w:szCs w:val="21"/>
                <w:highlight w:val="none"/>
              </w:rPr>
            </w:pPr>
            <w:r>
              <w:rPr>
                <w:rFonts w:ascii="Times New Roman" w:hAnsi="Times New Roman"/>
                <w:color w:val="auto"/>
                <w:szCs w:val="21"/>
                <w:highlight w:val="none"/>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6</w:t>
            </w:r>
          </w:p>
        </w:tc>
        <w:tc>
          <w:tcPr>
            <w:tcW w:w="6944" w:type="dxa"/>
            <w:vAlign w:val="center"/>
          </w:tcPr>
          <w:p>
            <w:pPr>
              <w:snapToGrid w:val="0"/>
              <w:rPr>
                <w:rFonts w:ascii="Times New Roman" w:hAnsi="Times New Roman"/>
                <w:bCs/>
                <w:color w:val="auto"/>
                <w:szCs w:val="21"/>
                <w:highlight w:val="none"/>
              </w:rPr>
            </w:pPr>
            <w:r>
              <w:rPr>
                <w:rFonts w:ascii="Times New Roman" w:hAnsi="Times New Roman"/>
                <w:bCs/>
                <w:color w:val="auto"/>
                <w:szCs w:val="21"/>
                <w:highlight w:val="none"/>
              </w:rPr>
              <w:t>作业人员未按规定佩戴劳动防护用品</w:t>
            </w:r>
          </w:p>
        </w:tc>
        <w:tc>
          <w:tcPr>
            <w:tcW w:w="1690" w:type="dxa"/>
            <w:vAlign w:val="center"/>
          </w:tcPr>
          <w:p>
            <w:pPr>
              <w:keepNext/>
              <w:keepLines/>
              <w:snapToGrid w:val="0"/>
              <w:jc w:val="center"/>
              <w:rPr>
                <w:rFonts w:ascii="Times New Roman" w:hAnsi="Times New Roman"/>
                <w:color w:val="auto"/>
                <w:szCs w:val="21"/>
                <w:highlight w:val="none"/>
              </w:rPr>
            </w:pPr>
            <w:r>
              <w:rPr>
                <w:rFonts w:ascii="Times New Roman" w:hAnsi="Times New Roman"/>
                <w:color w:val="auto"/>
                <w:szCs w:val="21"/>
                <w:highlight w:val="none"/>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7</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易燃易爆物品等危险品未按规定使用、管理和存放，爆破作业违章、违规</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8</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施工作业无安全监管人员，危险区域或夜间施工无醒目的安全警示标志的</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9</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进入施工现场不戴安全帽，或佩戴不合格的安全帽，或不正确配戴安全帽。</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10</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高空（架）作业或临边作业不系安全带的</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11</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“洞口、临边”无防护栏杆、网或安全网搭设不符合要求</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12</w:t>
            </w:r>
          </w:p>
        </w:tc>
        <w:tc>
          <w:tcPr>
            <w:tcW w:w="6944" w:type="dxa"/>
            <w:vAlign w:val="center"/>
          </w:tcPr>
          <w:p>
            <w:pPr>
              <w:keepNext/>
              <w:keepLines/>
              <w:snapToGrid w:val="0"/>
              <w:rPr>
                <w:rFonts w:ascii="Times New Roman" w:hAnsi="Times New Roman"/>
                <w:color w:val="auto"/>
                <w:szCs w:val="21"/>
                <w:highlight w:val="none"/>
              </w:rPr>
            </w:pPr>
            <w:r>
              <w:rPr>
                <w:rFonts w:ascii="Times New Roman" w:hAnsi="Times New Roman"/>
                <w:color w:val="auto"/>
                <w:szCs w:val="21"/>
                <w:highlight w:val="none"/>
              </w:rPr>
              <w:t>施工临时用电不符合“一机一闸一漏”，未按要求接地，无漏电保护</w:t>
            </w:r>
          </w:p>
        </w:tc>
        <w:tc>
          <w:tcPr>
            <w:tcW w:w="1690" w:type="dxa"/>
            <w:vAlign w:val="center"/>
          </w:tcPr>
          <w:p>
            <w:pPr>
              <w:keepNext/>
              <w:keepLines/>
              <w:snapToGrid w:val="0"/>
              <w:jc w:val="center"/>
              <w:rPr>
                <w:rFonts w:ascii="Times New Roman" w:hAnsi="Times New Roman"/>
                <w:color w:val="auto"/>
                <w:szCs w:val="21"/>
                <w:highlight w:val="none"/>
              </w:rPr>
            </w:pPr>
            <w:r>
              <w:rPr>
                <w:rFonts w:ascii="Times New Roman" w:hAnsi="Times New Roman"/>
                <w:color w:val="auto"/>
                <w:szCs w:val="21"/>
                <w:highlight w:val="none"/>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13</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作业人员在无防护的支撑上行走</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14</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现场无足够的有效的消防器材，无防火疏散通道、无明显的防火标志</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15</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工人宿舍乱拉乱接电线，使用大功率电器</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16</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特种作业人员无证操作</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17</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班前不进行安全交底，无交底记录</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18</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危险性较大分部分项工程未按照专项施工方案落实安全措施</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500~1000元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19</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在施工中存在其他违章作业行为的，给予100~1000元处罚，同类行为反复出现或性质较为恶劣的可以加重或加倍处罚</w:t>
            </w:r>
          </w:p>
        </w:tc>
        <w:tc>
          <w:tcPr>
            <w:tcW w:w="1690" w:type="dxa"/>
            <w:vAlign w:val="center"/>
          </w:tcPr>
          <w:p>
            <w:pPr>
              <w:snapToGrid w:val="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b/>
                <w:bCs/>
                <w:color w:val="auto"/>
                <w:szCs w:val="21"/>
                <w:highlight w:val="none"/>
              </w:rPr>
            </w:pPr>
            <w:r>
              <w:rPr>
                <w:rFonts w:ascii="Times New Roman" w:hAnsi="Times New Roman"/>
                <w:b/>
                <w:bCs/>
                <w:color w:val="auto"/>
                <w:szCs w:val="21"/>
                <w:highlight w:val="none"/>
              </w:rPr>
              <w:t>二</w:t>
            </w:r>
          </w:p>
        </w:tc>
        <w:tc>
          <w:tcPr>
            <w:tcW w:w="6944" w:type="dxa"/>
            <w:vAlign w:val="center"/>
          </w:tcPr>
          <w:p>
            <w:pPr>
              <w:snapToGrid w:val="0"/>
              <w:rPr>
                <w:rFonts w:ascii="Times New Roman" w:hAnsi="Times New Roman"/>
                <w:b/>
                <w:bCs/>
                <w:color w:val="auto"/>
                <w:szCs w:val="21"/>
                <w:highlight w:val="none"/>
              </w:rPr>
            </w:pPr>
            <w:r>
              <w:rPr>
                <w:rFonts w:ascii="Times New Roman" w:hAnsi="Times New Roman"/>
                <w:b/>
                <w:bCs/>
                <w:color w:val="auto"/>
                <w:szCs w:val="21"/>
                <w:highlight w:val="none"/>
              </w:rPr>
              <w:t>文明施工</w:t>
            </w:r>
          </w:p>
        </w:tc>
        <w:tc>
          <w:tcPr>
            <w:tcW w:w="1690" w:type="dxa"/>
            <w:vAlign w:val="center"/>
          </w:tcPr>
          <w:p>
            <w:pPr>
              <w:keepNext/>
              <w:keepLines/>
              <w:snapToGrid w:val="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工地未按照施工承包合同及发包人要求或其他相关规定制作围挡（蔽），或围挡（蔽）不规范</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2</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无大门，无门口无企业标志，不张贴“七牌二图”、重大危险源公示牌、每日作业危险源及防范措施告知牌，无门卫及出入管理制度</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3</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施工现场道路、材料堆场未硬化</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4</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现场材料、机具未按照分类堆放</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bCs/>
                <w:color w:val="auto"/>
                <w:szCs w:val="21"/>
                <w:highlight w:val="none"/>
              </w:rPr>
            </w:pPr>
            <w:r>
              <w:rPr>
                <w:rFonts w:ascii="Times New Roman" w:hAnsi="Times New Roman"/>
                <w:bCs/>
                <w:color w:val="auto"/>
                <w:szCs w:val="21"/>
                <w:highlight w:val="none"/>
              </w:rPr>
              <w:t>5</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未设洗车槽、排水沟、沉淀池等设施，或洗车槽、排水沟、沉淀池未有效使用、及时清理的</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6</w:t>
            </w:r>
          </w:p>
        </w:tc>
        <w:tc>
          <w:tcPr>
            <w:tcW w:w="6944" w:type="dxa"/>
            <w:vAlign w:val="center"/>
          </w:tcPr>
          <w:p>
            <w:pPr>
              <w:snapToGrid w:val="0"/>
              <w:rPr>
                <w:rFonts w:ascii="Times New Roman" w:hAnsi="Times New Roman"/>
                <w:bCs/>
                <w:color w:val="auto"/>
                <w:szCs w:val="21"/>
                <w:highlight w:val="none"/>
              </w:rPr>
            </w:pPr>
            <w:r>
              <w:rPr>
                <w:rFonts w:ascii="Times New Roman" w:hAnsi="Times New Roman"/>
                <w:bCs/>
                <w:color w:val="auto"/>
                <w:szCs w:val="21"/>
                <w:highlight w:val="none"/>
              </w:rPr>
              <w:t>运输材料、混凝土、渣土、垃圾车辆未按规定加盖，泥沙随车轮带出场外，影响市容或因违规作业被相关部门查处的</w:t>
            </w:r>
          </w:p>
        </w:tc>
        <w:tc>
          <w:tcPr>
            <w:tcW w:w="1690" w:type="dxa"/>
            <w:vAlign w:val="center"/>
          </w:tcPr>
          <w:p>
            <w:pPr>
              <w:keepNext/>
              <w:keepLines/>
              <w:snapToGrid w:val="0"/>
              <w:jc w:val="center"/>
              <w:rPr>
                <w:rFonts w:ascii="Times New Roman" w:hAnsi="Times New Roman"/>
                <w:color w:val="auto"/>
                <w:szCs w:val="21"/>
                <w:highlight w:val="none"/>
              </w:rPr>
            </w:pPr>
            <w:r>
              <w:rPr>
                <w:rFonts w:ascii="Times New Roman" w:hAnsi="Times New Roman"/>
                <w:color w:val="auto"/>
                <w:szCs w:val="21"/>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7</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施工现场脏乱差，生活垃圾清理不及时的</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8</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车辆在现场乱停乱放</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9</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施工人员未在指定的吸烟点吸烟，乱扔烟头</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10</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未按要求落实扬尘污染防治6个100%</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11</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在施工作业中存在其他不文明行为的，给予100~1000元处罚，同类行为反复出现的可以加重或加倍处罚</w:t>
            </w:r>
          </w:p>
        </w:tc>
        <w:tc>
          <w:tcPr>
            <w:tcW w:w="1690" w:type="dxa"/>
            <w:vAlign w:val="center"/>
          </w:tcPr>
          <w:p>
            <w:pPr>
              <w:snapToGrid w:val="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pBdr>
                <w:bottom w:val="single" w:color="auto" w:sz="6" w:space="1"/>
              </w:pBdr>
              <w:tabs>
                <w:tab w:val="center" w:pos="4153"/>
                <w:tab w:val="right" w:pos="8306"/>
              </w:tabs>
              <w:snapToGrid w:val="0"/>
              <w:jc w:val="center"/>
              <w:rPr>
                <w:rFonts w:ascii="Times New Roman" w:hAnsi="Times New Roman"/>
                <w:color w:val="auto"/>
                <w:szCs w:val="21"/>
                <w:highlight w:val="none"/>
              </w:rPr>
            </w:pPr>
            <w:r>
              <w:rPr>
                <w:rFonts w:ascii="Times New Roman" w:hAnsi="Times New Roman"/>
                <w:color w:val="auto"/>
                <w:szCs w:val="21"/>
                <w:highlight w:val="none"/>
              </w:rPr>
              <w:t>三</w:t>
            </w:r>
          </w:p>
        </w:tc>
        <w:tc>
          <w:tcPr>
            <w:tcW w:w="6944" w:type="dxa"/>
            <w:vAlign w:val="center"/>
          </w:tcPr>
          <w:p>
            <w:pPr>
              <w:pBdr>
                <w:bottom w:val="single" w:color="auto" w:sz="6" w:space="1"/>
              </w:pBdr>
              <w:tabs>
                <w:tab w:val="center" w:pos="4153"/>
                <w:tab w:val="right" w:pos="8306"/>
              </w:tabs>
              <w:snapToGrid w:val="0"/>
              <w:rPr>
                <w:rFonts w:ascii="Times New Roman" w:hAnsi="Times New Roman"/>
                <w:b/>
                <w:bCs/>
                <w:color w:val="auto"/>
                <w:szCs w:val="21"/>
                <w:highlight w:val="none"/>
              </w:rPr>
            </w:pPr>
            <w:r>
              <w:rPr>
                <w:rFonts w:ascii="Times New Roman" w:hAnsi="Times New Roman"/>
                <w:b/>
                <w:bCs/>
                <w:color w:val="auto"/>
                <w:szCs w:val="21"/>
                <w:highlight w:val="none"/>
              </w:rPr>
              <w:t>安全文明施工管理</w:t>
            </w:r>
          </w:p>
        </w:tc>
        <w:tc>
          <w:tcPr>
            <w:tcW w:w="1690" w:type="dxa"/>
            <w:vAlign w:val="center"/>
          </w:tcPr>
          <w:p>
            <w:pPr>
              <w:keepNext/>
              <w:keepLines/>
              <w:snapToGrid w:val="0"/>
              <w:jc w:val="center"/>
              <w:textAlignment w:val="baseline"/>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1</w:t>
            </w:r>
          </w:p>
        </w:tc>
        <w:tc>
          <w:tcPr>
            <w:tcW w:w="6944" w:type="dxa"/>
            <w:vAlign w:val="center"/>
          </w:tcPr>
          <w:p>
            <w:pPr>
              <w:pBdr>
                <w:bottom w:val="single" w:color="auto" w:sz="6" w:space="1"/>
              </w:pBdr>
              <w:tabs>
                <w:tab w:val="center" w:pos="4153"/>
                <w:tab w:val="right" w:pos="8306"/>
              </w:tabs>
              <w:snapToGrid w:val="0"/>
              <w:rPr>
                <w:rFonts w:ascii="Times New Roman" w:hAnsi="Times New Roman"/>
                <w:bCs/>
                <w:color w:val="auto"/>
                <w:szCs w:val="21"/>
                <w:highlight w:val="none"/>
              </w:rPr>
            </w:pPr>
            <w:r>
              <w:rPr>
                <w:rFonts w:ascii="Times New Roman" w:hAnsi="Times New Roman"/>
                <w:bCs/>
                <w:color w:val="auto"/>
                <w:szCs w:val="21"/>
                <w:highlight w:val="none"/>
              </w:rPr>
              <w:t>现场管理责任人未落实安全职责</w:t>
            </w:r>
          </w:p>
        </w:tc>
        <w:tc>
          <w:tcPr>
            <w:tcW w:w="1690" w:type="dxa"/>
            <w:vAlign w:val="center"/>
          </w:tcPr>
          <w:p>
            <w:pPr>
              <w:keepNext/>
              <w:keepLines/>
              <w:snapToGrid w:val="0"/>
              <w:jc w:val="center"/>
              <w:textAlignment w:val="baseline"/>
              <w:outlineLvl w:val="0"/>
              <w:rPr>
                <w:rFonts w:ascii="Times New Roman" w:hAnsi="Times New Roman"/>
                <w:color w:val="auto"/>
                <w:szCs w:val="21"/>
                <w:highlight w:val="none"/>
              </w:rPr>
            </w:pPr>
            <w:bookmarkStart w:id="1576" w:name="_Toc8274"/>
            <w:bookmarkStart w:id="1577" w:name="_Toc6687"/>
            <w:bookmarkStart w:id="1578" w:name="_Toc14383"/>
            <w:bookmarkStart w:id="1579" w:name="_Toc9170"/>
            <w:bookmarkStart w:id="1580" w:name="_Toc67300378"/>
            <w:bookmarkStart w:id="1581" w:name="_Toc27704"/>
            <w:r>
              <w:rPr>
                <w:rFonts w:ascii="Times New Roman" w:hAnsi="Times New Roman"/>
                <w:color w:val="auto"/>
                <w:szCs w:val="21"/>
                <w:highlight w:val="none"/>
              </w:rPr>
              <w:t>1000元</w:t>
            </w:r>
            <w:bookmarkEnd w:id="1576"/>
            <w:bookmarkEnd w:id="1577"/>
            <w:bookmarkEnd w:id="1578"/>
            <w:bookmarkEnd w:id="1579"/>
            <w:bookmarkEnd w:id="1580"/>
            <w:bookmarkEnd w:id="15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2</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招用未经资质审查或审查不合格的外包队伍</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3</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未按要求进行安全文明检查（无记录）</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4</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未按要求召开安全会议（无记录）</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5</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未按相关整改通知要求完成整改或没有及时整改</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6</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相关安全管理资料、报告、文件未及时上报或更新</w:t>
            </w:r>
          </w:p>
        </w:tc>
        <w:tc>
          <w:tcPr>
            <w:tcW w:w="169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0" w:type="dxa"/>
            <w:vAlign w:val="center"/>
          </w:tcPr>
          <w:p>
            <w:pPr>
              <w:snapToGrid w:val="0"/>
              <w:jc w:val="center"/>
              <w:rPr>
                <w:rFonts w:ascii="Times New Roman" w:hAnsi="Times New Roman"/>
                <w:color w:val="auto"/>
                <w:szCs w:val="21"/>
                <w:highlight w:val="none"/>
              </w:rPr>
            </w:pPr>
            <w:r>
              <w:rPr>
                <w:rFonts w:ascii="Times New Roman" w:hAnsi="Times New Roman"/>
                <w:color w:val="auto"/>
                <w:szCs w:val="21"/>
                <w:highlight w:val="none"/>
              </w:rPr>
              <w:t>7</w:t>
            </w:r>
          </w:p>
        </w:tc>
        <w:tc>
          <w:tcPr>
            <w:tcW w:w="6944" w:type="dxa"/>
            <w:vAlign w:val="center"/>
          </w:tcPr>
          <w:p>
            <w:pPr>
              <w:snapToGrid w:val="0"/>
              <w:rPr>
                <w:rFonts w:ascii="Times New Roman" w:hAnsi="Times New Roman"/>
                <w:color w:val="auto"/>
                <w:szCs w:val="21"/>
                <w:highlight w:val="none"/>
              </w:rPr>
            </w:pPr>
            <w:r>
              <w:rPr>
                <w:rFonts w:ascii="Times New Roman" w:hAnsi="Times New Roman"/>
                <w:color w:val="auto"/>
                <w:szCs w:val="21"/>
                <w:highlight w:val="none"/>
              </w:rPr>
              <w:t>在管理活动中存在其他失责情况的，给予500~5000元处罚，同类行为反复出现的可以加重或加倍处罚</w:t>
            </w:r>
          </w:p>
        </w:tc>
        <w:tc>
          <w:tcPr>
            <w:tcW w:w="1690" w:type="dxa"/>
            <w:vAlign w:val="center"/>
          </w:tcPr>
          <w:p>
            <w:pPr>
              <w:snapToGrid w:val="0"/>
              <w:jc w:val="center"/>
              <w:rPr>
                <w:rFonts w:ascii="Times New Roman" w:hAnsi="Times New Roman"/>
                <w:color w:val="auto"/>
                <w:szCs w:val="21"/>
                <w:highlight w:val="none"/>
              </w:rPr>
            </w:pPr>
          </w:p>
        </w:tc>
      </w:tr>
    </w:tbl>
    <w:p>
      <w:pPr>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26.4另外，相关内容如有重复与前后不一致的，采取就高不就低的原则。</w:t>
      </w:r>
    </w:p>
    <w:p>
      <w:pPr>
        <w:wordWrap w:val="0"/>
        <w:jc w:val="center"/>
        <w:rPr>
          <w:rFonts w:ascii="Times New Roman" w:hAnsi="Times New Roman"/>
          <w:color w:val="auto"/>
          <w:sz w:val="24"/>
          <w:szCs w:val="24"/>
          <w:highlight w:val="none"/>
        </w:rPr>
      </w:pPr>
    </w:p>
    <w:p>
      <w:pPr>
        <w:wordWrap w:val="0"/>
        <w:jc w:val="center"/>
        <w:rPr>
          <w:rFonts w:ascii="Times New Roman" w:hAnsi="Times New Roman"/>
          <w:color w:val="auto"/>
          <w:sz w:val="24"/>
          <w:szCs w:val="24"/>
          <w:highlight w:val="none"/>
        </w:rPr>
      </w:pPr>
    </w:p>
    <w:p>
      <w:pPr>
        <w:pStyle w:val="2"/>
        <w:rPr>
          <w:color w:val="auto"/>
          <w:szCs w:val="24"/>
          <w:highlight w:val="none"/>
        </w:rPr>
      </w:pPr>
    </w:p>
    <w:p>
      <w:pPr>
        <w:pStyle w:val="2"/>
        <w:rPr>
          <w:color w:val="auto"/>
          <w:szCs w:val="24"/>
          <w:highlight w:val="none"/>
        </w:rPr>
      </w:pPr>
    </w:p>
    <w:p>
      <w:pPr>
        <w:pStyle w:val="2"/>
        <w:rPr>
          <w:color w:val="auto"/>
          <w:szCs w:val="24"/>
          <w:highlight w:val="none"/>
        </w:rPr>
      </w:pPr>
    </w:p>
    <w:p>
      <w:pPr>
        <w:pStyle w:val="2"/>
        <w:rPr>
          <w:color w:val="auto"/>
          <w:szCs w:val="24"/>
          <w:highlight w:val="none"/>
        </w:rPr>
      </w:pPr>
    </w:p>
    <w:p>
      <w:pPr>
        <w:pStyle w:val="2"/>
        <w:rPr>
          <w:color w:val="auto"/>
          <w:szCs w:val="24"/>
          <w:highlight w:val="none"/>
        </w:rPr>
      </w:pPr>
    </w:p>
    <w:p>
      <w:pPr>
        <w:wordWrap w:val="0"/>
        <w:jc w:val="center"/>
        <w:rPr>
          <w:rFonts w:ascii="Times New Roman" w:hAnsi="Times New Roman"/>
          <w:color w:val="auto"/>
          <w:sz w:val="24"/>
          <w:szCs w:val="24"/>
          <w:highlight w:val="none"/>
        </w:rPr>
      </w:pPr>
      <w:r>
        <w:rPr>
          <w:rFonts w:ascii="Times New Roman" w:hAnsi="Times New Roman"/>
          <w:color w:val="auto"/>
          <w:sz w:val="24"/>
          <w:szCs w:val="24"/>
          <w:highlight w:val="none"/>
        </w:rPr>
        <w:t>工程违约处理通知书</w:t>
      </w:r>
    </w:p>
    <w:tbl>
      <w:tblPr>
        <w:tblStyle w:val="37"/>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olor w:val="auto"/>
                <w:szCs w:val="21"/>
                <w:highlight w:val="none"/>
              </w:rPr>
            </w:pPr>
            <w:r>
              <w:rPr>
                <w:rFonts w:ascii="Times New Roman" w:hAnsi="Times New Roman"/>
                <w:color w:val="auto"/>
                <w:szCs w:val="21"/>
                <w:highlight w:val="none"/>
              </w:rPr>
              <w:t>工程名称</w:t>
            </w:r>
          </w:p>
        </w:tc>
        <w:tc>
          <w:tcPr>
            <w:tcW w:w="2074" w:type="dxa"/>
            <w:tcBorders>
              <w:top w:val="single" w:color="auto" w:sz="4" w:space="0"/>
              <w:left w:val="single" w:color="auto" w:sz="4" w:space="0"/>
              <w:bottom w:val="single" w:color="auto" w:sz="4" w:space="0"/>
              <w:right w:val="single" w:color="auto" w:sz="4" w:space="0"/>
            </w:tcBorders>
            <w:vAlign w:val="center"/>
          </w:tcPr>
          <w:p>
            <w:pPr>
              <w:keepNext/>
              <w:keepLines/>
              <w:wordWrap w:val="0"/>
              <w:rPr>
                <w:rFonts w:ascii="Times New Roman" w:hAnsi="Times New Roman"/>
                <w:color w:val="auto"/>
                <w:szCs w:val="21"/>
                <w:highlight w:val="none"/>
              </w:rPr>
            </w:pPr>
          </w:p>
        </w:tc>
        <w:tc>
          <w:tcPr>
            <w:tcW w:w="2074"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olor w:val="auto"/>
                <w:szCs w:val="21"/>
                <w:highlight w:val="none"/>
              </w:rPr>
            </w:pPr>
            <w:r>
              <w:rPr>
                <w:rFonts w:ascii="Times New Roman" w:hAnsi="Times New Roman"/>
                <w:color w:val="auto"/>
                <w:szCs w:val="21"/>
                <w:highlight w:val="none"/>
              </w:rPr>
              <w:t>编号</w:t>
            </w:r>
          </w:p>
        </w:tc>
        <w:tc>
          <w:tcPr>
            <w:tcW w:w="2074" w:type="dxa"/>
            <w:tcBorders>
              <w:top w:val="single" w:color="auto" w:sz="4" w:space="0"/>
              <w:left w:val="single" w:color="auto" w:sz="4" w:space="0"/>
              <w:bottom w:val="single" w:color="auto" w:sz="4" w:space="0"/>
              <w:right w:val="single" w:color="auto" w:sz="4" w:space="0"/>
            </w:tcBorders>
            <w:vAlign w:val="center"/>
          </w:tcPr>
          <w:p>
            <w:pPr>
              <w:keepNext/>
              <w:keepLines/>
              <w:wordWrap w:val="0"/>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olor w:val="auto"/>
                <w:szCs w:val="21"/>
                <w:highlight w:val="none"/>
              </w:rPr>
            </w:pPr>
            <w:r>
              <w:rPr>
                <w:rFonts w:ascii="Times New Roman" w:hAnsi="Times New Roman"/>
                <w:color w:val="auto"/>
                <w:szCs w:val="21"/>
                <w:highlight w:val="none"/>
              </w:rPr>
              <w:t>施工部位</w:t>
            </w:r>
          </w:p>
        </w:tc>
        <w:tc>
          <w:tcPr>
            <w:tcW w:w="2074" w:type="dxa"/>
            <w:tcBorders>
              <w:top w:val="single" w:color="auto" w:sz="4" w:space="0"/>
              <w:left w:val="single" w:color="auto" w:sz="4" w:space="0"/>
              <w:bottom w:val="single" w:color="auto" w:sz="4" w:space="0"/>
              <w:right w:val="single" w:color="auto" w:sz="4" w:space="0"/>
            </w:tcBorders>
            <w:vAlign w:val="center"/>
          </w:tcPr>
          <w:p>
            <w:pPr>
              <w:keepNext/>
              <w:keepLines/>
              <w:wordWrap w:val="0"/>
              <w:rPr>
                <w:rFonts w:ascii="Times New Roman" w:hAnsi="Times New Roman"/>
                <w:color w:val="auto"/>
                <w:szCs w:val="21"/>
                <w:highlight w:val="none"/>
              </w:rPr>
            </w:pPr>
          </w:p>
        </w:tc>
        <w:tc>
          <w:tcPr>
            <w:tcW w:w="2074"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olor w:val="auto"/>
                <w:szCs w:val="21"/>
                <w:highlight w:val="none"/>
              </w:rPr>
            </w:pPr>
            <w:r>
              <w:rPr>
                <w:rFonts w:ascii="Times New Roman" w:hAnsi="Times New Roman"/>
                <w:color w:val="auto"/>
                <w:szCs w:val="21"/>
                <w:highlight w:val="none"/>
              </w:rPr>
              <w:t>日期</w:t>
            </w:r>
          </w:p>
        </w:tc>
        <w:tc>
          <w:tcPr>
            <w:tcW w:w="2074"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olor w:val="auto"/>
                <w:szCs w:val="21"/>
                <w:highlight w:val="none"/>
              </w:rPr>
            </w:pPr>
            <w:r>
              <w:rPr>
                <w:rFonts w:ascii="Times New Roman" w:hAnsi="Times New Roman"/>
                <w:color w:val="auto"/>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olor w:val="auto"/>
                <w:szCs w:val="21"/>
                <w:highlight w:val="none"/>
              </w:rPr>
            </w:pPr>
            <w:r>
              <w:rPr>
                <w:rFonts w:ascii="Times New Roman" w:hAnsi="Times New Roman"/>
                <w:color w:val="auto"/>
                <w:szCs w:val="21"/>
                <w:highlight w:val="none"/>
              </w:rPr>
              <w:t>违约单位</w:t>
            </w:r>
          </w:p>
        </w:tc>
        <w:tc>
          <w:tcPr>
            <w:tcW w:w="2074" w:type="dxa"/>
            <w:tcBorders>
              <w:top w:val="single" w:color="auto" w:sz="4" w:space="0"/>
              <w:left w:val="single" w:color="auto" w:sz="4" w:space="0"/>
              <w:bottom w:val="single" w:color="auto" w:sz="4" w:space="0"/>
              <w:right w:val="single" w:color="auto" w:sz="4" w:space="0"/>
            </w:tcBorders>
            <w:vAlign w:val="center"/>
          </w:tcPr>
          <w:p>
            <w:pPr>
              <w:keepNext/>
              <w:keepLines/>
              <w:wordWrap w:val="0"/>
              <w:rPr>
                <w:rFonts w:ascii="Times New Roman" w:hAnsi="Times New Roman"/>
                <w:color w:val="auto"/>
                <w:szCs w:val="21"/>
                <w:highlight w:val="none"/>
              </w:rPr>
            </w:pPr>
          </w:p>
        </w:tc>
        <w:tc>
          <w:tcPr>
            <w:tcW w:w="2074"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olor w:val="auto"/>
                <w:szCs w:val="21"/>
                <w:highlight w:val="none"/>
              </w:rPr>
            </w:pPr>
            <w:r>
              <w:rPr>
                <w:rFonts w:ascii="Times New Roman" w:hAnsi="Times New Roman"/>
                <w:color w:val="auto"/>
                <w:szCs w:val="21"/>
                <w:highlight w:val="none"/>
              </w:rPr>
              <w:t>违约处理依据</w:t>
            </w:r>
          </w:p>
        </w:tc>
        <w:tc>
          <w:tcPr>
            <w:tcW w:w="2074" w:type="dxa"/>
            <w:tcBorders>
              <w:top w:val="single" w:color="auto" w:sz="4" w:space="0"/>
              <w:left w:val="single" w:color="auto" w:sz="4" w:space="0"/>
              <w:bottom w:val="single" w:color="auto" w:sz="4" w:space="0"/>
              <w:right w:val="single" w:color="auto" w:sz="4" w:space="0"/>
            </w:tcBorders>
            <w:vAlign w:val="center"/>
          </w:tcPr>
          <w:p>
            <w:pPr>
              <w:keepNext/>
              <w:keepLines/>
              <w:wordWrap w:val="0"/>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5" w:type="dxa"/>
            <w:gridSpan w:val="4"/>
            <w:tcBorders>
              <w:top w:val="single" w:color="auto" w:sz="4" w:space="0"/>
              <w:left w:val="single" w:color="auto" w:sz="4" w:space="0"/>
              <w:bottom w:val="single" w:color="auto" w:sz="4" w:space="0"/>
              <w:right w:val="single" w:color="auto" w:sz="4" w:space="0"/>
            </w:tcBorders>
          </w:tcPr>
          <w:p>
            <w:pPr>
              <w:wordWrap w:val="0"/>
              <w:rPr>
                <w:rFonts w:ascii="Times New Roman" w:hAnsi="Times New Roman"/>
                <w:color w:val="auto"/>
                <w:szCs w:val="21"/>
                <w:highlight w:val="none"/>
              </w:rPr>
            </w:pPr>
            <w:r>
              <w:rPr>
                <w:rFonts w:ascii="Times New Roman" w:hAnsi="Times New Roman"/>
                <w:color w:val="auto"/>
                <w:szCs w:val="21"/>
                <w:highlight w:val="none"/>
              </w:rPr>
              <w:t>违约处理事由：</w:t>
            </w:r>
          </w:p>
          <w:p>
            <w:pPr>
              <w:wordWrap w:val="0"/>
              <w:rPr>
                <w:rFonts w:ascii="Times New Roman" w:hAnsi="Times New Roman"/>
                <w:color w:val="auto"/>
                <w:szCs w:val="21"/>
                <w:highlight w:val="none"/>
              </w:rPr>
            </w:pPr>
          </w:p>
          <w:p>
            <w:pPr>
              <w:wordWrap w:val="0"/>
              <w:rPr>
                <w:rFonts w:ascii="Times New Roman" w:hAnsi="Times New Roman"/>
                <w:color w:val="auto"/>
                <w:szCs w:val="21"/>
                <w:highlight w:val="none"/>
              </w:rPr>
            </w:pPr>
          </w:p>
          <w:p>
            <w:pPr>
              <w:wordWrap w:val="0"/>
              <w:rPr>
                <w:rFonts w:ascii="Times New Roman" w:hAnsi="Times New Roman"/>
                <w:color w:val="auto"/>
                <w:szCs w:val="21"/>
                <w:highlight w:val="none"/>
              </w:rPr>
            </w:pPr>
          </w:p>
          <w:p>
            <w:pPr>
              <w:wordWrap w:val="0"/>
              <w:rPr>
                <w:rFonts w:ascii="Times New Roman" w:hAnsi="Times New Roman"/>
                <w:color w:val="auto"/>
                <w:szCs w:val="21"/>
                <w:highlight w:val="none"/>
              </w:rPr>
            </w:pPr>
          </w:p>
          <w:p>
            <w:pPr>
              <w:wordWrap w:val="0"/>
              <w:rPr>
                <w:rFonts w:ascii="Times New Roman" w:hAnsi="Times New Roman"/>
                <w:color w:val="auto"/>
                <w:szCs w:val="21"/>
                <w:highlight w:val="none"/>
              </w:rPr>
            </w:pPr>
          </w:p>
          <w:p>
            <w:pPr>
              <w:wordWrap w:val="0"/>
              <w:rPr>
                <w:rFonts w:ascii="Times New Roman" w:hAnsi="Times New Roman"/>
                <w:color w:val="auto"/>
                <w:szCs w:val="21"/>
                <w:highlight w:val="none"/>
              </w:rPr>
            </w:pPr>
          </w:p>
          <w:p>
            <w:pPr>
              <w:wordWrap w:val="0"/>
              <w:rPr>
                <w:rFonts w:ascii="Times New Roman" w:hAnsi="Times New Roman"/>
                <w:color w:val="auto"/>
                <w:szCs w:val="21"/>
                <w:highlight w:val="none"/>
              </w:rPr>
            </w:pPr>
          </w:p>
          <w:p>
            <w:pPr>
              <w:wordWrap w:val="0"/>
              <w:rPr>
                <w:rFonts w:ascii="Times New Roman" w:hAnsi="Times New Roman"/>
                <w:color w:val="auto"/>
                <w:szCs w:val="21"/>
                <w:highlight w:val="none"/>
              </w:rPr>
            </w:pPr>
            <w:r>
              <w:rPr>
                <w:rFonts w:ascii="Times New Roman" w:hAnsi="Times New Roman"/>
                <w:color w:val="auto"/>
                <w:szCs w:val="21"/>
                <w:highlight w:val="none"/>
              </w:rPr>
              <w:t>违约金额：</w:t>
            </w:r>
          </w:p>
          <w:p>
            <w:pPr>
              <w:wordWrap w:val="0"/>
              <w:rPr>
                <w:rFonts w:ascii="Times New Roman" w:hAnsi="Times New Roman"/>
                <w:color w:val="auto"/>
                <w:szCs w:val="21"/>
                <w:highlight w:val="none"/>
              </w:rPr>
            </w:pPr>
          </w:p>
          <w:p>
            <w:pPr>
              <w:wordWrap w:val="0"/>
              <w:rPr>
                <w:rFonts w:ascii="Times New Roman" w:hAnsi="Times New Roman"/>
                <w:color w:val="auto"/>
                <w:szCs w:val="21"/>
                <w:highlight w:val="none"/>
              </w:rPr>
            </w:pPr>
          </w:p>
          <w:p>
            <w:pPr>
              <w:wordWrap w:val="0"/>
              <w:rPr>
                <w:rFonts w:ascii="Times New Roman" w:hAnsi="Times New Roman"/>
                <w:color w:val="auto"/>
                <w:szCs w:val="21"/>
                <w:highlight w:val="none"/>
              </w:rPr>
            </w:pPr>
          </w:p>
          <w:p>
            <w:pPr>
              <w:wordWrap w:val="0"/>
              <w:rPr>
                <w:rFonts w:ascii="Times New Roman" w:hAnsi="Times New Roman"/>
                <w:color w:val="auto"/>
                <w:szCs w:val="21"/>
                <w:highlight w:val="none"/>
              </w:rPr>
            </w:pPr>
            <w:r>
              <w:rPr>
                <w:rFonts w:ascii="Times New Roman" w:hAnsi="Times New Roman"/>
                <w:color w:val="auto"/>
                <w:szCs w:val="21"/>
                <w:highlight w:val="none"/>
              </w:rPr>
              <w:t>违约处理单位：XX公司</w:t>
            </w:r>
          </w:p>
          <w:p>
            <w:pPr>
              <w:wordWrap w:val="0"/>
              <w:rPr>
                <w:rFonts w:ascii="Times New Roman" w:hAnsi="Times New Roman"/>
                <w:color w:val="auto"/>
                <w:szCs w:val="21"/>
                <w:highlight w:val="none"/>
              </w:rPr>
            </w:pPr>
            <w:r>
              <w:rPr>
                <w:rFonts w:ascii="Times New Roman" w:hAnsi="Times New Roman"/>
                <w:color w:val="auto"/>
                <w:szCs w:val="21"/>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5" w:type="dxa"/>
            <w:gridSpan w:val="4"/>
            <w:tcBorders>
              <w:top w:val="single" w:color="auto" w:sz="4" w:space="0"/>
              <w:left w:val="single" w:color="auto" w:sz="4" w:space="0"/>
              <w:bottom w:val="single" w:color="auto" w:sz="4" w:space="0"/>
              <w:right w:val="single" w:color="auto" w:sz="4" w:space="0"/>
            </w:tcBorders>
          </w:tcPr>
          <w:p>
            <w:pPr>
              <w:wordWrap w:val="0"/>
              <w:rPr>
                <w:rFonts w:ascii="Times New Roman" w:hAnsi="Times New Roman"/>
                <w:color w:val="auto"/>
                <w:szCs w:val="21"/>
                <w:highlight w:val="none"/>
              </w:rPr>
            </w:pPr>
            <w:r>
              <w:rPr>
                <w:rFonts w:ascii="Times New Roman" w:hAnsi="Times New Roman"/>
                <w:color w:val="auto"/>
                <w:szCs w:val="21"/>
                <w:highlight w:val="none"/>
              </w:rPr>
              <w:t>审批栏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73" w:type="dxa"/>
            <w:tcBorders>
              <w:top w:val="single" w:color="auto" w:sz="4" w:space="0"/>
              <w:left w:val="single" w:color="auto" w:sz="4" w:space="0"/>
              <w:bottom w:val="single" w:color="auto" w:sz="4" w:space="0"/>
              <w:right w:val="single" w:color="auto" w:sz="4" w:space="0"/>
            </w:tcBorders>
          </w:tcPr>
          <w:p>
            <w:pPr>
              <w:wordWrap w:val="0"/>
              <w:rPr>
                <w:rFonts w:ascii="Times New Roman" w:hAnsi="Times New Roman"/>
                <w:color w:val="auto"/>
                <w:szCs w:val="21"/>
                <w:highlight w:val="none"/>
              </w:rPr>
            </w:pPr>
          </w:p>
        </w:tc>
        <w:tc>
          <w:tcPr>
            <w:tcW w:w="2074" w:type="dxa"/>
            <w:tcBorders>
              <w:top w:val="single" w:color="auto" w:sz="4" w:space="0"/>
              <w:left w:val="single" w:color="auto" w:sz="4" w:space="0"/>
              <w:bottom w:val="single" w:color="auto" w:sz="4" w:space="0"/>
              <w:right w:val="single" w:color="auto" w:sz="4" w:space="0"/>
            </w:tcBorders>
          </w:tcPr>
          <w:p>
            <w:pPr>
              <w:keepNext/>
              <w:keepLines/>
              <w:wordWrap w:val="0"/>
              <w:rPr>
                <w:rFonts w:ascii="Times New Roman" w:hAnsi="Times New Roman"/>
                <w:color w:val="auto"/>
                <w:szCs w:val="21"/>
                <w:highlight w:val="none"/>
              </w:rPr>
            </w:pPr>
          </w:p>
        </w:tc>
        <w:tc>
          <w:tcPr>
            <w:tcW w:w="2074" w:type="dxa"/>
            <w:tcBorders>
              <w:top w:val="single" w:color="auto" w:sz="4" w:space="0"/>
              <w:left w:val="single" w:color="auto" w:sz="4" w:space="0"/>
              <w:bottom w:val="single" w:color="auto" w:sz="4" w:space="0"/>
              <w:right w:val="single" w:color="auto" w:sz="4" w:space="0"/>
            </w:tcBorders>
          </w:tcPr>
          <w:p>
            <w:pPr>
              <w:wordWrap w:val="0"/>
              <w:rPr>
                <w:rFonts w:ascii="Times New Roman" w:hAnsi="Times New Roman"/>
                <w:color w:val="auto"/>
                <w:szCs w:val="21"/>
                <w:highlight w:val="none"/>
              </w:rPr>
            </w:pPr>
            <w:r>
              <w:rPr>
                <w:rFonts w:ascii="Times New Roman" w:hAnsi="Times New Roman"/>
                <w:color w:val="auto"/>
                <w:szCs w:val="21"/>
                <w:highlight w:val="none"/>
              </w:rPr>
              <w:t>发包人</w:t>
            </w:r>
          </w:p>
        </w:tc>
        <w:tc>
          <w:tcPr>
            <w:tcW w:w="2074" w:type="dxa"/>
            <w:tcBorders>
              <w:top w:val="single" w:color="auto" w:sz="4" w:space="0"/>
              <w:left w:val="single" w:color="auto" w:sz="4" w:space="0"/>
              <w:bottom w:val="single" w:color="auto" w:sz="4" w:space="0"/>
              <w:right w:val="single" w:color="auto" w:sz="4" w:space="0"/>
            </w:tcBorders>
          </w:tcPr>
          <w:p>
            <w:pPr>
              <w:keepNext/>
              <w:keepLines/>
              <w:wordWrap w:val="0"/>
              <w:rPr>
                <w:rFonts w:ascii="Times New Roman" w:hAnsi="Times New Roman"/>
                <w:color w:val="auto"/>
                <w:szCs w:val="21"/>
                <w:highlight w:val="none"/>
              </w:rPr>
            </w:pPr>
          </w:p>
        </w:tc>
      </w:tr>
    </w:tbl>
    <w:p>
      <w:pPr>
        <w:wordWrap w:val="0"/>
        <w:rPr>
          <w:rFonts w:ascii="Times New Roman" w:hAnsi="Times New Roman"/>
          <w:color w:val="auto"/>
          <w:szCs w:val="21"/>
          <w:highlight w:val="none"/>
        </w:rPr>
      </w:pPr>
    </w:p>
    <w:p>
      <w:pPr>
        <w:wordWrap w:val="0"/>
        <w:spacing w:line="360" w:lineRule="auto"/>
        <w:ind w:left="240" w:hanging="240"/>
        <w:rPr>
          <w:rFonts w:ascii="Times New Roman" w:hAnsi="Times New Roman"/>
          <w:color w:val="auto"/>
          <w:sz w:val="24"/>
          <w:szCs w:val="24"/>
          <w:highlight w:val="none"/>
        </w:rPr>
      </w:pPr>
      <w:r>
        <w:rPr>
          <w:rFonts w:ascii="Times New Roman" w:hAnsi="Times New Roman"/>
          <w:color w:val="auto"/>
          <w:sz w:val="24"/>
          <w:szCs w:val="24"/>
          <w:highlight w:val="none"/>
        </w:rPr>
        <w:t>注：1．本单一式四份：发包人存三份、违约单位存一份。</w:t>
      </w:r>
    </w:p>
    <w:p>
      <w:pPr>
        <w:wordWrap w:val="0"/>
        <w:spacing w:line="360" w:lineRule="auto"/>
        <w:ind w:left="660" w:leftChars="200" w:hanging="240" w:hangingChars="100"/>
        <w:rPr>
          <w:rFonts w:ascii="Times New Roman" w:hAnsi="Times New Roman"/>
          <w:color w:val="auto"/>
          <w:sz w:val="24"/>
          <w:szCs w:val="24"/>
          <w:highlight w:val="none"/>
        </w:rPr>
      </w:pPr>
      <w:r>
        <w:rPr>
          <w:rFonts w:ascii="Times New Roman" w:hAnsi="Times New Roman"/>
          <w:color w:val="auto"/>
          <w:sz w:val="24"/>
          <w:szCs w:val="24"/>
          <w:highlight w:val="none"/>
        </w:rPr>
        <w:t>2．本单对承包人及分包商违约发出的违约处理通知；无论违约单位接受与否，不影响本单的执行。</w:t>
      </w:r>
    </w:p>
    <w:p>
      <w:pPr>
        <w:wordWrap w:val="0"/>
        <w:spacing w:line="360" w:lineRule="auto"/>
        <w:ind w:left="660" w:leftChars="200" w:hanging="240" w:hangingChars="100"/>
        <w:rPr>
          <w:rStyle w:val="102"/>
          <w:color w:val="auto"/>
          <w:sz w:val="28"/>
          <w:szCs w:val="28"/>
          <w:highlight w:val="none"/>
          <w:lang w:val="zh-CN"/>
        </w:rPr>
      </w:pPr>
      <w:r>
        <w:rPr>
          <w:rFonts w:ascii="Times New Roman" w:hAnsi="Times New Roman"/>
          <w:color w:val="auto"/>
          <w:sz w:val="24"/>
          <w:szCs w:val="24"/>
          <w:highlight w:val="none"/>
        </w:rPr>
        <w:t>3．违约处理金额直接在当月的工程进度款中扣除。</w:t>
      </w:r>
      <w:bookmarkStart w:id="1582" w:name="_Toc6253"/>
      <w:bookmarkStart w:id="1583" w:name="_Toc67300379"/>
      <w:bookmarkStart w:id="1584" w:name="_Toc15635"/>
    </w:p>
    <w:p>
      <w:pPr>
        <w:pStyle w:val="52"/>
        <w:spacing w:line="520" w:lineRule="exact"/>
        <w:ind w:firstLine="0" w:firstLineChars="0"/>
        <w:jc w:val="both"/>
        <w:outlineLvl w:val="0"/>
        <w:rPr>
          <w:rStyle w:val="102"/>
          <w:color w:val="auto"/>
          <w:sz w:val="28"/>
          <w:szCs w:val="28"/>
          <w:highlight w:val="none"/>
          <w:lang w:val="zh-CN"/>
        </w:rPr>
      </w:pPr>
    </w:p>
    <w:p>
      <w:pPr>
        <w:pStyle w:val="52"/>
        <w:spacing w:line="520" w:lineRule="exact"/>
        <w:ind w:firstLine="0" w:firstLineChars="0"/>
        <w:jc w:val="both"/>
        <w:outlineLvl w:val="0"/>
        <w:rPr>
          <w:rStyle w:val="102"/>
          <w:color w:val="auto"/>
          <w:sz w:val="28"/>
          <w:szCs w:val="28"/>
          <w:highlight w:val="none"/>
          <w:lang w:val="zh-CN"/>
        </w:rPr>
      </w:pPr>
    </w:p>
    <w:p>
      <w:pPr>
        <w:pStyle w:val="52"/>
        <w:spacing w:line="520" w:lineRule="exact"/>
        <w:ind w:firstLine="0" w:firstLineChars="0"/>
        <w:jc w:val="both"/>
        <w:outlineLvl w:val="0"/>
        <w:rPr>
          <w:rStyle w:val="102"/>
          <w:color w:val="auto"/>
          <w:sz w:val="28"/>
          <w:szCs w:val="28"/>
          <w:highlight w:val="none"/>
          <w:lang w:val="zh-CN"/>
        </w:rPr>
      </w:pPr>
    </w:p>
    <w:p>
      <w:pPr>
        <w:pStyle w:val="52"/>
        <w:spacing w:line="520" w:lineRule="exact"/>
        <w:ind w:firstLine="0" w:firstLineChars="0"/>
        <w:jc w:val="both"/>
        <w:outlineLvl w:val="0"/>
        <w:rPr>
          <w:rStyle w:val="102"/>
          <w:color w:val="auto"/>
          <w:sz w:val="28"/>
          <w:szCs w:val="28"/>
          <w:highlight w:val="none"/>
          <w:lang w:val="zh-CN"/>
        </w:rPr>
      </w:pPr>
    </w:p>
    <w:p>
      <w:pPr>
        <w:pStyle w:val="52"/>
        <w:spacing w:line="520" w:lineRule="exact"/>
        <w:ind w:firstLine="0" w:firstLineChars="0"/>
        <w:jc w:val="both"/>
        <w:outlineLvl w:val="0"/>
        <w:rPr>
          <w:rStyle w:val="102"/>
          <w:color w:val="auto"/>
          <w:sz w:val="28"/>
          <w:szCs w:val="28"/>
          <w:highlight w:val="none"/>
          <w:lang w:val="zh-CN"/>
        </w:rPr>
      </w:pPr>
    </w:p>
    <w:p>
      <w:pPr>
        <w:pStyle w:val="52"/>
        <w:spacing w:line="520" w:lineRule="exact"/>
        <w:ind w:firstLine="0" w:firstLineChars="0"/>
        <w:jc w:val="both"/>
        <w:outlineLvl w:val="0"/>
        <w:rPr>
          <w:rStyle w:val="102"/>
          <w:color w:val="auto"/>
          <w:sz w:val="28"/>
          <w:szCs w:val="28"/>
          <w:highlight w:val="none"/>
          <w:lang w:val="zh-CN"/>
        </w:rPr>
      </w:pPr>
    </w:p>
    <w:p>
      <w:pPr>
        <w:pStyle w:val="52"/>
        <w:spacing w:line="520" w:lineRule="exact"/>
        <w:ind w:firstLine="0" w:firstLineChars="0"/>
        <w:jc w:val="both"/>
        <w:outlineLvl w:val="0"/>
        <w:rPr>
          <w:rStyle w:val="102"/>
          <w:color w:val="auto"/>
          <w:sz w:val="28"/>
          <w:szCs w:val="28"/>
          <w:highlight w:val="none"/>
          <w:lang w:val="zh-CN"/>
        </w:rPr>
      </w:pPr>
    </w:p>
    <w:p>
      <w:pPr>
        <w:pStyle w:val="52"/>
        <w:spacing w:line="520" w:lineRule="exact"/>
        <w:ind w:firstLine="0" w:firstLineChars="0"/>
        <w:jc w:val="both"/>
        <w:outlineLvl w:val="0"/>
        <w:rPr>
          <w:rStyle w:val="102"/>
          <w:color w:val="auto"/>
          <w:sz w:val="28"/>
          <w:szCs w:val="28"/>
          <w:highlight w:val="none"/>
          <w:lang w:val="zh-CN"/>
        </w:rPr>
      </w:pPr>
      <w:bookmarkStart w:id="1585" w:name="_Toc22535"/>
      <w:r>
        <w:rPr>
          <w:rStyle w:val="102"/>
          <w:rFonts w:hint="eastAsia"/>
          <w:color w:val="auto"/>
          <w:sz w:val="28"/>
          <w:szCs w:val="28"/>
          <w:highlight w:val="none"/>
          <w:lang w:val="zh-CN"/>
        </w:rPr>
        <w:t>附件1</w:t>
      </w:r>
      <w:r>
        <w:rPr>
          <w:rStyle w:val="102"/>
          <w:rFonts w:hint="eastAsia" w:eastAsia="宋体"/>
          <w:color w:val="auto"/>
          <w:sz w:val="28"/>
          <w:szCs w:val="28"/>
          <w:highlight w:val="none"/>
          <w:lang w:val="en-US" w:eastAsia="zh-CN"/>
        </w:rPr>
        <w:t>3</w:t>
      </w:r>
      <w:r>
        <w:rPr>
          <w:rStyle w:val="102"/>
          <w:rFonts w:hint="eastAsia"/>
          <w:color w:val="auto"/>
          <w:sz w:val="28"/>
          <w:szCs w:val="28"/>
          <w:highlight w:val="none"/>
          <w:lang w:val="zh-CN"/>
        </w:rPr>
        <w:t>：项目管理班子及其他管理人员配备情况表</w:t>
      </w:r>
      <w:bookmarkEnd w:id="1582"/>
      <w:r>
        <w:rPr>
          <w:rStyle w:val="102"/>
          <w:rFonts w:hint="eastAsia"/>
          <w:color w:val="auto"/>
          <w:sz w:val="28"/>
          <w:szCs w:val="28"/>
          <w:highlight w:val="none"/>
          <w:lang w:val="zh-CN"/>
        </w:rPr>
        <w:t>（按投标文件）</w:t>
      </w:r>
      <w:bookmarkEnd w:id="1583"/>
      <w:bookmarkEnd w:id="1584"/>
      <w:bookmarkEnd w:id="1585"/>
    </w:p>
    <w:p>
      <w:pPr>
        <w:spacing w:line="520" w:lineRule="exact"/>
        <w:rPr>
          <w:rFonts w:ascii="Times New Roman" w:hAnsi="Times New Roman"/>
          <w:b/>
          <w:bCs/>
          <w:color w:val="auto"/>
          <w:sz w:val="30"/>
          <w:szCs w:val="30"/>
          <w:highlight w:val="none"/>
        </w:rPr>
      </w:pPr>
    </w:p>
    <w:p>
      <w:pPr>
        <w:spacing w:line="520" w:lineRule="exact"/>
        <w:rPr>
          <w:rFonts w:ascii="Times New Roman" w:hAnsi="Times New Roman"/>
          <w:b/>
          <w:bCs/>
          <w:color w:val="auto"/>
          <w:sz w:val="30"/>
          <w:szCs w:val="30"/>
          <w:highlight w:val="none"/>
        </w:rPr>
      </w:pPr>
    </w:p>
    <w:p>
      <w:pPr>
        <w:spacing w:line="520" w:lineRule="exact"/>
        <w:rPr>
          <w:rFonts w:ascii="Times New Roman" w:hAnsi="Times New Roman"/>
          <w:b/>
          <w:bCs/>
          <w:color w:val="auto"/>
          <w:sz w:val="30"/>
          <w:szCs w:val="30"/>
          <w:highlight w:val="none"/>
        </w:rPr>
      </w:pPr>
    </w:p>
    <w:p>
      <w:pPr>
        <w:spacing w:line="520" w:lineRule="exact"/>
        <w:rPr>
          <w:rFonts w:ascii="Times New Roman" w:hAnsi="Times New Roman"/>
          <w:b/>
          <w:bCs/>
          <w:color w:val="auto"/>
          <w:sz w:val="30"/>
          <w:szCs w:val="30"/>
          <w:highlight w:val="none"/>
        </w:rPr>
      </w:pPr>
    </w:p>
    <w:p>
      <w:pPr>
        <w:spacing w:line="520" w:lineRule="exact"/>
        <w:rPr>
          <w:rFonts w:ascii="Times New Roman" w:hAnsi="Times New Roman"/>
          <w:b/>
          <w:bCs/>
          <w:color w:val="auto"/>
          <w:sz w:val="30"/>
          <w:szCs w:val="30"/>
          <w:highlight w:val="none"/>
        </w:rPr>
      </w:pPr>
    </w:p>
    <w:p>
      <w:pPr>
        <w:spacing w:line="520" w:lineRule="exact"/>
        <w:rPr>
          <w:rFonts w:ascii="Times New Roman" w:hAnsi="Times New Roman"/>
          <w:b/>
          <w:bCs/>
          <w:color w:val="auto"/>
          <w:sz w:val="30"/>
          <w:szCs w:val="30"/>
          <w:highlight w:val="none"/>
        </w:rPr>
      </w:pPr>
    </w:p>
    <w:p>
      <w:pPr>
        <w:spacing w:line="520" w:lineRule="exact"/>
        <w:rPr>
          <w:rFonts w:ascii="Times New Roman" w:hAnsi="Times New Roman"/>
          <w:b/>
          <w:bCs/>
          <w:color w:val="auto"/>
          <w:sz w:val="30"/>
          <w:szCs w:val="30"/>
          <w:highlight w:val="none"/>
        </w:rPr>
      </w:pPr>
    </w:p>
    <w:p>
      <w:pPr>
        <w:spacing w:line="520" w:lineRule="exact"/>
        <w:rPr>
          <w:rFonts w:ascii="Times New Roman" w:hAnsi="Times New Roman"/>
          <w:b/>
          <w:bCs/>
          <w:color w:val="auto"/>
          <w:sz w:val="30"/>
          <w:szCs w:val="30"/>
          <w:highlight w:val="none"/>
        </w:rPr>
      </w:pPr>
    </w:p>
    <w:p>
      <w:pPr>
        <w:spacing w:line="520" w:lineRule="exact"/>
        <w:rPr>
          <w:rFonts w:ascii="Times New Roman" w:hAnsi="Times New Roman"/>
          <w:b/>
          <w:bCs/>
          <w:color w:val="auto"/>
          <w:sz w:val="30"/>
          <w:szCs w:val="30"/>
          <w:highlight w:val="none"/>
        </w:rPr>
      </w:pPr>
    </w:p>
    <w:p>
      <w:pPr>
        <w:spacing w:line="520" w:lineRule="exact"/>
        <w:rPr>
          <w:rFonts w:ascii="Times New Roman" w:hAnsi="Times New Roman"/>
          <w:b/>
          <w:bCs/>
          <w:color w:val="auto"/>
          <w:sz w:val="30"/>
          <w:szCs w:val="30"/>
          <w:highlight w:val="none"/>
        </w:rPr>
      </w:pPr>
    </w:p>
    <w:p>
      <w:pPr>
        <w:spacing w:line="520" w:lineRule="exact"/>
        <w:rPr>
          <w:rFonts w:ascii="Times New Roman" w:hAnsi="Times New Roman"/>
          <w:b/>
          <w:bCs/>
          <w:color w:val="auto"/>
          <w:sz w:val="30"/>
          <w:szCs w:val="30"/>
          <w:highlight w:val="none"/>
        </w:rPr>
      </w:pPr>
    </w:p>
    <w:p>
      <w:pPr>
        <w:spacing w:line="520" w:lineRule="exact"/>
        <w:rPr>
          <w:rFonts w:ascii="Times New Roman" w:hAnsi="Times New Roman"/>
          <w:b/>
          <w:bCs/>
          <w:color w:val="auto"/>
          <w:sz w:val="30"/>
          <w:szCs w:val="30"/>
          <w:highlight w:val="none"/>
        </w:rPr>
      </w:pPr>
    </w:p>
    <w:p>
      <w:pPr>
        <w:spacing w:line="520" w:lineRule="exact"/>
        <w:rPr>
          <w:rFonts w:ascii="Times New Roman" w:hAnsi="Times New Roman"/>
          <w:b/>
          <w:bCs/>
          <w:color w:val="auto"/>
          <w:sz w:val="30"/>
          <w:szCs w:val="30"/>
          <w:highlight w:val="none"/>
        </w:rPr>
      </w:pPr>
    </w:p>
    <w:p>
      <w:pPr>
        <w:spacing w:line="520" w:lineRule="exact"/>
        <w:rPr>
          <w:rFonts w:ascii="Times New Roman" w:hAnsi="Times New Roman"/>
          <w:b/>
          <w:bCs/>
          <w:color w:val="auto"/>
          <w:sz w:val="30"/>
          <w:szCs w:val="30"/>
          <w:highlight w:val="none"/>
        </w:rPr>
      </w:pPr>
    </w:p>
    <w:p>
      <w:pPr>
        <w:rPr>
          <w:rFonts w:ascii="Times New Roman" w:hAnsi="Times New Roman"/>
          <w:color w:val="auto"/>
          <w:highlight w:val="none"/>
        </w:rPr>
      </w:pPr>
    </w:p>
    <w:p>
      <w:pPr>
        <w:pStyle w:val="52"/>
        <w:ind w:firstLine="0" w:firstLineChars="0"/>
        <w:jc w:val="both"/>
        <w:outlineLvl w:val="0"/>
        <w:rPr>
          <w:rStyle w:val="102"/>
          <w:color w:val="auto"/>
          <w:sz w:val="28"/>
          <w:szCs w:val="28"/>
          <w:highlight w:val="none"/>
          <w:lang w:val="zh-CN"/>
        </w:rPr>
        <w:sectPr>
          <w:headerReference r:id="rId9" w:type="first"/>
          <w:footerReference r:id="rId11" w:type="first"/>
          <w:headerReference r:id="rId8" w:type="default"/>
          <w:footerReference r:id="rId10" w:type="default"/>
          <w:type w:val="continuous"/>
          <w:pgSz w:w="11906" w:h="16838"/>
          <w:pgMar w:top="1418" w:right="1554" w:bottom="1418" w:left="1531" w:header="851" w:footer="992" w:gutter="0"/>
          <w:pgNumType w:fmt="decimal"/>
          <w:cols w:space="720" w:num="1"/>
          <w:titlePg/>
          <w:docGrid w:type="lines" w:linePitch="312" w:charSpace="0"/>
        </w:sectPr>
      </w:pPr>
      <w:bookmarkStart w:id="1586" w:name="_Toc67300380"/>
      <w:bookmarkStart w:id="1587" w:name="_Toc29346"/>
      <w:bookmarkStart w:id="1588" w:name="_Toc3557"/>
    </w:p>
    <w:bookmarkEnd w:id="1586"/>
    <w:bookmarkEnd w:id="1587"/>
    <w:bookmarkEnd w:id="1588"/>
    <w:p>
      <w:pPr>
        <w:spacing w:line="520" w:lineRule="exact"/>
        <w:rPr>
          <w:rFonts w:ascii="Times New Roman" w:hAnsi="Times New Roman"/>
          <w:b/>
          <w:bCs/>
          <w:color w:val="auto"/>
          <w:sz w:val="30"/>
          <w:szCs w:val="30"/>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spacing w:line="520" w:lineRule="exact"/>
        <w:rPr>
          <w:rFonts w:ascii="Times New Roman" w:hAnsi="Times New Roman"/>
          <w:b/>
          <w:bCs/>
          <w:color w:val="auto"/>
          <w:sz w:val="30"/>
          <w:szCs w:val="30"/>
          <w:highlight w:val="none"/>
        </w:rPr>
      </w:pPr>
      <w:r>
        <w:rPr>
          <w:rFonts w:ascii="Times New Roman" w:hAnsi="Times New Roman"/>
          <w:color w:val="auto"/>
          <w:highlight w:val="none"/>
        </w:rPr>
        <w:br w:type="page"/>
      </w:r>
      <w:bookmarkStart w:id="1589" w:name="_Toc16661"/>
    </w:p>
    <w:p>
      <w:pPr>
        <w:pStyle w:val="52"/>
        <w:ind w:firstLine="0" w:firstLineChars="0"/>
        <w:jc w:val="both"/>
        <w:outlineLvl w:val="0"/>
        <w:rPr>
          <w:rStyle w:val="102"/>
          <w:color w:val="auto"/>
          <w:sz w:val="28"/>
          <w:szCs w:val="28"/>
          <w:highlight w:val="none"/>
          <w:lang w:val="zh-CN"/>
        </w:rPr>
        <w:sectPr>
          <w:type w:val="continuous"/>
          <w:pgSz w:w="11906" w:h="16838"/>
          <w:pgMar w:top="1418" w:right="1554" w:bottom="1418" w:left="1531" w:header="851" w:footer="992" w:gutter="0"/>
          <w:pgNumType w:fmt="decimal"/>
          <w:cols w:space="720" w:num="1"/>
          <w:titlePg/>
          <w:docGrid w:type="lines" w:linePitch="312" w:charSpace="0"/>
        </w:sectPr>
      </w:pPr>
      <w:bookmarkStart w:id="1590" w:name="_Toc28961"/>
      <w:bookmarkStart w:id="1591" w:name="_Toc67300381"/>
    </w:p>
    <w:bookmarkEnd w:id="1589"/>
    <w:bookmarkEnd w:id="1590"/>
    <w:bookmarkEnd w:id="1591"/>
    <w:p>
      <w:pPr>
        <w:pStyle w:val="52"/>
        <w:ind w:firstLine="0" w:firstLineChars="0"/>
        <w:jc w:val="both"/>
        <w:outlineLvl w:val="0"/>
        <w:rPr>
          <w:rStyle w:val="102"/>
          <w:color w:val="auto"/>
          <w:sz w:val="28"/>
          <w:szCs w:val="28"/>
          <w:highlight w:val="none"/>
          <w:lang w:val="zh-CN"/>
        </w:rPr>
      </w:pPr>
      <w:r>
        <w:rPr>
          <w:rStyle w:val="102"/>
          <w:rFonts w:hint="eastAsia"/>
          <w:color w:val="auto"/>
          <w:sz w:val="28"/>
          <w:szCs w:val="28"/>
          <w:highlight w:val="none"/>
          <w:lang w:val="zh-CN"/>
        </w:rPr>
        <w:t>附件1</w:t>
      </w:r>
      <w:r>
        <w:rPr>
          <w:rStyle w:val="102"/>
          <w:rFonts w:hint="eastAsia" w:eastAsia="宋体"/>
          <w:color w:val="auto"/>
          <w:sz w:val="28"/>
          <w:szCs w:val="28"/>
          <w:highlight w:val="none"/>
          <w:lang w:val="en-US" w:eastAsia="zh-CN"/>
        </w:rPr>
        <w:t>4</w:t>
      </w:r>
      <w:r>
        <w:rPr>
          <w:rStyle w:val="102"/>
          <w:color w:val="auto"/>
          <w:sz w:val="28"/>
          <w:szCs w:val="28"/>
          <w:highlight w:val="none"/>
          <w:lang w:val="zh-CN"/>
        </w:rPr>
        <w:t>：《广东粤海控股集团有限公司工程建设承包商安全生产违规行为管理暂行办法》（另册）</w:t>
      </w: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pStyle w:val="52"/>
        <w:ind w:firstLine="0" w:firstLineChars="0"/>
        <w:jc w:val="both"/>
        <w:outlineLvl w:val="0"/>
        <w:rPr>
          <w:rStyle w:val="102"/>
          <w:color w:val="auto"/>
          <w:sz w:val="28"/>
          <w:szCs w:val="28"/>
          <w:highlight w:val="none"/>
          <w:lang w:val="zh-CN"/>
        </w:rPr>
      </w:pPr>
    </w:p>
    <w:p>
      <w:pPr>
        <w:rPr>
          <w:rFonts w:ascii="Times New Roman" w:hAnsi="Times New Roman"/>
          <w:color w:val="auto"/>
          <w:highlight w:val="none"/>
        </w:rPr>
      </w:pPr>
    </w:p>
    <w:bookmarkEnd w:id="1592"/>
    <w:sectPr>
      <w:type w:val="continuous"/>
      <w:pgSz w:w="11906" w:h="16838"/>
      <w:pgMar w:top="1418" w:right="1554"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190</w:t>
                          </w:r>
                          <w:r>
                            <w:rPr>
                              <w:sz w:val="20"/>
                              <w:szCs w:val="20"/>
                            </w:rPr>
                            <w:fldChar w:fldCharType="end"/>
                          </w:r>
                          <w:r>
                            <w:rPr>
                              <w:sz w:val="20"/>
                              <w:szCs w:val="2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4"/>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190</w:t>
                    </w:r>
                    <w:r>
                      <w:rPr>
                        <w:sz w:val="20"/>
                        <w:szCs w:val="20"/>
                      </w:rPr>
                      <w:fldChar w:fldCharType="end"/>
                    </w:r>
                    <w:r>
                      <w:rPr>
                        <w:sz w:val="20"/>
                        <w:szCs w:val="20"/>
                      </w:rPr>
                      <w:t xml:space="preserve"> 页</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jc w:val="right"/>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OeHo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FOeHotAgAAVwQAAA4AAAAAAAAAAQAgAAAAHwEAAGRycy9lMm9Eb2MueG1sUEsFBgAAAAAG&#10;AAYAWQEAAL4FAAAAAA==&#10;">
              <v:fill on="f" focussize="0,0"/>
              <v:stroke on="f" weight="0.5pt"/>
              <v:imagedata o:title=""/>
              <o:lock v:ext="edit" aspectratio="f"/>
              <v:textbox inset="0mm,0mm,0mm,0mm" style="mso-fit-shape-to-text:t;">
                <w:txbxContent>
                  <w:p>
                    <w:pPr>
                      <w:pStyle w:val="24"/>
                      <w:jc w:val="right"/>
                    </w:pPr>
                  </w:p>
                  <w:p/>
                </w:txbxContent>
              </v:textbox>
            </v:shape>
          </w:pict>
        </mc:Fallback>
      </mc:AlternateContent>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61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190</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UHo8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tUHo8tAgAAVwQAAA4AAAAAAAAAAQAgAAAAHwEAAGRycy9lMm9Eb2MueG1sUEsFBgAAAAAG&#10;AAYAWQEAAL4FAAAAAA==&#10;">
              <v:fill on="f" focussize="0,0"/>
              <v:stroke on="f" weight="0.5pt"/>
              <v:imagedata o:title=""/>
              <o:lock v:ext="edit" aspectratio="f"/>
              <v:textbox inset="0mm,0mm,0mm,0mm" style="mso-fit-shape-to-text:t;">
                <w:txbxContent>
                  <w:p>
                    <w:pPr>
                      <w:pStyle w:val="24"/>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61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190</w:t>
                    </w:r>
                    <w:r>
                      <w:rPr>
                        <w:sz w:val="21"/>
                        <w:szCs w:val="21"/>
                      </w:rPr>
                      <w:fldChar w:fldCharType="end"/>
                    </w:r>
                    <w:r>
                      <w:rPr>
                        <w:sz w:val="21"/>
                        <w:szCs w:val="21"/>
                      </w:rPr>
                      <w:t xml:space="preserve"> 页</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jc w:val="right"/>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GCXg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wYJeCwCAABXBAAADgAAAAAAAAABACAAAAAfAQAAZHJzL2Uyb0RvYy54bWxQSwUGAAAAAAYA&#10;BgBZAQAAvQUAAAAA&#10;">
              <v:fill on="f" focussize="0,0"/>
              <v:stroke on="f" weight="0.5pt"/>
              <v:imagedata o:title=""/>
              <o:lock v:ext="edit" aspectratio="f"/>
              <v:textbox inset="0mm,0mm,0mm,0mm" style="mso-fit-shape-to-text:t;">
                <w:txbxContent>
                  <w:p>
                    <w:pPr>
                      <w:pStyle w:val="24"/>
                      <w:jc w:val="right"/>
                    </w:pPr>
                  </w:p>
                  <w:p/>
                </w:txbxContent>
              </v:textbox>
            </v:shape>
          </w:pict>
        </mc:Fallback>
      </mc:AlternateContent>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171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190</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L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LgtAgAAVwQAAA4AAAAAAAAAAQAgAAAAHwEAAGRycy9lMm9Eb2MueG1sUEsFBgAAAAAG&#10;AAYAWQEAAL4FAAAAAA==&#10;">
              <v:fill on="f" focussize="0,0"/>
              <v:stroke on="f" weight="0.5pt"/>
              <v:imagedata o:title=""/>
              <o:lock v:ext="edit" aspectratio="f"/>
              <v:textbox inset="0mm,0mm,0mm,0mm" style="mso-fit-shape-to-text:t;">
                <w:txbxContent>
                  <w:p>
                    <w:pPr>
                      <w:pStyle w:val="24"/>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171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190</w:t>
                    </w:r>
                    <w:r>
                      <w:rPr>
                        <w:sz w:val="21"/>
                        <w:szCs w:val="21"/>
                      </w:rPr>
                      <w:fldChar w:fldCharType="end"/>
                    </w:r>
                    <w:r>
                      <w:rPr>
                        <w:sz w:val="21"/>
                        <w:szCs w:val="21"/>
                      </w:rP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DKzo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Z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DKzotAgAAVwQAAA4AAAAAAAAAAQAgAAAAHwEAAGRycy9lMm9Eb2MueG1sUEsFBgAAAAAG&#10;AAYAWQEAAL4FAAAAAA==&#10;">
              <v:fill on="f" focussize="0,0"/>
              <v:stroke on="f" weight="0.5pt"/>
              <v:imagedata o:title=""/>
              <o:lock v:ext="edit" aspectratio="f"/>
              <v:textbox inset="0mm,0mm,0mm,0mm" style="mso-fit-shape-to-text:t;">
                <w:txbxContent>
                  <w:p>
                    <w:pPr>
                      <w:pStyle w:val="24"/>
                      <w:jc w:val="center"/>
                    </w:pPr>
                  </w:p>
                  <w:p/>
                </w:txbxContent>
              </v:textbox>
            </v:shape>
          </w:pict>
        </mc:Fallback>
      </mc:AlternateContent>
    </w:r>
  </w:p>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187</w:t>
                          </w:r>
                          <w:r>
                            <w:fldChar w:fldCharType="end"/>
                          </w:r>
                          <w:r>
                            <w:t xml:space="preserve"> 页 共 </w:t>
                          </w:r>
                          <w:r>
                            <w:fldChar w:fldCharType="begin"/>
                          </w:r>
                          <w:r>
                            <w:instrText xml:space="preserve"> NUMPAGES  \* MERGEFORMAT </w:instrText>
                          </w:r>
                          <w:r>
                            <w:fldChar w:fldCharType="separate"/>
                          </w:r>
                          <w:r>
                            <w:t>190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2NaI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Y2NaItAgAAVwQAAA4AAAAAAAAAAQAgAAAAHwEAAGRycy9lMm9Eb2MueG1sUEsFBgAAAAAG&#10;AAYAWQEAAL4FA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187</w:t>
                    </w:r>
                    <w:r>
                      <w:fldChar w:fldCharType="end"/>
                    </w:r>
                    <w:r>
                      <w:t xml:space="preserve"> 页 共 </w:t>
                    </w:r>
                    <w:r>
                      <w:fldChar w:fldCharType="begin"/>
                    </w:r>
                    <w:r>
                      <w:instrText xml:space="preserve"> NUMPAGES  \* MERGEFORMAT </w:instrText>
                    </w:r>
                    <w:r>
                      <w:fldChar w:fldCharType="separate"/>
                    </w:r>
                    <w:r>
                      <w:t>190</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V3vo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u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dXe+iwCAABXBAAADgAAAAAAAAABACAAAAAfAQAAZHJzL2Uyb0RvYy54bWxQSwUGAAAAAAYA&#10;BgBZAQAAvQUAAAAA&#10;">
              <v:fill on="f" focussize="0,0"/>
              <v:stroke on="f" weight="0.5pt"/>
              <v:imagedata o:title=""/>
              <o:lock v:ext="edit" aspectratio="f"/>
              <v:textbox inset="0mm,0mm,0mm,0mm" style="mso-fit-shape-to-text:t;">
                <w:txbxContent>
                  <w:p>
                    <w:pPr>
                      <w:pStyle w:val="24"/>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left"/>
      <w:rPr>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0"/>
        <w:left w:val="none" w:color="auto" w:sz="0" w:space="0"/>
        <w:bottom w:val="none" w:color="auto" w:sz="0" w:space="1"/>
        <w:right w:val="none" w:color="auto" w:sz="0" w:space="0"/>
        <w:between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C9050"/>
    <w:multiLevelType w:val="singleLevel"/>
    <w:tmpl w:val="85AC9050"/>
    <w:lvl w:ilvl="0" w:tentative="0">
      <w:start w:val="1"/>
      <w:numFmt w:val="decimal"/>
      <w:lvlText w:val="%1)"/>
      <w:lvlJc w:val="left"/>
      <w:pPr>
        <w:ind w:left="420" w:hanging="420"/>
      </w:pPr>
      <w:rPr>
        <w:rFonts w:hint="default"/>
        <w:sz w:val="24"/>
        <w:szCs w:val="24"/>
      </w:rPr>
    </w:lvl>
  </w:abstractNum>
  <w:abstractNum w:abstractNumId="1">
    <w:nsid w:val="8619C7A3"/>
    <w:multiLevelType w:val="singleLevel"/>
    <w:tmpl w:val="8619C7A3"/>
    <w:lvl w:ilvl="0" w:tentative="0">
      <w:start w:val="1"/>
      <w:numFmt w:val="decimal"/>
      <w:lvlText w:val="%1)"/>
      <w:lvlJc w:val="left"/>
      <w:pPr>
        <w:ind w:left="420" w:hanging="420"/>
      </w:pPr>
      <w:rPr>
        <w:rFonts w:hint="default"/>
        <w:sz w:val="24"/>
        <w:szCs w:val="24"/>
      </w:rPr>
    </w:lvl>
  </w:abstractNum>
  <w:abstractNum w:abstractNumId="2">
    <w:nsid w:val="8B2041B5"/>
    <w:multiLevelType w:val="singleLevel"/>
    <w:tmpl w:val="8B2041B5"/>
    <w:lvl w:ilvl="0" w:tentative="0">
      <w:start w:val="1"/>
      <w:numFmt w:val="decimal"/>
      <w:lvlText w:val="%1)"/>
      <w:lvlJc w:val="left"/>
      <w:pPr>
        <w:ind w:left="420" w:hanging="420"/>
      </w:pPr>
      <w:rPr>
        <w:rFonts w:hint="default"/>
        <w:sz w:val="24"/>
        <w:szCs w:val="24"/>
      </w:rPr>
    </w:lvl>
  </w:abstractNum>
  <w:abstractNum w:abstractNumId="3">
    <w:nsid w:val="8D3433D5"/>
    <w:multiLevelType w:val="multilevel"/>
    <w:tmpl w:val="8D3433D5"/>
    <w:lvl w:ilvl="0" w:tentative="0">
      <w:start w:val="1"/>
      <w:numFmt w:val="decimal"/>
      <w:lvlText w:val="%1."/>
      <w:lvlJc w:val="left"/>
      <w:pPr>
        <w:ind w:left="425" w:hanging="425"/>
      </w:pPr>
      <w:rPr>
        <w:rFonts w:hint="default"/>
      </w:rPr>
    </w:lvl>
    <w:lvl w:ilvl="1" w:tentative="0">
      <w:start w:val="1"/>
      <w:numFmt w:val="decimal"/>
      <w:pStyle w:val="5"/>
      <w:suff w:val="space"/>
      <w:lvlText w:val="%1.%2."/>
      <w:lvlJc w:val="left"/>
      <w:pPr>
        <w:ind w:left="850" w:hanging="453"/>
      </w:pPr>
      <w:rPr>
        <w:rFonts w:hint="default" w:ascii="Times New Roman" w:hAnsi="Times New Roman" w:eastAsia="宋体" w:cs="Times New Roman"/>
        <w:sz w:val="24"/>
        <w:szCs w:val="24"/>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8DDE3084"/>
    <w:multiLevelType w:val="singleLevel"/>
    <w:tmpl w:val="8DDE3084"/>
    <w:lvl w:ilvl="0" w:tentative="0">
      <w:start w:val="1"/>
      <w:numFmt w:val="decimal"/>
      <w:lvlText w:val="%1)"/>
      <w:lvlJc w:val="left"/>
      <w:pPr>
        <w:ind w:left="420" w:hanging="420"/>
      </w:pPr>
      <w:rPr>
        <w:rFonts w:hint="default"/>
        <w:sz w:val="24"/>
        <w:szCs w:val="24"/>
      </w:rPr>
    </w:lvl>
  </w:abstractNum>
  <w:abstractNum w:abstractNumId="5">
    <w:nsid w:val="90D74EB5"/>
    <w:multiLevelType w:val="singleLevel"/>
    <w:tmpl w:val="90D74EB5"/>
    <w:lvl w:ilvl="0" w:tentative="0">
      <w:start w:val="1"/>
      <w:numFmt w:val="decimal"/>
      <w:lvlText w:val="%1)"/>
      <w:lvlJc w:val="left"/>
      <w:pPr>
        <w:ind w:left="420" w:hanging="420"/>
      </w:pPr>
      <w:rPr>
        <w:rFonts w:hint="default"/>
        <w:sz w:val="24"/>
        <w:szCs w:val="24"/>
      </w:rPr>
    </w:lvl>
  </w:abstractNum>
  <w:abstractNum w:abstractNumId="6">
    <w:nsid w:val="9177DAD3"/>
    <w:multiLevelType w:val="singleLevel"/>
    <w:tmpl w:val="9177DAD3"/>
    <w:lvl w:ilvl="0" w:tentative="0">
      <w:start w:val="1"/>
      <w:numFmt w:val="decimal"/>
      <w:lvlText w:val="%1)"/>
      <w:lvlJc w:val="left"/>
      <w:pPr>
        <w:ind w:left="420" w:hanging="420"/>
      </w:pPr>
      <w:rPr>
        <w:rFonts w:hint="default"/>
        <w:sz w:val="24"/>
        <w:szCs w:val="24"/>
      </w:rPr>
    </w:lvl>
  </w:abstractNum>
  <w:abstractNum w:abstractNumId="7">
    <w:nsid w:val="9D1DB584"/>
    <w:multiLevelType w:val="singleLevel"/>
    <w:tmpl w:val="9D1DB584"/>
    <w:lvl w:ilvl="0" w:tentative="0">
      <w:start w:val="1"/>
      <w:numFmt w:val="decimal"/>
      <w:lvlText w:val="%1)"/>
      <w:lvlJc w:val="left"/>
      <w:pPr>
        <w:ind w:left="420" w:hanging="420"/>
      </w:pPr>
      <w:rPr>
        <w:rFonts w:hint="default"/>
        <w:sz w:val="24"/>
        <w:szCs w:val="24"/>
      </w:rPr>
    </w:lvl>
  </w:abstractNum>
  <w:abstractNum w:abstractNumId="8">
    <w:nsid w:val="9E948260"/>
    <w:multiLevelType w:val="singleLevel"/>
    <w:tmpl w:val="9E948260"/>
    <w:lvl w:ilvl="0" w:tentative="0">
      <w:start w:val="1"/>
      <w:numFmt w:val="decimal"/>
      <w:lvlText w:val="%1)"/>
      <w:lvlJc w:val="left"/>
      <w:pPr>
        <w:ind w:left="420" w:hanging="420"/>
      </w:pPr>
      <w:rPr>
        <w:rFonts w:hint="default"/>
        <w:sz w:val="24"/>
        <w:szCs w:val="24"/>
      </w:rPr>
    </w:lvl>
  </w:abstractNum>
  <w:abstractNum w:abstractNumId="9">
    <w:nsid w:val="9FB6F11A"/>
    <w:multiLevelType w:val="singleLevel"/>
    <w:tmpl w:val="9FB6F11A"/>
    <w:lvl w:ilvl="0" w:tentative="0">
      <w:start w:val="1"/>
      <w:numFmt w:val="decimal"/>
      <w:lvlText w:val="%1)"/>
      <w:lvlJc w:val="left"/>
      <w:pPr>
        <w:ind w:left="420" w:hanging="420"/>
      </w:pPr>
      <w:rPr>
        <w:rFonts w:hint="default"/>
        <w:sz w:val="24"/>
        <w:szCs w:val="24"/>
      </w:rPr>
    </w:lvl>
  </w:abstractNum>
  <w:abstractNum w:abstractNumId="10">
    <w:nsid w:val="A2A6C25C"/>
    <w:multiLevelType w:val="singleLevel"/>
    <w:tmpl w:val="A2A6C25C"/>
    <w:lvl w:ilvl="0" w:tentative="0">
      <w:start w:val="1"/>
      <w:numFmt w:val="decimal"/>
      <w:lvlText w:val="%1)"/>
      <w:lvlJc w:val="left"/>
      <w:pPr>
        <w:ind w:left="420" w:hanging="420"/>
      </w:pPr>
      <w:rPr>
        <w:rFonts w:hint="default"/>
        <w:sz w:val="24"/>
        <w:szCs w:val="24"/>
      </w:rPr>
    </w:lvl>
  </w:abstractNum>
  <w:abstractNum w:abstractNumId="11">
    <w:nsid w:val="AC9FE1B7"/>
    <w:multiLevelType w:val="singleLevel"/>
    <w:tmpl w:val="AC9FE1B7"/>
    <w:lvl w:ilvl="0" w:tentative="0">
      <w:start w:val="1"/>
      <w:numFmt w:val="decimal"/>
      <w:lvlText w:val="%1)"/>
      <w:lvlJc w:val="left"/>
      <w:pPr>
        <w:ind w:left="420" w:hanging="420"/>
      </w:pPr>
      <w:rPr>
        <w:rFonts w:hint="default"/>
        <w:sz w:val="24"/>
        <w:szCs w:val="24"/>
      </w:rPr>
    </w:lvl>
  </w:abstractNum>
  <w:abstractNum w:abstractNumId="12">
    <w:nsid w:val="B56470B8"/>
    <w:multiLevelType w:val="singleLevel"/>
    <w:tmpl w:val="B56470B8"/>
    <w:lvl w:ilvl="0" w:tentative="0">
      <w:start w:val="1"/>
      <w:numFmt w:val="decimal"/>
      <w:lvlText w:val="%1)"/>
      <w:lvlJc w:val="left"/>
      <w:pPr>
        <w:ind w:left="420" w:hanging="420"/>
      </w:pPr>
      <w:rPr>
        <w:rFonts w:hint="default"/>
        <w:sz w:val="24"/>
        <w:szCs w:val="24"/>
      </w:rPr>
    </w:lvl>
  </w:abstractNum>
  <w:abstractNum w:abstractNumId="13">
    <w:nsid w:val="BA9AE913"/>
    <w:multiLevelType w:val="multilevel"/>
    <w:tmpl w:val="BA9AE913"/>
    <w:lvl w:ilvl="0" w:tentative="0">
      <w:start w:val="1"/>
      <w:numFmt w:val="decimal"/>
      <w:suff w:val="space"/>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C0F24FB2"/>
    <w:multiLevelType w:val="singleLevel"/>
    <w:tmpl w:val="C0F24FB2"/>
    <w:lvl w:ilvl="0" w:tentative="0">
      <w:start w:val="1"/>
      <w:numFmt w:val="decimal"/>
      <w:lvlText w:val="%1)"/>
      <w:lvlJc w:val="left"/>
      <w:pPr>
        <w:ind w:left="420" w:hanging="420"/>
      </w:pPr>
      <w:rPr>
        <w:rFonts w:hint="default"/>
        <w:sz w:val="24"/>
        <w:szCs w:val="24"/>
      </w:rPr>
    </w:lvl>
  </w:abstractNum>
  <w:abstractNum w:abstractNumId="15">
    <w:nsid w:val="C8D3B3DF"/>
    <w:multiLevelType w:val="multilevel"/>
    <w:tmpl w:val="C8D3B3DF"/>
    <w:lvl w:ilvl="0" w:tentative="0">
      <w:start w:val="1"/>
      <w:numFmt w:val="japaneseCounting"/>
      <w:suff w:val="space"/>
      <w:lvlText w:val="%1、"/>
      <w:lvlJc w:val="left"/>
      <w:pPr>
        <w:ind w:left="480" w:hanging="48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CEB28F11"/>
    <w:multiLevelType w:val="singleLevel"/>
    <w:tmpl w:val="CEB28F11"/>
    <w:lvl w:ilvl="0" w:tentative="0">
      <w:start w:val="1"/>
      <w:numFmt w:val="decimal"/>
      <w:lvlText w:val="%1)"/>
      <w:lvlJc w:val="left"/>
      <w:pPr>
        <w:ind w:left="420" w:hanging="420"/>
      </w:pPr>
      <w:rPr>
        <w:rFonts w:hint="default"/>
        <w:sz w:val="24"/>
        <w:szCs w:val="24"/>
      </w:rPr>
    </w:lvl>
  </w:abstractNum>
  <w:abstractNum w:abstractNumId="17">
    <w:nsid w:val="D55746FF"/>
    <w:multiLevelType w:val="singleLevel"/>
    <w:tmpl w:val="D55746FF"/>
    <w:lvl w:ilvl="0" w:tentative="0">
      <w:start w:val="1"/>
      <w:numFmt w:val="decimal"/>
      <w:lvlText w:val="%1)"/>
      <w:lvlJc w:val="left"/>
      <w:pPr>
        <w:ind w:left="420" w:hanging="420"/>
      </w:pPr>
      <w:rPr>
        <w:rFonts w:hint="default"/>
        <w:sz w:val="24"/>
        <w:szCs w:val="24"/>
      </w:rPr>
    </w:lvl>
  </w:abstractNum>
  <w:abstractNum w:abstractNumId="18">
    <w:nsid w:val="D8ABF3CF"/>
    <w:multiLevelType w:val="singleLevel"/>
    <w:tmpl w:val="D8ABF3CF"/>
    <w:lvl w:ilvl="0" w:tentative="0">
      <w:start w:val="1"/>
      <w:numFmt w:val="decimal"/>
      <w:lvlText w:val="%1)"/>
      <w:lvlJc w:val="left"/>
      <w:pPr>
        <w:ind w:left="420" w:hanging="420"/>
      </w:pPr>
      <w:rPr>
        <w:rFonts w:hint="default"/>
        <w:sz w:val="24"/>
        <w:szCs w:val="24"/>
      </w:rPr>
    </w:lvl>
  </w:abstractNum>
  <w:abstractNum w:abstractNumId="19">
    <w:nsid w:val="E056F849"/>
    <w:multiLevelType w:val="singleLevel"/>
    <w:tmpl w:val="E056F849"/>
    <w:lvl w:ilvl="0" w:tentative="0">
      <w:start w:val="1"/>
      <w:numFmt w:val="decimal"/>
      <w:lvlText w:val="%1)"/>
      <w:lvlJc w:val="left"/>
      <w:pPr>
        <w:ind w:left="420" w:hanging="420"/>
      </w:pPr>
      <w:rPr>
        <w:rFonts w:hint="default"/>
        <w:sz w:val="24"/>
        <w:szCs w:val="24"/>
      </w:rPr>
    </w:lvl>
  </w:abstractNum>
  <w:abstractNum w:abstractNumId="20">
    <w:nsid w:val="F14FDBD4"/>
    <w:multiLevelType w:val="singleLevel"/>
    <w:tmpl w:val="F14FDBD4"/>
    <w:lvl w:ilvl="0" w:tentative="0">
      <w:start w:val="1"/>
      <w:numFmt w:val="decimal"/>
      <w:lvlText w:val="%1)"/>
      <w:lvlJc w:val="left"/>
      <w:pPr>
        <w:ind w:left="420" w:hanging="420"/>
      </w:pPr>
      <w:rPr>
        <w:rFonts w:hint="default"/>
        <w:sz w:val="24"/>
        <w:szCs w:val="24"/>
      </w:rPr>
    </w:lvl>
  </w:abstractNum>
  <w:abstractNum w:abstractNumId="21">
    <w:nsid w:val="F4EAFFF0"/>
    <w:multiLevelType w:val="singleLevel"/>
    <w:tmpl w:val="F4EAFFF0"/>
    <w:lvl w:ilvl="0" w:tentative="0">
      <w:start w:val="1"/>
      <w:numFmt w:val="decimal"/>
      <w:lvlText w:val="%1)"/>
      <w:lvlJc w:val="left"/>
      <w:pPr>
        <w:ind w:left="420" w:hanging="420"/>
      </w:pPr>
      <w:rPr>
        <w:rFonts w:hint="default"/>
        <w:sz w:val="24"/>
        <w:szCs w:val="24"/>
      </w:rPr>
    </w:lvl>
  </w:abstractNum>
  <w:abstractNum w:abstractNumId="22">
    <w:nsid w:val="F648688A"/>
    <w:multiLevelType w:val="singleLevel"/>
    <w:tmpl w:val="F648688A"/>
    <w:lvl w:ilvl="0" w:tentative="0">
      <w:start w:val="1"/>
      <w:numFmt w:val="decimal"/>
      <w:lvlText w:val="%1)"/>
      <w:lvlJc w:val="left"/>
      <w:pPr>
        <w:ind w:left="420" w:hanging="420"/>
      </w:pPr>
      <w:rPr>
        <w:rFonts w:hint="default"/>
        <w:sz w:val="24"/>
        <w:szCs w:val="24"/>
      </w:rPr>
    </w:lvl>
  </w:abstractNum>
  <w:abstractNum w:abstractNumId="23">
    <w:nsid w:val="FBBABBBD"/>
    <w:multiLevelType w:val="singleLevel"/>
    <w:tmpl w:val="FBBABBBD"/>
    <w:lvl w:ilvl="0" w:tentative="0">
      <w:start w:val="1"/>
      <w:numFmt w:val="decimal"/>
      <w:lvlText w:val="%1)"/>
      <w:lvlJc w:val="left"/>
      <w:pPr>
        <w:ind w:left="420" w:hanging="420"/>
      </w:pPr>
      <w:rPr>
        <w:rFonts w:hint="default"/>
        <w:sz w:val="24"/>
        <w:szCs w:val="24"/>
      </w:rPr>
    </w:lvl>
  </w:abstractNum>
  <w:abstractNum w:abstractNumId="24">
    <w:nsid w:val="00000005"/>
    <w:multiLevelType w:val="multilevel"/>
    <w:tmpl w:val="00000005"/>
    <w:lvl w:ilvl="0" w:tentative="0">
      <w:start w:val="1"/>
      <w:numFmt w:val="decimal"/>
      <w:pStyle w:val="83"/>
      <w:lvlText w:val="%1)"/>
      <w:lvlJc w:val="left"/>
      <w:pPr>
        <w:ind w:left="870" w:hanging="420"/>
      </w:pPr>
      <w:rPr>
        <w:rFonts w:hint="eastAsia"/>
      </w:rPr>
    </w:lvl>
    <w:lvl w:ilvl="1" w:tentative="0">
      <w:start w:val="1"/>
      <w:numFmt w:val="lowerLetter"/>
      <w:lvlText w:val="%2)"/>
      <w:lvlJc w:val="left"/>
      <w:pPr>
        <w:ind w:left="859" w:hanging="420"/>
      </w:pPr>
      <w:rPr>
        <w:rFonts w:hint="eastAsia"/>
      </w:rPr>
    </w:lvl>
    <w:lvl w:ilvl="2" w:tentative="0">
      <w:start w:val="1"/>
      <w:numFmt w:val="lowerRoman"/>
      <w:lvlText w:val="%3."/>
      <w:lvlJc w:val="right"/>
      <w:pPr>
        <w:ind w:left="1279" w:hanging="420"/>
      </w:pPr>
      <w:rPr>
        <w:rFonts w:hint="eastAsia"/>
      </w:rPr>
    </w:lvl>
    <w:lvl w:ilvl="3" w:tentative="0">
      <w:start w:val="1"/>
      <w:numFmt w:val="decimal"/>
      <w:lvlText w:val="%4."/>
      <w:lvlJc w:val="left"/>
      <w:pPr>
        <w:ind w:left="1699" w:hanging="420"/>
      </w:pPr>
      <w:rPr>
        <w:rFonts w:hint="eastAsia"/>
      </w:rPr>
    </w:lvl>
    <w:lvl w:ilvl="4" w:tentative="0">
      <w:start w:val="1"/>
      <w:numFmt w:val="lowerLetter"/>
      <w:lvlText w:val="%5)"/>
      <w:lvlJc w:val="left"/>
      <w:pPr>
        <w:ind w:left="2119" w:hanging="420"/>
      </w:pPr>
      <w:rPr>
        <w:rFonts w:hint="eastAsia"/>
      </w:rPr>
    </w:lvl>
    <w:lvl w:ilvl="5" w:tentative="0">
      <w:start w:val="1"/>
      <w:numFmt w:val="lowerRoman"/>
      <w:lvlText w:val="%6."/>
      <w:lvlJc w:val="right"/>
      <w:pPr>
        <w:ind w:left="2539" w:hanging="420"/>
      </w:pPr>
      <w:rPr>
        <w:rFonts w:hint="eastAsia"/>
      </w:rPr>
    </w:lvl>
    <w:lvl w:ilvl="6" w:tentative="0">
      <w:start w:val="1"/>
      <w:numFmt w:val="decimal"/>
      <w:lvlText w:val="%7."/>
      <w:lvlJc w:val="left"/>
      <w:pPr>
        <w:ind w:left="2959" w:hanging="420"/>
      </w:pPr>
      <w:rPr>
        <w:rFonts w:hint="eastAsia"/>
      </w:rPr>
    </w:lvl>
    <w:lvl w:ilvl="7" w:tentative="0">
      <w:start w:val="1"/>
      <w:numFmt w:val="lowerLetter"/>
      <w:lvlText w:val="%8)"/>
      <w:lvlJc w:val="left"/>
      <w:pPr>
        <w:ind w:left="3379" w:hanging="420"/>
      </w:pPr>
      <w:rPr>
        <w:rFonts w:hint="eastAsia"/>
      </w:rPr>
    </w:lvl>
    <w:lvl w:ilvl="8" w:tentative="0">
      <w:start w:val="1"/>
      <w:numFmt w:val="lowerRoman"/>
      <w:lvlText w:val="%9."/>
      <w:lvlJc w:val="right"/>
      <w:pPr>
        <w:ind w:left="3799" w:hanging="420"/>
      </w:pPr>
      <w:rPr>
        <w:rFonts w:hint="eastAsia"/>
      </w:rPr>
    </w:lvl>
  </w:abstractNum>
  <w:abstractNum w:abstractNumId="25">
    <w:nsid w:val="0000000A"/>
    <w:multiLevelType w:val="multilevel"/>
    <w:tmpl w:val="000000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12"/>
    <w:multiLevelType w:val="multilevel"/>
    <w:tmpl w:val="00000012"/>
    <w:lvl w:ilvl="0" w:tentative="0">
      <w:start w:val="1"/>
      <w:numFmt w:val="decimal"/>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0000018"/>
    <w:multiLevelType w:val="multilevel"/>
    <w:tmpl w:val="00000018"/>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311F609"/>
    <w:multiLevelType w:val="singleLevel"/>
    <w:tmpl w:val="0311F609"/>
    <w:lvl w:ilvl="0" w:tentative="0">
      <w:start w:val="1"/>
      <w:numFmt w:val="decimal"/>
      <w:lvlText w:val="%1)"/>
      <w:lvlJc w:val="left"/>
      <w:pPr>
        <w:ind w:left="420" w:hanging="420"/>
      </w:pPr>
      <w:rPr>
        <w:rFonts w:hint="default"/>
        <w:sz w:val="24"/>
        <w:szCs w:val="24"/>
      </w:rPr>
    </w:lvl>
  </w:abstractNum>
  <w:abstractNum w:abstractNumId="29">
    <w:nsid w:val="040A669B"/>
    <w:multiLevelType w:val="singleLevel"/>
    <w:tmpl w:val="040A669B"/>
    <w:lvl w:ilvl="0" w:tentative="0">
      <w:start w:val="1"/>
      <w:numFmt w:val="decimal"/>
      <w:lvlText w:val="%1)"/>
      <w:lvlJc w:val="left"/>
      <w:pPr>
        <w:ind w:left="420" w:hanging="420"/>
      </w:pPr>
      <w:rPr>
        <w:rFonts w:hint="default"/>
        <w:sz w:val="24"/>
        <w:szCs w:val="24"/>
      </w:rPr>
    </w:lvl>
  </w:abstractNum>
  <w:abstractNum w:abstractNumId="30">
    <w:nsid w:val="09B66CDE"/>
    <w:multiLevelType w:val="singleLevel"/>
    <w:tmpl w:val="09B66CDE"/>
    <w:lvl w:ilvl="0" w:tentative="0">
      <w:start w:val="1"/>
      <w:numFmt w:val="decimal"/>
      <w:lvlText w:val="%1)"/>
      <w:lvlJc w:val="left"/>
      <w:pPr>
        <w:ind w:left="420" w:hanging="420"/>
      </w:pPr>
      <w:rPr>
        <w:rFonts w:hint="default"/>
        <w:sz w:val="24"/>
        <w:szCs w:val="24"/>
      </w:rPr>
    </w:lvl>
  </w:abstractNum>
  <w:abstractNum w:abstractNumId="31">
    <w:nsid w:val="0C652CF3"/>
    <w:multiLevelType w:val="multilevel"/>
    <w:tmpl w:val="0C652CF3"/>
    <w:lvl w:ilvl="0" w:tentative="0">
      <w:start w:val="1"/>
      <w:numFmt w:val="decimal"/>
      <w:lvlText w:val="%1"/>
      <w:lvlJc w:val="left"/>
      <w:pPr>
        <w:ind w:left="921" w:hanging="360"/>
      </w:pPr>
      <w:rPr>
        <w:rFonts w:hint="default" w:ascii="Times New Roman" w:hAnsi="Times New Roman" w:cs="Times New Roman"/>
      </w:rPr>
    </w:lvl>
    <w:lvl w:ilvl="1" w:tentative="0">
      <w:start w:val="1"/>
      <w:numFmt w:val="lowerLetter"/>
      <w:lvlText w:val="%2)"/>
      <w:lvlJc w:val="left"/>
      <w:pPr>
        <w:ind w:left="1401" w:hanging="420"/>
      </w:pPr>
      <w:rPr>
        <w:rFonts w:hint="default" w:ascii="Times New Roman" w:hAnsi="Times New Roman" w:cs="Times New Roman"/>
      </w:rPr>
    </w:lvl>
    <w:lvl w:ilvl="2" w:tentative="0">
      <w:start w:val="1"/>
      <w:numFmt w:val="lowerRoman"/>
      <w:lvlText w:val="%3."/>
      <w:lvlJc w:val="right"/>
      <w:pPr>
        <w:ind w:left="1821" w:hanging="420"/>
      </w:pPr>
      <w:rPr>
        <w:rFonts w:hint="default" w:ascii="Times New Roman" w:hAnsi="Times New Roman" w:cs="Times New Roman"/>
      </w:rPr>
    </w:lvl>
    <w:lvl w:ilvl="3" w:tentative="0">
      <w:start w:val="1"/>
      <w:numFmt w:val="decimal"/>
      <w:lvlText w:val="%4."/>
      <w:lvlJc w:val="left"/>
      <w:pPr>
        <w:ind w:left="2241" w:hanging="420"/>
      </w:pPr>
      <w:rPr>
        <w:rFonts w:hint="default" w:ascii="Times New Roman" w:hAnsi="Times New Roman" w:cs="Times New Roman"/>
      </w:rPr>
    </w:lvl>
    <w:lvl w:ilvl="4" w:tentative="0">
      <w:start w:val="1"/>
      <w:numFmt w:val="lowerLetter"/>
      <w:lvlText w:val="%5)"/>
      <w:lvlJc w:val="left"/>
      <w:pPr>
        <w:ind w:left="2661" w:hanging="420"/>
      </w:pPr>
      <w:rPr>
        <w:rFonts w:hint="default" w:ascii="Times New Roman" w:hAnsi="Times New Roman" w:cs="Times New Roman"/>
      </w:rPr>
    </w:lvl>
    <w:lvl w:ilvl="5" w:tentative="0">
      <w:start w:val="1"/>
      <w:numFmt w:val="lowerRoman"/>
      <w:lvlText w:val="%6."/>
      <w:lvlJc w:val="right"/>
      <w:pPr>
        <w:ind w:left="3081" w:hanging="420"/>
      </w:pPr>
      <w:rPr>
        <w:rFonts w:hint="default" w:ascii="Times New Roman" w:hAnsi="Times New Roman" w:cs="Times New Roman"/>
      </w:rPr>
    </w:lvl>
    <w:lvl w:ilvl="6" w:tentative="0">
      <w:start w:val="1"/>
      <w:numFmt w:val="decimal"/>
      <w:lvlText w:val="%7."/>
      <w:lvlJc w:val="left"/>
      <w:pPr>
        <w:ind w:left="3501" w:hanging="420"/>
      </w:pPr>
      <w:rPr>
        <w:rFonts w:hint="default" w:ascii="Times New Roman" w:hAnsi="Times New Roman" w:cs="Times New Roman"/>
      </w:rPr>
    </w:lvl>
    <w:lvl w:ilvl="7" w:tentative="0">
      <w:start w:val="1"/>
      <w:numFmt w:val="lowerLetter"/>
      <w:lvlText w:val="%8)"/>
      <w:lvlJc w:val="left"/>
      <w:pPr>
        <w:ind w:left="3921" w:hanging="420"/>
      </w:pPr>
      <w:rPr>
        <w:rFonts w:hint="default" w:ascii="Times New Roman" w:hAnsi="Times New Roman" w:cs="Times New Roman"/>
      </w:rPr>
    </w:lvl>
    <w:lvl w:ilvl="8" w:tentative="0">
      <w:start w:val="1"/>
      <w:numFmt w:val="lowerRoman"/>
      <w:lvlText w:val="%9."/>
      <w:lvlJc w:val="right"/>
      <w:pPr>
        <w:ind w:left="4341" w:hanging="420"/>
      </w:pPr>
      <w:rPr>
        <w:rFonts w:hint="default" w:ascii="Times New Roman" w:hAnsi="Times New Roman" w:cs="Times New Roman"/>
      </w:rPr>
    </w:lvl>
  </w:abstractNum>
  <w:abstractNum w:abstractNumId="32">
    <w:nsid w:val="0CAF0573"/>
    <w:multiLevelType w:val="singleLevel"/>
    <w:tmpl w:val="0CAF0573"/>
    <w:lvl w:ilvl="0" w:tentative="0">
      <w:start w:val="1"/>
      <w:numFmt w:val="decimal"/>
      <w:lvlText w:val="%1)"/>
      <w:lvlJc w:val="left"/>
      <w:pPr>
        <w:ind w:left="420" w:hanging="420"/>
      </w:pPr>
      <w:rPr>
        <w:rFonts w:hint="default"/>
        <w:sz w:val="24"/>
        <w:szCs w:val="24"/>
      </w:rPr>
    </w:lvl>
  </w:abstractNum>
  <w:abstractNum w:abstractNumId="33">
    <w:nsid w:val="0E09954F"/>
    <w:multiLevelType w:val="singleLevel"/>
    <w:tmpl w:val="0E09954F"/>
    <w:lvl w:ilvl="0" w:tentative="0">
      <w:start w:val="1"/>
      <w:numFmt w:val="decimal"/>
      <w:lvlText w:val="%1)"/>
      <w:lvlJc w:val="left"/>
      <w:pPr>
        <w:ind w:left="420" w:hanging="420"/>
      </w:pPr>
      <w:rPr>
        <w:rFonts w:hint="default"/>
        <w:sz w:val="24"/>
        <w:szCs w:val="24"/>
      </w:rPr>
    </w:lvl>
  </w:abstractNum>
  <w:abstractNum w:abstractNumId="34">
    <w:nsid w:val="0F717595"/>
    <w:multiLevelType w:val="singleLevel"/>
    <w:tmpl w:val="0F717595"/>
    <w:lvl w:ilvl="0" w:tentative="0">
      <w:start w:val="1"/>
      <w:numFmt w:val="decimal"/>
      <w:lvlText w:val="%1)"/>
      <w:lvlJc w:val="left"/>
      <w:pPr>
        <w:ind w:left="420" w:hanging="420"/>
      </w:pPr>
      <w:rPr>
        <w:rFonts w:hint="default"/>
        <w:sz w:val="24"/>
        <w:szCs w:val="24"/>
      </w:rPr>
    </w:lvl>
  </w:abstractNum>
  <w:abstractNum w:abstractNumId="35">
    <w:nsid w:val="247F49A8"/>
    <w:multiLevelType w:val="multilevel"/>
    <w:tmpl w:val="247F49A8"/>
    <w:lvl w:ilvl="0" w:tentative="0">
      <w:start w:val="1"/>
      <w:numFmt w:val="decimal"/>
      <w:lvlText w:val="%1"/>
      <w:lvlJc w:val="left"/>
      <w:pPr>
        <w:tabs>
          <w:tab w:val="left" w:pos="425"/>
        </w:tabs>
        <w:ind w:left="425" w:hanging="425"/>
      </w:pPr>
      <w:rPr>
        <w:rFonts w:hint="eastAsia" w:ascii="Times New Roman" w:hAnsi="Times New Roman" w:eastAsia="宋体" w:cs="Times New Roman"/>
        <w:b w:val="0"/>
        <w:color w:val="auto"/>
      </w:rPr>
    </w:lvl>
    <w:lvl w:ilvl="1" w:tentative="0">
      <w:start w:val="1"/>
      <w:numFmt w:val="decimal"/>
      <w:lvlText w:val="%1.%2"/>
      <w:lvlJc w:val="left"/>
      <w:pPr>
        <w:tabs>
          <w:tab w:val="left" w:pos="1512"/>
        </w:tabs>
        <w:ind w:left="1512" w:hanging="567"/>
      </w:pPr>
      <w:rPr>
        <w:rFonts w:hint="eastAsia" w:ascii="Times New Roman" w:hAnsi="Times New Roman" w:eastAsia="宋体" w:cs="Times New Roman"/>
        <w:b w:val="0"/>
        <w:color w:val="auto"/>
      </w:rPr>
    </w:lvl>
    <w:lvl w:ilvl="2" w:tentative="0">
      <w:start w:val="1"/>
      <w:numFmt w:val="decimal"/>
      <w:lvlText w:val="(%3)"/>
      <w:lvlJc w:val="left"/>
      <w:pPr>
        <w:tabs>
          <w:tab w:val="left" w:pos="1418"/>
        </w:tabs>
        <w:ind w:left="1418" w:hanging="567"/>
      </w:pPr>
      <w:rPr>
        <w:rFonts w:hint="default" w:cs="Times New Roman"/>
        <w:color w:val="auto"/>
      </w:rPr>
    </w:lvl>
    <w:lvl w:ilvl="3" w:tentative="0">
      <w:start w:val="1"/>
      <w:numFmt w:val="decimal"/>
      <w:lvlText w:val="9.1.%1.%2.%3.%4"/>
      <w:lvlJc w:val="left"/>
      <w:pPr>
        <w:tabs>
          <w:tab w:val="left" w:pos="2356"/>
        </w:tabs>
        <w:ind w:left="1984" w:hanging="708"/>
      </w:pPr>
      <w:rPr>
        <w:rFonts w:hint="eastAsia" w:cs="Times New Roman"/>
      </w:rPr>
    </w:lvl>
    <w:lvl w:ilvl="4" w:tentative="0">
      <w:start w:val="1"/>
      <w:numFmt w:val="decimal"/>
      <w:lvlText w:val="9.1.%1.%2.%3.%4.%5"/>
      <w:lvlJc w:val="left"/>
      <w:pPr>
        <w:tabs>
          <w:tab w:val="left" w:pos="2781"/>
        </w:tabs>
        <w:ind w:left="2551" w:hanging="850"/>
      </w:pPr>
      <w:rPr>
        <w:rFonts w:hint="eastAsia" w:cs="Times New Roman"/>
      </w:rPr>
    </w:lvl>
    <w:lvl w:ilvl="5" w:tentative="0">
      <w:start w:val="1"/>
      <w:numFmt w:val="none"/>
      <w:lvlText w:val=""/>
      <w:lvlJc w:val="left"/>
      <w:pPr>
        <w:tabs>
          <w:tab w:val="left" w:pos="3566"/>
        </w:tabs>
        <w:ind w:left="3260" w:hanging="1134"/>
      </w:pPr>
      <w:rPr>
        <w:rFonts w:hint="eastAsia" w:cs="Times New Roman"/>
      </w:rPr>
    </w:lvl>
    <w:lvl w:ilvl="6" w:tentative="0">
      <w:start w:val="1"/>
      <w:numFmt w:val="decimal"/>
      <w:lvlText w:val="%1.%2.%3.%4.%5.%6.%7"/>
      <w:lvlJc w:val="left"/>
      <w:pPr>
        <w:tabs>
          <w:tab w:val="left" w:pos="3991"/>
        </w:tabs>
        <w:ind w:left="3827" w:hanging="1276"/>
      </w:pPr>
      <w:rPr>
        <w:rFonts w:hint="eastAsia" w:cs="Times New Roman"/>
      </w:rPr>
    </w:lvl>
    <w:lvl w:ilvl="7" w:tentative="0">
      <w:start w:val="1"/>
      <w:numFmt w:val="decimal"/>
      <w:lvlText w:val="%1.%2.%3.%4.%5.%6.%7.%8"/>
      <w:lvlJc w:val="left"/>
      <w:pPr>
        <w:tabs>
          <w:tab w:val="left" w:pos="4776"/>
        </w:tabs>
        <w:ind w:left="4394" w:hanging="1418"/>
      </w:pPr>
      <w:rPr>
        <w:rFonts w:hint="eastAsia" w:cs="Times New Roman"/>
      </w:rPr>
    </w:lvl>
    <w:lvl w:ilvl="8" w:tentative="0">
      <w:start w:val="1"/>
      <w:numFmt w:val="decimal"/>
      <w:lvlText w:val="%1.%2.%3.%4.%5.%6.%7.%8.%9"/>
      <w:lvlJc w:val="left"/>
      <w:pPr>
        <w:tabs>
          <w:tab w:val="left" w:pos="5562"/>
        </w:tabs>
        <w:ind w:left="5102" w:hanging="1700"/>
      </w:pPr>
      <w:rPr>
        <w:rFonts w:hint="eastAsia" w:cs="Times New Roman"/>
      </w:rPr>
    </w:lvl>
  </w:abstractNum>
  <w:abstractNum w:abstractNumId="36">
    <w:nsid w:val="270F3997"/>
    <w:multiLevelType w:val="singleLevel"/>
    <w:tmpl w:val="270F3997"/>
    <w:lvl w:ilvl="0" w:tentative="0">
      <w:start w:val="1"/>
      <w:numFmt w:val="decimal"/>
      <w:lvlText w:val="%1)"/>
      <w:lvlJc w:val="left"/>
      <w:pPr>
        <w:ind w:left="420" w:hanging="420"/>
      </w:pPr>
      <w:rPr>
        <w:rFonts w:hint="default"/>
        <w:sz w:val="24"/>
        <w:szCs w:val="24"/>
      </w:rPr>
    </w:lvl>
  </w:abstractNum>
  <w:abstractNum w:abstractNumId="37">
    <w:nsid w:val="2BC1BF76"/>
    <w:multiLevelType w:val="singleLevel"/>
    <w:tmpl w:val="2BC1BF76"/>
    <w:lvl w:ilvl="0" w:tentative="0">
      <w:start w:val="1"/>
      <w:numFmt w:val="decimal"/>
      <w:lvlText w:val="%1)"/>
      <w:lvlJc w:val="left"/>
      <w:pPr>
        <w:ind w:left="420" w:hanging="420"/>
      </w:pPr>
      <w:rPr>
        <w:rFonts w:hint="default"/>
        <w:sz w:val="24"/>
        <w:szCs w:val="24"/>
      </w:rPr>
    </w:lvl>
  </w:abstractNum>
  <w:abstractNum w:abstractNumId="38">
    <w:nsid w:val="2BCC143D"/>
    <w:multiLevelType w:val="singleLevel"/>
    <w:tmpl w:val="2BCC143D"/>
    <w:lvl w:ilvl="0" w:tentative="0">
      <w:start w:val="1"/>
      <w:numFmt w:val="decimal"/>
      <w:lvlText w:val="%1)"/>
      <w:lvlJc w:val="left"/>
      <w:pPr>
        <w:ind w:left="420" w:hanging="420"/>
      </w:pPr>
      <w:rPr>
        <w:rFonts w:hint="default"/>
        <w:sz w:val="24"/>
        <w:szCs w:val="24"/>
      </w:rPr>
    </w:lvl>
  </w:abstractNum>
  <w:abstractNum w:abstractNumId="39">
    <w:nsid w:val="321EECFB"/>
    <w:multiLevelType w:val="singleLevel"/>
    <w:tmpl w:val="321EECFB"/>
    <w:lvl w:ilvl="0" w:tentative="0">
      <w:start w:val="1"/>
      <w:numFmt w:val="decimal"/>
      <w:suff w:val="nothing"/>
      <w:lvlText w:val="%1）"/>
      <w:lvlJc w:val="left"/>
    </w:lvl>
  </w:abstractNum>
  <w:abstractNum w:abstractNumId="40">
    <w:nsid w:val="351FABED"/>
    <w:multiLevelType w:val="singleLevel"/>
    <w:tmpl w:val="351FABED"/>
    <w:lvl w:ilvl="0" w:tentative="0">
      <w:start w:val="1"/>
      <w:numFmt w:val="decimal"/>
      <w:lvlText w:val="%1)"/>
      <w:lvlJc w:val="left"/>
      <w:pPr>
        <w:ind w:left="420" w:hanging="420"/>
      </w:pPr>
      <w:rPr>
        <w:rFonts w:hint="default"/>
        <w:sz w:val="24"/>
        <w:szCs w:val="24"/>
      </w:rPr>
    </w:lvl>
  </w:abstractNum>
  <w:abstractNum w:abstractNumId="41">
    <w:nsid w:val="358E97F8"/>
    <w:multiLevelType w:val="multilevel"/>
    <w:tmpl w:val="358E97F8"/>
    <w:lvl w:ilvl="0" w:tentative="0">
      <w:start w:val="1"/>
      <w:numFmt w:val="decimal"/>
      <w:lvlText w:val="%1."/>
      <w:lvlJc w:val="left"/>
      <w:pPr>
        <w:tabs>
          <w:tab w:val="left" w:pos="420"/>
        </w:tabs>
        <w:ind w:left="425" w:hanging="425"/>
      </w:pPr>
      <w:rPr>
        <w:rFonts w:hint="default" w:ascii="Times New Roman" w:hAnsi="Times New Roman" w:eastAsia="宋体" w:cs="Times New Roman"/>
        <w:sz w:val="24"/>
        <w:szCs w:val="24"/>
      </w:rPr>
    </w:lvl>
    <w:lvl w:ilvl="1" w:tentative="0">
      <w:start w:val="1"/>
      <w:numFmt w:val="decimal"/>
      <w:suff w:val="space"/>
      <w:lvlText w:val="%1.%2."/>
      <w:lvlJc w:val="left"/>
      <w:pPr>
        <w:tabs>
          <w:tab w:val="left" w:pos="0"/>
        </w:tabs>
        <w:ind w:left="0" w:firstLine="0"/>
      </w:pPr>
      <w:rPr>
        <w:rFonts w:hint="default"/>
        <w:sz w:val="24"/>
        <w:szCs w:val="24"/>
      </w:rPr>
    </w:lvl>
    <w:lvl w:ilvl="2" w:tentative="0">
      <w:start w:val="1"/>
      <w:numFmt w:val="decimal"/>
      <w:suff w:val="space"/>
      <w:lvlText w:val="%1.%2.%3."/>
      <w:lvlJc w:val="left"/>
      <w:pPr>
        <w:ind w:left="420" w:hanging="420"/>
      </w:pPr>
      <w:rPr>
        <w:rFonts w:hint="default"/>
        <w:sz w:val="24"/>
        <w:szCs w:val="24"/>
      </w:rPr>
    </w:lvl>
    <w:lvl w:ilvl="3" w:tentative="0">
      <w:start w:val="1"/>
      <w:numFmt w:val="decimal"/>
      <w:suff w:val="space"/>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2">
    <w:nsid w:val="370A1A3E"/>
    <w:multiLevelType w:val="multilevel"/>
    <w:tmpl w:val="370A1A3E"/>
    <w:lvl w:ilvl="0" w:tentative="0">
      <w:start w:val="1"/>
      <w:numFmt w:val="decimal"/>
      <w:suff w:val="space"/>
      <w:lvlText w:val="%1."/>
      <w:lvlJc w:val="left"/>
      <w:rPr>
        <w:rFonts w:hint="default"/>
        <w:sz w:val="24"/>
        <w:szCs w:val="24"/>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sz w:val="24"/>
        <w:szCs w:val="24"/>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3">
    <w:nsid w:val="3CBA4E02"/>
    <w:multiLevelType w:val="singleLevel"/>
    <w:tmpl w:val="3CBA4E02"/>
    <w:lvl w:ilvl="0" w:tentative="0">
      <w:start w:val="1"/>
      <w:numFmt w:val="decimal"/>
      <w:lvlText w:val="%1)"/>
      <w:lvlJc w:val="left"/>
      <w:pPr>
        <w:ind w:left="420" w:hanging="420"/>
      </w:pPr>
      <w:rPr>
        <w:rFonts w:hint="default"/>
        <w:sz w:val="24"/>
        <w:szCs w:val="24"/>
      </w:rPr>
    </w:lvl>
  </w:abstractNum>
  <w:abstractNum w:abstractNumId="44">
    <w:nsid w:val="3DBAC40D"/>
    <w:multiLevelType w:val="singleLevel"/>
    <w:tmpl w:val="3DBAC40D"/>
    <w:lvl w:ilvl="0" w:tentative="0">
      <w:start w:val="1"/>
      <w:numFmt w:val="decimal"/>
      <w:lvlText w:val="%1)"/>
      <w:lvlJc w:val="left"/>
      <w:pPr>
        <w:ind w:left="420" w:hanging="420"/>
      </w:pPr>
      <w:rPr>
        <w:rFonts w:hint="default"/>
        <w:sz w:val="24"/>
        <w:szCs w:val="24"/>
      </w:rPr>
    </w:lvl>
  </w:abstractNum>
  <w:abstractNum w:abstractNumId="45">
    <w:nsid w:val="47BFB9C0"/>
    <w:multiLevelType w:val="singleLevel"/>
    <w:tmpl w:val="47BFB9C0"/>
    <w:lvl w:ilvl="0" w:tentative="0">
      <w:start w:val="1"/>
      <w:numFmt w:val="decimal"/>
      <w:lvlText w:val="%1)"/>
      <w:lvlJc w:val="left"/>
      <w:pPr>
        <w:ind w:left="420" w:hanging="420"/>
      </w:pPr>
      <w:rPr>
        <w:rFonts w:hint="default"/>
        <w:sz w:val="24"/>
        <w:szCs w:val="24"/>
      </w:rPr>
    </w:lvl>
  </w:abstractNum>
  <w:abstractNum w:abstractNumId="46">
    <w:nsid w:val="49A923A9"/>
    <w:multiLevelType w:val="multilevel"/>
    <w:tmpl w:val="49A923A9"/>
    <w:lvl w:ilvl="0" w:tentative="0">
      <w:start w:val="1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1247"/>
        </w:tabs>
        <w:ind w:left="1247" w:hanging="793"/>
      </w:pPr>
      <w:rPr>
        <w:rFonts w:hint="eastAsia" w:ascii="宋体" w:hAnsi="宋体" w:eastAsia="宋体"/>
      </w:rPr>
    </w:lvl>
    <w:lvl w:ilvl="2" w:tentative="0">
      <w:start w:val="1"/>
      <w:numFmt w:val="decimal"/>
      <w:lvlText w:val="%1.%2.%3"/>
      <w:lvlJc w:val="left"/>
      <w:pPr>
        <w:tabs>
          <w:tab w:val="left" w:pos="1418"/>
        </w:tabs>
        <w:ind w:left="1418" w:hanging="567"/>
      </w:pPr>
      <w:rPr>
        <w:rFonts w:hint="eastAsia" w:ascii="宋体" w:hAnsi="宋体" w:eastAsia="宋体"/>
      </w:rPr>
    </w:lvl>
    <w:lvl w:ilvl="3" w:tentative="0">
      <w:start w:val="1"/>
      <w:numFmt w:val="decimal"/>
      <w:lvlText w:val="%1.%2.%3.%4"/>
      <w:lvlJc w:val="left"/>
      <w:pPr>
        <w:tabs>
          <w:tab w:val="left" w:pos="2356"/>
        </w:tabs>
        <w:ind w:left="1984" w:hanging="708"/>
      </w:pPr>
      <w:rPr>
        <w:rFonts w:hint="eastAsia" w:ascii="宋体" w:hAnsi="宋体" w:eastAsia="宋体"/>
      </w:rPr>
    </w:lvl>
    <w:lvl w:ilvl="4" w:tentative="0">
      <w:start w:val="1"/>
      <w:numFmt w:val="decimal"/>
      <w:lvlText w:val="%1.%2.%3.%4.%5"/>
      <w:lvlJc w:val="left"/>
      <w:pPr>
        <w:tabs>
          <w:tab w:val="left" w:pos="2781"/>
        </w:tabs>
        <w:ind w:left="2551" w:hanging="850"/>
      </w:pPr>
      <w:rPr>
        <w:rFonts w:hint="eastAsia" w:ascii="宋体" w:hAnsi="宋体" w:eastAsia="宋体"/>
      </w:rPr>
    </w:lvl>
    <w:lvl w:ilvl="5" w:tentative="0">
      <w:start w:val="1"/>
      <w:numFmt w:val="decimal"/>
      <w:lvlText w:val="%1.%2.%3.%4.%5.%6"/>
      <w:lvlJc w:val="left"/>
      <w:pPr>
        <w:tabs>
          <w:tab w:val="left" w:pos="3566"/>
        </w:tabs>
        <w:ind w:left="3260" w:hanging="1134"/>
      </w:pPr>
      <w:rPr>
        <w:rFonts w:hint="eastAsia" w:ascii="宋体" w:hAnsi="宋体" w:eastAsia="宋体"/>
      </w:rPr>
    </w:lvl>
    <w:lvl w:ilvl="6" w:tentative="0">
      <w:start w:val="1"/>
      <w:numFmt w:val="decimal"/>
      <w:lvlText w:val="%1.%2.%3.%4.%5.%6.%7"/>
      <w:lvlJc w:val="left"/>
      <w:pPr>
        <w:tabs>
          <w:tab w:val="left" w:pos="3991"/>
        </w:tabs>
        <w:ind w:left="3827" w:hanging="1276"/>
      </w:pPr>
      <w:rPr>
        <w:rFonts w:hint="eastAsia" w:ascii="宋体" w:hAnsi="宋体" w:eastAsia="宋体"/>
      </w:rPr>
    </w:lvl>
    <w:lvl w:ilvl="7" w:tentative="0">
      <w:start w:val="1"/>
      <w:numFmt w:val="decimal"/>
      <w:lvlText w:val="%1.%2.%3.%4.%5.%6.%7.%8"/>
      <w:lvlJc w:val="left"/>
      <w:pPr>
        <w:tabs>
          <w:tab w:val="left" w:pos="4776"/>
        </w:tabs>
        <w:ind w:left="4394" w:hanging="1418"/>
      </w:pPr>
      <w:rPr>
        <w:rFonts w:hint="eastAsia" w:ascii="宋体" w:hAnsi="宋体" w:eastAsia="宋体"/>
      </w:rPr>
    </w:lvl>
    <w:lvl w:ilvl="8" w:tentative="0">
      <w:start w:val="1"/>
      <w:numFmt w:val="decimal"/>
      <w:lvlText w:val="%1.%2.%3.%4.%5.%6.%7.%8.%9"/>
      <w:lvlJc w:val="left"/>
      <w:pPr>
        <w:tabs>
          <w:tab w:val="left" w:pos="5202"/>
        </w:tabs>
        <w:ind w:left="5102" w:hanging="1700"/>
      </w:pPr>
      <w:rPr>
        <w:rFonts w:hint="eastAsia" w:ascii="宋体" w:hAnsi="宋体" w:eastAsia="宋体"/>
      </w:rPr>
    </w:lvl>
  </w:abstractNum>
  <w:abstractNum w:abstractNumId="47">
    <w:nsid w:val="4B9CCB33"/>
    <w:multiLevelType w:val="singleLevel"/>
    <w:tmpl w:val="4B9CCB33"/>
    <w:lvl w:ilvl="0" w:tentative="0">
      <w:start w:val="1"/>
      <w:numFmt w:val="decimal"/>
      <w:lvlText w:val="%1)"/>
      <w:lvlJc w:val="left"/>
      <w:pPr>
        <w:ind w:left="420" w:hanging="420"/>
      </w:pPr>
      <w:rPr>
        <w:rFonts w:hint="default"/>
        <w:sz w:val="24"/>
        <w:szCs w:val="24"/>
      </w:rPr>
    </w:lvl>
  </w:abstractNum>
  <w:abstractNum w:abstractNumId="48">
    <w:nsid w:val="543E6056"/>
    <w:multiLevelType w:val="singleLevel"/>
    <w:tmpl w:val="543E6056"/>
    <w:lvl w:ilvl="0" w:tentative="0">
      <w:start w:val="1"/>
      <w:numFmt w:val="decimal"/>
      <w:lvlText w:val="%1)"/>
      <w:lvlJc w:val="left"/>
      <w:pPr>
        <w:ind w:left="420" w:hanging="420"/>
      </w:pPr>
      <w:rPr>
        <w:rFonts w:hint="default"/>
        <w:sz w:val="24"/>
        <w:szCs w:val="24"/>
      </w:rPr>
    </w:lvl>
  </w:abstractNum>
  <w:abstractNum w:abstractNumId="49">
    <w:nsid w:val="56F4FF3B"/>
    <w:multiLevelType w:val="singleLevel"/>
    <w:tmpl w:val="56F4FF3B"/>
    <w:lvl w:ilvl="0" w:tentative="0">
      <w:start w:val="4"/>
      <w:numFmt w:val="chineseCounting"/>
      <w:suff w:val="nothing"/>
      <w:lvlText w:val="（%1）"/>
      <w:lvlJc w:val="left"/>
      <w:pPr>
        <w:ind w:left="0" w:firstLine="0"/>
      </w:pPr>
      <w:rPr>
        <w:rFonts w:cs="Times New Roman"/>
      </w:rPr>
    </w:lvl>
  </w:abstractNum>
  <w:abstractNum w:abstractNumId="50">
    <w:nsid w:val="5D8335EE"/>
    <w:multiLevelType w:val="singleLevel"/>
    <w:tmpl w:val="5D8335EE"/>
    <w:lvl w:ilvl="0" w:tentative="0">
      <w:start w:val="1"/>
      <w:numFmt w:val="decimal"/>
      <w:lvlText w:val="%1)"/>
      <w:lvlJc w:val="left"/>
      <w:pPr>
        <w:ind w:left="420" w:hanging="420"/>
      </w:pPr>
      <w:rPr>
        <w:rFonts w:hint="default"/>
        <w:sz w:val="24"/>
        <w:szCs w:val="24"/>
      </w:rPr>
    </w:lvl>
  </w:abstractNum>
  <w:abstractNum w:abstractNumId="51">
    <w:nsid w:val="68A67A33"/>
    <w:multiLevelType w:val="multilevel"/>
    <w:tmpl w:val="68A67A33"/>
    <w:lvl w:ilvl="0" w:tentative="0">
      <w:start w:val="1"/>
      <w:numFmt w:val="decimal"/>
      <w:lvlText w:val="(%1)"/>
      <w:lvlJc w:val="left"/>
      <w:pPr>
        <w:ind w:left="900" w:hanging="420"/>
      </w:pPr>
      <w:rPr>
        <w:rFonts w:hint="default" w:ascii="Times New Roman" w:hAnsi="Times New Roman" w:cs="Times New Roman"/>
      </w:rPr>
    </w:lvl>
    <w:lvl w:ilvl="1" w:tentative="0">
      <w:start w:val="1"/>
      <w:numFmt w:val="decimal"/>
      <w:lvlText w:val="%2）"/>
      <w:lvlJc w:val="left"/>
      <w:pPr>
        <w:ind w:left="1740" w:hanging="84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52">
    <w:nsid w:val="736A025D"/>
    <w:multiLevelType w:val="singleLevel"/>
    <w:tmpl w:val="736A025D"/>
    <w:lvl w:ilvl="0" w:tentative="0">
      <w:start w:val="1"/>
      <w:numFmt w:val="decimal"/>
      <w:lvlText w:val="%1)"/>
      <w:lvlJc w:val="left"/>
      <w:pPr>
        <w:ind w:left="420" w:hanging="420"/>
      </w:pPr>
      <w:rPr>
        <w:rFonts w:hint="default"/>
        <w:sz w:val="24"/>
        <w:szCs w:val="24"/>
      </w:rPr>
    </w:lvl>
  </w:abstractNum>
  <w:abstractNum w:abstractNumId="53">
    <w:nsid w:val="7983303C"/>
    <w:multiLevelType w:val="multilevel"/>
    <w:tmpl w:val="7983303C"/>
    <w:lvl w:ilvl="0" w:tentative="0">
      <w:start w:val="5"/>
      <w:numFmt w:val="decimal"/>
      <w:lvlText w:val="%1."/>
      <w:lvlJc w:val="left"/>
      <w:pPr>
        <w:tabs>
          <w:tab w:val="left" w:pos="420"/>
        </w:tabs>
        <w:ind w:left="425" w:hanging="425"/>
      </w:pPr>
      <w:rPr>
        <w:rFonts w:hint="default" w:ascii="Times New Roman" w:hAnsi="Times New Roman" w:eastAsia="宋体" w:cs="Times New Roman"/>
        <w:sz w:val="24"/>
        <w:szCs w:val="24"/>
      </w:rPr>
    </w:lvl>
    <w:lvl w:ilvl="1" w:tentative="0">
      <w:start w:val="1"/>
      <w:numFmt w:val="decimal"/>
      <w:suff w:val="space"/>
      <w:lvlText w:val="%1.%2."/>
      <w:lvlJc w:val="left"/>
      <w:pPr>
        <w:tabs>
          <w:tab w:val="left" w:pos="0"/>
        </w:tabs>
        <w:ind w:left="0" w:firstLine="0"/>
      </w:pPr>
      <w:rPr>
        <w:rFonts w:hint="default"/>
        <w:sz w:val="24"/>
        <w:szCs w:val="24"/>
      </w:rPr>
    </w:lvl>
    <w:lvl w:ilvl="2" w:tentative="0">
      <w:start w:val="1"/>
      <w:numFmt w:val="decimal"/>
      <w:suff w:val="space"/>
      <w:lvlText w:val="%1.%2.%3."/>
      <w:lvlJc w:val="left"/>
      <w:pPr>
        <w:ind w:left="420" w:hanging="420"/>
      </w:pPr>
      <w:rPr>
        <w:rFonts w:hint="default"/>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4">
    <w:nsid w:val="79D94EB9"/>
    <w:multiLevelType w:val="multilevel"/>
    <w:tmpl w:val="79D94EB9"/>
    <w:lvl w:ilvl="0" w:tentative="0">
      <w:start w:val="1"/>
      <w:numFmt w:val="decimal"/>
      <w:lvlText w:val="%1"/>
      <w:lvlJc w:val="left"/>
      <w:pPr>
        <w:tabs>
          <w:tab w:val="left" w:pos="425"/>
        </w:tabs>
        <w:ind w:left="425" w:hanging="425"/>
      </w:pPr>
      <w:rPr>
        <w:rFonts w:hint="eastAsia" w:ascii="Times New Roman" w:hAnsi="Times New Roman" w:eastAsia="宋体" w:cs="Times New Roman"/>
        <w:b w:val="0"/>
        <w:color w:val="auto"/>
      </w:rPr>
    </w:lvl>
    <w:lvl w:ilvl="1" w:tentative="0">
      <w:start w:val="1"/>
      <w:numFmt w:val="decimal"/>
      <w:lvlText w:val="%1.%2"/>
      <w:lvlJc w:val="left"/>
      <w:pPr>
        <w:tabs>
          <w:tab w:val="left" w:pos="1512"/>
        </w:tabs>
        <w:ind w:left="1512" w:hanging="567"/>
      </w:pPr>
      <w:rPr>
        <w:rFonts w:hint="eastAsia" w:ascii="Times New Roman" w:hAnsi="Times New Roman" w:eastAsia="宋体" w:cs="Times New Roman"/>
        <w:b w:val="0"/>
        <w:color w:val="auto"/>
      </w:rPr>
    </w:lvl>
    <w:lvl w:ilvl="2" w:tentative="0">
      <w:start w:val="1"/>
      <w:numFmt w:val="decimal"/>
      <w:lvlText w:val="(%3)"/>
      <w:lvlJc w:val="left"/>
      <w:pPr>
        <w:tabs>
          <w:tab w:val="left" w:pos="1418"/>
        </w:tabs>
        <w:ind w:left="1418" w:hanging="567"/>
      </w:pPr>
      <w:rPr>
        <w:rFonts w:hint="default" w:cs="Times New Roman"/>
        <w:color w:val="auto"/>
      </w:rPr>
    </w:lvl>
    <w:lvl w:ilvl="3" w:tentative="0">
      <w:start w:val="1"/>
      <w:numFmt w:val="decimal"/>
      <w:lvlText w:val="9.1.%1.%2.%3.%4"/>
      <w:lvlJc w:val="left"/>
      <w:pPr>
        <w:tabs>
          <w:tab w:val="left" w:pos="2356"/>
        </w:tabs>
        <w:ind w:left="1984" w:hanging="708"/>
      </w:pPr>
      <w:rPr>
        <w:rFonts w:hint="eastAsia" w:cs="Times New Roman"/>
      </w:rPr>
    </w:lvl>
    <w:lvl w:ilvl="4" w:tentative="0">
      <w:start w:val="1"/>
      <w:numFmt w:val="decimal"/>
      <w:lvlText w:val="9.1.%1.%2.%3.%4.%5"/>
      <w:lvlJc w:val="left"/>
      <w:pPr>
        <w:tabs>
          <w:tab w:val="left" w:pos="2781"/>
        </w:tabs>
        <w:ind w:left="2551" w:hanging="850"/>
      </w:pPr>
      <w:rPr>
        <w:rFonts w:hint="eastAsia" w:cs="Times New Roman"/>
      </w:rPr>
    </w:lvl>
    <w:lvl w:ilvl="5" w:tentative="0">
      <w:start w:val="1"/>
      <w:numFmt w:val="none"/>
      <w:lvlText w:val=""/>
      <w:lvlJc w:val="left"/>
      <w:pPr>
        <w:tabs>
          <w:tab w:val="left" w:pos="3566"/>
        </w:tabs>
        <w:ind w:left="3260" w:hanging="1134"/>
      </w:pPr>
      <w:rPr>
        <w:rFonts w:hint="eastAsia" w:cs="Times New Roman"/>
      </w:rPr>
    </w:lvl>
    <w:lvl w:ilvl="6" w:tentative="0">
      <w:start w:val="1"/>
      <w:numFmt w:val="decimal"/>
      <w:lvlText w:val="%1.%2.%3.%4.%5.%6.%7"/>
      <w:lvlJc w:val="left"/>
      <w:pPr>
        <w:tabs>
          <w:tab w:val="left" w:pos="3991"/>
        </w:tabs>
        <w:ind w:left="3827" w:hanging="1276"/>
      </w:pPr>
      <w:rPr>
        <w:rFonts w:hint="eastAsia" w:cs="Times New Roman"/>
      </w:rPr>
    </w:lvl>
    <w:lvl w:ilvl="7" w:tentative="0">
      <w:start w:val="1"/>
      <w:numFmt w:val="decimal"/>
      <w:lvlText w:val="%1.%2.%3.%4.%5.%6.%7.%8"/>
      <w:lvlJc w:val="left"/>
      <w:pPr>
        <w:tabs>
          <w:tab w:val="left" w:pos="4776"/>
        </w:tabs>
        <w:ind w:left="4394" w:hanging="1418"/>
      </w:pPr>
      <w:rPr>
        <w:rFonts w:hint="eastAsia" w:cs="Times New Roman"/>
      </w:rPr>
    </w:lvl>
    <w:lvl w:ilvl="8" w:tentative="0">
      <w:start w:val="1"/>
      <w:numFmt w:val="decimal"/>
      <w:lvlText w:val="%1.%2.%3.%4.%5.%6.%7.%8.%9"/>
      <w:lvlJc w:val="left"/>
      <w:pPr>
        <w:tabs>
          <w:tab w:val="left" w:pos="5562"/>
        </w:tabs>
        <w:ind w:left="5102" w:hanging="1700"/>
      </w:pPr>
      <w:rPr>
        <w:rFonts w:hint="eastAsia" w:cs="Times New Roman"/>
      </w:rPr>
    </w:lvl>
  </w:abstractNum>
  <w:abstractNum w:abstractNumId="55">
    <w:nsid w:val="7CA10CFA"/>
    <w:multiLevelType w:val="multilevel"/>
    <w:tmpl w:val="7CA10CFA"/>
    <w:lvl w:ilvl="0" w:tentative="0">
      <w:start w:val="1"/>
      <w:numFmt w:val="decimal"/>
      <w:lvlText w:val="%1"/>
      <w:lvlJc w:val="left"/>
      <w:pPr>
        <w:tabs>
          <w:tab w:val="left" w:pos="425"/>
        </w:tabs>
        <w:ind w:left="425" w:hanging="425"/>
      </w:pPr>
      <w:rPr>
        <w:rFonts w:hint="eastAsia" w:ascii="Times New Roman" w:hAnsi="Times New Roman" w:eastAsia="宋体" w:cs="Times New Roman"/>
        <w:b w:val="0"/>
        <w:color w:val="auto"/>
      </w:rPr>
    </w:lvl>
    <w:lvl w:ilvl="1" w:tentative="0">
      <w:start w:val="1"/>
      <w:numFmt w:val="decimal"/>
      <w:lvlText w:val="%1.%2"/>
      <w:lvlJc w:val="left"/>
      <w:pPr>
        <w:tabs>
          <w:tab w:val="left" w:pos="1512"/>
        </w:tabs>
        <w:ind w:left="1512" w:hanging="567"/>
      </w:pPr>
      <w:rPr>
        <w:rFonts w:hint="eastAsia" w:ascii="Times New Roman" w:hAnsi="Times New Roman" w:eastAsia="宋体" w:cs="Times New Roman"/>
        <w:b w:val="0"/>
        <w:color w:val="auto"/>
      </w:rPr>
    </w:lvl>
    <w:lvl w:ilvl="2" w:tentative="0">
      <w:start w:val="1"/>
      <w:numFmt w:val="decimal"/>
      <w:lvlText w:val="(%3)"/>
      <w:lvlJc w:val="left"/>
      <w:pPr>
        <w:tabs>
          <w:tab w:val="left" w:pos="1418"/>
        </w:tabs>
        <w:ind w:left="1418" w:hanging="567"/>
      </w:pPr>
      <w:rPr>
        <w:rFonts w:hint="default" w:cs="Times New Roman"/>
        <w:color w:val="auto"/>
      </w:rPr>
    </w:lvl>
    <w:lvl w:ilvl="3" w:tentative="0">
      <w:start w:val="1"/>
      <w:numFmt w:val="decimal"/>
      <w:lvlText w:val="9.1.%1.%2.%3.%4"/>
      <w:lvlJc w:val="left"/>
      <w:pPr>
        <w:tabs>
          <w:tab w:val="left" w:pos="2356"/>
        </w:tabs>
        <w:ind w:left="1984" w:hanging="708"/>
      </w:pPr>
      <w:rPr>
        <w:rFonts w:hint="eastAsia" w:cs="Times New Roman"/>
      </w:rPr>
    </w:lvl>
    <w:lvl w:ilvl="4" w:tentative="0">
      <w:start w:val="1"/>
      <w:numFmt w:val="decimal"/>
      <w:lvlText w:val="9.1.%1.%2.%3.%4.%5"/>
      <w:lvlJc w:val="left"/>
      <w:pPr>
        <w:tabs>
          <w:tab w:val="left" w:pos="2781"/>
        </w:tabs>
        <w:ind w:left="2551" w:hanging="850"/>
      </w:pPr>
      <w:rPr>
        <w:rFonts w:hint="eastAsia" w:cs="Times New Roman"/>
      </w:rPr>
    </w:lvl>
    <w:lvl w:ilvl="5" w:tentative="0">
      <w:start w:val="1"/>
      <w:numFmt w:val="none"/>
      <w:lvlText w:val=""/>
      <w:lvlJc w:val="left"/>
      <w:pPr>
        <w:tabs>
          <w:tab w:val="left" w:pos="3566"/>
        </w:tabs>
        <w:ind w:left="3260" w:hanging="1134"/>
      </w:pPr>
      <w:rPr>
        <w:rFonts w:hint="eastAsia" w:cs="Times New Roman"/>
      </w:rPr>
    </w:lvl>
    <w:lvl w:ilvl="6" w:tentative="0">
      <w:start w:val="1"/>
      <w:numFmt w:val="decimal"/>
      <w:lvlText w:val="%1.%2.%3.%4.%5.%6.%7"/>
      <w:lvlJc w:val="left"/>
      <w:pPr>
        <w:tabs>
          <w:tab w:val="left" w:pos="3991"/>
        </w:tabs>
        <w:ind w:left="3827" w:hanging="1276"/>
      </w:pPr>
      <w:rPr>
        <w:rFonts w:hint="eastAsia" w:cs="Times New Roman"/>
      </w:rPr>
    </w:lvl>
    <w:lvl w:ilvl="7" w:tentative="0">
      <w:start w:val="1"/>
      <w:numFmt w:val="decimal"/>
      <w:lvlText w:val="%1.%2.%3.%4.%5.%6.%7.%8"/>
      <w:lvlJc w:val="left"/>
      <w:pPr>
        <w:tabs>
          <w:tab w:val="left" w:pos="4776"/>
        </w:tabs>
        <w:ind w:left="4394" w:hanging="1418"/>
      </w:pPr>
      <w:rPr>
        <w:rFonts w:hint="eastAsia" w:cs="Times New Roman"/>
      </w:rPr>
    </w:lvl>
    <w:lvl w:ilvl="8" w:tentative="0">
      <w:start w:val="1"/>
      <w:numFmt w:val="decimal"/>
      <w:lvlText w:val="%1.%2.%3.%4.%5.%6.%7.%8.%9"/>
      <w:lvlJc w:val="left"/>
      <w:pPr>
        <w:tabs>
          <w:tab w:val="left" w:pos="5562"/>
        </w:tabs>
        <w:ind w:left="5102" w:hanging="1700"/>
      </w:pPr>
      <w:rPr>
        <w:rFonts w:hint="eastAsia" w:cs="Times New Roman"/>
      </w:rPr>
    </w:lvl>
  </w:abstractNum>
  <w:abstractNum w:abstractNumId="56">
    <w:nsid w:val="7CB1A3C5"/>
    <w:multiLevelType w:val="singleLevel"/>
    <w:tmpl w:val="7CB1A3C5"/>
    <w:lvl w:ilvl="0" w:tentative="0">
      <w:start w:val="1"/>
      <w:numFmt w:val="decimal"/>
      <w:lvlText w:val="%1)"/>
      <w:lvlJc w:val="left"/>
      <w:pPr>
        <w:ind w:left="420" w:hanging="420"/>
      </w:pPr>
      <w:rPr>
        <w:rFonts w:hint="default"/>
        <w:sz w:val="24"/>
        <w:szCs w:val="24"/>
      </w:rPr>
    </w:lvl>
  </w:abstractNum>
  <w:abstractNum w:abstractNumId="57">
    <w:nsid w:val="7F847BA2"/>
    <w:multiLevelType w:val="multilevel"/>
    <w:tmpl w:val="7F847BA2"/>
    <w:lvl w:ilvl="0" w:tentative="0">
      <w:start w:val="1"/>
      <w:numFmt w:val="decimal"/>
      <w:pStyle w:val="4"/>
      <w:lvlText w:val="%1."/>
      <w:lvlJc w:val="left"/>
      <w:pPr>
        <w:tabs>
          <w:tab w:val="left" w:pos="0"/>
        </w:tabs>
        <w:ind w:left="420" w:hanging="420"/>
      </w:pPr>
      <w:rPr>
        <w:rFonts w:hint="default"/>
        <w:sz w:val="24"/>
        <w:szCs w:val="24"/>
      </w:rPr>
    </w:lvl>
    <w:lvl w:ilvl="1" w:tentative="0">
      <w:start w:val="1"/>
      <w:numFmt w:val="decimal"/>
      <w:suff w:val="space"/>
      <w:lvlText w:val="%1.%2."/>
      <w:lvlJc w:val="left"/>
      <w:pPr>
        <w:ind w:left="0" w:firstLine="0"/>
      </w:pPr>
      <w:rPr>
        <w:rFonts w:hint="default"/>
        <w:sz w:val="24"/>
        <w:szCs w:val="24"/>
      </w:rPr>
    </w:lvl>
    <w:lvl w:ilvl="2" w:tentative="0">
      <w:start w:val="1"/>
      <w:numFmt w:val="decimal"/>
      <w:suff w:val="space"/>
      <w:lvlText w:val="%1.%2.%3."/>
      <w:lvlJc w:val="left"/>
      <w:pPr>
        <w:ind w:left="420" w:hanging="420"/>
      </w:pPr>
      <w:rPr>
        <w:rFonts w:hint="default"/>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57"/>
  </w:num>
  <w:num w:numId="2">
    <w:abstractNumId w:val="3"/>
  </w:num>
  <w:num w:numId="3">
    <w:abstractNumId w:val="24"/>
  </w:num>
  <w:num w:numId="4">
    <w:abstractNumId w:val="53"/>
  </w:num>
  <w:num w:numId="5">
    <w:abstractNumId w:val="41"/>
  </w:num>
  <w:num w:numId="6">
    <w:abstractNumId w:val="2"/>
  </w:num>
  <w:num w:numId="7">
    <w:abstractNumId w:val="22"/>
  </w:num>
  <w:num w:numId="8">
    <w:abstractNumId w:val="45"/>
  </w:num>
  <w:num w:numId="9">
    <w:abstractNumId w:val="32"/>
  </w:num>
  <w:num w:numId="10">
    <w:abstractNumId w:val="19"/>
  </w:num>
  <w:num w:numId="11">
    <w:abstractNumId w:val="52"/>
  </w:num>
  <w:num w:numId="12">
    <w:abstractNumId w:val="5"/>
  </w:num>
  <w:num w:numId="13">
    <w:abstractNumId w:val="18"/>
  </w:num>
  <w:num w:numId="14">
    <w:abstractNumId w:val="11"/>
  </w:num>
  <w:num w:numId="15">
    <w:abstractNumId w:val="30"/>
  </w:num>
  <w:num w:numId="16">
    <w:abstractNumId w:val="6"/>
  </w:num>
  <w:num w:numId="17">
    <w:abstractNumId w:val="40"/>
  </w:num>
  <w:num w:numId="18">
    <w:abstractNumId w:val="17"/>
  </w:num>
  <w:num w:numId="19">
    <w:abstractNumId w:val="28"/>
  </w:num>
  <w:num w:numId="20">
    <w:abstractNumId w:val="29"/>
  </w:num>
  <w:num w:numId="21">
    <w:abstractNumId w:val="37"/>
  </w:num>
  <w:num w:numId="22">
    <w:abstractNumId w:val="56"/>
  </w:num>
  <w:num w:numId="23">
    <w:abstractNumId w:val="10"/>
  </w:num>
  <w:num w:numId="24">
    <w:abstractNumId w:val="7"/>
  </w:num>
  <w:num w:numId="25">
    <w:abstractNumId w:val="14"/>
  </w:num>
  <w:num w:numId="26">
    <w:abstractNumId w:val="33"/>
  </w:num>
  <w:num w:numId="27">
    <w:abstractNumId w:val="47"/>
  </w:num>
  <w:num w:numId="28">
    <w:abstractNumId w:val="16"/>
  </w:num>
  <w:num w:numId="29">
    <w:abstractNumId w:val="50"/>
  </w:num>
  <w:num w:numId="30">
    <w:abstractNumId w:val="48"/>
  </w:num>
  <w:num w:numId="31">
    <w:abstractNumId w:val="21"/>
  </w:num>
  <w:num w:numId="32">
    <w:abstractNumId w:val="20"/>
  </w:num>
  <w:num w:numId="33">
    <w:abstractNumId w:val="34"/>
  </w:num>
  <w:num w:numId="34">
    <w:abstractNumId w:val="36"/>
  </w:num>
  <w:num w:numId="35">
    <w:abstractNumId w:val="1"/>
  </w:num>
  <w:num w:numId="36">
    <w:abstractNumId w:val="44"/>
  </w:num>
  <w:num w:numId="37">
    <w:abstractNumId w:val="43"/>
  </w:num>
  <w:num w:numId="38">
    <w:abstractNumId w:val="4"/>
  </w:num>
  <w:num w:numId="39">
    <w:abstractNumId w:val="0"/>
  </w:num>
  <w:num w:numId="40">
    <w:abstractNumId w:val="8"/>
  </w:num>
  <w:num w:numId="41">
    <w:abstractNumId w:val="23"/>
  </w:num>
  <w:num w:numId="42">
    <w:abstractNumId w:val="9"/>
  </w:num>
  <w:num w:numId="43">
    <w:abstractNumId w:val="38"/>
  </w:num>
  <w:num w:numId="44">
    <w:abstractNumId w:val="12"/>
  </w:num>
  <w:num w:numId="45">
    <w:abstractNumId w:val="42"/>
  </w:num>
  <w:num w:numId="46">
    <w:abstractNumId w:val="39"/>
  </w:num>
  <w:num w:numId="47">
    <w:abstractNumId w:val="15"/>
  </w:num>
  <w:num w:numId="48">
    <w:abstractNumId w:val="13"/>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num>
  <w:num w:numId="55">
    <w:abstractNumId w:val="49"/>
    <w:lvlOverride w:ilvl="0">
      <w:startOverride w:val="4"/>
    </w:lvlOverride>
  </w:num>
  <w:num w:numId="56">
    <w:abstractNumId w:val="54"/>
  </w:num>
  <w:num w:numId="57">
    <w:abstractNumId w:val="35"/>
  </w:num>
  <w:num w:numId="58">
    <w:abstractNumId w:val="5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薛工">
    <w15:presenceInfo w15:providerId="WPS Office" w15:userId="3838112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ODFjYzQzNzhkN2MwNWMzYmJhZjNkYWYwMWE1ZTkifQ=="/>
  </w:docVars>
  <w:rsids>
    <w:rsidRoot w:val="00172A27"/>
    <w:rsid w:val="00000FEF"/>
    <w:rsid w:val="00001823"/>
    <w:rsid w:val="00002277"/>
    <w:rsid w:val="00002874"/>
    <w:rsid w:val="000029D7"/>
    <w:rsid w:val="00003517"/>
    <w:rsid w:val="00004136"/>
    <w:rsid w:val="000046B4"/>
    <w:rsid w:val="0000615D"/>
    <w:rsid w:val="00006519"/>
    <w:rsid w:val="00007B06"/>
    <w:rsid w:val="000100E6"/>
    <w:rsid w:val="0001091C"/>
    <w:rsid w:val="0001198C"/>
    <w:rsid w:val="00011D32"/>
    <w:rsid w:val="00012E68"/>
    <w:rsid w:val="000134A1"/>
    <w:rsid w:val="00013900"/>
    <w:rsid w:val="00013FA2"/>
    <w:rsid w:val="000144A3"/>
    <w:rsid w:val="00014707"/>
    <w:rsid w:val="0001540F"/>
    <w:rsid w:val="000163CA"/>
    <w:rsid w:val="000202D1"/>
    <w:rsid w:val="0002145E"/>
    <w:rsid w:val="00023184"/>
    <w:rsid w:val="00027136"/>
    <w:rsid w:val="000275FC"/>
    <w:rsid w:val="000304FA"/>
    <w:rsid w:val="0003076E"/>
    <w:rsid w:val="00031069"/>
    <w:rsid w:val="00031281"/>
    <w:rsid w:val="00031D65"/>
    <w:rsid w:val="0003224B"/>
    <w:rsid w:val="00032684"/>
    <w:rsid w:val="00032F63"/>
    <w:rsid w:val="00033D8E"/>
    <w:rsid w:val="00034082"/>
    <w:rsid w:val="0003474C"/>
    <w:rsid w:val="000353C0"/>
    <w:rsid w:val="0003569A"/>
    <w:rsid w:val="0003632F"/>
    <w:rsid w:val="0003636E"/>
    <w:rsid w:val="00036E55"/>
    <w:rsid w:val="00036F2A"/>
    <w:rsid w:val="00037927"/>
    <w:rsid w:val="00037A0A"/>
    <w:rsid w:val="00040D3A"/>
    <w:rsid w:val="0004196B"/>
    <w:rsid w:val="000426CE"/>
    <w:rsid w:val="00042C4F"/>
    <w:rsid w:val="00043443"/>
    <w:rsid w:val="00043F4F"/>
    <w:rsid w:val="00044C4D"/>
    <w:rsid w:val="00044E82"/>
    <w:rsid w:val="00045091"/>
    <w:rsid w:val="000451C6"/>
    <w:rsid w:val="00045717"/>
    <w:rsid w:val="00045AAA"/>
    <w:rsid w:val="000469A0"/>
    <w:rsid w:val="00046C2B"/>
    <w:rsid w:val="00047492"/>
    <w:rsid w:val="0004769A"/>
    <w:rsid w:val="00047D15"/>
    <w:rsid w:val="000501D0"/>
    <w:rsid w:val="000505A0"/>
    <w:rsid w:val="000507AF"/>
    <w:rsid w:val="00051F06"/>
    <w:rsid w:val="00051FEA"/>
    <w:rsid w:val="00052120"/>
    <w:rsid w:val="00052326"/>
    <w:rsid w:val="0005266A"/>
    <w:rsid w:val="00052807"/>
    <w:rsid w:val="00053414"/>
    <w:rsid w:val="00053853"/>
    <w:rsid w:val="000557EA"/>
    <w:rsid w:val="00056AF6"/>
    <w:rsid w:val="00057462"/>
    <w:rsid w:val="0006007F"/>
    <w:rsid w:val="00060448"/>
    <w:rsid w:val="00060452"/>
    <w:rsid w:val="00060D59"/>
    <w:rsid w:val="00064AD0"/>
    <w:rsid w:val="00065FEC"/>
    <w:rsid w:val="000669BD"/>
    <w:rsid w:val="00070299"/>
    <w:rsid w:val="00070739"/>
    <w:rsid w:val="000715DD"/>
    <w:rsid w:val="00073A95"/>
    <w:rsid w:val="0007402C"/>
    <w:rsid w:val="000753A9"/>
    <w:rsid w:val="00076546"/>
    <w:rsid w:val="0007727E"/>
    <w:rsid w:val="0007742A"/>
    <w:rsid w:val="000778EF"/>
    <w:rsid w:val="00077C47"/>
    <w:rsid w:val="000800C8"/>
    <w:rsid w:val="000808B0"/>
    <w:rsid w:val="000815DA"/>
    <w:rsid w:val="000816EB"/>
    <w:rsid w:val="000816F3"/>
    <w:rsid w:val="00083ADD"/>
    <w:rsid w:val="000846DD"/>
    <w:rsid w:val="00084ADF"/>
    <w:rsid w:val="000852B6"/>
    <w:rsid w:val="00085770"/>
    <w:rsid w:val="00085784"/>
    <w:rsid w:val="0008601F"/>
    <w:rsid w:val="00090C1F"/>
    <w:rsid w:val="00090DAA"/>
    <w:rsid w:val="00090E3D"/>
    <w:rsid w:val="000911FA"/>
    <w:rsid w:val="00091F2F"/>
    <w:rsid w:val="00091FC0"/>
    <w:rsid w:val="000929DE"/>
    <w:rsid w:val="00093681"/>
    <w:rsid w:val="00093CCC"/>
    <w:rsid w:val="000956C6"/>
    <w:rsid w:val="00095D3C"/>
    <w:rsid w:val="00096106"/>
    <w:rsid w:val="000976F3"/>
    <w:rsid w:val="000979D5"/>
    <w:rsid w:val="00097C0C"/>
    <w:rsid w:val="00097E4C"/>
    <w:rsid w:val="000A253C"/>
    <w:rsid w:val="000A2856"/>
    <w:rsid w:val="000A28E1"/>
    <w:rsid w:val="000A341E"/>
    <w:rsid w:val="000A3AE7"/>
    <w:rsid w:val="000A4013"/>
    <w:rsid w:val="000A4117"/>
    <w:rsid w:val="000A4EB4"/>
    <w:rsid w:val="000A5743"/>
    <w:rsid w:val="000A59DE"/>
    <w:rsid w:val="000B02B4"/>
    <w:rsid w:val="000B03FE"/>
    <w:rsid w:val="000B136C"/>
    <w:rsid w:val="000B1D1E"/>
    <w:rsid w:val="000B2655"/>
    <w:rsid w:val="000B27E4"/>
    <w:rsid w:val="000B3468"/>
    <w:rsid w:val="000B517C"/>
    <w:rsid w:val="000B6A3B"/>
    <w:rsid w:val="000B6BFE"/>
    <w:rsid w:val="000B6FFB"/>
    <w:rsid w:val="000B7EC9"/>
    <w:rsid w:val="000C05C5"/>
    <w:rsid w:val="000C10BE"/>
    <w:rsid w:val="000C32AC"/>
    <w:rsid w:val="000C370C"/>
    <w:rsid w:val="000C4705"/>
    <w:rsid w:val="000C5A14"/>
    <w:rsid w:val="000C6E6C"/>
    <w:rsid w:val="000D0923"/>
    <w:rsid w:val="000D1A88"/>
    <w:rsid w:val="000D1E03"/>
    <w:rsid w:val="000D22EC"/>
    <w:rsid w:val="000D234B"/>
    <w:rsid w:val="000D2397"/>
    <w:rsid w:val="000D3854"/>
    <w:rsid w:val="000D4658"/>
    <w:rsid w:val="000D4A98"/>
    <w:rsid w:val="000D64DB"/>
    <w:rsid w:val="000D7B59"/>
    <w:rsid w:val="000E1C91"/>
    <w:rsid w:val="000E564B"/>
    <w:rsid w:val="000E60F8"/>
    <w:rsid w:val="000E65FF"/>
    <w:rsid w:val="000F09B7"/>
    <w:rsid w:val="000F0A1D"/>
    <w:rsid w:val="000F0E21"/>
    <w:rsid w:val="000F18FB"/>
    <w:rsid w:val="000F220A"/>
    <w:rsid w:val="000F32D2"/>
    <w:rsid w:val="000F3C1D"/>
    <w:rsid w:val="000F5011"/>
    <w:rsid w:val="000F59A7"/>
    <w:rsid w:val="000F5DE4"/>
    <w:rsid w:val="000F6A23"/>
    <w:rsid w:val="000F7F23"/>
    <w:rsid w:val="00100A22"/>
    <w:rsid w:val="00101065"/>
    <w:rsid w:val="00101487"/>
    <w:rsid w:val="001015C9"/>
    <w:rsid w:val="00101BD3"/>
    <w:rsid w:val="00102FF4"/>
    <w:rsid w:val="001046F5"/>
    <w:rsid w:val="00104962"/>
    <w:rsid w:val="00105D0A"/>
    <w:rsid w:val="00105E71"/>
    <w:rsid w:val="001060A8"/>
    <w:rsid w:val="001066B3"/>
    <w:rsid w:val="00107001"/>
    <w:rsid w:val="00107489"/>
    <w:rsid w:val="001075BF"/>
    <w:rsid w:val="00107A21"/>
    <w:rsid w:val="001100A4"/>
    <w:rsid w:val="00110602"/>
    <w:rsid w:val="00110E7C"/>
    <w:rsid w:val="001110E8"/>
    <w:rsid w:val="001116E6"/>
    <w:rsid w:val="00111B87"/>
    <w:rsid w:val="00113678"/>
    <w:rsid w:val="00113858"/>
    <w:rsid w:val="001165EB"/>
    <w:rsid w:val="0011730D"/>
    <w:rsid w:val="00117779"/>
    <w:rsid w:val="00121701"/>
    <w:rsid w:val="00121790"/>
    <w:rsid w:val="00122992"/>
    <w:rsid w:val="00124E95"/>
    <w:rsid w:val="001251A1"/>
    <w:rsid w:val="00125358"/>
    <w:rsid w:val="00125D81"/>
    <w:rsid w:val="00127A37"/>
    <w:rsid w:val="001317DA"/>
    <w:rsid w:val="00132492"/>
    <w:rsid w:val="00133EF8"/>
    <w:rsid w:val="00134C53"/>
    <w:rsid w:val="0013500E"/>
    <w:rsid w:val="00135095"/>
    <w:rsid w:val="00135C64"/>
    <w:rsid w:val="001366A5"/>
    <w:rsid w:val="00137357"/>
    <w:rsid w:val="00137CE2"/>
    <w:rsid w:val="0014124C"/>
    <w:rsid w:val="0014334E"/>
    <w:rsid w:val="001440F9"/>
    <w:rsid w:val="0014535E"/>
    <w:rsid w:val="0014635B"/>
    <w:rsid w:val="001475D4"/>
    <w:rsid w:val="00150E89"/>
    <w:rsid w:val="00151355"/>
    <w:rsid w:val="001518C4"/>
    <w:rsid w:val="00152348"/>
    <w:rsid w:val="00153056"/>
    <w:rsid w:val="001534E2"/>
    <w:rsid w:val="001543A1"/>
    <w:rsid w:val="00154CA5"/>
    <w:rsid w:val="001554B9"/>
    <w:rsid w:val="00155578"/>
    <w:rsid w:val="001569A5"/>
    <w:rsid w:val="001577E4"/>
    <w:rsid w:val="00160D12"/>
    <w:rsid w:val="0016112C"/>
    <w:rsid w:val="0016164C"/>
    <w:rsid w:val="0016368F"/>
    <w:rsid w:val="00163E51"/>
    <w:rsid w:val="00164A06"/>
    <w:rsid w:val="00165AEF"/>
    <w:rsid w:val="00165ED7"/>
    <w:rsid w:val="001667F7"/>
    <w:rsid w:val="001675F7"/>
    <w:rsid w:val="0016776F"/>
    <w:rsid w:val="00167DC6"/>
    <w:rsid w:val="001704AE"/>
    <w:rsid w:val="001720FD"/>
    <w:rsid w:val="00172428"/>
    <w:rsid w:val="00172A27"/>
    <w:rsid w:val="00172E01"/>
    <w:rsid w:val="00174F3C"/>
    <w:rsid w:val="0017575B"/>
    <w:rsid w:val="00175CFB"/>
    <w:rsid w:val="00176B16"/>
    <w:rsid w:val="00176DA4"/>
    <w:rsid w:val="00177D11"/>
    <w:rsid w:val="001802D0"/>
    <w:rsid w:val="0018039A"/>
    <w:rsid w:val="00180989"/>
    <w:rsid w:val="00181533"/>
    <w:rsid w:val="00181DF8"/>
    <w:rsid w:val="00182F92"/>
    <w:rsid w:val="001832D2"/>
    <w:rsid w:val="001832F5"/>
    <w:rsid w:val="00183C2E"/>
    <w:rsid w:val="001845A8"/>
    <w:rsid w:val="00184795"/>
    <w:rsid w:val="00185235"/>
    <w:rsid w:val="001859AA"/>
    <w:rsid w:val="00185B68"/>
    <w:rsid w:val="00185E3E"/>
    <w:rsid w:val="00187B33"/>
    <w:rsid w:val="00191773"/>
    <w:rsid w:val="00193535"/>
    <w:rsid w:val="001962AA"/>
    <w:rsid w:val="00197247"/>
    <w:rsid w:val="001A06F1"/>
    <w:rsid w:val="001A0CFD"/>
    <w:rsid w:val="001A0D27"/>
    <w:rsid w:val="001A1559"/>
    <w:rsid w:val="001A19CD"/>
    <w:rsid w:val="001A2E13"/>
    <w:rsid w:val="001A3B3F"/>
    <w:rsid w:val="001A3C44"/>
    <w:rsid w:val="001A3FA2"/>
    <w:rsid w:val="001A4024"/>
    <w:rsid w:val="001A515C"/>
    <w:rsid w:val="001A5A84"/>
    <w:rsid w:val="001A65D0"/>
    <w:rsid w:val="001A71C6"/>
    <w:rsid w:val="001A74B5"/>
    <w:rsid w:val="001A778B"/>
    <w:rsid w:val="001A7D86"/>
    <w:rsid w:val="001B14DE"/>
    <w:rsid w:val="001B29AF"/>
    <w:rsid w:val="001B2F1A"/>
    <w:rsid w:val="001B6E3B"/>
    <w:rsid w:val="001B740B"/>
    <w:rsid w:val="001B74B6"/>
    <w:rsid w:val="001B77A2"/>
    <w:rsid w:val="001B7D4B"/>
    <w:rsid w:val="001C0395"/>
    <w:rsid w:val="001C0D4D"/>
    <w:rsid w:val="001C1F85"/>
    <w:rsid w:val="001C30F5"/>
    <w:rsid w:val="001C63DE"/>
    <w:rsid w:val="001C66D6"/>
    <w:rsid w:val="001C6E0B"/>
    <w:rsid w:val="001D24C3"/>
    <w:rsid w:val="001D38CD"/>
    <w:rsid w:val="001D4C95"/>
    <w:rsid w:val="001D6FCD"/>
    <w:rsid w:val="001E01EE"/>
    <w:rsid w:val="001E0C07"/>
    <w:rsid w:val="001E0CD3"/>
    <w:rsid w:val="001E1482"/>
    <w:rsid w:val="001E2138"/>
    <w:rsid w:val="001E4385"/>
    <w:rsid w:val="001E4D48"/>
    <w:rsid w:val="001E6335"/>
    <w:rsid w:val="001E6E0F"/>
    <w:rsid w:val="001E723B"/>
    <w:rsid w:val="001E7604"/>
    <w:rsid w:val="001F0ECB"/>
    <w:rsid w:val="001F1020"/>
    <w:rsid w:val="001F1589"/>
    <w:rsid w:val="001F31F0"/>
    <w:rsid w:val="001F4180"/>
    <w:rsid w:val="001F62C6"/>
    <w:rsid w:val="001F6C44"/>
    <w:rsid w:val="001F785F"/>
    <w:rsid w:val="001F79B7"/>
    <w:rsid w:val="002005C9"/>
    <w:rsid w:val="002015E9"/>
    <w:rsid w:val="00201963"/>
    <w:rsid w:val="00201C59"/>
    <w:rsid w:val="00201F23"/>
    <w:rsid w:val="00202F73"/>
    <w:rsid w:val="00203FA0"/>
    <w:rsid w:val="002048E8"/>
    <w:rsid w:val="00207307"/>
    <w:rsid w:val="00207B70"/>
    <w:rsid w:val="00210A81"/>
    <w:rsid w:val="00210B80"/>
    <w:rsid w:val="00212833"/>
    <w:rsid w:val="00212ADE"/>
    <w:rsid w:val="002133A7"/>
    <w:rsid w:val="00213EDF"/>
    <w:rsid w:val="0021410C"/>
    <w:rsid w:val="00214EB8"/>
    <w:rsid w:val="00214FD4"/>
    <w:rsid w:val="00215903"/>
    <w:rsid w:val="00215EF6"/>
    <w:rsid w:val="002178CD"/>
    <w:rsid w:val="002201EA"/>
    <w:rsid w:val="00220A82"/>
    <w:rsid w:val="00221794"/>
    <w:rsid w:val="0022190A"/>
    <w:rsid w:val="00221E34"/>
    <w:rsid w:val="00221F67"/>
    <w:rsid w:val="002232B6"/>
    <w:rsid w:val="00224091"/>
    <w:rsid w:val="00224470"/>
    <w:rsid w:val="002247F1"/>
    <w:rsid w:val="00224E3E"/>
    <w:rsid w:val="00225560"/>
    <w:rsid w:val="00227015"/>
    <w:rsid w:val="002270EA"/>
    <w:rsid w:val="00230C6E"/>
    <w:rsid w:val="002319FF"/>
    <w:rsid w:val="0023224E"/>
    <w:rsid w:val="0023229E"/>
    <w:rsid w:val="00232437"/>
    <w:rsid w:val="002327A0"/>
    <w:rsid w:val="002335C8"/>
    <w:rsid w:val="00233AA8"/>
    <w:rsid w:val="00233BAA"/>
    <w:rsid w:val="00233BF8"/>
    <w:rsid w:val="00233E2C"/>
    <w:rsid w:val="0023664F"/>
    <w:rsid w:val="00236D9B"/>
    <w:rsid w:val="00237EDC"/>
    <w:rsid w:val="00240F34"/>
    <w:rsid w:val="00241812"/>
    <w:rsid w:val="00242591"/>
    <w:rsid w:val="002426BC"/>
    <w:rsid w:val="00242CAE"/>
    <w:rsid w:val="00243901"/>
    <w:rsid w:val="00243A77"/>
    <w:rsid w:val="00243B4F"/>
    <w:rsid w:val="00243CEF"/>
    <w:rsid w:val="002445BF"/>
    <w:rsid w:val="00244F54"/>
    <w:rsid w:val="002450A7"/>
    <w:rsid w:val="0024512C"/>
    <w:rsid w:val="00245398"/>
    <w:rsid w:val="00245AF2"/>
    <w:rsid w:val="00247BE2"/>
    <w:rsid w:val="00251119"/>
    <w:rsid w:val="00251AEC"/>
    <w:rsid w:val="002525D0"/>
    <w:rsid w:val="00253B73"/>
    <w:rsid w:val="00254C09"/>
    <w:rsid w:val="0025558D"/>
    <w:rsid w:val="00255C60"/>
    <w:rsid w:val="00255E59"/>
    <w:rsid w:val="002563B8"/>
    <w:rsid w:val="00257E7F"/>
    <w:rsid w:val="002605D9"/>
    <w:rsid w:val="00260A2D"/>
    <w:rsid w:val="00260CFC"/>
    <w:rsid w:val="00260EA8"/>
    <w:rsid w:val="00264D11"/>
    <w:rsid w:val="00265390"/>
    <w:rsid w:val="00265464"/>
    <w:rsid w:val="002663AA"/>
    <w:rsid w:val="00267ACC"/>
    <w:rsid w:val="00267CB2"/>
    <w:rsid w:val="00270153"/>
    <w:rsid w:val="0027072D"/>
    <w:rsid w:val="0027088E"/>
    <w:rsid w:val="00271F58"/>
    <w:rsid w:val="002730C4"/>
    <w:rsid w:val="00273129"/>
    <w:rsid w:val="0027421C"/>
    <w:rsid w:val="002746DE"/>
    <w:rsid w:val="002746E5"/>
    <w:rsid w:val="00275192"/>
    <w:rsid w:val="00275C15"/>
    <w:rsid w:val="0027781C"/>
    <w:rsid w:val="00280ABC"/>
    <w:rsid w:val="00280DEE"/>
    <w:rsid w:val="002831A1"/>
    <w:rsid w:val="002831CA"/>
    <w:rsid w:val="00285642"/>
    <w:rsid w:val="00287B6F"/>
    <w:rsid w:val="00291BDD"/>
    <w:rsid w:val="00293F5A"/>
    <w:rsid w:val="00293F82"/>
    <w:rsid w:val="0029401A"/>
    <w:rsid w:val="0029578B"/>
    <w:rsid w:val="002958C4"/>
    <w:rsid w:val="00295AB8"/>
    <w:rsid w:val="002966D2"/>
    <w:rsid w:val="00297239"/>
    <w:rsid w:val="002A0988"/>
    <w:rsid w:val="002A1D0C"/>
    <w:rsid w:val="002A2F4E"/>
    <w:rsid w:val="002A36E1"/>
    <w:rsid w:val="002A48BB"/>
    <w:rsid w:val="002A49A9"/>
    <w:rsid w:val="002A5487"/>
    <w:rsid w:val="002A6E0C"/>
    <w:rsid w:val="002A6F1A"/>
    <w:rsid w:val="002B23A1"/>
    <w:rsid w:val="002B336E"/>
    <w:rsid w:val="002B3EC0"/>
    <w:rsid w:val="002B4181"/>
    <w:rsid w:val="002B49E1"/>
    <w:rsid w:val="002B70DA"/>
    <w:rsid w:val="002B72A6"/>
    <w:rsid w:val="002B7F30"/>
    <w:rsid w:val="002C19ED"/>
    <w:rsid w:val="002C1B13"/>
    <w:rsid w:val="002C3228"/>
    <w:rsid w:val="002C34D7"/>
    <w:rsid w:val="002C3FC6"/>
    <w:rsid w:val="002C4520"/>
    <w:rsid w:val="002C5857"/>
    <w:rsid w:val="002C59A4"/>
    <w:rsid w:val="002C5DFD"/>
    <w:rsid w:val="002C5F99"/>
    <w:rsid w:val="002C7655"/>
    <w:rsid w:val="002D00D8"/>
    <w:rsid w:val="002D0628"/>
    <w:rsid w:val="002D1091"/>
    <w:rsid w:val="002D1AFF"/>
    <w:rsid w:val="002D2737"/>
    <w:rsid w:val="002D317F"/>
    <w:rsid w:val="002D3A92"/>
    <w:rsid w:val="002D63F1"/>
    <w:rsid w:val="002D640A"/>
    <w:rsid w:val="002D6C8A"/>
    <w:rsid w:val="002D7362"/>
    <w:rsid w:val="002D7A1D"/>
    <w:rsid w:val="002E0D2D"/>
    <w:rsid w:val="002E131A"/>
    <w:rsid w:val="002E1711"/>
    <w:rsid w:val="002E22D0"/>
    <w:rsid w:val="002E3172"/>
    <w:rsid w:val="002E414F"/>
    <w:rsid w:val="002E4A45"/>
    <w:rsid w:val="002E5E72"/>
    <w:rsid w:val="002E6784"/>
    <w:rsid w:val="002E6CAD"/>
    <w:rsid w:val="002E7824"/>
    <w:rsid w:val="002E785B"/>
    <w:rsid w:val="002F037E"/>
    <w:rsid w:val="002F1CCE"/>
    <w:rsid w:val="002F2707"/>
    <w:rsid w:val="002F3037"/>
    <w:rsid w:val="002F343B"/>
    <w:rsid w:val="002F4067"/>
    <w:rsid w:val="002F4FBB"/>
    <w:rsid w:val="002F5E2B"/>
    <w:rsid w:val="002F73CA"/>
    <w:rsid w:val="002F76F0"/>
    <w:rsid w:val="003000AE"/>
    <w:rsid w:val="003002F6"/>
    <w:rsid w:val="00300826"/>
    <w:rsid w:val="00300BBA"/>
    <w:rsid w:val="00301263"/>
    <w:rsid w:val="0030189E"/>
    <w:rsid w:val="0030594E"/>
    <w:rsid w:val="00306033"/>
    <w:rsid w:val="00306B22"/>
    <w:rsid w:val="00310087"/>
    <w:rsid w:val="0031054B"/>
    <w:rsid w:val="00311ACF"/>
    <w:rsid w:val="00312AEB"/>
    <w:rsid w:val="00314842"/>
    <w:rsid w:val="00314E63"/>
    <w:rsid w:val="00315D9E"/>
    <w:rsid w:val="00315E66"/>
    <w:rsid w:val="00316096"/>
    <w:rsid w:val="003161AC"/>
    <w:rsid w:val="003163A3"/>
    <w:rsid w:val="003163F4"/>
    <w:rsid w:val="00316A09"/>
    <w:rsid w:val="00316C85"/>
    <w:rsid w:val="00317911"/>
    <w:rsid w:val="00317F1E"/>
    <w:rsid w:val="00321817"/>
    <w:rsid w:val="00321B0A"/>
    <w:rsid w:val="0032249B"/>
    <w:rsid w:val="00322F26"/>
    <w:rsid w:val="0032316C"/>
    <w:rsid w:val="00324A8D"/>
    <w:rsid w:val="003254D4"/>
    <w:rsid w:val="003259F2"/>
    <w:rsid w:val="0032625D"/>
    <w:rsid w:val="003268A4"/>
    <w:rsid w:val="00327052"/>
    <w:rsid w:val="00327226"/>
    <w:rsid w:val="00330039"/>
    <w:rsid w:val="00330271"/>
    <w:rsid w:val="0033043A"/>
    <w:rsid w:val="00331B1D"/>
    <w:rsid w:val="0033262D"/>
    <w:rsid w:val="00332B15"/>
    <w:rsid w:val="00332D31"/>
    <w:rsid w:val="00333439"/>
    <w:rsid w:val="003335C1"/>
    <w:rsid w:val="00333B0B"/>
    <w:rsid w:val="00333C86"/>
    <w:rsid w:val="00334402"/>
    <w:rsid w:val="00334A93"/>
    <w:rsid w:val="00334E84"/>
    <w:rsid w:val="00335408"/>
    <w:rsid w:val="00335C20"/>
    <w:rsid w:val="0033644C"/>
    <w:rsid w:val="00336DD2"/>
    <w:rsid w:val="00340BF8"/>
    <w:rsid w:val="003423ED"/>
    <w:rsid w:val="003434F0"/>
    <w:rsid w:val="0034485F"/>
    <w:rsid w:val="0034606C"/>
    <w:rsid w:val="003467E2"/>
    <w:rsid w:val="00347963"/>
    <w:rsid w:val="00347A06"/>
    <w:rsid w:val="00347C4A"/>
    <w:rsid w:val="00350B9F"/>
    <w:rsid w:val="0035350C"/>
    <w:rsid w:val="0035531C"/>
    <w:rsid w:val="00355EAC"/>
    <w:rsid w:val="003560C8"/>
    <w:rsid w:val="003561AB"/>
    <w:rsid w:val="0035649C"/>
    <w:rsid w:val="00360D48"/>
    <w:rsid w:val="003628A6"/>
    <w:rsid w:val="003637A3"/>
    <w:rsid w:val="00363D70"/>
    <w:rsid w:val="00363E1B"/>
    <w:rsid w:val="00364154"/>
    <w:rsid w:val="003644DF"/>
    <w:rsid w:val="00365A6D"/>
    <w:rsid w:val="00365D5F"/>
    <w:rsid w:val="003667D7"/>
    <w:rsid w:val="00367024"/>
    <w:rsid w:val="003674E8"/>
    <w:rsid w:val="00372A32"/>
    <w:rsid w:val="00372DA7"/>
    <w:rsid w:val="00373637"/>
    <w:rsid w:val="00374CFE"/>
    <w:rsid w:val="00374EF5"/>
    <w:rsid w:val="0037706C"/>
    <w:rsid w:val="003802E8"/>
    <w:rsid w:val="0038088C"/>
    <w:rsid w:val="00381F90"/>
    <w:rsid w:val="0038270F"/>
    <w:rsid w:val="0038382A"/>
    <w:rsid w:val="00383EAE"/>
    <w:rsid w:val="00386F14"/>
    <w:rsid w:val="00390791"/>
    <w:rsid w:val="00390B5B"/>
    <w:rsid w:val="003910FD"/>
    <w:rsid w:val="003911E5"/>
    <w:rsid w:val="003926D8"/>
    <w:rsid w:val="003927C9"/>
    <w:rsid w:val="00392E36"/>
    <w:rsid w:val="003930C8"/>
    <w:rsid w:val="003940AE"/>
    <w:rsid w:val="00394954"/>
    <w:rsid w:val="00394D06"/>
    <w:rsid w:val="00395C45"/>
    <w:rsid w:val="00396F58"/>
    <w:rsid w:val="00397947"/>
    <w:rsid w:val="003A2B72"/>
    <w:rsid w:val="003A3F30"/>
    <w:rsid w:val="003A5DA7"/>
    <w:rsid w:val="003A69C6"/>
    <w:rsid w:val="003A6D13"/>
    <w:rsid w:val="003A7236"/>
    <w:rsid w:val="003A79F1"/>
    <w:rsid w:val="003B0418"/>
    <w:rsid w:val="003B0820"/>
    <w:rsid w:val="003B1A94"/>
    <w:rsid w:val="003B4095"/>
    <w:rsid w:val="003B5353"/>
    <w:rsid w:val="003B5388"/>
    <w:rsid w:val="003B5728"/>
    <w:rsid w:val="003B5F29"/>
    <w:rsid w:val="003B7304"/>
    <w:rsid w:val="003B786C"/>
    <w:rsid w:val="003C047C"/>
    <w:rsid w:val="003C2A2E"/>
    <w:rsid w:val="003C2DBC"/>
    <w:rsid w:val="003C3B5F"/>
    <w:rsid w:val="003C429F"/>
    <w:rsid w:val="003C4835"/>
    <w:rsid w:val="003C74C4"/>
    <w:rsid w:val="003C76CF"/>
    <w:rsid w:val="003D2355"/>
    <w:rsid w:val="003D2A8A"/>
    <w:rsid w:val="003D5ED0"/>
    <w:rsid w:val="003D710F"/>
    <w:rsid w:val="003E0E6C"/>
    <w:rsid w:val="003E23E3"/>
    <w:rsid w:val="003E2D4C"/>
    <w:rsid w:val="003E3518"/>
    <w:rsid w:val="003E3A57"/>
    <w:rsid w:val="003E3AE8"/>
    <w:rsid w:val="003E47C4"/>
    <w:rsid w:val="003E47C7"/>
    <w:rsid w:val="003E577B"/>
    <w:rsid w:val="003E5837"/>
    <w:rsid w:val="003E7485"/>
    <w:rsid w:val="003E7C2C"/>
    <w:rsid w:val="003F0F5F"/>
    <w:rsid w:val="003F1941"/>
    <w:rsid w:val="003F1E9C"/>
    <w:rsid w:val="003F201B"/>
    <w:rsid w:val="003F3829"/>
    <w:rsid w:val="003F3C2F"/>
    <w:rsid w:val="003F5347"/>
    <w:rsid w:val="003F60F3"/>
    <w:rsid w:val="003F6531"/>
    <w:rsid w:val="003F7BC0"/>
    <w:rsid w:val="004006B4"/>
    <w:rsid w:val="004014D9"/>
    <w:rsid w:val="004019F9"/>
    <w:rsid w:val="00402C41"/>
    <w:rsid w:val="00404057"/>
    <w:rsid w:val="00404B01"/>
    <w:rsid w:val="00404D32"/>
    <w:rsid w:val="0040572C"/>
    <w:rsid w:val="0040591C"/>
    <w:rsid w:val="00405B53"/>
    <w:rsid w:val="004066C1"/>
    <w:rsid w:val="004103F4"/>
    <w:rsid w:val="00410E88"/>
    <w:rsid w:val="004117CB"/>
    <w:rsid w:val="00411E9C"/>
    <w:rsid w:val="00411EE9"/>
    <w:rsid w:val="004128BB"/>
    <w:rsid w:val="00413A5F"/>
    <w:rsid w:val="004140E0"/>
    <w:rsid w:val="00415513"/>
    <w:rsid w:val="0041634E"/>
    <w:rsid w:val="00416AC9"/>
    <w:rsid w:val="00416EFF"/>
    <w:rsid w:val="00420C7F"/>
    <w:rsid w:val="00421F22"/>
    <w:rsid w:val="00422239"/>
    <w:rsid w:val="004250D5"/>
    <w:rsid w:val="00426496"/>
    <w:rsid w:val="00426A65"/>
    <w:rsid w:val="00426E13"/>
    <w:rsid w:val="004313E7"/>
    <w:rsid w:val="00432B37"/>
    <w:rsid w:val="00432C07"/>
    <w:rsid w:val="00433135"/>
    <w:rsid w:val="00434251"/>
    <w:rsid w:val="00434744"/>
    <w:rsid w:val="00436217"/>
    <w:rsid w:val="00436884"/>
    <w:rsid w:val="00436B2D"/>
    <w:rsid w:val="004408BE"/>
    <w:rsid w:val="00441788"/>
    <w:rsid w:val="004421CF"/>
    <w:rsid w:val="004427A4"/>
    <w:rsid w:val="00442B6F"/>
    <w:rsid w:val="00443A6E"/>
    <w:rsid w:val="00445517"/>
    <w:rsid w:val="00445532"/>
    <w:rsid w:val="00445668"/>
    <w:rsid w:val="004457DF"/>
    <w:rsid w:val="004475E3"/>
    <w:rsid w:val="004507A4"/>
    <w:rsid w:val="00450F9D"/>
    <w:rsid w:val="0045139E"/>
    <w:rsid w:val="00451EBE"/>
    <w:rsid w:val="00452053"/>
    <w:rsid w:val="00452238"/>
    <w:rsid w:val="004523D6"/>
    <w:rsid w:val="0045276F"/>
    <w:rsid w:val="004527D0"/>
    <w:rsid w:val="00452A4F"/>
    <w:rsid w:val="00452F00"/>
    <w:rsid w:val="0045374F"/>
    <w:rsid w:val="00454603"/>
    <w:rsid w:val="00454AC0"/>
    <w:rsid w:val="00454DD1"/>
    <w:rsid w:val="00457559"/>
    <w:rsid w:val="00457D1C"/>
    <w:rsid w:val="004606C2"/>
    <w:rsid w:val="00462C90"/>
    <w:rsid w:val="0046301F"/>
    <w:rsid w:val="00463350"/>
    <w:rsid w:val="00463589"/>
    <w:rsid w:val="004636FD"/>
    <w:rsid w:val="004659F9"/>
    <w:rsid w:val="00466F95"/>
    <w:rsid w:val="004675CE"/>
    <w:rsid w:val="00467685"/>
    <w:rsid w:val="00467ED9"/>
    <w:rsid w:val="00471150"/>
    <w:rsid w:val="00471AE3"/>
    <w:rsid w:val="00472209"/>
    <w:rsid w:val="00472AF9"/>
    <w:rsid w:val="00475ABC"/>
    <w:rsid w:val="00475B9E"/>
    <w:rsid w:val="004771AD"/>
    <w:rsid w:val="00477729"/>
    <w:rsid w:val="00480082"/>
    <w:rsid w:val="00481EB9"/>
    <w:rsid w:val="00482DCC"/>
    <w:rsid w:val="00482EE6"/>
    <w:rsid w:val="004831DE"/>
    <w:rsid w:val="004834A8"/>
    <w:rsid w:val="00484EA7"/>
    <w:rsid w:val="00485BA4"/>
    <w:rsid w:val="00485BC8"/>
    <w:rsid w:val="004873F9"/>
    <w:rsid w:val="004876DE"/>
    <w:rsid w:val="00487FCC"/>
    <w:rsid w:val="00490B5D"/>
    <w:rsid w:val="00493EE7"/>
    <w:rsid w:val="0049469F"/>
    <w:rsid w:val="00494CA5"/>
    <w:rsid w:val="00494DFF"/>
    <w:rsid w:val="00496D48"/>
    <w:rsid w:val="00497382"/>
    <w:rsid w:val="004A1024"/>
    <w:rsid w:val="004A3840"/>
    <w:rsid w:val="004A39B6"/>
    <w:rsid w:val="004A479F"/>
    <w:rsid w:val="004A6C89"/>
    <w:rsid w:val="004A6FA5"/>
    <w:rsid w:val="004A7399"/>
    <w:rsid w:val="004A7D23"/>
    <w:rsid w:val="004B1D94"/>
    <w:rsid w:val="004B30E8"/>
    <w:rsid w:val="004B3288"/>
    <w:rsid w:val="004B33AE"/>
    <w:rsid w:val="004B4CB7"/>
    <w:rsid w:val="004B5635"/>
    <w:rsid w:val="004B730F"/>
    <w:rsid w:val="004B7687"/>
    <w:rsid w:val="004C044A"/>
    <w:rsid w:val="004C1DE8"/>
    <w:rsid w:val="004C2574"/>
    <w:rsid w:val="004C3EBF"/>
    <w:rsid w:val="004C4086"/>
    <w:rsid w:val="004C4A3D"/>
    <w:rsid w:val="004C5059"/>
    <w:rsid w:val="004C54C8"/>
    <w:rsid w:val="004C5AD8"/>
    <w:rsid w:val="004C7198"/>
    <w:rsid w:val="004D0079"/>
    <w:rsid w:val="004D041B"/>
    <w:rsid w:val="004D1C1F"/>
    <w:rsid w:val="004D2607"/>
    <w:rsid w:val="004D33D4"/>
    <w:rsid w:val="004D34D5"/>
    <w:rsid w:val="004D36F2"/>
    <w:rsid w:val="004D3863"/>
    <w:rsid w:val="004D554B"/>
    <w:rsid w:val="004D5AC9"/>
    <w:rsid w:val="004D67A7"/>
    <w:rsid w:val="004D72FE"/>
    <w:rsid w:val="004D75B5"/>
    <w:rsid w:val="004D7656"/>
    <w:rsid w:val="004D7E66"/>
    <w:rsid w:val="004E055B"/>
    <w:rsid w:val="004E0610"/>
    <w:rsid w:val="004E0ADF"/>
    <w:rsid w:val="004E10E5"/>
    <w:rsid w:val="004E1433"/>
    <w:rsid w:val="004E1D0B"/>
    <w:rsid w:val="004E2C9A"/>
    <w:rsid w:val="004E2FAD"/>
    <w:rsid w:val="004E3A1F"/>
    <w:rsid w:val="004E3D61"/>
    <w:rsid w:val="004E455E"/>
    <w:rsid w:val="004E4AC6"/>
    <w:rsid w:val="004E4BB8"/>
    <w:rsid w:val="004E569D"/>
    <w:rsid w:val="004E5ABE"/>
    <w:rsid w:val="004E66E4"/>
    <w:rsid w:val="004E79CF"/>
    <w:rsid w:val="004E7FDC"/>
    <w:rsid w:val="004F0C82"/>
    <w:rsid w:val="004F1B0F"/>
    <w:rsid w:val="004F1EB7"/>
    <w:rsid w:val="004F24C8"/>
    <w:rsid w:val="004F2FF1"/>
    <w:rsid w:val="004F3111"/>
    <w:rsid w:val="004F3477"/>
    <w:rsid w:val="004F34DD"/>
    <w:rsid w:val="004F583B"/>
    <w:rsid w:val="004F6AE0"/>
    <w:rsid w:val="004F6C3B"/>
    <w:rsid w:val="004F6EFF"/>
    <w:rsid w:val="004F6FBB"/>
    <w:rsid w:val="00501096"/>
    <w:rsid w:val="00501F3E"/>
    <w:rsid w:val="0050326F"/>
    <w:rsid w:val="00503930"/>
    <w:rsid w:val="005040A6"/>
    <w:rsid w:val="00506E90"/>
    <w:rsid w:val="005072E3"/>
    <w:rsid w:val="00511800"/>
    <w:rsid w:val="00511BF6"/>
    <w:rsid w:val="005146AB"/>
    <w:rsid w:val="00515036"/>
    <w:rsid w:val="005163C6"/>
    <w:rsid w:val="00516664"/>
    <w:rsid w:val="00516BB6"/>
    <w:rsid w:val="00517B90"/>
    <w:rsid w:val="005213D3"/>
    <w:rsid w:val="00522B42"/>
    <w:rsid w:val="00522EF2"/>
    <w:rsid w:val="00523698"/>
    <w:rsid w:val="00524964"/>
    <w:rsid w:val="0052527F"/>
    <w:rsid w:val="00527D1D"/>
    <w:rsid w:val="00527D76"/>
    <w:rsid w:val="00527EBF"/>
    <w:rsid w:val="00530017"/>
    <w:rsid w:val="005306F9"/>
    <w:rsid w:val="00530C35"/>
    <w:rsid w:val="00530E05"/>
    <w:rsid w:val="00532974"/>
    <w:rsid w:val="0053335B"/>
    <w:rsid w:val="00533B88"/>
    <w:rsid w:val="00533D2A"/>
    <w:rsid w:val="005360AF"/>
    <w:rsid w:val="00536524"/>
    <w:rsid w:val="00537258"/>
    <w:rsid w:val="005379A5"/>
    <w:rsid w:val="00537B9B"/>
    <w:rsid w:val="00540251"/>
    <w:rsid w:val="00540457"/>
    <w:rsid w:val="005410B5"/>
    <w:rsid w:val="00541276"/>
    <w:rsid w:val="005414A5"/>
    <w:rsid w:val="00543199"/>
    <w:rsid w:val="00543FE3"/>
    <w:rsid w:val="005466D0"/>
    <w:rsid w:val="00547412"/>
    <w:rsid w:val="00550B84"/>
    <w:rsid w:val="00553579"/>
    <w:rsid w:val="005535F8"/>
    <w:rsid w:val="00553633"/>
    <w:rsid w:val="00553744"/>
    <w:rsid w:val="00553C12"/>
    <w:rsid w:val="00553DD6"/>
    <w:rsid w:val="00555F3F"/>
    <w:rsid w:val="00557D6B"/>
    <w:rsid w:val="00557F44"/>
    <w:rsid w:val="00561762"/>
    <w:rsid w:val="00561B0E"/>
    <w:rsid w:val="00562425"/>
    <w:rsid w:val="0056338A"/>
    <w:rsid w:val="00563D95"/>
    <w:rsid w:val="00564F91"/>
    <w:rsid w:val="00565A38"/>
    <w:rsid w:val="00565D41"/>
    <w:rsid w:val="00566F31"/>
    <w:rsid w:val="00570B2A"/>
    <w:rsid w:val="00571094"/>
    <w:rsid w:val="0057235A"/>
    <w:rsid w:val="00572E52"/>
    <w:rsid w:val="00572FE1"/>
    <w:rsid w:val="005735F1"/>
    <w:rsid w:val="0057384A"/>
    <w:rsid w:val="00573E63"/>
    <w:rsid w:val="00576857"/>
    <w:rsid w:val="00576894"/>
    <w:rsid w:val="00580187"/>
    <w:rsid w:val="00580263"/>
    <w:rsid w:val="00581F75"/>
    <w:rsid w:val="00584FA0"/>
    <w:rsid w:val="00585017"/>
    <w:rsid w:val="005857FC"/>
    <w:rsid w:val="005863FC"/>
    <w:rsid w:val="0058678E"/>
    <w:rsid w:val="00590AF7"/>
    <w:rsid w:val="0059171D"/>
    <w:rsid w:val="00591DEA"/>
    <w:rsid w:val="00592C17"/>
    <w:rsid w:val="005931B8"/>
    <w:rsid w:val="00594858"/>
    <w:rsid w:val="005948EF"/>
    <w:rsid w:val="0059576F"/>
    <w:rsid w:val="005957C9"/>
    <w:rsid w:val="005974A9"/>
    <w:rsid w:val="00597D94"/>
    <w:rsid w:val="005A0246"/>
    <w:rsid w:val="005A04FF"/>
    <w:rsid w:val="005A1F28"/>
    <w:rsid w:val="005A2D15"/>
    <w:rsid w:val="005A451A"/>
    <w:rsid w:val="005A52DE"/>
    <w:rsid w:val="005A69FE"/>
    <w:rsid w:val="005A7A7F"/>
    <w:rsid w:val="005B102B"/>
    <w:rsid w:val="005B1202"/>
    <w:rsid w:val="005B17AD"/>
    <w:rsid w:val="005B190C"/>
    <w:rsid w:val="005B294B"/>
    <w:rsid w:val="005B60BD"/>
    <w:rsid w:val="005B6418"/>
    <w:rsid w:val="005B6CCB"/>
    <w:rsid w:val="005C07AE"/>
    <w:rsid w:val="005C0C33"/>
    <w:rsid w:val="005C0C94"/>
    <w:rsid w:val="005C18ED"/>
    <w:rsid w:val="005C2451"/>
    <w:rsid w:val="005C2EC8"/>
    <w:rsid w:val="005C425B"/>
    <w:rsid w:val="005C488A"/>
    <w:rsid w:val="005C5701"/>
    <w:rsid w:val="005C5902"/>
    <w:rsid w:val="005C643C"/>
    <w:rsid w:val="005C6A5A"/>
    <w:rsid w:val="005C79D8"/>
    <w:rsid w:val="005D05E3"/>
    <w:rsid w:val="005D0653"/>
    <w:rsid w:val="005D0AA1"/>
    <w:rsid w:val="005D1C8E"/>
    <w:rsid w:val="005D291E"/>
    <w:rsid w:val="005D3298"/>
    <w:rsid w:val="005D3806"/>
    <w:rsid w:val="005D3D1D"/>
    <w:rsid w:val="005D5D29"/>
    <w:rsid w:val="005D5E1A"/>
    <w:rsid w:val="005D61FD"/>
    <w:rsid w:val="005D747A"/>
    <w:rsid w:val="005D7639"/>
    <w:rsid w:val="005D78A6"/>
    <w:rsid w:val="005E0379"/>
    <w:rsid w:val="005E133F"/>
    <w:rsid w:val="005E1749"/>
    <w:rsid w:val="005E289F"/>
    <w:rsid w:val="005E2C3C"/>
    <w:rsid w:val="005E376E"/>
    <w:rsid w:val="005E3DCF"/>
    <w:rsid w:val="005E4712"/>
    <w:rsid w:val="005E4917"/>
    <w:rsid w:val="005E5510"/>
    <w:rsid w:val="005E69BD"/>
    <w:rsid w:val="005E7E31"/>
    <w:rsid w:val="005F2348"/>
    <w:rsid w:val="005F2B21"/>
    <w:rsid w:val="005F2FC4"/>
    <w:rsid w:val="005F4062"/>
    <w:rsid w:val="005F62AA"/>
    <w:rsid w:val="005F646A"/>
    <w:rsid w:val="005F6487"/>
    <w:rsid w:val="005F7116"/>
    <w:rsid w:val="0060155F"/>
    <w:rsid w:val="0060177F"/>
    <w:rsid w:val="006046AD"/>
    <w:rsid w:val="00604798"/>
    <w:rsid w:val="006048C6"/>
    <w:rsid w:val="00604EF0"/>
    <w:rsid w:val="00605619"/>
    <w:rsid w:val="00605DF5"/>
    <w:rsid w:val="00605EED"/>
    <w:rsid w:val="00605F85"/>
    <w:rsid w:val="00605F9C"/>
    <w:rsid w:val="00607CE0"/>
    <w:rsid w:val="00607CE4"/>
    <w:rsid w:val="006101C8"/>
    <w:rsid w:val="00610C5F"/>
    <w:rsid w:val="00611C33"/>
    <w:rsid w:val="00612729"/>
    <w:rsid w:val="00613DD8"/>
    <w:rsid w:val="00614420"/>
    <w:rsid w:val="00614521"/>
    <w:rsid w:val="00615E0A"/>
    <w:rsid w:val="00621CEE"/>
    <w:rsid w:val="00622A60"/>
    <w:rsid w:val="00625325"/>
    <w:rsid w:val="00626612"/>
    <w:rsid w:val="006269FE"/>
    <w:rsid w:val="006277E8"/>
    <w:rsid w:val="0063075F"/>
    <w:rsid w:val="00634F75"/>
    <w:rsid w:val="006355AD"/>
    <w:rsid w:val="006355D0"/>
    <w:rsid w:val="00636354"/>
    <w:rsid w:val="00636858"/>
    <w:rsid w:val="006371B3"/>
    <w:rsid w:val="006377A5"/>
    <w:rsid w:val="0064087F"/>
    <w:rsid w:val="00640D8B"/>
    <w:rsid w:val="00641C86"/>
    <w:rsid w:val="006441BC"/>
    <w:rsid w:val="006453AD"/>
    <w:rsid w:val="00647015"/>
    <w:rsid w:val="00647816"/>
    <w:rsid w:val="00647884"/>
    <w:rsid w:val="00650941"/>
    <w:rsid w:val="00651191"/>
    <w:rsid w:val="006513CB"/>
    <w:rsid w:val="006526C7"/>
    <w:rsid w:val="00652CD3"/>
    <w:rsid w:val="00652F91"/>
    <w:rsid w:val="00654C56"/>
    <w:rsid w:val="006553C9"/>
    <w:rsid w:val="006574B6"/>
    <w:rsid w:val="00660CE8"/>
    <w:rsid w:val="00663003"/>
    <w:rsid w:val="0066336B"/>
    <w:rsid w:val="00664C32"/>
    <w:rsid w:val="00664C7B"/>
    <w:rsid w:val="0066583B"/>
    <w:rsid w:val="006659A0"/>
    <w:rsid w:val="0066640C"/>
    <w:rsid w:val="0066673E"/>
    <w:rsid w:val="00666E7B"/>
    <w:rsid w:val="00667B40"/>
    <w:rsid w:val="00667C90"/>
    <w:rsid w:val="00670656"/>
    <w:rsid w:val="00671F87"/>
    <w:rsid w:val="006730CD"/>
    <w:rsid w:val="00673215"/>
    <w:rsid w:val="00675016"/>
    <w:rsid w:val="006752F4"/>
    <w:rsid w:val="0067553D"/>
    <w:rsid w:val="00675A37"/>
    <w:rsid w:val="0067667F"/>
    <w:rsid w:val="0067749D"/>
    <w:rsid w:val="0067797F"/>
    <w:rsid w:val="00680648"/>
    <w:rsid w:val="00680982"/>
    <w:rsid w:val="006814FF"/>
    <w:rsid w:val="00681B02"/>
    <w:rsid w:val="00681E5E"/>
    <w:rsid w:val="006822BD"/>
    <w:rsid w:val="00682411"/>
    <w:rsid w:val="00684B14"/>
    <w:rsid w:val="006875BD"/>
    <w:rsid w:val="006876F6"/>
    <w:rsid w:val="006900B6"/>
    <w:rsid w:val="00691A22"/>
    <w:rsid w:val="00691E5E"/>
    <w:rsid w:val="006921E8"/>
    <w:rsid w:val="00692505"/>
    <w:rsid w:val="0069288F"/>
    <w:rsid w:val="00692C95"/>
    <w:rsid w:val="0069495E"/>
    <w:rsid w:val="00697892"/>
    <w:rsid w:val="00697F4C"/>
    <w:rsid w:val="006A0AD7"/>
    <w:rsid w:val="006A0E57"/>
    <w:rsid w:val="006A16CB"/>
    <w:rsid w:val="006A216C"/>
    <w:rsid w:val="006A3729"/>
    <w:rsid w:val="006A4867"/>
    <w:rsid w:val="006A691C"/>
    <w:rsid w:val="006A6AC9"/>
    <w:rsid w:val="006B1211"/>
    <w:rsid w:val="006B13EE"/>
    <w:rsid w:val="006B20A9"/>
    <w:rsid w:val="006B3CAA"/>
    <w:rsid w:val="006B3F91"/>
    <w:rsid w:val="006B49B4"/>
    <w:rsid w:val="006B4FBF"/>
    <w:rsid w:val="006B7441"/>
    <w:rsid w:val="006B7DF6"/>
    <w:rsid w:val="006C008A"/>
    <w:rsid w:val="006C1007"/>
    <w:rsid w:val="006C2223"/>
    <w:rsid w:val="006C22E3"/>
    <w:rsid w:val="006C2498"/>
    <w:rsid w:val="006C3F13"/>
    <w:rsid w:val="006C40E9"/>
    <w:rsid w:val="006C4FD9"/>
    <w:rsid w:val="006C5B50"/>
    <w:rsid w:val="006C5F16"/>
    <w:rsid w:val="006C6E2B"/>
    <w:rsid w:val="006D2260"/>
    <w:rsid w:val="006D4E28"/>
    <w:rsid w:val="006D506E"/>
    <w:rsid w:val="006D5E0B"/>
    <w:rsid w:val="006D6296"/>
    <w:rsid w:val="006D67AD"/>
    <w:rsid w:val="006D75E7"/>
    <w:rsid w:val="006E022F"/>
    <w:rsid w:val="006E19B4"/>
    <w:rsid w:val="006E1AFF"/>
    <w:rsid w:val="006E2BB4"/>
    <w:rsid w:val="006E2F50"/>
    <w:rsid w:val="006E46F8"/>
    <w:rsid w:val="006E475A"/>
    <w:rsid w:val="006E6066"/>
    <w:rsid w:val="006E616B"/>
    <w:rsid w:val="006E63F8"/>
    <w:rsid w:val="006E67F3"/>
    <w:rsid w:val="006E73F3"/>
    <w:rsid w:val="006E78A1"/>
    <w:rsid w:val="006E7B58"/>
    <w:rsid w:val="006E7D5E"/>
    <w:rsid w:val="006F129E"/>
    <w:rsid w:val="006F1D58"/>
    <w:rsid w:val="006F57E5"/>
    <w:rsid w:val="006F6813"/>
    <w:rsid w:val="00700858"/>
    <w:rsid w:val="0070169D"/>
    <w:rsid w:val="00701AD9"/>
    <w:rsid w:val="00701C5A"/>
    <w:rsid w:val="0070219A"/>
    <w:rsid w:val="007038C9"/>
    <w:rsid w:val="007060C5"/>
    <w:rsid w:val="007064A6"/>
    <w:rsid w:val="00706D0B"/>
    <w:rsid w:val="00706F2F"/>
    <w:rsid w:val="00707185"/>
    <w:rsid w:val="0070731A"/>
    <w:rsid w:val="00710B31"/>
    <w:rsid w:val="00710FAD"/>
    <w:rsid w:val="007121F5"/>
    <w:rsid w:val="007136B5"/>
    <w:rsid w:val="007139D6"/>
    <w:rsid w:val="0071455F"/>
    <w:rsid w:val="00714D71"/>
    <w:rsid w:val="00715808"/>
    <w:rsid w:val="00715DFC"/>
    <w:rsid w:val="0071624F"/>
    <w:rsid w:val="00716390"/>
    <w:rsid w:val="0071709A"/>
    <w:rsid w:val="007179F2"/>
    <w:rsid w:val="007206E6"/>
    <w:rsid w:val="00720C71"/>
    <w:rsid w:val="007213C4"/>
    <w:rsid w:val="00721CD1"/>
    <w:rsid w:val="00721D08"/>
    <w:rsid w:val="00721E8F"/>
    <w:rsid w:val="00722BC2"/>
    <w:rsid w:val="0072303F"/>
    <w:rsid w:val="00723C2F"/>
    <w:rsid w:val="00723E50"/>
    <w:rsid w:val="00726A7C"/>
    <w:rsid w:val="007272EE"/>
    <w:rsid w:val="0072762A"/>
    <w:rsid w:val="00727714"/>
    <w:rsid w:val="00727A5B"/>
    <w:rsid w:val="00727A61"/>
    <w:rsid w:val="00730990"/>
    <w:rsid w:val="0073131D"/>
    <w:rsid w:val="00731DEC"/>
    <w:rsid w:val="00734241"/>
    <w:rsid w:val="00734BF9"/>
    <w:rsid w:val="0073516B"/>
    <w:rsid w:val="00735B2A"/>
    <w:rsid w:val="007378EE"/>
    <w:rsid w:val="00737AF0"/>
    <w:rsid w:val="00737F30"/>
    <w:rsid w:val="007443D4"/>
    <w:rsid w:val="00745CAF"/>
    <w:rsid w:val="007466A0"/>
    <w:rsid w:val="00751DF5"/>
    <w:rsid w:val="00752545"/>
    <w:rsid w:val="00753814"/>
    <w:rsid w:val="0075491C"/>
    <w:rsid w:val="00755D6F"/>
    <w:rsid w:val="00756694"/>
    <w:rsid w:val="00756D18"/>
    <w:rsid w:val="00757F97"/>
    <w:rsid w:val="007602F9"/>
    <w:rsid w:val="0076097D"/>
    <w:rsid w:val="00762B0E"/>
    <w:rsid w:val="00762F96"/>
    <w:rsid w:val="00765991"/>
    <w:rsid w:val="00766FCE"/>
    <w:rsid w:val="00767571"/>
    <w:rsid w:val="00767B44"/>
    <w:rsid w:val="00772CC0"/>
    <w:rsid w:val="00773D88"/>
    <w:rsid w:val="00774680"/>
    <w:rsid w:val="00776998"/>
    <w:rsid w:val="00777911"/>
    <w:rsid w:val="007779C1"/>
    <w:rsid w:val="00780682"/>
    <w:rsid w:val="00780B7B"/>
    <w:rsid w:val="00782317"/>
    <w:rsid w:val="00783253"/>
    <w:rsid w:val="00783CEA"/>
    <w:rsid w:val="0078456F"/>
    <w:rsid w:val="00784EE0"/>
    <w:rsid w:val="00785EA9"/>
    <w:rsid w:val="00786180"/>
    <w:rsid w:val="007861AF"/>
    <w:rsid w:val="00786304"/>
    <w:rsid w:val="00786A44"/>
    <w:rsid w:val="00787893"/>
    <w:rsid w:val="00787D6C"/>
    <w:rsid w:val="0079038B"/>
    <w:rsid w:val="0079427F"/>
    <w:rsid w:val="00794604"/>
    <w:rsid w:val="00794AAC"/>
    <w:rsid w:val="00795193"/>
    <w:rsid w:val="00797322"/>
    <w:rsid w:val="007A102A"/>
    <w:rsid w:val="007A31D8"/>
    <w:rsid w:val="007A3F3F"/>
    <w:rsid w:val="007A4136"/>
    <w:rsid w:val="007A453D"/>
    <w:rsid w:val="007A4D5A"/>
    <w:rsid w:val="007A51F6"/>
    <w:rsid w:val="007A7E5A"/>
    <w:rsid w:val="007B0A38"/>
    <w:rsid w:val="007B0CFD"/>
    <w:rsid w:val="007B2003"/>
    <w:rsid w:val="007B2D08"/>
    <w:rsid w:val="007B396D"/>
    <w:rsid w:val="007B3DF4"/>
    <w:rsid w:val="007B42BE"/>
    <w:rsid w:val="007B5609"/>
    <w:rsid w:val="007B5F01"/>
    <w:rsid w:val="007C06AF"/>
    <w:rsid w:val="007C1AE0"/>
    <w:rsid w:val="007C1E6D"/>
    <w:rsid w:val="007C2A0B"/>
    <w:rsid w:val="007C2A65"/>
    <w:rsid w:val="007C2DB8"/>
    <w:rsid w:val="007C2F7E"/>
    <w:rsid w:val="007C2F84"/>
    <w:rsid w:val="007C5666"/>
    <w:rsid w:val="007C5951"/>
    <w:rsid w:val="007C5E36"/>
    <w:rsid w:val="007C6023"/>
    <w:rsid w:val="007C679B"/>
    <w:rsid w:val="007C6A71"/>
    <w:rsid w:val="007D006E"/>
    <w:rsid w:val="007D0374"/>
    <w:rsid w:val="007D0940"/>
    <w:rsid w:val="007D0ABD"/>
    <w:rsid w:val="007D1B8C"/>
    <w:rsid w:val="007D20E9"/>
    <w:rsid w:val="007D32D2"/>
    <w:rsid w:val="007D3562"/>
    <w:rsid w:val="007D4190"/>
    <w:rsid w:val="007D4247"/>
    <w:rsid w:val="007D4393"/>
    <w:rsid w:val="007D5056"/>
    <w:rsid w:val="007D52EE"/>
    <w:rsid w:val="007D7378"/>
    <w:rsid w:val="007E040E"/>
    <w:rsid w:val="007E0642"/>
    <w:rsid w:val="007E0DD8"/>
    <w:rsid w:val="007E1D7A"/>
    <w:rsid w:val="007E21E1"/>
    <w:rsid w:val="007E228B"/>
    <w:rsid w:val="007E3014"/>
    <w:rsid w:val="007E34F1"/>
    <w:rsid w:val="007E52C6"/>
    <w:rsid w:val="007E5DBB"/>
    <w:rsid w:val="007E63C0"/>
    <w:rsid w:val="007E666E"/>
    <w:rsid w:val="007E6B1D"/>
    <w:rsid w:val="007E6B79"/>
    <w:rsid w:val="007E6B9A"/>
    <w:rsid w:val="007E70C7"/>
    <w:rsid w:val="007F0FAE"/>
    <w:rsid w:val="007F137B"/>
    <w:rsid w:val="007F154D"/>
    <w:rsid w:val="007F1667"/>
    <w:rsid w:val="007F181F"/>
    <w:rsid w:val="007F4076"/>
    <w:rsid w:val="007F5796"/>
    <w:rsid w:val="007F76A8"/>
    <w:rsid w:val="007F7ABF"/>
    <w:rsid w:val="0080004D"/>
    <w:rsid w:val="008004A4"/>
    <w:rsid w:val="00800845"/>
    <w:rsid w:val="00801444"/>
    <w:rsid w:val="00801F39"/>
    <w:rsid w:val="008024D8"/>
    <w:rsid w:val="008024DE"/>
    <w:rsid w:val="00803B02"/>
    <w:rsid w:val="00804CC6"/>
    <w:rsid w:val="0080607A"/>
    <w:rsid w:val="0080790D"/>
    <w:rsid w:val="00810557"/>
    <w:rsid w:val="00810F6A"/>
    <w:rsid w:val="00811B99"/>
    <w:rsid w:val="00812B5D"/>
    <w:rsid w:val="00812E94"/>
    <w:rsid w:val="00813495"/>
    <w:rsid w:val="00813BEE"/>
    <w:rsid w:val="0081440D"/>
    <w:rsid w:val="00814684"/>
    <w:rsid w:val="00817327"/>
    <w:rsid w:val="00820197"/>
    <w:rsid w:val="00820D7C"/>
    <w:rsid w:val="0082118A"/>
    <w:rsid w:val="00821B8D"/>
    <w:rsid w:val="00821F19"/>
    <w:rsid w:val="008224BB"/>
    <w:rsid w:val="00822DFB"/>
    <w:rsid w:val="00822EBB"/>
    <w:rsid w:val="00823269"/>
    <w:rsid w:val="00824C5A"/>
    <w:rsid w:val="00824DFF"/>
    <w:rsid w:val="00825AEF"/>
    <w:rsid w:val="008263F2"/>
    <w:rsid w:val="00827DB5"/>
    <w:rsid w:val="00831F2F"/>
    <w:rsid w:val="00833127"/>
    <w:rsid w:val="0083351B"/>
    <w:rsid w:val="008336DB"/>
    <w:rsid w:val="00834D1F"/>
    <w:rsid w:val="00835247"/>
    <w:rsid w:val="008353CF"/>
    <w:rsid w:val="00835F16"/>
    <w:rsid w:val="0083651E"/>
    <w:rsid w:val="0083695B"/>
    <w:rsid w:val="0083728C"/>
    <w:rsid w:val="0083782F"/>
    <w:rsid w:val="008379F9"/>
    <w:rsid w:val="00840108"/>
    <w:rsid w:val="00840831"/>
    <w:rsid w:val="00840FC8"/>
    <w:rsid w:val="0084197C"/>
    <w:rsid w:val="008422AF"/>
    <w:rsid w:val="00842B12"/>
    <w:rsid w:val="008438DF"/>
    <w:rsid w:val="008439CA"/>
    <w:rsid w:val="00843C4B"/>
    <w:rsid w:val="0084425F"/>
    <w:rsid w:val="008446FA"/>
    <w:rsid w:val="00844ED5"/>
    <w:rsid w:val="00845C41"/>
    <w:rsid w:val="0084700E"/>
    <w:rsid w:val="00847D38"/>
    <w:rsid w:val="008500D1"/>
    <w:rsid w:val="00851430"/>
    <w:rsid w:val="008524E7"/>
    <w:rsid w:val="008528A2"/>
    <w:rsid w:val="008532F6"/>
    <w:rsid w:val="00853ED0"/>
    <w:rsid w:val="008547F2"/>
    <w:rsid w:val="00854DBC"/>
    <w:rsid w:val="00854EEF"/>
    <w:rsid w:val="008550E2"/>
    <w:rsid w:val="00855790"/>
    <w:rsid w:val="0085588E"/>
    <w:rsid w:val="008571C4"/>
    <w:rsid w:val="00857A23"/>
    <w:rsid w:val="00857E9B"/>
    <w:rsid w:val="00860503"/>
    <w:rsid w:val="00862170"/>
    <w:rsid w:val="008644C6"/>
    <w:rsid w:val="00865944"/>
    <w:rsid w:val="00866909"/>
    <w:rsid w:val="00866F69"/>
    <w:rsid w:val="008671D1"/>
    <w:rsid w:val="00867500"/>
    <w:rsid w:val="00867666"/>
    <w:rsid w:val="008679DE"/>
    <w:rsid w:val="00867EE9"/>
    <w:rsid w:val="00867F5D"/>
    <w:rsid w:val="00871DA1"/>
    <w:rsid w:val="00872E5C"/>
    <w:rsid w:val="008746DE"/>
    <w:rsid w:val="00875C29"/>
    <w:rsid w:val="00876BD4"/>
    <w:rsid w:val="00877156"/>
    <w:rsid w:val="00877385"/>
    <w:rsid w:val="00877F9C"/>
    <w:rsid w:val="00881550"/>
    <w:rsid w:val="0088183C"/>
    <w:rsid w:val="008832F6"/>
    <w:rsid w:val="008839CD"/>
    <w:rsid w:val="00884B30"/>
    <w:rsid w:val="00884F33"/>
    <w:rsid w:val="00885D22"/>
    <w:rsid w:val="00886645"/>
    <w:rsid w:val="008867A6"/>
    <w:rsid w:val="00887241"/>
    <w:rsid w:val="0089046A"/>
    <w:rsid w:val="0089091E"/>
    <w:rsid w:val="0089108E"/>
    <w:rsid w:val="00891E7F"/>
    <w:rsid w:val="00892142"/>
    <w:rsid w:val="00892A06"/>
    <w:rsid w:val="00894571"/>
    <w:rsid w:val="00894886"/>
    <w:rsid w:val="008951F5"/>
    <w:rsid w:val="0089686A"/>
    <w:rsid w:val="0089BB27"/>
    <w:rsid w:val="008A004E"/>
    <w:rsid w:val="008A25EB"/>
    <w:rsid w:val="008A2E8E"/>
    <w:rsid w:val="008A3082"/>
    <w:rsid w:val="008A4792"/>
    <w:rsid w:val="008A4FBC"/>
    <w:rsid w:val="008A5234"/>
    <w:rsid w:val="008A52DF"/>
    <w:rsid w:val="008A5605"/>
    <w:rsid w:val="008A682B"/>
    <w:rsid w:val="008A6875"/>
    <w:rsid w:val="008A6E52"/>
    <w:rsid w:val="008B0429"/>
    <w:rsid w:val="008B1604"/>
    <w:rsid w:val="008B1BBD"/>
    <w:rsid w:val="008B4EEE"/>
    <w:rsid w:val="008B5824"/>
    <w:rsid w:val="008B5986"/>
    <w:rsid w:val="008B5F24"/>
    <w:rsid w:val="008B6A72"/>
    <w:rsid w:val="008B72E7"/>
    <w:rsid w:val="008B7E0A"/>
    <w:rsid w:val="008C0052"/>
    <w:rsid w:val="008C42F3"/>
    <w:rsid w:val="008C4811"/>
    <w:rsid w:val="008C4BAA"/>
    <w:rsid w:val="008C4BFC"/>
    <w:rsid w:val="008C61C9"/>
    <w:rsid w:val="008C6C28"/>
    <w:rsid w:val="008D16A0"/>
    <w:rsid w:val="008D22FB"/>
    <w:rsid w:val="008D269B"/>
    <w:rsid w:val="008D2738"/>
    <w:rsid w:val="008D280C"/>
    <w:rsid w:val="008D2C1B"/>
    <w:rsid w:val="008D3034"/>
    <w:rsid w:val="008D3274"/>
    <w:rsid w:val="008D48A3"/>
    <w:rsid w:val="008D5365"/>
    <w:rsid w:val="008D6ECD"/>
    <w:rsid w:val="008D7C91"/>
    <w:rsid w:val="008E0193"/>
    <w:rsid w:val="008E0AA4"/>
    <w:rsid w:val="008E1623"/>
    <w:rsid w:val="008E199E"/>
    <w:rsid w:val="008E1F61"/>
    <w:rsid w:val="008E20C6"/>
    <w:rsid w:val="008E294C"/>
    <w:rsid w:val="008E3391"/>
    <w:rsid w:val="008E33C5"/>
    <w:rsid w:val="008E3BD5"/>
    <w:rsid w:val="008E4450"/>
    <w:rsid w:val="008E48F9"/>
    <w:rsid w:val="008E6036"/>
    <w:rsid w:val="008E6913"/>
    <w:rsid w:val="008E704A"/>
    <w:rsid w:val="008E711F"/>
    <w:rsid w:val="008F08E9"/>
    <w:rsid w:val="008F0BD7"/>
    <w:rsid w:val="008F0F7A"/>
    <w:rsid w:val="008F30FC"/>
    <w:rsid w:val="008F377B"/>
    <w:rsid w:val="008F3C89"/>
    <w:rsid w:val="008F3E6A"/>
    <w:rsid w:val="008F4704"/>
    <w:rsid w:val="008F4CBC"/>
    <w:rsid w:val="008F5395"/>
    <w:rsid w:val="008F5C10"/>
    <w:rsid w:val="008F7A73"/>
    <w:rsid w:val="00900C6A"/>
    <w:rsid w:val="0090104E"/>
    <w:rsid w:val="00901C5C"/>
    <w:rsid w:val="0090360D"/>
    <w:rsid w:val="00903B22"/>
    <w:rsid w:val="00904109"/>
    <w:rsid w:val="0090511A"/>
    <w:rsid w:val="00905722"/>
    <w:rsid w:val="00906DF2"/>
    <w:rsid w:val="00906FB1"/>
    <w:rsid w:val="00907141"/>
    <w:rsid w:val="009102D8"/>
    <w:rsid w:val="00910389"/>
    <w:rsid w:val="009107C1"/>
    <w:rsid w:val="00910D0A"/>
    <w:rsid w:val="009126E9"/>
    <w:rsid w:val="009132DB"/>
    <w:rsid w:val="00914346"/>
    <w:rsid w:val="009145F7"/>
    <w:rsid w:val="00914D0D"/>
    <w:rsid w:val="00914E2A"/>
    <w:rsid w:val="00915003"/>
    <w:rsid w:val="00916931"/>
    <w:rsid w:val="00916BC3"/>
    <w:rsid w:val="00916BED"/>
    <w:rsid w:val="009178AE"/>
    <w:rsid w:val="0092065C"/>
    <w:rsid w:val="009211F9"/>
    <w:rsid w:val="009216DC"/>
    <w:rsid w:val="00922500"/>
    <w:rsid w:val="0092431B"/>
    <w:rsid w:val="00924355"/>
    <w:rsid w:val="009256D2"/>
    <w:rsid w:val="00926712"/>
    <w:rsid w:val="00926E73"/>
    <w:rsid w:val="00927D68"/>
    <w:rsid w:val="0093065E"/>
    <w:rsid w:val="009314B3"/>
    <w:rsid w:val="009316DE"/>
    <w:rsid w:val="009318DB"/>
    <w:rsid w:val="00931E46"/>
    <w:rsid w:val="009324B0"/>
    <w:rsid w:val="00932D74"/>
    <w:rsid w:val="00933175"/>
    <w:rsid w:val="009345B4"/>
    <w:rsid w:val="00934BE3"/>
    <w:rsid w:val="0093527C"/>
    <w:rsid w:val="00936309"/>
    <w:rsid w:val="00936E6A"/>
    <w:rsid w:val="0093769E"/>
    <w:rsid w:val="00937721"/>
    <w:rsid w:val="0094008F"/>
    <w:rsid w:val="009403E2"/>
    <w:rsid w:val="009406DD"/>
    <w:rsid w:val="00941559"/>
    <w:rsid w:val="0094166A"/>
    <w:rsid w:val="0094183E"/>
    <w:rsid w:val="00942C5E"/>
    <w:rsid w:val="00943C88"/>
    <w:rsid w:val="00943DD1"/>
    <w:rsid w:val="00944A88"/>
    <w:rsid w:val="00945276"/>
    <w:rsid w:val="00945343"/>
    <w:rsid w:val="0094546F"/>
    <w:rsid w:val="00946511"/>
    <w:rsid w:val="009467BD"/>
    <w:rsid w:val="00947ECF"/>
    <w:rsid w:val="00952AA7"/>
    <w:rsid w:val="00952CF5"/>
    <w:rsid w:val="00954A89"/>
    <w:rsid w:val="0095609D"/>
    <w:rsid w:val="00956D0E"/>
    <w:rsid w:val="00957B8B"/>
    <w:rsid w:val="0096042D"/>
    <w:rsid w:val="00960797"/>
    <w:rsid w:val="00960D57"/>
    <w:rsid w:val="00962F0C"/>
    <w:rsid w:val="009635B3"/>
    <w:rsid w:val="00963DED"/>
    <w:rsid w:val="00964BBE"/>
    <w:rsid w:val="00965382"/>
    <w:rsid w:val="009655AE"/>
    <w:rsid w:val="009659DA"/>
    <w:rsid w:val="00965AD3"/>
    <w:rsid w:val="00965FCA"/>
    <w:rsid w:val="00966B4D"/>
    <w:rsid w:val="0096751B"/>
    <w:rsid w:val="0096759C"/>
    <w:rsid w:val="00967D90"/>
    <w:rsid w:val="00970BBE"/>
    <w:rsid w:val="00971437"/>
    <w:rsid w:val="0097158F"/>
    <w:rsid w:val="009719DA"/>
    <w:rsid w:val="00972DE3"/>
    <w:rsid w:val="0097319E"/>
    <w:rsid w:val="00974A13"/>
    <w:rsid w:val="00975441"/>
    <w:rsid w:val="00976512"/>
    <w:rsid w:val="00977347"/>
    <w:rsid w:val="00980974"/>
    <w:rsid w:val="00980CE4"/>
    <w:rsid w:val="00981B5F"/>
    <w:rsid w:val="00981DB9"/>
    <w:rsid w:val="0098253D"/>
    <w:rsid w:val="0098558C"/>
    <w:rsid w:val="009865C2"/>
    <w:rsid w:val="0099097E"/>
    <w:rsid w:val="009915C4"/>
    <w:rsid w:val="009924C7"/>
    <w:rsid w:val="00993C74"/>
    <w:rsid w:val="0099475A"/>
    <w:rsid w:val="00996768"/>
    <w:rsid w:val="00997305"/>
    <w:rsid w:val="009A0705"/>
    <w:rsid w:val="009A0910"/>
    <w:rsid w:val="009A2A1C"/>
    <w:rsid w:val="009A2A40"/>
    <w:rsid w:val="009A47B8"/>
    <w:rsid w:val="009A5D46"/>
    <w:rsid w:val="009B13E4"/>
    <w:rsid w:val="009B30CC"/>
    <w:rsid w:val="009B3421"/>
    <w:rsid w:val="009B3EE8"/>
    <w:rsid w:val="009B5148"/>
    <w:rsid w:val="009B5CF4"/>
    <w:rsid w:val="009B5DCB"/>
    <w:rsid w:val="009B5F6A"/>
    <w:rsid w:val="009B6A45"/>
    <w:rsid w:val="009B7639"/>
    <w:rsid w:val="009C014B"/>
    <w:rsid w:val="009C0709"/>
    <w:rsid w:val="009C1BA9"/>
    <w:rsid w:val="009C1E7B"/>
    <w:rsid w:val="009C2CFC"/>
    <w:rsid w:val="009C2D22"/>
    <w:rsid w:val="009C495B"/>
    <w:rsid w:val="009C4992"/>
    <w:rsid w:val="009C569E"/>
    <w:rsid w:val="009C5937"/>
    <w:rsid w:val="009C6402"/>
    <w:rsid w:val="009C6730"/>
    <w:rsid w:val="009C6C44"/>
    <w:rsid w:val="009C743F"/>
    <w:rsid w:val="009C75C0"/>
    <w:rsid w:val="009C76E9"/>
    <w:rsid w:val="009C78C2"/>
    <w:rsid w:val="009C7E68"/>
    <w:rsid w:val="009D0D87"/>
    <w:rsid w:val="009D3068"/>
    <w:rsid w:val="009D37F0"/>
    <w:rsid w:val="009D4445"/>
    <w:rsid w:val="009D4B6F"/>
    <w:rsid w:val="009E0C07"/>
    <w:rsid w:val="009E15E6"/>
    <w:rsid w:val="009E19BC"/>
    <w:rsid w:val="009E2537"/>
    <w:rsid w:val="009E30FD"/>
    <w:rsid w:val="009E3D8F"/>
    <w:rsid w:val="009E5677"/>
    <w:rsid w:val="009E6453"/>
    <w:rsid w:val="009E6716"/>
    <w:rsid w:val="009E7AEC"/>
    <w:rsid w:val="009F01D0"/>
    <w:rsid w:val="009F04CF"/>
    <w:rsid w:val="009F163B"/>
    <w:rsid w:val="009F2034"/>
    <w:rsid w:val="009F2DD5"/>
    <w:rsid w:val="009F438D"/>
    <w:rsid w:val="009F44A3"/>
    <w:rsid w:val="009F4900"/>
    <w:rsid w:val="009F4E16"/>
    <w:rsid w:val="009F6E19"/>
    <w:rsid w:val="009F7811"/>
    <w:rsid w:val="009F7F5D"/>
    <w:rsid w:val="00A00CA1"/>
    <w:rsid w:val="00A023BB"/>
    <w:rsid w:val="00A03AF8"/>
    <w:rsid w:val="00A03C6D"/>
    <w:rsid w:val="00A03F12"/>
    <w:rsid w:val="00A04472"/>
    <w:rsid w:val="00A044B5"/>
    <w:rsid w:val="00A0455A"/>
    <w:rsid w:val="00A04BF2"/>
    <w:rsid w:val="00A04DF9"/>
    <w:rsid w:val="00A0507E"/>
    <w:rsid w:val="00A05219"/>
    <w:rsid w:val="00A05B20"/>
    <w:rsid w:val="00A076D7"/>
    <w:rsid w:val="00A10254"/>
    <w:rsid w:val="00A13217"/>
    <w:rsid w:val="00A1390D"/>
    <w:rsid w:val="00A140DA"/>
    <w:rsid w:val="00A163D1"/>
    <w:rsid w:val="00A16B71"/>
    <w:rsid w:val="00A1747C"/>
    <w:rsid w:val="00A2189B"/>
    <w:rsid w:val="00A218DE"/>
    <w:rsid w:val="00A21966"/>
    <w:rsid w:val="00A22CCF"/>
    <w:rsid w:val="00A2524E"/>
    <w:rsid w:val="00A2595F"/>
    <w:rsid w:val="00A26458"/>
    <w:rsid w:val="00A264DA"/>
    <w:rsid w:val="00A2671F"/>
    <w:rsid w:val="00A277BB"/>
    <w:rsid w:val="00A315C3"/>
    <w:rsid w:val="00A317C1"/>
    <w:rsid w:val="00A31863"/>
    <w:rsid w:val="00A32CC0"/>
    <w:rsid w:val="00A333F1"/>
    <w:rsid w:val="00A34927"/>
    <w:rsid w:val="00A3610E"/>
    <w:rsid w:val="00A36793"/>
    <w:rsid w:val="00A36EEF"/>
    <w:rsid w:val="00A36FE8"/>
    <w:rsid w:val="00A45054"/>
    <w:rsid w:val="00A45248"/>
    <w:rsid w:val="00A45D95"/>
    <w:rsid w:val="00A46B07"/>
    <w:rsid w:val="00A46E31"/>
    <w:rsid w:val="00A471AD"/>
    <w:rsid w:val="00A47BD9"/>
    <w:rsid w:val="00A50CDC"/>
    <w:rsid w:val="00A517F2"/>
    <w:rsid w:val="00A53ADB"/>
    <w:rsid w:val="00A53B12"/>
    <w:rsid w:val="00A547BE"/>
    <w:rsid w:val="00A55B6B"/>
    <w:rsid w:val="00A55FC2"/>
    <w:rsid w:val="00A602BC"/>
    <w:rsid w:val="00A60688"/>
    <w:rsid w:val="00A61273"/>
    <w:rsid w:val="00A62653"/>
    <w:rsid w:val="00A637D2"/>
    <w:rsid w:val="00A64949"/>
    <w:rsid w:val="00A6495E"/>
    <w:rsid w:val="00A64E34"/>
    <w:rsid w:val="00A64F00"/>
    <w:rsid w:val="00A6536F"/>
    <w:rsid w:val="00A65843"/>
    <w:rsid w:val="00A65C54"/>
    <w:rsid w:val="00A65D02"/>
    <w:rsid w:val="00A65F96"/>
    <w:rsid w:val="00A664D5"/>
    <w:rsid w:val="00A66C5E"/>
    <w:rsid w:val="00A66E12"/>
    <w:rsid w:val="00A70351"/>
    <w:rsid w:val="00A71409"/>
    <w:rsid w:val="00A7214D"/>
    <w:rsid w:val="00A73F0D"/>
    <w:rsid w:val="00A750E7"/>
    <w:rsid w:val="00A75BCB"/>
    <w:rsid w:val="00A762A9"/>
    <w:rsid w:val="00A77C2B"/>
    <w:rsid w:val="00A793A3"/>
    <w:rsid w:val="00A80647"/>
    <w:rsid w:val="00A81A59"/>
    <w:rsid w:val="00A8233F"/>
    <w:rsid w:val="00A84421"/>
    <w:rsid w:val="00A8503D"/>
    <w:rsid w:val="00A8563C"/>
    <w:rsid w:val="00A85690"/>
    <w:rsid w:val="00A857B5"/>
    <w:rsid w:val="00A86109"/>
    <w:rsid w:val="00A8727B"/>
    <w:rsid w:val="00A901B2"/>
    <w:rsid w:val="00A901FD"/>
    <w:rsid w:val="00A90FF6"/>
    <w:rsid w:val="00A911F2"/>
    <w:rsid w:val="00A915CF"/>
    <w:rsid w:val="00A91F8B"/>
    <w:rsid w:val="00A936F1"/>
    <w:rsid w:val="00A95162"/>
    <w:rsid w:val="00A973CA"/>
    <w:rsid w:val="00A976A3"/>
    <w:rsid w:val="00A97890"/>
    <w:rsid w:val="00A97C05"/>
    <w:rsid w:val="00AA30BA"/>
    <w:rsid w:val="00AA524F"/>
    <w:rsid w:val="00AA55A6"/>
    <w:rsid w:val="00AA685A"/>
    <w:rsid w:val="00AA75BC"/>
    <w:rsid w:val="00AA7F95"/>
    <w:rsid w:val="00AB0561"/>
    <w:rsid w:val="00AB0D1C"/>
    <w:rsid w:val="00AB1FD8"/>
    <w:rsid w:val="00AB2348"/>
    <w:rsid w:val="00AB60EE"/>
    <w:rsid w:val="00AB68A5"/>
    <w:rsid w:val="00AB6908"/>
    <w:rsid w:val="00AB6E56"/>
    <w:rsid w:val="00AB750A"/>
    <w:rsid w:val="00AC22C0"/>
    <w:rsid w:val="00AC28CA"/>
    <w:rsid w:val="00AC34BA"/>
    <w:rsid w:val="00AC361D"/>
    <w:rsid w:val="00AC41CA"/>
    <w:rsid w:val="00AC4948"/>
    <w:rsid w:val="00AC524F"/>
    <w:rsid w:val="00AC6398"/>
    <w:rsid w:val="00AC650E"/>
    <w:rsid w:val="00AC71F5"/>
    <w:rsid w:val="00AD00FC"/>
    <w:rsid w:val="00AD0D9F"/>
    <w:rsid w:val="00AD0FA2"/>
    <w:rsid w:val="00AD15E3"/>
    <w:rsid w:val="00AD1FDE"/>
    <w:rsid w:val="00AD25C9"/>
    <w:rsid w:val="00AD52FD"/>
    <w:rsid w:val="00AD5E52"/>
    <w:rsid w:val="00AD6422"/>
    <w:rsid w:val="00AD67C9"/>
    <w:rsid w:val="00AD6870"/>
    <w:rsid w:val="00AD78DF"/>
    <w:rsid w:val="00AE01E1"/>
    <w:rsid w:val="00AE0EB5"/>
    <w:rsid w:val="00AE1A45"/>
    <w:rsid w:val="00AE2BFD"/>
    <w:rsid w:val="00AE2C81"/>
    <w:rsid w:val="00AE3213"/>
    <w:rsid w:val="00AE341E"/>
    <w:rsid w:val="00AE3FD2"/>
    <w:rsid w:val="00AE4DD8"/>
    <w:rsid w:val="00AE588F"/>
    <w:rsid w:val="00AE74BB"/>
    <w:rsid w:val="00AE77CB"/>
    <w:rsid w:val="00AE7A72"/>
    <w:rsid w:val="00AE7B86"/>
    <w:rsid w:val="00AF1CE5"/>
    <w:rsid w:val="00AF20F4"/>
    <w:rsid w:val="00AF22FA"/>
    <w:rsid w:val="00AF42C5"/>
    <w:rsid w:val="00AF47F0"/>
    <w:rsid w:val="00AF4C73"/>
    <w:rsid w:val="00AF5DA6"/>
    <w:rsid w:val="00AF633C"/>
    <w:rsid w:val="00AF67C9"/>
    <w:rsid w:val="00AF7F4E"/>
    <w:rsid w:val="00B0151E"/>
    <w:rsid w:val="00B02C04"/>
    <w:rsid w:val="00B03905"/>
    <w:rsid w:val="00B04B0C"/>
    <w:rsid w:val="00B04CEE"/>
    <w:rsid w:val="00B053C8"/>
    <w:rsid w:val="00B0550E"/>
    <w:rsid w:val="00B112E4"/>
    <w:rsid w:val="00B1141B"/>
    <w:rsid w:val="00B11508"/>
    <w:rsid w:val="00B12870"/>
    <w:rsid w:val="00B12CDE"/>
    <w:rsid w:val="00B1397C"/>
    <w:rsid w:val="00B13CC1"/>
    <w:rsid w:val="00B13E51"/>
    <w:rsid w:val="00B141D7"/>
    <w:rsid w:val="00B16C73"/>
    <w:rsid w:val="00B225A7"/>
    <w:rsid w:val="00B2283C"/>
    <w:rsid w:val="00B24093"/>
    <w:rsid w:val="00B24148"/>
    <w:rsid w:val="00B244B9"/>
    <w:rsid w:val="00B2613C"/>
    <w:rsid w:val="00B26222"/>
    <w:rsid w:val="00B306A7"/>
    <w:rsid w:val="00B30844"/>
    <w:rsid w:val="00B30857"/>
    <w:rsid w:val="00B30EE0"/>
    <w:rsid w:val="00B31D8D"/>
    <w:rsid w:val="00B31EAC"/>
    <w:rsid w:val="00B3597C"/>
    <w:rsid w:val="00B3606A"/>
    <w:rsid w:val="00B3678E"/>
    <w:rsid w:val="00B370EB"/>
    <w:rsid w:val="00B37EF2"/>
    <w:rsid w:val="00B40423"/>
    <w:rsid w:val="00B40630"/>
    <w:rsid w:val="00B40BFC"/>
    <w:rsid w:val="00B40C47"/>
    <w:rsid w:val="00B411FB"/>
    <w:rsid w:val="00B419C6"/>
    <w:rsid w:val="00B42E39"/>
    <w:rsid w:val="00B43C35"/>
    <w:rsid w:val="00B4451F"/>
    <w:rsid w:val="00B454DF"/>
    <w:rsid w:val="00B46918"/>
    <w:rsid w:val="00B474E5"/>
    <w:rsid w:val="00B47D1F"/>
    <w:rsid w:val="00B5005F"/>
    <w:rsid w:val="00B50C46"/>
    <w:rsid w:val="00B519E2"/>
    <w:rsid w:val="00B5238D"/>
    <w:rsid w:val="00B527CC"/>
    <w:rsid w:val="00B52860"/>
    <w:rsid w:val="00B52987"/>
    <w:rsid w:val="00B52E48"/>
    <w:rsid w:val="00B5467E"/>
    <w:rsid w:val="00B56636"/>
    <w:rsid w:val="00B56DB3"/>
    <w:rsid w:val="00B57D00"/>
    <w:rsid w:val="00B60925"/>
    <w:rsid w:val="00B610DD"/>
    <w:rsid w:val="00B61872"/>
    <w:rsid w:val="00B61C10"/>
    <w:rsid w:val="00B6216F"/>
    <w:rsid w:val="00B63899"/>
    <w:rsid w:val="00B63E9A"/>
    <w:rsid w:val="00B67D2B"/>
    <w:rsid w:val="00B701D0"/>
    <w:rsid w:val="00B71045"/>
    <w:rsid w:val="00B7372A"/>
    <w:rsid w:val="00B74C27"/>
    <w:rsid w:val="00B74C83"/>
    <w:rsid w:val="00B778D4"/>
    <w:rsid w:val="00B77C2C"/>
    <w:rsid w:val="00B807EA"/>
    <w:rsid w:val="00B80AC9"/>
    <w:rsid w:val="00B80EC9"/>
    <w:rsid w:val="00B811FA"/>
    <w:rsid w:val="00B8299D"/>
    <w:rsid w:val="00B82E24"/>
    <w:rsid w:val="00B83DAD"/>
    <w:rsid w:val="00B84296"/>
    <w:rsid w:val="00B85AAC"/>
    <w:rsid w:val="00B85DBC"/>
    <w:rsid w:val="00B863CD"/>
    <w:rsid w:val="00B90206"/>
    <w:rsid w:val="00B929DD"/>
    <w:rsid w:val="00B93065"/>
    <w:rsid w:val="00B932F5"/>
    <w:rsid w:val="00B942E6"/>
    <w:rsid w:val="00B94599"/>
    <w:rsid w:val="00B9567D"/>
    <w:rsid w:val="00B96287"/>
    <w:rsid w:val="00B9667E"/>
    <w:rsid w:val="00BA03A9"/>
    <w:rsid w:val="00BA1888"/>
    <w:rsid w:val="00BA1E96"/>
    <w:rsid w:val="00BA246F"/>
    <w:rsid w:val="00BA2D74"/>
    <w:rsid w:val="00BA3A29"/>
    <w:rsid w:val="00BA4A5B"/>
    <w:rsid w:val="00BA4D12"/>
    <w:rsid w:val="00BA5781"/>
    <w:rsid w:val="00BA58E8"/>
    <w:rsid w:val="00BA5D0F"/>
    <w:rsid w:val="00BA5FFD"/>
    <w:rsid w:val="00BA6E27"/>
    <w:rsid w:val="00BA7880"/>
    <w:rsid w:val="00BA7B28"/>
    <w:rsid w:val="00BB2829"/>
    <w:rsid w:val="00BB2B43"/>
    <w:rsid w:val="00BB378D"/>
    <w:rsid w:val="00BB3DAD"/>
    <w:rsid w:val="00BB47C6"/>
    <w:rsid w:val="00BB534C"/>
    <w:rsid w:val="00BB72D5"/>
    <w:rsid w:val="00BC022C"/>
    <w:rsid w:val="00BC0CE5"/>
    <w:rsid w:val="00BC0F4F"/>
    <w:rsid w:val="00BC1A98"/>
    <w:rsid w:val="00BC2E63"/>
    <w:rsid w:val="00BC2F01"/>
    <w:rsid w:val="00BC441F"/>
    <w:rsid w:val="00BC5348"/>
    <w:rsid w:val="00BC55ED"/>
    <w:rsid w:val="00BC5C98"/>
    <w:rsid w:val="00BC5F26"/>
    <w:rsid w:val="00BD186D"/>
    <w:rsid w:val="00BD18BF"/>
    <w:rsid w:val="00BD195E"/>
    <w:rsid w:val="00BD229B"/>
    <w:rsid w:val="00BD2665"/>
    <w:rsid w:val="00BD2DE5"/>
    <w:rsid w:val="00BD3662"/>
    <w:rsid w:val="00BD49FF"/>
    <w:rsid w:val="00BD602E"/>
    <w:rsid w:val="00BD6B6A"/>
    <w:rsid w:val="00BD7037"/>
    <w:rsid w:val="00BE01B1"/>
    <w:rsid w:val="00BE08A1"/>
    <w:rsid w:val="00BE0E28"/>
    <w:rsid w:val="00BE1124"/>
    <w:rsid w:val="00BE2235"/>
    <w:rsid w:val="00BE3045"/>
    <w:rsid w:val="00BE4150"/>
    <w:rsid w:val="00BE459E"/>
    <w:rsid w:val="00BE4760"/>
    <w:rsid w:val="00BE5E50"/>
    <w:rsid w:val="00BE689A"/>
    <w:rsid w:val="00BE712E"/>
    <w:rsid w:val="00BF0629"/>
    <w:rsid w:val="00BF0B7E"/>
    <w:rsid w:val="00BF2E08"/>
    <w:rsid w:val="00BF4211"/>
    <w:rsid w:val="00BF5761"/>
    <w:rsid w:val="00BF5B41"/>
    <w:rsid w:val="00BF5C50"/>
    <w:rsid w:val="00BF5FCD"/>
    <w:rsid w:val="00BF6886"/>
    <w:rsid w:val="00BF6936"/>
    <w:rsid w:val="00BF745F"/>
    <w:rsid w:val="00BF7554"/>
    <w:rsid w:val="00C01137"/>
    <w:rsid w:val="00C01234"/>
    <w:rsid w:val="00C03A3A"/>
    <w:rsid w:val="00C0415B"/>
    <w:rsid w:val="00C04A7D"/>
    <w:rsid w:val="00C07651"/>
    <w:rsid w:val="00C10980"/>
    <w:rsid w:val="00C11EDA"/>
    <w:rsid w:val="00C13C95"/>
    <w:rsid w:val="00C13D82"/>
    <w:rsid w:val="00C13FC1"/>
    <w:rsid w:val="00C140A5"/>
    <w:rsid w:val="00C1518C"/>
    <w:rsid w:val="00C158E7"/>
    <w:rsid w:val="00C15C63"/>
    <w:rsid w:val="00C1634F"/>
    <w:rsid w:val="00C207BD"/>
    <w:rsid w:val="00C216C4"/>
    <w:rsid w:val="00C22179"/>
    <w:rsid w:val="00C22C33"/>
    <w:rsid w:val="00C2322C"/>
    <w:rsid w:val="00C23A69"/>
    <w:rsid w:val="00C23D67"/>
    <w:rsid w:val="00C24630"/>
    <w:rsid w:val="00C25E83"/>
    <w:rsid w:val="00C26071"/>
    <w:rsid w:val="00C26A96"/>
    <w:rsid w:val="00C2749C"/>
    <w:rsid w:val="00C30141"/>
    <w:rsid w:val="00C30420"/>
    <w:rsid w:val="00C30909"/>
    <w:rsid w:val="00C316AE"/>
    <w:rsid w:val="00C326A1"/>
    <w:rsid w:val="00C327EE"/>
    <w:rsid w:val="00C34CCC"/>
    <w:rsid w:val="00C356C9"/>
    <w:rsid w:val="00C35C9A"/>
    <w:rsid w:val="00C361F4"/>
    <w:rsid w:val="00C37176"/>
    <w:rsid w:val="00C4002D"/>
    <w:rsid w:val="00C4063B"/>
    <w:rsid w:val="00C407FF"/>
    <w:rsid w:val="00C40879"/>
    <w:rsid w:val="00C40E3C"/>
    <w:rsid w:val="00C414B7"/>
    <w:rsid w:val="00C42D9E"/>
    <w:rsid w:val="00C44CFB"/>
    <w:rsid w:val="00C45258"/>
    <w:rsid w:val="00C45267"/>
    <w:rsid w:val="00C4581D"/>
    <w:rsid w:val="00C45888"/>
    <w:rsid w:val="00C45F37"/>
    <w:rsid w:val="00C460A9"/>
    <w:rsid w:val="00C461DF"/>
    <w:rsid w:val="00C47728"/>
    <w:rsid w:val="00C47E97"/>
    <w:rsid w:val="00C51688"/>
    <w:rsid w:val="00C519BB"/>
    <w:rsid w:val="00C526C7"/>
    <w:rsid w:val="00C530D1"/>
    <w:rsid w:val="00C53573"/>
    <w:rsid w:val="00C536D8"/>
    <w:rsid w:val="00C538D9"/>
    <w:rsid w:val="00C53D70"/>
    <w:rsid w:val="00C545D3"/>
    <w:rsid w:val="00C54D17"/>
    <w:rsid w:val="00C55090"/>
    <w:rsid w:val="00C557CC"/>
    <w:rsid w:val="00C558CC"/>
    <w:rsid w:val="00C5699C"/>
    <w:rsid w:val="00C56F79"/>
    <w:rsid w:val="00C57D26"/>
    <w:rsid w:val="00C57F25"/>
    <w:rsid w:val="00C61639"/>
    <w:rsid w:val="00C624B6"/>
    <w:rsid w:val="00C6250A"/>
    <w:rsid w:val="00C63D99"/>
    <w:rsid w:val="00C645E5"/>
    <w:rsid w:val="00C666A5"/>
    <w:rsid w:val="00C66D1C"/>
    <w:rsid w:val="00C677F6"/>
    <w:rsid w:val="00C71562"/>
    <w:rsid w:val="00C71D7A"/>
    <w:rsid w:val="00C7243F"/>
    <w:rsid w:val="00C7303A"/>
    <w:rsid w:val="00C7308C"/>
    <w:rsid w:val="00C731B6"/>
    <w:rsid w:val="00C7331D"/>
    <w:rsid w:val="00C736F1"/>
    <w:rsid w:val="00C73DEA"/>
    <w:rsid w:val="00C73FA8"/>
    <w:rsid w:val="00C74B05"/>
    <w:rsid w:val="00C76852"/>
    <w:rsid w:val="00C76A07"/>
    <w:rsid w:val="00C76C25"/>
    <w:rsid w:val="00C7796B"/>
    <w:rsid w:val="00C80AF3"/>
    <w:rsid w:val="00C81CC4"/>
    <w:rsid w:val="00C81DE5"/>
    <w:rsid w:val="00C82A4B"/>
    <w:rsid w:val="00C82FB8"/>
    <w:rsid w:val="00C836BF"/>
    <w:rsid w:val="00C83D2E"/>
    <w:rsid w:val="00C84F91"/>
    <w:rsid w:val="00C857FF"/>
    <w:rsid w:val="00C85914"/>
    <w:rsid w:val="00C87C84"/>
    <w:rsid w:val="00C90772"/>
    <w:rsid w:val="00C90C04"/>
    <w:rsid w:val="00C921AC"/>
    <w:rsid w:val="00C93DEF"/>
    <w:rsid w:val="00C93EA4"/>
    <w:rsid w:val="00C94641"/>
    <w:rsid w:val="00C977B4"/>
    <w:rsid w:val="00C978B0"/>
    <w:rsid w:val="00CA0A51"/>
    <w:rsid w:val="00CA0B15"/>
    <w:rsid w:val="00CA1027"/>
    <w:rsid w:val="00CA2D3B"/>
    <w:rsid w:val="00CA2E23"/>
    <w:rsid w:val="00CA4971"/>
    <w:rsid w:val="00CA531E"/>
    <w:rsid w:val="00CA5944"/>
    <w:rsid w:val="00CA5F39"/>
    <w:rsid w:val="00CA6041"/>
    <w:rsid w:val="00CA6661"/>
    <w:rsid w:val="00CA6EDE"/>
    <w:rsid w:val="00CB00AC"/>
    <w:rsid w:val="00CB1137"/>
    <w:rsid w:val="00CB126B"/>
    <w:rsid w:val="00CB22BC"/>
    <w:rsid w:val="00CB4AE2"/>
    <w:rsid w:val="00CB7640"/>
    <w:rsid w:val="00CB76D7"/>
    <w:rsid w:val="00CC0677"/>
    <w:rsid w:val="00CC1972"/>
    <w:rsid w:val="00CC32BB"/>
    <w:rsid w:val="00CC32F2"/>
    <w:rsid w:val="00CC336B"/>
    <w:rsid w:val="00CC363B"/>
    <w:rsid w:val="00CC3ADB"/>
    <w:rsid w:val="00CC4636"/>
    <w:rsid w:val="00CC4759"/>
    <w:rsid w:val="00CC5837"/>
    <w:rsid w:val="00CC6A4A"/>
    <w:rsid w:val="00CC7C6E"/>
    <w:rsid w:val="00CD00A6"/>
    <w:rsid w:val="00CD0307"/>
    <w:rsid w:val="00CD2B1B"/>
    <w:rsid w:val="00CD366E"/>
    <w:rsid w:val="00CD381F"/>
    <w:rsid w:val="00CD4831"/>
    <w:rsid w:val="00CD496E"/>
    <w:rsid w:val="00CD498D"/>
    <w:rsid w:val="00CD5AE3"/>
    <w:rsid w:val="00CD679E"/>
    <w:rsid w:val="00CD706A"/>
    <w:rsid w:val="00CE0929"/>
    <w:rsid w:val="00CE0F8C"/>
    <w:rsid w:val="00CE1B38"/>
    <w:rsid w:val="00CE3737"/>
    <w:rsid w:val="00CE4159"/>
    <w:rsid w:val="00CE4D99"/>
    <w:rsid w:val="00CE4EA2"/>
    <w:rsid w:val="00CE50F4"/>
    <w:rsid w:val="00CE59FD"/>
    <w:rsid w:val="00CE6883"/>
    <w:rsid w:val="00CE738F"/>
    <w:rsid w:val="00CF0281"/>
    <w:rsid w:val="00CF12F1"/>
    <w:rsid w:val="00CF59A9"/>
    <w:rsid w:val="00CF6ADC"/>
    <w:rsid w:val="00CF7D67"/>
    <w:rsid w:val="00CF7EBA"/>
    <w:rsid w:val="00D01C26"/>
    <w:rsid w:val="00D01DC8"/>
    <w:rsid w:val="00D037EB"/>
    <w:rsid w:val="00D04BC2"/>
    <w:rsid w:val="00D053C4"/>
    <w:rsid w:val="00D05B81"/>
    <w:rsid w:val="00D06292"/>
    <w:rsid w:val="00D06318"/>
    <w:rsid w:val="00D07444"/>
    <w:rsid w:val="00D0765B"/>
    <w:rsid w:val="00D109A8"/>
    <w:rsid w:val="00D11182"/>
    <w:rsid w:val="00D11EA4"/>
    <w:rsid w:val="00D128A8"/>
    <w:rsid w:val="00D12C15"/>
    <w:rsid w:val="00D12D35"/>
    <w:rsid w:val="00D14C23"/>
    <w:rsid w:val="00D14D19"/>
    <w:rsid w:val="00D15936"/>
    <w:rsid w:val="00D15BC5"/>
    <w:rsid w:val="00D163E8"/>
    <w:rsid w:val="00D16A15"/>
    <w:rsid w:val="00D171F2"/>
    <w:rsid w:val="00D17861"/>
    <w:rsid w:val="00D2071B"/>
    <w:rsid w:val="00D20DDF"/>
    <w:rsid w:val="00D21A69"/>
    <w:rsid w:val="00D229CD"/>
    <w:rsid w:val="00D22B09"/>
    <w:rsid w:val="00D22E87"/>
    <w:rsid w:val="00D23A01"/>
    <w:rsid w:val="00D242F9"/>
    <w:rsid w:val="00D2450D"/>
    <w:rsid w:val="00D24AA5"/>
    <w:rsid w:val="00D26707"/>
    <w:rsid w:val="00D26F02"/>
    <w:rsid w:val="00D274ED"/>
    <w:rsid w:val="00D27DDF"/>
    <w:rsid w:val="00D30762"/>
    <w:rsid w:val="00D30B97"/>
    <w:rsid w:val="00D31357"/>
    <w:rsid w:val="00D31574"/>
    <w:rsid w:val="00D31610"/>
    <w:rsid w:val="00D31962"/>
    <w:rsid w:val="00D32554"/>
    <w:rsid w:val="00D329C6"/>
    <w:rsid w:val="00D3399B"/>
    <w:rsid w:val="00D344AA"/>
    <w:rsid w:val="00D358C2"/>
    <w:rsid w:val="00D36050"/>
    <w:rsid w:val="00D363A9"/>
    <w:rsid w:val="00D376F1"/>
    <w:rsid w:val="00D37A6F"/>
    <w:rsid w:val="00D40577"/>
    <w:rsid w:val="00D41233"/>
    <w:rsid w:val="00D4191E"/>
    <w:rsid w:val="00D43932"/>
    <w:rsid w:val="00D43DB0"/>
    <w:rsid w:val="00D43EB7"/>
    <w:rsid w:val="00D440CD"/>
    <w:rsid w:val="00D45E27"/>
    <w:rsid w:val="00D47AEA"/>
    <w:rsid w:val="00D511F2"/>
    <w:rsid w:val="00D52A63"/>
    <w:rsid w:val="00D57CEB"/>
    <w:rsid w:val="00D62E8D"/>
    <w:rsid w:val="00D6458C"/>
    <w:rsid w:val="00D668D8"/>
    <w:rsid w:val="00D67464"/>
    <w:rsid w:val="00D67E21"/>
    <w:rsid w:val="00D729CF"/>
    <w:rsid w:val="00D72F06"/>
    <w:rsid w:val="00D73BDE"/>
    <w:rsid w:val="00D7410A"/>
    <w:rsid w:val="00D75EB7"/>
    <w:rsid w:val="00D7673A"/>
    <w:rsid w:val="00D76F7B"/>
    <w:rsid w:val="00D832FC"/>
    <w:rsid w:val="00D83A0F"/>
    <w:rsid w:val="00D84DBD"/>
    <w:rsid w:val="00D84E54"/>
    <w:rsid w:val="00D864A7"/>
    <w:rsid w:val="00D867BC"/>
    <w:rsid w:val="00D87337"/>
    <w:rsid w:val="00D87374"/>
    <w:rsid w:val="00D90701"/>
    <w:rsid w:val="00D90FBA"/>
    <w:rsid w:val="00D91B58"/>
    <w:rsid w:val="00D92160"/>
    <w:rsid w:val="00D9236D"/>
    <w:rsid w:val="00D93E92"/>
    <w:rsid w:val="00D93F50"/>
    <w:rsid w:val="00D94CC1"/>
    <w:rsid w:val="00D95294"/>
    <w:rsid w:val="00DA19B2"/>
    <w:rsid w:val="00DA1CD9"/>
    <w:rsid w:val="00DA1FEA"/>
    <w:rsid w:val="00DA28B9"/>
    <w:rsid w:val="00DA3012"/>
    <w:rsid w:val="00DA386C"/>
    <w:rsid w:val="00DA7234"/>
    <w:rsid w:val="00DA75D5"/>
    <w:rsid w:val="00DA76C6"/>
    <w:rsid w:val="00DA775D"/>
    <w:rsid w:val="00DB000C"/>
    <w:rsid w:val="00DB09A9"/>
    <w:rsid w:val="00DB0B30"/>
    <w:rsid w:val="00DB0D5B"/>
    <w:rsid w:val="00DB202D"/>
    <w:rsid w:val="00DB21D0"/>
    <w:rsid w:val="00DB3032"/>
    <w:rsid w:val="00DB3AE6"/>
    <w:rsid w:val="00DB49F2"/>
    <w:rsid w:val="00DB52ED"/>
    <w:rsid w:val="00DB6FE4"/>
    <w:rsid w:val="00DB703A"/>
    <w:rsid w:val="00DB7B75"/>
    <w:rsid w:val="00DB7B99"/>
    <w:rsid w:val="00DB7F44"/>
    <w:rsid w:val="00DC1181"/>
    <w:rsid w:val="00DC441D"/>
    <w:rsid w:val="00DC5170"/>
    <w:rsid w:val="00DD06C1"/>
    <w:rsid w:val="00DD0C6A"/>
    <w:rsid w:val="00DD13B0"/>
    <w:rsid w:val="00DD1445"/>
    <w:rsid w:val="00DD2223"/>
    <w:rsid w:val="00DD2984"/>
    <w:rsid w:val="00DD29D7"/>
    <w:rsid w:val="00DD3C99"/>
    <w:rsid w:val="00DD49AE"/>
    <w:rsid w:val="00DD525E"/>
    <w:rsid w:val="00DD5432"/>
    <w:rsid w:val="00DD565B"/>
    <w:rsid w:val="00DD7A66"/>
    <w:rsid w:val="00DE019F"/>
    <w:rsid w:val="00DE151B"/>
    <w:rsid w:val="00DE1C18"/>
    <w:rsid w:val="00DE1FB4"/>
    <w:rsid w:val="00DE3CF0"/>
    <w:rsid w:val="00DE3DCB"/>
    <w:rsid w:val="00DE4586"/>
    <w:rsid w:val="00DE5F52"/>
    <w:rsid w:val="00DE7025"/>
    <w:rsid w:val="00DE7173"/>
    <w:rsid w:val="00DE730B"/>
    <w:rsid w:val="00DE734C"/>
    <w:rsid w:val="00DF1736"/>
    <w:rsid w:val="00DF220C"/>
    <w:rsid w:val="00DF288D"/>
    <w:rsid w:val="00DF2A58"/>
    <w:rsid w:val="00DF32C6"/>
    <w:rsid w:val="00DF685E"/>
    <w:rsid w:val="00DF695B"/>
    <w:rsid w:val="00DF6B93"/>
    <w:rsid w:val="00DF701A"/>
    <w:rsid w:val="00DF7B73"/>
    <w:rsid w:val="00DF7C17"/>
    <w:rsid w:val="00DF7D13"/>
    <w:rsid w:val="00E00924"/>
    <w:rsid w:val="00E00F57"/>
    <w:rsid w:val="00E06B2B"/>
    <w:rsid w:val="00E07362"/>
    <w:rsid w:val="00E075E0"/>
    <w:rsid w:val="00E07C9D"/>
    <w:rsid w:val="00E1143E"/>
    <w:rsid w:val="00E12AC7"/>
    <w:rsid w:val="00E13F80"/>
    <w:rsid w:val="00E1440F"/>
    <w:rsid w:val="00E146EA"/>
    <w:rsid w:val="00E14A5E"/>
    <w:rsid w:val="00E153E6"/>
    <w:rsid w:val="00E1591A"/>
    <w:rsid w:val="00E15D8D"/>
    <w:rsid w:val="00E15EB4"/>
    <w:rsid w:val="00E16B8D"/>
    <w:rsid w:val="00E171AD"/>
    <w:rsid w:val="00E1754A"/>
    <w:rsid w:val="00E21748"/>
    <w:rsid w:val="00E228C5"/>
    <w:rsid w:val="00E22D96"/>
    <w:rsid w:val="00E2496A"/>
    <w:rsid w:val="00E24D25"/>
    <w:rsid w:val="00E25940"/>
    <w:rsid w:val="00E25A56"/>
    <w:rsid w:val="00E25DAB"/>
    <w:rsid w:val="00E266C4"/>
    <w:rsid w:val="00E267E8"/>
    <w:rsid w:val="00E2771F"/>
    <w:rsid w:val="00E31136"/>
    <w:rsid w:val="00E32133"/>
    <w:rsid w:val="00E32CA2"/>
    <w:rsid w:val="00E32E12"/>
    <w:rsid w:val="00E32FBC"/>
    <w:rsid w:val="00E33889"/>
    <w:rsid w:val="00E33FFA"/>
    <w:rsid w:val="00E37116"/>
    <w:rsid w:val="00E40397"/>
    <w:rsid w:val="00E40F70"/>
    <w:rsid w:val="00E41143"/>
    <w:rsid w:val="00E41453"/>
    <w:rsid w:val="00E41C1E"/>
    <w:rsid w:val="00E41D18"/>
    <w:rsid w:val="00E421A2"/>
    <w:rsid w:val="00E432AB"/>
    <w:rsid w:val="00E436FB"/>
    <w:rsid w:val="00E4400F"/>
    <w:rsid w:val="00E44303"/>
    <w:rsid w:val="00E44ABA"/>
    <w:rsid w:val="00E44BA9"/>
    <w:rsid w:val="00E4590D"/>
    <w:rsid w:val="00E45DD7"/>
    <w:rsid w:val="00E4616E"/>
    <w:rsid w:val="00E46CE5"/>
    <w:rsid w:val="00E479D1"/>
    <w:rsid w:val="00E47EFB"/>
    <w:rsid w:val="00E50A32"/>
    <w:rsid w:val="00E50E45"/>
    <w:rsid w:val="00E515D6"/>
    <w:rsid w:val="00E51D87"/>
    <w:rsid w:val="00E541CB"/>
    <w:rsid w:val="00E543C2"/>
    <w:rsid w:val="00E554FA"/>
    <w:rsid w:val="00E5572F"/>
    <w:rsid w:val="00E5608A"/>
    <w:rsid w:val="00E5621E"/>
    <w:rsid w:val="00E60404"/>
    <w:rsid w:val="00E60A11"/>
    <w:rsid w:val="00E60D60"/>
    <w:rsid w:val="00E633DC"/>
    <w:rsid w:val="00E63D61"/>
    <w:rsid w:val="00E6458D"/>
    <w:rsid w:val="00E64DCC"/>
    <w:rsid w:val="00E64EE7"/>
    <w:rsid w:val="00E656ED"/>
    <w:rsid w:val="00E65E61"/>
    <w:rsid w:val="00E66F3E"/>
    <w:rsid w:val="00E702B4"/>
    <w:rsid w:val="00E70A0B"/>
    <w:rsid w:val="00E70C64"/>
    <w:rsid w:val="00E72EDA"/>
    <w:rsid w:val="00E737DA"/>
    <w:rsid w:val="00E73A90"/>
    <w:rsid w:val="00E747FB"/>
    <w:rsid w:val="00E75768"/>
    <w:rsid w:val="00E76640"/>
    <w:rsid w:val="00E76BD9"/>
    <w:rsid w:val="00E804D3"/>
    <w:rsid w:val="00E80582"/>
    <w:rsid w:val="00E811FD"/>
    <w:rsid w:val="00E81BD0"/>
    <w:rsid w:val="00E8292F"/>
    <w:rsid w:val="00E8318B"/>
    <w:rsid w:val="00E8497F"/>
    <w:rsid w:val="00E85790"/>
    <w:rsid w:val="00E85793"/>
    <w:rsid w:val="00E85794"/>
    <w:rsid w:val="00E85FCD"/>
    <w:rsid w:val="00E865BF"/>
    <w:rsid w:val="00E8681F"/>
    <w:rsid w:val="00E86C43"/>
    <w:rsid w:val="00E86EFC"/>
    <w:rsid w:val="00E870F6"/>
    <w:rsid w:val="00E874C9"/>
    <w:rsid w:val="00E8753F"/>
    <w:rsid w:val="00E90F1E"/>
    <w:rsid w:val="00E915B7"/>
    <w:rsid w:val="00E915FF"/>
    <w:rsid w:val="00E92395"/>
    <w:rsid w:val="00E929E7"/>
    <w:rsid w:val="00E92E58"/>
    <w:rsid w:val="00E92F3D"/>
    <w:rsid w:val="00E935A6"/>
    <w:rsid w:val="00E93F03"/>
    <w:rsid w:val="00E9495F"/>
    <w:rsid w:val="00E958B1"/>
    <w:rsid w:val="00E964DC"/>
    <w:rsid w:val="00E96D91"/>
    <w:rsid w:val="00EA10E1"/>
    <w:rsid w:val="00EA3553"/>
    <w:rsid w:val="00EA4121"/>
    <w:rsid w:val="00EA4549"/>
    <w:rsid w:val="00EA5D06"/>
    <w:rsid w:val="00EA7E4E"/>
    <w:rsid w:val="00EA7F92"/>
    <w:rsid w:val="00EB01FD"/>
    <w:rsid w:val="00EB15E8"/>
    <w:rsid w:val="00EB2AD0"/>
    <w:rsid w:val="00EB3C54"/>
    <w:rsid w:val="00EB4175"/>
    <w:rsid w:val="00EB42F2"/>
    <w:rsid w:val="00EB54ED"/>
    <w:rsid w:val="00EB5B74"/>
    <w:rsid w:val="00EB5BA9"/>
    <w:rsid w:val="00EB6440"/>
    <w:rsid w:val="00EB6852"/>
    <w:rsid w:val="00EB7E21"/>
    <w:rsid w:val="00EB7EB0"/>
    <w:rsid w:val="00EC1F4E"/>
    <w:rsid w:val="00EC2C11"/>
    <w:rsid w:val="00EC3477"/>
    <w:rsid w:val="00EC55A2"/>
    <w:rsid w:val="00EC63D4"/>
    <w:rsid w:val="00EC72AD"/>
    <w:rsid w:val="00EC7F6E"/>
    <w:rsid w:val="00ED0429"/>
    <w:rsid w:val="00ED0767"/>
    <w:rsid w:val="00ED0F42"/>
    <w:rsid w:val="00ED130E"/>
    <w:rsid w:val="00ED1ABB"/>
    <w:rsid w:val="00ED27FF"/>
    <w:rsid w:val="00ED4D2F"/>
    <w:rsid w:val="00ED4EF1"/>
    <w:rsid w:val="00ED61E5"/>
    <w:rsid w:val="00ED6FC4"/>
    <w:rsid w:val="00ED7191"/>
    <w:rsid w:val="00EE2A81"/>
    <w:rsid w:val="00EE3E0D"/>
    <w:rsid w:val="00EE4230"/>
    <w:rsid w:val="00EE4CD8"/>
    <w:rsid w:val="00EE5AC2"/>
    <w:rsid w:val="00EE5E6A"/>
    <w:rsid w:val="00EE70B2"/>
    <w:rsid w:val="00EF21EA"/>
    <w:rsid w:val="00EF2A0B"/>
    <w:rsid w:val="00EF35C6"/>
    <w:rsid w:val="00EF3C9E"/>
    <w:rsid w:val="00EF4261"/>
    <w:rsid w:val="00EF4480"/>
    <w:rsid w:val="00EF4B6F"/>
    <w:rsid w:val="00EF5C6F"/>
    <w:rsid w:val="00EF620B"/>
    <w:rsid w:val="00EF6429"/>
    <w:rsid w:val="00EF6A29"/>
    <w:rsid w:val="00EF6F29"/>
    <w:rsid w:val="00F00828"/>
    <w:rsid w:val="00F008C0"/>
    <w:rsid w:val="00F013AB"/>
    <w:rsid w:val="00F018B1"/>
    <w:rsid w:val="00F020BF"/>
    <w:rsid w:val="00F02704"/>
    <w:rsid w:val="00F07244"/>
    <w:rsid w:val="00F126FE"/>
    <w:rsid w:val="00F12790"/>
    <w:rsid w:val="00F13254"/>
    <w:rsid w:val="00F133A9"/>
    <w:rsid w:val="00F13428"/>
    <w:rsid w:val="00F13CDE"/>
    <w:rsid w:val="00F14580"/>
    <w:rsid w:val="00F14837"/>
    <w:rsid w:val="00F15056"/>
    <w:rsid w:val="00F161B4"/>
    <w:rsid w:val="00F17B5C"/>
    <w:rsid w:val="00F20914"/>
    <w:rsid w:val="00F21591"/>
    <w:rsid w:val="00F21E6A"/>
    <w:rsid w:val="00F2242B"/>
    <w:rsid w:val="00F22BC5"/>
    <w:rsid w:val="00F22F26"/>
    <w:rsid w:val="00F2486C"/>
    <w:rsid w:val="00F24A56"/>
    <w:rsid w:val="00F256DB"/>
    <w:rsid w:val="00F264B0"/>
    <w:rsid w:val="00F27D65"/>
    <w:rsid w:val="00F304FE"/>
    <w:rsid w:val="00F30567"/>
    <w:rsid w:val="00F3107A"/>
    <w:rsid w:val="00F31E02"/>
    <w:rsid w:val="00F32C1A"/>
    <w:rsid w:val="00F32C35"/>
    <w:rsid w:val="00F32E72"/>
    <w:rsid w:val="00F36E0E"/>
    <w:rsid w:val="00F371E3"/>
    <w:rsid w:val="00F37D3E"/>
    <w:rsid w:val="00F40483"/>
    <w:rsid w:val="00F40BA7"/>
    <w:rsid w:val="00F41AAC"/>
    <w:rsid w:val="00F41B6E"/>
    <w:rsid w:val="00F41E58"/>
    <w:rsid w:val="00F42DE6"/>
    <w:rsid w:val="00F43D44"/>
    <w:rsid w:val="00F453DD"/>
    <w:rsid w:val="00F46086"/>
    <w:rsid w:val="00F46096"/>
    <w:rsid w:val="00F4709E"/>
    <w:rsid w:val="00F47A66"/>
    <w:rsid w:val="00F50429"/>
    <w:rsid w:val="00F517B5"/>
    <w:rsid w:val="00F52897"/>
    <w:rsid w:val="00F556A1"/>
    <w:rsid w:val="00F571FE"/>
    <w:rsid w:val="00F573A0"/>
    <w:rsid w:val="00F57537"/>
    <w:rsid w:val="00F57DEA"/>
    <w:rsid w:val="00F6092F"/>
    <w:rsid w:val="00F609EF"/>
    <w:rsid w:val="00F6100D"/>
    <w:rsid w:val="00F6245C"/>
    <w:rsid w:val="00F66935"/>
    <w:rsid w:val="00F726EF"/>
    <w:rsid w:val="00F72C72"/>
    <w:rsid w:val="00F73776"/>
    <w:rsid w:val="00F73C7C"/>
    <w:rsid w:val="00F7411F"/>
    <w:rsid w:val="00F7462C"/>
    <w:rsid w:val="00F74A13"/>
    <w:rsid w:val="00F75C5D"/>
    <w:rsid w:val="00F75E54"/>
    <w:rsid w:val="00F77B6E"/>
    <w:rsid w:val="00F81D53"/>
    <w:rsid w:val="00F82852"/>
    <w:rsid w:val="00F8350F"/>
    <w:rsid w:val="00F83BB1"/>
    <w:rsid w:val="00F8599D"/>
    <w:rsid w:val="00F85EAB"/>
    <w:rsid w:val="00F90074"/>
    <w:rsid w:val="00F9182D"/>
    <w:rsid w:val="00F91893"/>
    <w:rsid w:val="00F937F5"/>
    <w:rsid w:val="00F939C9"/>
    <w:rsid w:val="00F93D2A"/>
    <w:rsid w:val="00F93E70"/>
    <w:rsid w:val="00F93F77"/>
    <w:rsid w:val="00F942DE"/>
    <w:rsid w:val="00F94728"/>
    <w:rsid w:val="00F94E80"/>
    <w:rsid w:val="00F953A2"/>
    <w:rsid w:val="00F95582"/>
    <w:rsid w:val="00F96159"/>
    <w:rsid w:val="00F96899"/>
    <w:rsid w:val="00F97E0A"/>
    <w:rsid w:val="00FA06A6"/>
    <w:rsid w:val="00FA2114"/>
    <w:rsid w:val="00FA282C"/>
    <w:rsid w:val="00FA38AD"/>
    <w:rsid w:val="00FA461F"/>
    <w:rsid w:val="00FA48D8"/>
    <w:rsid w:val="00FA4EF8"/>
    <w:rsid w:val="00FA5B03"/>
    <w:rsid w:val="00FA641E"/>
    <w:rsid w:val="00FA6E80"/>
    <w:rsid w:val="00FB00EF"/>
    <w:rsid w:val="00FB05F1"/>
    <w:rsid w:val="00FB13F1"/>
    <w:rsid w:val="00FB2484"/>
    <w:rsid w:val="00FB3396"/>
    <w:rsid w:val="00FB3486"/>
    <w:rsid w:val="00FB37BB"/>
    <w:rsid w:val="00FB46F0"/>
    <w:rsid w:val="00FB4BFF"/>
    <w:rsid w:val="00FB5020"/>
    <w:rsid w:val="00FB55E8"/>
    <w:rsid w:val="00FB5D13"/>
    <w:rsid w:val="00FB66FB"/>
    <w:rsid w:val="00FB6C83"/>
    <w:rsid w:val="00FB75C5"/>
    <w:rsid w:val="00FB7915"/>
    <w:rsid w:val="00FB7A05"/>
    <w:rsid w:val="00FC00F1"/>
    <w:rsid w:val="00FC139E"/>
    <w:rsid w:val="00FC337B"/>
    <w:rsid w:val="00FC3679"/>
    <w:rsid w:val="00FC3B66"/>
    <w:rsid w:val="00FC5323"/>
    <w:rsid w:val="00FC7C18"/>
    <w:rsid w:val="00FD07A9"/>
    <w:rsid w:val="00FD2448"/>
    <w:rsid w:val="00FD28FE"/>
    <w:rsid w:val="00FD3AAF"/>
    <w:rsid w:val="00FD43FF"/>
    <w:rsid w:val="00FD4AD5"/>
    <w:rsid w:val="00FD51EA"/>
    <w:rsid w:val="00FD5AF9"/>
    <w:rsid w:val="00FD5C6D"/>
    <w:rsid w:val="00FD5D8B"/>
    <w:rsid w:val="00FD6436"/>
    <w:rsid w:val="00FD66A7"/>
    <w:rsid w:val="00FD7DBA"/>
    <w:rsid w:val="00FE1CAB"/>
    <w:rsid w:val="00FE2EDD"/>
    <w:rsid w:val="00FE4D10"/>
    <w:rsid w:val="00FE53FB"/>
    <w:rsid w:val="00FE64A5"/>
    <w:rsid w:val="00FE7940"/>
    <w:rsid w:val="00FE7B0B"/>
    <w:rsid w:val="00FE7CE1"/>
    <w:rsid w:val="00FF00B0"/>
    <w:rsid w:val="00FF0B86"/>
    <w:rsid w:val="00FF4734"/>
    <w:rsid w:val="00FF4C2F"/>
    <w:rsid w:val="00FF5235"/>
    <w:rsid w:val="00FF545D"/>
    <w:rsid w:val="00FF63B9"/>
    <w:rsid w:val="00FF77B6"/>
    <w:rsid w:val="00FF79F6"/>
    <w:rsid w:val="00FF7DE3"/>
    <w:rsid w:val="010C3643"/>
    <w:rsid w:val="01597440"/>
    <w:rsid w:val="016D0EAE"/>
    <w:rsid w:val="01713936"/>
    <w:rsid w:val="01941847"/>
    <w:rsid w:val="01957EE0"/>
    <w:rsid w:val="01B02A3A"/>
    <w:rsid w:val="01B42948"/>
    <w:rsid w:val="01C2190C"/>
    <w:rsid w:val="01DD4866"/>
    <w:rsid w:val="01ECD302"/>
    <w:rsid w:val="01EED958"/>
    <w:rsid w:val="023672F4"/>
    <w:rsid w:val="025561CF"/>
    <w:rsid w:val="025E0000"/>
    <w:rsid w:val="028B1FCE"/>
    <w:rsid w:val="02A44EE8"/>
    <w:rsid w:val="02B557CA"/>
    <w:rsid w:val="02B726F0"/>
    <w:rsid w:val="02CA239D"/>
    <w:rsid w:val="02D335AF"/>
    <w:rsid w:val="02E66B31"/>
    <w:rsid w:val="02F40C3D"/>
    <w:rsid w:val="03243BB7"/>
    <w:rsid w:val="0334385F"/>
    <w:rsid w:val="0344272D"/>
    <w:rsid w:val="0369EBFE"/>
    <w:rsid w:val="036E33E9"/>
    <w:rsid w:val="03872212"/>
    <w:rsid w:val="038E3E27"/>
    <w:rsid w:val="03993757"/>
    <w:rsid w:val="03A02594"/>
    <w:rsid w:val="03A434D9"/>
    <w:rsid w:val="03AC38D7"/>
    <w:rsid w:val="03BC33DF"/>
    <w:rsid w:val="03DAF410"/>
    <w:rsid w:val="040272A1"/>
    <w:rsid w:val="040E5683"/>
    <w:rsid w:val="04173E4D"/>
    <w:rsid w:val="042932E1"/>
    <w:rsid w:val="044A30F0"/>
    <w:rsid w:val="044C7DE7"/>
    <w:rsid w:val="04674C72"/>
    <w:rsid w:val="046B5540"/>
    <w:rsid w:val="046E5030"/>
    <w:rsid w:val="049A10C6"/>
    <w:rsid w:val="04A57041"/>
    <w:rsid w:val="04D4C9F3"/>
    <w:rsid w:val="04D8694E"/>
    <w:rsid w:val="04D90F82"/>
    <w:rsid w:val="04DF2FB1"/>
    <w:rsid w:val="04EA6DAD"/>
    <w:rsid w:val="054C0DD3"/>
    <w:rsid w:val="057958C0"/>
    <w:rsid w:val="05D11D1B"/>
    <w:rsid w:val="05E742CE"/>
    <w:rsid w:val="05FF2D7F"/>
    <w:rsid w:val="063512B6"/>
    <w:rsid w:val="0638524B"/>
    <w:rsid w:val="063D115E"/>
    <w:rsid w:val="063F4F71"/>
    <w:rsid w:val="069028C3"/>
    <w:rsid w:val="06906F1A"/>
    <w:rsid w:val="06F350BB"/>
    <w:rsid w:val="06F63CB4"/>
    <w:rsid w:val="06FB4DE7"/>
    <w:rsid w:val="0748117C"/>
    <w:rsid w:val="076B2368"/>
    <w:rsid w:val="07727AA6"/>
    <w:rsid w:val="077E6CFB"/>
    <w:rsid w:val="07847501"/>
    <w:rsid w:val="078F6815"/>
    <w:rsid w:val="07D65FEB"/>
    <w:rsid w:val="07D72AEB"/>
    <w:rsid w:val="07EC010D"/>
    <w:rsid w:val="07F44EAE"/>
    <w:rsid w:val="08011F96"/>
    <w:rsid w:val="0812512E"/>
    <w:rsid w:val="0822632F"/>
    <w:rsid w:val="083EA784"/>
    <w:rsid w:val="08A45A7F"/>
    <w:rsid w:val="08B5322E"/>
    <w:rsid w:val="08CC56F8"/>
    <w:rsid w:val="08F65717"/>
    <w:rsid w:val="08F6CF93"/>
    <w:rsid w:val="09303426"/>
    <w:rsid w:val="093C3D88"/>
    <w:rsid w:val="09476803"/>
    <w:rsid w:val="097D6718"/>
    <w:rsid w:val="09CF031F"/>
    <w:rsid w:val="09D50AC3"/>
    <w:rsid w:val="09D5345C"/>
    <w:rsid w:val="09D83C22"/>
    <w:rsid w:val="09E716CF"/>
    <w:rsid w:val="09ED69F7"/>
    <w:rsid w:val="09F204B1"/>
    <w:rsid w:val="09FD6A6F"/>
    <w:rsid w:val="0A040FB9"/>
    <w:rsid w:val="0A49764F"/>
    <w:rsid w:val="0A5040C1"/>
    <w:rsid w:val="0A65397E"/>
    <w:rsid w:val="0A8120B9"/>
    <w:rsid w:val="0ABA00D2"/>
    <w:rsid w:val="0ADF508F"/>
    <w:rsid w:val="0AFA241C"/>
    <w:rsid w:val="0B07641D"/>
    <w:rsid w:val="0B2C2894"/>
    <w:rsid w:val="0B402291"/>
    <w:rsid w:val="0B6E2281"/>
    <w:rsid w:val="0B732F2C"/>
    <w:rsid w:val="0B7551DF"/>
    <w:rsid w:val="0B9D7938"/>
    <w:rsid w:val="0B9F5186"/>
    <w:rsid w:val="0BA08867"/>
    <w:rsid w:val="0BA13F3D"/>
    <w:rsid w:val="0BAC427F"/>
    <w:rsid w:val="0BC6F1D2"/>
    <w:rsid w:val="0BCA0366"/>
    <w:rsid w:val="0BCE06EA"/>
    <w:rsid w:val="0C0EE901"/>
    <w:rsid w:val="0C2D3942"/>
    <w:rsid w:val="0C376ACB"/>
    <w:rsid w:val="0C4A75EE"/>
    <w:rsid w:val="0C57BC5C"/>
    <w:rsid w:val="0C962B0F"/>
    <w:rsid w:val="0CA957FF"/>
    <w:rsid w:val="0CD9F3FF"/>
    <w:rsid w:val="0CDF2509"/>
    <w:rsid w:val="0CE76FFC"/>
    <w:rsid w:val="0D0250AC"/>
    <w:rsid w:val="0D40222C"/>
    <w:rsid w:val="0D444814"/>
    <w:rsid w:val="0D454E0B"/>
    <w:rsid w:val="0D5BEA4A"/>
    <w:rsid w:val="0D6C1864"/>
    <w:rsid w:val="0D766336"/>
    <w:rsid w:val="0D766750"/>
    <w:rsid w:val="0D892575"/>
    <w:rsid w:val="0DD15005"/>
    <w:rsid w:val="0DF91165"/>
    <w:rsid w:val="0E116FC1"/>
    <w:rsid w:val="0E22282F"/>
    <w:rsid w:val="0E43308A"/>
    <w:rsid w:val="0E440B11"/>
    <w:rsid w:val="0E5C19A2"/>
    <w:rsid w:val="0E62286D"/>
    <w:rsid w:val="0E91B3AC"/>
    <w:rsid w:val="0E96045E"/>
    <w:rsid w:val="0ECD74B3"/>
    <w:rsid w:val="0ED572B4"/>
    <w:rsid w:val="0ED60128"/>
    <w:rsid w:val="0EE85D0B"/>
    <w:rsid w:val="0EEA107A"/>
    <w:rsid w:val="0F091DE5"/>
    <w:rsid w:val="0F1A6EEB"/>
    <w:rsid w:val="0F611CF7"/>
    <w:rsid w:val="0F6B1308"/>
    <w:rsid w:val="0F9022FF"/>
    <w:rsid w:val="0F9448EF"/>
    <w:rsid w:val="0FA638D0"/>
    <w:rsid w:val="0FB1C05F"/>
    <w:rsid w:val="0FBA43C7"/>
    <w:rsid w:val="103C741A"/>
    <w:rsid w:val="106A1212"/>
    <w:rsid w:val="11086B5C"/>
    <w:rsid w:val="111C7210"/>
    <w:rsid w:val="115327BC"/>
    <w:rsid w:val="115E561D"/>
    <w:rsid w:val="117C6359"/>
    <w:rsid w:val="119011CC"/>
    <w:rsid w:val="11A006BD"/>
    <w:rsid w:val="11C92E33"/>
    <w:rsid w:val="11D41D2F"/>
    <w:rsid w:val="1211634B"/>
    <w:rsid w:val="12534A6C"/>
    <w:rsid w:val="126A4B86"/>
    <w:rsid w:val="126F320F"/>
    <w:rsid w:val="12870375"/>
    <w:rsid w:val="12C052C1"/>
    <w:rsid w:val="12CA3AF3"/>
    <w:rsid w:val="12D76EEE"/>
    <w:rsid w:val="12E10C50"/>
    <w:rsid w:val="12E110C3"/>
    <w:rsid w:val="12E412CA"/>
    <w:rsid w:val="12F67493"/>
    <w:rsid w:val="1327349E"/>
    <w:rsid w:val="13342DD3"/>
    <w:rsid w:val="134C5ADD"/>
    <w:rsid w:val="13631E88"/>
    <w:rsid w:val="136C530D"/>
    <w:rsid w:val="138B5A8D"/>
    <w:rsid w:val="139A2BA0"/>
    <w:rsid w:val="13E71D34"/>
    <w:rsid w:val="13F31684"/>
    <w:rsid w:val="13FD4EBE"/>
    <w:rsid w:val="14061E89"/>
    <w:rsid w:val="141210F8"/>
    <w:rsid w:val="14185F29"/>
    <w:rsid w:val="143E3DC9"/>
    <w:rsid w:val="14435418"/>
    <w:rsid w:val="1449051D"/>
    <w:rsid w:val="144B2329"/>
    <w:rsid w:val="144B2C98"/>
    <w:rsid w:val="14694849"/>
    <w:rsid w:val="146D0E60"/>
    <w:rsid w:val="14845562"/>
    <w:rsid w:val="14AC2AEE"/>
    <w:rsid w:val="14BB014F"/>
    <w:rsid w:val="14C12F5A"/>
    <w:rsid w:val="14CF3310"/>
    <w:rsid w:val="14DF1495"/>
    <w:rsid w:val="14ED2B94"/>
    <w:rsid w:val="1506492D"/>
    <w:rsid w:val="1506568C"/>
    <w:rsid w:val="150BA6ED"/>
    <w:rsid w:val="150C1EB8"/>
    <w:rsid w:val="15165BC8"/>
    <w:rsid w:val="15233C15"/>
    <w:rsid w:val="15243624"/>
    <w:rsid w:val="153565DD"/>
    <w:rsid w:val="154B4602"/>
    <w:rsid w:val="15701248"/>
    <w:rsid w:val="157A56C9"/>
    <w:rsid w:val="158217F1"/>
    <w:rsid w:val="159F45F6"/>
    <w:rsid w:val="15AC7E84"/>
    <w:rsid w:val="15FED2E0"/>
    <w:rsid w:val="16132249"/>
    <w:rsid w:val="161A0483"/>
    <w:rsid w:val="161B1FE5"/>
    <w:rsid w:val="162665CA"/>
    <w:rsid w:val="16421E79"/>
    <w:rsid w:val="16435524"/>
    <w:rsid w:val="16512EA8"/>
    <w:rsid w:val="165A26A5"/>
    <w:rsid w:val="1671146D"/>
    <w:rsid w:val="1680749D"/>
    <w:rsid w:val="168626AD"/>
    <w:rsid w:val="16933B99"/>
    <w:rsid w:val="169A5FCB"/>
    <w:rsid w:val="16A71DAD"/>
    <w:rsid w:val="16D8D611"/>
    <w:rsid w:val="16E502C5"/>
    <w:rsid w:val="16E826DC"/>
    <w:rsid w:val="170468BE"/>
    <w:rsid w:val="170944B2"/>
    <w:rsid w:val="170AB26E"/>
    <w:rsid w:val="1711475F"/>
    <w:rsid w:val="17140EE6"/>
    <w:rsid w:val="1723AD29"/>
    <w:rsid w:val="172938FF"/>
    <w:rsid w:val="172D027A"/>
    <w:rsid w:val="173328A2"/>
    <w:rsid w:val="17536A26"/>
    <w:rsid w:val="175F19DD"/>
    <w:rsid w:val="17887D6C"/>
    <w:rsid w:val="17922CE8"/>
    <w:rsid w:val="17931DB3"/>
    <w:rsid w:val="17A2297F"/>
    <w:rsid w:val="17A31280"/>
    <w:rsid w:val="17AA7EB8"/>
    <w:rsid w:val="17B00AF2"/>
    <w:rsid w:val="17B2164C"/>
    <w:rsid w:val="17B77D93"/>
    <w:rsid w:val="17DB5DBD"/>
    <w:rsid w:val="17EE1F50"/>
    <w:rsid w:val="1815B365"/>
    <w:rsid w:val="181F405C"/>
    <w:rsid w:val="18250294"/>
    <w:rsid w:val="188A425C"/>
    <w:rsid w:val="188E0589"/>
    <w:rsid w:val="18A37048"/>
    <w:rsid w:val="18AC646C"/>
    <w:rsid w:val="18B2778A"/>
    <w:rsid w:val="18C021AB"/>
    <w:rsid w:val="18D42B21"/>
    <w:rsid w:val="18E62CAD"/>
    <w:rsid w:val="18EA6054"/>
    <w:rsid w:val="190744C9"/>
    <w:rsid w:val="190C25BA"/>
    <w:rsid w:val="192964D8"/>
    <w:rsid w:val="192F367F"/>
    <w:rsid w:val="19747E5D"/>
    <w:rsid w:val="19A03F74"/>
    <w:rsid w:val="19A15A80"/>
    <w:rsid w:val="19B4308D"/>
    <w:rsid w:val="19F168D0"/>
    <w:rsid w:val="1A002745"/>
    <w:rsid w:val="1A0E61A6"/>
    <w:rsid w:val="1A281749"/>
    <w:rsid w:val="1A35E86F"/>
    <w:rsid w:val="1A6C2877"/>
    <w:rsid w:val="1A716B96"/>
    <w:rsid w:val="1A814D60"/>
    <w:rsid w:val="1A8A716A"/>
    <w:rsid w:val="1A995208"/>
    <w:rsid w:val="1ABB70E8"/>
    <w:rsid w:val="1B210BF7"/>
    <w:rsid w:val="1B2C00DF"/>
    <w:rsid w:val="1B2C0866"/>
    <w:rsid w:val="1B710EC2"/>
    <w:rsid w:val="1B7D354B"/>
    <w:rsid w:val="1BA37AB2"/>
    <w:rsid w:val="1BE77570"/>
    <w:rsid w:val="1C126334"/>
    <w:rsid w:val="1C2947A8"/>
    <w:rsid w:val="1C5474E6"/>
    <w:rsid w:val="1CAF25C9"/>
    <w:rsid w:val="1CB615F4"/>
    <w:rsid w:val="1CBB5AF5"/>
    <w:rsid w:val="1CBC1AA4"/>
    <w:rsid w:val="1CC33FD0"/>
    <w:rsid w:val="1CE91DBD"/>
    <w:rsid w:val="1CF44E29"/>
    <w:rsid w:val="1D33265B"/>
    <w:rsid w:val="1D4A70A8"/>
    <w:rsid w:val="1D4B4821"/>
    <w:rsid w:val="1D520B6A"/>
    <w:rsid w:val="1D72388D"/>
    <w:rsid w:val="1DC15417"/>
    <w:rsid w:val="1E0274D8"/>
    <w:rsid w:val="1E041B9F"/>
    <w:rsid w:val="1E0B72E8"/>
    <w:rsid w:val="1E4C5491"/>
    <w:rsid w:val="1E551D10"/>
    <w:rsid w:val="1E58492F"/>
    <w:rsid w:val="1E5AD940"/>
    <w:rsid w:val="1E5B7F7C"/>
    <w:rsid w:val="1E99A1D7"/>
    <w:rsid w:val="1EC943B8"/>
    <w:rsid w:val="1ED28671"/>
    <w:rsid w:val="1EDC736B"/>
    <w:rsid w:val="1F0E2725"/>
    <w:rsid w:val="1F214E3E"/>
    <w:rsid w:val="1F454AB9"/>
    <w:rsid w:val="1F550844"/>
    <w:rsid w:val="1F5776A4"/>
    <w:rsid w:val="1F580895"/>
    <w:rsid w:val="1F5D7D23"/>
    <w:rsid w:val="1F7F1D1B"/>
    <w:rsid w:val="1F8E5491"/>
    <w:rsid w:val="1FAB592A"/>
    <w:rsid w:val="1FC1C6D5"/>
    <w:rsid w:val="1FD8CB74"/>
    <w:rsid w:val="1FE3480E"/>
    <w:rsid w:val="200808D2"/>
    <w:rsid w:val="20344F28"/>
    <w:rsid w:val="205D447F"/>
    <w:rsid w:val="208B0D98"/>
    <w:rsid w:val="20C1DF52"/>
    <w:rsid w:val="20C335FC"/>
    <w:rsid w:val="20E66C73"/>
    <w:rsid w:val="2105BC6D"/>
    <w:rsid w:val="211E789C"/>
    <w:rsid w:val="2136082C"/>
    <w:rsid w:val="21464F13"/>
    <w:rsid w:val="21684CBF"/>
    <w:rsid w:val="21690C01"/>
    <w:rsid w:val="21751354"/>
    <w:rsid w:val="217742E0"/>
    <w:rsid w:val="21796D01"/>
    <w:rsid w:val="21803C49"/>
    <w:rsid w:val="218368F4"/>
    <w:rsid w:val="21852AE4"/>
    <w:rsid w:val="21944B05"/>
    <w:rsid w:val="2199286A"/>
    <w:rsid w:val="21AF475B"/>
    <w:rsid w:val="21D74148"/>
    <w:rsid w:val="21D91475"/>
    <w:rsid w:val="21F40844"/>
    <w:rsid w:val="21F51D61"/>
    <w:rsid w:val="220A23E4"/>
    <w:rsid w:val="220C3729"/>
    <w:rsid w:val="220C4BAB"/>
    <w:rsid w:val="221C3EC6"/>
    <w:rsid w:val="221E7C3E"/>
    <w:rsid w:val="222114F3"/>
    <w:rsid w:val="222F763D"/>
    <w:rsid w:val="224F4F19"/>
    <w:rsid w:val="225C3059"/>
    <w:rsid w:val="22807A97"/>
    <w:rsid w:val="229029AA"/>
    <w:rsid w:val="22934188"/>
    <w:rsid w:val="22B83493"/>
    <w:rsid w:val="22EF3824"/>
    <w:rsid w:val="231F6037"/>
    <w:rsid w:val="233C4381"/>
    <w:rsid w:val="2342170A"/>
    <w:rsid w:val="234F0ECF"/>
    <w:rsid w:val="23616F73"/>
    <w:rsid w:val="237E55ED"/>
    <w:rsid w:val="2390ED8C"/>
    <w:rsid w:val="23AC7BD9"/>
    <w:rsid w:val="23E913EA"/>
    <w:rsid w:val="23FC5D0D"/>
    <w:rsid w:val="24208372"/>
    <w:rsid w:val="24415794"/>
    <w:rsid w:val="24433F1C"/>
    <w:rsid w:val="246C6614"/>
    <w:rsid w:val="24707D7F"/>
    <w:rsid w:val="24BB5EBC"/>
    <w:rsid w:val="24C55AA4"/>
    <w:rsid w:val="24C9474B"/>
    <w:rsid w:val="24D97E4C"/>
    <w:rsid w:val="24DE4BCE"/>
    <w:rsid w:val="24E1A86E"/>
    <w:rsid w:val="24F26C94"/>
    <w:rsid w:val="25002638"/>
    <w:rsid w:val="250042F7"/>
    <w:rsid w:val="253373C6"/>
    <w:rsid w:val="25557AFC"/>
    <w:rsid w:val="25635C79"/>
    <w:rsid w:val="258E59D0"/>
    <w:rsid w:val="25906669"/>
    <w:rsid w:val="25CA7A0A"/>
    <w:rsid w:val="25D03B2C"/>
    <w:rsid w:val="25DC5978"/>
    <w:rsid w:val="25EB6089"/>
    <w:rsid w:val="25F809EF"/>
    <w:rsid w:val="26084E9E"/>
    <w:rsid w:val="260B00CA"/>
    <w:rsid w:val="262A02CB"/>
    <w:rsid w:val="263C6C62"/>
    <w:rsid w:val="264952C6"/>
    <w:rsid w:val="265811B8"/>
    <w:rsid w:val="266B63A5"/>
    <w:rsid w:val="2678146B"/>
    <w:rsid w:val="2680B3A4"/>
    <w:rsid w:val="268A129D"/>
    <w:rsid w:val="26BD21A7"/>
    <w:rsid w:val="26C337AC"/>
    <w:rsid w:val="26C70F12"/>
    <w:rsid w:val="26E11A97"/>
    <w:rsid w:val="26E7647D"/>
    <w:rsid w:val="27225ADA"/>
    <w:rsid w:val="272B051A"/>
    <w:rsid w:val="276A00A2"/>
    <w:rsid w:val="276C748B"/>
    <w:rsid w:val="277B0E76"/>
    <w:rsid w:val="278B6CBF"/>
    <w:rsid w:val="27936673"/>
    <w:rsid w:val="27965E5C"/>
    <w:rsid w:val="27B846EC"/>
    <w:rsid w:val="27BB5623"/>
    <w:rsid w:val="27C88A15"/>
    <w:rsid w:val="27D26ED4"/>
    <w:rsid w:val="281F211E"/>
    <w:rsid w:val="28524273"/>
    <w:rsid w:val="286805E2"/>
    <w:rsid w:val="287A103B"/>
    <w:rsid w:val="287E7867"/>
    <w:rsid w:val="28862099"/>
    <w:rsid w:val="288822B5"/>
    <w:rsid w:val="28B51B6C"/>
    <w:rsid w:val="28C5459A"/>
    <w:rsid w:val="28DA4193"/>
    <w:rsid w:val="28E51026"/>
    <w:rsid w:val="28E82587"/>
    <w:rsid w:val="28E82760"/>
    <w:rsid w:val="28F05942"/>
    <w:rsid w:val="29053084"/>
    <w:rsid w:val="2953137A"/>
    <w:rsid w:val="297A7E50"/>
    <w:rsid w:val="29896F0F"/>
    <w:rsid w:val="29B6075C"/>
    <w:rsid w:val="29E52D49"/>
    <w:rsid w:val="29FD7817"/>
    <w:rsid w:val="2A2B0A16"/>
    <w:rsid w:val="2A3136E0"/>
    <w:rsid w:val="2A46716A"/>
    <w:rsid w:val="2AA374EA"/>
    <w:rsid w:val="2AA94AC5"/>
    <w:rsid w:val="2AC756DB"/>
    <w:rsid w:val="2ADE52CB"/>
    <w:rsid w:val="2AED33DF"/>
    <w:rsid w:val="2AF00D0F"/>
    <w:rsid w:val="2B1064CF"/>
    <w:rsid w:val="2B1A6024"/>
    <w:rsid w:val="2B2382DF"/>
    <w:rsid w:val="2B27677C"/>
    <w:rsid w:val="2B334F2D"/>
    <w:rsid w:val="2B4D3342"/>
    <w:rsid w:val="2B7408CF"/>
    <w:rsid w:val="2B794137"/>
    <w:rsid w:val="2BAB74EF"/>
    <w:rsid w:val="2BB512A2"/>
    <w:rsid w:val="2BB84222"/>
    <w:rsid w:val="2BBD4024"/>
    <w:rsid w:val="2BC8623A"/>
    <w:rsid w:val="2BCA5EF0"/>
    <w:rsid w:val="2C1A0A74"/>
    <w:rsid w:val="2C34AD29"/>
    <w:rsid w:val="2C463524"/>
    <w:rsid w:val="2C5D25AF"/>
    <w:rsid w:val="2C8916B8"/>
    <w:rsid w:val="2CA22EE3"/>
    <w:rsid w:val="2CBB602A"/>
    <w:rsid w:val="2CD92CB7"/>
    <w:rsid w:val="2CDC52FA"/>
    <w:rsid w:val="2CDE573B"/>
    <w:rsid w:val="2CE34C8D"/>
    <w:rsid w:val="2D0C78B9"/>
    <w:rsid w:val="2D2848FA"/>
    <w:rsid w:val="2D787A28"/>
    <w:rsid w:val="2D92328E"/>
    <w:rsid w:val="2DBC96D6"/>
    <w:rsid w:val="2DBDB5CC"/>
    <w:rsid w:val="2DC73AC0"/>
    <w:rsid w:val="2DCE3A57"/>
    <w:rsid w:val="2DD709C4"/>
    <w:rsid w:val="2DEA6D68"/>
    <w:rsid w:val="2E332257"/>
    <w:rsid w:val="2E4A3E2B"/>
    <w:rsid w:val="2E604CB3"/>
    <w:rsid w:val="2E6B30AA"/>
    <w:rsid w:val="2E703312"/>
    <w:rsid w:val="2E79FDF7"/>
    <w:rsid w:val="2E82D7B6"/>
    <w:rsid w:val="2E900AE0"/>
    <w:rsid w:val="2EC8340B"/>
    <w:rsid w:val="2ED27DE6"/>
    <w:rsid w:val="2ED30C74"/>
    <w:rsid w:val="2EEF2C7F"/>
    <w:rsid w:val="2EF6D334"/>
    <w:rsid w:val="2F133170"/>
    <w:rsid w:val="2F2C34B9"/>
    <w:rsid w:val="2F365C8B"/>
    <w:rsid w:val="2F4C549A"/>
    <w:rsid w:val="2F6754CE"/>
    <w:rsid w:val="2F6F3228"/>
    <w:rsid w:val="2F7E138E"/>
    <w:rsid w:val="2FB8018F"/>
    <w:rsid w:val="2FD143BF"/>
    <w:rsid w:val="301E705B"/>
    <w:rsid w:val="302F0CCF"/>
    <w:rsid w:val="303905A7"/>
    <w:rsid w:val="304A602C"/>
    <w:rsid w:val="3068C4FD"/>
    <w:rsid w:val="306C565D"/>
    <w:rsid w:val="307B71A6"/>
    <w:rsid w:val="307E8B76"/>
    <w:rsid w:val="3081420B"/>
    <w:rsid w:val="30814C1D"/>
    <w:rsid w:val="308934AE"/>
    <w:rsid w:val="3092D6FB"/>
    <w:rsid w:val="30A74D42"/>
    <w:rsid w:val="30B05046"/>
    <w:rsid w:val="30B27FAA"/>
    <w:rsid w:val="30B85F86"/>
    <w:rsid w:val="30CC508A"/>
    <w:rsid w:val="30D64AE4"/>
    <w:rsid w:val="30D928DF"/>
    <w:rsid w:val="30FC6620"/>
    <w:rsid w:val="310D015B"/>
    <w:rsid w:val="311FC1BB"/>
    <w:rsid w:val="31224929"/>
    <w:rsid w:val="313776BC"/>
    <w:rsid w:val="31394C2C"/>
    <w:rsid w:val="31434C18"/>
    <w:rsid w:val="31BF0F01"/>
    <w:rsid w:val="31C74A62"/>
    <w:rsid w:val="31E16592"/>
    <w:rsid w:val="31F2219C"/>
    <w:rsid w:val="31F9454F"/>
    <w:rsid w:val="321EE5B1"/>
    <w:rsid w:val="322A7FF3"/>
    <w:rsid w:val="323E202B"/>
    <w:rsid w:val="32472899"/>
    <w:rsid w:val="32613730"/>
    <w:rsid w:val="328A3339"/>
    <w:rsid w:val="328D5F5E"/>
    <w:rsid w:val="328F234D"/>
    <w:rsid w:val="329632E1"/>
    <w:rsid w:val="32CE6BF6"/>
    <w:rsid w:val="32ED1EEE"/>
    <w:rsid w:val="32F21962"/>
    <w:rsid w:val="33240E2C"/>
    <w:rsid w:val="332C52A9"/>
    <w:rsid w:val="333976AD"/>
    <w:rsid w:val="333E2FB8"/>
    <w:rsid w:val="33452E3C"/>
    <w:rsid w:val="336026EC"/>
    <w:rsid w:val="3384FE5C"/>
    <w:rsid w:val="33C111C5"/>
    <w:rsid w:val="33D169BD"/>
    <w:rsid w:val="33F82D2E"/>
    <w:rsid w:val="340A2BBB"/>
    <w:rsid w:val="34115EE8"/>
    <w:rsid w:val="341C4D21"/>
    <w:rsid w:val="34457FAB"/>
    <w:rsid w:val="345B262C"/>
    <w:rsid w:val="3465D67D"/>
    <w:rsid w:val="346A6D13"/>
    <w:rsid w:val="348F2D16"/>
    <w:rsid w:val="34942986"/>
    <w:rsid w:val="34AE47F0"/>
    <w:rsid w:val="34C56693"/>
    <w:rsid w:val="34D07B27"/>
    <w:rsid w:val="34F97AF2"/>
    <w:rsid w:val="353225A6"/>
    <w:rsid w:val="3537256A"/>
    <w:rsid w:val="35571045"/>
    <w:rsid w:val="357240D1"/>
    <w:rsid w:val="358632F1"/>
    <w:rsid w:val="358A05FC"/>
    <w:rsid w:val="35904625"/>
    <w:rsid w:val="35B90436"/>
    <w:rsid w:val="35FB1A15"/>
    <w:rsid w:val="35FC3EF1"/>
    <w:rsid w:val="360D2313"/>
    <w:rsid w:val="361E59DA"/>
    <w:rsid w:val="36475AF5"/>
    <w:rsid w:val="36557FAA"/>
    <w:rsid w:val="365C4060"/>
    <w:rsid w:val="365F7894"/>
    <w:rsid w:val="366D6646"/>
    <w:rsid w:val="36976311"/>
    <w:rsid w:val="36B73A42"/>
    <w:rsid w:val="36C13925"/>
    <w:rsid w:val="36CA6F9D"/>
    <w:rsid w:val="36E453D7"/>
    <w:rsid w:val="36FE751B"/>
    <w:rsid w:val="37054A87"/>
    <w:rsid w:val="3726435C"/>
    <w:rsid w:val="374B2AE9"/>
    <w:rsid w:val="375D7A2B"/>
    <w:rsid w:val="376E6E02"/>
    <w:rsid w:val="37911AE3"/>
    <w:rsid w:val="379522F8"/>
    <w:rsid w:val="37982898"/>
    <w:rsid w:val="37A2192B"/>
    <w:rsid w:val="37B300D8"/>
    <w:rsid w:val="37B93098"/>
    <w:rsid w:val="37C06C76"/>
    <w:rsid w:val="37E531F2"/>
    <w:rsid w:val="3808188D"/>
    <w:rsid w:val="380E6632"/>
    <w:rsid w:val="38177AED"/>
    <w:rsid w:val="38253D21"/>
    <w:rsid w:val="3882524A"/>
    <w:rsid w:val="388C62D1"/>
    <w:rsid w:val="389F0E0F"/>
    <w:rsid w:val="38B02808"/>
    <w:rsid w:val="38BAFC33"/>
    <w:rsid w:val="38D8249D"/>
    <w:rsid w:val="38F042B6"/>
    <w:rsid w:val="38F2535B"/>
    <w:rsid w:val="390362C3"/>
    <w:rsid w:val="39245380"/>
    <w:rsid w:val="3935233A"/>
    <w:rsid w:val="393B0E23"/>
    <w:rsid w:val="395835DE"/>
    <w:rsid w:val="396F1FE4"/>
    <w:rsid w:val="39756260"/>
    <w:rsid w:val="39884C13"/>
    <w:rsid w:val="39A22E4A"/>
    <w:rsid w:val="39BB423D"/>
    <w:rsid w:val="39BED868"/>
    <w:rsid w:val="39C4CD46"/>
    <w:rsid w:val="39CE7F43"/>
    <w:rsid w:val="39D419A0"/>
    <w:rsid w:val="39DE6AD3"/>
    <w:rsid w:val="39F13F41"/>
    <w:rsid w:val="39F23498"/>
    <w:rsid w:val="39F44054"/>
    <w:rsid w:val="3A2C6CA2"/>
    <w:rsid w:val="3A45031B"/>
    <w:rsid w:val="3A4D72FB"/>
    <w:rsid w:val="3A561E50"/>
    <w:rsid w:val="3A564DBE"/>
    <w:rsid w:val="3A6A61A7"/>
    <w:rsid w:val="3A6D02B3"/>
    <w:rsid w:val="3A883E32"/>
    <w:rsid w:val="3AA42DCC"/>
    <w:rsid w:val="3AA50AA5"/>
    <w:rsid w:val="3ADD2F34"/>
    <w:rsid w:val="3AE3337B"/>
    <w:rsid w:val="3AFA03C5"/>
    <w:rsid w:val="3B01560B"/>
    <w:rsid w:val="3B2151B4"/>
    <w:rsid w:val="3B3167A5"/>
    <w:rsid w:val="3B567F5D"/>
    <w:rsid w:val="3B6162E1"/>
    <w:rsid w:val="3B833A43"/>
    <w:rsid w:val="3B86168A"/>
    <w:rsid w:val="3BC35D10"/>
    <w:rsid w:val="3BE76963"/>
    <w:rsid w:val="3BE8159F"/>
    <w:rsid w:val="3BE98895"/>
    <w:rsid w:val="3BEA330B"/>
    <w:rsid w:val="3C096E11"/>
    <w:rsid w:val="3C09F0F0"/>
    <w:rsid w:val="3C335C3C"/>
    <w:rsid w:val="3C352CBA"/>
    <w:rsid w:val="3C4B9506"/>
    <w:rsid w:val="3C6B77C7"/>
    <w:rsid w:val="3C793172"/>
    <w:rsid w:val="3CB85F01"/>
    <w:rsid w:val="3CC41EDF"/>
    <w:rsid w:val="3CCD2B03"/>
    <w:rsid w:val="3CE356FC"/>
    <w:rsid w:val="3CF41905"/>
    <w:rsid w:val="3CF77C2D"/>
    <w:rsid w:val="3D3B52C4"/>
    <w:rsid w:val="3D6F0E12"/>
    <w:rsid w:val="3D995463"/>
    <w:rsid w:val="3DC310A1"/>
    <w:rsid w:val="3DDF42CD"/>
    <w:rsid w:val="3DEE602C"/>
    <w:rsid w:val="3DFD3BF5"/>
    <w:rsid w:val="3DFF3134"/>
    <w:rsid w:val="3E2406E2"/>
    <w:rsid w:val="3E2A0069"/>
    <w:rsid w:val="3E5B4BFB"/>
    <w:rsid w:val="3E6279AA"/>
    <w:rsid w:val="3E7845A9"/>
    <w:rsid w:val="3EA66A5A"/>
    <w:rsid w:val="3EA6AFF0"/>
    <w:rsid w:val="3ED554CE"/>
    <w:rsid w:val="3EDB3D37"/>
    <w:rsid w:val="3EF74684"/>
    <w:rsid w:val="3F1F4257"/>
    <w:rsid w:val="3F670E5A"/>
    <w:rsid w:val="3F717A24"/>
    <w:rsid w:val="3F7F5122"/>
    <w:rsid w:val="3F9F7FD2"/>
    <w:rsid w:val="3FCA1C0A"/>
    <w:rsid w:val="4001230E"/>
    <w:rsid w:val="40420D49"/>
    <w:rsid w:val="4056636E"/>
    <w:rsid w:val="405821A8"/>
    <w:rsid w:val="40616103"/>
    <w:rsid w:val="40990557"/>
    <w:rsid w:val="40C12189"/>
    <w:rsid w:val="40C449AE"/>
    <w:rsid w:val="40DF6392"/>
    <w:rsid w:val="40F61EB5"/>
    <w:rsid w:val="40FC4C3F"/>
    <w:rsid w:val="412A3433"/>
    <w:rsid w:val="4151103E"/>
    <w:rsid w:val="4155667C"/>
    <w:rsid w:val="415CCFD0"/>
    <w:rsid w:val="41721ACC"/>
    <w:rsid w:val="41792995"/>
    <w:rsid w:val="418F55AC"/>
    <w:rsid w:val="41A05DA0"/>
    <w:rsid w:val="41D8737F"/>
    <w:rsid w:val="41F52311"/>
    <w:rsid w:val="41FC60BA"/>
    <w:rsid w:val="41FF4848"/>
    <w:rsid w:val="424E1856"/>
    <w:rsid w:val="42596363"/>
    <w:rsid w:val="429E78CA"/>
    <w:rsid w:val="42B619A6"/>
    <w:rsid w:val="42BA7414"/>
    <w:rsid w:val="42DF283C"/>
    <w:rsid w:val="42E1404B"/>
    <w:rsid w:val="42E3216A"/>
    <w:rsid w:val="42E33B11"/>
    <w:rsid w:val="430B2E6E"/>
    <w:rsid w:val="434335F7"/>
    <w:rsid w:val="434E6963"/>
    <w:rsid w:val="43504DBE"/>
    <w:rsid w:val="43603786"/>
    <w:rsid w:val="43686EA5"/>
    <w:rsid w:val="43A136A6"/>
    <w:rsid w:val="43B00545"/>
    <w:rsid w:val="43B90D3C"/>
    <w:rsid w:val="43CE5C2B"/>
    <w:rsid w:val="43F51187"/>
    <w:rsid w:val="43F93DAB"/>
    <w:rsid w:val="441B04F7"/>
    <w:rsid w:val="44601E36"/>
    <w:rsid w:val="44817B3A"/>
    <w:rsid w:val="448D2ACC"/>
    <w:rsid w:val="44965BD1"/>
    <w:rsid w:val="449767DB"/>
    <w:rsid w:val="44AE7297"/>
    <w:rsid w:val="44B63651"/>
    <w:rsid w:val="44B963F2"/>
    <w:rsid w:val="44CD33CB"/>
    <w:rsid w:val="44EC06AF"/>
    <w:rsid w:val="4505446F"/>
    <w:rsid w:val="451A4648"/>
    <w:rsid w:val="4523973F"/>
    <w:rsid w:val="45256B3F"/>
    <w:rsid w:val="453C7898"/>
    <w:rsid w:val="454F3FBF"/>
    <w:rsid w:val="45516934"/>
    <w:rsid w:val="458636A5"/>
    <w:rsid w:val="458F0387"/>
    <w:rsid w:val="45910879"/>
    <w:rsid w:val="45AC58F4"/>
    <w:rsid w:val="45BD6050"/>
    <w:rsid w:val="45CD0312"/>
    <w:rsid w:val="45DA6B9F"/>
    <w:rsid w:val="45E5517C"/>
    <w:rsid w:val="45E91C44"/>
    <w:rsid w:val="45F721A1"/>
    <w:rsid w:val="45FD0226"/>
    <w:rsid w:val="4626771B"/>
    <w:rsid w:val="46496788"/>
    <w:rsid w:val="468E0C5F"/>
    <w:rsid w:val="469D2F78"/>
    <w:rsid w:val="46BE5694"/>
    <w:rsid w:val="46C406C4"/>
    <w:rsid w:val="46CBF9F9"/>
    <w:rsid w:val="46EE195C"/>
    <w:rsid w:val="46EE5861"/>
    <w:rsid w:val="46FD0EB1"/>
    <w:rsid w:val="46FF4261"/>
    <w:rsid w:val="470578AE"/>
    <w:rsid w:val="470E4D17"/>
    <w:rsid w:val="47226B1D"/>
    <w:rsid w:val="472A28FB"/>
    <w:rsid w:val="475F4207"/>
    <w:rsid w:val="478055C7"/>
    <w:rsid w:val="4785332D"/>
    <w:rsid w:val="4791660D"/>
    <w:rsid w:val="47A23289"/>
    <w:rsid w:val="47AA26F8"/>
    <w:rsid w:val="47AD37A7"/>
    <w:rsid w:val="47AF7C1C"/>
    <w:rsid w:val="47B95D74"/>
    <w:rsid w:val="47BF4AEB"/>
    <w:rsid w:val="47CD7B38"/>
    <w:rsid w:val="47CE19D8"/>
    <w:rsid w:val="47F0E5E4"/>
    <w:rsid w:val="480F1C53"/>
    <w:rsid w:val="481132D5"/>
    <w:rsid w:val="48415C7B"/>
    <w:rsid w:val="48593D6C"/>
    <w:rsid w:val="48657243"/>
    <w:rsid w:val="487A3533"/>
    <w:rsid w:val="48AC32B3"/>
    <w:rsid w:val="48C40F94"/>
    <w:rsid w:val="48CF2CE2"/>
    <w:rsid w:val="48D53EF9"/>
    <w:rsid w:val="48F17ADE"/>
    <w:rsid w:val="48F88821"/>
    <w:rsid w:val="48FC3563"/>
    <w:rsid w:val="491868E5"/>
    <w:rsid w:val="49197B84"/>
    <w:rsid w:val="492321DD"/>
    <w:rsid w:val="49366D6C"/>
    <w:rsid w:val="493D6932"/>
    <w:rsid w:val="49491B55"/>
    <w:rsid w:val="496603B2"/>
    <w:rsid w:val="496E4C23"/>
    <w:rsid w:val="496E5644"/>
    <w:rsid w:val="49975C0E"/>
    <w:rsid w:val="49C05FC4"/>
    <w:rsid w:val="49CD0897"/>
    <w:rsid w:val="49D2190B"/>
    <w:rsid w:val="49D62E43"/>
    <w:rsid w:val="49EE1450"/>
    <w:rsid w:val="49F56C35"/>
    <w:rsid w:val="49F801EC"/>
    <w:rsid w:val="4A25750C"/>
    <w:rsid w:val="4A452197"/>
    <w:rsid w:val="4A4D3ADA"/>
    <w:rsid w:val="4A4E20B2"/>
    <w:rsid w:val="4A5D4EF8"/>
    <w:rsid w:val="4A723095"/>
    <w:rsid w:val="4A8D73EA"/>
    <w:rsid w:val="4A9767E4"/>
    <w:rsid w:val="4A9D70A2"/>
    <w:rsid w:val="4ABE20DB"/>
    <w:rsid w:val="4AE84DE5"/>
    <w:rsid w:val="4AF00184"/>
    <w:rsid w:val="4B0155A6"/>
    <w:rsid w:val="4B0B7EE0"/>
    <w:rsid w:val="4B1355B6"/>
    <w:rsid w:val="4B237A70"/>
    <w:rsid w:val="4B25790C"/>
    <w:rsid w:val="4B3870E5"/>
    <w:rsid w:val="4B3A292E"/>
    <w:rsid w:val="4B5B6612"/>
    <w:rsid w:val="4B6C040D"/>
    <w:rsid w:val="4B8607EF"/>
    <w:rsid w:val="4B966242"/>
    <w:rsid w:val="4BAB6845"/>
    <w:rsid w:val="4BE455D1"/>
    <w:rsid w:val="4BF347D5"/>
    <w:rsid w:val="4C031D3C"/>
    <w:rsid w:val="4C043151"/>
    <w:rsid w:val="4C236DBA"/>
    <w:rsid w:val="4C45773E"/>
    <w:rsid w:val="4C4D5912"/>
    <w:rsid w:val="4C5C0941"/>
    <w:rsid w:val="4C89CD61"/>
    <w:rsid w:val="4C8E75EA"/>
    <w:rsid w:val="4C9149E5"/>
    <w:rsid w:val="4CA44180"/>
    <w:rsid w:val="4CA587A3"/>
    <w:rsid w:val="4CA94BBB"/>
    <w:rsid w:val="4CB1447E"/>
    <w:rsid w:val="4CB22C4E"/>
    <w:rsid w:val="4CC000C8"/>
    <w:rsid w:val="4CC944FF"/>
    <w:rsid w:val="4CD506EA"/>
    <w:rsid w:val="4D0D3832"/>
    <w:rsid w:val="4D1A1632"/>
    <w:rsid w:val="4D352599"/>
    <w:rsid w:val="4D4B42C9"/>
    <w:rsid w:val="4D5300D0"/>
    <w:rsid w:val="4D5A3970"/>
    <w:rsid w:val="4D76D4E4"/>
    <w:rsid w:val="4D7C2976"/>
    <w:rsid w:val="4D9E0F23"/>
    <w:rsid w:val="4DBF7733"/>
    <w:rsid w:val="4DCE4644"/>
    <w:rsid w:val="4DD51ABF"/>
    <w:rsid w:val="4DD74672"/>
    <w:rsid w:val="4E170A30"/>
    <w:rsid w:val="4E2028A4"/>
    <w:rsid w:val="4E203A9E"/>
    <w:rsid w:val="4E3904C4"/>
    <w:rsid w:val="4E43479F"/>
    <w:rsid w:val="4E7B4367"/>
    <w:rsid w:val="4EB84820"/>
    <w:rsid w:val="4EC6E15C"/>
    <w:rsid w:val="4ED96C3D"/>
    <w:rsid w:val="4EDF7428"/>
    <w:rsid w:val="4EEF6F26"/>
    <w:rsid w:val="4EFC34C9"/>
    <w:rsid w:val="4F1F09CE"/>
    <w:rsid w:val="4F253B0A"/>
    <w:rsid w:val="4F284D8A"/>
    <w:rsid w:val="4F3319E9"/>
    <w:rsid w:val="4F433A92"/>
    <w:rsid w:val="4F782B44"/>
    <w:rsid w:val="4F8E2EAC"/>
    <w:rsid w:val="4FAF4381"/>
    <w:rsid w:val="4FE45E79"/>
    <w:rsid w:val="5006442C"/>
    <w:rsid w:val="500A599B"/>
    <w:rsid w:val="502F527D"/>
    <w:rsid w:val="503A700C"/>
    <w:rsid w:val="503B7E2C"/>
    <w:rsid w:val="504C6B10"/>
    <w:rsid w:val="50707007"/>
    <w:rsid w:val="509E27A0"/>
    <w:rsid w:val="50B75D3E"/>
    <w:rsid w:val="50C524F1"/>
    <w:rsid w:val="5117237B"/>
    <w:rsid w:val="514069D9"/>
    <w:rsid w:val="514B5E29"/>
    <w:rsid w:val="514C01BB"/>
    <w:rsid w:val="515D3F82"/>
    <w:rsid w:val="516A7BBB"/>
    <w:rsid w:val="517D3A01"/>
    <w:rsid w:val="5185044B"/>
    <w:rsid w:val="51A160BC"/>
    <w:rsid w:val="51D3268C"/>
    <w:rsid w:val="51DC0DF8"/>
    <w:rsid w:val="51F07DAA"/>
    <w:rsid w:val="51F92BA6"/>
    <w:rsid w:val="52023C94"/>
    <w:rsid w:val="5203450C"/>
    <w:rsid w:val="520A2D52"/>
    <w:rsid w:val="525712C0"/>
    <w:rsid w:val="52592449"/>
    <w:rsid w:val="525C441E"/>
    <w:rsid w:val="527652FB"/>
    <w:rsid w:val="528A7EC6"/>
    <w:rsid w:val="52952D55"/>
    <w:rsid w:val="52BD39AA"/>
    <w:rsid w:val="52F55F22"/>
    <w:rsid w:val="52F938A3"/>
    <w:rsid w:val="53000849"/>
    <w:rsid w:val="53183133"/>
    <w:rsid w:val="534E7803"/>
    <w:rsid w:val="53525838"/>
    <w:rsid w:val="53784EF9"/>
    <w:rsid w:val="53B72C63"/>
    <w:rsid w:val="53BA3913"/>
    <w:rsid w:val="53BAC8B3"/>
    <w:rsid w:val="53BC59DD"/>
    <w:rsid w:val="53C41979"/>
    <w:rsid w:val="53C4E943"/>
    <w:rsid w:val="53FC17CE"/>
    <w:rsid w:val="54101272"/>
    <w:rsid w:val="541C6673"/>
    <w:rsid w:val="543709EA"/>
    <w:rsid w:val="5437502E"/>
    <w:rsid w:val="54415552"/>
    <w:rsid w:val="544308BF"/>
    <w:rsid w:val="5449144D"/>
    <w:rsid w:val="545D5D9B"/>
    <w:rsid w:val="54D062C6"/>
    <w:rsid w:val="54E8294F"/>
    <w:rsid w:val="54EA13F1"/>
    <w:rsid w:val="54ED54F9"/>
    <w:rsid w:val="55197423"/>
    <w:rsid w:val="551C150B"/>
    <w:rsid w:val="551F2164"/>
    <w:rsid w:val="55236764"/>
    <w:rsid w:val="553F451F"/>
    <w:rsid w:val="55954FB0"/>
    <w:rsid w:val="559830A2"/>
    <w:rsid w:val="559C26D8"/>
    <w:rsid w:val="559C6CA5"/>
    <w:rsid w:val="55A04616"/>
    <w:rsid w:val="55C53951"/>
    <w:rsid w:val="55DD7B77"/>
    <w:rsid w:val="55E137D0"/>
    <w:rsid w:val="55F14972"/>
    <w:rsid w:val="55FF7504"/>
    <w:rsid w:val="561541C3"/>
    <w:rsid w:val="56253C7F"/>
    <w:rsid w:val="562D690B"/>
    <w:rsid w:val="562F5EFE"/>
    <w:rsid w:val="563E026C"/>
    <w:rsid w:val="564A3D91"/>
    <w:rsid w:val="5664483F"/>
    <w:rsid w:val="566719DC"/>
    <w:rsid w:val="566BF412"/>
    <w:rsid w:val="56717635"/>
    <w:rsid w:val="567406D4"/>
    <w:rsid w:val="569D42F1"/>
    <w:rsid w:val="569E48CE"/>
    <w:rsid w:val="56A17DE6"/>
    <w:rsid w:val="56A88EC8"/>
    <w:rsid w:val="56B52C2D"/>
    <w:rsid w:val="56D1D715"/>
    <w:rsid w:val="57044A6E"/>
    <w:rsid w:val="570F30D6"/>
    <w:rsid w:val="572C3A66"/>
    <w:rsid w:val="573107F2"/>
    <w:rsid w:val="57430FD1"/>
    <w:rsid w:val="577AFBB1"/>
    <w:rsid w:val="57815C85"/>
    <w:rsid w:val="57855646"/>
    <w:rsid w:val="57A831C9"/>
    <w:rsid w:val="57B214F8"/>
    <w:rsid w:val="57C61D7D"/>
    <w:rsid w:val="57CB0290"/>
    <w:rsid w:val="57D5E4E9"/>
    <w:rsid w:val="57DE7B77"/>
    <w:rsid w:val="57E246E6"/>
    <w:rsid w:val="57EC72F5"/>
    <w:rsid w:val="57EF57F8"/>
    <w:rsid w:val="57F20E0F"/>
    <w:rsid w:val="57F66044"/>
    <w:rsid w:val="58214470"/>
    <w:rsid w:val="583F7E69"/>
    <w:rsid w:val="58504777"/>
    <w:rsid w:val="58913FBE"/>
    <w:rsid w:val="589A24C6"/>
    <w:rsid w:val="58A07E1B"/>
    <w:rsid w:val="58A37382"/>
    <w:rsid w:val="58A565BD"/>
    <w:rsid w:val="58BE1EAF"/>
    <w:rsid w:val="58C429C9"/>
    <w:rsid w:val="58D702D3"/>
    <w:rsid w:val="58DC1E15"/>
    <w:rsid w:val="58F1223C"/>
    <w:rsid w:val="58F72C59"/>
    <w:rsid w:val="59103C07"/>
    <w:rsid w:val="591B7378"/>
    <w:rsid w:val="591FD831"/>
    <w:rsid w:val="594EDAF1"/>
    <w:rsid w:val="59593098"/>
    <w:rsid w:val="59594ADC"/>
    <w:rsid w:val="595E580C"/>
    <w:rsid w:val="5962BC83"/>
    <w:rsid w:val="59A85A64"/>
    <w:rsid w:val="59AC6EE1"/>
    <w:rsid w:val="59ED39B7"/>
    <w:rsid w:val="5A19DCD7"/>
    <w:rsid w:val="5A2C3F9F"/>
    <w:rsid w:val="5A3628DB"/>
    <w:rsid w:val="5A6657C1"/>
    <w:rsid w:val="5A761EC3"/>
    <w:rsid w:val="5A843D83"/>
    <w:rsid w:val="5AFF3EBC"/>
    <w:rsid w:val="5B1155A2"/>
    <w:rsid w:val="5B1C0AFF"/>
    <w:rsid w:val="5B282809"/>
    <w:rsid w:val="5B35FA82"/>
    <w:rsid w:val="5B615ECA"/>
    <w:rsid w:val="5B6663C4"/>
    <w:rsid w:val="5B66D99F"/>
    <w:rsid w:val="5B6F7D64"/>
    <w:rsid w:val="5BA03ACB"/>
    <w:rsid w:val="5BB66CA7"/>
    <w:rsid w:val="5BD6772F"/>
    <w:rsid w:val="5BFA612C"/>
    <w:rsid w:val="5C056A5D"/>
    <w:rsid w:val="5C442DF7"/>
    <w:rsid w:val="5C51AC4C"/>
    <w:rsid w:val="5C657C3C"/>
    <w:rsid w:val="5C66374E"/>
    <w:rsid w:val="5C752A3C"/>
    <w:rsid w:val="5C7C3148"/>
    <w:rsid w:val="5C832092"/>
    <w:rsid w:val="5C897AEB"/>
    <w:rsid w:val="5CC2459D"/>
    <w:rsid w:val="5CE50AAC"/>
    <w:rsid w:val="5CEA069B"/>
    <w:rsid w:val="5CF840F2"/>
    <w:rsid w:val="5D0222AF"/>
    <w:rsid w:val="5D076C82"/>
    <w:rsid w:val="5D130785"/>
    <w:rsid w:val="5D1C2595"/>
    <w:rsid w:val="5D1F2A6B"/>
    <w:rsid w:val="5D3430EC"/>
    <w:rsid w:val="5D365C91"/>
    <w:rsid w:val="5D531748"/>
    <w:rsid w:val="5D747693"/>
    <w:rsid w:val="5D761735"/>
    <w:rsid w:val="5DCC7F73"/>
    <w:rsid w:val="5DCD1661"/>
    <w:rsid w:val="5DFD00AD"/>
    <w:rsid w:val="5E003E17"/>
    <w:rsid w:val="5E175509"/>
    <w:rsid w:val="5E1D07CE"/>
    <w:rsid w:val="5E41FAA4"/>
    <w:rsid w:val="5E9B37B5"/>
    <w:rsid w:val="5EA23333"/>
    <w:rsid w:val="5EBD6A2F"/>
    <w:rsid w:val="5EDE33C0"/>
    <w:rsid w:val="5EE2258F"/>
    <w:rsid w:val="5EE24BEA"/>
    <w:rsid w:val="5F1F0576"/>
    <w:rsid w:val="5F2006DE"/>
    <w:rsid w:val="5F24D4A4"/>
    <w:rsid w:val="5F376813"/>
    <w:rsid w:val="5F381500"/>
    <w:rsid w:val="5F623411"/>
    <w:rsid w:val="5F73441E"/>
    <w:rsid w:val="5FA12D39"/>
    <w:rsid w:val="5FC174BF"/>
    <w:rsid w:val="5FC660FE"/>
    <w:rsid w:val="5FDC30E1"/>
    <w:rsid w:val="600AEC1C"/>
    <w:rsid w:val="60356E5E"/>
    <w:rsid w:val="60777BA5"/>
    <w:rsid w:val="6083371B"/>
    <w:rsid w:val="608368E3"/>
    <w:rsid w:val="609150E6"/>
    <w:rsid w:val="609C2157"/>
    <w:rsid w:val="60BA3F90"/>
    <w:rsid w:val="60D61108"/>
    <w:rsid w:val="60F964EC"/>
    <w:rsid w:val="611005D0"/>
    <w:rsid w:val="615390A9"/>
    <w:rsid w:val="6155E654"/>
    <w:rsid w:val="61638AE9"/>
    <w:rsid w:val="61BC7964"/>
    <w:rsid w:val="61E36654"/>
    <w:rsid w:val="61EFB163"/>
    <w:rsid w:val="61F40060"/>
    <w:rsid w:val="62127F1E"/>
    <w:rsid w:val="622F6D22"/>
    <w:rsid w:val="62804F1E"/>
    <w:rsid w:val="628B110A"/>
    <w:rsid w:val="628F23C2"/>
    <w:rsid w:val="62BA5B89"/>
    <w:rsid w:val="62DD677E"/>
    <w:rsid w:val="62E461C6"/>
    <w:rsid w:val="63097573"/>
    <w:rsid w:val="6312555B"/>
    <w:rsid w:val="631A52DC"/>
    <w:rsid w:val="63500339"/>
    <w:rsid w:val="63655EAF"/>
    <w:rsid w:val="63676369"/>
    <w:rsid w:val="637040FC"/>
    <w:rsid w:val="639257BA"/>
    <w:rsid w:val="63C17048"/>
    <w:rsid w:val="63CE60C7"/>
    <w:rsid w:val="63FC2C34"/>
    <w:rsid w:val="641206A9"/>
    <w:rsid w:val="6414CE7E"/>
    <w:rsid w:val="6415585C"/>
    <w:rsid w:val="643B5DD7"/>
    <w:rsid w:val="6456157F"/>
    <w:rsid w:val="6458B4E5"/>
    <w:rsid w:val="646B3837"/>
    <w:rsid w:val="64801FDE"/>
    <w:rsid w:val="64A1424B"/>
    <w:rsid w:val="64AA1C59"/>
    <w:rsid w:val="64E56C10"/>
    <w:rsid w:val="64EE5D87"/>
    <w:rsid w:val="64EEA704"/>
    <w:rsid w:val="64F15B46"/>
    <w:rsid w:val="64F838A8"/>
    <w:rsid w:val="65076C82"/>
    <w:rsid w:val="65085608"/>
    <w:rsid w:val="653E53D4"/>
    <w:rsid w:val="655274CA"/>
    <w:rsid w:val="657DA605"/>
    <w:rsid w:val="659C36D4"/>
    <w:rsid w:val="65E141CA"/>
    <w:rsid w:val="66071AE7"/>
    <w:rsid w:val="66175E8F"/>
    <w:rsid w:val="6617E2F4"/>
    <w:rsid w:val="661E9C65"/>
    <w:rsid w:val="66997839"/>
    <w:rsid w:val="669C3D82"/>
    <w:rsid w:val="67541570"/>
    <w:rsid w:val="675646F4"/>
    <w:rsid w:val="67735ACF"/>
    <w:rsid w:val="67781DBB"/>
    <w:rsid w:val="67976899"/>
    <w:rsid w:val="67D6064A"/>
    <w:rsid w:val="67E792E9"/>
    <w:rsid w:val="67F50A8B"/>
    <w:rsid w:val="68163397"/>
    <w:rsid w:val="68376B4E"/>
    <w:rsid w:val="68432F4E"/>
    <w:rsid w:val="6846655A"/>
    <w:rsid w:val="688095CC"/>
    <w:rsid w:val="68993147"/>
    <w:rsid w:val="68C36A23"/>
    <w:rsid w:val="68CC420A"/>
    <w:rsid w:val="68F60F02"/>
    <w:rsid w:val="68FA50D8"/>
    <w:rsid w:val="69057722"/>
    <w:rsid w:val="691100F4"/>
    <w:rsid w:val="691762DC"/>
    <w:rsid w:val="691E3671"/>
    <w:rsid w:val="692CBC56"/>
    <w:rsid w:val="6960590B"/>
    <w:rsid w:val="69B011A8"/>
    <w:rsid w:val="69C67F6C"/>
    <w:rsid w:val="69E43BD2"/>
    <w:rsid w:val="69EE4381"/>
    <w:rsid w:val="69F42ED2"/>
    <w:rsid w:val="6A320131"/>
    <w:rsid w:val="6A520D1E"/>
    <w:rsid w:val="6A5B4B1E"/>
    <w:rsid w:val="6A6F77B8"/>
    <w:rsid w:val="6A7C60E7"/>
    <w:rsid w:val="6AD17A38"/>
    <w:rsid w:val="6AD36521"/>
    <w:rsid w:val="6B5A6629"/>
    <w:rsid w:val="6B6D74AD"/>
    <w:rsid w:val="6B6F325E"/>
    <w:rsid w:val="6B8D56AD"/>
    <w:rsid w:val="6B9C57D1"/>
    <w:rsid w:val="6B9F1933"/>
    <w:rsid w:val="6BCF263E"/>
    <w:rsid w:val="6C0C0043"/>
    <w:rsid w:val="6C251BD6"/>
    <w:rsid w:val="6C3C01B9"/>
    <w:rsid w:val="6C5517D6"/>
    <w:rsid w:val="6C927AFA"/>
    <w:rsid w:val="6C9555EB"/>
    <w:rsid w:val="6CA004C6"/>
    <w:rsid w:val="6CAD331C"/>
    <w:rsid w:val="6CB02278"/>
    <w:rsid w:val="6CC1B74F"/>
    <w:rsid w:val="6CC36C54"/>
    <w:rsid w:val="6CE60925"/>
    <w:rsid w:val="6D1A2F53"/>
    <w:rsid w:val="6D336BE5"/>
    <w:rsid w:val="6D4D4500"/>
    <w:rsid w:val="6D5F3388"/>
    <w:rsid w:val="6D620D3C"/>
    <w:rsid w:val="6D6B522C"/>
    <w:rsid w:val="6D7A2CA7"/>
    <w:rsid w:val="6D7A48E9"/>
    <w:rsid w:val="6D85FBCE"/>
    <w:rsid w:val="6DA12CA6"/>
    <w:rsid w:val="6DC33939"/>
    <w:rsid w:val="6DC44A8A"/>
    <w:rsid w:val="6DD7629D"/>
    <w:rsid w:val="6DE76133"/>
    <w:rsid w:val="6DEA46B7"/>
    <w:rsid w:val="6DED040D"/>
    <w:rsid w:val="6E0A107E"/>
    <w:rsid w:val="6E2A583F"/>
    <w:rsid w:val="6E2C3207"/>
    <w:rsid w:val="6E2E0B3B"/>
    <w:rsid w:val="6E5FC2FB"/>
    <w:rsid w:val="6E9116FB"/>
    <w:rsid w:val="6ED67A67"/>
    <w:rsid w:val="6ED8604B"/>
    <w:rsid w:val="6EF1208E"/>
    <w:rsid w:val="6F16E1DB"/>
    <w:rsid w:val="6F4E3BE4"/>
    <w:rsid w:val="6F5D6229"/>
    <w:rsid w:val="6F8D1E0A"/>
    <w:rsid w:val="6F915350"/>
    <w:rsid w:val="6FA7543D"/>
    <w:rsid w:val="6FA95F7C"/>
    <w:rsid w:val="6FAB3EC9"/>
    <w:rsid w:val="6FFC7E4C"/>
    <w:rsid w:val="70086A42"/>
    <w:rsid w:val="701F405A"/>
    <w:rsid w:val="7034465E"/>
    <w:rsid w:val="70394F30"/>
    <w:rsid w:val="70473489"/>
    <w:rsid w:val="704D0B8B"/>
    <w:rsid w:val="70610619"/>
    <w:rsid w:val="70715E97"/>
    <w:rsid w:val="70950698"/>
    <w:rsid w:val="709C3B11"/>
    <w:rsid w:val="70C57D4E"/>
    <w:rsid w:val="70D9CCB2"/>
    <w:rsid w:val="70F41329"/>
    <w:rsid w:val="712E63F7"/>
    <w:rsid w:val="71315CA0"/>
    <w:rsid w:val="71324139"/>
    <w:rsid w:val="714C256E"/>
    <w:rsid w:val="7157594D"/>
    <w:rsid w:val="71623069"/>
    <w:rsid w:val="7164387A"/>
    <w:rsid w:val="719F0766"/>
    <w:rsid w:val="71A52E8F"/>
    <w:rsid w:val="71E21E74"/>
    <w:rsid w:val="71E71E91"/>
    <w:rsid w:val="71F47640"/>
    <w:rsid w:val="71F641B1"/>
    <w:rsid w:val="7205BEA6"/>
    <w:rsid w:val="720B2C03"/>
    <w:rsid w:val="72507849"/>
    <w:rsid w:val="727D5888"/>
    <w:rsid w:val="728873C3"/>
    <w:rsid w:val="72930AC8"/>
    <w:rsid w:val="729B7ABC"/>
    <w:rsid w:val="729EDBBD"/>
    <w:rsid w:val="72A03324"/>
    <w:rsid w:val="72AD687C"/>
    <w:rsid w:val="72E60AFA"/>
    <w:rsid w:val="72E62A82"/>
    <w:rsid w:val="72FDF143"/>
    <w:rsid w:val="730D6C0C"/>
    <w:rsid w:val="7310996D"/>
    <w:rsid w:val="73385847"/>
    <w:rsid w:val="73442B46"/>
    <w:rsid w:val="734608C8"/>
    <w:rsid w:val="73A31CA5"/>
    <w:rsid w:val="73A46757"/>
    <w:rsid w:val="73A73C0C"/>
    <w:rsid w:val="73A96C88"/>
    <w:rsid w:val="73AB01D2"/>
    <w:rsid w:val="73BE3BC0"/>
    <w:rsid w:val="73DD20B5"/>
    <w:rsid w:val="740F13A0"/>
    <w:rsid w:val="744F52AA"/>
    <w:rsid w:val="74534AF2"/>
    <w:rsid w:val="74625526"/>
    <w:rsid w:val="74737229"/>
    <w:rsid w:val="747B78B3"/>
    <w:rsid w:val="7480523C"/>
    <w:rsid w:val="74A40EAA"/>
    <w:rsid w:val="74B36F89"/>
    <w:rsid w:val="74B4AB20"/>
    <w:rsid w:val="74C5678E"/>
    <w:rsid w:val="74C7692B"/>
    <w:rsid w:val="74E20B4F"/>
    <w:rsid w:val="74F71921"/>
    <w:rsid w:val="754B0E6C"/>
    <w:rsid w:val="755A1920"/>
    <w:rsid w:val="75650CA6"/>
    <w:rsid w:val="758D194C"/>
    <w:rsid w:val="75A37283"/>
    <w:rsid w:val="75B67E87"/>
    <w:rsid w:val="75CD4A45"/>
    <w:rsid w:val="75D60992"/>
    <w:rsid w:val="75FD243E"/>
    <w:rsid w:val="76047964"/>
    <w:rsid w:val="760E4029"/>
    <w:rsid w:val="763027E7"/>
    <w:rsid w:val="766BD3CD"/>
    <w:rsid w:val="76E7FA49"/>
    <w:rsid w:val="770C08ED"/>
    <w:rsid w:val="771C359C"/>
    <w:rsid w:val="77236EBD"/>
    <w:rsid w:val="772D266D"/>
    <w:rsid w:val="77580B3E"/>
    <w:rsid w:val="7759388C"/>
    <w:rsid w:val="776A1909"/>
    <w:rsid w:val="77941CBE"/>
    <w:rsid w:val="77B52D54"/>
    <w:rsid w:val="77B939D0"/>
    <w:rsid w:val="77BA171E"/>
    <w:rsid w:val="77C27C4C"/>
    <w:rsid w:val="77CEAFA5"/>
    <w:rsid w:val="77DF4DEA"/>
    <w:rsid w:val="77F65404"/>
    <w:rsid w:val="77FA1E0F"/>
    <w:rsid w:val="780F0D30"/>
    <w:rsid w:val="78176B27"/>
    <w:rsid w:val="781B65A0"/>
    <w:rsid w:val="78252301"/>
    <w:rsid w:val="7827392D"/>
    <w:rsid w:val="782D2E4E"/>
    <w:rsid w:val="78342545"/>
    <w:rsid w:val="7847E6AD"/>
    <w:rsid w:val="784D27DF"/>
    <w:rsid w:val="78537322"/>
    <w:rsid w:val="785A6D61"/>
    <w:rsid w:val="78773581"/>
    <w:rsid w:val="787B7D5E"/>
    <w:rsid w:val="7884B588"/>
    <w:rsid w:val="78890E39"/>
    <w:rsid w:val="78973DD4"/>
    <w:rsid w:val="78B46326"/>
    <w:rsid w:val="78BA2C76"/>
    <w:rsid w:val="78BC362E"/>
    <w:rsid w:val="78F41CD4"/>
    <w:rsid w:val="78FA6DBD"/>
    <w:rsid w:val="78FF3A9E"/>
    <w:rsid w:val="7907DD4A"/>
    <w:rsid w:val="791F1E29"/>
    <w:rsid w:val="79222CE5"/>
    <w:rsid w:val="793C5EB1"/>
    <w:rsid w:val="794739E7"/>
    <w:rsid w:val="79900356"/>
    <w:rsid w:val="79927E6B"/>
    <w:rsid w:val="79992730"/>
    <w:rsid w:val="79BD6BD7"/>
    <w:rsid w:val="79CD165B"/>
    <w:rsid w:val="79CD53BD"/>
    <w:rsid w:val="79E921E0"/>
    <w:rsid w:val="79E96FA6"/>
    <w:rsid w:val="79FEF801"/>
    <w:rsid w:val="7A036DE6"/>
    <w:rsid w:val="7A12251E"/>
    <w:rsid w:val="7A154DC9"/>
    <w:rsid w:val="7A185606"/>
    <w:rsid w:val="7A293BFF"/>
    <w:rsid w:val="7A4070E7"/>
    <w:rsid w:val="7A445D7B"/>
    <w:rsid w:val="7A5D5C88"/>
    <w:rsid w:val="7A5F78A0"/>
    <w:rsid w:val="7A6A36D7"/>
    <w:rsid w:val="7AAD65DE"/>
    <w:rsid w:val="7AD83C49"/>
    <w:rsid w:val="7AF06B00"/>
    <w:rsid w:val="7B244A7B"/>
    <w:rsid w:val="7B295B47"/>
    <w:rsid w:val="7B56B43E"/>
    <w:rsid w:val="7B6DA345"/>
    <w:rsid w:val="7B760F68"/>
    <w:rsid w:val="7B9A12FC"/>
    <w:rsid w:val="7BA10EA9"/>
    <w:rsid w:val="7BB02087"/>
    <w:rsid w:val="7BD1454E"/>
    <w:rsid w:val="7BD14CD9"/>
    <w:rsid w:val="7BF20D61"/>
    <w:rsid w:val="7C1D555F"/>
    <w:rsid w:val="7C1E3132"/>
    <w:rsid w:val="7C246690"/>
    <w:rsid w:val="7C2B0102"/>
    <w:rsid w:val="7C545A0E"/>
    <w:rsid w:val="7C57649B"/>
    <w:rsid w:val="7C5B6A3F"/>
    <w:rsid w:val="7C631D89"/>
    <w:rsid w:val="7C690292"/>
    <w:rsid w:val="7C6E7C1A"/>
    <w:rsid w:val="7C876B6F"/>
    <w:rsid w:val="7C894643"/>
    <w:rsid w:val="7C9079E3"/>
    <w:rsid w:val="7CAC1CD8"/>
    <w:rsid w:val="7CAD4FBB"/>
    <w:rsid w:val="7CDB9E54"/>
    <w:rsid w:val="7CDF5E82"/>
    <w:rsid w:val="7CF20C20"/>
    <w:rsid w:val="7CFF453D"/>
    <w:rsid w:val="7D0E8505"/>
    <w:rsid w:val="7D157114"/>
    <w:rsid w:val="7D17739B"/>
    <w:rsid w:val="7D221505"/>
    <w:rsid w:val="7D221B52"/>
    <w:rsid w:val="7D2A02EF"/>
    <w:rsid w:val="7D2A3CFE"/>
    <w:rsid w:val="7D2D14BD"/>
    <w:rsid w:val="7D3865DF"/>
    <w:rsid w:val="7D3D1E9B"/>
    <w:rsid w:val="7D8115D4"/>
    <w:rsid w:val="7D9B0433"/>
    <w:rsid w:val="7DB3F99B"/>
    <w:rsid w:val="7DB70749"/>
    <w:rsid w:val="7DB8492A"/>
    <w:rsid w:val="7DC81AF2"/>
    <w:rsid w:val="7DCDE89D"/>
    <w:rsid w:val="7DD85D97"/>
    <w:rsid w:val="7DF6DB8A"/>
    <w:rsid w:val="7E14223D"/>
    <w:rsid w:val="7E1D68BB"/>
    <w:rsid w:val="7E395EA1"/>
    <w:rsid w:val="7E3A4A4B"/>
    <w:rsid w:val="7E4D18AA"/>
    <w:rsid w:val="7E5E26EE"/>
    <w:rsid w:val="7E64482E"/>
    <w:rsid w:val="7E6A2CF9"/>
    <w:rsid w:val="7E713D7E"/>
    <w:rsid w:val="7E7E682F"/>
    <w:rsid w:val="7E922066"/>
    <w:rsid w:val="7E9FA644"/>
    <w:rsid w:val="7EA962F4"/>
    <w:rsid w:val="7EAB7BAC"/>
    <w:rsid w:val="7EBE3FD4"/>
    <w:rsid w:val="7ED07927"/>
    <w:rsid w:val="7EDC3936"/>
    <w:rsid w:val="7EE3E01D"/>
    <w:rsid w:val="7EE527BC"/>
    <w:rsid w:val="7F0C421B"/>
    <w:rsid w:val="7F2F4A4B"/>
    <w:rsid w:val="7F6A3571"/>
    <w:rsid w:val="7F73429A"/>
    <w:rsid w:val="7F742459"/>
    <w:rsid w:val="7FA385F2"/>
    <w:rsid w:val="7FB36445"/>
    <w:rsid w:val="815D45D3"/>
    <w:rsid w:val="81C489F2"/>
    <w:rsid w:val="81CBEA39"/>
    <w:rsid w:val="81CF624E"/>
    <w:rsid w:val="825E8A63"/>
    <w:rsid w:val="82880544"/>
    <w:rsid w:val="82A1363F"/>
    <w:rsid w:val="842D8551"/>
    <w:rsid w:val="855F7A0C"/>
    <w:rsid w:val="85C8F573"/>
    <w:rsid w:val="85DE0D1E"/>
    <w:rsid w:val="85F74D40"/>
    <w:rsid w:val="863191DF"/>
    <w:rsid w:val="869A0824"/>
    <w:rsid w:val="86CF7773"/>
    <w:rsid w:val="871C433C"/>
    <w:rsid w:val="8736A10B"/>
    <w:rsid w:val="87462CC2"/>
    <w:rsid w:val="87D739E9"/>
    <w:rsid w:val="88363D3A"/>
    <w:rsid w:val="8865E0AA"/>
    <w:rsid w:val="895052C8"/>
    <w:rsid w:val="89595529"/>
    <w:rsid w:val="89A05FF8"/>
    <w:rsid w:val="8AFF99D9"/>
    <w:rsid w:val="8BA9993A"/>
    <w:rsid w:val="8C1426B3"/>
    <w:rsid w:val="8D6D93EB"/>
    <w:rsid w:val="8E387917"/>
    <w:rsid w:val="8EB53A38"/>
    <w:rsid w:val="8EEF074B"/>
    <w:rsid w:val="8FC25D5B"/>
    <w:rsid w:val="902A8A8F"/>
    <w:rsid w:val="90495A93"/>
    <w:rsid w:val="90655946"/>
    <w:rsid w:val="906764F3"/>
    <w:rsid w:val="9082A08C"/>
    <w:rsid w:val="9213F3EF"/>
    <w:rsid w:val="9255419B"/>
    <w:rsid w:val="92ECD8F6"/>
    <w:rsid w:val="92EFA03A"/>
    <w:rsid w:val="938DAA7A"/>
    <w:rsid w:val="9406F983"/>
    <w:rsid w:val="940AEFB5"/>
    <w:rsid w:val="94B38D50"/>
    <w:rsid w:val="94B6B687"/>
    <w:rsid w:val="959BDAC4"/>
    <w:rsid w:val="964BA021"/>
    <w:rsid w:val="968D08AD"/>
    <w:rsid w:val="96CDAE63"/>
    <w:rsid w:val="96D10F72"/>
    <w:rsid w:val="9746BCDC"/>
    <w:rsid w:val="988A3FC8"/>
    <w:rsid w:val="98B5ED45"/>
    <w:rsid w:val="9A1B7584"/>
    <w:rsid w:val="9A58B76F"/>
    <w:rsid w:val="9BF73E76"/>
    <w:rsid w:val="9BF90BD3"/>
    <w:rsid w:val="9C0431BC"/>
    <w:rsid w:val="9C4CE787"/>
    <w:rsid w:val="9C9CF0A7"/>
    <w:rsid w:val="9CCF0251"/>
    <w:rsid w:val="9D7B6C20"/>
    <w:rsid w:val="A0423F4C"/>
    <w:rsid w:val="A0753DE4"/>
    <w:rsid w:val="A0D61FBB"/>
    <w:rsid w:val="A1B86BA4"/>
    <w:rsid w:val="A21E7CD4"/>
    <w:rsid w:val="A29432E4"/>
    <w:rsid w:val="A411544A"/>
    <w:rsid w:val="A433B70A"/>
    <w:rsid w:val="A443D049"/>
    <w:rsid w:val="A4535C0A"/>
    <w:rsid w:val="A45EBF13"/>
    <w:rsid w:val="A5357876"/>
    <w:rsid w:val="A5D7CA9E"/>
    <w:rsid w:val="A6081D0F"/>
    <w:rsid w:val="A615308D"/>
    <w:rsid w:val="A6602DBF"/>
    <w:rsid w:val="A7344BEE"/>
    <w:rsid w:val="A75FE230"/>
    <w:rsid w:val="A82B9E91"/>
    <w:rsid w:val="A86BD89E"/>
    <w:rsid w:val="A86FC1D4"/>
    <w:rsid w:val="A88E6534"/>
    <w:rsid w:val="A8BEEB65"/>
    <w:rsid w:val="A8DA5B92"/>
    <w:rsid w:val="AA77A50B"/>
    <w:rsid w:val="AACDD43E"/>
    <w:rsid w:val="AB3B5A64"/>
    <w:rsid w:val="AD43DD82"/>
    <w:rsid w:val="AE726E54"/>
    <w:rsid w:val="B008F4B7"/>
    <w:rsid w:val="B01EDF56"/>
    <w:rsid w:val="B0299B1A"/>
    <w:rsid w:val="B10825E1"/>
    <w:rsid w:val="B16115AC"/>
    <w:rsid w:val="B25C5A21"/>
    <w:rsid w:val="B267DEDF"/>
    <w:rsid w:val="B28BDAC6"/>
    <w:rsid w:val="B2BA9AD5"/>
    <w:rsid w:val="B34B1E32"/>
    <w:rsid w:val="B38D3C80"/>
    <w:rsid w:val="B38F5CD6"/>
    <w:rsid w:val="B4F719AB"/>
    <w:rsid w:val="B517B867"/>
    <w:rsid w:val="B54724AE"/>
    <w:rsid w:val="B556C168"/>
    <w:rsid w:val="B5C884F4"/>
    <w:rsid w:val="B66B7B24"/>
    <w:rsid w:val="B6859ED6"/>
    <w:rsid w:val="B68E5B2F"/>
    <w:rsid w:val="B6B6F1DA"/>
    <w:rsid w:val="B7066DD9"/>
    <w:rsid w:val="B87AE262"/>
    <w:rsid w:val="B8B42B1F"/>
    <w:rsid w:val="B9E0510A"/>
    <w:rsid w:val="B9E080BC"/>
    <w:rsid w:val="BA36AC09"/>
    <w:rsid w:val="BA7D7EF2"/>
    <w:rsid w:val="BAFBC9FC"/>
    <w:rsid w:val="BC774970"/>
    <w:rsid w:val="BCCFBD97"/>
    <w:rsid w:val="BD069A6E"/>
    <w:rsid w:val="BDA0323A"/>
    <w:rsid w:val="BDAB9D0C"/>
    <w:rsid w:val="BE272DAF"/>
    <w:rsid w:val="BF7B4D5B"/>
    <w:rsid w:val="C0693078"/>
    <w:rsid w:val="C078693C"/>
    <w:rsid w:val="C0974243"/>
    <w:rsid w:val="C0C54371"/>
    <w:rsid w:val="C19E8C96"/>
    <w:rsid w:val="C1F0ECC3"/>
    <w:rsid w:val="C2437B8A"/>
    <w:rsid w:val="C327489A"/>
    <w:rsid w:val="C352C627"/>
    <w:rsid w:val="C35CBEFD"/>
    <w:rsid w:val="C3B498B0"/>
    <w:rsid w:val="C3D8FE08"/>
    <w:rsid w:val="C426A47F"/>
    <w:rsid w:val="C4799483"/>
    <w:rsid w:val="C6A31856"/>
    <w:rsid w:val="C6ADF10B"/>
    <w:rsid w:val="C70076C0"/>
    <w:rsid w:val="C8173597"/>
    <w:rsid w:val="C84541F7"/>
    <w:rsid w:val="C9B9DBE9"/>
    <w:rsid w:val="CADFE8D2"/>
    <w:rsid w:val="CB1D981C"/>
    <w:rsid w:val="CB4783B1"/>
    <w:rsid w:val="CB50AD2E"/>
    <w:rsid w:val="CBD4172E"/>
    <w:rsid w:val="CC53E3E9"/>
    <w:rsid w:val="CC82D264"/>
    <w:rsid w:val="CD7B8D6C"/>
    <w:rsid w:val="CE24C05A"/>
    <w:rsid w:val="CE834359"/>
    <w:rsid w:val="CE9A4710"/>
    <w:rsid w:val="CEC49205"/>
    <w:rsid w:val="CEFA3746"/>
    <w:rsid w:val="CF47F4C9"/>
    <w:rsid w:val="CFC7AE5D"/>
    <w:rsid w:val="D06D65EA"/>
    <w:rsid w:val="D0F7472E"/>
    <w:rsid w:val="D19FC85D"/>
    <w:rsid w:val="D1A612CF"/>
    <w:rsid w:val="D20AC37C"/>
    <w:rsid w:val="D263E0DF"/>
    <w:rsid w:val="D3026467"/>
    <w:rsid w:val="D4AB3698"/>
    <w:rsid w:val="D549A56F"/>
    <w:rsid w:val="D5529B35"/>
    <w:rsid w:val="D65FF33E"/>
    <w:rsid w:val="D6E05096"/>
    <w:rsid w:val="D774A8A3"/>
    <w:rsid w:val="D8174F1B"/>
    <w:rsid w:val="D826C7AF"/>
    <w:rsid w:val="D940AA7C"/>
    <w:rsid w:val="D9804CD7"/>
    <w:rsid w:val="D9918B7C"/>
    <w:rsid w:val="DA48CF4C"/>
    <w:rsid w:val="DAC9A9BC"/>
    <w:rsid w:val="DB1FDF15"/>
    <w:rsid w:val="DB5033A8"/>
    <w:rsid w:val="DB83A1A5"/>
    <w:rsid w:val="DBACCF6A"/>
    <w:rsid w:val="DCFF995B"/>
    <w:rsid w:val="DD1D316E"/>
    <w:rsid w:val="DD27902E"/>
    <w:rsid w:val="DDC5944B"/>
    <w:rsid w:val="DE032200"/>
    <w:rsid w:val="DE3DB8D3"/>
    <w:rsid w:val="DE88AB67"/>
    <w:rsid w:val="DF61F323"/>
    <w:rsid w:val="DFBC08CB"/>
    <w:rsid w:val="E0DFDE49"/>
    <w:rsid w:val="E140ADA8"/>
    <w:rsid w:val="E15F969C"/>
    <w:rsid w:val="E27DB72B"/>
    <w:rsid w:val="E30910E7"/>
    <w:rsid w:val="E3484BD9"/>
    <w:rsid w:val="E3FC5201"/>
    <w:rsid w:val="E41D66E0"/>
    <w:rsid w:val="E4202B2F"/>
    <w:rsid w:val="E46F218F"/>
    <w:rsid w:val="E4859783"/>
    <w:rsid w:val="E54FDCDC"/>
    <w:rsid w:val="E59BD697"/>
    <w:rsid w:val="E5AC5E59"/>
    <w:rsid w:val="E5D0C9A5"/>
    <w:rsid w:val="E5DC66C1"/>
    <w:rsid w:val="E6896E57"/>
    <w:rsid w:val="E7A86F72"/>
    <w:rsid w:val="E7B5A841"/>
    <w:rsid w:val="E7BEB275"/>
    <w:rsid w:val="E7E1D530"/>
    <w:rsid w:val="E829DA99"/>
    <w:rsid w:val="E866FA5E"/>
    <w:rsid w:val="E89A5BFD"/>
    <w:rsid w:val="E958C6DE"/>
    <w:rsid w:val="E95DB733"/>
    <w:rsid w:val="EC0CF28D"/>
    <w:rsid w:val="EC237187"/>
    <w:rsid w:val="EC5DFEF0"/>
    <w:rsid w:val="ED6049D3"/>
    <w:rsid w:val="EE88C759"/>
    <w:rsid w:val="EEA8D897"/>
    <w:rsid w:val="EECF9DAA"/>
    <w:rsid w:val="EF1ECBB2"/>
    <w:rsid w:val="EF709EB3"/>
    <w:rsid w:val="EF9940AB"/>
    <w:rsid w:val="EF9B5C93"/>
    <w:rsid w:val="EFB981E6"/>
    <w:rsid w:val="F022F41D"/>
    <w:rsid w:val="F095D3C1"/>
    <w:rsid w:val="F0962FDA"/>
    <w:rsid w:val="F19D0F0B"/>
    <w:rsid w:val="F19F5720"/>
    <w:rsid w:val="F1A3CD0C"/>
    <w:rsid w:val="F1BCC56D"/>
    <w:rsid w:val="F2AEB39F"/>
    <w:rsid w:val="F2CEDF74"/>
    <w:rsid w:val="F2D2431D"/>
    <w:rsid w:val="F428C0CE"/>
    <w:rsid w:val="F57F40B7"/>
    <w:rsid w:val="F5F36B7D"/>
    <w:rsid w:val="F61C54FF"/>
    <w:rsid w:val="F6288F44"/>
    <w:rsid w:val="F649FBB5"/>
    <w:rsid w:val="F6633F8B"/>
    <w:rsid w:val="F6902486"/>
    <w:rsid w:val="F7941D08"/>
    <w:rsid w:val="F819A319"/>
    <w:rsid w:val="F81A2641"/>
    <w:rsid w:val="F869D9D8"/>
    <w:rsid w:val="F8F35A9B"/>
    <w:rsid w:val="F974033D"/>
    <w:rsid w:val="FA7A8E70"/>
    <w:rsid w:val="FA9FE61C"/>
    <w:rsid w:val="FAD11090"/>
    <w:rsid w:val="FB59D600"/>
    <w:rsid w:val="FCA37699"/>
    <w:rsid w:val="FE0D56CC"/>
    <w:rsid w:val="FE951F29"/>
    <w:rsid w:val="FED2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24"/>
    <w:qFormat/>
    <w:uiPriority w:val="0"/>
    <w:pPr>
      <w:keepNext/>
      <w:keepLines/>
      <w:spacing w:before="340" w:after="330"/>
      <w:outlineLvl w:val="0"/>
    </w:pPr>
    <w:rPr>
      <w:rFonts w:ascii="Times New Roman" w:hAnsi="Times New Roman"/>
      <w:b/>
      <w:bCs/>
      <w:kern w:val="44"/>
      <w:sz w:val="32"/>
      <w:szCs w:val="32"/>
    </w:rPr>
  </w:style>
  <w:style w:type="paragraph" w:styleId="4">
    <w:name w:val="heading 2"/>
    <w:basedOn w:val="1"/>
    <w:next w:val="1"/>
    <w:link w:val="54"/>
    <w:qFormat/>
    <w:uiPriority w:val="0"/>
    <w:pPr>
      <w:keepNext/>
      <w:keepLines/>
      <w:numPr>
        <w:ilvl w:val="0"/>
        <w:numId w:val="1"/>
      </w:numPr>
      <w:spacing w:line="360" w:lineRule="auto"/>
      <w:outlineLvl w:val="1"/>
    </w:pPr>
    <w:rPr>
      <w:rFonts w:ascii="Times New Roman" w:hAnsi="Times New Roman"/>
      <w:sz w:val="24"/>
      <w:szCs w:val="24"/>
    </w:rPr>
  </w:style>
  <w:style w:type="paragraph" w:styleId="5">
    <w:name w:val="heading 3"/>
    <w:basedOn w:val="1"/>
    <w:next w:val="1"/>
    <w:link w:val="98"/>
    <w:qFormat/>
    <w:uiPriority w:val="0"/>
    <w:pPr>
      <w:keepNext/>
      <w:keepLines/>
      <w:numPr>
        <w:ilvl w:val="1"/>
        <w:numId w:val="2"/>
      </w:numPr>
      <w:spacing w:line="360" w:lineRule="auto"/>
      <w:ind w:left="0" w:firstLine="1044" w:firstLineChars="200"/>
      <w:outlineLvl w:val="2"/>
    </w:pPr>
    <w:rPr>
      <w:rFonts w:ascii="Times New Roman" w:hAnsi="Times New Roman"/>
      <w:sz w:val="24"/>
      <w:szCs w:val="24"/>
    </w:rPr>
  </w:style>
  <w:style w:type="paragraph" w:styleId="6">
    <w:name w:val="heading 4"/>
    <w:basedOn w:val="1"/>
    <w:next w:val="1"/>
    <w:link w:val="64"/>
    <w:qFormat/>
    <w:uiPriority w:val="0"/>
    <w:pPr>
      <w:keepNext/>
      <w:keepLines/>
      <w:spacing w:before="280" w:after="290" w:line="372" w:lineRule="auto"/>
      <w:outlineLvl w:val="3"/>
    </w:pPr>
    <w:rPr>
      <w:rFonts w:ascii="Cambria" w:hAnsi="Cambria"/>
      <w:b/>
      <w:bCs/>
      <w:sz w:val="28"/>
      <w:szCs w:val="28"/>
    </w:rPr>
  </w:style>
  <w:style w:type="paragraph" w:styleId="7">
    <w:name w:val="heading 5"/>
    <w:basedOn w:val="1"/>
    <w:next w:val="1"/>
    <w:link w:val="84"/>
    <w:qFormat/>
    <w:uiPriority w:val="0"/>
    <w:pPr>
      <w:keepNext/>
      <w:keepLines/>
      <w:spacing w:before="280" w:after="290" w:line="372" w:lineRule="auto"/>
      <w:outlineLvl w:val="4"/>
    </w:pPr>
    <w:rPr>
      <w:rFonts w:ascii="Times New Roman" w:hAnsi="Times New Roman"/>
      <w:b/>
      <w:bCs/>
      <w:sz w:val="28"/>
      <w:szCs w:val="28"/>
    </w:rPr>
  </w:style>
  <w:style w:type="paragraph" w:styleId="8">
    <w:name w:val="heading 6"/>
    <w:basedOn w:val="1"/>
    <w:next w:val="1"/>
    <w:link w:val="63"/>
    <w:qFormat/>
    <w:uiPriority w:val="0"/>
    <w:pPr>
      <w:keepNext/>
      <w:keepLines/>
      <w:spacing w:before="240" w:after="64" w:line="317" w:lineRule="auto"/>
      <w:outlineLvl w:val="5"/>
    </w:pPr>
    <w:rPr>
      <w:rFonts w:ascii="Cambria" w:hAnsi="Cambria"/>
      <w:b/>
      <w:bCs/>
      <w:sz w:val="24"/>
      <w:szCs w:val="24"/>
    </w:rPr>
  </w:style>
  <w:style w:type="paragraph" w:styleId="9">
    <w:name w:val="heading 7"/>
    <w:basedOn w:val="1"/>
    <w:next w:val="1"/>
    <w:link w:val="92"/>
    <w:qFormat/>
    <w:uiPriority w:val="0"/>
    <w:pPr>
      <w:keepNext/>
      <w:keepLines/>
      <w:spacing w:before="240" w:after="64" w:line="317" w:lineRule="auto"/>
      <w:outlineLvl w:val="6"/>
    </w:pPr>
    <w:rPr>
      <w:rFonts w:ascii="Times New Roman" w:hAnsi="Times New Roman"/>
      <w:b/>
      <w:bCs/>
      <w:sz w:val="24"/>
      <w:szCs w:val="24"/>
    </w:rPr>
  </w:style>
  <w:style w:type="paragraph" w:styleId="10">
    <w:name w:val="heading 8"/>
    <w:basedOn w:val="1"/>
    <w:next w:val="1"/>
    <w:link w:val="94"/>
    <w:qFormat/>
    <w:uiPriority w:val="0"/>
    <w:pPr>
      <w:keepNext/>
      <w:keepLines/>
      <w:spacing w:before="240" w:after="64" w:line="317" w:lineRule="auto"/>
      <w:outlineLvl w:val="7"/>
    </w:pPr>
    <w:rPr>
      <w:rFonts w:ascii="Cambria" w:hAnsi="Cambria"/>
      <w:sz w:val="24"/>
      <w:szCs w:val="24"/>
    </w:rPr>
  </w:style>
  <w:style w:type="paragraph" w:styleId="11">
    <w:name w:val="heading 9"/>
    <w:basedOn w:val="1"/>
    <w:next w:val="1"/>
    <w:link w:val="87"/>
    <w:qFormat/>
    <w:uiPriority w:val="0"/>
    <w:pPr>
      <w:keepNext/>
      <w:keepLines/>
      <w:spacing w:before="240" w:after="64" w:line="317" w:lineRule="auto"/>
      <w:outlineLvl w:val="8"/>
    </w:pPr>
    <w:rPr>
      <w:rFonts w:ascii="Cambria" w:hAnsi="Cambria"/>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12">
    <w:name w:val="toc 7"/>
    <w:basedOn w:val="1"/>
    <w:next w:val="1"/>
    <w:qFormat/>
    <w:uiPriority w:val="0"/>
    <w:pPr>
      <w:ind w:left="2520" w:leftChars="1200"/>
    </w:pPr>
    <w:rPr>
      <w:rFonts w:ascii="Times New Roman" w:hAnsi="Times New Roman"/>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55"/>
    <w:qFormat/>
    <w:uiPriority w:val="0"/>
    <w:pPr>
      <w:shd w:val="clear" w:color="auto" w:fill="000080"/>
    </w:pPr>
    <w:rPr>
      <w:rFonts w:ascii="Times New Roman" w:hAnsi="Times New Roman"/>
      <w:szCs w:val="24"/>
      <w:shd w:val="clear" w:color="auto" w:fill="000080"/>
    </w:rPr>
  </w:style>
  <w:style w:type="paragraph" w:styleId="15">
    <w:name w:val="annotation text"/>
    <w:basedOn w:val="1"/>
    <w:link w:val="81"/>
    <w:qFormat/>
    <w:uiPriority w:val="0"/>
    <w:pPr>
      <w:jc w:val="left"/>
    </w:pPr>
    <w:rPr>
      <w:rFonts w:ascii="Times New Roman" w:hAnsi="Times New Roman"/>
    </w:rPr>
  </w:style>
  <w:style w:type="paragraph" w:styleId="16">
    <w:name w:val="Body Text"/>
    <w:basedOn w:val="1"/>
    <w:link w:val="70"/>
    <w:qFormat/>
    <w:uiPriority w:val="0"/>
    <w:pPr>
      <w:adjustRightInd w:val="0"/>
      <w:spacing w:after="60" w:line="360" w:lineRule="atLeast"/>
      <w:ind w:left="72" w:leftChars="30" w:right="30" w:rightChars="30"/>
      <w:jc w:val="center"/>
      <w:textAlignment w:val="baseline"/>
    </w:pPr>
    <w:rPr>
      <w:rFonts w:ascii="Times New Roman" w:hAnsi="Times New Roman"/>
    </w:rPr>
  </w:style>
  <w:style w:type="paragraph" w:styleId="17">
    <w:name w:val="index 4"/>
    <w:basedOn w:val="1"/>
    <w:next w:val="1"/>
    <w:qFormat/>
    <w:uiPriority w:val="0"/>
    <w:pPr>
      <w:ind w:left="600" w:leftChars="600"/>
    </w:pPr>
    <w:rPr>
      <w:rFonts w:ascii="Times New Roman" w:hAnsi="Times New Roman"/>
      <w:szCs w:val="24"/>
    </w:rPr>
  </w:style>
  <w:style w:type="paragraph" w:styleId="18">
    <w:name w:val="toc 5"/>
    <w:basedOn w:val="1"/>
    <w:next w:val="1"/>
    <w:qFormat/>
    <w:uiPriority w:val="0"/>
    <w:pPr>
      <w:tabs>
        <w:tab w:val="right" w:leader="dot" w:pos="8296"/>
      </w:tabs>
      <w:ind w:left="1050" w:leftChars="500"/>
    </w:pPr>
    <w:rPr>
      <w:rFonts w:ascii="Times New Roman" w:hAnsi="Times New Roman"/>
    </w:rPr>
  </w:style>
  <w:style w:type="paragraph" w:styleId="19">
    <w:name w:val="toc 3"/>
    <w:basedOn w:val="1"/>
    <w:next w:val="1"/>
    <w:qFormat/>
    <w:uiPriority w:val="0"/>
    <w:pPr>
      <w:ind w:left="840" w:leftChars="400"/>
    </w:pPr>
    <w:rPr>
      <w:rFonts w:ascii="Times New Roman" w:hAnsi="Times New Roman"/>
    </w:rPr>
  </w:style>
  <w:style w:type="paragraph" w:styleId="20">
    <w:name w:val="toc 8"/>
    <w:basedOn w:val="1"/>
    <w:next w:val="1"/>
    <w:qFormat/>
    <w:uiPriority w:val="0"/>
    <w:pPr>
      <w:ind w:left="2940" w:leftChars="1400"/>
    </w:pPr>
    <w:rPr>
      <w:rFonts w:ascii="Times New Roman" w:hAnsi="Times New Roman"/>
    </w:rPr>
  </w:style>
  <w:style w:type="paragraph" w:styleId="21">
    <w:name w:val="Date"/>
    <w:basedOn w:val="1"/>
    <w:next w:val="1"/>
    <w:link w:val="50"/>
    <w:qFormat/>
    <w:uiPriority w:val="0"/>
    <w:pPr>
      <w:ind w:left="100" w:leftChars="2500"/>
    </w:pPr>
    <w:rPr>
      <w:rFonts w:ascii="宋体" w:hAnsi="Times New Roman"/>
      <w:sz w:val="28"/>
    </w:rPr>
  </w:style>
  <w:style w:type="paragraph" w:styleId="22">
    <w:name w:val="Body Text Indent 2"/>
    <w:basedOn w:val="1"/>
    <w:link w:val="95"/>
    <w:qFormat/>
    <w:uiPriority w:val="0"/>
    <w:pPr>
      <w:spacing w:line="300" w:lineRule="auto"/>
      <w:ind w:left="418" w:leftChars="199"/>
    </w:pPr>
    <w:rPr>
      <w:rFonts w:ascii="Times New Roman" w:hAnsi="Times New Roman"/>
      <w:sz w:val="24"/>
      <w:szCs w:val="20"/>
    </w:rPr>
  </w:style>
  <w:style w:type="paragraph" w:styleId="23">
    <w:name w:val="Balloon Text"/>
    <w:basedOn w:val="1"/>
    <w:link w:val="69"/>
    <w:qFormat/>
    <w:uiPriority w:val="0"/>
    <w:rPr>
      <w:rFonts w:ascii="宋体" w:hAnsi="Times New Roman"/>
      <w:sz w:val="18"/>
      <w:szCs w:val="18"/>
    </w:rPr>
  </w:style>
  <w:style w:type="paragraph" w:styleId="24">
    <w:name w:val="footer"/>
    <w:basedOn w:val="1"/>
    <w:link w:val="96"/>
    <w:qFormat/>
    <w:uiPriority w:val="99"/>
    <w:pPr>
      <w:tabs>
        <w:tab w:val="center" w:pos="4153"/>
        <w:tab w:val="right" w:pos="8306"/>
      </w:tabs>
      <w:snapToGrid w:val="0"/>
      <w:jc w:val="left"/>
    </w:pPr>
    <w:rPr>
      <w:rFonts w:ascii="Times New Roman" w:hAnsi="Times New Roman"/>
      <w:sz w:val="18"/>
      <w:szCs w:val="18"/>
    </w:rPr>
  </w:style>
  <w:style w:type="paragraph" w:styleId="25">
    <w:name w:val="header"/>
    <w:basedOn w:val="1"/>
    <w:link w:val="46"/>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pPr>
      <w:tabs>
        <w:tab w:val="right" w:leader="dot" w:pos="8296"/>
      </w:tabs>
    </w:pPr>
    <w:rPr>
      <w:rFonts w:ascii="宋体" w:hAnsi="Times New Roman" w:eastAsia="楷体_GB2312" w:cs="TimesNewRomanPSMT"/>
      <w:b/>
      <w:kern w:val="0"/>
      <w:sz w:val="28"/>
      <w:szCs w:val="20"/>
    </w:rPr>
  </w:style>
  <w:style w:type="paragraph" w:styleId="27">
    <w:name w:val="toc 4"/>
    <w:basedOn w:val="1"/>
    <w:next w:val="1"/>
    <w:qFormat/>
    <w:uiPriority w:val="0"/>
    <w:pPr>
      <w:tabs>
        <w:tab w:val="left" w:pos="1890"/>
        <w:tab w:val="right" w:leader="dot" w:pos="8296"/>
      </w:tabs>
      <w:ind w:left="630" w:leftChars="300"/>
    </w:pPr>
    <w:rPr>
      <w:rFonts w:ascii="Times New Roman" w:hAnsi="Times New Roman"/>
    </w:rPr>
  </w:style>
  <w:style w:type="paragraph" w:styleId="28">
    <w:name w:val="Subtitle"/>
    <w:basedOn w:val="1"/>
    <w:next w:val="1"/>
    <w:link w:val="80"/>
    <w:qFormat/>
    <w:uiPriority w:val="0"/>
    <w:pPr>
      <w:spacing w:before="240" w:after="60" w:line="312" w:lineRule="auto"/>
      <w:jc w:val="center"/>
      <w:outlineLvl w:val="1"/>
    </w:pPr>
    <w:rPr>
      <w:rFonts w:ascii="Cambria" w:hAnsi="Cambria"/>
      <w:b/>
      <w:bCs/>
      <w:kern w:val="28"/>
      <w:sz w:val="32"/>
      <w:szCs w:val="32"/>
    </w:rPr>
  </w:style>
  <w:style w:type="paragraph" w:styleId="29">
    <w:name w:val="toc 6"/>
    <w:basedOn w:val="1"/>
    <w:next w:val="1"/>
    <w:qFormat/>
    <w:uiPriority w:val="0"/>
    <w:pPr>
      <w:ind w:left="2100" w:leftChars="1000"/>
    </w:pPr>
    <w:rPr>
      <w:rFonts w:ascii="Times New Roman" w:hAnsi="Times New Roman"/>
    </w:rPr>
  </w:style>
  <w:style w:type="paragraph" w:styleId="30">
    <w:name w:val="table of figures"/>
    <w:basedOn w:val="1"/>
    <w:next w:val="1"/>
    <w:qFormat/>
    <w:uiPriority w:val="0"/>
    <w:pPr>
      <w:ind w:left="200" w:leftChars="200" w:hanging="200" w:hangingChars="200"/>
    </w:pPr>
    <w:rPr>
      <w:rFonts w:ascii="Times New Roman" w:hAnsi="Times New Roman"/>
    </w:rPr>
  </w:style>
  <w:style w:type="paragraph" w:styleId="31">
    <w:name w:val="toc 2"/>
    <w:basedOn w:val="1"/>
    <w:next w:val="1"/>
    <w:qFormat/>
    <w:uiPriority w:val="39"/>
    <w:pPr>
      <w:ind w:left="420" w:leftChars="200"/>
    </w:pPr>
    <w:rPr>
      <w:rFonts w:ascii="宋体" w:hAnsi="Times New Roman"/>
      <w:b/>
      <w:sz w:val="28"/>
      <w:szCs w:val="20"/>
    </w:rPr>
  </w:style>
  <w:style w:type="paragraph" w:styleId="32">
    <w:name w:val="toc 9"/>
    <w:basedOn w:val="1"/>
    <w:next w:val="1"/>
    <w:qFormat/>
    <w:uiPriority w:val="0"/>
    <w:pPr>
      <w:ind w:left="3360" w:leftChars="1600"/>
    </w:pPr>
    <w:rPr>
      <w:rFonts w:ascii="Times New Roman" w:hAnsi="Times New Roman"/>
    </w:rPr>
  </w:style>
  <w:style w:type="paragraph" w:styleId="33">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34">
    <w:name w:val="index 1"/>
    <w:basedOn w:val="1"/>
    <w:next w:val="1"/>
    <w:unhideWhenUsed/>
    <w:qFormat/>
    <w:uiPriority w:val="99"/>
  </w:style>
  <w:style w:type="paragraph" w:styleId="35">
    <w:name w:val="Title"/>
    <w:basedOn w:val="1"/>
    <w:next w:val="1"/>
    <w:link w:val="78"/>
    <w:qFormat/>
    <w:uiPriority w:val="0"/>
    <w:pPr>
      <w:spacing w:before="240" w:after="60"/>
      <w:jc w:val="center"/>
      <w:outlineLvl w:val="0"/>
    </w:pPr>
    <w:rPr>
      <w:rFonts w:ascii="Cambria" w:hAnsi="Cambria"/>
      <w:b/>
      <w:bCs/>
      <w:sz w:val="32"/>
      <w:szCs w:val="32"/>
    </w:rPr>
  </w:style>
  <w:style w:type="paragraph" w:styleId="36">
    <w:name w:val="annotation subject"/>
    <w:basedOn w:val="15"/>
    <w:next w:val="15"/>
    <w:link w:val="86"/>
    <w:qFormat/>
    <w:uiPriority w:val="0"/>
    <w:rPr>
      <w:rFonts w:ascii="宋体"/>
      <w:b/>
      <w:bCs/>
      <w:sz w:val="28"/>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rFonts w:ascii="Times New Roman" w:hAnsi="Times New Roman" w:eastAsia="宋体" w:cs="Times New Roman"/>
      <w:b/>
      <w:bCs/>
    </w:rPr>
  </w:style>
  <w:style w:type="character" w:styleId="41">
    <w:name w:val="page number"/>
    <w:qFormat/>
    <w:uiPriority w:val="0"/>
    <w:rPr>
      <w:rFonts w:ascii="Times New Roman" w:hAnsi="Times New Roman" w:eastAsia="宋体" w:cs="Times New Roman"/>
    </w:rPr>
  </w:style>
  <w:style w:type="character" w:styleId="42">
    <w:name w:val="FollowedHyperlink"/>
    <w:unhideWhenUsed/>
    <w:qFormat/>
    <w:uiPriority w:val="99"/>
    <w:rPr>
      <w:rFonts w:ascii="Times New Roman" w:hAnsi="Times New Roman" w:eastAsia="宋体" w:cs="Times New Roman"/>
      <w:color w:val="954F72"/>
      <w:u w:val="single"/>
    </w:rPr>
  </w:style>
  <w:style w:type="character" w:styleId="43">
    <w:name w:val="Emphasis"/>
    <w:qFormat/>
    <w:uiPriority w:val="0"/>
    <w:rPr>
      <w:rFonts w:ascii="Times New Roman" w:hAnsi="Times New Roman" w:eastAsia="宋体" w:cs="Times New Roman"/>
      <w:i/>
      <w:iCs/>
    </w:rPr>
  </w:style>
  <w:style w:type="character" w:styleId="44">
    <w:name w:val="Hyperlink"/>
    <w:qFormat/>
    <w:uiPriority w:val="99"/>
    <w:rPr>
      <w:rFonts w:ascii="Times New Roman" w:hAnsi="Times New Roman" w:eastAsia="宋体" w:cs="Times New Roman"/>
      <w:color w:val="0000FF"/>
      <w:u w:val="single"/>
    </w:rPr>
  </w:style>
  <w:style w:type="character" w:styleId="45">
    <w:name w:val="annotation reference"/>
    <w:basedOn w:val="39"/>
    <w:qFormat/>
    <w:uiPriority w:val="99"/>
    <w:rPr>
      <w:rFonts w:ascii="Times New Roman" w:hAnsi="Times New Roman" w:eastAsia="宋体" w:cs="Times New Roman"/>
      <w:sz w:val="21"/>
      <w:szCs w:val="21"/>
    </w:rPr>
  </w:style>
  <w:style w:type="character" w:customStyle="1" w:styleId="46">
    <w:name w:val="页眉 Char"/>
    <w:link w:val="25"/>
    <w:qFormat/>
    <w:uiPriority w:val="0"/>
    <w:rPr>
      <w:rFonts w:ascii="Times New Roman" w:hAnsi="Times New Roman" w:eastAsia="宋体" w:cs="Times New Roman"/>
      <w:kern w:val="2"/>
      <w:sz w:val="18"/>
      <w:szCs w:val="18"/>
    </w:rPr>
  </w:style>
  <w:style w:type="character" w:customStyle="1" w:styleId="47">
    <w:name w:val="段 字符"/>
    <w:link w:val="48"/>
    <w:qFormat/>
    <w:uiPriority w:val="0"/>
    <w:rPr>
      <w:rFonts w:ascii="宋体" w:hAnsi="Times New Roman" w:eastAsia="宋体" w:cs="Times New Roman"/>
      <w:color w:val="000000"/>
      <w:sz w:val="21"/>
    </w:rPr>
  </w:style>
  <w:style w:type="paragraph" w:customStyle="1" w:styleId="48">
    <w:name w:val="段"/>
    <w:basedOn w:val="1"/>
    <w:link w:val="47"/>
    <w:qFormat/>
    <w:uiPriority w:val="0"/>
    <w:pPr>
      <w:widowControl/>
      <w:tabs>
        <w:tab w:val="center" w:pos="4201"/>
        <w:tab w:val="right" w:leader="dot" w:pos="9298"/>
      </w:tabs>
      <w:autoSpaceDE w:val="0"/>
      <w:autoSpaceDN w:val="0"/>
      <w:adjustRightInd w:val="0"/>
      <w:snapToGrid w:val="0"/>
      <w:spacing w:line="360" w:lineRule="auto"/>
      <w:ind w:firstLine="420" w:firstLineChars="200"/>
    </w:pPr>
    <w:rPr>
      <w:rFonts w:ascii="宋体" w:hAnsi="Times New Roman"/>
      <w:color w:val="000000"/>
      <w:kern w:val="0"/>
      <w:szCs w:val="20"/>
    </w:rPr>
  </w:style>
  <w:style w:type="character" w:customStyle="1" w:styleId="49">
    <w:name w:val="不明显强调1"/>
    <w:qFormat/>
    <w:uiPriority w:val="0"/>
    <w:rPr>
      <w:rFonts w:ascii="Times New Roman" w:hAnsi="Times New Roman" w:eastAsia="宋体" w:cs="Times New Roman"/>
      <w:i/>
      <w:iCs/>
      <w:color w:val="808080"/>
    </w:rPr>
  </w:style>
  <w:style w:type="character" w:customStyle="1" w:styleId="50">
    <w:name w:val="日期 Char"/>
    <w:link w:val="21"/>
    <w:qFormat/>
    <w:uiPriority w:val="0"/>
    <w:rPr>
      <w:rFonts w:ascii="宋体" w:hAnsi="Times New Roman" w:eastAsia="宋体" w:cs="Times New Roman"/>
      <w:sz w:val="28"/>
    </w:rPr>
  </w:style>
  <w:style w:type="character" w:customStyle="1" w:styleId="51">
    <w:name w:val="样式1-正文 Char"/>
    <w:link w:val="52"/>
    <w:qFormat/>
    <w:uiPriority w:val="0"/>
    <w:rPr>
      <w:rFonts w:ascii="Times New Roman" w:hAnsi="Times New Roman" w:eastAsia="仿宋_GB2312" w:cs="Times New Roman"/>
      <w:color w:val="000000"/>
      <w:sz w:val="21"/>
      <w:szCs w:val="32"/>
    </w:rPr>
  </w:style>
  <w:style w:type="paragraph" w:customStyle="1" w:styleId="52">
    <w:name w:val="样式1-正文"/>
    <w:basedOn w:val="1"/>
    <w:link w:val="51"/>
    <w:qFormat/>
    <w:uiPriority w:val="0"/>
    <w:pPr>
      <w:autoSpaceDE w:val="0"/>
      <w:autoSpaceDN w:val="0"/>
      <w:adjustRightInd w:val="0"/>
      <w:spacing w:line="360" w:lineRule="auto"/>
      <w:ind w:firstLine="600" w:firstLineChars="200"/>
      <w:jc w:val="left"/>
    </w:pPr>
    <w:rPr>
      <w:rFonts w:ascii="Times New Roman" w:hAnsi="Times New Roman" w:eastAsia="仿宋_GB2312"/>
      <w:color w:val="000000"/>
      <w:kern w:val="0"/>
      <w:szCs w:val="32"/>
    </w:rPr>
  </w:style>
  <w:style w:type="character" w:customStyle="1" w:styleId="53">
    <w:name w:val="textcontents"/>
    <w:qFormat/>
    <w:uiPriority w:val="0"/>
    <w:rPr>
      <w:rFonts w:ascii="Times New Roman" w:hAnsi="Times New Roman" w:eastAsia="宋体" w:cs="Times New Roman"/>
    </w:rPr>
  </w:style>
  <w:style w:type="character" w:customStyle="1" w:styleId="54">
    <w:name w:val="标题 2 Char"/>
    <w:link w:val="4"/>
    <w:qFormat/>
    <w:uiPriority w:val="0"/>
    <w:rPr>
      <w:kern w:val="2"/>
      <w:sz w:val="24"/>
      <w:szCs w:val="24"/>
    </w:rPr>
  </w:style>
  <w:style w:type="character" w:customStyle="1" w:styleId="55">
    <w:name w:val="文档结构图 Char"/>
    <w:link w:val="14"/>
    <w:qFormat/>
    <w:uiPriority w:val="0"/>
    <w:rPr>
      <w:rFonts w:ascii="Times New Roman" w:hAnsi="Times New Roman" w:eastAsia="宋体" w:cs="Times New Roman"/>
      <w:szCs w:val="24"/>
      <w:shd w:val="clear" w:color="auto" w:fill="000080"/>
    </w:rPr>
  </w:style>
  <w:style w:type="character" w:customStyle="1" w:styleId="56">
    <w:name w:val="文档结构图 Char1"/>
    <w:qFormat/>
    <w:uiPriority w:val="0"/>
    <w:rPr>
      <w:rFonts w:ascii="宋体" w:hAnsi="Times New Roman" w:eastAsia="宋体" w:cs="Times New Roman"/>
      <w:kern w:val="2"/>
      <w:sz w:val="18"/>
      <w:szCs w:val="18"/>
    </w:rPr>
  </w:style>
  <w:style w:type="character" w:customStyle="1" w:styleId="57">
    <w:name w:val="标题5 Char Char"/>
    <w:link w:val="58"/>
    <w:qFormat/>
    <w:uiPriority w:val="0"/>
    <w:rPr>
      <w:rFonts w:ascii="Arial" w:hAnsi="Arial"/>
      <w:kern w:val="2"/>
      <w:sz w:val="24"/>
      <w:szCs w:val="24"/>
    </w:rPr>
  </w:style>
  <w:style w:type="paragraph" w:customStyle="1" w:styleId="58">
    <w:name w:val="标题5"/>
    <w:basedOn w:val="5"/>
    <w:link w:val="57"/>
    <w:qFormat/>
    <w:uiPriority w:val="0"/>
    <w:rPr>
      <w:rFonts w:ascii="Arial" w:hAnsi="Arial"/>
    </w:rPr>
  </w:style>
  <w:style w:type="character" w:customStyle="1" w:styleId="59">
    <w:name w:val="不明显参考1"/>
    <w:qFormat/>
    <w:uiPriority w:val="0"/>
    <w:rPr>
      <w:rFonts w:ascii="Times New Roman" w:hAnsi="Times New Roman" w:eastAsia="宋体" w:cs="Times New Roman"/>
      <w:smallCaps/>
      <w:color w:val="C0504D"/>
      <w:u w:val="single"/>
    </w:rPr>
  </w:style>
  <w:style w:type="character" w:customStyle="1" w:styleId="60">
    <w:name w:val="标题4 Char Char"/>
    <w:link w:val="61"/>
    <w:qFormat/>
    <w:uiPriority w:val="0"/>
    <w:rPr>
      <w:rFonts w:ascii="Arial" w:hAnsi="Arial"/>
      <w:kern w:val="2"/>
      <w:sz w:val="24"/>
      <w:szCs w:val="24"/>
    </w:rPr>
  </w:style>
  <w:style w:type="paragraph" w:customStyle="1" w:styleId="61">
    <w:name w:val="标题4"/>
    <w:basedOn w:val="4"/>
    <w:next w:val="17"/>
    <w:link w:val="60"/>
    <w:qFormat/>
    <w:uiPriority w:val="0"/>
    <w:rPr>
      <w:rFonts w:ascii="Arial" w:hAnsi="Arial"/>
    </w:rPr>
  </w:style>
  <w:style w:type="character" w:customStyle="1" w:styleId="62">
    <w:name w:val="明显强调1"/>
    <w:qFormat/>
    <w:uiPriority w:val="0"/>
    <w:rPr>
      <w:rFonts w:ascii="Times New Roman" w:hAnsi="Times New Roman" w:eastAsia="宋体" w:cs="Times New Roman"/>
      <w:b/>
      <w:bCs/>
      <w:i/>
      <w:iCs/>
      <w:color w:val="4F81BD"/>
    </w:rPr>
  </w:style>
  <w:style w:type="character" w:customStyle="1" w:styleId="63">
    <w:name w:val="标题 6 Char"/>
    <w:link w:val="8"/>
    <w:qFormat/>
    <w:uiPriority w:val="0"/>
    <w:rPr>
      <w:rFonts w:ascii="Cambria" w:hAnsi="Cambria" w:eastAsia="宋体" w:cs="Times New Roman"/>
      <w:b/>
      <w:bCs/>
      <w:kern w:val="2"/>
      <w:sz w:val="24"/>
      <w:szCs w:val="24"/>
    </w:rPr>
  </w:style>
  <w:style w:type="character" w:customStyle="1" w:styleId="64">
    <w:name w:val="标题 4 Char"/>
    <w:link w:val="6"/>
    <w:qFormat/>
    <w:uiPriority w:val="0"/>
    <w:rPr>
      <w:rFonts w:ascii="Cambria" w:hAnsi="Cambria" w:eastAsia="宋体" w:cs="Times New Roman"/>
      <w:b/>
      <w:bCs/>
      <w:kern w:val="2"/>
      <w:sz w:val="28"/>
      <w:szCs w:val="28"/>
    </w:rPr>
  </w:style>
  <w:style w:type="character" w:customStyle="1" w:styleId="65">
    <w:name w:val="引用 Char"/>
    <w:link w:val="66"/>
    <w:qFormat/>
    <w:uiPriority w:val="0"/>
    <w:rPr>
      <w:rFonts w:ascii="Times New Roman" w:hAnsi="Times New Roman" w:eastAsia="宋体" w:cs="Times New Roman"/>
      <w:i/>
      <w:iCs/>
      <w:color w:val="000000"/>
      <w:kern w:val="2"/>
      <w:sz w:val="21"/>
      <w:szCs w:val="22"/>
    </w:rPr>
  </w:style>
  <w:style w:type="paragraph" w:styleId="66">
    <w:name w:val="Quote"/>
    <w:basedOn w:val="1"/>
    <w:next w:val="1"/>
    <w:link w:val="65"/>
    <w:qFormat/>
    <w:uiPriority w:val="0"/>
    <w:rPr>
      <w:rFonts w:ascii="Times New Roman" w:hAnsi="Times New Roman"/>
      <w:i/>
      <w:iCs/>
      <w:color w:val="000000"/>
    </w:rPr>
  </w:style>
  <w:style w:type="character" w:customStyle="1" w:styleId="67">
    <w:name w:val="样式2-标题1 Char"/>
    <w:link w:val="68"/>
    <w:qFormat/>
    <w:uiPriority w:val="0"/>
    <w:rPr>
      <w:rFonts w:ascii="华文中宋" w:hAnsi="华文中宋" w:eastAsia="华文中宋"/>
      <w:kern w:val="2"/>
      <w:sz w:val="36"/>
      <w:szCs w:val="44"/>
    </w:rPr>
  </w:style>
  <w:style w:type="paragraph" w:customStyle="1" w:styleId="68">
    <w:name w:val="样式2-标题1"/>
    <w:basedOn w:val="5"/>
    <w:link w:val="67"/>
    <w:qFormat/>
    <w:uiPriority w:val="0"/>
    <w:pPr>
      <w:jc w:val="center"/>
      <w:outlineLvl w:val="0"/>
    </w:pPr>
    <w:rPr>
      <w:rFonts w:ascii="华文中宋" w:hAnsi="华文中宋" w:eastAsia="华文中宋"/>
      <w:sz w:val="36"/>
      <w:szCs w:val="44"/>
    </w:rPr>
  </w:style>
  <w:style w:type="character" w:customStyle="1" w:styleId="69">
    <w:name w:val="批注框文本 Char"/>
    <w:link w:val="23"/>
    <w:qFormat/>
    <w:uiPriority w:val="0"/>
    <w:rPr>
      <w:rFonts w:ascii="宋体" w:hAnsi="Times New Roman" w:eastAsia="宋体" w:cs="Times New Roman"/>
      <w:sz w:val="18"/>
      <w:szCs w:val="18"/>
    </w:rPr>
  </w:style>
  <w:style w:type="character" w:customStyle="1" w:styleId="70">
    <w:name w:val="正文文本 Char"/>
    <w:link w:val="16"/>
    <w:qFormat/>
    <w:uiPriority w:val="0"/>
    <w:rPr>
      <w:rFonts w:ascii="Times New Roman" w:hAnsi="Times New Roman" w:eastAsia="宋体" w:cs="Times New Roman"/>
    </w:rPr>
  </w:style>
  <w:style w:type="character" w:customStyle="1" w:styleId="71">
    <w:name w:val="明显参考1"/>
    <w:qFormat/>
    <w:uiPriority w:val="0"/>
    <w:rPr>
      <w:rFonts w:ascii="Times New Roman" w:hAnsi="Times New Roman" w:eastAsia="宋体" w:cs="Times New Roman"/>
      <w:b/>
      <w:bCs/>
      <w:smallCaps/>
      <w:color w:val="C0504D"/>
      <w:spacing w:val="5"/>
      <w:u w:val="single"/>
    </w:rPr>
  </w:style>
  <w:style w:type="character" w:customStyle="1" w:styleId="72">
    <w:name w:val="样式3-标题2 Char"/>
    <w:link w:val="73"/>
    <w:qFormat/>
    <w:uiPriority w:val="0"/>
    <w:rPr>
      <w:rFonts w:ascii="Times New Roman" w:hAnsi="Times New Roman" w:eastAsia="黑体" w:cs="Times New Roman"/>
      <w:bCs/>
      <w:color w:val="000000"/>
      <w:kern w:val="2"/>
      <w:sz w:val="30"/>
      <w:szCs w:val="32"/>
    </w:rPr>
  </w:style>
  <w:style w:type="paragraph" w:customStyle="1" w:styleId="73">
    <w:name w:val="样式3-标题2"/>
    <w:basedOn w:val="6"/>
    <w:link w:val="72"/>
    <w:qFormat/>
    <w:uiPriority w:val="0"/>
    <w:pPr>
      <w:spacing w:before="120" w:after="120" w:line="360" w:lineRule="auto"/>
      <w:outlineLvl w:val="1"/>
    </w:pPr>
    <w:rPr>
      <w:rFonts w:ascii="Times New Roman" w:hAnsi="Times New Roman" w:eastAsia="黑体"/>
      <w:b w:val="0"/>
      <w:color w:val="000000"/>
      <w:sz w:val="30"/>
      <w:szCs w:val="32"/>
    </w:rPr>
  </w:style>
  <w:style w:type="character" w:customStyle="1" w:styleId="74">
    <w:name w:val="样式5-标题4 Char"/>
    <w:link w:val="75"/>
    <w:qFormat/>
    <w:uiPriority w:val="0"/>
    <w:rPr>
      <w:rFonts w:ascii="Times New Roman" w:hAnsi="Times New Roman" w:eastAsia="仿宋_GB2312" w:cs="Times New Roman"/>
      <w:b/>
      <w:color w:val="000000"/>
      <w:sz w:val="21"/>
      <w:szCs w:val="32"/>
    </w:rPr>
  </w:style>
  <w:style w:type="paragraph" w:customStyle="1" w:styleId="75">
    <w:name w:val="样式5-标题4"/>
    <w:basedOn w:val="52"/>
    <w:link w:val="74"/>
    <w:qFormat/>
    <w:uiPriority w:val="0"/>
    <w:pPr>
      <w:ind w:firstLine="200"/>
      <w:outlineLvl w:val="3"/>
    </w:pPr>
    <w:rPr>
      <w:rFonts w:eastAsia="宋体"/>
      <w:b/>
    </w:rPr>
  </w:style>
  <w:style w:type="character" w:customStyle="1" w:styleId="76">
    <w:name w:val="样式4-标题3 Char"/>
    <w:link w:val="77"/>
    <w:qFormat/>
    <w:uiPriority w:val="0"/>
    <w:rPr>
      <w:rFonts w:ascii="Times New Roman" w:hAnsi="Times New Roman" w:eastAsia="黑体" w:cs="Times New Roman"/>
      <w:bCs/>
      <w:color w:val="000000"/>
      <w:kern w:val="2"/>
      <w:sz w:val="24"/>
      <w:szCs w:val="32"/>
    </w:rPr>
  </w:style>
  <w:style w:type="paragraph" w:customStyle="1" w:styleId="77">
    <w:name w:val="样式4-标题3"/>
    <w:basedOn w:val="7"/>
    <w:link w:val="76"/>
    <w:qFormat/>
    <w:uiPriority w:val="0"/>
    <w:pPr>
      <w:spacing w:before="120" w:after="120" w:line="360" w:lineRule="auto"/>
      <w:ind w:firstLine="200" w:firstLineChars="200"/>
      <w:outlineLvl w:val="2"/>
    </w:pPr>
    <w:rPr>
      <w:rFonts w:eastAsia="黑体"/>
      <w:b w:val="0"/>
      <w:color w:val="000000"/>
      <w:sz w:val="24"/>
      <w:szCs w:val="32"/>
    </w:rPr>
  </w:style>
  <w:style w:type="character" w:customStyle="1" w:styleId="78">
    <w:name w:val="标题 Char"/>
    <w:link w:val="35"/>
    <w:qFormat/>
    <w:uiPriority w:val="0"/>
    <w:rPr>
      <w:rFonts w:ascii="Cambria" w:hAnsi="Cambria" w:eastAsia="宋体" w:cs="Times New Roman"/>
      <w:b/>
      <w:bCs/>
      <w:kern w:val="2"/>
      <w:sz w:val="32"/>
      <w:szCs w:val="32"/>
    </w:rPr>
  </w:style>
  <w:style w:type="character" w:customStyle="1" w:styleId="79">
    <w:name w:val="表格文字"/>
    <w:qFormat/>
    <w:uiPriority w:val="0"/>
    <w:rPr>
      <w:rFonts w:ascii="宋体" w:hAnsi="Times New Roman" w:eastAsia="宋体" w:cs="Times New Roman"/>
      <w:sz w:val="18"/>
    </w:rPr>
  </w:style>
  <w:style w:type="character" w:customStyle="1" w:styleId="80">
    <w:name w:val="副标题 Char"/>
    <w:link w:val="28"/>
    <w:qFormat/>
    <w:uiPriority w:val="0"/>
    <w:rPr>
      <w:rFonts w:ascii="Cambria" w:hAnsi="Cambria" w:eastAsia="宋体" w:cs="Times New Roman"/>
      <w:b/>
      <w:bCs/>
      <w:kern w:val="28"/>
      <w:sz w:val="32"/>
      <w:szCs w:val="32"/>
    </w:rPr>
  </w:style>
  <w:style w:type="character" w:customStyle="1" w:styleId="81">
    <w:name w:val="批注文字 Char"/>
    <w:link w:val="15"/>
    <w:qFormat/>
    <w:uiPriority w:val="0"/>
    <w:rPr>
      <w:rFonts w:ascii="Times New Roman" w:hAnsi="Times New Roman" w:eastAsia="宋体" w:cs="Times New Roman"/>
      <w:kern w:val="2"/>
      <w:sz w:val="21"/>
      <w:szCs w:val="22"/>
    </w:rPr>
  </w:style>
  <w:style w:type="character" w:customStyle="1" w:styleId="82">
    <w:name w:val="正文哈哈 Char"/>
    <w:link w:val="83"/>
    <w:qFormat/>
    <w:uiPriority w:val="0"/>
    <w:rPr>
      <w:rFonts w:ascii="宋体" w:hAnsi="宋体" w:eastAsia="楷体_GB2312"/>
      <w:bCs/>
      <w:sz w:val="21"/>
      <w:szCs w:val="28"/>
    </w:rPr>
  </w:style>
  <w:style w:type="paragraph" w:customStyle="1" w:styleId="83">
    <w:name w:val="正文哈哈"/>
    <w:basedOn w:val="1"/>
    <w:link w:val="82"/>
    <w:qFormat/>
    <w:uiPriority w:val="0"/>
    <w:pPr>
      <w:numPr>
        <w:ilvl w:val="0"/>
        <w:numId w:val="3"/>
      </w:numPr>
      <w:adjustRightInd w:val="0"/>
      <w:snapToGrid w:val="0"/>
      <w:spacing w:line="360" w:lineRule="auto"/>
      <w:jc w:val="left"/>
    </w:pPr>
    <w:rPr>
      <w:rFonts w:ascii="宋体" w:hAnsi="宋体" w:eastAsia="楷体_GB2312"/>
      <w:bCs/>
      <w:kern w:val="0"/>
      <w:szCs w:val="28"/>
    </w:rPr>
  </w:style>
  <w:style w:type="character" w:customStyle="1" w:styleId="84">
    <w:name w:val="标题 5 Char"/>
    <w:link w:val="7"/>
    <w:qFormat/>
    <w:uiPriority w:val="0"/>
    <w:rPr>
      <w:rFonts w:ascii="Times New Roman" w:hAnsi="Times New Roman" w:eastAsia="宋体" w:cs="Times New Roman"/>
      <w:b/>
      <w:bCs/>
      <w:kern w:val="2"/>
      <w:sz w:val="28"/>
      <w:szCs w:val="28"/>
    </w:rPr>
  </w:style>
  <w:style w:type="character" w:customStyle="1" w:styleId="85">
    <w:name w:val="书籍标题1"/>
    <w:qFormat/>
    <w:uiPriority w:val="0"/>
    <w:rPr>
      <w:rFonts w:ascii="Times New Roman" w:hAnsi="Times New Roman" w:eastAsia="宋体" w:cs="Times New Roman"/>
      <w:b/>
      <w:bCs/>
      <w:smallCaps/>
      <w:spacing w:val="5"/>
    </w:rPr>
  </w:style>
  <w:style w:type="character" w:customStyle="1" w:styleId="86">
    <w:name w:val="批注主题 Char"/>
    <w:link w:val="36"/>
    <w:qFormat/>
    <w:uiPriority w:val="0"/>
    <w:rPr>
      <w:rFonts w:ascii="宋体" w:hAnsi="Times New Roman" w:eastAsia="宋体" w:cs="Times New Roman"/>
      <w:b/>
      <w:bCs/>
      <w:sz w:val="28"/>
    </w:rPr>
  </w:style>
  <w:style w:type="character" w:customStyle="1" w:styleId="87">
    <w:name w:val="标题 9 Char"/>
    <w:link w:val="11"/>
    <w:qFormat/>
    <w:uiPriority w:val="0"/>
    <w:rPr>
      <w:rFonts w:ascii="Cambria" w:hAnsi="Cambria" w:eastAsia="宋体" w:cs="Times New Roman"/>
      <w:kern w:val="2"/>
      <w:sz w:val="21"/>
      <w:szCs w:val="21"/>
    </w:rPr>
  </w:style>
  <w:style w:type="character" w:customStyle="1" w:styleId="88">
    <w:name w:val="二级标题 Char"/>
    <w:link w:val="89"/>
    <w:qFormat/>
    <w:uiPriority w:val="0"/>
    <w:rPr>
      <w:rFonts w:ascii="楷体" w:hAnsi="楷体" w:eastAsia="楷体"/>
      <w:kern w:val="2"/>
      <w:sz w:val="24"/>
      <w:szCs w:val="24"/>
    </w:rPr>
  </w:style>
  <w:style w:type="paragraph" w:customStyle="1" w:styleId="89">
    <w:name w:val="二级标题"/>
    <w:basedOn w:val="5"/>
    <w:link w:val="88"/>
    <w:qFormat/>
    <w:uiPriority w:val="0"/>
    <w:pPr>
      <w:adjustRightInd w:val="0"/>
      <w:snapToGrid w:val="0"/>
      <w:jc w:val="left"/>
    </w:pPr>
    <w:rPr>
      <w:rFonts w:ascii="楷体" w:hAnsi="楷体" w:eastAsia="楷体"/>
    </w:rPr>
  </w:style>
  <w:style w:type="character" w:customStyle="1" w:styleId="90">
    <w:name w:val="批注文字 Char Char"/>
    <w:qFormat/>
    <w:uiPriority w:val="0"/>
    <w:rPr>
      <w:rFonts w:ascii="宋体" w:hAnsi="Times New Roman" w:eastAsia="宋体" w:cs="Times New Roman"/>
      <w:sz w:val="28"/>
      <w:szCs w:val="20"/>
    </w:rPr>
  </w:style>
  <w:style w:type="character" w:customStyle="1" w:styleId="91">
    <w:name w:val="正文文本 Char1"/>
    <w:qFormat/>
    <w:uiPriority w:val="0"/>
    <w:rPr>
      <w:rFonts w:ascii="Times New Roman" w:hAnsi="Times New Roman" w:eastAsia="宋体" w:cs="Times New Roman"/>
      <w:kern w:val="2"/>
      <w:sz w:val="21"/>
      <w:szCs w:val="22"/>
    </w:rPr>
  </w:style>
  <w:style w:type="character" w:customStyle="1" w:styleId="92">
    <w:name w:val="标题 7 Char"/>
    <w:link w:val="9"/>
    <w:qFormat/>
    <w:uiPriority w:val="0"/>
    <w:rPr>
      <w:rFonts w:ascii="Times New Roman" w:hAnsi="Times New Roman" w:eastAsia="宋体" w:cs="Times New Roman"/>
      <w:b/>
      <w:bCs/>
      <w:kern w:val="2"/>
      <w:sz w:val="24"/>
      <w:szCs w:val="24"/>
    </w:rPr>
  </w:style>
  <w:style w:type="character" w:customStyle="1" w:styleId="93">
    <w:name w:val="批注框文本 Char1"/>
    <w:qFormat/>
    <w:uiPriority w:val="0"/>
    <w:rPr>
      <w:rFonts w:ascii="Times New Roman" w:hAnsi="Times New Roman" w:eastAsia="宋体" w:cs="Times New Roman"/>
      <w:kern w:val="2"/>
      <w:sz w:val="18"/>
      <w:szCs w:val="18"/>
    </w:rPr>
  </w:style>
  <w:style w:type="character" w:customStyle="1" w:styleId="94">
    <w:name w:val="标题 8 Char"/>
    <w:link w:val="10"/>
    <w:qFormat/>
    <w:uiPriority w:val="0"/>
    <w:rPr>
      <w:rFonts w:ascii="Cambria" w:hAnsi="Cambria" w:eastAsia="宋体" w:cs="Times New Roman"/>
      <w:kern w:val="2"/>
      <w:sz w:val="24"/>
      <w:szCs w:val="24"/>
    </w:rPr>
  </w:style>
  <w:style w:type="character" w:customStyle="1" w:styleId="95">
    <w:name w:val="正文文本缩进 2 Char"/>
    <w:link w:val="22"/>
    <w:qFormat/>
    <w:uiPriority w:val="0"/>
    <w:rPr>
      <w:rFonts w:ascii="Times New Roman" w:hAnsi="Times New Roman" w:eastAsia="宋体" w:cs="Times New Roman"/>
      <w:kern w:val="2"/>
      <w:sz w:val="24"/>
    </w:rPr>
  </w:style>
  <w:style w:type="character" w:customStyle="1" w:styleId="96">
    <w:name w:val="页脚 Char"/>
    <w:link w:val="24"/>
    <w:qFormat/>
    <w:uiPriority w:val="99"/>
    <w:rPr>
      <w:rFonts w:ascii="Times New Roman" w:hAnsi="Times New Roman" w:eastAsia="宋体" w:cs="Times New Roman"/>
      <w:kern w:val="2"/>
      <w:sz w:val="18"/>
      <w:szCs w:val="18"/>
    </w:rPr>
  </w:style>
  <w:style w:type="character" w:customStyle="1" w:styleId="97">
    <w:name w:val="日期 Char1"/>
    <w:qFormat/>
    <w:uiPriority w:val="0"/>
    <w:rPr>
      <w:rFonts w:ascii="Times New Roman" w:hAnsi="Times New Roman" w:eastAsia="宋体" w:cs="Times New Roman"/>
      <w:kern w:val="2"/>
      <w:sz w:val="21"/>
      <w:szCs w:val="22"/>
    </w:rPr>
  </w:style>
  <w:style w:type="character" w:customStyle="1" w:styleId="98">
    <w:name w:val="标题 3 Char"/>
    <w:link w:val="5"/>
    <w:qFormat/>
    <w:uiPriority w:val="0"/>
    <w:rPr>
      <w:kern w:val="2"/>
      <w:sz w:val="24"/>
      <w:szCs w:val="24"/>
    </w:rPr>
  </w:style>
  <w:style w:type="character" w:customStyle="1" w:styleId="99">
    <w:name w:val="明显引用 Char"/>
    <w:link w:val="100"/>
    <w:qFormat/>
    <w:uiPriority w:val="0"/>
    <w:rPr>
      <w:rFonts w:ascii="Times New Roman" w:hAnsi="Times New Roman" w:eastAsia="宋体" w:cs="Times New Roman"/>
      <w:b/>
      <w:bCs/>
      <w:i/>
      <w:iCs/>
      <w:color w:val="4F81BD"/>
      <w:kern w:val="2"/>
      <w:sz w:val="21"/>
      <w:szCs w:val="22"/>
    </w:rPr>
  </w:style>
  <w:style w:type="paragraph" w:styleId="100">
    <w:name w:val="Intense Quote"/>
    <w:basedOn w:val="1"/>
    <w:next w:val="1"/>
    <w:link w:val="99"/>
    <w:qFormat/>
    <w:uiPriority w:val="0"/>
    <w:pPr>
      <w:pBdr>
        <w:bottom w:val="single" w:color="4F81BD" w:sz="4" w:space="4"/>
      </w:pBdr>
      <w:spacing w:before="200" w:after="280"/>
      <w:ind w:left="936" w:right="936"/>
    </w:pPr>
    <w:rPr>
      <w:rFonts w:ascii="Times New Roman" w:hAnsi="Times New Roman"/>
      <w:b/>
      <w:bCs/>
      <w:i/>
      <w:iCs/>
      <w:color w:val="4F81BD"/>
    </w:rPr>
  </w:style>
  <w:style w:type="character" w:customStyle="1" w:styleId="101">
    <w:name w:val="批注主题 Char1"/>
    <w:qFormat/>
    <w:uiPriority w:val="0"/>
    <w:rPr>
      <w:rFonts w:ascii="Times New Roman" w:hAnsi="Times New Roman" w:eastAsia="宋体" w:cs="Times New Roman"/>
      <w:b/>
      <w:bCs/>
      <w:kern w:val="2"/>
      <w:sz w:val="21"/>
      <w:szCs w:val="22"/>
    </w:rPr>
  </w:style>
  <w:style w:type="character" w:customStyle="1" w:styleId="102">
    <w:name w:val="标题 1 Char"/>
    <w:qFormat/>
    <w:uiPriority w:val="0"/>
    <w:rPr>
      <w:rFonts w:ascii="Times New Roman" w:hAnsi="Times New Roman" w:eastAsia="宋体" w:cs="Times New Roman"/>
      <w:b/>
      <w:bCs/>
      <w:kern w:val="44"/>
      <w:sz w:val="32"/>
      <w:szCs w:val="32"/>
    </w:rPr>
  </w:style>
  <w:style w:type="paragraph" w:customStyle="1" w:styleId="103">
    <w:name w:val="样式 标题 3 + (中文) 黑体 小四 非加粗 段前: 7.8 磅 段后: 0 磅 行距: 固定值 20 磅"/>
    <w:basedOn w:val="5"/>
    <w:qFormat/>
    <w:uiPriority w:val="0"/>
    <w:pPr>
      <w:spacing w:line="400" w:lineRule="exact"/>
    </w:pPr>
    <w:rPr>
      <w:rFonts w:eastAsia="黑体" w:cs="宋体"/>
      <w:szCs w:val="20"/>
    </w:rPr>
  </w:style>
  <w:style w:type="paragraph" w:customStyle="1" w:styleId="104">
    <w:name w:val="列出段落12"/>
    <w:basedOn w:val="1"/>
    <w:qFormat/>
    <w:uiPriority w:val="0"/>
    <w:pPr>
      <w:ind w:firstLine="420" w:firstLineChars="200"/>
    </w:pPr>
    <w:rPr>
      <w:rFonts w:ascii="Times New Roman" w:hAnsi="Times New Roman"/>
    </w:rPr>
  </w:style>
  <w:style w:type="paragraph" w:customStyle="1" w:styleId="105">
    <w:name w:val="智慧工地--【条文说明】"/>
    <w:basedOn w:val="1"/>
    <w:next w:val="1"/>
    <w:qFormat/>
    <w:uiPriority w:val="0"/>
    <w:pPr>
      <w:spacing w:line="360" w:lineRule="auto"/>
    </w:pPr>
    <w:rPr>
      <w:rFonts w:ascii="Times New Roman" w:hAnsi="Times New Roman"/>
      <w:i/>
      <w:szCs w:val="24"/>
    </w:rPr>
  </w:style>
  <w:style w:type="paragraph" w:customStyle="1" w:styleId="106">
    <w:name w:val="1"/>
    <w:basedOn w:val="1"/>
    <w:next w:val="107"/>
    <w:qFormat/>
    <w:uiPriority w:val="0"/>
    <w:pPr>
      <w:spacing w:line="360" w:lineRule="auto"/>
      <w:ind w:firstLine="420" w:firstLineChars="200"/>
    </w:pPr>
    <w:rPr>
      <w:rFonts w:ascii="Times New Roman" w:hAnsi="Times New Roman"/>
      <w:szCs w:val="24"/>
    </w:rPr>
  </w:style>
  <w:style w:type="paragraph" w:styleId="107">
    <w:name w:val="List Paragraph"/>
    <w:basedOn w:val="1"/>
    <w:qFormat/>
    <w:uiPriority w:val="99"/>
    <w:pPr>
      <w:ind w:firstLine="420" w:firstLineChars="200"/>
    </w:pPr>
    <w:rPr>
      <w:rFonts w:ascii="Times New Roman" w:hAnsi="Times New Roman"/>
    </w:rPr>
  </w:style>
  <w:style w:type="paragraph" w:customStyle="1" w:styleId="108">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109">
    <w:name w:val="修订1"/>
    <w:qFormat/>
    <w:uiPriority w:val="0"/>
    <w:rPr>
      <w:rFonts w:ascii="Calibri" w:hAnsi="Calibri" w:eastAsia="宋体" w:cs="Times New Roman"/>
      <w:kern w:val="2"/>
      <w:sz w:val="21"/>
      <w:szCs w:val="24"/>
      <w:lang w:val="en-US" w:eastAsia="zh-CN" w:bidi="ar-SA"/>
    </w:rPr>
  </w:style>
  <w:style w:type="paragraph" w:customStyle="1" w:styleId="110">
    <w:name w:val="TOC 标题1"/>
    <w:basedOn w:val="3"/>
    <w:next w:val="1"/>
    <w:qFormat/>
    <w:uiPriority w:val="0"/>
    <w:pPr>
      <w:outlineLvl w:val="9"/>
    </w:pPr>
  </w:style>
  <w:style w:type="paragraph" w:customStyle="1" w:styleId="111">
    <w:name w:val="样式 标题 2 + Times New Roman 四号 非加粗 段前: 5 磅 段后: 0 磅 行距: 固定值 20..."/>
    <w:basedOn w:val="4"/>
    <w:qFormat/>
    <w:uiPriority w:val="0"/>
    <w:pPr>
      <w:spacing w:before="100" w:line="400" w:lineRule="exact"/>
    </w:pPr>
    <w:rPr>
      <w:rFonts w:eastAsia="黑体" w:cs="宋体"/>
      <w:kern w:val="0"/>
      <w:sz w:val="28"/>
      <w:szCs w:val="20"/>
    </w:rPr>
  </w:style>
  <w:style w:type="paragraph" w:styleId="11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4">
    <w:name w:val="居中 ctrl+m"/>
    <w:basedOn w:val="1"/>
    <w:qFormat/>
    <w:uiPriority w:val="0"/>
    <w:pPr>
      <w:widowControl/>
      <w:adjustRightInd w:val="0"/>
      <w:snapToGrid w:val="0"/>
      <w:spacing w:line="360" w:lineRule="auto"/>
      <w:jc w:val="center"/>
    </w:pPr>
    <w:rPr>
      <w:rFonts w:ascii="宋体" w:cs="宋体"/>
      <w:szCs w:val="20"/>
    </w:rPr>
  </w:style>
  <w:style w:type="paragraph" w:customStyle="1" w:styleId="115">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116">
    <w:name w:val="样式 正文缩进正文（首行缩进两字）正文（首行缩进两字） Char Char2正文（首行缩进两字） Char Char Ch..."/>
    <w:basedOn w:val="2"/>
    <w:qFormat/>
    <w:uiPriority w:val="0"/>
    <w:pPr>
      <w:snapToGrid w:val="0"/>
      <w:spacing w:line="480" w:lineRule="auto"/>
      <w:ind w:firstLine="437"/>
    </w:pPr>
    <w:rPr>
      <w:rFonts w:ascii="宋体" w:hAnsi="宋体"/>
    </w:rPr>
  </w:style>
  <w:style w:type="table" w:customStyle="1" w:styleId="117">
    <w:name w:val="网格型1"/>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8">
    <w:name w:val="样式1"/>
    <w:basedOn w:val="1"/>
    <w:next w:val="1"/>
    <w:qFormat/>
    <w:uiPriority w:val="0"/>
    <w:pPr>
      <w:keepNext/>
      <w:keepLines/>
      <w:spacing w:before="340" w:after="330"/>
      <w:jc w:val="center"/>
      <w:outlineLvl w:val="0"/>
    </w:pPr>
    <w:rPr>
      <w:rFonts w:hint="eastAsia" w:ascii="宋体" w:hAnsi="宋体"/>
      <w:b/>
      <w:bCs/>
      <w:color w:val="000000"/>
      <w:kern w:val="44"/>
      <w:sz w:val="32"/>
      <w:szCs w:val="32"/>
      <w:lang w:val="zh-CN"/>
    </w:rPr>
  </w:style>
  <w:style w:type="paragraph" w:customStyle="1" w:styleId="119">
    <w:name w:val="修订2"/>
    <w:hidden/>
    <w:semiHidden/>
    <w:qFormat/>
    <w:uiPriority w:val="99"/>
    <w:rPr>
      <w:rFonts w:ascii="Calibri" w:hAnsi="Calibri" w:eastAsia="宋体" w:cs="Times New Roman"/>
      <w:kern w:val="2"/>
      <w:sz w:val="21"/>
      <w:szCs w:val="22"/>
      <w:lang w:val="en-US" w:eastAsia="zh-CN" w:bidi="ar-SA"/>
    </w:rPr>
  </w:style>
  <w:style w:type="paragraph" w:customStyle="1" w:styleId="120">
    <w:name w:val="修订3"/>
    <w:hidden/>
    <w:semiHidden/>
    <w:qFormat/>
    <w:uiPriority w:val="99"/>
    <w:rPr>
      <w:rFonts w:ascii="Calibri" w:hAnsi="Calibri" w:eastAsia="宋体" w:cs="Times New Roman"/>
      <w:kern w:val="2"/>
      <w:sz w:val="21"/>
      <w:szCs w:val="22"/>
      <w:lang w:val="en-US" w:eastAsia="zh-CN" w:bidi="ar-SA"/>
    </w:rPr>
  </w:style>
  <w:style w:type="paragraph" w:customStyle="1" w:styleId="121">
    <w:name w:val="修订4"/>
    <w:hidden/>
    <w:unhideWhenUsed/>
    <w:qFormat/>
    <w:uiPriority w:val="99"/>
    <w:rPr>
      <w:rFonts w:ascii="Calibri" w:hAnsi="Calibri" w:eastAsia="宋体" w:cs="Times New Roman"/>
      <w:kern w:val="2"/>
      <w:sz w:val="21"/>
      <w:szCs w:val="22"/>
      <w:lang w:val="en-US" w:eastAsia="zh-CN" w:bidi="ar-SA"/>
    </w:rPr>
  </w:style>
  <w:style w:type="paragraph" w:customStyle="1" w:styleId="122">
    <w:name w:val="修订5"/>
    <w:hidden/>
    <w:semiHidden/>
    <w:qFormat/>
    <w:uiPriority w:val="99"/>
    <w:rPr>
      <w:rFonts w:ascii="Calibri" w:hAnsi="Calibri" w:eastAsia="宋体" w:cs="Times New Roman"/>
      <w:kern w:val="2"/>
      <w:sz w:val="21"/>
      <w:szCs w:val="22"/>
      <w:lang w:val="en-US" w:eastAsia="zh-CN" w:bidi="ar-SA"/>
    </w:rPr>
  </w:style>
  <w:style w:type="character" w:customStyle="1" w:styleId="123">
    <w:name w:val="标题 1 Char1"/>
    <w:link w:val="3"/>
    <w:qFormat/>
    <w:uiPriority w:val="0"/>
    <w:rPr>
      <w:rFonts w:ascii="Times New Roman" w:hAnsi="Times New Roman" w:eastAsia="宋体" w:cs="Times New Roman"/>
      <w:b/>
      <w:bCs/>
      <w:kern w:val="44"/>
      <w:sz w:val="32"/>
      <w:szCs w:val="32"/>
    </w:rPr>
  </w:style>
  <w:style w:type="character" w:customStyle="1" w:styleId="124">
    <w:name w:val="标题 1 字符"/>
    <w:link w:val="3"/>
    <w:qFormat/>
    <w:uiPriority w:val="0"/>
    <w:rPr>
      <w:rFonts w:ascii="Times New Roman" w:hAnsi="Times New Roman" w:eastAsia="宋体" w:cs="Times New Roman"/>
      <w:b/>
      <w:bCs/>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40591-B1FB-47AF-8B5B-0CF78760430B}">
  <ds:schemaRefs/>
</ds:datastoreItem>
</file>

<file path=docProps/app.xml><?xml version="1.0" encoding="utf-8"?>
<Properties xmlns="http://schemas.openxmlformats.org/officeDocument/2006/extended-properties" xmlns:vt="http://schemas.openxmlformats.org/officeDocument/2006/docPropsVTypes">
  <Template>Normal</Template>
  <Pages>189</Pages>
  <Words>131051</Words>
  <Characters>135893</Characters>
  <Lines>1004</Lines>
  <Paragraphs>282</Paragraphs>
  <TotalTime>13</TotalTime>
  <ScaleCrop>false</ScaleCrop>
  <LinksUpToDate>false</LinksUpToDate>
  <CharactersWithSpaces>137244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2021-12-24T07:28:00Z</dcterms:created>
  <dc:creator>粤海置地法务部李德信</dc:creator>
  <cp:lastModifiedBy>薛工</cp:lastModifiedBy>
  <cp:lastPrinted>2022-05-23T13:58:00Z</cp:lastPrinted>
  <dcterms:modified xsi:type="dcterms:W3CDTF">2023-05-05T13:10:53Z</dcterms:modified>
  <dc:title>建设工程施工合同</dc:title>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2867D430A9924E7089876705C897C7FE</vt:lpwstr>
  </property>
  <property fmtid="{D5CDD505-2E9C-101B-9397-08002B2CF9AE}" pid="4" name="commondata">
    <vt:lpwstr>eyJoZGlkIjoiMmE0ZjA0NzJkYmQ5YzA3NmU2NjA5MWEyYmIxMGMzNjIifQ==</vt:lpwstr>
  </property>
</Properties>
</file>