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24"/>
          <w:szCs w:val="24"/>
          <w:highlight w:val="none"/>
          <w:u w:val="single"/>
        </w:rPr>
      </w:pPr>
    </w:p>
    <w:p>
      <w:pPr>
        <w:widowControl/>
        <w:snapToGrid w:val="0"/>
        <w:spacing w:line="480" w:lineRule="auto"/>
        <w:ind w:right="1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left="359" w:leftChars="171"/>
        <w:jc w:val="left"/>
        <w:rPr>
          <w:rFonts w:hint="eastAsia" w:ascii="宋体" w:hAnsi="宋体" w:eastAsia="宋体" w:cs="宋体"/>
          <w:b/>
          <w:bCs/>
          <w:color w:val="auto"/>
          <w:spacing w:val="40"/>
          <w:sz w:val="44"/>
          <w:szCs w:val="44"/>
          <w:highlight w:val="none"/>
        </w:rPr>
      </w:pPr>
    </w:p>
    <w:p>
      <w:pPr>
        <w:spacing w:line="360" w:lineRule="auto"/>
        <w:jc w:val="center"/>
        <w:rPr>
          <w:rFonts w:hint="eastAsia" w:ascii="宋体" w:hAnsi="宋体" w:eastAsia="宋体" w:cs="宋体"/>
          <w:b/>
          <w:bCs/>
          <w:shadow/>
          <w:color w:val="auto"/>
          <w:spacing w:val="26"/>
          <w:sz w:val="84"/>
          <w:szCs w:val="84"/>
          <w:highlight w:val="none"/>
          <w:lang w:eastAsia="zh-CN"/>
        </w:rPr>
      </w:pPr>
      <w:r>
        <w:rPr>
          <w:rFonts w:hint="eastAsia" w:ascii="宋体" w:hAnsi="宋体" w:eastAsia="宋体" w:cs="宋体"/>
          <w:b/>
          <w:bCs/>
          <w:shadow/>
          <w:color w:val="auto"/>
          <w:spacing w:val="26"/>
          <w:sz w:val="84"/>
          <w:szCs w:val="84"/>
          <w:highlight w:val="none"/>
          <w:lang w:eastAsia="zh-CN"/>
        </w:rPr>
        <w:t>南沙渔业产业园美丽渔场创建项目施工</w:t>
      </w:r>
    </w:p>
    <w:p>
      <w:pPr>
        <w:pStyle w:val="2"/>
        <w:rPr>
          <w:rFonts w:hint="eastAsia" w:ascii="宋体" w:hAnsi="宋体" w:eastAsia="宋体" w:cs="宋体"/>
          <w:b/>
          <w:bCs/>
          <w:color w:val="auto"/>
          <w:sz w:val="52"/>
          <w:szCs w:val="52"/>
          <w:highlight w:val="none"/>
          <w:lang w:eastAsia="zh-CN"/>
        </w:rPr>
      </w:pPr>
    </w:p>
    <w:p>
      <w:pPr>
        <w:pStyle w:val="2"/>
        <w:rPr>
          <w:rFonts w:hint="eastAsia" w:ascii="宋体" w:hAnsi="宋体" w:eastAsia="宋体" w:cs="宋体"/>
          <w:b/>
          <w:bCs/>
          <w:color w:val="auto"/>
          <w:sz w:val="52"/>
          <w:szCs w:val="52"/>
          <w:highlight w:val="none"/>
          <w:lang w:eastAsia="zh-CN"/>
        </w:rPr>
      </w:pPr>
    </w:p>
    <w:p>
      <w:pPr>
        <w:pStyle w:val="2"/>
        <w:rPr>
          <w:rFonts w:hint="eastAsia" w:ascii="宋体" w:hAnsi="宋体" w:eastAsia="宋体" w:cs="宋体"/>
          <w:b/>
          <w:bCs/>
          <w:color w:val="auto"/>
          <w:sz w:val="52"/>
          <w:szCs w:val="52"/>
          <w:highlight w:val="none"/>
          <w:lang w:eastAsia="zh-CN"/>
        </w:rPr>
      </w:pPr>
    </w:p>
    <w:p>
      <w:pPr>
        <w:spacing w:line="360" w:lineRule="auto"/>
        <w:jc w:val="center"/>
        <w:rPr>
          <w:rFonts w:hint="eastAsia" w:ascii="宋体" w:hAnsi="宋体" w:eastAsia="宋体" w:cs="宋体"/>
          <w:b/>
          <w:bCs/>
          <w:shadow/>
          <w:color w:val="auto"/>
          <w:spacing w:val="26"/>
          <w:sz w:val="84"/>
          <w:szCs w:val="84"/>
          <w:highlight w:val="none"/>
        </w:rPr>
      </w:pPr>
      <w:r>
        <w:rPr>
          <w:rFonts w:hint="eastAsia" w:ascii="宋体" w:hAnsi="宋体" w:eastAsia="宋体" w:cs="宋体"/>
          <w:b/>
          <w:bCs/>
          <w:shadow/>
          <w:color w:val="auto"/>
          <w:spacing w:val="26"/>
          <w:sz w:val="84"/>
          <w:szCs w:val="84"/>
          <w:highlight w:val="none"/>
        </w:rPr>
        <w:t>招标文件</w:t>
      </w:r>
    </w:p>
    <w:p>
      <w:pPr>
        <w:spacing w:line="360" w:lineRule="auto"/>
        <w:jc w:val="center"/>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ind w:left="0" w:leftChars="0" w:firstLine="949" w:firstLineChars="315"/>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招</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标</w:t>
      </w:r>
      <w:r>
        <w:rPr>
          <w:rFonts w:hint="eastAsia" w:ascii="宋体" w:hAnsi="宋体" w:cs="宋体"/>
          <w:b/>
          <w:bCs/>
          <w:color w:val="auto"/>
          <w:sz w:val="30"/>
          <w:szCs w:val="30"/>
          <w:highlight w:val="none"/>
          <w:lang w:val="en-US" w:eastAsia="zh-CN"/>
        </w:rPr>
        <w:t xml:space="preserve"> </w:t>
      </w:r>
      <w:bookmarkStart w:id="55" w:name="_GoBack"/>
      <w:bookmarkEnd w:id="55"/>
      <w:r>
        <w:rPr>
          <w:rFonts w:hint="eastAsia" w:ascii="宋体" w:hAnsi="宋体" w:cs="宋体"/>
          <w:b/>
          <w:bCs/>
          <w:color w:val="auto"/>
          <w:sz w:val="30"/>
          <w:szCs w:val="30"/>
          <w:highlight w:val="none"/>
          <w:lang w:val="en-US" w:eastAsia="zh-CN"/>
        </w:rPr>
        <w:t xml:space="preserve">  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lang w:eastAsia="zh-CN"/>
        </w:rPr>
        <w:t>广州南沙渔业产业园有限公司</w:t>
      </w:r>
    </w:p>
    <w:p>
      <w:pPr>
        <w:spacing w:line="360" w:lineRule="auto"/>
        <w:ind w:left="0" w:leftChars="0" w:firstLine="949" w:firstLineChars="315"/>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招标代理单位：</w:t>
      </w:r>
      <w:r>
        <w:rPr>
          <w:rFonts w:hint="eastAsia" w:ascii="宋体" w:hAnsi="宋体" w:eastAsia="宋体" w:cs="宋体"/>
          <w:b/>
          <w:bCs/>
          <w:color w:val="auto"/>
          <w:sz w:val="30"/>
          <w:szCs w:val="30"/>
          <w:highlight w:val="none"/>
          <w:u w:val="single"/>
          <w:lang w:eastAsia="zh-CN"/>
        </w:rPr>
        <w:t>广东公信招标有限公司</w:t>
      </w:r>
    </w:p>
    <w:p>
      <w:pPr>
        <w:spacing w:line="360" w:lineRule="auto"/>
        <w:ind w:firstLine="945"/>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日        期：</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2023</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年</w:t>
      </w:r>
      <w:r>
        <w:rPr>
          <w:rFonts w:hint="eastAsia" w:ascii="宋体" w:hAnsi="宋体" w:eastAsia="宋体" w:cs="宋体"/>
          <w:b/>
          <w:bCs/>
          <w:color w:val="auto"/>
          <w:sz w:val="32"/>
          <w:highlight w:val="none"/>
          <w:u w:val="single"/>
        </w:rPr>
        <w:t xml:space="preserve"> </w:t>
      </w:r>
      <w:r>
        <w:rPr>
          <w:rFonts w:hint="eastAsia" w:ascii="宋体" w:hAnsi="宋体" w:cs="宋体"/>
          <w:b/>
          <w:bCs/>
          <w:color w:val="auto"/>
          <w:sz w:val="32"/>
          <w:highlight w:val="none"/>
          <w:u w:val="single"/>
          <w:lang w:val="en-US" w:eastAsia="zh-CN"/>
        </w:rPr>
        <w:t>5</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月</w:t>
      </w:r>
    </w:p>
    <w:p>
      <w:pPr>
        <w:jc w:val="center"/>
        <w:rPr>
          <w:rStyle w:val="42"/>
          <w:rFonts w:hint="eastAsia" w:ascii="宋体" w:hAnsi="宋体" w:eastAsia="宋体"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center"/>
        <w:rPr>
          <w:rFonts w:hint="eastAsia" w:ascii="宋体" w:hAnsi="宋体" w:eastAsia="宋体" w:cs="宋体"/>
          <w:b/>
          <w:caps/>
          <w:color w:val="auto"/>
          <w:kern w:val="0"/>
          <w:highlight w:val="none"/>
        </w:rPr>
      </w:pPr>
      <w:r>
        <w:rPr>
          <w:rStyle w:val="42"/>
          <w:rFonts w:hint="eastAsia" w:ascii="宋体" w:hAnsi="宋体" w:eastAsia="宋体" w:cs="宋体"/>
          <w:b/>
          <w:bCs/>
          <w:color w:val="auto"/>
          <w:sz w:val="28"/>
          <w:szCs w:val="28"/>
          <w:highlight w:val="none"/>
        </w:rPr>
        <w:t>目录</w:t>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"_Toc21525489"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第一章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"_Toc21525490"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"_Toc21525491"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"_Toc21525492"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"_Toc21525493"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"_Toc21525494"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"_Toc21525495"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"_Toc21525496"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（四）投标文件的提交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"_Toc21525497"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（五）开标、评标、定标及合同签定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"_Toc21525498"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"_Toc21525499"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"_Toc21525500"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二、开标、评标及定标办法通用条款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"_Toc21525501"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"_Toc21525502"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（二）开标评标办法程序和细则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0"/>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"_Toc21525509"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可选办法七（适合综合评分法四，技术标与经济标同时开启）</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"_Toc21525511"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"_Toc21525512"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"_Toc21525513"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第五章  技术条件（工程建设标准）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"_Toc21525514"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第六章  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"_Toc21525515"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第七章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"_Toc21525516"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第八章  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Start w:id="0" w:name="_Toc2272545"/>
      <w:bookmarkStart w:id="1" w:name="_Toc21525489"/>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w:t>第一章  投标须知</w:t>
      </w:r>
      <w:bookmarkEnd w:id="0"/>
      <w:bookmarkEnd w:id="1"/>
    </w:p>
    <w:p>
      <w:pPr>
        <w:pStyle w:val="7"/>
        <w:rPr>
          <w:rFonts w:hint="eastAsia" w:ascii="宋体" w:hAnsi="宋体" w:eastAsia="宋体" w:cs="宋体"/>
          <w:color w:val="auto"/>
          <w:highlight w:val="none"/>
        </w:rPr>
      </w:pPr>
      <w:bookmarkStart w:id="2" w:name="_Toc2272546"/>
      <w:bookmarkStart w:id="3" w:name="_Toc21525490"/>
      <w:r>
        <w:rPr>
          <w:rFonts w:hint="eastAsia" w:ascii="宋体" w:hAnsi="宋体" w:eastAsia="宋体" w:cs="宋体"/>
          <w:color w:val="auto"/>
          <w:highlight w:val="none"/>
        </w:rPr>
        <w:t>一、投标须知前附表</w:t>
      </w:r>
      <w:bookmarkEnd w:id="2"/>
      <w:bookmarkEnd w:id="3"/>
    </w:p>
    <w:p>
      <w:pPr>
        <w:pStyle w:val="10"/>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声明：本投标须知前附表使用GZZB2018-3</w:t>
      </w:r>
      <w:r>
        <w:rPr>
          <w:rFonts w:hint="eastAsia" w:ascii="宋体" w:hAnsi="宋体" w:eastAsia="宋体" w:cs="宋体"/>
          <w:b/>
          <w:color w:val="auto"/>
          <w:sz w:val="24"/>
          <w:szCs w:val="24"/>
          <w:highlight w:val="none"/>
          <w:u w:val="single"/>
        </w:rPr>
        <w:t>（2022年3月修订）</w:t>
      </w:r>
      <w:r>
        <w:rPr>
          <w:rFonts w:hint="eastAsia" w:ascii="宋体" w:hAnsi="宋体" w:eastAsia="宋体" w:cs="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044"/>
        <w:gridCol w:w="1927"/>
        <w:gridCol w:w="62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375" w:type="pct"/>
            <w:tcBorders>
              <w:top w:val="doub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24" w:type="pct"/>
            <w:tcBorders>
              <w:top w:val="doub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967" w:type="pct"/>
            <w:tcBorders>
              <w:top w:val="doub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3132" w:type="pct"/>
            <w:tcBorders>
              <w:top w:val="double" w:color="auto" w:sz="4" w:space="0"/>
              <w:left w:val="single" w:color="auto" w:sz="4" w:space="0"/>
              <w:bottom w:val="single" w:color="auto" w:sz="4" w:space="0"/>
              <w:right w:val="double" w:color="auto" w:sz="4" w:space="0"/>
            </w:tcBorders>
            <w:vAlign w:val="center"/>
          </w:tcPr>
          <w:p>
            <w:pPr>
              <w:pStyle w:val="21"/>
              <w:spacing w:line="360" w:lineRule="auto"/>
              <w:ind w:firstLine="45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招标人（即发包人）：</w:t>
            </w:r>
            <w:r>
              <w:rPr>
                <w:rFonts w:hint="eastAsia" w:ascii="宋体" w:hAnsi="宋体" w:eastAsia="宋体" w:cs="宋体"/>
                <w:color w:val="auto"/>
                <w:highlight w:val="none"/>
                <w:u w:val="single"/>
                <w:lang w:eastAsia="zh-CN"/>
              </w:rPr>
              <w:t>广州南沙渔业产业园有限公司</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项目建设管理单位：</w:t>
            </w:r>
            <w:r>
              <w:rPr>
                <w:rFonts w:hint="eastAsia" w:ascii="宋体" w:hAnsi="宋体" w:eastAsia="宋体" w:cs="宋体"/>
                <w:color w:val="auto"/>
                <w:szCs w:val="21"/>
                <w:highlight w:val="none"/>
                <w:u w:val="single"/>
              </w:rPr>
              <w:t>广州南沙市政工程有限公司</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w:t>
            </w:r>
            <w:r>
              <w:rPr>
                <w:rFonts w:hint="eastAsia" w:ascii="宋体" w:hAnsi="宋体" w:eastAsia="宋体" w:cs="宋体"/>
                <w:color w:val="auto"/>
                <w:highlight w:val="none"/>
                <w:u w:val="single"/>
                <w:lang w:eastAsia="zh-CN"/>
              </w:rPr>
              <w:t>广东公信招标有限公司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rPr>
              <w:t>广州园林建筑规划设计研究总院有限公司</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lang w:eastAsia="zh-CN"/>
              </w:rPr>
              <w:t>南沙渔业产业园美丽渔场创建项目施工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highlight w:val="none"/>
              </w:rPr>
              <w:t>详见本工程招标公告</w:t>
            </w:r>
            <w:r>
              <w:rPr>
                <w:rFonts w:hint="eastAsia" w:ascii="宋体" w:hAnsi="宋体" w:cs="宋体"/>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highlight w:val="none"/>
              </w:rPr>
              <w:t>详见本工程招标公告</w:t>
            </w:r>
            <w:r>
              <w:rPr>
                <w:rFonts w:hint="eastAsia" w:ascii="宋体" w:hAnsi="宋体" w:cs="宋体"/>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工、包料、包工期、包质量、包安全生产、包文明施工、包劳保、包验收、包保修。工程量清单计价，综合单价包干、措施项目费包干，工程量按实结算。包承包范围内工程验收通过、包移交、包结算、包资料整理、包施工承包管理和现场整体组织、包专业协调及配合等，完工验收、结算、保修、竣工验收等。综合单价包干及绿色安全文明施工费总价包干，工程量按实结算，合同最终结算价按照审核核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lang w:eastAsia="zh-CN"/>
              </w:rPr>
              <w:t>合格。</w:t>
            </w:r>
            <w:r>
              <w:rPr>
                <w:rFonts w:hint="eastAsia" w:ascii="宋体" w:hAnsi="宋体" w:eastAsia="宋体" w:cs="宋体"/>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 xml:space="preserve">详见本工程招标公告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日计划开工，施工总期：</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日历天。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58"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10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万元人民币，缴纳时间在递交投标文件截止时间之前。</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1.投标保证金可采用现金、支票、银行保函、保证保险或专业担保公司等方式。</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 如采用现金或者支票形式提交的，投标保证金从投标人基本账户递交，由广州公共资源交易中心代收。缴纳情况以开标时广州公共资源交易中心网站查询为准。（投标担保的相关事宜详见招标文件16款。具体操作步骤参见广州公共资源交易中心最新的投标保证金缴纳操作流程）</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3.如采用银行保函、保证保险或专业担保公司担保形式提交的，需开具给招标人（保险受益人须为招标人）。</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3.1若以交易系统支持的电子形式递交的（具体操作要求详见广州公共资源交易中心有关指引，递交事宜请自行咨询交易中心），到账情况以开标时广州公共资源交易中心数据库查询的信息为准。</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若以纸质形式递交的，开标前不强制要求投标人提交纸质原件，由中标候选人在中标候选人公示前提交并在网上公示，但投标人应在投标文件中提交投标保函、投标保证保险或专业担保公司担保扫描件并加盖投标人印章。如投标人选择在开标前提交纸质原件的，可在投标截止时间前单独密封递交至开标室（时间及地点同递交投标文件的时间及地点）。</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为减轻中小企业资金占用压力，投标人为中小企业的（包括中型、小型和微型企业；若联合体投标的，联合体各方均应为中型、小型和微型企业），可免交本项目投标保证金。依据《关于印发中小企业划型标准规定的通知》（工信部联企业〔2011〕300 号），投标人需自行查询企业划型，查询结果以（http://202.106.120.146/baosong/appweb/orgScale.html）网址查询结果为准。网页截图（截图需包含网址信息）和《中小企业声明函》、《关于投标保证金的承诺》（详见投标文件格式）。没有提供上述证明材料不免予缴纳投标保证金。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开标时投标人没有按要求提供投标保证金的，其投标文件将被否决。</w:t>
            </w:r>
          </w:p>
          <w:p>
            <w:pPr>
              <w:spacing w:line="360" w:lineRule="auto"/>
              <w:rPr>
                <w:rFonts w:hint="eastAsia" w:eastAsia="宋体"/>
                <w:color w:val="auto"/>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 xml:space="preserve">投标保证金依据法律法规的相关规定退还。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132" w:type="pct"/>
            <w:tcBorders>
              <w:top w:val="single" w:color="auto" w:sz="4" w:space="0"/>
              <w:left w:val="single" w:color="auto" w:sz="4" w:space="0"/>
              <w:bottom w:val="single" w:color="auto" w:sz="4" w:space="0"/>
              <w:right w:val="double" w:color="auto" w:sz="4" w:space="0"/>
            </w:tcBorders>
            <w:vAlign w:val="center"/>
          </w:tcPr>
          <w:p>
            <w:pPr>
              <w:pStyle w:val="2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自行踏勘，投标人不进行踏勘的，视为已熟知现场条件，自行承担相关风险。  </w:t>
            </w:r>
            <w:r>
              <w:rPr>
                <w:rFonts w:hint="eastAsia" w:ascii="宋体" w:hAnsi="宋体" w:eastAsia="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highlight w:val="none"/>
                <w:u w:val="single"/>
              </w:rPr>
              <w:t>广州公共资源交易中心交易平台</w:t>
            </w:r>
            <w:r>
              <w:rPr>
                <w:rFonts w:hint="eastAsia" w:ascii="宋体" w:hAnsi="宋体" w:eastAsia="宋体" w:cs="宋体"/>
                <w:color w:val="auto"/>
                <w:szCs w:val="21"/>
                <w:highlight w:val="none"/>
              </w:rPr>
              <w:t>提交。</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具体要求：按照交易平台关于全流程电子化项目的相关指南进行操作，详见：</w:t>
            </w:r>
            <w:r>
              <w:rPr>
                <w:rFonts w:hint="eastAsia" w:ascii="宋体" w:hAnsi="宋体" w:eastAsia="宋体" w:cs="宋体"/>
                <w:color w:val="auto"/>
                <w:szCs w:val="21"/>
                <w:highlight w:val="none"/>
                <w:u w:val="single"/>
              </w:rPr>
              <w:t>【房屋建筑和市政基础设施工程全流程电子化项目专章（适用于投标人）】</w:t>
            </w:r>
            <w:r>
              <w:rPr>
                <w:rFonts w:hint="eastAsia" w:ascii="宋体" w:hAnsi="宋体" w:eastAsia="宋体" w:cs="宋体"/>
                <w:color w:val="auto"/>
                <w:szCs w:val="21"/>
                <w:highlight w:val="none"/>
              </w:rPr>
              <w:t>。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1、开标开始时间：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single"/>
                <w:lang w:val="en-US" w:eastAsia="zh-CN"/>
              </w:rPr>
              <w:t>南沙</w:t>
            </w:r>
            <w:r>
              <w:rPr>
                <w:rFonts w:hint="eastAsia" w:ascii="宋体" w:hAnsi="宋体" w:cs="宋体"/>
                <w:color w:val="auto"/>
                <w:szCs w:val="21"/>
                <w:highlight w:val="none"/>
                <w:u w:val="single"/>
              </w:rPr>
              <w:t>交易部   开标室</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注：投标文件解密问题。投标人只用执行一次解密，招标人执行解密次数根据招标文件开标次数确定。</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2、递交投标文件备用光盘时间：</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分；递交地点：</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single"/>
                <w:lang w:val="en-US" w:eastAsia="zh-CN"/>
              </w:rPr>
              <w:t>南沙</w:t>
            </w:r>
            <w:r>
              <w:rPr>
                <w:rFonts w:hint="eastAsia" w:ascii="宋体" w:hAnsi="宋体" w:cs="宋体"/>
                <w:color w:val="auto"/>
                <w:szCs w:val="21"/>
                <w:highlight w:val="none"/>
                <w:u w:val="single"/>
              </w:rPr>
              <w:t>交易部   开标室</w:t>
            </w:r>
            <w:r>
              <w:rPr>
                <w:rFonts w:hint="eastAsia" w:ascii="宋体" w:hAnsi="宋体" w:eastAsia="宋体" w:cs="宋体"/>
                <w:color w:val="auto"/>
                <w:highlight w:val="none"/>
              </w:rPr>
              <w:t>。(建议安排在投标文件截止时间前15分钟至投标文件截止时间）</w:t>
            </w:r>
          </w:p>
          <w:p>
            <w:pPr>
              <w:spacing w:line="360" w:lineRule="auto"/>
              <w:rPr>
                <w:rFonts w:hint="eastAsia" w:ascii="宋体" w:hAnsi="宋体" w:eastAsia="宋体" w:cs="宋体"/>
                <w:color w:val="auto"/>
                <w:szCs w:val="21"/>
                <w:highlight w:val="none"/>
              </w:rPr>
            </w:pPr>
            <w:r>
              <w:rPr>
                <w:rFonts w:hint="eastAsia" w:ascii="宋体" w:hAnsi="宋体" w:cs="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开标评标办法</w:t>
            </w:r>
          </w:p>
        </w:tc>
        <w:tc>
          <w:tcPr>
            <w:tcW w:w="3132" w:type="pct"/>
            <w:tcBorders>
              <w:top w:val="single" w:color="auto" w:sz="4" w:space="0"/>
              <w:left w:val="single" w:color="auto" w:sz="4" w:space="0"/>
              <w:bottom w:val="single" w:color="auto" w:sz="4" w:space="0"/>
              <w:right w:val="double" w:color="auto" w:sz="4" w:space="0"/>
            </w:tcBorders>
            <w:vAlign w:val="center"/>
          </w:tcPr>
          <w:p>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方式一：选取方法</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七（适合综合评分法四，技术标与经济标同时开启）</w:t>
            </w:r>
            <w:r>
              <w:rPr>
                <w:rFonts w:hint="eastAsia" w:ascii="宋体" w:hAnsi="宋体" w:eastAsia="宋体" w:cs="宋体"/>
                <w:color w:val="auto"/>
                <w:szCs w:val="21"/>
                <w:highlight w:val="none"/>
              </w:rPr>
              <w:t>；</w:t>
            </w:r>
          </w:p>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投标人总得分=技术得分（</w:t>
            </w:r>
            <w:r>
              <w:rPr>
                <w:rFonts w:hint="eastAsia" w:ascii="宋体" w:hAnsi="宋体" w:eastAsia="宋体" w:cs="宋体"/>
                <w:b/>
                <w:color w:val="auto"/>
                <w:szCs w:val="21"/>
                <w:highlight w:val="none"/>
                <w:u w:val="single"/>
                <w:lang w:val="en-US" w:eastAsia="zh-CN"/>
              </w:rPr>
              <w:t>100</w:t>
            </w:r>
            <w:r>
              <w:rPr>
                <w:rFonts w:hint="eastAsia" w:ascii="宋体" w:hAnsi="宋体" w:eastAsia="宋体" w:cs="宋体"/>
                <w:b/>
                <w:color w:val="auto"/>
                <w:szCs w:val="21"/>
                <w:highlight w:val="none"/>
                <w:u w:val="single"/>
                <w:lang w:eastAsia="zh-CN"/>
              </w:rPr>
              <w:t>分</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eastAsia="zh-CN"/>
              </w:rPr>
              <w:t>技术</w:t>
            </w:r>
            <w:r>
              <w:rPr>
                <w:rFonts w:hint="eastAsia" w:ascii="宋体" w:hAnsi="宋体" w:eastAsia="宋体" w:cs="宋体"/>
                <w:b/>
                <w:color w:val="auto"/>
                <w:szCs w:val="21"/>
                <w:highlight w:val="none"/>
                <w:u w:val="single"/>
              </w:rPr>
              <w:t>得分权重（</w:t>
            </w: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0%）＋经济得分</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100分）</w:t>
            </w:r>
            <w:r>
              <w:rPr>
                <w:rFonts w:hint="eastAsia" w:ascii="宋体" w:hAnsi="宋体" w:eastAsia="宋体" w:cs="宋体"/>
                <w:b/>
                <w:color w:val="auto"/>
                <w:szCs w:val="21"/>
                <w:highlight w:val="none"/>
                <w:u w:val="single"/>
              </w:rPr>
              <w:t>×经济得分权重（80%）</w:t>
            </w:r>
          </w:p>
          <w:p>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相同的，以经济分较高的排前；总得分及经济分均相同的，以报价较低的排前；总得分、经济分及报价均相同的，以技术分较高的排前；如仍存在相同情况，则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rPr>
              <w:t>项目最高投标限价为</w:t>
            </w:r>
            <w:r>
              <w:rPr>
                <w:rFonts w:hint="eastAsia" w:ascii="宋体" w:hAnsi="宋体" w:eastAsia="宋体" w:cs="宋体"/>
                <w:color w:val="auto"/>
                <w:sz w:val="21"/>
                <w:szCs w:val="21"/>
                <w:highlight w:val="none"/>
                <w:u w:val="single"/>
              </w:rPr>
              <w:t>人民币45128475.28元（其中，景观项目、供电项目：37180488.95元；特殊定制工程：7947986.33元）</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具体以最高投标限价公布函为准。</w:t>
            </w:r>
          </w:p>
          <w:p>
            <w:pPr>
              <w:spacing w:line="360" w:lineRule="auto"/>
              <w:rPr>
                <w:rFonts w:hint="eastAsia" w:ascii="宋体" w:hAnsi="宋体" w:eastAsia="宋体" w:cs="宋体"/>
                <w:color w:val="auto"/>
                <w:szCs w:val="21"/>
                <w:highlight w:val="none"/>
              </w:rPr>
            </w:pPr>
            <w:r>
              <w:rPr>
                <w:rFonts w:hint="eastAsia" w:ascii="宋体" w:hAnsi="宋体" w:cs="宋体"/>
                <w:b/>
                <w:bCs/>
                <w:color w:val="auto"/>
                <w:szCs w:val="21"/>
                <w:highlight w:val="none"/>
              </w:rPr>
              <w:t>注：投标总报价不得超过最高投标限价，各部分的投标报价均不得超过相应部分的最高投标限价</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本项目绿色施工安全防护措施费为</w:t>
            </w:r>
            <w:r>
              <w:rPr>
                <w:rFonts w:hint="eastAsia" w:ascii="宋体" w:hAnsi="宋体" w:eastAsia="宋体" w:cs="宋体"/>
                <w:color w:val="auto"/>
                <w:szCs w:val="21"/>
                <w:highlight w:val="none"/>
                <w:u w:val="single"/>
              </w:rPr>
              <w:t>1513807.12</w:t>
            </w:r>
            <w:r>
              <w:rPr>
                <w:rFonts w:hint="eastAsia" w:ascii="宋体" w:hAnsi="宋体" w:cs="宋体"/>
                <w:color w:val="auto"/>
                <w:szCs w:val="21"/>
                <w:highlight w:val="none"/>
                <w:u w:val="single"/>
                <w:lang w:val="en-US" w:eastAsia="zh-CN"/>
              </w:rPr>
              <w:t>元</w:t>
            </w:r>
            <w:r>
              <w:rPr>
                <w:rFonts w:hint="eastAsia" w:ascii="宋体" w:hAnsi="宋体" w:cs="宋体"/>
                <w:color w:val="auto"/>
                <w:sz w:val="21"/>
                <w:szCs w:val="21"/>
                <w:highlight w:val="none"/>
                <w:u w:val="single"/>
              </w:rPr>
              <w:t>（</w:t>
            </w:r>
            <w:r>
              <w:rPr>
                <w:rFonts w:hint="eastAsia" w:ascii="宋体" w:hAnsi="Calibri" w:eastAsia="宋体" w:cs="Times New Roman"/>
                <w:color w:val="auto"/>
                <w:kern w:val="0"/>
                <w:sz w:val="21"/>
                <w:szCs w:val="21"/>
                <w:highlight w:val="none"/>
                <w:u w:val="single"/>
                <w:lang w:val="en-US" w:eastAsia="zh-CN" w:bidi="ar-SA"/>
              </w:rPr>
              <w:t>其中，</w:t>
            </w:r>
            <w:r>
              <w:rPr>
                <w:rFonts w:hint="eastAsia" w:ascii="宋体" w:hAnsi="宋体" w:eastAsia="宋体" w:cs="宋体"/>
                <w:color w:val="auto"/>
                <w:sz w:val="21"/>
                <w:szCs w:val="21"/>
                <w:highlight w:val="none"/>
                <w:u w:val="single"/>
              </w:rPr>
              <w:t>景观项目、供电项目</w:t>
            </w:r>
            <w:r>
              <w:rPr>
                <w:rFonts w:hint="eastAsia" w:ascii="宋体" w:hAnsi="Calibri" w:eastAsia="宋体" w:cs="Times New Roman"/>
                <w:color w:val="auto"/>
                <w:kern w:val="0"/>
                <w:sz w:val="21"/>
                <w:szCs w:val="21"/>
                <w:highlight w:val="none"/>
                <w:u w:val="single"/>
                <w:lang w:val="en-US" w:eastAsia="zh-CN" w:bidi="ar-SA"/>
              </w:rPr>
              <w:t>：</w:t>
            </w:r>
            <w:r>
              <w:rPr>
                <w:rFonts w:hint="eastAsia" w:ascii="宋体" w:hAnsi="宋体" w:eastAsia="宋体" w:cs="宋体"/>
                <w:color w:val="auto"/>
                <w:szCs w:val="21"/>
                <w:highlight w:val="none"/>
                <w:u w:val="single"/>
              </w:rPr>
              <w:t>1513807.12</w:t>
            </w:r>
            <w:r>
              <w:rPr>
                <w:rFonts w:hint="eastAsia" w:ascii="宋体" w:eastAsia="宋体" w:cs="Times New Roman"/>
                <w:color w:val="auto"/>
                <w:kern w:val="0"/>
                <w:sz w:val="21"/>
                <w:szCs w:val="21"/>
                <w:highlight w:val="none"/>
                <w:u w:val="single"/>
                <w:lang w:val="en-US" w:eastAsia="zh-CN" w:bidi="ar-SA"/>
              </w:rPr>
              <w:t xml:space="preserve"> </w:t>
            </w:r>
            <w:r>
              <w:rPr>
                <w:rFonts w:hint="eastAsia" w:ascii="宋体" w:hAnsi="Calibri" w:eastAsia="宋体" w:cs="Times New Roman"/>
                <w:color w:val="auto"/>
                <w:kern w:val="0"/>
                <w:sz w:val="21"/>
                <w:szCs w:val="21"/>
                <w:highlight w:val="none"/>
                <w:u w:val="single"/>
                <w:lang w:val="en-US" w:eastAsia="zh-CN" w:bidi="ar-SA"/>
              </w:rPr>
              <w:t>元；</w:t>
            </w:r>
            <w:r>
              <w:rPr>
                <w:rFonts w:hint="eastAsia"/>
                <w:color w:val="auto"/>
                <w:highlight w:val="none"/>
                <w:u w:val="single"/>
                <w:lang w:val="en-US" w:eastAsia="zh-CN"/>
              </w:rPr>
              <w:t>特殊定制工程</w:t>
            </w:r>
            <w:r>
              <w:rPr>
                <w:rFonts w:hint="eastAsia" w:ascii="宋体" w:hAnsi="Calibri" w:eastAsia="宋体" w:cs="Times New Roman"/>
                <w:color w:val="auto"/>
                <w:kern w:val="0"/>
                <w:sz w:val="21"/>
                <w:szCs w:val="21"/>
                <w:highlight w:val="none"/>
                <w:u w:val="single"/>
                <w:lang w:val="en-US" w:eastAsia="zh-CN" w:bidi="ar-SA"/>
              </w:rPr>
              <w:t>：</w:t>
            </w:r>
            <w:r>
              <w:rPr>
                <w:rFonts w:hint="eastAsia" w:ascii="宋体" w:eastAsia="宋体" w:cs="Times New Roman"/>
                <w:color w:val="auto"/>
                <w:kern w:val="0"/>
                <w:sz w:val="21"/>
                <w:szCs w:val="21"/>
                <w:highlight w:val="none"/>
                <w:u w:val="single"/>
                <w:lang w:val="en-US" w:eastAsia="zh-CN" w:bidi="ar-SA"/>
              </w:rPr>
              <w:t xml:space="preserve"> </w:t>
            </w:r>
            <w:r>
              <w:rPr>
                <w:rFonts w:hint="eastAsia" w:ascii="宋体" w:cs="Times New Roman"/>
                <w:color w:val="auto"/>
                <w:kern w:val="0"/>
                <w:sz w:val="21"/>
                <w:szCs w:val="21"/>
                <w:highlight w:val="none"/>
                <w:u w:val="single"/>
                <w:lang w:val="en-US" w:eastAsia="zh-CN" w:bidi="ar-SA"/>
              </w:rPr>
              <w:t>/</w:t>
            </w:r>
            <w:r>
              <w:rPr>
                <w:rFonts w:hint="eastAsia" w:ascii="宋体" w:eastAsia="宋体" w:cs="Times New Roman"/>
                <w:color w:val="auto"/>
                <w:kern w:val="0"/>
                <w:sz w:val="21"/>
                <w:szCs w:val="21"/>
                <w:highlight w:val="none"/>
                <w:u w:val="single"/>
                <w:lang w:val="en-US" w:eastAsia="zh-CN" w:bidi="ar-SA"/>
              </w:rPr>
              <w:t xml:space="preserve">  </w:t>
            </w:r>
            <w:r>
              <w:rPr>
                <w:rFonts w:hint="eastAsia" w:ascii="宋体" w:hAnsi="Calibri" w:eastAsia="宋体" w:cs="Times New Roman"/>
                <w:color w:val="auto"/>
                <w:kern w:val="0"/>
                <w:sz w:val="21"/>
                <w:szCs w:val="21"/>
                <w:highlight w:val="none"/>
                <w:u w:val="single"/>
                <w:lang w:val="en-US" w:eastAsia="zh-CN" w:bidi="ar-SA"/>
              </w:rPr>
              <w:t>元）</w:t>
            </w:r>
            <w:r>
              <w:rPr>
                <w:rFonts w:hint="eastAsia" w:ascii="宋体" w:hAnsi="宋体" w:eastAsia="宋体" w:cs="宋体"/>
                <w:color w:val="auto"/>
                <w:szCs w:val="21"/>
                <w:highlight w:val="none"/>
              </w:rPr>
              <w:t>，暂列金额为</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元，暂估价为</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w:t>
            </w:r>
            <w:r>
              <w:rPr>
                <w:rFonts w:hint="eastAsia" w:ascii="宋体" w:hAnsi="宋体" w:eastAsia="宋体" w:cs="宋体"/>
                <w:color w:val="auto"/>
                <w:sz w:val="21"/>
                <w:szCs w:val="21"/>
                <w:highlight w:val="none"/>
                <w:u w:val="single"/>
                <w:lang w:val="en-US" w:eastAsia="zh-CN"/>
              </w:rPr>
              <w:t>，具体以最高投标限价公布函为准。</w:t>
            </w:r>
            <w:r>
              <w:rPr>
                <w:rFonts w:hint="eastAsia" w:ascii="宋体" w:hAnsi="宋体" w:eastAsia="宋体" w:cs="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计算评标参考价的等分点值</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计算评标参考价的等分点值X在开标前从[0,100]的整数中随机抽取。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进入第二阶段评审的家数</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fldChar w:fldCharType="begin"/>
            </w:r>
            <w:r>
              <w:rPr>
                <w:rFonts w:hint="eastAsia" w:ascii="宋体" w:hAnsi="宋体" w:eastAsia="宋体" w:cs="宋体"/>
                <w:strike/>
                <w:dstrike w:val="0"/>
                <w:color w:val="auto"/>
                <w:szCs w:val="21"/>
                <w:highlight w:val="none"/>
              </w:rPr>
              <w:instrText xml:space="preserve"> = 1 \* GB3 </w:instrText>
            </w:r>
            <w:r>
              <w:rPr>
                <w:rFonts w:hint="eastAsia" w:ascii="宋体" w:hAnsi="宋体" w:eastAsia="宋体" w:cs="宋体"/>
                <w:strike/>
                <w:dstrike w:val="0"/>
                <w:color w:val="auto"/>
                <w:szCs w:val="21"/>
                <w:highlight w:val="none"/>
              </w:rPr>
              <w:fldChar w:fldCharType="separate"/>
            </w:r>
            <w:r>
              <w:rPr>
                <w:rFonts w:hint="eastAsia" w:ascii="宋体" w:hAnsi="宋体" w:eastAsia="宋体" w:cs="宋体"/>
                <w:strike/>
                <w:dstrike w:val="0"/>
                <w:color w:val="auto"/>
                <w:szCs w:val="21"/>
                <w:highlight w:val="none"/>
              </w:rPr>
              <w:t>①</w:t>
            </w:r>
            <w:r>
              <w:rPr>
                <w:rFonts w:hint="eastAsia" w:ascii="宋体" w:hAnsi="宋体" w:eastAsia="宋体" w:cs="宋体"/>
                <w:strike/>
                <w:dstrike w:val="0"/>
                <w:color w:val="auto"/>
                <w:szCs w:val="21"/>
                <w:highlight w:val="none"/>
              </w:rPr>
              <w:fldChar w:fldCharType="end"/>
            </w:r>
            <w:r>
              <w:rPr>
                <w:rFonts w:hint="eastAsia" w:ascii="宋体" w:hAnsi="宋体" w:eastAsia="宋体" w:cs="宋体"/>
                <w:strike/>
                <w:dstrike w:val="0"/>
                <w:color w:val="auto"/>
                <w:szCs w:val="21"/>
                <w:highlight w:val="none"/>
              </w:rPr>
              <w:t>通过技术有效性审查的投标人均进入第二阶段（适用于通过技术有效性审查家数在[3,</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]中的）。</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fldChar w:fldCharType="begin"/>
            </w:r>
            <w:r>
              <w:rPr>
                <w:rFonts w:hint="eastAsia" w:ascii="宋体" w:hAnsi="宋体" w:eastAsia="宋体" w:cs="宋体"/>
                <w:strike/>
                <w:dstrike w:val="0"/>
                <w:color w:val="auto"/>
                <w:szCs w:val="21"/>
                <w:highlight w:val="none"/>
              </w:rPr>
              <w:instrText xml:space="preserve"> = 2 \* GB3 </w:instrText>
            </w:r>
            <w:r>
              <w:rPr>
                <w:rFonts w:hint="eastAsia" w:ascii="宋体" w:hAnsi="宋体" w:eastAsia="宋体" w:cs="宋体"/>
                <w:strike/>
                <w:dstrike w:val="0"/>
                <w:color w:val="auto"/>
                <w:szCs w:val="21"/>
                <w:highlight w:val="none"/>
              </w:rPr>
              <w:fldChar w:fldCharType="separate"/>
            </w:r>
            <w:r>
              <w:rPr>
                <w:rFonts w:hint="eastAsia" w:ascii="宋体" w:hAnsi="宋体" w:eastAsia="宋体" w:cs="宋体"/>
                <w:strike/>
                <w:dstrike w:val="0"/>
                <w:color w:val="auto"/>
                <w:szCs w:val="21"/>
                <w:highlight w:val="none"/>
              </w:rPr>
              <w:t>②</w:t>
            </w:r>
            <w:r>
              <w:rPr>
                <w:rFonts w:hint="eastAsia" w:ascii="宋体" w:hAnsi="宋体" w:eastAsia="宋体" w:cs="宋体"/>
                <w:strike/>
                <w:dstrike w:val="0"/>
                <w:color w:val="auto"/>
                <w:szCs w:val="21"/>
                <w:highlight w:val="none"/>
              </w:rPr>
              <w:fldChar w:fldCharType="end"/>
            </w:r>
            <w:r>
              <w:rPr>
                <w:rFonts w:hint="eastAsia" w:ascii="宋体" w:hAnsi="宋体" w:eastAsia="宋体" w:cs="宋体"/>
                <w:strike/>
                <w:dstrike w:val="0"/>
                <w:color w:val="auto"/>
                <w:szCs w:val="21"/>
                <w:highlight w:val="none"/>
              </w:rPr>
              <w:t>将第一阶段得分由高至低排序，前</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名投标人进入第二阶段评审（适用于通过技术有效性审查家数大于</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家的，招标人可根据工程具体情况，确定不少于</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家进入第二阶段）。</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工程成本警戒价为最高投标限价的90%</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40615627.75</w:t>
            </w:r>
            <w:r>
              <w:rPr>
                <w:rFonts w:hint="eastAsia" w:ascii="宋体" w:hAnsi="宋体" w:eastAsia="宋体" w:cs="宋体"/>
                <w:color w:val="auto"/>
                <w:sz w:val="21"/>
                <w:szCs w:val="21"/>
                <w:highlight w:val="none"/>
                <w:u w:val="single"/>
              </w:rPr>
              <w:t>元</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其中，景观项目、供电项目</w:t>
            </w:r>
            <w:r>
              <w:rPr>
                <w:rFonts w:hint="eastAsia" w:ascii="宋体" w:hAnsi="Calibri" w:eastAsia="宋体" w:cs="Times New Roman"/>
                <w:color w:val="auto"/>
                <w:kern w:val="0"/>
                <w:sz w:val="21"/>
                <w:szCs w:val="21"/>
                <w:highlight w:val="none"/>
                <w:u w:val="single"/>
                <w:lang w:val="en-US" w:eastAsia="zh-CN" w:bidi="ar-SA"/>
              </w:rPr>
              <w:t>：</w:t>
            </w:r>
            <w:r>
              <w:rPr>
                <w:rFonts w:hint="eastAsia" w:ascii="宋体" w:eastAsia="宋体" w:cs="Times New Roman"/>
                <w:color w:val="auto"/>
                <w:kern w:val="0"/>
                <w:sz w:val="21"/>
                <w:szCs w:val="21"/>
                <w:highlight w:val="none"/>
                <w:u w:val="single"/>
                <w:lang w:val="en-US" w:eastAsia="zh-CN" w:bidi="ar-SA"/>
              </w:rPr>
              <w:t>33462440.06</w:t>
            </w:r>
            <w:r>
              <w:rPr>
                <w:rFonts w:hint="eastAsia" w:ascii="宋体" w:hAnsi="Calibri" w:eastAsia="宋体" w:cs="Times New Roman"/>
                <w:color w:val="auto"/>
                <w:kern w:val="0"/>
                <w:sz w:val="21"/>
                <w:szCs w:val="21"/>
                <w:highlight w:val="none"/>
                <w:u w:val="single"/>
                <w:lang w:val="en-US" w:eastAsia="zh-CN" w:bidi="ar-SA"/>
              </w:rPr>
              <w:t>元；</w:t>
            </w:r>
            <w:r>
              <w:rPr>
                <w:rFonts w:hint="eastAsia"/>
                <w:color w:val="auto"/>
                <w:highlight w:val="none"/>
                <w:u w:val="single"/>
                <w:lang w:val="en-US" w:eastAsia="zh-CN"/>
              </w:rPr>
              <w:t>特殊定制工程</w:t>
            </w:r>
            <w:r>
              <w:rPr>
                <w:rFonts w:hint="eastAsia" w:ascii="宋体" w:hAnsi="Calibri" w:eastAsia="宋体" w:cs="Times New Roman"/>
                <w:color w:val="auto"/>
                <w:kern w:val="0"/>
                <w:sz w:val="21"/>
                <w:szCs w:val="21"/>
                <w:highlight w:val="none"/>
                <w:u w:val="single"/>
                <w:lang w:val="en-US" w:eastAsia="zh-CN" w:bidi="ar-SA"/>
              </w:rPr>
              <w:t>：7153187.70元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第一阶段各分值的权重</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技术分权重为</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%，综合诚信评价分数权重为</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企业综合诚信评价分数</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第二阶段投标人名次的排序方法（适用于办法一、办法二）</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选取方法</w:t>
            </w:r>
            <w:r>
              <w:rPr>
                <w:rFonts w:hint="eastAsia" w:ascii="宋体" w:hAnsi="宋体" w:eastAsia="宋体" w:cs="宋体"/>
                <w:strike/>
                <w:dstrike w:val="0"/>
                <w:color w:val="auto"/>
                <w:szCs w:val="21"/>
                <w:highlight w:val="none"/>
                <w:u w:val="single"/>
              </w:rPr>
              <w:t xml:space="preserve">     </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方法三：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经济分相同情况下的排序方法（适用于办法三、办法四）</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选取方法</w:t>
            </w:r>
            <w:r>
              <w:rPr>
                <w:rFonts w:hint="eastAsia" w:ascii="宋体" w:hAnsi="宋体" w:eastAsia="宋体" w:cs="宋体"/>
                <w:strike/>
                <w:dstrike w:val="0"/>
                <w:color w:val="auto"/>
                <w:szCs w:val="21"/>
                <w:highlight w:val="none"/>
                <w:u w:val="single"/>
              </w:rPr>
              <w:t xml:space="preserve">     </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方法二：经济分相同的投标文件，由评标委员会采用随机方式，确定投标人的排序。</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58"/>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第二阶段投标人名次的排序方法（适用于办法五、办法六）</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选取方法</w:t>
            </w:r>
            <w:r>
              <w:rPr>
                <w:rFonts w:hint="eastAsia" w:ascii="宋体" w:hAnsi="宋体" w:eastAsia="宋体" w:cs="宋体"/>
                <w:strike/>
                <w:dstrike w:val="0"/>
                <w:color w:val="auto"/>
                <w:szCs w:val="21"/>
                <w:highlight w:val="none"/>
                <w:u w:val="single"/>
              </w:rPr>
              <w:t xml:space="preserve">     </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方法一：评标委员会按照“总分=</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较高的排前；总得分、报价与</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均相同的投标文件，以诚信综合评价分数高的排前；如仍存在相同情况，则对具有相同情况的投标人，由评标委员会采用随机方式，确定投标人的排序。</w:t>
            </w:r>
          </w:p>
          <w:p>
            <w:pPr>
              <w:spacing w:line="360" w:lineRule="auto"/>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建设工程质量检测管理办法</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eastAsia="宋体" w:cs="宋体"/>
                <w:color w:val="auto"/>
                <w:kern w:val="0"/>
                <w:szCs w:val="21"/>
                <w:highlight w:val="none"/>
                <w:lang w:val="zh-CN"/>
              </w:rPr>
              <w:t>不允许；</w:t>
            </w:r>
          </w:p>
          <w:p>
            <w:pPr>
              <w:spacing w:line="360" w:lineRule="auto"/>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lang w:val="zh-CN"/>
              </w:rPr>
              <w:t>☑</w:t>
            </w:r>
            <w:r>
              <w:rPr>
                <w:rFonts w:hint="eastAsia" w:ascii="宋体" w:hAnsi="宋体" w:eastAsia="宋体" w:cs="宋体"/>
                <w:color w:val="auto"/>
                <w:kern w:val="0"/>
                <w:szCs w:val="21"/>
                <w:highlight w:val="none"/>
                <w:lang w:val="zh-CN"/>
              </w:rPr>
              <w:t>允许：</w:t>
            </w:r>
            <w:r>
              <w:rPr>
                <w:rFonts w:hint="eastAsia" w:ascii="宋体" w:hAnsi="宋体" w:eastAsia="宋体" w:cs="宋体"/>
                <w:color w:val="auto"/>
                <w:kern w:val="0"/>
                <w:szCs w:val="21"/>
                <w:highlight w:val="none"/>
                <w:u w:val="single"/>
              </w:rPr>
              <w:t>允许非主体、非关键性工程进行分包</w:t>
            </w:r>
          </w:p>
          <w:p>
            <w:pPr>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分包内容要要求：</w:t>
            </w:r>
            <w:r>
              <w:rPr>
                <w:rFonts w:hint="eastAsia" w:ascii="宋体" w:hAnsi="宋体" w:eastAsia="宋体" w:cs="宋体"/>
                <w:color w:val="auto"/>
                <w:szCs w:val="21"/>
                <w:highlight w:val="none"/>
                <w:u w:val="single"/>
              </w:rPr>
              <w:t>经监理工程师及发包人同意后可依法分包。</w:t>
            </w:r>
          </w:p>
          <w:p>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分包金额要求：</w:t>
            </w:r>
            <w:r>
              <w:rPr>
                <w:rFonts w:hint="eastAsia" w:ascii="宋体" w:hAnsi="宋体" w:eastAsia="宋体" w:cs="宋体"/>
                <w:color w:val="auto"/>
                <w:kern w:val="0"/>
                <w:szCs w:val="21"/>
                <w:highlight w:val="none"/>
                <w:lang w:val="en-US" w:eastAsia="zh-CN"/>
              </w:rPr>
              <w:t>无。</w:t>
            </w:r>
          </w:p>
          <w:p>
            <w:pPr>
              <w:spacing w:line="360" w:lineRule="auto"/>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对分包人的资质要求：</w:t>
            </w:r>
            <w:r>
              <w:rPr>
                <w:rFonts w:hint="eastAsia" w:ascii="宋体" w:hAnsi="宋体" w:eastAsia="宋体" w:cs="宋体"/>
                <w:color w:val="auto"/>
                <w:szCs w:val="21"/>
                <w:highlight w:val="none"/>
                <w:u w:val="single"/>
              </w:rPr>
              <w:t>符合有关法律法规和文件规定，并不得再次分包</w:t>
            </w:r>
            <w:r>
              <w:rPr>
                <w:rFonts w:hint="eastAsia" w:ascii="宋体" w:hAnsi="宋体" w:eastAsia="宋体" w:cs="宋体"/>
                <w:color w:val="auto"/>
                <w:szCs w:val="21"/>
                <w:highlight w:val="none"/>
                <w:u w:val="single"/>
                <w:lang w:eastAsia="zh-CN"/>
              </w:rPr>
              <w:t>。</w:t>
            </w:r>
          </w:p>
          <w:p>
            <w:pPr>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对分包人的其他要求：无。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电子招标投标解密失败及突发情况的补救</w:t>
            </w:r>
          </w:p>
        </w:tc>
        <w:tc>
          <w:tcPr>
            <w:tcW w:w="3132"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u w:val="single"/>
                <w:lang w:eastAsia="zh-CN"/>
              </w:rPr>
              <w:t>广州公共资源交易中心-服务指南-办事指引-建设工程-【房屋建筑和市政基础设施工程全流程电子化项目专章（适用于投标人）】</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2、提交投标文件光盘备用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3、补救方案</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75" w:type="pct"/>
            <w:tcBorders>
              <w:top w:val="single" w:color="auto" w:sz="4" w:space="0"/>
              <w:left w:val="double" w:color="auto" w:sz="4" w:space="0"/>
              <w:bottom w:val="doub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p>
        </w:tc>
        <w:tc>
          <w:tcPr>
            <w:tcW w:w="524" w:type="pct"/>
            <w:tcBorders>
              <w:top w:val="single" w:color="auto" w:sz="4" w:space="0"/>
              <w:left w:val="single" w:color="auto" w:sz="4" w:space="0"/>
              <w:bottom w:val="double" w:color="auto" w:sz="4" w:space="0"/>
              <w:right w:val="single" w:color="auto" w:sz="4" w:space="0"/>
            </w:tcBorders>
            <w:vAlign w:val="center"/>
          </w:tcPr>
          <w:p>
            <w:pPr>
              <w:spacing w:line="360" w:lineRule="auto"/>
              <w:ind w:left="-27" w:leftChars="-13" w:right="-59" w:rightChars="-2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34</w:t>
            </w:r>
          </w:p>
        </w:tc>
        <w:tc>
          <w:tcPr>
            <w:tcW w:w="967" w:type="pct"/>
            <w:tcBorders>
              <w:top w:val="single" w:color="auto" w:sz="4" w:space="0"/>
              <w:left w:val="single" w:color="auto" w:sz="4" w:space="0"/>
              <w:bottom w:val="double" w:color="auto" w:sz="4" w:space="0"/>
              <w:right w:val="single" w:color="auto" w:sz="4" w:space="0"/>
            </w:tcBorders>
            <w:vAlign w:val="center"/>
          </w:tcPr>
          <w:p>
            <w:pPr>
              <w:spacing w:line="360" w:lineRule="auto"/>
              <w:ind w:left="-65" w:leftChars="-31" w:right="-59" w:rightChars="-2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其他</w:t>
            </w:r>
          </w:p>
        </w:tc>
        <w:tc>
          <w:tcPr>
            <w:tcW w:w="3132" w:type="pct"/>
            <w:tcBorders>
              <w:top w:val="single" w:color="auto" w:sz="4" w:space="0"/>
              <w:left w:val="single" w:color="auto" w:sz="4" w:space="0"/>
              <w:bottom w:val="double" w:color="auto" w:sz="4" w:space="0"/>
              <w:right w:val="doub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1、中标人向广州公共资源交易中心交纳公共资源交易服务费，该部分费用由投标人综合考虑在投标报价中，不在投标报价单列，招标人不另行支付。</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2、补充纸质投标文件：中标单位在中标公示后</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3个工作日内</w:t>
            </w:r>
            <w:r>
              <w:rPr>
                <w:rFonts w:hint="eastAsia" w:ascii="宋体" w:hAnsi="宋体" w:eastAsia="宋体" w:cs="宋体"/>
                <w:color w:val="auto"/>
                <w:highlight w:val="none"/>
              </w:rPr>
              <w:t>，须提供与所递交投标电子标书内容一致且加盖单位公章的纸质文件</w:t>
            </w:r>
            <w:r>
              <w:rPr>
                <w:rFonts w:hint="eastAsia" w:ascii="宋体" w:hAnsi="宋体" w:eastAsia="宋体" w:cs="宋体"/>
                <w:color w:val="auto"/>
                <w:highlight w:val="none"/>
                <w:lang w:eastAsia="zh-CN"/>
              </w:rPr>
              <w:t>一正两副</w:t>
            </w:r>
            <w:r>
              <w:rPr>
                <w:rFonts w:hint="eastAsia" w:ascii="宋体" w:hAnsi="宋体" w:eastAsia="宋体" w:cs="宋体"/>
                <w:color w:val="auto"/>
                <w:highlight w:val="none"/>
              </w:rPr>
              <w:t>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tc>
      </w:tr>
    </w:tbl>
    <w:p>
      <w:pPr>
        <w:spacing w:line="480" w:lineRule="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注：企业</w:t>
      </w:r>
      <w:r>
        <w:rPr>
          <w:rFonts w:hint="eastAsia" w:ascii="宋体" w:hAnsi="宋体" w:eastAsia="宋体" w:cs="宋体"/>
          <w:strike/>
          <w:dstrike w:val="0"/>
          <w:color w:val="auto"/>
          <w:kern w:val="0"/>
          <w:sz w:val="24"/>
          <w:highlight w:val="none"/>
        </w:rPr>
        <w:t>综合诚信评价得分即</w:t>
      </w:r>
      <w:r>
        <w:rPr>
          <w:rFonts w:hint="eastAsia" w:ascii="宋体" w:hAnsi="宋体" w:eastAsia="宋体" w:cs="宋体"/>
          <w:strike/>
          <w:dstrike w:val="0"/>
          <w:color w:val="auto"/>
          <w:sz w:val="24"/>
          <w:highlight w:val="none"/>
        </w:rPr>
        <w:t>企业</w:t>
      </w:r>
      <w:r>
        <w:rPr>
          <w:rFonts w:hint="eastAsia" w:ascii="宋体" w:hAnsi="宋体" w:eastAsia="宋体" w:cs="宋体"/>
          <w:strike/>
          <w:dstrike w:val="0"/>
          <w:color w:val="auto"/>
          <w:kern w:val="0"/>
          <w:sz w:val="24"/>
          <w:highlight w:val="none"/>
        </w:rPr>
        <w:t>综合诚信评价60日诚信分，以下同。</w:t>
      </w:r>
    </w:p>
    <w:p>
      <w:pPr>
        <w:pStyle w:val="7"/>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br w:type="page"/>
      </w:r>
      <w:bookmarkStart w:id="4" w:name="_Toc21525491"/>
      <w:bookmarkStart w:id="5" w:name="_Toc2272547"/>
      <w:r>
        <w:rPr>
          <w:rFonts w:hint="eastAsia" w:ascii="宋体" w:hAnsi="宋体" w:eastAsia="宋体" w:cs="宋体"/>
          <w:color w:val="auto"/>
          <w:highlight w:val="none"/>
        </w:rPr>
        <w:t>二、投标须知修改表</w:t>
      </w:r>
      <w:bookmarkEnd w:id="4"/>
      <w:bookmarkEnd w:id="5"/>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eastAsia="宋体" w:cs="宋体"/>
          <w:b/>
          <w:color w:val="auto"/>
          <w:szCs w:val="21"/>
          <w:highlight w:val="none"/>
          <w:u w:val="none"/>
        </w:rPr>
        <w:t>http://zfcj.gz.gov.cn/）下载查阅。</w:t>
      </w:r>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条款号：2.5           修改类型：增加</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现文：2.5</w:t>
      </w:r>
      <w:r>
        <w:rPr>
          <w:rFonts w:hint="eastAsia" w:ascii="宋体" w:hAnsi="宋体" w:eastAsia="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5.1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5.1</w:t>
      </w:r>
      <w:r>
        <w:rPr>
          <w:rFonts w:hint="eastAsia" w:ascii="宋体" w:hAnsi="宋体" w:eastAsia="宋体" w:cs="宋体"/>
          <w:bCs/>
          <w:color w:val="auto"/>
          <w:szCs w:val="21"/>
          <w:highlight w:val="none"/>
        </w:rPr>
        <w:t>投标人应按本投标须知前附表第15项所述时间和要求对工程现场及周围环境进行踏勘，</w:t>
      </w:r>
      <w:r>
        <w:rPr>
          <w:rFonts w:hint="eastAsia" w:ascii="宋体" w:hAnsi="宋体" w:eastAsia="宋体" w:cs="宋体"/>
          <w:color w:val="auto"/>
          <w:szCs w:val="21"/>
          <w:highlight w:val="none"/>
        </w:rPr>
        <w:t>投标人应充分重视和仔细地进行这种考察，</w:t>
      </w:r>
      <w:r>
        <w:rPr>
          <w:rFonts w:hint="eastAsia" w:ascii="宋体" w:hAnsi="宋体" w:eastAsia="宋体" w:cs="宋体"/>
          <w:bCs/>
          <w:color w:val="auto"/>
          <w:szCs w:val="21"/>
          <w:highlight w:val="none"/>
        </w:rPr>
        <w:t>以便投标人获取</w:t>
      </w:r>
      <w:r>
        <w:rPr>
          <w:rFonts w:hint="eastAsia" w:ascii="宋体" w:hAnsi="宋体" w:eastAsia="宋体" w:cs="宋体"/>
          <w:color w:val="auto"/>
          <w:szCs w:val="21"/>
          <w:highlight w:val="none"/>
        </w:rPr>
        <w:t>那些须投标人自己负责的</w:t>
      </w:r>
      <w:r>
        <w:rPr>
          <w:rFonts w:hint="eastAsia" w:ascii="宋体" w:hAnsi="宋体" w:eastAsia="宋体" w:cs="宋体"/>
          <w:bCs/>
          <w:color w:val="auto"/>
          <w:szCs w:val="21"/>
          <w:highlight w:val="none"/>
        </w:rPr>
        <w:t>有关编制投标文件和签署合同所涉及现场所有的资料。</w:t>
      </w:r>
      <w:r>
        <w:rPr>
          <w:rFonts w:hint="eastAsia" w:ascii="宋体" w:hAnsi="宋体" w:eastAsia="宋体" w:cs="宋体"/>
          <w:bCs/>
          <w:color w:val="auto"/>
          <w:szCs w:val="21"/>
          <w:highlight w:val="none"/>
          <w:u w:val="single"/>
        </w:rPr>
        <w:t>投标人不进行踏勘的，视为已熟知现场条件，自行承担相关风险。</w:t>
      </w:r>
      <w:r>
        <w:rPr>
          <w:rFonts w:hint="eastAsia" w:ascii="宋体" w:hAnsi="宋体" w:eastAsia="宋体" w:cs="宋体"/>
          <w:color w:val="auto"/>
          <w:szCs w:val="21"/>
          <w:highlight w:val="none"/>
        </w:rPr>
        <w:t>一旦中标，这种考察即被认为其结果已在中标文件中得到充分反映。考察现场的费用由投标人自己承担。</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条款号：8.1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8.1 投标人若对招标文件（包括招标图纸）中有疑问，可以书面形式通过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交易平台提交给招标人或招标代理人，提交形式见本须知前附表第16项。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8.1 投标人若对招标文件（包括招标图纸）中有疑问，可以书面形式通过</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交易平台提交给招标人或招标代理人，提交形式见本须知前附表第16项。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条款号：8.2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8.2招标答疑会会议纪要将在提交投标文件截止时间15日前在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 “项目答疑纪要”专区公开发布。答疑纪要一经在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将在提交投标文件截止时间15日前在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 “项目答疑纪要”专区公开发布。答疑纪要一经在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交易平台发布，视作已发放给所有投标人。</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条款号：9.2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9.2招标文件的澄清或修改将在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交易平台上网发布时间作为送达时间。</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9.2招标文件的澄清或修改将在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交易平台“项目答疑纪要”专区公开发布。答疑纪要一经在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color w:val="auto"/>
          <w:szCs w:val="21"/>
          <w:highlight w:val="none"/>
          <w:u w:val="single"/>
        </w:rPr>
        <w:t xml:space="preserve"> 广州公共资源交易中心</w:t>
      </w:r>
      <w:r>
        <w:rPr>
          <w:rFonts w:hint="eastAsia" w:ascii="宋体" w:hAnsi="宋体" w:eastAsia="宋体" w:cs="宋体"/>
          <w:color w:val="auto"/>
          <w:szCs w:val="21"/>
          <w:highlight w:val="none"/>
        </w:rPr>
        <w:t>交易平台上网发布时间作为送达时间。</w:t>
      </w:r>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条款号：9.4             修改类型：修改</w:t>
      </w:r>
    </w:p>
    <w:p>
      <w:pPr>
        <w:pStyle w:val="5"/>
        <w:keepNext w:val="0"/>
        <w:keepLines w:val="0"/>
        <w:pageBreakBefore w:val="0"/>
        <w:widowControl w:val="0"/>
        <w:kinsoku/>
        <w:wordWrap/>
        <w:overflowPunct/>
        <w:topLinePunct w:val="0"/>
        <w:autoSpaceDE/>
        <w:autoSpaceDN/>
        <w:bidi w:val="0"/>
        <w:adjustRightInd/>
        <w:spacing w:after="0"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9.4招标文件的澄清或修改</w:t>
      </w:r>
      <w:r>
        <w:rPr>
          <w:rFonts w:hint="eastAsia" w:ascii="宋体" w:hAnsi="宋体" w:eastAsia="宋体" w:cs="宋体"/>
          <w:color w:val="auto"/>
          <w:szCs w:val="21"/>
          <w:highlight w:val="none"/>
          <w:u w:val="single"/>
        </w:rPr>
        <w:t>在广州公共资源交易中心网站“建设工程”→“项目查询（日程安排、答疑纪要）”专区公开发布。</w:t>
      </w:r>
      <w:r>
        <w:rPr>
          <w:rFonts w:hint="eastAsia" w:ascii="宋体" w:hAnsi="宋体" w:eastAsia="宋体" w:cs="宋体"/>
          <w:color w:val="auto"/>
          <w:szCs w:val="21"/>
          <w:highlight w:val="none"/>
        </w:rPr>
        <w:t>当招标文件的澄清、修改、补充等在同一内容的表述不一致时，</w:t>
      </w:r>
      <w:r>
        <w:rPr>
          <w:rFonts w:hint="eastAsia" w:ascii="宋体" w:hAnsi="宋体" w:eastAsia="宋体" w:cs="宋体"/>
          <w:color w:val="auto"/>
          <w:szCs w:val="21"/>
          <w:highlight w:val="none"/>
          <w:u w:val="single"/>
        </w:rPr>
        <w:t>以最后发出的文件为准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11.2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 11.2投标文件技术标部分主要包括下列内容:</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技术投标文件(按招标文件的要求填写)；</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资格审查文件：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（1）投标人声明； </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（3）企业营业执照（取自平台内上传件）；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（4）企业资质证书（取自平台内上传件）；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（5）建筑施工企业安全生产许可证（取自平台内上传件）；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（6）项目负责人（按网上投标登记时选择拟投标的项目负责人）</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（8）拟委托技术负责人的相关证书、资料（具体要求由招标人明确）</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（9）拟委派项目负责人的建造师注册证书或小型项目负责人相关证明（取自平台内上传件）； </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（10）项目负责人安全培训考核合格证明或在有效期内的安全考核合格证书（B类）或建筑施工企业项目负责人安全生产考核合格证书（取自平台内上传件）；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（11）专职安全员须具有在有效期内的安全考核合格证书（C类）或建筑施工企业专职安全生产管理人员安全生产考核合格证书（取自平台内上传件）；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（12）用于资格审查的业绩（设置业绩要求时选择此项，投标人须提供类似工程业绩的项目名称及项目编号，具体格式由招标人自定）；</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（13）资格审查前，投标人须在广州市住房和城乡建设局建立企业</w:t>
      </w:r>
      <w:r>
        <w:rPr>
          <w:rFonts w:hint="eastAsia" w:ascii="宋体" w:hAnsi="宋体" w:eastAsia="宋体" w:cs="宋体"/>
          <w:color w:val="auto"/>
          <w:szCs w:val="21"/>
          <w:highlight w:val="none"/>
          <w:lang w:eastAsia="zh-CN"/>
        </w:rPr>
        <w:t>信用</w:t>
      </w:r>
      <w:r>
        <w:rPr>
          <w:rFonts w:hint="eastAsia" w:ascii="宋体" w:hAnsi="宋体" w:eastAsia="宋体" w:cs="宋体"/>
          <w:color w:val="auto"/>
          <w:szCs w:val="21"/>
          <w:highlight w:val="none"/>
        </w:rPr>
        <w:t>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（14）列明主办单位的联合体工作协议（采用联合体投标时需递交，投标人拟任本工程项目负责人应为联合体主办方</w:t>
      </w:r>
      <w:r>
        <w:rPr>
          <w:rFonts w:hint="eastAsia" w:ascii="宋体" w:hAnsi="宋体" w:eastAsia="宋体" w:cs="宋体"/>
          <w:color w:val="auto"/>
          <w:szCs w:val="21"/>
          <w:highlight w:val="none"/>
          <w:lang w:eastAsia="zh-CN"/>
        </w:rPr>
        <w:t>信用</w:t>
      </w:r>
      <w:r>
        <w:rPr>
          <w:rFonts w:hint="eastAsia" w:ascii="宋体" w:hAnsi="宋体" w:eastAsia="宋体" w:cs="宋体"/>
          <w:color w:val="auto"/>
          <w:szCs w:val="21"/>
          <w:highlight w:val="none"/>
        </w:rPr>
        <w:t xml:space="preserve">档案中的在册人员，联合体工作协议应明确约定各方拟承担的工作和责任）； </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（1）投标人应列出该项目工程的施工组织机构构成和画出机构框架图及其负责人；</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（3）其他辅助说明资料。</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11.2.4投标人在广州市可使用适合本工程的机械设备（附：机械设备为自有或租赁的说明；及承诺机械设备如属于租赁的，其租赁是不属于重复租赁）。</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11.2.5施工组织设计或施工方案。</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11.2.6按照招标文件要求填写的《参与编制技术标投标文件人员名单》。</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11.2投标文件技术标部分</w:t>
      </w:r>
      <w:r>
        <w:rPr>
          <w:rFonts w:hint="eastAsia" w:ascii="宋体" w:hAnsi="宋体" w:eastAsia="宋体" w:cs="宋体"/>
          <w:color w:val="auto"/>
          <w:szCs w:val="21"/>
          <w:highlight w:val="none"/>
          <w:u w:val="single"/>
        </w:rPr>
        <w:t>（含资格审查文件）</w:t>
      </w:r>
      <w:r>
        <w:rPr>
          <w:rFonts w:hint="eastAsia" w:ascii="宋体" w:hAnsi="宋体" w:eastAsia="宋体" w:cs="宋体"/>
          <w:color w:val="auto"/>
          <w:szCs w:val="21"/>
          <w:highlight w:val="none"/>
        </w:rPr>
        <w:t>主要包括下列内容: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w:t>
      </w:r>
      <w:r>
        <w:rPr>
          <w:rFonts w:hint="eastAsia" w:ascii="宋体" w:hAnsi="宋体" w:eastAsia="宋体" w:cs="宋体"/>
          <w:color w:val="auto"/>
          <w:szCs w:val="21"/>
          <w:highlight w:val="none"/>
          <w:u w:val="single"/>
        </w:rPr>
        <w:t>技术标封面（见本招标文件第四章 “技术标投标文件格式”格式一）。</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11.2.2</w:t>
      </w:r>
      <w:r>
        <w:rPr>
          <w:rFonts w:hint="eastAsia" w:ascii="宋体" w:hAnsi="宋体" w:eastAsia="宋体" w:cs="宋体"/>
          <w:color w:val="auto"/>
          <w:szCs w:val="21"/>
          <w:highlight w:val="none"/>
          <w:u w:val="single"/>
          <w:lang w:val="zh-CN"/>
        </w:rPr>
        <w:t>广州建设工程施工招标投标书</w:t>
      </w:r>
      <w:r>
        <w:rPr>
          <w:rFonts w:hint="eastAsia" w:ascii="宋体" w:hAnsi="宋体" w:eastAsia="宋体" w:cs="宋体"/>
          <w:color w:val="auto"/>
          <w:szCs w:val="21"/>
          <w:highlight w:val="none"/>
          <w:u w:val="single"/>
        </w:rPr>
        <w:t>（见本招标文件第四章 “技术标投标文件格式”格式二）</w:t>
      </w:r>
      <w:r>
        <w:rPr>
          <w:rFonts w:hint="eastAsia" w:ascii="宋体" w:hAnsi="宋体" w:eastAsia="宋体" w:cs="宋体"/>
          <w:color w:val="auto"/>
          <w:szCs w:val="21"/>
          <w:highlight w:val="none"/>
          <w:u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11.2.3资格审查文件：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投标人声明（提交原件扫描件）（须按本招标公告附件一格式）</w:t>
      </w:r>
      <w:r>
        <w:rPr>
          <w:rFonts w:hint="eastAsia" w:ascii="宋体" w:hAnsi="宋体" w:eastAsia="宋体" w:cs="宋体"/>
          <w:color w:val="auto"/>
          <w:szCs w:val="21"/>
          <w:highlight w:val="none"/>
          <w:u w:val="non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法定代表人证明书、法定代表人签字或盖章的本投标文件授权委托证明书（提交原件扫描件）（见本招标文件第四章 “技术标投标文件格式”格式三）</w:t>
      </w:r>
      <w:r>
        <w:rPr>
          <w:rFonts w:hint="eastAsia" w:ascii="宋体" w:hAnsi="宋体" w:eastAsia="宋体" w:cs="宋体"/>
          <w:color w:val="auto"/>
          <w:szCs w:val="21"/>
          <w:highlight w:val="none"/>
          <w:u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（3）企业营业执照（取自</w:t>
      </w:r>
      <w:r>
        <w:rPr>
          <w:rFonts w:hint="eastAsia" w:ascii="宋体" w:hAnsi="宋体" w:eastAsia="宋体" w:cs="宋体"/>
          <w:color w:val="auto"/>
          <w:szCs w:val="21"/>
          <w:highlight w:val="none"/>
          <w:lang w:eastAsia="zh-CN"/>
        </w:rPr>
        <w:t>平台内</w:t>
      </w:r>
      <w:r>
        <w:rPr>
          <w:rFonts w:hint="eastAsia" w:ascii="宋体" w:hAnsi="宋体" w:eastAsia="宋体" w:cs="宋体"/>
          <w:color w:val="auto"/>
          <w:szCs w:val="21"/>
          <w:highlight w:val="none"/>
        </w:rPr>
        <w:t>上传件）；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（4）企业资质证书（取自</w:t>
      </w:r>
      <w:r>
        <w:rPr>
          <w:rFonts w:hint="eastAsia" w:ascii="宋体" w:hAnsi="宋体" w:eastAsia="宋体" w:cs="宋体"/>
          <w:b w:val="0"/>
          <w:bCs w:val="0"/>
          <w:color w:val="auto"/>
          <w:szCs w:val="21"/>
          <w:highlight w:val="none"/>
          <w:lang w:eastAsia="zh-CN"/>
        </w:rPr>
        <w:t>平台内上</w:t>
      </w:r>
      <w:r>
        <w:rPr>
          <w:rFonts w:hint="eastAsia" w:ascii="宋体" w:hAnsi="宋体" w:eastAsia="宋体" w:cs="宋体"/>
          <w:color w:val="auto"/>
          <w:szCs w:val="21"/>
          <w:highlight w:val="none"/>
        </w:rPr>
        <w:t>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（5）建筑施工企业安全生产许可证（取自</w:t>
      </w:r>
      <w:r>
        <w:rPr>
          <w:rFonts w:hint="eastAsia" w:ascii="宋体" w:hAnsi="宋体" w:eastAsia="宋体" w:cs="宋体"/>
          <w:b w:val="0"/>
          <w:bCs w:val="0"/>
          <w:color w:val="auto"/>
          <w:szCs w:val="21"/>
          <w:highlight w:val="none"/>
          <w:lang w:eastAsia="zh-CN"/>
        </w:rPr>
        <w:t>平台内</w:t>
      </w:r>
      <w:r>
        <w:rPr>
          <w:rFonts w:hint="eastAsia" w:ascii="宋体" w:hAnsi="宋体" w:eastAsia="宋体" w:cs="宋体"/>
          <w:color w:val="auto"/>
          <w:szCs w:val="21"/>
          <w:highlight w:val="none"/>
        </w:rPr>
        <w:t>上传件）；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（6）项目负责人（</w:t>
      </w:r>
      <w:r>
        <w:rPr>
          <w:rFonts w:hint="eastAsia" w:ascii="宋体" w:hAnsi="宋体" w:eastAsia="宋体" w:cs="宋体"/>
          <w:color w:val="auto"/>
          <w:szCs w:val="21"/>
          <w:highlight w:val="none"/>
          <w:lang w:val="en-US" w:eastAsia="zh-CN"/>
        </w:rPr>
        <w:t>（按网上投标登记时选择拟投标的项目负责人,使用有效期内的注册建造师注册证书取自平台内上传件，打印建造师电子证书后，应在个人签名处手写本人签名再上传广州市住建行业信用平台，上传件未手写签名或与签名图像笔迹不一致的，该电子证书无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（7）专职安全员（按网上投标登记时选择拟投标的专职安全员）</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拟委托技术负责人的职称证书（具体要求详见招标公告，提交原件扫描件）</w:t>
      </w:r>
      <w:r>
        <w:rPr>
          <w:rFonts w:hint="eastAsia" w:ascii="宋体" w:hAnsi="宋体" w:eastAsia="宋体" w:cs="宋体"/>
          <w:color w:val="auto"/>
          <w:szCs w:val="21"/>
          <w:highlight w:val="none"/>
          <w:u w:val="singl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b w:val="0"/>
          <w:bCs w:val="0"/>
          <w:color w:val="auto"/>
          <w:szCs w:val="21"/>
          <w:highlight w:val="none"/>
          <w:u w:val="none"/>
        </w:rPr>
        <w:t>拟委派项目负责人的建造师证书（取自</w:t>
      </w:r>
      <w:r>
        <w:rPr>
          <w:rFonts w:hint="eastAsia" w:ascii="宋体" w:hAnsi="宋体" w:eastAsia="宋体" w:cs="宋体"/>
          <w:b w:val="0"/>
          <w:bCs w:val="0"/>
          <w:color w:val="auto"/>
          <w:szCs w:val="21"/>
          <w:highlight w:val="none"/>
          <w:u w:val="none"/>
          <w:lang w:eastAsia="zh-CN"/>
        </w:rPr>
        <w:t>平台内</w:t>
      </w:r>
      <w:r>
        <w:rPr>
          <w:rFonts w:hint="eastAsia" w:ascii="宋体" w:hAnsi="宋体" w:eastAsia="宋体" w:cs="宋体"/>
          <w:b w:val="0"/>
          <w:bCs w:val="0"/>
          <w:color w:val="auto"/>
          <w:szCs w:val="21"/>
          <w:highlight w:val="none"/>
          <w:u w:val="none"/>
        </w:rPr>
        <w:t>上传件）；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（10）项目负责人安全生产考核合格证（B类）或建筑施工企业项目负责人安全生产考核合格证（取自平台内上传件）；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（11）专职安全员的安全生产考核合格证（C类）或建筑施工企业专职安全生产管理人员安全生产考核合格证（取自平台内上传件）；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12</w:t>
      </w:r>
      <w:r>
        <w:rPr>
          <w:rFonts w:hint="eastAsia" w:ascii="宋体" w:hAnsi="宋体" w:eastAsia="宋体" w:cs="宋体"/>
          <w:bCs/>
          <w:color w:val="auto"/>
          <w:szCs w:val="21"/>
          <w:highlight w:val="none"/>
        </w:rPr>
        <w:t>）资格审查前，投标人须在广州市住房和城乡建设局建立企业</w:t>
      </w:r>
      <w:r>
        <w:rPr>
          <w:rFonts w:hint="eastAsia" w:ascii="宋体" w:hAnsi="宋体" w:eastAsia="宋体" w:cs="宋体"/>
          <w:bCs/>
          <w:color w:val="auto"/>
          <w:szCs w:val="21"/>
          <w:highlight w:val="none"/>
          <w:lang w:eastAsia="zh-CN"/>
        </w:rPr>
        <w:t>信用</w:t>
      </w:r>
      <w:r>
        <w:rPr>
          <w:rFonts w:hint="eastAsia" w:ascii="宋体" w:hAnsi="宋体" w:eastAsia="宋体" w:cs="宋体"/>
          <w:bCs/>
          <w:color w:val="auto"/>
          <w:szCs w:val="21"/>
          <w:highlight w:val="none"/>
        </w:rPr>
        <w:t>档案，拟担任本工程项目负责人、专职安全员须是本企业信用档案中的在册人员</w:t>
      </w:r>
      <w:r>
        <w:rPr>
          <w:rFonts w:hint="eastAsia" w:ascii="宋体" w:hAnsi="宋体" w:eastAsia="宋体" w:cs="宋体"/>
          <w:color w:val="auto"/>
          <w:szCs w:val="21"/>
          <w:highlight w:val="none"/>
          <w:u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13）未被纳入失信联合惩戒名单且被限制参加建设工程投标的（具体名单以递交投标文件截止时间“信用广州”https://credit1.gz.gov.cn/sgs/sgsXkNew公布的“失信黑名单”为准。不包含限制参加财政投资工程或政府投资工程的投标）。</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（1</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本项目不接受联合体投标</w:t>
      </w:r>
      <w:r>
        <w:rPr>
          <w:rFonts w:hint="eastAsia" w:ascii="宋体" w:hAnsi="宋体" w:eastAsia="宋体" w:cs="宋体"/>
          <w:color w:val="auto"/>
          <w:szCs w:val="21"/>
          <w:highlight w:val="none"/>
          <w:u w:val="singl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注：上述11.2.3（1）-（</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）没有要求提交的资料，不作为资格审查不合格的依据。</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项目管理机构配备。</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（1）本工程的施工组织机构图；</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（2）施工组织机构主要成员的名单及有关证明材料扫描件（见本招标文件第四章“技术标投标文件格式”格式</w:t>
      </w:r>
      <w:r>
        <w:rPr>
          <w:rFonts w:hint="eastAsia" w:ascii="宋体" w:hAnsi="宋体" w:eastAsia="宋体" w:cs="宋体"/>
          <w:color w:val="auto"/>
          <w:szCs w:val="21"/>
          <w:highlight w:val="none"/>
          <w:u w:val="single"/>
          <w:lang w:eastAsia="zh-CN"/>
        </w:rPr>
        <w:t>四</w:t>
      </w:r>
      <w:r>
        <w:rPr>
          <w:rFonts w:hint="eastAsia" w:ascii="宋体" w:hAnsi="宋体" w:eastAsia="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企业资信证明资料（附有关证明材料扫描件）。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u w:val="single"/>
        </w:rPr>
        <w:t>响应招标文件所附施工组织设计要点承诺书（见本招标文件第四章“技术标投标文件格式”格式</w:t>
      </w:r>
      <w:r>
        <w:rPr>
          <w:rFonts w:hint="eastAsia" w:ascii="宋体" w:hAnsi="宋体" w:eastAsia="宋体" w:cs="宋体"/>
          <w:color w:val="auto"/>
          <w:szCs w:val="21"/>
          <w:highlight w:val="none"/>
          <w:u w:val="single"/>
          <w:lang w:eastAsia="zh-CN"/>
        </w:rPr>
        <w:t>五</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按照招标文件要求填写的《参与编制技术标投标文件人员名单》（须按</w:t>
      </w:r>
      <w:r>
        <w:rPr>
          <w:rFonts w:hint="eastAsia" w:ascii="宋体" w:hAnsi="宋体" w:eastAsia="宋体" w:cs="宋体"/>
          <w:bCs/>
          <w:color w:val="auto"/>
          <w:szCs w:val="21"/>
          <w:highlight w:val="none"/>
          <w:u w:val="single"/>
        </w:rPr>
        <w:t>招标文件第四章 “技术标投标文件格式”格式</w:t>
      </w:r>
      <w:r>
        <w:rPr>
          <w:rFonts w:hint="eastAsia" w:ascii="宋体" w:hAnsi="宋体" w:eastAsia="宋体" w:cs="宋体"/>
          <w:bCs/>
          <w:color w:val="auto"/>
          <w:szCs w:val="21"/>
          <w:highlight w:val="none"/>
          <w:u w:val="single"/>
          <w:lang w:eastAsia="zh-CN"/>
        </w:rPr>
        <w:t>七</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投标保证金</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9</w:t>
      </w:r>
      <w:r>
        <w:rPr>
          <w:rFonts w:hint="eastAsia" w:ascii="宋体" w:hAnsi="宋体" w:eastAsia="宋体" w:cs="宋体"/>
          <w:bCs/>
          <w:color w:val="auto"/>
          <w:szCs w:val="21"/>
          <w:highlight w:val="none"/>
          <w:u w:val="single"/>
        </w:rPr>
        <w:t>投标人认为应该提供的其他资料。</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条款号：11.3.1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11.3.1经济投标文件(按招标文件的要求填写)。</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11.3.1</w:t>
      </w:r>
      <w:r>
        <w:rPr>
          <w:rFonts w:hint="eastAsia" w:ascii="宋体" w:hAnsi="宋体" w:eastAsia="宋体" w:cs="宋体"/>
          <w:color w:val="auto"/>
          <w:szCs w:val="21"/>
          <w:highlight w:val="none"/>
          <w:u w:val="single"/>
        </w:rPr>
        <w:t>经济标封面（</w:t>
      </w:r>
      <w:r>
        <w:rPr>
          <w:rFonts w:hint="eastAsia" w:ascii="宋体" w:hAnsi="宋体" w:eastAsia="宋体" w:cs="宋体"/>
          <w:bCs/>
          <w:color w:val="auto"/>
          <w:szCs w:val="21"/>
          <w:highlight w:val="none"/>
          <w:u w:val="single"/>
        </w:rPr>
        <w:t>见本招标文件第四章 “经济标投标文件格式”格式</w:t>
      </w:r>
      <w:r>
        <w:rPr>
          <w:rFonts w:hint="eastAsia" w:ascii="宋体" w:hAnsi="宋体" w:eastAsia="宋体" w:cs="宋体"/>
          <w:bCs/>
          <w:color w:val="auto"/>
          <w:szCs w:val="21"/>
          <w:highlight w:val="none"/>
          <w:u w:val="single"/>
          <w:lang w:eastAsia="zh-CN"/>
        </w:rPr>
        <w:t>一</w:t>
      </w:r>
      <w:r>
        <w:rPr>
          <w:rFonts w:hint="eastAsia" w:ascii="宋体" w:hAnsi="宋体" w:eastAsia="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条款号：11.3.2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（1）投标总价封面、扉页；</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（2）总说明</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（3）工程项目投标报价汇总表；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（4）单项工程投标报价汇总表；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（5）单位工程投标报价汇总表；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（6）分部分项工程清单与计价表；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（7）单价措施项目清单与计价表；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（8）总价措施项目清单与计价表；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（9）综合单价分析表；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（10）其他项目清单与计价汇总表；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（11）暂列金额明细表；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（12）材料（工程设备）暂估价明细表；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（13）专业工程暂估价明细表；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（14）计日工表；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（15）总承包服务计价表；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（16）规费和税金项目计价表；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（17）人工、主要材料和设备一览表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11.3.2投标总价。投标人必须按招标工程量清单</w:t>
      </w:r>
      <w:r>
        <w:rPr>
          <w:rFonts w:hint="eastAsia" w:ascii="宋体" w:hAnsi="宋体" w:eastAsia="宋体" w:cs="宋体"/>
          <w:color w:val="auto"/>
          <w:szCs w:val="21"/>
          <w:highlight w:val="none"/>
          <w:u w:val="single"/>
        </w:rPr>
        <w:t>（相关内容及格式要求以招标人发出的打包的招标文件GZZ</w:t>
      </w:r>
      <w:r>
        <w:rPr>
          <w:rFonts w:hint="eastAsia" w:ascii="宋体" w:hAnsi="宋体" w:eastAsia="宋体" w:cs="宋体"/>
          <w:color w:val="auto"/>
          <w:szCs w:val="21"/>
          <w:highlight w:val="none"/>
          <w:u w:val="single"/>
          <w:lang w:val="en-US" w:eastAsia="zh-CN"/>
        </w:rPr>
        <w:t>B</w:t>
      </w:r>
      <w:r>
        <w:rPr>
          <w:rFonts w:hint="eastAsia" w:ascii="宋体" w:hAnsi="宋体" w:eastAsia="宋体" w:cs="宋体"/>
          <w:color w:val="auto"/>
          <w:szCs w:val="21"/>
          <w:highlight w:val="none"/>
          <w:u w:val="single"/>
        </w:rPr>
        <w:t>格式里的工程量清单为准）</w:t>
      </w:r>
      <w:r>
        <w:rPr>
          <w:rFonts w:hint="eastAsia" w:ascii="宋体" w:hAnsi="宋体" w:eastAsia="宋体" w:cs="宋体"/>
          <w:color w:val="auto"/>
          <w:szCs w:val="21"/>
          <w:highlight w:val="none"/>
        </w:rPr>
        <w:t>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条款号：11.3.3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11.3.3按照招标文件要求填写的《参与编制经济标投标文件人员名单》。</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11.3.3按照招标文件要求填写的《参与编制经济标投标文件人员名单》</w:t>
      </w:r>
      <w:r>
        <w:rPr>
          <w:rFonts w:hint="eastAsia" w:ascii="宋体" w:hAnsi="宋体" w:eastAsia="宋体" w:cs="宋体"/>
          <w:color w:val="auto"/>
          <w:szCs w:val="21"/>
          <w:highlight w:val="none"/>
          <w:u w:val="single"/>
        </w:rPr>
        <w:t>（须按</w:t>
      </w:r>
      <w:r>
        <w:rPr>
          <w:rFonts w:hint="eastAsia" w:ascii="宋体" w:hAnsi="宋体" w:eastAsia="宋体" w:cs="宋体"/>
          <w:bCs/>
          <w:color w:val="auto"/>
          <w:szCs w:val="21"/>
          <w:highlight w:val="none"/>
          <w:u w:val="single"/>
        </w:rPr>
        <w:t>本招标文件第四章 “经济标投标文件格式”格式</w:t>
      </w:r>
      <w:r>
        <w:rPr>
          <w:rFonts w:hint="eastAsia" w:ascii="宋体" w:hAnsi="宋体" w:eastAsia="宋体" w:cs="宋体"/>
          <w:bCs/>
          <w:color w:val="auto"/>
          <w:szCs w:val="21"/>
          <w:highlight w:val="none"/>
          <w:u w:val="single"/>
          <w:lang w:eastAsia="zh-CN"/>
        </w:rPr>
        <w:t>二</w:t>
      </w:r>
      <w:r>
        <w:rPr>
          <w:rFonts w:hint="eastAsia" w:ascii="宋体" w:hAnsi="宋体" w:eastAsia="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条款号：11.3.5         修改类型：增加</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11.3.5《对投标文件编制的承诺》（须按本招标文件第四章 “经济标投标文件格式”格式</w:t>
      </w:r>
      <w:r>
        <w:rPr>
          <w:rFonts w:hint="eastAsia" w:ascii="宋体" w:hAnsi="宋体" w:eastAsia="宋体" w:cs="宋体"/>
          <w:color w:val="auto"/>
          <w:szCs w:val="21"/>
          <w:highlight w:val="none"/>
          <w:u w:val="single"/>
          <w:lang w:eastAsia="zh-CN"/>
        </w:rPr>
        <w:t>三</w:t>
      </w:r>
      <w:r>
        <w:rPr>
          <w:rFonts w:hint="eastAsia" w:ascii="宋体" w:hAnsi="宋体" w:eastAsia="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按照交易平台关于全流程电子化项目的相关指南进行操作。详见：</w:t>
      </w:r>
      <w:r>
        <w:rPr>
          <w:rFonts w:hint="eastAsia" w:ascii="宋体" w:hAnsi="宋体" w:eastAsia="宋体" w:cs="宋体"/>
          <w:color w:val="auto"/>
          <w:szCs w:val="21"/>
          <w:highlight w:val="none"/>
          <w:u w:val="singl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lang w:val="en-US" w:eastAsia="zh-CN"/>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color w:val="auto"/>
          <w:szCs w:val="21"/>
          <w:highlight w:val="none"/>
        </w:rPr>
        <w:t>。按照交易平台关于全流程电子化项目的相关指南进行操作</w:t>
      </w:r>
      <w:r>
        <w:rPr>
          <w:rFonts w:hint="eastAsia" w:ascii="宋体" w:hAnsi="宋体" w:eastAsia="宋体" w:cs="宋体"/>
          <w:bCs/>
          <w:color w:val="auto"/>
          <w:kern w:val="0"/>
          <w:sz w:val="22"/>
          <w:highlight w:val="none"/>
        </w:rPr>
        <w:t>。详见：</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建设工程全流程电子化项目操作指南（适用于投标人）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条款号：12.3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12.3 投标文件应按照交易平台关于全流程电子化项目的相关指南进行编制，详见：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12.3 投标文件应按照交易平台关于全流程电子化项目的相关指南进行编制，详见：</w:t>
      </w:r>
      <w:r>
        <w:rPr>
          <w:rFonts w:hint="eastAsia" w:ascii="宋体" w:hAnsi="宋体" w:eastAsia="宋体" w:cs="宋体"/>
          <w:color w:val="auto"/>
          <w:szCs w:val="21"/>
          <w:highlight w:val="none"/>
          <w:u w:val="single"/>
          <w:lang w:val="en-US" w:eastAsia="zh-CN"/>
        </w:rPr>
        <w:t>广州公共资源交易中心-服务指南-办事指引-建设工程-【建设工程全流程电子化项目操作指南（适用于投标人）】</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条款号：13.4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eastAsia="宋体" w:cs="宋体"/>
          <w:color w:val="auto"/>
          <w:szCs w:val="21"/>
          <w:highlight w:val="none"/>
          <w:u w:val="single"/>
        </w:rPr>
        <w:t>按合同条款相关约定调整。</w:t>
      </w:r>
    </w:p>
    <w:p>
      <w:pPr>
        <w:pStyle w:val="5"/>
        <w:spacing w:after="0" w:line="500" w:lineRule="exact"/>
        <w:ind w:firstLine="442" w:firstLineChars="200"/>
        <w:rPr>
          <w:rFonts w:ascii="宋体" w:hAnsi="宋体"/>
          <w:b/>
          <w:color w:val="auto"/>
          <w:sz w:val="22"/>
          <w:szCs w:val="22"/>
          <w:highlight w:val="none"/>
        </w:rPr>
      </w:pPr>
      <w:r>
        <w:rPr>
          <w:rFonts w:hint="eastAsia" w:ascii="宋体" w:hAnsi="宋体"/>
          <w:b/>
          <w:color w:val="auto"/>
          <w:sz w:val="22"/>
          <w:szCs w:val="22"/>
          <w:highlight w:val="none"/>
        </w:rPr>
        <w:t>条款号：16           修改类型：修改</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color w:val="auto"/>
          <w:sz w:val="21"/>
          <w:szCs w:val="21"/>
          <w:highlight w:val="none"/>
        </w:rPr>
        <w:t>原文</w:t>
      </w:r>
      <w:r>
        <w:rPr>
          <w:rFonts w:hint="eastAsia" w:ascii="宋体" w:hAnsi="宋体"/>
          <w:b w:val="0"/>
          <w:bCs/>
          <w:color w:val="auto"/>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16.1.1 采用现金或者支票形式提交的，投标保证金须从投标人的银行基本账户转出。</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16.1.3 采用电子形式的保函、担保或保证保险提交投标保证金的，应在招标文件中明确电子递交途径。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16.3投标保证金应依据法律法规的相关规定退还。</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16.4如有下列情况之一的，招标人可以不予退还投标保证金（是否退还投标保证金由招标人在招标文件中规定）：</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16.4.1因投标人原因造成投标文件未解密的；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16.4.2投标人在投标有效期内撤销投标文件；</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16.4.3中标人未能在规定期限内按要求提交履约担保；</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16.4.4中标人未能在规定期限内签署合同协议。</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16.5投标人如存在下列情况之一的，将被拒绝在一定时期内参与招标人后续工程投标（拒绝时限需在招标文件中明确）：</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16.5.1投标人存在16.4条款所列情形且投标人提交的保函、担保或保证保险无法兑付的；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16.5.2采用非电子形式提交投标保证金的投标人存在16.4条款所列情形，且未按招标人要求补交银行保函、专业工程担保公司担保或保证保险原件的；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16.5.3按招标文件要求免于提供投标保证金的投标人存在16.4条款所列情形，且未按招标人要求补交投标保证金的；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16.5.3按招标文件要求免于提供投标保证金的投标人存在16.4条款所列情形的。</w:t>
      </w:r>
    </w:p>
    <w:p>
      <w:pPr>
        <w:pStyle w:val="110"/>
        <w:spacing w:line="500" w:lineRule="exact"/>
        <w:ind w:firstLine="482"/>
        <w:rPr>
          <w:rFonts w:hint="eastAsia" w:ascii="宋体" w:hAnsi="宋体"/>
          <w:b w:val="0"/>
          <w:bCs/>
          <w:color w:val="auto"/>
          <w:sz w:val="21"/>
          <w:szCs w:val="21"/>
          <w:highlight w:val="none"/>
        </w:rPr>
      </w:pPr>
      <w:r>
        <w:rPr>
          <w:rFonts w:hint="eastAsia" w:ascii="宋体" w:hAnsi="宋体"/>
          <w:b w:val="0"/>
          <w:bCs/>
          <w:color w:val="auto"/>
          <w:sz w:val="21"/>
          <w:szCs w:val="21"/>
          <w:highlight w:val="none"/>
        </w:rPr>
        <w:t>注：16.5.3款由招标人二选一，需在招标文件中明确。</w:t>
      </w:r>
    </w:p>
    <w:p>
      <w:pPr>
        <w:pStyle w:val="110"/>
        <w:spacing w:line="500" w:lineRule="exact"/>
        <w:ind w:firstLine="482"/>
        <w:rPr>
          <w:rFonts w:ascii="宋体" w:hAnsi="宋体"/>
          <w:b/>
          <w:bCs/>
          <w:color w:val="auto"/>
          <w:sz w:val="21"/>
          <w:szCs w:val="21"/>
          <w:highlight w:val="none"/>
        </w:rPr>
      </w:pPr>
      <w:r>
        <w:rPr>
          <w:rFonts w:hint="eastAsia" w:ascii="宋体" w:hAnsi="宋体"/>
          <w:b/>
          <w:color w:val="auto"/>
          <w:sz w:val="22"/>
          <w:szCs w:val="22"/>
          <w:highlight w:val="none"/>
        </w:rPr>
        <w:t>现文：</w:t>
      </w:r>
      <w:r>
        <w:rPr>
          <w:rFonts w:hint="eastAsia" w:ascii="宋体" w:hAnsi="宋体"/>
          <w:color w:val="auto"/>
          <w:sz w:val="21"/>
          <w:szCs w:val="21"/>
          <w:highlight w:val="none"/>
        </w:rPr>
        <w:t>16.1投标人应按投标须知前附表第14项所述金额和时间递交投标保证金。</w:t>
      </w:r>
      <w:r>
        <w:rPr>
          <w:rFonts w:hint="eastAsia" w:ascii="宋体" w:hAnsi="宋体"/>
          <w:b/>
          <w:bCs/>
          <w:color w:val="auto"/>
          <w:sz w:val="21"/>
          <w:szCs w:val="21"/>
          <w:highlight w:val="none"/>
        </w:rPr>
        <w:t>允许投标人自主选择现金、银行保函、保证保险、专业工程担保公司担保等方式缴纳投标保证金。</w:t>
      </w:r>
    </w:p>
    <w:p>
      <w:pPr>
        <w:pStyle w:val="110"/>
        <w:spacing w:line="500" w:lineRule="exact"/>
        <w:ind w:firstLine="480"/>
        <w:rPr>
          <w:rFonts w:ascii="宋体" w:hAnsi="宋体"/>
          <w:bCs/>
          <w:color w:val="auto"/>
          <w:sz w:val="21"/>
          <w:szCs w:val="21"/>
          <w:highlight w:val="none"/>
          <w:u w:val="single"/>
        </w:rPr>
      </w:pPr>
      <w:r>
        <w:rPr>
          <w:rFonts w:hint="eastAsia" w:ascii="宋体" w:hAnsi="宋体"/>
          <w:bCs/>
          <w:color w:val="auto"/>
          <w:sz w:val="21"/>
          <w:szCs w:val="21"/>
          <w:highlight w:val="none"/>
        </w:rPr>
        <w:t>16.1.1 采用现金</w:t>
      </w:r>
      <w:r>
        <w:rPr>
          <w:rFonts w:hint="eastAsia" w:ascii="宋体" w:hAnsi="宋体"/>
          <w:b/>
          <w:bCs/>
          <w:color w:val="auto"/>
          <w:sz w:val="21"/>
          <w:szCs w:val="21"/>
          <w:highlight w:val="none"/>
        </w:rPr>
        <w:t>或者支票</w:t>
      </w:r>
      <w:r>
        <w:rPr>
          <w:rFonts w:hint="eastAsia" w:ascii="宋体" w:hAnsi="宋体"/>
          <w:bCs/>
          <w:color w:val="auto"/>
          <w:sz w:val="21"/>
          <w:szCs w:val="21"/>
          <w:highlight w:val="none"/>
        </w:rPr>
        <w:t>形式提交的，投标保证金须从投标人的银行基本账户转出。</w:t>
      </w:r>
      <w:r>
        <w:rPr>
          <w:rFonts w:hint="eastAsia" w:ascii="宋体" w:hAnsi="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pPr>
        <w:pStyle w:val="110"/>
        <w:spacing w:line="500" w:lineRule="exact"/>
        <w:ind w:firstLine="480"/>
        <w:rPr>
          <w:rFonts w:hint="eastAsia" w:ascii="宋体" w:hAnsi="宋体"/>
          <w:b/>
          <w:color w:val="auto"/>
          <w:sz w:val="21"/>
          <w:szCs w:val="21"/>
          <w:highlight w:val="none"/>
        </w:rPr>
      </w:pPr>
      <w:r>
        <w:rPr>
          <w:rFonts w:hint="eastAsia" w:ascii="宋体" w:hAnsi="宋体"/>
          <w:bCs/>
          <w:color w:val="auto"/>
          <w:sz w:val="21"/>
          <w:szCs w:val="21"/>
          <w:highlight w:val="none"/>
        </w:rPr>
        <w:t>16.1.2 依法必须招标的房屋建筑工程如采用非电子形式的</w:t>
      </w:r>
      <w:r>
        <w:rPr>
          <w:rFonts w:hint="eastAsia" w:ascii="宋体" w:hAnsi="宋体"/>
          <w:b/>
          <w:bCs/>
          <w:color w:val="auto"/>
          <w:sz w:val="21"/>
          <w:szCs w:val="21"/>
          <w:highlight w:val="none"/>
        </w:rPr>
        <w:t>银行保函、专业工程担保公司担保或保证保险</w:t>
      </w:r>
      <w:r>
        <w:rPr>
          <w:rFonts w:hint="eastAsia" w:ascii="宋体" w:hAnsi="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b/>
          <w:bCs/>
          <w:color w:val="auto"/>
          <w:sz w:val="21"/>
          <w:szCs w:val="21"/>
          <w:highlight w:val="none"/>
        </w:rPr>
        <w:t>保函、担保或保证保险</w:t>
      </w:r>
      <w:r>
        <w:rPr>
          <w:rFonts w:hint="eastAsia" w:ascii="宋体" w:hAnsi="宋体"/>
          <w:bCs/>
          <w:color w:val="auto"/>
          <w:sz w:val="21"/>
          <w:szCs w:val="21"/>
          <w:highlight w:val="none"/>
        </w:rPr>
        <w:t>扫描件并加盖投标人电子印章。</w:t>
      </w:r>
      <w:r>
        <w:rPr>
          <w:rFonts w:hint="eastAsia" w:ascii="宋体" w:hAnsi="宋体"/>
          <w:b/>
          <w:color w:val="auto"/>
          <w:sz w:val="21"/>
          <w:szCs w:val="21"/>
          <w:highlight w:val="none"/>
        </w:rPr>
        <w:t>如投标人存在16.4条款所列情形的，应将</w:t>
      </w:r>
      <w:r>
        <w:rPr>
          <w:rFonts w:hint="eastAsia" w:ascii="宋体" w:hAnsi="宋体"/>
          <w:b/>
          <w:bCs/>
          <w:color w:val="auto"/>
          <w:sz w:val="21"/>
          <w:szCs w:val="21"/>
          <w:highlight w:val="none"/>
        </w:rPr>
        <w:t>纸质</w:t>
      </w:r>
      <w:r>
        <w:rPr>
          <w:rFonts w:hint="eastAsia" w:ascii="宋体" w:hAnsi="宋体"/>
          <w:b/>
          <w:color w:val="auto"/>
          <w:sz w:val="21"/>
          <w:szCs w:val="21"/>
          <w:highlight w:val="none"/>
        </w:rPr>
        <w:t>原件提交给招标人。</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16.1.3 采用</w:t>
      </w:r>
      <w:r>
        <w:rPr>
          <w:rFonts w:hint="eastAsia" w:ascii="宋体" w:hAnsi="宋体"/>
          <w:b/>
          <w:color w:val="auto"/>
          <w:sz w:val="21"/>
          <w:szCs w:val="21"/>
          <w:highlight w:val="none"/>
        </w:rPr>
        <w:t>电子形式的保函、担保或保证保险</w:t>
      </w:r>
      <w:r>
        <w:rPr>
          <w:rFonts w:hint="eastAsia" w:ascii="宋体" w:hAnsi="宋体"/>
          <w:bCs/>
          <w:color w:val="auto"/>
          <w:sz w:val="21"/>
          <w:szCs w:val="21"/>
          <w:highlight w:val="none"/>
        </w:rPr>
        <w:t>提交投标保证金的，</w:t>
      </w:r>
      <w:r>
        <w:rPr>
          <w:rFonts w:hint="eastAsia" w:ascii="宋体" w:hAnsi="宋体"/>
          <w:b/>
          <w:color w:val="auto"/>
          <w:sz w:val="21"/>
          <w:szCs w:val="21"/>
          <w:highlight w:val="none"/>
          <w:u w:val="single"/>
        </w:rPr>
        <w:t>按广州公共资源交易中心发布的《广州公共资源交易中心关于开通电子保函服务功能的通知》操作。详见：http://ggzy.gz.gov.cn/zxgg/822128.jhtml。到账情况以开标时广州公共资源交易中心数据库查询信息为准</w:t>
      </w:r>
      <w:r>
        <w:rPr>
          <w:rFonts w:hint="eastAsia" w:ascii="宋体" w:hAnsi="宋体"/>
          <w:bCs/>
          <w:color w:val="auto"/>
          <w:sz w:val="21"/>
          <w:szCs w:val="21"/>
          <w:highlight w:val="none"/>
        </w:rPr>
        <w:t>。</w:t>
      </w:r>
    </w:p>
    <w:p>
      <w:pPr>
        <w:pStyle w:val="110"/>
        <w:spacing w:line="500" w:lineRule="exact"/>
        <w:ind w:firstLine="480"/>
        <w:rPr>
          <w:rFonts w:hint="eastAsia" w:ascii="宋体" w:hAnsi="宋体"/>
          <w:b/>
          <w:bCs/>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w:t>
      </w:r>
      <w:r>
        <w:rPr>
          <w:rFonts w:hint="eastAsia" w:ascii="宋体" w:hAnsi="宋体"/>
          <w:b/>
          <w:bCs/>
          <w:color w:val="auto"/>
          <w:sz w:val="21"/>
          <w:szCs w:val="21"/>
          <w:highlight w:val="none"/>
        </w:rPr>
        <w:t>未按招标文件要求提交符合免予提供投标保证金相关证明材料，且未提交投标保证金的投标人，视为未按要求提供投标保证金。</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16.3投标保证金应依据法律法规的相关规定退还。</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16.4如有下列情况之一的，招标人可以不予退还投标保证金：</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16.4.1因投标人原因造成投标文件未解密的；</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16.4.2投标人在投标有效期内撤销投标文件；</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16.4.3中标人未能在规定期限内按要求提交履约担保；</w:t>
      </w:r>
    </w:p>
    <w:p>
      <w:pPr>
        <w:pStyle w:val="110"/>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16.4.4中标人未能在规定期限内签署合同协议。</w:t>
      </w:r>
    </w:p>
    <w:p>
      <w:pPr>
        <w:pStyle w:val="110"/>
        <w:spacing w:line="500" w:lineRule="exact"/>
        <w:ind w:firstLine="482"/>
        <w:rPr>
          <w:rFonts w:hint="eastAsia" w:ascii="宋体" w:hAnsi="宋体"/>
          <w:b/>
          <w:color w:val="auto"/>
          <w:sz w:val="21"/>
          <w:szCs w:val="21"/>
          <w:highlight w:val="none"/>
        </w:rPr>
      </w:pPr>
      <w:r>
        <w:rPr>
          <w:rFonts w:hint="eastAsia" w:ascii="宋体" w:hAnsi="宋体"/>
          <w:b/>
          <w:color w:val="auto"/>
          <w:sz w:val="21"/>
          <w:szCs w:val="21"/>
          <w:highlight w:val="none"/>
        </w:rPr>
        <w:t>16.5投标人如存在下列情况之一的，将被拒绝在一定时期内参与招标人后续工程投标：</w:t>
      </w:r>
    </w:p>
    <w:p>
      <w:pPr>
        <w:pStyle w:val="110"/>
        <w:spacing w:line="500" w:lineRule="exact"/>
        <w:ind w:firstLine="482"/>
        <w:rPr>
          <w:rFonts w:hint="eastAsia" w:ascii="宋体" w:hAnsi="宋体"/>
          <w:b/>
          <w:color w:val="auto"/>
          <w:sz w:val="21"/>
          <w:szCs w:val="21"/>
          <w:highlight w:val="none"/>
        </w:rPr>
      </w:pPr>
      <w:r>
        <w:rPr>
          <w:rFonts w:hint="eastAsia" w:ascii="宋体" w:hAnsi="宋体"/>
          <w:b/>
          <w:color w:val="auto"/>
          <w:sz w:val="21"/>
          <w:szCs w:val="21"/>
          <w:highlight w:val="none"/>
        </w:rPr>
        <w:t>16.5.1</w:t>
      </w:r>
      <w:r>
        <w:rPr>
          <w:rFonts w:hint="eastAsia" w:ascii="宋体" w:hAnsi="宋体"/>
          <w:b/>
          <w:bCs/>
          <w:color w:val="auto"/>
          <w:sz w:val="21"/>
          <w:szCs w:val="21"/>
          <w:highlight w:val="none"/>
        </w:rPr>
        <w:t>投标人</w:t>
      </w:r>
      <w:r>
        <w:rPr>
          <w:rFonts w:hint="eastAsia" w:ascii="宋体" w:hAnsi="宋体"/>
          <w:b/>
          <w:color w:val="auto"/>
          <w:sz w:val="21"/>
          <w:szCs w:val="21"/>
          <w:highlight w:val="none"/>
        </w:rPr>
        <w:t>存在16.4条款所列情形且投标人提交的保函、担保或保证保险无法兑付的；</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b/>
          <w:color w:val="auto"/>
          <w:sz w:val="21"/>
          <w:szCs w:val="21"/>
          <w:highlight w:val="none"/>
        </w:rPr>
        <w:t>16.5.2采用非电子形式提交投标保证金的</w:t>
      </w:r>
      <w:r>
        <w:rPr>
          <w:rFonts w:hint="eastAsia" w:ascii="宋体" w:hAnsi="宋体"/>
          <w:b/>
          <w:bCs/>
          <w:color w:val="auto"/>
          <w:sz w:val="21"/>
          <w:szCs w:val="21"/>
          <w:highlight w:val="none"/>
        </w:rPr>
        <w:t>投标人</w:t>
      </w:r>
      <w:r>
        <w:rPr>
          <w:rFonts w:hint="eastAsia" w:ascii="宋体" w:hAnsi="宋体"/>
          <w:b/>
          <w:color w:val="auto"/>
          <w:sz w:val="21"/>
          <w:szCs w:val="21"/>
          <w:highlight w:val="none"/>
        </w:rPr>
        <w:t>存在16.4条款所列情形，且未按招标人要求补交</w:t>
      </w:r>
      <w:r>
        <w:rPr>
          <w:rFonts w:hint="eastAsia" w:ascii="宋体" w:hAnsi="宋体"/>
          <w:b/>
          <w:bCs/>
          <w:color w:val="auto"/>
          <w:sz w:val="21"/>
          <w:szCs w:val="21"/>
          <w:highlight w:val="none"/>
        </w:rPr>
        <w:t>银行保函、专业工程担保公司担保或保证保险原件的；</w:t>
      </w:r>
    </w:p>
    <w:p>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16.5.3按招标文件要求免于提供投标保证金的投标人存在16.4条款所列情形，且未按招标人要求补交投标保证金的</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条款号：17.1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bCs/>
          <w:color w:val="auto"/>
          <w:kern w:val="0"/>
          <w:sz w:val="22"/>
          <w:highlight w:val="none"/>
        </w:rPr>
        <w:t>。详见：</w:t>
      </w:r>
      <w:r>
        <w:rPr>
          <w:rFonts w:hint="eastAsia" w:ascii="宋体" w:hAnsi="宋体" w:eastAsia="宋体" w:cs="宋体"/>
          <w:color w:val="auto"/>
          <w:szCs w:val="21"/>
          <w:highlight w:val="none"/>
          <w:u w:val="single"/>
          <w:lang w:val="en-US" w:eastAsia="zh-CN"/>
        </w:rPr>
        <w:t>广州公共资源交易中心-服务指南-办事指引-建设工程-【建设工程全流程电子化项目操作指南（适用于投标人）】</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条款号：18.1、18.2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18.1递交的电子投标文件（不含备用光盘）必须进行加密。按照交易平台关于全流程电子化项目的相关指南进行操作。详见：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未按要求加密的投标文件，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18.1递交的电子投标文件（不含备用光盘）必须进行加密。按照交易平台关于全流程电子化项目的相关指南进行操作。详见：</w:t>
      </w:r>
      <w:r>
        <w:rPr>
          <w:rFonts w:hint="eastAsia" w:ascii="宋体" w:hAnsi="宋体" w:eastAsia="宋体" w:cs="宋体"/>
          <w:color w:val="auto"/>
          <w:szCs w:val="21"/>
          <w:highlight w:val="none"/>
          <w:u w:val="single"/>
          <w:lang w:eastAsia="zh-CN"/>
        </w:rPr>
        <w:t>广州公共资源交易中心-服务指南-办事指引-建设工程</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建设工程全流程电子化项目操作指南（适用于投标人）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18.2 未按要求加密的投标文件，</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条款号：19.1、19.2、19.3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19.1投标人通过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交易平台递交电子投标文件。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19.2投标人完成电子投标文件上传后，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19.3逾期送达的电子投标文件，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19.1投标人通过</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交易平台递交电子投标文件。</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19.2投标人完成电子投标文件上传后，</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19.3逾期送达的电子投标文件，</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条款号：19.5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19.5如技术标和经济标先后分别开启，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交易平台将按招标文件规定的时间分别开启技术标和经济标。</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19.5 技术标和经济标同时开启，广州公共资源交易中心 交易平台将按招标文件规定的时间同时开启技术标和经济标。</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条款号：19.6           修改类型：删除</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lang w:val="en-US" w:eastAsia="zh-CN"/>
        </w:rPr>
        <w:t>19.6</w:t>
      </w:r>
      <w:r>
        <w:rPr>
          <w:rFonts w:hint="eastAsia" w:ascii="宋体" w:hAnsi="宋体" w:eastAsia="宋体" w:cs="宋体"/>
          <w:b w:val="0"/>
          <w:bCs/>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条款号：21.1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21.1 本须知前附表第17项规定的投标截止时间后送达的电子投标文件，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21.1 本须知前附表第17项规定的投标截止时间后送达的电子投标文件，</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条款号：27.1、27.4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27.1招标人将在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27.4在产生中标候选人后，招标人将中标候选人的投标文件商务部分文件的所有内容（包括人员、业绩、奖项等资料）在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交易平台和广东省招标投标监管网公开。</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27.1招标人将在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交易平台、广东省招标投标监管网和中国招标投标公共服务平台公示中标候选人，公示期为三天。</w:t>
      </w:r>
      <w:r>
        <w:rPr>
          <w:rFonts w:hint="eastAsia" w:ascii="宋体" w:hAnsi="宋体" w:eastAsia="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27.4在产生中标候选人后，招标人将中标候选人的投标文件商务部分文件的所有内容（包括人员、业绩、奖项等资料）在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交易平台和广东省招标投标监管网公开。</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color w:val="auto"/>
          <w:szCs w:val="21"/>
          <w:highlight w:val="none"/>
        </w:rPr>
        <w:t>29.1</w:t>
      </w:r>
      <w:r>
        <w:rPr>
          <w:rFonts w:hint="eastAsia" w:ascii="宋体" w:hAnsi="宋体" w:eastAsia="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 29.1在收到中标通知书后的15日内，中标人应按本须知前附表第20项的规定向招标人提交履约担保</w:t>
      </w:r>
      <w:r>
        <w:rPr>
          <w:rFonts w:hint="eastAsia" w:ascii="宋体" w:hAnsi="宋体" w:eastAsia="宋体" w:cs="宋体"/>
          <w:color w:val="auto"/>
          <w:kern w:val="0"/>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29.1</w:t>
      </w:r>
      <w:r>
        <w:rPr>
          <w:rFonts w:hint="eastAsia" w:ascii="宋体" w:hAnsi="宋体" w:eastAsia="宋体" w:cs="宋体"/>
          <w:color w:val="auto"/>
          <w:szCs w:val="21"/>
          <w:highlight w:val="none"/>
          <w:u w:val="single"/>
        </w:rPr>
        <w:t>在签订合同后的</w:t>
      </w:r>
      <w:r>
        <w:rPr>
          <w:rFonts w:hint="eastAsia" w:ascii="宋体" w:hAnsi="宋体" w:eastAsia="宋体" w:cs="宋体"/>
          <w:b/>
          <w:color w:val="auto"/>
          <w:szCs w:val="21"/>
          <w:highlight w:val="none"/>
          <w:u w:val="single"/>
        </w:rPr>
        <w:t>15日</w:t>
      </w:r>
      <w:r>
        <w:rPr>
          <w:rFonts w:hint="eastAsia" w:ascii="宋体" w:hAnsi="宋体" w:eastAsia="宋体" w:cs="宋体"/>
          <w:color w:val="auto"/>
          <w:szCs w:val="21"/>
          <w:highlight w:val="none"/>
        </w:rPr>
        <w:t>内，中标人应按本须知前附表第20项的规定向招标人提交履约担保</w:t>
      </w:r>
      <w:r>
        <w:rPr>
          <w:rFonts w:hint="eastAsia" w:ascii="宋体" w:hAnsi="宋体" w:eastAsia="宋体" w:cs="宋体"/>
          <w:color w:val="auto"/>
          <w:szCs w:val="21"/>
          <w:highlight w:val="none"/>
          <w:u w:val="single"/>
        </w:rPr>
        <w:t>（具体形式详见合同）</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color w:val="auto"/>
          <w:szCs w:val="21"/>
          <w:highlight w:val="none"/>
        </w:rPr>
        <w:t>29.2</w:t>
      </w:r>
      <w:r>
        <w:rPr>
          <w:rFonts w:hint="eastAsia" w:ascii="宋体" w:hAnsi="宋体" w:eastAsia="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29.2</w:t>
      </w:r>
      <w:r>
        <w:rPr>
          <w:rFonts w:hint="eastAsia" w:ascii="宋体" w:hAnsi="宋体" w:eastAsia="宋体" w:cs="宋体"/>
          <w:color w:val="auto"/>
          <w:szCs w:val="21"/>
          <w:highlight w:val="none"/>
          <w:u w:val="single"/>
        </w:rPr>
        <w:t>在签订合同后的</w:t>
      </w:r>
      <w:r>
        <w:rPr>
          <w:rFonts w:hint="eastAsia" w:ascii="宋体" w:hAnsi="宋体" w:eastAsia="宋体" w:cs="宋体"/>
          <w:b/>
          <w:color w:val="auto"/>
          <w:szCs w:val="21"/>
          <w:highlight w:val="none"/>
          <w:u w:val="single"/>
        </w:rPr>
        <w:t>15日</w:t>
      </w:r>
      <w:r>
        <w:rPr>
          <w:rFonts w:hint="eastAsia" w:ascii="宋体" w:hAnsi="宋体" w:eastAsia="宋体" w:cs="宋体"/>
          <w:color w:val="auto"/>
          <w:szCs w:val="21"/>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eastAsia="宋体" w:cs="宋体"/>
          <w:color w:val="auto"/>
          <w:szCs w:val="21"/>
          <w:highlight w:val="none"/>
          <w:u w:val="single"/>
        </w:rPr>
        <w:t>（具体形式详见合同）</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color w:val="auto"/>
          <w:szCs w:val="21"/>
          <w:highlight w:val="none"/>
        </w:rPr>
        <w:t>30.1</w:t>
      </w:r>
      <w:r>
        <w:rPr>
          <w:rFonts w:hint="eastAsia" w:ascii="宋体" w:hAnsi="宋体" w:eastAsia="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30.1在合同双方全权代表在合同协议书上签字，并分别加盖双方单位的公章后，合同正式生效。</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30.1</w:t>
      </w:r>
      <w:r>
        <w:rPr>
          <w:rFonts w:hint="eastAsia" w:ascii="宋体" w:hAnsi="宋体" w:eastAsia="宋体" w:cs="宋体"/>
          <w:color w:val="auto"/>
          <w:szCs w:val="21"/>
          <w:highlight w:val="none"/>
          <w:u w:val="single"/>
        </w:rPr>
        <w:t>合同自发包人、承包人双方法定代表人或委托代理人签字并加盖公章之日起生效。</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条款号：31.1             修改类型：增加</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31.1根据政府有关规定交纳交易服务费。</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cs="宋体"/>
          <w:b/>
          <w:color w:val="auto"/>
          <w:szCs w:val="21"/>
          <w:highlight w:val="none"/>
          <w:lang w:val="en-US" w:eastAsia="zh-CN"/>
        </w:rPr>
      </w:pPr>
      <w:r>
        <w:rPr>
          <w:rFonts w:hint="eastAsia" w:ascii="宋体" w:hAnsi="宋体" w:eastAsia="宋体" w:cs="宋体"/>
          <w:b/>
          <w:color w:val="auto"/>
          <w:szCs w:val="21"/>
          <w:highlight w:val="none"/>
        </w:rPr>
        <w:t>条款号：33                 修改类型：</w:t>
      </w:r>
      <w:r>
        <w:rPr>
          <w:rFonts w:hint="eastAsia" w:ascii="宋体" w:hAnsi="宋体" w:cs="宋体"/>
          <w:b/>
          <w:color w:val="auto"/>
          <w:szCs w:val="21"/>
          <w:highlight w:val="none"/>
          <w:lang w:val="en-US" w:eastAsia="zh-CN"/>
        </w:rPr>
        <w:t>删除</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33. 投标人信誉的要求</w:t>
      </w:r>
    </w:p>
    <w:p>
      <w:pPr>
        <w:keepNext w:val="0"/>
        <w:keepLines w:val="0"/>
        <w:pageBreakBefore w:val="0"/>
        <w:widowControl w:val="0"/>
        <w:kinsoku/>
        <w:wordWrap/>
        <w:overflowPunct/>
        <w:topLinePunct w:val="0"/>
        <w:autoSpaceDE/>
        <w:autoSpaceDN/>
        <w:bidi w:val="0"/>
        <w:adjustRightInd/>
        <w:spacing w:line="460" w:lineRule="exact"/>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存在下列情形之一的，招标人可以限制其投标（需在招标文件中明确评定方法）</w:t>
      </w:r>
    </w:p>
    <w:p>
      <w:pPr>
        <w:keepNext w:val="0"/>
        <w:keepLines w:val="0"/>
        <w:pageBreakBefore w:val="0"/>
        <w:widowControl w:val="0"/>
        <w:numPr>
          <w:ilvl w:val="0"/>
          <w:numId w:val="3"/>
        </w:numPr>
        <w:pBdr>
          <w:bottom w:val="single" w:color="auto" w:sz="6" w:space="1"/>
        </w:pBdr>
        <w:kinsoku/>
        <w:wordWrap/>
        <w:overflowPunct/>
        <w:topLinePunct w:val="0"/>
        <w:autoSpaceDE/>
        <w:autoSpaceDN/>
        <w:bidi w:val="0"/>
        <w:adjustRightInd/>
        <w:spacing w:line="46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被住房城乡建设行政主管部门在全国建筑市场监管一体化工作平台列入建筑市场主体“黑名单”；</w:t>
      </w:r>
    </w:p>
    <w:p>
      <w:pPr>
        <w:pBdr>
          <w:bottom w:val="single" w:color="auto" w:sz="6" w:space="1"/>
        </w:pBdr>
        <w:adjustRightInd w:val="0"/>
        <w:spacing w:line="360" w:lineRule="auto"/>
        <w:ind w:firstLine="403" w:firstLineChars="192"/>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被发改委、人力资源社会保障、质检总局等有关部门、单位在“信用中国”网站中列入联合惩戒失信黑名单。</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条款号：34            修改类型：增加</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34. 中标单位在中标公示后</w:t>
      </w:r>
      <w:r>
        <w:rPr>
          <w:rFonts w:hint="eastAsia" w:ascii="宋体" w:hAnsi="宋体" w:eastAsia="宋体" w:cs="宋体"/>
          <w:color w:val="auto"/>
          <w:szCs w:val="21"/>
          <w:highlight w:val="none"/>
          <w:u w:val="single"/>
          <w:lang w:eastAsia="zh-CN"/>
        </w:rPr>
        <w:t>的</w:t>
      </w:r>
      <w:r>
        <w:rPr>
          <w:rFonts w:hint="eastAsia" w:ascii="宋体" w:hAnsi="宋体" w:eastAsia="宋体" w:cs="宋体"/>
          <w:color w:val="auto"/>
          <w:szCs w:val="21"/>
          <w:highlight w:val="none"/>
          <w:u w:val="single"/>
          <w:lang w:val="en-US" w:eastAsia="zh-CN"/>
        </w:rPr>
        <w:t>3个工作日内</w:t>
      </w:r>
      <w:r>
        <w:rPr>
          <w:rFonts w:hint="eastAsia" w:ascii="宋体" w:hAnsi="宋体" w:eastAsia="宋体" w:cs="宋体"/>
          <w:color w:val="auto"/>
          <w:szCs w:val="21"/>
          <w:highlight w:val="none"/>
          <w:u w:val="single"/>
        </w:rPr>
        <w:t>，须提供与所递交投标电子标书内容一致且加盖单位公章的纸质文件</w:t>
      </w:r>
      <w:r>
        <w:rPr>
          <w:rFonts w:hint="eastAsia" w:ascii="宋体" w:hAnsi="宋体" w:eastAsia="宋体" w:cs="宋体"/>
          <w:color w:val="auto"/>
          <w:szCs w:val="21"/>
          <w:highlight w:val="none"/>
          <w:u w:val="single"/>
          <w:lang w:eastAsia="zh-CN"/>
        </w:rPr>
        <w:t>一正两副</w:t>
      </w:r>
      <w:r>
        <w:rPr>
          <w:rFonts w:hint="eastAsia" w:ascii="宋体" w:hAnsi="宋体" w:eastAsia="宋体" w:cs="宋体"/>
          <w:color w:val="auto"/>
          <w:szCs w:val="21"/>
          <w:highlight w:val="none"/>
          <w:u w:val="single"/>
        </w:rPr>
        <w:t>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p>
      <w:pPr>
        <w:keepNext w:val="0"/>
        <w:keepLines w:val="0"/>
        <w:pageBreakBefore w:val="0"/>
        <w:widowControl w:val="0"/>
        <w:kinsoku/>
        <w:wordWrap/>
        <w:overflowPunct/>
        <w:topLinePunct w:val="0"/>
        <w:autoSpaceDE/>
        <w:autoSpaceDN/>
        <w:bidi w:val="0"/>
        <w:adjustRightInd/>
        <w:spacing w:line="460" w:lineRule="exact"/>
        <w:ind w:firstLine="472" w:firstLineChars="224"/>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条款号：35            修改类型：增加</w:t>
      </w:r>
    </w:p>
    <w:p>
      <w:pPr>
        <w:keepNext w:val="0"/>
        <w:keepLines w:val="0"/>
        <w:pageBreakBefore w:val="0"/>
        <w:widowControl w:val="0"/>
        <w:pBdr>
          <w:bottom w:val="single" w:color="auto" w:sz="6" w:space="1"/>
        </w:pBdr>
        <w:kinsoku/>
        <w:wordWrap/>
        <w:overflowPunct/>
        <w:topLinePunct w:val="0"/>
        <w:autoSpaceDE/>
        <w:autoSpaceDN/>
        <w:bidi w:val="0"/>
        <w:adjustRightInd/>
        <w:spacing w:line="460" w:lineRule="exact"/>
        <w:ind w:firstLine="527" w:firstLineChars="25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35. 招标人（招标代理机构）填报中标候选人公示信息、与中标人签订合同及办理施工许可前，如发现第一中标候选人或中标人委派的项目负责人已在其他在建项目中任职，招标人有权取消其投标或中标资格，没收其投标保证金，且依法追究相应法律责任。第一中标候选人或中标人给招标人造成的损失超过投标保证金数额的，还应当对超过部分予以赔偿。招标人可以确定第二中标候选人为第一中标候选人，如第二中标候选人出现前款所列的情形的，招标人可以确定第三中标候选人为第一中标候选人，如所有中标候选人均出现前款所列的情形，为招标失败，招标人依法重新招标。</w:t>
      </w:r>
    </w:p>
    <w:p>
      <w:pPr>
        <w:keepNext w:val="0"/>
        <w:keepLines w:val="0"/>
        <w:pageBreakBefore w:val="0"/>
        <w:widowControl w:val="0"/>
        <w:kinsoku/>
        <w:wordWrap/>
        <w:overflowPunct/>
        <w:topLinePunct w:val="0"/>
        <w:autoSpaceDE/>
        <w:autoSpaceDN/>
        <w:bidi w:val="0"/>
        <w:adjustRightInd/>
        <w:spacing w:line="460" w:lineRule="exact"/>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注：以上修改，仅限于本范本中有可供选择条款的情形。</w:t>
      </w:r>
    </w:p>
    <w:p>
      <w:pPr>
        <w:keepNext w:val="0"/>
        <w:keepLines w:val="0"/>
        <w:pageBreakBefore w:val="0"/>
        <w:widowControl w:val="0"/>
        <w:kinsoku/>
        <w:wordWrap/>
        <w:overflowPunct/>
        <w:topLinePunct w:val="0"/>
        <w:autoSpaceDE/>
        <w:autoSpaceDN/>
        <w:bidi w:val="0"/>
        <w:adjustRightInd/>
        <w:spacing w:line="460" w:lineRule="exact"/>
        <w:ind w:firstLine="211" w:firstLineChars="1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（以下无正文）</w:t>
      </w:r>
    </w:p>
    <w:p>
      <w:pPr>
        <w:spacing w:line="360" w:lineRule="auto"/>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6" w:name="_Toc2272548"/>
      <w:bookmarkStart w:id="7" w:name="_Toc21525492"/>
      <w:r>
        <w:rPr>
          <w:rFonts w:hint="eastAsia" w:ascii="宋体" w:hAnsi="宋体" w:eastAsia="宋体" w:cs="宋体"/>
          <w:color w:val="auto"/>
          <w:highlight w:val="none"/>
        </w:rPr>
        <w:t>三、投标须知通用条款</w:t>
      </w:r>
      <w:bookmarkEnd w:id="6"/>
      <w:bookmarkEnd w:id="7"/>
    </w:p>
    <w:p>
      <w:pPr>
        <w:pStyle w:val="8"/>
        <w:spacing w:before="156" w:after="156"/>
        <w:rPr>
          <w:rFonts w:hint="eastAsia" w:ascii="宋体" w:hAnsi="宋体" w:eastAsia="宋体" w:cs="宋体"/>
          <w:color w:val="auto"/>
          <w:highlight w:val="none"/>
        </w:rPr>
      </w:pPr>
      <w:bookmarkStart w:id="8" w:name="_Toc2272549"/>
      <w:bookmarkStart w:id="9" w:name="_Toc21525493"/>
      <w:r>
        <w:rPr>
          <w:rFonts w:hint="eastAsia" w:ascii="宋体" w:hAnsi="宋体" w:eastAsia="宋体" w:cs="宋体"/>
          <w:color w:val="auto"/>
          <w:highlight w:val="none"/>
        </w:rPr>
        <w:t>（一）总则</w:t>
      </w:r>
      <w:bookmarkEnd w:id="8"/>
      <w:bookmarkEnd w:id="9"/>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1、定义</w:t>
      </w:r>
    </w:p>
    <w:p>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本招标文件使用的下列词语具有如下规定的意义：</w:t>
      </w:r>
    </w:p>
    <w:p>
      <w:pPr>
        <w:pStyle w:val="5"/>
        <w:spacing w:after="0"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（1）“招标人”（即发包人）、“项目建设管理单位”（或称“项目代建单位”）、“招标代理”、“设计单位”、“监理单位”均已在投标须知前附表中列明。</w:t>
      </w:r>
    </w:p>
    <w:p>
      <w:pPr>
        <w:pStyle w:val="5"/>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（2）“投标人”指向招标人提交投标文件的当事人。   </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（3）“承包人”指其投标被招标人接受并与其签订承包合同的当事人。</w:t>
      </w:r>
    </w:p>
    <w:p>
      <w:pPr>
        <w:pStyle w:val="5"/>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（4）“招标文件”指由招标代理发出的本文件（包括全部章节、附件）及招标答疑会会议纪要和</w:t>
      </w:r>
      <w:r>
        <w:rPr>
          <w:rFonts w:hint="eastAsia" w:ascii="宋体" w:hAnsi="宋体" w:eastAsia="宋体" w:cs="宋体"/>
          <w:bCs/>
          <w:color w:val="auto"/>
          <w:sz w:val="24"/>
          <w:highlight w:val="none"/>
        </w:rPr>
        <w:t>招标文件的澄清与修改</w:t>
      </w:r>
      <w:r>
        <w:rPr>
          <w:rFonts w:hint="eastAsia" w:ascii="宋体" w:hAnsi="宋体" w:eastAsia="宋体" w:cs="宋体"/>
          <w:color w:val="auto"/>
          <w:sz w:val="24"/>
          <w:highlight w:val="none"/>
        </w:rPr>
        <w:t>文件。</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（5）“投标文件”指投标人根据本项目招标文件向招标人提交的全部文件。</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2、招标说明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2.3设计说明：详见招标图纸。</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2.4工程施工特点：详见招标图纸。</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3．资金来源</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4．合格投标人的条件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4.1详见本项目招标公告</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5．踏勘现场</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5.1 投标人应按本投标须知前附表第15项所述时间和要求对工程现场及周围环境进行踏勘，</w:t>
      </w:r>
      <w:r>
        <w:rPr>
          <w:rFonts w:hint="eastAsia" w:ascii="宋体" w:hAnsi="宋体" w:eastAsia="宋体" w:cs="宋体"/>
          <w:color w:val="auto"/>
          <w:sz w:val="24"/>
          <w:highlight w:val="none"/>
        </w:rPr>
        <w:t>投标人应充分重视和仔细地进行这种考察，</w:t>
      </w:r>
      <w:r>
        <w:rPr>
          <w:rFonts w:hint="eastAsia" w:ascii="宋体" w:hAnsi="宋体" w:eastAsia="宋体" w:cs="宋体"/>
          <w:bCs/>
          <w:color w:val="auto"/>
          <w:sz w:val="24"/>
          <w:highlight w:val="none"/>
        </w:rPr>
        <w:t>以便投标人获取</w:t>
      </w:r>
      <w:r>
        <w:rPr>
          <w:rFonts w:hint="eastAsia" w:ascii="宋体" w:hAnsi="宋体" w:eastAsia="宋体" w:cs="宋体"/>
          <w:color w:val="auto"/>
          <w:sz w:val="24"/>
          <w:highlight w:val="none"/>
        </w:rPr>
        <w:t>那些须投标人自己负责的</w:t>
      </w:r>
      <w:r>
        <w:rPr>
          <w:rFonts w:hint="eastAsia" w:ascii="宋体" w:hAnsi="宋体" w:eastAsia="宋体" w:cs="宋体"/>
          <w:bCs/>
          <w:color w:val="auto"/>
          <w:sz w:val="24"/>
          <w:highlight w:val="none"/>
        </w:rPr>
        <w:t>有关编制投标文件和签署合同所涉及现场所有的资料。</w:t>
      </w:r>
      <w:r>
        <w:rPr>
          <w:rFonts w:hint="eastAsia" w:ascii="宋体" w:hAnsi="宋体" w:eastAsia="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 经招标人允许，投标人可为踏勘目的进入招标人的项目现场。</w:t>
      </w:r>
      <w:r>
        <w:rPr>
          <w:rFonts w:hint="eastAsia" w:ascii="宋体" w:hAnsi="宋体" w:eastAsia="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6．投标费用</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不论投标结果如何，投标人应承担</w:t>
      </w:r>
      <w:r>
        <w:rPr>
          <w:rFonts w:hint="eastAsia" w:ascii="宋体" w:hAnsi="宋体" w:eastAsia="宋体" w:cs="宋体"/>
          <w:bCs/>
          <w:color w:val="auto"/>
          <w:sz w:val="24"/>
          <w:highlight w:val="none"/>
        </w:rPr>
        <w:t>自身</w:t>
      </w:r>
      <w:r>
        <w:rPr>
          <w:rFonts w:hint="eastAsia" w:ascii="宋体" w:hAnsi="宋体" w:eastAsia="宋体" w:cs="宋体"/>
          <w:color w:val="auto"/>
          <w:sz w:val="24"/>
          <w:highlight w:val="none"/>
        </w:rPr>
        <w:t>因投标文件编制、递交及其他</w:t>
      </w:r>
      <w:r>
        <w:rPr>
          <w:rFonts w:hint="eastAsia" w:ascii="宋体" w:hAnsi="宋体" w:eastAsia="宋体" w:cs="宋体"/>
          <w:bCs/>
          <w:color w:val="auto"/>
          <w:sz w:val="24"/>
          <w:highlight w:val="none"/>
        </w:rPr>
        <w:t>参加本招标活动</w:t>
      </w:r>
      <w:r>
        <w:rPr>
          <w:rFonts w:hint="eastAsia" w:ascii="宋体" w:hAnsi="宋体" w:eastAsia="宋体" w:cs="宋体"/>
          <w:color w:val="auto"/>
          <w:sz w:val="24"/>
          <w:highlight w:val="none"/>
        </w:rPr>
        <w:t>所涉及的一切费用，招标人对上述费用不负任何责任。</w:t>
      </w:r>
    </w:p>
    <w:p>
      <w:pPr>
        <w:pStyle w:val="8"/>
        <w:spacing w:before="156" w:after="156"/>
        <w:rPr>
          <w:rFonts w:hint="eastAsia" w:ascii="宋体" w:hAnsi="宋体" w:eastAsia="宋体" w:cs="宋体"/>
          <w:color w:val="auto"/>
          <w:highlight w:val="none"/>
        </w:rPr>
      </w:pPr>
      <w:bookmarkStart w:id="10" w:name="_Toc21525494"/>
      <w:bookmarkStart w:id="11" w:name="_Toc2272550"/>
      <w:r>
        <w:rPr>
          <w:rFonts w:hint="eastAsia" w:ascii="宋体" w:hAnsi="宋体" w:eastAsia="宋体" w:cs="宋体"/>
          <w:color w:val="auto"/>
          <w:highlight w:val="none"/>
        </w:rPr>
        <w:t>（二）招标文件</w:t>
      </w:r>
      <w:bookmarkEnd w:id="10"/>
      <w:bookmarkEnd w:id="11"/>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7.招标文件的组成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w:t>
      </w:r>
      <w:r>
        <w:rPr>
          <w:rFonts w:hint="eastAsia" w:ascii="宋体" w:hAnsi="宋体" w:eastAsia="宋体" w:cs="宋体"/>
          <w:color w:val="auto"/>
          <w:sz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第一章  </w:t>
      </w:r>
      <w:r>
        <w:rPr>
          <w:rFonts w:hint="eastAsia" w:ascii="宋体" w:hAnsi="宋体" w:eastAsia="宋体" w:cs="宋体"/>
          <w:color w:val="auto"/>
          <w:sz w:val="24"/>
          <w:highlight w:val="none"/>
        </w:rPr>
        <w:t>投标须知</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第二章  </w:t>
      </w:r>
      <w:r>
        <w:rPr>
          <w:rFonts w:hint="eastAsia" w:ascii="宋体" w:hAnsi="宋体" w:eastAsia="宋体" w:cs="宋体"/>
          <w:color w:val="auto"/>
          <w:sz w:val="24"/>
          <w:highlight w:val="none"/>
        </w:rPr>
        <w:t>开标、评标及定标办法</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合同条款</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第四章  </w:t>
      </w:r>
      <w:r>
        <w:rPr>
          <w:rFonts w:hint="eastAsia" w:ascii="宋体" w:hAnsi="宋体" w:eastAsia="宋体" w:cs="宋体"/>
          <w:color w:val="auto"/>
          <w:sz w:val="24"/>
          <w:highlight w:val="none"/>
        </w:rPr>
        <w:t>投标文件格式</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第五章  </w:t>
      </w:r>
      <w:r>
        <w:rPr>
          <w:rFonts w:hint="eastAsia" w:ascii="宋体" w:hAnsi="宋体" w:eastAsia="宋体" w:cs="宋体"/>
          <w:color w:val="auto"/>
          <w:sz w:val="24"/>
          <w:highlight w:val="none"/>
        </w:rPr>
        <w:t>技术条件（工程建设标准）（另册）</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第六章  </w:t>
      </w:r>
      <w:r>
        <w:rPr>
          <w:rFonts w:hint="eastAsia" w:ascii="宋体" w:hAnsi="宋体" w:eastAsia="宋体" w:cs="宋体"/>
          <w:color w:val="auto"/>
          <w:sz w:val="24"/>
          <w:highlight w:val="none"/>
        </w:rPr>
        <w:t>图纸及勘察资料（另册）</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第七章  招标</w:t>
      </w:r>
      <w:r>
        <w:rPr>
          <w:rFonts w:hint="eastAsia" w:ascii="宋体" w:hAnsi="宋体" w:eastAsia="宋体" w:cs="宋体"/>
          <w:color w:val="auto"/>
          <w:sz w:val="24"/>
          <w:highlight w:val="none"/>
        </w:rPr>
        <w:t>工程量清单（另册）</w:t>
      </w:r>
    </w:p>
    <w:p>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  最高投标限价</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投标人一旦中标，招标文件的内容对招标人和中标人双方均有约束力。</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8．招标答疑</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投标人若对招标文件（包括招标图纸）中有疑问，可以书面形式</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w:t>
      </w:r>
      <w:r>
        <w:rPr>
          <w:rFonts w:hint="eastAsia" w:ascii="宋体" w:hAnsi="宋体" w:eastAsia="宋体" w:cs="宋体"/>
          <w:color w:val="auto"/>
          <w:sz w:val="24"/>
          <w:highlight w:val="none"/>
        </w:rPr>
        <w:t>给招标人或招标代理人，提交形式见本须知前附表第16项。</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 xml:space="preserve">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8.3答疑会会议纪要为招标文件的一部分。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8.4若招标答疑会会议纪要与招标文件有矛盾，以答疑会议纪要最后发出的书面形式的文件为准。</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9.招标文件的澄清与修改</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9.1招标文件发出后,在提交投标文件截止时间15日前，招标人可对招标文件进行必要的澄清或修改。</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上网发布时间作为送达时间。</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9.3招标文件的修改内容为招标文件的组成部分。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rFonts w:hint="eastAsia" w:ascii="宋体" w:hAnsi="宋体" w:eastAsia="宋体" w:cs="宋体"/>
          <w:color w:val="auto"/>
          <w:highlight w:val="none"/>
        </w:rPr>
      </w:pPr>
      <w:bookmarkStart w:id="12" w:name="_Toc21525495"/>
      <w:bookmarkStart w:id="13" w:name="_Toc2272551"/>
      <w:r>
        <w:rPr>
          <w:rFonts w:hint="eastAsia" w:ascii="宋体" w:hAnsi="宋体" w:eastAsia="宋体" w:cs="宋体"/>
          <w:color w:val="auto"/>
          <w:highlight w:val="none"/>
        </w:rPr>
        <w:t>（三）投标文件的编制</w:t>
      </w:r>
      <w:bookmarkEnd w:id="12"/>
      <w:bookmarkEnd w:id="13"/>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10．投标文件的语言及度量衡单位</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投标文件和与投标有关的所有文件均应使用中文。</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除工程规范另有规定外，投标文件使用的度量衡单位，均采用中华人民共和国法定计量单位。</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11．投标文件的组成</w:t>
      </w:r>
    </w:p>
    <w:p>
      <w:pPr>
        <w:pStyle w:val="5"/>
        <w:spacing w:after="0"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11.1 投标文件由技术部分（含资格审查文件）和经济部分</w:t>
      </w:r>
      <w:r>
        <w:rPr>
          <w:rFonts w:hint="eastAsia" w:ascii="宋体" w:hAnsi="宋体" w:eastAsia="宋体" w:cs="宋体"/>
          <w:color w:val="auto"/>
          <w:sz w:val="24"/>
          <w:highlight w:val="none"/>
          <w:lang w:eastAsia="zh-CN"/>
        </w:rPr>
        <w:t>两</w:t>
      </w:r>
      <w:r>
        <w:rPr>
          <w:rFonts w:hint="eastAsia" w:ascii="宋体" w:hAnsi="宋体" w:eastAsia="宋体" w:cs="宋体"/>
          <w:color w:val="auto"/>
          <w:sz w:val="24"/>
          <w:highlight w:val="none"/>
        </w:rPr>
        <w:t>部分投标文件组成</w:t>
      </w:r>
      <w:r>
        <w:rPr>
          <w:rFonts w:hint="eastAsia" w:ascii="宋体" w:hAnsi="宋体" w:eastAsia="宋体" w:cs="宋体"/>
          <w:b/>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11.2投标文件技术标部分主要包括下列内容:</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11.2.1 技术投标文件</w:t>
      </w:r>
      <w:r>
        <w:rPr>
          <w:rFonts w:hint="eastAsia" w:ascii="宋体" w:hAnsi="宋体" w:eastAsia="宋体" w:cs="宋体"/>
          <w:color w:val="auto"/>
          <w:sz w:val="24"/>
          <w:highlight w:val="none"/>
        </w:rPr>
        <w:t>(按招标文件的要求填写)</w:t>
      </w:r>
      <w:r>
        <w:rPr>
          <w:rFonts w:hint="eastAsia" w:ascii="宋体" w:hAnsi="宋体" w:eastAsia="宋体" w:cs="宋体"/>
          <w:bCs/>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11.2.2 资格审查文件：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（1）投标人声明；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（3）企业营业执照（取自平台内上传件）；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（4）企业资质证书（取自平台内上传件）；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（6）</w:t>
      </w:r>
      <w:r>
        <w:rPr>
          <w:rFonts w:hint="eastAsia" w:ascii="宋体" w:hAnsi="宋体" w:eastAsia="宋体" w:cs="宋体"/>
          <w:bCs/>
          <w:color w:val="auto"/>
          <w:sz w:val="24"/>
          <w:szCs w:val="24"/>
          <w:highlight w:val="none"/>
        </w:rPr>
        <w:t>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（11）专职安全员须具有在有效期内的安全考核合格证书（C类）或建筑施工企业专职安全生产管理人员安全生产考核合格证书</w:t>
      </w:r>
      <w:r>
        <w:rPr>
          <w:rFonts w:hint="eastAsia" w:ascii="宋体" w:hAnsi="宋体" w:eastAsia="宋体" w:cs="宋体"/>
          <w:bCs/>
          <w:color w:val="auto"/>
          <w:sz w:val="24"/>
          <w:szCs w:val="24"/>
          <w:highlight w:val="none"/>
        </w:rPr>
        <w:t>（取自平台内上传件）；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w:t>
      </w:r>
      <w:r>
        <w:rPr>
          <w:rFonts w:hint="eastAsia" w:ascii="宋体" w:hAnsi="宋体" w:eastAsia="宋体" w:cs="宋体"/>
          <w:color w:val="auto"/>
          <w:sz w:val="24"/>
          <w:highlight w:val="none"/>
        </w:rPr>
        <w:t>须提供类似工程业绩的项目名称及项目编号，具体格式由招标人自定</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（13）资格审查前，投标人须在广州市住房和城乡建设局建立企业</w:t>
      </w:r>
      <w:r>
        <w:rPr>
          <w:rFonts w:hint="eastAsia" w:ascii="宋体" w:hAnsi="宋体" w:eastAsia="宋体" w:cs="宋体"/>
          <w:bCs/>
          <w:color w:val="auto"/>
          <w:sz w:val="24"/>
          <w:highlight w:val="none"/>
          <w:lang w:eastAsia="zh-CN"/>
        </w:rPr>
        <w:t>信用</w:t>
      </w:r>
      <w:r>
        <w:rPr>
          <w:rFonts w:hint="eastAsia" w:ascii="宋体" w:hAnsi="宋体" w:eastAsia="宋体" w:cs="宋体"/>
          <w:bCs/>
          <w:color w:val="auto"/>
          <w:sz w:val="24"/>
          <w:highlight w:val="none"/>
        </w:rPr>
        <w:t>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w:t>
      </w:r>
      <w:r>
        <w:rPr>
          <w:rFonts w:hint="eastAsia" w:ascii="宋体" w:hAnsi="宋体" w:eastAsia="宋体" w:cs="宋体"/>
          <w:bCs/>
          <w:color w:val="auto"/>
          <w:sz w:val="24"/>
          <w:szCs w:val="24"/>
          <w:highlight w:val="none"/>
          <w:lang w:eastAsia="zh-CN"/>
        </w:rPr>
        <w:t>信用</w:t>
      </w:r>
      <w:r>
        <w:rPr>
          <w:rFonts w:hint="eastAsia" w:ascii="宋体" w:hAnsi="宋体" w:eastAsia="宋体" w:cs="宋体"/>
          <w:bCs/>
          <w:color w:val="auto"/>
          <w:sz w:val="24"/>
          <w:szCs w:val="24"/>
          <w:highlight w:val="none"/>
        </w:rPr>
        <w:t>档案中的在册人员，</w:t>
      </w:r>
      <w:r>
        <w:rPr>
          <w:rFonts w:hint="eastAsia" w:ascii="宋体" w:hAnsi="宋体" w:eastAsia="宋体" w:cs="宋体"/>
          <w:color w:val="auto"/>
          <w:sz w:val="24"/>
          <w:szCs w:val="24"/>
          <w:highlight w:val="none"/>
        </w:rPr>
        <w:t>联合体工作协议应明确约定各方拟承担的工作和责任</w:t>
      </w:r>
      <w:r>
        <w:rPr>
          <w:rFonts w:hint="eastAsia" w:ascii="宋体" w:hAnsi="宋体" w:eastAsia="宋体" w:cs="宋体"/>
          <w:bCs/>
          <w:color w:val="auto"/>
          <w:sz w:val="24"/>
          <w:szCs w:val="24"/>
          <w:highlight w:val="none"/>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（15）</w:t>
      </w:r>
      <w:r>
        <w:rPr>
          <w:rFonts w:hint="eastAsia" w:ascii="宋体" w:hAnsi="宋体" w:eastAsia="宋体" w:cs="宋体"/>
          <w:color w:val="auto"/>
          <w:sz w:val="24"/>
          <w:szCs w:val="24"/>
          <w:highlight w:val="none"/>
        </w:rPr>
        <w:t>投标人具有在广州地区可使用适合本工程的机械设备的证明文件（</w:t>
      </w:r>
      <w:r>
        <w:rPr>
          <w:rFonts w:hint="eastAsia" w:ascii="宋体" w:hAnsi="宋体" w:eastAsia="宋体" w:cs="宋体"/>
          <w:color w:val="auto"/>
          <w:sz w:val="24"/>
          <w:highlight w:val="none"/>
        </w:rPr>
        <w:t>提供沥青摊铺机自有发票或权属证明及设备现场全貌彩照（彩照须能反映其规格型号）</w:t>
      </w:r>
      <w:r>
        <w:rPr>
          <w:rFonts w:hint="eastAsia" w:ascii="宋体" w:hAnsi="宋体" w:eastAsia="宋体" w:cs="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11.2.3项目管理机构配备。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（3）其他辅助说明资料。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11.2.5施工组织设计或施工方案。</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填写的《参与编制技术标投标文件人员名单》。</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经济部分投标文件主要包括下列内容：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 经济投标文件(按招标文件的要求填写)。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highlight w:val="none"/>
        </w:rPr>
        <w:t>其中包括如下：</w:t>
      </w:r>
      <w:r>
        <w:rPr>
          <w:rFonts w:hint="eastAsia" w:ascii="宋体" w:hAnsi="宋体" w:eastAsia="宋体" w:cs="宋体"/>
          <w:color w:val="auto"/>
          <w:sz w:val="24"/>
          <w:highlight w:val="none"/>
        </w:rPr>
        <w:t xml:space="preserve"> </w:t>
      </w:r>
    </w:p>
    <w:p>
      <w:pPr>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（1）投标总价封面、扉页；</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（17）人工、主要材料和设备一览表</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11.3.3按照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12．投标文件格式</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 xml:space="preserve">。               </w:t>
      </w:r>
    </w:p>
    <w:p>
      <w:pPr>
        <w:pStyle w:val="5"/>
        <w:spacing w:after="0" w:line="360" w:lineRule="auto"/>
        <w:ind w:firstLine="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13．投标报价及造价承包和变更结算方式</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本工程的投标报价采用投标须知前附表第12项所规定的方式。投标报价（含单价及总价）精确到“分”。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13.5.1中标的投标文件工程量清单中已有相同项目的适用综合单价，则沿用；</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highlight w:val="none"/>
        </w:rPr>
        <w:t>相对于最高投标限价的下</w:t>
      </w:r>
      <w:r>
        <w:rPr>
          <w:rFonts w:hint="eastAsia" w:ascii="宋体" w:hAnsi="宋体" w:eastAsia="宋体" w:cs="宋体"/>
          <w:color w:val="auto"/>
          <w:sz w:val="24"/>
          <w:highlight w:val="none"/>
        </w:rPr>
        <w:t>浮率（下浮率=(</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highlight w:val="none"/>
        </w:rPr>
        <w:t>-中标价)/</w:t>
      </w:r>
      <w:r>
        <w:rPr>
          <w:rFonts w:hint="eastAsia" w:ascii="宋体" w:hAnsi="宋体" w:eastAsia="宋体" w:cs="宋体"/>
          <w:color w:val="auto"/>
          <w:sz w:val="24"/>
          <w:szCs w:val="24"/>
          <w:highlight w:val="none"/>
        </w:rPr>
        <w:t xml:space="preserve"> 最高投标限价</w:t>
      </w:r>
      <w:r>
        <w:rPr>
          <w:rFonts w:hint="eastAsia" w:ascii="宋体" w:hAnsi="宋体" w:eastAsia="宋体" w:cs="宋体"/>
          <w:color w:val="auto"/>
          <w:sz w:val="24"/>
          <w:highlight w:val="none"/>
        </w:rPr>
        <w:t>）。</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13.5.4 如相关定额没有相应子目的，其计价方式由招标人在本招标文件第三章中另行规定。未规定的，中标后双方协商约定。</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13.6暂列金额、暂估价</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14．投标货币</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本工程投标报价采用的币种为人民币。</w:t>
      </w:r>
    </w:p>
    <w:p>
      <w:pPr>
        <w:pStyle w:val="5"/>
        <w:spacing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15．投标有效期</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投标有效期见投标须知前附表第13项所规定的期限，在此期限内，凡符合本招标文件要求的投标文件均保持有效。</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16.1投标人应按投标须知前附表第14项所述金额和时间递交</w:t>
      </w:r>
      <w:r>
        <w:rPr>
          <w:rFonts w:hint="eastAsia" w:ascii="宋体" w:hAnsi="宋体" w:eastAsia="宋体" w:cs="宋体"/>
          <w:bCs/>
          <w:color w:val="auto"/>
          <w:sz w:val="24"/>
          <w:highlight w:val="none"/>
        </w:rPr>
        <w:t>投标保证金</w:t>
      </w:r>
      <w:r>
        <w:rPr>
          <w:rFonts w:hint="eastAsia" w:ascii="宋体" w:hAnsi="宋体" w:eastAsia="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16.3投标保证金应依据法律法规的相关规定退还。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16.4.1因投标人原因造成投标文件未解密的；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16.4.2投标人在投标有效期内撤销投标文件；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16.4.3中标人未能在规定期限内按要求提交履约担保；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16.4.4中标人未能在规定期限内签署合同协议。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注：16.5.3款由招标人二选一，需在招标文件中明确。</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17．投标文件的签署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8"/>
        <w:spacing w:before="156" w:after="156"/>
        <w:rPr>
          <w:rFonts w:hint="eastAsia" w:ascii="宋体" w:hAnsi="宋体" w:eastAsia="宋体" w:cs="宋体"/>
          <w:color w:val="auto"/>
          <w:highlight w:val="none"/>
        </w:rPr>
      </w:pPr>
      <w:bookmarkStart w:id="14" w:name="_Toc2272552"/>
      <w:bookmarkStart w:id="15" w:name="_Toc21525496"/>
      <w:r>
        <w:rPr>
          <w:rFonts w:hint="eastAsia" w:ascii="宋体" w:hAnsi="宋体" w:eastAsia="宋体" w:cs="宋体"/>
          <w:color w:val="auto"/>
          <w:highlight w:val="none"/>
        </w:rPr>
        <w:t>（四）投标文件的提交</w:t>
      </w:r>
      <w:bookmarkEnd w:id="14"/>
      <w:bookmarkEnd w:id="15"/>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w:t>
      </w:r>
      <w:r>
        <w:rPr>
          <w:rFonts w:hint="eastAsia" w:ascii="宋体" w:hAnsi="宋体" w:eastAsia="宋体" w:cs="宋体"/>
          <w:b/>
          <w:color w:val="auto"/>
          <w:sz w:val="24"/>
          <w:szCs w:val="24"/>
          <w:highlight w:val="none"/>
        </w:rPr>
        <w:t>投标文件的密封和标记</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highlight w:val="none"/>
        </w:rPr>
        <w:t>将予以拒收。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19．投标文件的递交和接收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19.2投标人完成电子</w:t>
      </w:r>
      <w:r>
        <w:rPr>
          <w:rFonts w:hint="eastAsia" w:ascii="宋体" w:hAnsi="宋体" w:eastAsia="宋体" w:cs="宋体"/>
          <w:color w:val="auto"/>
          <w:sz w:val="24"/>
          <w:highlight w:val="none"/>
        </w:rPr>
        <w:t>投标文件</w:t>
      </w:r>
      <w:r>
        <w:rPr>
          <w:rFonts w:hint="eastAsia" w:ascii="宋体" w:hAnsi="宋体" w:eastAsia="宋体" w:cs="宋体"/>
          <w:bCs/>
          <w:color w:val="auto"/>
          <w:sz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19.3</w:t>
      </w:r>
      <w:r>
        <w:rPr>
          <w:rFonts w:hint="eastAsia" w:ascii="宋体" w:hAnsi="宋体" w:eastAsia="宋体" w:cs="宋体"/>
          <w:bCs/>
          <w:color w:val="auto"/>
          <w:sz w:val="24"/>
          <w:szCs w:val="24"/>
          <w:highlight w:val="none"/>
        </w:rPr>
        <w:t>逾期送达的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19.4 </w:t>
      </w:r>
      <w:r>
        <w:rPr>
          <w:rFonts w:hint="eastAsia" w:ascii="宋体" w:hAnsi="宋体" w:eastAsia="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将按招标文件规定的时间分别开启技术标和经济标。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eastAsia="宋体" w:cs="宋体"/>
          <w:color w:val="auto"/>
          <w:sz w:val="24"/>
          <w:highlight w:val="none"/>
        </w:rPr>
        <w:t>该投标文件将不能参与资格审查和评标</w:t>
      </w:r>
      <w:r>
        <w:rPr>
          <w:rFonts w:hint="eastAsia" w:ascii="宋体" w:hAnsi="宋体" w:eastAsia="宋体" w:cs="宋体"/>
          <w:color w:val="auto"/>
          <w:sz w:val="24"/>
          <w:szCs w:val="24"/>
          <w:highlight w:val="none"/>
        </w:rPr>
        <w:t>（选择性条款）。</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20．投标文件提交的截止时间</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到投标截止时间止，招标人收到的投标文件少于3家的，招标人将重新组织招标</w:t>
      </w:r>
      <w:r>
        <w:rPr>
          <w:rFonts w:hint="eastAsia" w:ascii="宋体" w:hAnsi="宋体" w:eastAsia="宋体" w:cs="宋体"/>
          <w:color w:val="auto"/>
          <w:sz w:val="24"/>
          <w:szCs w:val="24"/>
          <w:highlight w:val="none"/>
        </w:rPr>
        <w:t>（当N个标段同时招标且不允许兼中时，若有效投标人不足N+2家，则重新组织招标）</w:t>
      </w:r>
      <w:r>
        <w:rPr>
          <w:rFonts w:hint="eastAsia" w:ascii="宋体" w:hAnsi="宋体" w:eastAsia="宋体" w:cs="宋体"/>
          <w:color w:val="auto"/>
          <w:sz w:val="24"/>
          <w:highlight w:val="none"/>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21．迟交的投标文件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本须知前附表第17项规定的投标截止时间</w:t>
      </w:r>
      <w:r>
        <w:rPr>
          <w:rFonts w:hint="eastAsia" w:ascii="宋体" w:hAnsi="宋体" w:eastAsia="宋体" w:cs="宋体"/>
          <w:bCs/>
          <w:color w:val="auto"/>
          <w:sz w:val="24"/>
          <w:szCs w:val="24"/>
          <w:highlight w:val="none"/>
        </w:rPr>
        <w:t>后送达的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22．投标文件的修改与撤回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w:t>
      </w:r>
      <w:r>
        <w:rPr>
          <w:rFonts w:hint="eastAsia" w:ascii="宋体" w:hAnsi="宋体" w:eastAsia="宋体" w:cs="宋体"/>
          <w:color w:val="auto"/>
          <w:sz w:val="24"/>
          <w:highlight w:val="none"/>
        </w:rPr>
        <w:t>交易平台发出修改或撤回</w:t>
      </w:r>
      <w:r>
        <w:rPr>
          <w:rFonts w:hint="eastAsia" w:ascii="宋体" w:hAnsi="宋体" w:eastAsia="宋体" w:cs="宋体"/>
          <w:color w:val="auto"/>
          <w:sz w:val="24"/>
          <w:szCs w:val="24"/>
          <w:highlight w:val="none"/>
        </w:rPr>
        <w:t>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 在投标截止时间之后，投标人不得补充、修改和更换投标文件。</w:t>
      </w:r>
    </w:p>
    <w:p>
      <w:pPr>
        <w:pStyle w:val="8"/>
        <w:spacing w:before="156" w:after="156"/>
        <w:rPr>
          <w:rFonts w:hint="eastAsia" w:ascii="宋体" w:hAnsi="宋体" w:eastAsia="宋体" w:cs="宋体"/>
          <w:color w:val="auto"/>
          <w:highlight w:val="none"/>
        </w:rPr>
      </w:pPr>
      <w:bookmarkStart w:id="16" w:name="_Toc2272553"/>
      <w:bookmarkStart w:id="17" w:name="_Toc21525497"/>
      <w:r>
        <w:rPr>
          <w:rFonts w:hint="eastAsia" w:ascii="宋体" w:hAnsi="宋体" w:eastAsia="宋体" w:cs="宋体"/>
          <w:color w:val="auto"/>
          <w:highlight w:val="none"/>
        </w:rPr>
        <w:t>（五）开标、评标、定标及合同签定</w:t>
      </w:r>
      <w:bookmarkEnd w:id="16"/>
      <w:bookmarkEnd w:id="17"/>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23、开标。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24．评标过程的保密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25．投标文件的澄清，计算错误的修正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26．投标文件的评审、比较和否决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、广东省招标投标监管网和中国招标投标公共服务平台公示中标候选人，公示期为三天。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w:t>
      </w:r>
      <w:r>
        <w:rPr>
          <w:rFonts w:hint="eastAsia" w:ascii="宋体" w:hAnsi="宋体" w:eastAsia="宋体" w:cs="宋体"/>
          <w:color w:val="auto"/>
          <w:sz w:val="24"/>
          <w:highlight w:val="none"/>
        </w:rPr>
        <w:t>公开。</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28．合同协议书的签订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28.4招标人支付工程款时，中标人应按规定开具发票。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在收到中标通知书后的</w:t>
      </w:r>
      <w:r>
        <w:rPr>
          <w:rFonts w:hint="eastAsia" w:ascii="宋体" w:hAnsi="宋体" w:eastAsia="宋体" w:cs="宋体"/>
          <w:b/>
          <w:color w:val="auto"/>
          <w:sz w:val="24"/>
          <w:highlight w:val="none"/>
        </w:rPr>
        <w:t>15日</w:t>
      </w:r>
      <w:r>
        <w:rPr>
          <w:rFonts w:hint="eastAsia" w:ascii="宋体" w:hAnsi="宋体" w:eastAsia="宋体" w:cs="宋体"/>
          <w:color w:val="auto"/>
          <w:sz w:val="24"/>
          <w:highlight w:val="none"/>
        </w:rPr>
        <w:t>内，中标人应按本须知前附表第20项的规定向招标人提交履约担保。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30．合同生效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31．其它费用</w:t>
      </w:r>
    </w:p>
    <w:p>
      <w:pPr>
        <w:pStyle w:val="5"/>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32．腐败与欺诈行为</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在招标和合同实施期间，招标人要求投标人和承包人遵守最高的道德标准。</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32．1对本条款的规定，特定义如下词汇：</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1）、“腐败行为”是指在招标或合同执行期间，通过提供、给予、接受或索要任何有价值的东西，从而影响招标人有关人员工作的行为；</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32．2如果投标人被认定在本招标的竞争中有腐败或欺诈行为，则会被取消投标资格。</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keepNext w:val="0"/>
        <w:keepLines w:val="0"/>
        <w:pageBreakBefore w:val="0"/>
        <w:widowControl w:val="0"/>
        <w:kinsoku/>
        <w:wordWrap/>
        <w:overflowPunct/>
        <w:topLinePunct w:val="0"/>
        <w:autoSpaceDE/>
        <w:autoSpaceDN/>
        <w:bidi w:val="0"/>
        <w:adjustRightInd/>
        <w:snapToGrid/>
        <w:spacing w:line="560" w:lineRule="exact"/>
        <w:ind w:firstLine="540" w:firstLineChars="224"/>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 投标人信誉的要求</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存在下列情形之一的，招标人可以限制其投标（需在招标文件中明确评定方法）</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（1）被住房城乡建设行政主管部门在全国建筑市场监管一体化工作平台列入建筑市场主体“黑名单”；</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（2）被发改委、人力资源社会保障、质检总局等有关部门、单位在“信用中国”网站中列入联合惩戒失信黑名单。</w:t>
      </w:r>
    </w:p>
    <w:p>
      <w:pPr>
        <w:pStyle w:val="3"/>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18" w:name="_Toc2272554"/>
      <w:bookmarkStart w:id="19" w:name="_Toc21525498"/>
      <w:r>
        <w:rPr>
          <w:rFonts w:hint="eastAsia" w:ascii="宋体" w:hAnsi="宋体" w:eastAsia="宋体" w:cs="宋体"/>
          <w:color w:val="auto"/>
          <w:highlight w:val="none"/>
        </w:rPr>
        <w:t>第二章  开标、评标及定标办法</w:t>
      </w:r>
      <w:bookmarkEnd w:id="18"/>
      <w:bookmarkEnd w:id="19"/>
    </w:p>
    <w:p>
      <w:pPr>
        <w:pStyle w:val="7"/>
        <w:rPr>
          <w:rFonts w:hint="eastAsia" w:ascii="宋体" w:hAnsi="宋体" w:eastAsia="宋体" w:cs="宋体"/>
          <w:color w:val="auto"/>
          <w:highlight w:val="none"/>
        </w:rPr>
      </w:pPr>
      <w:bookmarkStart w:id="20" w:name="_Toc2272555"/>
      <w:bookmarkStart w:id="21" w:name="_Toc21525499"/>
      <w:r>
        <w:rPr>
          <w:rFonts w:hint="eastAsia" w:ascii="宋体" w:hAnsi="宋体" w:eastAsia="宋体" w:cs="宋体"/>
          <w:color w:val="auto"/>
          <w:sz w:val="28"/>
          <w:szCs w:val="28"/>
          <w:highlight w:val="none"/>
        </w:rPr>
        <w:t>一、</w:t>
      </w:r>
      <w:r>
        <w:rPr>
          <w:rFonts w:hint="eastAsia" w:ascii="宋体" w:hAnsi="宋体" w:eastAsia="宋体" w:cs="宋体"/>
          <w:color w:val="auto"/>
          <w:highlight w:val="none"/>
        </w:rPr>
        <w:t>开标、评标及定标办法修改表</w:t>
      </w:r>
      <w:bookmarkEnd w:id="20"/>
      <w:bookmarkEnd w:id="21"/>
    </w:p>
    <w:p>
      <w:pPr>
        <w:pStyle w:val="5"/>
        <w:spacing w:after="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36.1            修改类型：修改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 xml:space="preserve">36.1 </w:t>
      </w:r>
      <w:r>
        <w:rPr>
          <w:rFonts w:hint="eastAsia" w:ascii="宋体" w:hAnsi="宋体" w:eastAsia="宋体" w:cs="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条款号：36.3             修改类型：删除</w:t>
      </w:r>
    </w:p>
    <w:p>
      <w:pPr>
        <w:pBdr>
          <w:bottom w:val="single" w:color="auto" w:sz="6" w:space="1"/>
        </w:pBd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条款号：36.5.1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36.5.1在投标截止时间后半小时内，投标人通过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36.5.1在投标截止时间后半小时内，投标人通过交易平台对已递交的电子投标文件进行解密。投标人完成解密后，再由招标人或其委托的招标代理机构进行解密。解密完成后，公布招标</w:t>
      </w:r>
      <w:r>
        <w:rPr>
          <w:rFonts w:hint="eastAsia" w:ascii="宋体" w:hAnsi="宋体" w:eastAsia="宋体" w:cs="宋体"/>
          <w:color w:val="auto"/>
          <w:highlight w:val="none"/>
        </w:rPr>
        <w:t>项目名称、投标人名称、投标保证金的递交情况、投标报价、工期及其他内容；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条款号：36.5.3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rPr>
        <w:t>若投标人不参加开标会的，或不签字确认的，视同该投标人认可开标结果。</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条款号：38.1            修改类型：修改</w:t>
      </w:r>
    </w:p>
    <w:p>
      <w:pPr>
        <w:spacing w:line="360" w:lineRule="auto"/>
        <w:ind w:firstLine="472" w:firstLineChars="224"/>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eastAsia="宋体" w:cs="宋体"/>
          <w:color w:val="auto"/>
          <w:szCs w:val="21"/>
          <w:highlight w:val="none"/>
          <w:lang w:eastAsia="zh-CN"/>
        </w:rPr>
        <w:t>。</w:t>
      </w:r>
    </w:p>
    <w:p>
      <w:pPr>
        <w:pBdr>
          <w:bottom w:val="single" w:color="auto" w:sz="6" w:space="1"/>
        </w:pBdr>
        <w:spacing w:line="360" w:lineRule="auto"/>
        <w:ind w:firstLine="527"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eastAsia="宋体" w:cs="宋体"/>
          <w:color w:val="auto"/>
          <w:szCs w:val="21"/>
          <w:highlight w:val="none"/>
          <w:u w:val="single"/>
        </w:rPr>
        <w:t>要求投标人对投标文件含义不明确、对同类问题表述不一致、有明显文字和计算错误的内容以及细微偏差的内容作出澄清。</w:t>
      </w:r>
    </w:p>
    <w:p>
      <w:pPr>
        <w:spacing w:line="360" w:lineRule="auto"/>
        <w:ind w:firstLine="472" w:firstLineChars="224"/>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hint="eastAsia" w:ascii="宋体" w:hAnsi="宋体" w:eastAsia="宋体" w:cs="宋体"/>
          <w:b/>
          <w:color w:val="auto"/>
          <w:szCs w:val="21"/>
          <w:highlight w:val="none"/>
        </w:rPr>
        <w:t xml:space="preserve">39.2  </w:t>
      </w:r>
      <w:r>
        <w:rPr>
          <w:rFonts w:hint="eastAsia" w:ascii="宋体" w:hAnsi="宋体" w:eastAsia="宋体" w:cs="宋体"/>
          <w:b/>
          <w:bCs/>
          <w:color w:val="auto"/>
          <w:szCs w:val="21"/>
          <w:highlight w:val="none"/>
        </w:rPr>
        <w:t xml:space="preserve">         修改类型：修改</w:t>
      </w:r>
    </w:p>
    <w:p>
      <w:pPr>
        <w:spacing w:line="360" w:lineRule="auto"/>
        <w:ind w:firstLine="472" w:firstLineChars="22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szCs w:val="21"/>
          <w:highlight w:val="none"/>
        </w:rPr>
        <w:t>39.2依法必须进行公开招标的项目，招标人应当确定排名第一的中标候选人为中标人；</w:t>
      </w:r>
    </w:p>
    <w:p>
      <w:pPr>
        <w:pBdr>
          <w:bottom w:val="single" w:color="auto" w:sz="6" w:space="1"/>
        </w:pBdr>
        <w:spacing w:line="360" w:lineRule="auto"/>
        <w:ind w:firstLine="527" w:firstLineChars="250"/>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现文：</w:t>
      </w:r>
      <w:r>
        <w:rPr>
          <w:rFonts w:hint="eastAsia" w:ascii="宋体" w:hAnsi="宋体" w:eastAsia="宋体" w:cs="宋体"/>
          <w:color w:val="auto"/>
          <w:szCs w:val="21"/>
          <w:highlight w:val="none"/>
        </w:rPr>
        <w:t>39.2依法必须进行公开招标的项目，招标人应当确定排名第一的中标候选人为中标人，</w:t>
      </w:r>
      <w:r>
        <w:rPr>
          <w:rFonts w:hint="eastAsia" w:ascii="宋体" w:hAnsi="宋体" w:eastAsia="宋体" w:cs="宋体"/>
          <w:color w:val="auto"/>
          <w:szCs w:val="21"/>
          <w:highlight w:val="none"/>
          <w:u w:val="single"/>
        </w:rPr>
        <w:t>若在填报中标候选人公示信息时被发现委派的项目负责人已在其他在建项目中任职、不符合任职数量规定时，则不能进行中标候选人公示，招标人可以确定排名第二的中标候选人为中标人。</w:t>
      </w:r>
    </w:p>
    <w:p>
      <w:pPr>
        <w:spacing w:line="360" w:lineRule="auto"/>
        <w:ind w:firstLine="472" w:firstLineChars="224"/>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hint="eastAsia" w:ascii="宋体" w:hAnsi="宋体" w:eastAsia="宋体" w:cs="宋体"/>
          <w:b/>
          <w:color w:val="auto"/>
          <w:szCs w:val="21"/>
          <w:highlight w:val="none"/>
        </w:rPr>
        <w:t xml:space="preserve">39.3 </w:t>
      </w:r>
      <w:r>
        <w:rPr>
          <w:rFonts w:hint="eastAsia" w:ascii="宋体" w:hAnsi="宋体" w:eastAsia="宋体" w:cs="宋体"/>
          <w:b/>
          <w:bCs/>
          <w:color w:val="auto"/>
          <w:szCs w:val="21"/>
          <w:highlight w:val="none"/>
        </w:rPr>
        <w:t xml:space="preserve">         修改类型：修改</w:t>
      </w:r>
    </w:p>
    <w:p>
      <w:pPr>
        <w:spacing w:line="360" w:lineRule="auto"/>
        <w:ind w:firstLine="472" w:firstLineChars="22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w:t>
      </w:r>
      <w:r>
        <w:rPr>
          <w:rFonts w:hint="eastAsia" w:ascii="宋体" w:hAnsi="宋体" w:eastAsia="宋体" w:cs="宋体"/>
          <w:color w:val="auto"/>
          <w:szCs w:val="21"/>
          <w:highlight w:val="none"/>
          <w:u w:val="single"/>
        </w:rPr>
        <w:t>或经核查发现委派的项目负责人已在其他在建项目中任职、不符合任职数量规定时，</w:t>
      </w:r>
      <w:r>
        <w:rPr>
          <w:rFonts w:hint="eastAsia" w:ascii="宋体" w:hAnsi="宋体" w:eastAsia="宋体" w:cs="宋体"/>
          <w:color w:val="auto"/>
          <w:szCs w:val="21"/>
          <w:highlight w:val="none"/>
        </w:rPr>
        <w:t>招标人可以确定排名第二的中标候选人为中标人。</w:t>
      </w:r>
    </w:p>
    <w:p>
      <w:pPr>
        <w:spacing w:line="360" w:lineRule="auto"/>
        <w:ind w:firstLine="472" w:firstLineChars="224"/>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条款号：</w:t>
      </w:r>
      <w:r>
        <w:rPr>
          <w:rFonts w:hint="eastAsia" w:ascii="宋体" w:hAnsi="宋体" w:eastAsia="宋体" w:cs="宋体"/>
          <w:b w:val="0"/>
          <w:bCs w:val="0"/>
          <w:color w:val="auto"/>
          <w:szCs w:val="21"/>
          <w:highlight w:val="none"/>
        </w:rPr>
        <w:t>（二）开标评标办法程序和细则</w:t>
      </w:r>
      <w:r>
        <w:rPr>
          <w:rFonts w:hint="eastAsia" w:ascii="宋体" w:hAnsi="宋体" w:eastAsia="宋体" w:cs="宋体"/>
          <w:b/>
          <w:color w:val="auto"/>
          <w:szCs w:val="21"/>
          <w:highlight w:val="none"/>
        </w:rPr>
        <w:t xml:space="preserve">  </w:t>
      </w:r>
      <w:r>
        <w:rPr>
          <w:rFonts w:hint="eastAsia" w:ascii="宋体" w:hAnsi="宋体" w:eastAsia="宋体" w:cs="宋体"/>
          <w:b/>
          <w:bCs/>
          <w:color w:val="auto"/>
          <w:szCs w:val="21"/>
          <w:highlight w:val="none"/>
        </w:rPr>
        <w:t xml:space="preserve">         修改类型：</w:t>
      </w:r>
      <w:r>
        <w:rPr>
          <w:rFonts w:hint="eastAsia" w:ascii="宋体" w:hAnsi="宋体" w:eastAsia="宋体" w:cs="宋体"/>
          <w:b/>
          <w:bCs/>
          <w:color w:val="auto"/>
          <w:szCs w:val="21"/>
          <w:highlight w:val="none"/>
          <w:lang w:eastAsia="zh-CN"/>
        </w:rPr>
        <w:t>删除</w:t>
      </w:r>
    </w:p>
    <w:p>
      <w:pPr>
        <w:pBdr>
          <w:bottom w:val="single" w:color="auto" w:sz="6" w:space="1"/>
        </w:pBdr>
        <w:spacing w:line="360" w:lineRule="auto"/>
        <w:ind w:firstLine="527" w:firstLineChars="250"/>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原文：</w:t>
      </w:r>
      <w:r>
        <w:rPr>
          <w:rFonts w:hint="eastAsia" w:ascii="宋体" w:hAnsi="宋体" w:eastAsia="宋体" w:cs="宋体"/>
          <w:b w:val="0"/>
          <w:bCs w:val="0"/>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-376555</wp:posOffset>
                </wp:positionH>
                <wp:positionV relativeFrom="paragraph">
                  <wp:posOffset>19685</wp:posOffset>
                </wp:positionV>
                <wp:extent cx="6162675" cy="0"/>
                <wp:effectExtent l="0" t="0" r="0" b="0"/>
                <wp:wrapNone/>
                <wp:docPr id="31" name="直接箭头连接符 31"/>
                <wp:cNvGraphicFramePr/>
                <a:graphic xmlns:a="http://schemas.openxmlformats.org/drawingml/2006/main">
                  <a:graphicData uri="http://schemas.microsoft.com/office/word/2010/wordprocessingShape">
                    <wps:wsp>
                      <wps:cNvCnPr/>
                      <wps:spPr>
                        <a:xfrm>
                          <a:off x="0" y="0"/>
                          <a:ext cx="61626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65pt;margin-top:1.55pt;height:0pt;width:485.25pt;z-index:251659264;mso-width-relative:page;mso-height-relative:page;" filled="f" stroked="t" coordsize="21600,21600" o:gfxdata="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fRdOzUAAAABwEAAA8AAAAAAAAAAQAgAAAAIgAAAGRycy9kb3du&#10;cmV2LnhtbFBLAQIUABQAAAAIAIdO4kCqwcOPAwIAAPwDAAAOAAAAAAAAAAEAIAAAACM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宋体"/>
          <w:b/>
          <w:color w:val="auto"/>
          <w:szCs w:val="21"/>
          <w:highlight w:val="none"/>
        </w:rPr>
        <w:t>条款号：40            修改类型：修改</w:t>
      </w:r>
    </w:p>
    <w:p>
      <w:pPr>
        <w:pBdr>
          <w:bottom w:val="single" w:color="auto" w:sz="6" w:space="1"/>
        </w:pBdr>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40．开标和评标程序</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40.1技术标（含资格审查文件）与经济标投标文件同时公开开标；</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40.2由评标委员会对所有已公开开标的投标人进行资格审查；</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40.3技术标投标文件有效性审查；</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40.4技术标详细审查评分；</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40.5经济标详细审查评分； </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40.6评标委员会按照投标人总得分由高至低排序；</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40.7经济标投标文件有效性审查；</w:t>
      </w:r>
    </w:p>
    <w:p>
      <w:pPr>
        <w:pBdr>
          <w:bottom w:val="single" w:color="auto" w:sz="6" w:space="1"/>
        </w:pBdr>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40.8评标委员会按排序向招标人推荐中标候选人名单，并递交资格审查报告及评标报告。</w:t>
      </w:r>
    </w:p>
    <w:p>
      <w:pPr>
        <w:pBdr>
          <w:bottom w:val="single" w:color="auto" w:sz="6" w:space="1"/>
        </w:pBdr>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40．开标和评标程序：</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w:t>
      </w:r>
      <w:r>
        <w:rPr>
          <w:rFonts w:hint="eastAsia" w:ascii="宋体" w:hAnsi="宋体" w:eastAsia="宋体" w:cs="宋体"/>
          <w:color w:val="auto"/>
          <w:sz w:val="21"/>
          <w:szCs w:val="21"/>
          <w:highlight w:val="none"/>
        </w:rPr>
        <w:t>技术标（含资格审查文件）与经济标投标文件同时公开开标</w:t>
      </w:r>
      <w:r>
        <w:rPr>
          <w:rFonts w:hint="eastAsia" w:ascii="宋体" w:hAnsi="宋体" w:eastAsia="宋体" w:cs="宋体"/>
          <w:color w:val="auto"/>
          <w:szCs w:val="21"/>
          <w:highlight w:val="none"/>
        </w:rPr>
        <w:t>；</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由评标委员会对所有已公开开标的投标人进行资格审查</w:t>
      </w:r>
      <w:r>
        <w:rPr>
          <w:rFonts w:hint="eastAsia" w:ascii="宋体" w:hAnsi="宋体" w:eastAsia="宋体" w:cs="宋体"/>
          <w:color w:val="auto"/>
          <w:szCs w:val="21"/>
          <w:highlight w:val="none"/>
          <w:u w:val="single"/>
        </w:rPr>
        <w:t>，并编写资格审查报告</w:t>
      </w:r>
      <w:r>
        <w:rPr>
          <w:rFonts w:hint="eastAsia" w:ascii="宋体" w:hAnsi="宋体" w:eastAsia="宋体" w:cs="宋体"/>
          <w:color w:val="auto"/>
          <w:szCs w:val="21"/>
          <w:highlight w:val="none"/>
        </w:rPr>
        <w:t>；</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u w:val="single"/>
        </w:rPr>
        <w:t>对通过资格审查的投标单位进行</w:t>
      </w:r>
      <w:r>
        <w:rPr>
          <w:rFonts w:hint="eastAsia" w:ascii="宋体" w:hAnsi="宋体" w:eastAsia="宋体" w:cs="宋体"/>
          <w:color w:val="auto"/>
          <w:szCs w:val="21"/>
          <w:highlight w:val="none"/>
        </w:rPr>
        <w:t>技术标投标文件有效性审查；</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技术标详细审查评分；</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u w:val="single"/>
        </w:rPr>
        <w:t>对通过技术标投标文件有效性审查的投标单位进行经济标详细审查评分（含投标报价算术校核）；</w:t>
      </w:r>
      <w:r>
        <w:rPr>
          <w:rFonts w:hint="eastAsia" w:ascii="宋体" w:hAnsi="宋体" w:eastAsia="宋体" w:cs="宋体"/>
          <w:color w:val="auto"/>
          <w:szCs w:val="21"/>
          <w:highlight w:val="none"/>
        </w:rPr>
        <w:t xml:space="preserve"> </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u w:val="single"/>
        </w:rPr>
        <w:t>汇总技术标、经济标评分，按总得分排序</w:t>
      </w:r>
      <w:r>
        <w:rPr>
          <w:rFonts w:hint="eastAsia" w:ascii="宋体" w:hAnsi="宋体" w:eastAsia="宋体" w:cs="宋体"/>
          <w:color w:val="auto"/>
          <w:szCs w:val="21"/>
          <w:highlight w:val="none"/>
        </w:rPr>
        <w:t>；</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u w:val="single"/>
        </w:rPr>
        <w:t>经济标投标文件有效性审查</w:t>
      </w:r>
      <w:r>
        <w:rPr>
          <w:rFonts w:hint="eastAsia" w:ascii="宋体" w:hAnsi="宋体" w:eastAsia="宋体" w:cs="宋体"/>
          <w:color w:val="auto"/>
          <w:szCs w:val="21"/>
          <w:highlight w:val="none"/>
        </w:rPr>
        <w:t>；</w:t>
      </w:r>
    </w:p>
    <w:p>
      <w:pPr>
        <w:pBdr>
          <w:bottom w:val="single" w:color="auto" w:sz="6" w:space="1"/>
        </w:pBd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u w:val="single"/>
        </w:rPr>
        <w:t>评出所有中标候选人，评标委员会编写评标报告，向招标人推荐中标候选人名称</w:t>
      </w:r>
      <w:r>
        <w:rPr>
          <w:rFonts w:hint="eastAsia" w:ascii="宋体" w:hAnsi="宋体" w:eastAsia="宋体" w:cs="宋体"/>
          <w:color w:val="auto"/>
          <w:szCs w:val="21"/>
          <w:highlight w:val="none"/>
        </w:rPr>
        <w:t>。</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条款号：41.1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41.1开标由招标人主持；</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41.1开标由招标人</w:t>
      </w:r>
      <w:r>
        <w:rPr>
          <w:rFonts w:hint="eastAsia" w:ascii="宋体" w:hAnsi="宋体" w:eastAsia="宋体" w:cs="宋体"/>
          <w:color w:val="auto"/>
          <w:szCs w:val="21"/>
          <w:highlight w:val="none"/>
          <w:u w:val="single"/>
        </w:rPr>
        <w:t>或招标代理</w:t>
      </w:r>
      <w:r>
        <w:rPr>
          <w:rFonts w:hint="eastAsia" w:ascii="宋体" w:hAnsi="宋体" w:eastAsia="宋体" w:cs="宋体"/>
          <w:color w:val="auto"/>
          <w:szCs w:val="21"/>
          <w:highlight w:val="none"/>
        </w:rPr>
        <w:t>主持；</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条款号：41.2.1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41.2.1投标截止期前，各投标人递交投标文件（包括技术标投标文件、经济标投标文件）至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41.2.1投标截止期前，各投标人递交投标文件（包括技术标投标文件、经济标投标文件）至</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交易平台。有关投标文件提交的事项详见第一章投标须知。</w:t>
      </w:r>
    </w:p>
    <w:p>
      <w:pPr>
        <w:spacing w:line="480" w:lineRule="auto"/>
        <w:ind w:firstLine="470" w:firstLineChars="22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41.2.2          修改类型：删除</w:t>
      </w:r>
    </w:p>
    <w:p>
      <w:pPr>
        <w:pBdr>
          <w:bottom w:val="single" w:color="auto" w:sz="6" w:space="1"/>
        </w:pBdr>
        <w:spacing w:line="360" w:lineRule="auto"/>
        <w:ind w:firstLine="470" w:firstLineChars="223"/>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41.2.2开标前，首先由招标人随机抽取确定该工程计算评标参考价的等分点值X。</w:t>
      </w:r>
    </w:p>
    <w:p>
      <w:pPr>
        <w:spacing w:line="480" w:lineRule="auto"/>
        <w:ind w:firstLine="470" w:firstLineChars="223"/>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条款号： 41.2.</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 xml:space="preserve">          修改类型：</w:t>
      </w:r>
      <w:r>
        <w:rPr>
          <w:rFonts w:hint="eastAsia" w:ascii="宋体" w:hAnsi="宋体" w:cs="宋体"/>
          <w:b/>
          <w:color w:val="auto"/>
          <w:szCs w:val="21"/>
          <w:highlight w:val="none"/>
          <w:lang w:val="en-US" w:eastAsia="zh-CN"/>
        </w:rPr>
        <w:t>修改</w:t>
      </w:r>
    </w:p>
    <w:p>
      <w:pPr>
        <w:pBdr>
          <w:bottom w:val="single" w:color="auto" w:sz="6" w:space="1"/>
        </w:pBdr>
        <w:spacing w:line="360" w:lineRule="auto"/>
        <w:ind w:firstLine="470" w:firstLineChars="223"/>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原文：</w:t>
      </w:r>
      <w:r>
        <w:rPr>
          <w:rFonts w:hint="eastAsia" w:ascii="宋体" w:hAnsi="宋体" w:eastAsia="宋体" w:cs="宋体"/>
          <w:b w:val="0"/>
          <w:bCs/>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70" w:firstLineChars="223"/>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现文：</w:t>
      </w:r>
      <w:r>
        <w:rPr>
          <w:rFonts w:hint="eastAsia" w:ascii="宋体" w:hAnsi="宋体" w:eastAsia="宋体" w:cs="宋体"/>
          <w:b w:val="0"/>
          <w:bCs/>
          <w:color w:val="auto"/>
          <w:szCs w:val="21"/>
          <w:highlight w:val="none"/>
        </w:rPr>
        <w:t>41.2.</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pPr>
        <w:spacing w:line="360" w:lineRule="auto"/>
        <w:ind w:firstLine="472" w:firstLineChars="22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评标委员会的组成：方式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方式一：评标委员会为综合评标委员会，负责资格审查及评标工作。</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评标委员会的组成：方式 </w:t>
      </w:r>
      <w:r>
        <w:rPr>
          <w:rFonts w:hint="eastAsia" w:ascii="宋体" w:hAnsi="宋体" w:eastAsia="宋体" w:cs="宋体"/>
          <w:color w:val="auto"/>
          <w:szCs w:val="21"/>
          <w:highlight w:val="none"/>
          <w:u w:val="single"/>
        </w:rPr>
        <w:t xml:space="preserve">  一   </w:t>
      </w:r>
      <w:r>
        <w:rPr>
          <w:rFonts w:hint="eastAsia" w:ascii="宋体" w:hAnsi="宋体" w:eastAsia="宋体" w:cs="宋体"/>
          <w:color w:val="auto"/>
          <w:szCs w:val="21"/>
          <w:highlight w:val="none"/>
        </w:rPr>
        <w:t>。</w:t>
      </w:r>
    </w:p>
    <w:p>
      <w:pPr>
        <w:pBdr>
          <w:bottom w:val="single" w:color="auto" w:sz="6" w:space="1"/>
        </w:pBd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方式一：评标委员会为综合评标委员会，负责资格审查及评标工作。</w:t>
      </w:r>
    </w:p>
    <w:p>
      <w:pPr>
        <w:spacing w:line="360" w:lineRule="auto"/>
        <w:ind w:firstLine="424" w:firstLineChars="201"/>
        <w:rPr>
          <w:rFonts w:hint="eastAsia"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360" w:lineRule="auto"/>
        <w:ind w:firstLine="424"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24" w:firstLineChars="201"/>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hint="eastAsia" w:ascii="宋体" w:hAnsi="宋体" w:cs="宋体"/>
          <w:color w:val="auto"/>
          <w:szCs w:val="21"/>
          <w:highlight w:val="none"/>
          <w:u w:val="single"/>
        </w:rPr>
        <w:t>成员</w:t>
      </w:r>
      <w:r>
        <w:rPr>
          <w:rFonts w:hint="eastAsia" w:ascii="宋体" w:hAnsi="宋体" w:cs="宋体"/>
          <w:color w:val="auto"/>
          <w:szCs w:val="21"/>
          <w:highlight w:val="none"/>
        </w:rPr>
        <w:t>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若通过技术标有效性审查的投标人不足3名，则重新招标。</w:t>
      </w:r>
      <w:r>
        <w:rPr>
          <w:rFonts w:hint="eastAsia" w:ascii="宋体" w:hAnsi="宋体" w:cs="宋体"/>
          <w:color w:val="auto"/>
          <w:szCs w:val="21"/>
          <w:highlight w:val="none"/>
          <w:u w:val="none"/>
        </w:rPr>
        <w:t>评委发现投标文件中含义不明确、对同类问题表述不一致、有明显文字和计算错误的，应当要求投标人作必要的澄清、说明后再判定投标人是否通过有效性审查，不得直接否决投标。</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527"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44.2</w:t>
      </w:r>
      <w:r>
        <w:rPr>
          <w:rFonts w:hint="eastAsia" w:ascii="宋体" w:hAnsi="宋体" w:eastAsia="宋体" w:cs="宋体"/>
          <w:color w:val="auto"/>
          <w:szCs w:val="21"/>
          <w:highlight w:val="none"/>
          <w:u w:val="single"/>
        </w:rPr>
        <w:t>技术标详细审查评分：评标委员会按照附表四《技术标详细审查评分表》的标准，对通过技术标有效性审查的投标文件技术标进行详细审查，全部评委的评分</w:t>
      </w:r>
      <w:r>
        <w:rPr>
          <w:rFonts w:hint="eastAsia" w:ascii="宋体" w:hAnsi="宋体" w:cs="宋体"/>
          <w:color w:val="auto"/>
          <w:szCs w:val="21"/>
          <w:highlight w:val="none"/>
          <w:u w:val="single"/>
          <w:lang w:eastAsia="zh-CN"/>
        </w:rPr>
        <w:t>汇总后</w:t>
      </w:r>
      <w:r>
        <w:rPr>
          <w:rFonts w:hint="eastAsia" w:ascii="宋体" w:hAnsi="宋体" w:eastAsia="宋体" w:cs="宋体"/>
          <w:color w:val="auto"/>
          <w:szCs w:val="21"/>
          <w:highlight w:val="none"/>
          <w:u w:val="single"/>
        </w:rPr>
        <w:t>进行算术平均，得出该投标人的技术得分（若分数出现小数点时，保留小数点后二位，第三位小数四舍五入）</w:t>
      </w:r>
      <w:r>
        <w:rPr>
          <w:rFonts w:hint="eastAsia" w:ascii="宋体" w:hAnsi="宋体" w:eastAsia="宋体" w:cs="宋体"/>
          <w:color w:val="auto"/>
          <w:szCs w:val="21"/>
          <w:highlight w:val="none"/>
        </w:rPr>
        <w:t>。</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条款号：45             修改类型：修改</w:t>
      </w:r>
    </w:p>
    <w:p>
      <w:pPr>
        <w:pStyle w:val="5"/>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45．经济标评审和得分汇总</w:t>
      </w:r>
    </w:p>
    <w:p>
      <w:pPr>
        <w:pStyle w:val="5"/>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45.1若通过技术标有效性审查的投标人中所有投标报价均大于等于最高投标限价*D%（D的取值范围为[94,100],由招标人自主确定）的（具体金额为：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元），则本项目招标失败，由招标人依法重新招标。</w:t>
      </w:r>
    </w:p>
    <w:p>
      <w:pPr>
        <w:pStyle w:val="5"/>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45.2按方法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计算评标参考价：</w:t>
      </w:r>
    </w:p>
    <w:p>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方法一：加权平均法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评标参考价=Σ（投标人的投标报价*报价权重）。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其中：报价权重的计算方法为：将N名投标人按技术分由高至低进行排序，第一名投标人的权重为（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sz w:val="21"/>
          <w:szCs w:val="21"/>
          <w:highlight w:val="none"/>
        </w:rPr>
        <w:drawing>
          <wp:inline distT="0" distB="0" distL="0" distR="0">
            <wp:extent cx="381000" cy="447675"/>
            <wp:effectExtent l="0" t="0" r="0" b="8890"/>
            <wp:docPr id="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drawing>
          <wp:inline distT="0" distB="0" distL="0" distR="0">
            <wp:extent cx="381000" cy="447675"/>
            <wp:effectExtent l="0" t="0" r="0" b="8890"/>
            <wp:docPr id="3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23850" cy="400050"/>
            <wp:effectExtent l="0" t="0" r="0" b="0"/>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），以此类推，最后一名投标人的权重为（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23850" cy="400050"/>
            <wp:effectExtent l="0" t="0" r="0" b="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23850" cy="400050"/>
            <wp:effectExtent l="0" t="0" r="0"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方法二：区间抽取法</w:t>
      </w:r>
    </w:p>
    <w:p>
      <w:pPr>
        <w:widowControl/>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：为（最高投标限价*D%）（D的取值范围为[94,100],由招标人自定）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现文：45．经济标评审和得分汇总</w:t>
      </w:r>
    </w:p>
    <w:p>
      <w:pPr>
        <w:pStyle w:val="5"/>
        <w:tabs>
          <w:tab w:val="left" w:pos="7380"/>
        </w:tabs>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45.1若通过技术标有效性审查的投标人中所有投标报价均大于等于最高投标限价*</w:t>
      </w:r>
      <w:r>
        <w:rPr>
          <w:rFonts w:hint="eastAsia" w:ascii="宋体" w:hAnsi="宋体" w:eastAsia="宋体" w:cs="宋体"/>
          <w:color w:val="auto"/>
          <w:szCs w:val="21"/>
          <w:highlight w:val="none"/>
          <w:u w:val="single"/>
          <w:lang w:val="en-US" w:eastAsia="zh-CN"/>
        </w:rPr>
        <w:t>100</w:t>
      </w:r>
      <w:r>
        <w:rPr>
          <w:rFonts w:hint="eastAsia" w:ascii="宋体" w:hAnsi="宋体" w:eastAsia="宋体" w:cs="宋体"/>
          <w:color w:val="auto"/>
          <w:szCs w:val="21"/>
          <w:highlight w:val="none"/>
        </w:rPr>
        <w:t>%的（具体金额为：45128475.28元（其中，景观项目、供电项目：37180488.95元；特殊定制工程：7947986.33元）</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则本项目招标失败，由招标人依法重新招标。</w:t>
      </w:r>
    </w:p>
    <w:p>
      <w:pPr>
        <w:pStyle w:val="5"/>
        <w:tabs>
          <w:tab w:val="left" w:pos="7380"/>
        </w:tabs>
        <w:snapToGrid w:val="0"/>
        <w:spacing w:after="0"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45.2按方法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w:t>
      </w:r>
      <w:r>
        <w:rPr>
          <w:rFonts w:hint="eastAsia" w:ascii="宋体" w:hAnsi="宋体" w:eastAsia="宋体" w:cs="宋体"/>
          <w:b/>
          <w:bCs/>
          <w:color w:val="auto"/>
          <w:kern w:val="0"/>
          <w:sz w:val="21"/>
          <w:szCs w:val="21"/>
          <w:highlight w:val="none"/>
          <w:lang w:eastAsia="zh-CN"/>
        </w:rPr>
        <w:t>一</w:t>
      </w:r>
      <w:r>
        <w:rPr>
          <w:rFonts w:hint="eastAsia" w:ascii="宋体" w:hAnsi="宋体" w:eastAsia="宋体" w:cs="宋体"/>
          <w:b/>
          <w:bCs/>
          <w:color w:val="auto"/>
          <w:kern w:val="0"/>
          <w:sz w:val="21"/>
          <w:szCs w:val="21"/>
          <w:highlight w:val="none"/>
        </w:rPr>
        <w:t>：加权平均法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技术标得分前N名的经济报价加权平均</w:t>
      </w:r>
      <w:r>
        <w:rPr>
          <w:rFonts w:hint="eastAsia" w:ascii="宋体" w:hAnsi="宋体" w:eastAsia="宋体" w:cs="宋体"/>
          <w:b/>
          <w:bCs/>
          <w:color w:val="auto"/>
          <w:sz w:val="21"/>
          <w:szCs w:val="21"/>
          <w:highlight w:val="none"/>
        </w:rPr>
        <w:t>（若通过技术标有效性审查的投标人大于等于5家时，N=5；若通过技术标有效性审查的投标人小于5家时，N=通过技术标有效性审查的投标人家数）</w:t>
      </w:r>
      <w:r>
        <w:rPr>
          <w:rFonts w:hint="eastAsia" w:ascii="宋体" w:hAnsi="宋体" w:eastAsia="宋体" w:cs="宋体"/>
          <w:color w:val="auto"/>
          <w:sz w:val="21"/>
          <w:szCs w:val="21"/>
          <w:highlight w:val="none"/>
        </w:rPr>
        <w:t>，计算评标参考价。公式如下：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评标参考价=Σ（投标人的投标报价*报价权重）。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其中：报价权重的计算方法为：将N名投标人按技术分由高至低进行排序，第一名投标人的权重为（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sz w:val="21"/>
          <w:szCs w:val="21"/>
          <w:highlight w:val="none"/>
        </w:rPr>
        <w:drawing>
          <wp:inline distT="0" distB="0" distL="0" distR="0">
            <wp:extent cx="381000" cy="447675"/>
            <wp:effectExtent l="0" t="0" r="0" b="889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drawing>
          <wp:inline distT="0" distB="0" distL="0" distR="0">
            <wp:extent cx="381000" cy="447675"/>
            <wp:effectExtent l="0" t="0" r="0" b="889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23850" cy="40005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23850" cy="4000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），以此类推，最后一名投标人的权重为（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23850" cy="400050"/>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23850" cy="40005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45.3</w:t>
      </w:r>
      <w:r>
        <w:rPr>
          <w:rFonts w:hint="eastAsia" w:ascii="宋体" w:hAnsi="宋体" w:eastAsia="宋体" w:cs="宋体"/>
          <w:color w:val="auto"/>
          <w:sz w:val="21"/>
          <w:szCs w:val="21"/>
          <w:highlight w:val="none"/>
        </w:rPr>
        <w:t>当标价等于评标参考价时得100分，标价每高于评标参考价1%，扣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分，每低于评标参考价1%，扣</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分，扣至0分为止，得出经济分，精确到小数点后两位。</w:t>
      </w:r>
    </w:p>
    <w:p>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rPr>
        <w:t>45.4计算通过技术标有效性审查的投标人总得分。投标人总得分=（技术得分×技术得分权重＋经济得分×经济得分权重）。技术、经济得分权重按投标须知前附表的规定执行。总得分四舍五入保留两位小数</w:t>
      </w:r>
      <w:r>
        <w:rPr>
          <w:rFonts w:hint="eastAsia" w:ascii="宋体" w:hAnsi="宋体" w:eastAsia="宋体" w:cs="宋体"/>
          <w:color w:val="auto"/>
          <w:szCs w:val="21"/>
          <w:highlight w:val="none"/>
          <w:u w:val="none"/>
        </w:rPr>
        <w:t>。</w:t>
      </w:r>
    </w:p>
    <w:p>
      <w:pPr>
        <w:pStyle w:val="5"/>
        <w:tabs>
          <w:tab w:val="left" w:pos="7380"/>
        </w:tabs>
        <w:snapToGrid w:val="0"/>
        <w:spacing w:after="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46.1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46.1</w:t>
      </w:r>
      <w:r>
        <w:rPr>
          <w:rFonts w:hint="eastAsia" w:ascii="宋体" w:hAnsi="宋体" w:eastAsia="宋体" w:cs="宋体"/>
          <w:color w:val="auto"/>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宋体"/>
          <w:color w:val="auto"/>
          <w:szCs w:val="21"/>
          <w:highlight w:val="none"/>
        </w:rPr>
        <w:t>。</w:t>
      </w:r>
    </w:p>
    <w:p>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宋体"/>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条款号：附表一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见范本《资格审查表》</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详见《资格审查表》</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条款号：附表二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见范本《技术标有效性审查表》</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：详见《技术标有效性审查表》</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条款号：附表三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见范本《经济标有效性审查表》</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详见《经济标有效性审查表》</w:t>
      </w:r>
    </w:p>
    <w:p>
      <w:pP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条款号：附表四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见范本《技术标详细审查评分表》</w:t>
      </w:r>
    </w:p>
    <w:p>
      <w:pPr>
        <w:pBdr>
          <w:bottom w:val="single" w:color="auto" w:sz="6" w:space="1"/>
        </w:pBdr>
        <w:spacing w:line="360" w:lineRule="auto"/>
        <w:ind w:firstLine="527" w:firstLineChars="250"/>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详见《技术标详细审查评分表》</w:t>
      </w:r>
    </w:p>
    <w:p>
      <w:pPr>
        <w:rPr>
          <w:rFonts w:hint="eastAsia" w:ascii="宋体" w:hAnsi="宋体" w:eastAsia="宋体" w:cs="宋体"/>
          <w:color w:val="auto"/>
          <w:highlight w:val="none"/>
        </w:rPr>
      </w:pPr>
      <w:r>
        <w:rPr>
          <w:rFonts w:hint="eastAsia" w:ascii="宋体" w:hAnsi="宋体" w:eastAsia="宋体" w:cs="宋体"/>
          <w:b/>
          <w:color w:val="auto"/>
          <w:szCs w:val="21"/>
          <w:highlight w:val="none"/>
        </w:rPr>
        <w:t>注：以上修改，仅限于本范本中有可供选择条款的情形。</w:t>
      </w:r>
    </w:p>
    <w:p>
      <w:pPr>
        <w:spacing w:line="360" w:lineRule="auto"/>
        <w:rPr>
          <w:rFonts w:hint="eastAsia" w:ascii="宋体" w:hAnsi="宋体" w:eastAsia="宋体" w:cs="宋体"/>
          <w:color w:val="auto"/>
          <w:highlight w:val="none"/>
        </w:rPr>
      </w:pP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ind w:firstLine="525"/>
        <w:rPr>
          <w:rFonts w:hint="eastAsia" w:ascii="宋体" w:hAnsi="宋体" w:eastAsia="宋体" w:cs="宋体"/>
          <w:color w:val="auto"/>
          <w:highlight w:val="none"/>
        </w:rPr>
      </w:pPr>
      <w:bookmarkStart w:id="22" w:name="_Toc2272556"/>
      <w:bookmarkStart w:id="23" w:name="_Toc21525500"/>
      <w:r>
        <w:rPr>
          <w:rFonts w:hint="eastAsia" w:ascii="宋体" w:hAnsi="宋体" w:eastAsia="宋体" w:cs="宋体"/>
          <w:color w:val="auto"/>
          <w:highlight w:val="none"/>
        </w:rPr>
        <w:t>二、开标、评标及定标办法</w:t>
      </w:r>
      <w:r>
        <w:rPr>
          <w:rFonts w:hint="eastAsia" w:ascii="宋体" w:hAnsi="宋体" w:eastAsia="宋体" w:cs="宋体"/>
          <w:color w:val="auto"/>
          <w:szCs w:val="30"/>
          <w:highlight w:val="none"/>
        </w:rPr>
        <w:t>通用条款</w:t>
      </w:r>
      <w:bookmarkEnd w:id="22"/>
      <w:bookmarkEnd w:id="23"/>
    </w:p>
    <w:p>
      <w:pPr>
        <w:pStyle w:val="8"/>
        <w:spacing w:before="156" w:after="156"/>
        <w:ind w:firstLine="540" w:firstLineChars="200"/>
        <w:rPr>
          <w:rFonts w:hint="eastAsia" w:ascii="宋体" w:hAnsi="宋体" w:eastAsia="宋体" w:cs="宋体"/>
          <w:color w:val="auto"/>
          <w:highlight w:val="none"/>
        </w:rPr>
      </w:pPr>
      <w:bookmarkStart w:id="24" w:name="_Toc2272557"/>
      <w:bookmarkStart w:id="25" w:name="_Toc21525501"/>
      <w:r>
        <w:rPr>
          <w:rFonts w:hint="eastAsia" w:ascii="宋体" w:hAnsi="宋体" w:eastAsia="宋体" w:cs="宋体"/>
          <w:color w:val="auto"/>
          <w:highlight w:val="none"/>
        </w:rPr>
        <w:t>（一）总则</w:t>
      </w:r>
      <w:bookmarkEnd w:id="24"/>
      <w:bookmarkEnd w:id="25"/>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35.9本项目招标文件。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36.5按下列程序进行开标：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36.5.1在投标截止时间后半小时内，投标人通过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36.5.4开标结束。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进行认真评审，完成评审报告；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 评标结束后，评标委员会递交评标报告并依法推荐中标候选人。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rFonts w:hint="eastAsia" w:ascii="宋体" w:hAnsi="宋体" w:eastAsia="宋体" w:cs="宋体"/>
          <w:color w:val="auto"/>
          <w:highlight w:val="none"/>
        </w:rPr>
      </w:pPr>
      <w:bookmarkStart w:id="26" w:name="_Toc2272558"/>
      <w:bookmarkStart w:id="27" w:name="_Toc21525502"/>
      <w:r>
        <w:rPr>
          <w:rFonts w:hint="eastAsia" w:ascii="宋体" w:hAnsi="宋体" w:eastAsia="宋体" w:cs="宋体"/>
          <w:color w:val="auto"/>
          <w:highlight w:val="none"/>
        </w:rPr>
        <w:t>（二）开标评标办法程序和细则</w:t>
      </w:r>
      <w:bookmarkEnd w:id="26"/>
      <w:bookmarkEnd w:id="2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种评标办法所述企业综合诚信评价分数即投标截止当日广州市工程招标代理行业协会网站上公布的企业综合诚信评价60日诚信分。</w:t>
      </w:r>
    </w:p>
    <w:p>
      <w:pPr>
        <w:spacing w:line="360" w:lineRule="auto"/>
        <w:ind w:firstLine="480" w:firstLineChars="200"/>
        <w:rPr>
          <w:rFonts w:hint="eastAsia" w:ascii="宋体" w:hAnsi="宋体" w:eastAsia="宋体" w:cs="宋体"/>
          <w:color w:val="auto"/>
          <w:sz w:val="24"/>
          <w:szCs w:val="24"/>
          <w:highlight w:val="none"/>
        </w:rPr>
      </w:pPr>
    </w:p>
    <w:p>
      <w:pPr>
        <w:pStyle w:val="8"/>
        <w:spacing w:before="156" w:after="156"/>
        <w:ind w:firstLine="540" w:firstLineChars="200"/>
        <w:rPr>
          <w:rFonts w:hint="eastAsia" w:ascii="宋体" w:hAnsi="宋体" w:eastAsia="宋体" w:cs="宋体"/>
          <w:color w:val="auto"/>
          <w:highlight w:val="none"/>
        </w:rPr>
      </w:pPr>
      <w:bookmarkStart w:id="28" w:name="_Toc2272564"/>
      <w:bookmarkStart w:id="29" w:name="_Toc21525509"/>
      <w:r>
        <w:rPr>
          <w:rFonts w:hint="eastAsia" w:ascii="宋体" w:hAnsi="宋体" w:eastAsia="宋体" w:cs="宋体"/>
          <w:color w:val="auto"/>
          <w:highlight w:val="none"/>
        </w:rPr>
        <w:t>可选办法七（适合综合评分法四，技术标与经济标同时开启）</w:t>
      </w:r>
      <w:bookmarkEnd w:id="28"/>
      <w:bookmarkEnd w:id="29"/>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计算评标参考价：</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其中：报价权重的计算方法为：将N名投标人按技术分由高至低进行排序，第一名投标人的权重为（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方法二：区间抽取法</w:t>
      </w:r>
    </w:p>
    <w:p>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：为（最高投标限价*D%）（D的取值范围为[94,100],由招标人自定）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idowControl/>
        <w:snapToGrid w:val="0"/>
        <w:spacing w:line="360" w:lineRule="auto"/>
        <w:ind w:right="1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w:t>
      </w:r>
    </w:p>
    <w:p>
      <w:pPr>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资格审查表</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450"/>
        <w:gridCol w:w="4353"/>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投标人声明、法定代表人证明书；委托投标的还应提供法人授权委托证明书</w:t>
            </w:r>
            <w:r>
              <w:rPr>
                <w:rFonts w:hint="eastAsia" w:ascii="宋体" w:hAnsi="宋体"/>
                <w:color w:val="auto"/>
                <w:szCs w:val="21"/>
                <w:highlight w:val="none"/>
              </w:rPr>
              <w:t>扫描件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投标人均具有独立法人资格，按国家法律经营</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营业执照在广州市住建行业信用管理平台内上传件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投标人均持有建设行政主管部门颁发的企业资质证书及安全生产许可证；投标人资质符合公告要求</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资质证书及安全生产许可证在广州市住建行业信用管理平台内上传件；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投标人拟担任本工程项目负责人符合公告要求</w:t>
            </w:r>
          </w:p>
        </w:tc>
        <w:tc>
          <w:tcPr>
            <w:tcW w:w="21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color w:val="auto"/>
                <w:szCs w:val="21"/>
                <w:highlight w:val="none"/>
              </w:rPr>
            </w:pPr>
            <w:r>
              <w:rPr>
                <w:rFonts w:hint="eastAsia" w:ascii="宋体" w:hAnsi="宋体" w:cs="宋体"/>
                <w:color w:val="auto"/>
                <w:szCs w:val="21"/>
                <w:highlight w:val="none"/>
              </w:rPr>
              <w:t>使用有效期内的建造师注册证书</w:t>
            </w:r>
            <w:r>
              <w:rPr>
                <w:rFonts w:hint="eastAsia" w:ascii="宋体" w:hAnsi="宋体" w:cs="宋体"/>
                <w:color w:val="auto"/>
                <w:szCs w:val="21"/>
                <w:highlight w:val="none"/>
                <w:u w:val="single"/>
              </w:rPr>
              <w:t>或建造师电子注册证书（在广州市住建行业信用平台内上传件）</w:t>
            </w:r>
          </w:p>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持有项目负责人安全培训考核合格证（B类）或建筑施工企业项目负责人安全生产考核合格证</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项目负责人安全培训考核合格证（B证）或建筑施工企业项目负责人安全生产考核合格证在广州市住建行业信用管理平台内上传件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投标人拟担任本工程技术负责人符合公告要求</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拟委托技术负责人的</w:t>
            </w:r>
            <w:r>
              <w:rPr>
                <w:rFonts w:hint="eastAsia" w:ascii="宋体" w:hAnsi="宋体" w:eastAsia="宋体" w:cs="宋体"/>
                <w:color w:val="auto"/>
                <w:szCs w:val="21"/>
                <w:highlight w:val="none"/>
                <w:lang w:eastAsia="zh-CN"/>
              </w:rPr>
              <w:t>职称证扫描件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专职安全员须具有安全生产考核合格证（C类）或建筑施工企业专职安全生产管理人员安全生产考核合格证书（C3）。</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专职安全员的安全生产考核合格证（C类）或建筑施工企业专职安全生产管理人员安全生产考核合格证（C3）</w:t>
            </w:r>
            <w:r>
              <w:rPr>
                <w:rFonts w:hint="eastAsia" w:ascii="宋体" w:hAnsi="宋体" w:cs="宋体"/>
                <w:color w:val="auto"/>
                <w:szCs w:val="21"/>
                <w:highlight w:val="none"/>
                <w:u w:val="single"/>
              </w:rPr>
              <w:t>（在广州市住建行业信用平台内上传件）</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投标人提供的投标人声明符合公告要求</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投标人声明</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投标人声明中签字的项目负责人和技术负责人与本项目拟派的项目负责人和技术负责人一致</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u w:val="single"/>
              </w:rPr>
              <w:t>投标登记</w:t>
            </w:r>
            <w:r>
              <w:rPr>
                <w:rFonts w:hint="eastAsia" w:ascii="宋体" w:hAnsi="宋体"/>
                <w:color w:val="auto"/>
                <w:szCs w:val="21"/>
                <w:highlight w:val="none"/>
              </w:rPr>
              <w:t>时选择拟投标的项目负责人、资格审查文件中拟委派的技术负责人及投标人声明</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本次招标不接受联合体投标</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本项目不接受联合体投标</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资格审查前，投标人须在广州市住房和城乡建设局建立企业</w:t>
            </w:r>
            <w:r>
              <w:rPr>
                <w:rFonts w:hint="eastAsia" w:ascii="宋体" w:hAnsi="宋体" w:eastAsia="宋体" w:cs="宋体"/>
                <w:color w:val="auto"/>
                <w:szCs w:val="21"/>
                <w:highlight w:val="none"/>
                <w:lang w:eastAsia="zh-CN"/>
              </w:rPr>
              <w:t>信用</w:t>
            </w:r>
            <w:r>
              <w:rPr>
                <w:rFonts w:hint="eastAsia" w:ascii="宋体" w:hAnsi="宋体" w:eastAsia="宋体" w:cs="宋体"/>
                <w:color w:val="auto"/>
                <w:szCs w:val="21"/>
                <w:highlight w:val="none"/>
              </w:rPr>
              <w:t>档案及拟担任本工程项目负责人、专职安全员须是本企业中的在册人员</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投标人在广州市住建行业信用管理平台内企业</w:t>
            </w:r>
            <w:r>
              <w:rPr>
                <w:rFonts w:hint="eastAsia" w:ascii="宋体" w:hAnsi="宋体" w:eastAsia="宋体" w:cs="宋体"/>
                <w:color w:val="auto"/>
                <w:szCs w:val="21"/>
                <w:highlight w:val="none"/>
                <w:lang w:eastAsia="zh-CN"/>
              </w:rPr>
              <w:t>信用</w:t>
            </w:r>
            <w:r>
              <w:rPr>
                <w:rFonts w:hint="eastAsia" w:ascii="宋体" w:hAnsi="宋体" w:eastAsia="宋体" w:cs="宋体"/>
                <w:color w:val="auto"/>
                <w:szCs w:val="21"/>
                <w:highlight w:val="none"/>
              </w:rPr>
              <w:t>档案的企业和人员信息</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234"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投标人未出现以下情形：与其它投标人的单位负责人为同一人或者存在控股、管理关系的（按投标人提供的《投标人声明》第八条内容进行评审）。</w:t>
            </w:r>
          </w:p>
        </w:tc>
        <w:tc>
          <w:tcPr>
            <w:tcW w:w="218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投标人声明</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2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未被纳入失信联合惩戒名单且被限制参加建设工程投标的（具体名单以递交投标文件截止时间“信用广州”https://credit1.gz.gov.cn/sgs/sgsXkNew公布的“失信黑名单”为</w:t>
            </w:r>
            <w:r>
              <w:rPr>
                <w:rFonts w:hint="eastAsia" w:ascii="宋体" w:hAnsi="宋体" w:eastAsia="宋体" w:cs="Times New Roman"/>
                <w:color w:val="auto"/>
                <w:szCs w:val="21"/>
                <w:highlight w:val="none"/>
              </w:rPr>
              <w:t>准。</w:t>
            </w:r>
            <w:r>
              <w:rPr>
                <w:rFonts w:hint="eastAsia" w:ascii="宋体" w:hAnsi="宋体" w:eastAsia="宋体" w:cs="Times New Roman"/>
                <w:color w:val="auto"/>
                <w:sz w:val="21"/>
                <w:szCs w:val="21"/>
                <w:highlight w:val="none"/>
                <w:lang w:val="en-US" w:eastAsia="zh-CN"/>
              </w:rPr>
              <w:t>不包含限制参加财政投资工程或政府投资工程的投标）。</w:t>
            </w:r>
          </w:p>
        </w:tc>
        <w:tc>
          <w:tcPr>
            <w:tcW w:w="21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投标人无需提供资料，按交易系统比对的结果进行评审</w:t>
            </w:r>
          </w:p>
        </w:tc>
        <w:tc>
          <w:tcPr>
            <w:tcW w:w="350"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r>
        <w:rPr>
          <w:rFonts w:hint="eastAsia" w:ascii="宋体" w:hAnsi="宋体" w:eastAsia="宋体" w:cs="宋体"/>
          <w:color w:val="auto"/>
          <w:highlight w:val="none"/>
        </w:rPr>
        <w:t>备注：</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1、每一项目符合的打“○”，不符合的打“×”； </w:t>
      </w:r>
    </w:p>
    <w:p>
      <w:pPr>
        <w:rPr>
          <w:rFonts w:hint="eastAsia" w:ascii="宋体" w:hAnsi="宋体" w:eastAsia="宋体" w:cs="宋体"/>
          <w:color w:val="auto"/>
          <w:highlight w:val="none"/>
        </w:rPr>
      </w:pPr>
      <w:r>
        <w:rPr>
          <w:rFonts w:hint="eastAsia" w:ascii="宋体" w:hAnsi="宋体" w:eastAsia="宋体" w:cs="宋体"/>
          <w:color w:val="auto"/>
          <w:highlight w:val="none"/>
        </w:rPr>
        <w:t>2、若评委意见不一致时，则按少数服从多数的原则，作出评审结论。汇总后，出现一个“×”的结论为“不通过”。</w:t>
      </w:r>
    </w:p>
    <w:p>
      <w:pPr>
        <w:rPr>
          <w:rFonts w:hint="eastAsia" w:ascii="宋体" w:hAnsi="宋体" w:eastAsia="宋体" w:cs="宋体"/>
          <w:color w:val="auto"/>
          <w:highlight w:val="none"/>
        </w:rPr>
        <w:sectPr>
          <w:footerReference r:id="rId10" w:type="first"/>
          <w:footerReference r:id="rId9" w:type="default"/>
          <w:endnotePr>
            <w:numFmt w:val="decimal"/>
          </w:endnotePr>
          <w:pgSz w:w="11906" w:h="16838"/>
          <w:pgMar w:top="1440" w:right="1080" w:bottom="1440" w:left="1080" w:header="851" w:footer="907" w:gutter="0"/>
          <w:pgNumType w:start="1"/>
          <w:cols w:space="425" w:num="1"/>
          <w:docGrid w:type="lines" w:linePitch="312" w:charSpace="0"/>
        </w:sectPr>
      </w:pPr>
      <w:r>
        <w:rPr>
          <w:rFonts w:hint="eastAsia" w:ascii="宋体" w:hAnsi="宋体" w:eastAsia="宋体" w:cs="宋体"/>
          <w:color w:val="auto"/>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w:t>
      </w:r>
    </w:p>
    <w:p>
      <w:pPr>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765"/>
        <w:gridCol w:w="1191"/>
        <w:gridCol w:w="1191"/>
        <w:gridCol w:w="1191"/>
        <w:gridCol w:w="1191"/>
        <w:gridCol w:w="119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765"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投标人</w:t>
            </w:r>
          </w:p>
          <w:p>
            <w:pPr>
              <w:adjustRightInd w:val="0"/>
              <w:rPr>
                <w:rFonts w:hint="eastAsia" w:ascii="宋体" w:hAnsi="宋体" w:eastAsia="宋体" w:cs="宋体"/>
                <w:color w:val="auto"/>
                <w:szCs w:val="21"/>
                <w:highlight w:val="none"/>
              </w:rPr>
            </w:pPr>
          </w:p>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不能满足完成投标项目工期的；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不符合招标文件及有关技术规格、质量要求、检验标准和方法的；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投标文件中没有有效的法定代表人证明书，或由委托代理人签署的投标文件中没有法定代表人授权书；</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投标文件未按规定的格式填写，或主要内容不全，或关键字迹模糊、无法辨认的；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投标人未按要求提交投标保证金的</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676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color w:val="auto"/>
                <w:szCs w:val="21"/>
                <w:highlight w:val="none"/>
              </w:rPr>
              <w:t>投标人与</w:t>
            </w:r>
            <w:r>
              <w:rPr>
                <w:rFonts w:hint="eastAsia" w:ascii="宋体" w:hAnsi="宋体"/>
                <w:color w:val="auto"/>
                <w:szCs w:val="21"/>
                <w:highlight w:val="none"/>
                <w:u w:val="single"/>
              </w:rPr>
              <w:t>本项目</w:t>
            </w:r>
            <w:r>
              <w:rPr>
                <w:rFonts w:hint="eastAsia" w:ascii="宋体" w:hAnsi="宋体"/>
                <w:color w:val="auto"/>
                <w:szCs w:val="21"/>
                <w:highlight w:val="none"/>
              </w:rPr>
              <w:t>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ascii="宋体" w:hAnsi="宋体"/>
          <w:color w:val="auto"/>
          <w:szCs w:val="21"/>
          <w:highlight w:val="none"/>
          <w:u w:val="single"/>
        </w:rPr>
        <w:t>不得将</w:t>
      </w:r>
      <w:r>
        <w:rPr>
          <w:rFonts w:hint="eastAsia" w:ascii="宋体" w:hAnsi="宋体"/>
          <w:color w:val="auto"/>
          <w:szCs w:val="21"/>
          <w:highlight w:val="none"/>
          <w:u w:val="single"/>
        </w:rPr>
        <w:t>文件顺序、</w:t>
      </w:r>
      <w:r>
        <w:rPr>
          <w:rFonts w:ascii="宋体" w:hAnsi="宋体"/>
          <w:color w:val="auto"/>
          <w:szCs w:val="21"/>
          <w:highlight w:val="none"/>
          <w:u w:val="single"/>
        </w:rPr>
        <w:t>明显的文字错误等列为否</w:t>
      </w:r>
      <w:r>
        <w:rPr>
          <w:rFonts w:hint="eastAsia" w:ascii="宋体" w:hAnsi="宋体"/>
          <w:color w:val="auto"/>
          <w:szCs w:val="21"/>
          <w:highlight w:val="none"/>
          <w:u w:val="single"/>
        </w:rPr>
        <w:t>决</w:t>
      </w:r>
      <w:r>
        <w:rPr>
          <w:rFonts w:ascii="宋体" w:hAnsi="宋体"/>
          <w:color w:val="auto"/>
          <w:szCs w:val="21"/>
          <w:highlight w:val="none"/>
          <w:u w:val="single"/>
        </w:rPr>
        <w:t>投标的</w:t>
      </w:r>
      <w:r>
        <w:rPr>
          <w:rFonts w:hint="eastAsia" w:ascii="宋体" w:hAnsi="宋体"/>
          <w:color w:val="auto"/>
          <w:szCs w:val="21"/>
          <w:highlight w:val="none"/>
          <w:u w:val="single"/>
        </w:rPr>
        <w:t>情形。评委</w:t>
      </w:r>
      <w:r>
        <w:rPr>
          <w:rFonts w:ascii="宋体" w:hAnsi="宋体"/>
          <w:color w:val="auto"/>
          <w:szCs w:val="21"/>
          <w:highlight w:val="none"/>
          <w:u w:val="single"/>
        </w:rPr>
        <w:t>发现投标</w:t>
      </w:r>
      <w:r>
        <w:rPr>
          <w:rFonts w:hint="eastAsia" w:ascii="宋体" w:hAnsi="宋体"/>
          <w:color w:val="auto"/>
          <w:szCs w:val="21"/>
          <w:highlight w:val="none"/>
          <w:u w:val="single"/>
        </w:rPr>
        <w:t>文件</w:t>
      </w:r>
      <w:r>
        <w:rPr>
          <w:rFonts w:ascii="宋体" w:hAnsi="宋体"/>
          <w:color w:val="auto"/>
          <w:szCs w:val="21"/>
          <w:highlight w:val="none"/>
          <w:u w:val="single"/>
        </w:rPr>
        <w:t>中</w:t>
      </w:r>
      <w:r>
        <w:rPr>
          <w:rFonts w:hint="eastAsia" w:ascii="宋体" w:hAnsi="宋体"/>
          <w:color w:val="auto"/>
          <w:szCs w:val="21"/>
          <w:highlight w:val="none"/>
          <w:u w:val="single"/>
        </w:rPr>
        <w:t>含义不明确</w:t>
      </w:r>
      <w:r>
        <w:rPr>
          <w:rFonts w:ascii="宋体" w:hAnsi="宋体"/>
          <w:color w:val="auto"/>
          <w:szCs w:val="21"/>
          <w:highlight w:val="none"/>
          <w:u w:val="single"/>
        </w:rPr>
        <w:t>、对同类问题表述不一致、有明显</w:t>
      </w:r>
      <w:r>
        <w:rPr>
          <w:rFonts w:hint="eastAsia" w:ascii="宋体" w:hAnsi="宋体"/>
          <w:color w:val="auto"/>
          <w:szCs w:val="21"/>
          <w:highlight w:val="none"/>
          <w:u w:val="single"/>
        </w:rPr>
        <w:t>文字</w:t>
      </w:r>
      <w:r>
        <w:rPr>
          <w:rFonts w:ascii="宋体" w:hAnsi="宋体"/>
          <w:color w:val="auto"/>
          <w:szCs w:val="21"/>
          <w:highlight w:val="none"/>
          <w:u w:val="single"/>
        </w:rPr>
        <w:t>和计算错误</w:t>
      </w:r>
      <w:r>
        <w:rPr>
          <w:rFonts w:hint="eastAsia" w:ascii="宋体" w:hAnsi="宋体"/>
          <w:color w:val="auto"/>
          <w:szCs w:val="21"/>
          <w:highlight w:val="none"/>
          <w:u w:val="single"/>
        </w:rPr>
        <w:t>的，</w:t>
      </w:r>
      <w:r>
        <w:rPr>
          <w:rFonts w:ascii="宋体" w:hAnsi="宋体"/>
          <w:color w:val="auto"/>
          <w:szCs w:val="21"/>
          <w:highlight w:val="none"/>
          <w:u w:val="single"/>
        </w:rPr>
        <w:t>应当</w:t>
      </w:r>
      <w:r>
        <w:rPr>
          <w:rFonts w:hint="eastAsia" w:ascii="宋体" w:hAnsi="宋体"/>
          <w:color w:val="auto"/>
          <w:szCs w:val="21"/>
          <w:highlight w:val="none"/>
          <w:u w:val="single"/>
        </w:rPr>
        <w:t>要求</w:t>
      </w:r>
      <w:r>
        <w:rPr>
          <w:rFonts w:ascii="宋体" w:hAnsi="宋体"/>
          <w:color w:val="auto"/>
          <w:szCs w:val="21"/>
          <w:highlight w:val="none"/>
          <w:u w:val="single"/>
        </w:rPr>
        <w:t>投标人作必要的澄清、说明</w:t>
      </w:r>
      <w:r>
        <w:rPr>
          <w:rFonts w:hint="eastAsia" w:ascii="宋体" w:hAnsi="宋体"/>
          <w:color w:val="auto"/>
          <w:szCs w:val="21"/>
          <w:highlight w:val="none"/>
          <w:u w:val="single"/>
        </w:rPr>
        <w:t>后再判定投标人是否通过有效性审查</w:t>
      </w:r>
      <w:r>
        <w:rPr>
          <w:rFonts w:ascii="宋体" w:hAnsi="宋体"/>
          <w:color w:val="auto"/>
          <w:szCs w:val="21"/>
          <w:highlight w:val="none"/>
          <w:u w:val="single"/>
        </w:rPr>
        <w:t>，不得直接否决投标</w:t>
      </w:r>
      <w:r>
        <w:rPr>
          <w:rFonts w:hint="eastAsia" w:ascii="宋体" w:hAnsi="宋体"/>
          <w:color w:val="auto"/>
          <w:szCs w:val="21"/>
          <w:highlight w:val="none"/>
          <w:u w:val="singl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附表三</w:t>
      </w:r>
    </w:p>
    <w:p>
      <w:pPr>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444"/>
        <w:gridCol w:w="1173"/>
        <w:gridCol w:w="1173"/>
        <w:gridCol w:w="1173"/>
        <w:gridCol w:w="1173"/>
        <w:gridCol w:w="1173"/>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444"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投标人</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报价低于成本警戒价（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算术复核后的投标报价与原投标报价相比存在1%或以上误差的；</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投标文件未按规定的格式填写，或主要内容不全，或关键字迹模糊、无法辨认的；</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不同投标人的投标报价中分部分项工程量清单综合单价相似度达到80%及以上的(以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广州公共资源交易中心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交易平台评标系统的检索信息为准)</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无《对投标文件编制的承诺》</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p>
        </w:tc>
        <w:tc>
          <w:tcPr>
            <w:tcW w:w="74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 xml:space="preserve">投标人与本项目其他投标人的投标文件工程量清单编制机器硬件 </w:t>
            </w:r>
          </w:p>
          <w:p>
            <w:pPr>
              <w:rPr>
                <w:rFonts w:hint="eastAsia" w:ascii="宋体" w:hAnsi="宋体" w:eastAsia="宋体" w:cs="宋体"/>
                <w:color w:val="auto"/>
                <w:szCs w:val="21"/>
                <w:highlight w:val="none"/>
              </w:rPr>
            </w:pPr>
            <w:r>
              <w:rPr>
                <w:rFonts w:hint="eastAsia" w:ascii="宋体" w:hAnsi="宋体"/>
                <w:color w:val="auto"/>
                <w:szCs w:val="21"/>
                <w:highlight w:val="none"/>
                <w:u w:val="single"/>
              </w:rPr>
              <w:t>信息一致的(以广州公共资源交易中心交易平台评标系统的检索信息为准)；</w:t>
            </w: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bl>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w:t>
      </w:r>
      <w:r>
        <w:rPr>
          <w:rFonts w:hint="eastAsia" w:ascii="宋体" w:hAnsi="宋体" w:eastAsia="宋体" w:cs="宋体"/>
          <w:color w:val="auto"/>
          <w:szCs w:val="21"/>
          <w:highlight w:val="none"/>
          <w:u w:val="single"/>
        </w:rPr>
        <w:t>（2022年3月修订）</w:t>
      </w:r>
      <w:r>
        <w:rPr>
          <w:rFonts w:hint="eastAsia" w:ascii="宋体" w:hAnsi="宋体" w:eastAsia="宋体" w:cs="宋体"/>
          <w:color w:val="auto"/>
          <w:szCs w:val="21"/>
          <w:highlight w:val="none"/>
        </w:rPr>
        <w:t>招标文件范本，与范本内容不同之处均以下划线标明。</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2.凡出现以上任何一项情形，结论均为无效，否则就为有效。</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3.如对本表中某种情形的评审意见不一致时，以评标委员会过半数成员的意见作为评标委员会对该情形的认定结论。</w:t>
      </w:r>
    </w:p>
    <w:p>
      <w:pPr>
        <w:pStyle w:val="10"/>
        <w:rPr>
          <w:color w:val="auto"/>
          <w:highlight w:val="none"/>
        </w:rPr>
      </w:pPr>
      <w:r>
        <w:rPr>
          <w:rFonts w:hint="eastAsia"/>
          <w:color w:val="auto"/>
          <w:highlight w:val="none"/>
          <w:u w:val="single"/>
        </w:rPr>
        <w:t>4.</w:t>
      </w:r>
      <w:r>
        <w:rPr>
          <w:color w:val="auto"/>
          <w:highlight w:val="none"/>
          <w:u w:val="single"/>
        </w:rPr>
        <w:t>不得将</w:t>
      </w:r>
      <w:r>
        <w:rPr>
          <w:rFonts w:hint="eastAsia"/>
          <w:color w:val="auto"/>
          <w:highlight w:val="none"/>
          <w:u w:val="single"/>
        </w:rPr>
        <w:t>文件顺序、</w:t>
      </w:r>
      <w:r>
        <w:rPr>
          <w:color w:val="auto"/>
          <w:highlight w:val="none"/>
          <w:u w:val="single"/>
        </w:rPr>
        <w:t>明显的文字错误等列为否</w:t>
      </w:r>
      <w:r>
        <w:rPr>
          <w:rFonts w:hint="eastAsia"/>
          <w:color w:val="auto"/>
          <w:highlight w:val="none"/>
          <w:u w:val="single"/>
        </w:rPr>
        <w:t>决</w:t>
      </w:r>
      <w:r>
        <w:rPr>
          <w:color w:val="auto"/>
          <w:highlight w:val="none"/>
          <w:u w:val="single"/>
        </w:rPr>
        <w:t>投标的</w:t>
      </w:r>
      <w:r>
        <w:rPr>
          <w:rFonts w:hint="eastAsia"/>
          <w:color w:val="auto"/>
          <w:highlight w:val="none"/>
          <w:u w:val="single"/>
        </w:rPr>
        <w:t>情形。评委</w:t>
      </w:r>
      <w:r>
        <w:rPr>
          <w:color w:val="auto"/>
          <w:highlight w:val="none"/>
          <w:u w:val="single"/>
        </w:rPr>
        <w:t>发现投标</w:t>
      </w:r>
      <w:r>
        <w:rPr>
          <w:rFonts w:hint="eastAsia"/>
          <w:color w:val="auto"/>
          <w:highlight w:val="none"/>
          <w:u w:val="single"/>
        </w:rPr>
        <w:t>文件</w:t>
      </w:r>
      <w:r>
        <w:rPr>
          <w:color w:val="auto"/>
          <w:highlight w:val="none"/>
          <w:u w:val="single"/>
        </w:rPr>
        <w:t>中</w:t>
      </w:r>
      <w:r>
        <w:rPr>
          <w:rFonts w:hint="eastAsia"/>
          <w:color w:val="auto"/>
          <w:highlight w:val="none"/>
          <w:u w:val="single"/>
        </w:rPr>
        <w:t>含义不明确</w:t>
      </w:r>
      <w:r>
        <w:rPr>
          <w:color w:val="auto"/>
          <w:highlight w:val="none"/>
          <w:u w:val="single"/>
        </w:rPr>
        <w:t>、对同类问题表述不一致、有明显</w:t>
      </w:r>
      <w:r>
        <w:rPr>
          <w:rFonts w:hint="eastAsia"/>
          <w:color w:val="auto"/>
          <w:highlight w:val="none"/>
          <w:u w:val="single"/>
        </w:rPr>
        <w:t>文字</w:t>
      </w:r>
      <w:r>
        <w:rPr>
          <w:color w:val="auto"/>
          <w:highlight w:val="none"/>
          <w:u w:val="single"/>
        </w:rPr>
        <w:t>和计算错误</w:t>
      </w:r>
      <w:r>
        <w:rPr>
          <w:rFonts w:hint="eastAsia"/>
          <w:color w:val="auto"/>
          <w:highlight w:val="none"/>
          <w:u w:val="single"/>
        </w:rPr>
        <w:t>、</w:t>
      </w:r>
      <w:r>
        <w:rPr>
          <w:color w:val="auto"/>
          <w:highlight w:val="none"/>
          <w:u w:val="single"/>
        </w:rPr>
        <w:t>投标报价可能低于成本影响履约的，应当</w:t>
      </w:r>
      <w:r>
        <w:rPr>
          <w:rFonts w:hint="eastAsia"/>
          <w:color w:val="auto"/>
          <w:highlight w:val="none"/>
          <w:u w:val="single"/>
        </w:rPr>
        <w:t>要求</w:t>
      </w:r>
      <w:r>
        <w:rPr>
          <w:color w:val="auto"/>
          <w:highlight w:val="none"/>
          <w:u w:val="single"/>
        </w:rPr>
        <w:t>投标人作必要的澄清、说明</w:t>
      </w:r>
      <w:r>
        <w:rPr>
          <w:rFonts w:hint="eastAsia"/>
          <w:color w:val="auto"/>
          <w:highlight w:val="none"/>
          <w:u w:val="single"/>
        </w:rPr>
        <w:t>后再判定投标人是否通过有效性审查</w:t>
      </w:r>
      <w:r>
        <w:rPr>
          <w:color w:val="auto"/>
          <w:highlight w:val="none"/>
          <w:u w:val="single"/>
        </w:rPr>
        <w:t>，不得直接否决投标</w:t>
      </w:r>
      <w:r>
        <w:rPr>
          <w:rFonts w:hint="eastAsia"/>
          <w:color w:val="auto"/>
          <w:highlight w:val="none"/>
          <w:u w:val="single"/>
        </w:rPr>
        <w:t>。</w:t>
      </w:r>
    </w:p>
    <w:p>
      <w:pPr>
        <w:pStyle w:val="25"/>
        <w:rPr>
          <w:rFonts w:hint="eastAsia"/>
          <w:color w:val="auto"/>
          <w:highlight w:val="none"/>
        </w:rPr>
      </w:pPr>
    </w:p>
    <w:p>
      <w:pPr>
        <w:pStyle w:val="5"/>
        <w:ind w:firstLine="458"/>
        <w:rPr>
          <w:rFonts w:hint="eastAsia" w:ascii="宋体" w:hAnsi="宋体" w:eastAsia="宋体" w:cs="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eastAsia="宋体" w:cs="宋体"/>
          <w:color w:val="auto"/>
          <w:szCs w:val="21"/>
          <w:highlight w:val="none"/>
        </w:rPr>
        <w:t>评委签名：</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w:t>
      </w:r>
    </w:p>
    <w:p>
      <w:pPr>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技术标详细审查评分表</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142"/>
        <w:gridCol w:w="789"/>
        <w:gridCol w:w="1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center"/>
              <w:rPr>
                <w:rFonts w:ascii="宋体" w:hAnsi="宋体" w:cs="宋体"/>
                <w:b/>
                <w:color w:val="auto"/>
                <w:szCs w:val="21"/>
                <w:highlight w:val="none"/>
              </w:rPr>
            </w:pPr>
            <w:bookmarkStart w:id="30" w:name="OLE_LINK1"/>
            <w:r>
              <w:rPr>
                <w:rFonts w:hint="eastAsia" w:ascii="宋体" w:hAnsi="宋体" w:cs="宋体"/>
                <w:b/>
                <w:color w:val="auto"/>
                <w:highlight w:val="none"/>
              </w:rPr>
              <w:t>评分项目</w:t>
            </w:r>
          </w:p>
        </w:tc>
        <w:tc>
          <w:tcPr>
            <w:tcW w:w="389"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评分内容</w:t>
            </w:r>
          </w:p>
        </w:tc>
        <w:tc>
          <w:tcPr>
            <w:tcW w:w="269"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分值</w:t>
            </w:r>
          </w:p>
        </w:tc>
        <w:tc>
          <w:tcPr>
            <w:tcW w:w="3930"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11" w:type="pct"/>
            <w:vMerge w:val="restar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一、企业资信（</w:t>
            </w:r>
            <w:r>
              <w:rPr>
                <w:rFonts w:hint="eastAsia"/>
                <w:color w:val="auto"/>
                <w:highlight w:val="none"/>
                <w:lang w:val="en-US" w:eastAsia="zh-CN"/>
              </w:rPr>
              <w:t>25</w:t>
            </w:r>
            <w:r>
              <w:rPr>
                <w:rFonts w:hint="eastAsia"/>
                <w:color w:val="auto"/>
                <w:highlight w:val="none"/>
              </w:rPr>
              <w:t>分）</w:t>
            </w: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企业业绩</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olor w:val="auto"/>
                <w:highlight w:val="none"/>
              </w:rPr>
            </w:pPr>
            <w:r>
              <w:rPr>
                <w:rFonts w:hint="eastAsia" w:ascii="宋体" w:hAnsi="宋体"/>
                <w:color w:val="auto"/>
                <w:highlight w:val="none"/>
              </w:rPr>
              <w:t>投标人自2019年1月1日至今完成</w:t>
            </w:r>
            <w:r>
              <w:rPr>
                <w:rFonts w:hint="eastAsia" w:ascii="宋体" w:hAnsi="宋体"/>
                <w:color w:val="auto"/>
                <w:highlight w:val="none"/>
                <w:lang w:val="en-US" w:eastAsia="zh-CN"/>
              </w:rPr>
              <w:t>过的</w:t>
            </w:r>
            <w:r>
              <w:rPr>
                <w:rFonts w:hint="eastAsia" w:ascii="宋体" w:hAnsi="宋体"/>
                <w:color w:val="auto"/>
                <w:highlight w:val="none"/>
              </w:rPr>
              <w:t>类似业绩（类似业绩是指招标公告第九条第4点所</w:t>
            </w:r>
            <w:r>
              <w:rPr>
                <w:rFonts w:hint="eastAsia" w:ascii="宋体" w:hAnsi="宋体"/>
                <w:color w:val="auto"/>
                <w:highlight w:val="none"/>
                <w:lang w:val="en-US" w:eastAsia="zh-CN"/>
              </w:rPr>
              <w:t>要求的</w:t>
            </w:r>
            <w:r>
              <w:rPr>
                <w:rFonts w:hint="eastAsia" w:ascii="宋体" w:hAnsi="宋体"/>
                <w:color w:val="auto"/>
                <w:highlight w:val="none"/>
              </w:rPr>
              <w:t>资质方能承接的市政公用工程</w:t>
            </w:r>
            <w:r>
              <w:rPr>
                <w:rFonts w:hint="eastAsia" w:ascii="宋体" w:hAnsi="宋体"/>
                <w:color w:val="auto"/>
                <w:highlight w:val="none"/>
                <w:lang w:val="en-US" w:eastAsia="zh-CN"/>
              </w:rPr>
              <w:t>项目</w:t>
            </w:r>
            <w:r>
              <w:rPr>
                <w:rFonts w:hint="eastAsia" w:ascii="宋体" w:hAnsi="宋体"/>
                <w:color w:val="auto"/>
                <w:highlight w:val="none"/>
              </w:rPr>
              <w:t>）</w:t>
            </w:r>
            <w:r>
              <w:rPr>
                <w:rFonts w:hint="eastAsia" w:ascii="宋体" w:hAnsi="宋体"/>
                <w:color w:val="auto"/>
                <w:highlight w:val="none"/>
                <w:lang w:val="en-US" w:eastAsia="zh-CN"/>
              </w:rPr>
              <w:t>的</w:t>
            </w:r>
            <w:r>
              <w:rPr>
                <w:rFonts w:hint="eastAsia" w:ascii="宋体" w:hAnsi="宋体"/>
                <w:color w:val="auto"/>
                <w:highlight w:val="none"/>
              </w:rPr>
              <w:t>，每项得</w:t>
            </w:r>
            <w:r>
              <w:rPr>
                <w:rFonts w:hint="eastAsia" w:ascii="宋体" w:hAnsi="宋体"/>
                <w:color w:val="auto"/>
                <w:highlight w:val="none"/>
                <w:lang w:val="en-US" w:eastAsia="zh-CN"/>
              </w:rPr>
              <w:t>1</w:t>
            </w:r>
            <w:r>
              <w:rPr>
                <w:rFonts w:hint="eastAsia" w:ascii="宋体" w:hAnsi="宋体"/>
                <w:color w:val="auto"/>
                <w:highlight w:val="none"/>
              </w:rPr>
              <w:t>分，</w:t>
            </w:r>
            <w:r>
              <w:rPr>
                <w:rFonts w:hint="eastAsia" w:ascii="宋体" w:hAnsi="宋体"/>
                <w:color w:val="auto"/>
                <w:highlight w:val="none"/>
                <w:lang w:val="en-US" w:eastAsia="zh-CN"/>
              </w:rPr>
              <w:t>本项</w:t>
            </w:r>
            <w:r>
              <w:rPr>
                <w:rFonts w:hint="eastAsia" w:ascii="宋体" w:hAnsi="宋体"/>
                <w:color w:val="auto"/>
                <w:highlight w:val="none"/>
              </w:rPr>
              <w:t>最多得</w:t>
            </w:r>
            <w:r>
              <w:rPr>
                <w:rFonts w:hint="eastAsia" w:ascii="宋体" w:hAnsi="宋体"/>
                <w:color w:val="auto"/>
                <w:highlight w:val="none"/>
                <w:lang w:val="en-US" w:eastAsia="zh-CN"/>
              </w:rPr>
              <w:t>4</w:t>
            </w:r>
            <w:r>
              <w:rPr>
                <w:rFonts w:hint="eastAsia"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工程奖项</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10分</w:t>
            </w:r>
          </w:p>
        </w:tc>
        <w:tc>
          <w:tcPr>
            <w:tcW w:w="39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bCs/>
                <w:color w:val="auto"/>
                <w:highlight w:val="none"/>
                <w:lang w:eastAsia="zh-CN"/>
              </w:rPr>
            </w:pPr>
            <w:r>
              <w:rPr>
                <w:rFonts w:hint="eastAsia" w:ascii="宋体" w:hAnsi="宋体"/>
                <w:bCs/>
                <w:color w:val="auto"/>
                <w:highlight w:val="none"/>
              </w:rPr>
              <w:t>投标人自2019年1月1日至今，完成过的工程项目获得过国家级工程质量奖项</w:t>
            </w:r>
            <w:r>
              <w:rPr>
                <w:rFonts w:hint="eastAsia" w:ascii="宋体" w:hAnsi="宋体"/>
                <w:bCs/>
                <w:color w:val="auto"/>
                <w:highlight w:val="none"/>
                <w:lang w:val="en-US" w:eastAsia="zh-CN"/>
              </w:rPr>
              <w:t>的</w:t>
            </w:r>
            <w:r>
              <w:rPr>
                <w:rFonts w:hint="eastAsia" w:ascii="宋体" w:hAnsi="宋体"/>
                <w:bCs/>
                <w:color w:val="auto"/>
                <w:highlight w:val="none"/>
              </w:rPr>
              <w:t>，每项得1分；获得过省（市）级工程质量奖项</w:t>
            </w:r>
            <w:r>
              <w:rPr>
                <w:rFonts w:hint="eastAsia" w:ascii="宋体" w:hAnsi="宋体"/>
                <w:bCs/>
                <w:color w:val="auto"/>
                <w:highlight w:val="none"/>
                <w:lang w:val="en-US" w:eastAsia="zh-CN"/>
              </w:rPr>
              <w:t>的</w:t>
            </w:r>
            <w:r>
              <w:rPr>
                <w:rFonts w:hint="eastAsia" w:ascii="宋体" w:hAnsi="宋体"/>
                <w:bCs/>
                <w:color w:val="auto"/>
                <w:highlight w:val="none"/>
              </w:rPr>
              <w:t>，每项得0.5分；</w:t>
            </w:r>
            <w:r>
              <w:rPr>
                <w:rFonts w:hint="eastAsia" w:ascii="宋体" w:hAnsi="宋体"/>
                <w:color w:val="auto"/>
                <w:highlight w:val="none"/>
              </w:rPr>
              <w:t>没有</w:t>
            </w:r>
            <w:r>
              <w:rPr>
                <w:rFonts w:hint="eastAsia" w:ascii="宋体" w:hAnsi="宋体"/>
                <w:color w:val="auto"/>
                <w:highlight w:val="none"/>
                <w:lang w:val="en-US" w:eastAsia="zh-CN"/>
              </w:rPr>
              <w:t>的</w:t>
            </w:r>
            <w:r>
              <w:rPr>
                <w:rFonts w:hint="eastAsia" w:ascii="宋体" w:hAnsi="宋体"/>
                <w:color w:val="auto"/>
                <w:highlight w:val="none"/>
              </w:rPr>
              <w:t>不得分</w:t>
            </w:r>
            <w:r>
              <w:rPr>
                <w:rFonts w:hint="eastAsia" w:ascii="宋体" w:hAnsi="宋体"/>
                <w:color w:val="auto"/>
                <w:highlight w:val="none"/>
                <w:lang w:eastAsia="zh-CN"/>
              </w:rPr>
              <w:t>。</w:t>
            </w:r>
          </w:p>
          <w:p>
            <w:pPr>
              <w:widowControl/>
              <w:jc w:val="left"/>
              <w:rPr>
                <w:rFonts w:ascii="宋体" w:hAnsi="宋体"/>
                <w:color w:val="auto"/>
                <w:highlight w:val="none"/>
              </w:rPr>
            </w:pPr>
            <w:r>
              <w:rPr>
                <w:rFonts w:hint="eastAsia" w:ascii="宋体" w:hAnsi="宋体"/>
                <w:bCs/>
                <w:color w:val="auto"/>
                <w:highlight w:val="none"/>
                <w:lang w:val="en-US" w:eastAsia="zh-CN"/>
              </w:rPr>
              <w:t>注：</w:t>
            </w:r>
            <w:r>
              <w:rPr>
                <w:rFonts w:hint="eastAsia" w:ascii="宋体" w:hAnsi="宋体"/>
                <w:bCs/>
                <w:color w:val="auto"/>
                <w:highlight w:val="none"/>
              </w:rPr>
              <w:t>本项最多计10项工程质量奖项，最高得10分。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企业工程研发能力</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lang w:val="en-US" w:eastAsia="zh-CN"/>
              </w:rPr>
              <w:t>7</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auto"/>
                <w:highlight w:val="none"/>
              </w:rPr>
            </w:pPr>
            <w:r>
              <w:rPr>
                <w:rFonts w:hint="eastAsia" w:ascii="宋体" w:hAnsi="宋体"/>
                <w:color w:val="auto"/>
                <w:highlight w:val="none"/>
              </w:rPr>
              <w:t>投标人自2019年1月1日至今获得由国家级</w:t>
            </w:r>
            <w:r>
              <w:rPr>
                <w:rFonts w:hint="eastAsia" w:ascii="宋体" w:hAnsi="宋体"/>
                <w:color w:val="auto"/>
                <w:kern w:val="0"/>
                <w:highlight w:val="none"/>
              </w:rPr>
              <w:t>行政主管部门</w:t>
            </w:r>
            <w:r>
              <w:rPr>
                <w:rFonts w:hint="eastAsia" w:ascii="宋体" w:hAnsi="宋体"/>
                <w:color w:val="auto"/>
                <w:highlight w:val="none"/>
              </w:rPr>
              <w:t>颁发的科学技术进步奖的，每项得</w:t>
            </w:r>
            <w:r>
              <w:rPr>
                <w:rFonts w:hint="eastAsia" w:ascii="宋体" w:hAnsi="宋体"/>
                <w:color w:val="auto"/>
                <w:highlight w:val="none"/>
                <w:lang w:eastAsia="zh-CN"/>
              </w:rPr>
              <w:t>0</w:t>
            </w:r>
            <w:r>
              <w:rPr>
                <w:rFonts w:hint="eastAsia" w:ascii="宋体" w:hAnsi="宋体"/>
                <w:color w:val="auto"/>
                <w:highlight w:val="none"/>
                <w:lang w:val="en-US" w:eastAsia="zh-CN"/>
              </w:rPr>
              <w:t>.7</w:t>
            </w:r>
            <w:r>
              <w:rPr>
                <w:rFonts w:hint="eastAsia" w:ascii="宋体" w:hAnsi="宋体"/>
                <w:color w:val="auto"/>
                <w:highlight w:val="none"/>
              </w:rPr>
              <w:t>分，获得由省级</w:t>
            </w:r>
            <w:r>
              <w:rPr>
                <w:rFonts w:hint="eastAsia" w:ascii="宋体" w:hAnsi="宋体"/>
                <w:color w:val="auto"/>
                <w:kern w:val="0"/>
                <w:highlight w:val="none"/>
              </w:rPr>
              <w:t>行政主管部门</w:t>
            </w:r>
            <w:r>
              <w:rPr>
                <w:rFonts w:hint="eastAsia" w:ascii="宋体" w:hAnsi="宋体"/>
                <w:color w:val="auto"/>
                <w:highlight w:val="none"/>
              </w:rPr>
              <w:t>颁发的科学技术进步奖的，每项得0.</w:t>
            </w:r>
            <w:r>
              <w:rPr>
                <w:rFonts w:hint="eastAsia" w:ascii="宋体" w:hAnsi="宋体"/>
                <w:color w:val="auto"/>
                <w:highlight w:val="none"/>
                <w:lang w:val="en-US" w:eastAsia="zh-CN"/>
              </w:rPr>
              <w:t>5</w:t>
            </w:r>
            <w:r>
              <w:rPr>
                <w:rFonts w:hint="eastAsia" w:ascii="宋体" w:hAnsi="宋体"/>
                <w:color w:val="auto"/>
                <w:highlight w:val="none"/>
              </w:rPr>
              <w:t>分，获得由市级</w:t>
            </w:r>
            <w:r>
              <w:rPr>
                <w:rFonts w:hint="eastAsia" w:ascii="宋体" w:hAnsi="宋体"/>
                <w:color w:val="auto"/>
                <w:kern w:val="0"/>
                <w:highlight w:val="none"/>
              </w:rPr>
              <w:t>行政主管部门</w:t>
            </w:r>
            <w:r>
              <w:rPr>
                <w:rFonts w:hint="eastAsia" w:ascii="宋体" w:hAnsi="宋体"/>
                <w:color w:val="auto"/>
                <w:highlight w:val="none"/>
              </w:rPr>
              <w:t>颁发的科学技术进步奖，每项得0.</w:t>
            </w:r>
            <w:r>
              <w:rPr>
                <w:rFonts w:hint="eastAsia" w:ascii="宋体" w:hAnsi="宋体"/>
                <w:color w:val="auto"/>
                <w:highlight w:val="none"/>
                <w:lang w:val="en-US" w:eastAsia="zh-CN"/>
              </w:rPr>
              <w:t>3</w:t>
            </w:r>
            <w:r>
              <w:rPr>
                <w:rFonts w:hint="eastAsia" w:ascii="宋体" w:hAnsi="宋体"/>
                <w:color w:val="auto"/>
                <w:highlight w:val="none"/>
              </w:rPr>
              <w:t>分，没有</w:t>
            </w:r>
            <w:r>
              <w:rPr>
                <w:rFonts w:hint="eastAsia" w:ascii="宋体" w:hAnsi="宋体"/>
                <w:color w:val="auto"/>
                <w:highlight w:val="none"/>
                <w:lang w:val="en-US" w:eastAsia="zh-CN"/>
              </w:rPr>
              <w:t>的</w:t>
            </w:r>
            <w:r>
              <w:rPr>
                <w:rFonts w:hint="eastAsia" w:ascii="宋体" w:hAnsi="宋体"/>
                <w:color w:val="auto"/>
                <w:highlight w:val="none"/>
              </w:rPr>
              <w:t>不得分。</w:t>
            </w:r>
          </w:p>
          <w:p>
            <w:pPr>
              <w:spacing w:line="360" w:lineRule="auto"/>
              <w:jc w:val="left"/>
              <w:rPr>
                <w:rFonts w:hint="eastAsia" w:ascii="宋体" w:hAnsi="宋体" w:eastAsia="宋体"/>
                <w:bCs/>
                <w:color w:val="auto"/>
                <w:highlight w:val="none"/>
                <w:lang w:eastAsia="zh-CN"/>
              </w:rPr>
            </w:pPr>
            <w:r>
              <w:rPr>
                <w:rFonts w:hint="eastAsia" w:ascii="宋体" w:hAnsi="宋体"/>
                <w:color w:val="auto"/>
                <w:highlight w:val="none"/>
                <w:lang w:val="en-US" w:eastAsia="zh-CN"/>
              </w:rPr>
              <w:t>注：本项</w:t>
            </w:r>
            <w:r>
              <w:rPr>
                <w:rFonts w:hint="eastAsia" w:ascii="宋体" w:hAnsi="宋体"/>
                <w:color w:val="auto"/>
                <w:highlight w:val="none"/>
              </w:rPr>
              <w:t>最高得</w:t>
            </w:r>
            <w:r>
              <w:rPr>
                <w:rFonts w:hint="eastAsia" w:ascii="宋体" w:hAnsi="宋体"/>
                <w:color w:val="auto"/>
                <w:highlight w:val="none"/>
                <w:lang w:val="en-US" w:eastAsia="zh-CN"/>
              </w:rPr>
              <w:t>7</w:t>
            </w:r>
            <w:r>
              <w:rPr>
                <w:rFonts w:hint="eastAsia" w:ascii="宋体" w:hAnsi="宋体"/>
                <w:color w:val="auto"/>
                <w:highlight w:val="none"/>
              </w:rPr>
              <w:t>分</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vMerge w:val="restar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第三方评价</w:t>
            </w:r>
          </w:p>
        </w:tc>
        <w:tc>
          <w:tcPr>
            <w:tcW w:w="269" w:type="pct"/>
            <w:vMerge w:val="restar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kern w:val="0"/>
                <w:highlight w:val="none"/>
              </w:rPr>
            </w:pPr>
            <w:r>
              <w:rPr>
                <w:rFonts w:hint="eastAsia" w:ascii="宋体" w:hAnsi="宋体"/>
                <w:color w:val="auto"/>
                <w:kern w:val="0"/>
                <w:highlight w:val="none"/>
              </w:rPr>
              <w:t>投标人自2019年1月1日至今获得</w:t>
            </w:r>
            <w:r>
              <w:rPr>
                <w:rFonts w:hint="eastAsia" w:ascii="宋体" w:hAnsi="宋体"/>
                <w:color w:val="auto"/>
                <w:kern w:val="0"/>
                <w:highlight w:val="none"/>
                <w:lang w:val="en-US" w:eastAsia="zh-CN"/>
              </w:rPr>
              <w:t>过</w:t>
            </w:r>
            <w:r>
              <w:rPr>
                <w:rFonts w:hint="eastAsia" w:ascii="宋体" w:hAnsi="宋体"/>
                <w:color w:val="auto"/>
                <w:kern w:val="0"/>
                <w:highlight w:val="none"/>
              </w:rPr>
              <w:t>行政主管部门或行业协会颁发的国家级企业信用3A或以上等级证书的得2分；省级的得1分；市级的得0.5分；</w:t>
            </w:r>
            <w:r>
              <w:rPr>
                <w:rFonts w:hint="eastAsia" w:ascii="宋体" w:hAnsi="宋体"/>
                <w:color w:val="auto"/>
                <w:highlight w:val="none"/>
              </w:rPr>
              <w:t>没有</w:t>
            </w:r>
            <w:r>
              <w:rPr>
                <w:rFonts w:hint="eastAsia" w:ascii="宋体" w:hAnsi="宋体"/>
                <w:color w:val="auto"/>
                <w:highlight w:val="none"/>
                <w:lang w:val="en-US" w:eastAsia="zh-CN"/>
              </w:rPr>
              <w:t>的</w:t>
            </w:r>
            <w:r>
              <w:rPr>
                <w:rFonts w:hint="eastAsia" w:ascii="宋体" w:hAnsi="宋体"/>
                <w:color w:val="auto"/>
                <w:highlight w:val="none"/>
              </w:rPr>
              <w:t>不得分。</w:t>
            </w:r>
          </w:p>
          <w:p>
            <w:pPr>
              <w:pStyle w:val="6"/>
              <w:rPr>
                <w:color w:val="auto"/>
                <w:highlight w:val="none"/>
              </w:rPr>
            </w:pPr>
            <w:r>
              <w:rPr>
                <w:rFonts w:hint="eastAsia" w:ascii="宋体" w:hAnsi="宋体"/>
                <w:bCs/>
                <w:color w:val="auto"/>
                <w:highlight w:val="none"/>
                <w:lang w:val="en-US" w:eastAsia="zh-CN"/>
              </w:rPr>
              <w:t>注：</w:t>
            </w:r>
            <w:r>
              <w:rPr>
                <w:rFonts w:hint="eastAsia" w:ascii="宋体" w:hAnsi="宋体"/>
                <w:bCs/>
                <w:color w:val="auto"/>
                <w:highlight w:val="none"/>
              </w:rPr>
              <w:t>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vMerge w:val="continue"/>
            <w:tcBorders>
              <w:left w:val="single" w:color="auto" w:sz="4" w:space="0"/>
              <w:bottom w:val="single" w:color="auto" w:sz="4" w:space="0"/>
              <w:right w:val="single" w:color="auto" w:sz="4" w:space="0"/>
            </w:tcBorders>
            <w:vAlign w:val="center"/>
          </w:tcPr>
          <w:p>
            <w:pPr>
              <w:spacing w:line="300" w:lineRule="exact"/>
              <w:jc w:val="center"/>
              <w:rPr>
                <w:color w:val="auto"/>
                <w:highlight w:val="none"/>
              </w:rPr>
            </w:pPr>
          </w:p>
        </w:tc>
        <w:tc>
          <w:tcPr>
            <w:tcW w:w="269" w:type="pct"/>
            <w:vMerge w:val="continue"/>
            <w:tcBorders>
              <w:left w:val="single" w:color="auto" w:sz="4" w:space="0"/>
              <w:bottom w:val="single" w:color="auto" w:sz="4" w:space="0"/>
              <w:right w:val="single" w:color="auto" w:sz="4" w:space="0"/>
            </w:tcBorders>
            <w:vAlign w:val="center"/>
          </w:tcPr>
          <w:p>
            <w:pPr>
              <w:spacing w:line="300" w:lineRule="exact"/>
              <w:jc w:val="center"/>
              <w:rPr>
                <w:color w:val="auto"/>
                <w:highlight w:val="none"/>
              </w:rPr>
            </w:pPr>
          </w:p>
        </w:tc>
        <w:tc>
          <w:tcPr>
            <w:tcW w:w="39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Cs/>
                <w:color w:val="auto"/>
                <w:highlight w:val="none"/>
              </w:rPr>
            </w:pPr>
            <w:r>
              <w:rPr>
                <w:rFonts w:hint="eastAsia" w:ascii="宋体" w:hAnsi="宋体"/>
                <w:color w:val="auto"/>
                <w:kern w:val="0"/>
                <w:highlight w:val="none"/>
              </w:rPr>
              <w:t>投标人自2019年1月1日至今获得过行政主管部门或行业协会颁发的国家级用户满意企业</w:t>
            </w:r>
            <w:r>
              <w:rPr>
                <w:rFonts w:hint="eastAsia" w:ascii="宋体" w:hAnsi="宋体"/>
                <w:bCs/>
                <w:color w:val="auto"/>
                <w:highlight w:val="none"/>
                <w:lang w:val="en-US" w:eastAsia="zh-CN"/>
              </w:rPr>
              <w:t>的</w:t>
            </w:r>
            <w:r>
              <w:rPr>
                <w:rFonts w:hint="eastAsia" w:ascii="宋体" w:hAnsi="宋体"/>
                <w:bCs/>
                <w:color w:val="auto"/>
                <w:highlight w:val="none"/>
              </w:rPr>
              <w:t>得2分；</w:t>
            </w:r>
            <w:r>
              <w:rPr>
                <w:rFonts w:hint="eastAsia" w:ascii="宋体" w:hAnsi="宋体"/>
                <w:color w:val="auto"/>
                <w:kern w:val="0"/>
                <w:highlight w:val="none"/>
              </w:rPr>
              <w:t>获得过</w:t>
            </w:r>
            <w:r>
              <w:rPr>
                <w:rFonts w:hint="eastAsia" w:ascii="宋体" w:hAnsi="宋体"/>
                <w:bCs/>
                <w:color w:val="auto"/>
                <w:highlight w:val="none"/>
              </w:rPr>
              <w:t>省级</w:t>
            </w:r>
            <w:r>
              <w:rPr>
                <w:rFonts w:hint="eastAsia" w:ascii="宋体" w:hAnsi="宋体"/>
                <w:color w:val="auto"/>
                <w:kern w:val="0"/>
                <w:highlight w:val="none"/>
              </w:rPr>
              <w:t>用户满意企业</w:t>
            </w:r>
            <w:r>
              <w:rPr>
                <w:rFonts w:hint="eastAsia" w:ascii="宋体" w:hAnsi="宋体"/>
                <w:color w:val="auto"/>
                <w:kern w:val="0"/>
                <w:highlight w:val="none"/>
                <w:lang w:val="en-US" w:eastAsia="zh-CN"/>
              </w:rPr>
              <w:t>的</w:t>
            </w:r>
            <w:r>
              <w:rPr>
                <w:rFonts w:hint="eastAsia" w:ascii="宋体" w:hAnsi="宋体"/>
                <w:bCs/>
                <w:color w:val="auto"/>
                <w:highlight w:val="none"/>
              </w:rPr>
              <w:t>得1分；</w:t>
            </w:r>
            <w:r>
              <w:rPr>
                <w:rFonts w:hint="eastAsia" w:ascii="宋体" w:hAnsi="宋体"/>
                <w:color w:val="auto"/>
                <w:kern w:val="0"/>
                <w:highlight w:val="none"/>
              </w:rPr>
              <w:t>获得过</w:t>
            </w:r>
            <w:r>
              <w:rPr>
                <w:rFonts w:hint="eastAsia" w:ascii="宋体" w:hAnsi="宋体"/>
                <w:bCs/>
                <w:color w:val="auto"/>
                <w:highlight w:val="none"/>
              </w:rPr>
              <w:t>市级</w:t>
            </w:r>
            <w:r>
              <w:rPr>
                <w:rFonts w:hint="eastAsia" w:ascii="宋体" w:hAnsi="宋体"/>
                <w:color w:val="auto"/>
                <w:kern w:val="0"/>
                <w:highlight w:val="none"/>
              </w:rPr>
              <w:t>用户满意企业</w:t>
            </w:r>
            <w:r>
              <w:rPr>
                <w:rFonts w:hint="eastAsia" w:ascii="宋体" w:hAnsi="宋体"/>
                <w:color w:val="auto"/>
                <w:kern w:val="0"/>
                <w:highlight w:val="none"/>
                <w:lang w:val="en-US" w:eastAsia="zh-CN"/>
              </w:rPr>
              <w:t>的</w:t>
            </w:r>
            <w:r>
              <w:rPr>
                <w:rFonts w:hint="eastAsia" w:ascii="宋体" w:hAnsi="宋体"/>
                <w:bCs/>
                <w:color w:val="auto"/>
                <w:highlight w:val="none"/>
              </w:rPr>
              <w:t>得0.5分</w:t>
            </w:r>
            <w:r>
              <w:rPr>
                <w:rFonts w:hint="eastAsia" w:ascii="宋体" w:hAnsi="宋体"/>
                <w:bCs/>
                <w:color w:val="auto"/>
                <w:highlight w:val="none"/>
                <w:lang w:eastAsia="zh-CN"/>
              </w:rPr>
              <w:t>，</w:t>
            </w:r>
            <w:r>
              <w:rPr>
                <w:rFonts w:hint="eastAsia" w:ascii="宋体" w:hAnsi="宋体"/>
                <w:color w:val="auto"/>
                <w:highlight w:val="none"/>
              </w:rPr>
              <w:t>没有</w:t>
            </w:r>
            <w:r>
              <w:rPr>
                <w:rFonts w:hint="eastAsia" w:ascii="宋体" w:hAnsi="宋体"/>
                <w:color w:val="auto"/>
                <w:highlight w:val="none"/>
                <w:lang w:val="en-US" w:eastAsia="zh-CN"/>
              </w:rPr>
              <w:t>的</w:t>
            </w:r>
            <w:r>
              <w:rPr>
                <w:rFonts w:hint="eastAsia" w:ascii="宋体" w:hAnsi="宋体"/>
                <w:color w:val="auto"/>
                <w:highlight w:val="none"/>
              </w:rPr>
              <w:t>不得分</w:t>
            </w:r>
            <w:r>
              <w:rPr>
                <w:rFonts w:hint="eastAsia" w:ascii="宋体" w:hAnsi="宋体"/>
                <w:bCs/>
                <w:color w:val="auto"/>
                <w:highlight w:val="none"/>
              </w:rPr>
              <w:t>。</w:t>
            </w:r>
          </w:p>
          <w:p>
            <w:pPr>
              <w:pStyle w:val="6"/>
              <w:rPr>
                <w:color w:val="auto"/>
                <w:highlight w:val="none"/>
              </w:rPr>
            </w:pPr>
            <w:r>
              <w:rPr>
                <w:rFonts w:hint="eastAsia" w:ascii="宋体" w:hAnsi="宋体"/>
                <w:bCs/>
                <w:color w:val="auto"/>
                <w:highlight w:val="none"/>
                <w:lang w:val="en-US" w:eastAsia="zh-CN"/>
              </w:rPr>
              <w:t>注：</w:t>
            </w:r>
            <w:r>
              <w:rPr>
                <w:rFonts w:hint="eastAsia" w:ascii="宋体" w:hAnsi="宋体"/>
                <w:bCs/>
                <w:color w:val="auto"/>
                <w:highlight w:val="none"/>
              </w:rPr>
              <w:t>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11" w:type="pct"/>
            <w:vMerge w:val="restar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二、项目管理机构能力（</w:t>
            </w:r>
            <w:r>
              <w:rPr>
                <w:rFonts w:hint="eastAsia"/>
                <w:color w:val="auto"/>
                <w:highlight w:val="none"/>
                <w:lang w:val="en-US" w:eastAsia="zh-CN"/>
              </w:rPr>
              <w:t>25</w:t>
            </w:r>
            <w:r>
              <w:rPr>
                <w:rFonts w:hint="eastAsia"/>
                <w:color w:val="auto"/>
                <w:highlight w:val="none"/>
              </w:rPr>
              <w:t>分）</w:t>
            </w: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项目负责人</w:t>
            </w:r>
          </w:p>
        </w:tc>
        <w:tc>
          <w:tcPr>
            <w:tcW w:w="269" w:type="pc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right w:val="single" w:color="auto" w:sz="4" w:space="0"/>
            </w:tcBorders>
            <w:vAlign w:val="center"/>
          </w:tcPr>
          <w:p>
            <w:pPr>
              <w:spacing w:line="300" w:lineRule="exact"/>
              <w:jc w:val="left"/>
              <w:rPr>
                <w:color w:val="auto"/>
                <w:highlight w:val="none"/>
                <w:lang w:val="zh-CN"/>
              </w:rPr>
            </w:pPr>
            <w:r>
              <w:rPr>
                <w:rFonts w:hint="eastAsia"/>
                <w:color w:val="auto"/>
                <w:highlight w:val="none"/>
                <w:lang w:val="zh-CN"/>
              </w:rPr>
              <w:t>（1）具有</w:t>
            </w:r>
            <w:r>
              <w:rPr>
                <w:rFonts w:hint="eastAsia" w:ascii="宋体" w:hAnsi="宋体" w:cs="宋体"/>
                <w:color w:val="auto"/>
                <w:szCs w:val="21"/>
                <w:highlight w:val="none"/>
              </w:rPr>
              <w:t>市政公用工程</w:t>
            </w:r>
            <w:r>
              <w:rPr>
                <w:rFonts w:hint="eastAsia"/>
                <w:color w:val="auto"/>
                <w:highlight w:val="none"/>
                <w:lang w:val="zh-CN"/>
              </w:rPr>
              <w:t>专业</w:t>
            </w:r>
            <w:r>
              <w:rPr>
                <w:rFonts w:hint="eastAsia"/>
                <w:color w:val="auto"/>
                <w:highlight w:val="none"/>
              </w:rPr>
              <w:t>一</w:t>
            </w:r>
            <w:r>
              <w:rPr>
                <w:rFonts w:hint="eastAsia"/>
                <w:color w:val="auto"/>
                <w:highlight w:val="none"/>
                <w:lang w:val="zh-CN"/>
              </w:rPr>
              <w:t>级注册建造师的，得</w:t>
            </w:r>
            <w:r>
              <w:rPr>
                <w:rFonts w:hint="eastAsia"/>
                <w:color w:val="auto"/>
                <w:highlight w:val="none"/>
                <w:lang w:val="en-US" w:eastAsia="zh-CN"/>
              </w:rPr>
              <w:t>2</w:t>
            </w:r>
            <w:r>
              <w:rPr>
                <w:rFonts w:hint="eastAsia"/>
                <w:color w:val="auto"/>
                <w:highlight w:val="none"/>
                <w:lang w:val="zh-CN"/>
              </w:rPr>
              <w:t>分。</w:t>
            </w:r>
          </w:p>
          <w:p>
            <w:pPr>
              <w:spacing w:line="300" w:lineRule="exact"/>
              <w:jc w:val="left"/>
              <w:rPr>
                <w:color w:val="auto"/>
                <w:highlight w:val="none"/>
              </w:rPr>
            </w:pPr>
            <w:r>
              <w:rPr>
                <w:rFonts w:hint="eastAsia"/>
                <w:color w:val="auto"/>
                <w:highlight w:val="none"/>
              </w:rPr>
              <w:t>（2）具有</w:t>
            </w:r>
            <w:r>
              <w:rPr>
                <w:rFonts w:hint="eastAsia" w:ascii="宋体" w:hAnsi="宋体" w:cs="宋体"/>
                <w:color w:val="auto"/>
                <w:szCs w:val="21"/>
                <w:highlight w:val="none"/>
              </w:rPr>
              <w:t>市政工程类</w:t>
            </w:r>
            <w:r>
              <w:rPr>
                <w:rFonts w:hint="eastAsia"/>
                <w:color w:val="auto"/>
                <w:highlight w:val="none"/>
              </w:rPr>
              <w:t>相关专业高级或以上工程师</w:t>
            </w:r>
            <w:r>
              <w:rPr>
                <w:rFonts w:hint="eastAsia"/>
                <w:color w:val="auto"/>
                <w:highlight w:val="none"/>
                <w:lang w:val="zh-CN"/>
              </w:rPr>
              <w:t>职称的得</w:t>
            </w:r>
            <w:r>
              <w:rPr>
                <w:rFonts w:hint="eastAsia"/>
                <w:color w:val="auto"/>
                <w:highlight w:val="none"/>
              </w:rPr>
              <w:t>2</w:t>
            </w:r>
            <w:r>
              <w:rPr>
                <w:rFonts w:hint="eastAsia"/>
                <w:color w:val="auto"/>
                <w:highlight w:val="none"/>
                <w:lang w:val="zh-CN"/>
              </w:rPr>
              <w:t>分；</w:t>
            </w:r>
            <w:r>
              <w:rPr>
                <w:rFonts w:hint="eastAsia"/>
                <w:color w:val="auto"/>
                <w:highlight w:val="none"/>
              </w:rPr>
              <w:t>具有</w:t>
            </w:r>
            <w:r>
              <w:rPr>
                <w:rFonts w:hint="eastAsia" w:ascii="宋体" w:hAnsi="宋体" w:cs="宋体"/>
                <w:color w:val="auto"/>
                <w:szCs w:val="21"/>
                <w:highlight w:val="none"/>
              </w:rPr>
              <w:t>市政工程类</w:t>
            </w:r>
            <w:r>
              <w:rPr>
                <w:rFonts w:hint="eastAsia"/>
                <w:color w:val="auto"/>
                <w:highlight w:val="none"/>
              </w:rPr>
              <w:t>相关专业中级工程师</w:t>
            </w:r>
            <w:r>
              <w:rPr>
                <w:rFonts w:hint="eastAsia"/>
                <w:color w:val="auto"/>
                <w:highlight w:val="none"/>
                <w:lang w:val="zh-CN"/>
              </w:rPr>
              <w:t>职称的得</w:t>
            </w:r>
            <w:r>
              <w:rPr>
                <w:rFonts w:hint="eastAsia"/>
                <w:color w:val="auto"/>
                <w:highlight w:val="none"/>
              </w:rPr>
              <w:t>1</w:t>
            </w:r>
            <w:r>
              <w:rPr>
                <w:rFonts w:hint="eastAsia"/>
                <w:color w:val="auto"/>
                <w:highlight w:val="none"/>
                <w:lang w:val="zh-CN"/>
              </w:rPr>
              <w:t>分，</w:t>
            </w:r>
            <w:r>
              <w:rPr>
                <w:rFonts w:hint="eastAsia"/>
                <w:color w:val="auto"/>
                <w:highlight w:val="none"/>
                <w:lang w:val="en-US" w:eastAsia="zh-CN"/>
              </w:rPr>
              <w:t>其它情形不得分</w:t>
            </w:r>
            <w:r>
              <w:rPr>
                <w:rFonts w:hint="eastAsia"/>
                <w:color w:val="auto"/>
                <w:highlight w:val="none"/>
                <w:lang w:val="zh-CN"/>
              </w:rPr>
              <w:t>。</w:t>
            </w:r>
          </w:p>
          <w:p>
            <w:pPr>
              <w:pStyle w:val="10"/>
              <w:ind w:firstLine="0"/>
              <w:rPr>
                <w:color w:val="auto"/>
                <w:highlight w:val="none"/>
              </w:rPr>
            </w:pPr>
            <w:r>
              <w:rPr>
                <w:rFonts w:hint="eastAsia"/>
                <w:color w:val="auto"/>
                <w:highlight w:val="none"/>
                <w:lang w:val="en-US" w:eastAsia="zh-CN"/>
              </w:rPr>
              <w:t>注：</w:t>
            </w:r>
            <w:r>
              <w:rPr>
                <w:rFonts w:hint="eastAsia"/>
                <w:color w:val="auto"/>
                <w:highlight w:val="none"/>
                <w:lang w:val="zh-CN"/>
              </w:rPr>
              <w:t>本项最高得</w:t>
            </w:r>
            <w:r>
              <w:rPr>
                <w:rFonts w:hint="eastAsia"/>
                <w:color w:val="auto"/>
                <w:highlight w:val="none"/>
                <w:lang w:val="en-US" w:eastAsia="zh-CN"/>
              </w:rPr>
              <w:t>4</w:t>
            </w:r>
            <w:r>
              <w:rPr>
                <w:rFonts w:hint="eastAsia"/>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技术负责人</w:t>
            </w:r>
          </w:p>
        </w:tc>
        <w:tc>
          <w:tcPr>
            <w:tcW w:w="269" w:type="pc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eastAsia="zh-CN"/>
              </w:rPr>
              <w:t>5</w:t>
            </w:r>
            <w:r>
              <w:rPr>
                <w:rFonts w:hint="eastAsia"/>
                <w:color w:val="auto"/>
                <w:highlight w:val="none"/>
              </w:rPr>
              <w:t>分</w:t>
            </w:r>
          </w:p>
        </w:tc>
        <w:tc>
          <w:tcPr>
            <w:tcW w:w="3930" w:type="pct"/>
            <w:tcBorders>
              <w:top w:val="single" w:color="auto" w:sz="4" w:space="0"/>
              <w:left w:val="single" w:color="auto" w:sz="4" w:space="0"/>
              <w:right w:val="single" w:color="auto" w:sz="4" w:space="0"/>
            </w:tcBorders>
            <w:vAlign w:val="center"/>
          </w:tcPr>
          <w:p>
            <w:pPr>
              <w:spacing w:line="300" w:lineRule="exact"/>
              <w:jc w:val="left"/>
              <w:rPr>
                <w:color w:val="auto"/>
                <w:highlight w:val="none"/>
                <w:lang w:val="zh-CN"/>
              </w:rPr>
            </w:pPr>
            <w:r>
              <w:rPr>
                <w:rFonts w:hint="eastAsia"/>
                <w:color w:val="auto"/>
                <w:highlight w:val="none"/>
              </w:rPr>
              <w:t>（1）具有市政工程类相关专业高级或以上工程师</w:t>
            </w:r>
            <w:r>
              <w:rPr>
                <w:rFonts w:hint="eastAsia"/>
                <w:color w:val="auto"/>
                <w:highlight w:val="none"/>
                <w:lang w:val="zh-CN"/>
              </w:rPr>
              <w:t>职称的得</w:t>
            </w:r>
            <w:r>
              <w:rPr>
                <w:rFonts w:hint="eastAsia"/>
                <w:color w:val="auto"/>
                <w:highlight w:val="none"/>
              </w:rPr>
              <w:t>2</w:t>
            </w:r>
            <w:r>
              <w:rPr>
                <w:rFonts w:hint="eastAsia"/>
                <w:color w:val="auto"/>
                <w:highlight w:val="none"/>
                <w:lang w:val="zh-CN"/>
              </w:rPr>
              <w:t>分；</w:t>
            </w:r>
            <w:r>
              <w:rPr>
                <w:rFonts w:hint="eastAsia"/>
                <w:color w:val="auto"/>
                <w:highlight w:val="none"/>
              </w:rPr>
              <w:t>具有</w:t>
            </w:r>
            <w:r>
              <w:rPr>
                <w:rFonts w:hint="eastAsia" w:ascii="宋体" w:hAnsi="宋体" w:cs="宋体"/>
                <w:color w:val="auto"/>
                <w:szCs w:val="21"/>
                <w:highlight w:val="none"/>
              </w:rPr>
              <w:t>市政工程类</w:t>
            </w:r>
            <w:r>
              <w:rPr>
                <w:rFonts w:hint="eastAsia"/>
                <w:color w:val="auto"/>
                <w:highlight w:val="none"/>
              </w:rPr>
              <w:t>相关专业中级工程师</w:t>
            </w:r>
            <w:r>
              <w:rPr>
                <w:rFonts w:hint="eastAsia"/>
                <w:color w:val="auto"/>
                <w:highlight w:val="none"/>
                <w:lang w:val="zh-CN"/>
              </w:rPr>
              <w:t>职称的得</w:t>
            </w:r>
            <w:r>
              <w:rPr>
                <w:rFonts w:hint="eastAsia"/>
                <w:color w:val="auto"/>
                <w:highlight w:val="none"/>
              </w:rPr>
              <w:t>1</w:t>
            </w:r>
            <w:r>
              <w:rPr>
                <w:rFonts w:hint="eastAsia"/>
                <w:color w:val="auto"/>
                <w:highlight w:val="none"/>
                <w:lang w:val="zh-CN"/>
              </w:rPr>
              <w:t>分；</w:t>
            </w:r>
            <w:r>
              <w:rPr>
                <w:rFonts w:hint="eastAsia"/>
                <w:color w:val="auto"/>
                <w:highlight w:val="none"/>
                <w:lang w:val="en-US" w:eastAsia="zh-CN"/>
              </w:rPr>
              <w:t>其它情形不得分</w:t>
            </w:r>
            <w:r>
              <w:rPr>
                <w:rFonts w:hint="eastAsia"/>
                <w:color w:val="auto"/>
                <w:highlight w:val="none"/>
                <w:lang w:val="zh-CN"/>
              </w:rPr>
              <w:t>。</w:t>
            </w:r>
          </w:p>
          <w:p>
            <w:pPr>
              <w:spacing w:line="300" w:lineRule="exact"/>
              <w:jc w:val="left"/>
              <w:rPr>
                <w:color w:val="auto"/>
                <w:highlight w:val="none"/>
                <w:lang w:val="zh-CN"/>
              </w:rPr>
            </w:pPr>
            <w:r>
              <w:rPr>
                <w:rFonts w:hint="eastAsia"/>
                <w:color w:val="auto"/>
                <w:highlight w:val="none"/>
                <w:lang w:val="zh-CN"/>
              </w:rPr>
              <w:t>（3）拟委派的技术负责人自2019年1月1日至</w:t>
            </w:r>
            <w:r>
              <w:rPr>
                <w:rFonts w:hint="eastAsia"/>
                <w:color w:val="auto"/>
                <w:highlight w:val="none"/>
                <w:lang w:val="en-US" w:eastAsia="zh-CN"/>
              </w:rPr>
              <w:t>今</w:t>
            </w:r>
            <w:r>
              <w:rPr>
                <w:rFonts w:hint="eastAsia"/>
                <w:color w:val="auto"/>
                <w:highlight w:val="none"/>
                <w:lang w:val="zh-CN"/>
              </w:rPr>
              <w:t>，</w:t>
            </w:r>
            <w:r>
              <w:rPr>
                <w:rFonts w:hint="eastAsia"/>
                <w:color w:val="auto"/>
                <w:highlight w:val="none"/>
                <w:lang w:val="en-US" w:eastAsia="zh-CN"/>
              </w:rPr>
              <w:t>在</w:t>
            </w:r>
            <w:r>
              <w:rPr>
                <w:rFonts w:hint="eastAsia"/>
                <w:color w:val="auto"/>
                <w:highlight w:val="none"/>
                <w:lang w:val="zh-CN"/>
              </w:rPr>
              <w:t>完成过的</w:t>
            </w:r>
            <w:r>
              <w:rPr>
                <w:rFonts w:hint="eastAsia"/>
                <w:color w:val="auto"/>
                <w:highlight w:val="none"/>
              </w:rPr>
              <w:t>市政类项目</w:t>
            </w:r>
            <w:r>
              <w:rPr>
                <w:rFonts w:hint="eastAsia"/>
                <w:color w:val="auto"/>
                <w:highlight w:val="none"/>
                <w:lang w:val="en-US" w:eastAsia="zh-CN"/>
              </w:rPr>
              <w:t>中曾</w:t>
            </w:r>
            <w:r>
              <w:rPr>
                <w:rFonts w:hint="eastAsia"/>
                <w:color w:val="auto"/>
                <w:highlight w:val="none"/>
                <w:lang w:val="zh-CN"/>
              </w:rPr>
              <w:t>担任</w:t>
            </w:r>
            <w:r>
              <w:rPr>
                <w:rFonts w:hint="eastAsia"/>
                <w:color w:val="auto"/>
                <w:highlight w:val="none"/>
                <w:lang w:val="en-US" w:eastAsia="zh-CN"/>
              </w:rPr>
              <w:t>过</w:t>
            </w:r>
            <w:r>
              <w:rPr>
                <w:rFonts w:hint="eastAsia"/>
                <w:color w:val="auto"/>
                <w:highlight w:val="none"/>
                <w:lang w:val="zh-CN"/>
              </w:rPr>
              <w:t>项目负责人或技术负责人</w:t>
            </w:r>
            <w:r>
              <w:rPr>
                <w:rFonts w:hint="eastAsia"/>
                <w:color w:val="auto"/>
                <w:highlight w:val="none"/>
                <w:lang w:val="en-US" w:eastAsia="zh-CN"/>
              </w:rPr>
              <w:t>的，</w:t>
            </w:r>
            <w:r>
              <w:rPr>
                <w:rFonts w:hint="eastAsia"/>
                <w:color w:val="auto"/>
                <w:highlight w:val="none"/>
                <w:lang w:val="zh-CN"/>
              </w:rPr>
              <w:t>得</w:t>
            </w:r>
            <w:r>
              <w:rPr>
                <w:rFonts w:hint="eastAsia"/>
                <w:color w:val="auto"/>
                <w:highlight w:val="none"/>
                <w:lang w:val="en-US" w:eastAsia="zh-CN"/>
              </w:rPr>
              <w:t>3</w:t>
            </w:r>
            <w:r>
              <w:rPr>
                <w:rFonts w:hint="eastAsia"/>
                <w:color w:val="auto"/>
                <w:highlight w:val="none"/>
                <w:lang w:val="zh-CN"/>
              </w:rPr>
              <w:t>分</w:t>
            </w:r>
            <w:r>
              <w:rPr>
                <w:rFonts w:hint="eastAsia"/>
                <w:color w:val="auto"/>
                <w:highlight w:val="none"/>
              </w:rPr>
              <w:t>。</w:t>
            </w:r>
          </w:p>
          <w:p>
            <w:pPr>
              <w:spacing w:line="300" w:lineRule="exact"/>
              <w:jc w:val="left"/>
              <w:rPr>
                <w:color w:val="auto"/>
                <w:highlight w:val="none"/>
                <w:lang w:val="zh-CN"/>
              </w:rPr>
            </w:pPr>
            <w:r>
              <w:rPr>
                <w:rFonts w:hint="eastAsia"/>
                <w:color w:val="auto"/>
                <w:highlight w:val="none"/>
                <w:lang w:val="en-US" w:eastAsia="zh-CN"/>
              </w:rPr>
              <w:t>注：</w:t>
            </w:r>
            <w:r>
              <w:rPr>
                <w:rFonts w:hint="eastAsia"/>
                <w:color w:val="auto"/>
                <w:highlight w:val="none"/>
                <w:lang w:val="zh-CN"/>
              </w:rPr>
              <w:t>本项最高得</w:t>
            </w:r>
            <w:r>
              <w:rPr>
                <w:rFonts w:hint="eastAsia"/>
                <w:color w:val="auto"/>
                <w:highlight w:val="none"/>
                <w:lang w:val="en-US" w:eastAsia="zh-CN"/>
              </w:rPr>
              <w:t>5</w:t>
            </w:r>
            <w:r>
              <w:rPr>
                <w:rFonts w:hint="eastAsia"/>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园林绿化负责人</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lang w:val="zh-CN"/>
              </w:rPr>
            </w:pPr>
            <w:r>
              <w:rPr>
                <w:rFonts w:hint="eastAsia"/>
                <w:color w:val="auto"/>
                <w:highlight w:val="none"/>
                <w:lang w:val="zh-CN"/>
              </w:rPr>
              <w:t>（1）具有</w:t>
            </w:r>
            <w:r>
              <w:rPr>
                <w:rFonts w:hint="eastAsia" w:ascii="宋体" w:hAnsi="宋体" w:cs="宋体"/>
                <w:color w:val="auto"/>
                <w:szCs w:val="21"/>
                <w:highlight w:val="none"/>
              </w:rPr>
              <w:t>市政公用工程</w:t>
            </w:r>
            <w:r>
              <w:rPr>
                <w:rFonts w:hint="eastAsia"/>
                <w:color w:val="auto"/>
                <w:highlight w:val="none"/>
                <w:lang w:val="zh-CN"/>
              </w:rPr>
              <w:t>专业</w:t>
            </w:r>
            <w:r>
              <w:rPr>
                <w:rFonts w:hint="eastAsia"/>
                <w:color w:val="auto"/>
                <w:highlight w:val="none"/>
              </w:rPr>
              <w:t>一</w:t>
            </w:r>
            <w:r>
              <w:rPr>
                <w:rFonts w:hint="eastAsia"/>
                <w:color w:val="auto"/>
                <w:highlight w:val="none"/>
                <w:lang w:val="zh-CN"/>
              </w:rPr>
              <w:t>级注册建造师的，得</w:t>
            </w:r>
            <w:r>
              <w:rPr>
                <w:rFonts w:hint="eastAsia"/>
                <w:color w:val="auto"/>
                <w:highlight w:val="none"/>
                <w:lang w:val="en-US" w:eastAsia="zh-CN"/>
              </w:rPr>
              <w:t>2</w:t>
            </w:r>
            <w:r>
              <w:rPr>
                <w:rFonts w:hint="eastAsia"/>
                <w:color w:val="auto"/>
                <w:highlight w:val="none"/>
                <w:lang w:val="zh-CN"/>
              </w:rPr>
              <w:t>分。</w:t>
            </w:r>
          </w:p>
          <w:p>
            <w:pPr>
              <w:spacing w:line="300" w:lineRule="exact"/>
              <w:jc w:val="left"/>
              <w:rPr>
                <w:color w:val="auto"/>
                <w:highlight w:val="none"/>
                <w:lang w:val="zh-CN"/>
              </w:rPr>
            </w:pPr>
            <w:r>
              <w:rPr>
                <w:rFonts w:hint="eastAsia"/>
                <w:color w:val="auto"/>
                <w:highlight w:val="none"/>
              </w:rPr>
              <w:t>（2）具有园林绿化类相关专业高级或以上工程师</w:t>
            </w:r>
            <w:r>
              <w:rPr>
                <w:rFonts w:hint="eastAsia"/>
                <w:color w:val="auto"/>
                <w:highlight w:val="none"/>
                <w:lang w:val="zh-CN"/>
              </w:rPr>
              <w:t>职称的得</w:t>
            </w:r>
            <w:r>
              <w:rPr>
                <w:rFonts w:hint="eastAsia"/>
                <w:color w:val="auto"/>
                <w:highlight w:val="none"/>
              </w:rPr>
              <w:t>2</w:t>
            </w:r>
            <w:r>
              <w:rPr>
                <w:rFonts w:hint="eastAsia"/>
                <w:color w:val="auto"/>
                <w:highlight w:val="none"/>
                <w:lang w:val="zh-CN"/>
              </w:rPr>
              <w:t>分；</w:t>
            </w:r>
            <w:r>
              <w:rPr>
                <w:rFonts w:hint="eastAsia"/>
                <w:color w:val="auto"/>
                <w:highlight w:val="none"/>
              </w:rPr>
              <w:t>具有园林绿化类相关专业中级工程师</w:t>
            </w:r>
            <w:r>
              <w:rPr>
                <w:rFonts w:hint="eastAsia"/>
                <w:color w:val="auto"/>
                <w:highlight w:val="none"/>
                <w:lang w:val="zh-CN"/>
              </w:rPr>
              <w:t>职称的得</w:t>
            </w:r>
            <w:r>
              <w:rPr>
                <w:rFonts w:hint="eastAsia"/>
                <w:color w:val="auto"/>
                <w:highlight w:val="none"/>
              </w:rPr>
              <w:t>1</w:t>
            </w:r>
            <w:r>
              <w:rPr>
                <w:rFonts w:hint="eastAsia"/>
                <w:color w:val="auto"/>
                <w:highlight w:val="none"/>
                <w:lang w:val="zh-CN"/>
              </w:rPr>
              <w:t>分；</w:t>
            </w:r>
            <w:r>
              <w:rPr>
                <w:rFonts w:hint="eastAsia"/>
                <w:color w:val="auto"/>
                <w:highlight w:val="none"/>
                <w:lang w:val="en-US" w:eastAsia="zh-CN"/>
              </w:rPr>
              <w:t>其它情形不得分</w:t>
            </w:r>
            <w:r>
              <w:rPr>
                <w:rFonts w:hint="eastAsia"/>
                <w:color w:val="auto"/>
                <w:highlight w:val="none"/>
                <w:lang w:val="zh-CN"/>
              </w:rPr>
              <w:t>。</w:t>
            </w:r>
          </w:p>
          <w:p>
            <w:pPr>
              <w:spacing w:line="300" w:lineRule="exact"/>
              <w:jc w:val="left"/>
              <w:rPr>
                <w:color w:val="auto"/>
                <w:highlight w:val="none"/>
              </w:rPr>
            </w:pPr>
            <w:r>
              <w:rPr>
                <w:rFonts w:hint="eastAsia"/>
                <w:color w:val="auto"/>
                <w:highlight w:val="none"/>
                <w:lang w:val="en-US" w:eastAsia="zh-CN"/>
              </w:rPr>
              <w:t>注：</w:t>
            </w:r>
            <w:r>
              <w:rPr>
                <w:rFonts w:hint="eastAsia"/>
                <w:color w:val="auto"/>
                <w:highlight w:val="none"/>
                <w:lang w:val="zh-CN"/>
              </w:rPr>
              <w:t>本项最高得</w:t>
            </w:r>
            <w:r>
              <w:rPr>
                <w:rFonts w:hint="eastAsia"/>
                <w:color w:val="auto"/>
                <w:highlight w:val="none"/>
                <w:lang w:val="en-US" w:eastAsia="zh-CN"/>
              </w:rPr>
              <w:t>4</w:t>
            </w:r>
            <w:r>
              <w:rPr>
                <w:rFonts w:hint="eastAsia"/>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造价负责人</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rPr>
            </w:pPr>
            <w:r>
              <w:rPr>
                <w:rFonts w:hint="eastAsia"/>
                <w:color w:val="auto"/>
                <w:highlight w:val="none"/>
                <w:lang w:val="zh-CN"/>
              </w:rPr>
              <w:t>（</w:t>
            </w:r>
            <w:r>
              <w:rPr>
                <w:rFonts w:hint="eastAsia"/>
                <w:color w:val="auto"/>
                <w:highlight w:val="none"/>
              </w:rPr>
              <w:t>1</w:t>
            </w:r>
            <w:r>
              <w:rPr>
                <w:rFonts w:hint="eastAsia"/>
                <w:color w:val="auto"/>
                <w:highlight w:val="none"/>
                <w:lang w:val="zh-CN"/>
              </w:rPr>
              <w:t>）具有安装专业注册造价工程师</w:t>
            </w:r>
            <w:r>
              <w:rPr>
                <w:rFonts w:hint="eastAsia"/>
                <w:color w:val="auto"/>
                <w:highlight w:val="none"/>
              </w:rPr>
              <w:t>或一级注册造价工程师</w:t>
            </w:r>
            <w:r>
              <w:rPr>
                <w:rFonts w:hint="eastAsia"/>
                <w:color w:val="auto"/>
                <w:highlight w:val="none"/>
                <w:lang w:val="zh-CN"/>
              </w:rPr>
              <w:t>执业证书的，得</w:t>
            </w:r>
            <w:r>
              <w:rPr>
                <w:rFonts w:hint="eastAsia"/>
                <w:color w:val="auto"/>
                <w:highlight w:val="none"/>
                <w:lang w:val="en-US" w:eastAsia="zh-CN"/>
              </w:rPr>
              <w:t>2</w:t>
            </w:r>
            <w:r>
              <w:rPr>
                <w:rFonts w:hint="eastAsia"/>
                <w:color w:val="auto"/>
                <w:highlight w:val="none"/>
                <w:lang w:val="zh-CN"/>
              </w:rPr>
              <w:t>分</w:t>
            </w:r>
            <w:r>
              <w:rPr>
                <w:rFonts w:hint="eastAsia"/>
                <w:color w:val="auto"/>
                <w:highlight w:val="none"/>
              </w:rPr>
              <w:t>。</w:t>
            </w:r>
          </w:p>
          <w:p>
            <w:pPr>
              <w:spacing w:line="300" w:lineRule="exact"/>
              <w:jc w:val="left"/>
              <w:rPr>
                <w:color w:val="auto"/>
                <w:highlight w:val="none"/>
              </w:rPr>
            </w:pPr>
            <w:r>
              <w:rPr>
                <w:rFonts w:hint="eastAsia"/>
                <w:color w:val="auto"/>
                <w:highlight w:val="none"/>
              </w:rPr>
              <w:t>（2）具有造价类相关专业高级或以上工程师</w:t>
            </w:r>
            <w:r>
              <w:rPr>
                <w:rFonts w:hint="eastAsia"/>
                <w:color w:val="auto"/>
                <w:highlight w:val="none"/>
                <w:lang w:val="zh-CN"/>
              </w:rPr>
              <w:t>职称的得</w:t>
            </w:r>
            <w:r>
              <w:rPr>
                <w:rFonts w:hint="eastAsia"/>
                <w:color w:val="auto"/>
                <w:highlight w:val="none"/>
              </w:rPr>
              <w:t>2</w:t>
            </w:r>
            <w:r>
              <w:rPr>
                <w:rFonts w:hint="eastAsia"/>
                <w:color w:val="auto"/>
                <w:highlight w:val="none"/>
                <w:lang w:val="zh-CN"/>
              </w:rPr>
              <w:t>分；</w:t>
            </w:r>
            <w:r>
              <w:rPr>
                <w:rFonts w:hint="eastAsia"/>
                <w:color w:val="auto"/>
                <w:highlight w:val="none"/>
              </w:rPr>
              <w:t>具有</w:t>
            </w:r>
            <w:r>
              <w:rPr>
                <w:rFonts w:hint="eastAsia" w:ascii="宋体" w:hAnsi="宋体" w:cs="宋体"/>
                <w:color w:val="auto"/>
                <w:szCs w:val="21"/>
                <w:highlight w:val="none"/>
              </w:rPr>
              <w:t>造价类</w:t>
            </w:r>
            <w:r>
              <w:rPr>
                <w:rFonts w:hint="eastAsia"/>
                <w:color w:val="auto"/>
                <w:highlight w:val="none"/>
              </w:rPr>
              <w:t>相关专业中级工程师</w:t>
            </w:r>
            <w:r>
              <w:rPr>
                <w:rFonts w:hint="eastAsia"/>
                <w:color w:val="auto"/>
                <w:highlight w:val="none"/>
                <w:lang w:val="zh-CN"/>
              </w:rPr>
              <w:t>职称的得</w:t>
            </w:r>
            <w:r>
              <w:rPr>
                <w:rFonts w:hint="eastAsia"/>
                <w:color w:val="auto"/>
                <w:highlight w:val="none"/>
              </w:rPr>
              <w:t>1</w:t>
            </w:r>
            <w:r>
              <w:rPr>
                <w:rFonts w:hint="eastAsia"/>
                <w:color w:val="auto"/>
                <w:highlight w:val="none"/>
                <w:lang w:val="zh-CN"/>
              </w:rPr>
              <w:t>分；</w:t>
            </w:r>
            <w:r>
              <w:rPr>
                <w:rFonts w:hint="eastAsia"/>
                <w:color w:val="auto"/>
                <w:highlight w:val="none"/>
                <w:lang w:val="en-US" w:eastAsia="zh-CN"/>
              </w:rPr>
              <w:t>其它情形不得分</w:t>
            </w:r>
            <w:r>
              <w:rPr>
                <w:rFonts w:hint="eastAsia"/>
                <w:color w:val="auto"/>
                <w:highlight w:val="none"/>
                <w:lang w:val="zh-CN"/>
              </w:rPr>
              <w:t>。</w:t>
            </w:r>
          </w:p>
          <w:p>
            <w:pPr>
              <w:spacing w:line="300" w:lineRule="exact"/>
              <w:jc w:val="left"/>
              <w:rPr>
                <w:color w:val="auto"/>
                <w:highlight w:val="none"/>
                <w:lang w:val="zh-CN"/>
              </w:rPr>
            </w:pPr>
            <w:r>
              <w:rPr>
                <w:rFonts w:hint="eastAsia"/>
                <w:color w:val="auto"/>
                <w:highlight w:val="none"/>
                <w:lang w:val="en-US" w:eastAsia="zh-CN"/>
              </w:rPr>
              <w:t>注：</w:t>
            </w:r>
            <w:r>
              <w:rPr>
                <w:rFonts w:hint="eastAsia"/>
                <w:color w:val="auto"/>
                <w:highlight w:val="none"/>
                <w:lang w:val="zh-CN"/>
              </w:rPr>
              <w:t>本项最高得</w:t>
            </w:r>
            <w:r>
              <w:rPr>
                <w:rFonts w:hint="eastAsia"/>
                <w:color w:val="auto"/>
                <w:highlight w:val="none"/>
                <w:lang w:val="en-US" w:eastAsia="zh-CN"/>
              </w:rPr>
              <w:t>4</w:t>
            </w:r>
            <w:r>
              <w:rPr>
                <w:rFonts w:hint="eastAsia"/>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安全负责人</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2分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rPr>
            </w:pPr>
            <w:r>
              <w:rPr>
                <w:rFonts w:hint="eastAsia"/>
                <w:color w:val="auto"/>
                <w:highlight w:val="none"/>
                <w:lang w:val="zh-CN"/>
              </w:rPr>
              <w:t>具有注册安全工程师执业证书的，得</w:t>
            </w:r>
            <w:r>
              <w:rPr>
                <w:rFonts w:hint="eastAsia"/>
                <w:color w:val="auto"/>
                <w:highlight w:val="none"/>
              </w:rPr>
              <w:t>2</w:t>
            </w:r>
            <w:r>
              <w:rPr>
                <w:rFonts w:hint="eastAsia"/>
                <w:color w:val="auto"/>
                <w:highlight w:val="none"/>
                <w:lang w:val="zh-CN"/>
              </w:rPr>
              <w:t>分</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测量负责人</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2分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rPr>
            </w:pPr>
            <w:r>
              <w:rPr>
                <w:rFonts w:hint="eastAsia"/>
                <w:color w:val="auto"/>
                <w:highlight w:val="none"/>
              </w:rPr>
              <w:t>具有测量工程类相关专业高级或以上工程师</w:t>
            </w:r>
            <w:r>
              <w:rPr>
                <w:rFonts w:hint="eastAsia"/>
                <w:color w:val="auto"/>
                <w:highlight w:val="none"/>
                <w:lang w:val="zh-CN"/>
              </w:rPr>
              <w:t>职称的得</w:t>
            </w:r>
            <w:r>
              <w:rPr>
                <w:rFonts w:hint="eastAsia"/>
                <w:color w:val="auto"/>
                <w:highlight w:val="none"/>
              </w:rPr>
              <w:t>2</w:t>
            </w:r>
            <w:r>
              <w:rPr>
                <w:rFonts w:hint="eastAsia"/>
                <w:color w:val="auto"/>
                <w:highlight w:val="none"/>
                <w:lang w:val="zh-CN"/>
              </w:rPr>
              <w:t>分；</w:t>
            </w:r>
            <w:r>
              <w:rPr>
                <w:rFonts w:hint="eastAsia"/>
                <w:color w:val="auto"/>
                <w:highlight w:val="none"/>
              </w:rPr>
              <w:t>具有</w:t>
            </w:r>
            <w:r>
              <w:rPr>
                <w:rFonts w:hint="eastAsia" w:ascii="宋体" w:hAnsi="宋体" w:cs="宋体"/>
                <w:color w:val="auto"/>
                <w:szCs w:val="21"/>
                <w:highlight w:val="none"/>
              </w:rPr>
              <w:t>测量工程类</w:t>
            </w:r>
            <w:r>
              <w:rPr>
                <w:rFonts w:hint="eastAsia"/>
                <w:color w:val="auto"/>
                <w:highlight w:val="none"/>
              </w:rPr>
              <w:t>相关专业中级工程师</w:t>
            </w:r>
            <w:r>
              <w:rPr>
                <w:rFonts w:hint="eastAsia"/>
                <w:color w:val="auto"/>
                <w:highlight w:val="none"/>
                <w:lang w:val="zh-CN"/>
              </w:rPr>
              <w:t>职称的；得</w:t>
            </w:r>
            <w:r>
              <w:rPr>
                <w:rFonts w:hint="eastAsia"/>
                <w:color w:val="auto"/>
                <w:highlight w:val="none"/>
              </w:rPr>
              <w:t>1</w:t>
            </w:r>
            <w:r>
              <w:rPr>
                <w:rFonts w:hint="eastAsia"/>
                <w:color w:val="auto"/>
                <w:highlight w:val="none"/>
                <w:lang w:val="zh-CN"/>
              </w:rPr>
              <w:t>分；</w:t>
            </w:r>
            <w:r>
              <w:rPr>
                <w:rFonts w:hint="eastAsia"/>
                <w:color w:val="auto"/>
                <w:highlight w:val="none"/>
                <w:lang w:val="en-US" w:eastAsia="zh-CN"/>
              </w:rPr>
              <w:t>其它情形不得分</w:t>
            </w:r>
            <w:r>
              <w:rPr>
                <w:rFonts w:hint="eastAsia"/>
                <w:color w:val="auto"/>
                <w:highlight w:val="none"/>
                <w:lang w:val="zh-CN"/>
              </w:rPr>
              <w:t>。</w:t>
            </w:r>
          </w:p>
          <w:p>
            <w:pPr>
              <w:spacing w:line="300" w:lineRule="exact"/>
              <w:jc w:val="left"/>
              <w:rPr>
                <w:rFonts w:hint="eastAsia"/>
                <w:color w:val="auto"/>
                <w:highlight w:val="none"/>
                <w:lang w:val="zh-CN"/>
              </w:rPr>
            </w:pPr>
            <w:r>
              <w:rPr>
                <w:rFonts w:hint="eastAsia"/>
                <w:color w:val="auto"/>
                <w:highlight w:val="none"/>
                <w:lang w:val="en-US" w:eastAsia="zh-CN"/>
              </w:rPr>
              <w:t>注：</w:t>
            </w:r>
            <w:r>
              <w:rPr>
                <w:rFonts w:hint="eastAsia"/>
                <w:color w:val="auto"/>
                <w:highlight w:val="none"/>
                <w:lang w:val="zh-CN"/>
              </w:rPr>
              <w:t>本项最高得</w:t>
            </w:r>
            <w:r>
              <w:rPr>
                <w:rFonts w:hint="eastAsia"/>
                <w:color w:val="auto"/>
                <w:highlight w:val="none"/>
              </w:rPr>
              <w:t>2</w:t>
            </w:r>
            <w:r>
              <w:rPr>
                <w:rFonts w:hint="eastAsia"/>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11" w:type="pct"/>
            <w:vMerge w:val="continue"/>
            <w:tcBorders>
              <w:left w:val="single" w:color="auto" w:sz="4" w:space="0"/>
              <w:right w:val="single" w:color="auto" w:sz="4" w:space="0"/>
            </w:tcBorders>
            <w:vAlign w:val="center"/>
          </w:tcPr>
          <w:p>
            <w:pPr>
              <w:spacing w:line="300" w:lineRule="exact"/>
              <w:jc w:val="center"/>
              <w:rPr>
                <w:color w:val="auto"/>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给排水负责人</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lang w:val="en-US" w:eastAsia="zh-CN"/>
              </w:rPr>
              <w:t>4</w:t>
            </w:r>
            <w:r>
              <w:rPr>
                <w:rFonts w:hint="eastAsia"/>
                <w:color w:val="auto"/>
                <w:highlight w:val="none"/>
              </w:rPr>
              <w:t>分</w:t>
            </w:r>
          </w:p>
        </w:tc>
        <w:tc>
          <w:tcPr>
            <w:tcW w:w="3930"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（1）具</w:t>
            </w:r>
            <w:r>
              <w:rPr>
                <w:rFonts w:hint="eastAsia" w:ascii="宋体" w:hAnsi="宋体" w:eastAsia="宋体" w:cs="宋体"/>
                <w:color w:val="auto"/>
                <w:szCs w:val="21"/>
                <w:highlight w:val="none"/>
              </w:rPr>
              <w:t>有给水排水专业注册公用设备工程师的，得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spacing w:line="30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（2）具有市政类相关专业高级或以上工程师</w:t>
            </w:r>
            <w:r>
              <w:rPr>
                <w:rFonts w:hint="eastAsia" w:ascii="宋体" w:hAnsi="宋体" w:eastAsia="宋体" w:cs="宋体"/>
                <w:color w:val="auto"/>
                <w:szCs w:val="21"/>
                <w:highlight w:val="none"/>
                <w:lang w:val="zh-CN"/>
              </w:rPr>
              <w:t>职称的得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具有市政类相关专业中级工程师</w:t>
            </w:r>
            <w:r>
              <w:rPr>
                <w:rFonts w:hint="eastAsia" w:ascii="宋体" w:hAnsi="宋体" w:eastAsia="宋体" w:cs="宋体"/>
                <w:color w:val="auto"/>
                <w:szCs w:val="21"/>
                <w:highlight w:val="none"/>
                <w:lang w:val="zh-CN"/>
              </w:rPr>
              <w:t>职称的得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其它情形不得分</w:t>
            </w:r>
            <w:r>
              <w:rPr>
                <w:rFonts w:hint="eastAsia" w:ascii="宋体" w:hAnsi="宋体" w:eastAsia="宋体" w:cs="宋体"/>
                <w:color w:val="auto"/>
                <w:szCs w:val="21"/>
                <w:highlight w:val="none"/>
                <w:lang w:val="zh-CN"/>
              </w:rPr>
              <w:t>。</w:t>
            </w:r>
          </w:p>
          <w:p>
            <w:pPr>
              <w:spacing w:line="30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本项最高得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1" w:type="pct"/>
            <w:vMerge w:val="restart"/>
            <w:tcBorders>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三、施工组织设计（</w:t>
            </w:r>
            <w:r>
              <w:rPr>
                <w:rFonts w:hint="eastAsia"/>
                <w:color w:val="auto"/>
                <w:highlight w:val="none"/>
                <w:lang w:val="en-US" w:eastAsia="zh-CN"/>
              </w:rPr>
              <w:t>50</w:t>
            </w:r>
            <w:r>
              <w:rPr>
                <w:rFonts w:hint="eastAsia"/>
                <w:color w:val="auto"/>
                <w:highlight w:val="none"/>
              </w:rPr>
              <w:t>分）</w:t>
            </w:r>
          </w:p>
        </w:tc>
        <w:tc>
          <w:tcPr>
            <w:tcW w:w="389" w:type="pc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color w:val="auto"/>
                <w:highlight w:val="none"/>
              </w:rPr>
            </w:pPr>
            <w:r>
              <w:rPr>
                <w:rFonts w:hint="eastAsia" w:ascii="宋体" w:hAnsi="宋体"/>
                <w:color w:val="auto"/>
                <w:highlight w:val="none"/>
              </w:rPr>
              <w:t>施工组织方案</w:t>
            </w:r>
          </w:p>
        </w:tc>
        <w:tc>
          <w:tcPr>
            <w:tcW w:w="269" w:type="pct"/>
            <w:tcBorders>
              <w:top w:val="single" w:color="auto" w:sz="4" w:space="0"/>
              <w:left w:val="single" w:color="auto" w:sz="4" w:space="0"/>
              <w:right w:val="single" w:color="auto" w:sz="4" w:space="0"/>
            </w:tcBorders>
            <w:vAlign w:val="center"/>
          </w:tcPr>
          <w:p>
            <w:pPr>
              <w:spacing w:line="300" w:lineRule="exact"/>
              <w:jc w:val="center"/>
              <w:rPr>
                <w:color w:val="auto"/>
                <w:highlight w:val="none"/>
              </w:rPr>
            </w:pPr>
            <w:r>
              <w:rPr>
                <w:rFonts w:hint="eastAsia"/>
                <w:color w:val="auto"/>
                <w:highlight w:val="none"/>
              </w:rPr>
              <w:t>10分</w:t>
            </w:r>
          </w:p>
        </w:tc>
        <w:tc>
          <w:tcPr>
            <w:tcW w:w="3930" w:type="pct"/>
            <w:tcBorders>
              <w:top w:val="single" w:color="auto" w:sz="4" w:space="0"/>
              <w:left w:val="single" w:color="auto" w:sz="4" w:space="0"/>
              <w:bottom w:val="single" w:color="auto" w:sz="4" w:space="0"/>
              <w:right w:val="single" w:color="auto" w:sz="4" w:space="0"/>
            </w:tcBorders>
            <w:vAlign w:val="center"/>
          </w:tcPr>
          <w:p>
            <w:pPr>
              <w:pStyle w:val="121"/>
              <w:rPr>
                <w:rFonts w:hint="eastAsia" w:ascii="宋体" w:hAnsi="宋体" w:eastAsia="宋体"/>
                <w:color w:val="auto"/>
                <w:highlight w:val="none"/>
              </w:rPr>
            </w:pPr>
            <w:r>
              <w:rPr>
                <w:rFonts w:hint="eastAsia" w:ascii="宋体" w:hAnsi="宋体" w:eastAsia="宋体"/>
                <w:color w:val="auto"/>
                <w:highlight w:val="none"/>
              </w:rPr>
              <w:t>优：针对本项目制定施工总体组织方案、主要专业工程施工方案、工程重难点专项方案，对本项目的重难点工程进行分析并制定应对措施</w:t>
            </w:r>
            <w:r>
              <w:rPr>
                <w:rFonts w:hint="eastAsia" w:ascii="宋体" w:hAnsi="宋体" w:eastAsia="宋体"/>
                <w:color w:val="auto"/>
                <w:highlight w:val="none"/>
                <w:lang w:eastAsia="zh-CN"/>
              </w:rPr>
              <w:t>，关键技术工艺把握准确，方案</w:t>
            </w:r>
            <w:r>
              <w:rPr>
                <w:rFonts w:hint="eastAsia" w:ascii="宋体" w:hAnsi="宋体" w:eastAsia="宋体"/>
                <w:color w:val="auto"/>
                <w:highlight w:val="none"/>
              </w:rPr>
              <w:t>完善的；得10分；</w:t>
            </w:r>
          </w:p>
          <w:p>
            <w:pPr>
              <w:pStyle w:val="121"/>
              <w:rPr>
                <w:rFonts w:hint="eastAsia" w:ascii="宋体" w:hAnsi="宋体" w:eastAsia="宋体"/>
                <w:color w:val="auto"/>
                <w:highlight w:val="none"/>
              </w:rPr>
            </w:pPr>
            <w:r>
              <w:rPr>
                <w:rFonts w:hint="eastAsia" w:ascii="宋体" w:hAnsi="宋体" w:eastAsia="宋体"/>
                <w:color w:val="auto"/>
                <w:highlight w:val="none"/>
              </w:rPr>
              <w:t>良：针对本项目制定施工总体组织方案、主要专业工程施工方案、工程重难点专项方案，对本项目的重难点工程进行分析并制定应对措施</w:t>
            </w:r>
            <w:r>
              <w:rPr>
                <w:rFonts w:hint="eastAsia" w:ascii="宋体" w:hAnsi="宋体" w:eastAsia="宋体"/>
                <w:color w:val="auto"/>
                <w:highlight w:val="none"/>
                <w:lang w:eastAsia="zh-CN"/>
              </w:rPr>
              <w:t>，关键技术工艺把握</w:t>
            </w:r>
            <w:r>
              <w:rPr>
                <w:rFonts w:hint="eastAsia" w:ascii="宋体" w:hAnsi="宋体" w:eastAsia="宋体"/>
                <w:color w:val="auto"/>
                <w:highlight w:val="none"/>
                <w:lang w:val="en-US" w:eastAsia="zh-CN"/>
              </w:rPr>
              <w:t>较</w:t>
            </w:r>
            <w:r>
              <w:rPr>
                <w:rFonts w:hint="eastAsia" w:ascii="宋体" w:hAnsi="宋体" w:eastAsia="宋体"/>
                <w:color w:val="auto"/>
                <w:highlight w:val="none"/>
                <w:lang w:eastAsia="zh-CN"/>
              </w:rPr>
              <w:t>准确，方案</w:t>
            </w:r>
            <w:r>
              <w:rPr>
                <w:rFonts w:hint="eastAsia" w:ascii="宋体" w:hAnsi="宋体" w:eastAsia="宋体"/>
                <w:color w:val="auto"/>
                <w:highlight w:val="none"/>
                <w:lang w:val="en-US" w:eastAsia="zh-CN"/>
              </w:rPr>
              <w:t>较</w:t>
            </w:r>
            <w:r>
              <w:rPr>
                <w:rFonts w:hint="eastAsia" w:ascii="宋体" w:hAnsi="宋体" w:eastAsia="宋体"/>
                <w:color w:val="auto"/>
                <w:highlight w:val="none"/>
              </w:rPr>
              <w:t>完善的；得</w:t>
            </w:r>
            <w:r>
              <w:rPr>
                <w:rFonts w:hint="eastAsia" w:ascii="宋体" w:hAnsi="宋体" w:eastAsia="宋体"/>
                <w:color w:val="auto"/>
                <w:highlight w:val="none"/>
                <w:lang w:val="en-US" w:eastAsia="zh-CN"/>
              </w:rPr>
              <w:t>8</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中：针对本项目制定施工总体组织方案、主要专业工程施工方案、工程重难点专项方案，对本项目的重难点工程进行分析并制定应对措施</w:t>
            </w:r>
            <w:r>
              <w:rPr>
                <w:rFonts w:hint="eastAsia" w:ascii="宋体" w:hAnsi="宋体" w:eastAsia="宋体"/>
                <w:color w:val="auto"/>
                <w:highlight w:val="none"/>
                <w:lang w:eastAsia="zh-CN"/>
              </w:rPr>
              <w:t>，关键技术工艺把握</w:t>
            </w:r>
            <w:r>
              <w:rPr>
                <w:rFonts w:hint="eastAsia" w:ascii="宋体" w:hAnsi="宋体" w:eastAsia="宋体"/>
                <w:color w:val="auto"/>
                <w:highlight w:val="none"/>
                <w:lang w:val="en-US" w:eastAsia="zh-CN"/>
              </w:rPr>
              <w:t>不准确</w:t>
            </w:r>
            <w:r>
              <w:rPr>
                <w:rFonts w:hint="eastAsia" w:ascii="宋体" w:hAnsi="宋体" w:eastAsia="宋体"/>
                <w:color w:val="auto"/>
                <w:highlight w:val="none"/>
                <w:lang w:eastAsia="zh-CN"/>
              </w:rPr>
              <w:t>，方案</w:t>
            </w:r>
            <w:r>
              <w:rPr>
                <w:rFonts w:hint="eastAsia" w:ascii="宋体" w:hAnsi="宋体" w:eastAsia="宋体"/>
                <w:color w:val="auto"/>
                <w:highlight w:val="none"/>
              </w:rPr>
              <w:t>一般的；得</w:t>
            </w:r>
            <w:r>
              <w:rPr>
                <w:rFonts w:hint="eastAsia" w:ascii="宋体" w:hAnsi="宋体" w:eastAsia="宋体"/>
                <w:color w:val="auto"/>
                <w:highlight w:val="none"/>
                <w:lang w:val="en-US" w:eastAsia="zh-CN"/>
              </w:rPr>
              <w:t>6</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差：有提供相关措施但不满足前述情况的；得</w:t>
            </w:r>
            <w:r>
              <w:rPr>
                <w:rFonts w:hint="eastAsia" w:ascii="宋体" w:hAnsi="宋体" w:eastAsia="宋体"/>
                <w:color w:val="auto"/>
                <w:highlight w:val="none"/>
                <w:lang w:val="en-US" w:eastAsia="zh-CN"/>
              </w:rPr>
              <w:t>5</w:t>
            </w:r>
            <w:r>
              <w:rPr>
                <w:rFonts w:hint="eastAsia" w:ascii="宋体" w:hAnsi="宋体" w:eastAsia="宋体"/>
                <w:color w:val="auto"/>
                <w:highlight w:val="none"/>
              </w:rPr>
              <w:t>分。</w:t>
            </w:r>
          </w:p>
          <w:p>
            <w:pPr>
              <w:spacing w:line="300" w:lineRule="exact"/>
              <w:jc w:val="left"/>
              <w:rPr>
                <w:rFonts w:hint="eastAsia" w:ascii="宋体" w:hAnsi="宋体" w:eastAsia="宋体" w:cs="宋体"/>
                <w:color w:val="auto"/>
                <w:szCs w:val="21"/>
                <w:highlight w:val="none"/>
              </w:rPr>
            </w:pPr>
            <w:r>
              <w:rPr>
                <w:rFonts w:hint="eastAsia" w:ascii="宋体" w:hAnsi="宋体" w:eastAsia="宋体"/>
                <w:b/>
                <w:bCs/>
                <w:color w:val="auto"/>
                <w:highlight w:val="none"/>
              </w:rPr>
              <w:t>注：未提供相关</w:t>
            </w:r>
            <w:r>
              <w:rPr>
                <w:rFonts w:hint="eastAsia" w:hAnsi="宋体"/>
                <w:b/>
                <w:bCs/>
                <w:color w:val="auto"/>
                <w:highlight w:val="none"/>
                <w:lang w:val="en-US" w:eastAsia="zh-CN"/>
              </w:rPr>
              <w:t>方案</w:t>
            </w:r>
            <w:r>
              <w:rPr>
                <w:rFonts w:hint="eastAsia" w:ascii="宋体" w:hAnsi="宋体" w:eastAsia="宋体"/>
                <w:b/>
                <w:bCs/>
                <w:color w:val="auto"/>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1" w:type="pct"/>
            <w:vMerge w:val="continue"/>
            <w:tcBorders>
              <w:left w:val="single" w:color="auto" w:sz="4" w:space="0"/>
              <w:right w:val="single" w:color="auto" w:sz="4" w:space="0"/>
            </w:tcBorders>
            <w:vAlign w:val="center"/>
          </w:tcPr>
          <w:p>
            <w:pPr>
              <w:spacing w:line="300" w:lineRule="exact"/>
              <w:jc w:val="center"/>
              <w:rPr>
                <w:rFonts w:hint="eastAsia"/>
                <w:color w:val="auto"/>
                <w:highlight w:val="none"/>
              </w:rPr>
            </w:pPr>
          </w:p>
        </w:tc>
        <w:tc>
          <w:tcPr>
            <w:tcW w:w="389" w:type="pc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olor w:val="auto"/>
                <w:highlight w:val="none"/>
              </w:rPr>
            </w:pPr>
            <w:r>
              <w:rPr>
                <w:rFonts w:hint="eastAsia" w:ascii="宋体" w:hAnsi="宋体" w:cs="宋体"/>
                <w:color w:val="auto"/>
                <w:szCs w:val="21"/>
                <w:highlight w:val="none"/>
              </w:rPr>
              <w:t>进度控制措施</w:t>
            </w:r>
          </w:p>
        </w:tc>
        <w:tc>
          <w:tcPr>
            <w:tcW w:w="269" w:type="pct"/>
            <w:tcBorders>
              <w:top w:val="single" w:color="auto" w:sz="4" w:space="0"/>
              <w:left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10分</w:t>
            </w:r>
          </w:p>
        </w:tc>
        <w:tc>
          <w:tcPr>
            <w:tcW w:w="3930" w:type="pct"/>
            <w:tcBorders>
              <w:top w:val="single" w:color="auto" w:sz="4" w:space="0"/>
              <w:left w:val="single" w:color="auto" w:sz="4" w:space="0"/>
              <w:bottom w:val="single" w:color="auto" w:sz="4" w:space="0"/>
              <w:right w:val="single" w:color="auto" w:sz="4" w:space="0"/>
            </w:tcBorders>
            <w:vAlign w:val="center"/>
          </w:tcPr>
          <w:p>
            <w:pPr>
              <w:pStyle w:val="121"/>
              <w:rPr>
                <w:rFonts w:hint="eastAsia" w:ascii="宋体" w:hAnsi="宋体" w:eastAsia="宋体"/>
                <w:color w:val="auto"/>
                <w:highlight w:val="none"/>
              </w:rPr>
            </w:pPr>
            <w:r>
              <w:rPr>
                <w:rFonts w:hint="eastAsia" w:ascii="宋体" w:hAnsi="宋体" w:eastAsia="宋体"/>
                <w:color w:val="auto"/>
                <w:highlight w:val="none"/>
              </w:rPr>
              <w:t>优：针对本项目编制了施工总进度计划及工期保证措施，并针对项目特点编制施工总进度计划及工期保证措施，确保实现工程进度目标，措施完善的；得10分；</w:t>
            </w:r>
          </w:p>
          <w:p>
            <w:pPr>
              <w:pStyle w:val="121"/>
              <w:rPr>
                <w:rFonts w:hint="eastAsia" w:ascii="宋体" w:hAnsi="宋体" w:eastAsia="宋体"/>
                <w:color w:val="auto"/>
                <w:highlight w:val="none"/>
              </w:rPr>
            </w:pPr>
            <w:r>
              <w:rPr>
                <w:rFonts w:hint="eastAsia" w:ascii="宋体" w:hAnsi="宋体" w:eastAsia="宋体"/>
                <w:color w:val="auto"/>
                <w:highlight w:val="none"/>
              </w:rPr>
              <w:t>良：针对本项目编制了施工总进度计划及工期保证措施，并针对项目特点编制施工总进度计划及工期保证措施，确保实现工程进度目标，措施为较好的；得</w:t>
            </w:r>
            <w:r>
              <w:rPr>
                <w:rFonts w:hint="eastAsia" w:ascii="宋体" w:hAnsi="宋体" w:eastAsia="宋体"/>
                <w:color w:val="auto"/>
                <w:highlight w:val="none"/>
                <w:lang w:val="en-US" w:eastAsia="zh-CN"/>
              </w:rPr>
              <w:t>8</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中：针对本项目编制了施工总进度计划及工期保证措施，或针对项目特点编制施工总进度计划及工期保证措施，确保实现工程进度目标，措施一般的；得</w:t>
            </w:r>
            <w:r>
              <w:rPr>
                <w:rFonts w:hint="eastAsia" w:ascii="宋体" w:hAnsi="宋体" w:eastAsia="宋体"/>
                <w:color w:val="auto"/>
                <w:highlight w:val="none"/>
                <w:lang w:val="en-US" w:eastAsia="zh-CN"/>
              </w:rPr>
              <w:t>6</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差：有提供相关措施但不满足前述情况的；得</w:t>
            </w:r>
            <w:r>
              <w:rPr>
                <w:rFonts w:hint="eastAsia" w:ascii="宋体" w:hAnsi="宋体" w:eastAsia="宋体"/>
                <w:color w:val="auto"/>
                <w:highlight w:val="none"/>
                <w:lang w:val="en-US" w:eastAsia="zh-CN"/>
              </w:rPr>
              <w:t>5</w:t>
            </w:r>
            <w:r>
              <w:rPr>
                <w:rFonts w:hint="eastAsia" w:ascii="宋体" w:hAnsi="宋体" w:eastAsia="宋体"/>
                <w:color w:val="auto"/>
                <w:highlight w:val="none"/>
              </w:rPr>
              <w:t>分。</w:t>
            </w:r>
          </w:p>
          <w:p>
            <w:pPr>
              <w:spacing w:line="300" w:lineRule="exact"/>
              <w:jc w:val="left"/>
              <w:rPr>
                <w:rFonts w:hint="eastAsia" w:ascii="宋体" w:hAnsi="宋体" w:eastAsia="宋体" w:cs="宋体"/>
                <w:color w:val="auto"/>
                <w:szCs w:val="21"/>
                <w:highlight w:val="none"/>
              </w:rPr>
            </w:pPr>
            <w:r>
              <w:rPr>
                <w:rFonts w:hint="eastAsia" w:ascii="宋体" w:hAnsi="宋体" w:eastAsia="宋体"/>
                <w:b/>
                <w:bCs/>
                <w:color w:val="auto"/>
                <w:highlight w:val="none"/>
              </w:rPr>
              <w:t>注：未提供相关措施不得分。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1" w:type="pct"/>
            <w:vMerge w:val="continue"/>
            <w:tcBorders>
              <w:left w:val="single" w:color="auto" w:sz="4" w:space="0"/>
              <w:right w:val="single" w:color="auto" w:sz="4" w:space="0"/>
            </w:tcBorders>
            <w:vAlign w:val="center"/>
          </w:tcPr>
          <w:p>
            <w:pPr>
              <w:spacing w:line="300" w:lineRule="exact"/>
              <w:jc w:val="center"/>
              <w:rPr>
                <w:rFonts w:hint="eastAsia"/>
                <w:color w:val="auto"/>
                <w:highlight w:val="none"/>
              </w:rPr>
            </w:pPr>
          </w:p>
        </w:tc>
        <w:tc>
          <w:tcPr>
            <w:tcW w:w="1142" w:type="dxa"/>
            <w:tcBorders>
              <w:top w:val="single" w:color="auto" w:sz="4" w:space="0"/>
              <w:left w:val="single" w:color="auto" w:sz="4" w:space="0"/>
              <w:right w:val="single" w:color="auto" w:sz="4" w:space="0"/>
            </w:tcBorders>
            <w:vAlign w:val="center"/>
          </w:tcPr>
          <w:p>
            <w:pPr>
              <w:widowControl/>
              <w:spacing w:line="240" w:lineRule="atLeast"/>
              <w:jc w:val="center"/>
              <w:rPr>
                <w:rFonts w:hint="eastAsia" w:ascii="宋体" w:hAnsi="宋体"/>
                <w:color w:val="auto"/>
                <w:highlight w:val="none"/>
              </w:rPr>
            </w:pPr>
            <w:r>
              <w:rPr>
                <w:rFonts w:hint="eastAsia" w:ascii="宋体" w:hAnsi="宋体"/>
                <w:color w:val="auto"/>
                <w:highlight w:val="none"/>
              </w:rPr>
              <w:t>质量控制措施</w:t>
            </w:r>
          </w:p>
        </w:tc>
        <w:tc>
          <w:tcPr>
            <w:tcW w:w="789" w:type="dxa"/>
            <w:tcBorders>
              <w:top w:val="single" w:color="auto" w:sz="4" w:space="0"/>
              <w:left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10分</w:t>
            </w:r>
          </w:p>
        </w:tc>
        <w:tc>
          <w:tcPr>
            <w:tcW w:w="11533" w:type="dxa"/>
            <w:tcBorders>
              <w:top w:val="single" w:color="auto" w:sz="4" w:space="0"/>
              <w:left w:val="single" w:color="auto" w:sz="4" w:space="0"/>
              <w:bottom w:val="single" w:color="auto" w:sz="4" w:space="0"/>
              <w:right w:val="single" w:color="auto" w:sz="4" w:space="0"/>
            </w:tcBorders>
            <w:vAlign w:val="center"/>
          </w:tcPr>
          <w:p>
            <w:pPr>
              <w:pStyle w:val="121"/>
              <w:rPr>
                <w:rFonts w:hint="eastAsia" w:ascii="宋体" w:hAnsi="宋体" w:eastAsia="宋体"/>
                <w:color w:val="auto"/>
                <w:highlight w:val="none"/>
              </w:rPr>
            </w:pPr>
            <w:r>
              <w:rPr>
                <w:rFonts w:hint="eastAsia" w:ascii="宋体" w:hAnsi="宋体" w:eastAsia="宋体"/>
                <w:color w:val="auto"/>
                <w:highlight w:val="none"/>
              </w:rPr>
              <w:t>优：针对本项目编制了施工质量目标、施工质量管理体系与程序、质量管理措施，根据本工程的质量目标，针对项目的特点，从质量保证体系、材料的检测、质量通病的防治等方面提出详细的质量保证措施，措施为完善的；得10分；</w:t>
            </w:r>
          </w:p>
          <w:p>
            <w:pPr>
              <w:pStyle w:val="121"/>
              <w:rPr>
                <w:rFonts w:hint="eastAsia" w:ascii="宋体" w:hAnsi="宋体" w:eastAsia="宋体"/>
                <w:color w:val="auto"/>
                <w:highlight w:val="none"/>
              </w:rPr>
            </w:pPr>
            <w:r>
              <w:rPr>
                <w:rFonts w:hint="eastAsia" w:ascii="宋体" w:hAnsi="宋体" w:eastAsia="宋体"/>
                <w:color w:val="auto"/>
                <w:highlight w:val="none"/>
              </w:rPr>
              <w:t>良：针对本项目编制了施工质量目标、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eastAsia="宋体"/>
                <w:color w:val="auto"/>
                <w:highlight w:val="none"/>
                <w:lang w:val="en-US" w:eastAsia="zh-CN"/>
              </w:rPr>
              <w:t>8</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中：针对本项目编制了施工质量目标、施工质量管理体系与程序、质量管理措施，根据本工程的质量目标，针对项目的特点，从质量保证体系、材料的检测、质量通病的防治等方面提出质量保证措施，措施一般的；得</w:t>
            </w:r>
            <w:r>
              <w:rPr>
                <w:rFonts w:hint="eastAsia" w:ascii="宋体" w:hAnsi="宋体" w:eastAsia="宋体"/>
                <w:color w:val="auto"/>
                <w:highlight w:val="none"/>
                <w:lang w:val="en-US" w:eastAsia="zh-CN"/>
              </w:rPr>
              <w:t>6</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差：有提供相关措施但不满足前述情况的；得</w:t>
            </w:r>
            <w:r>
              <w:rPr>
                <w:rFonts w:hint="eastAsia" w:ascii="宋体" w:hAnsi="宋体" w:eastAsia="宋体"/>
                <w:color w:val="auto"/>
                <w:highlight w:val="none"/>
                <w:lang w:val="en-US" w:eastAsia="zh-CN"/>
              </w:rPr>
              <w:t>5</w:t>
            </w:r>
            <w:r>
              <w:rPr>
                <w:rFonts w:hint="eastAsia" w:ascii="宋体" w:hAnsi="宋体" w:eastAsia="宋体"/>
                <w:color w:val="auto"/>
                <w:highlight w:val="none"/>
              </w:rPr>
              <w:t>分。</w:t>
            </w:r>
          </w:p>
          <w:p>
            <w:pPr>
              <w:spacing w:line="300" w:lineRule="exact"/>
              <w:jc w:val="left"/>
              <w:rPr>
                <w:rFonts w:hint="eastAsia" w:ascii="宋体" w:hAnsi="宋体" w:eastAsia="宋体" w:cs="宋体"/>
                <w:color w:val="auto"/>
                <w:szCs w:val="21"/>
                <w:highlight w:val="none"/>
              </w:rPr>
            </w:pPr>
            <w:r>
              <w:rPr>
                <w:rFonts w:hint="eastAsia" w:ascii="宋体" w:hAnsi="宋体" w:eastAsia="宋体"/>
                <w:b/>
                <w:bCs/>
                <w:color w:val="auto"/>
                <w:highlight w:val="none"/>
              </w:rPr>
              <w:t>注：未提供相关措施不得分。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1" w:type="pct"/>
            <w:vMerge w:val="continue"/>
            <w:tcBorders>
              <w:left w:val="single" w:color="auto" w:sz="4" w:space="0"/>
              <w:right w:val="single" w:color="auto" w:sz="4" w:space="0"/>
            </w:tcBorders>
            <w:vAlign w:val="center"/>
          </w:tcPr>
          <w:p>
            <w:pPr>
              <w:spacing w:line="300" w:lineRule="exact"/>
              <w:jc w:val="center"/>
              <w:rPr>
                <w:rFonts w:hint="eastAsia"/>
                <w:color w:val="auto"/>
                <w:highlight w:val="none"/>
              </w:rPr>
            </w:pPr>
          </w:p>
        </w:tc>
        <w:tc>
          <w:tcPr>
            <w:tcW w:w="1142" w:type="dxa"/>
            <w:tcBorders>
              <w:top w:val="single" w:color="auto" w:sz="4" w:space="0"/>
              <w:left w:val="single" w:color="auto" w:sz="4" w:space="0"/>
              <w:right w:val="single" w:color="auto" w:sz="4" w:space="0"/>
            </w:tcBorders>
            <w:vAlign w:val="center"/>
          </w:tcPr>
          <w:p>
            <w:pPr>
              <w:widowControl/>
              <w:spacing w:line="240" w:lineRule="atLeast"/>
              <w:jc w:val="center"/>
              <w:rPr>
                <w:rFonts w:hint="eastAsia" w:ascii="宋体" w:hAnsi="宋体"/>
                <w:color w:val="auto"/>
                <w:highlight w:val="none"/>
              </w:rPr>
            </w:pPr>
            <w:r>
              <w:rPr>
                <w:rFonts w:hint="eastAsia" w:ascii="宋体" w:hAnsi="宋体"/>
                <w:color w:val="auto"/>
                <w:highlight w:val="none"/>
              </w:rPr>
              <w:t>安全控制措施</w:t>
            </w:r>
          </w:p>
        </w:tc>
        <w:tc>
          <w:tcPr>
            <w:tcW w:w="789" w:type="dxa"/>
            <w:tcBorders>
              <w:top w:val="single" w:color="auto" w:sz="4" w:space="0"/>
              <w:left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10分</w:t>
            </w:r>
          </w:p>
        </w:tc>
        <w:tc>
          <w:tcPr>
            <w:tcW w:w="11533" w:type="dxa"/>
            <w:tcBorders>
              <w:top w:val="single" w:color="auto" w:sz="4" w:space="0"/>
              <w:left w:val="single" w:color="auto" w:sz="4" w:space="0"/>
              <w:bottom w:val="single" w:color="auto" w:sz="4" w:space="0"/>
              <w:right w:val="single" w:color="auto" w:sz="4" w:space="0"/>
            </w:tcBorders>
            <w:vAlign w:val="center"/>
          </w:tcPr>
          <w:p>
            <w:pPr>
              <w:pStyle w:val="121"/>
              <w:rPr>
                <w:rFonts w:hint="eastAsia" w:ascii="宋体" w:hAnsi="宋体" w:eastAsia="宋体"/>
                <w:color w:val="auto"/>
                <w:highlight w:val="none"/>
              </w:rPr>
            </w:pPr>
            <w:r>
              <w:rPr>
                <w:rFonts w:hint="eastAsia" w:ascii="宋体" w:hAnsi="宋体" w:eastAsia="宋体"/>
                <w:color w:val="auto"/>
                <w:highlight w:val="none"/>
              </w:rPr>
              <w:t xml:space="preserve">优：针对本项目建立了完善的安全文明施工保证体系、施工安全管理制度，承诺不发生安全事故，有安全应急预案、目标明确、制度健全，施工安全保护措施，措施明确、具体、可行、针对性强，措施完善的；得10分； </w:t>
            </w:r>
          </w:p>
          <w:p>
            <w:pPr>
              <w:pStyle w:val="121"/>
              <w:rPr>
                <w:rFonts w:hint="eastAsia" w:ascii="宋体" w:hAnsi="宋体" w:eastAsia="宋体"/>
                <w:color w:val="auto"/>
                <w:highlight w:val="none"/>
              </w:rPr>
            </w:pPr>
            <w:r>
              <w:rPr>
                <w:rFonts w:hint="eastAsia" w:ascii="宋体" w:hAnsi="宋体" w:eastAsia="宋体"/>
                <w:color w:val="auto"/>
                <w:highlight w:val="none"/>
              </w:rPr>
              <w:t>良：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eastAsia="宋体"/>
                <w:color w:val="auto"/>
                <w:highlight w:val="none"/>
                <w:lang w:val="en-US" w:eastAsia="zh-CN"/>
              </w:rPr>
              <w:t>8</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中：针对本项目建立了完善的安全文明施工保证体系、施工安全管理制度，承诺不发生安全事故，有安全应急预案、目标、有制度，有施工安全保护措施，但明确性一般，具体、可行、针对性一般，措施一般的；得</w:t>
            </w:r>
            <w:r>
              <w:rPr>
                <w:rFonts w:hint="eastAsia" w:ascii="宋体" w:hAnsi="宋体" w:eastAsia="宋体"/>
                <w:color w:val="auto"/>
                <w:highlight w:val="none"/>
                <w:lang w:val="en-US" w:eastAsia="zh-CN"/>
              </w:rPr>
              <w:t>6</w:t>
            </w:r>
            <w:r>
              <w:rPr>
                <w:rFonts w:hint="eastAsia" w:ascii="宋体" w:hAnsi="宋体" w:eastAsia="宋体"/>
                <w:color w:val="auto"/>
                <w:highlight w:val="none"/>
              </w:rPr>
              <w:t>分；</w:t>
            </w:r>
          </w:p>
          <w:p>
            <w:pPr>
              <w:pStyle w:val="121"/>
              <w:adjustRightInd w:val="0"/>
              <w:snapToGrid w:val="0"/>
              <w:jc w:val="left"/>
              <w:rPr>
                <w:rFonts w:hint="eastAsia" w:ascii="宋体" w:hAnsi="宋体" w:eastAsia="宋体"/>
                <w:color w:val="auto"/>
                <w:highlight w:val="none"/>
              </w:rPr>
            </w:pPr>
            <w:r>
              <w:rPr>
                <w:rFonts w:hint="eastAsia" w:ascii="宋体" w:hAnsi="宋体" w:eastAsia="宋体"/>
                <w:color w:val="auto"/>
                <w:highlight w:val="none"/>
              </w:rPr>
              <w:t>差：有提供相关措施且有承诺不发生安全事故，但不满足前述情况的；得</w:t>
            </w:r>
            <w:r>
              <w:rPr>
                <w:rFonts w:hint="eastAsia" w:ascii="宋体" w:hAnsi="宋体" w:eastAsia="宋体"/>
                <w:color w:val="auto"/>
                <w:highlight w:val="none"/>
                <w:lang w:val="en-US" w:eastAsia="zh-CN"/>
              </w:rPr>
              <w:t>5</w:t>
            </w:r>
            <w:r>
              <w:rPr>
                <w:rFonts w:hint="eastAsia" w:ascii="宋体" w:hAnsi="宋体" w:eastAsia="宋体"/>
                <w:color w:val="auto"/>
                <w:highlight w:val="none"/>
              </w:rPr>
              <w:t>分。</w:t>
            </w:r>
          </w:p>
          <w:p>
            <w:pPr>
              <w:spacing w:line="300" w:lineRule="exact"/>
              <w:jc w:val="left"/>
              <w:rPr>
                <w:rFonts w:hint="eastAsia" w:ascii="宋体" w:hAnsi="宋体" w:eastAsia="宋体" w:cs="宋体"/>
                <w:color w:val="auto"/>
                <w:szCs w:val="21"/>
                <w:highlight w:val="none"/>
              </w:rPr>
            </w:pPr>
            <w:r>
              <w:rPr>
                <w:rFonts w:hint="eastAsia" w:ascii="宋体" w:hAnsi="宋体" w:eastAsia="宋体"/>
                <w:b/>
                <w:bCs/>
                <w:color w:val="auto"/>
                <w:highlight w:val="none"/>
              </w:rPr>
              <w:t>注：未提供相关措施或未承诺的不得分。承诺函格式自拟。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11" w:type="pct"/>
            <w:vMerge w:val="continue"/>
            <w:tcBorders>
              <w:left w:val="single" w:color="auto" w:sz="4" w:space="0"/>
              <w:right w:val="single" w:color="auto" w:sz="4" w:space="0"/>
            </w:tcBorders>
            <w:vAlign w:val="center"/>
          </w:tcPr>
          <w:p>
            <w:pPr>
              <w:spacing w:line="300" w:lineRule="exact"/>
              <w:jc w:val="center"/>
              <w:rPr>
                <w:rFonts w:hint="eastAsia"/>
                <w:color w:val="auto"/>
                <w:highlight w:val="none"/>
              </w:rPr>
            </w:pPr>
          </w:p>
        </w:tc>
        <w:tc>
          <w:tcPr>
            <w:tcW w:w="1142" w:type="dxa"/>
            <w:tcBorders>
              <w:left w:val="single" w:color="auto" w:sz="4" w:space="0"/>
              <w:right w:val="single" w:color="auto" w:sz="4" w:space="0"/>
            </w:tcBorders>
            <w:vAlign w:val="center"/>
          </w:tcPr>
          <w:p>
            <w:pPr>
              <w:widowControl/>
              <w:spacing w:line="240" w:lineRule="atLeast"/>
              <w:jc w:val="center"/>
              <w:rPr>
                <w:rFonts w:hint="eastAsia" w:ascii="宋体" w:hAnsi="宋体"/>
                <w:color w:val="auto"/>
                <w:highlight w:val="none"/>
              </w:rPr>
            </w:pPr>
            <w:r>
              <w:rPr>
                <w:rFonts w:hint="eastAsia" w:ascii="宋体" w:hAnsi="宋体"/>
                <w:color w:val="auto"/>
                <w:highlight w:val="none"/>
              </w:rPr>
              <w:t>绿色节能控制措施</w:t>
            </w:r>
          </w:p>
        </w:tc>
        <w:tc>
          <w:tcPr>
            <w:tcW w:w="789" w:type="dxa"/>
            <w:tcBorders>
              <w:left w:val="single" w:color="auto" w:sz="4" w:space="0"/>
              <w:right w:val="single" w:color="auto" w:sz="4" w:space="0"/>
            </w:tcBorders>
            <w:vAlign w:val="center"/>
          </w:tcPr>
          <w:p>
            <w:pPr>
              <w:spacing w:line="300" w:lineRule="exact"/>
              <w:jc w:val="center"/>
              <w:rPr>
                <w:rFonts w:hint="eastAsia"/>
                <w:color w:val="auto"/>
                <w:highlight w:val="none"/>
              </w:rPr>
            </w:pPr>
            <w:r>
              <w:rPr>
                <w:rFonts w:hint="eastAsia"/>
                <w:color w:val="auto"/>
                <w:highlight w:val="none"/>
              </w:rPr>
              <w:t>10分</w:t>
            </w:r>
          </w:p>
        </w:tc>
        <w:tc>
          <w:tcPr>
            <w:tcW w:w="11533" w:type="dxa"/>
            <w:tcBorders>
              <w:top w:val="single" w:color="auto" w:sz="4" w:space="0"/>
              <w:left w:val="single" w:color="auto" w:sz="4" w:space="0"/>
              <w:bottom w:val="single" w:color="auto" w:sz="4" w:space="0"/>
              <w:right w:val="single" w:color="auto" w:sz="4" w:space="0"/>
            </w:tcBorders>
            <w:vAlign w:val="center"/>
          </w:tcPr>
          <w:p>
            <w:pPr>
              <w:pStyle w:val="121"/>
              <w:rPr>
                <w:rFonts w:hint="eastAsia" w:ascii="宋体" w:hAnsi="宋体" w:eastAsia="宋体"/>
                <w:color w:val="auto"/>
                <w:highlight w:val="none"/>
              </w:rPr>
            </w:pPr>
            <w:r>
              <w:rPr>
                <w:rFonts w:hint="eastAsia" w:ascii="宋体" w:hAnsi="宋体" w:eastAsia="宋体"/>
                <w:color w:val="auto"/>
                <w:highlight w:val="none"/>
              </w:rPr>
              <w:t>优：有绿色节能控制措施，措施明确、具体、可行、针对性强，措施完善的，并有承诺在施工过程中通过科学管理和先进的技术手段，最大限度地节约资源与减少对环境的负面影响，以达到四节一环保（节能、节地、节水、节材和环境保护）的目标；得10分；</w:t>
            </w:r>
          </w:p>
          <w:p>
            <w:pPr>
              <w:pStyle w:val="121"/>
              <w:rPr>
                <w:rFonts w:hint="eastAsia" w:ascii="宋体" w:hAnsi="宋体" w:eastAsia="宋体"/>
                <w:color w:val="auto"/>
                <w:highlight w:val="none"/>
              </w:rPr>
            </w:pPr>
            <w:r>
              <w:rPr>
                <w:rFonts w:hint="eastAsia" w:ascii="宋体" w:hAnsi="宋体" w:eastAsia="宋体"/>
                <w:color w:val="auto"/>
                <w:highlight w:val="none"/>
              </w:rPr>
              <w:t>良：有绿色节能控制措施，措施较明确、较具体、较可行、针对性较强，措施较完善的，有承诺在施工过程中通过科学管理和先进的技术手段，较好地节约资源与减少对环境的负面影响，以达到四节一环保（节能、节地、节水、节材和环境保护）的目标；得</w:t>
            </w:r>
            <w:r>
              <w:rPr>
                <w:rFonts w:hint="eastAsia" w:ascii="宋体" w:hAnsi="宋体" w:eastAsia="宋体"/>
                <w:color w:val="auto"/>
                <w:highlight w:val="none"/>
                <w:lang w:val="en-US" w:eastAsia="zh-CN"/>
              </w:rPr>
              <w:t>8</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中：有绿色节能控制措施，但明确性一般，具体、可行、针对性一般，措施一般的，有承诺在施工过程中通过科学管理和先进的技术手段，节约资源与减少对环境的负面影响，达到四节一环保（节能、节地、节水、节材和环境保护）的目标；得</w:t>
            </w:r>
            <w:r>
              <w:rPr>
                <w:rFonts w:hint="eastAsia" w:ascii="宋体" w:hAnsi="宋体" w:eastAsia="宋体"/>
                <w:color w:val="auto"/>
                <w:highlight w:val="none"/>
                <w:lang w:val="en-US" w:eastAsia="zh-CN"/>
              </w:rPr>
              <w:t>6</w:t>
            </w:r>
            <w:r>
              <w:rPr>
                <w:rFonts w:hint="eastAsia" w:ascii="宋体" w:hAnsi="宋体" w:eastAsia="宋体"/>
                <w:color w:val="auto"/>
                <w:highlight w:val="none"/>
              </w:rPr>
              <w:t>分；</w:t>
            </w:r>
          </w:p>
          <w:p>
            <w:pPr>
              <w:pStyle w:val="121"/>
              <w:rPr>
                <w:rFonts w:hint="eastAsia" w:ascii="宋体" w:hAnsi="宋体" w:eastAsia="宋体"/>
                <w:color w:val="auto"/>
                <w:highlight w:val="none"/>
              </w:rPr>
            </w:pPr>
            <w:r>
              <w:rPr>
                <w:rFonts w:hint="eastAsia" w:ascii="宋体" w:hAnsi="宋体" w:eastAsia="宋体"/>
                <w:color w:val="auto"/>
                <w:highlight w:val="none"/>
              </w:rPr>
              <w:t>差：有提供相关措施且有承诺在施工过程中通过科学管理和先进的技术手段，节约资源与减少对环境的负面影响，达到四节一环保（节能、节地、节水、节材和环境保护）的目标；得</w:t>
            </w:r>
            <w:r>
              <w:rPr>
                <w:rFonts w:hint="eastAsia" w:ascii="宋体" w:hAnsi="宋体" w:eastAsia="宋体"/>
                <w:color w:val="auto"/>
                <w:highlight w:val="none"/>
                <w:lang w:val="en-US" w:eastAsia="zh-CN"/>
              </w:rPr>
              <w:t>5</w:t>
            </w:r>
            <w:r>
              <w:rPr>
                <w:rFonts w:hint="eastAsia" w:ascii="宋体" w:hAnsi="宋体" w:eastAsia="宋体"/>
                <w:color w:val="auto"/>
                <w:highlight w:val="none"/>
              </w:rPr>
              <w:t>分。</w:t>
            </w:r>
          </w:p>
          <w:p>
            <w:pPr>
              <w:spacing w:line="300" w:lineRule="exact"/>
              <w:jc w:val="left"/>
              <w:rPr>
                <w:rFonts w:hint="eastAsia" w:ascii="宋体" w:hAnsi="宋体" w:eastAsia="宋体" w:cs="宋体"/>
                <w:color w:val="auto"/>
                <w:szCs w:val="21"/>
                <w:highlight w:val="none"/>
              </w:rPr>
            </w:pPr>
            <w:r>
              <w:rPr>
                <w:rFonts w:hint="eastAsia" w:ascii="宋体" w:hAnsi="宋体" w:eastAsia="宋体"/>
                <w:b/>
                <w:bCs/>
                <w:color w:val="auto"/>
                <w:highlight w:val="none"/>
              </w:rPr>
              <w:t>注：未提供相关措施或未承诺的不得分。承诺函格式自拟。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0"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rPr>
            </w:pPr>
            <w:r>
              <w:rPr>
                <w:rFonts w:hint="eastAsia"/>
                <w:color w:val="auto"/>
                <w:highlight w:val="none"/>
              </w:rPr>
              <w:t>合计</w:t>
            </w:r>
          </w:p>
        </w:tc>
        <w:tc>
          <w:tcPr>
            <w:tcW w:w="269"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highlight w:val="none"/>
              </w:rPr>
            </w:pPr>
            <w:r>
              <w:rPr>
                <w:rFonts w:hint="eastAsia"/>
                <w:color w:val="auto"/>
                <w:highlight w:val="none"/>
              </w:rPr>
              <w:t>100分</w:t>
            </w:r>
          </w:p>
        </w:tc>
        <w:tc>
          <w:tcPr>
            <w:tcW w:w="3930" w:type="pct"/>
            <w:tcBorders>
              <w:top w:val="single" w:color="auto" w:sz="4" w:space="0"/>
              <w:left w:val="single" w:color="auto" w:sz="4" w:space="0"/>
              <w:bottom w:val="single" w:color="auto" w:sz="4" w:space="0"/>
              <w:right w:val="single" w:color="auto" w:sz="4" w:space="0"/>
            </w:tcBorders>
          </w:tcPr>
          <w:p>
            <w:pPr>
              <w:spacing w:line="300" w:lineRule="exact"/>
              <w:jc w:val="left"/>
              <w:rPr>
                <w:color w:val="auto"/>
                <w:highlight w:val="none"/>
              </w:rPr>
            </w:pPr>
          </w:p>
        </w:tc>
      </w:tr>
      <w:bookmarkEnd w:id="30"/>
    </w:tbl>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备注：</w:t>
      </w:r>
    </w:p>
    <w:p>
      <w:pPr>
        <w:rPr>
          <w:rFonts w:ascii="宋体" w:hAnsi="宋体" w:cs="宋体"/>
          <w:color w:val="auto"/>
          <w:szCs w:val="21"/>
          <w:highlight w:val="none"/>
        </w:rPr>
      </w:pPr>
      <w:r>
        <w:rPr>
          <w:rFonts w:hint="eastAsia" w:ascii="宋体" w:hAnsi="宋体" w:cs="宋体"/>
          <w:color w:val="auto"/>
          <w:szCs w:val="21"/>
          <w:highlight w:val="none"/>
        </w:rPr>
        <w:t>1.以上所附证书证明文件均须提供扫描件并加盖投标人电子印章，投标人提供的网页截图或扫描件内容必须清晰可辨，如因网页截图或扫描件内容模糊导致评标时无法判断的，后果由投标人自负。上述资料不提供或提供不完整或提供不符合要求的不得分。</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企业业绩：业绩取自广州市住建行业信用管理平台</w:t>
      </w:r>
      <w:r>
        <w:rPr>
          <w:rFonts w:hint="eastAsia" w:ascii="宋体" w:hAnsi="宋体" w:cs="宋体"/>
          <w:color w:val="auto"/>
          <w:sz w:val="22"/>
          <w:szCs w:val="22"/>
          <w:highlight w:val="none"/>
          <w:lang w:val="en-US" w:eastAsia="zh-CN"/>
        </w:rPr>
        <w:t>或</w:t>
      </w:r>
      <w:r>
        <w:rPr>
          <w:rFonts w:hint="eastAsia" w:ascii="宋体" w:hAnsi="宋体"/>
          <w:color w:val="auto"/>
          <w:sz w:val="22"/>
          <w:szCs w:val="21"/>
          <w:highlight w:val="none"/>
        </w:rPr>
        <w:t>在投标文件中提供相应</w:t>
      </w:r>
      <w:r>
        <w:rPr>
          <w:rFonts w:hint="eastAsia" w:ascii="宋体" w:hAnsi="宋体"/>
          <w:color w:val="auto"/>
          <w:sz w:val="22"/>
          <w:szCs w:val="21"/>
          <w:highlight w:val="none"/>
          <w:lang w:val="en-US" w:eastAsia="zh-CN"/>
        </w:rPr>
        <w:t>证明材料</w:t>
      </w:r>
      <w:r>
        <w:rPr>
          <w:rFonts w:hint="eastAsia" w:ascii="宋体" w:hAnsi="宋体"/>
          <w:color w:val="auto"/>
          <w:sz w:val="22"/>
          <w:szCs w:val="21"/>
          <w:highlight w:val="none"/>
        </w:rPr>
        <w:t>的清晰扫描件</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业绩取自广州市住建行业信用管理平台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业绩金额以中标通知书为准，中标通知书上没有金额或免招标的，以施工合同（不含补充合同）为准；完成时间以竣工验收文件为准。竣工验收文件应具有建设单位、设计、施工和监理单位的盖章；平台业绩上传件不符合上述要求的或登记的工程资质内容与施工合同等业绩证明资料不相符的，该项业绩不予认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在投标文件中提供</w:t>
      </w:r>
      <w:r>
        <w:rPr>
          <w:rFonts w:hint="eastAsia" w:ascii="宋体" w:hAnsi="宋体" w:eastAsia="宋体" w:cs="宋体"/>
          <w:color w:val="auto"/>
          <w:szCs w:val="21"/>
          <w:highlight w:val="none"/>
          <w:lang w:val="en-US" w:eastAsia="zh-CN"/>
        </w:rPr>
        <w:t>证明材料的须提供清晰的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val="en-US" w:eastAsia="zh-CN"/>
        </w:rPr>
        <w:t>或免招证明文件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施工合同；</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竣工验收</w:t>
      </w:r>
      <w:r>
        <w:rPr>
          <w:rFonts w:hint="eastAsia" w:ascii="宋体" w:hAnsi="宋体" w:eastAsia="宋体" w:cs="宋体"/>
          <w:color w:val="auto"/>
          <w:szCs w:val="21"/>
          <w:highlight w:val="none"/>
          <w:lang w:val="en-US" w:eastAsia="zh-CN"/>
        </w:rPr>
        <w:t>证明文件</w:t>
      </w:r>
      <w:r>
        <w:rPr>
          <w:rFonts w:hint="eastAsia" w:ascii="宋体" w:hAnsi="宋体" w:eastAsia="宋体" w:cs="宋体"/>
          <w:color w:val="auto"/>
          <w:szCs w:val="21"/>
          <w:highlight w:val="none"/>
        </w:rPr>
        <w:t>。评标委员会对业绩的评审要求：（1）金额以中标通知书为准，中标通知书上没有金额或免招标的，以施工合同（不含补充合同）为准；（2）完成时间以竣工验收文件为准，竣工验收文件应具有建设单位、设计、施工和监理单位盖章。</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.企业工程研发能力：</w:t>
      </w:r>
    </w:p>
    <w:p>
      <w:pPr>
        <w:spacing w:line="300" w:lineRule="exact"/>
        <w:ind w:firstLine="210" w:firstLineChars="100"/>
        <w:jc w:val="left"/>
        <w:rPr>
          <w:rFonts w:ascii="宋体" w:hAnsi="宋体" w:cs="宋体"/>
          <w:color w:val="auto"/>
          <w:szCs w:val="21"/>
          <w:highlight w:val="none"/>
        </w:rPr>
      </w:pPr>
      <w:r>
        <w:rPr>
          <w:rFonts w:hint="eastAsia" w:ascii="宋体" w:hAnsi="宋体"/>
          <w:color w:val="auto"/>
          <w:highlight w:val="none"/>
        </w:rPr>
        <w:t>科学技术进步奖</w:t>
      </w:r>
      <w:r>
        <w:rPr>
          <w:rFonts w:hint="eastAsia"/>
          <w:color w:val="auto"/>
          <w:highlight w:val="none"/>
        </w:rPr>
        <w:t>：</w:t>
      </w:r>
      <w:r>
        <w:rPr>
          <w:rFonts w:hint="eastAsia" w:ascii="宋体" w:hAnsi="宋体" w:cs="宋体"/>
          <w:color w:val="auto"/>
          <w:szCs w:val="21"/>
          <w:highlight w:val="none"/>
        </w:rPr>
        <w:t>时间以证书中载明的发证时间为准，须提供</w:t>
      </w:r>
      <w:r>
        <w:rPr>
          <w:rFonts w:hint="eastAsia"/>
          <w:color w:val="auto"/>
          <w:highlight w:val="none"/>
        </w:rPr>
        <w:t>市级或以上</w:t>
      </w:r>
      <w:r>
        <w:rPr>
          <w:rFonts w:hint="eastAsia" w:ascii="宋体" w:hAnsi="宋体"/>
          <w:color w:val="auto"/>
          <w:highlight w:val="none"/>
        </w:rPr>
        <w:t>科学技术进步奖</w:t>
      </w:r>
      <w:r>
        <w:rPr>
          <w:rFonts w:hint="eastAsia" w:ascii="宋体" w:hAnsi="宋体" w:cs="宋体"/>
          <w:color w:val="auto"/>
          <w:szCs w:val="21"/>
          <w:highlight w:val="none"/>
        </w:rPr>
        <w:t>证书扫描件，。</w:t>
      </w:r>
    </w:p>
    <w:p>
      <w:pPr>
        <w:rPr>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.工程奖项：取自广州市住建行业信用管理平台（需提供网页信息截图及获奖证书扫描件）；或</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相关协会颁发的获奖证书(需提供获奖证书扫描件)。同一项目获奖按最高级别奖项只计一次得分，时间以获奖证书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优良样板工程、省市建设工程结构优质奖、省市建设工程质量奖、省建设工程金匠奖、土木工程詹天佑故乡杯；时间以获奖</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rPr>
        <w:t>日期为准；（不包含安全文明奖项及 QC类奖项，参建项目不予计算），不符合上述条件的不得分。</w:t>
      </w:r>
    </w:p>
    <w:p>
      <w:pPr>
        <w:spacing w:line="300" w:lineRule="exact"/>
        <w:ind w:left="210" w:hanging="210" w:hangingChars="100"/>
        <w:jc w:val="left"/>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.第三方评价：</w:t>
      </w:r>
      <w:r>
        <w:rPr>
          <w:rFonts w:hint="eastAsia" w:ascii="宋体" w:hAnsi="宋体"/>
          <w:color w:val="auto"/>
          <w:szCs w:val="21"/>
          <w:highlight w:val="none"/>
        </w:rPr>
        <w:t>发证机构必须是政府部门或在中国社会组织公共服务平台查询到的组织方为有效（</w:t>
      </w:r>
      <w:r>
        <w:rPr>
          <w:rFonts w:hint="eastAsia" w:ascii="宋体" w:hAnsi="宋体"/>
          <w:color w:val="auto"/>
          <w:szCs w:val="21"/>
          <w:highlight w:val="none"/>
          <w:lang w:val="en-US" w:eastAsia="zh-CN"/>
        </w:rPr>
        <w:t>需提供</w:t>
      </w:r>
      <w:r>
        <w:rPr>
          <w:rFonts w:hint="eastAsia" w:ascii="宋体" w:hAnsi="宋体"/>
          <w:color w:val="auto"/>
          <w:szCs w:val="21"/>
          <w:highlight w:val="none"/>
        </w:rPr>
        <w:t>证书扫描件），不符合上述条件的不得分。</w:t>
      </w:r>
    </w:p>
    <w:p>
      <w:pPr>
        <w:spacing w:line="300" w:lineRule="exact"/>
        <w:ind w:left="210" w:hanging="210" w:hangingChars="1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各</w:t>
      </w:r>
      <w:r>
        <w:rPr>
          <w:rFonts w:hint="eastAsia" w:ascii="宋体" w:hAnsi="宋体" w:cs="宋体"/>
          <w:color w:val="auto"/>
          <w:szCs w:val="21"/>
          <w:highlight w:val="none"/>
          <w:lang w:val="en-US" w:eastAsia="zh-CN"/>
        </w:rPr>
        <w:t>专业</w:t>
      </w:r>
      <w:r>
        <w:rPr>
          <w:rFonts w:hint="eastAsia" w:ascii="宋体" w:hAnsi="宋体" w:cs="宋体"/>
          <w:color w:val="auto"/>
          <w:szCs w:val="21"/>
          <w:highlight w:val="none"/>
        </w:rPr>
        <w:t>负责人须提供相关证书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身份证扫描件；技术负责人的类似业绩，需提供该项目的中标通知书（</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免招标</w:t>
      </w:r>
      <w:r>
        <w:rPr>
          <w:rFonts w:hint="eastAsia" w:ascii="宋体" w:hAnsi="宋体" w:cs="宋体"/>
          <w:color w:val="auto"/>
          <w:szCs w:val="21"/>
          <w:highlight w:val="none"/>
          <w:lang w:val="en-US" w:eastAsia="zh-CN"/>
        </w:rPr>
        <w:t>证明</w:t>
      </w:r>
      <w:r>
        <w:rPr>
          <w:rFonts w:hint="eastAsia" w:ascii="宋体" w:hAnsi="宋体" w:cs="宋体"/>
          <w:color w:val="auto"/>
          <w:szCs w:val="21"/>
          <w:highlight w:val="none"/>
        </w:rPr>
        <w:t>）和施工合同关键页以及担任对应职位完成的</w:t>
      </w:r>
      <w:r>
        <w:rPr>
          <w:rFonts w:hint="eastAsia" w:ascii="宋体" w:hAnsi="宋体"/>
          <w:color w:val="auto"/>
          <w:highlight w:val="none"/>
        </w:rPr>
        <w:t>竣工验收</w:t>
      </w:r>
      <w:r>
        <w:rPr>
          <w:rFonts w:hint="eastAsia" w:ascii="宋体" w:hAnsi="宋体" w:cs="宋体"/>
          <w:color w:val="auto"/>
          <w:szCs w:val="21"/>
          <w:highlight w:val="none"/>
        </w:rPr>
        <w:t>报告</w:t>
      </w:r>
      <w:r>
        <w:rPr>
          <w:rFonts w:hint="eastAsia" w:ascii="宋体" w:hAnsi="宋体" w:cs="宋体"/>
          <w:color w:val="auto"/>
          <w:szCs w:val="21"/>
          <w:highlight w:val="none"/>
          <w:lang w:val="en-US" w:eastAsia="zh-CN"/>
        </w:rPr>
        <w:t>上能</w:t>
      </w:r>
      <w:r>
        <w:rPr>
          <w:rFonts w:hint="eastAsia" w:ascii="宋体" w:hAnsi="宋体" w:cs="宋体"/>
          <w:color w:val="auto"/>
          <w:szCs w:val="21"/>
          <w:highlight w:val="none"/>
        </w:rPr>
        <w:t>体现该人员名字作为证明文件，以上证明文件需提供扫描件并加盖电子章。</w:t>
      </w:r>
    </w:p>
    <w:p>
      <w:pPr>
        <w:spacing w:line="300" w:lineRule="exact"/>
        <w:ind w:left="210" w:hanging="210" w:hangingChars="1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.本表中的</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人员均需按要求提交相应证件扫描件和在本投标单位近一个月(指2023年3月)购买的社保缴纳证明材料并加盖公章（社保缴纳期限包含疫情防控期的，若当地政府部门允许企业在疫情防控期间缓缴社会保险费的，投标人可提供当地政府部门允许缓缴社保的相关文件作为缴纳社保的证明（已退休人员提供退休证明及返聘证明）。若提供在子公司购买的社保缴纳证明材料不得分；未按要求提供完整相关资料的人员，该人员不作为评分依据)。</w:t>
      </w:r>
    </w:p>
    <w:p>
      <w:pPr>
        <w:rPr>
          <w:rFonts w:ascii="宋体" w:hAnsi="宋体" w:cs="宋体"/>
          <w:b/>
          <w:color w:val="auto"/>
          <w:sz w:val="36"/>
          <w:szCs w:val="36"/>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.投标人的技术分为所有评委评分汇总后的算术平均值</w:t>
      </w:r>
      <w:r>
        <w:rPr>
          <w:rFonts w:hint="eastAsia" w:ascii="宋体" w:hAnsi="宋体"/>
          <w:color w:val="auto"/>
          <w:szCs w:val="21"/>
          <w:highlight w:val="none"/>
        </w:rPr>
        <w:t>（若分数出现小数点时，保留小数点后二位，第三位小数四舍五入）。</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附表五（适用于加权平均法）</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经济标评分表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5"/>
        <w:tblW w:w="14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1180"/>
        <w:gridCol w:w="1180"/>
        <w:gridCol w:w="1180"/>
        <w:gridCol w:w="1180"/>
        <w:gridCol w:w="1180"/>
        <w:gridCol w:w="1180"/>
        <w:gridCol w:w="1180"/>
        <w:gridCol w:w="118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投标报价PT（元）</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报价权重</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评标参考价PC（元）</w:t>
            </w:r>
          </w:p>
        </w:tc>
        <w:tc>
          <w:tcPr>
            <w:tcW w:w="10626"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偏差（（PT-PC）/PC）（%）</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得分(I=100-A)</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4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得分排名次序</w:t>
            </w: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bl>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评委签名：</w:t>
      </w:r>
      <w:r>
        <w:rPr>
          <w:rFonts w:hint="eastAsia" w:ascii="宋体" w:hAnsi="宋体" w:eastAsia="宋体" w:cs="宋体"/>
          <w:b/>
          <w:color w:val="auto"/>
          <w:sz w:val="36"/>
          <w:szCs w:val="36"/>
          <w:highlight w:val="none"/>
        </w:rPr>
        <w:br w:type="page"/>
      </w:r>
      <w:r>
        <w:rPr>
          <w:rFonts w:hint="eastAsia" w:ascii="宋体" w:hAnsi="宋体" w:eastAsia="宋体" w:cs="宋体"/>
          <w:color w:val="auto"/>
          <w:szCs w:val="21"/>
          <w:highlight w:val="none"/>
        </w:rPr>
        <w:t>附表六</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                                           投标人:                                                  单位：元</w:t>
      </w:r>
    </w:p>
    <w:tbl>
      <w:tblPr>
        <w:tblStyle w:val="3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修正前投标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修正后投标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∑A=A</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+…An；∑B=B</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+…Bn</w:t>
            </w:r>
          </w:p>
        </w:tc>
      </w:tr>
    </w:tbl>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color w:val="auto"/>
          <w:kern w:val="0"/>
          <w:szCs w:val="21"/>
          <w:highlight w:val="none"/>
        </w:rPr>
        <w:tab/>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评委签名：</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日期：</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pPr>
        <w:spacing w:line="360" w:lineRule="auto"/>
        <w:jc w:val="center"/>
        <w:rPr>
          <w:rFonts w:hint="eastAsia" w:ascii="宋体" w:hAnsi="宋体" w:eastAsia="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3"/>
        <w:rPr>
          <w:rFonts w:hint="eastAsia" w:ascii="宋体" w:hAnsi="宋体" w:eastAsia="宋体" w:cs="宋体"/>
          <w:color w:val="auto"/>
          <w:highlight w:val="none"/>
        </w:rPr>
      </w:pPr>
      <w:bookmarkStart w:id="31" w:name="_Toc2272566"/>
      <w:bookmarkStart w:id="32" w:name="_Toc21525511"/>
      <w:r>
        <w:rPr>
          <w:rFonts w:hint="eastAsia" w:ascii="宋体" w:hAnsi="宋体" w:eastAsia="宋体" w:cs="宋体"/>
          <w:color w:val="auto"/>
          <w:highlight w:val="none"/>
        </w:rPr>
        <w:t>第三章  合同条款</w:t>
      </w:r>
      <w:bookmarkEnd w:id="31"/>
      <w:bookmarkEnd w:id="32"/>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注：另册。</w:t>
      </w:r>
    </w:p>
    <w:p>
      <w:pPr>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2"/>
        <w:spacing w:line="360" w:lineRule="auto"/>
        <w:rPr>
          <w:rFonts w:hint="eastAsia" w:ascii="宋体" w:hAnsi="宋体" w:eastAsia="宋体" w:cs="宋体"/>
          <w:color w:val="auto"/>
          <w:sz w:val="24"/>
          <w:szCs w:val="24"/>
          <w:highlight w:val="none"/>
        </w:rPr>
      </w:pPr>
    </w:p>
    <w:p>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rPr>
          <w:rFonts w:hint="eastAsia" w:ascii="宋体" w:hAnsi="宋体" w:eastAsia="宋体" w:cs="宋体"/>
          <w:color w:val="auto"/>
          <w:highlight w:val="none"/>
        </w:rPr>
      </w:pPr>
      <w:bookmarkStart w:id="33" w:name="_Toc21525512"/>
      <w:bookmarkStart w:id="34" w:name="_Toc2272567"/>
      <w:r>
        <w:rPr>
          <w:rFonts w:hint="eastAsia" w:ascii="宋体" w:hAnsi="宋体" w:eastAsia="宋体" w:cs="宋体"/>
          <w:color w:val="auto"/>
          <w:highlight w:val="none"/>
        </w:rPr>
        <w:t>第四章  投标文件格式</w:t>
      </w:r>
      <w:bookmarkEnd w:id="33"/>
      <w:bookmarkEnd w:id="34"/>
    </w:p>
    <w:p>
      <w:pPr>
        <w:numPr>
          <w:ilvl w:val="0"/>
          <w:numId w:val="4"/>
        </w:numPr>
        <w:autoSpaceDE w:val="0"/>
        <w:autoSpaceDN w:val="0"/>
        <w:adjustRightInd w:val="0"/>
        <w:rPr>
          <w:rFonts w:hint="eastAsia" w:ascii="宋体" w:hAnsi="宋体" w:eastAsia="宋体" w:cs="宋体"/>
          <w:b/>
          <w:snapToGrid w:val="0"/>
          <w:color w:val="auto"/>
          <w:spacing w:val="4"/>
          <w:kern w:val="0"/>
          <w:sz w:val="30"/>
          <w:szCs w:val="30"/>
          <w:highlight w:val="none"/>
          <w:lang w:val="en-US" w:eastAsia="zh-CN" w:bidi="ar-SA"/>
        </w:rPr>
      </w:pPr>
      <w:r>
        <w:rPr>
          <w:rFonts w:hint="eastAsia" w:ascii="宋体" w:hAnsi="宋体" w:eastAsia="宋体" w:cs="宋体"/>
          <w:b/>
          <w:snapToGrid w:val="0"/>
          <w:color w:val="auto"/>
          <w:spacing w:val="4"/>
          <w:kern w:val="0"/>
          <w:sz w:val="30"/>
          <w:szCs w:val="30"/>
          <w:highlight w:val="none"/>
          <w:lang w:val="en-US" w:eastAsia="zh-CN" w:bidi="ar-SA"/>
        </w:rPr>
        <w:t>技术标投标文件格式</w:t>
      </w: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b/>
          <w:snapToGrid w:val="0"/>
          <w:color w:val="auto"/>
          <w:spacing w:val="4"/>
          <w:kern w:val="0"/>
          <w:sz w:val="30"/>
          <w:szCs w:val="30"/>
          <w:highlight w:val="none"/>
          <w:lang w:val="en-US" w:eastAsia="zh-CN" w:bidi="ar-SA"/>
        </w:rPr>
      </w:pPr>
    </w:p>
    <w:p>
      <w:pPr>
        <w:outlineLvl w:val="9"/>
        <w:rPr>
          <w:rFonts w:hint="eastAsia" w:ascii="宋体" w:hAnsi="宋体" w:eastAsia="宋体" w:cs="宋体"/>
          <w:color w:val="auto"/>
          <w:highlight w:val="none"/>
          <w:lang w:val="en-US" w:eastAsia="zh-CN"/>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格式一：技术标封面</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14"/>
        <w:rPr>
          <w:rFonts w:hint="eastAsia" w:ascii="宋体" w:hAnsi="宋体" w:eastAsia="宋体" w:cs="宋体"/>
          <w:b w:val="0"/>
          <w:color w:val="auto"/>
          <w:highlight w:val="none"/>
        </w:rPr>
      </w:pPr>
      <w:r>
        <w:rPr>
          <w:rFonts w:hint="eastAsia" w:ascii="宋体" w:hAnsi="宋体" w:eastAsia="宋体" w:cs="宋体"/>
          <w:b w:val="0"/>
          <w:color w:val="auto"/>
          <w:highlight w:val="none"/>
        </w:rPr>
        <w:t>第一册  【技术投标文件（含资格审查文件）】</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（填写投标人单位名称）（盖章）</w:t>
      </w:r>
    </w:p>
    <w:p>
      <w:pPr>
        <w:pStyle w:val="116"/>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（签名或盖章）</w:t>
      </w:r>
    </w:p>
    <w:p>
      <w:pPr>
        <w:pStyle w:val="116"/>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pPr>
        <w:pageBreakBefore w:val="0"/>
        <w:kinsoku/>
        <w:wordWrap/>
        <w:overflowPunct/>
        <w:bidi w:val="0"/>
        <w:spacing w:line="360" w:lineRule="auto"/>
        <w:jc w:val="left"/>
        <w:rPr>
          <w:rFonts w:hint="eastAsia" w:ascii="宋体" w:hAnsi="宋体" w:eastAsia="宋体" w:cs="宋体"/>
          <w:color w:val="auto"/>
          <w:sz w:val="24"/>
          <w:szCs w:val="24"/>
          <w:highlight w:val="none"/>
          <w:lang w:eastAsia="zh-CN"/>
        </w:rPr>
      </w:pPr>
    </w:p>
    <w:p>
      <w:pPr>
        <w:pageBreakBefore w:val="0"/>
        <w:kinsoku/>
        <w:wordWrap/>
        <w:overflowPunct/>
        <w:bidi w:val="0"/>
        <w:spacing w:line="360" w:lineRule="auto"/>
        <w:jc w:val="left"/>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Style w:val="25"/>
        <w:rPr>
          <w:rFonts w:hint="eastAsia"/>
          <w:color w:val="auto"/>
          <w:highlight w:val="none"/>
          <w:lang w:eastAsia="zh-CN"/>
        </w:rPr>
      </w:pPr>
    </w:p>
    <w:p>
      <w:pPr>
        <w:pageBreakBefore w:val="0"/>
        <w:kinsoku/>
        <w:wordWrap/>
        <w:overflowPunct/>
        <w:bidi w:val="0"/>
        <w:spacing w:line="360" w:lineRule="auto"/>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格式二</w:t>
      </w:r>
    </w:p>
    <w:p>
      <w:pPr>
        <w:autoSpaceDE w:val="0"/>
        <w:autoSpaceDN w:val="0"/>
        <w:adjustRightInd w:val="0"/>
        <w:ind w:left="-540" w:leftChars="-257" w:firstLine="1135" w:firstLineChars="257"/>
        <w:jc w:val="center"/>
        <w:rPr>
          <w:rFonts w:hint="eastAsia" w:ascii="宋体" w:hAnsi="宋体" w:eastAsia="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5"/>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500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投标总报价（元）</w:t>
            </w:r>
          </w:p>
        </w:tc>
        <w:tc>
          <w:tcPr>
            <w:tcW w:w="5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Calibri" w:eastAsia="宋体" w:cs="Times New Roman"/>
                <w:color w:val="auto"/>
                <w:kern w:val="0"/>
                <w:sz w:val="24"/>
                <w:szCs w:val="24"/>
                <w:highlight w:val="none"/>
                <w:u w:val="single"/>
                <w:lang w:val="en-US" w:eastAsia="zh-CN" w:bidi="ar-SA"/>
              </w:rPr>
              <w:t>（其中，景观项目、供电项目建安工程：</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r>
              <w:rPr>
                <w:rFonts w:hint="eastAsia"/>
                <w:color w:val="auto"/>
                <w:sz w:val="24"/>
                <w:szCs w:val="24"/>
                <w:highlight w:val="none"/>
                <w:u w:val="single"/>
                <w:lang w:val="en-US" w:eastAsia="zh-CN"/>
              </w:rPr>
              <w:t>特殊定制工程</w:t>
            </w:r>
            <w:r>
              <w:rPr>
                <w:rFonts w:hint="eastAsia" w:ascii="宋体" w:hAnsi="Calibri" w:eastAsia="宋体" w:cs="Times New Roman"/>
                <w:color w:val="auto"/>
                <w:kern w:val="0"/>
                <w:sz w:val="24"/>
                <w:szCs w:val="24"/>
                <w:highlight w:val="none"/>
                <w:u w:val="single"/>
                <w:lang w:val="en-US" w:eastAsia="zh-CN" w:bidi="ar-SA"/>
              </w:rPr>
              <w:t>：</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5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Calibri" w:eastAsia="宋体" w:cs="Times New Roman"/>
                <w:color w:val="auto"/>
                <w:kern w:val="0"/>
                <w:sz w:val="24"/>
                <w:szCs w:val="24"/>
                <w:highlight w:val="none"/>
                <w:u w:val="single"/>
                <w:lang w:val="en-US" w:eastAsia="zh-CN" w:bidi="ar-SA"/>
              </w:rPr>
              <w:t>（其中，景观项目、供电项目建安工程：</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r>
              <w:rPr>
                <w:rFonts w:hint="eastAsia"/>
                <w:color w:val="auto"/>
                <w:sz w:val="24"/>
                <w:szCs w:val="24"/>
                <w:highlight w:val="none"/>
                <w:u w:val="single"/>
                <w:lang w:val="en-US" w:eastAsia="zh-CN"/>
              </w:rPr>
              <w:t>特殊定制工程</w:t>
            </w:r>
            <w:r>
              <w:rPr>
                <w:rFonts w:hint="eastAsia" w:ascii="宋体" w:hAnsi="Calibri" w:eastAsia="宋体" w:cs="Times New Roman"/>
                <w:color w:val="auto"/>
                <w:kern w:val="0"/>
                <w:sz w:val="24"/>
                <w:szCs w:val="24"/>
                <w:highlight w:val="none"/>
                <w:u w:val="single"/>
                <w:lang w:val="en-US" w:eastAsia="zh-CN" w:bidi="ar-SA"/>
              </w:rPr>
              <w:t>：</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绿色施工安全防护措施费（元）</w:t>
            </w:r>
          </w:p>
        </w:tc>
        <w:tc>
          <w:tcPr>
            <w:tcW w:w="5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Calibri" w:eastAsia="宋体" w:cs="Times New Roman"/>
                <w:color w:val="auto"/>
                <w:kern w:val="0"/>
                <w:sz w:val="24"/>
                <w:szCs w:val="24"/>
                <w:highlight w:val="none"/>
                <w:u w:val="single"/>
                <w:lang w:val="en-US" w:eastAsia="zh-CN" w:bidi="ar-SA"/>
              </w:rPr>
              <w:t>（其中，景观项目、供电项目建安工程：</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r>
              <w:rPr>
                <w:rFonts w:hint="eastAsia"/>
                <w:color w:val="auto"/>
                <w:sz w:val="24"/>
                <w:szCs w:val="24"/>
                <w:highlight w:val="none"/>
                <w:u w:val="single"/>
                <w:lang w:val="en-US" w:eastAsia="zh-CN"/>
              </w:rPr>
              <w:t>特殊定制工程</w:t>
            </w:r>
            <w:r>
              <w:rPr>
                <w:rFonts w:hint="eastAsia" w:ascii="宋体" w:hAnsi="Calibri" w:eastAsia="宋体" w:cs="Times New Roman"/>
                <w:color w:val="auto"/>
                <w:kern w:val="0"/>
                <w:sz w:val="24"/>
                <w:szCs w:val="24"/>
                <w:highlight w:val="none"/>
                <w:u w:val="single"/>
                <w:lang w:val="en-US" w:eastAsia="zh-CN" w:bidi="ar-SA"/>
              </w:rPr>
              <w:t>：</w:t>
            </w:r>
            <w:r>
              <w:rPr>
                <w:rFonts w:hint="eastAsia" w:ascii="宋体" w:eastAsia="宋体" w:cs="Times New Roman"/>
                <w:color w:val="auto"/>
                <w:kern w:val="0"/>
                <w:sz w:val="24"/>
                <w:szCs w:val="24"/>
                <w:highlight w:val="none"/>
                <w:u w:val="single"/>
                <w:lang w:val="en-US" w:eastAsia="zh-CN" w:bidi="ar-SA"/>
              </w:rPr>
              <w:t xml:space="preserve">       </w:t>
            </w:r>
            <w:r>
              <w:rPr>
                <w:rFonts w:hint="eastAsia" w:ascii="宋体" w:hAnsi="Calibri" w:eastAsia="宋体" w:cs="Times New Roman"/>
                <w:color w:val="auto"/>
                <w:kern w:val="0"/>
                <w:sz w:val="24"/>
                <w:szCs w:val="24"/>
                <w:highlight w:val="none"/>
                <w:u w:val="singl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工 期</w:t>
            </w:r>
          </w:p>
        </w:tc>
        <w:tc>
          <w:tcPr>
            <w:tcW w:w="500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工程质量标准</w:t>
            </w:r>
          </w:p>
        </w:tc>
        <w:tc>
          <w:tcPr>
            <w:tcW w:w="500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500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outlineLvl w:val="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格式三：法定代表人证明书、授权委托书</w:t>
      </w:r>
    </w:p>
    <w:p>
      <w:pPr>
        <w:pStyle w:val="11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法定代表人证明书、授权委托书</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（1）法定代表人证明书</w:t>
      </w:r>
    </w:p>
    <w:p>
      <w:pPr>
        <w:pStyle w:val="113"/>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）第　号</w:t>
      </w:r>
    </w:p>
    <w:p>
      <w:pPr>
        <w:pStyle w:val="113"/>
        <w:ind w:firstLine="480"/>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1" name="文本框 1"/>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13"/>
                              <w:ind w:firstLine="0" w:firstLineChars="0"/>
                              <w:rPr>
                                <w:rFonts w:hint="eastAsia" w:ascii="宋体" w:hAnsi="宋体" w:eastAsia="宋体" w:cs="宋体"/>
                                <w:szCs w:val="28"/>
                              </w:rPr>
                            </w:pPr>
                          </w:p>
                          <w:p>
                            <w:pPr>
                              <w:pStyle w:val="113"/>
                              <w:ind w:firstLine="0" w:firstLineChars="0"/>
                              <w:rPr>
                                <w:rFonts w:hint="eastAsia" w:ascii="宋体" w:hAnsi="宋体" w:eastAsia="宋体" w:cs="宋体"/>
                                <w:szCs w:val="28"/>
                              </w:rPr>
                            </w:pPr>
                            <w:r>
                              <w:rPr>
                                <w:rFonts w:hint="eastAsia" w:ascii="宋体" w:hAnsi="宋体" w:eastAsia="宋体" w:cs="宋体"/>
                                <w:szCs w:val="28"/>
                              </w:rPr>
                              <w:t>　　</w:t>
                            </w: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pPr>
                              <w:pStyle w:val="113"/>
                              <w:ind w:firstLine="0" w:firstLineChars="0"/>
                              <w:rPr>
                                <w:rFonts w:hint="eastAsia" w:ascii="宋体" w:hAnsi="宋体" w:eastAsia="宋体" w:cs="宋体"/>
                                <w:szCs w:val="28"/>
                              </w:rPr>
                            </w:pPr>
                            <w:r>
                              <w:rPr>
                                <w:rFonts w:hint="eastAsia" w:ascii="宋体" w:hAnsi="宋体" w:eastAsia="宋体" w:cs="宋体"/>
                                <w:szCs w:val="28"/>
                              </w:rPr>
                              <w:t>特此证明。</w:t>
                            </w:r>
                          </w:p>
                          <w:p>
                            <w:pPr>
                              <w:pStyle w:val="113"/>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　　　　　　　　　　单位：　　　　　　　　　　　（盖章）</w:t>
                            </w:r>
                          </w:p>
                          <w:p>
                            <w:pPr>
                              <w:pStyle w:val="113"/>
                              <w:ind w:firstLine="0" w:firstLineChars="0"/>
                              <w:rPr>
                                <w:rFonts w:hint="eastAsia" w:ascii="宋体" w:hAnsi="宋体" w:eastAsia="宋体" w:cs="宋体"/>
                                <w:szCs w:val="28"/>
                              </w:rPr>
                            </w:pPr>
                            <w:r>
                              <w:rPr>
                                <w:rFonts w:hint="eastAsia" w:ascii="宋体" w:hAnsi="宋体" w:eastAsia="宋体" w:cs="宋体"/>
                                <w:szCs w:val="28"/>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hMJ81wAAAAgBAAAPAAAAAAAA&#10;AAEAIAAAACIAAABkcnMvZG93bnJldi54bWxQSwECFAAUAAAACACHTuJA+UZwGBMCAABFBAAADgAA&#10;AAAAAAABACAAAAAmAQAAZHJzL2Uyb0RvYy54bWxQSwUGAAAAAAYABgBZAQAAqwUAAAAA&#10;">
                <v:fill on="t" focussize="0,0"/>
                <v:stroke color="#000000" joinstyle="miter"/>
                <v:imagedata o:title=""/>
                <o:lock v:ext="edit" aspectratio="f"/>
                <v:textbox>
                  <w:txbxContent>
                    <w:p>
                      <w:pPr>
                        <w:pStyle w:val="113"/>
                        <w:ind w:firstLine="0" w:firstLineChars="0"/>
                        <w:rPr>
                          <w:rFonts w:hint="eastAsia" w:ascii="宋体" w:hAnsi="宋体" w:eastAsia="宋体" w:cs="宋体"/>
                          <w:szCs w:val="28"/>
                        </w:rPr>
                      </w:pPr>
                    </w:p>
                    <w:p>
                      <w:pPr>
                        <w:pStyle w:val="113"/>
                        <w:ind w:firstLine="0" w:firstLineChars="0"/>
                        <w:rPr>
                          <w:rFonts w:hint="eastAsia" w:ascii="宋体" w:hAnsi="宋体" w:eastAsia="宋体" w:cs="宋体"/>
                          <w:szCs w:val="28"/>
                        </w:rPr>
                      </w:pPr>
                      <w:r>
                        <w:rPr>
                          <w:rFonts w:hint="eastAsia" w:ascii="宋体" w:hAnsi="宋体" w:eastAsia="宋体" w:cs="宋体"/>
                          <w:szCs w:val="28"/>
                        </w:rPr>
                        <w:t>　　</w:t>
                      </w: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pPr>
                        <w:pStyle w:val="113"/>
                        <w:ind w:firstLine="0" w:firstLineChars="0"/>
                        <w:rPr>
                          <w:rFonts w:hint="eastAsia" w:ascii="宋体" w:hAnsi="宋体" w:eastAsia="宋体" w:cs="宋体"/>
                          <w:szCs w:val="28"/>
                        </w:rPr>
                      </w:pPr>
                      <w:r>
                        <w:rPr>
                          <w:rFonts w:hint="eastAsia" w:ascii="宋体" w:hAnsi="宋体" w:eastAsia="宋体" w:cs="宋体"/>
                          <w:szCs w:val="28"/>
                        </w:rPr>
                        <w:t>特此证明。</w:t>
                      </w:r>
                    </w:p>
                    <w:p>
                      <w:pPr>
                        <w:pStyle w:val="113"/>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pPr>
                        <w:pStyle w:val="113"/>
                        <w:ind w:firstLine="0" w:firstLineChars="0"/>
                        <w:rPr>
                          <w:rFonts w:hint="eastAsia" w:ascii="宋体" w:hAnsi="宋体" w:eastAsia="宋体" w:cs="宋体"/>
                          <w:szCs w:val="28"/>
                        </w:rPr>
                      </w:pPr>
                      <w:r>
                        <w:rPr>
                          <w:rFonts w:hint="eastAsia" w:ascii="宋体" w:hAnsi="宋体" w:eastAsia="宋体" w:cs="宋体"/>
                          <w:szCs w:val="28"/>
                        </w:rPr>
                        <w:t>　　　　　　　　　　单位：　　　　　　　　　　　（盖章）</w:t>
                      </w:r>
                    </w:p>
                    <w:p>
                      <w:pPr>
                        <w:pStyle w:val="113"/>
                        <w:ind w:firstLine="0" w:firstLineChars="0"/>
                        <w:rPr>
                          <w:rFonts w:hint="eastAsia" w:ascii="宋体" w:hAnsi="宋体" w:eastAsia="宋体" w:cs="宋体"/>
                          <w:szCs w:val="28"/>
                        </w:rPr>
                      </w:pPr>
                      <w:r>
                        <w:rPr>
                          <w:rFonts w:hint="eastAsia" w:ascii="宋体" w:hAnsi="宋体" w:eastAsia="宋体" w:cs="宋体"/>
                          <w:szCs w:val="28"/>
                        </w:rPr>
                        <w:t>　　　　　　　　　　　　　　　　　　　　　    年　月　　日</w:t>
                      </w:r>
                    </w:p>
                  </w:txbxContent>
                </v:textbox>
              </v:shape>
            </w:pict>
          </mc:Fallback>
        </mc:AlternateContent>
      </w: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授权委</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托证明书</w:t>
      </w: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　 ）第　号</w:t>
      </w: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注：按提供的该表格格式填写，或使用从工商管理部门购买的表格填写。</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w:t>
      </w: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113"/>
        <w:ind w:firstLine="496"/>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w:t>
      </w:r>
    </w:p>
    <w:p>
      <w:pPr>
        <w:pStyle w:val="113"/>
        <w:ind w:firstLine="496"/>
        <w:jc w:val="center"/>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283210</wp:posOffset>
                </wp:positionV>
                <wp:extent cx="5910580" cy="2665730"/>
                <wp:effectExtent l="4445" t="4445" r="9525" b="15875"/>
                <wp:wrapNone/>
                <wp:docPr id="14" name="文本框 14"/>
                <wp:cNvGraphicFramePr/>
                <a:graphic xmlns:a="http://schemas.openxmlformats.org/drawingml/2006/main">
                  <a:graphicData uri="http://schemas.microsoft.com/office/word/2010/wordprocessingShape">
                    <wps:wsp>
                      <wps:cNvSpPr txBox="1"/>
                      <wps:spPr>
                        <a:xfrm>
                          <a:off x="0" y="0"/>
                          <a:ext cx="5910580" cy="2665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13"/>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pPr>
                              <w:pStyle w:val="113"/>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pPr>
                              <w:pStyle w:val="113"/>
                              <w:ind w:firstLine="496"/>
                              <w:rPr>
                                <w:rFonts w:hint="eastAsia" w:ascii="宋体" w:hAnsi="宋体" w:eastAsia="宋体" w:cs="宋体"/>
                              </w:rPr>
                            </w:pPr>
                          </w:p>
                          <w:p>
                            <w:pPr>
                              <w:pStyle w:val="113"/>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pPr>
                              <w:pStyle w:val="113"/>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pPr>
                              <w:pStyle w:val="113"/>
                              <w:ind w:firstLine="496"/>
                              <w:jc w:val="right"/>
                              <w:rPr>
                                <w:rFonts w:hint="eastAsia" w:ascii="宋体" w:hAnsi="宋体" w:eastAsia="宋体" w:cs="宋体"/>
                              </w:rPr>
                            </w:pPr>
                            <w:r>
                              <w:rPr>
                                <w:rFonts w:hint="eastAsia" w:ascii="宋体" w:hAnsi="宋体" w:eastAsia="宋体" w:cs="宋体"/>
                              </w:rPr>
                              <w:t>年  月   日</w:t>
                            </w:r>
                          </w:p>
                        </w:txbxContent>
                      </wps:txbx>
                      <wps:bodyPr upright="1"/>
                    </wps:wsp>
                  </a:graphicData>
                </a:graphic>
              </wp:anchor>
            </w:drawing>
          </mc:Choice>
          <mc:Fallback>
            <w:pict>
              <v:shape id="_x0000_s1026" o:spid="_x0000_s1026" o:spt="202" type="#_x0000_t202" style="position:absolute;left:0pt;margin-left:-8.25pt;margin-top:22.3pt;height:209.9pt;width:465.4pt;z-index:251661312;mso-width-relative:page;mso-height-relative:page;" fillcolor="#FFFFFF" filled="t" stroked="t" coordsize="21600,21600" o:gfxdata="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ey3ttkAAAAKAQAADwAA&#10;AAAAAAABACAAAAAiAAAAZHJzL2Rvd25yZXYueG1sUEsBAhQAFAAAAAgAh07iQKI7UwcVAgAARwQA&#10;AA4AAAAAAAAAAQAgAAAAKAEAAGRycy9lMm9Eb2MueG1sUEsFBgAAAAAGAAYAWQEAAK8FAAAAAA==&#10;">
                <v:fill on="t" focussize="0,0"/>
                <v:stroke color="#000000" joinstyle="miter"/>
                <v:imagedata o:title=""/>
                <o:lock v:ext="edit" aspectratio="f"/>
                <v:textbox>
                  <w:txbxContent>
                    <w:p>
                      <w:pPr>
                        <w:pStyle w:val="113"/>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pPr>
                        <w:pStyle w:val="113"/>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pPr>
                        <w:pStyle w:val="113"/>
                        <w:ind w:firstLine="496"/>
                        <w:rPr>
                          <w:rFonts w:hint="eastAsia" w:ascii="宋体" w:hAnsi="宋体" w:eastAsia="宋体" w:cs="宋体"/>
                        </w:rPr>
                      </w:pPr>
                    </w:p>
                    <w:p>
                      <w:pPr>
                        <w:pStyle w:val="113"/>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pPr>
                        <w:pStyle w:val="113"/>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pPr>
                        <w:pStyle w:val="113"/>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pPr>
                        <w:pStyle w:val="113"/>
                        <w:ind w:firstLine="496"/>
                        <w:jc w:val="right"/>
                        <w:rPr>
                          <w:rFonts w:hint="eastAsia" w:ascii="宋体" w:hAnsi="宋体" w:eastAsia="宋体" w:cs="宋体"/>
                        </w:rPr>
                      </w:pPr>
                      <w:r>
                        <w:rPr>
                          <w:rFonts w:hint="eastAsia" w:ascii="宋体" w:hAnsi="宋体" w:eastAsia="宋体" w:cs="宋体"/>
                        </w:rPr>
                        <w:t>年  月   日</w:t>
                      </w:r>
                    </w:p>
                  </w:txbxContent>
                </v:textbox>
              </v:shape>
            </w:pict>
          </mc:Fallback>
        </mc:AlternateConten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）第  号</w:t>
      </w:r>
    </w:p>
    <w:p>
      <w:pPr>
        <w:pStyle w:val="113"/>
        <w:ind w:firstLine="480"/>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jc w:val="right"/>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注：该格式供参考。</w:t>
      </w:r>
    </w:p>
    <w:p>
      <w:pPr>
        <w:pStyle w:val="113"/>
        <w:ind w:firstLine="496"/>
        <w:rPr>
          <w:rFonts w:hint="eastAsia" w:ascii="宋体" w:hAnsi="宋体" w:eastAsia="宋体" w:cs="宋体"/>
          <w:color w:val="auto"/>
          <w:highlight w:val="none"/>
        </w:rPr>
      </w:pPr>
    </w:p>
    <w:p>
      <w:pPr>
        <w:pageBreakBefore w:val="0"/>
        <w:kinsoku/>
        <w:wordWrap/>
        <w:overflowPunct/>
        <w:bidi w:val="0"/>
        <w:spacing w:line="360" w:lineRule="auto"/>
        <w:jc w:val="left"/>
        <w:rPr>
          <w:rFonts w:hint="eastAsia" w:ascii="宋体" w:hAnsi="宋体" w:eastAsia="宋体" w:cs="宋体"/>
          <w:color w:val="auto"/>
          <w:sz w:val="24"/>
          <w:szCs w:val="24"/>
          <w:highlight w:val="none"/>
        </w:rPr>
      </w:pPr>
    </w:p>
    <w:p>
      <w:pPr>
        <w:pageBreakBefore w:val="0"/>
        <w:kinsoku/>
        <w:wordWrap/>
        <w:overflowPunct/>
        <w:bidi w:val="0"/>
        <w:spacing w:line="36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格式四</w:t>
      </w:r>
    </w:p>
    <w:p>
      <w:pPr>
        <w:pStyle w:val="8"/>
        <w:pageBreakBefore w:val="0"/>
        <w:kinsoku/>
        <w:wordWrap/>
        <w:overflowPunct/>
        <w:bidi w:val="0"/>
        <w:spacing w:before="0" w:beforeAutospacing="0" w:after="0" w:afterAutospacing="0" w:line="360" w:lineRule="auto"/>
        <w:jc w:val="center"/>
        <w:rPr>
          <w:rFonts w:hint="eastAsia" w:ascii="宋体" w:hAnsi="宋体" w:eastAsia="宋体" w:cs="宋体"/>
          <w:color w:val="auto"/>
          <w:highlight w:val="none"/>
          <w:lang w:eastAsia="zh-CN"/>
        </w:rPr>
      </w:pPr>
      <w:bookmarkStart w:id="35" w:name="_Toc11882"/>
      <w:r>
        <w:rPr>
          <w:rFonts w:hint="eastAsia" w:ascii="宋体" w:hAnsi="宋体" w:eastAsia="宋体" w:cs="宋体"/>
          <w:b/>
          <w:i w:val="0"/>
          <w:color w:val="auto"/>
          <w:kern w:val="0"/>
          <w:sz w:val="32"/>
          <w:szCs w:val="32"/>
          <w:highlight w:val="none"/>
          <w:u w:val="none"/>
          <w:lang w:val="en-US" w:eastAsia="zh-CN" w:bidi="ar"/>
        </w:rPr>
        <w:t>施工项目管理团队人员信息表</w:t>
      </w:r>
      <w:bookmarkEnd w:id="35"/>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989"/>
        <w:gridCol w:w="1990"/>
        <w:gridCol w:w="1992"/>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highlight w:val="none"/>
                <w:vertAlign w:val="baseline"/>
              </w:rPr>
            </w:pPr>
            <w:r>
              <w:rPr>
                <w:rFonts w:hint="eastAsia" w:ascii="宋体" w:hAnsi="宋体" w:eastAsia="宋体" w:cs="宋体"/>
                <w:b/>
                <w:i w:val="0"/>
                <w:color w:val="auto"/>
                <w:kern w:val="0"/>
                <w:sz w:val="24"/>
                <w:szCs w:val="24"/>
                <w:highlight w:val="none"/>
                <w:u w:val="none"/>
                <w:lang w:val="en-US" w:eastAsia="zh-CN" w:bidi="ar"/>
              </w:rPr>
              <w:t>序号</w:t>
            </w:r>
          </w:p>
        </w:tc>
        <w:tc>
          <w:tcPr>
            <w:tcW w:w="999" w:type="pct"/>
            <w:noWrap w:val="0"/>
            <w:vAlign w:val="center"/>
          </w:tcPr>
          <w:p>
            <w:pPr>
              <w:keepNext w:val="0"/>
              <w:keepLines w:val="0"/>
              <w:widowControl/>
              <w:suppressLineNumbers w:val="0"/>
              <w:jc w:val="center"/>
              <w:textAlignment w:val="center"/>
              <w:rPr>
                <w:rFonts w:hint="eastAsia" w:ascii="宋体" w:hAnsi="宋体" w:eastAsia="宋体" w:cs="宋体"/>
                <w:color w:val="auto"/>
                <w:highlight w:val="none"/>
                <w:vertAlign w:val="baseline"/>
              </w:rPr>
            </w:pPr>
            <w:r>
              <w:rPr>
                <w:rFonts w:hint="eastAsia" w:ascii="宋体" w:hAnsi="宋体" w:eastAsia="宋体" w:cs="宋体"/>
                <w:b/>
                <w:i w:val="0"/>
                <w:color w:val="auto"/>
                <w:kern w:val="0"/>
                <w:sz w:val="24"/>
                <w:szCs w:val="24"/>
                <w:highlight w:val="none"/>
                <w:u w:val="none"/>
                <w:lang w:val="en-US" w:eastAsia="zh-CN" w:bidi="ar"/>
              </w:rPr>
              <w:t>姓名</w:t>
            </w:r>
          </w:p>
        </w:tc>
        <w:tc>
          <w:tcPr>
            <w:tcW w:w="999" w:type="pct"/>
            <w:noWrap w:val="0"/>
            <w:vAlign w:val="center"/>
          </w:tcPr>
          <w:p>
            <w:pPr>
              <w:keepNext w:val="0"/>
              <w:keepLines w:val="0"/>
              <w:widowControl/>
              <w:suppressLineNumbers w:val="0"/>
              <w:jc w:val="center"/>
              <w:textAlignment w:val="center"/>
              <w:rPr>
                <w:rFonts w:hint="eastAsia" w:ascii="宋体" w:hAnsi="宋体" w:eastAsia="宋体" w:cs="宋体"/>
                <w:color w:val="auto"/>
                <w:highlight w:val="none"/>
                <w:vertAlign w:val="baseline"/>
              </w:rPr>
            </w:pPr>
            <w:r>
              <w:rPr>
                <w:rFonts w:hint="eastAsia" w:ascii="宋体" w:hAnsi="宋体" w:eastAsia="宋体" w:cs="宋体"/>
                <w:b/>
                <w:i w:val="0"/>
                <w:color w:val="auto"/>
                <w:kern w:val="0"/>
                <w:sz w:val="24"/>
                <w:szCs w:val="24"/>
                <w:highlight w:val="none"/>
                <w:u w:val="none"/>
                <w:lang w:val="en-US" w:eastAsia="zh-CN" w:bidi="ar"/>
              </w:rPr>
              <w:t>岗位</w:t>
            </w:r>
          </w:p>
        </w:tc>
        <w:tc>
          <w:tcPr>
            <w:tcW w:w="1000" w:type="pct"/>
            <w:noWrap w:val="0"/>
            <w:vAlign w:val="center"/>
          </w:tcPr>
          <w:p>
            <w:pPr>
              <w:keepNext w:val="0"/>
              <w:keepLines w:val="0"/>
              <w:widowControl/>
              <w:suppressLineNumbers w:val="0"/>
              <w:jc w:val="center"/>
              <w:textAlignment w:val="center"/>
              <w:rPr>
                <w:rFonts w:hint="eastAsia" w:ascii="宋体" w:hAnsi="宋体" w:eastAsia="宋体" w:cs="宋体"/>
                <w:color w:val="auto"/>
                <w:highlight w:val="none"/>
                <w:vertAlign w:val="baseline"/>
              </w:rPr>
            </w:pPr>
            <w:r>
              <w:rPr>
                <w:rFonts w:hint="eastAsia" w:ascii="宋体" w:hAnsi="宋体" w:eastAsia="宋体" w:cs="宋体"/>
                <w:b/>
                <w:i w:val="0"/>
                <w:color w:val="auto"/>
                <w:kern w:val="0"/>
                <w:sz w:val="24"/>
                <w:szCs w:val="24"/>
                <w:highlight w:val="none"/>
                <w:u w:val="none"/>
                <w:lang w:val="en-US" w:eastAsia="zh-CN" w:bidi="ar"/>
              </w:rPr>
              <w:t>职称</w:t>
            </w:r>
          </w:p>
        </w:tc>
        <w:tc>
          <w:tcPr>
            <w:tcW w:w="1000" w:type="pct"/>
            <w:noWrap w:val="0"/>
            <w:vAlign w:val="center"/>
          </w:tcPr>
          <w:p>
            <w:pPr>
              <w:keepNext w:val="0"/>
              <w:keepLines w:val="0"/>
              <w:widowControl/>
              <w:suppressLineNumbers w:val="0"/>
              <w:jc w:val="center"/>
              <w:textAlignment w:val="center"/>
              <w:rPr>
                <w:rFonts w:hint="eastAsia" w:ascii="宋体" w:hAnsi="宋体" w:eastAsia="宋体" w:cs="宋体"/>
                <w:color w:val="auto"/>
                <w:highlight w:val="none"/>
                <w:vertAlign w:val="baseline"/>
              </w:rPr>
            </w:pPr>
            <w:r>
              <w:rPr>
                <w:rFonts w:hint="eastAsia" w:ascii="宋体" w:hAnsi="宋体" w:eastAsia="宋体" w:cs="宋体"/>
                <w:b/>
                <w:i w:val="0"/>
                <w:color w:val="auto"/>
                <w:kern w:val="0"/>
                <w:sz w:val="24"/>
                <w:szCs w:val="24"/>
                <w:highlight w:val="none"/>
                <w:u w:val="none"/>
                <w:lang w:val="en-US" w:eastAsia="zh-CN" w:bidi="ar"/>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1</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1990" w:type="dxa"/>
            <w:noWrap w:val="0"/>
            <w:vAlign w:val="center"/>
          </w:tcPr>
          <w:p>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color w:val="auto"/>
                <w:szCs w:val="21"/>
                <w:highlight w:val="none"/>
              </w:rPr>
              <w:t>项目负责人</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2</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1990" w:type="dxa"/>
            <w:noWrap w:val="0"/>
            <w:vAlign w:val="center"/>
          </w:tcPr>
          <w:p>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color w:val="auto"/>
                <w:szCs w:val="21"/>
                <w:highlight w:val="none"/>
              </w:rPr>
              <w:t>专职安全员</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3</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1990" w:type="dxa"/>
            <w:noWrap w:val="0"/>
            <w:vAlign w:val="center"/>
          </w:tcPr>
          <w:p>
            <w:pPr>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color w:val="auto"/>
                <w:szCs w:val="21"/>
                <w:highlight w:val="none"/>
              </w:rPr>
              <w:t>技术负责人</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4</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999" w:type="pct"/>
            <w:noWrap w:val="0"/>
            <w:vAlign w:val="center"/>
          </w:tcPr>
          <w:p>
            <w:pPr>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5</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999" w:type="pct"/>
            <w:noWrap w:val="0"/>
            <w:vAlign w:val="center"/>
          </w:tcPr>
          <w:p>
            <w:pPr>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6</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999" w:type="pct"/>
            <w:noWrap w:val="0"/>
            <w:vAlign w:val="center"/>
          </w:tcPr>
          <w:p>
            <w:pPr>
              <w:snapToGrid w:val="0"/>
              <w:ind w:left="-53" w:leftChars="-25" w:right="-53" w:rightChars="-25"/>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w:t>
            </w:r>
          </w:p>
        </w:tc>
        <w:tc>
          <w:tcPr>
            <w:tcW w:w="999" w:type="pct"/>
            <w:noWrap w:val="0"/>
            <w:vAlign w:val="center"/>
          </w:tcPr>
          <w:p>
            <w:pPr>
              <w:jc w:val="center"/>
              <w:rPr>
                <w:rFonts w:hint="eastAsia" w:ascii="宋体" w:hAnsi="宋体" w:eastAsia="宋体" w:cs="宋体"/>
                <w:i w:val="0"/>
                <w:color w:val="auto"/>
                <w:kern w:val="2"/>
                <w:sz w:val="28"/>
                <w:szCs w:val="28"/>
                <w:highlight w:val="none"/>
                <w:u w:val="none"/>
                <w:lang w:val="en-US" w:eastAsia="zh-CN" w:bidi="ar-SA"/>
              </w:rPr>
            </w:pPr>
          </w:p>
        </w:tc>
        <w:tc>
          <w:tcPr>
            <w:tcW w:w="999" w:type="pct"/>
            <w:noWrap w:val="0"/>
            <w:vAlign w:val="center"/>
          </w:tcPr>
          <w:p>
            <w:pPr>
              <w:jc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cs="宋体"/>
                <w:i w:val="0"/>
                <w:color w:val="auto"/>
                <w:kern w:val="2"/>
                <w:sz w:val="28"/>
                <w:szCs w:val="28"/>
                <w:highlight w:val="none"/>
                <w:u w:val="none"/>
                <w:lang w:val="en-US" w:eastAsia="zh-CN" w:bidi="ar-SA"/>
              </w:rPr>
              <w:t>...</w:t>
            </w: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c>
          <w:tcPr>
            <w:tcW w:w="1000" w:type="pct"/>
            <w:noWrap w:val="0"/>
            <w:vAlign w:val="top"/>
          </w:tcPr>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pStyle w:val="8"/>
              <w:pageBreakBefore w:val="0"/>
              <w:kinsoku/>
              <w:wordWrap/>
              <w:overflowPunct/>
              <w:bidi w:val="0"/>
              <w:spacing w:before="0" w:beforeAutospacing="0" w:after="0" w:afterAutospacing="0" w:line="360" w:lineRule="auto"/>
              <w:rPr>
                <w:rFonts w:hint="eastAsia" w:ascii="宋体" w:hAnsi="宋体" w:eastAsia="宋体" w:cs="宋体"/>
                <w:i w:val="0"/>
                <w:color w:val="auto"/>
                <w:kern w:val="0"/>
                <w:sz w:val="24"/>
                <w:szCs w:val="24"/>
                <w:highlight w:val="none"/>
                <w:u w:val="none"/>
                <w:lang w:val="en-US" w:eastAsia="zh-CN" w:bidi="ar"/>
              </w:rPr>
            </w:pPr>
            <w:bookmarkStart w:id="36" w:name="_Toc14976"/>
            <w:r>
              <w:rPr>
                <w:rFonts w:hint="eastAsia" w:ascii="宋体" w:hAnsi="宋体" w:eastAsia="宋体" w:cs="宋体"/>
                <w:i w:val="0"/>
                <w:color w:val="auto"/>
                <w:kern w:val="0"/>
                <w:sz w:val="24"/>
                <w:szCs w:val="24"/>
                <w:highlight w:val="none"/>
                <w:u w:val="none"/>
                <w:lang w:val="en-US" w:eastAsia="zh-CN" w:bidi="ar"/>
              </w:rPr>
              <w:t>备注：</w:t>
            </w:r>
          </w:p>
          <w:p>
            <w:pPr>
              <w:pStyle w:val="8"/>
              <w:pageBreakBefore w:val="0"/>
              <w:numPr>
                <w:ilvl w:val="0"/>
                <w:numId w:val="5"/>
              </w:numPr>
              <w:kinsoku/>
              <w:wordWrap/>
              <w:overflowPunct/>
              <w:bidi w:val="0"/>
              <w:spacing w:before="0" w:beforeAutospacing="0" w:after="0" w:afterAutospacing="0" w:line="360" w:lineRule="auto"/>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“岗位”要求</w:t>
            </w:r>
            <w:r>
              <w:rPr>
                <w:rStyle w:val="118"/>
                <w:rFonts w:hint="eastAsia" w:ascii="宋体" w:hAnsi="宋体" w:eastAsia="宋体" w:cs="宋体"/>
                <w:color w:val="auto"/>
                <w:sz w:val="24"/>
                <w:szCs w:val="24"/>
                <w:highlight w:val="none"/>
                <w:lang w:val="en-US" w:eastAsia="zh-CN" w:bidi="ar"/>
              </w:rPr>
              <w:t>（除项目负责人和专职安全员外）</w:t>
            </w:r>
            <w:r>
              <w:rPr>
                <w:rStyle w:val="118"/>
                <w:rFonts w:hint="eastAsia" w:ascii="宋体" w:hAnsi="宋体" w:eastAsia="宋体" w:cs="宋体"/>
                <w:b w:val="0"/>
                <w:bCs/>
                <w:color w:val="auto"/>
                <w:sz w:val="24"/>
                <w:szCs w:val="24"/>
                <w:highlight w:val="none"/>
                <w:lang w:val="en-US" w:eastAsia="zh-CN" w:bidi="ar"/>
              </w:rPr>
              <w:t>由招标人根据项目管理需要在本表备注中明确提出，如：拟派驻施工现场的指挥长、</w:t>
            </w:r>
            <w:r>
              <w:rPr>
                <w:rFonts w:hint="eastAsia" w:ascii="宋体" w:hAnsi="宋体" w:eastAsia="宋体" w:cs="宋体"/>
                <w:i w:val="0"/>
                <w:color w:val="auto"/>
                <w:kern w:val="0"/>
                <w:sz w:val="24"/>
                <w:szCs w:val="24"/>
                <w:highlight w:val="none"/>
                <w:u w:val="none"/>
                <w:lang w:val="en-US" w:eastAsia="zh-CN" w:bidi="ar"/>
              </w:rPr>
              <w:t>技术负责人、质量负责人、安全负责人、造价负责人、园林绿化负责人</w:t>
            </w:r>
            <w:r>
              <w:rPr>
                <w:rFonts w:hint="eastAsia"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测量负责人、</w:t>
            </w:r>
            <w:r>
              <w:rPr>
                <w:rFonts w:hint="eastAsia" w:cs="宋体"/>
                <w:i w:val="0"/>
                <w:color w:val="auto"/>
                <w:kern w:val="0"/>
                <w:sz w:val="24"/>
                <w:szCs w:val="24"/>
                <w:highlight w:val="none"/>
                <w:u w:val="none"/>
                <w:lang w:val="en-US" w:eastAsia="zh-CN" w:bidi="ar"/>
              </w:rPr>
              <w:t>给排水负责人、</w:t>
            </w:r>
            <w:r>
              <w:rPr>
                <w:rFonts w:hint="eastAsia" w:ascii="宋体" w:hAnsi="宋体" w:eastAsia="宋体" w:cs="宋体"/>
                <w:i w:val="0"/>
                <w:color w:val="auto"/>
                <w:kern w:val="0"/>
                <w:sz w:val="24"/>
                <w:szCs w:val="24"/>
                <w:highlight w:val="none"/>
                <w:u w:val="none"/>
                <w:lang w:val="en-US" w:eastAsia="zh-CN" w:bidi="ar"/>
              </w:rPr>
              <w:t>施工员、质量员、安全员、资料员等。以上项目管理团队人员信息将由交易系统提取后供各相关单位在履约时比对、查核。</w:t>
            </w:r>
          </w:p>
          <w:p>
            <w:pPr>
              <w:pStyle w:val="8"/>
              <w:pageBreakBefore w:val="0"/>
              <w:kinsoku/>
              <w:wordWrap/>
              <w:overflowPunct/>
              <w:bidi w:val="0"/>
              <w:spacing w:before="0" w:beforeAutospacing="0" w:after="0" w:afterAutospacing="0" w:line="360" w:lineRule="auto"/>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vertAlign w:val="baseline"/>
              </w:rPr>
            </w:pPr>
            <w:r>
              <w:rPr>
                <w:rFonts w:hint="eastAsia" w:ascii="宋体" w:hAnsi="宋体" w:eastAsia="宋体" w:cs="宋体"/>
                <w:i w:val="0"/>
                <w:color w:val="auto"/>
                <w:kern w:val="0"/>
                <w:sz w:val="24"/>
                <w:szCs w:val="24"/>
                <w:highlight w:val="none"/>
                <w:u w:val="none"/>
                <w:lang w:val="en-US" w:eastAsia="zh-CN"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bookmarkEnd w:id="36"/>
          </w:p>
        </w:tc>
      </w:tr>
    </w:tbl>
    <w:p>
      <w:pPr>
        <w:pageBreakBefore w:val="0"/>
        <w:kinsoku/>
        <w:wordWrap/>
        <w:overflowPunct/>
        <w:bidi w:val="0"/>
        <w:spacing w:line="360" w:lineRule="auto"/>
        <w:jc w:val="left"/>
        <w:rPr>
          <w:rStyle w:val="119"/>
          <w:rFonts w:hint="eastAsia" w:ascii="宋体" w:hAnsi="宋体" w:eastAsia="宋体" w:cs="宋体"/>
          <w:color w:val="auto"/>
          <w:highlight w:val="none"/>
        </w:rPr>
      </w:pPr>
    </w:p>
    <w:p>
      <w:pPr>
        <w:pageBreakBefore w:val="0"/>
        <w:kinsoku/>
        <w:wordWrap/>
        <w:overflowPunct/>
        <w:bidi w:val="0"/>
        <w:spacing w:line="360" w:lineRule="auto"/>
        <w:jc w:val="left"/>
        <w:rPr>
          <w:rStyle w:val="119"/>
          <w:rFonts w:hint="eastAsia" w:ascii="宋体" w:hAnsi="宋体" w:eastAsia="宋体" w:cs="宋体"/>
          <w:color w:val="auto"/>
          <w:highlight w:val="none"/>
        </w:rPr>
      </w:pPr>
    </w:p>
    <w:p>
      <w:pPr>
        <w:pStyle w:val="8"/>
        <w:pageBreakBefore w:val="0"/>
        <w:kinsoku/>
        <w:wordWrap/>
        <w:overflowPunct/>
        <w:bidi w:val="0"/>
        <w:spacing w:before="0" w:beforeAutospacing="0" w:after="0" w:afterAutospacing="0" w:line="360" w:lineRule="auto"/>
        <w:rPr>
          <w:rFonts w:hint="eastAsia" w:ascii="宋体" w:hAnsi="宋体" w:eastAsia="宋体" w:cs="宋体"/>
          <w:color w:val="auto"/>
          <w:highlight w:val="none"/>
        </w:rPr>
      </w:pPr>
      <w:bookmarkStart w:id="37" w:name="_Toc15506"/>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w:t>
      </w:r>
      <w:bookmarkEnd w:id="37"/>
    </w:p>
    <w:p>
      <w:pPr>
        <w:autoSpaceDE w:val="0"/>
        <w:autoSpaceDN w:val="0"/>
        <w:adjustRightInd w:val="0"/>
        <w:rPr>
          <w:rFonts w:hint="eastAsia" w:ascii="宋体" w:hAnsi="宋体" w:eastAsia="宋体" w:cs="宋体"/>
          <w:color w:val="auto"/>
          <w:szCs w:val="21"/>
          <w:highlight w:val="none"/>
        </w:rPr>
      </w:pPr>
    </w:p>
    <w:p>
      <w:pPr>
        <w:pageBreakBefore w:val="0"/>
        <w:kinsoku/>
        <w:wordWrap/>
        <w:overflowPunct/>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w:t>
      </w:r>
      <w:r>
        <w:rPr>
          <w:rFonts w:hint="eastAsia" w:ascii="宋体" w:hAnsi="宋体" w:eastAsia="宋体" w:cs="宋体"/>
          <w:b/>
          <w:color w:val="auto"/>
          <w:sz w:val="36"/>
          <w:szCs w:val="36"/>
          <w:highlight w:val="none"/>
          <w:u w:val="single"/>
        </w:rPr>
        <w:t>施工组织设计要点</w:t>
      </w:r>
      <w:r>
        <w:rPr>
          <w:rFonts w:hint="eastAsia" w:ascii="宋体" w:hAnsi="宋体" w:eastAsia="宋体" w:cs="宋体"/>
          <w:b/>
          <w:color w:val="auto"/>
          <w:sz w:val="36"/>
          <w:szCs w:val="36"/>
          <w:highlight w:val="none"/>
        </w:rPr>
        <w:t>承诺书</w:t>
      </w:r>
    </w:p>
    <w:p>
      <w:pPr>
        <w:pageBreakBefore w:val="0"/>
        <w:kinsoku/>
        <w:wordWrap/>
        <w:overflowPunct/>
        <w:bidi w:val="0"/>
        <w:spacing w:line="360" w:lineRule="auto"/>
        <w:rPr>
          <w:rFonts w:hint="eastAsia" w:ascii="宋体" w:hAnsi="宋体" w:eastAsia="宋体" w:cs="宋体"/>
          <w:color w:val="auto"/>
          <w:highlight w:val="none"/>
        </w:rPr>
      </w:pPr>
    </w:p>
    <w:p>
      <w:pPr>
        <w:pageBreakBefore w:val="0"/>
        <w:kinsoku/>
        <w:wordWrap/>
        <w:overflowPunct/>
        <w:bidi w:val="0"/>
        <w:spacing w:line="360" w:lineRule="auto"/>
        <w:rPr>
          <w:rFonts w:hint="eastAsia" w:ascii="宋体" w:hAnsi="宋体" w:eastAsia="宋体" w:cs="宋体"/>
          <w:color w:val="auto"/>
          <w:highlight w:val="none"/>
        </w:rPr>
      </w:pPr>
    </w:p>
    <w:p>
      <w:pPr>
        <w:pageBreakBefore w:val="0"/>
        <w:kinsoku/>
        <w:wordWrap/>
        <w:overflowPunct/>
        <w:bidi w:val="0"/>
        <w:spacing w:line="360" w:lineRule="auto"/>
        <w:rPr>
          <w:rFonts w:hint="eastAsia" w:ascii="宋体" w:hAnsi="宋体" w:eastAsia="宋体" w:cs="宋体"/>
          <w:color w:val="auto"/>
          <w:sz w:val="24"/>
          <w:highlight w:val="none"/>
        </w:rPr>
      </w:pPr>
    </w:p>
    <w:p>
      <w:pPr>
        <w:pageBreakBefore w:val="0"/>
        <w:kinsoku/>
        <w:wordWrap/>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rPr>
        <w:t>：</w:t>
      </w:r>
    </w:p>
    <w:p>
      <w:pPr>
        <w:pageBreakBefore w:val="0"/>
        <w:kinsoku/>
        <w:wordWrap/>
        <w:overflowPunct/>
        <w:bidi w:val="0"/>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基础上编制详细的施工组织设计，并报经监理单位和建设单位审批后实施。</w:t>
      </w:r>
    </w:p>
    <w:p>
      <w:pPr>
        <w:pageBreakBefore w:val="0"/>
        <w:kinsoku/>
        <w:wordWrap/>
        <w:overflowPunct/>
        <w:bidi w:val="0"/>
        <w:spacing w:line="360" w:lineRule="auto"/>
        <w:ind w:firstLine="435"/>
        <w:rPr>
          <w:rFonts w:hint="eastAsia" w:ascii="宋体" w:hAnsi="宋体" w:eastAsia="宋体" w:cs="宋体"/>
          <w:color w:val="auto"/>
          <w:sz w:val="24"/>
          <w:highlight w:val="none"/>
        </w:rPr>
      </w:pPr>
    </w:p>
    <w:p>
      <w:pPr>
        <w:pageBreakBefore w:val="0"/>
        <w:kinsoku/>
        <w:wordWrap/>
        <w:overflowPunct/>
        <w:bidi w:val="0"/>
        <w:spacing w:line="360" w:lineRule="auto"/>
        <w:ind w:firstLine="435"/>
        <w:rPr>
          <w:rFonts w:hint="eastAsia" w:ascii="宋体" w:hAnsi="宋体" w:eastAsia="宋体" w:cs="宋体"/>
          <w:color w:val="auto"/>
          <w:sz w:val="24"/>
          <w:highlight w:val="none"/>
        </w:rPr>
      </w:pPr>
    </w:p>
    <w:p>
      <w:pPr>
        <w:pageBreakBefore w:val="0"/>
        <w:kinsoku/>
        <w:wordWrap/>
        <w:overflowPunct/>
        <w:bidi w:val="0"/>
        <w:spacing w:line="360" w:lineRule="auto"/>
        <w:ind w:firstLine="435"/>
        <w:rPr>
          <w:rFonts w:hint="eastAsia" w:ascii="宋体" w:hAnsi="宋体" w:eastAsia="宋体" w:cs="宋体"/>
          <w:color w:val="auto"/>
          <w:sz w:val="24"/>
          <w:highlight w:val="none"/>
        </w:rPr>
      </w:pPr>
    </w:p>
    <w:p>
      <w:pPr>
        <w:pageBreakBefore w:val="0"/>
        <w:kinsoku/>
        <w:wordWrap/>
        <w:overflowPunct/>
        <w:bidi w:val="0"/>
        <w:spacing w:line="360" w:lineRule="auto"/>
        <w:ind w:firstLine="435"/>
        <w:rPr>
          <w:rFonts w:hint="eastAsia" w:ascii="宋体" w:hAnsi="宋体" w:eastAsia="宋体" w:cs="宋体"/>
          <w:color w:val="auto"/>
          <w:sz w:val="24"/>
          <w:highlight w:val="none"/>
        </w:rPr>
      </w:pPr>
    </w:p>
    <w:p>
      <w:pPr>
        <w:pageBreakBefore w:val="0"/>
        <w:kinsoku/>
        <w:wordWrap/>
        <w:overflowPunct/>
        <w:bidi w:val="0"/>
        <w:spacing w:line="360" w:lineRule="auto"/>
        <w:ind w:firstLine="435"/>
        <w:rPr>
          <w:rFonts w:hint="eastAsia" w:ascii="宋体" w:hAnsi="宋体" w:eastAsia="宋体" w:cs="宋体"/>
          <w:color w:val="auto"/>
          <w:sz w:val="24"/>
          <w:highlight w:val="none"/>
        </w:rPr>
      </w:pPr>
    </w:p>
    <w:p>
      <w:pPr>
        <w:pageBreakBefore w:val="0"/>
        <w:kinsoku/>
        <w:wordWrap/>
        <w:overflowPunct/>
        <w:bidi w:val="0"/>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投标人名称（盖法人公章）：</w:t>
      </w:r>
      <w:r>
        <w:rPr>
          <w:rFonts w:hint="eastAsia" w:ascii="宋体" w:hAnsi="宋体" w:eastAsia="宋体" w:cs="宋体"/>
          <w:color w:val="auto"/>
          <w:sz w:val="24"/>
          <w:highlight w:val="none"/>
          <w:u w:val="single"/>
        </w:rPr>
        <w:t xml:space="preserve">                   </w:t>
      </w:r>
    </w:p>
    <w:p>
      <w:pPr>
        <w:pageBreakBefore w:val="0"/>
        <w:kinsoku/>
        <w:wordWrap/>
        <w:overflowPunct/>
        <w:bidi w:val="0"/>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法定代表人或被授权人（签字或盖章）：</w:t>
      </w:r>
      <w:r>
        <w:rPr>
          <w:rFonts w:hint="eastAsia" w:ascii="宋体" w:hAnsi="宋体" w:eastAsia="宋体" w:cs="宋体"/>
          <w:color w:val="auto"/>
          <w:sz w:val="24"/>
          <w:highlight w:val="none"/>
          <w:u w:val="single"/>
        </w:rPr>
        <w:t xml:space="preserve">         </w:t>
      </w:r>
    </w:p>
    <w:p>
      <w:pPr>
        <w:pageBreakBefore w:val="0"/>
        <w:kinsoku/>
        <w:wordWrap/>
        <w:overflowPunct/>
        <w:bidi w:val="0"/>
        <w:spacing w:line="360" w:lineRule="auto"/>
        <w:ind w:firstLine="4440" w:firstLineChars="18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ageBreakBefore w:val="0"/>
        <w:tabs>
          <w:tab w:val="left" w:pos="720"/>
        </w:tabs>
        <w:kinsoku/>
        <w:wordWrap/>
        <w:overflowPunct/>
        <w:bidi w:val="0"/>
        <w:snapToGrid w:val="0"/>
        <w:spacing w:line="360" w:lineRule="auto"/>
        <w:jc w:val="center"/>
        <w:rPr>
          <w:rStyle w:val="119"/>
          <w:rFonts w:hint="eastAsia" w:ascii="宋体" w:hAnsi="宋体" w:eastAsia="宋体" w:cs="宋体"/>
          <w:color w:val="auto"/>
          <w:highlight w:val="none"/>
        </w:rPr>
      </w:pPr>
    </w:p>
    <w:p>
      <w:pPr>
        <w:pageBreakBefore w:val="0"/>
        <w:tabs>
          <w:tab w:val="left" w:pos="720"/>
        </w:tabs>
        <w:kinsoku/>
        <w:wordWrap/>
        <w:overflowPunct/>
        <w:bidi w:val="0"/>
        <w:snapToGrid w:val="0"/>
        <w:spacing w:line="360" w:lineRule="auto"/>
        <w:jc w:val="center"/>
        <w:rPr>
          <w:rStyle w:val="119"/>
          <w:rFonts w:hint="eastAsia" w:ascii="宋体" w:hAnsi="宋体" w:eastAsia="宋体" w:cs="宋体"/>
          <w:color w:val="auto"/>
          <w:highlight w:val="none"/>
        </w:rPr>
      </w:pPr>
    </w:p>
    <w:p>
      <w:pPr>
        <w:pageBreakBefore w:val="0"/>
        <w:tabs>
          <w:tab w:val="left" w:pos="720"/>
        </w:tabs>
        <w:kinsoku/>
        <w:wordWrap/>
        <w:overflowPunct/>
        <w:bidi w:val="0"/>
        <w:snapToGrid w:val="0"/>
        <w:spacing w:line="360" w:lineRule="auto"/>
        <w:jc w:val="center"/>
        <w:rPr>
          <w:rStyle w:val="119"/>
          <w:rFonts w:hint="eastAsia" w:ascii="宋体" w:hAnsi="宋体" w:eastAsia="宋体" w:cs="宋体"/>
          <w:color w:val="auto"/>
          <w:highlight w:val="none"/>
        </w:rPr>
      </w:pPr>
    </w:p>
    <w:p>
      <w:pPr>
        <w:autoSpaceDE w:val="0"/>
        <w:autoSpaceDN w:val="0"/>
        <w:adjustRightInd w:val="0"/>
        <w:rPr>
          <w:rFonts w:hint="eastAsia" w:ascii="宋体" w:hAnsi="宋体" w:eastAsia="宋体" w:cs="宋体"/>
          <w:color w:val="auto"/>
          <w:szCs w:val="21"/>
          <w:highlight w:val="none"/>
        </w:rPr>
      </w:pPr>
      <w:r>
        <w:rPr>
          <w:rStyle w:val="119"/>
          <w:rFonts w:hint="eastAsia" w:ascii="宋体" w:hAnsi="宋体" w:eastAsia="宋体" w:cs="宋体"/>
          <w:color w:val="auto"/>
          <w:highlight w:val="none"/>
        </w:rPr>
        <w:br w:type="page"/>
      </w:r>
    </w:p>
    <w:p>
      <w:pPr>
        <w:autoSpaceDE w:val="0"/>
        <w:autoSpaceDN w:val="0"/>
        <w:adjustRightInd w:val="0"/>
        <w:rPr>
          <w:rFonts w:hint="eastAsia" w:ascii="宋体" w:hAnsi="宋体" w:eastAsia="宋体" w:cs="宋体"/>
          <w:color w:val="auto"/>
          <w:szCs w:val="21"/>
          <w:highlight w:val="none"/>
        </w:rPr>
      </w:pPr>
    </w:p>
    <w:p>
      <w:pPr>
        <w:pStyle w:val="113"/>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w:t>
      </w:r>
    </w:p>
    <w:p>
      <w:pPr>
        <w:pStyle w:val="113"/>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类似工程业绩表</w:t>
      </w:r>
    </w:p>
    <w:tbl>
      <w:tblPr>
        <w:tblStyle w:val="35"/>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65"/>
        <w:gridCol w:w="1783"/>
        <w:gridCol w:w="1392"/>
        <w:gridCol w:w="1208"/>
        <w:gridCol w:w="1620"/>
        <w:gridCol w:w="11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65"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783"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92"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1208"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开工时间</w:t>
            </w:r>
          </w:p>
        </w:tc>
        <w:tc>
          <w:tcPr>
            <w:tcW w:w="1620" w:type="dxa"/>
            <w:noWrap w:val="0"/>
            <w:vAlign w:val="top"/>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（单位/万元）</w:t>
            </w:r>
          </w:p>
        </w:tc>
        <w:tc>
          <w:tcPr>
            <w:tcW w:w="1134"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完成时间</w:t>
            </w:r>
          </w:p>
        </w:tc>
        <w:tc>
          <w:tcPr>
            <w:tcW w:w="934" w:type="dxa"/>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p>
        </w:tc>
        <w:tc>
          <w:tcPr>
            <w:tcW w:w="1265" w:type="dxa"/>
            <w:noWrap w:val="0"/>
            <w:vAlign w:val="center"/>
          </w:tcPr>
          <w:p>
            <w:pPr>
              <w:spacing w:line="400" w:lineRule="exact"/>
              <w:jc w:val="center"/>
              <w:rPr>
                <w:rFonts w:hint="eastAsia" w:ascii="宋体" w:hAnsi="宋体" w:eastAsia="宋体" w:cs="宋体"/>
                <w:color w:val="auto"/>
                <w:szCs w:val="21"/>
                <w:highlight w:val="none"/>
              </w:rPr>
            </w:pPr>
          </w:p>
        </w:tc>
        <w:tc>
          <w:tcPr>
            <w:tcW w:w="1783" w:type="dxa"/>
            <w:noWrap w:val="0"/>
            <w:vAlign w:val="top"/>
          </w:tcPr>
          <w:p>
            <w:pPr>
              <w:spacing w:line="400" w:lineRule="exact"/>
              <w:jc w:val="center"/>
              <w:rPr>
                <w:rFonts w:hint="eastAsia" w:ascii="宋体" w:hAnsi="宋体" w:eastAsia="宋体" w:cs="宋体"/>
                <w:color w:val="auto"/>
                <w:szCs w:val="21"/>
                <w:highlight w:val="none"/>
              </w:rPr>
            </w:pPr>
          </w:p>
        </w:tc>
        <w:tc>
          <w:tcPr>
            <w:tcW w:w="1392" w:type="dxa"/>
            <w:noWrap w:val="0"/>
            <w:vAlign w:val="center"/>
          </w:tcPr>
          <w:p>
            <w:pPr>
              <w:spacing w:line="400" w:lineRule="exact"/>
              <w:jc w:val="center"/>
              <w:rPr>
                <w:rFonts w:hint="eastAsia" w:ascii="宋体" w:hAnsi="宋体" w:eastAsia="宋体" w:cs="宋体"/>
                <w:color w:val="auto"/>
                <w:szCs w:val="21"/>
                <w:highlight w:val="none"/>
              </w:rPr>
            </w:pPr>
          </w:p>
        </w:tc>
        <w:tc>
          <w:tcPr>
            <w:tcW w:w="1208" w:type="dxa"/>
            <w:noWrap w:val="0"/>
            <w:vAlign w:val="center"/>
          </w:tcPr>
          <w:p>
            <w:pPr>
              <w:spacing w:line="400" w:lineRule="exact"/>
              <w:jc w:val="center"/>
              <w:rPr>
                <w:rFonts w:hint="eastAsia" w:ascii="宋体" w:hAnsi="宋体" w:eastAsia="宋体" w:cs="宋体"/>
                <w:color w:val="auto"/>
                <w:szCs w:val="21"/>
                <w:highlight w:val="none"/>
              </w:rPr>
            </w:pPr>
          </w:p>
        </w:tc>
        <w:tc>
          <w:tcPr>
            <w:tcW w:w="1620" w:type="dxa"/>
            <w:noWrap w:val="0"/>
            <w:vAlign w:val="top"/>
          </w:tcPr>
          <w:p>
            <w:pPr>
              <w:spacing w:line="400" w:lineRule="exact"/>
              <w:jc w:val="center"/>
              <w:rPr>
                <w:rFonts w:hint="eastAsia" w:ascii="宋体" w:hAnsi="宋体" w:eastAsia="宋体" w:cs="宋体"/>
                <w:color w:val="auto"/>
                <w:szCs w:val="21"/>
                <w:highlight w:val="none"/>
              </w:rPr>
            </w:pPr>
          </w:p>
        </w:tc>
        <w:tc>
          <w:tcPr>
            <w:tcW w:w="1134" w:type="dxa"/>
            <w:noWrap w:val="0"/>
            <w:vAlign w:val="center"/>
          </w:tcPr>
          <w:p>
            <w:pPr>
              <w:spacing w:line="400" w:lineRule="exact"/>
              <w:jc w:val="center"/>
              <w:rPr>
                <w:rFonts w:hint="eastAsia" w:ascii="宋体" w:hAnsi="宋体" w:eastAsia="宋体" w:cs="宋体"/>
                <w:color w:val="auto"/>
                <w:szCs w:val="21"/>
                <w:highlight w:val="none"/>
              </w:rPr>
            </w:pPr>
          </w:p>
        </w:tc>
        <w:tc>
          <w:tcPr>
            <w:tcW w:w="934" w:type="dxa"/>
            <w:noWrap w:val="0"/>
            <w:vAlign w:val="top"/>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p>
        </w:tc>
        <w:tc>
          <w:tcPr>
            <w:tcW w:w="1265" w:type="dxa"/>
            <w:noWrap w:val="0"/>
            <w:vAlign w:val="center"/>
          </w:tcPr>
          <w:p>
            <w:pPr>
              <w:spacing w:line="400" w:lineRule="exact"/>
              <w:jc w:val="center"/>
              <w:rPr>
                <w:rFonts w:hint="eastAsia" w:ascii="宋体" w:hAnsi="宋体" w:eastAsia="宋体" w:cs="宋体"/>
                <w:color w:val="auto"/>
                <w:szCs w:val="21"/>
                <w:highlight w:val="none"/>
              </w:rPr>
            </w:pPr>
          </w:p>
        </w:tc>
        <w:tc>
          <w:tcPr>
            <w:tcW w:w="1783" w:type="dxa"/>
            <w:noWrap w:val="0"/>
            <w:vAlign w:val="top"/>
          </w:tcPr>
          <w:p>
            <w:pPr>
              <w:spacing w:line="400" w:lineRule="exact"/>
              <w:jc w:val="center"/>
              <w:rPr>
                <w:rFonts w:hint="eastAsia" w:ascii="宋体" w:hAnsi="宋体" w:eastAsia="宋体" w:cs="宋体"/>
                <w:color w:val="auto"/>
                <w:szCs w:val="21"/>
                <w:highlight w:val="none"/>
              </w:rPr>
            </w:pPr>
          </w:p>
        </w:tc>
        <w:tc>
          <w:tcPr>
            <w:tcW w:w="1392" w:type="dxa"/>
            <w:noWrap w:val="0"/>
            <w:vAlign w:val="center"/>
          </w:tcPr>
          <w:p>
            <w:pPr>
              <w:spacing w:line="400" w:lineRule="exact"/>
              <w:jc w:val="center"/>
              <w:rPr>
                <w:rFonts w:hint="eastAsia" w:ascii="宋体" w:hAnsi="宋体" w:eastAsia="宋体" w:cs="宋体"/>
                <w:color w:val="auto"/>
                <w:szCs w:val="21"/>
                <w:highlight w:val="none"/>
              </w:rPr>
            </w:pPr>
          </w:p>
        </w:tc>
        <w:tc>
          <w:tcPr>
            <w:tcW w:w="1208" w:type="dxa"/>
            <w:noWrap w:val="0"/>
            <w:vAlign w:val="center"/>
          </w:tcPr>
          <w:p>
            <w:pPr>
              <w:spacing w:line="400" w:lineRule="exact"/>
              <w:jc w:val="center"/>
              <w:rPr>
                <w:rFonts w:hint="eastAsia" w:ascii="宋体" w:hAnsi="宋体" w:eastAsia="宋体" w:cs="宋体"/>
                <w:color w:val="auto"/>
                <w:szCs w:val="21"/>
                <w:highlight w:val="none"/>
              </w:rPr>
            </w:pPr>
          </w:p>
        </w:tc>
        <w:tc>
          <w:tcPr>
            <w:tcW w:w="1620" w:type="dxa"/>
            <w:noWrap w:val="0"/>
            <w:vAlign w:val="top"/>
          </w:tcPr>
          <w:p>
            <w:pPr>
              <w:spacing w:line="400" w:lineRule="exact"/>
              <w:jc w:val="center"/>
              <w:rPr>
                <w:rFonts w:hint="eastAsia" w:ascii="宋体" w:hAnsi="宋体" w:eastAsia="宋体" w:cs="宋体"/>
                <w:color w:val="auto"/>
                <w:szCs w:val="21"/>
                <w:highlight w:val="none"/>
              </w:rPr>
            </w:pPr>
          </w:p>
        </w:tc>
        <w:tc>
          <w:tcPr>
            <w:tcW w:w="1134" w:type="dxa"/>
            <w:noWrap w:val="0"/>
            <w:vAlign w:val="center"/>
          </w:tcPr>
          <w:p>
            <w:pPr>
              <w:spacing w:line="400" w:lineRule="exact"/>
              <w:jc w:val="center"/>
              <w:rPr>
                <w:rFonts w:hint="eastAsia" w:ascii="宋体" w:hAnsi="宋体" w:eastAsia="宋体" w:cs="宋体"/>
                <w:color w:val="auto"/>
                <w:szCs w:val="21"/>
                <w:highlight w:val="none"/>
              </w:rPr>
            </w:pPr>
          </w:p>
        </w:tc>
        <w:tc>
          <w:tcPr>
            <w:tcW w:w="934" w:type="dxa"/>
            <w:noWrap w:val="0"/>
            <w:vAlign w:val="top"/>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p>
        </w:tc>
        <w:tc>
          <w:tcPr>
            <w:tcW w:w="1265" w:type="dxa"/>
            <w:noWrap w:val="0"/>
            <w:vAlign w:val="center"/>
          </w:tcPr>
          <w:p>
            <w:pPr>
              <w:spacing w:line="400" w:lineRule="exact"/>
              <w:jc w:val="center"/>
              <w:rPr>
                <w:rFonts w:hint="eastAsia" w:ascii="宋体" w:hAnsi="宋体" w:eastAsia="宋体" w:cs="宋体"/>
                <w:color w:val="auto"/>
                <w:szCs w:val="21"/>
                <w:highlight w:val="none"/>
              </w:rPr>
            </w:pPr>
          </w:p>
        </w:tc>
        <w:tc>
          <w:tcPr>
            <w:tcW w:w="1783" w:type="dxa"/>
            <w:noWrap w:val="0"/>
            <w:vAlign w:val="top"/>
          </w:tcPr>
          <w:p>
            <w:pPr>
              <w:spacing w:line="400" w:lineRule="exact"/>
              <w:jc w:val="center"/>
              <w:rPr>
                <w:rFonts w:hint="eastAsia" w:ascii="宋体" w:hAnsi="宋体" w:eastAsia="宋体" w:cs="宋体"/>
                <w:color w:val="auto"/>
                <w:szCs w:val="21"/>
                <w:highlight w:val="none"/>
              </w:rPr>
            </w:pPr>
          </w:p>
        </w:tc>
        <w:tc>
          <w:tcPr>
            <w:tcW w:w="1392" w:type="dxa"/>
            <w:noWrap w:val="0"/>
            <w:vAlign w:val="center"/>
          </w:tcPr>
          <w:p>
            <w:pPr>
              <w:spacing w:line="400" w:lineRule="exact"/>
              <w:jc w:val="center"/>
              <w:rPr>
                <w:rFonts w:hint="eastAsia" w:ascii="宋体" w:hAnsi="宋体" w:eastAsia="宋体" w:cs="宋体"/>
                <w:color w:val="auto"/>
                <w:szCs w:val="21"/>
                <w:highlight w:val="none"/>
              </w:rPr>
            </w:pPr>
          </w:p>
        </w:tc>
        <w:tc>
          <w:tcPr>
            <w:tcW w:w="1208" w:type="dxa"/>
            <w:noWrap w:val="0"/>
            <w:vAlign w:val="center"/>
          </w:tcPr>
          <w:p>
            <w:pPr>
              <w:spacing w:line="400" w:lineRule="exact"/>
              <w:jc w:val="center"/>
              <w:rPr>
                <w:rFonts w:hint="eastAsia" w:ascii="宋体" w:hAnsi="宋体" w:eastAsia="宋体" w:cs="宋体"/>
                <w:color w:val="auto"/>
                <w:szCs w:val="21"/>
                <w:highlight w:val="none"/>
              </w:rPr>
            </w:pPr>
          </w:p>
        </w:tc>
        <w:tc>
          <w:tcPr>
            <w:tcW w:w="1620" w:type="dxa"/>
            <w:noWrap w:val="0"/>
            <w:vAlign w:val="top"/>
          </w:tcPr>
          <w:p>
            <w:pPr>
              <w:spacing w:line="400" w:lineRule="exact"/>
              <w:jc w:val="center"/>
              <w:rPr>
                <w:rFonts w:hint="eastAsia" w:ascii="宋体" w:hAnsi="宋体" w:eastAsia="宋体" w:cs="宋体"/>
                <w:color w:val="auto"/>
                <w:szCs w:val="21"/>
                <w:highlight w:val="none"/>
              </w:rPr>
            </w:pPr>
          </w:p>
        </w:tc>
        <w:tc>
          <w:tcPr>
            <w:tcW w:w="1134" w:type="dxa"/>
            <w:noWrap w:val="0"/>
            <w:vAlign w:val="center"/>
          </w:tcPr>
          <w:p>
            <w:pPr>
              <w:spacing w:line="400" w:lineRule="exact"/>
              <w:jc w:val="center"/>
              <w:rPr>
                <w:rFonts w:hint="eastAsia" w:ascii="宋体" w:hAnsi="宋体" w:eastAsia="宋体" w:cs="宋体"/>
                <w:color w:val="auto"/>
                <w:szCs w:val="21"/>
                <w:highlight w:val="none"/>
              </w:rPr>
            </w:pPr>
          </w:p>
        </w:tc>
        <w:tc>
          <w:tcPr>
            <w:tcW w:w="934" w:type="dxa"/>
            <w:noWrap w:val="0"/>
            <w:vAlign w:val="top"/>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p>
        </w:tc>
        <w:tc>
          <w:tcPr>
            <w:tcW w:w="1265" w:type="dxa"/>
            <w:noWrap w:val="0"/>
            <w:vAlign w:val="center"/>
          </w:tcPr>
          <w:p>
            <w:pPr>
              <w:spacing w:line="400" w:lineRule="exact"/>
              <w:jc w:val="center"/>
              <w:rPr>
                <w:rFonts w:hint="eastAsia" w:ascii="宋体" w:hAnsi="宋体" w:eastAsia="宋体" w:cs="宋体"/>
                <w:color w:val="auto"/>
                <w:szCs w:val="21"/>
                <w:highlight w:val="none"/>
              </w:rPr>
            </w:pPr>
          </w:p>
        </w:tc>
        <w:tc>
          <w:tcPr>
            <w:tcW w:w="1783" w:type="dxa"/>
            <w:noWrap w:val="0"/>
            <w:vAlign w:val="top"/>
          </w:tcPr>
          <w:p>
            <w:pPr>
              <w:spacing w:line="400" w:lineRule="exact"/>
              <w:jc w:val="center"/>
              <w:rPr>
                <w:rFonts w:hint="eastAsia" w:ascii="宋体" w:hAnsi="宋体" w:eastAsia="宋体" w:cs="宋体"/>
                <w:color w:val="auto"/>
                <w:szCs w:val="21"/>
                <w:highlight w:val="none"/>
              </w:rPr>
            </w:pPr>
          </w:p>
        </w:tc>
        <w:tc>
          <w:tcPr>
            <w:tcW w:w="1392" w:type="dxa"/>
            <w:noWrap w:val="0"/>
            <w:vAlign w:val="center"/>
          </w:tcPr>
          <w:p>
            <w:pPr>
              <w:spacing w:line="400" w:lineRule="exact"/>
              <w:jc w:val="center"/>
              <w:rPr>
                <w:rFonts w:hint="eastAsia" w:ascii="宋体" w:hAnsi="宋体" w:eastAsia="宋体" w:cs="宋体"/>
                <w:color w:val="auto"/>
                <w:szCs w:val="21"/>
                <w:highlight w:val="none"/>
              </w:rPr>
            </w:pPr>
          </w:p>
        </w:tc>
        <w:tc>
          <w:tcPr>
            <w:tcW w:w="1208" w:type="dxa"/>
            <w:noWrap w:val="0"/>
            <w:vAlign w:val="center"/>
          </w:tcPr>
          <w:p>
            <w:pPr>
              <w:spacing w:line="400" w:lineRule="exact"/>
              <w:jc w:val="center"/>
              <w:rPr>
                <w:rFonts w:hint="eastAsia" w:ascii="宋体" w:hAnsi="宋体" w:eastAsia="宋体" w:cs="宋体"/>
                <w:color w:val="auto"/>
                <w:szCs w:val="21"/>
                <w:highlight w:val="none"/>
              </w:rPr>
            </w:pPr>
          </w:p>
        </w:tc>
        <w:tc>
          <w:tcPr>
            <w:tcW w:w="1620" w:type="dxa"/>
            <w:noWrap w:val="0"/>
            <w:vAlign w:val="top"/>
          </w:tcPr>
          <w:p>
            <w:pPr>
              <w:spacing w:line="400" w:lineRule="exact"/>
              <w:jc w:val="center"/>
              <w:rPr>
                <w:rFonts w:hint="eastAsia" w:ascii="宋体" w:hAnsi="宋体" w:eastAsia="宋体" w:cs="宋体"/>
                <w:color w:val="auto"/>
                <w:szCs w:val="21"/>
                <w:highlight w:val="none"/>
              </w:rPr>
            </w:pPr>
          </w:p>
        </w:tc>
        <w:tc>
          <w:tcPr>
            <w:tcW w:w="1134" w:type="dxa"/>
            <w:noWrap w:val="0"/>
            <w:vAlign w:val="center"/>
          </w:tcPr>
          <w:p>
            <w:pPr>
              <w:spacing w:line="400" w:lineRule="exact"/>
              <w:jc w:val="center"/>
              <w:rPr>
                <w:rFonts w:hint="eastAsia" w:ascii="宋体" w:hAnsi="宋体" w:eastAsia="宋体" w:cs="宋体"/>
                <w:color w:val="auto"/>
                <w:szCs w:val="21"/>
                <w:highlight w:val="none"/>
              </w:rPr>
            </w:pPr>
          </w:p>
        </w:tc>
        <w:tc>
          <w:tcPr>
            <w:tcW w:w="934" w:type="dxa"/>
            <w:noWrap w:val="0"/>
            <w:vAlign w:val="top"/>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46" w:type="dxa"/>
            <w:noWrap w:val="0"/>
            <w:vAlign w:val="center"/>
          </w:tcPr>
          <w:p>
            <w:pPr>
              <w:spacing w:line="400" w:lineRule="exact"/>
              <w:jc w:val="center"/>
              <w:rPr>
                <w:rFonts w:hint="eastAsia" w:ascii="宋体" w:hAnsi="宋体" w:eastAsia="宋体" w:cs="宋体"/>
                <w:color w:val="auto"/>
                <w:szCs w:val="21"/>
                <w:highlight w:val="none"/>
              </w:rPr>
            </w:pPr>
          </w:p>
        </w:tc>
        <w:tc>
          <w:tcPr>
            <w:tcW w:w="1265" w:type="dxa"/>
            <w:noWrap w:val="0"/>
            <w:vAlign w:val="center"/>
          </w:tcPr>
          <w:p>
            <w:pPr>
              <w:spacing w:line="400" w:lineRule="exact"/>
              <w:jc w:val="center"/>
              <w:rPr>
                <w:rFonts w:hint="eastAsia" w:ascii="宋体" w:hAnsi="宋体" w:eastAsia="宋体" w:cs="宋体"/>
                <w:color w:val="auto"/>
                <w:szCs w:val="21"/>
                <w:highlight w:val="none"/>
              </w:rPr>
            </w:pPr>
          </w:p>
        </w:tc>
        <w:tc>
          <w:tcPr>
            <w:tcW w:w="1783" w:type="dxa"/>
            <w:noWrap w:val="0"/>
            <w:vAlign w:val="top"/>
          </w:tcPr>
          <w:p>
            <w:pPr>
              <w:spacing w:line="400" w:lineRule="exact"/>
              <w:jc w:val="center"/>
              <w:rPr>
                <w:rFonts w:hint="eastAsia" w:ascii="宋体" w:hAnsi="宋体" w:eastAsia="宋体" w:cs="宋体"/>
                <w:color w:val="auto"/>
                <w:szCs w:val="21"/>
                <w:highlight w:val="none"/>
              </w:rPr>
            </w:pPr>
          </w:p>
        </w:tc>
        <w:tc>
          <w:tcPr>
            <w:tcW w:w="1392" w:type="dxa"/>
            <w:noWrap w:val="0"/>
            <w:vAlign w:val="center"/>
          </w:tcPr>
          <w:p>
            <w:pPr>
              <w:spacing w:line="400" w:lineRule="exact"/>
              <w:jc w:val="center"/>
              <w:rPr>
                <w:rFonts w:hint="eastAsia" w:ascii="宋体" w:hAnsi="宋体" w:eastAsia="宋体" w:cs="宋体"/>
                <w:color w:val="auto"/>
                <w:szCs w:val="21"/>
                <w:highlight w:val="none"/>
              </w:rPr>
            </w:pPr>
          </w:p>
        </w:tc>
        <w:tc>
          <w:tcPr>
            <w:tcW w:w="1208" w:type="dxa"/>
            <w:noWrap w:val="0"/>
            <w:vAlign w:val="center"/>
          </w:tcPr>
          <w:p>
            <w:pPr>
              <w:spacing w:line="400" w:lineRule="exact"/>
              <w:jc w:val="center"/>
              <w:rPr>
                <w:rFonts w:hint="eastAsia" w:ascii="宋体" w:hAnsi="宋体" w:eastAsia="宋体" w:cs="宋体"/>
                <w:color w:val="auto"/>
                <w:szCs w:val="21"/>
                <w:highlight w:val="none"/>
              </w:rPr>
            </w:pPr>
          </w:p>
        </w:tc>
        <w:tc>
          <w:tcPr>
            <w:tcW w:w="1620" w:type="dxa"/>
            <w:noWrap w:val="0"/>
            <w:vAlign w:val="top"/>
          </w:tcPr>
          <w:p>
            <w:pPr>
              <w:spacing w:line="400" w:lineRule="exact"/>
              <w:jc w:val="center"/>
              <w:rPr>
                <w:rFonts w:hint="eastAsia" w:ascii="宋体" w:hAnsi="宋体" w:eastAsia="宋体" w:cs="宋体"/>
                <w:color w:val="auto"/>
                <w:szCs w:val="21"/>
                <w:highlight w:val="none"/>
              </w:rPr>
            </w:pPr>
          </w:p>
        </w:tc>
        <w:tc>
          <w:tcPr>
            <w:tcW w:w="1134" w:type="dxa"/>
            <w:noWrap w:val="0"/>
            <w:vAlign w:val="center"/>
          </w:tcPr>
          <w:p>
            <w:pPr>
              <w:spacing w:line="400" w:lineRule="exact"/>
              <w:jc w:val="center"/>
              <w:rPr>
                <w:rFonts w:hint="eastAsia" w:ascii="宋体" w:hAnsi="宋体" w:eastAsia="宋体" w:cs="宋体"/>
                <w:color w:val="auto"/>
                <w:szCs w:val="21"/>
                <w:highlight w:val="none"/>
              </w:rPr>
            </w:pPr>
          </w:p>
        </w:tc>
        <w:tc>
          <w:tcPr>
            <w:tcW w:w="934" w:type="dxa"/>
            <w:noWrap w:val="0"/>
            <w:vAlign w:val="top"/>
          </w:tcPr>
          <w:p>
            <w:pPr>
              <w:spacing w:line="400" w:lineRule="exact"/>
              <w:jc w:val="center"/>
              <w:rPr>
                <w:rFonts w:hint="eastAsia" w:ascii="宋体" w:hAnsi="宋体" w:eastAsia="宋体" w:cs="宋体"/>
                <w:color w:val="auto"/>
                <w:szCs w:val="21"/>
                <w:highlight w:val="none"/>
              </w:rPr>
            </w:pPr>
          </w:p>
        </w:tc>
      </w:tr>
    </w:tbl>
    <w:p>
      <w:pPr>
        <w:spacing w:line="360" w:lineRule="auto"/>
        <w:jc w:val="center"/>
        <w:rPr>
          <w:rFonts w:hint="eastAsia" w:ascii="宋体" w:hAnsi="宋体" w:eastAsia="宋体" w:cs="宋体"/>
          <w:color w:val="auto"/>
          <w:sz w:val="24"/>
          <w:highlight w:val="none"/>
        </w:rPr>
      </w:pPr>
    </w:p>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p>
    <w:p>
      <w:pPr>
        <w:pStyle w:val="2"/>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业绩取自广州市住建行业信用管理平台</w:t>
      </w:r>
      <w:r>
        <w:rPr>
          <w:rFonts w:hint="eastAsia" w:ascii="宋体" w:hAnsi="宋体" w:cs="宋体"/>
          <w:color w:val="auto"/>
          <w:sz w:val="22"/>
          <w:szCs w:val="22"/>
          <w:highlight w:val="none"/>
          <w:lang w:val="en-US" w:eastAsia="zh-CN"/>
        </w:rPr>
        <w:t>或</w:t>
      </w:r>
      <w:r>
        <w:rPr>
          <w:rFonts w:hint="eastAsia" w:ascii="宋体" w:hAnsi="宋体"/>
          <w:color w:val="auto"/>
          <w:sz w:val="22"/>
          <w:szCs w:val="21"/>
          <w:highlight w:val="none"/>
        </w:rPr>
        <w:t>在投标文件中提供相应</w:t>
      </w:r>
      <w:r>
        <w:rPr>
          <w:rFonts w:hint="eastAsia" w:ascii="宋体" w:hAnsi="宋体"/>
          <w:color w:val="auto"/>
          <w:sz w:val="22"/>
          <w:szCs w:val="21"/>
          <w:highlight w:val="none"/>
          <w:lang w:val="en-US" w:eastAsia="zh-CN"/>
        </w:rPr>
        <w:t>证明材料</w:t>
      </w:r>
      <w:r>
        <w:rPr>
          <w:rFonts w:hint="eastAsia" w:ascii="宋体" w:hAnsi="宋体"/>
          <w:color w:val="auto"/>
          <w:sz w:val="22"/>
          <w:szCs w:val="21"/>
          <w:highlight w:val="none"/>
        </w:rPr>
        <w:t>的清晰扫描件</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业绩取自广州市住建行业信用管理平台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业绩金额以中标通知书为准，中标通知书上没有金额或免招标的，以施工合同（不含补充合同）为准；完成时间以竣工验收文件为准。竣工验收文件应具有建设单位、设计、施工和监理单位的盖章；平台业绩上传件不符合上述要求的或登记的工程资质内容与施工合同等业绩证明资料不相符的，该项业绩不予认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在投标文件中提供</w:t>
      </w:r>
      <w:r>
        <w:rPr>
          <w:rFonts w:hint="eastAsia" w:ascii="宋体" w:hAnsi="宋体" w:eastAsia="宋体" w:cs="宋体"/>
          <w:color w:val="auto"/>
          <w:sz w:val="22"/>
          <w:szCs w:val="22"/>
          <w:highlight w:val="none"/>
          <w:lang w:val="en-US" w:eastAsia="zh-CN"/>
        </w:rPr>
        <w:t>证明材料的须提供清晰的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中标通知书（</w:t>
      </w:r>
      <w:r>
        <w:rPr>
          <w:rFonts w:hint="eastAsia" w:ascii="宋体" w:hAnsi="宋体" w:eastAsia="宋体" w:cs="宋体"/>
          <w:color w:val="auto"/>
          <w:sz w:val="22"/>
          <w:szCs w:val="22"/>
          <w:highlight w:val="none"/>
          <w:lang w:val="en-US" w:eastAsia="zh-CN"/>
        </w:rPr>
        <w:t>或免招证明文件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rPr>
        <w:t>施工合同；</w:t>
      </w: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竣工验收</w:t>
      </w:r>
      <w:r>
        <w:rPr>
          <w:rFonts w:hint="eastAsia" w:ascii="宋体" w:hAnsi="宋体" w:eastAsia="宋体" w:cs="宋体"/>
          <w:color w:val="auto"/>
          <w:sz w:val="22"/>
          <w:szCs w:val="22"/>
          <w:highlight w:val="none"/>
          <w:lang w:val="en-US" w:eastAsia="zh-CN"/>
        </w:rPr>
        <w:t>证明文件</w:t>
      </w:r>
      <w:r>
        <w:rPr>
          <w:rFonts w:hint="eastAsia" w:ascii="宋体" w:hAnsi="宋体" w:eastAsia="宋体" w:cs="宋体"/>
          <w:color w:val="auto"/>
          <w:sz w:val="22"/>
          <w:szCs w:val="22"/>
          <w:highlight w:val="none"/>
        </w:rPr>
        <w:t>。评标委员会对业绩的评审要求：（1）金额以中标通知书为准，中标通知书上没有金额或免招标的，以施工合同（不含补充合同）为准；（2）完成时间以竣工验收文件为准，竣工验收文件应具有建设单位、设计、施工和监理单位盖章。</w:t>
      </w: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tabs>
          <w:tab w:val="left" w:pos="720"/>
        </w:tabs>
        <w:snapToGrid w:val="0"/>
        <w:spacing w:line="360" w:lineRule="auto"/>
        <w:jc w:val="left"/>
        <w:rPr>
          <w:rFonts w:hint="eastAsia" w:ascii="宋体" w:hAnsi="宋体" w:eastAsia="宋体" w:cs="宋体"/>
          <w:color w:val="auto"/>
          <w:spacing w:val="4"/>
          <w:kern w:val="0"/>
          <w:sz w:val="24"/>
          <w:szCs w:val="24"/>
          <w:highlight w:val="none"/>
          <w:lang w:val="en-US" w:eastAsia="zh-CN" w:bidi="ar-SA"/>
        </w:rPr>
      </w:pPr>
    </w:p>
    <w:p>
      <w:pPr>
        <w:tabs>
          <w:tab w:val="left" w:pos="720"/>
        </w:tabs>
        <w:snapToGrid w:val="0"/>
        <w:spacing w:line="360" w:lineRule="auto"/>
        <w:jc w:val="left"/>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格式七</w:t>
      </w:r>
    </w:p>
    <w:p>
      <w:pPr>
        <w:tabs>
          <w:tab w:val="left" w:pos="720"/>
        </w:tabs>
        <w:snapToGrid w:val="0"/>
        <w:spacing w:line="360" w:lineRule="auto"/>
        <w:rPr>
          <w:rFonts w:hint="eastAsia" w:ascii="宋体" w:hAnsi="宋体" w:eastAsia="宋体" w:cs="宋体"/>
          <w:color w:val="auto"/>
          <w:sz w:val="24"/>
          <w:szCs w:val="24"/>
          <w:highlight w:val="none"/>
        </w:rPr>
      </w:pPr>
    </w:p>
    <w:p>
      <w:pPr>
        <w:tabs>
          <w:tab w:val="left" w:pos="720"/>
        </w:tabs>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参与编制技术标投标文件人员名单</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616"/>
        <w:gridCol w:w="2730"/>
        <w:gridCol w:w="261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pStyle w:val="5"/>
        <w:spacing w:after="0" w:line="360" w:lineRule="auto"/>
        <w:ind w:left="-2" w:leftChars="-1" w:firstLine="367" w:firstLineChars="175"/>
        <w:jc w:val="left"/>
        <w:rPr>
          <w:rFonts w:hint="eastAsia" w:ascii="宋体" w:hAnsi="宋体" w:eastAsia="宋体" w:cs="宋体"/>
          <w:color w:val="auto"/>
          <w:szCs w:val="21"/>
          <w:highlight w:val="none"/>
        </w:rPr>
      </w:pPr>
    </w:p>
    <w:p>
      <w:pPr>
        <w:pStyle w:val="5"/>
        <w:spacing w:after="0" w:line="360" w:lineRule="auto"/>
        <w:ind w:left="-2" w:leftChars="-1"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rPr>
          <w:rFonts w:hint="eastAsia" w:ascii="宋体" w:hAnsi="宋体" w:eastAsia="宋体" w:cs="宋体"/>
          <w:color w:val="auto"/>
          <w:highlight w:val="none"/>
        </w:rPr>
      </w:pPr>
      <w:bookmarkStart w:id="38" w:name="_Toc14013202"/>
      <w:bookmarkStart w:id="39" w:name="_Toc21343"/>
      <w:bookmarkStart w:id="40" w:name="_Toc7019447"/>
      <w:r>
        <w:rPr>
          <w:rFonts w:hint="eastAsia" w:ascii="宋体" w:hAnsi="宋体" w:eastAsia="宋体" w:cs="宋体"/>
          <w:color w:val="auto"/>
          <w:highlight w:val="none"/>
        </w:rPr>
        <w:br w:type="page"/>
      </w:r>
    </w:p>
    <w:p>
      <w:pPr>
        <w:keepNext w:val="0"/>
        <w:keepLines w:val="0"/>
        <w:widowControl/>
        <w:suppressLineNumbers w:val="0"/>
        <w:jc w:val="both"/>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color w:val="auto"/>
          <w:spacing w:val="4"/>
          <w:kern w:val="0"/>
          <w:sz w:val="24"/>
          <w:szCs w:val="24"/>
          <w:highlight w:val="none"/>
          <w:lang w:val="en-US" w:eastAsia="zh-CN" w:bidi="ar-SA"/>
        </w:rPr>
        <w:t>格式八</w:t>
      </w:r>
      <w:r>
        <w:rPr>
          <w:rFonts w:hint="eastAsia" w:ascii="宋体" w:hAnsi="宋体" w:eastAsia="宋体" w:cs="宋体"/>
          <w:b/>
          <w:bCs/>
          <w:color w:val="auto"/>
          <w:kern w:val="0"/>
          <w:sz w:val="36"/>
          <w:szCs w:val="36"/>
          <w:highlight w:val="none"/>
          <w:lang w:val="en-US" w:eastAsia="zh-CN" w:bidi="ar"/>
        </w:rPr>
        <w:t xml:space="preserve"> </w:t>
      </w:r>
    </w:p>
    <w:p>
      <w:pPr>
        <w:keepNext w:val="0"/>
        <w:keepLines w:val="0"/>
        <w:widowControl/>
        <w:suppressLineNumbers w:val="0"/>
        <w:jc w:val="center"/>
        <w:rPr>
          <w:rFonts w:hint="eastAsia" w:ascii="宋体" w:hAnsi="宋体" w:cs="宋体"/>
          <w:b/>
          <w:bCs/>
          <w:color w:val="auto"/>
          <w:kern w:val="0"/>
          <w:sz w:val="36"/>
          <w:szCs w:val="36"/>
          <w:highlight w:val="none"/>
          <w:lang w:val="en-US" w:eastAsia="zh-CN" w:bidi="ar"/>
        </w:rPr>
      </w:pPr>
      <w:r>
        <w:rPr>
          <w:rFonts w:hint="eastAsia" w:ascii="宋体" w:hAnsi="宋体" w:cs="宋体"/>
          <w:b/>
          <w:bCs/>
          <w:color w:val="auto"/>
          <w:kern w:val="0"/>
          <w:sz w:val="36"/>
          <w:szCs w:val="36"/>
          <w:highlight w:val="none"/>
          <w:lang w:val="en-US" w:eastAsia="zh-CN" w:bidi="ar"/>
        </w:rPr>
        <w:t>投标保证金</w:t>
      </w:r>
    </w:p>
    <w:p>
      <w:pPr>
        <w:keepNext w:val="0"/>
        <w:keepLines w:val="0"/>
        <w:widowControl/>
        <w:suppressLineNumbers w:val="0"/>
        <w:spacing w:line="360" w:lineRule="auto"/>
        <w:jc w:val="left"/>
        <w:rPr>
          <w:rFonts w:hint="eastAsia" w:ascii="宋体" w:hAnsi="宋体" w:eastAsia="宋体" w:cs="宋体"/>
          <w:b/>
          <w:bCs/>
          <w:color w:val="auto"/>
          <w:sz w:val="24"/>
          <w:szCs w:val="24"/>
          <w:highlight w:val="none"/>
          <w:lang w:val="en-US" w:eastAsia="zh-CN" w:bidi="ar-SA"/>
        </w:rPr>
      </w:pPr>
      <w:bookmarkStart w:id="41" w:name="_Toc30391"/>
      <w:r>
        <w:rPr>
          <w:rFonts w:hint="eastAsia" w:ascii="宋体" w:hAnsi="宋体" w:eastAsia="宋体" w:cs="宋体"/>
          <w:b/>
          <w:bCs/>
          <w:color w:val="auto"/>
          <w:sz w:val="24"/>
          <w:szCs w:val="24"/>
          <w:highlight w:val="none"/>
          <w:lang w:val="en-US" w:eastAsia="zh-CN" w:bidi="ar-SA"/>
        </w:rPr>
        <w:t xml:space="preserve">注：投标保证金的格式（可选），附由广州公共资源交易中心盖章的投标保证金回执；或投标保函的扫描件，投标保函应是“见索即付”保函，须采用以下规定的格式1《投标保函》格式；或投标人为中小微企业，可享受免于缴纳投标保证金的评审优惠的，须提供以下规定的格式2 《中小企业声明函》和格式 3《关于投标保证金的承诺》等相关证明资料。 </w:t>
      </w:r>
      <w:bookmarkEnd w:id="41"/>
    </w:p>
    <w:p>
      <w:pPr>
        <w:rPr>
          <w:rFonts w:hint="eastAsia" w:ascii="黑体" w:hAnsi="宋体" w:eastAsia="黑体" w:cs="黑体"/>
          <w:b/>
          <w:bCs/>
          <w:color w:val="auto"/>
          <w:kern w:val="0"/>
          <w:sz w:val="24"/>
          <w:szCs w:val="24"/>
          <w:highlight w:val="none"/>
          <w:lang w:val="en-US" w:eastAsia="zh-CN" w:bidi="ar"/>
        </w:rPr>
      </w:pPr>
      <w:bookmarkStart w:id="42" w:name="_Toc12150"/>
      <w:r>
        <w:rPr>
          <w:rFonts w:hint="eastAsia" w:ascii="黑体" w:hAnsi="宋体" w:eastAsia="黑体" w:cs="黑体"/>
          <w:b/>
          <w:bCs/>
          <w:color w:val="auto"/>
          <w:kern w:val="0"/>
          <w:sz w:val="24"/>
          <w:szCs w:val="24"/>
          <w:highlight w:val="none"/>
          <w:lang w:val="en-US" w:eastAsia="zh-CN" w:bidi="ar"/>
        </w:rPr>
        <w:br w:type="page"/>
      </w:r>
    </w:p>
    <w:p>
      <w:pPr>
        <w:keepNext w:val="0"/>
        <w:keepLines w:val="0"/>
        <w:widowControl/>
        <w:suppressLineNumbers w:val="0"/>
        <w:spacing w:line="360" w:lineRule="auto"/>
        <w:jc w:val="left"/>
        <w:rPr>
          <w:rFonts w:hint="eastAsia" w:ascii="黑体" w:hAnsi="宋体" w:eastAsia="黑体" w:cs="黑体"/>
          <w:b/>
          <w:bCs/>
          <w:color w:val="auto"/>
          <w:kern w:val="0"/>
          <w:sz w:val="28"/>
          <w:szCs w:val="28"/>
          <w:highlight w:val="none"/>
          <w:lang w:val="en-US" w:eastAsia="zh-CN" w:bidi="ar"/>
        </w:rPr>
      </w:pPr>
      <w:r>
        <w:rPr>
          <w:rFonts w:hint="eastAsia" w:ascii="黑体" w:hAnsi="宋体" w:eastAsia="黑体" w:cs="黑体"/>
          <w:b/>
          <w:bCs/>
          <w:color w:val="auto"/>
          <w:kern w:val="0"/>
          <w:sz w:val="28"/>
          <w:szCs w:val="28"/>
          <w:highlight w:val="none"/>
          <w:lang w:val="en-US" w:eastAsia="zh-CN" w:bidi="ar"/>
        </w:rPr>
        <w:t>格式1：投标保函（如适用）</w:t>
      </w:r>
    </w:p>
    <w:p>
      <w:pPr>
        <w:pStyle w:val="8"/>
        <w:spacing w:before="201"/>
        <w:ind w:left="3668" w:right="3767"/>
        <w:jc w:val="center"/>
        <w:rPr>
          <w:rFonts w:hint="eastAsia" w:cs="宋体"/>
          <w:b/>
          <w:bCs/>
          <w:color w:val="auto"/>
          <w:highlight w:val="none"/>
          <w:u w:val="none"/>
          <w:lang w:eastAsia="zh-CN"/>
        </w:rPr>
      </w:pPr>
      <w:r>
        <w:rPr>
          <w:rFonts w:hint="eastAsia" w:cs="宋体"/>
          <w:b/>
          <w:bCs/>
          <w:color w:val="auto"/>
          <w:highlight w:val="none"/>
          <w:u w:val="none"/>
          <w:lang w:eastAsia="zh-CN"/>
        </w:rPr>
        <w:t>投标保函</w:t>
      </w:r>
      <w:bookmarkEnd w:id="42"/>
    </w:p>
    <w:p>
      <w:pPr>
        <w:tabs>
          <w:tab w:val="left" w:pos="8219"/>
        </w:tabs>
        <w:ind w:left="5439" w:right="118"/>
        <w:rPr>
          <w:rFonts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保函编号：</w:t>
      </w:r>
      <w:r>
        <w:rPr>
          <w:rFonts w:hint="eastAsia" w:asciiTheme="minorEastAsia" w:hAnsiTheme="minorEastAsia" w:cstheme="minorEastAsia"/>
          <w:color w:val="auto"/>
          <w:sz w:val="24"/>
          <w:szCs w:val="24"/>
          <w:highlight w:val="none"/>
          <w:u w:val="single" w:color="000000"/>
          <w:lang w:eastAsia="zh-CN"/>
        </w:rPr>
        <w:t xml:space="preserve"> </w:t>
      </w:r>
      <w:r>
        <w:rPr>
          <w:rFonts w:hint="eastAsia" w:asciiTheme="minorEastAsia" w:hAnsiTheme="minorEastAsia" w:cstheme="minorEastAsia"/>
          <w:color w:val="auto"/>
          <w:sz w:val="24"/>
          <w:szCs w:val="24"/>
          <w:highlight w:val="none"/>
          <w:u w:val="single" w:color="000000"/>
          <w:lang w:eastAsia="zh-CN"/>
        </w:rPr>
        <w:tab/>
      </w:r>
    </w:p>
    <w:p>
      <w:pPr>
        <w:tabs>
          <w:tab w:val="left" w:pos="2532"/>
        </w:tabs>
        <w:spacing w:before="34" w:line="340" w:lineRule="exact"/>
        <w:ind w:left="115" w:right="11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致：</w:t>
      </w:r>
      <w:r>
        <w:rPr>
          <w:rFonts w:hint="eastAsia" w:ascii="宋体" w:hAnsi="宋体" w:eastAsia="宋体" w:cs="宋体"/>
          <w:color w:val="auto"/>
          <w:w w:val="95"/>
          <w:sz w:val="21"/>
          <w:szCs w:val="21"/>
          <w:highlight w:val="none"/>
          <w:u w:val="single" w:color="000000"/>
          <w:lang w:eastAsia="zh-CN"/>
        </w:rPr>
        <w:tab/>
      </w:r>
      <w:r>
        <w:rPr>
          <w:rFonts w:hint="eastAsia" w:ascii="宋体" w:hAnsi="宋体" w:eastAsia="宋体" w:cs="宋体"/>
          <w:color w:val="auto"/>
          <w:sz w:val="21"/>
          <w:szCs w:val="21"/>
          <w:highlight w:val="none"/>
          <w:lang w:eastAsia="zh-CN"/>
        </w:rPr>
        <w:t>（招标人名称）</w:t>
      </w:r>
    </w:p>
    <w:p>
      <w:pPr>
        <w:tabs>
          <w:tab w:val="left" w:pos="3267"/>
          <w:tab w:val="left" w:pos="7938"/>
        </w:tabs>
        <w:spacing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鉴于：</w:t>
      </w:r>
      <w:r>
        <w:rPr>
          <w:rFonts w:hint="eastAsia" w:ascii="宋体" w:hAnsi="宋体" w:eastAsia="宋体" w:cs="宋体"/>
          <w:color w:val="auto"/>
          <w:sz w:val="21"/>
          <w:szCs w:val="21"/>
          <w:highlight w:val="none"/>
          <w:u w:val="single" w:color="000000"/>
          <w:lang w:eastAsia="zh-CN"/>
        </w:rPr>
        <w:tab/>
      </w:r>
      <w:r>
        <w:rPr>
          <w:rFonts w:hint="eastAsia" w:ascii="宋体" w:hAnsi="宋体" w:eastAsia="宋体" w:cs="宋体"/>
          <w:color w:val="auto"/>
          <w:sz w:val="21"/>
          <w:szCs w:val="21"/>
          <w:highlight w:val="none"/>
          <w:lang w:eastAsia="zh-CN"/>
        </w:rPr>
        <w:t>（投标人名称，下称“投标人”）根据贵方于</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w w:val="99"/>
          <w:sz w:val="21"/>
          <w:szCs w:val="21"/>
          <w:highlight w:val="none"/>
          <w:u w:val="single" w:color="000000"/>
          <w:lang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7"/>
          <w:sz w:val="21"/>
          <w:szCs w:val="21"/>
          <w:highlight w:val="none"/>
          <w:lang w:eastAsia="zh-CN"/>
        </w:rPr>
        <w:t>发出的项目编号为</w:t>
      </w:r>
      <w:r>
        <w:rPr>
          <w:rFonts w:hint="eastAsia" w:ascii="宋体" w:hAnsi="宋体" w:eastAsia="宋体" w:cs="宋体"/>
          <w:color w:val="auto"/>
          <w:spacing w:val="-7"/>
          <w:sz w:val="21"/>
          <w:szCs w:val="21"/>
          <w:highlight w:val="none"/>
          <w:u w:val="single"/>
          <w:lang w:eastAsia="zh-CN"/>
        </w:rPr>
        <w:tab/>
      </w:r>
      <w:r>
        <w:rPr>
          <w:rFonts w:hint="eastAsia" w:ascii="宋体" w:hAnsi="宋体" w:eastAsia="宋体" w:cs="宋体"/>
          <w:color w:val="auto"/>
          <w:spacing w:val="-7"/>
          <w:sz w:val="21"/>
          <w:szCs w:val="21"/>
          <w:highlight w:val="none"/>
          <w:lang w:eastAsia="zh-CN"/>
        </w:rPr>
        <w:t>的招标文件拟向贵方投标承接</w:t>
      </w:r>
      <w:r>
        <w:rPr>
          <w:rFonts w:hint="eastAsia" w:ascii="宋体" w:hAnsi="宋体" w:eastAsia="宋体" w:cs="宋体"/>
          <w:color w:val="auto"/>
          <w:spacing w:val="-7"/>
          <w:sz w:val="21"/>
          <w:szCs w:val="21"/>
          <w:highlight w:val="none"/>
          <w:u w:val="single"/>
          <w:lang w:eastAsia="zh-CN"/>
        </w:rPr>
        <w:tab/>
      </w:r>
      <w:r>
        <w:rPr>
          <w:rFonts w:hint="eastAsia" w:ascii="宋体" w:hAnsi="宋体" w:eastAsia="宋体" w:cs="宋体"/>
          <w:color w:val="auto"/>
          <w:spacing w:val="-7"/>
          <w:sz w:val="21"/>
          <w:szCs w:val="21"/>
          <w:highlight w:val="none"/>
          <w:lang w:eastAsia="zh-CN"/>
        </w:rPr>
        <w:t>项目。根据招标</w:t>
      </w:r>
      <w:r>
        <w:rPr>
          <w:rFonts w:hint="eastAsia" w:ascii="宋体" w:hAnsi="宋体" w:eastAsia="宋体" w:cs="宋体"/>
          <w:color w:val="auto"/>
          <w:sz w:val="21"/>
          <w:szCs w:val="21"/>
          <w:highlight w:val="none"/>
          <w:lang w:eastAsia="zh-CN"/>
        </w:rPr>
        <w:t>文件，投标人需向贵方提交投标保函。</w:t>
      </w:r>
    </w:p>
    <w:p>
      <w:pPr>
        <w:tabs>
          <w:tab w:val="left" w:pos="4421"/>
          <w:tab w:val="left" w:pos="5892"/>
        </w:tabs>
        <w:spacing w:before="1"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根据投标人的申请，我方（下称“保证人”）在此向贵方（下称“受益人”）开立不可撤销的、 保证金额累计不超过人民币（大写）</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）的投标保函（下称“本保函”）。</w:t>
      </w:r>
    </w:p>
    <w:p>
      <w:pPr>
        <w:spacing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一、本保函为“见索即付”保函。保证人承诺，一旦收到受益人提出的下述任何一种事实的书面通知，保证人将在收到索赔文件次日起七个工作日内在保函金额内无条件地向受益人付款： </w:t>
      </w:r>
    </w:p>
    <w:p>
      <w:pPr>
        <w:spacing w:before="27"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1.投标人在投标截止后撤销投标文件。</w:t>
      </w:r>
    </w:p>
    <w:p>
      <w:pPr>
        <w:spacing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2.投标人中标后未与受益人签约。</w:t>
      </w:r>
    </w:p>
    <w:p>
      <w:pPr>
        <w:spacing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3.投标人中标后不按照招标文件要求提交履约保证金。</w:t>
      </w:r>
    </w:p>
    <w:p>
      <w:pPr>
        <w:spacing w:before="27" w:line="340" w:lineRule="exact"/>
        <w:ind w:right="118" w:firstLine="420" w:firstLineChars="200"/>
        <w:rPr>
          <w:rFonts w:hint="eastAsia" w:ascii="宋体" w:hAnsi="宋体" w:eastAsia="宋体" w:cs="宋体"/>
          <w:color w:val="auto"/>
          <w:w w:val="99"/>
          <w:sz w:val="21"/>
          <w:szCs w:val="21"/>
          <w:highlight w:val="none"/>
          <w:lang w:eastAsia="zh-CN"/>
        </w:rPr>
      </w:pPr>
      <w:r>
        <w:rPr>
          <w:rFonts w:hint="eastAsia" w:ascii="宋体" w:hAnsi="宋体" w:eastAsia="宋体" w:cs="宋体"/>
          <w:color w:val="auto"/>
          <w:sz w:val="21"/>
          <w:szCs w:val="21"/>
          <w:highlight w:val="none"/>
          <w:lang w:eastAsia="zh-CN"/>
        </w:rPr>
        <w:t>4.投标人存在招标文件中约定不予退回投标保证金的情形。</w:t>
      </w:r>
      <w:r>
        <w:rPr>
          <w:rFonts w:hint="eastAsia" w:ascii="宋体" w:hAnsi="宋体" w:eastAsia="宋体" w:cs="宋体"/>
          <w:color w:val="auto"/>
          <w:w w:val="99"/>
          <w:sz w:val="21"/>
          <w:szCs w:val="21"/>
          <w:highlight w:val="none"/>
          <w:lang w:eastAsia="zh-CN"/>
        </w:rPr>
        <w:t xml:space="preserve"> </w:t>
      </w:r>
    </w:p>
    <w:p>
      <w:pPr>
        <w:tabs>
          <w:tab w:val="left" w:pos="4421"/>
          <w:tab w:val="left" w:pos="5892"/>
        </w:tabs>
        <w:spacing w:before="1" w:line="340" w:lineRule="exact"/>
        <w:ind w:right="118" w:firstLine="39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w w:val="95"/>
          <w:sz w:val="21"/>
          <w:szCs w:val="21"/>
          <w:highlight w:val="none"/>
          <w:lang w:eastAsia="zh-CN"/>
        </w:rPr>
        <w:t>二、</w:t>
      </w:r>
      <w:r>
        <w:rPr>
          <w:rFonts w:hint="eastAsia" w:ascii="宋体" w:hAnsi="宋体" w:eastAsia="宋体" w:cs="宋体"/>
          <w:color w:val="auto"/>
          <w:sz w:val="21"/>
          <w:szCs w:val="21"/>
          <w:highlight w:val="none"/>
          <w:lang w:eastAsia="zh-CN"/>
        </w:rPr>
        <w:t xml:space="preserve">保证人与投标人承担连带责任保证。受益人将主合同项下债权转让第三人时需经保证人书面同意，否则保证人在本保函项下的保证责任自动解除。 </w:t>
      </w:r>
    </w:p>
    <w:p>
      <w:pPr>
        <w:tabs>
          <w:tab w:val="left" w:pos="4421"/>
          <w:tab w:val="left" w:pos="5892"/>
        </w:tabs>
        <w:spacing w:before="1" w:line="340" w:lineRule="exact"/>
        <w:ind w:right="11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三、未经保证人书面同意，本保函不得转让、质押。</w:t>
      </w:r>
    </w:p>
    <w:p>
      <w:pPr>
        <w:tabs>
          <w:tab w:val="left" w:pos="4001"/>
          <w:tab w:val="left" w:pos="4735"/>
          <w:tab w:val="left" w:pos="5367"/>
        </w:tabs>
        <w:spacing w:before="1" w:line="340" w:lineRule="exact"/>
        <w:ind w:right="275"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四、本保函一经开立即生效，</w:t>
      </w:r>
      <w:r>
        <w:rPr>
          <w:rFonts w:hint="eastAsia" w:ascii="宋体" w:hAnsi="宋体" w:eastAsia="宋体" w:cs="宋体"/>
          <w:color w:val="auto"/>
          <w:w w:val="95"/>
          <w:sz w:val="21"/>
          <w:szCs w:val="21"/>
          <w:highlight w:val="none"/>
          <w:lang w:eastAsia="zh-CN"/>
        </w:rPr>
        <w:t>于</w:t>
      </w:r>
      <w:r>
        <w:rPr>
          <w:rFonts w:hint="eastAsia" w:ascii="宋体" w:hAnsi="宋体" w:eastAsia="宋体" w:cs="宋体"/>
          <w:color w:val="auto"/>
          <w:w w:val="95"/>
          <w:sz w:val="21"/>
          <w:szCs w:val="21"/>
          <w:highlight w:val="none"/>
          <w:u w:val="single" w:color="000000"/>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color="000000"/>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color="000000"/>
          <w:lang w:eastAsia="zh-CN"/>
        </w:rPr>
        <w:tab/>
      </w:r>
      <w:r>
        <w:rPr>
          <w:rFonts w:hint="eastAsia" w:ascii="宋体" w:hAnsi="宋体" w:eastAsia="宋体" w:cs="宋体"/>
          <w:color w:val="auto"/>
          <w:sz w:val="21"/>
          <w:szCs w:val="21"/>
          <w:highlight w:val="none"/>
          <w:lang w:eastAsia="zh-CN"/>
        </w:rPr>
        <w:t>日失效（如投标文件有效期延长，本保函</w:t>
      </w:r>
      <w:r>
        <w:rPr>
          <w:rFonts w:hint="eastAsia" w:ascii="宋体" w:hAnsi="宋体" w:eastAsia="宋体" w:cs="宋体"/>
          <w:color w:val="auto"/>
          <w:w w:val="99"/>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有效期也作相应延长）。本保函失效后，受益人应立即将本保函正本原件退回投标人，但无论是否退回，本保函自失效日起均视为自动失效，保证人在本保函项下的保证责任和义务自动解除。 </w:t>
      </w:r>
    </w:p>
    <w:p>
      <w:pPr>
        <w:tabs>
          <w:tab w:val="left" w:pos="4001"/>
          <w:tab w:val="left" w:pos="4735"/>
          <w:tab w:val="left" w:pos="5367"/>
        </w:tabs>
        <w:spacing w:before="1" w:line="340" w:lineRule="exact"/>
        <w:ind w:right="275"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五、本保函适用中华人民共和国法律，受中华人民共和国法律管辖。在本保函履行期间，如发生争议，各当事人应协商解决。协商不能解决的，任何一方可向受益人所在地有管辖权的法院提起诉讼。</w:t>
      </w:r>
    </w:p>
    <w:p>
      <w:pPr>
        <w:spacing w:before="12" w:line="340" w:lineRule="exact"/>
        <w:rPr>
          <w:rFonts w:hint="eastAsia" w:ascii="宋体" w:hAnsi="宋体" w:eastAsia="宋体" w:cs="宋体"/>
          <w:color w:val="auto"/>
          <w:sz w:val="21"/>
          <w:szCs w:val="21"/>
          <w:highlight w:val="none"/>
          <w:lang w:eastAsia="zh-CN"/>
        </w:rPr>
      </w:pPr>
    </w:p>
    <w:p>
      <w:pPr>
        <w:tabs>
          <w:tab w:val="left" w:pos="4001"/>
          <w:tab w:val="left" w:pos="4735"/>
          <w:tab w:val="left" w:pos="5367"/>
        </w:tabs>
        <w:spacing w:before="1" w:line="340" w:lineRule="exact"/>
        <w:ind w:right="275" w:firstLine="2694" w:firstLineChars="128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保证人名称：</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（盖单位章） </w:t>
      </w:r>
    </w:p>
    <w:p>
      <w:pPr>
        <w:tabs>
          <w:tab w:val="left" w:pos="4001"/>
          <w:tab w:val="left" w:pos="4735"/>
          <w:tab w:val="left" w:pos="5367"/>
        </w:tabs>
        <w:spacing w:before="1" w:line="340" w:lineRule="exact"/>
        <w:ind w:right="275" w:firstLine="2694" w:firstLineChars="128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法定代表人或其委托代理人：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xml:space="preserve">（签字或盖章） </w:t>
      </w:r>
    </w:p>
    <w:p>
      <w:pPr>
        <w:tabs>
          <w:tab w:val="left" w:pos="4001"/>
          <w:tab w:val="left" w:pos="4735"/>
          <w:tab w:val="left" w:pos="5367"/>
        </w:tabs>
        <w:spacing w:before="1" w:line="340" w:lineRule="exact"/>
        <w:ind w:right="275" w:firstLine="2694" w:firstLineChars="1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p>
    <w:p>
      <w:pPr>
        <w:tabs>
          <w:tab w:val="left" w:pos="0"/>
        </w:tabs>
        <w:spacing w:before="1" w:line="340" w:lineRule="exact"/>
        <w:ind w:right="275" w:firstLine="2694" w:firstLineChars="1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 xml:space="preserve">邮政编码：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p>
    <w:p>
      <w:pPr>
        <w:tabs>
          <w:tab w:val="left" w:pos="4001"/>
          <w:tab w:val="left" w:pos="4735"/>
          <w:tab w:val="left" w:pos="5367"/>
        </w:tabs>
        <w:spacing w:before="1" w:line="340" w:lineRule="exact"/>
        <w:ind w:right="275" w:firstLine="2694" w:firstLineChars="1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p>
    <w:p>
      <w:pPr>
        <w:tabs>
          <w:tab w:val="left" w:pos="4001"/>
          <w:tab w:val="left" w:pos="4735"/>
          <w:tab w:val="left" w:pos="5367"/>
        </w:tabs>
        <w:spacing w:before="1" w:line="340" w:lineRule="exact"/>
        <w:ind w:right="275" w:firstLine="2694" w:firstLineChars="1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真：</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p>
    <w:p>
      <w:pPr>
        <w:tabs>
          <w:tab w:val="left" w:pos="4001"/>
          <w:tab w:val="left" w:pos="4735"/>
          <w:tab w:val="left" w:pos="5367"/>
        </w:tabs>
        <w:spacing w:before="1" w:line="340" w:lineRule="exact"/>
        <w:ind w:right="27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pPr>
        <w:tabs>
          <w:tab w:val="left" w:pos="4001"/>
          <w:tab w:val="left" w:pos="4735"/>
          <w:tab w:val="left" w:pos="5367"/>
        </w:tabs>
        <w:spacing w:before="1" w:line="340" w:lineRule="exact"/>
        <w:ind w:right="27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年    月     日</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pPr>
        <w:rPr>
          <w:rFonts w:hint="eastAsia" w:ascii="黑体" w:hAnsi="宋体" w:eastAsia="黑体" w:cs="黑体"/>
          <w:b/>
          <w:bCs/>
          <w:color w:val="auto"/>
          <w:kern w:val="0"/>
          <w:sz w:val="28"/>
          <w:szCs w:val="28"/>
          <w:highlight w:val="none"/>
          <w:lang w:val="en-US" w:eastAsia="zh-CN" w:bidi="ar"/>
        </w:rPr>
      </w:pPr>
      <w:r>
        <w:rPr>
          <w:rFonts w:hint="eastAsia" w:ascii="黑体" w:hAnsi="宋体" w:eastAsia="黑体" w:cs="黑体"/>
          <w:b/>
          <w:bCs/>
          <w:color w:val="auto"/>
          <w:kern w:val="0"/>
          <w:sz w:val="28"/>
          <w:szCs w:val="28"/>
          <w:highlight w:val="none"/>
          <w:lang w:val="en-US" w:eastAsia="zh-CN" w:bidi="ar"/>
        </w:rPr>
        <w:br w:type="page"/>
      </w:r>
    </w:p>
    <w:p>
      <w:pPr>
        <w:keepNext w:val="0"/>
        <w:keepLines w:val="0"/>
        <w:widowControl/>
        <w:suppressLineNumbers w:val="0"/>
        <w:spacing w:line="360" w:lineRule="auto"/>
        <w:jc w:val="left"/>
        <w:rPr>
          <w:color w:val="auto"/>
          <w:highlight w:val="none"/>
        </w:rPr>
      </w:pPr>
      <w:r>
        <w:rPr>
          <w:rFonts w:hint="eastAsia" w:ascii="黑体" w:hAnsi="宋体" w:eastAsia="黑体" w:cs="黑体"/>
          <w:b/>
          <w:bCs/>
          <w:color w:val="auto"/>
          <w:kern w:val="0"/>
          <w:sz w:val="28"/>
          <w:szCs w:val="28"/>
          <w:highlight w:val="none"/>
          <w:lang w:val="en-US" w:eastAsia="zh-CN" w:bidi="ar"/>
        </w:rPr>
        <w:t xml:space="preserve">附件 </w:t>
      </w:r>
      <w:r>
        <w:rPr>
          <w:rFonts w:hint="eastAsia" w:ascii="宋体" w:hAnsi="宋体" w:cs="宋体"/>
          <w:b/>
          <w:bCs/>
          <w:color w:val="auto"/>
          <w:kern w:val="0"/>
          <w:sz w:val="28"/>
          <w:szCs w:val="28"/>
          <w:highlight w:val="none"/>
          <w:lang w:val="en-US" w:eastAsia="zh-CN" w:bidi="ar"/>
        </w:rPr>
        <w:t>2</w:t>
      </w:r>
      <w:r>
        <w:rPr>
          <w:rFonts w:hint="eastAsia" w:ascii="黑体" w:hAnsi="宋体" w:eastAsia="黑体" w:cs="黑体"/>
          <w:b/>
          <w:bCs/>
          <w:color w:val="auto"/>
          <w:kern w:val="0"/>
          <w:sz w:val="28"/>
          <w:szCs w:val="28"/>
          <w:highlight w:val="none"/>
          <w:lang w:val="en-US" w:eastAsia="zh-CN" w:bidi="ar"/>
        </w:rPr>
        <w:t>：中小企业声明函（如适用）</w:t>
      </w:r>
      <w:r>
        <w:rPr>
          <w:rFonts w:hint="eastAsia" w:ascii="宋体" w:hAnsi="宋体" w:eastAsia="宋体" w:cs="宋体"/>
          <w:b/>
          <w:bCs/>
          <w:color w:val="auto"/>
          <w:kern w:val="0"/>
          <w:sz w:val="28"/>
          <w:szCs w:val="28"/>
          <w:highlight w:val="none"/>
          <w:lang w:val="en-US" w:eastAsia="zh-CN" w:bidi="ar"/>
        </w:rPr>
        <w:t xml:space="preserve"> </w:t>
      </w:r>
    </w:p>
    <w:p>
      <w:pPr>
        <w:keepNext w:val="0"/>
        <w:keepLines w:val="0"/>
        <w:widowControl/>
        <w:suppressLineNumbers w:val="0"/>
        <w:spacing w:line="360" w:lineRule="auto"/>
        <w:jc w:val="center"/>
        <w:rPr>
          <w:color w:val="auto"/>
          <w:highlight w:val="none"/>
        </w:rPr>
      </w:pPr>
      <w:r>
        <w:rPr>
          <w:rFonts w:hint="eastAsia" w:ascii="宋体" w:hAnsi="宋体" w:eastAsia="宋体" w:cs="宋体"/>
          <w:b/>
          <w:bCs/>
          <w:color w:val="auto"/>
          <w:kern w:val="0"/>
          <w:sz w:val="31"/>
          <w:szCs w:val="31"/>
          <w:highlight w:val="none"/>
          <w:lang w:val="en-US" w:eastAsia="zh-CN" w:bidi="ar"/>
        </w:rPr>
        <w:t>中小企业声明函（免收投标保证金优惠）</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本企业郑重声明，根据《关于印发中小企业划型标准规定的通知》（工信部联企业〔2011〕300 号）的规定，本企业具体情况如下：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本企业属于建筑业行业；营业收入为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万元，资产总额为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万元，属于</w:t>
      </w:r>
      <w:r>
        <w:rPr>
          <w:rFonts w:hint="eastAsia" w:ascii="宋体" w:hAnsi="宋体" w:eastAsia="宋体" w:cs="宋体"/>
          <w:color w:val="auto"/>
          <w:kern w:val="0"/>
          <w:sz w:val="24"/>
          <w:szCs w:val="24"/>
          <w:highlight w:val="none"/>
          <w:u w:val="single"/>
          <w:lang w:val="en-US" w:eastAsia="zh-CN" w:bidi="ar"/>
        </w:rPr>
        <w:t>（中型企业、小型企业、微型企业）</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依据《政府采购促进中小企业发展管理办法》的规定，本企业不属于大企业的分支机构，不存在控股股东为大企业的情形，也不存在与大企业的负责人为同一人的情形。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企业名称（盖章）：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日 期：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1、营业收入、资产总额填报上一年度数据，无上一年度数据的新成立企业可不填报。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2、《中小企业声明函》须按照本函格式填写，否则评标委员会有权视其为非中小企业，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不享受免于提交投标保证金的优惠政策。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3、招标人、招标代理机构将按有关规定公开《中小企业声明函》。 </w:t>
      </w: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hint="eastAsia" w:ascii="黑体" w:hAnsi="宋体" w:eastAsia="黑体" w:cs="黑体"/>
          <w:b/>
          <w:bCs/>
          <w:color w:val="auto"/>
          <w:kern w:val="0"/>
          <w:sz w:val="24"/>
          <w:szCs w:val="24"/>
          <w:highlight w:val="none"/>
          <w:lang w:val="en-US" w:eastAsia="zh-CN" w:bidi="ar"/>
        </w:rPr>
      </w:pPr>
      <w:r>
        <w:rPr>
          <w:rFonts w:hint="eastAsia" w:ascii="黑体" w:hAnsi="宋体" w:eastAsia="黑体" w:cs="黑体"/>
          <w:b/>
          <w:bCs/>
          <w:color w:val="auto"/>
          <w:kern w:val="0"/>
          <w:sz w:val="24"/>
          <w:szCs w:val="24"/>
          <w:highlight w:val="none"/>
          <w:lang w:val="en-US" w:eastAsia="zh-CN" w:bidi="ar"/>
        </w:rPr>
        <w:br w:type="page"/>
      </w:r>
    </w:p>
    <w:p>
      <w:pPr>
        <w:keepNext w:val="0"/>
        <w:keepLines w:val="0"/>
        <w:widowControl/>
        <w:suppressLineNumbers w:val="0"/>
        <w:spacing w:line="360" w:lineRule="auto"/>
        <w:jc w:val="left"/>
        <w:rPr>
          <w:rFonts w:hint="eastAsia" w:ascii="黑体" w:hAnsi="宋体" w:eastAsia="黑体" w:cs="黑体"/>
          <w:b/>
          <w:bCs/>
          <w:color w:val="auto"/>
          <w:kern w:val="0"/>
          <w:sz w:val="28"/>
          <w:szCs w:val="28"/>
          <w:highlight w:val="none"/>
          <w:lang w:val="en-US" w:eastAsia="zh-CN" w:bidi="ar"/>
        </w:rPr>
      </w:pPr>
      <w:r>
        <w:rPr>
          <w:rFonts w:hint="eastAsia" w:ascii="黑体" w:hAnsi="宋体" w:eastAsia="黑体" w:cs="黑体"/>
          <w:b/>
          <w:bCs/>
          <w:color w:val="auto"/>
          <w:kern w:val="0"/>
          <w:sz w:val="28"/>
          <w:szCs w:val="28"/>
          <w:highlight w:val="none"/>
          <w:lang w:val="en-US" w:eastAsia="zh-CN" w:bidi="ar"/>
        </w:rPr>
        <w:t xml:space="preserve">附件 3：关于投标保证金的承诺（如适用） </w:t>
      </w:r>
    </w:p>
    <w:p>
      <w:pPr>
        <w:keepNext w:val="0"/>
        <w:keepLines w:val="0"/>
        <w:widowControl/>
        <w:suppressLineNumbers w:val="0"/>
        <w:spacing w:line="360" w:lineRule="auto"/>
        <w:jc w:val="center"/>
        <w:rPr>
          <w:rFonts w:hint="eastAsia" w:ascii="宋体" w:hAnsi="宋体" w:eastAsia="宋体" w:cs="宋体"/>
          <w:b/>
          <w:bCs/>
          <w:color w:val="auto"/>
          <w:sz w:val="31"/>
          <w:szCs w:val="31"/>
          <w:highlight w:val="none"/>
          <w:lang w:eastAsia="zh-CN" w:bidi="ar"/>
        </w:rPr>
      </w:pPr>
      <w:r>
        <w:rPr>
          <w:rFonts w:hint="eastAsia" w:ascii="宋体" w:hAnsi="宋体" w:eastAsia="宋体" w:cs="宋体"/>
          <w:b/>
          <w:bCs/>
          <w:color w:val="auto"/>
          <w:kern w:val="0"/>
          <w:sz w:val="31"/>
          <w:szCs w:val="31"/>
          <w:highlight w:val="none"/>
          <w:lang w:val="en-US" w:eastAsia="zh-CN" w:bidi="ar"/>
        </w:rPr>
        <w:t>关于投标保证金的承诺</w:t>
      </w:r>
    </w:p>
    <w:p>
      <w:pPr>
        <w:keepNext w:val="0"/>
        <w:keepLines w:val="0"/>
        <w:widowControl/>
        <w:suppressLineNumbers w:val="0"/>
        <w:spacing w:line="360" w:lineRule="auto"/>
        <w:ind w:firstLine="0" w:firstLineChars="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本招标项目招标人及招标监管机构：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本公司就参加</w:t>
      </w:r>
      <w:r>
        <w:rPr>
          <w:rFonts w:hint="eastAsia" w:ascii="宋体" w:hAnsi="宋体" w:eastAsia="宋体" w:cs="宋体"/>
          <w:color w:val="auto"/>
          <w:kern w:val="0"/>
          <w:sz w:val="24"/>
          <w:szCs w:val="24"/>
          <w:highlight w:val="none"/>
          <w:u w:val="single"/>
          <w:lang w:val="en-US" w:eastAsia="zh-CN" w:bidi="ar"/>
        </w:rPr>
        <w:t xml:space="preserve"> （招标项目名称） </w:t>
      </w:r>
      <w:r>
        <w:rPr>
          <w:rFonts w:hint="eastAsia" w:ascii="宋体" w:hAnsi="宋体" w:eastAsia="宋体" w:cs="宋体"/>
          <w:color w:val="auto"/>
          <w:kern w:val="0"/>
          <w:sz w:val="24"/>
          <w:szCs w:val="24"/>
          <w:highlight w:val="none"/>
          <w:lang w:val="en-US" w:eastAsia="zh-CN" w:bidi="ar"/>
        </w:rPr>
        <w:t xml:space="preserve">项目的投标工作，作出郑重声明：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满足招标文件中免交投标保证金的相关要求，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本公司违反上述保证的，将被视为虚假承诺，按相关规定进行信用记录。本公司对失信行为产生的一切后果已知悉，并承担由此产生的相应责任。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特此承诺。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投标人：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（盖章） </w:t>
      </w:r>
    </w:p>
    <w:p>
      <w:pPr>
        <w:pStyle w:val="113"/>
        <w:rPr>
          <w:rFonts w:hint="eastAsia"/>
          <w:color w:val="auto"/>
          <w:highlight w:val="none"/>
        </w:rPr>
      </w:pPr>
      <w:r>
        <w:rPr>
          <w:rFonts w:hint="eastAsia" w:ascii="宋体" w:hAnsi="宋体" w:eastAsia="宋体" w:cs="宋体"/>
          <w:color w:val="auto"/>
          <w:kern w:val="0"/>
          <w:sz w:val="24"/>
          <w:szCs w:val="24"/>
          <w:highlight w:val="none"/>
          <w:lang w:val="en-US" w:eastAsia="zh-CN" w:bidi="ar"/>
        </w:rPr>
        <w:t xml:space="preserve">                                                日 期： </w:t>
      </w:r>
    </w:p>
    <w:p>
      <w:pPr>
        <w:pStyle w:val="120"/>
        <w:spacing w:beforeLines="0" w:afterLines="0" w:line="360" w:lineRule="auto"/>
        <w:outlineLvl w:val="9"/>
        <w:rPr>
          <w:rFonts w:hint="eastAsia" w:ascii="宋体" w:hAnsi="宋体" w:eastAsia="宋体" w:cs="宋体"/>
          <w:color w:val="auto"/>
          <w:highlight w:val="none"/>
        </w:rPr>
      </w:pPr>
    </w:p>
    <w:p>
      <w:pPr>
        <w:pStyle w:val="120"/>
        <w:spacing w:beforeLines="0" w:afterLines="0" w:line="360" w:lineRule="auto"/>
        <w:outlineLvl w:val="9"/>
        <w:rPr>
          <w:rFonts w:hint="eastAsia" w:ascii="宋体" w:hAnsi="宋体" w:eastAsia="宋体" w:cs="宋体"/>
          <w:color w:val="auto"/>
          <w:highlight w:val="none"/>
        </w:rPr>
      </w:pPr>
    </w:p>
    <w:p>
      <w:pPr>
        <w:pStyle w:val="120"/>
        <w:spacing w:beforeLines="0" w:afterLines="0" w:line="360" w:lineRule="auto"/>
        <w:outlineLvl w:val="9"/>
        <w:rPr>
          <w:rFonts w:hint="eastAsia" w:ascii="宋体" w:hAnsi="宋体" w:eastAsia="宋体" w:cs="宋体"/>
          <w:color w:val="auto"/>
          <w:highlight w:val="none"/>
        </w:rPr>
      </w:pPr>
    </w:p>
    <w:p>
      <w:pPr>
        <w:pStyle w:val="120"/>
        <w:spacing w:beforeLines="0" w:afterLines="0" w:line="360" w:lineRule="auto"/>
        <w:outlineLvl w:val="9"/>
        <w:rPr>
          <w:rFonts w:hint="eastAsia" w:ascii="宋体" w:hAnsi="宋体" w:eastAsia="宋体" w:cs="宋体"/>
          <w:color w:val="auto"/>
          <w:highlight w:val="none"/>
        </w:rPr>
      </w:pPr>
    </w:p>
    <w:p>
      <w:pPr>
        <w:pStyle w:val="120"/>
        <w:spacing w:beforeLines="0" w:afterLines="0" w:line="360" w:lineRule="auto"/>
        <w:outlineLvl w:val="9"/>
        <w:rPr>
          <w:rFonts w:hint="eastAsia" w:ascii="宋体" w:hAnsi="宋体" w:eastAsia="宋体" w:cs="宋体"/>
          <w:color w:val="auto"/>
          <w:highlight w:val="none"/>
        </w:rPr>
      </w:pPr>
    </w:p>
    <w:p>
      <w:pPr>
        <w:pStyle w:val="120"/>
        <w:spacing w:beforeLines="0" w:afterLines="0" w:line="360" w:lineRule="auto"/>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val="0"/>
        <w:keepLines w:val="0"/>
        <w:widowControl/>
        <w:suppressLineNumbers w:val="0"/>
        <w:jc w:val="both"/>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color w:val="auto"/>
          <w:spacing w:val="4"/>
          <w:kern w:val="0"/>
          <w:sz w:val="24"/>
          <w:szCs w:val="24"/>
          <w:highlight w:val="none"/>
          <w:lang w:val="en-US" w:eastAsia="zh-CN" w:bidi="ar-SA"/>
        </w:rPr>
        <w:t>格式九</w:t>
      </w:r>
    </w:p>
    <w:p>
      <w:pPr>
        <w:pStyle w:val="113"/>
        <w:jc w:val="center"/>
        <w:outlineLvl w:val="9"/>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投标人认为应该提供的其他资料</w:t>
      </w:r>
    </w:p>
    <w:p>
      <w:pP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br w:type="page"/>
      </w:r>
    </w:p>
    <w:p>
      <w:pPr>
        <w:pStyle w:val="113"/>
        <w:jc w:val="center"/>
        <w:outlineLvl w:val="9"/>
        <w:rPr>
          <w:rFonts w:hint="eastAsia" w:ascii="宋体" w:hAnsi="宋体" w:eastAsia="宋体" w:cs="宋体"/>
          <w:b/>
          <w:bCs/>
          <w:color w:val="auto"/>
          <w:kern w:val="0"/>
          <w:sz w:val="36"/>
          <w:szCs w:val="36"/>
          <w:highlight w:val="none"/>
          <w:lang w:val="en-US" w:eastAsia="zh-CN" w:bidi="ar"/>
        </w:rPr>
      </w:pPr>
    </w:p>
    <w:p>
      <w:pPr>
        <w:pStyle w:val="120"/>
        <w:numPr>
          <w:ilvl w:val="0"/>
          <w:numId w:val="6"/>
        </w:numPr>
        <w:spacing w:beforeLines="0" w:afterLines="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经济标投标文件格式</w:t>
      </w:r>
      <w:bookmarkEnd w:id="38"/>
      <w:bookmarkEnd w:id="39"/>
      <w:bookmarkEnd w:id="40"/>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rPr>
          <w:rFonts w:hint="eastAsia" w:ascii="宋体" w:hAnsi="宋体" w:eastAsia="宋体" w:cs="宋体"/>
          <w:color w:val="auto"/>
          <w:highlight w:val="none"/>
        </w:rPr>
      </w:pPr>
    </w:p>
    <w:p>
      <w:pPr>
        <w:pStyle w:val="113"/>
        <w:numPr>
          <w:ilvl w:val="0"/>
          <w:numId w:val="0"/>
        </w:numPr>
        <w:rPr>
          <w:rFonts w:hint="eastAsia" w:ascii="宋体" w:hAnsi="宋体" w:eastAsia="宋体" w:cs="宋体"/>
          <w:color w:val="auto"/>
          <w:highlight w:val="none"/>
        </w:rPr>
      </w:pPr>
    </w:p>
    <w:p>
      <w:pPr>
        <w:rPr>
          <w:rFonts w:hint="eastAsia" w:ascii="宋体" w:hAnsi="宋体" w:eastAsia="宋体" w:cs="宋体"/>
          <w:color w:val="auto"/>
          <w:spacing w:val="4"/>
          <w:kern w:val="0"/>
          <w:sz w:val="24"/>
          <w:szCs w:val="24"/>
          <w:highlight w:val="none"/>
          <w:lang w:val="en-US" w:eastAsia="zh-CN" w:bidi="ar-SA"/>
        </w:rPr>
      </w:pPr>
    </w:p>
    <w:p>
      <w:pPr>
        <w:outlineLvl w:val="2"/>
        <w:rPr>
          <w:rFonts w:hint="eastAsia" w:ascii="宋体" w:hAnsi="宋体" w:eastAsia="宋体" w:cs="宋体"/>
          <w:b/>
          <w:color w:val="auto"/>
          <w:sz w:val="24"/>
          <w:szCs w:val="24"/>
          <w:highlight w:val="none"/>
        </w:rPr>
      </w:pPr>
      <w:r>
        <w:rPr>
          <w:rFonts w:hint="eastAsia" w:ascii="宋体" w:hAnsi="宋体" w:eastAsia="宋体" w:cs="宋体"/>
          <w:color w:val="auto"/>
          <w:spacing w:val="4"/>
          <w:kern w:val="0"/>
          <w:sz w:val="24"/>
          <w:szCs w:val="24"/>
          <w:highlight w:val="none"/>
          <w:lang w:val="en-US" w:eastAsia="zh-CN" w:bidi="ar-SA"/>
        </w:rPr>
        <w:t xml:space="preserve"> </w:t>
      </w:r>
      <w:r>
        <w:rPr>
          <w:rFonts w:hint="eastAsia" w:ascii="宋体" w:hAnsi="宋体" w:eastAsia="宋体" w:cs="宋体"/>
          <w:b/>
          <w:color w:val="auto"/>
          <w:sz w:val="24"/>
          <w:szCs w:val="24"/>
          <w:highlight w:val="none"/>
        </w:rPr>
        <w:t>格式一：</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14"/>
        <w:rPr>
          <w:rFonts w:hint="eastAsia" w:ascii="宋体" w:hAnsi="宋体" w:eastAsia="宋体" w:cs="宋体"/>
          <w:b w:val="0"/>
          <w:color w:val="auto"/>
          <w:highlight w:val="none"/>
        </w:rPr>
      </w:pPr>
      <w:r>
        <w:rPr>
          <w:rFonts w:hint="eastAsia" w:ascii="宋体" w:hAnsi="宋体" w:eastAsia="宋体" w:cs="宋体"/>
          <w:b w:val="0"/>
          <w:color w:val="auto"/>
          <w:highlight w:val="none"/>
        </w:rPr>
        <w:t>第二册 （经济标书）</w:t>
      </w:r>
    </w:p>
    <w:p>
      <w:pPr>
        <w:pStyle w:val="113"/>
        <w:ind w:firstLine="496"/>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3"/>
        <w:ind w:firstLine="496"/>
        <w:rPr>
          <w:rFonts w:hint="eastAsia" w:ascii="宋体" w:hAnsi="宋体" w:eastAsia="宋体" w:cs="宋体"/>
          <w:color w:val="auto"/>
          <w:highlight w:val="none"/>
        </w:rPr>
      </w:pPr>
    </w:p>
    <w:p>
      <w:pPr>
        <w:pStyle w:val="11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16"/>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tabs>
          <w:tab w:val="left" w:pos="720"/>
        </w:tabs>
        <w:snapToGrid w:val="0"/>
        <w:spacing w:line="360" w:lineRule="auto"/>
        <w:ind w:firstLine="616" w:firstLineChars="200"/>
        <w:jc w:val="left"/>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30"/>
          <w:szCs w:val="30"/>
          <w:highlight w:val="none"/>
          <w:lang w:val="en-US" w:eastAsia="zh-CN" w:bidi="ar-SA"/>
        </w:rPr>
        <w:t>日  期：</w:t>
      </w:r>
      <w:r>
        <w:rPr>
          <w:rFonts w:hint="eastAsia" w:ascii="宋体" w:hAnsi="宋体" w:eastAsia="宋体" w:cs="宋体"/>
          <w:color w:val="auto"/>
          <w:highlight w:val="none"/>
          <w:u w:val="single"/>
        </w:rPr>
        <w:t xml:space="preserve">                                        </w:t>
      </w:r>
    </w:p>
    <w:p>
      <w:pPr>
        <w:tabs>
          <w:tab w:val="left" w:pos="720"/>
        </w:tabs>
        <w:snapToGrid w:val="0"/>
        <w:spacing w:line="360" w:lineRule="auto"/>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8"/>
        <w:ind w:left="0" w:leftChars="0" w:firstLine="0" w:firstLineChars="0"/>
        <w:jc w:val="left"/>
        <w:outlineLvl w:val="2"/>
        <w:rPr>
          <w:rFonts w:hint="eastAsia" w:ascii="宋体" w:hAnsi="宋体" w:eastAsia="宋体" w:cs="宋体"/>
          <w:color w:val="auto"/>
          <w:highlight w:val="none"/>
        </w:rPr>
      </w:pPr>
      <w:r>
        <w:rPr>
          <w:rFonts w:hint="eastAsia" w:ascii="宋体" w:hAnsi="宋体" w:eastAsia="宋体" w:cs="宋体"/>
          <w:b/>
          <w:color w:val="auto"/>
          <w:sz w:val="24"/>
          <w:szCs w:val="24"/>
          <w:highlight w:val="none"/>
        </w:rPr>
        <w:t>格式</w:t>
      </w: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w:t>
      </w:r>
    </w:p>
    <w:p>
      <w:pPr>
        <w:tabs>
          <w:tab w:val="left" w:pos="720"/>
        </w:tabs>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参与编制经济标投标文件人员名单</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616"/>
        <w:gridCol w:w="2730"/>
        <w:gridCol w:w="261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7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1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pStyle w:val="5"/>
        <w:spacing w:after="0" w:line="360" w:lineRule="auto"/>
        <w:ind w:left="-2" w:leftChars="-1"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rFonts w:hint="eastAsia" w:ascii="宋体" w:hAnsi="宋体" w:eastAsia="宋体" w:cs="宋体"/>
          <w:color w:val="auto"/>
          <w:szCs w:val="21"/>
          <w:highlight w:val="none"/>
          <w:lang w:eastAsia="zh-CN"/>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center"/>
        <w:rPr>
          <w:rFonts w:hint="eastAsia" w:ascii="宋体" w:hAnsi="宋体" w:eastAsia="宋体" w:cs="宋体"/>
          <w:b/>
          <w:color w:val="auto"/>
          <w:sz w:val="32"/>
          <w:szCs w:val="32"/>
          <w:highlight w:val="none"/>
        </w:rPr>
      </w:pPr>
    </w:p>
    <w:p>
      <w:pPr>
        <w:pStyle w:val="5"/>
        <w:spacing w:after="0" w:line="360" w:lineRule="auto"/>
        <w:ind w:firstLine="0"/>
        <w:jc w:val="left"/>
        <w:rPr>
          <w:rFonts w:hint="eastAsia" w:ascii="宋体" w:hAnsi="宋体" w:eastAsia="宋体" w:cs="宋体"/>
          <w:color w:val="auto"/>
          <w:spacing w:val="4"/>
          <w:kern w:val="0"/>
          <w:sz w:val="24"/>
          <w:szCs w:val="24"/>
          <w:highlight w:val="none"/>
          <w:lang w:val="en-US" w:eastAsia="zh-CN" w:bidi="ar-SA"/>
        </w:rPr>
      </w:pPr>
    </w:p>
    <w:p>
      <w:p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pStyle w:val="5"/>
        <w:spacing w:after="0" w:line="360" w:lineRule="auto"/>
        <w:ind w:firstLine="0"/>
        <w:jc w:val="left"/>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格式三：</w:t>
      </w:r>
    </w:p>
    <w:p>
      <w:pPr>
        <w:pStyle w:val="5"/>
        <w:spacing w:after="0" w:line="36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投标人名称（盖法人公章）：</w:t>
      </w:r>
      <w:r>
        <w:rPr>
          <w:rFonts w:hint="eastAsia" w:ascii="宋体" w:hAnsi="宋体" w:eastAsia="宋体" w:cs="宋体"/>
          <w:color w:val="auto"/>
          <w:sz w:val="24"/>
          <w:szCs w:val="24"/>
          <w:highlight w:val="none"/>
          <w:u w:val="single"/>
        </w:rPr>
        <w:t xml:space="preserve">                  </w:t>
      </w:r>
    </w:p>
    <w:p>
      <w:pPr>
        <w:spacing w:line="360" w:lineRule="auto"/>
        <w:ind w:firstLine="2160" w:firstLine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u w:val="single"/>
        </w:rPr>
        <w:t xml:space="preserve">                  </w:t>
      </w:r>
    </w:p>
    <w:p>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24"/>
          <w:szCs w:val="24"/>
          <w:highlight w:val="none"/>
        </w:rPr>
        <w:t xml:space="preserve">    </w:t>
      </w:r>
    </w:p>
    <w:p>
      <w:pPr>
        <w:pStyle w:val="5"/>
        <w:spacing w:after="0" w:line="360" w:lineRule="auto"/>
        <w:ind w:firstLine="0"/>
        <w:rPr>
          <w:rFonts w:hint="eastAsia" w:ascii="宋体" w:hAnsi="宋体" w:eastAsia="宋体" w:cs="宋体"/>
          <w:b/>
          <w:color w:val="auto"/>
          <w:sz w:val="32"/>
          <w:szCs w:val="32"/>
          <w:highlight w:val="none"/>
        </w:rPr>
      </w:pPr>
    </w:p>
    <w:p>
      <w:pPr>
        <w:pStyle w:val="5"/>
        <w:spacing w:after="0" w:line="360" w:lineRule="auto"/>
        <w:ind w:firstLine="643" w:firstLineChars="200"/>
        <w:jc w:val="center"/>
        <w:rPr>
          <w:rFonts w:hint="eastAsia"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5"/>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5"/>
        <w:tblW w:w="9931" w:type="dxa"/>
        <w:tblInd w:w="0" w:type="dxa"/>
        <w:tblLayout w:type="fixed"/>
        <w:tblCellMar>
          <w:top w:w="0" w:type="dxa"/>
          <w:left w:w="108" w:type="dxa"/>
          <w:bottom w:w="0" w:type="dxa"/>
          <w:right w:w="108" w:type="dxa"/>
        </w:tblCellMar>
      </w:tblPr>
      <w:tblGrid>
        <w:gridCol w:w="9931"/>
      </w:tblGrid>
      <w:tr>
        <w:tblPrEx>
          <w:tblCellMar>
            <w:top w:w="0" w:type="dxa"/>
            <w:left w:w="108" w:type="dxa"/>
            <w:bottom w:w="0" w:type="dxa"/>
            <w:right w:w="108" w:type="dxa"/>
          </w:tblCellMar>
        </w:tblPrEx>
        <w:trPr>
          <w:trHeight w:val="2819" w:hRule="atLeast"/>
        </w:trPr>
        <w:tc>
          <w:tcPr>
            <w:tcW w:w="9931" w:type="dxa"/>
            <w:shd w:val="clear" w:color="auto" w:fill="auto"/>
          </w:tcPr>
          <w:p>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20" w:lineRule="exact"/>
        <w:rPr>
          <w:rFonts w:hint="eastAsia" w:ascii="宋体" w:hAnsi="宋体" w:eastAsia="宋体" w:cs="宋体"/>
          <w:color w:val="auto"/>
          <w:szCs w:val="21"/>
          <w:highlight w:val="none"/>
        </w:rPr>
      </w:pPr>
    </w:p>
    <w:p>
      <w:pPr>
        <w:tabs>
          <w:tab w:val="left" w:pos="720"/>
        </w:tabs>
        <w:snapToGrid w:val="0"/>
        <w:spacing w:line="360" w:lineRule="auto"/>
        <w:jc w:val="center"/>
        <w:rPr>
          <w:rStyle w:val="60"/>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43" w:name="_Toc2272568"/>
      <w:bookmarkStart w:id="44" w:name="_Toc21525513"/>
      <w:r>
        <w:rPr>
          <w:rStyle w:val="60"/>
          <w:rFonts w:hint="eastAsia" w:ascii="宋体" w:hAnsi="宋体" w:eastAsia="宋体" w:cs="宋体"/>
          <w:color w:val="auto"/>
          <w:highlight w:val="none"/>
        </w:rPr>
        <w:t>第五章  技术条件（工程建设标准）</w:t>
      </w:r>
      <w:bookmarkEnd w:id="43"/>
      <w:bookmarkEnd w:id="44"/>
    </w:p>
    <w:p>
      <w:pPr>
        <w:spacing w:line="360" w:lineRule="auto"/>
        <w:ind w:firstLine="480" w:firstLineChars="200"/>
        <w:rPr>
          <w:rFonts w:hint="eastAsia" w:ascii="宋体" w:hAnsi="宋体" w:eastAsia="宋体" w:cs="宋体"/>
          <w:bCs/>
          <w:color w:val="auto"/>
          <w:sz w:val="24"/>
          <w:szCs w:val="24"/>
          <w:highlight w:val="none"/>
        </w:rPr>
      </w:pPr>
      <w:bookmarkStart w:id="45" w:name="_Toc503284277"/>
      <w:bookmarkStart w:id="46" w:name="_Toc10065"/>
      <w:r>
        <w:rPr>
          <w:rFonts w:hint="eastAsia" w:ascii="宋体" w:hAnsi="宋体" w:eastAsia="宋体" w:cs="宋体"/>
          <w:bCs/>
          <w:color w:val="auto"/>
          <w:sz w:val="24"/>
          <w:szCs w:val="24"/>
          <w:highlight w:val="none"/>
        </w:rPr>
        <w:t>1.具体按施工图纸。</w:t>
      </w:r>
      <w:bookmarkEnd w:id="45"/>
      <w:bookmarkEnd w:id="46"/>
    </w:p>
    <w:p>
      <w:pPr>
        <w:spacing w:line="360" w:lineRule="auto"/>
        <w:ind w:firstLine="480" w:firstLineChars="200"/>
        <w:rPr>
          <w:rFonts w:hint="eastAsia" w:ascii="宋体" w:hAnsi="宋体" w:eastAsia="宋体" w:cs="宋体"/>
          <w:bCs/>
          <w:color w:val="auto"/>
          <w:sz w:val="24"/>
          <w:szCs w:val="24"/>
          <w:highlight w:val="none"/>
        </w:rPr>
      </w:pPr>
      <w:bookmarkStart w:id="47" w:name="_Toc12842"/>
      <w:bookmarkStart w:id="48" w:name="_Toc503284278"/>
      <w:r>
        <w:rPr>
          <w:rFonts w:hint="eastAsia" w:ascii="宋体" w:hAnsi="宋体" w:eastAsia="宋体" w:cs="宋体"/>
          <w:bCs/>
          <w:color w:val="auto"/>
          <w:sz w:val="24"/>
          <w:szCs w:val="24"/>
          <w:highlight w:val="none"/>
        </w:rPr>
        <w:t>2.依据设计文件的要求，本招标工程项目的材料、设备、施工须达到中华人民共和国以及省、市或行业的工程建设标准、规范的要求。</w:t>
      </w:r>
      <w:bookmarkEnd w:id="47"/>
      <w:bookmarkEnd w:id="48"/>
    </w:p>
    <w:p>
      <w:pPr>
        <w:pageBreakBefore w:val="0"/>
        <w:kinsoku/>
        <w:wordWrap/>
        <w:overflowPunct/>
        <w:bidi w:val="0"/>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注：若施工时期建设主管部门颁布新的规范、标准，则按照新的规范、标准执行。</w:t>
      </w:r>
    </w:p>
    <w:p>
      <w:pPr>
        <w:pStyle w:val="3"/>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49" w:name="_Toc21525514"/>
      <w:bookmarkStart w:id="50" w:name="_Toc2272569"/>
      <w:r>
        <w:rPr>
          <w:rFonts w:hint="eastAsia" w:ascii="宋体" w:hAnsi="宋体" w:eastAsia="宋体" w:cs="宋体"/>
          <w:color w:val="auto"/>
          <w:highlight w:val="none"/>
        </w:rPr>
        <w:t>第六章  图纸及勘察资料</w:t>
      </w:r>
      <w:bookmarkEnd w:id="49"/>
      <w:bookmarkEnd w:id="50"/>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注：本章由招标人自行制定，另册。</w:t>
      </w:r>
    </w:p>
    <w:p>
      <w:pPr>
        <w:pStyle w:val="3"/>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51" w:name="_Toc2272570"/>
      <w:bookmarkStart w:id="52" w:name="_Toc21525515"/>
      <w:r>
        <w:rPr>
          <w:rFonts w:hint="eastAsia" w:ascii="宋体" w:hAnsi="宋体" w:eastAsia="宋体" w:cs="宋体"/>
          <w:color w:val="auto"/>
          <w:highlight w:val="none"/>
        </w:rPr>
        <w:t>第七章  工程量清单</w:t>
      </w:r>
      <w:bookmarkEnd w:id="51"/>
      <w:bookmarkEnd w:id="52"/>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注：本章由招标人自行制定。</w:t>
      </w:r>
    </w:p>
    <w:p>
      <w:pPr>
        <w:pStyle w:val="5"/>
        <w:spacing w:after="0" w:line="360" w:lineRule="auto"/>
        <w:ind w:left="-2" w:leftChars="-1" w:firstLine="960" w:firstLineChars="400"/>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53" w:name="_Toc2272571"/>
      <w:bookmarkStart w:id="54" w:name="_Toc21525516"/>
      <w:r>
        <w:rPr>
          <w:rFonts w:hint="eastAsia" w:ascii="宋体" w:hAnsi="宋体" w:eastAsia="宋体" w:cs="宋体"/>
          <w:color w:val="auto"/>
          <w:highlight w:val="none"/>
        </w:rPr>
        <w:t>第八章  最高投标限价</w:t>
      </w:r>
      <w:bookmarkEnd w:id="53"/>
      <w:bookmarkEnd w:id="54"/>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最高投标限价公布函</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rPr>
        <w:rStyle w:val="40"/>
        <w:b w:val="0"/>
        <w:bCs w:val="0"/>
        <w:sz w:val="21"/>
        <w:szCs w:val="21"/>
      </w:rPr>
    </w:pPr>
    <w:r>
      <w:rPr>
        <w:rStyle w:val="40"/>
        <w:b w:val="0"/>
        <w:bCs w:val="0"/>
        <w:sz w:val="21"/>
        <w:szCs w:val="21"/>
      </w:rPr>
      <w:fldChar w:fldCharType="begin"/>
    </w:r>
    <w:r>
      <w:rPr>
        <w:rStyle w:val="40"/>
        <w:b w:val="0"/>
        <w:bCs w:val="0"/>
        <w:sz w:val="21"/>
        <w:szCs w:val="21"/>
      </w:rPr>
      <w:instrText xml:space="preserve">PAGE  </w:instrText>
    </w:r>
    <w:r>
      <w:rPr>
        <w:rStyle w:val="40"/>
        <w:b w:val="0"/>
        <w:bCs w:val="0"/>
        <w:sz w:val="21"/>
        <w:szCs w:val="21"/>
      </w:rPr>
      <w:fldChar w:fldCharType="separate"/>
    </w:r>
    <w:r>
      <w:rPr>
        <w:rStyle w:val="40"/>
        <w:b w:val="0"/>
        <w:bCs w:val="0"/>
        <w:sz w:val="21"/>
        <w:szCs w:val="21"/>
      </w:rPr>
      <w:t>20</w:t>
    </w:r>
    <w:r>
      <w:rPr>
        <w:rStyle w:val="40"/>
        <w:b w:val="0"/>
        <w:bCs w:val="0"/>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5"/>
      <w:framePr w:wrap="around" w:vAnchor="text" w:hAnchor="margin" w:xAlign="outside" w:y="1"/>
      <w:ind w:left="-4410" w:leftChars="-2100" w:right="-4439" w:rightChars="-2114"/>
      <w:rPr>
        <w:rStyle w:val="40"/>
      </w:rPr>
    </w:pPr>
  </w:p>
  <w:p>
    <w:pPr>
      <w:pStyle w:val="25"/>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5"/>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0"/>
      </w:rPr>
      <w:fldChar w:fldCharType="begin"/>
    </w:r>
    <w:r>
      <w:rPr>
        <w:rStyle w:val="40"/>
      </w:rPr>
      <w:instrText xml:space="preserve"> PAGE </w:instrText>
    </w:r>
    <w:r>
      <w:rPr>
        <w:rStyle w:val="40"/>
      </w:rPr>
      <w:fldChar w:fldCharType="separate"/>
    </w:r>
    <w:r>
      <w:rPr>
        <w:rStyle w:val="40"/>
      </w:rPr>
      <w:t>84</w:t>
    </w:r>
    <w:r>
      <w:rPr>
        <w:rStyle w:val="4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2AA96"/>
    <w:multiLevelType w:val="singleLevel"/>
    <w:tmpl w:val="98C2AA96"/>
    <w:lvl w:ilvl="0" w:tentative="0">
      <w:start w:val="2"/>
      <w:numFmt w:val="chineseCounting"/>
      <w:suff w:val="nothing"/>
      <w:lvlText w:val="%1、"/>
      <w:lvlJc w:val="left"/>
      <w:rPr>
        <w:rFonts w:hint="eastAsia"/>
      </w:rPr>
    </w:lvl>
  </w:abstractNum>
  <w:abstractNum w:abstractNumId="1">
    <w:nsid w:val="F2D94B89"/>
    <w:multiLevelType w:val="singleLevel"/>
    <w:tmpl w:val="F2D94B89"/>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49BCAA3A"/>
    <w:multiLevelType w:val="singleLevel"/>
    <w:tmpl w:val="49BCAA3A"/>
    <w:lvl w:ilvl="0" w:tentative="0">
      <w:start w:val="1"/>
      <w:numFmt w:val="decimal"/>
      <w:suff w:val="nothing"/>
      <w:lvlText w:val="（%1）"/>
      <w:lvlJc w:val="left"/>
    </w:lvl>
  </w:abstractNum>
  <w:abstractNum w:abstractNumId="4">
    <w:nsid w:val="4BB27C40"/>
    <w:multiLevelType w:val="singleLevel"/>
    <w:tmpl w:val="4BB27C40"/>
    <w:lvl w:ilvl="0" w:tentative="0">
      <w:start w:val="1"/>
      <w:numFmt w:val="chineseCounting"/>
      <w:suff w:val="nothing"/>
      <w:lvlText w:val="%1、"/>
      <w:lvlJc w:val="left"/>
      <w:rPr>
        <w:rFonts w:hint="eastAsia"/>
      </w:r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OTg5OTUxOTRhMzA5MDYxNTdmMTA2MDlmMmJkNzI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15EA1"/>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21602A8"/>
    <w:rsid w:val="02BF77F6"/>
    <w:rsid w:val="031526BA"/>
    <w:rsid w:val="031837CC"/>
    <w:rsid w:val="04F46A72"/>
    <w:rsid w:val="05935ABA"/>
    <w:rsid w:val="072F44E3"/>
    <w:rsid w:val="075F4C28"/>
    <w:rsid w:val="08303B2F"/>
    <w:rsid w:val="09F33618"/>
    <w:rsid w:val="0F7E4AB5"/>
    <w:rsid w:val="0FEF45D8"/>
    <w:rsid w:val="10E97AAB"/>
    <w:rsid w:val="110D5F7A"/>
    <w:rsid w:val="11E8746F"/>
    <w:rsid w:val="14D34591"/>
    <w:rsid w:val="151A6DA5"/>
    <w:rsid w:val="163F571D"/>
    <w:rsid w:val="171C110A"/>
    <w:rsid w:val="177D67C0"/>
    <w:rsid w:val="178D403B"/>
    <w:rsid w:val="18151F96"/>
    <w:rsid w:val="181C07FE"/>
    <w:rsid w:val="181C451B"/>
    <w:rsid w:val="19313029"/>
    <w:rsid w:val="1A293A7B"/>
    <w:rsid w:val="1A2F4635"/>
    <w:rsid w:val="1A9B136B"/>
    <w:rsid w:val="1AD03189"/>
    <w:rsid w:val="1C0F4EF3"/>
    <w:rsid w:val="1D6524F3"/>
    <w:rsid w:val="1E486D96"/>
    <w:rsid w:val="1EBA5A37"/>
    <w:rsid w:val="20216DCB"/>
    <w:rsid w:val="20F3093F"/>
    <w:rsid w:val="227C7D69"/>
    <w:rsid w:val="22AD0709"/>
    <w:rsid w:val="24A972CC"/>
    <w:rsid w:val="25D7276A"/>
    <w:rsid w:val="263561F5"/>
    <w:rsid w:val="27746867"/>
    <w:rsid w:val="27780F84"/>
    <w:rsid w:val="28790229"/>
    <w:rsid w:val="298A6CED"/>
    <w:rsid w:val="2A880A7B"/>
    <w:rsid w:val="2AB61621"/>
    <w:rsid w:val="2B53305A"/>
    <w:rsid w:val="2DC4660F"/>
    <w:rsid w:val="2E183793"/>
    <w:rsid w:val="2EDE1C71"/>
    <w:rsid w:val="2F0B32F8"/>
    <w:rsid w:val="30997F39"/>
    <w:rsid w:val="319A2B6E"/>
    <w:rsid w:val="32BF3509"/>
    <w:rsid w:val="33460DA3"/>
    <w:rsid w:val="339B6959"/>
    <w:rsid w:val="36FA484C"/>
    <w:rsid w:val="375D203C"/>
    <w:rsid w:val="379D20A3"/>
    <w:rsid w:val="37FA01D4"/>
    <w:rsid w:val="38026A6F"/>
    <w:rsid w:val="38575D5C"/>
    <w:rsid w:val="39C15447"/>
    <w:rsid w:val="3D60411F"/>
    <w:rsid w:val="3E2857C3"/>
    <w:rsid w:val="41A42728"/>
    <w:rsid w:val="41E657FF"/>
    <w:rsid w:val="42BB330B"/>
    <w:rsid w:val="469E4C96"/>
    <w:rsid w:val="48523C0A"/>
    <w:rsid w:val="48FB3EB4"/>
    <w:rsid w:val="4B3F6B82"/>
    <w:rsid w:val="4B481CF6"/>
    <w:rsid w:val="4B6B7860"/>
    <w:rsid w:val="4C066B29"/>
    <w:rsid w:val="4C3719B2"/>
    <w:rsid w:val="4D9A3ACC"/>
    <w:rsid w:val="4E6C325B"/>
    <w:rsid w:val="4F7A5C04"/>
    <w:rsid w:val="502169F8"/>
    <w:rsid w:val="53A771E4"/>
    <w:rsid w:val="53F92C98"/>
    <w:rsid w:val="54A80457"/>
    <w:rsid w:val="56B02517"/>
    <w:rsid w:val="57344589"/>
    <w:rsid w:val="57E26A3C"/>
    <w:rsid w:val="58E978DC"/>
    <w:rsid w:val="59575208"/>
    <w:rsid w:val="59C9560C"/>
    <w:rsid w:val="5A397E4B"/>
    <w:rsid w:val="5A60595A"/>
    <w:rsid w:val="5BBA6F91"/>
    <w:rsid w:val="5C7F5243"/>
    <w:rsid w:val="5CDF456F"/>
    <w:rsid w:val="5D572C78"/>
    <w:rsid w:val="5F4B72E8"/>
    <w:rsid w:val="610500E7"/>
    <w:rsid w:val="635F2C96"/>
    <w:rsid w:val="63614C0D"/>
    <w:rsid w:val="651643DE"/>
    <w:rsid w:val="653505E7"/>
    <w:rsid w:val="664E4099"/>
    <w:rsid w:val="68C11396"/>
    <w:rsid w:val="6A3141CE"/>
    <w:rsid w:val="6C6F7464"/>
    <w:rsid w:val="6C7621DF"/>
    <w:rsid w:val="6C787452"/>
    <w:rsid w:val="6CAF6A53"/>
    <w:rsid w:val="6CEF4F0F"/>
    <w:rsid w:val="6DAB59DE"/>
    <w:rsid w:val="6F43381E"/>
    <w:rsid w:val="71CB27C9"/>
    <w:rsid w:val="71D3770C"/>
    <w:rsid w:val="72AE15DE"/>
    <w:rsid w:val="732007BB"/>
    <w:rsid w:val="73CC483B"/>
    <w:rsid w:val="747857C5"/>
    <w:rsid w:val="74D57DC3"/>
    <w:rsid w:val="77967000"/>
    <w:rsid w:val="788D7EA7"/>
    <w:rsid w:val="7ADC31A8"/>
    <w:rsid w:val="7B102092"/>
    <w:rsid w:val="7B1B489C"/>
    <w:rsid w:val="7B220B46"/>
    <w:rsid w:val="7DC6043C"/>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19"/>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next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77"/>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9"/>
    <w:qFormat/>
    <w:uiPriority w:val="0"/>
    <w:rPr>
      <w:b/>
      <w:bCs/>
    </w:rPr>
  </w:style>
  <w:style w:type="paragraph" w:styleId="34">
    <w:name w:val="Body Text First Indent 2"/>
    <w:basedOn w:val="18"/>
    <w:qFormat/>
    <w:uiPriority w:val="0"/>
    <w:pPr>
      <w:spacing w:after="120" w:afterLines="0"/>
      <w:ind w:left="420" w:leftChars="200" w:firstLine="420" w:firstLineChars="200"/>
    </w:pPr>
    <w:rPr>
      <w:rFonts w:ascii="Calibri" w:hAnsi="Calibri"/>
      <w:sz w:val="20"/>
      <w:szCs w:val="24"/>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rPr>
      <w:rFonts w:ascii="宋体" w:hAnsi="Courier New"/>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3"/>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font11"/>
    <w:qFormat/>
    <w:uiPriority w:val="0"/>
    <w:rPr>
      <w:rFonts w:hint="eastAsia" w:ascii="宋体" w:hAnsi="宋体" w:eastAsia="宋体"/>
      <w:color w:val="000000"/>
      <w:sz w:val="24"/>
      <w:szCs w:val="24"/>
      <w:u w:val="single"/>
    </w:rPr>
  </w:style>
  <w:style w:type="paragraph" w:customStyle="1" w:styleId="113">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4">
    <w:name w:val="封二"/>
    <w:basedOn w:val="113"/>
    <w:next w:val="113"/>
    <w:qFormat/>
    <w:uiPriority w:val="0"/>
    <w:pPr>
      <w:ind w:firstLine="0" w:firstLineChars="0"/>
      <w:jc w:val="center"/>
    </w:pPr>
    <w:rPr>
      <w:rFonts w:eastAsia="黑体"/>
      <w:b/>
      <w:sz w:val="36"/>
      <w:szCs w:val="36"/>
    </w:rPr>
  </w:style>
  <w:style w:type="paragraph" w:customStyle="1" w:styleId="115">
    <w:name w:val="封一"/>
    <w:basedOn w:val="113"/>
    <w:next w:val="113"/>
    <w:qFormat/>
    <w:uiPriority w:val="0"/>
    <w:pPr>
      <w:ind w:firstLine="0" w:firstLineChars="0"/>
      <w:jc w:val="center"/>
    </w:pPr>
    <w:rPr>
      <w:rFonts w:eastAsia="黑体"/>
      <w:b/>
      <w:sz w:val="84"/>
      <w:szCs w:val="84"/>
    </w:rPr>
  </w:style>
  <w:style w:type="paragraph" w:customStyle="1" w:styleId="116">
    <w:name w:val="封四"/>
    <w:basedOn w:val="113"/>
    <w:next w:val="113"/>
    <w:qFormat/>
    <w:uiPriority w:val="0"/>
    <w:pPr>
      <w:jc w:val="left"/>
    </w:pPr>
    <w:rPr>
      <w:sz w:val="30"/>
      <w:szCs w:val="30"/>
    </w:rPr>
  </w:style>
  <w:style w:type="paragraph" w:customStyle="1" w:styleId="117">
    <w:name w:val="正题"/>
    <w:basedOn w:val="113"/>
    <w:next w:val="113"/>
    <w:qFormat/>
    <w:uiPriority w:val="0"/>
    <w:pPr>
      <w:ind w:firstLine="0" w:firstLineChars="0"/>
      <w:jc w:val="center"/>
    </w:pPr>
    <w:rPr>
      <w:rFonts w:eastAsia="黑体"/>
      <w:b/>
      <w:sz w:val="36"/>
      <w:szCs w:val="36"/>
    </w:rPr>
  </w:style>
  <w:style w:type="character" w:customStyle="1" w:styleId="118">
    <w:name w:val="font21"/>
    <w:basedOn w:val="37"/>
    <w:qFormat/>
    <w:uiPriority w:val="0"/>
    <w:rPr>
      <w:rFonts w:hint="eastAsia" w:ascii="仿宋" w:hAnsi="仿宋" w:eastAsia="仿宋" w:cs="仿宋"/>
      <w:b/>
      <w:color w:val="000000"/>
      <w:sz w:val="28"/>
      <w:szCs w:val="28"/>
      <w:u w:val="none"/>
    </w:rPr>
  </w:style>
  <w:style w:type="character" w:customStyle="1" w:styleId="119">
    <w:name w:val="标题 1 Char"/>
    <w:link w:val="3"/>
    <w:qFormat/>
    <w:uiPriority w:val="0"/>
    <w:rPr>
      <w:rFonts w:ascii="Arial" w:hAnsi="Arial" w:eastAsia="宋体" w:cs="Times New Roman"/>
      <w:b/>
      <w:kern w:val="44"/>
      <w:sz w:val="28"/>
      <w:szCs w:val="28"/>
    </w:rPr>
  </w:style>
  <w:style w:type="paragraph" w:customStyle="1" w:styleId="120">
    <w:name w:val="章节二"/>
    <w:basedOn w:val="113"/>
    <w:next w:val="113"/>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21">
    <w:name w:val="正文 New New"/>
    <w:basedOn w:val="1"/>
    <w:qFormat/>
    <w:uiPriority w:val="0"/>
    <w:rPr>
      <w:rFonts w:ascii="Times New Roman" w:hAnsi="Times New Roman" w:eastAsia="楷体_GB2312" w:cs="宋体"/>
      <w:szCs w:val="21"/>
    </w:rPr>
  </w:style>
  <w:style w:type="paragraph" w:customStyle="1" w:styleId="122">
    <w:name w:val="_Style 3"/>
    <w:basedOn w:val="1"/>
    <w:qFormat/>
    <w:uiPriority w:val="0"/>
    <w:pPr>
      <w:ind w:firstLine="420" w:firstLineChars="200"/>
    </w:pPr>
    <w:rPr>
      <w:sz w:val="20"/>
      <w:szCs w:val="24"/>
    </w:rPr>
  </w:style>
  <w:style w:type="character" w:customStyle="1" w:styleId="123">
    <w:name w:val="NormalCharacter"/>
    <w:qFormat/>
    <w:uiPriority w:val="0"/>
  </w:style>
  <w:style w:type="paragraph" w:customStyle="1" w:styleId="124">
    <w:name w:val="Table Paragraph"/>
    <w:basedOn w:val="1"/>
    <w:qFormat/>
    <w:uiPriority w:val="1"/>
  </w:style>
  <w:style w:type="table" w:customStyle="1" w:styleId="125">
    <w:name w:val="Table Normal"/>
    <w:semiHidden/>
    <w:unhideWhenUsed/>
    <w:qFormat/>
    <w:uiPriority w:val="2"/>
    <w:tblPr>
      <w:tblCellMar>
        <w:top w:w="0" w:type="dxa"/>
        <w:left w:w="0" w:type="dxa"/>
        <w:bottom w:w="0" w:type="dxa"/>
        <w:right w:w="0" w:type="dxa"/>
      </w:tblCellMar>
    </w:tblPr>
  </w:style>
  <w:style w:type="character" w:customStyle="1" w:styleId="126">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47094</Words>
  <Characters>49581</Characters>
  <Lines>520</Lines>
  <Paragraphs>146</Paragraphs>
  <TotalTime>13</TotalTime>
  <ScaleCrop>false</ScaleCrop>
  <LinksUpToDate>false</LinksUpToDate>
  <CharactersWithSpaces>52397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ForEver。</cp:lastModifiedBy>
  <cp:lastPrinted>2023-03-13T07:09:00Z</cp:lastPrinted>
  <dcterms:modified xsi:type="dcterms:W3CDTF">2023-05-12T06:06:16Z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F881B2334CE94829A38B1EE09BE5D37A</vt:lpwstr>
  </property>
</Properties>
</file>