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宋体" w:hAnsi="宋体"/>
          <w:b/>
          <w:sz w:val="44"/>
          <w:szCs w:val="44"/>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宋体" w:hAnsi="宋体"/>
          <w:b/>
          <w:sz w:val="44"/>
          <w:szCs w:val="44"/>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宋体" w:hAnsi="宋体"/>
          <w:b/>
          <w:sz w:val="44"/>
          <w:szCs w:val="44"/>
        </w:rPr>
      </w:pPr>
    </w:p>
    <w:p>
      <w:pPr>
        <w:bidi w:val="0"/>
        <w:jc w:val="center"/>
      </w:pPr>
    </w:p>
    <w:p>
      <w:pPr>
        <w:bidi w:val="0"/>
        <w:ind w:left="0" w:leftChars="0" w:firstLine="0" w:firstLineChars="0"/>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南沙区外江水闸泵站外电报装工程</w:t>
      </w:r>
    </w:p>
    <w:p>
      <w:pPr>
        <w:bidi w:val="0"/>
        <w:ind w:left="0" w:leftChars="0" w:firstLine="0" w:firstLineChars="0"/>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（一期）设计任务书</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方正小标宋简体" w:hAnsi="方正小标宋简体" w:eastAsia="方正小标宋简体" w:cs="方正小标宋简体"/>
          <w:b w:val="0"/>
          <w:bCs/>
          <w:sz w:val="52"/>
          <w:szCs w:val="52"/>
        </w:rPr>
      </w:pPr>
    </w:p>
    <w:p>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rPr>
        <w:t>202</w:t>
      </w:r>
      <w:r>
        <w:rPr>
          <w:rFonts w:hint="eastAsia" w:ascii="方正小标宋简体" w:hAnsi="方正小标宋简体" w:eastAsia="方正小标宋简体" w:cs="方正小标宋简体"/>
          <w:b w:val="0"/>
          <w:bCs/>
          <w:sz w:val="32"/>
          <w:szCs w:val="32"/>
          <w:lang w:val="en-US" w:eastAsia="zh-CN"/>
        </w:rPr>
        <w:t>3</w:t>
      </w:r>
      <w:r>
        <w:rPr>
          <w:rFonts w:hint="eastAsia" w:ascii="方正小标宋简体" w:hAnsi="方正小标宋简体" w:eastAsia="方正小标宋简体" w:cs="方正小标宋简体"/>
          <w:b w:val="0"/>
          <w:bCs/>
          <w:sz w:val="32"/>
          <w:szCs w:val="32"/>
        </w:rPr>
        <w:t>年</w:t>
      </w:r>
      <w:r>
        <w:rPr>
          <w:rFonts w:hint="eastAsia" w:ascii="方正小标宋简体" w:hAnsi="方正小标宋简体" w:eastAsia="方正小标宋简体" w:cs="方正小标宋简体"/>
          <w:b w:val="0"/>
          <w:bCs/>
          <w:sz w:val="32"/>
          <w:szCs w:val="32"/>
          <w:lang w:val="en-US" w:eastAsia="zh-CN"/>
        </w:rPr>
        <w:t>5</w:t>
      </w:r>
      <w:r>
        <w:rPr>
          <w:rFonts w:hint="eastAsia" w:ascii="方正小标宋简体" w:hAnsi="方正小标宋简体" w:eastAsia="方正小标宋简体" w:cs="方正小标宋简体"/>
          <w:b w:val="0"/>
          <w:bCs/>
          <w:sz w:val="32"/>
          <w:szCs w:val="32"/>
        </w:rPr>
        <w:t>月</w:t>
      </w:r>
    </w:p>
    <w:p>
      <w:pPr>
        <w:widowControl w:val="0"/>
        <w:rPr>
          <w:rFonts w:ascii="宋体" w:hAnsi="宋体" w:eastAsia="宋体" w:cs="宋体"/>
          <w:sz w:val="24"/>
          <w:szCs w:val="24"/>
        </w:rPr>
      </w:pPr>
    </w:p>
    <w:p>
      <w:pPr>
        <w:widowControl w:val="0"/>
        <w:rPr>
          <w:rFonts w:ascii="宋体" w:hAnsi="宋体" w:eastAsia="宋体" w:cs="宋体"/>
          <w:sz w:val="24"/>
          <w:szCs w:val="24"/>
        </w:rPr>
        <w:sectPr>
          <w:headerReference r:id="rId7" w:type="first"/>
          <w:headerReference r:id="rId5" w:type="default"/>
          <w:footerReference r:id="rId8" w:type="default"/>
          <w:headerReference r:id="rId6" w:type="even"/>
          <w:footerReference r:id="rId9" w:type="even"/>
          <w:pgSz w:w="11906" w:h="16838"/>
          <w:pgMar w:top="1418" w:right="1417" w:bottom="1417" w:left="1587" w:header="709" w:footer="567" w:gutter="0"/>
          <w:pgNumType w:start="0"/>
          <w:cols w:space="708" w:num="1"/>
          <w:titlePg/>
          <w:docGrid w:type="lines" w:linePitch="360" w:charSpace="0"/>
        </w:sectPr>
      </w:pPr>
    </w:p>
    <w:sdt>
      <w:sdtPr>
        <w:rPr>
          <w:rFonts w:ascii="宋体" w:hAnsi="宋体" w:eastAsia="宋体" w:cstheme="minorBidi"/>
          <w:b/>
          <w:bCs/>
          <w:sz w:val="36"/>
          <w:szCs w:val="36"/>
          <w:lang w:val="en-US" w:eastAsia="zh-CN" w:bidi="ar-SA"/>
        </w:rPr>
        <w:id w:val="147453568"/>
        <w15:color w:val="DBDBDB"/>
        <w:docPartObj>
          <w:docPartGallery w:val="Table of Contents"/>
          <w:docPartUnique/>
        </w:docPartObj>
      </w:sdtPr>
      <w:sdtEndPr>
        <w:rPr>
          <w:rFonts w:ascii="宋体" w:hAnsi="宋体" w:eastAsia="宋体" w:cstheme="minorBidi"/>
          <w:b/>
          <w:bCs/>
          <w:sz w:val="36"/>
          <w:szCs w:val="36"/>
          <w:lang w:val="en-US" w:eastAsia="zh-CN" w:bidi="ar-SA"/>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w:t>
          </w:r>
          <w:r>
            <w:rPr>
              <w:rFonts w:hint="eastAsia" w:ascii="宋体" w:hAnsi="宋体"/>
              <w:b/>
              <w:bCs/>
              <w:sz w:val="36"/>
              <w:szCs w:val="36"/>
              <w:lang w:val="en-US" w:eastAsia="zh-CN"/>
            </w:rPr>
            <w:t xml:space="preserve"> </w:t>
          </w:r>
          <w:r>
            <w:rPr>
              <w:rFonts w:ascii="宋体" w:hAnsi="宋体" w:eastAsia="宋体"/>
              <w:b/>
              <w:bCs/>
              <w:sz w:val="36"/>
              <w:szCs w:val="36"/>
            </w:rPr>
            <w:t>录</w:t>
          </w:r>
        </w:p>
        <w:p>
          <w:pPr>
            <w:pStyle w:val="15"/>
            <w:tabs>
              <w:tab w:val="right" w:leader="dot" w:pos="9071"/>
            </w:tabs>
          </w:pPr>
          <w:r>
            <w:fldChar w:fldCharType="begin"/>
          </w:r>
          <w:r>
            <w:instrText xml:space="preserve">TOC \o "1-3" \h \u </w:instrText>
          </w:r>
          <w:r>
            <w:fldChar w:fldCharType="separate"/>
          </w:r>
          <w:r>
            <w:fldChar w:fldCharType="begin"/>
          </w:r>
          <w:r>
            <w:instrText xml:space="preserve"> HYPERLINK \l _Toc10418 </w:instrText>
          </w:r>
          <w:r>
            <w:fldChar w:fldCharType="separate"/>
          </w:r>
          <w:r>
            <w:rPr>
              <w:rFonts w:hint="eastAsia" w:ascii="方正小标宋简体" w:hAnsi="黑体" w:eastAsia="方正小标宋简体" w:cs="宋体"/>
              <w:szCs w:val="44"/>
            </w:rPr>
            <w:t>第一章 工程概况</w:t>
          </w:r>
          <w:r>
            <w:tab/>
          </w:r>
          <w:r>
            <w:fldChar w:fldCharType="begin"/>
          </w:r>
          <w:r>
            <w:instrText xml:space="preserve"> PAGEREF _Toc10418 \h </w:instrText>
          </w:r>
          <w:r>
            <w:fldChar w:fldCharType="separate"/>
          </w:r>
          <w:r>
            <w:t>1</w:t>
          </w:r>
          <w:r>
            <w:fldChar w:fldCharType="end"/>
          </w:r>
          <w:r>
            <w:fldChar w:fldCharType="end"/>
          </w:r>
        </w:p>
        <w:p>
          <w:pPr>
            <w:pStyle w:val="16"/>
            <w:tabs>
              <w:tab w:val="right" w:leader="dot" w:pos="9071"/>
            </w:tabs>
          </w:pPr>
          <w:r>
            <w:fldChar w:fldCharType="begin"/>
          </w:r>
          <w:r>
            <w:instrText xml:space="preserve"> HYPERLINK \l _Toc18044 </w:instrText>
          </w:r>
          <w:r>
            <w:fldChar w:fldCharType="separate"/>
          </w:r>
          <w:r>
            <w:rPr>
              <w:rFonts w:hint="eastAsia"/>
              <w:lang w:val="en-US" w:eastAsia="zh-CN"/>
            </w:rPr>
            <w:t xml:space="preserve">1.1 </w:t>
          </w:r>
          <w:r>
            <w:rPr>
              <w:rFonts w:hint="eastAsia"/>
            </w:rPr>
            <w:t>项目概况</w:t>
          </w:r>
          <w:r>
            <w:tab/>
          </w:r>
          <w:r>
            <w:fldChar w:fldCharType="begin"/>
          </w:r>
          <w:r>
            <w:instrText xml:space="preserve"> PAGEREF _Toc18044 \h </w:instrText>
          </w:r>
          <w:r>
            <w:fldChar w:fldCharType="separate"/>
          </w:r>
          <w:r>
            <w:t>1</w:t>
          </w:r>
          <w:r>
            <w:fldChar w:fldCharType="end"/>
          </w:r>
          <w:r>
            <w:fldChar w:fldCharType="end"/>
          </w:r>
        </w:p>
        <w:p>
          <w:pPr>
            <w:pStyle w:val="16"/>
            <w:tabs>
              <w:tab w:val="right" w:leader="dot" w:pos="9071"/>
            </w:tabs>
          </w:pPr>
          <w:r>
            <w:fldChar w:fldCharType="begin"/>
          </w:r>
          <w:r>
            <w:instrText xml:space="preserve"> HYPERLINK \l _Toc12187 </w:instrText>
          </w:r>
          <w:r>
            <w:fldChar w:fldCharType="separate"/>
          </w:r>
          <w:r>
            <w:rPr>
              <w:rFonts w:hint="eastAsia"/>
              <w:lang w:val="en-US" w:eastAsia="zh-CN"/>
            </w:rPr>
            <w:t xml:space="preserve">1.2 </w:t>
          </w:r>
          <w:r>
            <w:rPr>
              <w:rFonts w:hint="eastAsia"/>
            </w:rPr>
            <w:t>服务范围</w:t>
          </w:r>
          <w:r>
            <w:tab/>
          </w:r>
          <w:r>
            <w:fldChar w:fldCharType="begin"/>
          </w:r>
          <w:r>
            <w:instrText xml:space="preserve"> PAGEREF _Toc12187 \h </w:instrText>
          </w:r>
          <w:r>
            <w:fldChar w:fldCharType="separate"/>
          </w:r>
          <w:r>
            <w:t>1</w:t>
          </w:r>
          <w:r>
            <w:fldChar w:fldCharType="end"/>
          </w:r>
          <w:r>
            <w:fldChar w:fldCharType="end"/>
          </w:r>
        </w:p>
        <w:p>
          <w:pPr>
            <w:pStyle w:val="15"/>
            <w:tabs>
              <w:tab w:val="right" w:leader="dot" w:pos="9071"/>
            </w:tabs>
          </w:pPr>
          <w:r>
            <w:fldChar w:fldCharType="begin"/>
          </w:r>
          <w:r>
            <w:instrText xml:space="preserve"> HYPERLINK \l _Toc32765 </w:instrText>
          </w:r>
          <w:r>
            <w:fldChar w:fldCharType="separate"/>
          </w:r>
          <w:r>
            <w:rPr>
              <w:rFonts w:hint="eastAsia" w:ascii="方正小标宋简体" w:hAnsi="黑体" w:eastAsia="方正小标宋简体" w:cs="宋体"/>
              <w:szCs w:val="44"/>
            </w:rPr>
            <w:t>第二章 工程建设规模及主要内容</w:t>
          </w:r>
          <w:r>
            <w:tab/>
          </w:r>
          <w:r>
            <w:fldChar w:fldCharType="begin"/>
          </w:r>
          <w:r>
            <w:instrText xml:space="preserve"> PAGEREF _Toc32765 \h </w:instrText>
          </w:r>
          <w:r>
            <w:fldChar w:fldCharType="separate"/>
          </w:r>
          <w:r>
            <w:t>6</w:t>
          </w:r>
          <w:r>
            <w:fldChar w:fldCharType="end"/>
          </w:r>
          <w:r>
            <w:fldChar w:fldCharType="end"/>
          </w:r>
        </w:p>
        <w:p>
          <w:pPr>
            <w:pStyle w:val="15"/>
            <w:tabs>
              <w:tab w:val="right" w:leader="dot" w:pos="9071"/>
            </w:tabs>
          </w:pPr>
          <w:r>
            <w:fldChar w:fldCharType="begin"/>
          </w:r>
          <w:r>
            <w:instrText xml:space="preserve"> HYPERLINK \l _Toc12809 </w:instrText>
          </w:r>
          <w:r>
            <w:fldChar w:fldCharType="separate"/>
          </w:r>
          <w:r>
            <w:rPr>
              <w:rFonts w:hint="eastAsia" w:ascii="方正小标宋简体" w:hAnsi="黑体" w:eastAsia="方正小标宋简体" w:cs="宋体"/>
              <w:szCs w:val="44"/>
            </w:rPr>
            <w:t>第三章 建设条件及标准</w:t>
          </w:r>
          <w:r>
            <w:tab/>
          </w:r>
          <w:r>
            <w:fldChar w:fldCharType="begin"/>
          </w:r>
          <w:r>
            <w:instrText xml:space="preserve"> PAGEREF _Toc12809 \h </w:instrText>
          </w:r>
          <w:r>
            <w:fldChar w:fldCharType="separate"/>
          </w:r>
          <w:r>
            <w:t>9</w:t>
          </w:r>
          <w:r>
            <w:fldChar w:fldCharType="end"/>
          </w:r>
          <w:r>
            <w:fldChar w:fldCharType="end"/>
          </w:r>
        </w:p>
        <w:p>
          <w:pPr>
            <w:pStyle w:val="16"/>
            <w:tabs>
              <w:tab w:val="right" w:leader="dot" w:pos="9071"/>
            </w:tabs>
          </w:pPr>
          <w:r>
            <w:fldChar w:fldCharType="begin"/>
          </w:r>
          <w:r>
            <w:instrText xml:space="preserve"> HYPERLINK \l _Toc7931 </w:instrText>
          </w:r>
          <w:r>
            <w:fldChar w:fldCharType="separate"/>
          </w:r>
          <w:r>
            <w:rPr>
              <w:rFonts w:hint="eastAsia"/>
              <w:lang w:val="en-US" w:eastAsia="zh-CN"/>
            </w:rPr>
            <w:t>3.1场地地质条件</w:t>
          </w:r>
          <w:r>
            <w:tab/>
          </w:r>
          <w:r>
            <w:fldChar w:fldCharType="begin"/>
          </w:r>
          <w:r>
            <w:instrText xml:space="preserve"> PAGEREF _Toc7931 \h </w:instrText>
          </w:r>
          <w:r>
            <w:fldChar w:fldCharType="separate"/>
          </w:r>
          <w:r>
            <w:t>9</w:t>
          </w:r>
          <w:r>
            <w:fldChar w:fldCharType="end"/>
          </w:r>
          <w:r>
            <w:fldChar w:fldCharType="end"/>
          </w:r>
        </w:p>
        <w:p>
          <w:pPr>
            <w:pStyle w:val="16"/>
            <w:tabs>
              <w:tab w:val="right" w:leader="dot" w:pos="9071"/>
            </w:tabs>
          </w:pPr>
          <w:r>
            <w:fldChar w:fldCharType="begin"/>
          </w:r>
          <w:r>
            <w:instrText xml:space="preserve"> HYPERLINK \l _Toc18644 </w:instrText>
          </w:r>
          <w:r>
            <w:fldChar w:fldCharType="separate"/>
          </w:r>
          <w:r>
            <w:t>3.</w:t>
          </w:r>
          <w:r>
            <w:rPr>
              <w:rFonts w:hint="eastAsia"/>
              <w:lang w:val="en-US" w:eastAsia="zh-CN"/>
            </w:rPr>
            <w:t>2</w:t>
          </w:r>
          <w:r>
            <w:t>水文条件</w:t>
          </w:r>
          <w:r>
            <w:tab/>
          </w:r>
          <w:r>
            <w:fldChar w:fldCharType="begin"/>
          </w:r>
          <w:r>
            <w:instrText xml:space="preserve"> PAGEREF _Toc18644 \h </w:instrText>
          </w:r>
          <w:r>
            <w:fldChar w:fldCharType="separate"/>
          </w:r>
          <w:r>
            <w:t>11</w:t>
          </w:r>
          <w:r>
            <w:fldChar w:fldCharType="end"/>
          </w:r>
          <w:r>
            <w:fldChar w:fldCharType="end"/>
          </w:r>
        </w:p>
        <w:p>
          <w:pPr>
            <w:pStyle w:val="16"/>
            <w:tabs>
              <w:tab w:val="right" w:leader="dot" w:pos="9071"/>
            </w:tabs>
          </w:pPr>
          <w:r>
            <w:fldChar w:fldCharType="begin"/>
          </w:r>
          <w:r>
            <w:instrText xml:space="preserve"> HYPERLINK \l _Toc19308 </w:instrText>
          </w:r>
          <w:r>
            <w:fldChar w:fldCharType="separate"/>
          </w:r>
          <w:r>
            <w:t>3.</w:t>
          </w:r>
          <w:r>
            <w:rPr>
              <w:rFonts w:hint="eastAsia"/>
              <w:lang w:val="en-US" w:eastAsia="zh-CN"/>
            </w:rPr>
            <w:t>3</w:t>
          </w:r>
          <w:r>
            <w:t>设计</w:t>
          </w:r>
          <w:r>
            <w:rPr>
              <w:rFonts w:hint="eastAsia"/>
              <w:lang w:val="en-US" w:eastAsia="zh-CN"/>
            </w:rPr>
            <w:t>参考规范</w:t>
          </w:r>
          <w:r>
            <w:tab/>
          </w:r>
          <w:r>
            <w:fldChar w:fldCharType="begin"/>
          </w:r>
          <w:r>
            <w:instrText xml:space="preserve"> PAGEREF _Toc19308 \h </w:instrText>
          </w:r>
          <w:r>
            <w:fldChar w:fldCharType="separate"/>
          </w:r>
          <w:r>
            <w:t>13</w:t>
          </w:r>
          <w:r>
            <w:fldChar w:fldCharType="end"/>
          </w:r>
          <w:r>
            <w:fldChar w:fldCharType="end"/>
          </w:r>
        </w:p>
        <w:p>
          <w:pPr>
            <w:pStyle w:val="15"/>
            <w:tabs>
              <w:tab w:val="right" w:leader="dot" w:pos="9071"/>
            </w:tabs>
          </w:pPr>
          <w:r>
            <w:fldChar w:fldCharType="begin"/>
          </w:r>
          <w:r>
            <w:instrText xml:space="preserve"> HYPERLINK \l _Toc3241 </w:instrText>
          </w:r>
          <w:r>
            <w:fldChar w:fldCharType="separate"/>
          </w:r>
          <w:r>
            <w:rPr>
              <w:rFonts w:ascii="Times New Roman" w:hAnsi="Times New Roman" w:eastAsia="方正小标宋简体" w:cs="Times New Roman"/>
              <w:szCs w:val="44"/>
            </w:rPr>
            <w:t>第四章 工程总体设计原则及要求</w:t>
          </w:r>
          <w:r>
            <w:tab/>
          </w:r>
          <w:r>
            <w:fldChar w:fldCharType="begin"/>
          </w:r>
          <w:r>
            <w:instrText xml:space="preserve"> PAGEREF _Toc3241 \h </w:instrText>
          </w:r>
          <w:r>
            <w:fldChar w:fldCharType="separate"/>
          </w:r>
          <w:r>
            <w:t>15</w:t>
          </w:r>
          <w:r>
            <w:fldChar w:fldCharType="end"/>
          </w:r>
          <w:r>
            <w:fldChar w:fldCharType="end"/>
          </w:r>
        </w:p>
        <w:p>
          <w:pPr>
            <w:pStyle w:val="15"/>
            <w:tabs>
              <w:tab w:val="right" w:leader="dot" w:pos="9071"/>
            </w:tabs>
          </w:pPr>
          <w:r>
            <w:fldChar w:fldCharType="begin"/>
          </w:r>
          <w:r>
            <w:instrText xml:space="preserve"> HYPERLINK \l _Toc20884 </w:instrText>
          </w:r>
          <w:r>
            <w:fldChar w:fldCharType="separate"/>
          </w:r>
          <w:r>
            <w:rPr>
              <w:rFonts w:ascii="Times New Roman" w:hAnsi="Times New Roman" w:eastAsia="方正小标宋简体" w:cs="Times New Roman"/>
              <w:szCs w:val="44"/>
            </w:rPr>
            <w:t>第五章 设计内容及工作任务</w:t>
          </w:r>
          <w:r>
            <w:tab/>
          </w:r>
          <w:r>
            <w:fldChar w:fldCharType="begin"/>
          </w:r>
          <w:r>
            <w:instrText xml:space="preserve"> PAGEREF _Toc20884 \h </w:instrText>
          </w:r>
          <w:r>
            <w:fldChar w:fldCharType="separate"/>
          </w:r>
          <w:r>
            <w:t>16</w:t>
          </w:r>
          <w:r>
            <w:fldChar w:fldCharType="end"/>
          </w:r>
          <w:r>
            <w:fldChar w:fldCharType="end"/>
          </w:r>
        </w:p>
        <w:p>
          <w:pPr>
            <w:pStyle w:val="16"/>
            <w:tabs>
              <w:tab w:val="right" w:leader="dot" w:pos="9071"/>
            </w:tabs>
          </w:pPr>
          <w:r>
            <w:fldChar w:fldCharType="begin"/>
          </w:r>
          <w:r>
            <w:instrText xml:space="preserve"> HYPERLINK \l _Toc32224 </w:instrText>
          </w:r>
          <w:r>
            <w:fldChar w:fldCharType="separate"/>
          </w:r>
          <w:r>
            <w:rPr>
              <w:rFonts w:hint="eastAsia"/>
              <w:lang w:val="en-US" w:eastAsia="zh-CN"/>
            </w:rPr>
            <w:t>5.1设计内容：</w:t>
          </w:r>
          <w:r>
            <w:tab/>
          </w:r>
          <w:r>
            <w:fldChar w:fldCharType="begin"/>
          </w:r>
          <w:r>
            <w:instrText xml:space="preserve"> PAGEREF _Toc32224 \h </w:instrText>
          </w:r>
          <w:r>
            <w:fldChar w:fldCharType="separate"/>
          </w:r>
          <w:r>
            <w:t>16</w:t>
          </w:r>
          <w:r>
            <w:fldChar w:fldCharType="end"/>
          </w:r>
          <w:r>
            <w:fldChar w:fldCharType="end"/>
          </w:r>
        </w:p>
        <w:p>
          <w:pPr>
            <w:pStyle w:val="16"/>
            <w:tabs>
              <w:tab w:val="right" w:leader="dot" w:pos="9071"/>
            </w:tabs>
          </w:pPr>
          <w:r>
            <w:fldChar w:fldCharType="begin"/>
          </w:r>
          <w:r>
            <w:instrText xml:space="preserve"> HYPERLINK \l _Toc2304 </w:instrText>
          </w:r>
          <w:r>
            <w:fldChar w:fldCharType="separate"/>
          </w:r>
          <w:r>
            <w:rPr>
              <w:rFonts w:hint="eastAsia"/>
              <w:lang w:val="en-US" w:eastAsia="zh-CN"/>
            </w:rPr>
            <w:t>5.2工作任务</w:t>
          </w:r>
          <w:r>
            <w:tab/>
          </w:r>
          <w:r>
            <w:fldChar w:fldCharType="begin"/>
          </w:r>
          <w:r>
            <w:instrText xml:space="preserve"> PAGEREF _Toc2304 \h </w:instrText>
          </w:r>
          <w:r>
            <w:fldChar w:fldCharType="separate"/>
          </w:r>
          <w:r>
            <w:t>16</w:t>
          </w:r>
          <w:r>
            <w:fldChar w:fldCharType="end"/>
          </w:r>
          <w:r>
            <w:fldChar w:fldCharType="end"/>
          </w:r>
        </w:p>
        <w:p>
          <w:r>
            <w:fldChar w:fldCharType="end"/>
          </w:r>
        </w:p>
      </w:sdtContent>
    </w:sdt>
    <w:p>
      <w:pPr>
        <w:widowControl w:val="0"/>
        <w:adjustRightInd/>
        <w:snapToGrid/>
        <w:spacing w:after="0"/>
        <w:rPr>
          <w:rFonts w:ascii="宋体" w:hAnsi="宋体" w:eastAsia="宋体" w:cs="宋体"/>
          <w:sz w:val="24"/>
          <w:szCs w:val="24"/>
        </w:rPr>
        <w:sectPr>
          <w:pgSz w:w="11906" w:h="16838"/>
          <w:pgMar w:top="1418" w:right="1134" w:bottom="1134" w:left="1701" w:header="709" w:footer="567" w:gutter="0"/>
          <w:pgNumType w:start="0"/>
          <w:cols w:space="708" w:num="1"/>
          <w:titlePg/>
          <w:docGrid w:type="lines" w:linePitch="360" w:charSpace="0"/>
        </w:sectPr>
      </w:pPr>
      <w:r>
        <w:rPr>
          <w:rFonts w:ascii="宋体" w:hAnsi="宋体" w:eastAsia="宋体" w:cs="宋体"/>
          <w:sz w:val="24"/>
          <w:szCs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0"/>
        <w:rPr>
          <w:rFonts w:hint="eastAsia" w:ascii="Times New Roman" w:hAnsi="Times New Roman" w:eastAsia="方正小标宋简体" w:cs="Times New Roman"/>
          <w:sz w:val="32"/>
          <w:szCs w:val="32"/>
        </w:rPr>
      </w:pPr>
      <w:bookmarkStart w:id="0" w:name="_Toc503863169"/>
      <w:bookmarkStart w:id="1" w:name="_Toc483213818"/>
      <w:bookmarkStart w:id="2" w:name="_Toc10418"/>
      <w:r>
        <w:rPr>
          <w:rFonts w:hint="eastAsia" w:ascii="Times New Roman" w:hAnsi="Times New Roman" w:eastAsia="方正小标宋简体" w:cs="Times New Roman"/>
          <w:sz w:val="32"/>
          <w:szCs w:val="32"/>
        </w:rPr>
        <w:t>第一章 工程概况</w:t>
      </w:r>
      <w:bookmarkEnd w:id="0"/>
      <w:bookmarkEnd w:id="1"/>
      <w:bookmarkEnd w:id="2"/>
    </w:p>
    <w:p>
      <w:pPr>
        <w:pStyle w:val="5"/>
        <w:bidi w:val="0"/>
      </w:pPr>
      <w:bookmarkStart w:id="3" w:name="_Toc18044"/>
      <w:r>
        <w:rPr>
          <w:rFonts w:hint="eastAsia"/>
          <w:lang w:val="en-US" w:eastAsia="zh-CN"/>
        </w:rPr>
        <w:t xml:space="preserve">1.1 </w:t>
      </w:r>
      <w:r>
        <w:rPr>
          <w:rFonts w:hint="eastAsia"/>
        </w:rPr>
        <w:t>项目概况</w:t>
      </w:r>
      <w:bookmarkEnd w:id="3"/>
    </w:p>
    <w:p>
      <w:pPr>
        <w:bidi w:val="0"/>
        <w:rPr>
          <w:rFonts w:hint="eastAsia"/>
          <w:lang w:val="en-US" w:eastAsia="zh-CN"/>
        </w:rPr>
      </w:pPr>
      <w:r>
        <w:rPr>
          <w:rFonts w:hint="eastAsia"/>
          <w:lang w:val="en-US" w:eastAsia="zh-CN"/>
        </w:rPr>
        <w:t>1、</w:t>
      </w:r>
      <w:r>
        <w:rPr>
          <w:rFonts w:hint="eastAsia"/>
        </w:rPr>
        <w:t>项目区位：</w:t>
      </w:r>
      <w:r>
        <w:rPr>
          <w:rFonts w:hint="eastAsia"/>
          <w:lang w:val="en-US" w:eastAsia="zh-CN"/>
        </w:rPr>
        <w:t>位于广州市南沙区。</w:t>
      </w:r>
    </w:p>
    <w:p>
      <w:pPr>
        <w:bidi w:val="0"/>
        <w:rPr>
          <w:rFonts w:hint="eastAsia"/>
          <w:lang w:eastAsia="zh-CN"/>
        </w:rPr>
      </w:pPr>
      <w:r>
        <w:rPr>
          <w:rFonts w:hint="eastAsia"/>
          <w:lang w:val="en-US" w:eastAsia="zh-CN"/>
        </w:rPr>
        <w:t>2、</w:t>
      </w:r>
      <w:r>
        <w:rPr>
          <w:rFonts w:hint="eastAsia"/>
        </w:rPr>
        <w:t>项目性质</w:t>
      </w:r>
      <w:r>
        <w:rPr>
          <w:rFonts w:hint="eastAsia"/>
          <w:lang w:eastAsia="zh-CN"/>
        </w:rPr>
        <w:t>：</w:t>
      </w:r>
    </w:p>
    <w:p>
      <w:pPr>
        <w:bidi w:val="0"/>
        <w:rPr>
          <w:rFonts w:hint="eastAsia"/>
        </w:rPr>
      </w:pPr>
      <w:r>
        <w:rPr>
          <w:rFonts w:hint="eastAsia"/>
        </w:rPr>
        <w:t>本工程拟新建10kV外线供配电设施满足南沙区</w:t>
      </w:r>
      <w:r>
        <w:rPr>
          <w:rFonts w:hint="eastAsia"/>
          <w:lang w:eastAsia="zh-CN"/>
        </w:rPr>
        <w:t>庵鱼</w:t>
      </w:r>
      <w:r>
        <w:rPr>
          <w:rFonts w:hint="eastAsia"/>
        </w:rPr>
        <w:t>泵闸等水闸泵站项目电力供应总体需求。</w:t>
      </w:r>
    </w:p>
    <w:p>
      <w:pPr>
        <w:pStyle w:val="5"/>
        <w:bidi w:val="0"/>
        <w:rPr>
          <w:rFonts w:hint="eastAsia"/>
          <w:lang w:eastAsia="zh-CN"/>
        </w:rPr>
      </w:pPr>
      <w:bookmarkStart w:id="4" w:name="_Toc12187"/>
      <w:r>
        <w:rPr>
          <w:rFonts w:hint="eastAsia"/>
          <w:lang w:val="en-US" w:eastAsia="zh-CN"/>
        </w:rPr>
        <w:t xml:space="preserve">1.2 </w:t>
      </w:r>
      <w:r>
        <w:rPr>
          <w:rFonts w:hint="eastAsia"/>
        </w:rPr>
        <w:t>服务范围</w:t>
      </w:r>
      <w:bookmarkEnd w:id="4"/>
    </w:p>
    <w:p>
      <w:pPr>
        <w:bidi w:val="0"/>
      </w:pPr>
      <w:r>
        <w:rPr>
          <w:rFonts w:hint="eastAsia"/>
        </w:rPr>
        <w:t>本</w:t>
      </w:r>
      <w:r>
        <w:rPr>
          <w:rFonts w:hint="eastAsia"/>
          <w:lang w:val="en-US" w:eastAsia="zh-CN"/>
        </w:rPr>
        <w:t>任务书</w:t>
      </w:r>
      <w:r>
        <w:rPr>
          <w:rFonts w:hint="eastAsia"/>
        </w:rPr>
        <w:t>内容为在分析南沙区</w:t>
      </w:r>
      <w:r>
        <w:rPr>
          <w:rFonts w:hint="eastAsia"/>
          <w:lang w:eastAsia="zh-CN"/>
        </w:rPr>
        <w:t>庵鱼</w:t>
      </w:r>
      <w:r>
        <w:rPr>
          <w:rFonts w:hint="eastAsia"/>
        </w:rPr>
        <w:t>泵闸等水闸泵站项目周边电网现状和电力需求的基础上提出南沙区</w:t>
      </w:r>
      <w:r>
        <w:rPr>
          <w:rFonts w:hint="eastAsia"/>
          <w:lang w:eastAsia="zh-CN"/>
        </w:rPr>
        <w:t>庵鱼</w:t>
      </w:r>
      <w:r>
        <w:rPr>
          <w:rFonts w:hint="eastAsia"/>
        </w:rPr>
        <w:t>泵闸等水闸泵站项目外电报装工程电房供电工程建设的建议方案和建设规模。</w:t>
      </w:r>
      <w:r>
        <w:rPr>
          <w:rFonts w:hint="eastAsia"/>
          <w:lang w:val="en-US" w:eastAsia="zh-CN"/>
        </w:rPr>
        <w:t>完成</w:t>
      </w:r>
      <w:r>
        <w:rPr>
          <w:rFonts w:hint="eastAsia"/>
        </w:rPr>
        <w:t>南沙区</w:t>
      </w:r>
      <w:r>
        <w:rPr>
          <w:rFonts w:hint="eastAsia"/>
          <w:lang w:eastAsia="zh-CN"/>
        </w:rPr>
        <w:t>庵鱼</w:t>
      </w:r>
      <w:r>
        <w:rPr>
          <w:rFonts w:hint="eastAsia"/>
        </w:rPr>
        <w:t>泵闸等水闸泵站项目10kV供配电工程包括各个泵站</w:t>
      </w:r>
      <w:r>
        <w:rPr>
          <w:rFonts w:hint="eastAsia"/>
          <w:lang w:val="en-US" w:eastAsia="zh-CN"/>
        </w:rPr>
        <w:t>合同范围内的外电</w:t>
      </w:r>
      <w:r>
        <w:rPr>
          <w:rFonts w:hint="eastAsia"/>
        </w:rPr>
        <w:t>线路工程</w:t>
      </w:r>
      <w:r>
        <w:rPr>
          <w:rFonts w:hint="eastAsia"/>
          <w:lang w:val="en-US" w:eastAsia="zh-CN"/>
        </w:rPr>
        <w:t>设计</w:t>
      </w:r>
      <w:r>
        <w:rPr>
          <w:rFonts w:hint="eastAsia"/>
        </w:rPr>
        <w:t>。</w:t>
      </w:r>
    </w:p>
    <w:p>
      <w:pPr>
        <w:bidi w:val="0"/>
        <w:rPr>
          <w:rFonts w:hint="eastAsia"/>
        </w:rPr>
      </w:pPr>
      <w:r>
        <w:rPr>
          <w:rFonts w:hint="eastAsia"/>
          <w:lang w:eastAsia="zh-CN"/>
        </w:rPr>
        <w:t>庵鱼</w:t>
      </w:r>
      <w:r>
        <w:rPr>
          <w:rFonts w:hint="eastAsia"/>
        </w:rPr>
        <w:t>泵闸等水闸泵站项目建设场地分散于南沙区榄核镇、大岗镇、东涌镇等各地。地理位置如下图所示：</w:t>
      </w:r>
    </w:p>
    <w:p>
      <w:pPr>
        <w:ind w:left="0" w:leftChars="0" w:firstLine="0" w:firstLineChars="0"/>
      </w:pPr>
      <w:r>
        <w:drawing>
          <wp:inline distT="0" distB="0" distL="114300" distR="114300">
            <wp:extent cx="5749290" cy="3770630"/>
            <wp:effectExtent l="0" t="0" r="3810" b="12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5749290" cy="3770630"/>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-1：庵鱼泵站项目地理位置示意图</w:t>
      </w:r>
    </w:p>
    <w:p>
      <w:pPr>
        <w:bidi w:val="0"/>
        <w:ind w:left="0" w:leftChars="0" w:firstLine="0" w:firstLineChars="0"/>
        <w:jc w:val="both"/>
      </w:pPr>
      <w:r>
        <w:drawing>
          <wp:inline distT="0" distB="0" distL="114300" distR="114300">
            <wp:extent cx="5756275" cy="3352800"/>
            <wp:effectExtent l="0" t="0" r="1587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756275" cy="3352800"/>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-2：崩涌泵站水闸项目地理位置示意图</w:t>
      </w:r>
    </w:p>
    <w:p>
      <w:pPr>
        <w:bidi w:val="0"/>
        <w:ind w:left="0" w:leftChars="0" w:firstLine="0" w:firstLineChars="0"/>
        <w:jc w:val="both"/>
      </w:pPr>
      <w:r>
        <w:drawing>
          <wp:inline distT="0" distB="0" distL="114300" distR="114300">
            <wp:extent cx="5759450" cy="3453130"/>
            <wp:effectExtent l="0" t="0" r="1270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759450" cy="3453130"/>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w:t>
      </w:r>
      <w:r>
        <w:t>3</w:t>
      </w:r>
      <w:r>
        <w:rPr>
          <w:rFonts w:hint="eastAsia"/>
        </w:rPr>
        <w:t>：张松</w:t>
      </w:r>
      <w:r>
        <w:rPr>
          <w:rFonts w:hint="eastAsia"/>
          <w:lang w:val="en-US" w:eastAsia="zh-CN"/>
        </w:rPr>
        <w:t>涌泵站</w:t>
      </w:r>
      <w:r>
        <w:rPr>
          <w:rFonts w:hint="eastAsia"/>
        </w:rPr>
        <w:t>项目地理位置示意图</w:t>
      </w:r>
    </w:p>
    <w:p>
      <w:pPr>
        <w:bidi w:val="0"/>
        <w:ind w:left="0" w:leftChars="0" w:firstLine="0" w:firstLineChars="0"/>
        <w:jc w:val="both"/>
      </w:pPr>
      <w:r>
        <w:drawing>
          <wp:inline distT="0" distB="0" distL="114300" distR="114300">
            <wp:extent cx="5752465" cy="3877945"/>
            <wp:effectExtent l="0" t="0" r="635"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752465" cy="3877945"/>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w:t>
      </w:r>
      <w:r>
        <w:t>4</w:t>
      </w:r>
      <w:r>
        <w:rPr>
          <w:rFonts w:hint="eastAsia"/>
        </w:rPr>
        <w:t>：大王头泵站水闸项目地理位置示意图</w:t>
      </w:r>
    </w:p>
    <w:p>
      <w:pPr>
        <w:bidi w:val="0"/>
        <w:ind w:left="0" w:leftChars="0" w:firstLine="0" w:firstLineChars="0"/>
        <w:jc w:val="both"/>
      </w:pPr>
      <w:r>
        <w:drawing>
          <wp:inline distT="0" distB="0" distL="114300" distR="114300">
            <wp:extent cx="5754370" cy="3592830"/>
            <wp:effectExtent l="0" t="0" r="1778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5754370" cy="3592830"/>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w:t>
      </w:r>
      <w:r>
        <w:t>5</w:t>
      </w:r>
      <w:r>
        <w:rPr>
          <w:rFonts w:hint="eastAsia"/>
        </w:rPr>
        <w:t>：西樵尾泵站水闸项目地理位置示意图</w:t>
      </w:r>
    </w:p>
    <w:p>
      <w:pPr>
        <w:bidi w:val="0"/>
        <w:ind w:left="0" w:leftChars="0" w:firstLine="0" w:firstLineChars="0"/>
        <w:jc w:val="both"/>
      </w:pPr>
      <w:r>
        <w:drawing>
          <wp:inline distT="0" distB="0" distL="114300" distR="114300">
            <wp:extent cx="5754370" cy="4004945"/>
            <wp:effectExtent l="0" t="0" r="17780"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5754370" cy="4004945"/>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w:t>
      </w:r>
      <w:r>
        <w:t>6</w:t>
      </w:r>
      <w:r>
        <w:rPr>
          <w:rFonts w:hint="eastAsia"/>
        </w:rPr>
        <w:t>：雁沙东泵站水闸项目地理位置示意图</w:t>
      </w:r>
    </w:p>
    <w:p>
      <w:pPr>
        <w:bidi w:val="0"/>
        <w:ind w:left="0" w:leftChars="0" w:firstLine="0" w:firstLineChars="0"/>
        <w:jc w:val="both"/>
      </w:pPr>
      <w:r>
        <w:drawing>
          <wp:inline distT="0" distB="0" distL="114300" distR="114300">
            <wp:extent cx="5754370" cy="3845560"/>
            <wp:effectExtent l="0" t="0" r="17780"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5754370" cy="3845560"/>
                    </a:xfrm>
                    <a:prstGeom prst="rect">
                      <a:avLst/>
                    </a:prstGeom>
                    <a:noFill/>
                    <a:ln>
                      <a:noFill/>
                    </a:ln>
                  </pic:spPr>
                </pic:pic>
              </a:graphicData>
            </a:graphic>
          </wp:inline>
        </w:drawing>
      </w:r>
    </w:p>
    <w:p>
      <w:pPr>
        <w:bidi w:val="0"/>
        <w:jc w:val="center"/>
      </w:pPr>
      <w:r>
        <w:rPr>
          <w:rFonts w:hint="eastAsia"/>
        </w:rPr>
        <w:t>图</w:t>
      </w:r>
      <w:r>
        <w:rPr>
          <w:rFonts w:hint="eastAsia"/>
          <w:lang w:val="en-US" w:eastAsia="zh-CN"/>
        </w:rPr>
        <w:t>1</w:t>
      </w:r>
      <w:r>
        <w:rPr>
          <w:rFonts w:hint="eastAsia"/>
        </w:rPr>
        <w:t>-7：横栏东泵站水闸项目地理位置示意图</w:t>
      </w:r>
    </w:p>
    <w:p>
      <w:pPr>
        <w:bidi w:val="0"/>
        <w:ind w:left="0" w:leftChars="0" w:firstLine="0" w:firstLineChars="0"/>
        <w:jc w:val="both"/>
      </w:pPr>
      <w:r>
        <w:drawing>
          <wp:inline distT="0" distB="0" distL="114300" distR="114300">
            <wp:extent cx="5753735" cy="3929380"/>
            <wp:effectExtent l="0" t="0" r="18415" b="1397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5753735" cy="3929380"/>
                    </a:xfrm>
                    <a:prstGeom prst="rect">
                      <a:avLst/>
                    </a:prstGeom>
                    <a:noFill/>
                    <a:ln>
                      <a:noFill/>
                    </a:ln>
                  </pic:spPr>
                </pic:pic>
              </a:graphicData>
            </a:graphic>
          </wp:inline>
        </w:drawing>
      </w:r>
    </w:p>
    <w:p>
      <w:pPr>
        <w:bidi w:val="0"/>
        <w:jc w:val="center"/>
        <w:sectPr>
          <w:footerReference r:id="rId10" w:type="first"/>
          <w:type w:val="continuous"/>
          <w:pgSz w:w="11906" w:h="16838"/>
          <w:pgMar w:top="1418" w:right="1134" w:bottom="1134" w:left="1701" w:header="709" w:footer="271" w:gutter="0"/>
          <w:pgNumType w:start="1"/>
          <w:cols w:space="708" w:num="1"/>
          <w:docGrid w:type="lines" w:linePitch="360" w:charSpace="0"/>
        </w:sectPr>
      </w:pPr>
      <w:r>
        <w:rPr>
          <w:rFonts w:hint="eastAsia"/>
        </w:rPr>
        <w:t>图</w:t>
      </w:r>
      <w:r>
        <w:rPr>
          <w:rFonts w:hint="eastAsia"/>
          <w:lang w:val="en-US" w:eastAsia="zh-CN"/>
        </w:rPr>
        <w:t>1</w:t>
      </w:r>
      <w:r>
        <w:rPr>
          <w:rFonts w:hint="eastAsia"/>
        </w:rPr>
        <w:t>-8：双亦西泵站水闸项目地理位置示意图</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0"/>
        <w:rPr>
          <w:rFonts w:hint="eastAsia" w:ascii="Times New Roman" w:hAnsi="Times New Roman" w:eastAsia="方正小标宋简体" w:cs="Times New Roman"/>
          <w:sz w:val="32"/>
          <w:szCs w:val="32"/>
        </w:rPr>
      </w:pPr>
      <w:bookmarkStart w:id="5" w:name="_Toc483213819"/>
      <w:bookmarkStart w:id="6" w:name="_Toc503863170"/>
      <w:bookmarkStart w:id="7" w:name="_Toc32765"/>
      <w:r>
        <w:rPr>
          <w:rFonts w:hint="eastAsia" w:ascii="Times New Roman" w:hAnsi="Times New Roman" w:eastAsia="方正小标宋简体" w:cs="Times New Roman"/>
          <w:sz w:val="32"/>
          <w:szCs w:val="32"/>
        </w:rPr>
        <w:t>第二章 工程建设规模</w:t>
      </w:r>
      <w:bookmarkEnd w:id="5"/>
      <w:bookmarkEnd w:id="6"/>
      <w:r>
        <w:rPr>
          <w:rFonts w:hint="eastAsia" w:ascii="Times New Roman" w:hAnsi="Times New Roman" w:eastAsia="方正小标宋简体" w:cs="Times New Roman"/>
          <w:sz w:val="32"/>
          <w:szCs w:val="32"/>
        </w:rPr>
        <w:t>及主要内容</w:t>
      </w:r>
      <w:bookmarkEnd w:id="7"/>
    </w:p>
    <w:p>
      <w:pPr>
        <w:bidi w:val="0"/>
        <w:rPr>
          <w:rFonts w:hint="eastAsia"/>
        </w:rPr>
      </w:pPr>
      <w:r>
        <w:rPr>
          <w:rFonts w:hint="eastAsia"/>
        </w:rPr>
        <w:t>本项目共为8个泵站电房建设10kV外线供电，除</w:t>
      </w:r>
      <w:r>
        <w:rPr>
          <w:rFonts w:hint="eastAsia" w:ascii="Times New Roman" w:hAnsi="Times New Roman"/>
        </w:rPr>
        <w:t>双亦西</w:t>
      </w:r>
      <w:r>
        <w:rPr>
          <w:rFonts w:hint="eastAsia"/>
          <w:color w:val="auto"/>
          <w:sz w:val="32"/>
          <w:szCs w:val="32"/>
          <w:lang w:val="en-US" w:eastAsia="zh-CN"/>
        </w:rPr>
        <w:t>泵闸外电工程</w:t>
      </w:r>
      <w:r>
        <w:rPr>
          <w:rFonts w:hint="eastAsia"/>
        </w:rPr>
        <w:t>包含红线内外工程外，其余均为</w:t>
      </w:r>
      <w:r>
        <w:rPr>
          <w:rFonts w:hint="eastAsia"/>
          <w:lang w:val="en-US" w:eastAsia="zh-CN"/>
        </w:rPr>
        <w:t>水闸</w:t>
      </w:r>
      <w:bookmarkStart w:id="34" w:name="_GoBack"/>
      <w:bookmarkEnd w:id="34"/>
      <w:r>
        <w:rPr>
          <w:rFonts w:hint="eastAsia"/>
        </w:rPr>
        <w:t>泵站红线外敷设电缆，根据各个水闸、泵站周边的负荷具体情况，选择最合适的配置方案：</w:t>
      </w:r>
    </w:p>
    <w:p>
      <w:pPr>
        <w:bidi w:val="0"/>
        <w:rPr>
          <w:rFonts w:hint="eastAsia"/>
        </w:rPr>
      </w:pPr>
      <w:r>
        <w:rPr>
          <w:rFonts w:hint="eastAsia" w:ascii="Times New Roman" w:hAnsi="Times New Roman"/>
        </w:rPr>
        <w:t>横栏东</w:t>
      </w:r>
      <w:r>
        <w:rPr>
          <w:rFonts w:hint="eastAsia"/>
          <w:color w:val="auto"/>
          <w:sz w:val="32"/>
          <w:szCs w:val="32"/>
          <w:lang w:val="en-US" w:eastAsia="zh-CN"/>
        </w:rPr>
        <w:t>泵闸外电工程</w:t>
      </w:r>
      <w:r>
        <w:rPr>
          <w:rFonts w:hint="eastAsia"/>
        </w:rPr>
        <w:t>：</w:t>
      </w:r>
      <w:r>
        <w:rPr>
          <w:rFonts w:hint="eastAsia"/>
          <w:lang w:val="en-US" w:eastAsia="zh-CN"/>
        </w:rPr>
        <w:t>红线外高压线路、土建部分设计；</w:t>
      </w:r>
    </w:p>
    <w:p>
      <w:pPr>
        <w:bidi w:val="0"/>
        <w:rPr>
          <w:rFonts w:hint="eastAsia"/>
        </w:rPr>
      </w:pPr>
      <w:r>
        <w:rPr>
          <w:rFonts w:hint="eastAsia" w:ascii="Times New Roman" w:hAnsi="Times New Roman"/>
        </w:rPr>
        <w:t>西樵尾</w:t>
      </w:r>
      <w:r>
        <w:rPr>
          <w:rFonts w:hint="eastAsia"/>
          <w:color w:val="auto"/>
          <w:sz w:val="32"/>
          <w:szCs w:val="32"/>
          <w:lang w:val="en-US" w:eastAsia="zh-CN"/>
        </w:rPr>
        <w:t>泵闸外电工程</w:t>
      </w:r>
      <w:r>
        <w:rPr>
          <w:rFonts w:hint="eastAsia"/>
        </w:rPr>
        <w:t>：</w:t>
      </w:r>
      <w:r>
        <w:rPr>
          <w:rFonts w:hint="eastAsia"/>
          <w:lang w:val="en-US" w:eastAsia="zh-CN"/>
        </w:rPr>
        <w:t>红线外高压线路、土建部分设计；</w:t>
      </w:r>
    </w:p>
    <w:p>
      <w:pPr>
        <w:bidi w:val="0"/>
        <w:rPr>
          <w:rFonts w:hint="eastAsia"/>
        </w:rPr>
      </w:pPr>
      <w:r>
        <w:rPr>
          <w:rFonts w:hint="eastAsia" w:ascii="Times New Roman" w:hAnsi="Times New Roman"/>
        </w:rPr>
        <w:t>雁沙东</w:t>
      </w:r>
      <w:r>
        <w:rPr>
          <w:rFonts w:hint="eastAsia"/>
          <w:color w:val="auto"/>
          <w:sz w:val="32"/>
          <w:szCs w:val="32"/>
          <w:lang w:val="en-US" w:eastAsia="zh-CN"/>
        </w:rPr>
        <w:t>泵闸外电工程</w:t>
      </w:r>
      <w:r>
        <w:rPr>
          <w:rFonts w:hint="eastAsia"/>
        </w:rPr>
        <w:t>：</w:t>
      </w:r>
      <w:r>
        <w:rPr>
          <w:rFonts w:hint="eastAsia"/>
          <w:lang w:val="en-US" w:eastAsia="zh-CN"/>
        </w:rPr>
        <w:t>红线外高压线路、土建部分设计；</w:t>
      </w:r>
    </w:p>
    <w:p>
      <w:pPr>
        <w:bidi w:val="0"/>
        <w:rPr>
          <w:rFonts w:hint="eastAsia"/>
        </w:rPr>
      </w:pPr>
      <w:r>
        <w:rPr>
          <w:rFonts w:hint="eastAsia" w:ascii="Times New Roman" w:hAnsi="Times New Roman"/>
        </w:rPr>
        <w:t>大王头</w:t>
      </w:r>
      <w:r>
        <w:rPr>
          <w:rFonts w:hint="eastAsia"/>
          <w:color w:val="auto"/>
          <w:sz w:val="32"/>
          <w:szCs w:val="32"/>
          <w:lang w:val="en-US" w:eastAsia="zh-CN"/>
        </w:rPr>
        <w:t>泵闸外电工程</w:t>
      </w:r>
      <w:r>
        <w:rPr>
          <w:rFonts w:hint="eastAsia"/>
        </w:rPr>
        <w:t>：</w:t>
      </w:r>
      <w:r>
        <w:rPr>
          <w:rFonts w:hint="eastAsia"/>
          <w:lang w:val="en-US" w:eastAsia="zh-CN"/>
        </w:rPr>
        <w:t>红线外高压线路、土建部分设计；</w:t>
      </w:r>
    </w:p>
    <w:p>
      <w:pPr>
        <w:bidi w:val="0"/>
        <w:rPr>
          <w:rFonts w:hint="eastAsia"/>
        </w:rPr>
      </w:pPr>
      <w:r>
        <w:rPr>
          <w:rFonts w:hint="eastAsia" w:ascii="Times New Roman" w:hAnsi="Times New Roman"/>
        </w:rPr>
        <w:t>庵鱼</w:t>
      </w:r>
      <w:r>
        <w:rPr>
          <w:rFonts w:hint="eastAsia"/>
        </w:rPr>
        <w:t>泵站</w:t>
      </w:r>
      <w:r>
        <w:rPr>
          <w:rFonts w:hint="eastAsia"/>
          <w:color w:val="auto"/>
          <w:sz w:val="32"/>
          <w:szCs w:val="32"/>
          <w:lang w:val="en-US" w:eastAsia="zh-CN"/>
        </w:rPr>
        <w:t>外电工程</w:t>
      </w:r>
      <w:r>
        <w:rPr>
          <w:rFonts w:hint="eastAsia"/>
        </w:rPr>
        <w:t>：</w:t>
      </w:r>
      <w:r>
        <w:rPr>
          <w:rFonts w:hint="eastAsia"/>
          <w:lang w:val="en-US" w:eastAsia="zh-CN"/>
        </w:rPr>
        <w:t>红线外高压线路、土建部分设计；</w:t>
      </w:r>
    </w:p>
    <w:p>
      <w:pPr>
        <w:bidi w:val="0"/>
        <w:rPr>
          <w:rFonts w:hint="eastAsia"/>
        </w:rPr>
      </w:pPr>
      <w:r>
        <w:rPr>
          <w:rFonts w:hint="eastAsia" w:ascii="Times New Roman" w:hAnsi="Times New Roman"/>
        </w:rPr>
        <w:t>崩涌</w:t>
      </w:r>
      <w:r>
        <w:rPr>
          <w:rFonts w:hint="eastAsia"/>
          <w:color w:val="auto"/>
          <w:sz w:val="32"/>
          <w:szCs w:val="32"/>
          <w:lang w:val="en-US" w:eastAsia="zh-CN"/>
        </w:rPr>
        <w:t>泵闸外电工程</w:t>
      </w:r>
      <w:r>
        <w:rPr>
          <w:rFonts w:hint="eastAsia"/>
        </w:rPr>
        <w:t>：</w:t>
      </w:r>
      <w:r>
        <w:rPr>
          <w:rFonts w:hint="eastAsia"/>
          <w:lang w:val="en-US" w:eastAsia="zh-CN"/>
        </w:rPr>
        <w:t>红线外高压线路、土建部分设计；</w:t>
      </w:r>
    </w:p>
    <w:p>
      <w:pPr>
        <w:bidi w:val="0"/>
        <w:rPr>
          <w:rFonts w:hint="eastAsia"/>
        </w:rPr>
      </w:pPr>
      <w:r>
        <w:rPr>
          <w:rFonts w:hint="eastAsia"/>
        </w:rPr>
        <w:t>张松涌泵站</w:t>
      </w:r>
      <w:r>
        <w:rPr>
          <w:rFonts w:hint="eastAsia"/>
          <w:color w:val="auto"/>
          <w:sz w:val="32"/>
          <w:szCs w:val="32"/>
          <w:lang w:val="en-US" w:eastAsia="zh-CN"/>
        </w:rPr>
        <w:t>外电工程</w:t>
      </w:r>
      <w:r>
        <w:rPr>
          <w:rFonts w:hint="eastAsia"/>
        </w:rPr>
        <w:t>：</w:t>
      </w:r>
      <w:r>
        <w:rPr>
          <w:rFonts w:hint="eastAsia"/>
          <w:lang w:val="en-US" w:eastAsia="zh-CN"/>
        </w:rPr>
        <w:t>红线外高压线路、土建部分设计；</w:t>
      </w:r>
    </w:p>
    <w:p>
      <w:pPr>
        <w:bidi w:val="0"/>
      </w:pPr>
      <w:r>
        <w:rPr>
          <w:rFonts w:hint="eastAsia" w:ascii="Times New Roman" w:hAnsi="Times New Roman"/>
        </w:rPr>
        <w:t>双亦西</w:t>
      </w:r>
      <w:r>
        <w:rPr>
          <w:rFonts w:hint="eastAsia"/>
          <w:color w:val="auto"/>
          <w:sz w:val="32"/>
          <w:szCs w:val="32"/>
          <w:lang w:val="en-US" w:eastAsia="zh-CN"/>
        </w:rPr>
        <w:t>泵闸外电工程</w:t>
      </w:r>
      <w:r>
        <w:rPr>
          <w:rFonts w:hint="eastAsia"/>
          <w:lang w:eastAsia="zh-CN"/>
        </w:rPr>
        <w:t>：</w:t>
      </w:r>
      <w:r>
        <w:rPr>
          <w:rFonts w:hint="eastAsia"/>
          <w:lang w:val="en-US" w:eastAsia="zh-CN"/>
        </w:rPr>
        <w:t>红线内、外高压线路、土建、电房建筑、结构、低压部分设计。</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rPr>
        <w:t>庵鱼</w:t>
      </w:r>
      <w:r>
        <w:rPr>
          <w:rFonts w:hint="eastAsia"/>
        </w:rPr>
        <w:t>泵站</w:t>
      </w:r>
      <w:r>
        <w:rPr>
          <w:rFonts w:hint="eastAsia"/>
          <w:color w:val="auto"/>
          <w:sz w:val="32"/>
          <w:szCs w:val="32"/>
          <w:lang w:val="en-US" w:eastAsia="zh-CN"/>
        </w:rPr>
        <w:t>外电工程</w:t>
      </w:r>
    </w:p>
    <w:p>
      <w:pPr>
        <w:bidi w:val="0"/>
        <w:rPr>
          <w:rFonts w:hint="eastAsia" w:ascii="Times New Roman" w:hAnsi="Times New Roman"/>
        </w:rPr>
      </w:pPr>
      <w:r>
        <w:rPr>
          <w:rFonts w:hint="eastAsia" w:ascii="Times New Roman" w:hAnsi="Times New Roman"/>
          <w:lang w:val="zh-CN"/>
        </w:rPr>
        <w:t>在榄核站</w:t>
      </w:r>
      <w:r>
        <w:rPr>
          <w:rFonts w:hint="eastAsia" w:ascii="Times New Roman" w:hAnsi="Times New Roman"/>
        </w:rPr>
        <w:t>F4三村线四村十队支#04杆侧新立12米电杆1基，10米电杆1基，新装</w:t>
      </w:r>
      <w:r>
        <w:rPr>
          <w:rFonts w:hint="eastAsia" w:ascii="Times New Roman" w:hAnsi="Times New Roman"/>
          <w:lang w:val="el-GR"/>
        </w:rPr>
        <w:t>π杆自动化户外柱上断路器装置</w:t>
      </w:r>
      <w:r>
        <w:rPr>
          <w:rFonts w:hint="eastAsia" w:ascii="Times New Roman" w:hAnsi="Times New Roman"/>
        </w:rPr>
        <w:t>1套。由新建庵鱼泵站支#01杆新敷设FY-ZRYJV22-3×70电缆101米至新建庵鱼泵站专用综合房，新装70户外电缆头1套，70户内电缆头1套</w:t>
      </w:r>
      <w:r>
        <w:rPr>
          <w:rFonts w:hint="eastAsia" w:ascii="Times New Roman" w:hAnsi="Times New Roman"/>
          <w:lang w:eastAsia="zh-CN"/>
        </w:rPr>
        <w:t>，</w:t>
      </w:r>
      <w:r>
        <w:rPr>
          <w:rFonts w:hint="eastAsia" w:ascii="Times New Roman" w:hAnsi="Times New Roman"/>
          <w:lang w:val="en-US" w:eastAsia="zh-CN"/>
        </w:rPr>
        <w:t>新建1层3列行车排管70米，电缆井5座</w:t>
      </w:r>
      <w:r>
        <w:rPr>
          <w:rFonts w:hint="eastAsia" w:ascii="Times New Roman" w:hAnsi="Times New Roman"/>
        </w:rPr>
        <w:t>。</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w:t>
      </w:r>
      <w:r>
        <w:rPr>
          <w:rFonts w:hint="eastAsia" w:ascii="Times New Roman" w:hAnsi="Times New Roman"/>
        </w:rPr>
        <w:t>崩涌</w:t>
      </w:r>
      <w:r>
        <w:rPr>
          <w:rFonts w:hint="eastAsia"/>
          <w:color w:val="auto"/>
          <w:sz w:val="32"/>
          <w:szCs w:val="32"/>
          <w:lang w:val="en-US" w:eastAsia="zh-CN"/>
        </w:rPr>
        <w:t>泵闸外电工程</w:t>
      </w:r>
    </w:p>
    <w:p>
      <w:pPr>
        <w:bidi w:val="0"/>
        <w:rPr>
          <w:rFonts w:hint="eastAsia" w:ascii="Times New Roman" w:hAnsi="Times New Roman"/>
        </w:rPr>
      </w:pPr>
      <w:r>
        <w:rPr>
          <w:rFonts w:hint="eastAsia" w:ascii="Times New Roman" w:hAnsi="Times New Roman"/>
          <w:lang w:val="zh-CN"/>
        </w:rPr>
        <w:t>在榄核站F4三村线张松村综合房内1M母线新并全绝缘全密封断路器柜1单元(+D+)。</w:t>
      </w:r>
      <w:r>
        <w:rPr>
          <w:rFonts w:hint="eastAsia" w:ascii="Times New Roman" w:hAnsi="Times New Roman"/>
        </w:rPr>
        <w:t>由新建张松村综合房G05柜新敷设FY-ZRYJV22-3×70电缆400米至崩涌泵站专用综合</w:t>
      </w:r>
      <w:r>
        <w:rPr>
          <w:rFonts w:hint="eastAsia" w:ascii="Times New Roman" w:hAnsi="Times New Roman"/>
          <w:spacing w:val="-6"/>
          <w:sz w:val="32"/>
        </w:rPr>
        <w:t>房，新装70户内电缆头2套</w:t>
      </w:r>
      <w:r>
        <w:rPr>
          <w:rFonts w:hint="eastAsia" w:ascii="Times New Roman" w:hAnsi="Times New Roman"/>
          <w:spacing w:val="-6"/>
          <w:sz w:val="32"/>
          <w:lang w:eastAsia="zh-CN"/>
        </w:rPr>
        <w:t>，</w:t>
      </w:r>
      <w:r>
        <w:rPr>
          <w:rFonts w:hint="eastAsia" w:ascii="Times New Roman" w:hAnsi="Times New Roman"/>
          <w:color w:val="auto"/>
          <w:spacing w:val="-6"/>
          <w:sz w:val="32"/>
          <w:lang w:val="en-US" w:eastAsia="zh-CN"/>
        </w:rPr>
        <w:t>新建2孔顶管350米，电缆井4座</w:t>
      </w:r>
      <w:r>
        <w:rPr>
          <w:rFonts w:hint="eastAsia" w:ascii="Times New Roman" w:hAnsi="Times New Roman"/>
          <w:spacing w:val="-6"/>
          <w:sz w:val="32"/>
        </w:rPr>
        <w:t>。</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w:t>
      </w:r>
      <w:r>
        <w:rPr>
          <w:rFonts w:hint="eastAsia" w:ascii="Times New Roman" w:hAnsi="Times New Roman"/>
        </w:rPr>
        <w:t>大王头</w:t>
      </w:r>
      <w:r>
        <w:rPr>
          <w:rFonts w:hint="eastAsia"/>
          <w:color w:val="auto"/>
          <w:sz w:val="32"/>
          <w:szCs w:val="32"/>
          <w:lang w:val="en-US" w:eastAsia="zh-CN"/>
        </w:rPr>
        <w:t>泵闸外电工程</w:t>
      </w:r>
    </w:p>
    <w:p>
      <w:pPr>
        <w:bidi w:val="0"/>
        <w:rPr>
          <w:rFonts w:hint="eastAsia" w:ascii="Times New Roman" w:hAnsi="Times New Roman"/>
          <w:lang w:eastAsia="zh-CN"/>
        </w:rPr>
      </w:pPr>
      <w:r>
        <w:rPr>
          <w:rFonts w:hint="eastAsia" w:ascii="Times New Roman" w:hAnsi="Times New Roman"/>
        </w:rPr>
        <w:t>由</w:t>
      </w:r>
      <w:r>
        <w:rPr>
          <w:rFonts w:hint="eastAsia" w:ascii="Times New Roman" w:hAnsi="Times New Roman"/>
          <w:lang w:val="zh-CN"/>
        </w:rPr>
        <w:t>牛角站</w:t>
      </w:r>
      <w:r>
        <w:rPr>
          <w:rFonts w:hint="eastAsia" w:ascii="Times New Roman" w:hAnsi="Times New Roman"/>
        </w:rPr>
        <w:t>F21六村线绿村户外开关站至大王头泵闸专用综合房</w:t>
      </w:r>
      <w:r>
        <w:rPr>
          <w:rFonts w:hint="eastAsia" w:ascii="Times New Roman" w:hAnsi="Times New Roman"/>
          <w:lang w:eastAsia="zh-CN"/>
        </w:rPr>
        <w:t>，</w:t>
      </w:r>
      <w:r>
        <w:rPr>
          <w:rFonts w:hint="eastAsia" w:ascii="Times New Roman" w:hAnsi="Times New Roman"/>
        </w:rPr>
        <w:t>新敷FY-ZRYJV22-3×240mm2电缆1295米。新装240户内</w:t>
      </w:r>
      <w:r>
        <w:rPr>
          <w:rFonts w:hint="eastAsia" w:ascii="Times New Roman" w:hAnsi="Times New Roman"/>
          <w:lang w:val="en-US" w:eastAsia="zh-CN"/>
        </w:rPr>
        <w:t>电缆</w:t>
      </w:r>
      <w:r>
        <w:rPr>
          <w:rFonts w:hint="eastAsia" w:ascii="Times New Roman" w:hAnsi="Times New Roman"/>
        </w:rPr>
        <w:t>头2套,240</w:t>
      </w:r>
      <w:r>
        <w:rPr>
          <w:rFonts w:hint="eastAsia" w:ascii="Times New Roman" w:hAnsi="Times New Roman"/>
          <w:lang w:val="en-US" w:eastAsia="zh-CN"/>
        </w:rPr>
        <w:t>电缆</w:t>
      </w:r>
      <w:r>
        <w:rPr>
          <w:rFonts w:hint="eastAsia" w:ascii="Times New Roman" w:hAnsi="Times New Roman"/>
        </w:rPr>
        <w:t>中间头3套</w:t>
      </w:r>
      <w:r>
        <w:rPr>
          <w:rFonts w:hint="eastAsia" w:ascii="Times New Roman" w:hAnsi="Times New Roman"/>
          <w:lang w:eastAsia="zh-CN"/>
        </w:rPr>
        <w:t>，</w:t>
      </w:r>
      <w:r>
        <w:rPr>
          <w:rFonts w:hint="eastAsia" w:ascii="Times New Roman" w:hAnsi="Times New Roman"/>
          <w:lang w:val="en-US" w:eastAsia="zh-CN"/>
        </w:rPr>
        <w:t>新建2孔顶管138米，1层3列排管194米，2层2列排管10米，电缆井5座</w:t>
      </w:r>
      <w:r>
        <w:rPr>
          <w:rFonts w:hint="eastAsia" w:ascii="Times New Roman" w:hAnsi="Times New Roman"/>
          <w:lang w:eastAsia="zh-CN"/>
        </w:rPr>
        <w:t>。</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四</w:t>
      </w:r>
      <w:r>
        <w:rPr>
          <w:rFonts w:hint="eastAsia" w:ascii="Times New Roman" w:hAnsi="Times New Roman"/>
          <w:lang w:eastAsia="zh-CN"/>
        </w:rPr>
        <w:t>）</w:t>
      </w:r>
      <w:r>
        <w:rPr>
          <w:rFonts w:hint="eastAsia" w:ascii="Times New Roman" w:hAnsi="Times New Roman"/>
        </w:rPr>
        <w:t>西樵尾</w:t>
      </w:r>
      <w:r>
        <w:rPr>
          <w:rFonts w:hint="eastAsia"/>
          <w:color w:val="auto"/>
          <w:sz w:val="32"/>
          <w:szCs w:val="32"/>
          <w:lang w:val="en-US" w:eastAsia="zh-CN"/>
        </w:rPr>
        <w:t>泵闸外电工程</w:t>
      </w:r>
    </w:p>
    <w:p>
      <w:pPr>
        <w:bidi w:val="0"/>
        <w:rPr>
          <w:rFonts w:hint="eastAsia" w:ascii="Times New Roman" w:hAnsi="Times New Roman"/>
          <w:lang w:eastAsia="zh-CN"/>
        </w:rPr>
      </w:pPr>
      <w:r>
        <w:rPr>
          <w:rFonts w:hint="eastAsia" w:ascii="Times New Roman" w:hAnsi="Times New Roman"/>
        </w:rPr>
        <w:t>在</w:t>
      </w:r>
      <w:r>
        <w:rPr>
          <w:rFonts w:hint="eastAsia" w:ascii="Times New Roman" w:hAnsi="Times New Roman"/>
          <w:lang w:val="zh-CN"/>
        </w:rPr>
        <w:t>太石站</w:t>
      </w:r>
      <w:r>
        <w:rPr>
          <w:rFonts w:hint="eastAsia" w:ascii="Times New Roman" w:hAnsi="Times New Roman"/>
        </w:rPr>
        <w:t>F24西樵线西樵村8号支#07杆侧新立电杆新装户外柱上断路器开关后</w:t>
      </w:r>
      <w:r>
        <w:rPr>
          <w:rFonts w:hint="eastAsia" w:ascii="Times New Roman" w:hAnsi="Times New Roman"/>
          <w:lang w:eastAsia="zh-CN"/>
        </w:rPr>
        <w:t>，</w:t>
      </w:r>
      <w:r>
        <w:rPr>
          <w:rFonts w:hint="eastAsia" w:ascii="Times New Roman" w:hAnsi="Times New Roman"/>
        </w:rPr>
        <w:t>至西樵尾泵</w:t>
      </w:r>
      <w:r>
        <w:rPr>
          <w:rFonts w:hint="eastAsia" w:ascii="Times New Roman" w:hAnsi="Times New Roman"/>
          <w:lang w:val="en-US" w:eastAsia="zh-CN"/>
        </w:rPr>
        <w:t>站</w:t>
      </w:r>
      <w:r>
        <w:rPr>
          <w:rFonts w:hint="eastAsia" w:ascii="Times New Roman" w:hAnsi="Times New Roman"/>
        </w:rPr>
        <w:t>专用综合房管新敷FY-ZRYJV22-3×70mm2电缆668米。在太石站F24西樵线西樵村8号支#07杆</w:t>
      </w:r>
      <w:r>
        <w:rPr>
          <w:rFonts w:hint="eastAsia" w:ascii="Times New Roman" w:hAnsi="Times New Roman"/>
          <w:lang w:val="zh-CN"/>
        </w:rPr>
        <w:t>安装π杆户外柱上断路器装置</w:t>
      </w:r>
      <w:r>
        <w:rPr>
          <w:rFonts w:hint="eastAsia" w:ascii="Times New Roman" w:hAnsi="Times New Roman"/>
        </w:rPr>
        <w:t>1套,Ⅰ型地网1套,绝缘护套1套,12米杆1基,10米杆1基</w:t>
      </w:r>
      <w:r>
        <w:rPr>
          <w:rFonts w:hint="eastAsia" w:ascii="Times New Roman" w:hAnsi="Times New Roman"/>
          <w:lang w:eastAsia="zh-CN"/>
        </w:rPr>
        <w:t>，</w:t>
      </w:r>
      <w:r>
        <w:rPr>
          <w:rFonts w:hint="eastAsia" w:ascii="Times New Roman" w:hAnsi="Times New Roman"/>
          <w:lang w:val="en-US" w:eastAsia="zh-CN"/>
        </w:rPr>
        <w:t>新建2孔顶管576米，1层3列排管15米，电缆井9座</w:t>
      </w:r>
      <w:r>
        <w:rPr>
          <w:rFonts w:hint="eastAsia" w:ascii="Times New Roman" w:hAnsi="Times New Roman"/>
          <w:lang w:eastAsia="zh-CN"/>
        </w:rPr>
        <w:t>。</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五</w:t>
      </w:r>
      <w:r>
        <w:rPr>
          <w:rFonts w:hint="eastAsia" w:ascii="Times New Roman" w:hAnsi="Times New Roman"/>
          <w:lang w:eastAsia="zh-CN"/>
        </w:rPr>
        <w:t>）</w:t>
      </w:r>
      <w:r>
        <w:rPr>
          <w:rFonts w:hint="eastAsia"/>
        </w:rPr>
        <w:t>张松涌泵站</w:t>
      </w:r>
      <w:r>
        <w:rPr>
          <w:rFonts w:hint="eastAsia"/>
          <w:color w:val="auto"/>
          <w:sz w:val="32"/>
          <w:szCs w:val="32"/>
          <w:lang w:val="en-US" w:eastAsia="zh-CN"/>
        </w:rPr>
        <w:t>外电工程</w:t>
      </w:r>
    </w:p>
    <w:p>
      <w:pPr>
        <w:bidi w:val="0"/>
        <w:rPr>
          <w:rFonts w:hint="eastAsia" w:ascii="Times New Roman" w:hAnsi="Times New Roman"/>
        </w:rPr>
      </w:pPr>
      <w:r>
        <w:rPr>
          <w:rFonts w:hint="eastAsia" w:ascii="Times New Roman" w:hAnsi="Times New Roman"/>
        </w:rPr>
        <w:t>在榄核站F13张松线干线#72塔上安装铁塔断路器开关</w:t>
      </w:r>
      <w:r>
        <w:rPr>
          <w:rFonts w:hint="eastAsia" w:ascii="Times New Roman" w:hAnsi="Times New Roman"/>
          <w:lang w:eastAsia="zh-CN"/>
        </w:rPr>
        <w:t>，</w:t>
      </w:r>
      <w:r>
        <w:rPr>
          <w:rFonts w:hint="eastAsia" w:ascii="Times New Roman" w:hAnsi="Times New Roman"/>
        </w:rPr>
        <w:t>引下刀闸电缆头装置1套</w:t>
      </w:r>
      <w:r>
        <w:rPr>
          <w:rFonts w:hint="eastAsia" w:ascii="Times New Roman" w:hAnsi="Times New Roman"/>
          <w:lang w:val="en-US" w:eastAsia="zh-CN"/>
        </w:rPr>
        <w:t>后，</w:t>
      </w:r>
      <w:r>
        <w:rPr>
          <w:rFonts w:hint="eastAsia" w:ascii="Times New Roman" w:hAnsi="Times New Roman"/>
        </w:rPr>
        <w:t>新敷设FY-ZRYJV22-3×70电缆60米至张松泵站专用综合房，新建70户外电缆头1套，70户内电缆头1套</w:t>
      </w:r>
      <w:r>
        <w:rPr>
          <w:rFonts w:hint="eastAsia" w:ascii="Times New Roman" w:hAnsi="Times New Roman"/>
          <w:lang w:eastAsia="zh-CN"/>
        </w:rPr>
        <w:t>，</w:t>
      </w:r>
      <w:r>
        <w:rPr>
          <w:rFonts w:hint="eastAsia" w:ascii="Times New Roman" w:hAnsi="Times New Roman"/>
          <w:color w:val="auto"/>
          <w:lang w:val="en-US" w:eastAsia="zh-CN"/>
        </w:rPr>
        <w:t>新建1层3列排管30米，电缆井2座</w:t>
      </w:r>
      <w:r>
        <w:rPr>
          <w:rFonts w:hint="eastAsia" w:ascii="Times New Roman" w:hAnsi="Times New Roman"/>
        </w:rPr>
        <w:t>。</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六</w:t>
      </w:r>
      <w:r>
        <w:rPr>
          <w:rFonts w:hint="eastAsia" w:ascii="Times New Roman" w:hAnsi="Times New Roman"/>
          <w:lang w:eastAsia="zh-CN"/>
        </w:rPr>
        <w:t>）</w:t>
      </w:r>
      <w:r>
        <w:rPr>
          <w:rFonts w:hint="eastAsia" w:ascii="Times New Roman" w:hAnsi="Times New Roman"/>
        </w:rPr>
        <w:t>雁沙东</w:t>
      </w:r>
      <w:r>
        <w:rPr>
          <w:rFonts w:hint="eastAsia"/>
          <w:color w:val="auto"/>
          <w:sz w:val="32"/>
          <w:szCs w:val="32"/>
          <w:lang w:val="en-US" w:eastAsia="zh-CN"/>
        </w:rPr>
        <w:t>泵闸外电工程</w:t>
      </w:r>
    </w:p>
    <w:p>
      <w:pPr>
        <w:bidi w:val="0"/>
        <w:rPr>
          <w:rFonts w:hint="eastAsia" w:ascii="Times New Roman" w:hAnsi="Times New Roman"/>
        </w:rPr>
      </w:pPr>
      <w:r>
        <w:rPr>
          <w:rFonts w:hint="eastAsia" w:ascii="Times New Roman" w:hAnsi="Times New Roman"/>
        </w:rPr>
        <w:t>在</w:t>
      </w:r>
      <w:r>
        <w:rPr>
          <w:rFonts w:hint="eastAsia" w:ascii="Times New Roman" w:hAnsi="Times New Roman"/>
          <w:lang w:val="zh-CN"/>
        </w:rPr>
        <w:t>立信站</w:t>
      </w:r>
      <w:r>
        <w:rPr>
          <w:rFonts w:hint="eastAsia" w:ascii="Times New Roman" w:hAnsi="Times New Roman"/>
        </w:rPr>
        <w:t>F20沙角线(自愈)雁沙支#95杆新架架空线新立铁塔新装户外柱上断路器开关后</w:t>
      </w:r>
      <w:r>
        <w:rPr>
          <w:rFonts w:hint="eastAsia" w:ascii="Times New Roman" w:hAnsi="Times New Roman"/>
          <w:lang w:eastAsia="zh-CN"/>
        </w:rPr>
        <w:t>，</w:t>
      </w:r>
      <w:r>
        <w:rPr>
          <w:rFonts w:hint="eastAsia" w:ascii="Times New Roman" w:hAnsi="Times New Roman"/>
        </w:rPr>
        <w:t>至雁沙东泵闸高压室(雁沙东泵闸专用综合房)管新敷FY-ZRYJV22-3×70mm2电缆250米。在</w:t>
      </w:r>
      <w:r>
        <w:rPr>
          <w:rFonts w:hint="eastAsia" w:ascii="Times New Roman" w:hAnsi="Times New Roman"/>
          <w:lang w:val="zh-CN"/>
        </w:rPr>
        <w:t>立信站F20沙角线雁沙支#</w:t>
      </w:r>
      <w:r>
        <w:rPr>
          <w:rFonts w:hint="eastAsia" w:ascii="Times New Roman" w:hAnsi="Times New Roman"/>
        </w:rPr>
        <w:t>95杆旁</w:t>
      </w:r>
      <w:r>
        <w:rPr>
          <w:rFonts w:hint="eastAsia" w:ascii="Times New Roman" w:hAnsi="Times New Roman"/>
          <w:lang w:val="zh-CN"/>
        </w:rPr>
        <w:t>安装</w:t>
      </w:r>
      <w:r>
        <w:rPr>
          <w:rFonts w:hint="eastAsia" w:ascii="Times New Roman" w:hAnsi="Times New Roman"/>
        </w:rPr>
        <w:t>J90-10.4铁塔1座,转角装置1套,户外柱上断路器装置1套，</w:t>
      </w:r>
      <w:r>
        <w:rPr>
          <w:rFonts w:hint="eastAsia" w:ascii="Times New Roman" w:hAnsi="Times New Roman"/>
          <w:lang w:val="en-US" w:eastAsia="zh-CN"/>
        </w:rPr>
        <w:t>新建2孔顶管75米，1层3列排管122米，电缆井5座。</w:t>
      </w:r>
    </w:p>
    <w:p>
      <w:pPr>
        <w:bidi w:val="0"/>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七</w:t>
      </w:r>
      <w:r>
        <w:rPr>
          <w:rFonts w:hint="eastAsia" w:ascii="Times New Roman" w:hAnsi="Times New Roman"/>
          <w:lang w:eastAsia="zh-CN"/>
        </w:rPr>
        <w:t>）</w:t>
      </w:r>
      <w:r>
        <w:rPr>
          <w:rFonts w:hint="eastAsia" w:ascii="Times New Roman" w:hAnsi="Times New Roman"/>
        </w:rPr>
        <w:t>横栏东</w:t>
      </w:r>
      <w:r>
        <w:rPr>
          <w:rFonts w:hint="eastAsia"/>
          <w:color w:val="auto"/>
          <w:sz w:val="32"/>
          <w:szCs w:val="32"/>
          <w:lang w:val="en-US" w:eastAsia="zh-CN"/>
        </w:rPr>
        <w:t>泵闸外电工程</w:t>
      </w:r>
    </w:p>
    <w:p>
      <w:pPr>
        <w:bidi w:val="0"/>
        <w:rPr>
          <w:rFonts w:hint="eastAsia" w:ascii="Times New Roman" w:hAnsi="Times New Roman"/>
          <w:lang w:val="en-US" w:eastAsia="zh-CN"/>
        </w:rPr>
      </w:pPr>
      <w:r>
        <w:rPr>
          <w:rFonts w:hint="eastAsia" w:ascii="Times New Roman" w:hAnsi="Times New Roman"/>
          <w:lang w:val="zh-CN"/>
        </w:rPr>
        <w:t>在灵山</w:t>
      </w:r>
      <w:r>
        <w:rPr>
          <w:rFonts w:hint="eastAsia" w:ascii="Times New Roman" w:hAnsi="Times New Roman"/>
        </w:rPr>
        <w:t>F20高沙线新沙村10号支#05塔上新装SJ3-10铁塔断路器开关引下刀闸电缆头装置1套</w:t>
      </w:r>
      <w:r>
        <w:rPr>
          <w:rFonts w:hint="eastAsia" w:ascii="Times New Roman" w:hAnsi="Times New Roman"/>
          <w:lang w:val="en-US" w:eastAsia="zh-CN"/>
        </w:rPr>
        <w:t>后，</w:t>
      </w:r>
      <w:r>
        <w:rPr>
          <w:rFonts w:hint="eastAsia" w:ascii="Times New Roman" w:hAnsi="Times New Roman"/>
        </w:rPr>
        <w:t>新敷设FY-ZRYJV22-3×70电缆588米至横栏东泵闸专用综合房</w:t>
      </w:r>
      <w:r>
        <w:rPr>
          <w:rFonts w:hint="eastAsia" w:ascii="Times New Roman" w:hAnsi="Times New Roman"/>
          <w:lang w:eastAsia="zh-CN"/>
        </w:rPr>
        <w:t>。</w:t>
      </w:r>
      <w:r>
        <w:rPr>
          <w:rFonts w:hint="eastAsia" w:ascii="Times New Roman" w:hAnsi="Times New Roman"/>
        </w:rPr>
        <w:t>新装70户内中间头1套，70户内电缆头1套，70户外电缆头1套</w:t>
      </w:r>
      <w:r>
        <w:rPr>
          <w:rFonts w:hint="eastAsia" w:ascii="Times New Roman" w:hAnsi="Times New Roman"/>
          <w:lang w:eastAsia="zh-CN"/>
        </w:rPr>
        <w:t>，</w:t>
      </w:r>
      <w:r>
        <w:rPr>
          <w:rFonts w:hint="eastAsia" w:ascii="Times New Roman" w:hAnsi="Times New Roman"/>
          <w:lang w:val="en-US" w:eastAsia="zh-CN"/>
        </w:rPr>
        <w:t>新建2孔顶管520米，1层3列排管10米，电缆井6座</w:t>
      </w:r>
      <w:r>
        <w:rPr>
          <w:rFonts w:hint="eastAsia" w:ascii="Times New Roman" w:hAnsi="Times New Roman"/>
        </w:rPr>
        <w:t>。</w:t>
      </w:r>
      <w:r>
        <w:rPr>
          <w:rFonts w:hint="eastAsia" w:ascii="Times New Roman" w:hAnsi="Times New Roman"/>
          <w:lang w:val="en-US" w:eastAsia="zh-CN"/>
        </w:rPr>
        <w:t xml:space="preserve">  </w:t>
      </w:r>
    </w:p>
    <w:p>
      <w:pPr>
        <w:keepNext w:val="0"/>
        <w:keepLines w:val="0"/>
        <w:pageBreakBefore w:val="0"/>
        <w:widowControl/>
        <w:kinsoku/>
        <w:wordWrap/>
        <w:overflowPunct/>
        <w:topLinePunct w:val="0"/>
        <w:bidi w:val="0"/>
        <w:snapToGrid/>
        <w:spacing w:line="560" w:lineRule="exact"/>
        <w:ind w:left="0" w:leftChars="0" w:firstLine="640" w:firstLineChars="200"/>
        <w:textAlignment w:val="auto"/>
        <w:rPr>
          <w:rFonts w:hint="eastAsia"/>
          <w:color w:val="auto"/>
          <w:sz w:val="32"/>
          <w:szCs w:val="32"/>
          <w:lang w:val="en-US" w:eastAsia="zh-CN"/>
        </w:rPr>
      </w:pPr>
      <w:r>
        <w:rPr>
          <w:rFonts w:hint="eastAsia" w:ascii="Times New Roman" w:hAnsi="Times New Roman"/>
          <w:lang w:eastAsia="zh-CN"/>
        </w:rPr>
        <w:t>（</w:t>
      </w:r>
      <w:r>
        <w:rPr>
          <w:rFonts w:hint="eastAsia" w:ascii="Times New Roman" w:hAnsi="Times New Roman"/>
          <w:lang w:val="en-US" w:eastAsia="zh-CN"/>
        </w:rPr>
        <w:t>八</w:t>
      </w:r>
      <w:r>
        <w:rPr>
          <w:rFonts w:hint="eastAsia" w:ascii="Times New Roman" w:hAnsi="Times New Roman"/>
          <w:lang w:eastAsia="zh-CN"/>
        </w:rPr>
        <w:t>）</w:t>
      </w:r>
      <w:r>
        <w:rPr>
          <w:rFonts w:hint="eastAsia" w:ascii="Times New Roman" w:hAnsi="Times New Roman"/>
        </w:rPr>
        <w:t>双亦西</w:t>
      </w:r>
      <w:r>
        <w:rPr>
          <w:rFonts w:hint="eastAsia"/>
          <w:color w:val="auto"/>
          <w:sz w:val="32"/>
          <w:szCs w:val="32"/>
          <w:lang w:val="en-US" w:eastAsia="zh-CN"/>
        </w:rPr>
        <w:t>泵闸外电工程</w:t>
      </w:r>
    </w:p>
    <w:p>
      <w:pPr>
        <w:bidi w:val="0"/>
        <w:rPr>
          <w:rFonts w:hint="eastAsia" w:ascii="Times New Roman" w:hAnsi="Times New Roman"/>
          <w:lang w:val="zh-CN"/>
        </w:rPr>
      </w:pPr>
      <w:r>
        <w:rPr>
          <w:rFonts w:hint="eastAsia" w:ascii="Times New Roman" w:hAnsi="Times New Roman"/>
        </w:rPr>
        <w:t>在立信F20沙角线双亦西泵站支#01杆新敷设FY-ZRYJV22-3×70电缆508米至双亦西泵站专用综合房，</w:t>
      </w:r>
      <w:r>
        <w:rPr>
          <w:rFonts w:hint="eastAsia" w:ascii="Times New Roman" w:hAnsi="Times New Roman"/>
          <w:lang w:val="en-US" w:eastAsia="zh-CN"/>
        </w:rPr>
        <w:t>新建2孔顶管465米，1层3列排管20米，电缆井7座，</w:t>
      </w:r>
      <w:r>
        <w:rPr>
          <w:rFonts w:hint="eastAsia" w:ascii="Times New Roman" w:hAnsi="Times New Roman"/>
        </w:rPr>
        <w:t>新装70户内电缆头1套、70户外电缆头1套。</w:t>
      </w:r>
      <w:r>
        <w:rPr>
          <w:rFonts w:hint="eastAsia" w:ascii="Times New Roman" w:hAnsi="Times New Roman"/>
          <w:lang w:val="zh-CN"/>
        </w:rPr>
        <w:t>在立信站</w:t>
      </w:r>
      <w:r>
        <w:rPr>
          <w:rFonts w:hint="eastAsia" w:ascii="Times New Roman" w:hAnsi="Times New Roman"/>
        </w:rPr>
        <w:t>F20沙角线雁沙支#03杆至#04杆之间新立12米电杆1基，再由新立电杆新架设LGJX-240/30导线10米×3相至双亦西泵站支#01杆，新立12米电杆2基，9米电杆1基，新装跨越上字形装置1套，</w:t>
      </w:r>
      <w:r>
        <w:rPr>
          <w:rFonts w:hint="eastAsia" w:ascii="Times New Roman" w:hAnsi="Times New Roman"/>
          <w:lang w:val="el-GR"/>
        </w:rPr>
        <w:t>π杆自动化户外柱上断路器装置</w:t>
      </w:r>
      <w:r>
        <w:rPr>
          <w:rFonts w:hint="eastAsia" w:ascii="Times New Roman" w:hAnsi="Times New Roman"/>
        </w:rPr>
        <w:t>1套。</w:t>
      </w:r>
      <w:r>
        <w:rPr>
          <w:rFonts w:hint="eastAsia" w:ascii="Times New Roman" w:hAnsi="Times New Roman"/>
          <w:lang w:val="zh-CN"/>
        </w:rPr>
        <w:t>在新建双亦西泵站专用综合房内新装全绝缘全封闭环网柜</w:t>
      </w:r>
      <w:r>
        <w:rPr>
          <w:rFonts w:hint="eastAsia" w:ascii="Times New Roman" w:hAnsi="Times New Roman"/>
        </w:rPr>
        <w:t>3单元（+DMR+），SCB10-630kVA变压器1台</w:t>
      </w:r>
      <w:r>
        <w:rPr>
          <w:rFonts w:hint="eastAsia" w:ascii="Times New Roman" w:hAnsi="Times New Roman"/>
          <w:lang w:val="zh-CN"/>
        </w:rPr>
        <w:t>。</w:t>
      </w:r>
      <w:bookmarkStart w:id="8" w:name="_Toc483213820"/>
      <w:bookmarkStart w:id="9" w:name="_Toc12809"/>
      <w:bookmarkStart w:id="10" w:name="_Toc503863171"/>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pStyle w:val="2"/>
        <w:rPr>
          <w:rFonts w:hint="eastAsia" w:ascii="Times New Roman" w:hAnsi="Times New Roman" w:eastAsia="方正小标宋简体" w:cs="Times New Roman"/>
          <w:sz w:val="32"/>
          <w:szCs w:val="32"/>
        </w:rPr>
      </w:pPr>
    </w:p>
    <w:p>
      <w:pPr>
        <w:pStyle w:val="2"/>
        <w:rPr>
          <w:rFonts w:hint="eastAsia" w:ascii="Times New Roman" w:hAnsi="Times New Roman" w:eastAsia="方正小标宋简体" w:cs="Times New Roman"/>
          <w:sz w:val="32"/>
          <w:szCs w:val="32"/>
        </w:rPr>
      </w:pPr>
    </w:p>
    <w:p>
      <w:pPr>
        <w:pStyle w:val="2"/>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hint="eastAsia" w:ascii="Times New Roman" w:hAnsi="Times New Roman" w:eastAsia="方正小标宋简体" w:cs="Times New Roman"/>
          <w:sz w:val="32"/>
          <w:szCs w:val="32"/>
        </w:rPr>
      </w:pPr>
    </w:p>
    <w:p>
      <w:pPr>
        <w:bidi w:val="0"/>
        <w:ind w:left="0" w:leftChars="0" w:firstLine="0" w:firstLineChars="0"/>
        <w:jc w:val="center"/>
        <w:rPr>
          <w:rFonts w:ascii="Times New Roman" w:hAnsi="Times New Roman" w:eastAsia="方正小标宋简体" w:cs="Times New Roman"/>
          <w:sz w:val="32"/>
          <w:szCs w:val="32"/>
        </w:rPr>
      </w:pPr>
      <w:r>
        <w:rPr>
          <w:rFonts w:hint="eastAsia" w:ascii="Times New Roman" w:hAnsi="Times New Roman" w:eastAsia="方正小标宋简体" w:cs="Times New Roman"/>
          <w:sz w:val="32"/>
          <w:szCs w:val="32"/>
        </w:rPr>
        <w:t>第三章 建设条件</w:t>
      </w:r>
      <w:bookmarkEnd w:id="8"/>
      <w:r>
        <w:rPr>
          <w:rFonts w:hint="eastAsia" w:ascii="Times New Roman" w:hAnsi="Times New Roman" w:eastAsia="方正小标宋简体" w:cs="Times New Roman"/>
          <w:sz w:val="32"/>
          <w:szCs w:val="32"/>
        </w:rPr>
        <w:t>及标准</w:t>
      </w:r>
      <w:bookmarkEnd w:id="9"/>
      <w:bookmarkEnd w:id="10"/>
    </w:p>
    <w:p>
      <w:pPr>
        <w:bidi w:val="0"/>
        <w:rPr>
          <w:rFonts w:hint="eastAsia"/>
        </w:rPr>
      </w:pPr>
      <w:bookmarkStart w:id="11" w:name="_Toc483213821"/>
      <w:r>
        <w:rPr>
          <w:rFonts w:hint="eastAsia"/>
          <w:lang w:eastAsia="zh-CN"/>
        </w:rPr>
        <w:t>庵鱼</w:t>
      </w:r>
      <w:r>
        <w:rPr>
          <w:rFonts w:hint="eastAsia"/>
        </w:rPr>
        <w:t>泵闸等水闸泵站在原有泵站水闸电房上改造新建，部分主体建筑已建成，按照水闸图纸设计要求，必须引进市电供电，与发电机组成双电源供电系统，以满足经济发展的需要。</w:t>
      </w:r>
    </w:p>
    <w:p>
      <w:pPr>
        <w:bidi w:val="0"/>
      </w:pPr>
      <w:r>
        <w:rPr>
          <w:rFonts w:hint="eastAsia"/>
        </w:rPr>
        <w:t>综合区域电力条件、周边环境和道路情况等资料和分析，</w:t>
      </w:r>
      <w:r>
        <w:rPr>
          <w:rFonts w:hint="eastAsia"/>
          <w:lang w:eastAsia="zh-CN"/>
        </w:rPr>
        <w:t>庵鱼</w:t>
      </w:r>
      <w:r>
        <w:rPr>
          <w:rFonts w:hint="eastAsia"/>
        </w:rPr>
        <w:t>泵闸等水闸泵站</w:t>
      </w:r>
      <w:r>
        <w:rPr>
          <w:rFonts w:hint="eastAsia"/>
          <w:lang w:val="en-US" w:eastAsia="zh-CN"/>
        </w:rPr>
        <w:t>场地</w:t>
      </w:r>
      <w:r>
        <w:rPr>
          <w:rFonts w:hint="eastAsia"/>
        </w:rPr>
        <w:t>条件比较稳定，适合综合管沟、架空线路和供配电设施的建设。</w:t>
      </w:r>
    </w:p>
    <w:p>
      <w:pPr>
        <w:pStyle w:val="5"/>
        <w:bidi w:val="0"/>
        <w:rPr>
          <w:rFonts w:hint="default"/>
          <w:lang w:val="en-US" w:eastAsia="zh-CN"/>
        </w:rPr>
      </w:pPr>
      <w:bookmarkStart w:id="12" w:name="_Toc7931"/>
      <w:bookmarkStart w:id="13" w:name="_Toc1296"/>
      <w:r>
        <w:rPr>
          <w:rFonts w:hint="eastAsia"/>
          <w:lang w:val="en-US" w:eastAsia="zh-CN"/>
        </w:rPr>
        <w:t>3.1场地地质条件</w:t>
      </w:r>
      <w:bookmarkEnd w:id="12"/>
      <w:bookmarkEnd w:id="13"/>
    </w:p>
    <w:p>
      <w:pPr>
        <w:bidi w:val="0"/>
        <w:rPr>
          <w:rFonts w:hint="eastAsia"/>
          <w:lang w:val="en-US" w:eastAsia="zh-CN"/>
        </w:rPr>
      </w:pPr>
      <w:r>
        <w:rPr>
          <w:rFonts w:hint="eastAsia"/>
          <w:lang w:val="en-US" w:eastAsia="zh-CN"/>
        </w:rPr>
        <w:t>区内地下水主要赋存于上部为相对不透水粘性土层阻隔的砂壤土、粉细砂、中粗砂、砂砾石、贝壳层中，部分与河道贯穿的砂土层在退潮时多为孔隙潜水，高水位时为承压水；与河道未贯穿的砂土多具承压性。含水层大多分布连续，但厚薄不均，局部呈透镜体状。第四系粘性土层多具微弱透水性，储存的地下水水量较小。基岩裂隙不甚发育，较少有基岩裂隙水。地下水主要接受大气降水补给，向下游排泄或向深部含水层补给，部分地下水受地表泾流和潮流影响，随潮水位变化与地表水呈互补关系，沙湾水道、浅海涌、榄核河、西樵水道及蕉门水道为区内最低排泄基准面。勘察期间工程区地下水位-1.12～0.84m。</w:t>
      </w:r>
    </w:p>
    <w:p>
      <w:pPr>
        <w:bidi w:val="0"/>
        <w:rPr>
          <w:rFonts w:hint="eastAsia"/>
          <w:lang w:val="en-US" w:eastAsia="zh-CN"/>
        </w:rPr>
      </w:pPr>
      <w:r>
        <w:rPr>
          <w:rFonts w:hint="eastAsia"/>
          <w:lang w:val="en-US" w:eastAsia="zh-CN"/>
        </w:rPr>
        <w:t>为了解地表水水化学特征，本次勘察在西樵水道、浅海涌、榄核河、北斗水闸内涌上各取1组水样进行水质简分析试验，其分析结果见表3-2-1。从表可见，西樵水道、浅海涌、榄核河的水化学类型为HCO3·SO4-Ca型水，北斗水闸内涌的水化学类型为HCO3-Ca型水，仅北斗水闸内涌口处的河水对混凝土具弱腐蚀性，其它对混凝土均无腐蚀性。</w:t>
      </w:r>
    </w:p>
    <w:p>
      <w:pPr>
        <w:bidi w:val="0"/>
        <w:ind w:left="0" w:leftChars="0" w:firstLine="0" w:firstLineChars="0"/>
        <w:jc w:val="center"/>
        <w:rPr>
          <w:rFonts w:ascii="宋体" w:eastAsia="宋体"/>
        </w:rPr>
      </w:pPr>
      <w:r>
        <w:rPr>
          <w:rFonts w:ascii="宋体" w:eastAsia="宋体"/>
        </w:rPr>
        <w:t>表</w:t>
      </w:r>
      <w:r>
        <w:rPr>
          <w:rFonts w:hint="eastAsia" w:eastAsia="宋体"/>
          <w:lang w:val="en-US" w:eastAsia="zh-CN"/>
        </w:rPr>
        <w:t>3.1</w:t>
      </w:r>
      <w:r>
        <w:rPr>
          <w:rFonts w:ascii="宋体" w:eastAsia="宋体"/>
        </w:rPr>
        <w:t xml:space="preserve">   </w:t>
      </w:r>
      <w:r>
        <w:rPr>
          <w:rFonts w:hint="eastAsia" w:ascii="宋体" w:eastAsia="宋体"/>
        </w:rPr>
        <w:t xml:space="preserve"> </w:t>
      </w:r>
      <w:r>
        <w:rPr>
          <w:rFonts w:ascii="宋体" w:eastAsia="宋体"/>
        </w:rPr>
        <w:t>大坳围水质分析成果一览表</w:t>
      </w:r>
    </w:p>
    <w:tbl>
      <w:tblPr>
        <w:tblStyle w:val="19"/>
        <w:tblW w:w="5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76"/>
        <w:gridCol w:w="804"/>
        <w:gridCol w:w="1081"/>
        <w:gridCol w:w="1280"/>
        <w:gridCol w:w="1569"/>
        <w:gridCol w:w="1456"/>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3" w:type="pct"/>
            <w:gridSpan w:val="4"/>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项目</w:t>
            </w:r>
          </w:p>
        </w:tc>
        <w:tc>
          <w:tcPr>
            <w:tcW w:w="3127" w:type="pct"/>
            <w:gridSpan w:val="4"/>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center"/>
              <w:textAlignment w:val="auto"/>
              <w:rPr>
                <w:rFonts w:eastAsia="宋体"/>
                <w:szCs w:val="21"/>
              </w:rPr>
            </w:pPr>
            <w:r>
              <w:rPr>
                <w:rFonts w:eastAsia="宋体"/>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3" w:type="pct"/>
            <w:gridSpan w:val="4"/>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西樵水道（上坭牛毛水闸）</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hint="eastAsia" w:eastAsia="宋体"/>
                <w:szCs w:val="21"/>
              </w:rPr>
            </w:pPr>
            <w:r>
              <w:rPr>
                <w:rFonts w:eastAsia="宋体"/>
                <w:szCs w:val="21"/>
              </w:rPr>
              <w:t>沙湾水道</w:t>
            </w:r>
          </w:p>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（北斗水闸）</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hint="eastAsia" w:eastAsia="宋体"/>
                <w:szCs w:val="21"/>
              </w:rPr>
            </w:pPr>
            <w:r>
              <w:rPr>
                <w:rFonts w:eastAsia="宋体"/>
                <w:szCs w:val="21"/>
              </w:rPr>
              <w:t>浅海涌</w:t>
            </w:r>
          </w:p>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（万安公路水闸）</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榄核河（九比大桥）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离子分析</w:t>
            </w:r>
          </w:p>
        </w:tc>
        <w:tc>
          <w:tcPr>
            <w:tcW w:w="521" w:type="pct"/>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阳离子</w:t>
            </w: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K+</w:t>
            </w:r>
          </w:p>
        </w:tc>
        <w:tc>
          <w:tcPr>
            <w:tcW w:w="577" w:type="pct"/>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（mgL-1）</w:t>
            </w: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6.51</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 xml:space="preserve">4.80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 xml:space="preserve">7.57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 xml:space="preserve">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Na</w:t>
            </w:r>
            <w:r>
              <w:rPr>
                <w:rFonts w:eastAsia="宋体"/>
                <w:color w:val="000000"/>
                <w:kern w:val="0"/>
                <w:szCs w:val="21"/>
                <w:vertAlign w:val="superscript"/>
              </w:rPr>
              <w:t>+</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14.56</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12.68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14.97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Ca</w:t>
            </w:r>
            <w:r>
              <w:rPr>
                <w:rFonts w:eastAsia="宋体"/>
                <w:color w:val="000000"/>
                <w:kern w:val="0"/>
                <w:szCs w:val="21"/>
                <w:vertAlign w:val="super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29.23</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28.81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29.31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31.46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Mg</w:t>
            </w:r>
            <w:r>
              <w:rPr>
                <w:rFonts w:eastAsia="宋体"/>
                <w:color w:val="000000"/>
                <w:kern w:val="0"/>
                <w:szCs w:val="21"/>
                <w:vertAlign w:val="super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5.16</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4.26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3.81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NH</w:t>
            </w:r>
            <w:r>
              <w:rPr>
                <w:rFonts w:eastAsia="宋体"/>
                <w:color w:val="000000"/>
                <w:kern w:val="0"/>
                <w:szCs w:val="21"/>
                <w:vertAlign w:val="subscript"/>
              </w:rPr>
              <w:t>4</w:t>
            </w:r>
            <w:r>
              <w:rPr>
                <w:rFonts w:eastAsia="宋体"/>
                <w:color w:val="000000"/>
                <w:kern w:val="0"/>
                <w:szCs w:val="21"/>
                <w:vertAlign w:val="superscript"/>
              </w:rPr>
              <w:t>+</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0.13</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0.23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小计</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55.59</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50.55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55.89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56.91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阴离子</w:t>
            </w: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Cl</w:t>
            </w:r>
            <w:r>
              <w:rPr>
                <w:rFonts w:eastAsia="宋体"/>
                <w:color w:val="000000"/>
                <w:kern w:val="0"/>
                <w:szCs w:val="21"/>
                <w:vertAlign w:val="superscript"/>
              </w:rPr>
              <w:t>-</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16.73</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19.22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15.66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SO</w:t>
            </w:r>
            <w:r>
              <w:rPr>
                <w:rFonts w:eastAsia="宋体"/>
                <w:color w:val="000000"/>
                <w:kern w:val="0"/>
                <w:szCs w:val="21"/>
                <w:vertAlign w:val="subscript"/>
              </w:rPr>
              <w:t>4</w:t>
            </w:r>
            <w:r>
              <w:rPr>
                <w:rFonts w:eastAsia="宋体"/>
                <w:color w:val="000000"/>
                <w:kern w:val="0"/>
                <w:szCs w:val="21"/>
                <w:vertAlign w:val="super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38.46</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30.00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36.03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36.84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HCO</w:t>
            </w:r>
            <w:r>
              <w:rPr>
                <w:rFonts w:eastAsia="宋体"/>
                <w:color w:val="000000"/>
                <w:kern w:val="0"/>
                <w:szCs w:val="21"/>
                <w:vertAlign w:val="subscript"/>
              </w:rPr>
              <w:t>3</w:t>
            </w:r>
            <w:r>
              <w:rPr>
                <w:rFonts w:eastAsia="宋体"/>
                <w:color w:val="000000"/>
                <w:kern w:val="0"/>
                <w:szCs w:val="21"/>
                <w:vertAlign w:val="superscript"/>
              </w:rPr>
              <w:t>-</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87.14</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81.53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95.23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91.49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CO</w:t>
            </w:r>
            <w:r>
              <w:rPr>
                <w:rFonts w:eastAsia="宋体"/>
                <w:color w:val="000000"/>
                <w:kern w:val="0"/>
                <w:szCs w:val="21"/>
                <w:vertAlign w:val="subscript"/>
              </w:rPr>
              <w:t>3</w:t>
            </w:r>
            <w:r>
              <w:rPr>
                <w:rFonts w:eastAsia="宋体"/>
                <w:color w:val="000000"/>
                <w:kern w:val="0"/>
                <w:szCs w:val="21"/>
                <w:vertAlign w:val="super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0</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OH</w:t>
            </w:r>
            <w:r>
              <w:rPr>
                <w:rFonts w:eastAsia="宋体"/>
                <w:color w:val="000000"/>
                <w:kern w:val="0"/>
                <w:szCs w:val="21"/>
                <w:vertAlign w:val="superscript"/>
              </w:rPr>
              <w:t>-</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0</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521"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430"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小计</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142.33</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130.75</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146.92</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148.26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restar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r>
              <w:rPr>
                <w:rFonts w:eastAsia="宋体"/>
                <w:sz w:val="24"/>
              </w:rPr>
              <w:t>一般分析</w:t>
            </w:r>
          </w:p>
        </w:tc>
        <w:tc>
          <w:tcPr>
            <w:tcW w:w="951" w:type="pct"/>
            <w:gridSpan w:val="2"/>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游离CO</w:t>
            </w:r>
            <w:r>
              <w:rPr>
                <w:rFonts w:eastAsia="宋体"/>
                <w:color w:val="000000"/>
                <w:kern w:val="0"/>
                <w:szCs w:val="21"/>
                <w:vertAlign w:val="sub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7.11</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23.83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11.70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951" w:type="pct"/>
            <w:gridSpan w:val="2"/>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侵蚀CO</w:t>
            </w:r>
            <w:r>
              <w:rPr>
                <w:rFonts w:eastAsia="宋体"/>
                <w:color w:val="000000"/>
                <w:kern w:val="0"/>
                <w:szCs w:val="21"/>
                <w:vertAlign w:val="subscript"/>
              </w:rPr>
              <w:t>2</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5.83</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16.83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10.32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951" w:type="pct"/>
            <w:gridSpan w:val="2"/>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总硬度</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94.24 </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89.48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88.88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101.66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951" w:type="pct"/>
            <w:gridSpan w:val="2"/>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总碱度</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143.04 </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133.83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156.32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150.18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5"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 w:val="24"/>
              </w:rPr>
            </w:pPr>
          </w:p>
        </w:tc>
        <w:tc>
          <w:tcPr>
            <w:tcW w:w="951" w:type="pct"/>
            <w:gridSpan w:val="2"/>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color w:val="000000"/>
                <w:kern w:val="0"/>
                <w:szCs w:val="21"/>
              </w:rPr>
              <w:t>矿化度</w:t>
            </w:r>
          </w:p>
        </w:tc>
        <w:tc>
          <w:tcPr>
            <w:tcW w:w="577" w:type="pct"/>
            <w:vMerge w:val="continue"/>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197.92 </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181.30 </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202.81 </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color w:val="000000"/>
                <w:szCs w:val="21"/>
              </w:rPr>
            </w:pPr>
            <w:r>
              <w:rPr>
                <w:rFonts w:eastAsia="宋体"/>
                <w:color w:val="000000"/>
                <w:szCs w:val="21"/>
              </w:rPr>
              <w:t xml:space="preserve">205.17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3" w:type="pct"/>
            <w:gridSpan w:val="4"/>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PH值</w:t>
            </w: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6.97</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6.78</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6.98</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3" w:type="pct"/>
            <w:gridSpan w:val="4"/>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水化学类型</w:t>
            </w:r>
          </w:p>
        </w:tc>
        <w:tc>
          <w:tcPr>
            <w:tcW w:w="684"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HCO</w:t>
            </w:r>
            <w:r>
              <w:rPr>
                <w:rFonts w:eastAsia="宋体"/>
                <w:szCs w:val="21"/>
                <w:vertAlign w:val="subscript"/>
              </w:rPr>
              <w:t>3</w:t>
            </w:r>
            <w:r>
              <w:rPr>
                <w:rFonts w:eastAsia="宋体"/>
                <w:szCs w:val="21"/>
              </w:rPr>
              <w:t>·SO</w:t>
            </w:r>
            <w:r>
              <w:rPr>
                <w:rFonts w:eastAsia="宋体"/>
                <w:szCs w:val="21"/>
                <w:vertAlign w:val="subscript"/>
              </w:rPr>
              <w:t>4</w:t>
            </w:r>
            <w:r>
              <w:rPr>
                <w:rFonts w:hint="eastAsia" w:eastAsia="宋体"/>
                <w:szCs w:val="21"/>
                <w:vertAlign w:val="subscript"/>
              </w:rPr>
              <w:br w:type="textWrapping"/>
            </w:r>
            <w:r>
              <w:rPr>
                <w:rFonts w:eastAsia="宋体"/>
                <w:szCs w:val="21"/>
              </w:rPr>
              <w:t>-Ca</w:t>
            </w:r>
          </w:p>
        </w:tc>
        <w:tc>
          <w:tcPr>
            <w:tcW w:w="83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HCO</w:t>
            </w:r>
            <w:r>
              <w:rPr>
                <w:rFonts w:eastAsia="宋体"/>
                <w:szCs w:val="21"/>
                <w:vertAlign w:val="subscript"/>
              </w:rPr>
              <w:t>3</w:t>
            </w:r>
            <w:r>
              <w:rPr>
                <w:rFonts w:eastAsia="宋体"/>
                <w:szCs w:val="21"/>
              </w:rPr>
              <w:t>-Ca</w:t>
            </w:r>
          </w:p>
        </w:tc>
        <w:tc>
          <w:tcPr>
            <w:tcW w:w="778"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HCO</w:t>
            </w:r>
            <w:r>
              <w:rPr>
                <w:rFonts w:eastAsia="宋体"/>
                <w:szCs w:val="21"/>
                <w:vertAlign w:val="subscript"/>
              </w:rPr>
              <w:t>3</w:t>
            </w:r>
            <w:r>
              <w:rPr>
                <w:rFonts w:eastAsia="宋体"/>
                <w:szCs w:val="21"/>
              </w:rPr>
              <w:t>·SO</w:t>
            </w:r>
            <w:r>
              <w:rPr>
                <w:rFonts w:eastAsia="宋体"/>
                <w:szCs w:val="21"/>
                <w:vertAlign w:val="subscript"/>
              </w:rPr>
              <w:t>4</w:t>
            </w:r>
            <w:r>
              <w:rPr>
                <w:rFonts w:hint="eastAsia" w:eastAsia="宋体"/>
                <w:szCs w:val="21"/>
                <w:vertAlign w:val="subscript"/>
              </w:rPr>
              <w:br w:type="textWrapping"/>
            </w:r>
            <w:r>
              <w:rPr>
                <w:rFonts w:eastAsia="宋体"/>
                <w:szCs w:val="21"/>
              </w:rPr>
              <w:t>-Ca</w:t>
            </w:r>
          </w:p>
        </w:tc>
        <w:tc>
          <w:tcPr>
            <w:tcW w:w="826" w:type="pct"/>
            <w:noWrap w:val="0"/>
            <w:vAlign w:val="center"/>
          </w:tcPr>
          <w:p>
            <w:pPr>
              <w:pStyle w:val="59"/>
              <w:keepNext w:val="0"/>
              <w:keepLines w:val="0"/>
              <w:pageBreakBefore w:val="0"/>
              <w:widowControl/>
              <w:kinsoku/>
              <w:wordWrap/>
              <w:overflowPunct/>
              <w:topLinePunct w:val="0"/>
              <w:autoSpaceDE/>
              <w:autoSpaceDN/>
              <w:bidi w:val="0"/>
              <w:adjustRightInd w:val="0"/>
              <w:snapToGrid w:val="0"/>
              <w:spacing w:before="0" w:beforeLines="0" w:after="0" w:afterLines="0"/>
              <w:ind w:firstLine="0" w:firstLineChars="0"/>
              <w:jc w:val="both"/>
              <w:textAlignment w:val="auto"/>
              <w:rPr>
                <w:rFonts w:eastAsia="宋体"/>
                <w:szCs w:val="21"/>
              </w:rPr>
            </w:pPr>
            <w:r>
              <w:rPr>
                <w:rFonts w:eastAsia="宋体"/>
                <w:szCs w:val="21"/>
              </w:rPr>
              <w:t>HCO</w:t>
            </w:r>
            <w:r>
              <w:rPr>
                <w:rFonts w:eastAsia="宋体"/>
                <w:szCs w:val="21"/>
                <w:vertAlign w:val="subscript"/>
              </w:rPr>
              <w:t>3</w:t>
            </w:r>
            <w:r>
              <w:rPr>
                <w:rFonts w:eastAsia="宋体"/>
                <w:szCs w:val="21"/>
              </w:rPr>
              <w:t>·SO</w:t>
            </w:r>
            <w:r>
              <w:rPr>
                <w:rFonts w:eastAsia="宋体"/>
                <w:szCs w:val="21"/>
                <w:vertAlign w:val="subscript"/>
              </w:rPr>
              <w:t>4</w:t>
            </w:r>
            <w:r>
              <w:rPr>
                <w:rFonts w:hint="eastAsia" w:eastAsia="宋体"/>
                <w:szCs w:val="21"/>
                <w:vertAlign w:val="subscript"/>
              </w:rPr>
              <w:br w:type="textWrapping"/>
            </w:r>
            <w:r>
              <w:rPr>
                <w:rFonts w:eastAsia="宋体"/>
                <w:szCs w:val="21"/>
              </w:rPr>
              <w:t>-Ca</w:t>
            </w:r>
          </w:p>
        </w:tc>
      </w:tr>
      <w:bookmarkEnd w:id="11"/>
    </w:tbl>
    <w:p>
      <w:pPr>
        <w:pStyle w:val="5"/>
        <w:bidi w:val="0"/>
      </w:pPr>
      <w:bookmarkStart w:id="14" w:name="_Toc18644"/>
      <w:r>
        <w:t>3.</w:t>
      </w:r>
      <w:r>
        <w:rPr>
          <w:rFonts w:hint="eastAsia"/>
          <w:lang w:val="en-US" w:eastAsia="zh-CN"/>
        </w:rPr>
        <w:t>2</w:t>
      </w:r>
      <w:r>
        <w:t>水文条件</w:t>
      </w:r>
      <w:bookmarkEnd w:id="14"/>
    </w:p>
    <w:p>
      <w:pPr>
        <w:bidi w:val="0"/>
      </w:pPr>
      <w:bookmarkStart w:id="15" w:name="_Ref258682285"/>
      <w:r>
        <w:t>（1）径流特征</w:t>
      </w:r>
    </w:p>
    <w:p>
      <w:pPr>
        <w:bidi w:val="0"/>
      </w:pPr>
      <w:bookmarkStart w:id="16" w:name="_Hlk45474078"/>
      <w:r>
        <w:t>南沙区位于珠江三角洲网河区的入海口附近，区内有虎门水道、蕉门水道和洪奇门水道3条主要水道，均承泄上游来水。本工程位于出海口门的蕉门水道西侧，蕉门水道是珠江河口最重要的水沙通道，每年经蕉门出海的径流量在八大口门中位居第二，仅次于磨刀门。蕉门多年平均径流量565亿m³，多年平均输沙量1289t</w:t>
      </w:r>
      <w:bookmarkEnd w:id="16"/>
      <w:r>
        <w:t>；洪奇门多年平均径流量209亿m³，多年平均输沙量517t。</w:t>
      </w:r>
    </w:p>
    <w:p>
      <w:pPr>
        <w:bidi w:val="0"/>
      </w:pPr>
      <w:r>
        <w:t>（2）洪、潮特性</w:t>
      </w:r>
    </w:p>
    <w:p>
      <w:pPr>
        <w:bidi w:val="0"/>
      </w:pPr>
      <w:r>
        <w:t>1) 洪水特征</w:t>
      </w:r>
    </w:p>
    <w:p>
      <w:pPr>
        <w:bidi w:val="0"/>
      </w:pPr>
      <w:r>
        <w:t>南沙区河道的洪水主要来自西江、北江和流溪河，因此区内洪水受流域洪水特性所制约，具有明显的流域特征。西、北江洪水通过思贤滘沟通调节后经马口、三水进入西北江三角洲网河区，洪水过程呈平缓肥胖型，相似于西江而略带北江的特征，汛期洪水主要是以西江经思贤滘过北江为主。实测最大洪峰流量，马口为53200m³/s（2005年6月24日），三水为16300m³/s（2005年6月24日）。每年的4月~9月为珠江流域的暴雨洪水期，其中以5月~8月为最甚。</w:t>
      </w:r>
    </w:p>
    <w:p>
      <w:pPr>
        <w:bidi w:val="0"/>
      </w:pPr>
      <w:r>
        <w:t>2) 潮汐特征</w:t>
      </w:r>
    </w:p>
    <w:p>
      <w:pPr>
        <w:bidi w:val="0"/>
      </w:pPr>
      <w:r>
        <w:t>南沙区地处珠江三角洲中部，珠江河口属弱潮型河口，潮汐属不规则半日潮，即在一个太阴日里（约24小时50分），出现两次高潮两次低潮，日潮不等现象显著，月内有朔、望大潮和上、下弦小潮，约15天一周期。受径流影响，各站年最高潮位多出现在汛期，尤其是夏季受热带气旋的影响引发的风暴潮，常使口门站出现历史最高潮位，而年最低潮位则出现于枯水期。潮位过程线的形态呈不对称正弦曲线，涨潮历时短，落潮历时长，而且落潮历时是汛期长于枯水期，涨潮历时则相反。</w:t>
      </w:r>
    </w:p>
    <w:p>
      <w:pPr>
        <w:bidi w:val="0"/>
      </w:pPr>
      <w:r>
        <w:t>珠江河口潮差不大，平均涨潮潮差为1.32m，最大涨潮潮差为3.50m（2008.9.24）；平均落潮潮差为1.32m，最大落潮潮差为3.16m（2016.8.2）；平均涨潮历时为5:18，最大涨潮历时为17:40（1960.4.5和2008.3.31）；平均落潮历时为7:13，最大落潮历时为12:40（1998.1.22）。潮差的年际变化不大，年内变化相对较大。汛期潮差略大于枯水期潮差。</w:t>
      </w:r>
    </w:p>
    <w:p>
      <w:pPr>
        <w:bidi w:val="0"/>
      </w:pPr>
      <w:r>
        <w:t>根据南沙站1963~2018年统计资料分析，多年平均潮位为5.68m（广州城建高程，下同）；最高潮位为8.16m（受2018年第22号台风“山竹”影响），是自20世纪以来的最高暴潮水位；平均低潮位为4.36m，最低潮位为3.43m（1971.3.23）。</w:t>
      </w:r>
    </w:p>
    <w:p>
      <w:pPr>
        <w:bidi w:val="0"/>
      </w:pPr>
      <w:r>
        <w:t>（3）泥沙</w:t>
      </w:r>
    </w:p>
    <w:p>
      <w:pPr>
        <w:bidi w:val="0"/>
      </w:pPr>
      <w:r>
        <w:t>珠江三角洲的泥沙主要来自西、北江。根据1959~2015年实测资料分析，西江马口站多年平均含沙量0.261kg/m³，多年平均输沙量为5918万t，占总来沙量的87.63%；北江三水站多年平均含沙量0.173kg/m³，多年平均输沙量为836万t，占总来沙量的12.37%。含沙量和年输沙量年际变化较为剧烈，汛期输沙量大于枯水期，在汛期西江马口站和北江三水站输沙量占全年输沙量的94%以上。水库建设对西江流域的年输沙量影响较大，拦截泥沙作用明显，含沙量和年输沙量均大幅减小。</w:t>
      </w:r>
    </w:p>
    <w:p>
      <w:pPr>
        <w:bidi w:val="0"/>
      </w:pPr>
      <w:r>
        <w:t>上游泥沙进入珠江三角洲后，除沿程沉积外，主要经八大口门出海。根据1999年7月15日~7月24日和2001年2月7日~2月15日同步水文测验资料，洪水期蕉门水道占八大口门的分沙比为24.44%；枯水期由于上游来沙少，除洪奇门、磨刀门和虎跳门外，其它口门呈现外海泥沙向内输入的状况，但输入沙量较少，其中蕉门输沙量占总沙量的14.2%。</w:t>
      </w:r>
    </w:p>
    <w:p>
      <w:pPr>
        <w:bidi w:val="0"/>
      </w:pPr>
      <w:r>
        <w:t>珠江三角洲网河区河道床沙主要由细沙和淤泥组成，河道上游的泥沙较下游泥沙粗，根据不同时期测验资料的比较，二十世纪九十年代后的泥沙粒径与二十世纪八十年代相比南沙站有变细的趋势，而洪奇沥水道的万顷沙西站有变粗的趋势。</w:t>
      </w:r>
    </w:p>
    <w:p>
      <w:pPr>
        <w:bidi w:val="0"/>
      </w:pPr>
      <w:bookmarkStart w:id="17" w:name="_Toc37497678"/>
      <w:bookmarkStart w:id="18" w:name="_Toc29375687"/>
      <w:r>
        <w:t>（4）气象特征</w:t>
      </w:r>
      <w:bookmarkEnd w:id="17"/>
      <w:bookmarkEnd w:id="18"/>
    </w:p>
    <w:p>
      <w:pPr>
        <w:bidi w:val="0"/>
      </w:pPr>
      <w:bookmarkStart w:id="19" w:name="_Hlk45473963"/>
      <w:r>
        <w:t>南沙区地处亚热带季风气候区，属亚热带季风海洋气候，由于背山面海，海洋性气候显著，气候温和潮湿，具有温暖多雨、光热充足、温差较小、夏季长等气候特征。</w:t>
      </w:r>
      <w:bookmarkEnd w:id="19"/>
    </w:p>
    <w:p>
      <w:pPr>
        <w:bidi w:val="0"/>
      </w:pPr>
      <w:r>
        <w:t>根据南沙附近的广州气象站1951年至2000年50年的资料统计，广州地区多年平均气温为21.8℃，年际变化不大，年内气温以7月份为最高，1月份为最低。多年平均日照时数为1600h~2100h，日照时数的年际差异较大，日照时数的年内分配也不均匀。多年平均相对湿度在80%左右，春、夏最大相对湿度在95%以上，秋、冬最小相对湿度不足10%。多年平均蒸发量为1100mm~1300mm，蒸发量的年际变化不大，但年内变化相对较大，7、8月份蒸发量最大，约占年总量的23%左右，1~3月蒸发量较小，约占年总量17%左右。</w:t>
      </w:r>
    </w:p>
    <w:p>
      <w:pPr>
        <w:bidi w:val="0"/>
      </w:pPr>
      <w:r>
        <w:t>南沙区常年盛行两个主要风向，夏季多吹东南风和偏南风，冬季多吹北风和偏北风，偏北风的频率较偏南风的频率大，风速相近，多年平均风速2.0m/s~2.6m/s，多年最大风速平均值19m/s。南沙区为台风影响区，台风一般发生在7~9月，据1959年~1998年统计，造成影响的台风有115次，年均受影响的次数2.85次，最多为5次/年。台风最大风力在9级以上，并带来暴雨，破坏力极大。</w:t>
      </w:r>
    </w:p>
    <w:p>
      <w:pPr>
        <w:bidi w:val="0"/>
      </w:pPr>
      <w:r>
        <w:t>根据南沙站1963年~2009年的历年雨量资料，南沙站多年平均降水量约1700mm，最大年雨量2134mm（1981年），最小年雨量887mm（1963年）。降雨量年际变化不大，但年内分配极不均匀，汛期4月~9月降水量占年总量的82.1%，其中又以5、6月份降水量最为集中，枯水期10月~翌年3月占年总量的17.9%。</w:t>
      </w:r>
    </w:p>
    <w:bookmarkEnd w:id="15"/>
    <w:p>
      <w:pPr>
        <w:pStyle w:val="5"/>
        <w:numPr>
          <w:ilvl w:val="2"/>
          <w:numId w:val="0"/>
        </w:numPr>
        <w:bidi w:val="0"/>
        <w:ind w:leftChars="200"/>
        <w:rPr>
          <w:rFonts w:hint="default"/>
          <w:lang w:val="en-US" w:eastAsia="zh-CN"/>
        </w:rPr>
      </w:pPr>
      <w:bookmarkStart w:id="20" w:name="_Toc19308"/>
      <w:r>
        <w:t>3.</w:t>
      </w:r>
      <w:r>
        <w:rPr>
          <w:rFonts w:hint="eastAsia"/>
          <w:lang w:val="en-US" w:eastAsia="zh-CN"/>
        </w:rPr>
        <w:t>3</w:t>
      </w:r>
      <w:r>
        <w:t>设计</w:t>
      </w:r>
      <w:r>
        <w:rPr>
          <w:rFonts w:hint="eastAsia"/>
          <w:lang w:val="en-US" w:eastAsia="zh-CN"/>
        </w:rPr>
        <w:t>参考规范</w:t>
      </w:r>
      <w:bookmarkEnd w:id="20"/>
    </w:p>
    <w:p>
      <w:pPr>
        <w:bidi w:val="0"/>
      </w:pPr>
      <w:bookmarkStart w:id="21" w:name="_Toc404373496"/>
      <w:bookmarkStart w:id="22" w:name="_Toc404354265"/>
      <w:bookmarkStart w:id="23" w:name="_Toc404354444"/>
      <w:bookmarkStart w:id="24" w:name="_Toc483213826"/>
      <w:r>
        <w:rPr>
          <w:rFonts w:hint="eastAsia"/>
          <w:lang w:val="zh-CN"/>
        </w:rPr>
        <w:t>《供配电系统设计规范》</w:t>
      </w:r>
      <w:r>
        <w:t>GB50052-2009</w:t>
      </w:r>
    </w:p>
    <w:p>
      <w:pPr>
        <w:bidi w:val="0"/>
      </w:pPr>
      <w:r>
        <w:rPr>
          <w:rFonts w:hint="eastAsia"/>
        </w:rPr>
        <w:t>《</w:t>
      </w:r>
      <w:r>
        <w:t>20kV</w:t>
      </w:r>
      <w:r>
        <w:rPr>
          <w:rFonts w:hint="eastAsia"/>
        </w:rPr>
        <w:t>及以下变电所设计规范》</w:t>
      </w:r>
      <w:r>
        <w:t>GB50053-2013</w:t>
      </w:r>
    </w:p>
    <w:p>
      <w:pPr>
        <w:bidi w:val="0"/>
      </w:pPr>
      <w:r>
        <w:rPr>
          <w:rFonts w:hint="eastAsia"/>
        </w:rPr>
        <w:t>《</w:t>
      </w:r>
      <w:r>
        <w:t>3</w:t>
      </w:r>
      <w:r>
        <w:rPr>
          <w:rFonts w:hint="eastAsia"/>
        </w:rPr>
        <w:t>～</w:t>
      </w:r>
      <w:r>
        <w:t>110kV</w:t>
      </w:r>
      <w:r>
        <w:rPr>
          <w:rFonts w:hint="eastAsia"/>
        </w:rPr>
        <w:t>高压配电装置设计规范》</w:t>
      </w:r>
      <w:r>
        <w:t>GB50060-2008</w:t>
      </w:r>
    </w:p>
    <w:p>
      <w:pPr>
        <w:bidi w:val="0"/>
      </w:pPr>
      <w:r>
        <w:rPr>
          <w:rFonts w:hint="eastAsia"/>
        </w:rPr>
        <w:t>《电力工程电缆设计标准》</w:t>
      </w:r>
      <w:r>
        <w:t>GB50217-2018</w:t>
      </w:r>
    </w:p>
    <w:p>
      <w:pPr>
        <w:bidi w:val="0"/>
      </w:pPr>
      <w:r>
        <w:rPr>
          <w:rFonts w:hint="eastAsia"/>
        </w:rPr>
        <w:t>《通用用电设备配电设计规范》</w:t>
      </w:r>
      <w:r>
        <w:t>GB50055-2011</w:t>
      </w:r>
    </w:p>
    <w:p>
      <w:pPr>
        <w:bidi w:val="0"/>
      </w:pPr>
      <w:r>
        <w:rPr>
          <w:rFonts w:hint="eastAsia"/>
        </w:rPr>
        <w:t>《建筑电气工程施工质量验收规范》</w:t>
      </w:r>
      <w:r>
        <w:t>GB50303-2015</w:t>
      </w:r>
    </w:p>
    <w:p>
      <w:pPr>
        <w:bidi w:val="0"/>
      </w:pPr>
      <w:r>
        <w:rPr>
          <w:rFonts w:hint="eastAsia"/>
        </w:rPr>
        <w:t>《民用建筑电气设计标准》</w:t>
      </w:r>
      <w:r>
        <w:t>GB51348-2019</w:t>
      </w:r>
    </w:p>
    <w:p>
      <w:pPr>
        <w:bidi w:val="0"/>
      </w:pPr>
      <w:r>
        <w:rPr>
          <w:rFonts w:hint="eastAsia"/>
        </w:rPr>
        <w:t>《建筑设计防火规范》（</w:t>
      </w:r>
      <w:r>
        <w:t>GB50016-2018</w:t>
      </w:r>
      <w:r>
        <w:rPr>
          <w:rFonts w:hint="eastAsia"/>
        </w:rPr>
        <w:t>年版）</w:t>
      </w:r>
    </w:p>
    <w:p>
      <w:pPr>
        <w:bidi w:val="0"/>
      </w:pPr>
      <w:r>
        <w:rPr>
          <w:rFonts w:hint="eastAsia"/>
        </w:rPr>
        <w:t>《中国南方电网</w:t>
      </w:r>
      <w:r>
        <w:t>10kV</w:t>
      </w:r>
      <w:r>
        <w:rPr>
          <w:rFonts w:hint="eastAsia"/>
        </w:rPr>
        <w:t>及以下业扩受电工程典型设计图集》</w:t>
      </w:r>
      <w:r>
        <w:t>(2018</w:t>
      </w:r>
      <w:r>
        <w:rPr>
          <w:rFonts w:hint="eastAsia"/>
        </w:rPr>
        <w:t>版</w:t>
      </w:r>
      <w:r>
        <w:t>)</w:t>
      </w:r>
    </w:p>
    <w:p>
      <w:pPr>
        <w:bidi w:val="0"/>
      </w:pPr>
      <w:r>
        <w:rPr>
          <w:rFonts w:hint="eastAsia"/>
        </w:rPr>
        <w:t>《中国南方电网</w:t>
      </w:r>
      <w:r>
        <w:t>10kV</w:t>
      </w:r>
      <w:r>
        <w:rPr>
          <w:rFonts w:hint="eastAsia"/>
        </w:rPr>
        <w:t>及以下业扩受电工程技术导则》</w:t>
      </w:r>
      <w:r>
        <w:t>(2018</w:t>
      </w:r>
      <w:r>
        <w:rPr>
          <w:rFonts w:hint="eastAsia"/>
        </w:rPr>
        <w:t>版</w:t>
      </w:r>
      <w:r>
        <w:t>)</w:t>
      </w:r>
    </w:p>
    <w:p>
      <w:pPr>
        <w:bidi w:val="0"/>
      </w:pPr>
      <w:r>
        <w:rPr>
          <w:rFonts w:hint="eastAsia"/>
        </w:rPr>
        <w:t>《广东省</w:t>
      </w:r>
      <w:r>
        <w:t>10kV</w:t>
      </w:r>
      <w:r>
        <w:rPr>
          <w:rFonts w:hint="eastAsia"/>
        </w:rPr>
        <w:t>及以下业扩工程设备技术规范》（</w:t>
      </w:r>
      <w:r>
        <w:t>2010</w:t>
      </w:r>
      <w:r>
        <w:rPr>
          <w:rFonts w:hint="eastAsia"/>
        </w:rPr>
        <w:t>版）</w:t>
      </w:r>
    </w:p>
    <w:p>
      <w:pPr>
        <w:bidi w:val="0"/>
      </w:pPr>
      <w:r>
        <w:rPr>
          <w:rFonts w:hint="eastAsia"/>
        </w:rPr>
        <w:t>《广州供电局</w:t>
      </w:r>
      <w:r>
        <w:t>10kV</w:t>
      </w:r>
      <w:r>
        <w:rPr>
          <w:rFonts w:hint="eastAsia"/>
        </w:rPr>
        <w:t>及以下客户受电工程方案图设计内容及深度要求（</w:t>
      </w:r>
      <w:r>
        <w:t>2016</w:t>
      </w:r>
      <w:r>
        <w:rPr>
          <w:rFonts w:hint="eastAsia"/>
        </w:rPr>
        <w:t>版）》</w:t>
      </w:r>
    </w:p>
    <w:p>
      <w:pPr>
        <w:bidi w:val="0"/>
        <w:rPr>
          <w:rFonts w:hint="eastAsia"/>
        </w:rPr>
      </w:pPr>
      <w:r>
        <w:rPr>
          <w:rFonts w:hint="eastAsia"/>
        </w:rPr>
        <w:t>《广东省10kV及以下业扩工程设备选型规范》（2010版）</w:t>
      </w:r>
    </w:p>
    <w:p>
      <w:pPr>
        <w:bidi w:val="0"/>
      </w:pPr>
      <w:r>
        <w:rPr>
          <w:rFonts w:hint="eastAsia"/>
        </w:rPr>
        <w:t>《广州供电局配网基建工程标准设计（2021年版）》等。</w:t>
      </w:r>
      <w:bookmarkEnd w:id="21"/>
      <w:bookmarkEnd w:id="22"/>
      <w:bookmarkEnd w:id="23"/>
      <w:bookmarkEnd w:id="24"/>
      <w:bookmarkStart w:id="25" w:name="_Toc483213824"/>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0"/>
        <w:rPr>
          <w:rFonts w:ascii="Times New Roman" w:hAnsi="Times New Roman" w:eastAsia="方正小标宋简体" w:cs="Times New Roman"/>
          <w:sz w:val="32"/>
          <w:szCs w:val="32"/>
        </w:rPr>
      </w:pPr>
      <w:bookmarkStart w:id="26" w:name="_Toc503863172"/>
      <w:bookmarkStart w:id="27" w:name="_Toc3241"/>
      <w:r>
        <w:rPr>
          <w:rFonts w:ascii="Times New Roman" w:hAnsi="Times New Roman" w:eastAsia="方正小标宋简体" w:cs="Times New Roman"/>
          <w:sz w:val="32"/>
          <w:szCs w:val="32"/>
        </w:rPr>
        <w:t>第四章 工程总体设计原则</w:t>
      </w:r>
      <w:bookmarkEnd w:id="25"/>
      <w:r>
        <w:rPr>
          <w:rFonts w:ascii="Times New Roman" w:hAnsi="Times New Roman" w:eastAsia="方正小标宋简体" w:cs="Times New Roman"/>
          <w:sz w:val="32"/>
          <w:szCs w:val="32"/>
        </w:rPr>
        <w:t>及要求</w:t>
      </w:r>
      <w:bookmarkEnd w:id="26"/>
      <w:bookmarkEnd w:id="27"/>
    </w:p>
    <w:p>
      <w:pPr>
        <w:bidi w:val="0"/>
        <w:rPr>
          <w:rFonts w:hint="eastAsia"/>
        </w:rPr>
      </w:pPr>
      <w:bookmarkStart w:id="28" w:name="_Toc483213825"/>
      <w:r>
        <w:rPr>
          <w:rFonts w:hint="eastAsia"/>
        </w:rPr>
        <w:t>设计成果应符合项目定位需求，满足国家规范和地方法规，达到用电报装和永久用电工程招标及施工的设计深度，满足</w:t>
      </w:r>
      <w:r>
        <w:rPr>
          <w:rFonts w:hint="eastAsia"/>
          <w:lang w:val="en-US" w:eastAsia="zh-CN"/>
        </w:rPr>
        <w:t>甲方</w:t>
      </w:r>
      <w:r>
        <w:rPr>
          <w:rFonts w:hint="eastAsia"/>
        </w:rPr>
        <w:t>目标成本控制的自主材料设备选型要求，达到实现供电可靠性、经济合理性、技术先进性的要求。</w:t>
      </w:r>
    </w:p>
    <w:p>
      <w:pPr>
        <w:bidi w:val="0"/>
        <w:rPr>
          <w:rFonts w:hint="eastAsia"/>
        </w:rPr>
      </w:pPr>
      <w:r>
        <w:rPr>
          <w:rFonts w:hint="eastAsia"/>
        </w:rPr>
        <w:t>施工图设计应符合国家及供电部门要求的规范，同时满足项目功能性、可靠性、技术先进性的要求；产品选型在满足南方电网《10kV及以下业扩受电工程》典型设计、计量装置典型设计、设备技术规范、设备选型规范、竣工检验规范的前提下，应满足建筑单位自主选择工程施工招标和材料设备供应单位的权利，不得设置排他性唯一性技术门槛。施工图设计深度和质量满足项目永久用电工程报审要求，能在规定的时效内获供电部门批准，并一次性通过施工图审查。</w:t>
      </w:r>
    </w:p>
    <w:p>
      <w:pPr>
        <w:bidi w:val="0"/>
        <w:rPr>
          <w:rFonts w:hint="eastAsia"/>
        </w:rPr>
      </w:pPr>
      <w:r>
        <w:rPr>
          <w:rFonts w:hint="eastAsia"/>
        </w:rPr>
        <w:t>现场施工跟进：</w:t>
      </w:r>
      <w:r>
        <w:rPr>
          <w:rFonts w:hint="eastAsia"/>
          <w:lang w:val="en-US" w:eastAsia="zh-CN"/>
        </w:rPr>
        <w:t>外电</w:t>
      </w:r>
      <w:r>
        <w:rPr>
          <w:rFonts w:hint="eastAsia"/>
        </w:rPr>
        <w:t>工程施工阶段，设计人应配合</w:t>
      </w:r>
      <w:r>
        <w:rPr>
          <w:rFonts w:hint="eastAsia"/>
          <w:lang w:val="en-US" w:eastAsia="zh-CN"/>
        </w:rPr>
        <w:t>甲方</w:t>
      </w:r>
      <w:r>
        <w:rPr>
          <w:rFonts w:hint="eastAsia"/>
        </w:rPr>
        <w:t>到施工图现场完成图纸及技术交底等工作。同时，由于电力工程施工的特殊性及施工周期较短，设计人应紧密配合现场施工进度，各专业设计人员按要求参加</w:t>
      </w:r>
      <w:r>
        <w:rPr>
          <w:rFonts w:hint="eastAsia"/>
          <w:lang w:val="en-US" w:eastAsia="zh-CN"/>
        </w:rPr>
        <w:t>甲方</w:t>
      </w:r>
      <w:r>
        <w:rPr>
          <w:rFonts w:hint="eastAsia"/>
        </w:rPr>
        <w:t>召开的现场施工协调会。</w:t>
      </w:r>
    </w:p>
    <w:bookmarkEnd w:id="28"/>
    <w:p>
      <w:pPr>
        <w:adjustRightInd/>
        <w:snapToGrid/>
        <w:spacing w:after="0"/>
        <w:rPr>
          <w:rFonts w:ascii="Times New Roman" w:hAnsi="Times New Roman" w:eastAsia="方正小标宋简体" w:cs="Times New Roman"/>
          <w:sz w:val="44"/>
          <w:szCs w:val="44"/>
        </w:rPr>
      </w:pPr>
      <w:bookmarkStart w:id="29" w:name="_Toc483213827"/>
      <w:r>
        <w:rPr>
          <w:rFonts w:ascii="Times New Roman" w:hAnsi="Times New Roman" w:eastAsia="方正小标宋简体" w:cs="Times New Roman"/>
          <w:sz w:val="44"/>
          <w:szCs w:val="4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0"/>
        <w:rPr>
          <w:rFonts w:ascii="Times New Roman" w:hAnsi="Times New Roman" w:eastAsia="方正小标宋简体" w:cs="Times New Roman"/>
          <w:sz w:val="32"/>
          <w:szCs w:val="32"/>
        </w:rPr>
      </w:pPr>
      <w:bookmarkStart w:id="30" w:name="_Toc503863173"/>
      <w:bookmarkStart w:id="31" w:name="_Toc20884"/>
      <w:r>
        <w:rPr>
          <w:rFonts w:ascii="Times New Roman" w:hAnsi="Times New Roman" w:eastAsia="方正小标宋简体" w:cs="Times New Roman"/>
          <w:sz w:val="32"/>
          <w:szCs w:val="32"/>
        </w:rPr>
        <w:t xml:space="preserve">第五章 </w:t>
      </w:r>
      <w:bookmarkEnd w:id="29"/>
      <w:r>
        <w:rPr>
          <w:rFonts w:ascii="Times New Roman" w:hAnsi="Times New Roman" w:eastAsia="方正小标宋简体" w:cs="Times New Roman"/>
          <w:sz w:val="32"/>
          <w:szCs w:val="32"/>
        </w:rPr>
        <w:t>设计内容及工作任务</w:t>
      </w:r>
      <w:bookmarkEnd w:id="30"/>
      <w:bookmarkEnd w:id="31"/>
    </w:p>
    <w:p>
      <w:pPr>
        <w:pStyle w:val="5"/>
        <w:bidi w:val="0"/>
        <w:rPr>
          <w:rFonts w:hint="eastAsia"/>
          <w:lang w:val="en-US" w:eastAsia="zh-CN"/>
        </w:rPr>
      </w:pPr>
      <w:bookmarkStart w:id="32" w:name="_Toc32224"/>
      <w:r>
        <w:rPr>
          <w:rFonts w:hint="eastAsia"/>
          <w:lang w:val="en-US" w:eastAsia="zh-CN"/>
        </w:rPr>
        <w:t>5.1设计内容：</w:t>
      </w:r>
      <w:bookmarkEnd w:id="32"/>
    </w:p>
    <w:p>
      <w:pPr>
        <w:bidi w:val="0"/>
        <w:rPr>
          <w:rFonts w:hint="eastAsia"/>
        </w:rPr>
      </w:pPr>
      <w:r>
        <w:rPr>
          <w:rFonts w:hint="eastAsia"/>
        </w:rPr>
        <w:t>按照国家规范和供电部门的相关规范、标准，完成本项目</w:t>
      </w:r>
      <w:r>
        <w:rPr>
          <w:rFonts w:hint="eastAsia"/>
          <w:lang w:val="en-US" w:eastAsia="zh-CN"/>
        </w:rPr>
        <w:t>外电</w:t>
      </w:r>
      <w:r>
        <w:rPr>
          <w:rFonts w:hint="eastAsia"/>
        </w:rPr>
        <w:t>工程的施工图设计、施工现场指导、竣工验收参与、专项报建配合，以及相关的技术咨询服务等。</w:t>
      </w:r>
    </w:p>
    <w:p>
      <w:pPr>
        <w:bidi w:val="0"/>
        <w:rPr>
          <w:rFonts w:hint="eastAsia"/>
        </w:rPr>
      </w:pPr>
      <w:r>
        <w:rPr>
          <w:rFonts w:hint="eastAsia"/>
        </w:rPr>
        <w:t>本项目</w:t>
      </w:r>
      <w:r>
        <w:rPr>
          <w:rFonts w:hint="eastAsia"/>
          <w:lang w:val="en-US" w:eastAsia="zh-CN"/>
        </w:rPr>
        <w:t>外电</w:t>
      </w:r>
      <w:r>
        <w:rPr>
          <w:rFonts w:hint="eastAsia"/>
        </w:rPr>
        <w:t>工程的设计内容包含且不仅限于：施工图设计、施工图送审、供电部门图纸审批咨询服务、施工现场指导与配合、竣工验收配合等,以及在以上工作过程中与各相关单位（供电部门、发包人等）的沟通协调工作。</w:t>
      </w:r>
    </w:p>
    <w:p>
      <w:pPr>
        <w:pStyle w:val="5"/>
        <w:bidi w:val="0"/>
        <w:rPr>
          <w:rFonts w:hint="eastAsia"/>
          <w:lang w:val="en-US" w:eastAsia="zh-CN"/>
        </w:rPr>
      </w:pPr>
      <w:bookmarkStart w:id="33" w:name="_Toc2304"/>
      <w:r>
        <w:rPr>
          <w:rFonts w:hint="eastAsia"/>
          <w:lang w:val="en-US" w:eastAsia="zh-CN"/>
        </w:rPr>
        <w:t>5.2工作任务</w:t>
      </w:r>
      <w:bookmarkEnd w:id="33"/>
      <w:r>
        <w:rPr>
          <w:rFonts w:hint="eastAsia"/>
          <w:lang w:val="en-US" w:eastAsia="zh-CN"/>
        </w:rPr>
        <w:t xml:space="preserve"> </w:t>
      </w:r>
    </w:p>
    <w:tbl>
      <w:tblPr>
        <w:tblStyle w:val="19"/>
        <w:tblW w:w="9067" w:type="dxa"/>
        <w:jc w:val="center"/>
        <w:shd w:val="clear" w:color="auto" w:fill="auto"/>
        <w:tblLayout w:type="fixed"/>
        <w:tblCellMar>
          <w:top w:w="0" w:type="dxa"/>
          <w:left w:w="0" w:type="dxa"/>
          <w:bottom w:w="0" w:type="dxa"/>
          <w:right w:w="0" w:type="dxa"/>
        </w:tblCellMar>
      </w:tblPr>
      <w:tblGrid>
        <w:gridCol w:w="805"/>
        <w:gridCol w:w="866"/>
        <w:gridCol w:w="6438"/>
        <w:gridCol w:w="958"/>
      </w:tblGrid>
      <w:tr>
        <w:tblPrEx>
          <w:tblCellMar>
            <w:top w:w="0" w:type="dxa"/>
            <w:left w:w="0" w:type="dxa"/>
            <w:bottom w:w="0" w:type="dxa"/>
            <w:right w:w="0" w:type="dxa"/>
          </w:tblCellMar>
        </w:tblPrEx>
        <w:trPr>
          <w:trHeight w:val="707" w:hRule="exact"/>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ascii="宋体" w:hAnsi="宋体" w:eastAsia="宋体"/>
                <w:sz w:val="24"/>
                <w:szCs w:val="24"/>
              </w:rPr>
            </w:pPr>
            <w:r>
              <w:rPr>
                <w:rFonts w:hint="eastAsia" w:ascii="宋体" w:hAnsi="宋体" w:eastAsia="宋体"/>
                <w:sz w:val="24"/>
                <w:szCs w:val="24"/>
              </w:rPr>
              <w:t>序号</w:t>
            </w:r>
          </w:p>
        </w:tc>
        <w:tc>
          <w:tcPr>
            <w:tcW w:w="866"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ascii="宋体" w:hAnsi="宋体" w:eastAsia="宋体"/>
                <w:sz w:val="24"/>
                <w:szCs w:val="24"/>
              </w:rPr>
            </w:pPr>
            <w:r>
              <w:rPr>
                <w:rFonts w:hint="eastAsia" w:ascii="宋体" w:hAnsi="宋体" w:eastAsia="宋体"/>
                <w:sz w:val="24"/>
                <w:szCs w:val="24"/>
              </w:rPr>
              <w:t>设计阶段</w:t>
            </w:r>
          </w:p>
        </w:tc>
        <w:tc>
          <w:tcPr>
            <w:tcW w:w="6438"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ascii="宋体" w:hAnsi="宋体" w:eastAsia="宋体"/>
                <w:sz w:val="24"/>
                <w:szCs w:val="24"/>
              </w:rPr>
            </w:pPr>
            <w:r>
              <w:rPr>
                <w:rFonts w:hint="eastAsia" w:ascii="宋体" w:hAnsi="宋体" w:eastAsia="宋体"/>
                <w:sz w:val="24"/>
                <w:szCs w:val="24"/>
              </w:rPr>
              <w:t>应提交主要成果或内容</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ascii="宋体" w:hAnsi="宋体" w:eastAsia="宋体"/>
                <w:sz w:val="24"/>
                <w:szCs w:val="24"/>
              </w:rPr>
            </w:pPr>
            <w:r>
              <w:rPr>
                <w:rFonts w:hint="eastAsia" w:ascii="宋体" w:hAnsi="宋体" w:eastAsia="宋体"/>
                <w:sz w:val="24"/>
                <w:szCs w:val="24"/>
              </w:rPr>
              <w:t>备注</w:t>
            </w:r>
          </w:p>
        </w:tc>
      </w:tr>
      <w:tr>
        <w:tblPrEx>
          <w:shd w:val="clear" w:color="auto" w:fill="auto"/>
          <w:tblCellMar>
            <w:top w:w="0" w:type="dxa"/>
            <w:left w:w="0" w:type="dxa"/>
            <w:bottom w:w="0" w:type="dxa"/>
            <w:right w:w="0" w:type="dxa"/>
          </w:tblCellMar>
        </w:tblPrEx>
        <w:trPr>
          <w:trHeight w:val="4869" w:hRule="exact"/>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1</w:t>
            </w:r>
          </w:p>
        </w:tc>
        <w:tc>
          <w:tcPr>
            <w:tcW w:w="866"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left"/>
              <w:textAlignment w:val="auto"/>
              <w:rPr>
                <w:rFonts w:ascii="宋体" w:hAnsi="宋体" w:eastAsia="宋体"/>
                <w:sz w:val="24"/>
                <w:szCs w:val="24"/>
              </w:rPr>
            </w:pPr>
            <w:r>
              <w:rPr>
                <w:rFonts w:hint="eastAsia" w:ascii="宋体" w:hAnsi="宋体" w:eastAsia="宋体"/>
                <w:sz w:val="24"/>
                <w:szCs w:val="24"/>
              </w:rPr>
              <w:t>施工图设计</w:t>
            </w:r>
          </w:p>
        </w:tc>
        <w:tc>
          <w:tcPr>
            <w:tcW w:w="6438"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1）图纸目录；</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2）设计施工总说明；</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3）主要设备及材料表；</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4）配电系统主接线图；</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5）高低压系统图</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6）平面图（电房设备的平面布置、线路平面、配电平面图；</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7）电房土建资料图</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8）接地施工图</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9）设备安装大样图</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10）典型设计标准化图纸</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11）保护整定图纸</w:t>
            </w:r>
            <w:r>
              <w:rPr>
                <w:rStyle w:val="60"/>
                <w:rFonts w:hint="eastAsia" w:ascii="宋体" w:hAnsi="宋体"/>
                <w:sz w:val="24"/>
                <w:szCs w:val="24"/>
                <w:lang w:eastAsia="zh-CN"/>
              </w:rPr>
              <w:t>（</w:t>
            </w:r>
            <w:r>
              <w:rPr>
                <w:rStyle w:val="60"/>
                <w:rFonts w:hint="eastAsia" w:ascii="宋体" w:hAnsi="宋体"/>
                <w:sz w:val="24"/>
                <w:szCs w:val="24"/>
                <w:lang w:val="en-US" w:eastAsia="zh-CN"/>
              </w:rPr>
              <w:t>如有</w:t>
            </w:r>
            <w:r>
              <w:rPr>
                <w:rStyle w:val="60"/>
                <w:rFonts w:hint="eastAsia" w:ascii="宋体" w:hAnsi="宋体"/>
                <w:sz w:val="24"/>
                <w:szCs w:val="24"/>
                <w:lang w:eastAsia="zh-CN"/>
              </w:rPr>
              <w:t>）</w:t>
            </w:r>
            <w:r>
              <w:rPr>
                <w:rStyle w:val="60"/>
                <w:rFonts w:ascii="宋体" w:hAnsi="宋体"/>
                <w:sz w:val="24"/>
                <w:szCs w:val="24"/>
              </w:rPr>
              <w:t>；</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sz w:val="24"/>
                <w:szCs w:val="24"/>
              </w:rPr>
            </w:pPr>
            <w:r>
              <w:rPr>
                <w:rStyle w:val="60"/>
                <w:rFonts w:ascii="宋体" w:hAnsi="宋体"/>
                <w:sz w:val="24"/>
                <w:szCs w:val="24"/>
              </w:rPr>
              <w:t>12）完成施工图供电部门审批，获得“受电工程设计资料审核”通过；</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Fonts w:ascii="宋体" w:hAnsi="宋体" w:eastAsia="宋体"/>
                <w:sz w:val="24"/>
                <w:szCs w:val="24"/>
              </w:rPr>
            </w:pPr>
            <w:r>
              <w:rPr>
                <w:rStyle w:val="60"/>
                <w:rFonts w:ascii="宋体" w:hAnsi="宋体"/>
                <w:sz w:val="24"/>
                <w:szCs w:val="24"/>
              </w:rPr>
              <w:t>13）配合</w:t>
            </w:r>
            <w:r>
              <w:rPr>
                <w:rStyle w:val="60"/>
                <w:rFonts w:hint="eastAsia" w:ascii="宋体" w:hAnsi="宋体"/>
                <w:sz w:val="24"/>
                <w:szCs w:val="24"/>
              </w:rPr>
              <w:t>发包人</w:t>
            </w:r>
            <w:r>
              <w:rPr>
                <w:rStyle w:val="60"/>
                <w:rFonts w:ascii="宋体" w:hAnsi="宋体"/>
                <w:sz w:val="24"/>
                <w:szCs w:val="24"/>
              </w:rPr>
              <w:t>获得施工图审查合格。</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left"/>
              <w:textAlignment w:val="auto"/>
              <w:rPr>
                <w:rFonts w:ascii="宋体" w:hAnsi="宋体" w:eastAsia="宋体"/>
                <w:sz w:val="24"/>
                <w:szCs w:val="24"/>
              </w:rPr>
            </w:pPr>
          </w:p>
        </w:tc>
      </w:tr>
      <w:tr>
        <w:tblPrEx>
          <w:shd w:val="clear" w:color="auto" w:fill="auto"/>
          <w:tblCellMar>
            <w:top w:w="0" w:type="dxa"/>
            <w:left w:w="0" w:type="dxa"/>
            <w:bottom w:w="0" w:type="dxa"/>
            <w:right w:w="0" w:type="dxa"/>
          </w:tblCellMar>
        </w:tblPrEx>
        <w:trPr>
          <w:trHeight w:val="1550" w:hRule="atLeast"/>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center"/>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866"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left"/>
              <w:textAlignment w:val="auto"/>
              <w:rPr>
                <w:rFonts w:ascii="宋体" w:hAnsi="宋体" w:eastAsia="宋体"/>
                <w:sz w:val="24"/>
                <w:szCs w:val="24"/>
              </w:rPr>
            </w:pPr>
            <w:r>
              <w:rPr>
                <w:rFonts w:hint="eastAsia" w:ascii="宋体" w:hAnsi="宋体" w:eastAsia="宋体"/>
                <w:sz w:val="24"/>
                <w:szCs w:val="24"/>
              </w:rPr>
              <w:t>工程施工技术服务</w:t>
            </w:r>
          </w:p>
        </w:tc>
        <w:tc>
          <w:tcPr>
            <w:tcW w:w="6438"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eastAsia="宋体" w:cs="Times New Roman"/>
                <w:sz w:val="24"/>
                <w:szCs w:val="24"/>
              </w:rPr>
            </w:pPr>
            <w:r>
              <w:rPr>
                <w:rStyle w:val="60"/>
                <w:rFonts w:ascii="宋体" w:hAnsi="宋体" w:eastAsia="宋体" w:cs="Times New Roman"/>
                <w:sz w:val="24"/>
                <w:szCs w:val="24"/>
              </w:rPr>
              <w:t>1）参加设计交底、图纸会审；</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eastAsia="宋体" w:cs="Times New Roman"/>
                <w:sz w:val="24"/>
                <w:szCs w:val="24"/>
              </w:rPr>
            </w:pPr>
            <w:r>
              <w:rPr>
                <w:rStyle w:val="60"/>
                <w:rFonts w:ascii="宋体" w:hAnsi="宋体" w:eastAsia="宋体" w:cs="Times New Roman"/>
                <w:sz w:val="24"/>
                <w:szCs w:val="24"/>
              </w:rPr>
              <w:t>2）施工过程中定期参加设计联络会，及时解决施工现场提出的各类技术问题；</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eastAsia="宋体" w:cs="Times New Roman"/>
                <w:sz w:val="24"/>
                <w:szCs w:val="24"/>
              </w:rPr>
            </w:pPr>
            <w:r>
              <w:rPr>
                <w:rStyle w:val="60"/>
                <w:rFonts w:ascii="宋体" w:hAnsi="宋体" w:eastAsia="宋体" w:cs="Times New Roman"/>
                <w:sz w:val="24"/>
                <w:szCs w:val="24"/>
              </w:rPr>
              <w:t>4）根据施工发现的有关设计问题，修改完善设计，按</w:t>
            </w:r>
            <w:r>
              <w:rPr>
                <w:rStyle w:val="60"/>
                <w:rFonts w:hint="eastAsia" w:ascii="宋体" w:hAnsi="宋体" w:eastAsia="宋体" w:cs="Times New Roman"/>
                <w:sz w:val="24"/>
                <w:szCs w:val="24"/>
                <w:lang w:val="en-US" w:eastAsia="zh-CN"/>
              </w:rPr>
              <w:t>甲方</w:t>
            </w:r>
            <w:r>
              <w:rPr>
                <w:rStyle w:val="60"/>
                <w:rFonts w:ascii="宋体" w:hAnsi="宋体" w:eastAsia="宋体" w:cs="Times New Roman"/>
                <w:sz w:val="24"/>
                <w:szCs w:val="24"/>
              </w:rPr>
              <w:t>要求提交《设计修改通知单》；</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Style w:val="60"/>
                <w:rFonts w:ascii="宋体" w:hAnsi="宋体" w:eastAsia="宋体" w:cs="Times New Roman"/>
                <w:sz w:val="24"/>
                <w:szCs w:val="24"/>
              </w:rPr>
            </w:pPr>
            <w:r>
              <w:rPr>
                <w:rStyle w:val="60"/>
                <w:rFonts w:ascii="宋体" w:hAnsi="宋体" w:eastAsia="宋体" w:cs="Times New Roman"/>
                <w:sz w:val="24"/>
                <w:szCs w:val="24"/>
              </w:rPr>
              <w:t>5）参与工程过程验收。对提交的验收资料及验收报告进行审核；</w:t>
            </w:r>
          </w:p>
          <w:p>
            <w:pPr>
              <w:keepNext w:val="0"/>
              <w:keepLines w:val="0"/>
              <w:pageBreakBefore w:val="0"/>
              <w:widowControl/>
              <w:kinsoku/>
              <w:wordWrap/>
              <w:overflowPunct/>
              <w:topLinePunct w:val="0"/>
              <w:autoSpaceDE/>
              <w:autoSpaceDN/>
              <w:bidi w:val="0"/>
              <w:adjustRightInd w:val="0"/>
              <w:snapToGrid/>
              <w:spacing w:before="0" w:beforeLines="0" w:after="0" w:afterLines="0" w:line="240" w:lineRule="auto"/>
              <w:ind w:right="160" w:rightChars="50" w:firstLine="0" w:firstLineChars="0"/>
              <w:jc w:val="left"/>
              <w:textAlignment w:val="auto"/>
              <w:rPr>
                <w:rFonts w:ascii="宋体" w:hAnsi="宋体" w:eastAsia="宋体"/>
                <w:sz w:val="24"/>
                <w:szCs w:val="24"/>
              </w:rPr>
            </w:pPr>
            <w:r>
              <w:rPr>
                <w:rStyle w:val="60"/>
                <w:rFonts w:ascii="宋体" w:hAnsi="宋体" w:eastAsia="宋体" w:cs="Times New Roman"/>
                <w:sz w:val="24"/>
                <w:szCs w:val="24"/>
              </w:rPr>
              <w:t>6)审查施工单位提交的竣工图，并对其进行确认。</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pacing w:before="0" w:beforeLines="0" w:after="0" w:afterLines="0" w:line="240" w:lineRule="auto"/>
              <w:ind w:right="160" w:rightChars="50" w:firstLine="0" w:firstLineChars="0"/>
              <w:jc w:val="left"/>
              <w:textAlignment w:val="auto"/>
              <w:rPr>
                <w:rFonts w:ascii="宋体" w:hAnsi="宋体" w:eastAsia="宋体"/>
                <w:sz w:val="24"/>
                <w:szCs w:val="24"/>
              </w:rPr>
            </w:pPr>
          </w:p>
        </w:tc>
      </w:tr>
    </w:tbl>
    <w:p>
      <w:pPr>
        <w:widowControl w:val="0"/>
        <w:tabs>
          <w:tab w:val="left" w:pos="709"/>
        </w:tabs>
        <w:spacing w:after="0" w:line="500" w:lineRule="exact"/>
        <w:ind w:left="0" w:leftChars="0" w:firstLine="0" w:firstLineChars="0"/>
        <w:jc w:val="both"/>
        <w:rPr>
          <w:rFonts w:ascii="Times New Roman" w:hAnsi="Times New Roman" w:eastAsia="仿宋_GB2312" w:cs="Times New Roman"/>
          <w:sz w:val="30"/>
          <w:szCs w:val="30"/>
        </w:rPr>
      </w:pPr>
    </w:p>
    <w:sectPr>
      <w:pgSz w:w="11906" w:h="16838"/>
      <w:pgMar w:top="1418" w:right="1417" w:bottom="1417" w:left="1587" w:header="709" w:footer="261"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0122"/>
    </w:sdtPr>
    <w:sdtContent>
      <w:p>
        <w:pPr>
          <w:pStyle w:val="13"/>
          <w:jc w:val="right"/>
        </w:pPr>
        <w:r>
          <w:fldChar w:fldCharType="begin"/>
        </w:r>
        <w:r>
          <w:instrText xml:space="preserve"> PAGE   \* MERGEFORMAT </w:instrText>
        </w:r>
        <w:r>
          <w:fldChar w:fldCharType="separate"/>
        </w:r>
        <w:r>
          <w:rPr>
            <w:lang w:val="zh-CN"/>
          </w:rPr>
          <w:t>4</w:t>
        </w:r>
        <w:r>
          <w:rPr>
            <w:lang w:val="zh-CN"/>
          </w:rP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186505"/>
    </w:sdtPr>
    <w:sdtContent>
      <w:p>
        <w:pPr>
          <w:pStyle w:val="13"/>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640"/>
      </w:pPr>
      <w:r>
        <w:separator/>
      </w:r>
    </w:p>
  </w:footnote>
  <w:footnote w:type="continuationSeparator" w:id="1">
    <w:p>
      <w:pPr>
        <w:spacing w:before="0" w:after="0"/>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60735"/>
    <w:multiLevelType w:val="multilevel"/>
    <w:tmpl w:val="1C360735"/>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6"/>
      <w:lvlText w:val="%1.%2.%3"/>
      <w:lvlJc w:val="left"/>
      <w:pPr>
        <w:ind w:left="720" w:hanging="720"/>
      </w:pPr>
      <w:rPr>
        <w:rFonts w:hint="eastAsia"/>
      </w:rPr>
    </w:lvl>
    <w:lvl w:ilvl="3" w:tentative="0">
      <w:start w:val="1"/>
      <w:numFmt w:val="decimal"/>
      <w:pStyle w:val="7"/>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mNDAzM2QzYmUwYTEzZTljODBjNWI0ZjdhYTVjOGMifQ=="/>
  </w:docVars>
  <w:rsids>
    <w:rsidRoot w:val="00D50F93"/>
    <w:rsid w:val="000016EF"/>
    <w:rsid w:val="00001C39"/>
    <w:rsid w:val="000074E2"/>
    <w:rsid w:val="000078FB"/>
    <w:rsid w:val="00007C85"/>
    <w:rsid w:val="000100B9"/>
    <w:rsid w:val="00010FD6"/>
    <w:rsid w:val="00012DE5"/>
    <w:rsid w:val="000175A7"/>
    <w:rsid w:val="00017DBB"/>
    <w:rsid w:val="00025422"/>
    <w:rsid w:val="00032DC9"/>
    <w:rsid w:val="00034330"/>
    <w:rsid w:val="00034B0D"/>
    <w:rsid w:val="00035443"/>
    <w:rsid w:val="00035987"/>
    <w:rsid w:val="00042407"/>
    <w:rsid w:val="0004596E"/>
    <w:rsid w:val="000531DC"/>
    <w:rsid w:val="000539C0"/>
    <w:rsid w:val="000745F9"/>
    <w:rsid w:val="00081D64"/>
    <w:rsid w:val="000844D6"/>
    <w:rsid w:val="000860A4"/>
    <w:rsid w:val="00096960"/>
    <w:rsid w:val="00096BD3"/>
    <w:rsid w:val="000A19D9"/>
    <w:rsid w:val="000A507E"/>
    <w:rsid w:val="000C03F3"/>
    <w:rsid w:val="000C0C6C"/>
    <w:rsid w:val="000C3451"/>
    <w:rsid w:val="000C7A25"/>
    <w:rsid w:val="000D5B1E"/>
    <w:rsid w:val="000E094C"/>
    <w:rsid w:val="00107F9C"/>
    <w:rsid w:val="00110758"/>
    <w:rsid w:val="00110815"/>
    <w:rsid w:val="0011660E"/>
    <w:rsid w:val="00116C59"/>
    <w:rsid w:val="00122175"/>
    <w:rsid w:val="001360DC"/>
    <w:rsid w:val="00137918"/>
    <w:rsid w:val="00137B9A"/>
    <w:rsid w:val="001409E6"/>
    <w:rsid w:val="00142074"/>
    <w:rsid w:val="00143169"/>
    <w:rsid w:val="00147019"/>
    <w:rsid w:val="0015703E"/>
    <w:rsid w:val="001578C2"/>
    <w:rsid w:val="00164EB9"/>
    <w:rsid w:val="001664AE"/>
    <w:rsid w:val="001675FF"/>
    <w:rsid w:val="00174183"/>
    <w:rsid w:val="001812D0"/>
    <w:rsid w:val="00182552"/>
    <w:rsid w:val="0018362F"/>
    <w:rsid w:val="00184055"/>
    <w:rsid w:val="00185153"/>
    <w:rsid w:val="00187935"/>
    <w:rsid w:val="0019100A"/>
    <w:rsid w:val="001957B4"/>
    <w:rsid w:val="001957D1"/>
    <w:rsid w:val="001A4B92"/>
    <w:rsid w:val="001A6D66"/>
    <w:rsid w:val="001B0CF5"/>
    <w:rsid w:val="001B11D1"/>
    <w:rsid w:val="001B5AC7"/>
    <w:rsid w:val="001C0573"/>
    <w:rsid w:val="001C4097"/>
    <w:rsid w:val="001C546E"/>
    <w:rsid w:val="001C6778"/>
    <w:rsid w:val="001D6A2D"/>
    <w:rsid w:val="001E1CBC"/>
    <w:rsid w:val="001E3EC8"/>
    <w:rsid w:val="001E6DCD"/>
    <w:rsid w:val="001E736B"/>
    <w:rsid w:val="0020722E"/>
    <w:rsid w:val="0021316C"/>
    <w:rsid w:val="00214FEA"/>
    <w:rsid w:val="00216A1F"/>
    <w:rsid w:val="00216E96"/>
    <w:rsid w:val="00217236"/>
    <w:rsid w:val="002236D3"/>
    <w:rsid w:val="002354BE"/>
    <w:rsid w:val="002375FD"/>
    <w:rsid w:val="00241B3D"/>
    <w:rsid w:val="00243140"/>
    <w:rsid w:val="002438E7"/>
    <w:rsid w:val="0024433A"/>
    <w:rsid w:val="00244B29"/>
    <w:rsid w:val="0024632F"/>
    <w:rsid w:val="0025163C"/>
    <w:rsid w:val="00256917"/>
    <w:rsid w:val="002638D0"/>
    <w:rsid w:val="002643A1"/>
    <w:rsid w:val="00275AF3"/>
    <w:rsid w:val="002811ED"/>
    <w:rsid w:val="00282EDB"/>
    <w:rsid w:val="00285C4C"/>
    <w:rsid w:val="00291810"/>
    <w:rsid w:val="002A0374"/>
    <w:rsid w:val="002A6C4C"/>
    <w:rsid w:val="002A7AD0"/>
    <w:rsid w:val="002B3247"/>
    <w:rsid w:val="002C016F"/>
    <w:rsid w:val="002C4FBC"/>
    <w:rsid w:val="002C5771"/>
    <w:rsid w:val="002C61E7"/>
    <w:rsid w:val="002C6C1C"/>
    <w:rsid w:val="002D14A8"/>
    <w:rsid w:val="002D2196"/>
    <w:rsid w:val="002D263A"/>
    <w:rsid w:val="002D309B"/>
    <w:rsid w:val="002D4883"/>
    <w:rsid w:val="002E14BB"/>
    <w:rsid w:val="002E1C11"/>
    <w:rsid w:val="002E313E"/>
    <w:rsid w:val="002E3953"/>
    <w:rsid w:val="002F601D"/>
    <w:rsid w:val="002F69AE"/>
    <w:rsid w:val="00310FEA"/>
    <w:rsid w:val="00311532"/>
    <w:rsid w:val="00313AA0"/>
    <w:rsid w:val="00317CBB"/>
    <w:rsid w:val="003214B7"/>
    <w:rsid w:val="00323B43"/>
    <w:rsid w:val="00323FB0"/>
    <w:rsid w:val="00324B06"/>
    <w:rsid w:val="00332AC7"/>
    <w:rsid w:val="00333CF9"/>
    <w:rsid w:val="00334874"/>
    <w:rsid w:val="003350E2"/>
    <w:rsid w:val="00335527"/>
    <w:rsid w:val="00336DBD"/>
    <w:rsid w:val="00343126"/>
    <w:rsid w:val="003472F5"/>
    <w:rsid w:val="00354D08"/>
    <w:rsid w:val="00361AC7"/>
    <w:rsid w:val="00362FFA"/>
    <w:rsid w:val="00363003"/>
    <w:rsid w:val="003759A9"/>
    <w:rsid w:val="00385379"/>
    <w:rsid w:val="00387E63"/>
    <w:rsid w:val="00390A22"/>
    <w:rsid w:val="00390DD6"/>
    <w:rsid w:val="00391802"/>
    <w:rsid w:val="0039456A"/>
    <w:rsid w:val="003A0807"/>
    <w:rsid w:val="003A0F70"/>
    <w:rsid w:val="003A6E24"/>
    <w:rsid w:val="003A7AA7"/>
    <w:rsid w:val="003B19A3"/>
    <w:rsid w:val="003B1A34"/>
    <w:rsid w:val="003B51FA"/>
    <w:rsid w:val="003C5824"/>
    <w:rsid w:val="003C5C21"/>
    <w:rsid w:val="003C5E4A"/>
    <w:rsid w:val="003D35A6"/>
    <w:rsid w:val="003D37D8"/>
    <w:rsid w:val="003D4D25"/>
    <w:rsid w:val="003D6503"/>
    <w:rsid w:val="003D6869"/>
    <w:rsid w:val="003E4C38"/>
    <w:rsid w:val="003E6E66"/>
    <w:rsid w:val="003F0204"/>
    <w:rsid w:val="003F2339"/>
    <w:rsid w:val="003F2623"/>
    <w:rsid w:val="003F3D86"/>
    <w:rsid w:val="00402B4F"/>
    <w:rsid w:val="00405232"/>
    <w:rsid w:val="00407AFE"/>
    <w:rsid w:val="00425710"/>
    <w:rsid w:val="00427487"/>
    <w:rsid w:val="004358AB"/>
    <w:rsid w:val="004408B5"/>
    <w:rsid w:val="0044100F"/>
    <w:rsid w:val="004412AE"/>
    <w:rsid w:val="004432F3"/>
    <w:rsid w:val="00444C54"/>
    <w:rsid w:val="004472E8"/>
    <w:rsid w:val="00452B4F"/>
    <w:rsid w:val="0045334E"/>
    <w:rsid w:val="00455ABA"/>
    <w:rsid w:val="0045693B"/>
    <w:rsid w:val="00457624"/>
    <w:rsid w:val="004606D2"/>
    <w:rsid w:val="00460B5C"/>
    <w:rsid w:val="00463BB8"/>
    <w:rsid w:val="00464202"/>
    <w:rsid w:val="00464A9C"/>
    <w:rsid w:val="00464DA6"/>
    <w:rsid w:val="00467EE3"/>
    <w:rsid w:val="004779DD"/>
    <w:rsid w:val="004800DA"/>
    <w:rsid w:val="004804A2"/>
    <w:rsid w:val="00481191"/>
    <w:rsid w:val="004847A6"/>
    <w:rsid w:val="0049456E"/>
    <w:rsid w:val="00495752"/>
    <w:rsid w:val="004A398C"/>
    <w:rsid w:val="004A42DA"/>
    <w:rsid w:val="004B2D97"/>
    <w:rsid w:val="004B3736"/>
    <w:rsid w:val="004B4AEF"/>
    <w:rsid w:val="004D1B69"/>
    <w:rsid w:val="004D1BCF"/>
    <w:rsid w:val="004D31FB"/>
    <w:rsid w:val="004D3521"/>
    <w:rsid w:val="004D3751"/>
    <w:rsid w:val="004E2436"/>
    <w:rsid w:val="004E3191"/>
    <w:rsid w:val="004E64E8"/>
    <w:rsid w:val="004F6721"/>
    <w:rsid w:val="00500353"/>
    <w:rsid w:val="005028C8"/>
    <w:rsid w:val="00507159"/>
    <w:rsid w:val="00507741"/>
    <w:rsid w:val="00514BEF"/>
    <w:rsid w:val="00523D69"/>
    <w:rsid w:val="0052747F"/>
    <w:rsid w:val="00534125"/>
    <w:rsid w:val="005418F7"/>
    <w:rsid w:val="005464DE"/>
    <w:rsid w:val="005527B9"/>
    <w:rsid w:val="00561E09"/>
    <w:rsid w:val="00563D2A"/>
    <w:rsid w:val="00565DA4"/>
    <w:rsid w:val="0057725D"/>
    <w:rsid w:val="005824F4"/>
    <w:rsid w:val="00584F8C"/>
    <w:rsid w:val="005968A3"/>
    <w:rsid w:val="005A2BD6"/>
    <w:rsid w:val="005A4308"/>
    <w:rsid w:val="005A5162"/>
    <w:rsid w:val="005B0FA7"/>
    <w:rsid w:val="005B39D5"/>
    <w:rsid w:val="005B6FD1"/>
    <w:rsid w:val="005C2901"/>
    <w:rsid w:val="005C3DBB"/>
    <w:rsid w:val="005D0D1C"/>
    <w:rsid w:val="005E26D5"/>
    <w:rsid w:val="005E26D7"/>
    <w:rsid w:val="005E5AEC"/>
    <w:rsid w:val="005E6142"/>
    <w:rsid w:val="005E6414"/>
    <w:rsid w:val="00601C67"/>
    <w:rsid w:val="00610219"/>
    <w:rsid w:val="00610F10"/>
    <w:rsid w:val="006117D8"/>
    <w:rsid w:val="00612D61"/>
    <w:rsid w:val="00615579"/>
    <w:rsid w:val="00620EB9"/>
    <w:rsid w:val="006252D3"/>
    <w:rsid w:val="00625874"/>
    <w:rsid w:val="006308A3"/>
    <w:rsid w:val="00632076"/>
    <w:rsid w:val="0063731A"/>
    <w:rsid w:val="00640564"/>
    <w:rsid w:val="00640626"/>
    <w:rsid w:val="00643427"/>
    <w:rsid w:val="006447CE"/>
    <w:rsid w:val="00644B68"/>
    <w:rsid w:val="00644FB2"/>
    <w:rsid w:val="00650AD3"/>
    <w:rsid w:val="00653E23"/>
    <w:rsid w:val="0065421A"/>
    <w:rsid w:val="0065612E"/>
    <w:rsid w:val="006562D4"/>
    <w:rsid w:val="00657120"/>
    <w:rsid w:val="00662475"/>
    <w:rsid w:val="006624F7"/>
    <w:rsid w:val="00662E5D"/>
    <w:rsid w:val="00663B03"/>
    <w:rsid w:val="00665F1A"/>
    <w:rsid w:val="00672C5A"/>
    <w:rsid w:val="00673CAD"/>
    <w:rsid w:val="00677F57"/>
    <w:rsid w:val="00680084"/>
    <w:rsid w:val="006834E5"/>
    <w:rsid w:val="00692D09"/>
    <w:rsid w:val="00693B9D"/>
    <w:rsid w:val="006968DE"/>
    <w:rsid w:val="0069735E"/>
    <w:rsid w:val="006A6A4F"/>
    <w:rsid w:val="006A74F3"/>
    <w:rsid w:val="006B0B41"/>
    <w:rsid w:val="006C0CCD"/>
    <w:rsid w:val="006C302C"/>
    <w:rsid w:val="006C63A3"/>
    <w:rsid w:val="006C6CD2"/>
    <w:rsid w:val="006D0234"/>
    <w:rsid w:val="006D25DC"/>
    <w:rsid w:val="006D42AD"/>
    <w:rsid w:val="006D73BF"/>
    <w:rsid w:val="006E1B68"/>
    <w:rsid w:val="006E6D7F"/>
    <w:rsid w:val="006F11D2"/>
    <w:rsid w:val="006F31F7"/>
    <w:rsid w:val="006F5FC4"/>
    <w:rsid w:val="006F74F4"/>
    <w:rsid w:val="006F7B4B"/>
    <w:rsid w:val="007004DF"/>
    <w:rsid w:val="007018B1"/>
    <w:rsid w:val="00702FCB"/>
    <w:rsid w:val="007074BF"/>
    <w:rsid w:val="0071295B"/>
    <w:rsid w:val="00712993"/>
    <w:rsid w:val="0071299A"/>
    <w:rsid w:val="00713C56"/>
    <w:rsid w:val="00715005"/>
    <w:rsid w:val="0071551F"/>
    <w:rsid w:val="007204C9"/>
    <w:rsid w:val="00727712"/>
    <w:rsid w:val="00727932"/>
    <w:rsid w:val="007328AB"/>
    <w:rsid w:val="0073605C"/>
    <w:rsid w:val="00737F62"/>
    <w:rsid w:val="00743AED"/>
    <w:rsid w:val="00744F5C"/>
    <w:rsid w:val="007528B5"/>
    <w:rsid w:val="00752A59"/>
    <w:rsid w:val="007566F2"/>
    <w:rsid w:val="00763269"/>
    <w:rsid w:val="00766A66"/>
    <w:rsid w:val="00766CDD"/>
    <w:rsid w:val="007743EC"/>
    <w:rsid w:val="00780BAC"/>
    <w:rsid w:val="0078185D"/>
    <w:rsid w:val="00784DD8"/>
    <w:rsid w:val="007930B1"/>
    <w:rsid w:val="007930E3"/>
    <w:rsid w:val="00795036"/>
    <w:rsid w:val="007A6E87"/>
    <w:rsid w:val="007B4722"/>
    <w:rsid w:val="007B66FB"/>
    <w:rsid w:val="007B71B3"/>
    <w:rsid w:val="007C0033"/>
    <w:rsid w:val="007C375F"/>
    <w:rsid w:val="007C472E"/>
    <w:rsid w:val="007C573F"/>
    <w:rsid w:val="007D43F5"/>
    <w:rsid w:val="007D77D8"/>
    <w:rsid w:val="007E2A73"/>
    <w:rsid w:val="007E3335"/>
    <w:rsid w:val="007E3886"/>
    <w:rsid w:val="007E72B7"/>
    <w:rsid w:val="007F0165"/>
    <w:rsid w:val="007F11EB"/>
    <w:rsid w:val="007F1ED7"/>
    <w:rsid w:val="007F58BE"/>
    <w:rsid w:val="008014C2"/>
    <w:rsid w:val="00802E06"/>
    <w:rsid w:val="00803B2E"/>
    <w:rsid w:val="008045D2"/>
    <w:rsid w:val="00810A57"/>
    <w:rsid w:val="00815620"/>
    <w:rsid w:val="00815FF0"/>
    <w:rsid w:val="00816870"/>
    <w:rsid w:val="008216EA"/>
    <w:rsid w:val="008247B8"/>
    <w:rsid w:val="00832E9F"/>
    <w:rsid w:val="0083308E"/>
    <w:rsid w:val="008420B0"/>
    <w:rsid w:val="00845F75"/>
    <w:rsid w:val="00851E40"/>
    <w:rsid w:val="00855638"/>
    <w:rsid w:val="008606A9"/>
    <w:rsid w:val="008610DA"/>
    <w:rsid w:val="00872038"/>
    <w:rsid w:val="00881708"/>
    <w:rsid w:val="00886B5A"/>
    <w:rsid w:val="00887606"/>
    <w:rsid w:val="008876CC"/>
    <w:rsid w:val="0088788A"/>
    <w:rsid w:val="00891D4E"/>
    <w:rsid w:val="008A26C3"/>
    <w:rsid w:val="008A3EE9"/>
    <w:rsid w:val="008A7BDE"/>
    <w:rsid w:val="008B7726"/>
    <w:rsid w:val="008C2F3B"/>
    <w:rsid w:val="008D13BC"/>
    <w:rsid w:val="008D53E6"/>
    <w:rsid w:val="008D7D96"/>
    <w:rsid w:val="008E17A5"/>
    <w:rsid w:val="008F2F00"/>
    <w:rsid w:val="008F4E5B"/>
    <w:rsid w:val="008F518F"/>
    <w:rsid w:val="008F6D95"/>
    <w:rsid w:val="00906056"/>
    <w:rsid w:val="00911388"/>
    <w:rsid w:val="00917A1F"/>
    <w:rsid w:val="009224FE"/>
    <w:rsid w:val="009239E8"/>
    <w:rsid w:val="009312B3"/>
    <w:rsid w:val="00931E50"/>
    <w:rsid w:val="00933082"/>
    <w:rsid w:val="00955FAD"/>
    <w:rsid w:val="0096022F"/>
    <w:rsid w:val="0096095B"/>
    <w:rsid w:val="00966734"/>
    <w:rsid w:val="009714E3"/>
    <w:rsid w:val="0097752A"/>
    <w:rsid w:val="00986BD6"/>
    <w:rsid w:val="00987087"/>
    <w:rsid w:val="0099257A"/>
    <w:rsid w:val="00992966"/>
    <w:rsid w:val="00993785"/>
    <w:rsid w:val="00996B60"/>
    <w:rsid w:val="009A219D"/>
    <w:rsid w:val="009A2699"/>
    <w:rsid w:val="009A3C71"/>
    <w:rsid w:val="009A4C5F"/>
    <w:rsid w:val="009A73CD"/>
    <w:rsid w:val="009B2C59"/>
    <w:rsid w:val="009B7070"/>
    <w:rsid w:val="009B7B87"/>
    <w:rsid w:val="009C0DFF"/>
    <w:rsid w:val="009C5DC6"/>
    <w:rsid w:val="009D0A32"/>
    <w:rsid w:val="009D0ED6"/>
    <w:rsid w:val="009D2745"/>
    <w:rsid w:val="009D6B90"/>
    <w:rsid w:val="009D6D0B"/>
    <w:rsid w:val="009E2180"/>
    <w:rsid w:val="009E2877"/>
    <w:rsid w:val="009E2B03"/>
    <w:rsid w:val="009E79B4"/>
    <w:rsid w:val="009F0FF7"/>
    <w:rsid w:val="009F4EB8"/>
    <w:rsid w:val="00A00C0B"/>
    <w:rsid w:val="00A02367"/>
    <w:rsid w:val="00A10F6C"/>
    <w:rsid w:val="00A11008"/>
    <w:rsid w:val="00A11826"/>
    <w:rsid w:val="00A1601C"/>
    <w:rsid w:val="00A209B4"/>
    <w:rsid w:val="00A27F17"/>
    <w:rsid w:val="00A301D7"/>
    <w:rsid w:val="00A30AE9"/>
    <w:rsid w:val="00A35198"/>
    <w:rsid w:val="00A35404"/>
    <w:rsid w:val="00A37D5B"/>
    <w:rsid w:val="00A41722"/>
    <w:rsid w:val="00A42DF7"/>
    <w:rsid w:val="00A44F08"/>
    <w:rsid w:val="00A4654D"/>
    <w:rsid w:val="00A531E7"/>
    <w:rsid w:val="00A53225"/>
    <w:rsid w:val="00A56404"/>
    <w:rsid w:val="00A57C23"/>
    <w:rsid w:val="00A62527"/>
    <w:rsid w:val="00A62DAA"/>
    <w:rsid w:val="00A641E5"/>
    <w:rsid w:val="00A64E8C"/>
    <w:rsid w:val="00A65FE0"/>
    <w:rsid w:val="00A66028"/>
    <w:rsid w:val="00A73894"/>
    <w:rsid w:val="00A772E7"/>
    <w:rsid w:val="00A838FF"/>
    <w:rsid w:val="00A8545A"/>
    <w:rsid w:val="00A85D54"/>
    <w:rsid w:val="00A90D25"/>
    <w:rsid w:val="00A95A8A"/>
    <w:rsid w:val="00AA05F4"/>
    <w:rsid w:val="00AA3345"/>
    <w:rsid w:val="00AA4FB8"/>
    <w:rsid w:val="00AB08B6"/>
    <w:rsid w:val="00AB3A4A"/>
    <w:rsid w:val="00AB429B"/>
    <w:rsid w:val="00AC28B6"/>
    <w:rsid w:val="00AD3091"/>
    <w:rsid w:val="00AD3428"/>
    <w:rsid w:val="00AD664B"/>
    <w:rsid w:val="00AE06E1"/>
    <w:rsid w:val="00AE183E"/>
    <w:rsid w:val="00AE4254"/>
    <w:rsid w:val="00AE43F9"/>
    <w:rsid w:val="00AF1F76"/>
    <w:rsid w:val="00AF222B"/>
    <w:rsid w:val="00B00F8E"/>
    <w:rsid w:val="00B02D03"/>
    <w:rsid w:val="00B0337B"/>
    <w:rsid w:val="00B0395F"/>
    <w:rsid w:val="00B049FB"/>
    <w:rsid w:val="00B07BE8"/>
    <w:rsid w:val="00B07C77"/>
    <w:rsid w:val="00B10DCD"/>
    <w:rsid w:val="00B118EC"/>
    <w:rsid w:val="00B15E32"/>
    <w:rsid w:val="00B163B2"/>
    <w:rsid w:val="00B208CA"/>
    <w:rsid w:val="00B23C7E"/>
    <w:rsid w:val="00B324A4"/>
    <w:rsid w:val="00B34205"/>
    <w:rsid w:val="00B34E08"/>
    <w:rsid w:val="00B36877"/>
    <w:rsid w:val="00B44818"/>
    <w:rsid w:val="00B47D79"/>
    <w:rsid w:val="00B56EE2"/>
    <w:rsid w:val="00B6162C"/>
    <w:rsid w:val="00B6713A"/>
    <w:rsid w:val="00B70CFB"/>
    <w:rsid w:val="00B716E1"/>
    <w:rsid w:val="00B7281E"/>
    <w:rsid w:val="00B81154"/>
    <w:rsid w:val="00B84C26"/>
    <w:rsid w:val="00B85249"/>
    <w:rsid w:val="00B91698"/>
    <w:rsid w:val="00BA192D"/>
    <w:rsid w:val="00BA5BCC"/>
    <w:rsid w:val="00BA7DB8"/>
    <w:rsid w:val="00BB5E9A"/>
    <w:rsid w:val="00BC0A17"/>
    <w:rsid w:val="00BC1CAA"/>
    <w:rsid w:val="00BD3241"/>
    <w:rsid w:val="00BD4356"/>
    <w:rsid w:val="00BE3821"/>
    <w:rsid w:val="00BE62A6"/>
    <w:rsid w:val="00BF24F7"/>
    <w:rsid w:val="00BF265C"/>
    <w:rsid w:val="00BF5697"/>
    <w:rsid w:val="00C01B8E"/>
    <w:rsid w:val="00C023D5"/>
    <w:rsid w:val="00C02D7F"/>
    <w:rsid w:val="00C03A87"/>
    <w:rsid w:val="00C03D2F"/>
    <w:rsid w:val="00C04566"/>
    <w:rsid w:val="00C10718"/>
    <w:rsid w:val="00C11851"/>
    <w:rsid w:val="00C126E5"/>
    <w:rsid w:val="00C130EE"/>
    <w:rsid w:val="00C156D8"/>
    <w:rsid w:val="00C16F13"/>
    <w:rsid w:val="00C228F0"/>
    <w:rsid w:val="00C27D90"/>
    <w:rsid w:val="00C305D2"/>
    <w:rsid w:val="00C30D10"/>
    <w:rsid w:val="00C3187E"/>
    <w:rsid w:val="00C43208"/>
    <w:rsid w:val="00C45DD9"/>
    <w:rsid w:val="00C5105B"/>
    <w:rsid w:val="00C5353E"/>
    <w:rsid w:val="00C576BD"/>
    <w:rsid w:val="00C63336"/>
    <w:rsid w:val="00C6570F"/>
    <w:rsid w:val="00C73F71"/>
    <w:rsid w:val="00C7567B"/>
    <w:rsid w:val="00C8118D"/>
    <w:rsid w:val="00C81446"/>
    <w:rsid w:val="00C9098C"/>
    <w:rsid w:val="00C977C4"/>
    <w:rsid w:val="00CA0362"/>
    <w:rsid w:val="00CA1D4E"/>
    <w:rsid w:val="00CB13A4"/>
    <w:rsid w:val="00CB571E"/>
    <w:rsid w:val="00CC140D"/>
    <w:rsid w:val="00CC1460"/>
    <w:rsid w:val="00CC5FC9"/>
    <w:rsid w:val="00CD0644"/>
    <w:rsid w:val="00CD175A"/>
    <w:rsid w:val="00CD64D8"/>
    <w:rsid w:val="00CD74EC"/>
    <w:rsid w:val="00CE0228"/>
    <w:rsid w:val="00CE1E41"/>
    <w:rsid w:val="00CE2345"/>
    <w:rsid w:val="00CE2E5B"/>
    <w:rsid w:val="00CE4B8B"/>
    <w:rsid w:val="00CF2E28"/>
    <w:rsid w:val="00CF3780"/>
    <w:rsid w:val="00CF423B"/>
    <w:rsid w:val="00D03261"/>
    <w:rsid w:val="00D03BA6"/>
    <w:rsid w:val="00D03F5D"/>
    <w:rsid w:val="00D04470"/>
    <w:rsid w:val="00D0450F"/>
    <w:rsid w:val="00D068A8"/>
    <w:rsid w:val="00D10CBC"/>
    <w:rsid w:val="00D10F78"/>
    <w:rsid w:val="00D110E3"/>
    <w:rsid w:val="00D120D7"/>
    <w:rsid w:val="00D1525C"/>
    <w:rsid w:val="00D152D3"/>
    <w:rsid w:val="00D225E1"/>
    <w:rsid w:val="00D24059"/>
    <w:rsid w:val="00D24884"/>
    <w:rsid w:val="00D250DD"/>
    <w:rsid w:val="00D263FE"/>
    <w:rsid w:val="00D32158"/>
    <w:rsid w:val="00D35FF1"/>
    <w:rsid w:val="00D3669F"/>
    <w:rsid w:val="00D410B6"/>
    <w:rsid w:val="00D50F93"/>
    <w:rsid w:val="00D51586"/>
    <w:rsid w:val="00D55CED"/>
    <w:rsid w:val="00D56154"/>
    <w:rsid w:val="00D638EA"/>
    <w:rsid w:val="00D64FE0"/>
    <w:rsid w:val="00D749E2"/>
    <w:rsid w:val="00D76E7F"/>
    <w:rsid w:val="00D80AC1"/>
    <w:rsid w:val="00D80EAC"/>
    <w:rsid w:val="00D84494"/>
    <w:rsid w:val="00D8487E"/>
    <w:rsid w:val="00D9792A"/>
    <w:rsid w:val="00DA4DEE"/>
    <w:rsid w:val="00DB7068"/>
    <w:rsid w:val="00DC3C29"/>
    <w:rsid w:val="00DC46CC"/>
    <w:rsid w:val="00DC58C1"/>
    <w:rsid w:val="00DD2222"/>
    <w:rsid w:val="00DD35AA"/>
    <w:rsid w:val="00DD606D"/>
    <w:rsid w:val="00DE0ABA"/>
    <w:rsid w:val="00DE1DE9"/>
    <w:rsid w:val="00DF194D"/>
    <w:rsid w:val="00DF44A5"/>
    <w:rsid w:val="00E0610E"/>
    <w:rsid w:val="00E07B77"/>
    <w:rsid w:val="00E17F55"/>
    <w:rsid w:val="00E226BB"/>
    <w:rsid w:val="00E26D88"/>
    <w:rsid w:val="00E2759D"/>
    <w:rsid w:val="00E30047"/>
    <w:rsid w:val="00E30839"/>
    <w:rsid w:val="00E32B01"/>
    <w:rsid w:val="00E32F99"/>
    <w:rsid w:val="00E33626"/>
    <w:rsid w:val="00E33D4F"/>
    <w:rsid w:val="00E410D9"/>
    <w:rsid w:val="00E43401"/>
    <w:rsid w:val="00E444A2"/>
    <w:rsid w:val="00E51092"/>
    <w:rsid w:val="00E53653"/>
    <w:rsid w:val="00E545CF"/>
    <w:rsid w:val="00E57185"/>
    <w:rsid w:val="00E571E4"/>
    <w:rsid w:val="00E715E0"/>
    <w:rsid w:val="00E731D2"/>
    <w:rsid w:val="00E773D6"/>
    <w:rsid w:val="00E77A6A"/>
    <w:rsid w:val="00E80170"/>
    <w:rsid w:val="00E80E8F"/>
    <w:rsid w:val="00E83087"/>
    <w:rsid w:val="00E87990"/>
    <w:rsid w:val="00E91708"/>
    <w:rsid w:val="00E921BD"/>
    <w:rsid w:val="00E94450"/>
    <w:rsid w:val="00E947BA"/>
    <w:rsid w:val="00E9499B"/>
    <w:rsid w:val="00EA062D"/>
    <w:rsid w:val="00EA369F"/>
    <w:rsid w:val="00EA553D"/>
    <w:rsid w:val="00EA7E59"/>
    <w:rsid w:val="00EB25FF"/>
    <w:rsid w:val="00EC1820"/>
    <w:rsid w:val="00EC1AE1"/>
    <w:rsid w:val="00EC59DE"/>
    <w:rsid w:val="00ED1CB4"/>
    <w:rsid w:val="00ED2C20"/>
    <w:rsid w:val="00ED3365"/>
    <w:rsid w:val="00ED6F9A"/>
    <w:rsid w:val="00EE0ECB"/>
    <w:rsid w:val="00EE4E39"/>
    <w:rsid w:val="00EF2F76"/>
    <w:rsid w:val="00F03141"/>
    <w:rsid w:val="00F0419D"/>
    <w:rsid w:val="00F10C7A"/>
    <w:rsid w:val="00F16303"/>
    <w:rsid w:val="00F206EF"/>
    <w:rsid w:val="00F20EBA"/>
    <w:rsid w:val="00F25F8D"/>
    <w:rsid w:val="00F25FD5"/>
    <w:rsid w:val="00F27FE2"/>
    <w:rsid w:val="00F3124D"/>
    <w:rsid w:val="00F32369"/>
    <w:rsid w:val="00F41876"/>
    <w:rsid w:val="00F41FE0"/>
    <w:rsid w:val="00F42D67"/>
    <w:rsid w:val="00F47E6D"/>
    <w:rsid w:val="00F5432F"/>
    <w:rsid w:val="00F5673F"/>
    <w:rsid w:val="00F5726C"/>
    <w:rsid w:val="00F63012"/>
    <w:rsid w:val="00F6307D"/>
    <w:rsid w:val="00F710C1"/>
    <w:rsid w:val="00F72568"/>
    <w:rsid w:val="00F73D07"/>
    <w:rsid w:val="00F877D1"/>
    <w:rsid w:val="00F911F9"/>
    <w:rsid w:val="00F95736"/>
    <w:rsid w:val="00F979E9"/>
    <w:rsid w:val="00FA24AE"/>
    <w:rsid w:val="00FB60C8"/>
    <w:rsid w:val="00FB6550"/>
    <w:rsid w:val="00FC02B8"/>
    <w:rsid w:val="00FC5608"/>
    <w:rsid w:val="00FC714B"/>
    <w:rsid w:val="00FD05A0"/>
    <w:rsid w:val="00FD1480"/>
    <w:rsid w:val="00FD3683"/>
    <w:rsid w:val="00FD40BD"/>
    <w:rsid w:val="00FD7590"/>
    <w:rsid w:val="00FE4313"/>
    <w:rsid w:val="011A6925"/>
    <w:rsid w:val="01AD5116"/>
    <w:rsid w:val="02AB5AF9"/>
    <w:rsid w:val="03685798"/>
    <w:rsid w:val="06431E80"/>
    <w:rsid w:val="07D736FF"/>
    <w:rsid w:val="097529BD"/>
    <w:rsid w:val="0A026946"/>
    <w:rsid w:val="0AFD35AB"/>
    <w:rsid w:val="0D6E7E4F"/>
    <w:rsid w:val="0ECF2B6F"/>
    <w:rsid w:val="1194373B"/>
    <w:rsid w:val="11AF56A2"/>
    <w:rsid w:val="11B81E63"/>
    <w:rsid w:val="134712AF"/>
    <w:rsid w:val="14CA2643"/>
    <w:rsid w:val="155B4089"/>
    <w:rsid w:val="15924739"/>
    <w:rsid w:val="16302145"/>
    <w:rsid w:val="189B1EAA"/>
    <w:rsid w:val="19046B90"/>
    <w:rsid w:val="1958313F"/>
    <w:rsid w:val="1A423178"/>
    <w:rsid w:val="1BF260EF"/>
    <w:rsid w:val="1C142509"/>
    <w:rsid w:val="1CDD28FB"/>
    <w:rsid w:val="1D774AFE"/>
    <w:rsid w:val="1DCD6729"/>
    <w:rsid w:val="1DF24184"/>
    <w:rsid w:val="1EFF124F"/>
    <w:rsid w:val="1F130856"/>
    <w:rsid w:val="22717EE2"/>
    <w:rsid w:val="22D84291"/>
    <w:rsid w:val="22DA3329"/>
    <w:rsid w:val="232E5C5F"/>
    <w:rsid w:val="23E97DD8"/>
    <w:rsid w:val="25F30E1E"/>
    <w:rsid w:val="262C2839"/>
    <w:rsid w:val="272A6C08"/>
    <w:rsid w:val="29AF73CD"/>
    <w:rsid w:val="29BF550F"/>
    <w:rsid w:val="2A810D6A"/>
    <w:rsid w:val="2AB52F4B"/>
    <w:rsid w:val="2B061011"/>
    <w:rsid w:val="2CEC2CCC"/>
    <w:rsid w:val="2D033F15"/>
    <w:rsid w:val="2E5F4E91"/>
    <w:rsid w:val="2F102DB2"/>
    <w:rsid w:val="2F974ED4"/>
    <w:rsid w:val="2FBC06AA"/>
    <w:rsid w:val="30327943"/>
    <w:rsid w:val="31A97CD4"/>
    <w:rsid w:val="32601BAD"/>
    <w:rsid w:val="32625925"/>
    <w:rsid w:val="327619D7"/>
    <w:rsid w:val="33245604"/>
    <w:rsid w:val="336B446E"/>
    <w:rsid w:val="35F4103C"/>
    <w:rsid w:val="38A948F6"/>
    <w:rsid w:val="39A43CB9"/>
    <w:rsid w:val="3A4361F4"/>
    <w:rsid w:val="3BF03FA1"/>
    <w:rsid w:val="3CD940BE"/>
    <w:rsid w:val="3CDC2888"/>
    <w:rsid w:val="3D033860"/>
    <w:rsid w:val="3DEC0798"/>
    <w:rsid w:val="3F081602"/>
    <w:rsid w:val="40FC6F44"/>
    <w:rsid w:val="418331C2"/>
    <w:rsid w:val="41AC7C60"/>
    <w:rsid w:val="41FD11C6"/>
    <w:rsid w:val="43BB350B"/>
    <w:rsid w:val="443777C9"/>
    <w:rsid w:val="45C43A17"/>
    <w:rsid w:val="46445615"/>
    <w:rsid w:val="46A63BDA"/>
    <w:rsid w:val="49820522"/>
    <w:rsid w:val="49CF169A"/>
    <w:rsid w:val="4A23794D"/>
    <w:rsid w:val="4B306168"/>
    <w:rsid w:val="4CEA2347"/>
    <w:rsid w:val="4D19039B"/>
    <w:rsid w:val="4E0F475B"/>
    <w:rsid w:val="4ECB3354"/>
    <w:rsid w:val="4ED12082"/>
    <w:rsid w:val="511356C3"/>
    <w:rsid w:val="53B86CFB"/>
    <w:rsid w:val="54EC75A4"/>
    <w:rsid w:val="55B43F78"/>
    <w:rsid w:val="55F4031F"/>
    <w:rsid w:val="578B2C71"/>
    <w:rsid w:val="588A59D6"/>
    <w:rsid w:val="59386CAE"/>
    <w:rsid w:val="59822285"/>
    <w:rsid w:val="5C602626"/>
    <w:rsid w:val="5E622685"/>
    <w:rsid w:val="5EC55EB5"/>
    <w:rsid w:val="5F2E22CA"/>
    <w:rsid w:val="61504A17"/>
    <w:rsid w:val="61D95A21"/>
    <w:rsid w:val="61F74F7D"/>
    <w:rsid w:val="637802B0"/>
    <w:rsid w:val="64215A29"/>
    <w:rsid w:val="65556AA0"/>
    <w:rsid w:val="662A7F2C"/>
    <w:rsid w:val="6807443E"/>
    <w:rsid w:val="688A4591"/>
    <w:rsid w:val="68EA74FF"/>
    <w:rsid w:val="69E9261B"/>
    <w:rsid w:val="6B6F1F3D"/>
    <w:rsid w:val="6E1F7C4B"/>
    <w:rsid w:val="70CD6084"/>
    <w:rsid w:val="71C01745"/>
    <w:rsid w:val="71EC078C"/>
    <w:rsid w:val="74B44E65"/>
    <w:rsid w:val="772B283B"/>
    <w:rsid w:val="78625CA5"/>
    <w:rsid w:val="791F31F5"/>
    <w:rsid w:val="7A561D5E"/>
    <w:rsid w:val="7A796935"/>
    <w:rsid w:val="7BCA4981"/>
    <w:rsid w:val="7BCB53FD"/>
    <w:rsid w:val="7C246986"/>
    <w:rsid w:val="7C6B49A3"/>
    <w:rsid w:val="7CBB76D8"/>
    <w:rsid w:val="7D473F98"/>
    <w:rsid w:val="7EAA35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before="50" w:beforeLines="50" w:after="50" w:afterLines="50"/>
      <w:ind w:firstLine="880" w:firstLineChars="200"/>
      <w:jc w:val="both"/>
    </w:pPr>
    <w:rPr>
      <w:rFonts w:ascii="Times New Roman" w:hAnsi="Times New Roman" w:eastAsia="宋体" w:cstheme="minorBidi"/>
      <w:sz w:val="32"/>
      <w:szCs w:val="22"/>
      <w:lang w:val="en-US" w:eastAsia="zh-CN" w:bidi="ar-SA"/>
    </w:rPr>
  </w:style>
  <w:style w:type="paragraph" w:styleId="4">
    <w:name w:val="heading 1"/>
    <w:basedOn w:val="1"/>
    <w:next w:val="1"/>
    <w:link w:val="29"/>
    <w:qFormat/>
    <w:uiPriority w:val="9"/>
    <w:pPr>
      <w:keepNext/>
      <w:keepLines/>
      <w:spacing w:before="50" w:beforeLines="50" w:after="50" w:afterLines="50" w:line="240" w:lineRule="auto"/>
      <w:jc w:val="left"/>
      <w:outlineLvl w:val="0"/>
    </w:pPr>
    <w:rPr>
      <w:rFonts w:eastAsia="黑体"/>
      <w:bCs/>
      <w:kern w:val="44"/>
      <w:sz w:val="32"/>
      <w:szCs w:val="44"/>
    </w:rPr>
  </w:style>
  <w:style w:type="paragraph" w:styleId="5">
    <w:name w:val="heading 2"/>
    <w:basedOn w:val="6"/>
    <w:next w:val="1"/>
    <w:link w:val="33"/>
    <w:unhideWhenUsed/>
    <w:qFormat/>
    <w:uiPriority w:val="9"/>
    <w:pPr>
      <w:numPr>
        <w:numId w:val="0"/>
      </w:numPr>
      <w:spacing w:before="260" w:after="260" w:line="240" w:lineRule="auto"/>
      <w:ind w:left="0"/>
      <w:jc w:val="left"/>
      <w:outlineLvl w:val="1"/>
    </w:pPr>
    <w:rPr>
      <w:rFonts w:cstheme="majorBidi"/>
      <w:sz w:val="32"/>
    </w:rPr>
  </w:style>
  <w:style w:type="paragraph" w:styleId="6">
    <w:name w:val="heading 3"/>
    <w:basedOn w:val="1"/>
    <w:next w:val="1"/>
    <w:qFormat/>
    <w:uiPriority w:val="0"/>
    <w:pPr>
      <w:keepNext/>
      <w:keepLines/>
      <w:numPr>
        <w:ilvl w:val="2"/>
        <w:numId w:val="1"/>
      </w:numPr>
      <w:ind w:firstLine="0"/>
      <w:outlineLvl w:val="2"/>
    </w:pPr>
    <w:rPr>
      <w:b/>
      <w:bCs/>
      <w:color w:val="000000"/>
      <w:szCs w:val="32"/>
    </w:rPr>
  </w:style>
  <w:style w:type="paragraph" w:styleId="7">
    <w:name w:val="heading 4"/>
    <w:next w:val="1"/>
    <w:qFormat/>
    <w:uiPriority w:val="0"/>
    <w:pPr>
      <w:numPr>
        <w:ilvl w:val="3"/>
        <w:numId w:val="1"/>
      </w:numPr>
      <w:ind w:firstLine="0"/>
    </w:pPr>
    <w:rPr>
      <w:rFonts w:ascii="Times New Roman" w:hAnsi="Times New Roman" w:eastAsia="宋体" w:cs="Times New Roman"/>
      <w:sz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autoSpaceDE w:val="0"/>
      <w:autoSpaceDN w:val="0"/>
      <w:adjustRightInd w:val="0"/>
      <w:ind w:left="420" w:leftChars="200" w:firstLine="420" w:firstLineChars="200"/>
    </w:pPr>
    <w:rPr>
      <w:rFonts w:ascii="Times New Roman" w:hAnsi="Times New Roman"/>
      <w:sz w:val="24"/>
    </w:rPr>
  </w:style>
  <w:style w:type="paragraph" w:styleId="3">
    <w:name w:val="Body Text Indent"/>
    <w:basedOn w:val="1"/>
    <w:link w:val="34"/>
    <w:qFormat/>
    <w:uiPriority w:val="0"/>
    <w:pPr>
      <w:widowControl w:val="0"/>
      <w:adjustRightInd/>
      <w:snapToGrid/>
      <w:spacing w:after="120"/>
      <w:ind w:left="420" w:leftChars="200"/>
      <w:jc w:val="both"/>
    </w:pPr>
    <w:rPr>
      <w:rFonts w:eastAsia="宋体" w:asciiTheme="minorHAnsi" w:hAnsiTheme="minorHAnsi"/>
      <w:kern w:val="2"/>
      <w:sz w:val="21"/>
      <w:szCs w:val="24"/>
    </w:rPr>
  </w:style>
  <w:style w:type="paragraph" w:styleId="8">
    <w:name w:val="Normal Indent"/>
    <w:basedOn w:val="1"/>
    <w:qFormat/>
    <w:uiPriority w:val="99"/>
    <w:pPr>
      <w:spacing w:line="360" w:lineRule="auto"/>
      <w:ind w:firstLine="420" w:firstLineChars="200"/>
    </w:pPr>
    <w:rPr>
      <w:sz w:val="24"/>
      <w:szCs w:val="20"/>
    </w:rPr>
  </w:style>
  <w:style w:type="paragraph" w:styleId="9">
    <w:name w:val="caption"/>
    <w:basedOn w:val="1"/>
    <w:next w:val="1"/>
    <w:qFormat/>
    <w:uiPriority w:val="35"/>
    <w:pPr>
      <w:spacing w:line="360" w:lineRule="auto"/>
      <w:ind w:firstLine="475" w:firstLineChars="200"/>
      <w:jc w:val="center"/>
    </w:pPr>
    <w:rPr>
      <w:rFonts w:ascii="Cambria" w:hAnsi="Cambria" w:eastAsia="黑体"/>
      <w:sz w:val="20"/>
      <w:szCs w:val="20"/>
    </w:rPr>
  </w:style>
  <w:style w:type="paragraph" w:styleId="10">
    <w:name w:val="annotation text"/>
    <w:basedOn w:val="1"/>
    <w:link w:val="27"/>
    <w:unhideWhenUsed/>
    <w:qFormat/>
    <w:uiPriority w:val="0"/>
  </w:style>
  <w:style w:type="paragraph" w:styleId="11">
    <w:name w:val="Plain Text"/>
    <w:basedOn w:val="1"/>
    <w:link w:val="32"/>
    <w:qFormat/>
    <w:uiPriority w:val="0"/>
    <w:pPr>
      <w:widowControl w:val="0"/>
      <w:adjustRightInd/>
      <w:snapToGrid/>
      <w:spacing w:after="0"/>
      <w:jc w:val="both"/>
    </w:pPr>
    <w:rPr>
      <w:rFonts w:hint="eastAsia" w:ascii="宋体" w:hAnsi="Courier New" w:eastAsia="宋体" w:cs="仿宋_GB2312"/>
      <w:kern w:val="2"/>
      <w:sz w:val="21"/>
      <w:szCs w:val="21"/>
    </w:rPr>
  </w:style>
  <w:style w:type="paragraph" w:styleId="12">
    <w:name w:val="Balloon Text"/>
    <w:basedOn w:val="1"/>
    <w:link w:val="23"/>
    <w:unhideWhenUsed/>
    <w:qFormat/>
    <w:uiPriority w:val="99"/>
    <w:pPr>
      <w:spacing w:after="0"/>
    </w:pPr>
    <w:rPr>
      <w:sz w:val="18"/>
      <w:szCs w:val="18"/>
    </w:rPr>
  </w:style>
  <w:style w:type="paragraph" w:styleId="13">
    <w:name w:val="footer"/>
    <w:basedOn w:val="1"/>
    <w:link w:val="25"/>
    <w:unhideWhenUsed/>
    <w:qFormat/>
    <w:uiPriority w:val="99"/>
    <w:pPr>
      <w:tabs>
        <w:tab w:val="center" w:pos="4153"/>
        <w:tab w:val="right" w:pos="8306"/>
      </w:tabs>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Normal (Web)"/>
    <w:basedOn w:val="1"/>
    <w:qFormat/>
    <w:uiPriority w:val="0"/>
    <w:pPr>
      <w:adjustRightInd/>
      <w:snapToGrid/>
      <w:spacing w:before="100" w:beforeAutospacing="1" w:after="100" w:afterAutospacing="1"/>
    </w:pPr>
    <w:rPr>
      <w:rFonts w:ascii="宋体" w:hAnsi="宋体" w:eastAsia="宋体" w:cs="Times New Roman"/>
      <w:sz w:val="24"/>
      <w:szCs w:val="24"/>
    </w:rPr>
  </w:style>
  <w:style w:type="paragraph" w:styleId="18">
    <w:name w:val="annotation subject"/>
    <w:basedOn w:val="10"/>
    <w:next w:val="10"/>
    <w:link w:val="28"/>
    <w:unhideWhenUsed/>
    <w:qFormat/>
    <w:uiPriority w:val="99"/>
    <w:rPr>
      <w:b/>
      <w:bCs/>
    </w:r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unhideWhenUsed/>
    <w:qFormat/>
    <w:uiPriority w:val="0"/>
    <w:rPr>
      <w:sz w:val="21"/>
      <w:szCs w:val="21"/>
    </w:rPr>
  </w:style>
  <w:style w:type="character" w:customStyle="1" w:styleId="23">
    <w:name w:val="批注框文本 Char"/>
    <w:basedOn w:val="20"/>
    <w:link w:val="12"/>
    <w:semiHidden/>
    <w:qFormat/>
    <w:uiPriority w:val="99"/>
    <w:rPr>
      <w:rFonts w:ascii="Tahoma" w:hAnsi="Tahoma"/>
      <w:sz w:val="18"/>
      <w:szCs w:val="18"/>
    </w:rPr>
  </w:style>
  <w:style w:type="character" w:customStyle="1" w:styleId="24">
    <w:name w:val="页眉 Char"/>
    <w:basedOn w:val="20"/>
    <w:link w:val="14"/>
    <w:qFormat/>
    <w:uiPriority w:val="99"/>
    <w:rPr>
      <w:rFonts w:ascii="Tahoma" w:hAnsi="Tahoma"/>
      <w:sz w:val="18"/>
      <w:szCs w:val="18"/>
    </w:rPr>
  </w:style>
  <w:style w:type="character" w:customStyle="1" w:styleId="25">
    <w:name w:val="页脚 Char"/>
    <w:basedOn w:val="20"/>
    <w:link w:val="13"/>
    <w:qFormat/>
    <w:uiPriority w:val="99"/>
    <w:rPr>
      <w:rFonts w:ascii="Tahoma" w:hAnsi="Tahoma"/>
      <w:sz w:val="18"/>
      <w:szCs w:val="18"/>
    </w:rPr>
  </w:style>
  <w:style w:type="character" w:customStyle="1" w:styleId="26">
    <w:name w:val="占位符文本1"/>
    <w:basedOn w:val="20"/>
    <w:semiHidden/>
    <w:qFormat/>
    <w:uiPriority w:val="99"/>
    <w:rPr>
      <w:color w:val="808080"/>
    </w:rPr>
  </w:style>
  <w:style w:type="character" w:customStyle="1" w:styleId="27">
    <w:name w:val="批注文字 Char"/>
    <w:basedOn w:val="20"/>
    <w:link w:val="10"/>
    <w:semiHidden/>
    <w:qFormat/>
    <w:uiPriority w:val="99"/>
    <w:rPr>
      <w:rFonts w:ascii="Tahoma" w:hAnsi="Tahoma"/>
    </w:rPr>
  </w:style>
  <w:style w:type="character" w:customStyle="1" w:styleId="28">
    <w:name w:val="批注主题 Char"/>
    <w:basedOn w:val="27"/>
    <w:link w:val="18"/>
    <w:semiHidden/>
    <w:qFormat/>
    <w:uiPriority w:val="99"/>
    <w:rPr>
      <w:rFonts w:ascii="Tahoma" w:hAnsi="Tahoma"/>
      <w:b/>
      <w:bCs/>
    </w:rPr>
  </w:style>
  <w:style w:type="character" w:customStyle="1" w:styleId="29">
    <w:name w:val="标题 1 Char"/>
    <w:basedOn w:val="20"/>
    <w:link w:val="4"/>
    <w:qFormat/>
    <w:uiPriority w:val="9"/>
    <w:rPr>
      <w:rFonts w:ascii="Tahoma" w:hAnsi="Tahoma" w:eastAsia="黑体"/>
      <w:bCs/>
      <w:kern w:val="44"/>
      <w:sz w:val="32"/>
      <w:szCs w:val="44"/>
    </w:rPr>
  </w:style>
  <w:style w:type="paragraph" w:customStyle="1" w:styleId="30">
    <w:name w:val="TOC 标题1"/>
    <w:basedOn w:val="4"/>
    <w:next w:val="1"/>
    <w:unhideWhenUsed/>
    <w:qFormat/>
    <w:uiPriority w:val="39"/>
    <w:pPr>
      <w:adjustRightInd/>
      <w:snapToGrid/>
      <w:spacing w:before="240" w:after="0" w:line="259" w:lineRule="auto"/>
      <w:outlineLvl w:val="9"/>
    </w:pPr>
    <w:rPr>
      <w:rFonts w:asciiTheme="majorHAnsi" w:hAnsiTheme="majorHAnsi" w:eastAsiaTheme="majorEastAsia" w:cstheme="majorBidi"/>
      <w:bCs w:val="0"/>
      <w:color w:val="376092" w:themeColor="accent1" w:themeShade="BF"/>
      <w:kern w:val="0"/>
      <w:sz w:val="32"/>
      <w:szCs w:val="32"/>
    </w:rPr>
  </w:style>
  <w:style w:type="paragraph" w:styleId="31">
    <w:name w:val="List Paragraph"/>
    <w:basedOn w:val="1"/>
    <w:unhideWhenUsed/>
    <w:qFormat/>
    <w:uiPriority w:val="34"/>
    <w:pPr>
      <w:ind w:firstLine="420" w:firstLineChars="200"/>
    </w:pPr>
  </w:style>
  <w:style w:type="character" w:customStyle="1" w:styleId="32">
    <w:name w:val="纯文本 Char"/>
    <w:basedOn w:val="20"/>
    <w:link w:val="11"/>
    <w:qFormat/>
    <w:uiPriority w:val="0"/>
    <w:rPr>
      <w:rFonts w:ascii="宋体" w:hAnsi="Courier New" w:eastAsia="宋体" w:cs="仿宋_GB2312"/>
      <w:kern w:val="2"/>
      <w:sz w:val="21"/>
      <w:szCs w:val="21"/>
    </w:rPr>
  </w:style>
  <w:style w:type="character" w:customStyle="1" w:styleId="33">
    <w:name w:val="标题 2 Char"/>
    <w:basedOn w:val="20"/>
    <w:link w:val="5"/>
    <w:semiHidden/>
    <w:qFormat/>
    <w:uiPriority w:val="9"/>
    <w:rPr>
      <w:rFonts w:ascii="Times New Roman" w:hAnsi="Times New Roman" w:eastAsia="宋体" w:cstheme="majorBidi"/>
      <w:b/>
      <w:bCs/>
      <w:sz w:val="32"/>
      <w:szCs w:val="32"/>
    </w:rPr>
  </w:style>
  <w:style w:type="character" w:customStyle="1" w:styleId="34">
    <w:name w:val="正文文本缩进 Char"/>
    <w:link w:val="3"/>
    <w:qFormat/>
    <w:uiPriority w:val="0"/>
    <w:rPr>
      <w:rFonts w:eastAsia="宋体"/>
      <w:kern w:val="2"/>
      <w:sz w:val="21"/>
      <w:szCs w:val="24"/>
    </w:rPr>
  </w:style>
  <w:style w:type="character" w:customStyle="1" w:styleId="35">
    <w:name w:val="正文文本缩进 Char1"/>
    <w:basedOn w:val="20"/>
    <w:semiHidden/>
    <w:qFormat/>
    <w:uiPriority w:val="99"/>
    <w:rPr>
      <w:rFonts w:ascii="Tahoma" w:hAnsi="Tahoma"/>
      <w:sz w:val="22"/>
      <w:szCs w:val="22"/>
    </w:rPr>
  </w:style>
  <w:style w:type="paragraph" w:customStyle="1" w:styleId="36">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7">
    <w:name w:val="CM3"/>
    <w:basedOn w:val="36"/>
    <w:next w:val="36"/>
    <w:qFormat/>
    <w:uiPriority w:val="99"/>
    <w:pPr>
      <w:spacing w:after="213"/>
    </w:pPr>
    <w:rPr>
      <w:rFonts w:cstheme="minorBidi"/>
      <w:color w:val="auto"/>
    </w:rPr>
  </w:style>
  <w:style w:type="paragraph" w:customStyle="1" w:styleId="38">
    <w:name w:val="CM1"/>
    <w:basedOn w:val="36"/>
    <w:next w:val="36"/>
    <w:qFormat/>
    <w:uiPriority w:val="99"/>
    <w:rPr>
      <w:rFonts w:cstheme="minorBidi"/>
      <w:color w:val="auto"/>
    </w:rPr>
  </w:style>
  <w:style w:type="paragraph" w:customStyle="1" w:styleId="39">
    <w:name w:val="CM4"/>
    <w:basedOn w:val="36"/>
    <w:next w:val="36"/>
    <w:qFormat/>
    <w:uiPriority w:val="0"/>
    <w:pPr>
      <w:spacing w:after="288"/>
    </w:pPr>
    <w:rPr>
      <w:rFonts w:cstheme="minorBidi"/>
      <w:color w:val="auto"/>
    </w:rPr>
  </w:style>
  <w:style w:type="paragraph" w:customStyle="1" w:styleId="4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NTF正文小四宋体"/>
    <w:qFormat/>
    <w:uiPriority w:val="0"/>
    <w:pPr>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paragraph" w:customStyle="1" w:styleId="42">
    <w:name w:val="YB目小四黑三"/>
    <w:basedOn w:val="1"/>
    <w:next w:val="1"/>
    <w:qFormat/>
    <w:uiPriority w:val="0"/>
    <w:pPr>
      <w:widowControl w:val="0"/>
      <w:autoSpaceDE w:val="0"/>
      <w:autoSpaceDN w:val="0"/>
      <w:adjustRightInd/>
      <w:snapToGrid/>
      <w:spacing w:after="0" w:line="500" w:lineRule="exact"/>
      <w:textAlignment w:val="bottom"/>
      <w:outlineLvl w:val="2"/>
    </w:pPr>
    <w:rPr>
      <w:rFonts w:ascii="Times New Roman" w:hAnsi="Times New Roman" w:eastAsia="黑体" w:cs="Times New Roman"/>
      <w:kern w:val="2"/>
      <w:sz w:val="24"/>
      <w:szCs w:val="20"/>
    </w:rPr>
  </w:style>
  <w:style w:type="paragraph" w:customStyle="1" w:styleId="43">
    <w:name w:val="YB正文小四宋体"/>
    <w:basedOn w:val="1"/>
    <w:link w:val="44"/>
    <w:qFormat/>
    <w:uiPriority w:val="0"/>
    <w:pPr>
      <w:widowControl w:val="0"/>
      <w:autoSpaceDE w:val="0"/>
      <w:autoSpaceDN w:val="0"/>
      <w:adjustRightInd/>
      <w:snapToGrid/>
      <w:spacing w:after="0" w:line="500" w:lineRule="exact"/>
      <w:ind w:firstLine="200" w:firstLineChars="200"/>
      <w:jc w:val="both"/>
      <w:textAlignment w:val="bottom"/>
    </w:pPr>
    <w:rPr>
      <w:rFonts w:ascii="Times New Roman" w:hAnsi="Times New Roman" w:eastAsia="宋体" w:cs="Times New Roman"/>
      <w:kern w:val="2"/>
      <w:sz w:val="24"/>
      <w:szCs w:val="20"/>
    </w:rPr>
  </w:style>
  <w:style w:type="character" w:customStyle="1" w:styleId="44">
    <w:name w:val="YB正文小四宋体 Char"/>
    <w:link w:val="43"/>
    <w:qFormat/>
    <w:uiPriority w:val="0"/>
    <w:rPr>
      <w:rFonts w:ascii="Times New Roman" w:hAnsi="Times New Roman" w:eastAsia="宋体" w:cs="Times New Roman"/>
      <w:kern w:val="2"/>
      <w:sz w:val="24"/>
    </w:rPr>
  </w:style>
  <w:style w:type="paragraph" w:customStyle="1" w:styleId="45">
    <w:name w:val="正文文字缩进 3"/>
    <w:basedOn w:val="1"/>
    <w:qFormat/>
    <w:uiPriority w:val="0"/>
    <w:pPr>
      <w:widowControl w:val="0"/>
      <w:adjustRightInd/>
      <w:snapToGrid/>
      <w:spacing w:after="0" w:line="312" w:lineRule="auto"/>
      <w:ind w:firstLine="480" w:firstLineChars="200"/>
      <w:jc w:val="both"/>
    </w:pPr>
    <w:rPr>
      <w:rFonts w:ascii="Times New Roman" w:hAnsi="Times New Roman" w:eastAsia="宋体" w:cs="Times New Roman"/>
      <w:sz w:val="24"/>
      <w:szCs w:val="24"/>
    </w:rPr>
  </w:style>
  <w:style w:type="paragraph" w:customStyle="1" w:styleId="4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7">
    <w:name w:val="样式 样式 样式 样式 样式 宋体 四号 行距: 固定值 29 磅 首行缩进:  2 字符 + 首行缩进:  2 字符 + 首行..."/>
    <w:basedOn w:val="48"/>
    <w:qFormat/>
    <w:uiPriority w:val="0"/>
    <w:rPr>
      <w:sz w:val="28"/>
    </w:rPr>
  </w:style>
  <w:style w:type="paragraph" w:customStyle="1" w:styleId="48">
    <w:name w:val="样式 样式 样式 样式 宋体 四号 行距: 固定值 29 磅 首行缩进:  2 字符 + 首行缩进:  2 字符 + 首行缩进:..."/>
    <w:basedOn w:val="49"/>
    <w:qFormat/>
    <w:uiPriority w:val="0"/>
    <w:pPr>
      <w:ind w:firstLine="560"/>
    </w:pPr>
    <w:rPr>
      <w:sz w:val="24"/>
    </w:rPr>
  </w:style>
  <w:style w:type="paragraph" w:customStyle="1" w:styleId="49">
    <w:name w:val="样式 样式 样式 宋体 四号 行距: 固定值 29 磅 首行缩进:  2 字符 + 首行缩进:  2 字符 + 首行缩进:  2..."/>
    <w:basedOn w:val="50"/>
    <w:qFormat/>
    <w:uiPriority w:val="0"/>
  </w:style>
  <w:style w:type="paragraph" w:customStyle="1" w:styleId="50">
    <w:name w:val="样式 样式 宋体 四号 行距: 固定值 29 磅 首行缩进:  2 字符 + 首行缩进:  2 字符"/>
    <w:basedOn w:val="51"/>
    <w:qFormat/>
    <w:uiPriority w:val="0"/>
    <w:pPr>
      <w:jc w:val="both"/>
    </w:pPr>
  </w:style>
  <w:style w:type="paragraph" w:customStyle="1" w:styleId="51">
    <w:name w:val="样式 宋体 四号 行距: 固定值 29 磅 首行缩进:  2 字符"/>
    <w:basedOn w:val="1"/>
    <w:qFormat/>
    <w:uiPriority w:val="0"/>
    <w:pPr>
      <w:spacing w:line="360" w:lineRule="auto"/>
      <w:ind w:firstLine="200" w:firstLineChars="200"/>
    </w:pPr>
    <w:rPr>
      <w:rFonts w:cs="宋体"/>
      <w:sz w:val="28"/>
      <w:szCs w:val="20"/>
    </w:rPr>
  </w:style>
  <w:style w:type="character" w:customStyle="1" w:styleId="52">
    <w:name w:val="样式 (中文) 仿宋_GB2312 四号"/>
    <w:qFormat/>
    <w:uiPriority w:val="0"/>
    <w:rPr>
      <w:rFonts w:eastAsia="宋体"/>
      <w:sz w:val="28"/>
    </w:rPr>
  </w:style>
  <w:style w:type="paragraph" w:customStyle="1" w:styleId="53">
    <w:name w:val="表格1"/>
    <w:basedOn w:val="1"/>
    <w:qFormat/>
    <w:uiPriority w:val="0"/>
    <w:pPr>
      <w:jc w:val="center"/>
    </w:pPr>
    <w:rPr>
      <w:bCs/>
      <w:sz w:val="21"/>
      <w:szCs w:val="21"/>
    </w:rPr>
  </w:style>
  <w:style w:type="paragraph" w:customStyle="1" w:styleId="54">
    <w:name w:val="Char"/>
    <w:basedOn w:val="1"/>
    <w:qFormat/>
    <w:uiPriority w:val="0"/>
    <w:pPr>
      <w:widowControl w:val="0"/>
      <w:adjustRightInd/>
      <w:snapToGrid/>
      <w:spacing w:after="0" w:line="480" w:lineRule="exact"/>
      <w:ind w:firstLine="960" w:firstLineChars="200"/>
      <w:jc w:val="both"/>
    </w:pPr>
    <w:rPr>
      <w:rFonts w:ascii="Times New Roman" w:hAnsi="Times New Roman" w:eastAsia="宋体" w:cs="Times New Roman"/>
      <w:kern w:val="2"/>
      <w:sz w:val="24"/>
      <w:szCs w:val="24"/>
    </w:rPr>
  </w:style>
  <w:style w:type="character" w:customStyle="1" w:styleId="55">
    <w:name w:val="fontstyle01"/>
    <w:basedOn w:val="20"/>
    <w:qFormat/>
    <w:uiPriority w:val="0"/>
    <w:rPr>
      <w:rFonts w:hint="default" w:ascii="TimesNewRomanPSMT" w:hAnsi="TimesNewRomanPSMT"/>
      <w:color w:val="000000"/>
      <w:sz w:val="24"/>
      <w:szCs w:val="24"/>
    </w:rPr>
  </w:style>
  <w:style w:type="paragraph" w:customStyle="1" w:styleId="56">
    <w:name w:val="Czy正文"/>
    <w:basedOn w:val="1"/>
    <w:qFormat/>
    <w:uiPriority w:val="0"/>
    <w:pPr>
      <w:widowControl w:val="0"/>
      <w:adjustRightInd/>
      <w:snapToGrid/>
      <w:spacing w:after="0" w:line="360" w:lineRule="auto"/>
      <w:ind w:firstLine="200" w:firstLineChars="200"/>
      <w:jc w:val="both"/>
      <w:textAlignment w:val="baseline"/>
    </w:pPr>
    <w:rPr>
      <w:rFonts w:ascii="等线" w:hAnsi="等线" w:eastAsia="宋体" w:cs="Times New Roman"/>
      <w:kern w:val="20"/>
      <w:sz w:val="24"/>
      <w:szCs w:val="24"/>
    </w:rPr>
  </w:style>
  <w:style w:type="paragraph" w:customStyle="1" w:styleId="57">
    <w:name w:val="无缩进正文"/>
    <w:qFormat/>
    <w:uiPriority w:val="0"/>
    <w:pPr>
      <w:widowControl w:val="0"/>
      <w:spacing w:line="360" w:lineRule="auto"/>
      <w:ind w:firstLine="560" w:firstLineChars="200"/>
    </w:pPr>
    <w:rPr>
      <w:rFonts w:ascii="宋体" w:hAnsi="宋体" w:eastAsia="宋体" w:cs="Times New Roman"/>
      <w:spacing w:val="20"/>
      <w:kern w:val="2"/>
      <w:sz w:val="24"/>
      <w:szCs w:val="24"/>
      <w:lang w:val="en-US" w:eastAsia="zh-CN" w:bidi="ar-SA"/>
    </w:rPr>
  </w:style>
  <w:style w:type="paragraph" w:customStyle="1" w:styleId="58">
    <w:name w:val="公表序"/>
    <w:basedOn w:val="1"/>
    <w:qFormat/>
    <w:uiPriority w:val="0"/>
    <w:pPr>
      <w:adjustRightInd w:val="0"/>
      <w:snapToGrid w:val="0"/>
      <w:spacing w:line="300" w:lineRule="auto"/>
      <w:ind w:firstLine="150" w:firstLineChars="150"/>
    </w:pPr>
    <w:rPr>
      <w:rFonts w:ascii="黑体" w:hAnsi="宋体" w:eastAsia="黑体"/>
      <w:sz w:val="24"/>
    </w:rPr>
  </w:style>
  <w:style w:type="paragraph" w:customStyle="1" w:styleId="59">
    <w:name w:val="公表文"/>
    <w:basedOn w:val="1"/>
    <w:qFormat/>
    <w:uiPriority w:val="0"/>
    <w:pPr>
      <w:adjustRightInd w:val="0"/>
      <w:snapToGrid w:val="0"/>
      <w:spacing w:before="30" w:beforeLines="30" w:after="30" w:afterLines="30"/>
      <w:jc w:val="center"/>
    </w:pPr>
    <w:rPr>
      <w:rFonts w:ascii="宋体" w:hAnsi="宋体" w:eastAsia="楷体_GB2312"/>
    </w:rPr>
  </w:style>
  <w:style w:type="character" w:customStyle="1" w:styleId="60">
    <w:name w:val="NormalCharacter"/>
    <w:semiHidden/>
    <w:qFormat/>
    <w:uiPriority w:val="0"/>
  </w:style>
  <w:style w:type="paragraph" w:customStyle="1" w:styleId="61">
    <w:name w:val="WPSOffice手动目录 1"/>
    <w:qFormat/>
    <w:uiPriority w:val="0"/>
    <w:pPr>
      <w:ind w:leftChars="0"/>
    </w:pPr>
    <w:rPr>
      <w:rFonts w:ascii="Times New Roman" w:hAnsi="Times New Roman" w:eastAsia="宋体" w:cs="Times New Roman"/>
      <w:sz w:val="20"/>
      <w:szCs w:val="20"/>
    </w:rPr>
  </w:style>
  <w:style w:type="paragraph" w:customStyle="1" w:styleId="6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0A4B6-1F0D-478C-A73A-31836B59C59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18</Pages>
  <Words>5802</Words>
  <Characters>6944</Characters>
  <Lines>69</Lines>
  <Paragraphs>19</Paragraphs>
  <TotalTime>1</TotalTime>
  <ScaleCrop>false</ScaleCrop>
  <LinksUpToDate>false</LinksUpToDate>
  <CharactersWithSpaces>7055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2021-06-09T13:28:00Z</dcterms:created>
  <dc:creator>曾宪华</dc:creator>
  <cp:lastModifiedBy>sunshine944857</cp:lastModifiedBy>
  <cp:lastPrinted>2017-07-11T06:13:00Z</cp:lastPrinted>
  <dcterms:modified xsi:type="dcterms:W3CDTF">2023-05-04T08:47:14Z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8ABF2AC725B94A9C8639D9B3C892691E_13</vt:lpwstr>
  </property>
</Properties>
</file>