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both"/>
        <w:rPr>
          <w:rFonts w:hint="eastAsia" w:ascii="宋体" w:hAnsi="宋体" w:eastAsia="宋体" w:cs="宋体"/>
          <w:color w:val="auto"/>
          <w:sz w:val="24"/>
          <w:szCs w:val="24"/>
          <w:highlight w:val="none"/>
        </w:rPr>
      </w:pPr>
      <w:r>
        <w:rPr>
          <w:rFonts w:hint="eastAsia"/>
          <w:b/>
          <w:color w:val="auto"/>
          <w:sz w:val="44"/>
          <w:szCs w:val="44"/>
          <w:highlight w:val="none"/>
        </w:rPr>
        <w:t xml:space="preserve">                                                                                                                                                                                                                                                                                                                                        </w:t>
      </w:r>
    </w:p>
    <w:p>
      <w:pPr>
        <w:autoSpaceDE w:val="0"/>
        <w:autoSpaceDN w:val="0"/>
        <w:adjustRightInd w:val="0"/>
        <w:spacing w:line="360" w:lineRule="auto"/>
        <w:jc w:val="center"/>
        <w:rPr>
          <w:rFonts w:hint="eastAsia" w:eastAsia="宋体"/>
          <w:b/>
          <w:color w:val="auto"/>
          <w:sz w:val="48"/>
          <w:szCs w:val="48"/>
          <w:highlight w:val="none"/>
          <w:lang w:eastAsia="zh-CN"/>
        </w:rPr>
      </w:pPr>
      <w:r>
        <w:rPr>
          <w:rFonts w:hint="eastAsia"/>
          <w:b/>
          <w:color w:val="auto"/>
          <w:sz w:val="48"/>
          <w:szCs w:val="48"/>
          <w:highlight w:val="none"/>
          <w:lang w:eastAsia="zh-CN"/>
        </w:rPr>
        <w:t>增城区开发区下沉式再生水厂及配套管网工程监理</w:t>
      </w:r>
    </w:p>
    <w:p>
      <w:pPr>
        <w:pStyle w:val="16"/>
        <w:ind w:firstLine="883" w:firstLineChars="200"/>
        <w:jc w:val="both"/>
        <w:rPr>
          <w:b/>
          <w:color w:val="auto"/>
          <w:sz w:val="44"/>
          <w:szCs w:val="44"/>
          <w:highlight w:val="none"/>
        </w:rPr>
      </w:pPr>
    </w:p>
    <w:p>
      <w:pPr>
        <w:ind w:firstLine="640" w:firstLineChars="200"/>
        <w:jc w:val="center"/>
        <w:rPr>
          <w:rFonts w:ascii="Times New Roman" w:hAnsi="Times New Roman" w:eastAsia="黑体"/>
          <w:color w:val="auto"/>
          <w:sz w:val="32"/>
          <w:szCs w:val="32"/>
          <w:highlight w:val="none"/>
        </w:rPr>
      </w:pPr>
      <w:bookmarkStart w:id="805" w:name="_GoBack"/>
      <w:r>
        <w:rPr>
          <w:rFonts w:ascii="Times New Roman" w:hAnsi="Times New Roman" w:eastAsia="黑体"/>
          <w:color w:val="auto"/>
          <w:sz w:val="32"/>
          <w:szCs w:val="32"/>
          <w:highlight w:val="none"/>
        </w:rPr>
        <w:t>（招标编号：</w:t>
      </w:r>
      <w:r>
        <w:rPr>
          <w:rFonts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u w:val="single"/>
        </w:rPr>
        <w:t xml:space="preserve">          </w:t>
      </w:r>
      <w:r>
        <w:rPr>
          <w:rFonts w:ascii="Times New Roman" w:hAnsi="Times New Roman" w:eastAsia="黑体"/>
          <w:color w:val="auto"/>
          <w:sz w:val="32"/>
          <w:szCs w:val="32"/>
          <w:highlight w:val="none"/>
        </w:rPr>
        <w:t>）</w:t>
      </w:r>
    </w:p>
    <w:bookmarkEnd w:id="805"/>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highlight w:val="none"/>
        </w:rPr>
      </w:pPr>
    </w:p>
    <w:p>
      <w:pPr>
        <w:ind w:firstLine="1680" w:firstLineChars="200"/>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招</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标</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文</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件</w:t>
      </w:r>
      <w:r>
        <w:rPr>
          <w:rFonts w:hint="eastAsia" w:ascii="Times New Roman" w:hAnsi="Times New Roman" w:eastAsia="黑体"/>
          <w:color w:val="auto"/>
          <w:sz w:val="84"/>
          <w:szCs w:val="84"/>
          <w:highlight w:val="none"/>
        </w:rPr>
        <w:t xml:space="preserve">                                </w:t>
      </w: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rPr>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招 标  单 位：</w:t>
      </w:r>
      <w:r>
        <w:rPr>
          <w:rFonts w:hint="eastAsia" w:ascii="宋体" w:hAnsi="宋体"/>
          <w:b/>
          <w:color w:val="auto"/>
          <w:sz w:val="32"/>
          <w:szCs w:val="32"/>
          <w:highlight w:val="none"/>
          <w:lang w:eastAsia="zh-CN"/>
        </w:rPr>
        <w:t>广州市增城排水有限公司</w:t>
      </w:r>
      <w:r>
        <w:rPr>
          <w:rFonts w:hint="eastAsia" w:ascii="宋体" w:hAnsi="宋体"/>
          <w:b/>
          <w:color w:val="auto"/>
          <w:sz w:val="32"/>
          <w:szCs w:val="32"/>
          <w:highlight w:val="none"/>
        </w:rPr>
        <w:t xml:space="preserve"> </w:t>
      </w:r>
    </w:p>
    <w:p>
      <w:pPr>
        <w:spacing w:line="360" w:lineRule="auto"/>
        <w:ind w:firstLine="643" w:firstLineChars="2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招标代理单位：</w:t>
      </w:r>
      <w:r>
        <w:rPr>
          <w:rFonts w:hint="eastAsia" w:ascii="宋体" w:hAnsi="宋体"/>
          <w:b/>
          <w:color w:val="auto"/>
          <w:sz w:val="32"/>
          <w:szCs w:val="32"/>
          <w:highlight w:val="none"/>
          <w:lang w:eastAsia="zh-CN"/>
        </w:rPr>
        <w:t>中通建设工程管理有限公司</w:t>
      </w: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日        期：二〇二</w:t>
      </w:r>
      <w:r>
        <w:rPr>
          <w:rFonts w:hint="eastAsia" w:ascii="宋体" w:hAnsi="宋体"/>
          <w:b/>
          <w:color w:val="auto"/>
          <w:sz w:val="32"/>
          <w:szCs w:val="32"/>
          <w:highlight w:val="none"/>
          <w:lang w:val="en-US" w:eastAsia="zh-CN"/>
        </w:rPr>
        <w:t>三</w:t>
      </w:r>
      <w:r>
        <w:rPr>
          <w:rFonts w:hint="eastAsia" w:ascii="宋体" w:hAnsi="宋体"/>
          <w:b/>
          <w:color w:val="auto"/>
          <w:sz w:val="32"/>
          <w:szCs w:val="32"/>
          <w:highlight w:val="none"/>
        </w:rPr>
        <w:t>年</w:t>
      </w:r>
      <w:r>
        <w:rPr>
          <w:rFonts w:hint="eastAsia" w:ascii="宋体" w:hAnsi="宋体"/>
          <w:b/>
          <w:color w:val="auto"/>
          <w:sz w:val="32"/>
          <w:szCs w:val="32"/>
          <w:highlight w:val="none"/>
          <w:u w:val="single"/>
          <w:lang w:val="en-US" w:eastAsia="zh-CN"/>
        </w:rPr>
        <w:t>五</w:t>
      </w:r>
      <w:r>
        <w:rPr>
          <w:rFonts w:hint="eastAsia" w:ascii="宋体" w:hAnsi="宋体"/>
          <w:b/>
          <w:color w:val="auto"/>
          <w:sz w:val="32"/>
          <w:szCs w:val="32"/>
          <w:highlight w:val="none"/>
        </w:rPr>
        <w:t>月</w:t>
      </w:r>
    </w:p>
    <w:p>
      <w:pPr>
        <w:pStyle w:val="14"/>
        <w:ind w:firstLine="420" w:firstLineChars="200"/>
        <w:rPr>
          <w:color w:val="auto"/>
          <w:highlight w:val="none"/>
        </w:rPr>
      </w:pPr>
    </w:p>
    <w:p>
      <w:pPr>
        <w:ind w:firstLine="420" w:firstLineChars="200"/>
        <w:rPr>
          <w:color w:val="auto"/>
          <w:highlight w:val="none"/>
        </w:rPr>
      </w:pPr>
    </w:p>
    <w:p>
      <w:pPr>
        <w:rPr>
          <w:rFonts w:asciiTheme="majorEastAsia" w:hAnsiTheme="majorEastAsia" w:eastAsiaTheme="majorEastAsia"/>
          <w:color w:val="auto"/>
          <w:highlight w:val="none"/>
          <w:lang w:val="zh-CN"/>
        </w:rPr>
      </w:pPr>
      <w:bookmarkStart w:id="0" w:name="_Toc152042287"/>
      <w:bookmarkStart w:id="1" w:name="_Toc144974479"/>
      <w:bookmarkStart w:id="2" w:name="_Toc152045511"/>
      <w:r>
        <w:rPr>
          <w:rFonts w:asciiTheme="majorEastAsia" w:hAnsiTheme="majorEastAsia" w:eastAsiaTheme="majorEastAsia"/>
          <w:color w:val="auto"/>
          <w:highlight w:val="none"/>
          <w:lang w:val="zh-CN"/>
        </w:rPr>
        <w:br w:type="page"/>
      </w:r>
    </w:p>
    <w:p>
      <w:pPr>
        <w:pStyle w:val="28"/>
        <w:keepNext w:val="0"/>
        <w:keepLines w:val="0"/>
        <w:widowControl w:val="0"/>
        <w:spacing w:before="0"/>
        <w:jc w:val="center"/>
        <w:rPr>
          <w:rFonts w:asciiTheme="majorEastAsia" w:hAnsiTheme="majorEastAsia" w:eastAsiaTheme="majorEastAsia"/>
          <w:b w:val="0"/>
          <w:color w:val="auto"/>
          <w:highlight w:val="none"/>
        </w:rPr>
      </w:pPr>
      <w:r>
        <w:rPr>
          <w:rFonts w:asciiTheme="majorEastAsia" w:hAnsiTheme="majorEastAsia" w:eastAsiaTheme="majorEastAsia"/>
          <w:b w:val="0"/>
          <w:color w:val="auto"/>
          <w:highlight w:val="none"/>
          <w:lang w:val="zh-CN"/>
        </w:rPr>
        <w:t>目</w:t>
      </w:r>
      <w:r>
        <w:rPr>
          <w:rFonts w:hint="eastAsia" w:asciiTheme="majorEastAsia" w:hAnsiTheme="majorEastAsia" w:eastAsiaTheme="majorEastAsia"/>
          <w:b w:val="0"/>
          <w:color w:val="auto"/>
          <w:highlight w:val="none"/>
          <w:lang w:val="zh-CN"/>
        </w:rPr>
        <w:t xml:space="preserve"> </w:t>
      </w:r>
      <w:r>
        <w:rPr>
          <w:rFonts w:asciiTheme="majorEastAsia" w:hAnsiTheme="majorEastAsia" w:eastAsiaTheme="majorEastAsia"/>
          <w:b w:val="0"/>
          <w:color w:val="auto"/>
          <w:highlight w:val="none"/>
          <w:lang w:val="zh-CN"/>
        </w:rPr>
        <w:t>录</w:t>
      </w:r>
    </w:p>
    <w:p>
      <w:pPr>
        <w:pStyle w:val="18"/>
        <w:tabs>
          <w:tab w:val="right" w:leader="dot" w:pos="8630"/>
        </w:tabs>
        <w:ind w:firstLine="420" w:firstLineChars="200"/>
        <w:rPr>
          <w:rFonts w:ascii="Times New Roman" w:hAnsi="Times New Roman"/>
          <w:color w:val="auto"/>
          <w:highlight w:val="none"/>
        </w:rPr>
      </w:pPr>
    </w:p>
    <w:p>
      <w:pPr>
        <w:pStyle w:val="18"/>
        <w:tabs>
          <w:tab w:val="right" w:leader="dot" w:pos="8630"/>
        </w:tabs>
        <w:spacing w:line="360" w:lineRule="auto"/>
        <w:ind w:firstLine="420" w:firstLineChars="200"/>
        <w:rPr>
          <w:rFonts w:asciiTheme="minorHAnsi" w:hAnsiTheme="minorHAnsi" w:eastAsiaTheme="minorEastAsia" w:cstheme="minorBidi"/>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TOC \o "1-3" \h \z \u </w:instrText>
      </w:r>
      <w:r>
        <w:rPr>
          <w:rFonts w:ascii="Times New Roman" w:hAnsi="Times New Roman"/>
          <w:color w:val="auto"/>
          <w:highlight w:val="none"/>
        </w:rPr>
        <w:fldChar w:fldCharType="separate"/>
      </w:r>
      <w:r>
        <w:rPr>
          <w:color w:val="auto"/>
          <w:highlight w:val="none"/>
        </w:rPr>
        <w:fldChar w:fldCharType="begin"/>
      </w:r>
      <w:r>
        <w:rPr>
          <w:color w:val="auto"/>
          <w:highlight w:val="none"/>
        </w:rPr>
        <w:instrText xml:space="preserve"> HYPERLINK \l "_Toc89870540" </w:instrText>
      </w:r>
      <w:r>
        <w:rPr>
          <w:color w:val="auto"/>
          <w:highlight w:val="none"/>
        </w:rPr>
        <w:fldChar w:fldCharType="separate"/>
      </w:r>
      <w:r>
        <w:rPr>
          <w:rStyle w:val="26"/>
          <w:rFonts w:hint="eastAsia"/>
          <w:color w:val="auto"/>
          <w:sz w:val="24"/>
          <w:szCs w:val="24"/>
          <w:highlight w:val="none"/>
        </w:rPr>
        <w:t>第一章招标公告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_Toc89870540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pPr>
        <w:pStyle w:val="18"/>
        <w:tabs>
          <w:tab w:val="right" w:leader="dot" w:pos="8630"/>
        </w:tabs>
        <w:spacing w:line="360" w:lineRule="auto"/>
        <w:ind w:firstLine="420" w:firstLineChars="200"/>
        <w:rPr>
          <w:rFonts w:hint="eastAsia" w:eastAsia="宋体" w:asciiTheme="minorHAnsi" w:hAnsiTheme="minorHAnsi" w:cstheme="minorBidi"/>
          <w:color w:val="auto"/>
          <w:sz w:val="24"/>
          <w:szCs w:val="24"/>
          <w:highlight w:val="none"/>
          <w:lang w:eastAsia="zh-CN"/>
        </w:rPr>
      </w:pPr>
      <w:r>
        <w:rPr>
          <w:color w:val="auto"/>
          <w:highlight w:val="none"/>
        </w:rPr>
        <w:fldChar w:fldCharType="begin"/>
      </w:r>
      <w:r>
        <w:rPr>
          <w:color w:val="auto"/>
          <w:highlight w:val="none"/>
        </w:rPr>
        <w:instrText xml:space="preserve"> HYPERLINK \l "_Toc89870548" </w:instrText>
      </w:r>
      <w:r>
        <w:rPr>
          <w:color w:val="auto"/>
          <w:highlight w:val="none"/>
        </w:rPr>
        <w:fldChar w:fldCharType="separate"/>
      </w:r>
      <w:r>
        <w:rPr>
          <w:rStyle w:val="26"/>
          <w:rFonts w:hint="eastAsia"/>
          <w:color w:val="auto"/>
          <w:sz w:val="24"/>
          <w:szCs w:val="24"/>
          <w:highlight w:val="none"/>
        </w:rPr>
        <w:t>第二章投标人须知</w:t>
      </w:r>
      <w:r>
        <w:rPr>
          <w:color w:val="auto"/>
          <w:sz w:val="24"/>
          <w:szCs w:val="24"/>
          <w:highlight w:val="none"/>
        </w:rPr>
        <w:tab/>
      </w:r>
      <w:r>
        <w:rPr>
          <w:rFonts w:hint="eastAsia"/>
          <w:color w:val="auto"/>
          <w:sz w:val="24"/>
          <w:szCs w:val="24"/>
          <w:highlight w:val="none"/>
          <w:lang w:val="en-US" w:eastAsia="zh-CN"/>
        </w:rPr>
        <w:t>1</w:t>
      </w:r>
      <w:r>
        <w:rPr>
          <w:color w:val="auto"/>
          <w:sz w:val="24"/>
          <w:szCs w:val="24"/>
          <w:highlight w:val="none"/>
        </w:rPr>
        <w:fldChar w:fldCharType="end"/>
      </w:r>
      <w:r>
        <w:rPr>
          <w:rFonts w:hint="eastAsia"/>
          <w:color w:val="auto"/>
          <w:sz w:val="24"/>
          <w:szCs w:val="24"/>
          <w:highlight w:val="none"/>
          <w:lang w:val="en-US" w:eastAsia="zh-CN"/>
        </w:rPr>
        <w:t>0</w:t>
      </w:r>
    </w:p>
    <w:p>
      <w:pPr>
        <w:pStyle w:val="18"/>
        <w:tabs>
          <w:tab w:val="right" w:leader="dot" w:pos="8630"/>
        </w:tabs>
        <w:spacing w:line="360" w:lineRule="auto"/>
        <w:ind w:firstLine="420" w:firstLineChars="200"/>
        <w:rPr>
          <w:rFonts w:hint="eastAsia" w:eastAsia="宋体" w:asciiTheme="minorHAnsi" w:hAnsiTheme="minorHAnsi" w:cstheme="minorBidi"/>
          <w:color w:val="auto"/>
          <w:sz w:val="24"/>
          <w:szCs w:val="24"/>
          <w:highlight w:val="none"/>
          <w:lang w:eastAsia="zh-CN"/>
        </w:rPr>
      </w:pPr>
      <w:r>
        <w:rPr>
          <w:color w:val="auto"/>
          <w:highlight w:val="none"/>
        </w:rPr>
        <w:fldChar w:fldCharType="begin"/>
      </w:r>
      <w:r>
        <w:rPr>
          <w:color w:val="auto"/>
          <w:highlight w:val="none"/>
        </w:rPr>
        <w:instrText xml:space="preserve"> HYPERLINK \l "_Toc89870608" </w:instrText>
      </w:r>
      <w:r>
        <w:rPr>
          <w:color w:val="auto"/>
          <w:highlight w:val="none"/>
        </w:rPr>
        <w:fldChar w:fldCharType="separate"/>
      </w:r>
      <w:r>
        <w:rPr>
          <w:rStyle w:val="26"/>
          <w:rFonts w:hint="eastAsia"/>
          <w:color w:val="auto"/>
          <w:sz w:val="24"/>
          <w:szCs w:val="24"/>
          <w:highlight w:val="none"/>
        </w:rPr>
        <w:t>第三章评标办法（综合评估法）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_Toc89870608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pPr>
        <w:pStyle w:val="18"/>
        <w:tabs>
          <w:tab w:val="right" w:leader="dot" w:pos="8630"/>
        </w:tabs>
        <w:spacing w:line="360" w:lineRule="auto"/>
        <w:ind w:firstLine="420" w:firstLineChars="200"/>
        <w:rPr>
          <w:rFonts w:hint="eastAsia" w:eastAsia="宋体" w:asciiTheme="minorHAnsi" w:hAnsiTheme="minorHAnsi" w:cstheme="minorBidi"/>
          <w:color w:val="auto"/>
          <w:sz w:val="24"/>
          <w:szCs w:val="24"/>
          <w:highlight w:val="none"/>
          <w:lang w:eastAsia="zh-CN"/>
        </w:rPr>
      </w:pPr>
      <w:r>
        <w:rPr>
          <w:color w:val="auto"/>
          <w:highlight w:val="none"/>
        </w:rPr>
        <w:fldChar w:fldCharType="begin"/>
      </w:r>
      <w:r>
        <w:rPr>
          <w:color w:val="auto"/>
          <w:highlight w:val="none"/>
        </w:rPr>
        <w:instrText xml:space="preserve"> HYPERLINK \l "_Toc89870620" </w:instrText>
      </w:r>
      <w:r>
        <w:rPr>
          <w:color w:val="auto"/>
          <w:highlight w:val="none"/>
        </w:rPr>
        <w:fldChar w:fldCharType="separate"/>
      </w:r>
      <w:r>
        <w:rPr>
          <w:rStyle w:val="26"/>
          <w:rFonts w:hint="eastAsia"/>
          <w:color w:val="auto"/>
          <w:sz w:val="24"/>
          <w:szCs w:val="24"/>
          <w:highlight w:val="none"/>
        </w:rPr>
        <w:t>第四章合同条款及格式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_Toc89870620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color w:val="auto"/>
          <w:sz w:val="24"/>
          <w:szCs w:val="24"/>
          <w:highlight w:val="none"/>
        </w:rPr>
        <w:fldChar w:fldCharType="end"/>
      </w:r>
    </w:p>
    <w:p>
      <w:pPr>
        <w:pStyle w:val="18"/>
        <w:tabs>
          <w:tab w:val="right" w:leader="dot" w:pos="8630"/>
        </w:tabs>
        <w:spacing w:line="360" w:lineRule="auto"/>
        <w:ind w:firstLine="420" w:firstLineChars="200"/>
        <w:rPr>
          <w:rFonts w:hint="default" w:eastAsia="宋体" w:asciiTheme="minorHAnsi" w:hAnsiTheme="minorHAnsi" w:cstheme="minorBidi"/>
          <w:color w:val="auto"/>
          <w:sz w:val="24"/>
          <w:szCs w:val="24"/>
          <w:highlight w:val="none"/>
          <w:lang w:val="en-US" w:eastAsia="zh-CN"/>
        </w:rPr>
      </w:pPr>
      <w:r>
        <w:rPr>
          <w:color w:val="auto"/>
          <w:highlight w:val="none"/>
        </w:rPr>
        <w:fldChar w:fldCharType="begin"/>
      </w:r>
      <w:r>
        <w:rPr>
          <w:color w:val="auto"/>
          <w:highlight w:val="none"/>
        </w:rPr>
        <w:instrText xml:space="preserve"> HYPERLINK \l "_Toc89870622" </w:instrText>
      </w:r>
      <w:r>
        <w:rPr>
          <w:color w:val="auto"/>
          <w:highlight w:val="none"/>
        </w:rPr>
        <w:fldChar w:fldCharType="separate"/>
      </w:r>
      <w:r>
        <w:rPr>
          <w:rStyle w:val="26"/>
          <w:rFonts w:hint="eastAsia"/>
          <w:color w:val="auto"/>
          <w:sz w:val="24"/>
          <w:szCs w:val="24"/>
          <w:highlight w:val="none"/>
        </w:rPr>
        <w:t>第五章委托人要求</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48</w:t>
      </w:r>
    </w:p>
    <w:p>
      <w:pPr>
        <w:pStyle w:val="18"/>
        <w:tabs>
          <w:tab w:val="right" w:leader="dot" w:pos="8630"/>
        </w:tabs>
        <w:spacing w:line="360" w:lineRule="auto"/>
        <w:ind w:firstLine="420" w:firstLineChars="200"/>
        <w:rPr>
          <w:rFonts w:hint="default" w:eastAsia="宋体" w:asciiTheme="minorHAnsi" w:hAnsiTheme="minorHAnsi" w:cstheme="minorBidi"/>
          <w:color w:val="auto"/>
          <w:sz w:val="24"/>
          <w:szCs w:val="24"/>
          <w:highlight w:val="none"/>
          <w:lang w:val="en-US" w:eastAsia="zh-CN"/>
        </w:rPr>
      </w:pPr>
      <w:r>
        <w:rPr>
          <w:color w:val="auto"/>
          <w:highlight w:val="none"/>
        </w:rPr>
        <w:fldChar w:fldCharType="begin"/>
      </w:r>
      <w:r>
        <w:rPr>
          <w:color w:val="auto"/>
          <w:highlight w:val="none"/>
        </w:rPr>
        <w:instrText xml:space="preserve"> HYPERLINK \l "_Toc89870634" </w:instrText>
      </w:r>
      <w:r>
        <w:rPr>
          <w:color w:val="auto"/>
          <w:highlight w:val="none"/>
        </w:rPr>
        <w:fldChar w:fldCharType="separate"/>
      </w:r>
      <w:r>
        <w:rPr>
          <w:rStyle w:val="26"/>
          <w:rFonts w:hint="eastAsia"/>
          <w:color w:val="auto"/>
          <w:sz w:val="24"/>
          <w:szCs w:val="24"/>
          <w:highlight w:val="none"/>
        </w:rPr>
        <w:t>第六章</w:t>
      </w:r>
      <w:r>
        <w:rPr>
          <w:rStyle w:val="26"/>
          <w:color w:val="auto"/>
          <w:sz w:val="24"/>
          <w:szCs w:val="24"/>
          <w:highlight w:val="none"/>
        </w:rPr>
        <w:t xml:space="preserve"> </w:t>
      </w:r>
      <w:r>
        <w:rPr>
          <w:rStyle w:val="26"/>
          <w:rFonts w:hint="eastAsia"/>
          <w:color w:val="auto"/>
          <w:sz w:val="24"/>
          <w:szCs w:val="24"/>
          <w:highlight w:val="none"/>
        </w:rPr>
        <w:t>投标文件格式</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62</w:t>
      </w:r>
    </w:p>
    <w:p>
      <w:pPr>
        <w:spacing w:line="360" w:lineRule="auto"/>
        <w:ind w:firstLine="420" w:firstLineChars="200"/>
        <w:rPr>
          <w:color w:val="auto"/>
          <w:highlight w:val="none"/>
        </w:rPr>
        <w:sectPr>
          <w:footerReference r:id="rId3" w:type="default"/>
          <w:pgSz w:w="12240" w:h="15840"/>
          <w:pgMar w:top="1440" w:right="1800" w:bottom="1440" w:left="1800" w:header="720" w:footer="720" w:gutter="0"/>
          <w:pgNumType w:start="1"/>
          <w:cols w:space="720" w:num="1"/>
          <w:docGrid w:linePitch="285" w:charSpace="0"/>
        </w:sectPr>
      </w:pPr>
      <w:r>
        <w:rPr>
          <w:rFonts w:ascii="Times New Roman" w:hAnsi="Times New Roman"/>
          <w:color w:val="auto"/>
          <w:highlight w:val="none"/>
        </w:rPr>
        <w:fldChar w:fldCharType="end"/>
      </w:r>
    </w:p>
    <w:p>
      <w:pPr>
        <w:rPr>
          <w:color w:val="auto"/>
          <w:highlight w:val="none"/>
        </w:rPr>
      </w:pPr>
      <w:bookmarkStart w:id="3" w:name="_Toc511557024"/>
      <w:bookmarkStart w:id="4" w:name="_Toc89870539"/>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ind w:left="181" w:leftChars="86"/>
        <w:rPr>
          <w:color w:val="auto"/>
          <w:highlight w:val="none"/>
        </w:rPr>
      </w:pPr>
    </w:p>
    <w:p>
      <w:pPr>
        <w:pStyle w:val="3"/>
        <w:keepNext w:val="0"/>
        <w:keepLines w:val="0"/>
        <w:spacing w:before="0" w:after="0" w:line="240" w:lineRule="auto"/>
        <w:jc w:val="center"/>
        <w:rPr>
          <w:color w:val="auto"/>
          <w:highlight w:val="none"/>
        </w:rPr>
      </w:pPr>
      <w:r>
        <w:rPr>
          <w:color w:val="auto"/>
          <w:highlight w:val="none"/>
        </w:rPr>
        <w:t>第</w:t>
      </w:r>
      <w:bookmarkEnd w:id="0"/>
      <w:bookmarkEnd w:id="1"/>
      <w:bookmarkEnd w:id="2"/>
      <w:bookmarkEnd w:id="3"/>
      <w:r>
        <w:rPr>
          <w:color w:val="auto"/>
          <w:highlight w:val="none"/>
        </w:rPr>
        <w:t>一卷</w:t>
      </w:r>
      <w:bookmarkEnd w:id="4"/>
    </w:p>
    <w:p>
      <w:pPr>
        <w:ind w:firstLine="420" w:firstLineChars="200"/>
        <w:rPr>
          <w:color w:val="auto"/>
          <w:highlight w:val="none"/>
        </w:rPr>
      </w:pPr>
      <w:bookmarkStart w:id="5" w:name="_Toc89870540"/>
      <w:r>
        <w:rPr>
          <w:rFonts w:hint="eastAsia"/>
          <w:color w:val="auto"/>
          <w:highlight w:val="none"/>
        </w:rPr>
        <w:br w:type="page"/>
      </w:r>
    </w:p>
    <w:p>
      <w:pPr>
        <w:pStyle w:val="3"/>
        <w:keepNext w:val="0"/>
        <w:keepLines w:val="0"/>
        <w:spacing w:before="0" w:after="360" w:afterLines="150" w:line="240" w:lineRule="auto"/>
        <w:jc w:val="center"/>
        <w:rPr>
          <w:color w:val="auto"/>
          <w:highlight w:val="none"/>
        </w:rPr>
      </w:pPr>
      <w:r>
        <w:rPr>
          <w:rFonts w:hint="eastAsia"/>
          <w:color w:val="auto"/>
          <w:highlight w:val="none"/>
        </w:rPr>
        <w:t xml:space="preserve">第一章 </w:t>
      </w:r>
      <w:r>
        <w:rPr>
          <w:color w:val="auto"/>
          <w:highlight w:val="none"/>
        </w:rPr>
        <w:t>招标公告</w:t>
      </w:r>
      <w:bookmarkEnd w:id="5"/>
    </w:p>
    <w:p>
      <w:pPr>
        <w:autoSpaceDE w:val="0"/>
        <w:autoSpaceDN w:val="0"/>
        <w:adjustRightInd w:val="0"/>
        <w:spacing w:line="360" w:lineRule="auto"/>
        <w:jc w:val="center"/>
        <w:rPr>
          <w:rFonts w:hint="eastAsia" w:ascii="宋体" w:hAnsi="宋体" w:eastAsia="宋体" w:cs="宋体"/>
          <w:b/>
          <w:color w:val="auto"/>
          <w:sz w:val="32"/>
          <w:szCs w:val="32"/>
          <w:highlight w:val="none"/>
          <w:lang w:eastAsia="zh-CN"/>
        </w:rPr>
      </w:pPr>
      <w:bookmarkStart w:id="6" w:name="_Toc2170"/>
      <w:bookmarkStart w:id="7" w:name="_Toc610"/>
      <w:bookmarkStart w:id="8" w:name="_Toc13962"/>
      <w:bookmarkStart w:id="9" w:name="_Toc7437"/>
      <w:bookmarkStart w:id="10" w:name="_Toc1036"/>
      <w:bookmarkStart w:id="11" w:name="_Toc16720"/>
      <w:bookmarkStart w:id="12" w:name="_Toc514170118"/>
      <w:bookmarkStart w:id="13" w:name="_Toc89870548"/>
      <w:r>
        <w:rPr>
          <w:rFonts w:hint="eastAsia" w:ascii="宋体" w:hAnsi="宋体" w:cs="宋体"/>
          <w:b/>
          <w:color w:val="auto"/>
          <w:sz w:val="32"/>
          <w:szCs w:val="32"/>
          <w:highlight w:val="none"/>
          <w:lang w:eastAsia="zh-CN"/>
        </w:rPr>
        <w:t>增城区开发区下沉式再生水厂及配套管网工程监理</w:t>
      </w:r>
    </w:p>
    <w:p>
      <w:pPr>
        <w:autoSpaceDE w:val="0"/>
        <w:autoSpaceDN w:val="0"/>
        <w:adjustRightIn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招标公告</w:t>
      </w:r>
    </w:p>
    <w:bookmarkEnd w:id="6"/>
    <w:bookmarkEnd w:id="7"/>
    <w:bookmarkEnd w:id="8"/>
    <w:bookmarkEnd w:id="9"/>
    <w:bookmarkEnd w:id="10"/>
    <w:bookmarkEnd w:id="11"/>
    <w:bookmarkEnd w:id="12"/>
    <w:p>
      <w:pPr>
        <w:spacing w:line="360" w:lineRule="auto"/>
        <w:ind w:firstLine="482" w:firstLineChars="200"/>
        <w:outlineLvl w:val="1"/>
        <w:rPr>
          <w:rFonts w:hint="eastAsia" w:ascii="宋体" w:hAnsi="宋体" w:eastAsia="宋体" w:cs="宋体"/>
          <w:b/>
          <w:color w:val="auto"/>
          <w:sz w:val="24"/>
          <w:szCs w:val="24"/>
          <w:highlight w:val="none"/>
        </w:rPr>
      </w:pPr>
      <w:bookmarkStart w:id="14" w:name="_Toc47621265"/>
      <w:bookmarkStart w:id="15" w:name="_Toc7705"/>
      <w:bookmarkStart w:id="16" w:name="_Toc47694115"/>
      <w:bookmarkStart w:id="17" w:name="_Toc515033010"/>
      <w:bookmarkStart w:id="18" w:name="_Toc89870541"/>
      <w:bookmarkStart w:id="19" w:name="_Toc511557025"/>
      <w:r>
        <w:rPr>
          <w:rFonts w:hint="eastAsia" w:ascii="宋体" w:hAnsi="宋体" w:eastAsia="宋体" w:cs="宋体"/>
          <w:b/>
          <w:color w:val="auto"/>
          <w:sz w:val="24"/>
          <w:szCs w:val="24"/>
          <w:highlight w:val="none"/>
        </w:rPr>
        <w:t>1. 招标条件</w:t>
      </w:r>
      <w:bookmarkEnd w:id="14"/>
      <w:bookmarkEnd w:id="15"/>
      <w:bookmarkEnd w:id="16"/>
      <w:bookmarkEnd w:id="17"/>
      <w:bookmarkEnd w:id="18"/>
      <w:bookmarkEnd w:id="19"/>
    </w:p>
    <w:p>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本招标项目</w:t>
      </w:r>
      <w:r>
        <w:rPr>
          <w:rFonts w:hint="eastAsia" w:ascii="宋体" w:hAnsi="宋体" w:eastAsia="宋体" w:cs="宋体"/>
          <w:color w:val="auto"/>
          <w:kern w:val="2"/>
          <w:sz w:val="24"/>
          <w:szCs w:val="24"/>
          <w:highlight w:val="none"/>
          <w:u w:val="single"/>
          <w:lang w:val="en-US" w:eastAsia="zh-CN"/>
        </w:rPr>
        <w:t>增</w:t>
      </w:r>
      <w:r>
        <w:rPr>
          <w:rFonts w:hint="eastAsia" w:ascii="宋体" w:hAnsi="宋体" w:eastAsia="宋体" w:cs="宋体"/>
          <w:color w:val="auto"/>
          <w:kern w:val="2"/>
          <w:sz w:val="24"/>
          <w:szCs w:val="24"/>
          <w:highlight w:val="none"/>
          <w:u w:val="single"/>
          <w:lang w:val="en-US" w:eastAsia="zh-CN" w:bidi="ar-SA"/>
        </w:rPr>
        <w:t>城区开发区下沉式再生水厂及配套管网工程监理项目</w:t>
      </w:r>
      <w:r>
        <w:rPr>
          <w:rFonts w:hint="eastAsia" w:ascii="宋体" w:hAnsi="宋体" w:eastAsia="宋体" w:cs="宋体"/>
          <w:color w:val="auto"/>
          <w:kern w:val="2"/>
          <w:sz w:val="24"/>
          <w:szCs w:val="24"/>
          <w:highlight w:val="none"/>
        </w:rPr>
        <w:t>已由</w:t>
      </w:r>
      <w:r>
        <w:rPr>
          <w:rFonts w:hint="eastAsia" w:ascii="宋体" w:hAnsi="宋体" w:eastAsia="宋体" w:cs="宋体"/>
          <w:color w:val="auto"/>
          <w:kern w:val="2"/>
          <w:sz w:val="24"/>
          <w:szCs w:val="24"/>
          <w:highlight w:val="none"/>
          <w:u w:val="single"/>
          <w:lang w:val="en-US" w:eastAsia="zh-CN"/>
        </w:rPr>
        <w:t>广州市增城区发展和改革局备案证明</w:t>
      </w:r>
      <w:r>
        <w:rPr>
          <w:rFonts w:hint="eastAsia" w:ascii="宋体" w:hAnsi="宋体" w:eastAsia="宋体" w:cs="宋体"/>
          <w:color w:val="auto"/>
          <w:kern w:val="2"/>
          <w:sz w:val="24"/>
          <w:szCs w:val="24"/>
          <w:highlight w:val="none"/>
        </w:rPr>
        <w:t>，建设资金为建设资金</w:t>
      </w:r>
      <w:r>
        <w:rPr>
          <w:rFonts w:hint="eastAsia" w:ascii="宋体" w:hAnsi="宋体" w:eastAsia="宋体" w:cs="宋体"/>
          <w:color w:val="auto"/>
          <w:kern w:val="2"/>
          <w:sz w:val="24"/>
          <w:szCs w:val="24"/>
          <w:highlight w:val="none"/>
          <w:lang w:val="en-US" w:eastAsia="zh-CN"/>
        </w:rPr>
        <w:t>来源</w:t>
      </w:r>
      <w:r>
        <w:rPr>
          <w:rFonts w:hint="eastAsia" w:ascii="宋体" w:hAnsi="宋体" w:eastAsia="宋体" w:cs="宋体"/>
          <w:color w:val="auto"/>
          <w:kern w:val="2"/>
          <w:sz w:val="24"/>
          <w:szCs w:val="24"/>
          <w:highlight w:val="none"/>
        </w:rPr>
        <w:t>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rPr>
        <w:t>自筹资金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，招标人为</w:t>
      </w:r>
      <w:r>
        <w:rPr>
          <w:rFonts w:hint="eastAsia" w:ascii="宋体" w:hAnsi="宋体" w:eastAsia="宋体" w:cs="宋体"/>
          <w:color w:val="auto"/>
          <w:kern w:val="2"/>
          <w:sz w:val="24"/>
          <w:szCs w:val="24"/>
          <w:highlight w:val="none"/>
          <w:u w:val="single"/>
          <w:lang w:val="en-US" w:eastAsia="zh-CN" w:bidi="ar-SA"/>
        </w:rPr>
        <w:t>广州市增城排水有限公司</w:t>
      </w:r>
      <w:r>
        <w:rPr>
          <w:rFonts w:hint="eastAsia" w:ascii="宋体" w:hAnsi="宋体" w:eastAsia="宋体" w:cs="宋体"/>
          <w:color w:val="auto"/>
          <w:kern w:val="2"/>
          <w:sz w:val="24"/>
          <w:szCs w:val="24"/>
          <w:highlight w:val="none"/>
        </w:rPr>
        <w:t>，项目已具备招标条件，现对该项目的</w:t>
      </w:r>
      <w:r>
        <w:rPr>
          <w:rFonts w:hint="eastAsia" w:ascii="宋体" w:hAnsi="宋体" w:eastAsia="宋体" w:cs="宋体"/>
          <w:color w:val="auto"/>
          <w:kern w:val="2"/>
          <w:sz w:val="24"/>
          <w:szCs w:val="24"/>
          <w:highlight w:val="none"/>
          <w:lang w:val="en-US" w:eastAsia="zh-CN"/>
        </w:rPr>
        <w:t>监理</w:t>
      </w:r>
      <w:r>
        <w:rPr>
          <w:rFonts w:hint="eastAsia" w:ascii="宋体" w:hAnsi="宋体" w:eastAsia="宋体" w:cs="宋体"/>
          <w:color w:val="auto"/>
          <w:kern w:val="2"/>
          <w:sz w:val="24"/>
          <w:szCs w:val="24"/>
          <w:highlight w:val="none"/>
        </w:rPr>
        <w:t>进行公开招标。</w:t>
      </w:r>
    </w:p>
    <w:p>
      <w:pPr>
        <w:spacing w:line="360" w:lineRule="auto"/>
        <w:ind w:firstLine="482" w:firstLineChars="200"/>
        <w:outlineLvl w:val="1"/>
        <w:rPr>
          <w:rFonts w:hint="eastAsia" w:ascii="宋体" w:hAnsi="宋体" w:eastAsia="宋体" w:cs="宋体"/>
          <w:b/>
          <w:color w:val="auto"/>
          <w:sz w:val="24"/>
          <w:szCs w:val="24"/>
          <w:highlight w:val="none"/>
        </w:rPr>
      </w:pPr>
      <w:bookmarkStart w:id="20" w:name="_Toc89870542"/>
      <w:bookmarkStart w:id="21" w:name="_Toc7708"/>
      <w:bookmarkStart w:id="22" w:name="_Toc515033011"/>
      <w:bookmarkStart w:id="23" w:name="_Toc47694116"/>
      <w:bookmarkStart w:id="24" w:name="_Toc47621266"/>
      <w:bookmarkStart w:id="25" w:name="_Toc511557026"/>
      <w:r>
        <w:rPr>
          <w:rFonts w:hint="eastAsia" w:ascii="宋体" w:hAnsi="宋体" w:eastAsia="宋体" w:cs="宋体"/>
          <w:b/>
          <w:color w:val="auto"/>
          <w:sz w:val="24"/>
          <w:szCs w:val="24"/>
          <w:highlight w:val="none"/>
        </w:rPr>
        <w:t>2. 项目概况与招标范围</w:t>
      </w:r>
      <w:bookmarkEnd w:id="20"/>
      <w:bookmarkEnd w:id="21"/>
      <w:bookmarkEnd w:id="22"/>
      <w:bookmarkEnd w:id="23"/>
      <w:bookmarkEnd w:id="24"/>
      <w:bookmarkEnd w:id="2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2.1招标项目概况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2.1.1项目名称：</w:t>
      </w:r>
      <w:r>
        <w:rPr>
          <w:rFonts w:hint="eastAsia" w:ascii="宋体" w:hAnsi="宋体" w:eastAsia="宋体" w:cs="宋体"/>
          <w:color w:val="auto"/>
          <w:sz w:val="24"/>
          <w:szCs w:val="24"/>
          <w:highlight w:val="none"/>
          <w:u w:val="single"/>
          <w:lang w:eastAsia="zh-CN"/>
        </w:rPr>
        <w:t>增城区开发区下沉式再生水厂及配套管网工程监理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2.1.2建设地点：</w:t>
      </w:r>
      <w:r>
        <w:rPr>
          <w:rFonts w:hint="eastAsia" w:ascii="宋体" w:hAnsi="宋体" w:eastAsia="宋体" w:cs="宋体"/>
          <w:color w:val="auto"/>
          <w:sz w:val="24"/>
          <w:szCs w:val="24"/>
          <w:highlight w:val="none"/>
          <w:u w:val="single"/>
          <w:lang w:eastAsia="zh-CN" w:bidi="ar"/>
        </w:rPr>
        <w:t>增城区永宁街长岗村</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2.1.3项目规模：</w:t>
      </w:r>
      <w:r>
        <w:rPr>
          <w:rFonts w:hint="eastAsia" w:ascii="宋体" w:hAnsi="宋体" w:eastAsia="宋体" w:cs="宋体"/>
          <w:color w:val="auto"/>
          <w:sz w:val="24"/>
          <w:szCs w:val="24"/>
          <w:highlight w:val="none"/>
          <w:u w:val="single"/>
        </w:rPr>
        <w:t>本工程在永宁街长岗村创誉路与永和河交界的西南角，厂区建设征用地约100亩，新建开发区下沉式污水处理厂，采用全地下布置形式，近期总建设规模15万m³/d,生活污水厂设计规模10万m³/d（土建一次性完成，设备安装7.5万m³/d），工业废水厂5万m³/d；新建配套管网约18.2公里，包含d1350~d1500生活污水管约8.4公里，d800~d1500工业废水管约5.8公里，生活污水厂DN1500尾水排放管约50米，工业废水厂DN800尾水排放管约3.9公里。本工程服务范围为永宁街道，宁西街道和增城区技术开发区，服务面积104.14平方公里</w:t>
      </w:r>
      <w:r>
        <w:rPr>
          <w:rFonts w:hint="eastAsia" w:ascii="宋体" w:hAnsi="宋体" w:eastAsia="宋体" w:cs="宋体"/>
          <w:color w:val="auto"/>
          <w:sz w:val="24"/>
          <w:szCs w:val="24"/>
          <w:highlight w:val="none"/>
          <w:u w:val="single"/>
          <w:lang w:eastAsia="zh-CN"/>
        </w:rPr>
        <w:t>。</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2.1.4</w:t>
      </w:r>
      <w:r>
        <w:rPr>
          <w:rFonts w:hint="eastAsia" w:ascii="宋体" w:hAnsi="宋体" w:eastAsia="宋体" w:cs="宋体"/>
          <w:color w:val="auto"/>
          <w:sz w:val="24"/>
          <w:szCs w:val="24"/>
          <w:highlight w:val="none"/>
          <w:u w:val="single"/>
        </w:rPr>
        <w:t>项目总投资估算约201372.83万元，建安费约156516.31万元。</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2.2招标范围</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2.2.1标段划分：本项目设</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个标段。</w:t>
      </w:r>
      <w:bookmarkStart w:id="26" w:name="OLE_LINK17"/>
      <w:bookmarkStart w:id="27" w:name="OLE_LINK16"/>
    </w:p>
    <w:p>
      <w:pPr>
        <w:pStyle w:val="2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2.2.2监理范围：</w:t>
      </w:r>
      <w:bookmarkEnd w:id="26"/>
      <w:bookmarkEnd w:id="27"/>
    </w:p>
    <w:p>
      <w:pPr>
        <w:pStyle w:val="2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（1）工程范围： 包括但不限于增城区开发区下沉式再生水厂及配套管网工程范围内的永久工程、临时工程等（具体以区域内有效的施工图纸、设计变更以及施工合同所确定的内容为准）以及服务类（勘察、设计、检测、监测）等。</w:t>
      </w:r>
    </w:p>
    <w:p>
      <w:pPr>
        <w:pStyle w:val="2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服务范围：《建设工程监理规范》（GB/T50319—2013）规定的隶属于本工程的施工的准备阶段、施工阶段、工程收尾阶段（包括但不限于竣工验收、整改、工程移交及实物移交、工程结算等）及工程质量保修阶段的质量控制、安全生产监督管理、投资控制、进度控制、文明施工管理、合同管理、信息管理、环保管理、组织协调等施工监理工作，以及委托人委托的材料及实体检测、施工监测等服务监理，直至办理竣工验收手续和工程结算、质量保修期满等全过程监理服务和工程相关协调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2.2.3监理服务期限</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施工准备阶段：</w:t>
      </w:r>
      <w:r>
        <w:rPr>
          <w:rFonts w:hint="eastAsia" w:ascii="宋体" w:hAnsi="宋体" w:eastAsia="宋体" w:cs="宋体"/>
          <w:color w:val="auto"/>
          <w:sz w:val="24"/>
          <w:szCs w:val="24"/>
          <w:highlight w:val="none"/>
          <w:u w:val="single"/>
        </w:rPr>
        <w:t>从签订监理合同之日起参与施工准备阶段配合</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完成各项报建手续。</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施工阶段监理服务期：</w:t>
      </w:r>
      <w:r>
        <w:rPr>
          <w:rFonts w:hint="eastAsia" w:ascii="宋体" w:hAnsi="宋体" w:eastAsia="宋体" w:cs="宋体"/>
          <w:color w:val="auto"/>
          <w:sz w:val="24"/>
          <w:szCs w:val="24"/>
          <w:highlight w:val="none"/>
          <w:u w:val="single"/>
        </w:rPr>
        <w:t>从</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下达开工令或开工报告审批之日起至施工项目全部完工并办理竣工验收、备案管理等为止</w:t>
      </w:r>
      <w:r>
        <w:rPr>
          <w:rFonts w:hint="eastAsia" w:ascii="宋体" w:hAnsi="宋体" w:eastAsia="宋体" w:cs="宋体"/>
          <w:color w:val="auto"/>
          <w:sz w:val="24"/>
          <w:szCs w:val="24"/>
          <w:highlight w:val="none"/>
          <w:u w:val="singl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工程收尾阶段：</w:t>
      </w:r>
      <w:r>
        <w:rPr>
          <w:rFonts w:hint="eastAsia" w:ascii="宋体" w:hAnsi="宋体" w:eastAsia="宋体" w:cs="宋体"/>
          <w:color w:val="auto"/>
          <w:sz w:val="24"/>
          <w:szCs w:val="24"/>
          <w:highlight w:val="none"/>
          <w:u w:val="single"/>
        </w:rPr>
        <w:t>从工程竣工验收合格至</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（或其委托的第三方）审定结算为止。</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保修阶段监理服务期：</w:t>
      </w:r>
      <w:r>
        <w:rPr>
          <w:rFonts w:hint="eastAsia" w:ascii="宋体" w:hAnsi="宋体" w:eastAsia="宋体" w:cs="宋体"/>
          <w:color w:val="auto"/>
          <w:sz w:val="24"/>
          <w:szCs w:val="24"/>
          <w:highlight w:val="none"/>
          <w:u w:val="single"/>
        </w:rPr>
        <w:t>从工程竣工验收合格、备案管理完成之日起至完成保修期服务为止。</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color w:val="auto"/>
          <w:sz w:val="24"/>
          <w:szCs w:val="24"/>
          <w:highlight w:val="none"/>
          <w:u w:val="none"/>
          <w:lang w:val="en-US" w:eastAsia="zh-CN"/>
        </w:rPr>
        <w:t xml:space="preserve">    监理服务周期必须满足实际施工要求。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2.2.4监理服务最高投标限价：20132397.88元。  </w:t>
      </w:r>
    </w:p>
    <w:p>
      <w:pPr>
        <w:numPr>
          <w:ilvl w:val="0"/>
          <w:numId w:val="1"/>
        </w:numPr>
        <w:spacing w:line="360" w:lineRule="auto"/>
        <w:ind w:firstLine="482" w:firstLineChars="200"/>
        <w:outlineLvl w:val="1"/>
        <w:rPr>
          <w:rFonts w:hint="eastAsia" w:ascii="宋体" w:hAnsi="宋体" w:eastAsia="宋体" w:cs="宋体"/>
          <w:b/>
          <w:color w:val="auto"/>
          <w:sz w:val="24"/>
          <w:szCs w:val="24"/>
          <w:highlight w:val="none"/>
        </w:rPr>
      </w:pPr>
      <w:bookmarkStart w:id="28" w:name="_Toc511557027"/>
      <w:bookmarkStart w:id="29" w:name="_Toc515033012"/>
      <w:bookmarkStart w:id="30" w:name="_Toc89870543"/>
      <w:bookmarkStart w:id="31" w:name="_Toc6736"/>
      <w:bookmarkStart w:id="32" w:name="_Toc47621267"/>
      <w:bookmarkStart w:id="33" w:name="_Toc47694117"/>
      <w:r>
        <w:rPr>
          <w:rFonts w:hint="eastAsia" w:ascii="宋体" w:hAnsi="宋体" w:eastAsia="宋体" w:cs="宋体"/>
          <w:b/>
          <w:color w:val="auto"/>
          <w:sz w:val="24"/>
          <w:szCs w:val="24"/>
          <w:highlight w:val="none"/>
        </w:rPr>
        <w:t>投标人资格要求</w:t>
      </w:r>
      <w:bookmarkEnd w:id="28"/>
      <w:bookmarkEnd w:id="29"/>
      <w:bookmarkEnd w:id="30"/>
      <w:bookmarkEnd w:id="31"/>
      <w:bookmarkEnd w:id="32"/>
      <w:bookmarkEnd w:id="33"/>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3.1投标人参加投标的意思表达清楚，投标人代表被授权有效。 </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3.2投标人均具有独立法人资格，持有工商行政管理部门核发的法人营业执照，按国家法律经营。</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3.3投标人须具备建设行政主管部门颁发的工程监理综合资质或市政公用工程监理</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级资质。</w:t>
      </w:r>
    </w:p>
    <w:p>
      <w:pPr>
        <w:pStyle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"http://zfcxjst.gd.gov.cn/xxgk/wjtz/content/post_3137220.html），"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http://zfcxjst.gd.gov.cn/xxgk/wjtz/content/post_3137220.html），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tabs>
          <w:tab w:val="left" w:pos="7513"/>
        </w:tabs>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拟派总监理工程师须具有建设部2006年4月1日后颁发的中华人民共和国注册监理工程师注册执业证书，且注册专业为市政公用工程并具备本科或以上学历，注册执业单位为投标人。或在广东省住房和城乡建设主管部门备案且备案的业务范围符合本招标项目对总监理工程师要求的香港专业人士。</w:t>
      </w:r>
    </w:p>
    <w:p>
      <w:pPr>
        <w:tabs>
          <w:tab w:val="left" w:pos="7513"/>
        </w:tabs>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29"/>
        <w:spacing w:before="0" w:after="0" w:line="49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3.5投标登记前，投标人已在广州公共资源交易中心办理企业信息登记及拟担任本工程总监理工程师须是本单位在企业库中的在册人员。</w:t>
      </w:r>
    </w:p>
    <w:p>
      <w:pPr>
        <w:pStyle w:val="29"/>
        <w:spacing w:before="0" w:after="0" w:line="49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3.6投标人已按规定格式签名盖章《投标人声明》（格式详见招标公告附件一）。</w:t>
      </w:r>
    </w:p>
    <w:p>
      <w:pPr>
        <w:tabs>
          <w:tab w:val="left" w:pos="7513"/>
        </w:tabs>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人应未被纳入国家、市、区的失信联合惩戒名单且被限制参加建设工程投标（具体名单以递交投标文件截止时间“信用广州”https://credit1.gz.gov.cn/sgs/sgsXkNew公布的“失信黑名单”为准。不包含限制参加财政投资工程或政府投资工程的投标）。</w:t>
      </w:r>
    </w:p>
    <w:p>
      <w:pPr>
        <w:tabs>
          <w:tab w:val="left" w:pos="7513"/>
        </w:tabs>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3.8本项目</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rPr>
        <w:t>联合体投标。</w:t>
      </w:r>
    </w:p>
    <w:p>
      <w:pPr>
        <w:wordWrap w:val="0"/>
        <w:topLinePunct/>
        <w:adjustRightInd w:val="0"/>
        <w:snapToGrid w:val="0"/>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注：未在招标公告第三条单列的投标人资格要求条件，不作为资审不合格的依据。</w:t>
      </w:r>
    </w:p>
    <w:p>
      <w:pPr>
        <w:numPr>
          <w:ilvl w:val="0"/>
          <w:numId w:val="2"/>
        </w:numPr>
        <w:spacing w:line="490" w:lineRule="exact"/>
        <w:ind w:firstLine="482" w:firstLineChars="200"/>
        <w:outlineLvl w:val="1"/>
        <w:rPr>
          <w:rFonts w:hint="eastAsia" w:ascii="宋体" w:hAnsi="宋体" w:eastAsia="宋体" w:cs="宋体"/>
          <w:b/>
          <w:color w:val="auto"/>
          <w:sz w:val="24"/>
          <w:szCs w:val="24"/>
          <w:highlight w:val="none"/>
        </w:rPr>
      </w:pPr>
      <w:bookmarkStart w:id="34" w:name="_Toc24551"/>
      <w:bookmarkStart w:id="35" w:name="_Toc89870544"/>
      <w:bookmarkStart w:id="36" w:name="_Toc47694118"/>
      <w:bookmarkStart w:id="37" w:name="_Toc47621268"/>
      <w:bookmarkStart w:id="38" w:name="_Toc511557029"/>
      <w:bookmarkStart w:id="39" w:name="_Toc515033014"/>
      <w:r>
        <w:rPr>
          <w:rFonts w:hint="eastAsia" w:ascii="宋体" w:hAnsi="宋体" w:eastAsia="宋体" w:cs="宋体"/>
          <w:b/>
          <w:color w:val="auto"/>
          <w:sz w:val="24"/>
          <w:szCs w:val="24"/>
          <w:highlight w:val="none"/>
        </w:rPr>
        <w:t>招标文件的获取</w:t>
      </w:r>
      <w:bookmarkEnd w:id="34"/>
      <w:bookmarkEnd w:id="35"/>
      <w:bookmarkEnd w:id="36"/>
      <w:bookmarkEnd w:id="37"/>
    </w:p>
    <w:p>
      <w:pPr>
        <w:spacing w:line="490" w:lineRule="exact"/>
        <w:ind w:firstLine="480" w:firstLineChars="200"/>
        <w:rPr>
          <w:rFonts w:hint="eastAsia" w:ascii="宋体" w:hAnsi="宋体" w:eastAsia="宋体" w:cs="宋体"/>
          <w:color w:val="auto"/>
          <w:sz w:val="24"/>
          <w:szCs w:val="24"/>
          <w:highlight w:val="none"/>
        </w:rPr>
      </w:pPr>
      <w:bookmarkStart w:id="40" w:name="_Toc47694119"/>
      <w:bookmarkStart w:id="41" w:name="_Toc5049"/>
      <w:bookmarkStart w:id="42" w:name="_Toc47621269"/>
      <w:r>
        <w:rPr>
          <w:rFonts w:hint="eastAsia" w:ascii="宋体" w:hAnsi="宋体" w:eastAsia="宋体" w:cs="宋体"/>
          <w:color w:val="auto"/>
          <w:sz w:val="24"/>
          <w:szCs w:val="24"/>
          <w:highlight w:val="none"/>
        </w:rPr>
        <w:t>4.1（B）凡有意参加投标者，请于</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(北京时间，下同)，登录</w:t>
      </w:r>
      <w:r>
        <w:rPr>
          <w:rFonts w:hint="eastAsia" w:ascii="宋体" w:hAnsi="宋体" w:eastAsia="宋体" w:cs="宋体"/>
          <w:color w:val="auto"/>
          <w:sz w:val="24"/>
          <w:szCs w:val="24"/>
          <w:highlight w:val="none"/>
          <w:u w:val="single"/>
        </w:rPr>
        <w:t>广州公共资源交易中心网</w:t>
      </w:r>
      <w:r>
        <w:rPr>
          <w:rFonts w:hint="eastAsia" w:ascii="宋体" w:hAnsi="宋体" w:eastAsia="宋体" w:cs="宋体"/>
          <w:color w:val="auto"/>
          <w:sz w:val="24"/>
          <w:szCs w:val="24"/>
          <w:highlight w:val="none"/>
        </w:rPr>
        <w:t>（http//www.gzggzy.cn）下载电子招标文件。</w:t>
      </w:r>
    </w:p>
    <w:p>
      <w:pPr>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本项目设立投标登记环节，采取</w:t>
      </w:r>
      <w:r>
        <w:rPr>
          <w:rFonts w:hint="eastAsia" w:ascii="宋体" w:hAnsi="宋体" w:eastAsia="宋体" w:cs="宋体"/>
          <w:color w:val="auto"/>
          <w:sz w:val="24"/>
          <w:szCs w:val="24"/>
          <w:highlight w:val="none"/>
          <w:u w:val="single"/>
        </w:rPr>
        <w:t>网上登记</w:t>
      </w:r>
      <w:r>
        <w:rPr>
          <w:rFonts w:hint="eastAsia" w:ascii="宋体" w:hAnsi="宋体" w:eastAsia="宋体" w:cs="宋体"/>
          <w:color w:val="auto"/>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的情况。上述情况有可能导致投标信息无法录入广州公共资源交易中心信息系统。如出现上述情况，投标人有可能失去投标机会，因其可能所引起的一切后果由投标人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4.2.1投标登记时间：</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本项目采用资格后审方式。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注：电子招投标操作流程详见广州公共资源交易中心网站发布的最新版操作指引。</w:t>
      </w:r>
    </w:p>
    <w:p>
      <w:pPr>
        <w:spacing w:line="360" w:lineRule="auto"/>
        <w:ind w:firstLine="482" w:firstLineChars="200"/>
        <w:outlineLvl w:val="1"/>
        <w:rPr>
          <w:rFonts w:hint="eastAsia" w:ascii="宋体" w:hAnsi="宋体" w:eastAsia="宋体" w:cs="宋体"/>
          <w:b/>
          <w:color w:val="auto"/>
          <w:sz w:val="24"/>
          <w:szCs w:val="24"/>
          <w:highlight w:val="none"/>
        </w:rPr>
      </w:pPr>
      <w:bookmarkStart w:id="43" w:name="_Toc89870545"/>
      <w:r>
        <w:rPr>
          <w:rFonts w:hint="eastAsia" w:ascii="宋体" w:hAnsi="宋体" w:eastAsia="宋体" w:cs="宋体"/>
          <w:b/>
          <w:color w:val="auto"/>
          <w:sz w:val="24"/>
          <w:szCs w:val="24"/>
          <w:highlight w:val="none"/>
        </w:rPr>
        <w:t>5. 投标文件的递交</w:t>
      </w:r>
      <w:bookmarkEnd w:id="40"/>
      <w:bookmarkEnd w:id="41"/>
      <w:bookmarkEnd w:id="42"/>
      <w:bookmarkEnd w:id="43"/>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5.1发布</w:t>
      </w:r>
      <w:r>
        <w:rPr>
          <w:rFonts w:hint="eastAsia" w:ascii="宋体" w:hAnsi="宋体" w:eastAsia="宋体" w:cs="宋体"/>
          <w:color w:val="auto"/>
          <w:sz w:val="24"/>
          <w:szCs w:val="24"/>
          <w:highlight w:val="none"/>
        </w:rPr>
        <w:t>招标公告时间（含本日）：</w:t>
      </w:r>
      <w:r>
        <w:rPr>
          <w:rFonts w:hint="eastAsia" w:ascii="宋体" w:hAnsi="宋体" w:eastAsia="宋体" w:cs="宋体"/>
          <w:color w:val="auto"/>
          <w:sz w:val="24"/>
          <w:szCs w:val="24"/>
          <w:highlight w:val="none"/>
          <w:u w:val="single"/>
        </w:rPr>
        <w:t xml:space="preserve">   年  月  日  时  分至   年 月  日 时  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5.2递</w:t>
      </w:r>
      <w:r>
        <w:rPr>
          <w:rFonts w:hint="eastAsia" w:ascii="宋体" w:hAnsi="宋体" w:eastAsia="宋体" w:cs="宋体"/>
          <w:color w:val="auto"/>
          <w:sz w:val="24"/>
          <w:szCs w:val="24"/>
          <w:highlight w:val="none"/>
        </w:rPr>
        <w:t>交投标文件时间：</w:t>
      </w:r>
      <w:r>
        <w:rPr>
          <w:rFonts w:hint="eastAsia" w:ascii="宋体" w:hAnsi="宋体" w:eastAsia="宋体" w:cs="宋体"/>
          <w:color w:val="auto"/>
          <w:sz w:val="24"/>
          <w:szCs w:val="24"/>
          <w:highlight w:val="none"/>
          <w:u w:val="single"/>
        </w:rPr>
        <w:t xml:space="preserve">   年  月  日  时  分至   年  月  日  时  分</w:t>
      </w: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广州公共资源交易中心网站（网址：http://www.gzggzy.cn/）</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广州公共资源交易中心网站</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广州公共资源交易中心网站首页-服务指南。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5.3投标文件备用光盘递交时间：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时</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分至</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时</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分；地点为广州公共资源交易中心增城交易部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szCs w:val="24"/>
          <w:highlight w:val="none"/>
          <w:lang w:bidi="ar"/>
        </w:rPr>
        <w:t>（增城区增城大道2号金河湾3栋108）。（电子光盘需按规定封装。投标人将数据刻录到光盘之后，应在投标前自行检查文件是否可以读取。）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5.4</w:t>
      </w:r>
      <w:r>
        <w:rPr>
          <w:rFonts w:hint="eastAsia" w:ascii="宋体" w:hAnsi="宋体" w:eastAsia="宋体" w:cs="宋体"/>
          <w:color w:val="auto"/>
          <w:sz w:val="24"/>
          <w:szCs w:val="24"/>
          <w:highlight w:val="none"/>
        </w:rPr>
        <w:t>逾期送达的投标文件，电子招标投标交易平台将予以拒收。逾期未上传成功的电子投标文件，招标人拒绝接收。逾期或未在指定地点递交投标文件光盘的,招标人拒绝接收其投标文件光盘。</w:t>
      </w:r>
    </w:p>
    <w:p>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开标时间：</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。地点：广州公共资源交易中心增城交易部第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p>
    <w:p>
      <w:pPr>
        <w:spacing w:line="360" w:lineRule="auto"/>
        <w:ind w:firstLine="482" w:firstLineChars="200"/>
        <w:outlineLvl w:val="1"/>
        <w:rPr>
          <w:rFonts w:hint="eastAsia" w:ascii="宋体" w:hAnsi="宋体" w:eastAsia="宋体" w:cs="宋体"/>
          <w:b/>
          <w:color w:val="auto"/>
          <w:sz w:val="24"/>
          <w:szCs w:val="24"/>
          <w:highlight w:val="none"/>
        </w:rPr>
      </w:pPr>
      <w:bookmarkStart w:id="44" w:name="_Toc89870546"/>
      <w:bookmarkStart w:id="45" w:name="_Toc47621270"/>
      <w:bookmarkStart w:id="46" w:name="_Toc47694120"/>
      <w:bookmarkStart w:id="47" w:name="_Toc4336"/>
      <w:r>
        <w:rPr>
          <w:rFonts w:hint="eastAsia" w:ascii="宋体" w:hAnsi="宋体" w:eastAsia="宋体" w:cs="宋体"/>
          <w:b/>
          <w:color w:val="auto"/>
          <w:sz w:val="24"/>
          <w:szCs w:val="24"/>
          <w:highlight w:val="none"/>
        </w:rPr>
        <w:t>6. 发布公告的媒介</w:t>
      </w:r>
      <w:bookmarkEnd w:id="44"/>
      <w:bookmarkEnd w:id="45"/>
      <w:bookmarkEnd w:id="46"/>
      <w:bookmarkEnd w:id="47"/>
    </w:p>
    <w:bookmarkEnd w:id="38"/>
    <w:bookmarkEnd w:id="39"/>
    <w:p>
      <w:pPr>
        <w:spacing w:line="360" w:lineRule="auto"/>
        <w:ind w:firstLine="480" w:firstLineChars="200"/>
        <w:rPr>
          <w:rFonts w:hint="eastAsia" w:ascii="宋体" w:hAnsi="宋体" w:eastAsia="宋体" w:cs="宋体"/>
          <w:color w:val="auto"/>
          <w:sz w:val="24"/>
          <w:szCs w:val="24"/>
          <w:highlight w:val="none"/>
        </w:rPr>
      </w:pPr>
      <w:bookmarkStart w:id="48" w:name="_Toc47621271"/>
      <w:bookmarkStart w:id="49" w:name="_Toc7161"/>
      <w:bookmarkStart w:id="50" w:name="_Toc511557031"/>
      <w:bookmarkStart w:id="51" w:name="_Toc47694121"/>
      <w:bookmarkStart w:id="52" w:name="_Toc515033016"/>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公共资源交易中心（网址：http://www.gzggzy.cn/）、广东省招标投标监管网（网址：http://zbtb.gd.gov.cn/）、中国招标投标公共服务平台（网址：http://www.cebpubservice.com/）和广州市增城区人民政府门户网站（网址：http://www.zc.gov.cn/ “首页&gt;公开&gt;公共资源配置领域&gt;工程建设项目招投标”）</w:t>
      </w:r>
      <w:r>
        <w:rPr>
          <w:rFonts w:hint="eastAsia" w:ascii="宋体" w:hAnsi="宋体" w:eastAsia="宋体" w:cs="宋体"/>
          <w:color w:val="auto"/>
          <w:sz w:val="24"/>
          <w:szCs w:val="24"/>
          <w:highlight w:val="none"/>
        </w:rPr>
        <w:t>栏目发布，本公告的修改、补充，在广州公共资源交易中心网站上发布。</w:t>
      </w:r>
    </w:p>
    <w:p>
      <w:pPr>
        <w:spacing w:line="360" w:lineRule="auto"/>
        <w:ind w:firstLine="482" w:firstLineChars="200"/>
        <w:rPr>
          <w:rFonts w:hint="eastAsia" w:ascii="宋体" w:hAnsi="宋体" w:eastAsia="宋体" w:cs="宋体"/>
          <w:color w:val="auto"/>
          <w:sz w:val="24"/>
          <w:szCs w:val="24"/>
          <w:highlight w:val="none"/>
          <w:u w:val="single"/>
        </w:rPr>
      </w:pPr>
      <w:bookmarkStart w:id="53" w:name="_Toc89870547"/>
      <w:r>
        <w:rPr>
          <w:rFonts w:hint="eastAsia" w:ascii="宋体" w:hAnsi="宋体" w:eastAsia="宋体" w:cs="宋体"/>
          <w:b/>
          <w:color w:val="auto"/>
          <w:sz w:val="24"/>
          <w:szCs w:val="24"/>
          <w:highlight w:val="none"/>
        </w:rPr>
        <w:t>7. 联系方式</w:t>
      </w:r>
      <w:bookmarkEnd w:id="48"/>
      <w:bookmarkEnd w:id="49"/>
      <w:bookmarkEnd w:id="50"/>
      <w:bookmarkEnd w:id="51"/>
      <w:bookmarkEnd w:id="52"/>
      <w:bookmarkEnd w:id="53"/>
    </w:p>
    <w:p>
      <w:pPr>
        <w:spacing w:line="360" w:lineRule="auto"/>
        <w:ind w:firstLine="480" w:firstLineChars="200"/>
        <w:rPr>
          <w:rFonts w:hint="eastAsia" w:ascii="宋体" w:hAnsi="宋体" w:eastAsia="宋体" w:cs="宋体"/>
          <w:color w:val="auto"/>
          <w:sz w:val="24"/>
          <w:szCs w:val="24"/>
          <w:highlight w:val="none"/>
          <w:u w:val="single"/>
        </w:rPr>
      </w:pPr>
      <w:bookmarkStart w:id="54" w:name="_Toc352691455"/>
      <w:bookmarkEnd w:id="54"/>
      <w:bookmarkStart w:id="55" w:name="_Toc152045512"/>
      <w:bookmarkEnd w:id="55"/>
      <w:bookmarkStart w:id="56" w:name="_Toc247513935"/>
      <w:bookmarkEnd w:id="56"/>
      <w:bookmarkStart w:id="57" w:name="_Toc361508562"/>
      <w:bookmarkEnd w:id="57"/>
      <w:bookmarkStart w:id="58" w:name="_Toc369531497"/>
      <w:bookmarkEnd w:id="58"/>
      <w:bookmarkStart w:id="59" w:name="_Toc300834929"/>
      <w:bookmarkEnd w:id="59"/>
      <w:bookmarkStart w:id="60" w:name="_Toc30817"/>
      <w:bookmarkEnd w:id="60"/>
      <w:bookmarkStart w:id="61" w:name="_Toc300834927"/>
      <w:bookmarkEnd w:id="61"/>
      <w:bookmarkStart w:id="62" w:name="_Toc361508560"/>
      <w:bookmarkEnd w:id="62"/>
      <w:bookmarkStart w:id="63" w:name="_Toc152045513"/>
      <w:bookmarkEnd w:id="63"/>
      <w:bookmarkStart w:id="64" w:name="_Toc247527535"/>
      <w:bookmarkEnd w:id="64"/>
      <w:bookmarkStart w:id="65" w:name="_Toc152042289"/>
      <w:bookmarkEnd w:id="65"/>
      <w:bookmarkStart w:id="66" w:name="_Toc384308187"/>
      <w:bookmarkEnd w:id="66"/>
      <w:bookmarkStart w:id="67" w:name="_Toc300834930"/>
      <w:bookmarkEnd w:id="67"/>
      <w:bookmarkStart w:id="68" w:name="_Toc384308185"/>
      <w:bookmarkEnd w:id="68"/>
      <w:bookmarkStart w:id="69" w:name="_Toc352691456"/>
      <w:bookmarkEnd w:id="69"/>
      <w:bookmarkStart w:id="70" w:name="_Toc369531495"/>
      <w:bookmarkEnd w:id="70"/>
      <w:bookmarkStart w:id="71" w:name="_Toc352691453"/>
      <w:bookmarkEnd w:id="71"/>
      <w:bookmarkStart w:id="72" w:name="_Toc144974481"/>
      <w:bookmarkEnd w:id="72"/>
      <w:bookmarkStart w:id="73" w:name="_Toc369531498"/>
      <w:bookmarkEnd w:id="73"/>
      <w:bookmarkStart w:id="74" w:name="_Toc247513934"/>
      <w:bookmarkEnd w:id="74"/>
      <w:bookmarkStart w:id="75" w:name="_Toc10785"/>
      <w:bookmarkEnd w:id="75"/>
      <w:bookmarkStart w:id="76" w:name="_Toc361508563"/>
      <w:bookmarkEnd w:id="76"/>
      <w:bookmarkStart w:id="77" w:name="_Toc247527536"/>
      <w:bookmarkEnd w:id="77"/>
      <w:bookmarkStart w:id="78" w:name="_Toc17972"/>
      <w:bookmarkEnd w:id="78"/>
      <w:bookmarkStart w:id="79" w:name="_Toc144974480"/>
      <w:bookmarkEnd w:id="79"/>
      <w:bookmarkStart w:id="80" w:name="_Toc152042288"/>
      <w:bookmarkEnd w:id="80"/>
      <w:bookmarkStart w:id="81" w:name="_Toc384308188"/>
      <w:bookmarkEnd w:id="81"/>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u w:val="single"/>
          <w:lang w:eastAsia="zh-CN"/>
        </w:rPr>
        <w:t>广州市增城排水有限公司</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广州市增城区荔城街荔乡路81号融媒体中心第八层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 xml:space="preserve"> 余小姐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020-82663316</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中通建设工程管理有限公司</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广州市天河区华夏路49号之一津滨腾越大厦南塔2706室</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 xml:space="preserve">  黄工      </w:t>
      </w:r>
    </w:p>
    <w:p>
      <w:pPr>
        <w:pStyle w:val="22"/>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020-85272361/13189820995        </w:t>
      </w:r>
    </w:p>
    <w:p>
      <w:pPr>
        <w:wordWrap w:val="0"/>
        <w:topLinePunct/>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lang w:eastAsia="zh-CN"/>
        </w:rPr>
        <w:t>广州市增城排水有限公司</w:t>
      </w:r>
    </w:p>
    <w:p>
      <w:pPr>
        <w:wordWrap w:val="0"/>
        <w:topLinePunct/>
        <w:spacing w:line="440" w:lineRule="exact"/>
        <w:ind w:firstLine="480" w:firstLineChars="200"/>
        <w:rPr>
          <w:rFonts w:hint="eastAsia" w:ascii="宋体" w:hAnsi="宋体" w:eastAsia="宋体" w:cs="宋体"/>
          <w:color w:val="auto"/>
          <w:sz w:val="24"/>
          <w:szCs w:val="24"/>
          <w:highlight w:val="none"/>
          <w:u w:val="single"/>
          <w:shd w:val="clear" w:color="auto" w:fill="FFFFFF"/>
          <w:lang w:val="en-US" w:eastAsia="zh-CN"/>
        </w:rPr>
      </w:pPr>
      <w:r>
        <w:rPr>
          <w:rFonts w:hint="eastAsia" w:ascii="宋体" w:hAnsi="宋体" w:eastAsia="宋体" w:cs="宋体"/>
          <w:color w:val="auto"/>
          <w:sz w:val="24"/>
          <w:szCs w:val="24"/>
          <w:highlight w:val="none"/>
          <w:u w:val="none"/>
          <w:shd w:val="clear" w:color="auto" w:fill="FFFFFF"/>
          <w:lang w:val="en-US" w:eastAsia="zh-CN"/>
        </w:rPr>
        <w:t>地    址：</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lang w:val="en-US" w:eastAsia="zh-CN"/>
        </w:rPr>
        <w:t>广州市增城区荔城街荔乡路81号融媒体中心第八层</w:t>
      </w:r>
      <w:r>
        <w:rPr>
          <w:rFonts w:hint="eastAsia" w:ascii="宋体" w:hAnsi="宋体" w:eastAsia="宋体" w:cs="宋体"/>
          <w:color w:val="auto"/>
          <w:sz w:val="24"/>
          <w:szCs w:val="24"/>
          <w:highlight w:val="none"/>
          <w:u w:val="single"/>
          <w:shd w:val="clear" w:color="auto" w:fill="FFFFFF"/>
          <w:lang w:val="en-US" w:eastAsia="zh-CN"/>
        </w:rPr>
        <w:t xml:space="preserve"> </w:t>
      </w:r>
    </w:p>
    <w:p>
      <w:pPr>
        <w:wordWrap w:val="0"/>
        <w:topLinePunct/>
        <w:spacing w:line="440" w:lineRule="exact"/>
        <w:ind w:firstLine="480" w:firstLineChars="200"/>
        <w:rPr>
          <w:rFonts w:hint="eastAsia" w:ascii="宋体" w:hAnsi="宋体" w:eastAsia="宋体" w:cs="宋体"/>
          <w:color w:val="auto"/>
          <w:sz w:val="24"/>
          <w:szCs w:val="24"/>
          <w:highlight w:val="none"/>
          <w:u w:val="single"/>
          <w:shd w:val="clear" w:color="auto" w:fill="FFFFFF"/>
          <w:lang w:val="en-US" w:eastAsia="zh-CN"/>
        </w:rPr>
      </w:pPr>
      <w:r>
        <w:rPr>
          <w:rFonts w:hint="eastAsia" w:ascii="宋体" w:hAnsi="宋体" w:eastAsia="宋体" w:cs="宋体"/>
          <w:color w:val="auto"/>
          <w:sz w:val="24"/>
          <w:szCs w:val="24"/>
          <w:highlight w:val="none"/>
          <w:u w:val="none"/>
          <w:shd w:val="clear" w:color="auto" w:fill="FFFFFF"/>
          <w:lang w:val="en-US" w:eastAsia="zh-CN"/>
        </w:rPr>
        <w:t>联 系 人：</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lang w:val="en-US" w:eastAsia="zh-CN"/>
        </w:rPr>
        <w:t>余小姐</w:t>
      </w:r>
      <w:r>
        <w:rPr>
          <w:rFonts w:hint="eastAsia" w:ascii="宋体" w:hAnsi="宋体" w:eastAsia="宋体" w:cs="宋体"/>
          <w:color w:val="auto"/>
          <w:sz w:val="24"/>
          <w:szCs w:val="24"/>
          <w:highlight w:val="none"/>
          <w:u w:val="single"/>
          <w:shd w:val="clear" w:color="auto" w:fill="FFFFFF"/>
          <w:lang w:val="en-US" w:eastAsia="zh-CN"/>
        </w:rPr>
        <w:t xml:space="preserve"> </w:t>
      </w: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shd w:val="clear" w:color="auto" w:fill="FFFFFF"/>
          <w:lang w:val="en-US" w:eastAsia="zh-CN"/>
        </w:rPr>
        <w:t>电    话：</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rPr>
        <w:t>020-82663316</w:t>
      </w:r>
      <w:r>
        <w:rPr>
          <w:rFonts w:hint="eastAsia" w:ascii="宋体" w:hAnsi="宋体" w:eastAsia="宋体" w:cs="宋体"/>
          <w:color w:val="auto"/>
          <w:sz w:val="24"/>
          <w:szCs w:val="24"/>
          <w:highlight w:val="none"/>
          <w:u w:val="single"/>
          <w:shd w:val="clear" w:color="auto" w:fill="FFFFFF"/>
          <w:lang w:val="en-US" w:eastAsia="zh-CN"/>
        </w:rPr>
        <w:t xml:space="preserve">  </w:t>
      </w:r>
    </w:p>
    <w:p>
      <w:pPr>
        <w:wordWrap w:val="0"/>
        <w:topLinePunct/>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广州市增城区水务局</w:t>
      </w:r>
    </w:p>
    <w:p>
      <w:pPr>
        <w:wordWrap w:val="0"/>
        <w:topLinePunct/>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广州市增城区荔城街园圃路4号</w:t>
      </w: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020-82639502</w:t>
      </w:r>
    </w:p>
    <w:p>
      <w:pPr>
        <w:topLinePunct/>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lang w:eastAsia="zh-CN"/>
        </w:rPr>
        <w:t>广州市增城排水有限公司</w:t>
      </w:r>
      <w:r>
        <w:rPr>
          <w:rFonts w:hint="eastAsia" w:ascii="宋体" w:hAnsi="宋体" w:eastAsia="宋体" w:cs="宋体"/>
          <w:color w:val="auto"/>
          <w:sz w:val="24"/>
          <w:szCs w:val="24"/>
          <w:highlight w:val="none"/>
        </w:rPr>
        <w:t xml:space="preserve"> </w:t>
      </w:r>
    </w:p>
    <w:p>
      <w:pPr>
        <w:topLinePunct/>
        <w:spacing w:line="360" w:lineRule="auto"/>
        <w:jc w:val="righ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eastAsia="zh-CN"/>
        </w:rPr>
        <w:t>中通建设工程管理有限公司</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000000"/>
          <w:kern w:val="0"/>
          <w:sz w:val="24"/>
          <w:szCs w:val="24"/>
          <w:highlight w:val="none"/>
        </w:rPr>
        <w:t>附件一：</w:t>
      </w:r>
    </w:p>
    <w:p>
      <w:pPr>
        <w:widowControl/>
        <w:snapToGrid w:val="0"/>
        <w:spacing w:before="260" w:after="260"/>
        <w:ind w:right="386"/>
        <w:jc w:val="center"/>
        <w:rPr>
          <w:rFonts w:hint="eastAsia" w:ascii="宋体" w:hAnsi="宋体" w:eastAsia="宋体" w:cs="宋体"/>
          <w:color w:val="000000"/>
          <w:kern w:val="0"/>
          <w:sz w:val="32"/>
          <w:szCs w:val="32"/>
          <w:highlight w:val="none"/>
        </w:rPr>
      </w:pPr>
    </w:p>
    <w:p>
      <w:pPr>
        <w:widowControl/>
        <w:snapToGrid w:val="0"/>
        <w:spacing w:before="260" w:after="260"/>
        <w:ind w:right="386"/>
        <w:jc w:val="center"/>
        <w:rPr>
          <w:rFonts w:hint="eastAsia" w:ascii="宋体" w:hAnsi="宋体" w:eastAsia="宋体" w:cs="宋体"/>
          <w:color w:val="000000"/>
          <w:kern w:val="0"/>
          <w:sz w:val="32"/>
          <w:szCs w:val="32"/>
          <w:highlight w:val="none"/>
        </w:rPr>
      </w:pPr>
    </w:p>
    <w:p>
      <w:pPr>
        <w:widowControl/>
        <w:snapToGrid w:val="0"/>
        <w:spacing w:before="260" w:after="260"/>
        <w:ind w:right="386"/>
        <w:jc w:val="center"/>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投标人声明</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广州市住房和城乡建设局、本招标项目招标人及招标监管机构：</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本公司就参加</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项目投标工作，作出郑重声明：</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三、本公司不存在招标文件第二章投标人须知第1.4.3项所规定的任何一种情形。</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五、本公司承诺，中标后严格执行安全生产相关管理规定。</w:t>
      </w:r>
    </w:p>
    <w:p>
      <w:pPr>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本公司违反上述承诺，或本声明陈述与事实不符，经查实，本公司愿意接受公开通报，愿意按照《广州市建筑市场信用管理办法》（穗建规字﹝20</w:t>
      </w:r>
      <w:r>
        <w:rPr>
          <w:rFonts w:hint="eastAsia" w:ascii="宋体" w:hAnsi="宋体" w:eastAsia="宋体" w:cs="宋体"/>
          <w:b/>
          <w:color w:val="000000"/>
          <w:kern w:val="0"/>
          <w:sz w:val="24"/>
          <w:szCs w:val="24"/>
          <w:highlight w:val="none"/>
          <w:lang w:val="en-US" w:eastAsia="zh-CN"/>
        </w:rPr>
        <w:t>19</w:t>
      </w:r>
      <w:r>
        <w:rPr>
          <w:rFonts w:hint="eastAsia" w:ascii="宋体" w:hAnsi="宋体" w:eastAsia="宋体" w:cs="宋体"/>
          <w:b/>
          <w:color w:val="000000"/>
          <w:kern w:val="0"/>
          <w:sz w:val="24"/>
          <w:szCs w:val="24"/>
          <w:highlight w:val="none"/>
        </w:rPr>
        <w:t>﹞16号）的规定被记录为失信信息，</w:t>
      </w:r>
      <w:r>
        <w:rPr>
          <w:rFonts w:hint="eastAsia" w:ascii="宋体" w:hAnsi="宋体" w:eastAsia="宋体" w:cs="宋体"/>
          <w:color w:val="000000"/>
          <w:kern w:val="0"/>
          <w:sz w:val="24"/>
          <w:szCs w:val="24"/>
          <w:highlight w:val="none"/>
        </w:rPr>
        <w:t>承担由此带来的一切后果，并自愿停止参加广州市行政辖区内的招标投标活动三个月。</w:t>
      </w:r>
    </w:p>
    <w:p>
      <w:pPr>
        <w:widowControl/>
        <w:shd w:val="clear" w:color="auto" w:fill="FFFFFF"/>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特此声明。</w:t>
      </w:r>
    </w:p>
    <w:p>
      <w:pPr>
        <w:snapToGrid w:val="0"/>
        <w:spacing w:line="360" w:lineRule="auto"/>
        <w:ind w:firstLine="4560" w:firstLineChars="19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声明企业：            (企业公章)</w:t>
      </w:r>
    </w:p>
    <w:p>
      <w:pPr>
        <w:snapToGrid w:val="0"/>
        <w:spacing w:line="360" w:lineRule="auto"/>
        <w:ind w:firstLine="4490" w:firstLineChars="1871"/>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lang w:eastAsia="zh-CN"/>
        </w:rPr>
        <w:t>或盖章</w:t>
      </w:r>
      <w:r>
        <w:rPr>
          <w:rFonts w:hint="eastAsia" w:ascii="宋体" w:hAnsi="宋体" w:eastAsia="宋体" w:cs="宋体"/>
          <w:color w:val="000000"/>
          <w:kern w:val="0"/>
          <w:sz w:val="24"/>
          <w:szCs w:val="24"/>
          <w:highlight w:val="none"/>
        </w:rPr>
        <w:t>：</w:t>
      </w:r>
    </w:p>
    <w:p>
      <w:pPr>
        <w:snapToGrid w:val="0"/>
        <w:spacing w:line="360" w:lineRule="auto"/>
        <w:ind w:firstLine="4560" w:firstLineChars="1900"/>
        <w:rPr>
          <w:rFonts w:hint="eastAsia" w:ascii="宋体" w:hAnsi="宋体" w:eastAsia="宋体" w:cs="宋体"/>
          <w:color w:val="000000"/>
          <w:highlight w:val="none"/>
        </w:rPr>
      </w:pPr>
      <w:r>
        <w:rPr>
          <w:rFonts w:hint="eastAsia" w:ascii="宋体" w:hAnsi="宋体" w:eastAsia="宋体" w:cs="宋体"/>
          <w:color w:val="000000"/>
          <w:kern w:val="0"/>
          <w:sz w:val="24"/>
          <w:szCs w:val="24"/>
          <w:highlight w:val="none"/>
        </w:rPr>
        <w:t>总监理工程师：         （签字）</w:t>
      </w:r>
    </w:p>
    <w:p>
      <w:pPr>
        <w:jc w:val="center"/>
      </w:pP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年   月   日</w:t>
      </w:r>
      <w:r>
        <w:rPr>
          <w:color w:val="auto"/>
          <w:highlight w:val="none"/>
        </w:rPr>
        <w:br w:type="page"/>
      </w:r>
    </w:p>
    <w:p>
      <w:pPr>
        <w:pStyle w:val="3"/>
        <w:keepNext w:val="0"/>
        <w:keepLines w:val="0"/>
        <w:spacing w:before="100" w:after="100" w:line="360" w:lineRule="auto"/>
        <w:jc w:val="center"/>
        <w:rPr>
          <w:color w:val="auto"/>
          <w:highlight w:val="none"/>
        </w:rPr>
      </w:pPr>
      <w:r>
        <w:rPr>
          <w:color w:val="auto"/>
          <w:highlight w:val="none"/>
        </w:rPr>
        <w:t>第二章投标人须知</w:t>
      </w:r>
      <w:bookmarkEnd w:id="13"/>
    </w:p>
    <w:p>
      <w:pPr>
        <w:pStyle w:val="2"/>
        <w:keepNext w:val="0"/>
        <w:keepLines w:val="0"/>
        <w:spacing w:before="20" w:after="0" w:line="360" w:lineRule="auto"/>
        <w:jc w:val="center"/>
        <w:rPr>
          <w:rFonts w:ascii="Times New Roman" w:hAnsi="Times New Roman"/>
          <w:color w:val="auto"/>
          <w:highlight w:val="none"/>
        </w:rPr>
      </w:pPr>
      <w:bookmarkStart w:id="82" w:name="_Toc89870549"/>
      <w:r>
        <w:rPr>
          <w:rFonts w:ascii="Times New Roman" w:hAnsi="Times New Roman"/>
          <w:color w:val="auto"/>
          <w:highlight w:val="none"/>
        </w:rPr>
        <w:t>投标人须知前附表</w:t>
      </w:r>
      <w:bookmarkEnd w:id="82"/>
    </w:p>
    <w:tbl>
      <w:tblPr>
        <w:tblStyle w:val="24"/>
        <w:tblW w:w="9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2"/>
        <w:gridCol w:w="2187"/>
        <w:gridCol w:w="64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5" w:hRule="atLeast"/>
          <w:tblHeader/>
          <w:jc w:val="center"/>
        </w:trPr>
        <w:tc>
          <w:tcPr>
            <w:tcW w:w="1182" w:type="dxa"/>
            <w:vAlign w:val="center"/>
          </w:tcPr>
          <w:p>
            <w:pPr>
              <w:snapToGrid w:val="0"/>
              <w:jc w:val="center"/>
              <w:rPr>
                <w:rFonts w:ascii="宋体" w:hAnsi="宋体"/>
                <w:b/>
                <w:color w:val="auto"/>
                <w:szCs w:val="21"/>
                <w:highlight w:val="none"/>
              </w:rPr>
            </w:pPr>
            <w:r>
              <w:rPr>
                <w:rFonts w:ascii="宋体" w:hAnsi="宋体"/>
                <w:b/>
                <w:color w:val="auto"/>
                <w:szCs w:val="21"/>
                <w:highlight w:val="none"/>
              </w:rPr>
              <w:t>条款号</w:t>
            </w:r>
          </w:p>
        </w:tc>
        <w:tc>
          <w:tcPr>
            <w:tcW w:w="2187" w:type="dxa"/>
            <w:vAlign w:val="center"/>
          </w:tcPr>
          <w:p>
            <w:pPr>
              <w:snapToGrid w:val="0"/>
              <w:jc w:val="center"/>
              <w:rPr>
                <w:rFonts w:ascii="宋体" w:hAnsi="宋体"/>
                <w:b/>
                <w:color w:val="auto"/>
                <w:szCs w:val="21"/>
                <w:highlight w:val="none"/>
              </w:rPr>
            </w:pPr>
            <w:r>
              <w:rPr>
                <w:rFonts w:ascii="宋体" w:hAnsi="宋体"/>
                <w:b/>
                <w:color w:val="auto"/>
                <w:szCs w:val="21"/>
                <w:highlight w:val="none"/>
              </w:rPr>
              <w:t>条款名称</w:t>
            </w:r>
          </w:p>
        </w:tc>
        <w:tc>
          <w:tcPr>
            <w:tcW w:w="6415" w:type="dxa"/>
            <w:vAlign w:val="center"/>
          </w:tcPr>
          <w:p>
            <w:pPr>
              <w:snapToGrid w:val="0"/>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4"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招标人</w:t>
            </w:r>
          </w:p>
        </w:tc>
        <w:tc>
          <w:tcPr>
            <w:tcW w:w="6415" w:type="dxa"/>
            <w:vAlign w:val="center"/>
          </w:tcPr>
          <w:p>
            <w:pPr>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 标 人：</w:t>
            </w:r>
            <w:r>
              <w:rPr>
                <w:rFonts w:hint="eastAsia" w:ascii="仿宋" w:hAnsi="仿宋" w:eastAsia="仿宋" w:cs="仿宋"/>
                <w:color w:val="auto"/>
                <w:sz w:val="21"/>
                <w:szCs w:val="21"/>
                <w:highlight w:val="none"/>
                <w:lang w:eastAsia="zh-CN"/>
              </w:rPr>
              <w:t>广州市增城排水有限公司</w:t>
            </w:r>
            <w:r>
              <w:rPr>
                <w:rFonts w:hint="eastAsia" w:ascii="仿宋" w:hAnsi="仿宋" w:eastAsia="仿宋" w:cs="仿宋"/>
                <w:color w:val="auto"/>
                <w:sz w:val="21"/>
                <w:szCs w:val="21"/>
                <w:highlight w:val="none"/>
              </w:rPr>
              <w:t xml:space="preserve"> </w:t>
            </w:r>
          </w:p>
          <w:p>
            <w:pPr>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lang w:val="en-US" w:eastAsia="zh-CN"/>
              </w:rPr>
              <w:t xml:space="preserve">广州市增城区荔城街荔乡路81号融媒体中心第八层 </w:t>
            </w:r>
          </w:p>
          <w:p>
            <w:pPr>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 系 人：余小姐</w:t>
            </w:r>
          </w:p>
          <w:p>
            <w:pPr>
              <w:snapToGrid w:val="0"/>
              <w:jc w:val="left"/>
              <w:rPr>
                <w:rFonts w:hint="eastAsia" w:ascii="仿宋" w:hAnsi="仿宋" w:eastAsia="仿宋" w:cs="仿宋"/>
                <w:color w:val="auto"/>
                <w:sz w:val="21"/>
                <w:szCs w:val="21"/>
                <w:highlight w:val="none"/>
                <w:u w:val="single"/>
                <w:lang w:val="en-US"/>
              </w:rPr>
            </w:pPr>
            <w:r>
              <w:rPr>
                <w:rFonts w:hint="eastAsia" w:ascii="仿宋" w:hAnsi="仿宋" w:eastAsia="仿宋" w:cs="仿宋"/>
                <w:color w:val="auto"/>
                <w:sz w:val="21"/>
                <w:szCs w:val="21"/>
                <w:highlight w:val="none"/>
              </w:rPr>
              <w:t>电    话：020-82663316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招标代理机构</w:t>
            </w:r>
          </w:p>
        </w:tc>
        <w:tc>
          <w:tcPr>
            <w:tcW w:w="6415" w:type="dxa"/>
            <w:vAlign w:val="center"/>
          </w:tcPr>
          <w:p>
            <w:pPr>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招标代理机构：</w:t>
            </w:r>
            <w:r>
              <w:rPr>
                <w:rFonts w:hint="eastAsia" w:ascii="仿宋" w:hAnsi="仿宋" w:eastAsia="仿宋" w:cs="仿宋"/>
                <w:color w:val="auto"/>
                <w:sz w:val="21"/>
                <w:szCs w:val="21"/>
                <w:highlight w:val="none"/>
                <w:lang w:eastAsia="zh-CN"/>
              </w:rPr>
              <w:t>中通建设工程管理有限公司</w:t>
            </w:r>
          </w:p>
          <w:p>
            <w:pPr>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广州市天河区华夏路49号之一津滨腾越大厦南塔2706室</w:t>
            </w:r>
          </w:p>
          <w:p>
            <w:pPr>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 系 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黄工 </w:t>
            </w:r>
          </w:p>
          <w:p>
            <w:pPr>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电   话：020-85272361</w:t>
            </w:r>
            <w:r>
              <w:rPr>
                <w:rFonts w:hint="eastAsia" w:ascii="仿宋" w:hAnsi="仿宋" w:eastAsia="仿宋" w:cs="仿宋"/>
                <w:color w:val="auto"/>
                <w:sz w:val="21"/>
                <w:szCs w:val="21"/>
                <w:highlight w:val="none"/>
                <w:lang w:val="en-US" w:eastAsia="zh-CN"/>
              </w:rPr>
              <w:t>/13189820995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1.1.4</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招标项目名称</w:t>
            </w:r>
          </w:p>
        </w:tc>
        <w:tc>
          <w:tcPr>
            <w:tcW w:w="6415" w:type="dxa"/>
            <w:vAlign w:val="center"/>
          </w:tcPr>
          <w:p>
            <w:pPr>
              <w:snapToGrid w:val="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增城区开发区下沉式再生水厂及配套管网工程监理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1.1.5</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项目建设地点</w:t>
            </w:r>
          </w:p>
        </w:tc>
        <w:tc>
          <w:tcPr>
            <w:tcW w:w="6415" w:type="dxa"/>
            <w:vAlign w:val="center"/>
          </w:tcPr>
          <w:p>
            <w:pPr>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详见本工程招标公告</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项目建设规模</w:t>
            </w:r>
          </w:p>
        </w:tc>
        <w:tc>
          <w:tcPr>
            <w:tcW w:w="6415" w:type="dxa"/>
            <w:vAlign w:val="center"/>
          </w:tcPr>
          <w:p>
            <w:pPr>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详见本工程招标公告</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1.1.7</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工程项目施工预计开工日期和建设周期</w:t>
            </w:r>
          </w:p>
        </w:tc>
        <w:tc>
          <w:tcPr>
            <w:tcW w:w="6415" w:type="dxa"/>
            <w:vAlign w:val="center"/>
          </w:tcPr>
          <w:p>
            <w:pPr>
              <w:snapToGrid w:val="0"/>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预计开工日期：</w:t>
            </w:r>
            <w:r>
              <w:rPr>
                <w:rFonts w:hint="eastAsia" w:ascii="仿宋" w:hAnsi="仿宋" w:eastAsia="仿宋" w:cs="仿宋"/>
                <w:color w:val="auto"/>
                <w:sz w:val="21"/>
                <w:szCs w:val="21"/>
                <w:highlight w:val="none"/>
                <w:u w:val="single"/>
              </w:rPr>
              <w:t>具体开工时间以业主的书面通知为准</w:t>
            </w:r>
            <w:r>
              <w:rPr>
                <w:rFonts w:hint="eastAsia" w:ascii="仿宋" w:hAnsi="仿宋" w:eastAsia="仿宋" w:cs="仿宋"/>
                <w:color w:val="auto"/>
                <w:sz w:val="21"/>
                <w:szCs w:val="21"/>
                <w:highlight w:val="none"/>
                <w:u w:val="single"/>
                <w:lang w:eastAsia="zh-CN"/>
              </w:rPr>
              <w:t>，</w:t>
            </w:r>
            <w:r>
              <w:rPr>
                <w:rFonts w:hint="eastAsia" w:ascii="仿宋" w:hAnsi="仿宋" w:eastAsia="仿宋" w:cs="仿宋"/>
                <w:color w:val="000000"/>
                <w:sz w:val="21"/>
                <w:szCs w:val="21"/>
                <w:highlight w:val="none"/>
                <w:u w:val="single"/>
              </w:rPr>
              <w:t>招标人有权根据项目各地块实际情况相应调整工期</w:t>
            </w:r>
            <w:r>
              <w:rPr>
                <w:rFonts w:hint="eastAsia" w:ascii="仿宋" w:hAnsi="仿宋" w:eastAsia="仿宋" w:cs="仿宋"/>
                <w:color w:val="auto"/>
                <w:sz w:val="21"/>
                <w:szCs w:val="21"/>
                <w:highlight w:val="none"/>
                <w:u w:val="single"/>
                <w:lang w:eastAsia="zh-CN"/>
              </w:rPr>
              <w:t>。</w:t>
            </w:r>
          </w:p>
          <w:p>
            <w:pPr>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建设周期：暂定</w:t>
            </w: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rPr>
              <w:t>个月（具体以项目施工合同约定为准）</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1.1.8</w:t>
            </w:r>
          </w:p>
        </w:tc>
        <w:tc>
          <w:tcPr>
            <w:tcW w:w="2187" w:type="dxa"/>
            <w:vAlign w:val="center"/>
          </w:tcPr>
          <w:p>
            <w:pPr>
              <w:snapToGrid w:val="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建筑安装工程费/工程概算</w:t>
            </w:r>
          </w:p>
        </w:tc>
        <w:tc>
          <w:tcPr>
            <w:tcW w:w="6415" w:type="dxa"/>
            <w:vAlign w:val="center"/>
          </w:tcPr>
          <w:p>
            <w:pPr>
              <w:snapToGrid w:val="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rPr>
              <w:t>详见本工程招标公告</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资金来源及比例</w:t>
            </w:r>
          </w:p>
        </w:tc>
        <w:tc>
          <w:tcPr>
            <w:tcW w:w="6415" w:type="dxa"/>
            <w:vAlign w:val="center"/>
          </w:tcPr>
          <w:p>
            <w:pPr>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详见本工程招标公告</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资金落实情况</w:t>
            </w:r>
          </w:p>
        </w:tc>
        <w:tc>
          <w:tcPr>
            <w:tcW w:w="6415" w:type="dxa"/>
            <w:vAlign w:val="center"/>
          </w:tcPr>
          <w:p>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已落实</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招标范围</w:t>
            </w:r>
          </w:p>
        </w:tc>
        <w:tc>
          <w:tcPr>
            <w:tcW w:w="6415" w:type="dxa"/>
            <w:vAlign w:val="center"/>
          </w:tcPr>
          <w:p>
            <w:pPr>
              <w:snapToGrid w:val="0"/>
              <w:ind w:right="106"/>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详见本工程招标公告</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监理服务期限</w:t>
            </w:r>
          </w:p>
        </w:tc>
        <w:tc>
          <w:tcPr>
            <w:tcW w:w="6415" w:type="dxa"/>
            <w:vAlign w:val="center"/>
          </w:tcPr>
          <w:p>
            <w:pPr>
              <w:snapToGrid w:val="0"/>
              <w:ind w:right="106"/>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详见本工程招标公告</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质量标准</w:t>
            </w:r>
          </w:p>
        </w:tc>
        <w:tc>
          <w:tcPr>
            <w:tcW w:w="6415" w:type="dxa"/>
            <w:vAlign w:val="center"/>
          </w:tcPr>
          <w:p>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按国家相关规定执行的合格标准</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投标人资质条件、能力、信誉</w:t>
            </w:r>
          </w:p>
        </w:tc>
        <w:tc>
          <w:tcPr>
            <w:tcW w:w="6415" w:type="dxa"/>
            <w:vAlign w:val="center"/>
          </w:tcPr>
          <w:p>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详见招标公告第3点“投标人资格要求”</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是否接受联合体投标</w:t>
            </w:r>
          </w:p>
        </w:tc>
        <w:tc>
          <w:tcPr>
            <w:tcW w:w="6415" w:type="dxa"/>
            <w:vAlign w:val="center"/>
          </w:tcPr>
          <w:p>
            <w:pPr>
              <w:spacing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■不接受 </w:t>
            </w:r>
          </w:p>
          <w:p>
            <w:pPr>
              <w:spacing w:line="28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接受，应满足下列要求:详见招标公告</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投标人不得存在的其他情形</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4"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踏勘现场</w:t>
            </w:r>
          </w:p>
        </w:tc>
        <w:tc>
          <w:tcPr>
            <w:tcW w:w="6415" w:type="dxa"/>
            <w:vAlign w:val="center"/>
          </w:tcPr>
          <w:p>
            <w:pPr>
              <w:pStyle w:val="10"/>
              <w:topLinePunct/>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■不组织，</w:t>
            </w:r>
            <w:r>
              <w:rPr>
                <w:rFonts w:hint="eastAsia" w:ascii="仿宋" w:hAnsi="仿宋" w:eastAsia="仿宋" w:cs="仿宋"/>
                <w:color w:val="auto"/>
                <w:sz w:val="21"/>
                <w:szCs w:val="21"/>
                <w:highlight w:val="none"/>
                <w:u w:val="single"/>
              </w:rPr>
              <w:t>由投标人自行现场考察投标人不进行踏勘的，视为已熟知现场条件，自行承担相关风险。招标人不对投标人自行踏勘现场作出的判断和决策负责</w:t>
            </w:r>
            <w:r>
              <w:rPr>
                <w:rFonts w:hint="eastAsia" w:ascii="仿宋" w:hAnsi="仿宋" w:eastAsia="仿宋" w:cs="仿宋"/>
                <w:color w:val="auto"/>
                <w:sz w:val="21"/>
                <w:szCs w:val="21"/>
                <w:highlight w:val="none"/>
                <w:u w:val="single"/>
                <w:lang w:eastAsia="zh-CN"/>
              </w:rPr>
              <w:t>。</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组织，踏勘时间：</w:t>
            </w:r>
            <w:r>
              <w:rPr>
                <w:rFonts w:hint="eastAsia" w:ascii="仿宋" w:hAnsi="仿宋" w:eastAsia="仿宋" w:cs="仿宋"/>
                <w:color w:val="auto"/>
                <w:sz w:val="21"/>
                <w:szCs w:val="21"/>
                <w:highlight w:val="none"/>
                <w:u w:val="single"/>
              </w:rPr>
              <w:t xml:space="preserve"> / </w:t>
            </w:r>
          </w:p>
          <w:p>
            <w:pPr>
              <w:pStyle w:val="10"/>
              <w:topLinePunct/>
              <w:snapToGrid w:val="0"/>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踏勘集中地点：</w:t>
            </w: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投标预备会</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■不召开</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召开，召开时间：</w:t>
            </w:r>
            <w:r>
              <w:rPr>
                <w:rFonts w:hint="eastAsia" w:ascii="仿宋" w:hAnsi="仿宋" w:eastAsia="仿宋" w:cs="仿宋"/>
                <w:color w:val="auto"/>
                <w:sz w:val="21"/>
                <w:szCs w:val="21"/>
                <w:highlight w:val="none"/>
                <w:u w:val="single"/>
              </w:rPr>
              <w:t xml:space="preserve"> / </w:t>
            </w:r>
          </w:p>
          <w:p>
            <w:pPr>
              <w:snapToGrid w:val="0"/>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召开地点：</w:t>
            </w: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182" w:type="dxa"/>
            <w:vMerge w:val="restar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1.10.2</w:t>
            </w:r>
          </w:p>
        </w:tc>
        <w:tc>
          <w:tcPr>
            <w:tcW w:w="2187" w:type="dxa"/>
            <w:vMerge w:val="restar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投标人在投标预备会前提出问题</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182" w:type="dxa"/>
            <w:vMerge w:val="continue"/>
            <w:vAlign w:val="center"/>
          </w:tcPr>
          <w:p>
            <w:pPr>
              <w:snapToGrid w:val="0"/>
              <w:ind w:firstLine="420" w:firstLineChars="200"/>
              <w:rPr>
                <w:rFonts w:hint="eastAsia" w:ascii="仿宋" w:hAnsi="仿宋" w:eastAsia="仿宋" w:cs="仿宋"/>
                <w:color w:val="auto"/>
                <w:sz w:val="21"/>
                <w:szCs w:val="21"/>
                <w:highlight w:val="none"/>
              </w:rPr>
            </w:pPr>
          </w:p>
        </w:tc>
        <w:tc>
          <w:tcPr>
            <w:tcW w:w="2187" w:type="dxa"/>
            <w:vMerge w:val="continue"/>
            <w:vAlign w:val="center"/>
          </w:tcPr>
          <w:p>
            <w:pPr>
              <w:snapToGrid w:val="0"/>
              <w:ind w:firstLine="420" w:firstLineChars="200"/>
              <w:rPr>
                <w:rFonts w:hint="eastAsia" w:ascii="仿宋" w:hAnsi="仿宋" w:eastAsia="仿宋" w:cs="仿宋"/>
                <w:color w:val="auto"/>
                <w:sz w:val="21"/>
                <w:szCs w:val="21"/>
                <w:highlight w:val="none"/>
              </w:rPr>
            </w:pP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形式：</w:t>
            </w: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招标文件澄清发出的形式</w:t>
            </w:r>
          </w:p>
        </w:tc>
        <w:tc>
          <w:tcPr>
            <w:tcW w:w="6415" w:type="dxa"/>
            <w:vAlign w:val="center"/>
          </w:tcPr>
          <w:p>
            <w:pPr>
              <w:snapToGrid w:val="0"/>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u w:val="single"/>
              </w:rPr>
              <w:t>在广州公共资源交易中心网站“招标答疑”专区发布，一经发布，视作已发放给所有投标人</w:t>
            </w:r>
            <w:r>
              <w:rPr>
                <w:rFonts w:hint="eastAsia" w:ascii="仿宋" w:hAnsi="仿宋" w:eastAsia="仿宋" w:cs="仿宋"/>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实质性要求和条件</w:t>
            </w:r>
          </w:p>
        </w:tc>
        <w:tc>
          <w:tcPr>
            <w:tcW w:w="6415" w:type="dxa"/>
            <w:vAlign w:val="center"/>
          </w:tcPr>
          <w:p>
            <w:pPr>
              <w:pStyle w:val="10"/>
              <w:topLinePunct/>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u w:val="single"/>
              </w:rPr>
              <w:t>详见评标办法前附表中2.1.1、2.1.2、2.1.3的评审标准</w:t>
            </w:r>
            <w:r>
              <w:rPr>
                <w:rFonts w:hint="eastAsia" w:ascii="仿宋" w:hAnsi="仿宋" w:eastAsia="仿宋" w:cs="仿宋"/>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偏差</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允许，偏差范围：</w:t>
            </w:r>
            <w:r>
              <w:rPr>
                <w:rFonts w:hint="eastAsia" w:ascii="仿宋" w:hAnsi="仿宋" w:eastAsia="仿宋" w:cs="仿宋"/>
                <w:color w:val="auto"/>
                <w:sz w:val="21"/>
                <w:szCs w:val="21"/>
                <w:highlight w:val="none"/>
                <w:u w:val="single"/>
              </w:rPr>
              <w:t xml:space="preserve"> / </w:t>
            </w:r>
          </w:p>
          <w:p>
            <w:pPr>
              <w:pStyle w:val="10"/>
              <w:topLinePunct/>
              <w:snapToGrid w:val="0"/>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偏差幅度：</w:t>
            </w: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构成招标文件的其他资料</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9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投标人要求澄清招标文件</w:t>
            </w:r>
          </w:p>
        </w:tc>
        <w:tc>
          <w:tcPr>
            <w:tcW w:w="6415" w:type="dxa"/>
            <w:vAlign w:val="center"/>
          </w:tcPr>
          <w:p>
            <w:pPr>
              <w:snapToGrid w:val="0"/>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u w:val="single"/>
              </w:rPr>
              <w:t>时间：在投标截止日期前18日</w:t>
            </w:r>
            <w:r>
              <w:rPr>
                <w:rFonts w:hint="eastAsia" w:ascii="仿宋" w:hAnsi="仿宋" w:eastAsia="仿宋" w:cs="仿宋"/>
                <w:color w:val="auto"/>
                <w:sz w:val="21"/>
                <w:szCs w:val="21"/>
                <w:highlight w:val="none"/>
                <w:u w:val="single"/>
                <w:lang w:eastAsia="zh-CN"/>
              </w:rPr>
              <w:t>。</w:t>
            </w:r>
          </w:p>
          <w:p>
            <w:pPr>
              <w:pStyle w:val="22"/>
              <w:snapToGrid w:val="0"/>
              <w:spacing w:after="0" w:line="240" w:lineRule="auto"/>
              <w:ind w:firstLine="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形式：1、招标答疑采用网上答疑方式进行。投标人若对招标文件有疑问的，可在规定的时间内通过广州公共资源交易中心网站凭密码进入提问区域将问题提交给招标人或招标代理人，提交问题时一律不得署名。</w:t>
            </w:r>
          </w:p>
          <w:p>
            <w:pPr>
              <w:pStyle w:val="22"/>
              <w:snapToGrid w:val="0"/>
              <w:spacing w:after="0" w:line="240" w:lineRule="auto"/>
              <w:ind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网上答疑的操作指南为：登陆广州公共资源交易中心网站→进入“项目招标答疑”专区→通过项目编号或名称找到所需的项目→在上述的答疑时间内点击“提问”→输入密码（密码为：123456）进入到提问区域→无记名或匿名提出问题以及查看所有的问题。</w:t>
            </w:r>
          </w:p>
          <w:p>
            <w:pPr>
              <w:pStyle w:val="22"/>
              <w:snapToGrid w:val="0"/>
              <w:spacing w:after="0" w:line="240" w:lineRule="auto"/>
              <w:ind w:firstLine="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2、投标人应在投标截止时间18日前停止质疑。招标人应在投标截止时间15日前解答投标人对招标文件提出的疑问，形成答疑纪要，并经招标监管机构备案后，方可在广州公共资源交易中心网站项目答疑专区发布。</w:t>
            </w:r>
          </w:p>
          <w:p>
            <w:pPr>
              <w:pStyle w:val="22"/>
              <w:snapToGrid w:val="0"/>
              <w:spacing w:after="0" w:line="240" w:lineRule="auto"/>
              <w:ind w:firstLine="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3、招标答疑纪要一经在广州公共资源交易中心网站发布，视作已发放给所有投标人。</w:t>
            </w:r>
          </w:p>
          <w:p>
            <w:pPr>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4、招标答疑纪要为招标文件的一部分。投标人可在广州公共资源交易中心网站浏览、下载招标答疑纪要。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招标文件澄清发出的形式</w:t>
            </w:r>
          </w:p>
        </w:tc>
        <w:tc>
          <w:tcPr>
            <w:tcW w:w="6415" w:type="dxa"/>
            <w:vAlign w:val="center"/>
          </w:tcPr>
          <w:p>
            <w:pPr>
              <w:snapToGrid w:val="0"/>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u w:val="single"/>
              </w:rPr>
              <w:t>在广州公共资源交易中心网站项目答疑专区发布</w:t>
            </w:r>
            <w:r>
              <w:rPr>
                <w:rFonts w:hint="eastAsia" w:ascii="仿宋" w:hAnsi="仿宋" w:eastAsia="仿宋" w:cs="仿宋"/>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Merge w:val="restar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2.2.3</w:t>
            </w:r>
          </w:p>
        </w:tc>
        <w:tc>
          <w:tcPr>
            <w:tcW w:w="2187" w:type="dxa"/>
            <w:vMerge w:val="restar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投标人确认收到招标文件澄清</w:t>
            </w:r>
          </w:p>
        </w:tc>
        <w:tc>
          <w:tcPr>
            <w:tcW w:w="6415" w:type="dxa"/>
            <w:vAlign w:val="center"/>
          </w:tcPr>
          <w:p>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u w:val="single"/>
              </w:rPr>
              <w:t>招标文件澄清一经在广州公共资源交易中心网站发布，视作已发放给所有投标人</w:t>
            </w:r>
            <w:r>
              <w:rPr>
                <w:rFonts w:hint="eastAsia" w:ascii="仿宋" w:hAnsi="仿宋" w:eastAsia="仿宋" w:cs="仿宋"/>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182" w:type="dxa"/>
            <w:vMerge w:val="continue"/>
            <w:vAlign w:val="center"/>
          </w:tcPr>
          <w:p>
            <w:pPr>
              <w:snapToGrid w:val="0"/>
              <w:ind w:firstLine="420" w:firstLineChars="200"/>
              <w:rPr>
                <w:rFonts w:hint="eastAsia" w:ascii="仿宋" w:hAnsi="仿宋" w:eastAsia="仿宋" w:cs="仿宋"/>
                <w:color w:val="auto"/>
                <w:sz w:val="21"/>
                <w:szCs w:val="21"/>
                <w:highlight w:val="none"/>
              </w:rPr>
            </w:pPr>
          </w:p>
        </w:tc>
        <w:tc>
          <w:tcPr>
            <w:tcW w:w="2187" w:type="dxa"/>
            <w:vMerge w:val="continue"/>
            <w:vAlign w:val="center"/>
          </w:tcPr>
          <w:p>
            <w:pPr>
              <w:snapToGrid w:val="0"/>
              <w:ind w:firstLine="420" w:firstLineChars="200"/>
              <w:rPr>
                <w:rFonts w:hint="eastAsia" w:ascii="仿宋" w:hAnsi="仿宋" w:eastAsia="仿宋" w:cs="仿宋"/>
                <w:color w:val="auto"/>
                <w:sz w:val="21"/>
                <w:szCs w:val="21"/>
                <w:highlight w:val="none"/>
              </w:rPr>
            </w:pP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形式：</w:t>
            </w: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招标文件修改发出的形式</w:t>
            </w:r>
          </w:p>
        </w:tc>
        <w:tc>
          <w:tcPr>
            <w:tcW w:w="6415" w:type="dxa"/>
            <w:vAlign w:val="center"/>
          </w:tcPr>
          <w:p>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u w:val="single"/>
              </w:rPr>
              <w:t>在广州公共资源交易中心网站项目答疑专区或以补充公告形式发布</w:t>
            </w:r>
            <w:r>
              <w:rPr>
                <w:rFonts w:hint="eastAsia" w:ascii="仿宋" w:hAnsi="仿宋" w:eastAsia="仿宋" w:cs="仿宋"/>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Merge w:val="restar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2.3.2</w:t>
            </w:r>
          </w:p>
        </w:tc>
        <w:tc>
          <w:tcPr>
            <w:tcW w:w="2187" w:type="dxa"/>
            <w:vMerge w:val="restar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投标人确认收到招标文件修改</w:t>
            </w:r>
          </w:p>
        </w:tc>
        <w:tc>
          <w:tcPr>
            <w:tcW w:w="6415" w:type="dxa"/>
            <w:vAlign w:val="center"/>
          </w:tcPr>
          <w:p>
            <w:pPr>
              <w:snapToGrid w:val="0"/>
              <w:ind w:right="-101"/>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时间：</w:t>
            </w:r>
            <w:r>
              <w:rPr>
                <w:rFonts w:hint="eastAsia" w:ascii="仿宋" w:hAnsi="仿宋" w:eastAsia="仿宋" w:cs="仿宋"/>
                <w:color w:val="000000"/>
                <w:sz w:val="21"/>
                <w:szCs w:val="21"/>
                <w:highlight w:val="none"/>
                <w:u w:val="single"/>
              </w:rPr>
              <w:t>招标文件的修改在广州公共资源交易中心网站发布。招标文件的修改一经在广州公共资源交易中心网站发布，</w:t>
            </w:r>
            <w:r>
              <w:rPr>
                <w:rFonts w:hint="eastAsia" w:ascii="仿宋" w:hAnsi="仿宋" w:eastAsia="仿宋" w:cs="仿宋"/>
                <w:color w:val="000000"/>
                <w:sz w:val="21"/>
                <w:szCs w:val="21"/>
                <w:u w:val="single"/>
              </w:rPr>
              <w:t>潜在投标人应自行关注招标公告公布的网站公告，招标人不再一一通知。投标人因自身贻误行为导致投标失败的，责任自负</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182" w:type="dxa"/>
            <w:vMerge w:val="continue"/>
            <w:vAlign w:val="center"/>
          </w:tcPr>
          <w:p>
            <w:pPr>
              <w:snapToGrid w:val="0"/>
              <w:ind w:firstLine="420" w:firstLineChars="200"/>
              <w:rPr>
                <w:rFonts w:hint="eastAsia" w:ascii="仿宋" w:hAnsi="仿宋" w:eastAsia="仿宋" w:cs="仿宋"/>
                <w:color w:val="auto"/>
                <w:sz w:val="21"/>
                <w:szCs w:val="21"/>
                <w:highlight w:val="none"/>
              </w:rPr>
            </w:pPr>
          </w:p>
        </w:tc>
        <w:tc>
          <w:tcPr>
            <w:tcW w:w="2187" w:type="dxa"/>
            <w:vMerge w:val="continue"/>
            <w:vAlign w:val="center"/>
          </w:tcPr>
          <w:p>
            <w:pPr>
              <w:snapToGrid w:val="0"/>
              <w:ind w:firstLine="420" w:firstLineChars="200"/>
              <w:rPr>
                <w:rFonts w:hint="eastAsia" w:ascii="仿宋" w:hAnsi="仿宋" w:eastAsia="仿宋" w:cs="仿宋"/>
                <w:color w:val="auto"/>
                <w:sz w:val="21"/>
                <w:szCs w:val="21"/>
                <w:highlight w:val="none"/>
              </w:rPr>
            </w:pP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形式：</w:t>
            </w: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构成投标文件的其他资料</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增值税税金的计算方法</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报价方式</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投标人结合招标文件规定自行报价（小数点后保留二位有效数字，第三位小数四舍五入）。投标报价超过最高投标限价的投标文件将被否决</w:t>
            </w:r>
            <w:r>
              <w:rPr>
                <w:rFonts w:hint="eastAsia" w:ascii="仿宋" w:hAnsi="仿宋" w:eastAsia="仿宋" w:cs="仿宋"/>
                <w:color w:val="auto"/>
                <w:sz w:val="21"/>
                <w:szCs w:val="21"/>
                <w:highlight w:val="none"/>
              </w:rPr>
              <w:t>。（如下浮率报价和数值报价不一致时，以下浮率报价为准）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3.2.4</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最高投标限价</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无</w:t>
            </w:r>
          </w:p>
          <w:p>
            <w:pPr>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■有，最高投标限价：</w:t>
            </w:r>
            <w:r>
              <w:rPr>
                <w:rFonts w:hint="eastAsia" w:ascii="仿宋" w:hAnsi="仿宋" w:eastAsia="仿宋" w:cs="仿宋"/>
                <w:color w:val="auto"/>
                <w:sz w:val="21"/>
                <w:szCs w:val="21"/>
                <w:highlight w:val="none"/>
                <w:u w:val="single"/>
                <w:lang w:val="en-US" w:eastAsia="zh-CN"/>
              </w:rPr>
              <w:t>20132397.88元</w:t>
            </w:r>
            <w:r>
              <w:rPr>
                <w:rFonts w:hint="eastAsia" w:ascii="仿宋" w:hAnsi="仿宋" w:eastAsia="仿宋" w:cs="仿宋"/>
                <w:color w:val="auto"/>
                <w:sz w:val="21"/>
                <w:szCs w:val="21"/>
                <w:highlight w:val="none"/>
              </w:rPr>
              <w:t>，投标报价不得超过最高投标限价。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3.2.5</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投标报价的其他要求</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6415" w:type="dxa"/>
            <w:vAlign w:val="center"/>
          </w:tcPr>
          <w:p>
            <w:pPr>
              <w:snapToGrid w:val="0"/>
              <w:rPr>
                <w:rFonts w:hint="eastAsia" w:ascii="仿宋" w:hAnsi="仿宋" w:eastAsia="仿宋" w:cs="仿宋"/>
                <w:color w:val="auto"/>
                <w:sz w:val="21"/>
                <w:szCs w:val="21"/>
                <w:highlight w:val="none"/>
              </w:rPr>
            </w:pPr>
            <w:bookmarkStart w:id="83" w:name="_Toc1789"/>
            <w:bookmarkStart w:id="84" w:name="_Toc300834946"/>
            <w:bookmarkStart w:id="85" w:name="_Toc352691470"/>
            <w:bookmarkStart w:id="86" w:name="_Toc361508582"/>
            <w:bookmarkStart w:id="87" w:name="_Toc384308207"/>
            <w:bookmarkStart w:id="88" w:name="_Toc369531512"/>
            <w:r>
              <w:rPr>
                <w:rFonts w:hint="eastAsia" w:ascii="仿宋" w:hAnsi="仿宋" w:eastAsia="仿宋" w:cs="仿宋"/>
                <w:color w:val="auto"/>
                <w:sz w:val="21"/>
                <w:szCs w:val="21"/>
                <w:highlight w:val="none"/>
                <w:u w:val="single"/>
              </w:rPr>
              <w:t>90</w:t>
            </w:r>
            <w:r>
              <w:rPr>
                <w:rFonts w:hint="eastAsia" w:ascii="仿宋" w:hAnsi="仿宋" w:eastAsia="仿宋" w:cs="仿宋"/>
                <w:color w:val="auto"/>
                <w:sz w:val="21"/>
                <w:szCs w:val="21"/>
                <w:highlight w:val="none"/>
              </w:rPr>
              <w:t>日历天（从投标截止之日算起）</w:t>
            </w:r>
          </w:p>
        </w:tc>
      </w:tr>
      <w:bookmarkEnd w:id="83"/>
      <w:bookmarkEnd w:id="84"/>
      <w:bookmarkEnd w:id="85"/>
      <w:bookmarkEnd w:id="86"/>
      <w:bookmarkEnd w:id="87"/>
      <w:bookmarkEnd w:id="88"/>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90"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是否要求投标人递交投标保证金：</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不要求</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■要求，</w:t>
            </w:r>
            <w:r>
              <w:rPr>
                <w:rFonts w:hint="eastAsia" w:ascii="仿宋" w:hAnsi="仿宋" w:eastAsia="仿宋" w:cs="仿宋"/>
                <w:b/>
                <w:color w:val="auto"/>
                <w:sz w:val="21"/>
                <w:szCs w:val="21"/>
                <w:highlight w:val="none"/>
              </w:rPr>
              <w:t>投标保证金的形式：投标保证金可采用现金、支票、</w:t>
            </w:r>
            <w:r>
              <w:rPr>
                <w:rFonts w:hint="eastAsia" w:ascii="仿宋" w:hAnsi="仿宋" w:eastAsia="仿宋" w:cs="仿宋"/>
                <w:b/>
                <w:bCs/>
                <w:color w:val="auto"/>
                <w:sz w:val="21"/>
                <w:szCs w:val="21"/>
                <w:highlight w:val="none"/>
              </w:rPr>
              <w:t>银行保函、保证保险、专业工程担保公司担保</w:t>
            </w:r>
            <w:r>
              <w:rPr>
                <w:rFonts w:hint="eastAsia" w:ascii="仿宋" w:hAnsi="仿宋" w:eastAsia="仿宋" w:cs="仿宋"/>
                <w:b/>
                <w:color w:val="auto"/>
                <w:sz w:val="21"/>
                <w:szCs w:val="21"/>
                <w:highlight w:val="none"/>
              </w:rPr>
              <w:t>形式，须在递交投标文件截止时间前完成缴纳。</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1、投标担保额度：人民币</w:t>
            </w:r>
            <w:r>
              <w:rPr>
                <w:rFonts w:hint="eastAsia" w:ascii="仿宋" w:hAnsi="仿宋" w:eastAsia="仿宋" w:cs="仿宋"/>
                <w:color w:val="auto"/>
                <w:sz w:val="21"/>
                <w:szCs w:val="21"/>
                <w:highlight w:val="none"/>
                <w:u w:val="single"/>
                <w:lang w:val="en-US" w:eastAsia="zh-CN"/>
              </w:rPr>
              <w:t>10</w:t>
            </w:r>
            <w:r>
              <w:rPr>
                <w:rFonts w:hint="eastAsia" w:ascii="仿宋" w:hAnsi="仿宋" w:eastAsia="仿宋" w:cs="仿宋"/>
                <w:color w:val="auto"/>
                <w:sz w:val="21"/>
                <w:szCs w:val="21"/>
                <w:highlight w:val="none"/>
              </w:rPr>
              <w:t>万元。</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投标保证金有效期：长于或等于投标有效期。</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2、收取方式：</w:t>
            </w:r>
          </w:p>
          <w:p>
            <w:pPr>
              <w:snapToGrid w:val="0"/>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投标人需在交易系统中将汇入投标保证金与投标项目进行绑定，绑定成功后才能被认定为完成缴交投标保证金义务。</w:t>
            </w:r>
          </w:p>
          <w:p>
            <w:pPr>
              <w:snapToGrid w:val="0"/>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如采用非电子形式的银行保函、专业工程担保公司担保或保证保险等形式提交投标保证金的，银行保函需开具给招标人，银行保函有效期不少于投标有效期。专业工程担保公司担保或保证保险需开具给招标人（受益人也必须是招标人），有效期不少于投标有效期。在开标前不强制要求投标人提交纸质原件，由中标候选人在中标候选人公示前提交并在网上公示，但投标人应在投标文件中提交保函、担保或保证保险扫描件并加盖投标人电子印章。如投标人选择在开标前提交纸质原件的，可在投标截止时间前15分钟单独密封递交至开标室。</w:t>
            </w:r>
          </w:p>
          <w:p>
            <w:pPr>
              <w:snapToGrid w:val="0"/>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（3）如采用电子形式的保函、担保或保证保险提交投标保证金的，详见广州公共资源交易中心相关操作指引。（本条适用于交易中心系统支持采用电子保函方式递交的情形）</w:t>
            </w:r>
          </w:p>
          <w:p>
            <w:pPr>
              <w:snapToGrid w:val="0"/>
              <w:ind w:firstLine="422" w:firstLineChars="200"/>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u w:val="single"/>
              </w:rPr>
              <w:t>（4）为降低投标人的交易成本，扩大信用承诺制的应用范围，信用良好企业或中小企业在提供相关资料后可无需缴纳投标保证金：</w:t>
            </w:r>
          </w:p>
          <w:p>
            <w:pPr>
              <w:snapToGrid w:val="0"/>
              <w:ind w:firstLine="422" w:firstLineChars="200"/>
              <w:rPr>
                <w:rFonts w:hint="eastAsia" w:ascii="仿宋" w:hAnsi="仿宋" w:eastAsia="仿宋" w:cs="仿宋"/>
                <w:color w:val="auto"/>
                <w:sz w:val="21"/>
                <w:szCs w:val="21"/>
                <w:highlight w:val="none"/>
                <w:u w:val="single"/>
              </w:rPr>
            </w:pPr>
            <w:r>
              <w:rPr>
                <w:rFonts w:hint="eastAsia" w:ascii="仿宋" w:hAnsi="仿宋" w:eastAsia="仿宋" w:cs="仿宋"/>
                <w:b/>
                <w:color w:val="auto"/>
                <w:sz w:val="21"/>
                <w:szCs w:val="21"/>
                <w:highlight w:val="none"/>
                <w:u w:val="single"/>
              </w:rPr>
              <w:t>1）信用良好的投标人需提供信用状况良好的相关证明：</w:t>
            </w:r>
            <w:r>
              <w:rPr>
                <w:rFonts w:hint="eastAsia" w:ascii="仿宋" w:hAnsi="仿宋" w:eastAsia="仿宋" w:cs="仿宋"/>
                <w:color w:val="auto"/>
                <w:sz w:val="21"/>
                <w:szCs w:val="21"/>
                <w:highlight w:val="none"/>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snapToGrid w:val="0"/>
              <w:ind w:firstLine="422" w:firstLineChars="200"/>
              <w:rPr>
                <w:rFonts w:hint="eastAsia" w:ascii="仿宋" w:hAnsi="仿宋" w:eastAsia="仿宋" w:cs="仿宋"/>
                <w:color w:val="auto"/>
                <w:sz w:val="21"/>
                <w:szCs w:val="21"/>
                <w:highlight w:val="none"/>
                <w:u w:val="single"/>
              </w:rPr>
            </w:pPr>
            <w:r>
              <w:rPr>
                <w:rFonts w:hint="eastAsia" w:ascii="仿宋" w:hAnsi="仿宋" w:eastAsia="仿宋" w:cs="仿宋"/>
                <w:b/>
                <w:color w:val="auto"/>
                <w:sz w:val="21"/>
                <w:szCs w:val="21"/>
                <w:highlight w:val="none"/>
                <w:u w:val="single"/>
              </w:rPr>
              <w:t>2）属于中小企业（包括中型、小型和微型企业）的投标人需提供属于中小企业的资料：</w:t>
            </w:r>
            <w:r>
              <w:rPr>
                <w:rFonts w:hint="eastAsia" w:ascii="仿宋" w:hAnsi="仿宋" w:eastAsia="仿宋" w:cs="仿宋"/>
                <w:color w:val="auto"/>
                <w:sz w:val="21"/>
                <w:szCs w:val="21"/>
                <w:highlight w:val="none"/>
                <w:u w:val="single"/>
              </w:rPr>
              <w:t>要求投标人提供自行查询企业划型截图和《中小企业声明函》（详见“第六章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pStyle w:val="10"/>
              <w:topLinePunct/>
              <w:snapToGrid w:val="0"/>
              <w:ind w:firstLine="422" w:firstLineChars="20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u w:val="single"/>
              </w:rPr>
              <w:t>3）免交投标保证金的投标人还需同时提供《关于投标保证金的承诺》（详见“第六章  投标文件格式”）。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3.4.4</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其他可以不予退还投标保证金的情形</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1、投标人在招标文件规定的投标有效期内撤回其投标；中标人在规定期限内未能根据规定签订合同；或者根据规定接受对错误的修正；根据规定提交履约保证金；</w:t>
            </w:r>
          </w:p>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2、投标人采用不正当的手段骗取中标。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资格审查资料的特殊要求</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3.5.2</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近年财务状况的年份要求</w:t>
            </w:r>
          </w:p>
        </w:tc>
        <w:tc>
          <w:tcPr>
            <w:tcW w:w="6415" w:type="dxa"/>
            <w:vAlign w:val="center"/>
          </w:tcPr>
          <w:p>
            <w:pPr>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年至</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近年完成的类似项目情况的时间要求</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3.5.5</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近年发生的诉讼及仲裁情况的时间要求</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日至</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是否允许递交备选投标方案</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3.7.3A（2）</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投标文件副本份数及其他要求</w:t>
            </w:r>
          </w:p>
        </w:tc>
        <w:tc>
          <w:tcPr>
            <w:tcW w:w="6415" w:type="dxa"/>
            <w:vAlign w:val="center"/>
          </w:tcPr>
          <w:p>
            <w:pPr>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lang w:val="en-US" w:eastAsia="zh-CN"/>
              </w:rPr>
              <w:t>本项目不适用</w:t>
            </w:r>
            <w:r>
              <w:rPr>
                <w:rFonts w:hint="eastAsia" w:ascii="仿宋" w:hAnsi="仿宋" w:eastAsia="仿宋" w:cs="仿宋"/>
                <w:color w:val="auto"/>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3.7.3A（3）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投标文件是否需分册装订</w:t>
            </w:r>
          </w:p>
        </w:tc>
        <w:tc>
          <w:tcPr>
            <w:tcW w:w="6415" w:type="dxa"/>
            <w:vAlign w:val="center"/>
          </w:tcPr>
          <w:p>
            <w:pPr>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3.7.3（B）</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投标文件所附证书证件要求</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8"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3.7.3（B）</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投标文件签字或盖章要求</w:t>
            </w:r>
          </w:p>
        </w:tc>
        <w:tc>
          <w:tcPr>
            <w:tcW w:w="6415" w:type="dxa"/>
            <w:vAlign w:val="center"/>
          </w:tcPr>
          <w:p>
            <w:pPr>
              <w:pStyle w:val="10"/>
              <w:topLinePunct/>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取消在招标文件中采用个人数字证书和加盖个人电子印章要求，投标文件中需个人签字或盖章的，应手签或盖章后扫描上传。投标文件按招标文件要求加盖单位电子印章。具体操作详见广州公共资源交易中心发布的最新版本《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4.1.1（B）</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投标文件加密要求</w:t>
            </w:r>
          </w:p>
        </w:tc>
        <w:tc>
          <w:tcPr>
            <w:tcW w:w="6415" w:type="dxa"/>
            <w:vAlign w:val="center"/>
          </w:tcPr>
          <w:p>
            <w:pPr>
              <w:pStyle w:val="10"/>
              <w:topLinePunct/>
              <w:snapToGrid w:val="0"/>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网上递交的电子投标文件须进行加密。具体操作详见广州公共资源交易中心发布的最新版本《房屋建筑和市政基础设施工程全流程电子化项目专章》</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4.1.2</w:t>
            </w:r>
          </w:p>
        </w:tc>
        <w:tc>
          <w:tcPr>
            <w:tcW w:w="2187" w:type="dxa"/>
            <w:vAlign w:val="center"/>
          </w:tcPr>
          <w:p>
            <w:pPr>
              <w:snapToGrid w:val="0"/>
              <w:jc w:val="center"/>
              <w:rPr>
                <w:rFonts w:hint="eastAsia" w:ascii="仿宋" w:hAnsi="仿宋" w:eastAsia="仿宋" w:cs="仿宋"/>
                <w:color w:val="auto"/>
                <w:sz w:val="21"/>
                <w:szCs w:val="21"/>
                <w:highlight w:val="none"/>
                <w:shd w:val="clear" w:color="FFFFFF" w:fill="D9D9D9"/>
              </w:rPr>
            </w:pPr>
            <w:r>
              <w:rPr>
                <w:rFonts w:hint="eastAsia" w:ascii="仿宋" w:hAnsi="仿宋" w:eastAsia="仿宋" w:cs="仿宋"/>
                <w:color w:val="auto"/>
                <w:sz w:val="21"/>
                <w:szCs w:val="21"/>
                <w:highlight w:val="none"/>
              </w:rPr>
              <w:t>封套上应载明的信息</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如有提交投标文件光盘备用，封套上应注明如下信息：</w:t>
            </w:r>
          </w:p>
          <w:p>
            <w:pPr>
              <w:pStyle w:val="10"/>
              <w:topLinePunct/>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招标人名称：</w:t>
            </w:r>
            <w:r>
              <w:rPr>
                <w:rFonts w:hint="eastAsia" w:ascii="仿宋" w:hAnsi="仿宋" w:eastAsia="仿宋" w:cs="仿宋"/>
                <w:color w:val="auto"/>
                <w:sz w:val="21"/>
                <w:szCs w:val="21"/>
                <w:highlight w:val="none"/>
                <w:lang w:eastAsia="zh-CN"/>
              </w:rPr>
              <w:t>广州市增城排水有限公司</w:t>
            </w:r>
          </w:p>
          <w:p>
            <w:pPr>
              <w:pStyle w:val="1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招标人地址：广州市增城区荔城街荔乡路81号融媒体中心第八层</w:t>
            </w:r>
            <w:r>
              <w:rPr>
                <w:rFonts w:hint="eastAsia" w:ascii="仿宋" w:hAnsi="仿宋" w:eastAsia="仿宋" w:cs="仿宋"/>
                <w:color w:val="auto"/>
                <w:sz w:val="21"/>
                <w:szCs w:val="21"/>
                <w:highlight w:val="none"/>
                <w:lang w:val="en-US" w:eastAsia="zh-CN"/>
              </w:rPr>
              <w:t xml:space="preserve"> </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eastAsia="zh-CN"/>
              </w:rPr>
              <w:t>增城区开发区下沉式再生水厂及配套管网工程监理</w:t>
            </w:r>
            <w:r>
              <w:rPr>
                <w:rFonts w:hint="eastAsia" w:ascii="仿宋" w:hAnsi="仿宋" w:eastAsia="仿宋" w:cs="仿宋"/>
                <w:color w:val="auto"/>
                <w:sz w:val="21"/>
                <w:szCs w:val="21"/>
                <w:highlight w:val="none"/>
                <w:u w:val="single"/>
              </w:rPr>
              <w:t>投标文件</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招标项目编号：              </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投标截止时间</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2"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4.2.2（A）</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递交投标文件时间和地点</w:t>
            </w:r>
          </w:p>
        </w:tc>
        <w:tc>
          <w:tcPr>
            <w:tcW w:w="6415" w:type="dxa"/>
            <w:vAlign w:val="center"/>
          </w:tcPr>
          <w:p>
            <w:pPr>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1.递交方式：网上递交投标文件</w:t>
            </w:r>
          </w:p>
          <w:p>
            <w:pPr>
              <w:snapToGrid w:val="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2.文件的递交截止时间：同投标截止时间。</w:t>
            </w:r>
          </w:p>
          <w:p>
            <w:pPr>
              <w:snapToGrid w:val="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3.地点：广州公共资源交易中心网站。</w:t>
            </w:r>
          </w:p>
          <w:p>
            <w:pPr>
              <w:snapToGrid w:val="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4.2.3</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投标文件是否退还</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是，退还时间：</w:t>
            </w:r>
            <w:r>
              <w:rPr>
                <w:rFonts w:hint="eastAsia" w:ascii="仿宋" w:hAnsi="仿宋" w:eastAsia="仿宋" w:cs="仿宋"/>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5.1（B）</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开标时间和地点</w:t>
            </w:r>
          </w:p>
        </w:tc>
        <w:tc>
          <w:tcPr>
            <w:tcW w:w="6415" w:type="dxa"/>
            <w:vAlign w:val="center"/>
          </w:tcPr>
          <w:p>
            <w:pPr>
              <w:pStyle w:val="10"/>
              <w:topLinePunct/>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开标时间：</w:t>
            </w:r>
            <w:r>
              <w:rPr>
                <w:rFonts w:hint="eastAsia" w:ascii="仿宋" w:hAnsi="仿宋" w:eastAsia="仿宋" w:cs="仿宋"/>
                <w:color w:val="auto"/>
                <w:sz w:val="21"/>
                <w:szCs w:val="21"/>
                <w:highlight w:val="none"/>
                <w:u w:val="single"/>
              </w:rPr>
              <w:t>同投标截止时间</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开标地点：本项目具体的招投标活动日程安排及场地安排以广州市公共资源交易中心网站公布的为准。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5.2（B）</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开标程序</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电子招投标项目开标按下列程序进行：</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5.2.1主持人按下列程序进行开标：</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（1）宣布开标纪律；</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（2）公布在投标截止时间前递交投标文件的投标人名称；</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（3）宣布开标人、唱标人、记录人、监标人等有关人员姓名；</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（4）（B）投标人通过电子招标投标交易平台对已递交的电子投标文件进行解密，公布招标项目名称、投标人名称、投标保证金的递交情况、投标报价、监理服务期限及其他内容，并记录在案；</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（5）（B）投标人代表、招标人代表、监标人、记录人等有关人员在开标记录上签字确认；若有关人员不签字的，不影响开标程序；</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（6）开标结束。</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5.2.2投标截止时间前未完成投标文件传输的或因投标人之外的原因造成投标文件未解密的，视为投标人撤回投标文件。因投标人原因造成投标文件未解密的或未在投标截止时间后1小时解密的，视为撤销其投标文件。</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评标委员会的组建</w:t>
            </w:r>
          </w:p>
        </w:tc>
        <w:tc>
          <w:tcPr>
            <w:tcW w:w="6415" w:type="dxa"/>
            <w:vAlign w:val="center"/>
          </w:tcPr>
          <w:p>
            <w:pPr>
              <w:snapToGrid w:val="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评标专家确定方式：</w:t>
            </w:r>
            <w:r>
              <w:rPr>
                <w:rFonts w:hint="eastAsia" w:ascii="仿宋" w:hAnsi="仿宋" w:eastAsia="仿宋" w:cs="仿宋"/>
                <w:color w:val="auto"/>
                <w:sz w:val="21"/>
                <w:szCs w:val="21"/>
                <w:highlight w:val="none"/>
                <w:lang w:val="en-US" w:eastAsia="zh-CN"/>
              </w:rPr>
              <w:t>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6.3.2</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评标委员会推荐中标候选人的人数</w:t>
            </w:r>
          </w:p>
        </w:tc>
        <w:tc>
          <w:tcPr>
            <w:tcW w:w="6415"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推荐的中标候选人数：</w:t>
            </w:r>
            <w:r>
              <w:rPr>
                <w:rFonts w:hint="eastAsia" w:ascii="仿宋" w:hAnsi="仿宋" w:eastAsia="仿宋" w:cs="仿宋"/>
                <w:color w:val="auto"/>
                <w:sz w:val="21"/>
                <w:szCs w:val="21"/>
                <w:highlight w:val="none"/>
                <w:u w:val="single"/>
              </w:rPr>
              <w:t xml:space="preserve"> 3 </w:t>
            </w:r>
            <w:r>
              <w:rPr>
                <w:rFonts w:hint="eastAsia" w:ascii="仿宋" w:hAnsi="仿宋" w:eastAsia="仿宋" w:cs="仿宋"/>
                <w:color w:val="auto"/>
                <w:sz w:val="21"/>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中标候选人公示媒介及期限</w:t>
            </w:r>
          </w:p>
        </w:tc>
        <w:tc>
          <w:tcPr>
            <w:tcW w:w="6415" w:type="dxa"/>
            <w:vAlign w:val="center"/>
          </w:tcPr>
          <w:p>
            <w:pPr>
              <w:snapToGrid w:val="0"/>
              <w:ind w:right="106"/>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公示媒介：</w:t>
            </w:r>
            <w:r>
              <w:rPr>
                <w:rFonts w:hint="eastAsia" w:ascii="仿宋" w:hAnsi="仿宋" w:eastAsia="仿宋" w:cs="仿宋"/>
                <w:color w:val="auto"/>
                <w:sz w:val="21"/>
                <w:szCs w:val="21"/>
                <w:highlight w:val="none"/>
                <w:u w:val="single"/>
              </w:rPr>
              <w:t>广州公共资源交易中心网站、广东省招标投标监管网、中国招标投标公共服务平台和广州市增城区人民政府门户网站（http://www.zc.gov.cn/的“首页&gt;公开&gt;公共资源配置领域&gt;工程建设项目招投标”栏目）公示。</w:t>
            </w:r>
          </w:p>
          <w:p>
            <w:pPr>
              <w:snapToGrid w:val="0"/>
              <w:ind w:right="10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公示期限：自发布公示之日起</w:t>
            </w:r>
            <w:r>
              <w:rPr>
                <w:rFonts w:hint="eastAsia" w:ascii="仿宋" w:hAnsi="仿宋" w:eastAsia="仿宋" w:cs="仿宋"/>
                <w:color w:val="auto"/>
                <w:sz w:val="21"/>
                <w:szCs w:val="21"/>
                <w:highlight w:val="none"/>
                <w:u w:val="single"/>
              </w:rPr>
              <w:t>3</w:t>
            </w:r>
            <w:r>
              <w:rPr>
                <w:rFonts w:hint="eastAsia" w:ascii="仿宋" w:hAnsi="仿宋" w:eastAsia="仿宋" w:cs="仿宋"/>
                <w:color w:val="auto"/>
                <w:sz w:val="21"/>
                <w:szCs w:val="21"/>
                <w:highlight w:val="none"/>
              </w:rPr>
              <w:t>天（最后一天需为工作日，如非工作日则顺延至下个工作日）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7.4</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是否授权评标委员会确定中标人</w:t>
            </w:r>
          </w:p>
        </w:tc>
        <w:tc>
          <w:tcPr>
            <w:tcW w:w="6415" w:type="dxa"/>
            <w:vAlign w:val="center"/>
          </w:tcPr>
          <w:p>
            <w:pPr>
              <w:snapToGrid w:val="0"/>
              <w:ind w:left="108" w:right="106"/>
              <w:rPr>
                <w:rFonts w:hint="eastAsia" w:ascii="仿宋" w:hAnsi="仿宋" w:eastAsia="仿宋" w:cs="仿宋"/>
                <w:sz w:val="21"/>
                <w:szCs w:val="21"/>
              </w:rPr>
            </w:pPr>
            <w:r>
              <w:rPr>
                <w:rFonts w:hint="eastAsia" w:ascii="仿宋" w:hAnsi="仿宋" w:eastAsia="仿宋" w:cs="仿宋"/>
                <w:sz w:val="21"/>
                <w:szCs w:val="21"/>
              </w:rPr>
              <w:sym w:font="Wingdings 2" w:char="00A3"/>
            </w:r>
            <w:r>
              <w:rPr>
                <w:rFonts w:hint="eastAsia" w:ascii="仿宋" w:hAnsi="仿宋" w:eastAsia="仿宋" w:cs="仿宋"/>
                <w:sz w:val="21"/>
                <w:szCs w:val="21"/>
              </w:rPr>
              <w:t>是</w:t>
            </w:r>
          </w:p>
          <w:p>
            <w:pPr>
              <w:snapToGrid w:val="0"/>
              <w:ind w:left="108" w:right="106"/>
              <w:rPr>
                <w:rFonts w:hint="eastAsia" w:ascii="仿宋" w:hAnsi="仿宋" w:eastAsia="仿宋" w:cs="仿宋"/>
                <w:sz w:val="21"/>
                <w:szCs w:val="21"/>
              </w:rPr>
            </w:pPr>
            <w:r>
              <w:rPr>
                <w:rFonts w:hint="eastAsia" w:ascii="仿宋" w:hAnsi="仿宋" w:eastAsia="仿宋" w:cs="仿宋"/>
                <w:sz w:val="21"/>
                <w:szCs w:val="21"/>
              </w:rPr>
              <w:t>■否</w:t>
            </w:r>
          </w:p>
          <w:p>
            <w:pPr>
              <w:snapToGrid w:val="0"/>
              <w:ind w:left="108" w:right="106"/>
              <w:rPr>
                <w:rFonts w:hint="eastAsia" w:ascii="仿宋" w:hAnsi="仿宋" w:eastAsia="仿宋" w:cs="仿宋"/>
                <w:sz w:val="21"/>
                <w:szCs w:val="21"/>
              </w:rPr>
            </w:pPr>
            <w:r>
              <w:rPr>
                <w:rFonts w:hint="eastAsia" w:ascii="仿宋" w:hAnsi="仿宋" w:eastAsia="仿宋" w:cs="仿宋"/>
                <w:sz w:val="21"/>
                <w:szCs w:val="21"/>
              </w:rPr>
              <w:t>1、招标人依据评标委员会推荐的中标候选人确定中标人。</w:t>
            </w:r>
          </w:p>
          <w:p>
            <w:pPr>
              <w:snapToGrid w:val="0"/>
              <w:ind w:left="108" w:right="106"/>
              <w:rPr>
                <w:rFonts w:hint="eastAsia" w:ascii="仿宋" w:hAnsi="仿宋" w:eastAsia="仿宋" w:cs="仿宋"/>
                <w:sz w:val="21"/>
                <w:szCs w:val="21"/>
              </w:rPr>
            </w:pPr>
            <w:r>
              <w:rPr>
                <w:rFonts w:hint="eastAsia" w:ascii="仿宋" w:hAnsi="仿宋" w:eastAsia="仿宋" w:cs="仿宋"/>
                <w:sz w:val="21"/>
                <w:szCs w:val="21"/>
              </w:rPr>
              <w:t>2、依法必须进行公开招标的项目，招标人确定排名第一的中标候选人为中标人。</w:t>
            </w:r>
          </w:p>
          <w:p>
            <w:pPr>
              <w:snapToGrid w:val="0"/>
              <w:ind w:left="108" w:right="106"/>
              <w:rPr>
                <w:rFonts w:hint="eastAsia" w:ascii="仿宋" w:hAnsi="仿宋" w:eastAsia="仿宋" w:cs="仿宋"/>
                <w:sz w:val="21"/>
                <w:szCs w:val="21"/>
              </w:rPr>
            </w:pPr>
            <w:r>
              <w:rPr>
                <w:rFonts w:hint="eastAsia" w:ascii="仿宋" w:hAnsi="仿宋" w:eastAsia="仿宋" w:cs="仿宋"/>
                <w:sz w:val="21"/>
                <w:szCs w:val="21"/>
              </w:rPr>
              <w:t>3、排名第一的中标候选人放弃中标、或被取消中标资格，或因不可抗力提出不能履行合同，或者招标文件规定应当提交履约担保而在规定的期限内未能提交的，或经核查发现委派的总监理工程师不符合任职数量规定的，招标人可以按照中标候选人顺序依次上升替补定标，以此类推。</w:t>
            </w:r>
          </w:p>
          <w:p>
            <w:pPr>
              <w:pStyle w:val="23"/>
              <w:ind w:left="210" w:leftChars="100" w:firstLine="0" w:firstLineChars="0"/>
              <w:jc w:val="left"/>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4、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2" w:hRule="atLeast"/>
          <w:jc w:val="center"/>
        </w:trPr>
        <w:tc>
          <w:tcPr>
            <w:tcW w:w="1182"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7.6.1</w:t>
            </w:r>
          </w:p>
        </w:tc>
        <w:tc>
          <w:tcPr>
            <w:tcW w:w="2187"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w:t>
            </w:r>
          </w:p>
        </w:tc>
        <w:tc>
          <w:tcPr>
            <w:tcW w:w="6415" w:type="dxa"/>
            <w:vAlign w:val="center"/>
          </w:tcPr>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是否要求中标人提交履约保证金：</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2" w:char="00A3"/>
            </w:r>
            <w:r>
              <w:rPr>
                <w:rFonts w:hint="eastAsia" w:ascii="仿宋" w:hAnsi="仿宋" w:eastAsia="仿宋" w:cs="仿宋"/>
                <w:color w:val="auto"/>
                <w:sz w:val="21"/>
                <w:szCs w:val="21"/>
                <w:highlight w:val="none"/>
              </w:rPr>
              <w:t>要求：</w:t>
            </w:r>
            <w:r>
              <w:rPr>
                <w:rFonts w:hint="eastAsia" w:ascii="仿宋" w:hAnsi="仿宋" w:eastAsia="仿宋" w:cs="仿宋"/>
                <w:strike/>
                <w:color w:val="auto"/>
                <w:sz w:val="21"/>
                <w:szCs w:val="21"/>
                <w:highlight w:val="none"/>
              </w:rPr>
              <w:t>投标人提供的履约保证金额为中标价款（人民币）的10%，以银行保函形式提供，履约保函有效期至项目竣工验收为止。</w:t>
            </w:r>
          </w:p>
          <w:p>
            <w:pPr>
              <w:pStyle w:val="10"/>
              <w:topLinePunct/>
              <w:snapToGrid w:val="0"/>
              <w:rPr>
                <w:rFonts w:hint="eastAsia" w:ascii="仿宋" w:hAnsi="仿宋" w:eastAsia="仿宋" w:cs="仿宋"/>
                <w:color w:val="auto"/>
                <w:sz w:val="21"/>
                <w:szCs w:val="21"/>
                <w:highlight w:val="none"/>
              </w:rPr>
            </w:pPr>
            <w:r>
              <w:rPr>
                <w:rFonts w:hint="eastAsia" w:ascii="仿宋" w:hAnsi="仿宋" w:eastAsia="仿宋" w:cs="仿宋"/>
                <w:sz w:val="21"/>
                <w:szCs w:val="21"/>
              </w:rPr>
              <w:sym w:font="Wingdings 2" w:char="0052"/>
            </w:r>
            <w:r>
              <w:rPr>
                <w:rFonts w:hint="eastAsia" w:ascii="仿宋" w:hAnsi="仿宋" w:eastAsia="仿宋" w:cs="仿宋"/>
                <w:color w:val="auto"/>
                <w:sz w:val="21"/>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36" w:hRule="atLeast"/>
          <w:jc w:val="center"/>
        </w:trPr>
        <w:tc>
          <w:tcPr>
            <w:tcW w:w="1182" w:type="dxa"/>
            <w:vAlign w:val="center"/>
          </w:tcPr>
          <w:p>
            <w:pPr>
              <w:snapToGrid w:val="0"/>
              <w:jc w:val="center"/>
              <w:rPr>
                <w:rFonts w:ascii="宋体" w:hAnsi="宋体"/>
                <w:color w:val="auto"/>
                <w:szCs w:val="21"/>
                <w:highlight w:val="none"/>
              </w:rPr>
            </w:pPr>
            <w:r>
              <w:rPr>
                <w:rFonts w:ascii="宋体" w:hAnsi="宋体"/>
                <w:color w:val="auto"/>
                <w:szCs w:val="21"/>
                <w:highlight w:val="none"/>
              </w:rPr>
              <w:t>9</w:t>
            </w:r>
          </w:p>
        </w:tc>
        <w:tc>
          <w:tcPr>
            <w:tcW w:w="2187" w:type="dxa"/>
            <w:vAlign w:val="center"/>
          </w:tcPr>
          <w:p>
            <w:pPr>
              <w:snapToGrid w:val="0"/>
              <w:jc w:val="center"/>
              <w:rPr>
                <w:rFonts w:ascii="宋体" w:hAnsi="宋体"/>
                <w:color w:val="auto"/>
                <w:szCs w:val="21"/>
                <w:highlight w:val="none"/>
              </w:rPr>
            </w:pPr>
            <w:r>
              <w:rPr>
                <w:rFonts w:hint="eastAsia" w:ascii="仿宋" w:hAnsi="仿宋" w:eastAsia="仿宋" w:cs="仿宋"/>
                <w:kern w:val="2"/>
                <w:sz w:val="21"/>
                <w:szCs w:val="21"/>
                <w:lang w:val="en-US" w:eastAsia="zh-CN" w:bidi="ar-SA"/>
              </w:rPr>
              <w:t>是否采用电子招标投标</w:t>
            </w:r>
          </w:p>
        </w:tc>
        <w:tc>
          <w:tcPr>
            <w:tcW w:w="6415" w:type="dxa"/>
            <w:vAlign w:val="center"/>
          </w:tcPr>
          <w:p>
            <w:pPr>
              <w:rPr>
                <w:color w:val="auto"/>
                <w:highlight w:val="none"/>
              </w:rPr>
            </w:pP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sym w:font="Wingdings 2" w:char="00A3"/>
            </w:r>
            <w:r>
              <w:rPr>
                <w:rFonts w:hint="eastAsia" w:ascii="仿宋" w:hAnsi="仿宋" w:eastAsia="仿宋" w:cs="仿宋"/>
                <w:kern w:val="2"/>
                <w:sz w:val="21"/>
                <w:szCs w:val="21"/>
                <w:lang w:val="en-US" w:eastAsia="zh-CN" w:bidi="ar-SA"/>
              </w:rPr>
              <w:t>否</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■是，具体要求：</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1、具体操作详见广州公共资源交易中心发布的最新版本《房屋建筑和市政基础设施工程全流程电子化项目专章》。</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2、提交投标文件光盘备用</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人将按广州公共资源交易中心发布的最新版本《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3、补救方案</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（1）投标文件解密失败的补救方案</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（2）评标时突发情况的补救方案</w:t>
            </w:r>
          </w:p>
          <w:p>
            <w:pPr>
              <w:pStyle w:val="10"/>
              <w:topLinePunct/>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若遇不可抗力发生（如：网络瘫痪、服务器损坏、交易系统故障短期无法恢复等因素），由评标委员会开启现场递交的全部投标文件光盘，并按光盘内容进行评审。</w:t>
            </w:r>
          </w:p>
          <w:p>
            <w:pPr>
              <w:pStyle w:val="10"/>
              <w:topLinePunct/>
              <w:snapToGrid w:val="0"/>
              <w:rPr>
                <w:rFonts w:hAnsi="宋体"/>
                <w:color w:val="auto"/>
                <w:szCs w:val="21"/>
                <w:highlight w:val="none"/>
              </w:rPr>
            </w:pPr>
            <w:r>
              <w:rPr>
                <w:rFonts w:hint="eastAsia" w:ascii="仿宋" w:hAnsi="仿宋" w:eastAsia="仿宋" w:cs="仿宋"/>
                <w:kern w:val="2"/>
                <w:sz w:val="21"/>
                <w:szCs w:val="21"/>
                <w:lang w:val="en-US" w:eastAsia="zh-CN" w:bidi="ar-SA"/>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182" w:type="dxa"/>
            <w:vAlign w:val="center"/>
          </w:tcPr>
          <w:p>
            <w:pPr>
              <w:snapToGrid w:val="0"/>
              <w:jc w:val="center"/>
              <w:rPr>
                <w:rFonts w:ascii="宋体" w:hAnsi="宋体"/>
                <w:color w:val="auto"/>
                <w:szCs w:val="21"/>
                <w:highlight w:val="none"/>
              </w:rPr>
            </w:pPr>
            <w:r>
              <w:rPr>
                <w:rFonts w:ascii="宋体" w:hAnsi="宋体"/>
                <w:color w:val="auto"/>
                <w:szCs w:val="21"/>
                <w:highlight w:val="none"/>
              </w:rPr>
              <w:t>10</w:t>
            </w:r>
          </w:p>
        </w:tc>
        <w:tc>
          <w:tcPr>
            <w:tcW w:w="2187" w:type="dxa"/>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需要补充的其他内容</w:t>
            </w:r>
          </w:p>
        </w:tc>
        <w:tc>
          <w:tcPr>
            <w:tcW w:w="6415" w:type="dxa"/>
            <w:vAlign w:val="center"/>
          </w:tcPr>
          <w:p>
            <w:pPr>
              <w:snapToGrid w:val="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182"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10.1</w:t>
            </w:r>
          </w:p>
        </w:tc>
        <w:tc>
          <w:tcPr>
            <w:tcW w:w="2187" w:type="dxa"/>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监理费支付</w:t>
            </w:r>
          </w:p>
        </w:tc>
        <w:tc>
          <w:tcPr>
            <w:tcW w:w="6415" w:type="dxa"/>
            <w:vAlign w:val="center"/>
          </w:tcPr>
          <w:p>
            <w:p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监理费由招标人支付。监理费支付方式详见“监理合同”。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1182"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10.2</w:t>
            </w:r>
          </w:p>
        </w:tc>
        <w:tc>
          <w:tcPr>
            <w:tcW w:w="2187" w:type="dxa"/>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其他费用</w:t>
            </w:r>
          </w:p>
        </w:tc>
        <w:tc>
          <w:tcPr>
            <w:tcW w:w="6415"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交易服务费：根据广州公共资源交易中心相关文件规定缴纳。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jc w:val="center"/>
        </w:trPr>
        <w:tc>
          <w:tcPr>
            <w:tcW w:w="1182"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10.3</w:t>
            </w:r>
          </w:p>
        </w:tc>
        <w:tc>
          <w:tcPr>
            <w:tcW w:w="2187" w:type="dxa"/>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潜在投标人或利害关系人对本招标公告及招标文件内容异议的，向招标人书面提出。</w:t>
            </w:r>
          </w:p>
        </w:tc>
        <w:tc>
          <w:tcPr>
            <w:tcW w:w="6415"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1）异议受理部门：广州市增城排水有限公司；</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2）联系电话： 020-82663316 ；</w:t>
            </w:r>
          </w:p>
          <w:p>
            <w:p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3）地址：广州市增城区荔城街荔乡路81号融媒体中心第八层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182"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10.4</w:t>
            </w:r>
          </w:p>
        </w:tc>
        <w:tc>
          <w:tcPr>
            <w:tcW w:w="2187"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招标监督机构</w:t>
            </w:r>
          </w:p>
        </w:tc>
        <w:tc>
          <w:tcPr>
            <w:tcW w:w="6415"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招标监督机构：广州市增城区水务局</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监管电话：020-82639502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9" w:hRule="atLeast"/>
          <w:jc w:val="center"/>
        </w:trPr>
        <w:tc>
          <w:tcPr>
            <w:tcW w:w="1182"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10.5</w:t>
            </w:r>
          </w:p>
        </w:tc>
        <w:tc>
          <w:tcPr>
            <w:tcW w:w="2187"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资格审查方式</w:t>
            </w:r>
          </w:p>
        </w:tc>
        <w:tc>
          <w:tcPr>
            <w:tcW w:w="6415"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1）本项目采用资格后审方式，满足资格审查合格条件的投标申请人不足3名时为招标失败。招标人分析招标失败原因，修正招标方案，报有关管理部门核准后，重新组织招标。</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2）招标人因两次或多次招标失败，需申请改变招标方式或不招标的，应按《广东省实施〈中华人民共和国招标投标法〉办法》（省第十届人大常委会第二次会议通过2003.4.2）的第四十条规定执行。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4" w:hRule="atLeast"/>
          <w:jc w:val="center"/>
        </w:trPr>
        <w:tc>
          <w:tcPr>
            <w:tcW w:w="1182"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10.6</w:t>
            </w:r>
          </w:p>
        </w:tc>
        <w:tc>
          <w:tcPr>
            <w:tcW w:w="2187"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特别提示</w:t>
            </w:r>
          </w:p>
        </w:tc>
        <w:tc>
          <w:tcPr>
            <w:tcW w:w="6415"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1）投标人在本项目招标人的工程项目中存在下列行为的，将被拒绝一年内参与我单位后续工程投标。</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2)将中标工程转包或者违法分包的。</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3)在中标工程中不执行质量、安全生产相关规定的，造成质量或安全事故的。</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4)存在围标或串标情形的。</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1182"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10.7</w:t>
            </w:r>
          </w:p>
        </w:tc>
        <w:tc>
          <w:tcPr>
            <w:tcW w:w="2187"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其他</w:t>
            </w:r>
          </w:p>
        </w:tc>
        <w:tc>
          <w:tcPr>
            <w:tcW w:w="6415" w:type="dxa"/>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1）在产生中标候选人后，招标人将中标候选人的投标文件商务部分的电子版（报价清单、方案等涉及商业秘密的内容除外）在广州公共资源交易中心网站公开。</w:t>
            </w:r>
          </w:p>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2）本项目招标代理报酬由中标单位按照招标人与招标代理单位签订的招标代理合同的约定支付。</w:t>
            </w:r>
          </w:p>
        </w:tc>
      </w:tr>
    </w:tbl>
    <w:p>
      <w:pPr>
        <w:snapToGrid w:val="0"/>
        <w:spacing w:line="360" w:lineRule="auto"/>
        <w:rPr>
          <w:rFonts w:ascii="Times New Roman" w:hAnsi="Times New Roman"/>
          <w:color w:val="auto"/>
          <w:highlight w:val="none"/>
        </w:rPr>
      </w:pPr>
      <w:r>
        <w:rPr>
          <w:rFonts w:hint="eastAsia" w:ascii="宋体" w:hAnsi="宋体"/>
          <w:color w:val="auto"/>
          <w:sz w:val="24"/>
          <w:szCs w:val="24"/>
          <w:highlight w:val="none"/>
        </w:rPr>
        <w:br w:type="page"/>
      </w:r>
      <w:bookmarkStart w:id="89" w:name="_Toc20742"/>
      <w:bookmarkStart w:id="90" w:name="_Toc527028502"/>
      <w:bookmarkStart w:id="91" w:name="_Toc527028850"/>
      <w:bookmarkStart w:id="92" w:name="_Toc520310853"/>
      <w:bookmarkStart w:id="93" w:name="_Toc527028679"/>
      <w:r>
        <w:rPr>
          <w:rFonts w:hint="eastAsia" w:ascii="宋体" w:hAnsi="宋体"/>
          <w:color w:val="auto"/>
          <w:sz w:val="24"/>
          <w:szCs w:val="24"/>
          <w:highlight w:val="none"/>
        </w:rPr>
        <w:t xml:space="preserve">    </w:t>
      </w:r>
      <w:r>
        <w:rPr>
          <w:rFonts w:ascii="Times New Roman" w:hAnsi="Times New Roman"/>
          <w:b/>
          <w:color w:val="auto"/>
          <w:kern w:val="44"/>
          <w:sz w:val="44"/>
          <w:szCs w:val="20"/>
          <w:highlight w:val="none"/>
        </w:rPr>
        <w:t>1. 总则</w:t>
      </w:r>
      <w:bookmarkEnd w:id="89"/>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94" w:name="_Toc24358"/>
      <w:bookmarkStart w:id="95" w:name="_Toc89870550"/>
      <w:r>
        <w:rPr>
          <w:rFonts w:ascii="Times New Roman" w:hAnsi="Times New Roman"/>
          <w:color w:val="auto"/>
          <w:sz w:val="24"/>
          <w:szCs w:val="24"/>
          <w:highlight w:val="none"/>
        </w:rPr>
        <w:t>1.1 招标项目概况</w:t>
      </w:r>
      <w:bookmarkEnd w:id="94"/>
      <w:bookmarkEnd w:id="9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1.1.1根据《中华人民共和国招标投标法》、《中华人民共和国招标投标法实施条例》等有关法律、法规和规章的规定，本招标项目已具备招标条件，现对监理进行招标。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 招标人：见投标人须知前附表。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1.1.3 招标代理机构：见投标人须知前附表。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1.1.4 招标项目名称：见投标人须知前附表。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1.1.5 项目建设地点：见投标人须知前附表。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1.1.6 项目建设规模：见投标人须知前附表。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1.1.7 </w:t>
      </w:r>
      <w:r>
        <w:rPr>
          <w:rFonts w:hint="eastAsia" w:ascii="Times New Roman" w:hAnsi="Times New Roman"/>
          <w:color w:val="auto"/>
          <w:sz w:val="24"/>
          <w:szCs w:val="24"/>
          <w:highlight w:val="none"/>
        </w:rPr>
        <w:t>工程项目施工预计开工日期和建设周期：见投标人须知前附表。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1.1.8 </w:t>
      </w:r>
      <w:r>
        <w:rPr>
          <w:rFonts w:hint="eastAsia" w:ascii="Times New Roman" w:hAnsi="Times New Roman"/>
          <w:color w:val="auto"/>
          <w:sz w:val="24"/>
          <w:szCs w:val="24"/>
          <w:highlight w:val="none"/>
        </w:rPr>
        <w:t>建筑安装工程费</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工程概算：见投标人须知前附表。</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96" w:name="_Toc3884"/>
      <w:bookmarkStart w:id="97" w:name="_Toc89870551"/>
      <w:r>
        <w:rPr>
          <w:rFonts w:ascii="Times New Roman" w:hAnsi="Times New Roman"/>
          <w:color w:val="auto"/>
          <w:sz w:val="24"/>
          <w:szCs w:val="24"/>
          <w:highlight w:val="none"/>
        </w:rPr>
        <w:t>1.2 招标项目的资金来源和落实情况</w:t>
      </w:r>
      <w:bookmarkEnd w:id="96"/>
      <w:bookmarkEnd w:id="97"/>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1.2.1 资金来源及比例：见投标人须知前附表。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1.2.2 资金落实情况：见投标人须知前附表。</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98" w:name="_Toc89870552"/>
      <w:bookmarkStart w:id="99" w:name="_Toc18715"/>
      <w:r>
        <w:rPr>
          <w:rFonts w:ascii="Times New Roman" w:hAnsi="Times New Roman"/>
          <w:color w:val="auto"/>
          <w:sz w:val="24"/>
          <w:szCs w:val="24"/>
          <w:highlight w:val="none"/>
        </w:rPr>
        <w:t>1.3招标范围、监理服务期限和质量标准</w:t>
      </w:r>
      <w:bookmarkEnd w:id="98"/>
      <w:bookmarkEnd w:id="99"/>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1.3.1 招标范围：见投标人须知前附表。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1.3.2 监理服务期限：见投标人须知前附表。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1.3.3 质量标准：见投标人须知前附表。</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00" w:name="_Toc29112"/>
      <w:bookmarkStart w:id="101" w:name="_Toc89870553"/>
      <w:r>
        <w:rPr>
          <w:rFonts w:ascii="Times New Roman" w:hAnsi="Times New Roman"/>
          <w:color w:val="auto"/>
          <w:sz w:val="24"/>
          <w:szCs w:val="24"/>
          <w:highlight w:val="none"/>
        </w:rPr>
        <w:t>1.4投标人资格要求</w:t>
      </w:r>
      <w:bookmarkEnd w:id="100"/>
      <w:bookmarkEnd w:id="101"/>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1.4.1 投标人应具备承担本招标项目资质条件、能力和信誉：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（1）资质要求：见投标人须知前附表；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（2）财务要求：见投标人须知前附表；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（3）业绩要求：见投标人须知前附表；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（4）信誉要求：见投标人须知前附表；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（5）总监理工程师的资格要求：应当具备工程注册监理工程师执业资格</w:t>
      </w:r>
      <w:r>
        <w:rPr>
          <w:rFonts w:hint="eastAsia" w:ascii="Times New Roman" w:hAnsi="Times New Roman"/>
          <w:color w:val="auto"/>
          <w:sz w:val="24"/>
          <w:szCs w:val="24"/>
          <w:highlight w:val="none"/>
        </w:rPr>
        <w:t>（如有）</w:t>
      </w:r>
      <w:r>
        <w:rPr>
          <w:rFonts w:ascii="Times New Roman" w:hAnsi="Times New Roman"/>
          <w:color w:val="auto"/>
          <w:sz w:val="24"/>
          <w:szCs w:val="24"/>
          <w:highlight w:val="none"/>
        </w:rPr>
        <w:t>，具体要求见投标人须知前附表；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（6）其他主要人员要求：见投标人须知前附表</w:t>
      </w:r>
      <w:r>
        <w:rPr>
          <w:rFonts w:hint="eastAsia" w:ascii="Times New Roman" w:hAnsi="Times New Roman"/>
          <w:color w:val="auto"/>
          <w:sz w:val="24"/>
          <w:szCs w:val="24"/>
          <w:highlight w:val="none"/>
          <w:lang w:eastAsia="zh-CN"/>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（7）试验检测仪器设备要求：见投标人须知前附表</w:t>
      </w:r>
      <w:r>
        <w:rPr>
          <w:rFonts w:hint="eastAsia" w:ascii="Times New Roman" w:hAnsi="Times New Roman"/>
          <w:color w:val="auto"/>
          <w:sz w:val="24"/>
          <w:szCs w:val="24"/>
          <w:highlight w:val="none"/>
          <w:lang w:eastAsia="zh-CN"/>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（8）其他要求：见投标人须知前附表。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需要提交的相关证明材料见本章第3.5款的规定。</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1.4.2</w:t>
      </w:r>
      <w:r>
        <w:rPr>
          <w:rFonts w:hint="eastAsia" w:ascii="Times New Roman" w:hAnsi="Times New Roman"/>
          <w:strike/>
          <w:color w:val="auto"/>
          <w:sz w:val="24"/>
          <w:szCs w:val="24"/>
          <w:highlight w:val="none"/>
        </w:rPr>
        <w:t>投标人须知前附表规定接受联合体投标的，联合体除应符合本章第</w:t>
      </w:r>
      <w:r>
        <w:rPr>
          <w:rFonts w:ascii="Times New Roman" w:hAnsi="Times New Roman"/>
          <w:strike/>
          <w:color w:val="auto"/>
          <w:sz w:val="24"/>
          <w:szCs w:val="24"/>
          <w:highlight w:val="none"/>
        </w:rPr>
        <w:t>1.4.1</w:t>
      </w:r>
      <w:r>
        <w:rPr>
          <w:rFonts w:hint="eastAsia" w:ascii="Times New Roman" w:hAnsi="Times New Roman"/>
          <w:strike/>
          <w:color w:val="auto"/>
          <w:sz w:val="24"/>
          <w:szCs w:val="24"/>
          <w:highlight w:val="none"/>
        </w:rPr>
        <w:t>项和投标人须知前附表的要求外，还应遵守以下规定：</w:t>
      </w:r>
    </w:p>
    <w:p>
      <w:pPr>
        <w:spacing w:line="360" w:lineRule="auto"/>
        <w:ind w:firstLine="480" w:firstLineChars="200"/>
        <w:rPr>
          <w:rFonts w:ascii="Times New Roman" w:hAnsi="Times New Roman"/>
          <w:strike/>
          <w:color w:val="auto"/>
          <w:sz w:val="24"/>
          <w:szCs w:val="24"/>
          <w:highlight w:val="none"/>
        </w:rPr>
      </w:pP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1</w:t>
      </w:r>
      <w:r>
        <w:rPr>
          <w:rFonts w:hint="eastAsia" w:ascii="Times New Roman" w:hAnsi="Times New Roman"/>
          <w:strike/>
          <w:color w:val="auto"/>
          <w:sz w:val="24"/>
          <w:szCs w:val="24"/>
          <w:highlight w:val="none"/>
        </w:rPr>
        <w:t>）联合体各方应按招标文件提供的格式签订联合体协议书，明确联合体牵头人和各方权利义务，并承诺就中标项目向招标人承担连带责任；</w:t>
      </w:r>
    </w:p>
    <w:p>
      <w:pPr>
        <w:spacing w:line="360" w:lineRule="auto"/>
        <w:ind w:firstLine="480" w:firstLineChars="200"/>
        <w:rPr>
          <w:rFonts w:ascii="Times New Roman" w:hAnsi="Times New Roman"/>
          <w:strike/>
          <w:color w:val="auto"/>
          <w:sz w:val="24"/>
          <w:szCs w:val="24"/>
          <w:highlight w:val="none"/>
        </w:rPr>
      </w:pP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2</w:t>
      </w:r>
      <w:r>
        <w:rPr>
          <w:rFonts w:hint="eastAsia" w:ascii="Times New Roman" w:hAnsi="Times New Roman"/>
          <w:strike/>
          <w:color w:val="auto"/>
          <w:sz w:val="24"/>
          <w:szCs w:val="24"/>
          <w:highlight w:val="none"/>
        </w:rPr>
        <w:t>）由同一专业的单位组成的联合体，按照资质等级较低的单位确定资质等级；</w:t>
      </w:r>
    </w:p>
    <w:p>
      <w:pPr>
        <w:spacing w:line="360" w:lineRule="auto"/>
        <w:ind w:firstLine="480" w:firstLineChars="200"/>
        <w:rPr>
          <w:rFonts w:ascii="Times New Roman" w:hAnsi="Times New Roman"/>
          <w:strike/>
          <w:color w:val="auto"/>
          <w:sz w:val="24"/>
          <w:szCs w:val="24"/>
          <w:highlight w:val="none"/>
        </w:rPr>
      </w:pPr>
      <w:r>
        <w:rPr>
          <w:rFonts w:hint="eastAsia" w:ascii="Times New Roman" w:hAnsi="Times New Roman"/>
          <w:strike/>
          <w:color w:val="auto"/>
          <w:sz w:val="24"/>
          <w:szCs w:val="24"/>
          <w:highlight w:val="none"/>
        </w:rPr>
        <w:t>（</w:t>
      </w:r>
      <w:r>
        <w:rPr>
          <w:rFonts w:ascii="Times New Roman" w:hAnsi="Times New Roman"/>
          <w:strike/>
          <w:color w:val="auto"/>
          <w:sz w:val="24"/>
          <w:szCs w:val="24"/>
          <w:highlight w:val="none"/>
        </w:rPr>
        <w:t>3</w:t>
      </w:r>
      <w:r>
        <w:rPr>
          <w:rFonts w:hint="eastAsia" w:ascii="Times New Roman" w:hAnsi="Times New Roman"/>
          <w:strike/>
          <w:color w:val="auto"/>
          <w:sz w:val="24"/>
          <w:szCs w:val="24"/>
          <w:highlight w:val="none"/>
        </w:rPr>
        <w:t>）联合体各方不得再以自己名义单独或参加其他联合体在本招标项目中投标，否则各相关投标均无效。</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 投标人不得存在下列情形之一：</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（1）为招标人不具有独立法人资格的附属机构（单位）；</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（2）与招标人存在利害关系且可能影响招标公正性；</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（3）与本招标项目的其他投标人为同一个单位负责人；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（4）与本招标项目的其他投标人存在控股、管理关系；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（5）为本招标项目的代建人；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（6）为本招标项目的招标代理机构；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（7）与本招标项目的代建人或招标代理机构同为一个法定代表人；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（8）与本招标项目的代建人或招标代理机构存在控股或参股关系；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w:t>
      </w:r>
      <w:r>
        <w:rPr>
          <w:rFonts w:hint="eastAsia" w:ascii="Times New Roman" w:hAnsi="Times New Roman"/>
          <w:color w:val="auto"/>
          <w:sz w:val="24"/>
          <w:szCs w:val="24"/>
          <w:highlight w:val="none"/>
        </w:rPr>
        <w:t>与</w:t>
      </w:r>
      <w:r>
        <w:rPr>
          <w:rFonts w:ascii="Times New Roman" w:hAnsi="Times New Roman"/>
          <w:color w:val="auto"/>
          <w:sz w:val="24"/>
          <w:szCs w:val="24"/>
          <w:highlight w:val="none"/>
        </w:rPr>
        <w:t>本招标项目</w:t>
      </w:r>
      <w:r>
        <w:rPr>
          <w:rFonts w:hint="eastAsia" w:ascii="Times New Roman" w:hAnsi="Times New Roman"/>
          <w:color w:val="auto"/>
          <w:sz w:val="24"/>
          <w:szCs w:val="24"/>
          <w:highlight w:val="none"/>
        </w:rPr>
        <w:t>的施工承包人以</w:t>
      </w:r>
      <w:r>
        <w:rPr>
          <w:rFonts w:ascii="Times New Roman" w:hAnsi="Times New Roman"/>
          <w:color w:val="auto"/>
          <w:sz w:val="24"/>
          <w:szCs w:val="24"/>
          <w:highlight w:val="none"/>
        </w:rPr>
        <w:t>及建筑材料、建筑构配件和设备供应商有隶属关系或者其他利害关系；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（10）被依法暂停或者取消投标资格；</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（11）被责令停产停业、暂扣或者吊销许可证、暂扣或者吊销执照；</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（12）进入清算程序，或被宣告破产，或其他丧失履约能力的情形；</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（13）在最近三年内发生重大监理质量问题（以相关行业主管部门的行政处罚决定或司法机关出具的有关法律文书为准）；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（14）被工商行政管理机关在全国企业信用信息公示系统中列入严重违法失信企业名单；</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（15）被最高人民法院在</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信用中国</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网站（www.creditchina.gov.cn）或各级信用信息共享平台中列入失信被执行人名单；</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（16） 在近三年内投标人或其法定代表人、拟委任的总监理工程师有行贿犯罪行为的；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7</w:t>
      </w:r>
      <w:r>
        <w:rPr>
          <w:rFonts w:ascii="Times New Roman" w:hAnsi="Times New Roman"/>
          <w:color w:val="auto"/>
          <w:sz w:val="24"/>
          <w:szCs w:val="24"/>
          <w:highlight w:val="none"/>
        </w:rPr>
        <w:t>）法律法规或投标人须知前附表规定的其他情形。</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02" w:name="_Toc5975"/>
      <w:bookmarkStart w:id="103" w:name="_Toc89870554"/>
      <w:r>
        <w:rPr>
          <w:rFonts w:ascii="Times New Roman" w:hAnsi="Times New Roman"/>
          <w:color w:val="auto"/>
          <w:sz w:val="24"/>
          <w:szCs w:val="24"/>
          <w:highlight w:val="none"/>
        </w:rPr>
        <w:t xml:space="preserve">1.5 </w:t>
      </w:r>
      <w:r>
        <w:rPr>
          <w:rFonts w:hint="eastAsia" w:ascii="Times New Roman" w:hAnsi="Times New Roman"/>
          <w:color w:val="auto"/>
          <w:sz w:val="24"/>
          <w:szCs w:val="24"/>
          <w:highlight w:val="none"/>
        </w:rPr>
        <w:t>费用承担</w:t>
      </w:r>
      <w:bookmarkEnd w:id="102"/>
      <w:bookmarkEnd w:id="10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投标人准备和参加投标活动发生的费用自理。</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04" w:name="_Toc89870555"/>
      <w:bookmarkStart w:id="105" w:name="_Toc8200"/>
      <w:r>
        <w:rPr>
          <w:rFonts w:ascii="Times New Roman" w:hAnsi="Times New Roman"/>
          <w:color w:val="auto"/>
          <w:sz w:val="24"/>
          <w:szCs w:val="24"/>
          <w:highlight w:val="none"/>
        </w:rPr>
        <w:t>1.6</w:t>
      </w:r>
      <w:r>
        <w:rPr>
          <w:rFonts w:hint="eastAsia" w:ascii="Times New Roman" w:hAnsi="Times New Roman"/>
          <w:color w:val="auto"/>
          <w:sz w:val="24"/>
          <w:szCs w:val="24"/>
          <w:highlight w:val="none"/>
        </w:rPr>
        <w:t>保密</w:t>
      </w:r>
      <w:bookmarkEnd w:id="104"/>
      <w:bookmarkEnd w:id="10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参与招标投标活动的各方应对招标文件和投标文件中</w:t>
      </w:r>
      <w:bookmarkStart w:id="106" w:name="_Toc384308214"/>
      <w:bookmarkStart w:id="107" w:name="_Toc5326"/>
      <w:bookmarkStart w:id="108" w:name="_Toc369531519"/>
      <w:bookmarkStart w:id="109" w:name="_Toc361508589"/>
      <w:bookmarkStart w:id="110" w:name="_Toc352691477"/>
      <w:r>
        <w:rPr>
          <w:rFonts w:ascii="Times New Roman" w:hAnsi="Times New Roman"/>
          <w:color w:val="auto"/>
          <w:sz w:val="24"/>
          <w:szCs w:val="24"/>
          <w:highlight w:val="none"/>
        </w:rPr>
        <w:t>的商业和技术等秘密保密</w:t>
      </w:r>
      <w:bookmarkEnd w:id="106"/>
      <w:bookmarkEnd w:id="107"/>
      <w:bookmarkEnd w:id="108"/>
      <w:bookmarkEnd w:id="109"/>
      <w:bookmarkEnd w:id="110"/>
      <w:r>
        <w:rPr>
          <w:rFonts w:ascii="Times New Roman" w:hAnsi="Times New Roman"/>
          <w:color w:val="auto"/>
          <w:sz w:val="24"/>
          <w:szCs w:val="24"/>
          <w:highlight w:val="none"/>
        </w:rPr>
        <w:t>，否则应承担相应的法律责任。</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11" w:name="_Toc89870556"/>
      <w:bookmarkStart w:id="112" w:name="_Toc20852"/>
      <w:r>
        <w:rPr>
          <w:rFonts w:ascii="Times New Roman" w:hAnsi="Times New Roman"/>
          <w:color w:val="auto"/>
          <w:sz w:val="24"/>
          <w:szCs w:val="24"/>
          <w:highlight w:val="none"/>
        </w:rPr>
        <w:t>1.7 语言文字</w:t>
      </w:r>
      <w:bookmarkEnd w:id="111"/>
      <w:bookmarkEnd w:id="11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招标投标文件使用的语言文字为中文。专用术语使用外文的，应附有中文注释。</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13" w:name="_Toc29220"/>
      <w:bookmarkStart w:id="114" w:name="_Toc89870557"/>
      <w:r>
        <w:rPr>
          <w:rFonts w:ascii="Times New Roman" w:hAnsi="Times New Roman"/>
          <w:color w:val="auto"/>
          <w:sz w:val="24"/>
          <w:szCs w:val="24"/>
          <w:highlight w:val="none"/>
        </w:rPr>
        <w:t>1.8计量单位</w:t>
      </w:r>
      <w:bookmarkEnd w:id="113"/>
      <w:bookmarkEnd w:id="114"/>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所有计量均采用中华人民共和国法定计量单位。</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15" w:name="_Toc152042315"/>
      <w:bookmarkStart w:id="116" w:name="_Toc384308219"/>
      <w:bookmarkStart w:id="117" w:name="_Toc247527563"/>
      <w:bookmarkStart w:id="118" w:name="_Toc482188480"/>
      <w:bookmarkStart w:id="119" w:name="_Toc391393967"/>
      <w:bookmarkStart w:id="120" w:name="_Toc27371"/>
      <w:bookmarkStart w:id="121" w:name="_Toc370676289"/>
      <w:bookmarkStart w:id="122" w:name="_Toc247513962"/>
      <w:bookmarkStart w:id="123" w:name="_Toc144974507"/>
      <w:bookmarkStart w:id="124" w:name="_Toc152045539"/>
      <w:bookmarkStart w:id="125" w:name="_Toc89870558"/>
      <w:bookmarkStart w:id="126" w:name="_Toc361508594"/>
      <w:bookmarkStart w:id="127" w:name="_Toc300834959"/>
      <w:r>
        <w:rPr>
          <w:rFonts w:ascii="Times New Roman" w:hAnsi="Times New Roman"/>
          <w:color w:val="auto"/>
          <w:sz w:val="24"/>
          <w:szCs w:val="24"/>
          <w:highlight w:val="none"/>
        </w:rPr>
        <w:t xml:space="preserve">1.9 </w:t>
      </w:r>
      <w:r>
        <w:rPr>
          <w:rFonts w:hint="eastAsia" w:ascii="Times New Roman" w:hAnsi="Times New Roman"/>
          <w:color w:val="auto"/>
          <w:sz w:val="24"/>
          <w:szCs w:val="24"/>
          <w:highlight w:val="none"/>
        </w:rPr>
        <w:t>踏勘现场</w:t>
      </w:r>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1.9.2 投标人踏勘现场发生的费用自理。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1.9.3 除招标人的原因外，投标人自行负责在踏勘现场中所发生的人员伤亡和财产损失。</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1.9.4 招标人在踏勘现场中介绍的工程场地和相关的周边环境情况，供投标人在编制投标文件时参考，招标人不对投标人据此作出的判断和决策负责。</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28" w:name="_Toc89870559"/>
      <w:bookmarkStart w:id="129" w:name="_Toc17151"/>
      <w:r>
        <w:rPr>
          <w:rFonts w:ascii="Times New Roman" w:hAnsi="Times New Roman"/>
          <w:color w:val="auto"/>
          <w:sz w:val="24"/>
          <w:szCs w:val="24"/>
          <w:highlight w:val="none"/>
        </w:rPr>
        <w:t>1.10投标预备会</w:t>
      </w:r>
      <w:bookmarkEnd w:id="128"/>
      <w:bookmarkEnd w:id="129"/>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1.10.2 投标人应按投标人须知前附表规定的时间和形式将提出的问题送达招标人，以便招标人在会议期间澄清。</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1.10.3 投标预备会后，招标人将对投标人所提问题的澄清，以投标人须知前附表规定的形式通知所有购买招标文件的投标人。该澄清内容为招标文件的组成部分。</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30" w:name="_Toc15034"/>
      <w:bookmarkStart w:id="131" w:name="_Toc89870560"/>
      <w:r>
        <w:rPr>
          <w:rFonts w:ascii="Times New Roman" w:hAnsi="Times New Roman"/>
          <w:color w:val="auto"/>
          <w:sz w:val="24"/>
          <w:szCs w:val="24"/>
          <w:highlight w:val="none"/>
        </w:rPr>
        <w:t>1.11 分包</w:t>
      </w:r>
      <w:bookmarkEnd w:id="130"/>
      <w:bookmarkEnd w:id="131"/>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本项目严禁分包。</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32" w:name="_Toc15891"/>
      <w:bookmarkStart w:id="133" w:name="_Toc89870561"/>
      <w:r>
        <w:rPr>
          <w:rFonts w:ascii="Times New Roman" w:hAnsi="Times New Roman"/>
          <w:color w:val="auto"/>
          <w:sz w:val="24"/>
          <w:szCs w:val="24"/>
          <w:highlight w:val="none"/>
        </w:rPr>
        <w:t>1.12响应和偏差</w:t>
      </w:r>
      <w:bookmarkEnd w:id="132"/>
      <w:bookmarkEnd w:id="13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1.12.2 投标人应根据招标文件的要求提供投标监理大纲等内容以对招标文件作出响应。</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1.12.3投标人须知前附表允许投标文件偏离招标文件某些要求的，偏差应当符合招标文件规定的偏差范围和幅度。</w:t>
      </w:r>
    </w:p>
    <w:p>
      <w:pPr>
        <w:pStyle w:val="2"/>
        <w:keepNext w:val="0"/>
        <w:keepLines w:val="0"/>
        <w:spacing w:before="0" w:after="0" w:line="360" w:lineRule="auto"/>
        <w:ind w:firstLine="643" w:firstLineChars="200"/>
        <w:rPr>
          <w:rFonts w:ascii="Times New Roman" w:hAnsi="Times New Roman"/>
          <w:color w:val="auto"/>
          <w:highlight w:val="none"/>
        </w:rPr>
      </w:pPr>
      <w:bookmarkStart w:id="134" w:name="_Toc29981"/>
      <w:bookmarkStart w:id="135" w:name="_Toc89870562"/>
      <w:r>
        <w:rPr>
          <w:rFonts w:ascii="Times New Roman" w:hAnsi="Times New Roman"/>
          <w:color w:val="auto"/>
          <w:highlight w:val="none"/>
        </w:rPr>
        <w:t>2. 招标文件</w:t>
      </w:r>
      <w:bookmarkEnd w:id="134"/>
      <w:bookmarkEnd w:id="135"/>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36" w:name="_Toc19114"/>
      <w:bookmarkStart w:id="137" w:name="_Toc89870563"/>
      <w:r>
        <w:rPr>
          <w:rFonts w:ascii="Times New Roman" w:hAnsi="Times New Roman"/>
          <w:color w:val="auto"/>
          <w:sz w:val="24"/>
          <w:szCs w:val="24"/>
          <w:highlight w:val="none"/>
        </w:rPr>
        <w:t>2.1 招标文件的组成</w:t>
      </w:r>
      <w:bookmarkEnd w:id="136"/>
      <w:bookmarkEnd w:id="137"/>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本招标文件包括：</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（1）招标公告（或投标邀请书）；</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（2）投标人须知；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（3）评标办法；</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（4）合同条款及格式；</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（5）委托人要求；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（6）投标文件格式；</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（7）投标人须知前附表规定的其他资料。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根据本章第1.10款、第2.2款和第2.3款对招标文件所作的澄清、修改，构成招标文件的组成部分。</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38" w:name="_Toc24624"/>
      <w:bookmarkStart w:id="139" w:name="_Toc89870564"/>
      <w:r>
        <w:rPr>
          <w:rFonts w:ascii="Times New Roman" w:hAnsi="Times New Roman"/>
          <w:color w:val="auto"/>
          <w:sz w:val="24"/>
          <w:szCs w:val="24"/>
          <w:highlight w:val="none"/>
        </w:rPr>
        <w:t>2.2 招标文件的澄清</w:t>
      </w:r>
      <w:bookmarkEnd w:id="138"/>
      <w:bookmarkEnd w:id="139"/>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2.2.3 除非招标人认为确有必要答复，否则，招标人有权拒绝回复投标人在</w:t>
      </w:r>
      <w:r>
        <w:rPr>
          <w:rFonts w:hint="eastAsia" w:ascii="Times New Roman" w:hAnsi="Times New Roman"/>
          <w:color w:val="auto"/>
          <w:sz w:val="24"/>
          <w:szCs w:val="24"/>
          <w:highlight w:val="none"/>
        </w:rPr>
        <w:t>本章第2.2.1项</w:t>
      </w:r>
      <w:r>
        <w:rPr>
          <w:rFonts w:ascii="Times New Roman" w:hAnsi="Times New Roman"/>
          <w:color w:val="auto"/>
          <w:sz w:val="24"/>
          <w:szCs w:val="24"/>
          <w:highlight w:val="none"/>
        </w:rPr>
        <w:t>规定的时间后的任何澄清要求。</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40" w:name="_Toc2698"/>
      <w:bookmarkStart w:id="141" w:name="_Toc89870565"/>
      <w:bookmarkStart w:id="142" w:name="_Toc352691479"/>
      <w:r>
        <w:rPr>
          <w:rFonts w:ascii="Times New Roman" w:hAnsi="Times New Roman"/>
          <w:color w:val="auto"/>
          <w:sz w:val="24"/>
          <w:szCs w:val="24"/>
          <w:highlight w:val="none"/>
        </w:rPr>
        <w:t>2.3 招标文件的修</w:t>
      </w:r>
      <w:bookmarkStart w:id="143" w:name="_Toc16514"/>
      <w:bookmarkStart w:id="144" w:name="_Toc369531521"/>
      <w:r>
        <w:rPr>
          <w:rFonts w:ascii="Times New Roman" w:hAnsi="Times New Roman"/>
          <w:color w:val="auto"/>
          <w:sz w:val="24"/>
          <w:szCs w:val="24"/>
          <w:highlight w:val="none"/>
        </w:rPr>
        <w:t>改</w:t>
      </w:r>
      <w:bookmarkEnd w:id="140"/>
      <w:bookmarkEnd w:id="141"/>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2.3.1招标人以投标人须知前附表规定的形式修改招标文件，并由潜在投标人自行下载。修改招标文件的时间距本章第4.2.1项规定的投标截止时间不足15日的，并且修改内容可能影响投标文件编制的，将相应延长投标截止时间。</w:t>
      </w:r>
    </w:p>
    <w:bookmarkEnd w:id="142"/>
    <w:bookmarkEnd w:id="143"/>
    <w:bookmarkEnd w:id="144"/>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2.3.2 投标人收到修改内容</w:t>
      </w:r>
      <w:bookmarkStart w:id="145" w:name="_Toc24632"/>
      <w:bookmarkStart w:id="146" w:name="_Toc152045538"/>
      <w:bookmarkStart w:id="147" w:name="_Toc247513961"/>
      <w:bookmarkStart w:id="148" w:name="_Toc361508593"/>
      <w:bookmarkStart w:id="149" w:name="_Toc144974506"/>
      <w:bookmarkStart w:id="150" w:name="_Toc384308218"/>
      <w:bookmarkStart w:id="151" w:name="_Toc300834958"/>
      <w:bookmarkStart w:id="152" w:name="_Toc152042314"/>
      <w:bookmarkStart w:id="153" w:name="_Toc352691482"/>
      <w:bookmarkStart w:id="154" w:name="_Toc247527562"/>
      <w:bookmarkStart w:id="155" w:name="_Toc369531524"/>
      <w:r>
        <w:rPr>
          <w:rFonts w:ascii="Times New Roman" w:hAnsi="Times New Roman"/>
          <w:color w:val="auto"/>
          <w:sz w:val="24"/>
          <w:szCs w:val="24"/>
          <w:highlight w:val="none"/>
        </w:rPr>
        <w:t>后，</w:t>
      </w:r>
      <w:bookmarkEnd w:id="145"/>
      <w:bookmarkEnd w:id="146"/>
      <w:bookmarkEnd w:id="147"/>
      <w:bookmarkEnd w:id="148"/>
      <w:bookmarkEnd w:id="149"/>
      <w:bookmarkEnd w:id="150"/>
      <w:bookmarkEnd w:id="151"/>
      <w:bookmarkEnd w:id="152"/>
      <w:bookmarkEnd w:id="153"/>
      <w:bookmarkEnd w:id="154"/>
      <w:bookmarkEnd w:id="155"/>
      <w:bookmarkStart w:id="156" w:name="_Toc152042316"/>
      <w:bookmarkStart w:id="157" w:name="_Toc369531526"/>
      <w:bookmarkStart w:id="158" w:name="_Toc152045540"/>
      <w:bookmarkStart w:id="159" w:name="_Toc352691484"/>
      <w:bookmarkStart w:id="160" w:name="_Toc300834960"/>
      <w:bookmarkStart w:id="161" w:name="_Toc361508595"/>
      <w:bookmarkStart w:id="162" w:name="_Toc384308220"/>
      <w:bookmarkStart w:id="163" w:name="_Toc16623"/>
      <w:bookmarkStart w:id="164" w:name="_Toc247513963"/>
      <w:bookmarkStart w:id="165" w:name="_Toc144974508"/>
      <w:bookmarkStart w:id="166" w:name="_Toc247527564"/>
      <w:r>
        <w:rPr>
          <w:rFonts w:ascii="Times New Roman" w:hAnsi="Times New Roman"/>
          <w:color w:val="auto"/>
          <w:sz w:val="24"/>
          <w:szCs w:val="24"/>
          <w:highlight w:val="none"/>
        </w:rPr>
        <w:t>应按投标人须知前附表规定的时间和形式通知招标人，确认已收到该修改。</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67" w:name="_Toc89870566"/>
      <w:bookmarkStart w:id="168" w:name="_Toc622"/>
      <w:r>
        <w:rPr>
          <w:rFonts w:ascii="Times New Roman" w:hAnsi="Times New Roman"/>
          <w:color w:val="auto"/>
          <w:sz w:val="24"/>
          <w:szCs w:val="24"/>
          <w:highlight w:val="none"/>
        </w:rPr>
        <w:t>2.</w:t>
      </w:r>
      <w:bookmarkEnd w:id="156"/>
      <w:bookmarkEnd w:id="157"/>
      <w:bookmarkEnd w:id="158"/>
      <w:bookmarkEnd w:id="159"/>
      <w:bookmarkEnd w:id="160"/>
      <w:bookmarkEnd w:id="161"/>
      <w:bookmarkEnd w:id="162"/>
      <w:bookmarkEnd w:id="163"/>
      <w:bookmarkEnd w:id="164"/>
      <w:bookmarkEnd w:id="165"/>
      <w:bookmarkEnd w:id="166"/>
      <w:r>
        <w:rPr>
          <w:rFonts w:ascii="Times New Roman" w:hAnsi="Times New Roman"/>
          <w:color w:val="auto"/>
          <w:sz w:val="24"/>
          <w:szCs w:val="24"/>
          <w:highlight w:val="none"/>
        </w:rPr>
        <w:t>4 招标文件的异议</w:t>
      </w:r>
      <w:bookmarkEnd w:id="167"/>
      <w:bookmarkEnd w:id="168"/>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pPr>
        <w:pStyle w:val="2"/>
        <w:keepNext w:val="0"/>
        <w:keepLines w:val="0"/>
        <w:spacing w:before="0" w:after="0" w:line="360" w:lineRule="auto"/>
        <w:ind w:firstLine="643" w:firstLineChars="200"/>
        <w:rPr>
          <w:rFonts w:ascii="Times New Roman" w:hAnsi="Times New Roman"/>
          <w:color w:val="auto"/>
          <w:highlight w:val="none"/>
        </w:rPr>
      </w:pPr>
      <w:bookmarkStart w:id="169" w:name="_Toc20188"/>
      <w:bookmarkStart w:id="170" w:name="_Toc89870567"/>
      <w:r>
        <w:rPr>
          <w:rFonts w:ascii="Times New Roman" w:hAnsi="Times New Roman"/>
          <w:color w:val="auto"/>
          <w:highlight w:val="none"/>
        </w:rPr>
        <w:t>3. 投标文件</w:t>
      </w:r>
      <w:bookmarkEnd w:id="169"/>
      <w:bookmarkEnd w:id="170"/>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71" w:name="_Toc89870568"/>
      <w:bookmarkStart w:id="172" w:name="_Toc17006"/>
      <w:r>
        <w:rPr>
          <w:rFonts w:ascii="Times New Roman" w:hAnsi="Times New Roman"/>
          <w:color w:val="auto"/>
          <w:sz w:val="24"/>
          <w:szCs w:val="24"/>
          <w:highlight w:val="none"/>
        </w:rPr>
        <w:t>3.1 投标文件的组成</w:t>
      </w:r>
      <w:bookmarkEnd w:id="171"/>
      <w:bookmarkEnd w:id="17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3.1.1 投标文件应包括下列内容：</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（1）投标函及投标函附录、</w:t>
      </w:r>
      <w:r>
        <w:rPr>
          <w:rFonts w:ascii="Times New Roman" w:hAnsi="Times New Roman"/>
          <w:color w:val="auto"/>
          <w:highlight w:val="none"/>
        </w:rPr>
        <w:t>投标报价书</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（2）法定代表人身份证明或授权委托书；</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w:t>
      </w:r>
      <w:r>
        <w:rPr>
          <w:rFonts w:ascii="Times New Roman" w:hAnsi="Times New Roman"/>
          <w:color w:val="auto"/>
          <w:sz w:val="24"/>
          <w:szCs w:val="24"/>
          <w:highlight w:val="none"/>
        </w:rPr>
        <w:t>3</w:t>
      </w:r>
      <w:r>
        <w:rPr>
          <w:rFonts w:hint="eastAsia" w:ascii="Times New Roman" w:hAnsi="Times New Roman"/>
          <w:color w:val="auto"/>
          <w:sz w:val="24"/>
          <w:szCs w:val="24"/>
          <w:highlight w:val="none"/>
        </w:rPr>
        <w:t>）联合体协议书</w:t>
      </w:r>
      <w:r>
        <w:rPr>
          <w:rFonts w:ascii="Times New Roman" w:hAnsi="Times New Roman"/>
          <w:color w:val="auto"/>
          <w:sz w:val="24"/>
          <w:szCs w:val="24"/>
          <w:highlight w:val="none"/>
        </w:rPr>
        <w:t>（本项目不接受联合体投标，无需提供）；</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）投标保证金；</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5</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广州建设工程监理投标书</w:t>
      </w:r>
      <w:r>
        <w:rPr>
          <w:rFonts w:ascii="Times New Roman" w:hAnsi="Times New Roman"/>
          <w:color w:val="auto"/>
          <w:sz w:val="24"/>
          <w:szCs w:val="24"/>
          <w:highlight w:val="none"/>
        </w:rPr>
        <w:t>；</w:t>
      </w:r>
    </w:p>
    <w:p>
      <w:pPr>
        <w:spacing w:line="360" w:lineRule="auto"/>
        <w:ind w:firstLine="480" w:firstLineChars="200"/>
        <w:rPr>
          <w:rFonts w:hint="eastAsia"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6</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廉洁协议</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7</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资格审查资料；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）监理大纲；</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）投标人须知前附表规定的其他资料。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投标人在评标过程中作出的符合法律法规和招标文件规定的澄清确认，构成投标文件的组成部分。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 投标人须知前附表规定不接受联合体投标的，或投标人没有组成联合体的，投标文件不包括本章第3.1.1（3）目所指的联合体协议书。</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3.1.3 投标人须知前附表未要求提交投标保证金的，投标文件不包括本章第3.1.1（4）目所指的投标保证金。</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73" w:name="_Toc15761"/>
      <w:bookmarkStart w:id="174" w:name="_Toc89870569"/>
      <w:r>
        <w:rPr>
          <w:rFonts w:ascii="Times New Roman" w:hAnsi="Times New Roman"/>
          <w:color w:val="auto"/>
          <w:sz w:val="24"/>
          <w:szCs w:val="24"/>
          <w:highlight w:val="none"/>
        </w:rPr>
        <w:t>3.2 投标报价</w:t>
      </w:r>
      <w:bookmarkEnd w:id="173"/>
      <w:bookmarkEnd w:id="174"/>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3.2.1</w:t>
      </w:r>
      <w:r>
        <w:rPr>
          <w:rFonts w:hint="eastAsia" w:ascii="Times New Roman" w:hAnsi="Times New Roman"/>
          <w:color w:val="auto"/>
          <w:sz w:val="24"/>
          <w:szCs w:val="24"/>
          <w:highlight w:val="none"/>
        </w:rPr>
        <w:t>投标报价应包括国家规定的增值税税金，除投标人须知前附表另有规定外，增值税税金按一般计税方法计算。投标人应按第六章“投标文件格式”的要求在投标函及投标函附录、</w:t>
      </w:r>
      <w:r>
        <w:rPr>
          <w:rFonts w:ascii="Times New Roman" w:hAnsi="Times New Roman"/>
          <w:color w:val="auto"/>
          <w:sz w:val="24"/>
          <w:highlight w:val="none"/>
        </w:rPr>
        <w:t>投标报价书</w:t>
      </w:r>
      <w:r>
        <w:rPr>
          <w:rFonts w:hint="eastAsia" w:ascii="Times New Roman" w:hAnsi="Times New Roman"/>
          <w:color w:val="auto"/>
          <w:sz w:val="24"/>
          <w:szCs w:val="24"/>
          <w:highlight w:val="none"/>
        </w:rPr>
        <w:t>中进行报价</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3.2.2 投标人应充分了解该项目的总体情况以及影响投标报价的其他要素。</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3.2.3</w:t>
      </w:r>
      <w:bookmarkStart w:id="175" w:name="_Toc247513967"/>
      <w:bookmarkEnd w:id="175"/>
      <w:bookmarkStart w:id="176" w:name="_Toc369531530"/>
      <w:bookmarkEnd w:id="176"/>
      <w:bookmarkStart w:id="177" w:name="_Toc352691487"/>
      <w:bookmarkEnd w:id="177"/>
      <w:bookmarkStart w:id="178" w:name="_Toc247527568"/>
      <w:bookmarkEnd w:id="178"/>
      <w:bookmarkStart w:id="179" w:name="_Toc144974511"/>
      <w:bookmarkEnd w:id="179"/>
      <w:bookmarkStart w:id="180" w:name="_Toc361508599"/>
      <w:bookmarkEnd w:id="180"/>
      <w:bookmarkStart w:id="181" w:name="_Toc384308224"/>
      <w:bookmarkEnd w:id="181"/>
      <w:bookmarkStart w:id="182" w:name="_Toc300834964"/>
      <w:bookmarkEnd w:id="182"/>
      <w:bookmarkStart w:id="183" w:name="_Toc15242"/>
      <w:bookmarkEnd w:id="183"/>
      <w:bookmarkStart w:id="184" w:name="_Toc152042319"/>
      <w:bookmarkEnd w:id="184"/>
      <w:bookmarkStart w:id="185" w:name="_Toc152045543"/>
      <w:bookmarkEnd w:id="185"/>
      <w:r>
        <w:rPr>
          <w:rFonts w:hint="eastAsia" w:ascii="Times New Roman" w:hAnsi="Times New Roman"/>
          <w:color w:val="auto"/>
          <w:sz w:val="24"/>
          <w:szCs w:val="24"/>
          <w:highlight w:val="none"/>
        </w:rPr>
        <w:t xml:space="preserve"> </w:t>
      </w:r>
      <w:r>
        <w:rPr>
          <w:rFonts w:hint="eastAsia" w:ascii="宋体" w:hAnsi="宋体" w:cs="宋体"/>
          <w:color w:val="auto"/>
          <w:kern w:val="0"/>
          <w:sz w:val="24"/>
          <w:szCs w:val="24"/>
          <w:highlight w:val="none"/>
        </w:rPr>
        <w:t>本项目的报价方式见投标人须知前附表。投标人在投标截止时间前修改投标函中的投标报价总额须符合本章第4.3款的有关要求</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3.2.4 招标人设有最高投标限价的，投标人的投标报价不得超过最高投标限价，最高投标限价在投标</w:t>
      </w:r>
      <w:bookmarkStart w:id="186" w:name="_Toc144974512"/>
      <w:bookmarkStart w:id="187" w:name="_Toc10429"/>
      <w:bookmarkStart w:id="188" w:name="_Toc384308225"/>
      <w:bookmarkStart w:id="189" w:name="_Toc361508600"/>
      <w:bookmarkStart w:id="190" w:name="_Toc247513968"/>
      <w:bookmarkStart w:id="191" w:name="_Toc300834965"/>
      <w:bookmarkStart w:id="192" w:name="_Toc247527569"/>
      <w:bookmarkStart w:id="193" w:name="_Toc369531531"/>
      <w:bookmarkStart w:id="194" w:name="_Toc152042320"/>
      <w:bookmarkStart w:id="195" w:name="_Toc152045544"/>
      <w:bookmarkStart w:id="196" w:name="_Toc352691488"/>
      <w:r>
        <w:rPr>
          <w:rFonts w:ascii="Times New Roman" w:hAnsi="Times New Roman"/>
          <w:color w:val="auto"/>
          <w:sz w:val="24"/>
          <w:szCs w:val="24"/>
          <w:highlight w:val="none"/>
        </w:rPr>
        <w:t>人须知前附表中载明。</w:t>
      </w:r>
      <w:bookmarkEnd w:id="186"/>
      <w:bookmarkEnd w:id="187"/>
      <w:bookmarkEnd w:id="188"/>
      <w:bookmarkEnd w:id="189"/>
      <w:bookmarkEnd w:id="190"/>
      <w:bookmarkEnd w:id="191"/>
      <w:bookmarkEnd w:id="192"/>
      <w:bookmarkEnd w:id="193"/>
      <w:bookmarkEnd w:id="194"/>
      <w:bookmarkEnd w:id="195"/>
      <w:bookmarkEnd w:id="19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3.2.5 投标报价的其他要求见投标人须知前附表。</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97" w:name="_Toc26962"/>
      <w:bookmarkStart w:id="198" w:name="_Toc89870570"/>
      <w:r>
        <w:rPr>
          <w:rFonts w:ascii="Times New Roman" w:hAnsi="Times New Roman"/>
          <w:color w:val="auto"/>
          <w:sz w:val="24"/>
          <w:szCs w:val="24"/>
          <w:highlight w:val="none"/>
        </w:rPr>
        <w:t>3.3 投标有效期</w:t>
      </w:r>
      <w:bookmarkEnd w:id="197"/>
      <w:bookmarkEnd w:id="198"/>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3.3.1 除投标人须知前附表另有规定外，投标有效期为</w:t>
      </w:r>
      <w:r>
        <w:rPr>
          <w:rFonts w:hint="eastAsia" w:ascii="Times New Roman" w:hAnsi="Times New Roman"/>
          <w:color w:val="auto"/>
          <w:sz w:val="24"/>
          <w:szCs w:val="24"/>
          <w:highlight w:val="none"/>
        </w:rPr>
        <w:t>90</w:t>
      </w:r>
      <w:r>
        <w:rPr>
          <w:rFonts w:ascii="Times New Roman" w:hAnsi="Times New Roman"/>
          <w:color w:val="auto"/>
          <w:sz w:val="24"/>
          <w:szCs w:val="24"/>
          <w:highlight w:val="none"/>
        </w:rPr>
        <w:t>天。</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3.3.2 在投标有效期内，投标人撤销投标文件的，应承担招标文件和法律规定的责任。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199" w:name="_Toc29318"/>
      <w:bookmarkStart w:id="200" w:name="_Toc89870571"/>
      <w:r>
        <w:rPr>
          <w:rFonts w:ascii="Times New Roman" w:hAnsi="Times New Roman"/>
          <w:color w:val="auto"/>
          <w:sz w:val="24"/>
          <w:szCs w:val="24"/>
          <w:highlight w:val="none"/>
        </w:rPr>
        <w:t>3.4 投标保证金</w:t>
      </w:r>
      <w:bookmarkEnd w:id="199"/>
      <w:bookmarkEnd w:id="200"/>
    </w:p>
    <w:p>
      <w:pPr>
        <w:spacing w:line="360" w:lineRule="auto"/>
        <w:ind w:firstLine="480" w:firstLineChars="200"/>
        <w:rPr>
          <w:rFonts w:ascii="Times New Roman" w:hAnsi="Times New Roman"/>
          <w:strike/>
          <w:color w:val="auto"/>
          <w:sz w:val="24"/>
          <w:szCs w:val="24"/>
          <w:highlight w:val="none"/>
        </w:rPr>
      </w:pPr>
      <w:r>
        <w:rPr>
          <w:rFonts w:ascii="Times New Roman" w:hAnsi="Times New Roman"/>
          <w:color w:val="auto"/>
          <w:sz w:val="24"/>
          <w:szCs w:val="24"/>
          <w:highlight w:val="none"/>
        </w:rPr>
        <w:t>3.4.1 投标人在递交投标文件的同时，应按投标人须知前附表规定的金额</w:t>
      </w:r>
      <w:bookmarkStart w:id="201" w:name="_Toc384308226"/>
      <w:bookmarkStart w:id="202" w:name="_Toc352691489"/>
      <w:bookmarkStart w:id="203" w:name="_Toc300834966"/>
      <w:bookmarkStart w:id="204" w:name="_Toc361508601"/>
      <w:bookmarkStart w:id="205" w:name="_Toc247513969"/>
      <w:bookmarkStart w:id="206" w:name="_Toc247527570"/>
      <w:bookmarkStart w:id="207" w:name="_Toc144974513"/>
      <w:bookmarkStart w:id="208" w:name="_Toc369531532"/>
      <w:bookmarkStart w:id="209" w:name="_Toc4592"/>
      <w:bookmarkStart w:id="210" w:name="_Toc152045545"/>
      <w:bookmarkStart w:id="211" w:name="_Toc152042321"/>
      <w:r>
        <w:rPr>
          <w:rFonts w:ascii="Times New Roman" w:hAnsi="Times New Roman"/>
          <w:color w:val="auto"/>
          <w:sz w:val="24"/>
          <w:szCs w:val="24"/>
          <w:highlight w:val="none"/>
        </w:rPr>
        <w:t>、形式和第六章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投标文</w:t>
      </w:r>
      <w:bookmarkEnd w:id="201"/>
      <w:bookmarkEnd w:id="202"/>
      <w:bookmarkEnd w:id="203"/>
      <w:bookmarkEnd w:id="204"/>
      <w:bookmarkEnd w:id="205"/>
      <w:bookmarkEnd w:id="206"/>
      <w:bookmarkEnd w:id="207"/>
      <w:bookmarkEnd w:id="208"/>
      <w:bookmarkEnd w:id="209"/>
      <w:bookmarkEnd w:id="210"/>
      <w:bookmarkEnd w:id="211"/>
      <w:r>
        <w:rPr>
          <w:rFonts w:ascii="Times New Roman" w:hAnsi="Times New Roman"/>
          <w:color w:val="auto"/>
          <w:sz w:val="24"/>
          <w:szCs w:val="24"/>
          <w:highlight w:val="none"/>
        </w:rPr>
        <w:t>件格式</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规定的投标保证金格式递交投标保证金，并作为其投标文件的组成部分。境内投标人以现金或者支票形式提交的投标保证金，应当从其基本账户转出并在投标文件中附上基本账户开户证明。</w:t>
      </w:r>
      <w:r>
        <w:rPr>
          <w:rFonts w:ascii="Times New Roman" w:hAnsi="Times New Roman"/>
          <w:strike/>
          <w:color w:val="auto"/>
          <w:sz w:val="24"/>
          <w:szCs w:val="24"/>
          <w:highlight w:val="none"/>
        </w:rPr>
        <w:t>联合体投标的，其投标保证金可以由牵头人递交，并应符合投标人须知前附表的规定。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3.4.2 投标人不按本章第3.4.1项</w:t>
      </w:r>
      <w:bookmarkStart w:id="212" w:name="_Toc361508602"/>
      <w:bookmarkStart w:id="213" w:name="_Toc352691490"/>
      <w:bookmarkStart w:id="214" w:name="_Toc29025"/>
      <w:bookmarkStart w:id="215" w:name="_Toc384308227"/>
      <w:bookmarkStart w:id="216" w:name="_Toc369531533"/>
      <w:r>
        <w:rPr>
          <w:rFonts w:ascii="Times New Roman" w:hAnsi="Times New Roman"/>
          <w:color w:val="auto"/>
          <w:sz w:val="24"/>
          <w:szCs w:val="24"/>
          <w:highlight w:val="none"/>
        </w:rPr>
        <w:t>要求提交投标保证金的，</w:t>
      </w:r>
      <w:bookmarkEnd w:id="212"/>
      <w:bookmarkEnd w:id="213"/>
      <w:bookmarkEnd w:id="214"/>
      <w:bookmarkEnd w:id="215"/>
      <w:bookmarkEnd w:id="216"/>
      <w:r>
        <w:rPr>
          <w:rFonts w:ascii="Times New Roman" w:hAnsi="Times New Roman"/>
          <w:color w:val="auto"/>
          <w:sz w:val="24"/>
          <w:szCs w:val="24"/>
          <w:highlight w:val="none"/>
        </w:rPr>
        <w:t>评标委员会将否决其投标。</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3.4.3 招标人最迟将在与中标人</w:t>
      </w:r>
      <w:bookmarkStart w:id="217" w:name="_Toc300834967"/>
      <w:bookmarkStart w:id="218" w:name="_Toc369531534"/>
      <w:bookmarkStart w:id="219" w:name="_Toc14751"/>
      <w:bookmarkStart w:id="220" w:name="_Toc361508603"/>
      <w:bookmarkStart w:id="221" w:name="_Toc247527571"/>
      <w:bookmarkStart w:id="222" w:name="_Toc152045546"/>
      <w:bookmarkStart w:id="223" w:name="_Toc144974514"/>
      <w:bookmarkStart w:id="224" w:name="_Toc384308228"/>
      <w:bookmarkStart w:id="225" w:name="_Toc247513970"/>
      <w:bookmarkStart w:id="226" w:name="_Toc352691491"/>
      <w:bookmarkStart w:id="227" w:name="_Toc152042322"/>
      <w:r>
        <w:rPr>
          <w:rFonts w:ascii="Times New Roman" w:hAnsi="Times New Roman"/>
          <w:color w:val="auto"/>
          <w:sz w:val="24"/>
          <w:szCs w:val="24"/>
          <w:highlight w:val="none"/>
        </w:rPr>
        <w:t>签订合同后5日</w:t>
      </w:r>
      <w:bookmarkEnd w:id="217"/>
      <w:bookmarkEnd w:id="218"/>
      <w:bookmarkEnd w:id="219"/>
      <w:bookmarkEnd w:id="220"/>
      <w:bookmarkEnd w:id="221"/>
      <w:bookmarkEnd w:id="222"/>
      <w:bookmarkEnd w:id="223"/>
      <w:bookmarkEnd w:id="224"/>
      <w:bookmarkEnd w:id="225"/>
      <w:bookmarkEnd w:id="226"/>
      <w:bookmarkEnd w:id="227"/>
      <w:r>
        <w:rPr>
          <w:rFonts w:ascii="Times New Roman" w:hAnsi="Times New Roman"/>
          <w:color w:val="auto"/>
          <w:sz w:val="24"/>
          <w:szCs w:val="24"/>
          <w:highlight w:val="none"/>
        </w:rPr>
        <w:t>内</w:t>
      </w:r>
      <w:bookmarkStart w:id="228" w:name="_Toc247527572"/>
      <w:bookmarkStart w:id="229" w:name="_Toc152042323"/>
      <w:bookmarkStart w:id="230" w:name="_Toc144974515"/>
      <w:bookmarkStart w:id="231" w:name="_Toc247513971"/>
      <w:bookmarkStart w:id="232" w:name="_Toc384308229"/>
      <w:bookmarkStart w:id="233" w:name="_Toc17952"/>
      <w:bookmarkStart w:id="234" w:name="_Toc352691492"/>
      <w:bookmarkStart w:id="235" w:name="_Toc300834968"/>
      <w:bookmarkStart w:id="236" w:name="_Toc369531535"/>
      <w:bookmarkStart w:id="237" w:name="_Toc361508604"/>
      <w:bookmarkStart w:id="238" w:name="_Toc152045547"/>
      <w:r>
        <w:rPr>
          <w:rFonts w:ascii="Times New Roman" w:hAnsi="Times New Roman"/>
          <w:color w:val="auto"/>
          <w:sz w:val="24"/>
          <w:szCs w:val="24"/>
          <w:highlight w:val="none"/>
        </w:rPr>
        <w:t>，向未中标的投标人和中</w:t>
      </w:r>
      <w:bookmarkEnd w:id="228"/>
      <w:bookmarkEnd w:id="229"/>
      <w:bookmarkEnd w:id="230"/>
      <w:bookmarkEnd w:id="231"/>
      <w:bookmarkEnd w:id="232"/>
      <w:bookmarkEnd w:id="233"/>
      <w:bookmarkEnd w:id="234"/>
      <w:bookmarkEnd w:id="235"/>
      <w:bookmarkEnd w:id="236"/>
      <w:bookmarkEnd w:id="237"/>
      <w:bookmarkEnd w:id="238"/>
      <w:r>
        <w:rPr>
          <w:rFonts w:ascii="Times New Roman" w:hAnsi="Times New Roman"/>
          <w:color w:val="auto"/>
          <w:sz w:val="24"/>
          <w:szCs w:val="24"/>
          <w:highlight w:val="none"/>
        </w:rPr>
        <w:t>标人退还投标保证金。投标保证金以现金或者支票形式递交的，还应退还银行同期存款利息。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3.4.4 有下列情形之一的，投标保证金将不予退还：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（1）投标人在投标有效期内撤销投标文件；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（2）中标人在收到中标通知书后，无正当理由不与招标人订立合同，在签订合同时向招标人提出附加条件，或者不按照招标文件要求提交履约保证金；</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（3）发生投标人须知前附表规定的其他可以不予退还投标保证金的情形。</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239" w:name="_Toc89870572"/>
      <w:bookmarkStart w:id="240" w:name="_Toc17845"/>
      <w:r>
        <w:rPr>
          <w:rFonts w:ascii="Times New Roman" w:hAnsi="Times New Roman"/>
          <w:color w:val="auto"/>
          <w:sz w:val="24"/>
          <w:szCs w:val="24"/>
          <w:highlight w:val="none"/>
        </w:rPr>
        <w:t>3.5 资格审查资料（适用于未进行资格预审的）</w:t>
      </w:r>
      <w:bookmarkEnd w:id="239"/>
      <w:bookmarkEnd w:id="24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除投标人须知前附表另有规定外，投标人应按下列规定提供资格审查资料，以证明其满足本章第1.4款规定的资质、财务、业绩、信誉等要求。</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3.5.1</w:t>
      </w:r>
      <w:r>
        <w:rPr>
          <w:rFonts w:hint="eastAsia" w:ascii="宋体" w:hAnsi="宋体" w:cs="宋体"/>
          <w:color w:val="auto"/>
          <w:sz w:val="24"/>
          <w:highlight w:val="none"/>
        </w:rPr>
        <w:t>投标人参加投标的意思表达清楚，投标人代表被授权有效。</w:t>
      </w:r>
      <w:r>
        <w:rPr>
          <w:rFonts w:hint="eastAsia" w:ascii="Times New Roman" w:hAnsi="Times New Roman"/>
          <w:color w:val="auto"/>
          <w:sz w:val="24"/>
          <w:szCs w:val="24"/>
          <w:highlight w:val="none"/>
        </w:rPr>
        <w:t xml:space="preserve"> </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3.5.2</w:t>
      </w:r>
      <w:r>
        <w:rPr>
          <w:rFonts w:hint="eastAsia" w:ascii="宋体" w:hAnsi="宋体" w:cs="宋体"/>
          <w:color w:val="auto"/>
          <w:sz w:val="24"/>
          <w:highlight w:val="none"/>
        </w:rPr>
        <w:t>投标人均具有独立法人资格，持有工商行政管理部门核发的法人营业执照，按国家法律经营。</w:t>
      </w:r>
    </w:p>
    <w:p>
      <w:pPr>
        <w:tabs>
          <w:tab w:val="left" w:pos="7513"/>
        </w:tabs>
        <w:spacing w:line="360" w:lineRule="auto"/>
        <w:ind w:firstLine="480" w:firstLineChars="200"/>
        <w:rPr>
          <w:rFonts w:ascii="宋体" w:hAnsi="宋体" w:cs="宋体"/>
          <w:color w:val="auto"/>
          <w:sz w:val="24"/>
          <w:highlight w:val="none"/>
        </w:rPr>
      </w:pPr>
      <w:r>
        <w:rPr>
          <w:rFonts w:hint="eastAsia" w:ascii="Times New Roman" w:hAnsi="Times New Roman"/>
          <w:color w:val="auto"/>
          <w:sz w:val="24"/>
          <w:szCs w:val="24"/>
          <w:highlight w:val="none"/>
        </w:rPr>
        <w:t>3.5.3</w:t>
      </w:r>
      <w:r>
        <w:rPr>
          <w:rFonts w:ascii="宋体" w:hAnsi="宋体" w:cs="宋体"/>
          <w:color w:val="auto"/>
          <w:sz w:val="24"/>
          <w:highlight w:val="none"/>
        </w:rPr>
        <w:t>投标人须具备建设行政主管部门颁发的</w:t>
      </w:r>
      <w:r>
        <w:rPr>
          <w:rFonts w:hint="eastAsia" w:ascii="宋体" w:hAnsi="宋体" w:cs="宋体"/>
          <w:color w:val="auto"/>
          <w:sz w:val="24"/>
          <w:highlight w:val="none"/>
        </w:rPr>
        <w:t>工程监理综合资质或市政公用工程监理</w:t>
      </w:r>
      <w:r>
        <w:rPr>
          <w:rFonts w:hint="eastAsia" w:ascii="宋体" w:hAnsi="宋体" w:cs="宋体"/>
          <w:color w:val="auto"/>
          <w:sz w:val="24"/>
          <w:highlight w:val="none"/>
          <w:lang w:val="en-US" w:eastAsia="zh-CN"/>
        </w:rPr>
        <w:t>甲</w:t>
      </w:r>
      <w:r>
        <w:rPr>
          <w:rFonts w:hint="eastAsia" w:ascii="宋体" w:hAnsi="宋体" w:cs="宋体"/>
          <w:color w:val="auto"/>
          <w:sz w:val="24"/>
          <w:highlight w:val="none"/>
        </w:rPr>
        <w:t>级资质。</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注：依据《广东省住房和城乡建设厅关于印发香港工程建设咨询企业和专业人士在粤港澳大湾区内地城市开业执业试点管理暂行办法的通知》（粤建规范〔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2020〕1号，详见链接：</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"http://zfcxjst.gd.gov.cn/xxgk/wjtz/content/post_3137220.html），" </w:instrText>
      </w:r>
      <w:r>
        <w:rPr>
          <w:rFonts w:ascii="Times New Roman" w:hAnsi="Times New Roman" w:cs="Times New Roman"/>
          <w:color w:val="auto"/>
          <w:highlight w:val="none"/>
        </w:rPr>
        <w:fldChar w:fldCharType="separate"/>
      </w:r>
      <w:r>
        <w:rPr>
          <w:rFonts w:ascii="Times New Roman" w:hAnsi="Times New Roman" w:cs="Times New Roman"/>
          <w:color w:val="auto"/>
          <w:sz w:val="24"/>
          <w:highlight w:val="none"/>
        </w:rPr>
        <w:t>http://zfcxjst.gd.gov.cn/xxgk/wjtz/content/post_3137220.html），</w:t>
      </w:r>
      <w:r>
        <w:rPr>
          <w:rFonts w:ascii="Times New Roman" w:hAnsi="Times New Roman" w:cs="Times New Roman"/>
          <w:color w:val="auto"/>
          <w:sz w:val="24"/>
          <w:highlight w:val="none"/>
        </w:rPr>
        <w:fldChar w:fldCharType="end"/>
      </w:r>
      <w:r>
        <w:rPr>
          <w:rFonts w:hint="eastAsia" w:ascii="宋体" w:hAnsi="宋体" w:cs="宋体"/>
          <w:color w:val="auto"/>
          <w:sz w:val="24"/>
          <w:highlight w:val="none"/>
        </w:rPr>
        <w:t>自</w:t>
      </w:r>
      <w:r>
        <w:rPr>
          <w:rFonts w:ascii="宋体" w:hAnsi="宋体" w:cs="宋体"/>
          <w:color w:val="auto"/>
          <w:sz w:val="24"/>
          <w:highlight w:val="none"/>
        </w:rPr>
        <w:t>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adjustRightInd w:val="0"/>
        <w:snapToGrid w:val="0"/>
        <w:spacing w:line="360" w:lineRule="auto"/>
        <w:ind w:firstLine="480" w:firstLineChars="200"/>
        <w:rPr>
          <w:rFonts w:ascii="宋体" w:hAnsi="宋体" w:cs="宋体"/>
          <w:color w:val="auto"/>
          <w:sz w:val="24"/>
          <w:highlight w:val="none"/>
          <w:u w:val="single"/>
        </w:rPr>
      </w:pPr>
      <w:r>
        <w:rPr>
          <w:rFonts w:ascii="Times New Roman" w:hAnsi="Times New Roman"/>
          <w:color w:val="auto"/>
          <w:sz w:val="24"/>
          <w:szCs w:val="24"/>
          <w:highlight w:val="none"/>
          <w:u w:val="single"/>
        </w:rPr>
        <w:t>3.5.4</w:t>
      </w:r>
      <w:r>
        <w:rPr>
          <w:rFonts w:hint="eastAsia" w:ascii="宋体" w:hAnsi="宋体" w:cs="宋体"/>
          <w:color w:val="auto"/>
          <w:sz w:val="24"/>
          <w:highlight w:val="none"/>
          <w:u w:val="single"/>
        </w:rPr>
        <w:t>项目总监理工程师须具有建设部</w:t>
      </w:r>
      <w:r>
        <w:rPr>
          <w:rFonts w:ascii="宋体" w:hAnsi="宋体" w:cs="宋体"/>
          <w:color w:val="auto"/>
          <w:sz w:val="24"/>
          <w:highlight w:val="none"/>
          <w:u w:val="single"/>
        </w:rPr>
        <w:t>2006年4月1日后颁发的中华人民共和国注册监理工程师注册执业证书，</w:t>
      </w:r>
      <w:r>
        <w:rPr>
          <w:rFonts w:hint="eastAsia" w:ascii="宋体" w:hAnsi="宋体" w:cs="宋体"/>
          <w:color w:val="auto"/>
          <w:sz w:val="24"/>
          <w:highlight w:val="none"/>
          <w:u w:val="single"/>
        </w:rPr>
        <w:t>且其注册证书专业为市政公用工程并具备本科或以上学历，注册执业单位为本公司，或在广东省住房和城乡建设主管部门备案且备案的业务范围符合本招标项目对总监理工程师要求的香港专业人士。</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u w:val="single"/>
        </w:rPr>
        <w:t>2020〕1号）确定。</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3.5.5投标登记前，投标人已在广州公共资源交易中心办理企业信息登记及拟担任本工程总监理工程师须是本单位在企业库中的在册人员。</w:t>
      </w:r>
    </w:p>
    <w:p>
      <w:pPr>
        <w:spacing w:line="360" w:lineRule="auto"/>
        <w:ind w:firstLine="480" w:firstLineChars="200"/>
        <w:rPr>
          <w:rFonts w:ascii="宋体" w:hAnsi="宋体" w:cs="宋体"/>
          <w:color w:val="auto"/>
          <w:sz w:val="24"/>
          <w:highlight w:val="none"/>
        </w:rPr>
      </w:pPr>
      <w:r>
        <w:rPr>
          <w:rFonts w:hint="eastAsia" w:ascii="Times New Roman" w:hAnsi="Times New Roman"/>
          <w:color w:val="auto"/>
          <w:sz w:val="24"/>
          <w:szCs w:val="24"/>
          <w:highlight w:val="none"/>
        </w:rPr>
        <w:t>3.5.6</w:t>
      </w:r>
      <w:r>
        <w:rPr>
          <w:rFonts w:hint="eastAsia" w:ascii="宋体" w:hAnsi="宋体" w:cs="宋体"/>
          <w:color w:val="auto"/>
          <w:sz w:val="24"/>
          <w:highlight w:val="none"/>
        </w:rPr>
        <w:t xml:space="preserve"> 投标人已按规定格式签名盖章《投标人声明》（格式详见招标公告附件一）。</w:t>
      </w:r>
    </w:p>
    <w:p>
      <w:pPr>
        <w:spacing w:line="360" w:lineRule="auto"/>
        <w:ind w:firstLine="480" w:firstLineChars="200"/>
        <w:rPr>
          <w:rFonts w:ascii="宋体" w:hAnsi="宋体" w:cs="宋体"/>
          <w:color w:val="auto"/>
          <w:sz w:val="24"/>
          <w:highlight w:val="none"/>
          <w:u w:val="single"/>
        </w:rPr>
      </w:pPr>
      <w:r>
        <w:rPr>
          <w:rFonts w:hint="eastAsia" w:ascii="Times New Roman" w:hAnsi="Times New Roman"/>
          <w:color w:val="auto"/>
          <w:sz w:val="24"/>
          <w:szCs w:val="24"/>
          <w:highlight w:val="none"/>
        </w:rPr>
        <w:t>3.5.7</w:t>
      </w:r>
      <w:r>
        <w:rPr>
          <w:rFonts w:hint="eastAsia" w:ascii="宋体" w:hAnsi="宋体" w:cs="宋体"/>
          <w:color w:val="auto"/>
          <w:sz w:val="24"/>
          <w:highlight w:val="none"/>
          <w:u w:val="single"/>
        </w:rPr>
        <w:t>未被纳入国家、市、区的失信联合惩戒名单且被限制参加建设工程投标的（具体名单以递交投标文件截止时间“信用广州”https://credit1.gz.gov.cn/sgs/sgsXkNew公布的 “失信黑名单”为准。不包含限制参加财政投资工程或政府投资工程的投标）。</w:t>
      </w:r>
    </w:p>
    <w:p>
      <w:pPr>
        <w:spacing w:line="360" w:lineRule="auto"/>
        <w:ind w:firstLine="480" w:firstLineChars="200"/>
        <w:rPr>
          <w:rFonts w:ascii="宋体" w:hAnsi="宋体" w:cs="宋体"/>
          <w:color w:val="auto"/>
          <w:sz w:val="24"/>
          <w:highlight w:val="none"/>
        </w:rPr>
      </w:pPr>
      <w:r>
        <w:rPr>
          <w:rFonts w:hint="eastAsia" w:ascii="Times New Roman" w:hAnsi="Times New Roman"/>
          <w:color w:val="auto"/>
          <w:sz w:val="24"/>
          <w:szCs w:val="24"/>
          <w:highlight w:val="none"/>
        </w:rPr>
        <w:t>3.5.8</w:t>
      </w:r>
      <w:r>
        <w:rPr>
          <w:rFonts w:hint="eastAsia" w:ascii="宋体" w:hAnsi="宋体" w:cs="宋体"/>
          <w:color w:val="auto"/>
          <w:sz w:val="24"/>
          <w:highlight w:val="none"/>
        </w:rPr>
        <w:t>本项目</w:t>
      </w:r>
      <w:r>
        <w:rPr>
          <w:rFonts w:hint="eastAsia" w:ascii="宋体" w:hAnsi="宋体" w:cs="宋体"/>
          <w:color w:val="auto"/>
          <w:sz w:val="24"/>
          <w:highlight w:val="none"/>
          <w:u w:val="single"/>
        </w:rPr>
        <w:t>不接受</w:t>
      </w:r>
      <w:r>
        <w:rPr>
          <w:rFonts w:hint="eastAsia" w:ascii="宋体" w:hAnsi="宋体" w:cs="宋体"/>
          <w:color w:val="auto"/>
          <w:sz w:val="24"/>
          <w:highlight w:val="none"/>
        </w:rPr>
        <w:t>联合体投标。</w:t>
      </w:r>
    </w:p>
    <w:p>
      <w:pPr>
        <w:wordWrap w:val="0"/>
        <w:topLinePunct/>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注：未在招标公告第三条单列的投标人资格要求条件，不作为资审不合格的依据。</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241" w:name="_Toc89870573"/>
      <w:bookmarkStart w:id="242" w:name="_Toc824"/>
      <w:r>
        <w:rPr>
          <w:rFonts w:ascii="Times New Roman" w:hAnsi="Times New Roman"/>
          <w:color w:val="auto"/>
          <w:sz w:val="24"/>
          <w:szCs w:val="24"/>
          <w:highlight w:val="none"/>
        </w:rPr>
        <w:t>3.6 备选投标方案</w:t>
      </w:r>
      <w:bookmarkEnd w:id="241"/>
      <w:bookmarkEnd w:id="24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 除投标人须知前附表规定允许外，投标人不得递交备选投标方案，否则其投标将被否决。</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 投标人提供两个或两个以上投标报价，或者在投标文件中提供一个报价，但同时提供两个或两个以上</w:t>
      </w:r>
      <w:bookmarkStart w:id="243" w:name="_Toc384308232"/>
      <w:bookmarkStart w:id="244" w:name="_Toc352691495"/>
      <w:bookmarkStart w:id="245" w:name="_Toc152045550"/>
      <w:bookmarkStart w:id="246" w:name="_Toc300834971"/>
      <w:bookmarkStart w:id="247" w:name="_Toc361508607"/>
      <w:bookmarkStart w:id="248" w:name="_Toc369531538"/>
      <w:bookmarkStart w:id="249" w:name="_Toc247513974"/>
      <w:bookmarkStart w:id="250" w:name="_Toc29902"/>
      <w:bookmarkStart w:id="251" w:name="_Toc247527575"/>
      <w:bookmarkStart w:id="252" w:name="_Toc152042326"/>
      <w:bookmarkStart w:id="253" w:name="_Toc144974518"/>
      <w:r>
        <w:rPr>
          <w:rFonts w:ascii="Times New Roman" w:hAnsi="Times New Roman"/>
          <w:color w:val="auto"/>
          <w:sz w:val="24"/>
          <w:szCs w:val="24"/>
          <w:highlight w:val="none"/>
        </w:rPr>
        <w:t>监理方案的</w:t>
      </w:r>
      <w:bookmarkEnd w:id="243"/>
      <w:bookmarkEnd w:id="244"/>
      <w:bookmarkEnd w:id="245"/>
      <w:bookmarkEnd w:id="246"/>
      <w:bookmarkEnd w:id="247"/>
      <w:bookmarkEnd w:id="248"/>
      <w:bookmarkEnd w:id="249"/>
      <w:bookmarkEnd w:id="250"/>
      <w:bookmarkEnd w:id="251"/>
      <w:bookmarkEnd w:id="252"/>
      <w:bookmarkEnd w:id="253"/>
      <w:r>
        <w:rPr>
          <w:rFonts w:ascii="Times New Roman" w:hAnsi="Times New Roman"/>
          <w:color w:val="auto"/>
          <w:sz w:val="24"/>
          <w:szCs w:val="24"/>
          <w:highlight w:val="none"/>
        </w:rPr>
        <w:t>，视为提供备选方案。</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254" w:name="_Toc89870574"/>
      <w:bookmarkStart w:id="255" w:name="_Toc23337"/>
      <w:r>
        <w:rPr>
          <w:rFonts w:ascii="Times New Roman" w:hAnsi="Times New Roman"/>
          <w:color w:val="auto"/>
          <w:sz w:val="24"/>
          <w:szCs w:val="24"/>
          <w:highlight w:val="none"/>
        </w:rPr>
        <w:t>3.7 投标文件的编制</w:t>
      </w:r>
      <w:bookmarkEnd w:id="254"/>
      <w:bookmarkEnd w:id="25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 投标文件应按第六章</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投标文件格式</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 投标文件应当对招标文件有关监理服务期限、投标有效期、委托人要求、招标范围等实质性内容作出响应。</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3.7.3（A）（1）投标文件应用不褪色的材料书写或打印，投标函</w:t>
      </w:r>
      <w:r>
        <w:rPr>
          <w:rFonts w:hint="eastAsia" w:ascii="Times New Roman" w:hAnsi="Times New Roman"/>
          <w:strike/>
          <w:color w:val="auto"/>
          <w:sz w:val="24"/>
          <w:szCs w:val="24"/>
          <w:highlight w:val="none"/>
        </w:rPr>
        <w:t>、投标函附录</w:t>
      </w:r>
      <w:r>
        <w:rPr>
          <w:rFonts w:ascii="Times New Roman" w:hAnsi="Times New Roman"/>
          <w:strike/>
          <w:color w:val="auto"/>
          <w:sz w:val="24"/>
          <w:szCs w:val="24"/>
          <w:highlight w:val="none"/>
        </w:rPr>
        <w:t>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hint="eastAsia" w:ascii="Times New Roman" w:hAnsi="Times New Roman"/>
          <w:strike/>
          <w:color w:val="auto"/>
          <w:sz w:val="24"/>
          <w:szCs w:val="24"/>
          <w:highlight w:val="none"/>
          <w:lang w:eastAsia="zh-CN"/>
        </w:rPr>
        <w:t>“</w:t>
      </w:r>
      <w:r>
        <w:rPr>
          <w:rFonts w:ascii="Times New Roman" w:hAnsi="Times New Roman"/>
          <w:strike/>
          <w:color w:val="auto"/>
          <w:sz w:val="24"/>
          <w:szCs w:val="24"/>
          <w:highlight w:val="none"/>
        </w:rPr>
        <w:t>投标文件格式</w:t>
      </w:r>
      <w:r>
        <w:rPr>
          <w:rFonts w:hint="eastAsia" w:ascii="Times New Roman" w:hAnsi="Times New Roman"/>
          <w:strike/>
          <w:color w:val="auto"/>
          <w:sz w:val="24"/>
          <w:szCs w:val="24"/>
          <w:highlight w:val="none"/>
          <w:lang w:eastAsia="zh-CN"/>
        </w:rPr>
        <w:t>”</w:t>
      </w:r>
      <w:r>
        <w:rPr>
          <w:rFonts w:ascii="Times New Roman" w:hAnsi="Times New Roman"/>
          <w:strike/>
          <w:color w:val="auto"/>
          <w:sz w:val="24"/>
          <w:szCs w:val="24"/>
          <w:highlight w:val="none"/>
        </w:rPr>
        <w:t>的要求。投标文件应尽量避免涂改、行间插字或删除。如果出现上述情况，改动之处应由投标人的法定代表人或其授权的代理人签字或盖单位章。</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（2）投标文件正本一份，副本份数见投标人须知前附表。正本和副本的封面</w:t>
      </w:r>
      <w:r>
        <w:rPr>
          <w:rStyle w:val="27"/>
          <w:rFonts w:ascii="Times New Roman" w:hAnsi="Times New Roman"/>
          <w:strike/>
          <w:color w:val="auto"/>
          <w:kern w:val="0"/>
          <w:sz w:val="24"/>
          <w:szCs w:val="24"/>
          <w:highlight w:val="none"/>
        </w:rPr>
        <w:t>右上角</w:t>
      </w:r>
      <w:r>
        <w:rPr>
          <w:rFonts w:ascii="Times New Roman" w:hAnsi="Times New Roman"/>
          <w:strike/>
          <w:color w:val="auto"/>
          <w:sz w:val="24"/>
          <w:szCs w:val="24"/>
          <w:highlight w:val="none"/>
        </w:rPr>
        <w:t>上应清楚地标记</w:t>
      </w:r>
      <w:r>
        <w:rPr>
          <w:rFonts w:hint="eastAsia" w:ascii="Times New Roman" w:hAnsi="Times New Roman"/>
          <w:strike/>
          <w:color w:val="auto"/>
          <w:sz w:val="24"/>
          <w:szCs w:val="24"/>
          <w:highlight w:val="none"/>
          <w:lang w:eastAsia="zh-CN"/>
        </w:rPr>
        <w:t>“</w:t>
      </w:r>
      <w:r>
        <w:rPr>
          <w:rFonts w:ascii="Times New Roman" w:hAnsi="Times New Roman"/>
          <w:strike/>
          <w:color w:val="auto"/>
          <w:sz w:val="24"/>
          <w:szCs w:val="24"/>
          <w:highlight w:val="none"/>
        </w:rPr>
        <w:t>正本</w:t>
      </w:r>
      <w:r>
        <w:rPr>
          <w:rFonts w:hint="eastAsia" w:ascii="Times New Roman" w:hAnsi="Times New Roman"/>
          <w:strike/>
          <w:color w:val="auto"/>
          <w:sz w:val="24"/>
          <w:szCs w:val="24"/>
          <w:highlight w:val="none"/>
          <w:lang w:eastAsia="zh-CN"/>
        </w:rPr>
        <w:t>”</w:t>
      </w:r>
      <w:r>
        <w:rPr>
          <w:rFonts w:ascii="Times New Roman" w:hAnsi="Times New Roman"/>
          <w:strike/>
          <w:color w:val="auto"/>
          <w:sz w:val="24"/>
          <w:szCs w:val="24"/>
          <w:highlight w:val="none"/>
        </w:rPr>
        <w:t>或</w:t>
      </w:r>
      <w:r>
        <w:rPr>
          <w:rFonts w:hint="eastAsia" w:ascii="Times New Roman" w:hAnsi="Times New Roman"/>
          <w:strike/>
          <w:color w:val="auto"/>
          <w:sz w:val="24"/>
          <w:szCs w:val="24"/>
          <w:highlight w:val="none"/>
          <w:lang w:eastAsia="zh-CN"/>
        </w:rPr>
        <w:t>“</w:t>
      </w:r>
      <w:r>
        <w:rPr>
          <w:rFonts w:ascii="Times New Roman" w:hAnsi="Times New Roman"/>
          <w:strike/>
          <w:color w:val="auto"/>
          <w:sz w:val="24"/>
          <w:szCs w:val="24"/>
          <w:highlight w:val="none"/>
        </w:rPr>
        <w:t>副本</w:t>
      </w:r>
      <w:r>
        <w:rPr>
          <w:rFonts w:hint="eastAsia" w:ascii="Times New Roman" w:hAnsi="Times New Roman"/>
          <w:strike/>
          <w:color w:val="auto"/>
          <w:sz w:val="24"/>
          <w:szCs w:val="24"/>
          <w:highlight w:val="none"/>
          <w:lang w:eastAsia="zh-CN"/>
        </w:rPr>
        <w:t>”</w:t>
      </w:r>
      <w:r>
        <w:rPr>
          <w:rFonts w:ascii="Times New Roman" w:hAnsi="Times New Roman"/>
          <w:strike/>
          <w:color w:val="auto"/>
          <w:sz w:val="24"/>
          <w:szCs w:val="24"/>
          <w:highlight w:val="none"/>
        </w:rPr>
        <w:t>的字样。投标人应根据投标人须知前附表要求提供电子版文件。当副本和正本不一致或电子版文件和纸质正本文件不一致时，以纸质正本文件为准。</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（3）投标文件的正本与副本应分别装订，并编制目录，投标文件需分册装订的，具体分册装订要求见投标人须知前附表规定。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3.7.3（B）投标文件全部采用电子文档，除投标人须知前附表另有规定外，投标文件所附证书证件均为</w:t>
      </w:r>
      <w:r>
        <w:rPr>
          <w:rFonts w:hint="eastAsia" w:ascii="Times New Roman" w:hAnsi="Times New Roman"/>
          <w:b/>
          <w:color w:val="auto"/>
          <w:sz w:val="24"/>
          <w:szCs w:val="24"/>
          <w:highlight w:val="none"/>
        </w:rPr>
        <w:t>原件清晰扫描件</w:t>
      </w:r>
      <w:r>
        <w:rPr>
          <w:rFonts w:ascii="Times New Roman" w:hAnsi="Times New Roman"/>
          <w:color w:val="auto"/>
          <w:sz w:val="24"/>
          <w:szCs w:val="24"/>
          <w:highlight w:val="none"/>
        </w:rPr>
        <w:t>，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2"/>
        <w:keepNext w:val="0"/>
        <w:keepLines w:val="0"/>
        <w:spacing w:before="0" w:after="0" w:line="360" w:lineRule="auto"/>
        <w:ind w:firstLine="643" w:firstLineChars="200"/>
        <w:rPr>
          <w:rFonts w:ascii="Times New Roman" w:hAnsi="Times New Roman"/>
          <w:color w:val="auto"/>
          <w:highlight w:val="none"/>
        </w:rPr>
      </w:pPr>
      <w:bookmarkStart w:id="256" w:name="_Toc89870575"/>
      <w:bookmarkStart w:id="257" w:name="_Toc16599"/>
      <w:bookmarkStart w:id="258" w:name="_Toc89870579"/>
      <w:bookmarkStart w:id="259" w:name="_Toc26023"/>
      <w:r>
        <w:rPr>
          <w:rFonts w:ascii="Times New Roman" w:hAnsi="Times New Roman"/>
          <w:color w:val="auto"/>
          <w:highlight w:val="none"/>
        </w:rPr>
        <w:t>4. 投标</w:t>
      </w:r>
      <w:bookmarkEnd w:id="256"/>
      <w:bookmarkEnd w:id="257"/>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260" w:name="_Toc89870576"/>
      <w:bookmarkStart w:id="261" w:name="_Toc10880"/>
      <w:r>
        <w:rPr>
          <w:rFonts w:ascii="Times New Roman" w:hAnsi="Times New Roman"/>
          <w:color w:val="auto"/>
          <w:sz w:val="24"/>
          <w:szCs w:val="24"/>
          <w:highlight w:val="none"/>
        </w:rPr>
        <w:t>4.1 投标文件的密封和标记</w:t>
      </w:r>
      <w:bookmarkEnd w:id="260"/>
      <w:bookmarkEnd w:id="261"/>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4.1.1 （A）投标文件应密封包装，并在封套的封口处加盖投标人单位章或由投标人的法定代表人或其授权的代理人签字。</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4.1.1 （B）投标人应当按照招标文件和电子招标投标交易平台的要求加密投标文件，具体要求见投标人须知前附表。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4.1.2 投标文件封套上应写明的内容见投标人须知前附表。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4.1.3 未按本章第4.1.1项要求密封的投标文件，招标人将予以拒收。</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262" w:name="_Toc89870577"/>
      <w:bookmarkStart w:id="263" w:name="_Toc13276"/>
      <w:r>
        <w:rPr>
          <w:rFonts w:ascii="Times New Roman" w:hAnsi="Times New Roman"/>
          <w:color w:val="auto"/>
          <w:sz w:val="24"/>
          <w:szCs w:val="24"/>
          <w:highlight w:val="none"/>
        </w:rPr>
        <w:t>4.2 投标文件的递交</w:t>
      </w:r>
      <w:bookmarkEnd w:id="262"/>
      <w:bookmarkEnd w:id="26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4.2.1 投标人应在投标人须知前附表规定的投标截止时间前递交投标文件。</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4.2.2 （A）投标人递交投标文件的地点：见投标人须知前附表。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4.2.2 （B）</w:t>
      </w:r>
      <w:r>
        <w:rPr>
          <w:rFonts w:ascii="Times New Roman" w:hAnsi="Times New Roman"/>
          <w:bCs/>
          <w:iCs/>
          <w:color w:val="auto"/>
          <w:sz w:val="24"/>
          <w:szCs w:val="24"/>
          <w:highlight w:val="none"/>
        </w:rPr>
        <w:t>投标人通过下载招标文件的电子招标投标交易平台递交电子投标文件。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4.2.3 除投标人须知前附表另有规定外，投标人所递交的投标文件不予退还。</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4.2.4 （A）招标人收到投标文件后，向投标人出具签收凭证。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4.2.4 （B）投标人完成电子投标文件上传后，</w:t>
      </w:r>
      <w:r>
        <w:rPr>
          <w:rFonts w:ascii="Times New Roman" w:hAnsi="Times New Roman"/>
          <w:bCs/>
          <w:iCs/>
          <w:color w:val="auto"/>
          <w:sz w:val="24"/>
          <w:szCs w:val="24"/>
          <w:highlight w:val="none"/>
        </w:rPr>
        <w:t>电子招标投标交易平台</w:t>
      </w:r>
      <w:r>
        <w:rPr>
          <w:rFonts w:ascii="Times New Roman" w:hAnsi="Times New Roman"/>
          <w:color w:val="auto"/>
          <w:sz w:val="24"/>
          <w:szCs w:val="24"/>
          <w:highlight w:val="none"/>
        </w:rPr>
        <w:t>即时向投标人发出递交回执通知。递交时间以递交回执通知载明的传输完成时间为准。</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4.2.5 （A）逾期送达的投标文件，招标人将予以拒收。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4.2.5 （B）逾期送达的投标文件，电子招标投标交易平台将予以拒收。</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264" w:name="_Toc16752"/>
      <w:bookmarkStart w:id="265" w:name="_Toc89870578"/>
      <w:r>
        <w:rPr>
          <w:rFonts w:ascii="Times New Roman" w:hAnsi="Times New Roman"/>
          <w:color w:val="auto"/>
          <w:sz w:val="24"/>
          <w:szCs w:val="24"/>
          <w:highlight w:val="none"/>
        </w:rPr>
        <w:t>4.3 投标文件的修改与撤回</w:t>
      </w:r>
      <w:bookmarkEnd w:id="264"/>
      <w:bookmarkEnd w:id="26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4.3.1 在本章第4.2.1项规定的投标截止时间前，投标人可以修改或撤回已递交的投标文件，但应以书面形式通知招标人。</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4.3.2 （A）投标人修改或撤回已递交投标文件的书面通知应按照本章第3.7.3（A）项的要求签字或盖章。招标人收到书面通知后，向投标人出具签收凭证。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4.3.2 （B）投标人修改或撤回已递交投标文件的通知，应按照本章第3.7.3（B）项的要求加盖电子印章。</w:t>
      </w:r>
      <w:r>
        <w:rPr>
          <w:rFonts w:ascii="Times New Roman" w:hAnsi="Times New Roman"/>
          <w:bCs/>
          <w:iCs/>
          <w:color w:val="auto"/>
          <w:sz w:val="24"/>
          <w:szCs w:val="24"/>
          <w:highlight w:val="none"/>
        </w:rPr>
        <w:t>电子招标投标交易平台收到通知后，</w:t>
      </w:r>
      <w:r>
        <w:rPr>
          <w:rFonts w:ascii="Times New Roman" w:hAnsi="Times New Roman"/>
          <w:color w:val="auto"/>
          <w:sz w:val="24"/>
          <w:szCs w:val="24"/>
          <w:highlight w:val="none"/>
        </w:rPr>
        <w:t>即时向投标人发出确认回执通知。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4.3.3 投标人撤回投标文件的，招标人自收到投标人书面撤回通知之日起5日内退还已收取的投标保证金。</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w:t>
      </w:r>
      <w:bookmarkStart w:id="266" w:name="_Toc300834974"/>
      <w:bookmarkStart w:id="267" w:name="_Toc384308235"/>
      <w:bookmarkStart w:id="268" w:name="_Toc352691497"/>
      <w:bookmarkStart w:id="269" w:name="_Toc361508610"/>
      <w:bookmarkStart w:id="270" w:name="_Toc144974521"/>
      <w:bookmarkStart w:id="271" w:name="_Toc247513977"/>
      <w:bookmarkStart w:id="272" w:name="_Toc369531541"/>
      <w:bookmarkStart w:id="273" w:name="_Toc152042329"/>
      <w:bookmarkStart w:id="274" w:name="_Toc19203"/>
      <w:bookmarkStart w:id="275" w:name="_Toc247527578"/>
      <w:bookmarkStart w:id="276" w:name="_Toc152045553"/>
      <w:r>
        <w:rPr>
          <w:rFonts w:ascii="Times New Roman" w:hAnsi="Times New Roman"/>
          <w:color w:val="auto"/>
          <w:sz w:val="24"/>
          <w:szCs w:val="24"/>
          <w:highlight w:val="none"/>
        </w:rPr>
        <w:t>4 修改的内容为投标</w:t>
      </w:r>
      <w:bookmarkEnd w:id="266"/>
      <w:bookmarkEnd w:id="267"/>
      <w:bookmarkEnd w:id="268"/>
      <w:bookmarkEnd w:id="269"/>
      <w:bookmarkEnd w:id="270"/>
      <w:bookmarkEnd w:id="271"/>
      <w:bookmarkEnd w:id="272"/>
      <w:bookmarkEnd w:id="273"/>
      <w:bookmarkEnd w:id="274"/>
      <w:bookmarkEnd w:id="275"/>
      <w:bookmarkEnd w:id="276"/>
      <w:r>
        <w:rPr>
          <w:rFonts w:ascii="Times New Roman" w:hAnsi="Times New Roman"/>
          <w:color w:val="auto"/>
          <w:sz w:val="24"/>
          <w:szCs w:val="24"/>
          <w:highlight w:val="none"/>
        </w:rPr>
        <w:t>文件的组成部分。修改的投标文件应按照本章第3条、第4条的规定进行编制、密封、标记和递交，并标明</w:t>
      </w:r>
      <w:r>
        <w:rPr>
          <w:rFonts w:hint="eastAsia" w:ascii="Times New Roman" w:hAnsi="Times New Roman"/>
          <w:color w:val="auto"/>
          <w:sz w:val="24"/>
          <w:szCs w:val="24"/>
          <w:highlight w:val="none"/>
        </w:rPr>
        <w:t>“修</w:t>
      </w:r>
      <w:r>
        <w:rPr>
          <w:rFonts w:ascii="Times New Roman" w:hAnsi="Times New Roman"/>
          <w:color w:val="auto"/>
          <w:sz w:val="24"/>
          <w:szCs w:val="24"/>
          <w:highlight w:val="none"/>
        </w:rPr>
        <w:t>改</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字样。</w:t>
      </w:r>
    </w:p>
    <w:p>
      <w:pPr>
        <w:pStyle w:val="2"/>
        <w:keepNext w:val="0"/>
        <w:keepLines w:val="0"/>
        <w:spacing w:before="0" w:after="0" w:line="360" w:lineRule="auto"/>
        <w:ind w:firstLine="643" w:firstLineChars="200"/>
        <w:rPr>
          <w:rFonts w:ascii="Times New Roman" w:hAnsi="Times New Roman"/>
          <w:color w:val="auto"/>
          <w:highlight w:val="none"/>
        </w:rPr>
      </w:pPr>
      <w:r>
        <w:rPr>
          <w:rFonts w:ascii="Times New Roman" w:hAnsi="Times New Roman"/>
          <w:color w:val="auto"/>
          <w:highlight w:val="none"/>
        </w:rPr>
        <w:t>5. 开标</w:t>
      </w:r>
      <w:bookmarkEnd w:id="258"/>
      <w:bookmarkEnd w:id="259"/>
    </w:p>
    <w:p>
      <w:pPr>
        <w:pStyle w:val="4"/>
        <w:keepNext w:val="0"/>
        <w:keepLines w:val="0"/>
        <w:spacing w:before="0" w:after="0" w:line="490" w:lineRule="exact"/>
        <w:ind w:firstLine="480" w:firstLineChars="200"/>
        <w:rPr>
          <w:rFonts w:ascii="Times New Roman" w:hAnsi="Times New Roman"/>
          <w:strike/>
          <w:color w:val="auto"/>
          <w:sz w:val="24"/>
          <w:szCs w:val="24"/>
          <w:highlight w:val="none"/>
        </w:rPr>
      </w:pPr>
      <w:bookmarkStart w:id="277" w:name="_Toc29787"/>
      <w:bookmarkStart w:id="278" w:name="_Toc89870580"/>
      <w:r>
        <w:rPr>
          <w:rFonts w:ascii="Times New Roman" w:hAnsi="Times New Roman"/>
          <w:strike/>
          <w:color w:val="auto"/>
          <w:sz w:val="24"/>
          <w:szCs w:val="24"/>
          <w:highlight w:val="none"/>
        </w:rPr>
        <w:t>5.1 开标时间和地点（A）</w:t>
      </w:r>
      <w:bookmarkEnd w:id="277"/>
      <w:bookmarkEnd w:id="278"/>
    </w:p>
    <w:p>
      <w:pPr>
        <w:spacing w:line="490" w:lineRule="exact"/>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招标人在本章第4.2.1项规定的投标截止时间（开标时间）和投标人须知前附表规定的地点公开开标，并邀请所有投标人的法定代表人或其委托代理人准时参加。</w:t>
      </w:r>
    </w:p>
    <w:p>
      <w:pPr>
        <w:pStyle w:val="4"/>
        <w:keepNext w:val="0"/>
        <w:keepLines w:val="0"/>
        <w:spacing w:before="0" w:after="0" w:line="490" w:lineRule="exact"/>
        <w:ind w:firstLine="480" w:firstLineChars="200"/>
        <w:rPr>
          <w:rFonts w:ascii="Times New Roman" w:hAnsi="Times New Roman"/>
          <w:color w:val="auto"/>
          <w:sz w:val="24"/>
          <w:szCs w:val="24"/>
          <w:highlight w:val="none"/>
        </w:rPr>
      </w:pPr>
      <w:bookmarkStart w:id="279" w:name="_Toc89870581"/>
      <w:bookmarkStart w:id="280" w:name="_Toc28583"/>
      <w:r>
        <w:rPr>
          <w:rFonts w:ascii="Times New Roman" w:hAnsi="Times New Roman"/>
          <w:color w:val="auto"/>
          <w:sz w:val="24"/>
          <w:szCs w:val="24"/>
          <w:highlight w:val="none"/>
        </w:rPr>
        <w:t>5.1 开标时间和地点（B）</w:t>
      </w:r>
      <w:bookmarkEnd w:id="279"/>
      <w:bookmarkEnd w:id="280"/>
    </w:p>
    <w:p>
      <w:pPr>
        <w:pStyle w:val="14"/>
        <w:spacing w:line="490" w:lineRule="exact"/>
        <w:rPr>
          <w:color w:val="auto"/>
          <w:highlight w:val="none"/>
        </w:rPr>
      </w:pPr>
      <w:r>
        <w:rPr>
          <w:rFonts w:ascii="Times New Roman" w:hAnsi="Times New Roman"/>
          <w:color w:val="auto"/>
          <w:sz w:val="24"/>
          <w:szCs w:val="24"/>
          <w:highlight w:val="none"/>
        </w:rPr>
        <w:t>招标人在本章第4.2.1项规定的投标截止时间（开标时间）</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通过电子招标投标交易平台公开开标，所有投标人的法定代表人或其委托代理人应当准时参加。如未按规定时间参加的，视为默认其开标结果。</w:t>
      </w:r>
    </w:p>
    <w:p>
      <w:pPr>
        <w:pStyle w:val="4"/>
        <w:keepNext w:val="0"/>
        <w:keepLines w:val="0"/>
        <w:spacing w:before="0" w:after="0" w:line="490" w:lineRule="exact"/>
        <w:ind w:firstLine="480" w:firstLineChars="200"/>
        <w:rPr>
          <w:rFonts w:ascii="Times New Roman" w:hAnsi="Times New Roman"/>
          <w:color w:val="auto"/>
          <w:sz w:val="24"/>
          <w:szCs w:val="24"/>
          <w:highlight w:val="none"/>
        </w:rPr>
      </w:pPr>
      <w:bookmarkStart w:id="281" w:name="_Toc31545"/>
      <w:bookmarkStart w:id="282" w:name="_Toc89870582"/>
      <w:r>
        <w:rPr>
          <w:rFonts w:ascii="Times New Roman" w:hAnsi="Times New Roman"/>
          <w:color w:val="auto"/>
          <w:sz w:val="24"/>
          <w:szCs w:val="24"/>
          <w:highlight w:val="none"/>
        </w:rPr>
        <w:t>5.2 开标程序</w:t>
      </w:r>
      <w:bookmarkEnd w:id="281"/>
      <w:bookmarkEnd w:id="282"/>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主持人按下列程序进行开标：</w:t>
      </w:r>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（1）宣布开标纪律；</w:t>
      </w:r>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（2）公布在投标截止时间前递交投标文件的投标人名称；</w:t>
      </w:r>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（3）宣布</w:t>
      </w:r>
      <w:bookmarkStart w:id="283" w:name="_Toc152045554"/>
      <w:bookmarkStart w:id="284" w:name="_Toc369531542"/>
      <w:bookmarkStart w:id="285" w:name="_Toc361508611"/>
      <w:bookmarkStart w:id="286" w:name="_Toc144974522"/>
      <w:bookmarkStart w:id="287" w:name="_Toc152042330"/>
      <w:bookmarkStart w:id="288" w:name="_Toc300834975"/>
      <w:bookmarkStart w:id="289" w:name="_Toc384308236"/>
      <w:bookmarkStart w:id="290" w:name="_Toc22119"/>
      <w:bookmarkStart w:id="291" w:name="_Toc352691498"/>
      <w:bookmarkStart w:id="292" w:name="_Toc247513978"/>
      <w:bookmarkStart w:id="293" w:name="_Toc247527579"/>
      <w:r>
        <w:rPr>
          <w:rFonts w:ascii="Times New Roman" w:hAnsi="Times New Roman"/>
          <w:color w:val="auto"/>
          <w:sz w:val="24"/>
          <w:szCs w:val="24"/>
          <w:highlight w:val="none"/>
        </w:rPr>
        <w:t>开标人、唱标人、记录人</w:t>
      </w:r>
      <w:bookmarkEnd w:id="283"/>
      <w:bookmarkEnd w:id="284"/>
      <w:bookmarkEnd w:id="285"/>
      <w:bookmarkEnd w:id="286"/>
      <w:bookmarkEnd w:id="287"/>
      <w:bookmarkEnd w:id="288"/>
      <w:bookmarkEnd w:id="289"/>
      <w:bookmarkEnd w:id="290"/>
      <w:bookmarkEnd w:id="291"/>
      <w:bookmarkEnd w:id="292"/>
      <w:bookmarkEnd w:id="293"/>
      <w:r>
        <w:rPr>
          <w:rFonts w:ascii="Times New Roman" w:hAnsi="Times New Roman"/>
          <w:color w:val="auto"/>
          <w:sz w:val="24"/>
          <w:szCs w:val="24"/>
          <w:highlight w:val="none"/>
        </w:rPr>
        <w:t>、监标人等有关人员姓名；</w:t>
      </w:r>
    </w:p>
    <w:p>
      <w:pPr>
        <w:spacing w:line="490" w:lineRule="exact"/>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（4）（A）检查投标文件的密封情况，按照投标人须知前附表规定的开标顺序当众开标，公布招标项目名称、投标人名称、投标保证金的递交情况、投标报价、监理服务期限及其他内容，并记录在案；</w:t>
      </w:r>
    </w:p>
    <w:p>
      <w:pPr>
        <w:spacing w:line="49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（5）（A）投标人代表、招标人代表、监标人、记录人等有关人员在开标记录上签字确认；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（5）（B）投标人代表、招标人代表、监标人、记录人等有关人员使用本人的电子印章在开标记录上签字确认；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（6）开标结束。</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294" w:name="_Toc17685"/>
      <w:bookmarkStart w:id="295" w:name="_Toc89870583"/>
      <w:r>
        <w:rPr>
          <w:rFonts w:ascii="Times New Roman" w:hAnsi="Times New Roman"/>
          <w:color w:val="auto"/>
          <w:sz w:val="24"/>
          <w:szCs w:val="24"/>
          <w:highlight w:val="none"/>
        </w:rPr>
        <w:t>5.3 开标异议</w:t>
      </w:r>
      <w:bookmarkEnd w:id="294"/>
      <w:bookmarkEnd w:id="295"/>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投标人对开标有异议的，应当在开标现场提出，招标人当场作出答复，并制作记录。</w:t>
      </w:r>
    </w:p>
    <w:p>
      <w:pPr>
        <w:pStyle w:val="2"/>
        <w:keepNext w:val="0"/>
        <w:keepLines w:val="0"/>
        <w:spacing w:before="0" w:after="0" w:line="360" w:lineRule="auto"/>
        <w:ind w:firstLine="643" w:firstLineChars="200"/>
        <w:rPr>
          <w:rFonts w:ascii="Times New Roman" w:hAnsi="Times New Roman"/>
          <w:color w:val="auto"/>
          <w:highlight w:val="none"/>
        </w:rPr>
      </w:pPr>
      <w:bookmarkStart w:id="296" w:name="_Toc89870584"/>
      <w:bookmarkStart w:id="297" w:name="_Toc13048"/>
      <w:r>
        <w:rPr>
          <w:rFonts w:ascii="Times New Roman" w:hAnsi="Times New Roman"/>
          <w:color w:val="auto"/>
          <w:highlight w:val="none"/>
        </w:rPr>
        <w:t>6. 评标</w:t>
      </w:r>
      <w:bookmarkEnd w:id="296"/>
      <w:bookmarkEnd w:id="297"/>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298" w:name="_Toc89870585"/>
      <w:bookmarkStart w:id="299" w:name="_Toc4950"/>
      <w:r>
        <w:rPr>
          <w:rFonts w:ascii="Times New Roman" w:hAnsi="Times New Roman"/>
          <w:color w:val="auto"/>
          <w:sz w:val="24"/>
          <w:szCs w:val="24"/>
          <w:highlight w:val="none"/>
        </w:rPr>
        <w:t>6.1 评标委员会</w:t>
      </w:r>
      <w:bookmarkEnd w:id="298"/>
      <w:bookmarkEnd w:id="299"/>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6.1.2 评标委员会成员有下列情形之一的，应当回避：</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（1）投标人或投标人主要负责人的近亲属；</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（2）项目主管部门或者行政监督部门的人员；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（3）与投标人有经济利益关系，可能影响对投标公正评审的；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（4）曾因在招标、评</w:t>
      </w:r>
      <w:bookmarkStart w:id="300" w:name="_Toc6230"/>
      <w:bookmarkStart w:id="301" w:name="_Toc247513979"/>
      <w:bookmarkStart w:id="302" w:name="_Toc152042331"/>
      <w:bookmarkStart w:id="303" w:name="_Toc144974523"/>
      <w:bookmarkStart w:id="304" w:name="_Toc369531543"/>
      <w:bookmarkStart w:id="305" w:name="_Toc352691499"/>
      <w:bookmarkStart w:id="306" w:name="_Toc300834976"/>
      <w:bookmarkStart w:id="307" w:name="_Toc361508612"/>
      <w:bookmarkStart w:id="308" w:name="_Toc247527580"/>
      <w:bookmarkStart w:id="309" w:name="_Toc384308237"/>
      <w:bookmarkStart w:id="310" w:name="_Toc152045555"/>
      <w:r>
        <w:rPr>
          <w:rFonts w:ascii="Times New Roman" w:hAnsi="Times New Roman"/>
          <w:color w:val="auto"/>
          <w:sz w:val="24"/>
          <w:szCs w:val="24"/>
          <w:highlight w:val="none"/>
        </w:rPr>
        <w:t>标以及其他</w:t>
      </w:r>
      <w:bookmarkEnd w:id="300"/>
      <w:bookmarkEnd w:id="301"/>
      <w:bookmarkEnd w:id="302"/>
      <w:bookmarkEnd w:id="303"/>
      <w:bookmarkEnd w:id="304"/>
      <w:bookmarkEnd w:id="305"/>
      <w:bookmarkEnd w:id="306"/>
      <w:bookmarkEnd w:id="307"/>
      <w:bookmarkEnd w:id="308"/>
      <w:bookmarkEnd w:id="309"/>
      <w:bookmarkEnd w:id="310"/>
      <w:r>
        <w:rPr>
          <w:rFonts w:ascii="Times New Roman" w:hAnsi="Times New Roman"/>
          <w:color w:val="auto"/>
          <w:sz w:val="24"/>
          <w:szCs w:val="24"/>
          <w:highlight w:val="none"/>
        </w:rPr>
        <w:t>与</w:t>
      </w:r>
      <w:bookmarkStart w:id="311" w:name="_Toc361508613"/>
      <w:bookmarkStart w:id="312" w:name="_Toc247513980"/>
      <w:bookmarkStart w:id="313" w:name="_Toc369531544"/>
      <w:bookmarkStart w:id="314" w:name="_Toc300834977"/>
      <w:bookmarkStart w:id="315" w:name="_Toc144974524"/>
      <w:bookmarkStart w:id="316" w:name="_Toc17703"/>
      <w:bookmarkStart w:id="317" w:name="_Toc384308238"/>
      <w:bookmarkStart w:id="318" w:name="_Toc247527581"/>
      <w:bookmarkStart w:id="319" w:name="_Toc152042332"/>
      <w:bookmarkStart w:id="320" w:name="_Toc352691500"/>
      <w:bookmarkStart w:id="321" w:name="_Toc152045556"/>
      <w:r>
        <w:rPr>
          <w:rFonts w:ascii="Times New Roman" w:hAnsi="Times New Roman"/>
          <w:color w:val="auto"/>
          <w:sz w:val="24"/>
          <w:szCs w:val="24"/>
          <w:highlight w:val="none"/>
        </w:rPr>
        <w:t>招标投标有关活动中从事违法行</w:t>
      </w:r>
      <w:bookmarkEnd w:id="311"/>
      <w:bookmarkEnd w:id="312"/>
      <w:bookmarkEnd w:id="313"/>
      <w:bookmarkEnd w:id="314"/>
      <w:bookmarkEnd w:id="315"/>
      <w:bookmarkEnd w:id="316"/>
      <w:bookmarkEnd w:id="317"/>
      <w:bookmarkEnd w:id="318"/>
      <w:bookmarkEnd w:id="319"/>
      <w:bookmarkEnd w:id="320"/>
      <w:bookmarkEnd w:id="321"/>
      <w:r>
        <w:rPr>
          <w:rFonts w:ascii="Times New Roman" w:hAnsi="Times New Roman"/>
          <w:color w:val="auto"/>
          <w:sz w:val="24"/>
          <w:szCs w:val="24"/>
          <w:highlight w:val="none"/>
        </w:rPr>
        <w:t>为而受过行政处罚或刑事处罚的；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（5）与投标人有其他利害关系。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322" w:name="_Toc3800"/>
      <w:bookmarkStart w:id="323" w:name="_Toc89870586"/>
      <w:r>
        <w:rPr>
          <w:rFonts w:ascii="Times New Roman" w:hAnsi="Times New Roman"/>
          <w:color w:val="auto"/>
          <w:sz w:val="24"/>
          <w:szCs w:val="24"/>
          <w:highlight w:val="none"/>
        </w:rPr>
        <w:t>6.2 评标原则</w:t>
      </w:r>
      <w:bookmarkEnd w:id="322"/>
      <w:bookmarkEnd w:id="32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评标活动遵循公平、公正、科学和择优的原</w:t>
      </w:r>
      <w:bookmarkStart w:id="324" w:name="_Toc152042333"/>
      <w:bookmarkStart w:id="325" w:name="_Toc144974525"/>
      <w:bookmarkStart w:id="326" w:name="_Toc384308239"/>
      <w:bookmarkStart w:id="327" w:name="_Toc247527582"/>
      <w:bookmarkStart w:id="328" w:name="_Toc18949"/>
      <w:bookmarkStart w:id="329" w:name="_Toc300834978"/>
      <w:bookmarkStart w:id="330" w:name="_Toc352691501"/>
      <w:bookmarkStart w:id="331" w:name="_Toc361508614"/>
      <w:bookmarkStart w:id="332" w:name="_Toc369531545"/>
      <w:bookmarkStart w:id="333" w:name="_Toc247513981"/>
      <w:bookmarkStart w:id="334" w:name="_Toc152045557"/>
      <w:r>
        <w:rPr>
          <w:rFonts w:ascii="Times New Roman" w:hAnsi="Times New Roman"/>
          <w:color w:val="auto"/>
          <w:sz w:val="24"/>
          <w:szCs w:val="24"/>
          <w:highlight w:val="none"/>
        </w:rPr>
        <w:t>则。</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335" w:name="_Toc13935"/>
      <w:bookmarkStart w:id="336" w:name="_Toc89870587"/>
      <w:r>
        <w:rPr>
          <w:rFonts w:ascii="Times New Roman" w:hAnsi="Times New Roman"/>
          <w:color w:val="auto"/>
          <w:sz w:val="24"/>
          <w:szCs w:val="24"/>
          <w:highlight w:val="none"/>
        </w:rPr>
        <w:t>6.3 评标</w:t>
      </w:r>
      <w:bookmarkEnd w:id="335"/>
      <w:bookmarkEnd w:id="33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w:t>
      </w:r>
      <w:bookmarkEnd w:id="324"/>
      <w:bookmarkEnd w:id="325"/>
      <w:bookmarkEnd w:id="326"/>
      <w:bookmarkEnd w:id="327"/>
      <w:bookmarkEnd w:id="328"/>
      <w:bookmarkEnd w:id="329"/>
      <w:bookmarkEnd w:id="330"/>
      <w:bookmarkEnd w:id="331"/>
      <w:bookmarkEnd w:id="332"/>
      <w:bookmarkEnd w:id="333"/>
      <w:bookmarkEnd w:id="334"/>
      <w:r>
        <w:rPr>
          <w:rFonts w:ascii="Times New Roman" w:hAnsi="Times New Roman"/>
          <w:color w:val="auto"/>
          <w:sz w:val="24"/>
          <w:szCs w:val="24"/>
          <w:highlight w:val="none"/>
        </w:rPr>
        <w:t>.3.1评标委员会按照第三章</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评标办法</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规定的方法、评审因素、标准和程序对投标文件进行评审。第三章</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评标办法</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没有规定的方法、评审因素和标准，不作为评标依据。</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6.3.2评标完成后，评标委员会应当向招标人提交书面评标报告和中标候选人名单。评标委员会推荐中标</w:t>
      </w:r>
      <w:bookmarkStart w:id="337" w:name="_Toc144974526"/>
      <w:bookmarkStart w:id="338" w:name="_Toc300834979"/>
      <w:bookmarkStart w:id="339" w:name="_Toc352691502"/>
      <w:bookmarkStart w:id="340" w:name="_Toc152045558"/>
      <w:bookmarkStart w:id="341" w:name="_Toc152042334"/>
      <w:bookmarkStart w:id="342" w:name="_Toc247513982"/>
      <w:bookmarkStart w:id="343" w:name="_Toc384308240"/>
      <w:bookmarkStart w:id="344" w:name="_Toc361508615"/>
      <w:bookmarkStart w:id="345" w:name="_Toc369531546"/>
      <w:bookmarkStart w:id="346" w:name="_Toc247527583"/>
      <w:bookmarkStart w:id="347" w:name="_Toc12259"/>
      <w:r>
        <w:rPr>
          <w:rFonts w:ascii="Times New Roman" w:hAnsi="Times New Roman"/>
          <w:color w:val="auto"/>
          <w:sz w:val="24"/>
          <w:szCs w:val="24"/>
          <w:highlight w:val="none"/>
        </w:rPr>
        <w:t>候选人的人数见投标人须知前附</w:t>
      </w:r>
      <w:bookmarkEnd w:id="337"/>
      <w:bookmarkEnd w:id="338"/>
      <w:bookmarkEnd w:id="339"/>
      <w:bookmarkEnd w:id="340"/>
      <w:bookmarkEnd w:id="341"/>
      <w:bookmarkEnd w:id="342"/>
      <w:bookmarkEnd w:id="343"/>
      <w:bookmarkEnd w:id="344"/>
      <w:bookmarkEnd w:id="345"/>
      <w:bookmarkEnd w:id="346"/>
      <w:bookmarkEnd w:id="347"/>
      <w:r>
        <w:rPr>
          <w:rFonts w:ascii="Times New Roman" w:hAnsi="Times New Roman"/>
          <w:color w:val="auto"/>
          <w:sz w:val="24"/>
          <w:szCs w:val="24"/>
          <w:highlight w:val="none"/>
        </w:rPr>
        <w:t>表。</w:t>
      </w:r>
    </w:p>
    <w:p>
      <w:pPr>
        <w:pStyle w:val="2"/>
        <w:keepNext w:val="0"/>
        <w:keepLines w:val="0"/>
        <w:spacing w:before="0" w:after="0" w:line="360" w:lineRule="auto"/>
        <w:ind w:firstLine="643" w:firstLineChars="200"/>
        <w:rPr>
          <w:rFonts w:ascii="Times New Roman" w:hAnsi="Times New Roman"/>
          <w:color w:val="auto"/>
          <w:highlight w:val="none"/>
        </w:rPr>
      </w:pPr>
      <w:bookmarkStart w:id="348" w:name="_Toc89870588"/>
      <w:bookmarkStart w:id="349" w:name="_Toc24960"/>
      <w:r>
        <w:rPr>
          <w:rFonts w:ascii="Times New Roman" w:hAnsi="Times New Roman"/>
          <w:color w:val="auto"/>
          <w:highlight w:val="none"/>
        </w:rPr>
        <w:t>7. 合同授予</w:t>
      </w:r>
      <w:bookmarkEnd w:id="348"/>
      <w:bookmarkEnd w:id="349"/>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350" w:name="_Toc27199"/>
      <w:bookmarkStart w:id="351" w:name="_Toc89870589"/>
      <w:r>
        <w:rPr>
          <w:rFonts w:ascii="Times New Roman" w:hAnsi="Times New Roman"/>
          <w:color w:val="auto"/>
          <w:sz w:val="24"/>
          <w:szCs w:val="24"/>
          <w:highlight w:val="none"/>
        </w:rPr>
        <w:t>7.1 中标候选人公示</w:t>
      </w:r>
      <w:bookmarkEnd w:id="350"/>
      <w:bookmarkEnd w:id="351"/>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招标人在收到评标报告之日起3日内，按照投标人须知前附表规定的公示媒介和期限公示中标候选人，公示期3天</w:t>
      </w:r>
      <w:r>
        <w:rPr>
          <w:rFonts w:hint="eastAsia" w:ascii="Times New Roman" w:hAnsi="Times New Roman"/>
          <w:color w:val="auto"/>
          <w:sz w:val="24"/>
          <w:szCs w:val="24"/>
          <w:highlight w:val="none"/>
        </w:rPr>
        <w:t>（最后一天为工作日）</w:t>
      </w:r>
      <w:r>
        <w:rPr>
          <w:rFonts w:ascii="Times New Roman" w:hAnsi="Times New Roman"/>
          <w:color w:val="auto"/>
          <w:sz w:val="24"/>
          <w:szCs w:val="24"/>
          <w:highlight w:val="none"/>
        </w:rPr>
        <w:t>。</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352" w:name="_Toc89870590"/>
      <w:bookmarkStart w:id="353" w:name="_Toc9184"/>
      <w:r>
        <w:rPr>
          <w:rFonts w:ascii="Times New Roman" w:hAnsi="Times New Roman"/>
          <w:color w:val="auto"/>
          <w:sz w:val="24"/>
          <w:szCs w:val="24"/>
          <w:highlight w:val="none"/>
        </w:rPr>
        <w:t>7.2 评标结果异议</w:t>
      </w:r>
      <w:bookmarkEnd w:id="352"/>
      <w:bookmarkEnd w:id="353"/>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投标人或者其他利</w:t>
      </w:r>
      <w:bookmarkStart w:id="354" w:name="_Toc384308243"/>
      <w:bookmarkStart w:id="355" w:name="_Toc144974529"/>
      <w:bookmarkStart w:id="356" w:name="_Toc300834982"/>
      <w:bookmarkStart w:id="357" w:name="_Toc152042337"/>
      <w:bookmarkStart w:id="358" w:name="_Toc361508618"/>
      <w:bookmarkStart w:id="359" w:name="_Toc352691505"/>
      <w:bookmarkStart w:id="360" w:name="_Toc30095"/>
      <w:bookmarkStart w:id="361" w:name="_Toc369531549"/>
      <w:bookmarkStart w:id="362" w:name="_Toc247513985"/>
      <w:bookmarkStart w:id="363" w:name="_Toc247527586"/>
      <w:bookmarkStart w:id="364" w:name="_Toc152045561"/>
      <w:r>
        <w:rPr>
          <w:rFonts w:ascii="Times New Roman" w:hAnsi="Times New Roman"/>
          <w:color w:val="auto"/>
          <w:sz w:val="24"/>
          <w:szCs w:val="24"/>
          <w:highlight w:val="none"/>
        </w:rPr>
        <w:t>害关系人对评标结</w:t>
      </w:r>
      <w:bookmarkEnd w:id="354"/>
      <w:bookmarkEnd w:id="355"/>
      <w:bookmarkEnd w:id="356"/>
      <w:bookmarkEnd w:id="357"/>
      <w:bookmarkEnd w:id="358"/>
      <w:bookmarkEnd w:id="359"/>
      <w:bookmarkEnd w:id="360"/>
      <w:bookmarkEnd w:id="361"/>
      <w:bookmarkEnd w:id="362"/>
      <w:bookmarkEnd w:id="363"/>
      <w:bookmarkEnd w:id="364"/>
      <w:r>
        <w:rPr>
          <w:rFonts w:ascii="Times New Roman" w:hAnsi="Times New Roman"/>
          <w:color w:val="auto"/>
          <w:sz w:val="24"/>
          <w:szCs w:val="24"/>
          <w:highlight w:val="none"/>
        </w:rPr>
        <w:t>果有异议的，应当在中标候选人公示期间提出。招标人将在收到异议之日起3日内作出答复；作出答复前，将暂停招标投标活动。</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365" w:name="_Toc89870591"/>
      <w:bookmarkStart w:id="366" w:name="_Toc26195"/>
      <w:r>
        <w:rPr>
          <w:rFonts w:ascii="Times New Roman" w:hAnsi="Times New Roman"/>
          <w:color w:val="auto"/>
          <w:sz w:val="24"/>
          <w:szCs w:val="24"/>
          <w:highlight w:val="none"/>
        </w:rPr>
        <w:t>7.3 中标候选人履约能力审查</w:t>
      </w:r>
      <w:bookmarkEnd w:id="365"/>
      <w:bookmarkEnd w:id="36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367" w:name="_Toc20519"/>
      <w:bookmarkStart w:id="368" w:name="_Toc89870592"/>
      <w:r>
        <w:rPr>
          <w:rFonts w:ascii="Times New Roman" w:hAnsi="Times New Roman"/>
          <w:color w:val="auto"/>
          <w:sz w:val="24"/>
          <w:szCs w:val="24"/>
          <w:highlight w:val="none"/>
        </w:rPr>
        <w:t>7.4 定标</w:t>
      </w:r>
      <w:bookmarkEnd w:id="367"/>
      <w:bookmarkEnd w:id="368"/>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按照投标人须知前附表的规定，招标人或招标人授权的评标委员会依法确定中标人。</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369" w:name="_Toc16786"/>
      <w:bookmarkStart w:id="370" w:name="_Toc89870593"/>
      <w:r>
        <w:rPr>
          <w:rFonts w:ascii="Times New Roman" w:hAnsi="Times New Roman"/>
          <w:color w:val="auto"/>
          <w:sz w:val="24"/>
          <w:szCs w:val="24"/>
          <w:highlight w:val="none"/>
        </w:rPr>
        <w:t>7.5 中标通知</w:t>
      </w:r>
      <w:bookmarkEnd w:id="369"/>
      <w:bookmarkEnd w:id="37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在本章第3.3款规定的投标有效期内，招标人以书面形式向中标人发出中标</w:t>
      </w:r>
      <w:bookmarkStart w:id="371" w:name="_Toc361508619"/>
      <w:bookmarkStart w:id="372" w:name="_Toc352691506"/>
      <w:bookmarkStart w:id="373" w:name="_Toc384308244"/>
      <w:bookmarkStart w:id="374" w:name="_Toc369531550"/>
      <w:bookmarkStart w:id="375" w:name="_Toc300834983"/>
      <w:bookmarkStart w:id="376" w:name="_Toc5668"/>
      <w:r>
        <w:rPr>
          <w:rFonts w:ascii="Times New Roman" w:hAnsi="Times New Roman"/>
          <w:color w:val="auto"/>
          <w:sz w:val="24"/>
          <w:szCs w:val="24"/>
          <w:highlight w:val="none"/>
        </w:rPr>
        <w:t>通知书，同时将中</w:t>
      </w:r>
      <w:bookmarkEnd w:id="371"/>
      <w:bookmarkEnd w:id="372"/>
      <w:bookmarkEnd w:id="373"/>
      <w:bookmarkEnd w:id="374"/>
      <w:bookmarkEnd w:id="375"/>
      <w:bookmarkEnd w:id="376"/>
      <w:r>
        <w:rPr>
          <w:rFonts w:ascii="Times New Roman" w:hAnsi="Times New Roman"/>
          <w:color w:val="auto"/>
          <w:sz w:val="24"/>
          <w:szCs w:val="24"/>
          <w:highlight w:val="none"/>
        </w:rPr>
        <w:t>标结果通知未中标的投标人。</w:t>
      </w:r>
      <w:r>
        <w:rPr>
          <w:rFonts w:hint="eastAsia" w:ascii="Times New Roman" w:hAnsi="Times New Roman"/>
          <w:color w:val="auto"/>
          <w:sz w:val="24"/>
          <w:szCs w:val="24"/>
          <w:highlight w:val="none"/>
        </w:rPr>
        <w:t>发出中标通知书前，中标人应未被纳入失信联合惩戒名单，否则招标人将取消其中标资格，招标人可以按照评标委员会提出的中标候选人名单排序依次确定其他中标候选人为中标人。</w:t>
      </w:r>
    </w:p>
    <w:p>
      <w:pPr>
        <w:pStyle w:val="4"/>
        <w:keepNext w:val="0"/>
        <w:keepLines w:val="0"/>
        <w:spacing w:before="0" w:after="0" w:line="360" w:lineRule="auto"/>
        <w:ind w:firstLine="480" w:firstLineChars="200"/>
        <w:rPr>
          <w:rFonts w:ascii="Times New Roman" w:hAnsi="Times New Roman"/>
          <w:strike/>
          <w:color w:val="auto"/>
          <w:sz w:val="24"/>
          <w:szCs w:val="24"/>
          <w:highlight w:val="none"/>
        </w:rPr>
      </w:pPr>
      <w:bookmarkStart w:id="377" w:name="_Toc22862"/>
      <w:bookmarkStart w:id="378" w:name="_Toc89870594"/>
      <w:r>
        <w:rPr>
          <w:rFonts w:ascii="Times New Roman" w:hAnsi="Times New Roman"/>
          <w:color w:val="auto"/>
          <w:sz w:val="24"/>
          <w:szCs w:val="24"/>
          <w:highlight w:val="none"/>
        </w:rPr>
        <w:t xml:space="preserve">7.6 </w:t>
      </w:r>
      <w:r>
        <w:rPr>
          <w:rFonts w:ascii="Times New Roman" w:hAnsi="Times New Roman"/>
          <w:strike/>
          <w:color w:val="auto"/>
          <w:sz w:val="24"/>
          <w:szCs w:val="24"/>
          <w:highlight w:val="none"/>
        </w:rPr>
        <w:t>履约保证金</w:t>
      </w:r>
      <w:bookmarkEnd w:id="377"/>
      <w:bookmarkEnd w:id="378"/>
    </w:p>
    <w:p>
      <w:pPr>
        <w:spacing w:line="360" w:lineRule="auto"/>
        <w:ind w:firstLine="480" w:firstLineChars="200"/>
        <w:rPr>
          <w:rFonts w:ascii="Times New Roman" w:hAnsi="Times New Roman"/>
          <w:strike/>
          <w:color w:val="auto"/>
          <w:sz w:val="24"/>
          <w:szCs w:val="24"/>
          <w:highlight w:val="none"/>
        </w:rPr>
      </w:pPr>
      <w:r>
        <w:rPr>
          <w:rFonts w:ascii="Times New Roman" w:hAnsi="Times New Roman"/>
          <w:strike/>
          <w:color w:val="auto"/>
          <w:sz w:val="24"/>
          <w:szCs w:val="24"/>
          <w:highlight w:val="none"/>
        </w:rPr>
        <w:t xml:space="preserve">7.6.1 </w:t>
      </w:r>
      <w:r>
        <w:rPr>
          <w:rFonts w:hint="eastAsia" w:ascii="Times New Roman" w:hAnsi="Times New Roman"/>
          <w:strike/>
          <w:color w:val="auto"/>
          <w:sz w:val="24"/>
          <w:szCs w:val="24"/>
          <w:highlight w:val="none"/>
        </w:rPr>
        <w:t>在签订合同前，</w:t>
      </w:r>
      <w:r>
        <w:rPr>
          <w:rFonts w:ascii="Times New Roman" w:hAnsi="Times New Roman"/>
          <w:strike/>
          <w:color w:val="auto"/>
          <w:sz w:val="24"/>
          <w:szCs w:val="24"/>
          <w:highlight w:val="none"/>
        </w:rPr>
        <w:t>中标人应按投标人须知前附表规定的形式、金额和招标文件第四章</w:t>
      </w:r>
      <w:r>
        <w:rPr>
          <w:rFonts w:hint="eastAsia" w:ascii="Times New Roman" w:hAnsi="Times New Roman"/>
          <w:strike/>
          <w:color w:val="auto"/>
          <w:sz w:val="24"/>
          <w:szCs w:val="24"/>
          <w:highlight w:val="none"/>
          <w:lang w:eastAsia="zh-CN"/>
        </w:rPr>
        <w:t>“</w:t>
      </w:r>
      <w:r>
        <w:rPr>
          <w:rFonts w:ascii="Times New Roman" w:hAnsi="Times New Roman"/>
          <w:strike/>
          <w:color w:val="auto"/>
          <w:sz w:val="24"/>
          <w:szCs w:val="24"/>
          <w:highlight w:val="none"/>
        </w:rPr>
        <w:t>合同条款及格式</w:t>
      </w:r>
      <w:r>
        <w:rPr>
          <w:rFonts w:hint="eastAsia" w:ascii="Times New Roman" w:hAnsi="Times New Roman"/>
          <w:strike/>
          <w:color w:val="auto"/>
          <w:sz w:val="24"/>
          <w:szCs w:val="24"/>
          <w:highlight w:val="none"/>
          <w:lang w:eastAsia="zh-CN"/>
        </w:rPr>
        <w:t>”</w:t>
      </w:r>
      <w:r>
        <w:rPr>
          <w:rFonts w:ascii="Times New Roman" w:hAnsi="Times New Roman"/>
          <w:strike/>
          <w:color w:val="auto"/>
          <w:sz w:val="24"/>
          <w:szCs w:val="24"/>
          <w:highlight w:val="none"/>
        </w:rPr>
        <w:t>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80" w:firstLineChars="200"/>
        <w:rPr>
          <w:rFonts w:ascii="Times New Roman" w:hAnsi="Times New Roman"/>
          <w:color w:val="auto"/>
          <w:szCs w:val="21"/>
          <w:highlight w:val="none"/>
        </w:rPr>
      </w:pPr>
      <w:r>
        <w:rPr>
          <w:rFonts w:ascii="Times New Roman" w:hAnsi="Times New Roman"/>
          <w:strike/>
          <w:color w:val="auto"/>
          <w:sz w:val="24"/>
          <w:szCs w:val="24"/>
          <w:highlight w:val="none"/>
        </w:rPr>
        <w:t>7.6.2 中标人不能按本章第7.6.1项要求提交履约保证金的，视为放弃中标，其投标保证金不予退还，给招标人造成的损失超过投标保证金数额的，中标人还应当对超过部分予以赔偿。</w:t>
      </w:r>
    </w:p>
    <w:p>
      <w:pPr>
        <w:pStyle w:val="4"/>
        <w:keepNext w:val="0"/>
        <w:keepLines w:val="0"/>
        <w:spacing w:before="0" w:after="0" w:line="360" w:lineRule="auto"/>
        <w:ind w:firstLine="480" w:firstLineChars="200"/>
        <w:rPr>
          <w:rFonts w:ascii="Times New Roman" w:hAnsi="Times New Roman"/>
          <w:color w:val="auto"/>
          <w:sz w:val="24"/>
          <w:szCs w:val="24"/>
          <w:highlight w:val="none"/>
        </w:rPr>
      </w:pPr>
      <w:bookmarkStart w:id="379" w:name="_Toc89870595"/>
      <w:bookmarkStart w:id="380" w:name="_Toc9236"/>
      <w:r>
        <w:rPr>
          <w:rFonts w:ascii="Times New Roman" w:hAnsi="Times New Roman"/>
          <w:color w:val="auto"/>
          <w:sz w:val="24"/>
          <w:szCs w:val="24"/>
          <w:highlight w:val="none"/>
        </w:rPr>
        <w:t>7.7 签订合同</w:t>
      </w:r>
      <w:bookmarkEnd w:id="379"/>
      <w:bookmarkEnd w:id="38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7.7.1 招标人和中标人应当在中标通知书发出之日起30日内，根据招标文件和中标人的投标文件订立书面合同。中标人</w:t>
      </w:r>
      <w:r>
        <w:rPr>
          <w:color w:val="auto"/>
          <w:sz w:val="24"/>
          <w:szCs w:val="24"/>
          <w:highlight w:val="none"/>
        </w:rPr>
        <w:t>无正当理由</w:t>
      </w:r>
      <w:r>
        <w:rPr>
          <w:rFonts w:hint="eastAsia"/>
          <w:color w:val="auto"/>
          <w:sz w:val="24"/>
          <w:szCs w:val="24"/>
          <w:highlight w:val="none"/>
        </w:rPr>
        <w:t>拒签</w:t>
      </w:r>
      <w:r>
        <w:rPr>
          <w:color w:val="auto"/>
          <w:sz w:val="24"/>
          <w:szCs w:val="24"/>
          <w:highlight w:val="none"/>
        </w:rPr>
        <w:t>合同，在签订合同时向招标人提出附加条件，或者不按照招标文件要求提交履约保证金的</w:t>
      </w:r>
      <w:r>
        <w:rPr>
          <w:rFonts w:ascii="Times New Roman" w:hAnsi="Times New Roman"/>
          <w:color w:val="auto"/>
          <w:sz w:val="24"/>
          <w:szCs w:val="24"/>
          <w:highlight w:val="none"/>
        </w:rPr>
        <w:t>，招标人有权取消其中标资格，其投标保证金不予退还；给招标人造成的损失超过投标保证金数额的，中标人还应当对超过部分予以赔偿。</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7.7.2 发出中标通知书后，招标人无正当理由拒签合同，或者</w:t>
      </w:r>
      <w:r>
        <w:rPr>
          <w:color w:val="auto"/>
          <w:sz w:val="24"/>
          <w:szCs w:val="24"/>
          <w:highlight w:val="none"/>
        </w:rPr>
        <w:t>在签订合同时</w:t>
      </w:r>
      <w:r>
        <w:rPr>
          <w:rFonts w:hint="eastAsia"/>
          <w:color w:val="auto"/>
          <w:sz w:val="24"/>
          <w:szCs w:val="24"/>
          <w:highlight w:val="none"/>
        </w:rPr>
        <w:t>向中标人</w:t>
      </w:r>
      <w:r>
        <w:rPr>
          <w:rFonts w:ascii="Times New Roman" w:hAnsi="Times New Roman"/>
          <w:color w:val="auto"/>
          <w:sz w:val="24"/>
          <w:szCs w:val="24"/>
          <w:highlight w:val="none"/>
        </w:rPr>
        <w:t>提出附加条件的，招标人向中标人退还投标保证金；给中标人造成损失的，还应当赔偿损失。</w:t>
      </w:r>
    </w:p>
    <w:p>
      <w:pPr>
        <w:spacing w:line="360" w:lineRule="auto"/>
        <w:ind w:firstLine="480" w:firstLineChars="200"/>
        <w:rPr>
          <w:rFonts w:ascii="Times New Roman" w:hAnsi="Times New Roman"/>
          <w:color w:val="auto"/>
          <w:sz w:val="24"/>
          <w:szCs w:val="24"/>
          <w:highlight w:val="none"/>
        </w:rPr>
      </w:pPr>
      <w:r>
        <w:rPr>
          <w:rFonts w:ascii="Times New Roman" w:hAnsi="Times New Roman"/>
          <w:strike/>
          <w:color w:val="auto"/>
          <w:sz w:val="24"/>
          <w:szCs w:val="24"/>
          <w:highlight w:val="none"/>
          <w:u w:val="none"/>
        </w:rPr>
        <w:t>7.7.3 联合体中标的，联合体各方应当共同与招标人签订合同，就中标项目向招标人承担连带责任。</w:t>
      </w:r>
    </w:p>
    <w:p>
      <w:pPr>
        <w:pStyle w:val="2"/>
        <w:keepNext w:val="0"/>
        <w:keepLines w:val="0"/>
        <w:spacing w:before="0" w:after="0" w:line="460" w:lineRule="exact"/>
        <w:ind w:firstLine="643" w:firstLineChars="200"/>
        <w:rPr>
          <w:rFonts w:ascii="Times New Roman" w:hAnsi="Times New Roman"/>
          <w:color w:val="auto"/>
          <w:highlight w:val="none"/>
        </w:rPr>
      </w:pPr>
      <w:bookmarkStart w:id="381" w:name="_Toc361508627"/>
      <w:bookmarkStart w:id="382" w:name="_Toc24067"/>
      <w:bookmarkStart w:id="383" w:name="_Toc384308252"/>
      <w:bookmarkStart w:id="384" w:name="_Toc19459"/>
      <w:bookmarkStart w:id="385" w:name="_Toc89870596"/>
      <w:bookmarkStart w:id="386" w:name="_Toc152045568"/>
      <w:bookmarkStart w:id="387" w:name="_Toc300834991"/>
      <w:bookmarkStart w:id="388" w:name="_Toc152042344"/>
      <w:bookmarkStart w:id="389" w:name="_Toc247513992"/>
      <w:bookmarkStart w:id="390" w:name="_Toc144974536"/>
      <w:bookmarkStart w:id="391" w:name="_Toc247527593"/>
      <w:r>
        <w:rPr>
          <w:rFonts w:ascii="Times New Roman" w:hAnsi="Times New Roman"/>
          <w:color w:val="auto"/>
          <w:highlight w:val="none"/>
        </w:rPr>
        <w:t>8.</w:t>
      </w:r>
      <w:bookmarkEnd w:id="381"/>
      <w:bookmarkEnd w:id="382"/>
      <w:bookmarkEnd w:id="383"/>
      <w:r>
        <w:rPr>
          <w:rFonts w:ascii="Times New Roman" w:hAnsi="Times New Roman"/>
          <w:color w:val="auto"/>
          <w:highlight w:val="none"/>
        </w:rPr>
        <w:t>纪律和监督</w:t>
      </w:r>
      <w:bookmarkEnd w:id="384"/>
      <w:bookmarkEnd w:id="385"/>
    </w:p>
    <w:p>
      <w:pPr>
        <w:pStyle w:val="4"/>
        <w:keepNext w:val="0"/>
        <w:keepLines w:val="0"/>
        <w:spacing w:before="0" w:after="0" w:line="460" w:lineRule="exact"/>
        <w:ind w:firstLine="480" w:firstLineChars="200"/>
        <w:rPr>
          <w:rFonts w:ascii="Times New Roman" w:hAnsi="Times New Roman"/>
          <w:color w:val="auto"/>
          <w:sz w:val="24"/>
          <w:szCs w:val="24"/>
          <w:highlight w:val="none"/>
        </w:rPr>
      </w:pPr>
      <w:bookmarkStart w:id="392" w:name="_Toc16607"/>
      <w:bookmarkStart w:id="393" w:name="_Toc89870597"/>
      <w:r>
        <w:rPr>
          <w:rFonts w:ascii="Times New Roman" w:hAnsi="Times New Roman"/>
          <w:color w:val="auto"/>
          <w:sz w:val="24"/>
          <w:szCs w:val="24"/>
          <w:highlight w:val="none"/>
        </w:rPr>
        <w:t>8.1 对招标人的纪律要求</w:t>
      </w:r>
      <w:bookmarkEnd w:id="392"/>
      <w:bookmarkEnd w:id="393"/>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招标人不得泄露招标投标活动中应当保密的情况和资料，不得与投标人串通损害国家利益、社会公共利益或者他人合法权益。</w:t>
      </w:r>
    </w:p>
    <w:p>
      <w:pPr>
        <w:pStyle w:val="4"/>
        <w:keepNext w:val="0"/>
        <w:keepLines w:val="0"/>
        <w:spacing w:before="0" w:after="0" w:line="460" w:lineRule="exact"/>
        <w:ind w:firstLine="480" w:firstLineChars="200"/>
        <w:rPr>
          <w:rFonts w:ascii="Times New Roman" w:hAnsi="Times New Roman"/>
          <w:color w:val="auto"/>
          <w:sz w:val="24"/>
          <w:szCs w:val="24"/>
          <w:highlight w:val="none"/>
        </w:rPr>
      </w:pPr>
      <w:bookmarkStart w:id="394" w:name="_Toc7775"/>
      <w:bookmarkStart w:id="395" w:name="_Toc89870598"/>
      <w:r>
        <w:rPr>
          <w:rFonts w:ascii="Times New Roman" w:hAnsi="Times New Roman"/>
          <w:color w:val="auto"/>
          <w:sz w:val="24"/>
          <w:szCs w:val="24"/>
          <w:highlight w:val="none"/>
        </w:rPr>
        <w:t>8.2 对投标人的纪律要求</w:t>
      </w:r>
      <w:bookmarkEnd w:id="394"/>
      <w:bookmarkEnd w:id="395"/>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keepNext w:val="0"/>
        <w:keepLines w:val="0"/>
        <w:spacing w:before="0" w:after="0" w:line="460" w:lineRule="exact"/>
        <w:ind w:firstLine="480" w:firstLineChars="200"/>
        <w:rPr>
          <w:rFonts w:ascii="Times New Roman" w:hAnsi="Times New Roman"/>
          <w:color w:val="auto"/>
          <w:sz w:val="24"/>
          <w:szCs w:val="24"/>
          <w:highlight w:val="none"/>
        </w:rPr>
      </w:pPr>
      <w:bookmarkStart w:id="396" w:name="_Toc31006"/>
      <w:bookmarkStart w:id="397" w:name="_Toc89870599"/>
      <w:r>
        <w:rPr>
          <w:rFonts w:ascii="Times New Roman" w:hAnsi="Times New Roman"/>
          <w:color w:val="auto"/>
          <w:sz w:val="24"/>
          <w:szCs w:val="24"/>
          <w:highlight w:val="none"/>
        </w:rPr>
        <w:t>8.3 对评标委员会成员的纪律要求</w:t>
      </w:r>
      <w:bookmarkEnd w:id="396"/>
      <w:bookmarkEnd w:id="397"/>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评标委员会成员不得收受他人的财物或者其他好处，不得向他人透露对投标文件的评审</w:t>
      </w:r>
      <w:bookmarkStart w:id="398" w:name="_Toc352691515"/>
      <w:bookmarkStart w:id="399" w:name="_Toc13644"/>
      <w:bookmarkStart w:id="400" w:name="_Toc384308253"/>
      <w:bookmarkStart w:id="401" w:name="_Toc369531559"/>
      <w:bookmarkStart w:id="402" w:name="_Toc361508628"/>
      <w:r>
        <w:rPr>
          <w:rFonts w:ascii="Times New Roman" w:hAnsi="Times New Roman"/>
          <w:color w:val="auto"/>
          <w:sz w:val="24"/>
          <w:szCs w:val="24"/>
          <w:highlight w:val="none"/>
        </w:rPr>
        <w:t>和比较、中标候选人</w:t>
      </w:r>
      <w:bookmarkEnd w:id="386"/>
      <w:bookmarkEnd w:id="387"/>
      <w:bookmarkEnd w:id="388"/>
      <w:bookmarkEnd w:id="389"/>
      <w:bookmarkEnd w:id="390"/>
      <w:bookmarkEnd w:id="391"/>
      <w:bookmarkEnd w:id="398"/>
      <w:bookmarkEnd w:id="399"/>
      <w:bookmarkEnd w:id="400"/>
      <w:bookmarkEnd w:id="401"/>
      <w:bookmarkEnd w:id="402"/>
      <w:r>
        <w:rPr>
          <w:rFonts w:ascii="Times New Roman" w:hAnsi="Times New Roman"/>
          <w:color w:val="auto"/>
          <w:sz w:val="24"/>
          <w:szCs w:val="24"/>
          <w:highlight w:val="none"/>
        </w:rPr>
        <w:t>的推荐情况以及评标有关的其他情况。在评标活动中，评标委员会成员应当客观、公正地履行职责，遵守职业道德，不得擅离职守，影响评标程序正常进行，不得使用第三章</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评标办法</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没有规定的评审因素和标准进行评标。</w:t>
      </w:r>
    </w:p>
    <w:p>
      <w:pPr>
        <w:pStyle w:val="4"/>
        <w:keepNext w:val="0"/>
        <w:keepLines w:val="0"/>
        <w:spacing w:before="0" w:after="0" w:line="460" w:lineRule="exact"/>
        <w:ind w:firstLine="480" w:firstLineChars="200"/>
        <w:rPr>
          <w:rFonts w:ascii="Times New Roman" w:hAnsi="Times New Roman"/>
          <w:color w:val="auto"/>
          <w:sz w:val="24"/>
          <w:szCs w:val="24"/>
          <w:highlight w:val="none"/>
        </w:rPr>
      </w:pPr>
      <w:bookmarkStart w:id="403" w:name="_Toc89870600"/>
      <w:bookmarkStart w:id="404" w:name="_Toc11224"/>
      <w:r>
        <w:rPr>
          <w:rFonts w:ascii="Times New Roman" w:hAnsi="Times New Roman"/>
          <w:color w:val="auto"/>
          <w:sz w:val="24"/>
          <w:szCs w:val="24"/>
          <w:highlight w:val="none"/>
        </w:rPr>
        <w:t>8.4 对与评标活动有关的工作人员的纪律要求</w:t>
      </w:r>
      <w:bookmarkEnd w:id="403"/>
      <w:bookmarkEnd w:id="404"/>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与评标活动有关的工作人员不得收受他人的财物或者其他好处，不得向他人透露对投标文件</w:t>
      </w:r>
      <w:bookmarkStart w:id="405" w:name="_Toc384308254"/>
      <w:bookmarkStart w:id="406" w:name="_Toc152045569"/>
      <w:bookmarkStart w:id="407" w:name="_Toc369531560"/>
      <w:bookmarkStart w:id="408" w:name="_Toc247513993"/>
      <w:bookmarkStart w:id="409" w:name="_Toc144974537"/>
      <w:bookmarkStart w:id="410" w:name="_Toc247527594"/>
      <w:bookmarkStart w:id="411" w:name="_Toc152042345"/>
      <w:bookmarkStart w:id="412" w:name="_Toc352691516"/>
      <w:bookmarkStart w:id="413" w:name="_Toc19429"/>
      <w:bookmarkStart w:id="414" w:name="_Toc300834992"/>
      <w:bookmarkStart w:id="415" w:name="_Toc361508629"/>
      <w:r>
        <w:rPr>
          <w:rFonts w:ascii="Times New Roman" w:hAnsi="Times New Roman"/>
          <w:color w:val="auto"/>
          <w:sz w:val="24"/>
          <w:szCs w:val="24"/>
          <w:highlight w:val="none"/>
        </w:rPr>
        <w:t>的评审和比较、中标</w:t>
      </w:r>
      <w:bookmarkEnd w:id="405"/>
      <w:bookmarkEnd w:id="406"/>
      <w:bookmarkEnd w:id="407"/>
      <w:bookmarkEnd w:id="408"/>
      <w:bookmarkEnd w:id="409"/>
      <w:bookmarkEnd w:id="410"/>
      <w:bookmarkEnd w:id="411"/>
      <w:bookmarkEnd w:id="412"/>
      <w:bookmarkEnd w:id="413"/>
      <w:bookmarkEnd w:id="414"/>
      <w:bookmarkEnd w:id="415"/>
      <w:r>
        <w:rPr>
          <w:rFonts w:ascii="Times New Roman" w:hAnsi="Times New Roman"/>
          <w:color w:val="auto"/>
          <w:sz w:val="24"/>
          <w:szCs w:val="24"/>
          <w:highlight w:val="none"/>
        </w:rPr>
        <w:t>候选人的推荐情况以及评标有关的其他情况。在评标活动中，与评标活动有关的工作人员不得擅离职守，影响评标程序正常进行。</w:t>
      </w:r>
    </w:p>
    <w:p>
      <w:pPr>
        <w:pStyle w:val="4"/>
        <w:keepNext w:val="0"/>
        <w:keepLines w:val="0"/>
        <w:spacing w:before="0" w:after="0" w:line="460" w:lineRule="exact"/>
        <w:ind w:firstLine="480" w:firstLineChars="200"/>
        <w:rPr>
          <w:rFonts w:ascii="Times New Roman" w:hAnsi="Times New Roman"/>
          <w:color w:val="auto"/>
          <w:sz w:val="24"/>
          <w:szCs w:val="24"/>
          <w:highlight w:val="none"/>
        </w:rPr>
      </w:pPr>
      <w:bookmarkStart w:id="416" w:name="_Toc24952"/>
      <w:bookmarkStart w:id="417" w:name="_Toc89870601"/>
      <w:r>
        <w:rPr>
          <w:rFonts w:ascii="Times New Roman" w:hAnsi="Times New Roman"/>
          <w:color w:val="auto"/>
          <w:sz w:val="24"/>
          <w:szCs w:val="24"/>
          <w:highlight w:val="none"/>
        </w:rPr>
        <w:t>8.5 投诉</w:t>
      </w:r>
      <w:bookmarkEnd w:id="416"/>
      <w:bookmarkEnd w:id="417"/>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46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8.5.2 投标人或者其他利害关系人对招标文件、开标和评标结果提出投诉的，应当按照投标人须知第2.4款、第5.3款和第7.2款的规定先向招标人提出异议。异议答复期间</w:t>
      </w:r>
      <w:bookmarkStart w:id="418" w:name="_Toc247513994"/>
      <w:bookmarkStart w:id="419" w:name="_Toc369531561"/>
      <w:bookmarkStart w:id="420" w:name="_Toc12776"/>
      <w:bookmarkStart w:id="421" w:name="_Toc144974538"/>
      <w:bookmarkStart w:id="422" w:name="_Toc300834993"/>
      <w:bookmarkStart w:id="423" w:name="_Toc361508630"/>
      <w:bookmarkStart w:id="424" w:name="_Toc152042346"/>
      <w:bookmarkStart w:id="425" w:name="_Toc152045570"/>
      <w:bookmarkStart w:id="426" w:name="_Toc384308255"/>
      <w:bookmarkStart w:id="427" w:name="_Toc352691517"/>
      <w:bookmarkStart w:id="428" w:name="_Toc247527595"/>
      <w:r>
        <w:rPr>
          <w:rFonts w:ascii="Times New Roman" w:hAnsi="Times New Roman"/>
          <w:color w:val="auto"/>
          <w:sz w:val="24"/>
          <w:szCs w:val="24"/>
          <w:highlight w:val="none"/>
        </w:rPr>
        <w:t>不计算在第8.5.</w:t>
      </w:r>
      <w:bookmarkEnd w:id="418"/>
      <w:bookmarkEnd w:id="419"/>
      <w:bookmarkEnd w:id="420"/>
      <w:bookmarkEnd w:id="421"/>
      <w:bookmarkEnd w:id="422"/>
      <w:bookmarkEnd w:id="423"/>
      <w:bookmarkEnd w:id="424"/>
      <w:bookmarkEnd w:id="425"/>
      <w:bookmarkEnd w:id="426"/>
      <w:bookmarkEnd w:id="427"/>
      <w:bookmarkEnd w:id="428"/>
      <w:r>
        <w:rPr>
          <w:rFonts w:ascii="Times New Roman" w:hAnsi="Times New Roman"/>
          <w:color w:val="auto"/>
          <w:sz w:val="24"/>
          <w:szCs w:val="24"/>
          <w:highlight w:val="none"/>
        </w:rPr>
        <w:t>1项规定的期限内。</w:t>
      </w:r>
    </w:p>
    <w:p>
      <w:pPr>
        <w:pStyle w:val="2"/>
        <w:keepNext w:val="0"/>
        <w:keepLines w:val="0"/>
        <w:spacing w:before="0" w:after="120" w:afterLines="50" w:line="460" w:lineRule="exact"/>
        <w:ind w:firstLine="643" w:firstLineChars="200"/>
        <w:rPr>
          <w:rFonts w:ascii="Times New Roman" w:hAnsi="Times New Roman"/>
          <w:color w:val="auto"/>
          <w:highlight w:val="none"/>
        </w:rPr>
      </w:pPr>
      <w:bookmarkStart w:id="429" w:name="_Toc21279"/>
      <w:bookmarkStart w:id="430" w:name="_Toc477134992"/>
      <w:bookmarkStart w:id="431" w:name="_Toc89870602"/>
      <w:r>
        <w:rPr>
          <w:rFonts w:ascii="Times New Roman" w:hAnsi="Times New Roman"/>
          <w:color w:val="auto"/>
          <w:highlight w:val="none"/>
        </w:rPr>
        <w:t>9. 是否采用电子招标投标</w:t>
      </w:r>
      <w:bookmarkEnd w:id="429"/>
      <w:bookmarkEnd w:id="430"/>
      <w:bookmarkEnd w:id="431"/>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本招标项目是否采用电子招标投标方式，见投标人须知前附表。</w:t>
      </w:r>
    </w:p>
    <w:p>
      <w:pPr>
        <w:pStyle w:val="2"/>
        <w:keepNext w:val="0"/>
        <w:keepLines w:val="0"/>
        <w:spacing w:before="0" w:after="0" w:line="460" w:lineRule="exact"/>
        <w:ind w:firstLine="643" w:firstLineChars="200"/>
        <w:rPr>
          <w:rFonts w:ascii="Times New Roman" w:hAnsi="Times New Roman"/>
          <w:color w:val="auto"/>
          <w:highlight w:val="none"/>
        </w:rPr>
      </w:pPr>
      <w:bookmarkStart w:id="432" w:name="_Toc4810"/>
      <w:bookmarkStart w:id="433" w:name="_Toc89870603"/>
      <w:r>
        <w:rPr>
          <w:rFonts w:ascii="Times New Roman" w:hAnsi="Times New Roman"/>
          <w:color w:val="auto"/>
          <w:highlight w:val="none"/>
        </w:rPr>
        <w:t>10. 需要补充的其他内容</w:t>
      </w:r>
      <w:bookmarkEnd w:id="432"/>
      <w:bookmarkEnd w:id="433"/>
    </w:p>
    <w:bookmarkEnd w:id="90"/>
    <w:bookmarkEnd w:id="91"/>
    <w:bookmarkEnd w:id="92"/>
    <w:bookmarkEnd w:id="93"/>
    <w:p>
      <w:pPr>
        <w:spacing w:line="360" w:lineRule="auto"/>
        <w:ind w:firstLine="480" w:firstLineChars="200"/>
        <w:rPr>
          <w:rFonts w:ascii="Times New Roman" w:hAnsi="Times New Roman"/>
          <w:color w:val="auto"/>
          <w:sz w:val="24"/>
          <w:szCs w:val="24"/>
          <w:highlight w:val="none"/>
        </w:rPr>
      </w:pPr>
      <w:r>
        <w:rPr>
          <w:rFonts w:hint="default" w:ascii="Times New Roman" w:hAnsi="Times New Roman"/>
          <w:color w:val="auto"/>
          <w:sz w:val="24"/>
          <w:szCs w:val="24"/>
          <w:highlight w:val="none"/>
        </w:rPr>
        <w:t>需要补充的其他内容：见投标人须知前附表。</w:t>
      </w:r>
    </w:p>
    <w:p>
      <w:pPr>
        <w:ind w:firstLine="420" w:firstLineChars="200"/>
        <w:rPr>
          <w:rFonts w:ascii="Times New Roman" w:hAnsi="Times New Roman"/>
          <w:color w:val="auto"/>
          <w:highlight w:val="none"/>
        </w:rPr>
      </w:pPr>
    </w:p>
    <w:p>
      <w:pPr>
        <w:rPr>
          <w:rFonts w:ascii="Times New Roman" w:hAnsi="Times New Roman"/>
          <w:color w:val="auto"/>
          <w:highlight w:val="none"/>
        </w:rPr>
      </w:pPr>
      <w:bookmarkStart w:id="434" w:name="_Toc527028503"/>
      <w:bookmarkStart w:id="435" w:name="_Toc89870604"/>
      <w:r>
        <w:rPr>
          <w:rFonts w:ascii="Times New Roman" w:hAnsi="Times New Roman"/>
          <w:color w:val="auto"/>
          <w:highlight w:val="none"/>
        </w:rPr>
        <w:br w:type="page"/>
      </w:r>
    </w:p>
    <w:p>
      <w:pPr>
        <w:pStyle w:val="4"/>
        <w:keepNext w:val="0"/>
        <w:keepLines w:val="0"/>
        <w:spacing w:before="0" w:after="0"/>
        <w:ind w:firstLine="560" w:firstLineChars="200"/>
        <w:rPr>
          <w:rFonts w:ascii="Times New Roman" w:hAnsi="Times New Roman"/>
          <w:color w:val="auto"/>
          <w:highlight w:val="none"/>
        </w:rPr>
      </w:pPr>
      <w:r>
        <w:rPr>
          <w:rFonts w:ascii="Times New Roman" w:hAnsi="Times New Roman"/>
          <w:color w:val="auto"/>
          <w:highlight w:val="none"/>
        </w:rPr>
        <w:t>附件一：开标记录表</w:t>
      </w:r>
      <w:bookmarkEnd w:id="434"/>
      <w:bookmarkEnd w:id="435"/>
    </w:p>
    <w:p>
      <w:pPr>
        <w:spacing w:line="440" w:lineRule="exact"/>
        <w:ind w:firstLine="560" w:firstLineChars="200"/>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开标时间：</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w:t>
      </w:r>
      <w:r>
        <w:rPr>
          <w:rFonts w:ascii="Times New Roman" w:hAnsi="Times New Roman"/>
          <w:color w:val="auto"/>
          <w:highlight w:val="none"/>
          <w:u w:val="single"/>
        </w:rPr>
        <w:t xml:space="preserve">         </w:t>
      </w:r>
      <w:r>
        <w:rPr>
          <w:rFonts w:ascii="Times New Roman" w:hAnsi="Times New Roman"/>
          <w:color w:val="auto"/>
          <w:highlight w:val="none"/>
        </w:rPr>
        <w:t>分</w:t>
      </w:r>
    </w:p>
    <w:tbl>
      <w:tblPr>
        <w:tblStyle w:val="24"/>
        <w:tblW w:w="8850" w:type="dxa"/>
        <w:tblInd w:w="0" w:type="dxa"/>
        <w:tblLayout w:type="fixed"/>
        <w:tblCellMar>
          <w:top w:w="0" w:type="dxa"/>
          <w:left w:w="108" w:type="dxa"/>
          <w:bottom w:w="0" w:type="dxa"/>
          <w:right w:w="108" w:type="dxa"/>
        </w:tblCellMar>
      </w:tblPr>
      <w:tblGrid>
        <w:gridCol w:w="494"/>
        <w:gridCol w:w="777"/>
        <w:gridCol w:w="756"/>
        <w:gridCol w:w="816"/>
        <w:gridCol w:w="913"/>
        <w:gridCol w:w="933"/>
        <w:gridCol w:w="793"/>
        <w:gridCol w:w="885"/>
        <w:gridCol w:w="915"/>
        <w:gridCol w:w="653"/>
        <w:gridCol w:w="915"/>
      </w:tblGrid>
      <w:tr>
        <w:tblPrEx>
          <w:tblCellMar>
            <w:top w:w="0" w:type="dxa"/>
            <w:left w:w="108" w:type="dxa"/>
            <w:bottom w:w="0" w:type="dxa"/>
            <w:right w:w="108" w:type="dxa"/>
          </w:tblCellMar>
        </w:tblPrEx>
        <w:trPr>
          <w:trHeight w:val="1019" w:hRule="atLeast"/>
        </w:trPr>
        <w:tc>
          <w:tcPr>
            <w:tcW w:w="4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200"/>
              <w:jc w:val="center"/>
              <w:rPr>
                <w:rFonts w:ascii="Times New Roman" w:hAnsi="Times New Roman"/>
                <w:color w:val="auto"/>
                <w:sz w:val="18"/>
                <w:highlight w:val="none"/>
              </w:rPr>
            </w:pPr>
            <w:r>
              <w:rPr>
                <w:rFonts w:ascii="Times New Roman" w:hAnsi="Times New Roman"/>
                <w:color w:val="auto"/>
                <w:sz w:val="18"/>
                <w:highlight w:val="none"/>
              </w:rPr>
              <w:t>序</w:t>
            </w:r>
            <w:r>
              <w:rPr>
                <w:rFonts w:hint="eastAsia" w:ascii="Times New Roman" w:hAnsi="Times New Roman"/>
                <w:color w:val="auto"/>
                <w:sz w:val="18"/>
                <w:highlight w:val="none"/>
              </w:rPr>
              <w:t>序</w:t>
            </w:r>
            <w:r>
              <w:rPr>
                <w:rFonts w:ascii="Times New Roman" w:hAnsi="Times New Roman"/>
                <w:color w:val="auto"/>
                <w:sz w:val="18"/>
                <w:highlight w:val="none"/>
              </w:rPr>
              <w:t>号</w:t>
            </w:r>
          </w:p>
        </w:tc>
        <w:tc>
          <w:tcPr>
            <w:tcW w:w="7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投标人</w:t>
            </w:r>
          </w:p>
        </w:tc>
        <w:tc>
          <w:tcPr>
            <w:tcW w:w="7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密封情况</w:t>
            </w:r>
          </w:p>
        </w:tc>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投标保证金</w:t>
            </w:r>
          </w:p>
        </w:tc>
        <w:tc>
          <w:tcPr>
            <w:tcW w:w="9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投标报价（万元）</w:t>
            </w:r>
          </w:p>
        </w:tc>
        <w:tc>
          <w:tcPr>
            <w:tcW w:w="9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总监理工程师</w:t>
            </w:r>
          </w:p>
        </w:tc>
        <w:tc>
          <w:tcPr>
            <w:tcW w:w="7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监理服务期限</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投标文件递交情况</w:t>
            </w: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投标文件解密情况</w:t>
            </w:r>
          </w:p>
        </w:tc>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备注</w:t>
            </w: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ascii="Times New Roman" w:hAnsi="Times New Roman"/>
                <w:color w:val="auto"/>
                <w:sz w:val="18"/>
                <w:highlight w:val="none"/>
              </w:rPr>
              <w:t>投标人代表签名</w:t>
            </w: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16"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tr>
        <w:tblPrEx>
          <w:tblCellMar>
            <w:top w:w="0" w:type="dxa"/>
            <w:left w:w="108" w:type="dxa"/>
            <w:bottom w:w="0" w:type="dxa"/>
            <w:right w:w="108" w:type="dxa"/>
          </w:tblCellMar>
        </w:tblPrEx>
        <w:trPr>
          <w:trHeight w:val="503"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bookmarkStart w:id="436" w:name="_Toc17638"/>
          </w:p>
        </w:tc>
      </w:tr>
      <w:tr>
        <w:tblPrEx>
          <w:tblCellMar>
            <w:top w:w="0" w:type="dxa"/>
            <w:left w:w="108" w:type="dxa"/>
            <w:bottom w:w="0" w:type="dxa"/>
            <w:right w:w="108" w:type="dxa"/>
          </w:tblCellMar>
        </w:tblPrEx>
        <w:trPr>
          <w:trHeight w:val="517" w:hRule="atLeast"/>
        </w:trPr>
        <w:tc>
          <w:tcPr>
            <w:tcW w:w="494"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77"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5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16"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3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79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653"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p>
        </w:tc>
      </w:tr>
      <w:bookmarkEnd w:id="436"/>
      <w:tr>
        <w:tblPrEx>
          <w:tblCellMar>
            <w:top w:w="0" w:type="dxa"/>
            <w:left w:w="108" w:type="dxa"/>
            <w:bottom w:w="0" w:type="dxa"/>
            <w:right w:w="108" w:type="dxa"/>
          </w:tblCellMar>
        </w:tblPrEx>
        <w:trPr>
          <w:trHeight w:val="517" w:hRule="atLeast"/>
        </w:trPr>
        <w:tc>
          <w:tcPr>
            <w:tcW w:w="8850" w:type="dxa"/>
            <w:gridSpan w:val="11"/>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ascii="Times New Roman" w:hAnsi="Times New Roman"/>
                <w:color w:val="auto"/>
                <w:highlight w:val="none"/>
              </w:rPr>
            </w:pPr>
            <w:r>
              <w:rPr>
                <w:rFonts w:ascii="Times New Roman" w:hAnsi="Times New Roman"/>
                <w:color w:val="auto"/>
                <w:highlight w:val="none"/>
              </w:rPr>
              <w:t>最高投标限价：</w:t>
            </w:r>
          </w:p>
        </w:tc>
      </w:tr>
    </w:tbl>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620" w:lineRule="exact"/>
        <w:ind w:firstLine="420" w:firstLineChars="200"/>
        <w:rPr>
          <w:rFonts w:ascii="Times New Roman" w:hAnsi="Times New Roman"/>
          <w:color w:val="auto"/>
          <w:highlight w:val="none"/>
        </w:rPr>
      </w:pPr>
      <w:r>
        <w:rPr>
          <w:rFonts w:ascii="Times New Roman" w:hAnsi="Times New Roman"/>
          <w:color w:val="auto"/>
          <w:highlight w:val="none"/>
        </w:rPr>
        <w:t>招标人代表：</w:t>
      </w:r>
      <w:r>
        <w:rPr>
          <w:rFonts w:ascii="Times New Roman" w:hAnsi="Times New Roman"/>
          <w:color w:val="auto"/>
          <w:highlight w:val="none"/>
          <w:u w:val="single"/>
        </w:rPr>
        <w:t xml:space="preserve">       </w:t>
      </w:r>
      <w:r>
        <w:rPr>
          <w:rFonts w:ascii="Times New Roman" w:hAnsi="Times New Roman"/>
          <w:color w:val="auto"/>
          <w:highlight w:val="none"/>
        </w:rPr>
        <w:t xml:space="preserve">        记录人：</w:t>
      </w:r>
      <w:r>
        <w:rPr>
          <w:rFonts w:ascii="Times New Roman" w:hAnsi="Times New Roman"/>
          <w:color w:val="auto"/>
          <w:highlight w:val="none"/>
          <w:u w:val="single"/>
        </w:rPr>
        <w:t xml:space="preserve">       </w:t>
      </w:r>
      <w:r>
        <w:rPr>
          <w:rFonts w:ascii="Times New Roman" w:hAnsi="Times New Roman"/>
          <w:color w:val="auto"/>
          <w:highlight w:val="none"/>
        </w:rPr>
        <w:t xml:space="preserve">       监标人：</w:t>
      </w:r>
      <w:r>
        <w:rPr>
          <w:rFonts w:ascii="Times New Roman" w:hAnsi="Times New Roman"/>
          <w:color w:val="auto"/>
          <w:highlight w:val="none"/>
          <w:u w:val="single"/>
        </w:rPr>
        <w:t xml:space="preserve">       </w:t>
      </w:r>
    </w:p>
    <w:p>
      <w:pPr>
        <w:spacing w:line="620" w:lineRule="exact"/>
        <w:ind w:firstLine="420" w:firstLineChars="200"/>
        <w:rPr>
          <w:rFonts w:ascii="Times New Roman" w:hAnsi="Times New Roman"/>
          <w:color w:val="auto"/>
          <w:sz w:val="20"/>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widowControl/>
        <w:jc w:val="left"/>
        <w:rPr>
          <w:rFonts w:ascii="Times New Roman" w:hAnsi="Times New Roman" w:eastAsia="黑体"/>
          <w:color w:val="auto"/>
          <w:sz w:val="28"/>
          <w:szCs w:val="20"/>
          <w:highlight w:val="none"/>
        </w:rPr>
      </w:pPr>
      <w:bookmarkStart w:id="437" w:name="_Toc89870605"/>
      <w:bookmarkStart w:id="438" w:name="_Toc527028504"/>
      <w:r>
        <w:rPr>
          <w:rFonts w:ascii="Times New Roman" w:hAnsi="Times New Roman"/>
          <w:color w:val="auto"/>
          <w:highlight w:val="none"/>
        </w:rPr>
        <w:br w:type="page"/>
      </w:r>
    </w:p>
    <w:p>
      <w:pPr>
        <w:pStyle w:val="4"/>
        <w:keepNext w:val="0"/>
        <w:keepLines w:val="0"/>
        <w:spacing w:before="0" w:after="0" w:line="413" w:lineRule="auto"/>
        <w:ind w:firstLine="560" w:firstLineChars="200"/>
        <w:rPr>
          <w:rFonts w:ascii="Times New Roman" w:hAnsi="Times New Roman"/>
          <w:color w:val="auto"/>
          <w:highlight w:val="none"/>
        </w:rPr>
      </w:pPr>
      <w:r>
        <w:rPr>
          <w:rFonts w:ascii="Times New Roman" w:hAnsi="Times New Roman"/>
          <w:color w:val="auto"/>
          <w:highlight w:val="none"/>
        </w:rPr>
        <w:t>附件二：问题澄清通知</w:t>
      </w:r>
      <w:bookmarkEnd w:id="437"/>
      <w:bookmarkEnd w:id="438"/>
    </w:p>
    <w:p>
      <w:pPr>
        <w:spacing w:line="440" w:lineRule="exact"/>
        <w:ind w:firstLine="420" w:firstLineChars="200"/>
        <w:rPr>
          <w:rFonts w:ascii="Times New Roman" w:hAnsi="Times New Roman"/>
          <w:color w:val="auto"/>
          <w:highlight w:val="none"/>
        </w:rPr>
      </w:pPr>
    </w:p>
    <w:p>
      <w:pPr>
        <w:spacing w:line="440" w:lineRule="exact"/>
        <w:ind w:firstLine="560" w:firstLineChars="200"/>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（投标人名称）：</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评标委员会对你方的投标文件进行了仔细的审查，现需你方对下列问题以书</w:t>
      </w:r>
      <w:bookmarkStart w:id="439" w:name="_Toc361508634"/>
      <w:bookmarkStart w:id="440" w:name="_Toc247527601"/>
      <w:bookmarkStart w:id="441" w:name="_Toc369531565"/>
      <w:bookmarkStart w:id="442" w:name="_Toc247514000"/>
      <w:bookmarkStart w:id="443" w:name="_Toc352691521"/>
      <w:bookmarkStart w:id="444" w:name="_Toc144974544"/>
      <w:bookmarkStart w:id="445" w:name="_Toc23050"/>
      <w:bookmarkStart w:id="446" w:name="_Toc300834996"/>
      <w:bookmarkStart w:id="447" w:name="_Toc152042352"/>
      <w:bookmarkStart w:id="448" w:name="_Toc152045576"/>
      <w:bookmarkStart w:id="449" w:name="_Toc384308260"/>
      <w:r>
        <w:rPr>
          <w:rFonts w:ascii="Times New Roman" w:hAnsi="Times New Roman"/>
          <w:color w:val="auto"/>
          <w:highlight w:val="none"/>
        </w:rPr>
        <w:t>面形式予以澄清、说明或补正：</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bookmarkEnd w:id="439"/>
    <w:bookmarkEnd w:id="440"/>
    <w:bookmarkEnd w:id="441"/>
    <w:bookmarkEnd w:id="442"/>
    <w:bookmarkEnd w:id="443"/>
    <w:bookmarkEnd w:id="444"/>
    <w:bookmarkEnd w:id="445"/>
    <w:bookmarkEnd w:id="446"/>
    <w:bookmarkEnd w:id="447"/>
    <w:bookmarkEnd w:id="448"/>
    <w:bookmarkEnd w:id="449"/>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xml:space="preserve">    1.</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xml:space="preserve">    2.</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xml:space="preserve">     ......   </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请将上述问题的澄清、说明或补正于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时前递交至</w:t>
      </w:r>
      <w:bookmarkStart w:id="450" w:name="_Toc352691522"/>
      <w:bookmarkStart w:id="451" w:name="_Toc384308261"/>
      <w:bookmarkStart w:id="452" w:name="_Toc369531566"/>
      <w:bookmarkStart w:id="453" w:name="_Toc300834997"/>
      <w:bookmarkStart w:id="454" w:name="_Toc361508635"/>
      <w:bookmarkStart w:id="455" w:name="_Toc152045577"/>
      <w:bookmarkStart w:id="456" w:name="_Toc144974545"/>
      <w:bookmarkStart w:id="457" w:name="_Toc247514001"/>
      <w:bookmarkStart w:id="458" w:name="_Toc247527602"/>
      <w:bookmarkStart w:id="459" w:name="_Toc152042353"/>
      <w:bookmarkStart w:id="460" w:name="_Toc28385"/>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（详细地址）或传真至</w:t>
      </w:r>
      <w:bookmarkEnd w:id="450"/>
      <w:bookmarkEnd w:id="451"/>
      <w:bookmarkEnd w:id="452"/>
      <w:bookmarkEnd w:id="453"/>
      <w:bookmarkEnd w:id="454"/>
      <w:bookmarkEnd w:id="455"/>
      <w:bookmarkEnd w:id="456"/>
      <w:bookmarkEnd w:id="457"/>
      <w:bookmarkEnd w:id="458"/>
      <w:bookmarkEnd w:id="459"/>
      <w:bookmarkEnd w:id="460"/>
      <w:r>
        <w:rPr>
          <w:rFonts w:ascii="Times New Roman" w:hAnsi="Times New Roman"/>
          <w:color w:val="auto"/>
          <w:highlight w:val="none"/>
          <w:u w:val="single"/>
        </w:rPr>
        <w:t xml:space="preserve">                     </w:t>
      </w:r>
      <w:r>
        <w:rPr>
          <w:rFonts w:ascii="Times New Roman" w:hAnsi="Times New Roman"/>
          <w:color w:val="auto"/>
          <w:highlight w:val="none"/>
        </w:rPr>
        <w:t>（传真号码）或通过下载招标文件的电子招标交易平台上传。采用传真方式的，应在</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时前将原件递交至</w:t>
      </w:r>
      <w:r>
        <w:rPr>
          <w:rFonts w:ascii="Times New Roman" w:hAnsi="Times New Roman"/>
          <w:color w:val="auto"/>
          <w:highlight w:val="none"/>
          <w:u w:val="single"/>
        </w:rPr>
        <w:t xml:space="preserve">                     </w:t>
      </w:r>
      <w:r>
        <w:rPr>
          <w:rFonts w:ascii="Times New Roman" w:hAnsi="Times New Roman"/>
          <w:color w:val="auto"/>
          <w:highlight w:val="none"/>
        </w:rPr>
        <w:t>（详细地址）。</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spacing w:line="440" w:lineRule="exact"/>
        <w:ind w:firstLine="420" w:firstLineChars="200"/>
        <w:jc w:val="right"/>
        <w:rPr>
          <w:rFonts w:ascii="Times New Roman" w:hAnsi="Times New Roman"/>
          <w:color w:val="auto"/>
          <w:highlight w:val="none"/>
        </w:rPr>
      </w:pPr>
      <w:r>
        <w:rPr>
          <w:rFonts w:ascii="Times New Roman" w:hAnsi="Times New Roman"/>
          <w:color w:val="auto"/>
          <w:highlight w:val="none"/>
        </w:rPr>
        <w:t>评标委员会授权的招标人或招标代理机构：</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（签字或盖章）</w:t>
      </w:r>
      <w:bookmarkStart w:id="461" w:name="_Toc361508636"/>
      <w:bookmarkStart w:id="462" w:name="_Toc6580"/>
      <w:bookmarkStart w:id="463" w:name="_Toc247527603"/>
      <w:bookmarkStart w:id="464" w:name="_Toc300834998"/>
      <w:bookmarkStart w:id="465" w:name="_Toc152042354"/>
      <w:bookmarkStart w:id="466" w:name="_Toc352691523"/>
      <w:bookmarkStart w:id="467" w:name="_Toc247514002"/>
      <w:bookmarkStart w:id="468" w:name="_Toc384308262"/>
      <w:bookmarkStart w:id="469" w:name="_Toc369531567"/>
      <w:bookmarkStart w:id="470" w:name="_Toc152045578"/>
      <w:bookmarkStart w:id="471" w:name="_Toc144974546"/>
    </w:p>
    <w:bookmarkEnd w:id="461"/>
    <w:bookmarkEnd w:id="462"/>
    <w:bookmarkEnd w:id="463"/>
    <w:bookmarkEnd w:id="464"/>
    <w:bookmarkEnd w:id="465"/>
    <w:bookmarkEnd w:id="466"/>
    <w:bookmarkEnd w:id="467"/>
    <w:bookmarkEnd w:id="468"/>
    <w:bookmarkEnd w:id="469"/>
    <w:bookmarkEnd w:id="470"/>
    <w:p>
      <w:pPr>
        <w:spacing w:line="440" w:lineRule="exact"/>
        <w:ind w:firstLine="420" w:firstLineChars="200"/>
        <w:rPr>
          <w:rFonts w:ascii="Times New Roman" w:hAnsi="Times New Roman"/>
          <w:color w:val="auto"/>
          <w:highlight w:val="none"/>
        </w:rPr>
      </w:pPr>
      <w:bookmarkStart w:id="472" w:name="_Toc152042355"/>
    </w:p>
    <w:p>
      <w:pPr>
        <w:spacing w:line="440" w:lineRule="exact"/>
        <w:ind w:firstLine="420" w:firstLineChars="20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rPr>
          <w:rFonts w:ascii="Times New Roman" w:hAnsi="Times New Roman"/>
          <w:color w:val="auto"/>
          <w:highlight w:val="none"/>
        </w:rPr>
      </w:pPr>
      <w:bookmarkStart w:id="473" w:name="_Toc527028505"/>
      <w:bookmarkStart w:id="474" w:name="_Toc89870606"/>
      <w:r>
        <w:rPr>
          <w:rFonts w:ascii="Times New Roman" w:hAnsi="Times New Roman"/>
          <w:color w:val="auto"/>
          <w:highlight w:val="none"/>
        </w:rPr>
        <w:br w:type="page"/>
      </w:r>
    </w:p>
    <w:p>
      <w:pPr>
        <w:pStyle w:val="4"/>
        <w:keepNext w:val="0"/>
        <w:keepLines w:val="0"/>
        <w:spacing w:before="0" w:after="0" w:line="413" w:lineRule="auto"/>
        <w:ind w:firstLine="560" w:firstLineChars="200"/>
        <w:rPr>
          <w:rFonts w:ascii="Times New Roman" w:hAnsi="Times New Roman"/>
          <w:color w:val="auto"/>
          <w:highlight w:val="none"/>
        </w:rPr>
      </w:pPr>
      <w:r>
        <w:rPr>
          <w:rFonts w:ascii="Times New Roman" w:hAnsi="Times New Roman"/>
          <w:color w:val="auto"/>
          <w:highlight w:val="none"/>
        </w:rPr>
        <w:t>附件三：问题的澄清</w:t>
      </w:r>
      <w:bookmarkEnd w:id="473"/>
      <w:bookmarkEnd w:id="474"/>
    </w:p>
    <w:p>
      <w:pPr>
        <w:spacing w:line="400" w:lineRule="exact"/>
        <w:ind w:firstLine="560" w:firstLineChars="200"/>
        <w:rPr>
          <w:rFonts w:ascii="Times New Roman" w:hAnsi="Times New Roman" w:eastAsia="黑体"/>
          <w:color w:val="auto"/>
          <w:sz w:val="28"/>
          <w:highlight w:val="none"/>
        </w:rPr>
      </w:pPr>
    </w:p>
    <w:p>
      <w:pPr>
        <w:spacing w:line="400" w:lineRule="exact"/>
        <w:ind w:firstLine="560" w:firstLineChars="200"/>
        <w:jc w:val="center"/>
        <w:rPr>
          <w:rFonts w:ascii="Times New Roman" w:hAnsi="Times New Roman" w:eastAsia="黑体"/>
          <w:color w:val="auto"/>
          <w:sz w:val="28"/>
          <w:highlight w:val="none"/>
        </w:rPr>
      </w:pPr>
      <w:r>
        <w:rPr>
          <w:rFonts w:ascii="Times New Roman" w:hAnsi="Times New Roman" w:eastAsia="黑体"/>
          <w:color w:val="auto"/>
          <w:sz w:val="28"/>
          <w:highlight w:val="none"/>
        </w:rPr>
        <w:t>问</w:t>
      </w:r>
      <w:bookmarkEnd w:id="472"/>
      <w:r>
        <w:rPr>
          <w:rFonts w:ascii="Times New Roman" w:hAnsi="Times New Roman" w:eastAsia="黑体"/>
          <w:color w:val="auto"/>
          <w:sz w:val="28"/>
          <w:highlight w:val="none"/>
        </w:rPr>
        <w:t>题</w:t>
      </w:r>
      <w:bookmarkStart w:id="475" w:name="_Toc361508637"/>
      <w:bookmarkStart w:id="476" w:name="_Toc300834999"/>
      <w:bookmarkStart w:id="477" w:name="_Toc352691524"/>
      <w:bookmarkStart w:id="478" w:name="_Toc152045579"/>
      <w:bookmarkStart w:id="479" w:name="_Toc247514003"/>
      <w:bookmarkStart w:id="480" w:name="_Toc369531568"/>
      <w:bookmarkStart w:id="481" w:name="_Toc152042356"/>
      <w:bookmarkStart w:id="482" w:name="_Toc3622"/>
      <w:bookmarkStart w:id="483" w:name="_Toc247527604"/>
      <w:bookmarkStart w:id="484" w:name="_Toc384308263"/>
      <w:r>
        <w:rPr>
          <w:rFonts w:ascii="Times New Roman" w:hAnsi="Times New Roman" w:eastAsia="黑体"/>
          <w:color w:val="auto"/>
          <w:sz w:val="28"/>
          <w:highlight w:val="none"/>
        </w:rPr>
        <w:t>的澄清</w:t>
      </w:r>
    </w:p>
    <w:p>
      <w:pPr>
        <w:spacing w:line="400" w:lineRule="exact"/>
        <w:ind w:firstLine="420" w:firstLineChars="200"/>
        <w:rPr>
          <w:rFonts w:ascii="Times New Roman" w:hAnsi="Times New Roman"/>
          <w:color w:val="auto"/>
          <w:highlight w:val="none"/>
        </w:rPr>
      </w:pPr>
      <w:r>
        <w:rPr>
          <w:rFonts w:ascii="Times New Roman" w:hAnsi="Times New Roman"/>
          <w:color w:val="auto"/>
          <w:highlight w:val="none"/>
        </w:rPr>
        <w:t>（编号</w:t>
      </w:r>
      <w:bookmarkEnd w:id="471"/>
      <w:bookmarkEnd w:id="475"/>
      <w:bookmarkEnd w:id="476"/>
      <w:bookmarkEnd w:id="477"/>
      <w:bookmarkEnd w:id="478"/>
      <w:bookmarkEnd w:id="479"/>
      <w:bookmarkEnd w:id="480"/>
      <w:bookmarkEnd w:id="481"/>
      <w:bookmarkEnd w:id="482"/>
      <w:bookmarkEnd w:id="483"/>
      <w:bookmarkEnd w:id="484"/>
      <w:r>
        <w:rPr>
          <w:rFonts w:ascii="Times New Roman" w:hAnsi="Times New Roman"/>
          <w:color w:val="auto"/>
          <w:highlight w:val="none"/>
        </w:rPr>
        <w:t>：</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pPr>
        <w:spacing w:line="40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评标委员会：</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问题澄清通知（编号：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）已收悉，现澄清、说明或补正如下：</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1.</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2.</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上述问题澄清、说明或补正，不改变我方投标文件的实质性内容，构成我方投标文件的组成部分。</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spacing w:line="480" w:lineRule="auto"/>
        <w:ind w:firstLine="420" w:firstLineChars="200"/>
        <w:rPr>
          <w:rFonts w:ascii="Times New Roman" w:hAnsi="Times New Roman"/>
          <w:color w:val="auto"/>
          <w:highlight w:val="none"/>
        </w:rPr>
      </w:pPr>
      <w:r>
        <w:rPr>
          <w:rFonts w:ascii="Times New Roman" w:hAnsi="Times New Roman"/>
          <w:color w:val="auto"/>
          <w:highlight w:val="none"/>
        </w:rPr>
        <w:t>　　　　　　　　　　　　　　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pPr>
        <w:spacing w:line="480" w:lineRule="auto"/>
        <w:ind w:firstLine="420" w:firstLineChars="200"/>
        <w:jc w:val="right"/>
        <w:rPr>
          <w:rFonts w:ascii="Times New Roman" w:hAnsi="Times New Roman"/>
          <w:color w:val="auto"/>
          <w:highlight w:val="none"/>
        </w:rPr>
      </w:pPr>
      <w:r>
        <w:rPr>
          <w:rFonts w:hint="eastAsia" w:ascii="Times New Roman" w:hAnsi="Times New Roman"/>
          <w:color w:val="auto"/>
          <w:highlight w:val="none"/>
        </w:rPr>
        <w:t xml:space="preserve"> </w:t>
      </w:r>
      <w:r>
        <w:rPr>
          <w:rFonts w:ascii="Times New Roman" w:hAnsi="Times New Roman"/>
          <w:color w:val="auto"/>
          <w:highlight w:val="none"/>
        </w:rPr>
        <w:t>法定代表人或其委托代理人：</w:t>
      </w:r>
      <w:r>
        <w:rPr>
          <w:rFonts w:ascii="Times New Roman" w:hAnsi="Times New Roman"/>
          <w:color w:val="auto"/>
          <w:highlight w:val="none"/>
          <w:u w:val="single"/>
        </w:rPr>
        <w:t xml:space="preserve">        </w:t>
      </w:r>
      <w:r>
        <w:rPr>
          <w:rFonts w:ascii="Times New Roman" w:hAnsi="Times New Roman"/>
          <w:color w:val="auto"/>
          <w:highlight w:val="none"/>
        </w:rPr>
        <w:t>（签字）</w:t>
      </w:r>
    </w:p>
    <w:p>
      <w:pPr>
        <w:spacing w:line="440" w:lineRule="exact"/>
        <w:ind w:firstLine="420" w:firstLineChars="200"/>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bookmarkStart w:id="485" w:name="_Toc152045581"/>
      <w:bookmarkStart w:id="486" w:name="_Toc152042358"/>
      <w:bookmarkStart w:id="487" w:name="_Toc352691527"/>
      <w:bookmarkStart w:id="488" w:name="_Toc369531571"/>
      <w:bookmarkStart w:id="489" w:name="_Toc361508640"/>
      <w:bookmarkStart w:id="490" w:name="_Toc247527606"/>
      <w:bookmarkStart w:id="491" w:name="_Toc144974548"/>
      <w:bookmarkStart w:id="492" w:name="_Toc15139"/>
      <w:bookmarkStart w:id="493" w:name="_Toc300835002"/>
      <w:bookmarkStart w:id="494" w:name="_Toc384308266"/>
      <w:bookmarkStart w:id="495" w:name="_Toc247514005"/>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bookmarkEnd w:id="485"/>
    <w:bookmarkEnd w:id="486"/>
    <w:bookmarkEnd w:id="487"/>
    <w:bookmarkEnd w:id="488"/>
    <w:bookmarkEnd w:id="489"/>
    <w:bookmarkEnd w:id="490"/>
    <w:bookmarkEnd w:id="491"/>
    <w:bookmarkEnd w:id="492"/>
    <w:bookmarkEnd w:id="493"/>
    <w:bookmarkEnd w:id="494"/>
    <w:bookmarkEnd w:id="495"/>
    <w:p>
      <w:pPr>
        <w:spacing w:line="400" w:lineRule="exact"/>
        <w:ind w:firstLine="420" w:firstLineChars="200"/>
        <w:rPr>
          <w:rFonts w:ascii="Times New Roman" w:hAnsi="Times New Roman"/>
          <w:color w:val="auto"/>
          <w:highlight w:val="none"/>
        </w:rPr>
      </w:pPr>
    </w:p>
    <w:p>
      <w:pPr>
        <w:pStyle w:val="4"/>
        <w:keepNext w:val="0"/>
        <w:keepLines w:val="0"/>
        <w:spacing w:before="0" w:after="0" w:line="413" w:lineRule="auto"/>
        <w:ind w:firstLine="560" w:firstLineChars="200"/>
        <w:rPr>
          <w:rFonts w:ascii="Times New Roman" w:hAnsi="Times New Roman"/>
          <w:color w:val="auto"/>
          <w:highlight w:val="none"/>
        </w:rPr>
      </w:pPr>
      <w:r>
        <w:rPr>
          <w:rFonts w:ascii="Times New Roman" w:hAnsi="Times New Roman"/>
          <w:color w:val="auto"/>
          <w:highlight w:val="none"/>
        </w:rPr>
        <w:br w:type="page"/>
      </w:r>
      <w:bookmarkStart w:id="496" w:name="_Toc89870607"/>
      <w:bookmarkStart w:id="497" w:name="_Toc527028506"/>
      <w:r>
        <w:rPr>
          <w:rFonts w:ascii="Times New Roman" w:hAnsi="Times New Roman"/>
          <w:color w:val="auto"/>
          <w:highlight w:val="none"/>
        </w:rPr>
        <w:t>附件</w:t>
      </w:r>
      <w:r>
        <w:rPr>
          <w:rFonts w:hint="eastAsia" w:ascii="Times New Roman" w:hAnsi="Times New Roman"/>
          <w:color w:val="auto"/>
          <w:highlight w:val="none"/>
        </w:rPr>
        <w:t>四</w:t>
      </w:r>
      <w:r>
        <w:rPr>
          <w:rFonts w:ascii="Times New Roman" w:hAnsi="Times New Roman"/>
          <w:color w:val="auto"/>
          <w:highlight w:val="none"/>
        </w:rPr>
        <w:t>：确认通知</w:t>
      </w:r>
      <w:bookmarkEnd w:id="496"/>
      <w:bookmarkEnd w:id="497"/>
    </w:p>
    <w:p>
      <w:pPr>
        <w:spacing w:line="400" w:lineRule="exact"/>
        <w:ind w:firstLine="420" w:firstLineChars="200"/>
        <w:rPr>
          <w:rFonts w:ascii="Times New Roman" w:hAnsi="Times New Roman"/>
          <w:color w:val="auto"/>
          <w:highlight w:val="none"/>
        </w:rPr>
      </w:pPr>
    </w:p>
    <w:p>
      <w:pPr>
        <w:spacing w:line="400" w:lineRule="exact"/>
        <w:ind w:firstLine="560" w:firstLineChars="200"/>
        <w:jc w:val="center"/>
        <w:rPr>
          <w:rFonts w:ascii="Times New Roman" w:hAnsi="Times New Roman" w:eastAsia="黑体"/>
          <w:color w:val="auto"/>
          <w:sz w:val="28"/>
          <w:highlight w:val="none"/>
        </w:rPr>
      </w:pPr>
      <w:r>
        <w:rPr>
          <w:rFonts w:ascii="Times New Roman" w:hAnsi="Times New Roman" w:eastAsia="黑体"/>
          <w:color w:val="auto"/>
          <w:sz w:val="28"/>
          <w:highlight w:val="none"/>
        </w:rPr>
        <w:t>确认通知</w:t>
      </w:r>
    </w:p>
    <w:p>
      <w:pPr>
        <w:spacing w:line="40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（招标人名称）：</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你方于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日发出的</w:t>
      </w:r>
      <w:r>
        <w:rPr>
          <w:rFonts w:ascii="Times New Roman" w:hAnsi="Times New Roman"/>
          <w:color w:val="auto"/>
          <w:highlight w:val="none"/>
          <w:u w:val="single"/>
        </w:rPr>
        <w:t xml:space="preserve">         </w:t>
      </w:r>
      <w:r>
        <w:rPr>
          <w:rFonts w:hint="eastAsia" w:ascii="Times New Roman" w:hAnsi="Times New Roman"/>
          <w:color w:val="auto"/>
          <w:highlight w:val="none"/>
        </w:rPr>
        <w:t>（项目名称）</w:t>
      </w:r>
      <w:r>
        <w:rPr>
          <w:rFonts w:ascii="Times New Roman" w:hAnsi="Times New Roman"/>
          <w:color w:val="auto"/>
          <w:highlight w:val="none"/>
        </w:rPr>
        <w:t>招标关于</w:t>
      </w:r>
      <w:r>
        <w:rPr>
          <w:rFonts w:ascii="Times New Roman" w:hAnsi="Times New Roman"/>
          <w:color w:val="auto"/>
          <w:highlight w:val="none"/>
          <w:u w:val="single"/>
        </w:rPr>
        <w:t>招标文件的澄清/修改</w:t>
      </w:r>
      <w:r>
        <w:rPr>
          <w:rFonts w:ascii="Times New Roman" w:hAnsi="Times New Roman"/>
          <w:color w:val="auto"/>
          <w:highlight w:val="none"/>
        </w:rPr>
        <w:t>的通知，我方已于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日收到。</w:t>
      </w:r>
    </w:p>
    <w:p>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　　特此确认。</w:t>
      </w:r>
    </w:p>
    <w:p>
      <w:pPr>
        <w:spacing w:line="440" w:lineRule="exact"/>
        <w:ind w:firstLine="420" w:firstLineChars="200"/>
        <w:rPr>
          <w:rFonts w:ascii="Times New Roman" w:hAnsi="Times New Roman"/>
          <w:color w:val="auto"/>
          <w:highlight w:val="none"/>
        </w:rPr>
      </w:pPr>
    </w:p>
    <w:p>
      <w:pPr>
        <w:spacing w:line="440" w:lineRule="exact"/>
        <w:ind w:firstLine="420" w:firstLineChars="200"/>
        <w:rPr>
          <w:rFonts w:ascii="Times New Roman" w:hAnsi="Times New Roman"/>
          <w:color w:val="auto"/>
          <w:highlight w:val="none"/>
        </w:rPr>
      </w:pPr>
    </w:p>
    <w:p>
      <w:pPr>
        <w:spacing w:line="480" w:lineRule="auto"/>
        <w:ind w:firstLine="420" w:firstLineChars="200"/>
        <w:jc w:val="right"/>
        <w:rPr>
          <w:rFonts w:ascii="Times New Roman" w:hAnsi="Times New Roman"/>
          <w:color w:val="auto"/>
          <w:highlight w:val="none"/>
        </w:rPr>
      </w:pPr>
      <w:r>
        <w:rPr>
          <w:rFonts w:ascii="Times New Roman" w:hAnsi="Times New Roman"/>
          <w:color w:val="auto"/>
          <w:highlight w:val="none"/>
        </w:rPr>
        <w:t>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pPr>
        <w:spacing w:line="480" w:lineRule="auto"/>
        <w:ind w:firstLine="420" w:firstLineChars="200"/>
        <w:jc w:val="right"/>
        <w:rPr>
          <w:rFonts w:ascii="Times New Roman" w:hAnsi="Times New Roman"/>
          <w:color w:val="auto"/>
          <w:highlight w:val="none"/>
        </w:rPr>
      </w:pPr>
      <w:r>
        <w:rPr>
          <w:rFonts w:ascii="Times New Roman" w:hAnsi="Times New Roman"/>
          <w:color w:val="auto"/>
          <w:highlight w:val="none"/>
        </w:rPr>
        <w:t>法定代表人或委托代理人：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w:t>
      </w:r>
    </w:p>
    <w:p>
      <w:pPr>
        <w:spacing w:line="440" w:lineRule="exact"/>
        <w:ind w:firstLine="420" w:firstLineChars="20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ind w:firstLine="420" w:firstLineChars="200"/>
        <w:rPr>
          <w:rFonts w:ascii="Times New Roman" w:hAnsi="Times New Roman"/>
          <w:color w:val="auto"/>
          <w:highlight w:val="none"/>
        </w:rPr>
      </w:pPr>
    </w:p>
    <w:p>
      <w:pPr>
        <w:ind w:firstLine="420" w:firstLineChars="200"/>
        <w:rPr>
          <w:color w:val="auto"/>
          <w:highlight w:val="none"/>
        </w:rPr>
      </w:pPr>
    </w:p>
    <w:p>
      <w:pPr>
        <w:ind w:firstLine="420" w:firstLineChars="200"/>
        <w:rPr>
          <w:color w:val="auto"/>
          <w:highlight w:val="none"/>
        </w:rPr>
      </w:pPr>
    </w:p>
    <w:p>
      <w:pPr>
        <w:pStyle w:val="3"/>
        <w:keepNext w:val="0"/>
        <w:keepLines w:val="0"/>
        <w:spacing w:before="100" w:after="100" w:line="360" w:lineRule="auto"/>
        <w:jc w:val="center"/>
        <w:rPr>
          <w:color w:val="auto"/>
          <w:highlight w:val="none"/>
        </w:rPr>
      </w:pPr>
      <w:r>
        <w:rPr>
          <w:color w:val="auto"/>
          <w:highlight w:val="none"/>
        </w:rPr>
        <w:br w:type="page"/>
      </w:r>
      <w:bookmarkStart w:id="498" w:name="_Toc89870608"/>
      <w:r>
        <w:rPr>
          <w:color w:val="auto"/>
          <w:highlight w:val="none"/>
        </w:rPr>
        <w:t>第三章</w:t>
      </w:r>
      <w:r>
        <w:rPr>
          <w:rFonts w:hint="eastAsia"/>
          <w:color w:val="auto"/>
          <w:highlight w:val="none"/>
        </w:rPr>
        <w:t xml:space="preserve"> </w:t>
      </w:r>
      <w:r>
        <w:rPr>
          <w:color w:val="auto"/>
          <w:highlight w:val="none"/>
        </w:rPr>
        <w:t>评标办法（综合评估法）</w:t>
      </w:r>
      <w:bookmarkEnd w:id="498"/>
    </w:p>
    <w:p>
      <w:pPr>
        <w:pStyle w:val="3"/>
        <w:keepNext w:val="0"/>
        <w:keepLines w:val="0"/>
        <w:spacing w:before="0" w:after="0" w:line="460" w:lineRule="exact"/>
        <w:ind w:firstLine="723" w:firstLineChars="200"/>
        <w:jc w:val="center"/>
        <w:rPr>
          <w:color w:val="auto"/>
          <w:sz w:val="36"/>
          <w:szCs w:val="36"/>
          <w:highlight w:val="none"/>
        </w:rPr>
      </w:pPr>
      <w:bookmarkStart w:id="499" w:name="_Toc89870609"/>
      <w:r>
        <w:rPr>
          <w:color w:val="auto"/>
          <w:sz w:val="36"/>
          <w:szCs w:val="36"/>
          <w:highlight w:val="none"/>
        </w:rPr>
        <w:t>评标办法前附表</w:t>
      </w:r>
      <w:bookmarkEnd w:id="499"/>
    </w:p>
    <w:tbl>
      <w:tblPr>
        <w:tblStyle w:val="24"/>
        <w:tblW w:w="93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9"/>
        <w:gridCol w:w="1098"/>
        <w:gridCol w:w="2132"/>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gridSpan w:val="3"/>
            <w:vAlign w:val="center"/>
          </w:tcPr>
          <w:p>
            <w:pPr>
              <w:snapToGrid w:val="0"/>
              <w:jc w:val="center"/>
              <w:rPr>
                <w:rFonts w:ascii="宋体" w:hAnsi="宋体"/>
                <w:b/>
                <w:szCs w:val="21"/>
              </w:rPr>
            </w:pPr>
            <w:r>
              <w:rPr>
                <w:rFonts w:ascii="宋体" w:hAnsi="宋体"/>
                <w:b/>
                <w:szCs w:val="21"/>
              </w:rPr>
              <w:t>条款号</w:t>
            </w:r>
          </w:p>
        </w:tc>
        <w:tc>
          <w:tcPr>
            <w:tcW w:w="2132" w:type="dxa"/>
            <w:vAlign w:val="center"/>
          </w:tcPr>
          <w:p>
            <w:pPr>
              <w:snapToGrid w:val="0"/>
              <w:jc w:val="center"/>
              <w:rPr>
                <w:rFonts w:ascii="宋体" w:hAnsi="宋体"/>
                <w:b/>
                <w:szCs w:val="21"/>
              </w:rPr>
            </w:pPr>
            <w:r>
              <w:rPr>
                <w:rFonts w:ascii="宋体" w:hAnsi="宋体"/>
                <w:b/>
                <w:szCs w:val="21"/>
              </w:rPr>
              <w:t>评审因素</w:t>
            </w:r>
          </w:p>
        </w:tc>
        <w:tc>
          <w:tcPr>
            <w:tcW w:w="5252" w:type="dxa"/>
            <w:vAlign w:val="center"/>
          </w:tcPr>
          <w:p>
            <w:pPr>
              <w:snapToGrid w:val="0"/>
              <w:jc w:val="center"/>
              <w:rPr>
                <w:rFonts w:ascii="宋体" w:hAnsi="宋体"/>
                <w:b/>
                <w:szCs w:val="21"/>
              </w:rPr>
            </w:pPr>
            <w:r>
              <w:rPr>
                <w:rFonts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80" w:type="dxa"/>
            <w:gridSpan w:val="2"/>
            <w:vAlign w:val="center"/>
          </w:tcPr>
          <w:p>
            <w:pPr>
              <w:jc w:val="center"/>
              <w:rPr>
                <w:rFonts w:ascii="Times New Roman" w:hAnsi="Times New Roman"/>
              </w:rPr>
            </w:pPr>
            <w:r>
              <w:rPr>
                <w:rFonts w:ascii="Times New Roman" w:hAnsi="Times New Roman"/>
              </w:rPr>
              <w:t>1</w:t>
            </w:r>
          </w:p>
        </w:tc>
        <w:tc>
          <w:tcPr>
            <w:tcW w:w="1098" w:type="dxa"/>
            <w:vAlign w:val="center"/>
          </w:tcPr>
          <w:p>
            <w:pPr>
              <w:snapToGrid w:val="0"/>
              <w:jc w:val="center"/>
              <w:rPr>
                <w:rFonts w:ascii="宋体" w:hAnsi="宋体"/>
                <w:szCs w:val="21"/>
              </w:rPr>
            </w:pPr>
            <w:r>
              <w:rPr>
                <w:rFonts w:ascii="宋体" w:hAnsi="宋体"/>
                <w:szCs w:val="21"/>
              </w:rPr>
              <w:t>评标方法</w:t>
            </w:r>
          </w:p>
        </w:tc>
        <w:tc>
          <w:tcPr>
            <w:tcW w:w="2132" w:type="dxa"/>
            <w:vAlign w:val="center"/>
          </w:tcPr>
          <w:p>
            <w:pPr>
              <w:snapToGrid w:val="0"/>
              <w:jc w:val="center"/>
              <w:rPr>
                <w:rFonts w:ascii="宋体" w:hAnsi="宋体"/>
                <w:szCs w:val="21"/>
              </w:rPr>
            </w:pPr>
            <w:r>
              <w:rPr>
                <w:rFonts w:ascii="宋体" w:hAnsi="宋体"/>
                <w:szCs w:val="21"/>
              </w:rPr>
              <w:t>中标候选人排序方法</w:t>
            </w:r>
          </w:p>
        </w:tc>
        <w:tc>
          <w:tcPr>
            <w:tcW w:w="5252" w:type="dxa"/>
            <w:vAlign w:val="center"/>
          </w:tcPr>
          <w:p>
            <w:pPr>
              <w:snapToGrid w:val="0"/>
              <w:jc w:val="left"/>
              <w:rPr>
                <w:rFonts w:ascii="宋体" w:hAnsi="宋体"/>
                <w:szCs w:val="21"/>
              </w:rPr>
            </w:pPr>
            <w:r>
              <w:rPr>
                <w:rFonts w:hint="eastAsia" w:ascii="宋体" w:hAnsi="宋体"/>
                <w:szCs w:val="21"/>
              </w:rPr>
              <w:t>本次评标采用综合评估法。评标委员会对满足招标文件实质性要求的投标文件，按照本招标文件规定的评分标准进行打分，</w:t>
            </w:r>
            <w:r>
              <w:rPr>
                <w:rFonts w:ascii="宋体" w:hAnsi="宋体"/>
                <w:szCs w:val="21"/>
              </w:rPr>
              <w:t>投标人</w:t>
            </w:r>
            <w:r>
              <w:rPr>
                <w:rFonts w:hint="eastAsia" w:ascii="宋体" w:hAnsi="宋体"/>
                <w:szCs w:val="21"/>
              </w:rPr>
              <w:t>综合评分由高到低排序前</w:t>
            </w:r>
            <w:r>
              <w:rPr>
                <w:rFonts w:ascii="宋体" w:hAnsi="宋体"/>
                <w:szCs w:val="21"/>
              </w:rPr>
              <w:t>3</w:t>
            </w:r>
            <w:r>
              <w:rPr>
                <w:rFonts w:hint="eastAsia" w:ascii="宋体" w:hAnsi="宋体"/>
                <w:szCs w:val="21"/>
              </w:rPr>
              <w:t>名作为第一、第二、第三中标候选人，</w:t>
            </w:r>
            <w:r>
              <w:rPr>
                <w:rFonts w:ascii="宋体" w:hAnsi="宋体"/>
                <w:szCs w:val="21"/>
              </w:rPr>
              <w:t>综合评分相等时，以投标报价低的优先； 投标报价也相等的，以监理大纲得分高的优先；监理大纲得分也相等</w:t>
            </w:r>
            <w:r>
              <w:rPr>
                <w:rFonts w:hint="eastAsia" w:ascii="宋体" w:hAnsi="宋体"/>
                <w:szCs w:val="21"/>
              </w:rPr>
              <w:t>的，以资信业绩得分高的优先；如果仍存在相同情况，由评标委员会采用记名投票方式，以得票多的优先。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restart"/>
            <w:vAlign w:val="center"/>
          </w:tcPr>
          <w:p>
            <w:pPr>
              <w:jc w:val="center"/>
              <w:rPr>
                <w:rFonts w:ascii="Times New Roman" w:hAnsi="Times New Roman"/>
              </w:rPr>
            </w:pPr>
            <w:r>
              <w:rPr>
                <w:rFonts w:ascii="Times New Roman" w:hAnsi="Times New Roman"/>
              </w:rPr>
              <w:t>2.1.1</w:t>
            </w:r>
          </w:p>
        </w:tc>
        <w:tc>
          <w:tcPr>
            <w:tcW w:w="1098" w:type="dxa"/>
            <w:vMerge w:val="restart"/>
            <w:vAlign w:val="center"/>
          </w:tcPr>
          <w:p>
            <w:pPr>
              <w:snapToGrid w:val="0"/>
              <w:jc w:val="center"/>
              <w:rPr>
                <w:rFonts w:ascii="宋体" w:hAnsi="宋体"/>
                <w:szCs w:val="21"/>
              </w:rPr>
            </w:pPr>
            <w:r>
              <w:rPr>
                <w:rFonts w:ascii="宋体" w:hAnsi="宋体"/>
                <w:szCs w:val="21"/>
              </w:rPr>
              <w:t>形式评审标准</w:t>
            </w:r>
          </w:p>
        </w:tc>
        <w:tc>
          <w:tcPr>
            <w:tcW w:w="2132" w:type="dxa"/>
            <w:vAlign w:val="center"/>
          </w:tcPr>
          <w:p>
            <w:pPr>
              <w:snapToGrid w:val="0"/>
              <w:jc w:val="center"/>
              <w:rPr>
                <w:rFonts w:ascii="宋体" w:hAnsi="宋体"/>
                <w:szCs w:val="21"/>
              </w:rPr>
            </w:pPr>
            <w:r>
              <w:rPr>
                <w:rFonts w:ascii="宋体" w:hAnsi="宋体"/>
                <w:szCs w:val="21"/>
              </w:rPr>
              <w:t>投标人名称</w:t>
            </w:r>
          </w:p>
        </w:tc>
        <w:tc>
          <w:tcPr>
            <w:tcW w:w="5252" w:type="dxa"/>
            <w:vAlign w:val="center"/>
          </w:tcPr>
          <w:p>
            <w:pPr>
              <w:snapToGrid w:val="0"/>
              <w:jc w:val="left"/>
              <w:rPr>
                <w:rFonts w:ascii="宋体" w:hAnsi="宋体"/>
                <w:szCs w:val="21"/>
              </w:rPr>
            </w:pPr>
            <w:r>
              <w:rPr>
                <w:rFonts w:ascii="宋体" w:hAnsi="宋体"/>
                <w:szCs w:val="21"/>
              </w:rPr>
              <w:t>与</w:t>
            </w:r>
            <w:r>
              <w:rPr>
                <w:rFonts w:hint="eastAsia" w:ascii="宋体" w:hAnsi="宋体"/>
                <w:szCs w:val="21"/>
              </w:rPr>
              <w:t>营业执照（或事业单位法人证书）</w:t>
            </w:r>
            <w:r>
              <w:rPr>
                <w:rFonts w:ascii="宋体" w:hAnsi="宋体"/>
                <w:szCs w:val="21"/>
              </w:rPr>
              <w:t>、资质证书一致</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snapToGrid w:val="0"/>
              <w:jc w:val="center"/>
              <w:rPr>
                <w:rFonts w:ascii="宋体" w:hAnsi="宋体"/>
                <w:szCs w:val="21"/>
              </w:rPr>
            </w:pPr>
            <w:r>
              <w:rPr>
                <w:rFonts w:ascii="宋体" w:hAnsi="宋体"/>
                <w:szCs w:val="21"/>
              </w:rPr>
              <w:t>投标函</w:t>
            </w:r>
            <w:r>
              <w:rPr>
                <w:rFonts w:hint="eastAsia" w:ascii="宋体" w:hAnsi="宋体"/>
                <w:szCs w:val="21"/>
              </w:rPr>
              <w:t>及投标函附录</w:t>
            </w:r>
            <w:r>
              <w:rPr>
                <w:rFonts w:ascii="宋体" w:hAnsi="宋体"/>
                <w:szCs w:val="21"/>
              </w:rPr>
              <w:t>签字盖章</w:t>
            </w:r>
          </w:p>
        </w:tc>
        <w:tc>
          <w:tcPr>
            <w:tcW w:w="5252" w:type="dxa"/>
            <w:vAlign w:val="center"/>
          </w:tcPr>
          <w:p>
            <w:pPr>
              <w:snapToGrid w:val="0"/>
              <w:jc w:val="left"/>
              <w:rPr>
                <w:rFonts w:ascii="宋体" w:hAnsi="宋体"/>
                <w:szCs w:val="21"/>
              </w:rPr>
            </w:pPr>
            <w:r>
              <w:rPr>
                <w:rFonts w:ascii="宋体" w:hAnsi="宋体"/>
                <w:szCs w:val="21"/>
              </w:rPr>
              <w:t>有法定代表人或其委托代理人签字</w:t>
            </w:r>
            <w:r>
              <w:rPr>
                <w:rFonts w:hint="eastAsia" w:ascii="宋体" w:hAnsi="宋体"/>
                <w:szCs w:val="21"/>
              </w:rPr>
              <w:t>（或盖章），并</w:t>
            </w:r>
            <w:r>
              <w:rPr>
                <w:rFonts w:ascii="宋体" w:hAnsi="宋体"/>
                <w:szCs w:val="21"/>
              </w:rPr>
              <w:t>加盖单位章。由法定代表人签字</w:t>
            </w:r>
            <w:r>
              <w:rPr>
                <w:rFonts w:hint="eastAsia" w:ascii="宋体" w:hAnsi="宋体"/>
                <w:szCs w:val="21"/>
              </w:rPr>
              <w:t>（或盖章）</w:t>
            </w:r>
            <w:r>
              <w:rPr>
                <w:rFonts w:ascii="宋体" w:hAnsi="宋体"/>
                <w:szCs w:val="21"/>
              </w:rPr>
              <w:t>的，应附法定代表人身份证明，由代理人签字</w:t>
            </w:r>
            <w:r>
              <w:rPr>
                <w:rFonts w:hint="eastAsia" w:ascii="宋体" w:hAnsi="宋体"/>
                <w:szCs w:val="21"/>
              </w:rPr>
              <w:t>（或盖章）</w:t>
            </w:r>
            <w:r>
              <w:rPr>
                <w:rFonts w:ascii="宋体" w:hAnsi="宋体"/>
                <w:szCs w:val="21"/>
              </w:rPr>
              <w:t>的，应附授权委托书，身份证明或授权委托书应符合第六章“投标文件格式”的规定</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snapToGrid w:val="0"/>
              <w:jc w:val="center"/>
              <w:rPr>
                <w:rFonts w:ascii="宋体" w:hAnsi="宋体"/>
                <w:szCs w:val="21"/>
              </w:rPr>
            </w:pPr>
            <w:r>
              <w:rPr>
                <w:rFonts w:ascii="宋体" w:hAnsi="宋体"/>
                <w:szCs w:val="21"/>
              </w:rPr>
              <w:t>投标文件格式</w:t>
            </w:r>
          </w:p>
        </w:tc>
        <w:tc>
          <w:tcPr>
            <w:tcW w:w="5252" w:type="dxa"/>
            <w:vAlign w:val="center"/>
          </w:tcPr>
          <w:p>
            <w:pPr>
              <w:snapToGrid w:val="0"/>
              <w:jc w:val="left"/>
              <w:rPr>
                <w:rFonts w:ascii="宋体" w:hAnsi="宋体"/>
                <w:szCs w:val="21"/>
              </w:rPr>
            </w:pPr>
            <w:r>
              <w:rPr>
                <w:rFonts w:ascii="宋体" w:hAnsi="宋体"/>
                <w:szCs w:val="21"/>
              </w:rPr>
              <w:t>符合第六章“投标文件格式”的规定</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jc w:val="center"/>
              <w:rPr>
                <w:rFonts w:ascii="宋体" w:hAnsi="宋体"/>
                <w:szCs w:val="21"/>
              </w:rPr>
            </w:pPr>
            <w:r>
              <w:t>联合体投标人</w:t>
            </w:r>
          </w:p>
        </w:tc>
        <w:tc>
          <w:tcPr>
            <w:tcW w:w="5252" w:type="dxa"/>
            <w:vAlign w:val="center"/>
          </w:tcPr>
          <w:p>
            <w:pPr>
              <w:snapToGrid w:val="0"/>
              <w:jc w:val="left"/>
              <w:rPr>
                <w:rFonts w:ascii="宋体" w:hAnsi="宋体"/>
                <w:szCs w:val="21"/>
              </w:rPr>
            </w:pPr>
            <w:r>
              <w:rPr>
                <w:rFonts w:hint="eastAsia" w:ascii="宋体" w:hAnsi="Courier New" w:cs="Arial"/>
                <w:szCs w:val="21"/>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snapToGrid w:val="0"/>
              <w:jc w:val="center"/>
              <w:rPr>
                <w:rFonts w:ascii="宋体" w:hAnsi="宋体"/>
                <w:szCs w:val="21"/>
              </w:rPr>
            </w:pPr>
            <w:r>
              <w:rPr>
                <w:rFonts w:hint="eastAsia" w:ascii="宋体" w:hAnsi="宋体"/>
                <w:szCs w:val="21"/>
              </w:rPr>
              <w:t>投标人机器码</w:t>
            </w:r>
          </w:p>
        </w:tc>
        <w:tc>
          <w:tcPr>
            <w:tcW w:w="5252" w:type="dxa"/>
            <w:vAlign w:val="center"/>
          </w:tcPr>
          <w:p>
            <w:pPr>
              <w:snapToGrid w:val="0"/>
              <w:jc w:val="left"/>
              <w:rPr>
                <w:rFonts w:ascii="宋体" w:hAnsi="宋体"/>
                <w:szCs w:val="21"/>
              </w:rPr>
            </w:pPr>
            <w:r>
              <w:rPr>
                <w:rFonts w:hint="eastAsia" w:ascii="宋体" w:hAnsi="宋体"/>
                <w:szCs w:val="21"/>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snapToGrid w:val="0"/>
              <w:jc w:val="center"/>
              <w:rPr>
                <w:rFonts w:ascii="宋体" w:hAnsi="宋体"/>
                <w:szCs w:val="21"/>
              </w:rPr>
            </w:pPr>
            <w:r>
              <w:rPr>
                <w:rFonts w:ascii="宋体" w:hAnsi="宋体"/>
                <w:szCs w:val="21"/>
              </w:rPr>
              <w:t>备选投标方案</w:t>
            </w:r>
          </w:p>
        </w:tc>
        <w:tc>
          <w:tcPr>
            <w:tcW w:w="5252" w:type="dxa"/>
            <w:vAlign w:val="center"/>
          </w:tcPr>
          <w:p>
            <w:pPr>
              <w:snapToGrid w:val="0"/>
              <w:jc w:val="left"/>
              <w:rPr>
                <w:rFonts w:ascii="宋体" w:hAnsi="宋体"/>
                <w:szCs w:val="21"/>
              </w:rPr>
            </w:pPr>
            <w:r>
              <w:rPr>
                <w:rFonts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restart"/>
            <w:vAlign w:val="center"/>
          </w:tcPr>
          <w:p>
            <w:pPr>
              <w:jc w:val="center"/>
              <w:rPr>
                <w:rFonts w:ascii="Times New Roman" w:hAnsi="Times New Roman"/>
              </w:rPr>
            </w:pPr>
            <w:r>
              <w:rPr>
                <w:rFonts w:ascii="Times New Roman" w:hAnsi="Times New Roman"/>
              </w:rPr>
              <w:t>2.1.2</w:t>
            </w:r>
          </w:p>
        </w:tc>
        <w:tc>
          <w:tcPr>
            <w:tcW w:w="1098" w:type="dxa"/>
            <w:vMerge w:val="restart"/>
            <w:vAlign w:val="center"/>
          </w:tcPr>
          <w:p>
            <w:pPr>
              <w:snapToGrid w:val="0"/>
              <w:jc w:val="center"/>
              <w:rPr>
                <w:rFonts w:ascii="宋体" w:hAnsi="宋体"/>
                <w:szCs w:val="21"/>
              </w:rPr>
            </w:pPr>
            <w:r>
              <w:rPr>
                <w:rFonts w:hint="eastAsia" w:ascii="宋体" w:hAnsi="宋体"/>
                <w:szCs w:val="21"/>
              </w:rPr>
              <w:t>资格评审标准</w:t>
            </w:r>
          </w:p>
        </w:tc>
        <w:tc>
          <w:tcPr>
            <w:tcW w:w="2132" w:type="dxa"/>
            <w:vAlign w:val="center"/>
          </w:tcPr>
          <w:p>
            <w:pPr>
              <w:snapToGrid w:val="0"/>
              <w:jc w:val="center"/>
              <w:rPr>
                <w:rFonts w:ascii="宋体" w:hAnsi="宋体"/>
                <w:szCs w:val="21"/>
              </w:rPr>
            </w:pPr>
            <w:r>
              <w:rPr>
                <w:rFonts w:ascii="宋体" w:hAnsi="宋体"/>
                <w:szCs w:val="21"/>
              </w:rPr>
              <w:t>营业执照和组织机构代码证</w:t>
            </w:r>
          </w:p>
        </w:tc>
        <w:tc>
          <w:tcPr>
            <w:tcW w:w="5252" w:type="dxa"/>
            <w:vAlign w:val="center"/>
          </w:tcPr>
          <w:p>
            <w:pPr>
              <w:snapToGrid w:val="0"/>
              <w:jc w:val="left"/>
              <w:rPr>
                <w:rFonts w:ascii="宋体" w:hAnsi="宋体"/>
                <w:szCs w:val="21"/>
              </w:rPr>
            </w:pPr>
            <w:r>
              <w:rPr>
                <w:rFonts w:ascii="宋体" w:hAnsi="宋体"/>
                <w:szCs w:val="21"/>
              </w:rPr>
              <w:t>符合第二章“投标人须知”第</w:t>
            </w:r>
            <w:r>
              <w:rPr>
                <w:rFonts w:hint="eastAsia" w:ascii="宋体" w:hAnsi="宋体"/>
                <w:szCs w:val="21"/>
              </w:rPr>
              <w:t>3.5.2</w:t>
            </w:r>
            <w:r>
              <w:rPr>
                <w:rFonts w:ascii="宋体" w:hAnsi="宋体"/>
                <w:szCs w:val="21"/>
              </w:rPr>
              <w:t>项规定</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snapToGrid w:val="0"/>
              <w:jc w:val="center"/>
              <w:rPr>
                <w:rFonts w:ascii="宋体" w:hAnsi="宋体"/>
                <w:szCs w:val="21"/>
              </w:rPr>
            </w:pPr>
            <w:r>
              <w:rPr>
                <w:rFonts w:ascii="宋体" w:hAnsi="宋体"/>
                <w:szCs w:val="21"/>
              </w:rPr>
              <w:t>资质要求</w:t>
            </w:r>
          </w:p>
        </w:tc>
        <w:tc>
          <w:tcPr>
            <w:tcW w:w="5252" w:type="dxa"/>
            <w:vAlign w:val="center"/>
          </w:tcPr>
          <w:p>
            <w:pPr>
              <w:snapToGrid w:val="0"/>
              <w:jc w:val="left"/>
              <w:rPr>
                <w:rFonts w:ascii="宋体" w:hAnsi="宋体"/>
                <w:szCs w:val="21"/>
              </w:rPr>
            </w:pPr>
            <w:r>
              <w:rPr>
                <w:rFonts w:ascii="宋体" w:hAnsi="宋体"/>
                <w:szCs w:val="21"/>
              </w:rPr>
              <w:t>符合第二章“投标人须知”第1.4.1项规定</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snapToGrid w:val="0"/>
              <w:jc w:val="center"/>
              <w:rPr>
                <w:rFonts w:ascii="宋体" w:hAnsi="宋体"/>
                <w:szCs w:val="21"/>
              </w:rPr>
            </w:pPr>
            <w:r>
              <w:rPr>
                <w:rFonts w:hint="eastAsia" w:ascii="宋体" w:hAnsi="宋体"/>
                <w:szCs w:val="21"/>
              </w:rPr>
              <w:t>总监理工程师</w:t>
            </w:r>
          </w:p>
        </w:tc>
        <w:tc>
          <w:tcPr>
            <w:tcW w:w="5252" w:type="dxa"/>
            <w:vAlign w:val="center"/>
          </w:tcPr>
          <w:p>
            <w:pPr>
              <w:snapToGrid w:val="0"/>
              <w:jc w:val="left"/>
              <w:rPr>
                <w:rFonts w:ascii="宋体" w:hAnsi="宋体"/>
                <w:szCs w:val="21"/>
              </w:rPr>
            </w:pPr>
            <w:r>
              <w:rPr>
                <w:rFonts w:ascii="宋体" w:hAnsi="宋体"/>
                <w:szCs w:val="21"/>
              </w:rPr>
              <w:t>符合第二章“投标人须知”第1.4.1项规定</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snapToGrid w:val="0"/>
              <w:jc w:val="center"/>
              <w:rPr>
                <w:rFonts w:ascii="宋体" w:hAnsi="宋体"/>
                <w:szCs w:val="21"/>
              </w:rPr>
            </w:pPr>
            <w:r>
              <w:rPr>
                <w:rFonts w:ascii="宋体" w:hAnsi="宋体"/>
                <w:szCs w:val="21"/>
              </w:rPr>
              <w:t>其他要求</w:t>
            </w:r>
          </w:p>
        </w:tc>
        <w:tc>
          <w:tcPr>
            <w:tcW w:w="5252" w:type="dxa"/>
            <w:vAlign w:val="center"/>
          </w:tcPr>
          <w:p>
            <w:pPr>
              <w:snapToGrid w:val="0"/>
              <w:jc w:val="left"/>
            </w:pPr>
            <w:r>
              <w:rPr>
                <w:rFonts w:hint="eastAsia"/>
              </w:rPr>
              <w:t>1）投标人已按照招标公告附件一要求的内容签署盖章的《投标人声明》。</w:t>
            </w:r>
          </w:p>
          <w:p>
            <w:pPr>
              <w:pStyle w:val="14"/>
              <w:jc w:val="left"/>
              <w:rPr>
                <w:rFonts w:ascii="Calibri"/>
              </w:rPr>
            </w:pPr>
            <w:r>
              <w:rPr>
                <w:rFonts w:hint="eastAsia" w:ascii="Calibri"/>
              </w:rPr>
              <w:t>2）投标登记前，投标人已在广州公共资源交易中心办理企业信息登记及拟担任本工程总监理工程师须是本单位在企业库中的在册人员。</w:t>
            </w:r>
          </w:p>
          <w:p>
            <w:pPr>
              <w:pStyle w:val="14"/>
              <w:jc w:val="left"/>
            </w:pPr>
            <w:r>
              <w:rPr>
                <w:rFonts w:hint="eastAsia" w:ascii="Calibri"/>
              </w:rPr>
              <w:t>3）未被纳入国家、市、区的失信联合惩戒名单且被限制参加建设工程投标的（具体名单以递交投标文件截止时间“信用广州”</w:t>
            </w:r>
            <w:r>
              <w:rPr>
                <w:rFonts w:hint="eastAsia" w:hAnsi="Courier New" w:cs="Arial"/>
                <w:szCs w:val="21"/>
              </w:rPr>
              <w:t>https://credit1.gz.gov.cn/sgs/sgsXkNew公布的“公布的“失信黑名单”为准。不包含限制参加财政投资工程或政府投资工程的投标）。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snapToGrid w:val="0"/>
              <w:jc w:val="center"/>
              <w:rPr>
                <w:rFonts w:ascii="宋体" w:hAnsi="宋体"/>
                <w:szCs w:val="21"/>
              </w:rPr>
            </w:pPr>
          </w:p>
        </w:tc>
        <w:tc>
          <w:tcPr>
            <w:tcW w:w="2132" w:type="dxa"/>
            <w:vAlign w:val="center"/>
          </w:tcPr>
          <w:p>
            <w:pPr>
              <w:snapToGrid w:val="0"/>
              <w:jc w:val="center"/>
              <w:rPr>
                <w:rFonts w:ascii="宋体" w:hAnsi="宋体"/>
                <w:szCs w:val="21"/>
              </w:rPr>
            </w:pPr>
            <w:r>
              <w:rPr>
                <w:rFonts w:ascii="宋体" w:hAnsi="宋体"/>
                <w:szCs w:val="21"/>
              </w:rPr>
              <w:t>联合体投标人</w:t>
            </w:r>
          </w:p>
        </w:tc>
        <w:tc>
          <w:tcPr>
            <w:tcW w:w="5252" w:type="dxa"/>
            <w:vAlign w:val="center"/>
          </w:tcPr>
          <w:p>
            <w:pPr>
              <w:snapToGrid w:val="0"/>
              <w:jc w:val="left"/>
              <w:rPr>
                <w:rFonts w:ascii="宋体" w:hAnsi="宋体"/>
                <w:szCs w:val="21"/>
              </w:rPr>
            </w:pPr>
            <w:r>
              <w:rPr>
                <w:rFonts w:hint="eastAsia" w:ascii="宋体" w:hAnsi="Courier New" w:cs="Arial"/>
                <w:szCs w:val="21"/>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jc w:val="center"/>
              <w:rPr>
                <w:rFonts w:ascii="Times New Roman" w:hAnsi="Times New Roman"/>
              </w:rPr>
            </w:pPr>
          </w:p>
        </w:tc>
        <w:tc>
          <w:tcPr>
            <w:tcW w:w="2132" w:type="dxa"/>
            <w:vAlign w:val="center"/>
          </w:tcPr>
          <w:p>
            <w:pPr>
              <w:snapToGrid w:val="0"/>
              <w:jc w:val="center"/>
              <w:rPr>
                <w:rFonts w:ascii="宋体" w:hAnsi="宋体"/>
                <w:szCs w:val="21"/>
              </w:rPr>
            </w:pPr>
            <w:r>
              <w:rPr>
                <w:rFonts w:ascii="宋体" w:hAnsi="宋体"/>
                <w:szCs w:val="21"/>
              </w:rPr>
              <w:t>不存在禁止投标的情形</w:t>
            </w:r>
          </w:p>
        </w:tc>
        <w:tc>
          <w:tcPr>
            <w:tcW w:w="5252" w:type="dxa"/>
            <w:vAlign w:val="center"/>
          </w:tcPr>
          <w:p>
            <w:pPr>
              <w:snapToGrid w:val="0"/>
              <w:jc w:val="left"/>
              <w:rPr>
                <w:rFonts w:ascii="宋体" w:hAnsi="宋体"/>
                <w:szCs w:val="21"/>
              </w:rPr>
            </w:pPr>
            <w:r>
              <w:rPr>
                <w:rFonts w:ascii="宋体" w:hAnsi="宋体"/>
                <w:szCs w:val="21"/>
              </w:rPr>
              <w:t>不存在第二章“投标人须知”第1.4.3项规定的任何一种情形</w:t>
            </w:r>
            <w:r>
              <w:rPr>
                <w:rFonts w:hint="eastAsia" w:ascii="宋体" w:hAnsi="宋体" w:cs="宋体"/>
              </w:rPr>
              <w:t>（以招标公告投标人声明为准）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restart"/>
            <w:vAlign w:val="center"/>
          </w:tcPr>
          <w:p>
            <w:pPr>
              <w:jc w:val="center"/>
              <w:rPr>
                <w:rFonts w:ascii="Times New Roman" w:hAnsi="Times New Roman"/>
              </w:rPr>
            </w:pPr>
            <w:r>
              <w:rPr>
                <w:rFonts w:ascii="Times New Roman" w:hAnsi="Times New Roman"/>
              </w:rPr>
              <w:t>2.1.3</w:t>
            </w:r>
          </w:p>
        </w:tc>
        <w:tc>
          <w:tcPr>
            <w:tcW w:w="1098" w:type="dxa"/>
            <w:vMerge w:val="restart"/>
            <w:vAlign w:val="center"/>
          </w:tcPr>
          <w:p>
            <w:pPr>
              <w:jc w:val="center"/>
              <w:rPr>
                <w:rFonts w:ascii="Times New Roman" w:hAnsi="Times New Roman"/>
              </w:rPr>
            </w:pPr>
            <w:r>
              <w:rPr>
                <w:rFonts w:ascii="Times New Roman" w:hAnsi="Times New Roman"/>
              </w:rPr>
              <w:t>响应性评审标准</w:t>
            </w:r>
          </w:p>
        </w:tc>
        <w:tc>
          <w:tcPr>
            <w:tcW w:w="2132" w:type="dxa"/>
            <w:vAlign w:val="center"/>
          </w:tcPr>
          <w:p>
            <w:pPr>
              <w:snapToGrid w:val="0"/>
              <w:jc w:val="center"/>
              <w:rPr>
                <w:rFonts w:ascii="宋体" w:hAnsi="宋体"/>
                <w:szCs w:val="21"/>
              </w:rPr>
            </w:pPr>
            <w:r>
              <w:rPr>
                <w:rFonts w:ascii="宋体" w:hAnsi="宋体"/>
                <w:szCs w:val="21"/>
              </w:rPr>
              <w:t>投标报价</w:t>
            </w:r>
          </w:p>
        </w:tc>
        <w:tc>
          <w:tcPr>
            <w:tcW w:w="5252" w:type="dxa"/>
            <w:vAlign w:val="center"/>
          </w:tcPr>
          <w:p>
            <w:pPr>
              <w:snapToGrid w:val="0"/>
              <w:jc w:val="left"/>
              <w:rPr>
                <w:rFonts w:ascii="宋体" w:hAnsi="宋体"/>
                <w:szCs w:val="21"/>
              </w:rPr>
            </w:pPr>
            <w:r>
              <w:rPr>
                <w:rFonts w:ascii="宋体" w:hAnsi="宋体"/>
                <w:szCs w:val="21"/>
              </w:rPr>
              <w:t>符合第二章“投标人须知”第3.2款规定</w:t>
            </w:r>
            <w:r>
              <w:rPr>
                <w:rFonts w:hint="eastAsia" w:ascii="宋体" w:hAnsi="宋体"/>
                <w:szCs w:val="21"/>
              </w:rPr>
              <w:t>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jc w:val="center"/>
              <w:rPr>
                <w:rFonts w:ascii="Times New Roman" w:hAnsi="Times New Roman"/>
              </w:rPr>
            </w:pPr>
          </w:p>
        </w:tc>
        <w:tc>
          <w:tcPr>
            <w:tcW w:w="2132" w:type="dxa"/>
            <w:vAlign w:val="center"/>
          </w:tcPr>
          <w:p>
            <w:pPr>
              <w:snapToGrid w:val="0"/>
              <w:jc w:val="center"/>
              <w:rPr>
                <w:rFonts w:ascii="宋体" w:hAnsi="宋体"/>
                <w:szCs w:val="21"/>
              </w:rPr>
            </w:pPr>
            <w:r>
              <w:rPr>
                <w:rFonts w:ascii="宋体" w:hAnsi="宋体"/>
                <w:szCs w:val="21"/>
              </w:rPr>
              <w:t>投标内容</w:t>
            </w:r>
          </w:p>
        </w:tc>
        <w:tc>
          <w:tcPr>
            <w:tcW w:w="5252" w:type="dxa"/>
            <w:vAlign w:val="center"/>
          </w:tcPr>
          <w:p>
            <w:pPr>
              <w:snapToGrid w:val="0"/>
              <w:jc w:val="left"/>
              <w:rPr>
                <w:rFonts w:ascii="宋体" w:hAnsi="宋体"/>
                <w:szCs w:val="21"/>
              </w:rPr>
            </w:pPr>
            <w:r>
              <w:rPr>
                <w:rFonts w:hint="eastAsia" w:ascii="宋体" w:hAnsi="宋体"/>
                <w:szCs w:val="21"/>
              </w:rPr>
              <w:t>符合第二章“投标人须知”第 1.3.1 项规定；投标文件按规定的格式填写，内容齐全或关键字迹清晰、容易辨认。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jc w:val="center"/>
              <w:rPr>
                <w:rFonts w:ascii="Times New Roman" w:hAnsi="Times New Roman"/>
              </w:rPr>
            </w:pPr>
          </w:p>
        </w:tc>
        <w:tc>
          <w:tcPr>
            <w:tcW w:w="2132" w:type="dxa"/>
            <w:vAlign w:val="center"/>
          </w:tcPr>
          <w:p>
            <w:pPr>
              <w:snapToGrid w:val="0"/>
              <w:jc w:val="center"/>
              <w:rPr>
                <w:rFonts w:ascii="宋体" w:hAnsi="宋体"/>
                <w:szCs w:val="21"/>
              </w:rPr>
            </w:pPr>
            <w:r>
              <w:rPr>
                <w:rFonts w:ascii="宋体" w:hAnsi="宋体"/>
                <w:szCs w:val="21"/>
              </w:rPr>
              <w:t>监理服务期限</w:t>
            </w:r>
          </w:p>
        </w:tc>
        <w:tc>
          <w:tcPr>
            <w:tcW w:w="5252" w:type="dxa"/>
            <w:vAlign w:val="center"/>
          </w:tcPr>
          <w:p>
            <w:pPr>
              <w:snapToGrid w:val="0"/>
              <w:jc w:val="left"/>
              <w:rPr>
                <w:rFonts w:ascii="宋体" w:hAnsi="宋体"/>
                <w:szCs w:val="21"/>
              </w:rPr>
            </w:pPr>
            <w:r>
              <w:rPr>
                <w:rFonts w:ascii="宋体" w:hAnsi="宋体"/>
                <w:szCs w:val="21"/>
              </w:rPr>
              <w:t>符合第二章“投标人须知”第1.3.2项规定</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jc w:val="center"/>
              <w:rPr>
                <w:rFonts w:ascii="Times New Roman" w:hAnsi="Times New Roman"/>
              </w:rPr>
            </w:pPr>
          </w:p>
        </w:tc>
        <w:tc>
          <w:tcPr>
            <w:tcW w:w="2132" w:type="dxa"/>
            <w:vAlign w:val="center"/>
          </w:tcPr>
          <w:p>
            <w:pPr>
              <w:snapToGrid w:val="0"/>
              <w:jc w:val="center"/>
              <w:rPr>
                <w:rFonts w:ascii="宋体" w:hAnsi="宋体"/>
                <w:szCs w:val="21"/>
              </w:rPr>
            </w:pPr>
            <w:r>
              <w:rPr>
                <w:rFonts w:hint="eastAsia" w:ascii="宋体" w:hAnsi="宋体"/>
                <w:szCs w:val="21"/>
              </w:rPr>
              <w:t>质量标准</w:t>
            </w:r>
          </w:p>
        </w:tc>
        <w:tc>
          <w:tcPr>
            <w:tcW w:w="5252" w:type="dxa"/>
            <w:vAlign w:val="center"/>
          </w:tcPr>
          <w:p>
            <w:pPr>
              <w:snapToGrid w:val="0"/>
              <w:jc w:val="left"/>
              <w:rPr>
                <w:rFonts w:ascii="宋体" w:hAnsi="宋体"/>
                <w:szCs w:val="21"/>
              </w:rPr>
            </w:pPr>
            <w:r>
              <w:rPr>
                <w:rFonts w:hint="eastAsia" w:ascii="宋体" w:hAnsi="宋体"/>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jc w:val="center"/>
              <w:rPr>
                <w:rFonts w:ascii="Times New Roman" w:hAnsi="Times New Roman"/>
              </w:rPr>
            </w:pPr>
          </w:p>
        </w:tc>
        <w:tc>
          <w:tcPr>
            <w:tcW w:w="2132" w:type="dxa"/>
            <w:vAlign w:val="center"/>
          </w:tcPr>
          <w:p>
            <w:pPr>
              <w:snapToGrid w:val="0"/>
              <w:jc w:val="center"/>
              <w:rPr>
                <w:rFonts w:ascii="宋体" w:hAnsi="宋体"/>
                <w:szCs w:val="21"/>
              </w:rPr>
            </w:pPr>
            <w:r>
              <w:rPr>
                <w:rFonts w:ascii="宋体" w:hAnsi="宋体"/>
                <w:szCs w:val="21"/>
              </w:rPr>
              <w:t>投标有效期</w:t>
            </w:r>
          </w:p>
        </w:tc>
        <w:tc>
          <w:tcPr>
            <w:tcW w:w="5252" w:type="dxa"/>
            <w:vAlign w:val="center"/>
          </w:tcPr>
          <w:p>
            <w:pPr>
              <w:snapToGrid w:val="0"/>
              <w:jc w:val="left"/>
              <w:rPr>
                <w:rFonts w:ascii="宋体" w:hAnsi="宋体"/>
                <w:szCs w:val="21"/>
              </w:rPr>
            </w:pPr>
            <w:r>
              <w:rPr>
                <w:rFonts w:hint="eastAsia" w:ascii="宋体" w:hAnsi="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jc w:val="center"/>
              <w:rPr>
                <w:rFonts w:ascii="Times New Roman" w:hAnsi="Times New Roman"/>
              </w:rPr>
            </w:pPr>
          </w:p>
        </w:tc>
        <w:tc>
          <w:tcPr>
            <w:tcW w:w="2132" w:type="dxa"/>
            <w:vAlign w:val="center"/>
          </w:tcPr>
          <w:p>
            <w:pPr>
              <w:snapToGrid w:val="0"/>
              <w:jc w:val="center"/>
              <w:rPr>
                <w:rFonts w:ascii="宋体" w:hAnsi="宋体"/>
                <w:szCs w:val="21"/>
              </w:rPr>
            </w:pPr>
            <w:r>
              <w:rPr>
                <w:rFonts w:ascii="宋体" w:hAnsi="宋体"/>
                <w:szCs w:val="21"/>
              </w:rPr>
              <w:t>投标保证金</w:t>
            </w:r>
          </w:p>
        </w:tc>
        <w:tc>
          <w:tcPr>
            <w:tcW w:w="5252" w:type="dxa"/>
            <w:vAlign w:val="center"/>
          </w:tcPr>
          <w:p>
            <w:pPr>
              <w:snapToGrid w:val="0"/>
              <w:jc w:val="left"/>
              <w:rPr>
                <w:rFonts w:ascii="宋体" w:hAnsi="宋体"/>
                <w:szCs w:val="21"/>
              </w:rPr>
            </w:pPr>
            <w:r>
              <w:rPr>
                <w:rFonts w:hint="eastAsia" w:ascii="宋体" w:hAnsi="宋体"/>
                <w:szCs w:val="21"/>
              </w:rPr>
              <w:t>符合第二章</w:t>
            </w:r>
            <w:r>
              <w:rPr>
                <w:rFonts w:ascii="宋体" w:hAnsi="宋体"/>
                <w:szCs w:val="21"/>
              </w:rPr>
              <w:t>“</w:t>
            </w:r>
            <w:r>
              <w:rPr>
                <w:rFonts w:hint="eastAsia" w:ascii="宋体" w:hAnsi="宋体"/>
                <w:szCs w:val="21"/>
              </w:rPr>
              <w:t>投标人须知</w:t>
            </w:r>
            <w:r>
              <w:rPr>
                <w:rFonts w:ascii="宋体" w:hAnsi="宋体"/>
                <w:szCs w:val="21"/>
              </w:rPr>
              <w:t>”</w:t>
            </w:r>
            <w:r>
              <w:rPr>
                <w:rFonts w:hint="eastAsia" w:ascii="宋体" w:hAnsi="宋体"/>
                <w:szCs w:val="21"/>
              </w:rPr>
              <w:t>第 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80" w:type="dxa"/>
            <w:gridSpan w:val="2"/>
            <w:vMerge w:val="continue"/>
            <w:vAlign w:val="center"/>
          </w:tcPr>
          <w:p>
            <w:pPr>
              <w:jc w:val="center"/>
              <w:rPr>
                <w:rFonts w:ascii="Times New Roman" w:hAnsi="Times New Roman"/>
              </w:rPr>
            </w:pPr>
          </w:p>
        </w:tc>
        <w:tc>
          <w:tcPr>
            <w:tcW w:w="1098" w:type="dxa"/>
            <w:vMerge w:val="continue"/>
            <w:vAlign w:val="center"/>
          </w:tcPr>
          <w:p>
            <w:pPr>
              <w:jc w:val="center"/>
              <w:rPr>
                <w:rFonts w:ascii="Times New Roman" w:hAnsi="Times New Roman"/>
              </w:rPr>
            </w:pPr>
          </w:p>
        </w:tc>
        <w:tc>
          <w:tcPr>
            <w:tcW w:w="2132" w:type="dxa"/>
            <w:vAlign w:val="center"/>
          </w:tcPr>
          <w:p>
            <w:pPr>
              <w:snapToGrid w:val="0"/>
              <w:jc w:val="center"/>
              <w:rPr>
                <w:rFonts w:ascii="宋体" w:hAnsi="宋体"/>
                <w:szCs w:val="21"/>
              </w:rPr>
            </w:pPr>
            <w:r>
              <w:rPr>
                <w:rFonts w:hint="eastAsia" w:ascii="宋体" w:hAnsi="宋体"/>
                <w:szCs w:val="21"/>
              </w:rPr>
              <w:t>串通投标情形</w:t>
            </w:r>
          </w:p>
        </w:tc>
        <w:tc>
          <w:tcPr>
            <w:tcW w:w="5252" w:type="dxa"/>
            <w:vAlign w:val="center"/>
          </w:tcPr>
          <w:p>
            <w:pPr>
              <w:snapToGrid w:val="0"/>
              <w:jc w:val="left"/>
              <w:rPr>
                <w:rFonts w:ascii="宋体" w:hAnsi="宋体"/>
                <w:szCs w:val="21"/>
              </w:rPr>
            </w:pPr>
            <w:r>
              <w:rPr>
                <w:rFonts w:hint="eastAsia" w:ascii="宋体" w:hAnsi="宋体"/>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78" w:type="dxa"/>
            <w:gridSpan w:val="3"/>
            <w:vAlign w:val="center"/>
          </w:tcPr>
          <w:p>
            <w:pPr>
              <w:snapToGrid w:val="0"/>
              <w:jc w:val="center"/>
              <w:rPr>
                <w:rFonts w:ascii="宋体" w:hAnsi="宋体"/>
                <w:b/>
                <w:szCs w:val="21"/>
              </w:rPr>
            </w:pPr>
            <w:r>
              <w:rPr>
                <w:rFonts w:ascii="宋体" w:hAnsi="宋体"/>
                <w:b/>
                <w:szCs w:val="21"/>
              </w:rPr>
              <w:t>条款号</w:t>
            </w:r>
          </w:p>
        </w:tc>
        <w:tc>
          <w:tcPr>
            <w:tcW w:w="2132" w:type="dxa"/>
            <w:vAlign w:val="center"/>
          </w:tcPr>
          <w:p>
            <w:pPr>
              <w:snapToGrid w:val="0"/>
              <w:jc w:val="center"/>
              <w:rPr>
                <w:rFonts w:ascii="宋体" w:hAnsi="宋体"/>
                <w:b/>
                <w:szCs w:val="21"/>
              </w:rPr>
            </w:pPr>
            <w:r>
              <w:rPr>
                <w:rFonts w:ascii="宋体" w:hAnsi="宋体"/>
                <w:b/>
                <w:szCs w:val="21"/>
              </w:rPr>
              <w:t>条款内容</w:t>
            </w:r>
          </w:p>
        </w:tc>
        <w:tc>
          <w:tcPr>
            <w:tcW w:w="5252" w:type="dxa"/>
            <w:vAlign w:val="center"/>
          </w:tcPr>
          <w:p>
            <w:pPr>
              <w:snapToGrid w:val="0"/>
              <w:jc w:val="center"/>
              <w:rPr>
                <w:rFonts w:ascii="宋体" w:hAnsi="宋体"/>
                <w:b/>
                <w:szCs w:val="21"/>
              </w:rPr>
            </w:pPr>
            <w:r>
              <w:rPr>
                <w:rFonts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1978" w:type="dxa"/>
            <w:gridSpan w:val="3"/>
            <w:vAlign w:val="center"/>
          </w:tcPr>
          <w:p>
            <w:pPr>
              <w:jc w:val="center"/>
              <w:rPr>
                <w:rFonts w:ascii="Times New Roman" w:hAnsi="Times New Roman"/>
              </w:rPr>
            </w:pPr>
            <w:r>
              <w:rPr>
                <w:rFonts w:ascii="Times New Roman" w:hAnsi="Times New Roman"/>
              </w:rPr>
              <w:t>2.2.1</w:t>
            </w:r>
          </w:p>
        </w:tc>
        <w:tc>
          <w:tcPr>
            <w:tcW w:w="2132" w:type="dxa"/>
            <w:vAlign w:val="center"/>
          </w:tcPr>
          <w:p>
            <w:pPr>
              <w:snapToGrid w:val="0"/>
              <w:jc w:val="center"/>
              <w:rPr>
                <w:rFonts w:ascii="宋体" w:hAnsi="宋体"/>
                <w:szCs w:val="21"/>
              </w:rPr>
            </w:pPr>
            <w:r>
              <w:rPr>
                <w:rFonts w:ascii="宋体" w:hAnsi="宋体"/>
                <w:szCs w:val="21"/>
              </w:rPr>
              <w:t>分值构成</w:t>
            </w:r>
          </w:p>
          <w:p>
            <w:pPr>
              <w:snapToGrid w:val="0"/>
              <w:jc w:val="center"/>
              <w:rPr>
                <w:rFonts w:ascii="宋体" w:hAnsi="宋体"/>
                <w:szCs w:val="21"/>
              </w:rPr>
            </w:pPr>
            <w:r>
              <w:rPr>
                <w:rFonts w:ascii="宋体" w:hAnsi="宋体"/>
                <w:szCs w:val="21"/>
              </w:rPr>
              <w:t>(总分100分)</w:t>
            </w:r>
          </w:p>
        </w:tc>
        <w:tc>
          <w:tcPr>
            <w:tcW w:w="5252" w:type="dxa"/>
            <w:vAlign w:val="center"/>
          </w:tcPr>
          <w:p>
            <w:pPr>
              <w:rPr>
                <w:rFonts w:ascii="宋体" w:hAnsi="宋体" w:cs="宋体"/>
                <w:szCs w:val="21"/>
                <w:highlight w:val="none"/>
              </w:rPr>
            </w:pPr>
            <w:r>
              <w:rPr>
                <w:rFonts w:hint="eastAsia" w:ascii="宋体" w:hAnsi="宋体" w:cs="宋体"/>
                <w:szCs w:val="21"/>
                <w:highlight w:val="none"/>
              </w:rPr>
              <w:t>A.资信业绩部分</w:t>
            </w:r>
            <w:r>
              <w:rPr>
                <w:rFonts w:hint="eastAsia"/>
                <w:szCs w:val="21"/>
                <w:highlight w:val="none"/>
              </w:rPr>
              <w:t>：</w:t>
            </w:r>
            <w:r>
              <w:rPr>
                <w:rFonts w:hint="eastAsia" w:ascii="宋体" w:hAnsi="宋体" w:cs="宋体"/>
                <w:szCs w:val="21"/>
                <w:highlight w:val="none"/>
              </w:rPr>
              <w:t>45分</w:t>
            </w:r>
          </w:p>
          <w:p>
            <w:pPr>
              <w:rPr>
                <w:rFonts w:ascii="宋体" w:hAnsi="宋体" w:cs="宋体"/>
                <w:szCs w:val="21"/>
                <w:highlight w:val="none"/>
              </w:rPr>
            </w:pPr>
            <w:r>
              <w:rPr>
                <w:rFonts w:hint="eastAsia" w:ascii="宋体" w:hAnsi="宋体" w:cs="宋体"/>
                <w:szCs w:val="21"/>
                <w:highlight w:val="none"/>
              </w:rPr>
              <w:t>B.监理大纲部分</w:t>
            </w:r>
            <w:r>
              <w:rPr>
                <w:rFonts w:hint="eastAsia"/>
                <w:szCs w:val="21"/>
                <w:highlight w:val="none"/>
              </w:rPr>
              <w:t>：</w:t>
            </w:r>
            <w:r>
              <w:rPr>
                <w:rFonts w:hint="eastAsia" w:ascii="宋体" w:hAnsi="宋体" w:cs="宋体"/>
                <w:szCs w:val="21"/>
                <w:highlight w:val="none"/>
              </w:rPr>
              <w:t>45分</w:t>
            </w:r>
          </w:p>
          <w:p>
            <w:pPr>
              <w:rPr>
                <w:rFonts w:ascii="宋体" w:hAnsi="宋体" w:cs="宋体"/>
                <w:szCs w:val="21"/>
                <w:highlight w:val="none"/>
              </w:rPr>
            </w:pPr>
            <w:r>
              <w:rPr>
                <w:rFonts w:hint="eastAsia" w:ascii="宋体" w:hAnsi="宋体" w:cs="宋体"/>
                <w:szCs w:val="21"/>
                <w:highlight w:val="none"/>
              </w:rPr>
              <w:t>C.投标报价</w:t>
            </w:r>
            <w:r>
              <w:rPr>
                <w:rFonts w:hint="eastAsia"/>
                <w:szCs w:val="21"/>
                <w:highlight w:val="none"/>
              </w:rPr>
              <w:t>：</w:t>
            </w:r>
            <w:r>
              <w:rPr>
                <w:rFonts w:hint="eastAsia" w:ascii="宋体" w:hAnsi="宋体" w:cs="宋体"/>
                <w:szCs w:val="21"/>
                <w:highlight w:val="none"/>
              </w:rPr>
              <w:t>10分</w:t>
            </w:r>
          </w:p>
          <w:p>
            <w:pPr>
              <w:rPr>
                <w:rFonts w:ascii="宋体" w:hAnsi="宋体" w:cs="宋体"/>
                <w:strike/>
                <w:szCs w:val="21"/>
              </w:rPr>
            </w:pPr>
            <w:r>
              <w:rPr>
                <w:rFonts w:hint="eastAsia" w:ascii="宋体" w:hAnsi="宋体" w:cs="宋体"/>
                <w:szCs w:val="21"/>
              </w:rPr>
              <w:t>D.其他评分因素：企业诚信综合评价排名得分</w:t>
            </w: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1）投标人综合得分为各评委的评分去掉一个最高分和一个最低分后计取的算术平均分（分数出现小数点时，保留小数点后二位，第三位小数四舍五入）。</w:t>
            </w:r>
          </w:p>
          <w:p>
            <w:pPr>
              <w:rPr>
                <w:rFonts w:ascii="宋体" w:hAnsi="宋体" w:cs="宋体"/>
                <w:szCs w:val="21"/>
              </w:rPr>
            </w:pPr>
            <w:r>
              <w:rPr>
                <w:rFonts w:hint="eastAsia" w:ascii="宋体" w:hAnsi="宋体" w:cs="宋体"/>
                <w:szCs w:val="21"/>
              </w:rPr>
              <w:t>2）投标人综合得分权重80%；企业诚信综合评价排名得分权重20%；</w:t>
            </w:r>
          </w:p>
          <w:p>
            <w:pPr>
              <w:rPr>
                <w:rFonts w:ascii="宋体" w:hAnsi="宋体" w:cs="宋体"/>
                <w:szCs w:val="21"/>
              </w:rPr>
            </w:pPr>
            <w:r>
              <w:rPr>
                <w:rFonts w:hint="eastAsia" w:ascii="宋体" w:hAnsi="宋体" w:cs="宋体"/>
                <w:szCs w:val="21"/>
              </w:rPr>
              <w:t>3）投标人总得分=投标人综合得分*80%+企业诚信综合评价排名得分权重20%。（综合得分乘权重后最高得分为80分，诚信综合评价排名得分乘权重后最高得分为20分。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978" w:type="dxa"/>
            <w:gridSpan w:val="3"/>
            <w:vAlign w:val="center"/>
          </w:tcPr>
          <w:p>
            <w:pPr>
              <w:jc w:val="center"/>
              <w:rPr>
                <w:rFonts w:ascii="Times New Roman" w:hAnsi="Times New Roman"/>
              </w:rPr>
            </w:pPr>
            <w:r>
              <w:rPr>
                <w:rFonts w:ascii="Times New Roman" w:hAnsi="Times New Roman"/>
              </w:rPr>
              <w:t>2.2.2</w:t>
            </w:r>
          </w:p>
        </w:tc>
        <w:tc>
          <w:tcPr>
            <w:tcW w:w="2132" w:type="dxa"/>
            <w:vAlign w:val="center"/>
          </w:tcPr>
          <w:p>
            <w:pPr>
              <w:snapToGrid w:val="0"/>
              <w:jc w:val="center"/>
              <w:rPr>
                <w:rFonts w:ascii="宋体" w:hAnsi="宋体"/>
                <w:szCs w:val="21"/>
              </w:rPr>
            </w:pPr>
            <w:r>
              <w:rPr>
                <w:rFonts w:ascii="宋体" w:hAnsi="宋体"/>
                <w:szCs w:val="21"/>
              </w:rPr>
              <w:t>评标基准价计算方法</w:t>
            </w:r>
          </w:p>
        </w:tc>
        <w:tc>
          <w:tcPr>
            <w:tcW w:w="5252" w:type="dxa"/>
            <w:vAlign w:val="center"/>
          </w:tcPr>
          <w:p>
            <w:pPr>
              <w:autoSpaceDE w:val="0"/>
              <w:autoSpaceDN w:val="0"/>
              <w:adjustRightInd w:val="0"/>
              <w:jc w:val="left"/>
              <w:rPr>
                <w:rFonts w:ascii="宋体" w:hAnsi="Times New Roman" w:cs="宋体"/>
                <w:kern w:val="0"/>
                <w:szCs w:val="21"/>
              </w:rPr>
            </w:pPr>
            <w:r>
              <w:rPr>
                <w:rFonts w:hint="eastAsia" w:ascii="宋体" w:hAnsi="Times New Roman" w:cs="宋体"/>
                <w:kern w:val="0"/>
                <w:szCs w:val="21"/>
              </w:rPr>
              <w:t>当通过形式评审、资格评审、响应性评审的有效投标人</w:t>
            </w:r>
          </w:p>
          <w:p>
            <w:pPr>
              <w:autoSpaceDE w:val="0"/>
              <w:autoSpaceDN w:val="0"/>
              <w:adjustRightInd w:val="0"/>
              <w:jc w:val="left"/>
              <w:rPr>
                <w:rFonts w:ascii="宋体" w:hAnsi="Times New Roman" w:cs="宋体"/>
                <w:kern w:val="0"/>
                <w:szCs w:val="21"/>
              </w:rPr>
            </w:pPr>
            <w:r>
              <w:rPr>
                <w:rFonts w:hint="eastAsia" w:ascii="宋体" w:hAnsi="Times New Roman" w:cs="宋体"/>
                <w:kern w:val="0"/>
                <w:szCs w:val="21"/>
              </w:rPr>
              <w:t>大于或等于</w:t>
            </w:r>
            <w:r>
              <w:rPr>
                <w:rFonts w:ascii="宋体" w:hAnsi="Times New Roman" w:cs="宋体"/>
                <w:kern w:val="0"/>
                <w:szCs w:val="21"/>
              </w:rPr>
              <w:t xml:space="preserve">5 </w:t>
            </w:r>
            <w:r>
              <w:rPr>
                <w:rFonts w:hint="eastAsia" w:ascii="宋体" w:hAnsi="Times New Roman" w:cs="宋体"/>
                <w:kern w:val="0"/>
                <w:szCs w:val="21"/>
              </w:rPr>
              <w:t>名且投标报价为有效投标价时，去掉一个</w:t>
            </w:r>
          </w:p>
          <w:p>
            <w:pPr>
              <w:autoSpaceDE w:val="0"/>
              <w:autoSpaceDN w:val="0"/>
              <w:adjustRightInd w:val="0"/>
              <w:jc w:val="left"/>
              <w:rPr>
                <w:rFonts w:ascii="宋体" w:hAnsi="Times New Roman" w:cs="宋体"/>
                <w:kern w:val="0"/>
                <w:szCs w:val="21"/>
              </w:rPr>
            </w:pPr>
            <w:r>
              <w:rPr>
                <w:rFonts w:hint="eastAsia" w:ascii="宋体" w:hAnsi="Times New Roman" w:cs="宋体"/>
                <w:kern w:val="0"/>
                <w:szCs w:val="21"/>
              </w:rPr>
              <w:t>最高价和一个最低价，取余下有效投标价的算术平均值</w:t>
            </w:r>
          </w:p>
          <w:p>
            <w:pPr>
              <w:autoSpaceDE w:val="0"/>
              <w:autoSpaceDN w:val="0"/>
              <w:adjustRightInd w:val="0"/>
              <w:jc w:val="left"/>
              <w:rPr>
                <w:rFonts w:ascii="宋体" w:hAnsi="Times New Roman" w:cs="宋体"/>
                <w:kern w:val="0"/>
                <w:szCs w:val="21"/>
              </w:rPr>
            </w:pPr>
            <w:r>
              <w:rPr>
                <w:rFonts w:hint="eastAsia" w:ascii="宋体" w:hAnsi="Times New Roman" w:cs="宋体"/>
                <w:kern w:val="0"/>
                <w:szCs w:val="21"/>
              </w:rPr>
              <w:t>作为评标基准价。当通过形式评审、资格评审、响应性</w:t>
            </w:r>
          </w:p>
          <w:p>
            <w:pPr>
              <w:autoSpaceDE w:val="0"/>
              <w:autoSpaceDN w:val="0"/>
              <w:adjustRightInd w:val="0"/>
              <w:jc w:val="left"/>
              <w:rPr>
                <w:rFonts w:ascii="宋体" w:hAnsi="Times New Roman" w:cs="宋体"/>
                <w:kern w:val="0"/>
                <w:szCs w:val="21"/>
              </w:rPr>
            </w:pPr>
            <w:r>
              <w:rPr>
                <w:rFonts w:hint="eastAsia" w:ascii="宋体" w:hAnsi="Times New Roman" w:cs="宋体"/>
                <w:kern w:val="0"/>
                <w:szCs w:val="21"/>
              </w:rPr>
              <w:t>评审的有效投标人小于</w:t>
            </w:r>
            <w:r>
              <w:rPr>
                <w:rFonts w:ascii="宋体" w:hAnsi="Times New Roman" w:cs="宋体"/>
                <w:kern w:val="0"/>
                <w:szCs w:val="21"/>
              </w:rPr>
              <w:t xml:space="preserve">5 </w:t>
            </w:r>
            <w:r>
              <w:rPr>
                <w:rFonts w:hint="eastAsia" w:ascii="宋体" w:hAnsi="Times New Roman" w:cs="宋体"/>
                <w:kern w:val="0"/>
                <w:szCs w:val="21"/>
              </w:rPr>
              <w:t>名时，取所有入围的有效投标价的算术平均值作为评标基准价。</w:t>
            </w:r>
            <w:r>
              <w:rPr>
                <w:rFonts w:ascii="宋体" w:hAnsi="Times New Roman" w:cs="宋体"/>
                <w:kern w:val="0"/>
                <w:szCs w:val="21"/>
              </w:rPr>
              <w:t>(</w:t>
            </w:r>
            <w:r>
              <w:rPr>
                <w:rFonts w:hint="eastAsia" w:ascii="宋体" w:hAnsi="Times New Roman" w:cs="宋体"/>
                <w:kern w:val="0"/>
                <w:szCs w:val="21"/>
              </w:rPr>
              <w:t>有效报价范围为</w:t>
            </w:r>
            <w:r>
              <w:rPr>
                <w:rFonts w:ascii="宋体" w:hAnsi="Times New Roman" w:cs="宋体"/>
                <w:kern w:val="0"/>
                <w:szCs w:val="21"/>
              </w:rPr>
              <w:t>[</w:t>
            </w:r>
            <w:r>
              <w:rPr>
                <w:rFonts w:hint="eastAsia" w:ascii="宋体" w:hAnsi="Times New Roman" w:cs="宋体"/>
                <w:kern w:val="0"/>
                <w:szCs w:val="21"/>
              </w:rPr>
              <w:t>最高投标限价×</w:t>
            </w:r>
            <w:r>
              <w:rPr>
                <w:rFonts w:ascii="宋体" w:hAnsi="Times New Roman" w:cs="宋体"/>
                <w:kern w:val="0"/>
                <w:szCs w:val="21"/>
              </w:rPr>
              <w:t>80%</w:t>
            </w:r>
            <w:r>
              <w:rPr>
                <w:rFonts w:hint="eastAsia" w:ascii="宋体" w:hAnsi="Times New Roman" w:cs="宋体"/>
                <w:kern w:val="0"/>
                <w:szCs w:val="21"/>
              </w:rPr>
              <w:t>，最高投标限价</w:t>
            </w:r>
            <w:r>
              <w:rPr>
                <w:rFonts w:ascii="宋体" w:hAnsi="Times New Roman" w:cs="宋体"/>
                <w:kern w:val="0"/>
                <w:szCs w:val="21"/>
              </w:rPr>
              <w:t>]</w:t>
            </w:r>
            <w:r>
              <w:rPr>
                <w:rFonts w:hint="eastAsia" w:ascii="宋体" w:hAnsi="Times New Roman" w:cs="宋体"/>
                <w:kern w:val="0"/>
                <w:szCs w:val="21"/>
              </w:rPr>
              <w:t>，超过此范围的报价不参与评标基准价的计算</w:t>
            </w:r>
            <w:r>
              <w:rPr>
                <w:rFonts w:ascii="宋体" w:hAnsi="Times New Roman" w:cs="宋体"/>
                <w:kern w:val="0"/>
                <w:szCs w:val="21"/>
              </w:rPr>
              <w:t>)</w:t>
            </w:r>
            <w:r>
              <w:rPr>
                <w:rFonts w:hint="eastAsia" w:ascii="宋体" w:hAnsi="Times New Roman"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978" w:type="dxa"/>
            <w:gridSpan w:val="3"/>
            <w:vAlign w:val="center"/>
          </w:tcPr>
          <w:p>
            <w:pPr>
              <w:jc w:val="center"/>
              <w:rPr>
                <w:rFonts w:ascii="Times New Roman" w:hAnsi="Times New Roman"/>
              </w:rPr>
            </w:pPr>
            <w:r>
              <w:rPr>
                <w:rFonts w:ascii="Times New Roman" w:hAnsi="Times New Roman"/>
              </w:rPr>
              <w:t>2.2.3</w:t>
            </w:r>
          </w:p>
        </w:tc>
        <w:tc>
          <w:tcPr>
            <w:tcW w:w="2132" w:type="dxa"/>
            <w:vAlign w:val="center"/>
          </w:tcPr>
          <w:p>
            <w:pPr>
              <w:snapToGrid w:val="0"/>
              <w:jc w:val="center"/>
              <w:rPr>
                <w:rFonts w:ascii="Times New Roman" w:hAnsi="Times New Roman"/>
              </w:rPr>
            </w:pPr>
            <w:r>
              <w:rPr>
                <w:rFonts w:ascii="宋体" w:hAnsi="宋体"/>
                <w:szCs w:val="21"/>
              </w:rPr>
              <w:t>投标报价的偏差率计算公式</w:t>
            </w:r>
          </w:p>
        </w:tc>
        <w:tc>
          <w:tcPr>
            <w:tcW w:w="5252" w:type="dxa"/>
            <w:vAlign w:val="center"/>
          </w:tcPr>
          <w:p>
            <w:pPr>
              <w:snapToGrid w:val="0"/>
              <w:jc w:val="left"/>
              <w:rPr>
                <w:rFonts w:ascii="宋体" w:hAnsi="宋体"/>
                <w:spacing w:val="-3"/>
              </w:rPr>
            </w:pPr>
            <w:r>
              <w:rPr>
                <w:rFonts w:ascii="宋体" w:hAnsi="宋体"/>
                <w:spacing w:val="-3"/>
              </w:rPr>
              <w:t>偏差率=100% ×|（投标人报价-评标基准价）|/评标基准价（偏差率出现小数点时，保留小数点后2位，第三位小数四舍五入。</w:t>
            </w:r>
            <w:r>
              <w:rPr>
                <w:rFonts w:hint="eastAsia" w:ascii="宋体" w:hAnsi="Courier New"/>
                <w:szCs w:val="21"/>
              </w:rPr>
              <w:t>报价偏差率不足1%的，按直线内插法计算投标报价得分</w:t>
            </w:r>
            <w:r>
              <w:rPr>
                <w:rFonts w:ascii="宋体" w:hAnsi="宋体"/>
                <w:spacing w:val="-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1978" w:type="dxa"/>
            <w:gridSpan w:val="3"/>
            <w:vAlign w:val="center"/>
          </w:tcPr>
          <w:p>
            <w:pPr>
              <w:pStyle w:val="30"/>
              <w:kinsoku w:val="0"/>
              <w:overflowPunct w:val="0"/>
              <w:spacing w:before="71"/>
              <w:ind w:right="309"/>
              <w:jc w:val="center"/>
              <w:rPr>
                <w:rFonts w:hint="default"/>
              </w:rPr>
            </w:pPr>
            <w:r>
              <w:rPr>
                <w:rFonts w:ascii="宋体" w:hAnsi="宋体"/>
              </w:rPr>
              <w:t>条款号</w:t>
            </w:r>
          </w:p>
        </w:tc>
        <w:tc>
          <w:tcPr>
            <w:tcW w:w="2132" w:type="dxa"/>
            <w:vAlign w:val="center"/>
          </w:tcPr>
          <w:p>
            <w:pPr>
              <w:pStyle w:val="30"/>
              <w:kinsoku w:val="0"/>
              <w:overflowPunct w:val="0"/>
              <w:spacing w:before="71"/>
              <w:jc w:val="center"/>
              <w:rPr>
                <w:rFonts w:hint="default"/>
              </w:rPr>
            </w:pPr>
            <w:r>
              <w:rPr>
                <w:rFonts w:ascii="宋体" w:hAnsi="宋体"/>
              </w:rPr>
              <w:t>评分因素（偏差率）</w:t>
            </w:r>
          </w:p>
        </w:tc>
        <w:tc>
          <w:tcPr>
            <w:tcW w:w="5252" w:type="dxa"/>
            <w:vAlign w:val="center"/>
          </w:tcPr>
          <w:p>
            <w:pPr>
              <w:pStyle w:val="30"/>
              <w:kinsoku w:val="0"/>
              <w:overflowPunct w:val="0"/>
              <w:spacing w:before="71"/>
              <w:ind w:left="1895" w:right="1655"/>
              <w:jc w:val="left"/>
              <w:rPr>
                <w:rFonts w:hint="default"/>
              </w:rPr>
            </w:pPr>
            <w:r>
              <w:rPr>
                <w:rFonts w:ascii="宋体" w:hAnsi="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1" w:type="dxa"/>
            <w:vAlign w:val="center"/>
          </w:tcPr>
          <w:p>
            <w:pPr>
              <w:pStyle w:val="30"/>
              <w:kinsoku w:val="0"/>
              <w:overflowPunct w:val="0"/>
              <w:ind w:left="-63" w:leftChars="-30" w:right="-111" w:rightChars="-53" w:firstLine="63" w:firstLineChars="30"/>
              <w:jc w:val="center"/>
              <w:rPr>
                <w:rFonts w:hint="default" w:eastAsia="Times New Roman"/>
              </w:rPr>
            </w:pPr>
            <w:r>
              <w:rPr>
                <w:rFonts w:eastAsia="Times New Roman"/>
              </w:rPr>
              <w:t>2.2.4</w:t>
            </w:r>
          </w:p>
          <w:p>
            <w:pPr>
              <w:pStyle w:val="30"/>
              <w:kinsoku w:val="0"/>
              <w:overflowPunct w:val="0"/>
              <w:spacing w:before="6" w:line="110" w:lineRule="exact"/>
              <w:ind w:left="-63" w:leftChars="-30" w:right="-111" w:rightChars="-53" w:firstLine="33" w:firstLineChars="30"/>
              <w:jc w:val="center"/>
              <w:rPr>
                <w:rFonts w:hint="default"/>
                <w:sz w:val="11"/>
              </w:rPr>
            </w:pPr>
          </w:p>
          <w:p>
            <w:pPr>
              <w:pStyle w:val="30"/>
              <w:kinsoku w:val="0"/>
              <w:overflowPunct w:val="0"/>
              <w:ind w:left="-63" w:leftChars="-30" w:right="-111" w:rightChars="-53" w:firstLine="62" w:firstLineChars="30"/>
              <w:jc w:val="center"/>
              <w:rPr>
                <w:rFonts w:hint="default"/>
              </w:rPr>
            </w:pPr>
            <w:r>
              <w:rPr>
                <w:rFonts w:ascii="宋体" w:hAnsi="宋体"/>
                <w:spacing w:val="-1"/>
              </w:rPr>
              <w:t>（</w:t>
            </w:r>
            <w:r>
              <w:rPr>
                <w:rFonts w:eastAsia="Times New Roman"/>
              </w:rPr>
              <w:t>1</w:t>
            </w:r>
            <w:r>
              <w:rPr>
                <w:rFonts w:ascii="宋体" w:hAnsi="宋体"/>
              </w:rPr>
              <w:t>）</w:t>
            </w:r>
          </w:p>
        </w:tc>
        <w:tc>
          <w:tcPr>
            <w:tcW w:w="1287" w:type="dxa"/>
            <w:gridSpan w:val="2"/>
            <w:vAlign w:val="center"/>
          </w:tcPr>
          <w:p>
            <w:pPr>
              <w:ind w:left="315" w:hanging="315" w:hangingChars="150"/>
              <w:jc w:val="center"/>
              <w:rPr>
                <w:rFonts w:ascii="宋体" w:hAnsi="宋体"/>
              </w:rPr>
            </w:pPr>
            <w:r>
              <w:rPr>
                <w:rFonts w:hint="eastAsia" w:ascii="宋体" w:hAnsi="宋体"/>
              </w:rPr>
              <w:t>资信</w:t>
            </w:r>
            <w:r>
              <w:rPr>
                <w:rFonts w:hint="eastAsia" w:ascii="宋体" w:hAnsi="宋体"/>
                <w:spacing w:val="-3"/>
              </w:rPr>
              <w:t>业</w:t>
            </w:r>
            <w:r>
              <w:rPr>
                <w:rFonts w:hint="eastAsia" w:ascii="宋体" w:hAnsi="宋体"/>
              </w:rPr>
              <w:t>绩</w:t>
            </w:r>
          </w:p>
          <w:p>
            <w:pPr>
              <w:ind w:left="315" w:hanging="315" w:hangingChars="150"/>
              <w:jc w:val="center"/>
              <w:rPr>
                <w:rFonts w:ascii="宋体" w:hAnsi="宋体"/>
              </w:rPr>
            </w:pPr>
            <w:r>
              <w:rPr>
                <w:rFonts w:hint="eastAsia" w:ascii="宋体" w:hAnsi="宋体"/>
              </w:rPr>
              <w:t>评分</w:t>
            </w:r>
            <w:r>
              <w:rPr>
                <w:rFonts w:hint="eastAsia" w:ascii="宋体" w:hAnsi="宋体"/>
                <w:spacing w:val="-3"/>
              </w:rPr>
              <w:t>标</w:t>
            </w:r>
            <w:r>
              <w:rPr>
                <w:rFonts w:hint="eastAsia" w:ascii="宋体" w:hAnsi="宋体"/>
              </w:rPr>
              <w:t>准</w:t>
            </w:r>
          </w:p>
          <w:p>
            <w:pPr>
              <w:pStyle w:val="30"/>
              <w:kinsoku w:val="0"/>
              <w:overflowPunct w:val="0"/>
              <w:spacing w:line="342" w:lineRule="auto"/>
              <w:ind w:left="-115" w:leftChars="-55" w:right="-122" w:rightChars="-58"/>
              <w:jc w:val="center"/>
              <w:rPr>
                <w:rFonts w:hint="default"/>
              </w:rPr>
            </w:pPr>
            <w:r>
              <w:rPr>
                <w:rFonts w:ascii="宋体" w:hAnsi="宋体"/>
              </w:rPr>
              <w:t>（45分）</w:t>
            </w:r>
          </w:p>
        </w:tc>
        <w:tc>
          <w:tcPr>
            <w:tcW w:w="2132" w:type="dxa"/>
            <w:vAlign w:val="center"/>
          </w:tcPr>
          <w:p>
            <w:pPr>
              <w:snapToGrid w:val="0"/>
              <w:jc w:val="center"/>
              <w:rPr>
                <w:rFonts w:ascii="宋体" w:hAnsi="宋体"/>
                <w:spacing w:val="-3"/>
                <w:highlight w:val="none"/>
                <w:lang w:val="zh-CN"/>
              </w:rPr>
            </w:pPr>
            <w:r>
              <w:rPr>
                <w:rFonts w:ascii="宋体" w:hAnsi="宋体"/>
                <w:spacing w:val="-3"/>
                <w:highlight w:val="none"/>
                <w:lang w:val="zh-CN"/>
              </w:rPr>
              <w:t>类似</w:t>
            </w:r>
            <w:r>
              <w:rPr>
                <w:rFonts w:hint="eastAsia" w:ascii="宋体" w:hAnsi="宋体"/>
                <w:spacing w:val="-3"/>
                <w:highlight w:val="none"/>
                <w:lang w:val="zh-CN"/>
              </w:rPr>
              <w:t>项目</w:t>
            </w:r>
            <w:r>
              <w:rPr>
                <w:rFonts w:ascii="宋体" w:hAnsi="宋体"/>
                <w:spacing w:val="-3"/>
                <w:highlight w:val="none"/>
                <w:lang w:val="zh-CN"/>
              </w:rPr>
              <w:t>业绩</w:t>
            </w:r>
          </w:p>
          <w:p>
            <w:pPr>
              <w:snapToGrid w:val="0"/>
              <w:jc w:val="center"/>
              <w:rPr>
                <w:rFonts w:ascii="宋体" w:hAnsi="宋体"/>
                <w:spacing w:val="-3"/>
                <w:lang w:val="zh-CN"/>
              </w:rPr>
            </w:pPr>
            <w:r>
              <w:rPr>
                <w:rFonts w:ascii="宋体" w:hAnsi="宋体"/>
                <w:spacing w:val="-3"/>
                <w:highlight w:val="none"/>
                <w:lang w:val="zh-CN"/>
              </w:rPr>
              <w:t>（</w:t>
            </w:r>
            <w:r>
              <w:rPr>
                <w:rFonts w:hint="eastAsia" w:ascii="宋体" w:hAnsi="宋体"/>
                <w:spacing w:val="-3"/>
                <w:highlight w:val="none"/>
                <w:lang w:val="zh-CN"/>
              </w:rPr>
              <w:t>12</w:t>
            </w:r>
            <w:r>
              <w:rPr>
                <w:rFonts w:ascii="宋体" w:hAnsi="宋体"/>
                <w:spacing w:val="-3"/>
                <w:highlight w:val="none"/>
                <w:lang w:val="zh-CN"/>
              </w:rPr>
              <w:t>分）</w:t>
            </w:r>
          </w:p>
        </w:tc>
        <w:tc>
          <w:tcPr>
            <w:tcW w:w="5252" w:type="dxa"/>
            <w:vAlign w:val="center"/>
          </w:tcPr>
          <w:p>
            <w:pPr>
              <w:snapToGrid w:val="0"/>
              <w:jc w:val="left"/>
              <w:rPr>
                <w:rFonts w:ascii="宋体" w:hAnsi="宋体"/>
                <w:spacing w:val="-3"/>
                <w:lang w:val="zh-CN"/>
              </w:rPr>
            </w:pPr>
            <w:r>
              <w:rPr>
                <w:rFonts w:hint="eastAsia" w:ascii="宋体" w:hAnsi="宋体"/>
                <w:spacing w:val="-3"/>
                <w:lang w:val="zh-CN"/>
              </w:rPr>
              <w:t>自2019年1月1日至今</w:t>
            </w:r>
            <w:r>
              <w:rPr>
                <w:rFonts w:hint="eastAsia" w:ascii="宋体" w:hAnsi="宋体"/>
                <w:spacing w:val="-3"/>
                <w:lang w:val="en-US" w:eastAsia="zh-CN"/>
              </w:rPr>
              <w:t>独立</w:t>
            </w:r>
            <w:r>
              <w:rPr>
                <w:rFonts w:hint="eastAsia" w:ascii="宋体" w:hAnsi="宋体"/>
                <w:spacing w:val="-3"/>
                <w:lang w:val="zh-CN"/>
              </w:rPr>
              <w:t>完成过质量合格的类似</w:t>
            </w:r>
            <w:r>
              <w:rPr>
                <w:rFonts w:hint="eastAsia" w:ascii="宋体" w:hAnsi="宋体"/>
                <w:szCs w:val="21"/>
              </w:rPr>
              <w:t>市政公用工程监理项目</w:t>
            </w:r>
            <w:r>
              <w:rPr>
                <w:rFonts w:hint="eastAsia" w:ascii="宋体" w:hAnsi="宋体"/>
                <w:spacing w:val="-3"/>
                <w:lang w:val="zh-CN"/>
              </w:rPr>
              <w:t>业绩，每项得 1.5 分， 最多得 12 分。</w:t>
            </w:r>
          </w:p>
          <w:p>
            <w:pPr>
              <w:topLinePunct/>
              <w:spacing w:line="300" w:lineRule="auto"/>
            </w:pPr>
            <w:r>
              <w:rPr>
                <w:rFonts w:hint="eastAsia"/>
                <w:lang w:val="zh-CN"/>
              </w:rPr>
              <w:t>注：需提供中标通知书</w:t>
            </w:r>
            <w:r>
              <w:rPr>
                <w:rFonts w:hAnsi="宋体"/>
                <w:spacing w:val="-3"/>
                <w:lang w:val="zh-CN"/>
              </w:rPr>
              <w:t>或免招标的相关证明</w:t>
            </w:r>
            <w:r>
              <w:rPr>
                <w:rFonts w:hint="eastAsia"/>
                <w:lang w:val="zh-CN"/>
              </w:rPr>
              <w:t>、监理合同、</w:t>
            </w:r>
            <w:r>
              <w:rPr>
                <w:rFonts w:hint="eastAsia"/>
              </w:rPr>
              <w:t>竣工验收报告（或竣工验收证明），业绩时间以竣工验收报告（或竣工验收证明）出具时间为准。</w:t>
            </w:r>
            <w:r>
              <w:rPr>
                <w:rFonts w:hint="eastAsia"/>
                <w:lang w:val="zh-CN"/>
              </w:rPr>
              <w:t>同一项目不重复计分。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exact"/>
        </w:trPr>
        <w:tc>
          <w:tcPr>
            <w:tcW w:w="880" w:type="dxa"/>
            <w:gridSpan w:val="2"/>
            <w:vMerge w:val="restart"/>
            <w:vAlign w:val="center"/>
          </w:tcPr>
          <w:p>
            <w:pPr>
              <w:pStyle w:val="30"/>
              <w:kinsoku w:val="0"/>
              <w:overflowPunct w:val="0"/>
              <w:ind w:left="-63" w:leftChars="-30" w:right="-111" w:rightChars="-53" w:firstLine="63" w:firstLineChars="30"/>
              <w:jc w:val="center"/>
              <w:rPr>
                <w:rFonts w:hint="default"/>
              </w:rPr>
            </w:pPr>
          </w:p>
        </w:tc>
        <w:tc>
          <w:tcPr>
            <w:tcW w:w="1098" w:type="dxa"/>
            <w:vMerge w:val="restart"/>
            <w:vAlign w:val="center"/>
          </w:tcPr>
          <w:p>
            <w:pPr>
              <w:pStyle w:val="30"/>
              <w:kinsoku w:val="0"/>
              <w:overflowPunct w:val="0"/>
              <w:ind w:left="-115" w:leftChars="-55" w:right="-122" w:rightChars="-58"/>
              <w:jc w:val="center"/>
              <w:rPr>
                <w:rFonts w:hint="default"/>
              </w:rPr>
            </w:pPr>
          </w:p>
        </w:tc>
        <w:tc>
          <w:tcPr>
            <w:tcW w:w="2132" w:type="dxa"/>
            <w:vAlign w:val="center"/>
          </w:tcPr>
          <w:p>
            <w:pPr>
              <w:snapToGrid w:val="0"/>
              <w:jc w:val="center"/>
              <w:rPr>
                <w:rFonts w:hint="eastAsia" w:ascii="宋体" w:hAnsi="宋体" w:eastAsia="宋体" w:cs="宋体"/>
                <w:spacing w:val="-3"/>
                <w:lang w:val="zh-CN"/>
              </w:rPr>
            </w:pPr>
            <w:r>
              <w:rPr>
                <w:rFonts w:hint="eastAsia" w:ascii="宋体" w:hAnsi="宋体" w:eastAsia="宋体" w:cs="宋体"/>
                <w:spacing w:val="-3"/>
                <w:lang w:val="zh-CN"/>
              </w:rPr>
              <w:t>获奖监理业绩（5分）</w:t>
            </w:r>
          </w:p>
        </w:tc>
        <w:tc>
          <w:tcPr>
            <w:tcW w:w="5252" w:type="dxa"/>
            <w:vAlign w:val="center"/>
          </w:tcPr>
          <w:p>
            <w:pPr>
              <w:snapToGrid w:val="0"/>
              <w:jc w:val="left"/>
              <w:rPr>
                <w:rFonts w:hint="eastAsia" w:ascii="宋体" w:hAnsi="宋体" w:eastAsia="宋体" w:cs="宋体"/>
                <w:spacing w:val="-3"/>
                <w:lang w:val="zh-CN"/>
              </w:rPr>
            </w:pPr>
            <w:r>
              <w:rPr>
                <w:rFonts w:hint="eastAsia" w:ascii="宋体" w:hAnsi="宋体" w:eastAsia="宋体" w:cs="宋体"/>
                <w:spacing w:val="-3"/>
                <w:lang w:val="zh-CN"/>
              </w:rPr>
              <w:t>自2019年1月1日至今完成过质量合格的类似监理项目业绩</w:t>
            </w:r>
          </w:p>
          <w:p>
            <w:pPr>
              <w:snapToGrid w:val="0"/>
              <w:jc w:val="left"/>
              <w:rPr>
                <w:rFonts w:hint="eastAsia" w:ascii="宋体" w:hAnsi="宋体" w:eastAsia="宋体" w:cs="宋体"/>
                <w:spacing w:val="-3"/>
                <w:lang w:val="zh-CN"/>
              </w:rPr>
            </w:pPr>
            <w:r>
              <w:rPr>
                <w:rFonts w:hint="eastAsia" w:ascii="宋体" w:hAnsi="宋体" w:eastAsia="宋体" w:cs="宋体"/>
                <w:spacing w:val="-3"/>
                <w:lang w:val="zh-CN"/>
              </w:rPr>
              <w:t>获得国家级质量奖励每项得1.5分，</w:t>
            </w:r>
          </w:p>
          <w:p>
            <w:pPr>
              <w:snapToGrid w:val="0"/>
              <w:jc w:val="left"/>
              <w:rPr>
                <w:rFonts w:hint="eastAsia" w:ascii="宋体" w:hAnsi="宋体" w:eastAsia="宋体" w:cs="宋体"/>
                <w:spacing w:val="-3"/>
                <w:lang w:val="zh-CN"/>
              </w:rPr>
            </w:pPr>
            <w:r>
              <w:rPr>
                <w:rFonts w:hint="eastAsia" w:ascii="宋体" w:hAnsi="宋体" w:eastAsia="宋体" w:cs="宋体"/>
                <w:spacing w:val="-3"/>
                <w:lang w:val="zh-CN"/>
              </w:rPr>
              <w:t>获得省级质量奖励每项得1分，</w:t>
            </w:r>
          </w:p>
          <w:p>
            <w:pPr>
              <w:snapToGrid w:val="0"/>
              <w:jc w:val="left"/>
              <w:rPr>
                <w:rFonts w:hint="eastAsia" w:ascii="宋体" w:hAnsi="宋体" w:eastAsia="宋体" w:cs="宋体"/>
                <w:spacing w:val="-3"/>
                <w:lang w:val="zh-CN"/>
              </w:rPr>
            </w:pPr>
            <w:r>
              <w:rPr>
                <w:rFonts w:hint="eastAsia" w:ascii="宋体" w:hAnsi="宋体" w:eastAsia="宋体" w:cs="宋体"/>
                <w:spacing w:val="-3"/>
                <w:lang w:val="zh-CN"/>
              </w:rPr>
              <w:t>获得市级质量奖励每项得0.5分。最高不超过5 分。</w:t>
            </w:r>
          </w:p>
          <w:p>
            <w:pPr>
              <w:snapToGrid w:val="0"/>
              <w:jc w:val="left"/>
              <w:rPr>
                <w:rFonts w:hint="eastAsia" w:ascii="宋体" w:hAnsi="宋体" w:eastAsia="宋体" w:cs="宋体"/>
                <w:spacing w:val="-3"/>
              </w:rPr>
            </w:pPr>
            <w:r>
              <w:rPr>
                <w:rFonts w:hint="eastAsia" w:ascii="宋体" w:hAnsi="宋体" w:eastAsia="宋体" w:cs="宋体"/>
                <w:spacing w:val="-3"/>
                <w:lang w:val="zh-CN"/>
              </w:rPr>
              <w:t>注：</w:t>
            </w:r>
            <w:r>
              <w:rPr>
                <w:rFonts w:hint="eastAsia" w:ascii="宋体" w:hAnsi="宋体" w:eastAsia="宋体" w:cs="宋体"/>
                <w:lang w:val="zh-CN"/>
              </w:rPr>
              <w:t>投标人需提供获奖证书，时间以获奖证书发证日期为准。同一工程项目按最高奖项计取，不重复计分。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exact"/>
        </w:trPr>
        <w:tc>
          <w:tcPr>
            <w:tcW w:w="880" w:type="dxa"/>
            <w:gridSpan w:val="2"/>
            <w:vMerge w:val="continue"/>
            <w:vAlign w:val="center"/>
          </w:tcPr>
          <w:p>
            <w:pPr>
              <w:pStyle w:val="30"/>
              <w:kinsoku w:val="0"/>
              <w:overflowPunct w:val="0"/>
              <w:ind w:left="-63" w:leftChars="-30" w:right="-111" w:rightChars="-53" w:firstLine="63" w:firstLineChars="30"/>
              <w:jc w:val="center"/>
              <w:rPr>
                <w:rFonts w:hint="default"/>
              </w:rPr>
            </w:pPr>
          </w:p>
        </w:tc>
        <w:tc>
          <w:tcPr>
            <w:tcW w:w="1098" w:type="dxa"/>
            <w:vMerge w:val="continue"/>
            <w:vAlign w:val="center"/>
          </w:tcPr>
          <w:p>
            <w:pPr>
              <w:pStyle w:val="30"/>
              <w:kinsoku w:val="0"/>
              <w:overflowPunct w:val="0"/>
              <w:ind w:left="-115" w:leftChars="-55" w:right="-122" w:rightChars="-58"/>
              <w:jc w:val="center"/>
              <w:rPr>
                <w:rFonts w:hint="default"/>
              </w:rPr>
            </w:pPr>
          </w:p>
        </w:tc>
        <w:tc>
          <w:tcPr>
            <w:tcW w:w="2132" w:type="dxa"/>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监理机构人员和专业的配备</w:t>
            </w:r>
            <w:r>
              <w:rPr>
                <w:rFonts w:hint="eastAsia" w:ascii="宋体" w:hAnsi="宋体" w:eastAsia="宋体" w:cs="宋体"/>
                <w:spacing w:val="-3"/>
                <w:lang w:val="zh-CN"/>
              </w:rPr>
              <w:t>（</w:t>
            </w:r>
            <w:r>
              <w:rPr>
                <w:rFonts w:hint="eastAsia" w:ascii="宋体" w:hAnsi="宋体" w:cs="宋体"/>
                <w:spacing w:val="-3"/>
                <w:lang w:val="en-US" w:eastAsia="zh-CN"/>
              </w:rPr>
              <w:t>14</w:t>
            </w:r>
            <w:r>
              <w:rPr>
                <w:rFonts w:hint="eastAsia" w:ascii="宋体" w:hAnsi="宋体" w:eastAsia="宋体" w:cs="宋体"/>
                <w:spacing w:val="-3"/>
                <w:lang w:val="zh-CN"/>
              </w:rPr>
              <w:t>分）</w:t>
            </w:r>
          </w:p>
        </w:tc>
        <w:tc>
          <w:tcPr>
            <w:tcW w:w="5252" w:type="dxa"/>
            <w:vAlign w:val="center"/>
          </w:tcPr>
          <w:p>
            <w:pPr>
              <w:widowControl/>
              <w:jc w:val="left"/>
              <w:textAlignment w:val="center"/>
              <w:rPr>
                <w:rFonts w:hint="eastAsia" w:ascii="宋体" w:hAnsi="宋体" w:eastAsia="宋体" w:cs="宋体"/>
              </w:rPr>
            </w:pPr>
            <w:r>
              <w:rPr>
                <w:rFonts w:hint="eastAsia" w:ascii="宋体" w:hAnsi="宋体" w:eastAsia="宋体" w:cs="宋体"/>
              </w:rPr>
              <w:t>在配备的人员中满足招标文件第五章委托人要求中的《本项目拟投入的监理机构人员配备要求》人数和专业要求的得4分，</w:t>
            </w:r>
            <w:r>
              <w:rPr>
                <w:rFonts w:hint="eastAsia" w:ascii="宋体" w:hAnsi="宋体" w:cs="宋体"/>
                <w:lang w:val="en-US" w:eastAsia="zh-CN"/>
              </w:rPr>
              <w:t>在满足《</w:t>
            </w:r>
            <w:r>
              <w:rPr>
                <w:rFonts w:hint="eastAsia" w:ascii="宋体" w:hAnsi="宋体" w:eastAsia="宋体" w:cs="宋体"/>
              </w:rPr>
              <w:t>本项目拟投入的监理机构人员配备要求</w:t>
            </w:r>
            <w:r>
              <w:rPr>
                <w:rFonts w:hint="eastAsia" w:ascii="宋体" w:hAnsi="宋体" w:cs="宋体"/>
                <w:lang w:val="en-US" w:eastAsia="zh-CN"/>
              </w:rPr>
              <w:t>》的基础上：</w:t>
            </w:r>
            <w:r>
              <w:rPr>
                <w:rFonts w:hint="eastAsia" w:ascii="宋体" w:hAnsi="宋体" w:eastAsia="宋体" w:cs="宋体"/>
              </w:rPr>
              <w:t xml:space="preserve">                                              </w:t>
            </w:r>
            <w:r>
              <w:rPr>
                <w:rFonts w:hint="eastAsia" w:ascii="宋体" w:hAnsi="宋体" w:cs="宋体"/>
                <w:lang w:val="en-US" w:eastAsia="zh-CN"/>
              </w:rPr>
              <w:t>1</w:t>
            </w:r>
            <w:r>
              <w:rPr>
                <w:rFonts w:hint="eastAsia" w:ascii="宋体" w:hAnsi="宋体" w:eastAsia="宋体" w:cs="宋体"/>
              </w:rPr>
              <w:t>、总监理工程师具有高级工程师或以上职称得2分；具有工程师职称得1分，最多得 2分。</w:t>
            </w:r>
          </w:p>
          <w:p>
            <w:pPr>
              <w:widowControl/>
              <w:jc w:val="left"/>
              <w:textAlignment w:val="center"/>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、配备的监理人员中（不含总监理工程师）具有中级职称或以上的监理人员所占比例达70%（含）以上的， 得2分； 具有中级职称或以上的监理人员所占比例达 50%（含）的，得1分；最多得 2分。</w:t>
            </w:r>
          </w:p>
          <w:p>
            <w:pPr>
              <w:widowControl/>
              <w:jc w:val="left"/>
              <w:textAlignment w:val="center"/>
              <w:rPr>
                <w:rFonts w:hint="eastAsia" w:ascii="宋体" w:hAnsi="宋体" w:eastAsia="宋体" w:cs="宋体"/>
                <w:highlight w:val="none"/>
              </w:rPr>
            </w:pPr>
            <w:r>
              <w:rPr>
                <w:rFonts w:hint="eastAsia" w:ascii="宋体" w:hAnsi="宋体" w:cs="宋体"/>
                <w:highlight w:val="none"/>
                <w:lang w:val="en-US" w:eastAsia="zh-CN"/>
              </w:rPr>
              <w:t>3</w:t>
            </w:r>
            <w:r>
              <w:rPr>
                <w:rFonts w:hint="eastAsia" w:ascii="宋体" w:hAnsi="宋体" w:eastAsia="宋体" w:cs="宋体"/>
                <w:highlight w:val="none"/>
              </w:rPr>
              <w:t>、配备的监理人员中（不含总监理工程师）曾获得过国家级“优秀总监理工程师”称号的，得3分。</w:t>
            </w:r>
          </w:p>
          <w:p>
            <w:pPr>
              <w:widowControl/>
              <w:jc w:val="left"/>
              <w:textAlignment w:val="center"/>
              <w:rPr>
                <w:rFonts w:hint="default" w:ascii="宋体" w:hAnsi="宋体" w:cs="宋体"/>
                <w:lang w:val="en-US" w:eastAsia="zh-CN"/>
              </w:rPr>
            </w:pPr>
            <w:r>
              <w:rPr>
                <w:rFonts w:hint="eastAsia" w:ascii="宋体" w:hAnsi="宋体" w:cs="宋体"/>
                <w:lang w:val="en-US" w:eastAsia="zh-CN"/>
              </w:rPr>
              <w:t>4、配备的监理人员中</w:t>
            </w:r>
            <w:r>
              <w:rPr>
                <w:rFonts w:hint="eastAsia" w:ascii="宋体" w:hAnsi="宋体" w:eastAsia="宋体" w:cs="宋体"/>
                <w:highlight w:val="none"/>
              </w:rPr>
              <w:t>（不含总监理工程师）</w:t>
            </w:r>
            <w:r>
              <w:rPr>
                <w:rFonts w:hint="eastAsia" w:ascii="宋体" w:hAnsi="宋体" w:cs="宋体"/>
                <w:lang w:val="en-US" w:eastAsia="zh-CN"/>
              </w:rPr>
              <w:t>具有正高级 (含教授级) 工程师职称的，每人加1分，</w:t>
            </w:r>
            <w:r>
              <w:rPr>
                <w:rFonts w:hint="eastAsia" w:ascii="宋体" w:hAnsi="宋体" w:eastAsia="宋体" w:cs="宋体"/>
              </w:rPr>
              <w:t>最多</w:t>
            </w:r>
            <w:r>
              <w:rPr>
                <w:rFonts w:hint="eastAsia" w:ascii="宋体" w:hAnsi="宋体" w:cs="宋体"/>
                <w:lang w:val="en-US" w:eastAsia="zh-CN"/>
              </w:rPr>
              <w:t>加3分。</w:t>
            </w:r>
          </w:p>
          <w:p>
            <w:pPr>
              <w:widowControl/>
              <w:jc w:val="left"/>
              <w:textAlignment w:val="center"/>
              <w:rPr>
                <w:rFonts w:hint="eastAsia" w:ascii="宋体" w:hAnsi="宋体" w:eastAsia="宋体" w:cs="宋体"/>
                <w:szCs w:val="21"/>
              </w:rPr>
            </w:pPr>
            <w:r>
              <w:rPr>
                <w:rFonts w:hint="eastAsia" w:ascii="宋体" w:hAnsi="宋体" w:eastAsia="宋体" w:cs="宋体"/>
              </w:rPr>
              <w:t>注：本项最多得</w:t>
            </w:r>
            <w:r>
              <w:rPr>
                <w:rFonts w:hint="eastAsia" w:ascii="宋体" w:hAnsi="宋体" w:cs="宋体"/>
                <w:lang w:val="en-US" w:eastAsia="zh-CN"/>
              </w:rPr>
              <w:t>14</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exact"/>
        </w:trPr>
        <w:tc>
          <w:tcPr>
            <w:tcW w:w="880" w:type="dxa"/>
            <w:gridSpan w:val="2"/>
            <w:vMerge w:val="continue"/>
            <w:vAlign w:val="center"/>
          </w:tcPr>
          <w:p>
            <w:pPr>
              <w:pStyle w:val="30"/>
              <w:kinsoku w:val="0"/>
              <w:overflowPunct w:val="0"/>
              <w:ind w:left="-63" w:leftChars="-30" w:right="-111" w:rightChars="-53" w:firstLine="63" w:firstLineChars="30"/>
              <w:jc w:val="center"/>
              <w:rPr>
                <w:rFonts w:hint="default"/>
              </w:rPr>
            </w:pPr>
          </w:p>
        </w:tc>
        <w:tc>
          <w:tcPr>
            <w:tcW w:w="1098" w:type="dxa"/>
            <w:vMerge w:val="continue"/>
            <w:vAlign w:val="center"/>
          </w:tcPr>
          <w:p>
            <w:pPr>
              <w:pStyle w:val="30"/>
              <w:kinsoku w:val="0"/>
              <w:overflowPunct w:val="0"/>
              <w:ind w:left="-115" w:leftChars="-55" w:right="-122" w:rightChars="-58"/>
              <w:jc w:val="center"/>
              <w:rPr>
                <w:rFonts w:hint="default"/>
              </w:rPr>
            </w:pPr>
          </w:p>
        </w:tc>
        <w:tc>
          <w:tcPr>
            <w:tcW w:w="2132" w:type="dxa"/>
            <w:vAlign w:val="center"/>
          </w:tcPr>
          <w:p>
            <w:pPr>
              <w:widowControl/>
              <w:jc w:val="center"/>
              <w:textAlignment w:val="center"/>
            </w:pPr>
            <w:r>
              <w:rPr>
                <w:rFonts w:hint="eastAsia"/>
              </w:rPr>
              <w:t>履约信用评价</w:t>
            </w:r>
            <w:r>
              <w:rPr>
                <w:rFonts w:hint="eastAsia" w:ascii="宋体" w:hAnsi="宋体"/>
                <w:spacing w:val="-3"/>
                <w:lang w:val="zh-CN"/>
              </w:rPr>
              <w:t>（</w:t>
            </w:r>
            <w:r>
              <w:rPr>
                <w:rFonts w:hint="eastAsia" w:ascii="宋体" w:hAnsi="宋体"/>
                <w:spacing w:val="-3"/>
                <w:lang w:val="en-US" w:eastAsia="zh-CN"/>
              </w:rPr>
              <w:t>5</w:t>
            </w:r>
            <w:r>
              <w:rPr>
                <w:rFonts w:hint="eastAsia" w:ascii="宋体" w:hAnsi="宋体"/>
                <w:spacing w:val="-3"/>
                <w:lang w:val="zh-CN"/>
              </w:rPr>
              <w:t>分）</w:t>
            </w:r>
          </w:p>
        </w:tc>
        <w:tc>
          <w:tcPr>
            <w:tcW w:w="5252" w:type="dxa"/>
            <w:vAlign w:val="center"/>
          </w:tcPr>
          <w:p>
            <w:pPr>
              <w:widowControl/>
              <w:spacing w:before="31" w:line="239" w:lineRule="auto"/>
              <w:ind w:right="153"/>
              <w:jc w:val="left"/>
              <w:textAlignment w:val="auto"/>
            </w:pPr>
            <w:r>
              <w:rPr>
                <w:rFonts w:hint="eastAsia" w:ascii="宋体" w:hAnsi="宋体" w:cs="宋体"/>
                <w:spacing w:val="-2"/>
                <w:highlight w:val="none"/>
                <w:lang w:val="en-US" w:eastAsia="zh-CN"/>
              </w:rPr>
              <w:t>1</w:t>
            </w:r>
            <w:r>
              <w:rPr>
                <w:rFonts w:hint="eastAsia" w:ascii="宋体" w:hAnsi="宋体" w:cs="宋体"/>
                <w:spacing w:val="-2"/>
                <w:highlight w:val="none"/>
              </w:rPr>
              <w:t>、2019年1月1日至今获得国家级建设类先进企业</w:t>
            </w:r>
            <w:r>
              <w:rPr>
                <w:rFonts w:hint="eastAsia" w:ascii="宋体" w:hAnsi="宋体" w:cs="宋体"/>
                <w:spacing w:val="-2"/>
                <w:highlight w:val="none"/>
                <w:lang w:val="en-US" w:eastAsia="zh-CN"/>
              </w:rPr>
              <w:t>类</w:t>
            </w:r>
            <w:r>
              <w:rPr>
                <w:rFonts w:hint="eastAsia" w:ascii="宋体" w:hAnsi="宋体" w:cs="宋体"/>
                <w:spacing w:val="-2"/>
                <w:highlight w:val="none"/>
              </w:rPr>
              <w:t>称号得 5 分；获省级建设类先进企业</w:t>
            </w:r>
            <w:r>
              <w:rPr>
                <w:rFonts w:hint="eastAsia" w:ascii="宋体" w:hAnsi="宋体" w:cs="宋体"/>
                <w:spacing w:val="-2"/>
                <w:highlight w:val="none"/>
                <w:lang w:val="en-US" w:eastAsia="zh-CN"/>
              </w:rPr>
              <w:t>类</w:t>
            </w:r>
            <w:r>
              <w:rPr>
                <w:rFonts w:hint="eastAsia" w:ascii="宋体" w:hAnsi="宋体" w:cs="宋体"/>
                <w:spacing w:val="-2"/>
                <w:highlight w:val="none"/>
              </w:rPr>
              <w:t xml:space="preserve">称号得 </w:t>
            </w:r>
            <w:r>
              <w:rPr>
                <w:rFonts w:hint="eastAsia" w:ascii="宋体" w:hAnsi="宋体" w:cs="宋体"/>
                <w:spacing w:val="-2"/>
                <w:highlight w:val="none"/>
                <w:lang w:val="en-US" w:eastAsia="zh-CN"/>
              </w:rPr>
              <w:t>2</w:t>
            </w:r>
            <w:r>
              <w:rPr>
                <w:rFonts w:hint="eastAsia" w:ascii="宋体" w:hAnsi="宋体" w:cs="宋体"/>
                <w:spacing w:val="-2"/>
                <w:highlight w:val="none"/>
              </w:rPr>
              <w:t xml:space="preserve"> 分；获市级建设类先进企业</w:t>
            </w:r>
            <w:r>
              <w:rPr>
                <w:rFonts w:hint="eastAsia" w:ascii="宋体" w:hAnsi="宋体" w:cs="宋体"/>
                <w:spacing w:val="-2"/>
                <w:highlight w:val="none"/>
                <w:lang w:val="en-US" w:eastAsia="zh-CN"/>
              </w:rPr>
              <w:t>类</w:t>
            </w:r>
            <w:r>
              <w:rPr>
                <w:rFonts w:hint="eastAsia" w:ascii="宋体" w:hAnsi="宋体" w:cs="宋体"/>
                <w:spacing w:val="-2"/>
                <w:highlight w:val="none"/>
              </w:rPr>
              <w:t>称号得 1 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exact"/>
        </w:trPr>
        <w:tc>
          <w:tcPr>
            <w:tcW w:w="880" w:type="dxa"/>
            <w:gridSpan w:val="2"/>
            <w:vMerge w:val="continue"/>
            <w:vAlign w:val="center"/>
          </w:tcPr>
          <w:p>
            <w:pPr>
              <w:pStyle w:val="30"/>
              <w:kinsoku w:val="0"/>
              <w:overflowPunct w:val="0"/>
              <w:ind w:left="-63" w:leftChars="-30" w:right="-111" w:rightChars="-53" w:firstLine="63" w:firstLineChars="30"/>
              <w:jc w:val="center"/>
              <w:rPr>
                <w:rFonts w:hint="default"/>
              </w:rPr>
            </w:pPr>
          </w:p>
        </w:tc>
        <w:tc>
          <w:tcPr>
            <w:tcW w:w="1098" w:type="dxa"/>
            <w:vMerge w:val="continue"/>
            <w:vAlign w:val="center"/>
          </w:tcPr>
          <w:p>
            <w:pPr>
              <w:pStyle w:val="30"/>
              <w:kinsoku w:val="0"/>
              <w:overflowPunct w:val="0"/>
              <w:ind w:left="-115" w:leftChars="-55" w:right="-122" w:rightChars="-58"/>
              <w:jc w:val="center"/>
              <w:rPr>
                <w:rFonts w:hint="default"/>
              </w:rPr>
            </w:pPr>
          </w:p>
        </w:tc>
        <w:tc>
          <w:tcPr>
            <w:tcW w:w="2132" w:type="dxa"/>
            <w:vAlign w:val="center"/>
          </w:tcPr>
          <w:p>
            <w:pPr>
              <w:spacing w:before="302" w:line="204" w:lineRule="auto"/>
              <w:jc w:val="center"/>
              <w:rPr>
                <w:rFonts w:ascii="宋体" w:hAnsi="宋体" w:cs="宋体"/>
              </w:rPr>
            </w:pPr>
            <w:r>
              <w:rPr>
                <w:rFonts w:ascii="宋体" w:hAnsi="宋体" w:cs="宋体"/>
                <w:spacing w:val="-4"/>
              </w:rPr>
              <w:t>ISO</w:t>
            </w:r>
            <w:r>
              <w:rPr>
                <w:rFonts w:ascii="宋体" w:hAnsi="宋体" w:cs="宋体"/>
                <w:spacing w:val="-41"/>
              </w:rPr>
              <w:t xml:space="preserve"> </w:t>
            </w:r>
            <w:r>
              <w:rPr>
                <w:rFonts w:ascii="宋体" w:hAnsi="宋体" w:cs="宋体"/>
                <w:spacing w:val="-4"/>
              </w:rPr>
              <w:t>体系认证</w:t>
            </w:r>
            <w:r>
              <w:rPr>
                <w:rFonts w:ascii="宋体" w:hAnsi="宋体"/>
                <w:spacing w:val="-3"/>
                <w:lang w:val="zh-CN"/>
              </w:rPr>
              <w:t>（4分）</w:t>
            </w:r>
          </w:p>
        </w:tc>
        <w:tc>
          <w:tcPr>
            <w:tcW w:w="5252" w:type="dxa"/>
            <w:vAlign w:val="center"/>
          </w:tcPr>
          <w:p>
            <w:pPr>
              <w:spacing w:before="30" w:line="226" w:lineRule="auto"/>
              <w:ind w:left="111" w:right="153" w:firstLine="2"/>
              <w:jc w:val="left"/>
              <w:rPr>
                <w:rFonts w:ascii="宋体" w:hAnsi="宋体" w:cs="宋体"/>
              </w:rPr>
            </w:pPr>
            <w:r>
              <w:rPr>
                <w:rFonts w:hint="eastAsia" w:ascii="宋体" w:hAnsi="宋体" w:eastAsia="宋体" w:cs="宋体"/>
                <w:szCs w:val="21"/>
              </w:rPr>
              <w:t>具有有效的</w:t>
            </w:r>
            <w:r>
              <w:rPr>
                <w:rFonts w:hint="eastAsia" w:ascii="宋体" w:hAnsi="宋体" w:eastAsia="宋体" w:cs="宋体"/>
              </w:rPr>
              <w:t xml:space="preserve"> ISO 质量管理体系认证</w:t>
            </w:r>
            <w:r>
              <w:rPr>
                <w:rFonts w:hint="eastAsia" w:ascii="宋体" w:hAnsi="宋体" w:eastAsia="宋体" w:cs="宋体"/>
                <w:szCs w:val="21"/>
              </w:rPr>
              <w:t>、环境管理体系认证证书、职业健康安全管理体系认证证书、</w:t>
            </w:r>
            <w:r>
              <w:rPr>
                <w:rFonts w:hint="eastAsia" w:ascii="宋体" w:hAnsi="宋体" w:eastAsia="宋体" w:cs="宋体"/>
              </w:rPr>
              <w:t>信息安全管理体系(证书应经年审，且在有效期内)</w:t>
            </w:r>
            <w:r>
              <w:rPr>
                <w:rFonts w:hint="eastAsia" w:ascii="宋体" w:hAnsi="宋体" w:eastAsia="宋体" w:cs="宋体"/>
                <w:szCs w:val="21"/>
              </w:rPr>
              <w:t>的</w:t>
            </w:r>
            <w:r>
              <w:rPr>
                <w:rFonts w:hint="eastAsia" w:ascii="宋体" w:hAnsi="宋体" w:cs="宋体"/>
                <w:szCs w:val="21"/>
                <w:lang w:eastAsia="zh-CN"/>
              </w:rPr>
              <w:t>，</w:t>
            </w:r>
            <w:r>
              <w:rPr>
                <w:rFonts w:hint="eastAsia" w:ascii="宋体" w:hAnsi="宋体"/>
                <w:color w:val="auto"/>
                <w:szCs w:val="21"/>
                <w:highlight w:val="none"/>
              </w:rPr>
              <w:t>每个得1分，最多得</w:t>
            </w:r>
            <w:r>
              <w:rPr>
                <w:rFonts w:hint="eastAsia" w:ascii="宋体" w:hAnsi="宋体"/>
                <w:color w:val="auto"/>
                <w:szCs w:val="21"/>
                <w:highlight w:val="none"/>
                <w:lang w:val="en-US" w:eastAsia="zh-CN"/>
              </w:rPr>
              <w:t>4</w:t>
            </w:r>
            <w:r>
              <w:rPr>
                <w:rFonts w:hint="eastAsia" w:ascii="宋体" w:hAnsi="宋体"/>
                <w:color w:val="auto"/>
                <w:szCs w:val="21"/>
                <w:highlight w:val="none"/>
              </w:rPr>
              <w:t>分</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exact"/>
        </w:trPr>
        <w:tc>
          <w:tcPr>
            <w:tcW w:w="880" w:type="dxa"/>
            <w:gridSpan w:val="2"/>
            <w:vMerge w:val="continue"/>
            <w:vAlign w:val="center"/>
          </w:tcPr>
          <w:p>
            <w:pPr>
              <w:pStyle w:val="30"/>
              <w:kinsoku w:val="0"/>
              <w:overflowPunct w:val="0"/>
              <w:ind w:left="-63" w:leftChars="-30" w:right="-111" w:rightChars="-53" w:firstLine="63" w:firstLineChars="30"/>
              <w:jc w:val="center"/>
              <w:rPr>
                <w:rFonts w:hint="default"/>
              </w:rPr>
            </w:pPr>
          </w:p>
        </w:tc>
        <w:tc>
          <w:tcPr>
            <w:tcW w:w="1098" w:type="dxa"/>
            <w:vMerge w:val="continue"/>
            <w:vAlign w:val="center"/>
          </w:tcPr>
          <w:p>
            <w:pPr>
              <w:pStyle w:val="30"/>
              <w:kinsoku w:val="0"/>
              <w:overflowPunct w:val="0"/>
              <w:ind w:left="-115" w:leftChars="-55" w:right="-122" w:rightChars="-58"/>
              <w:jc w:val="center"/>
              <w:rPr>
                <w:rFonts w:hint="default"/>
              </w:rPr>
            </w:pPr>
          </w:p>
        </w:tc>
        <w:tc>
          <w:tcPr>
            <w:tcW w:w="2132" w:type="dxa"/>
            <w:vAlign w:val="center"/>
          </w:tcPr>
          <w:p>
            <w:pPr>
              <w:spacing w:before="235" w:line="204" w:lineRule="auto"/>
              <w:jc w:val="center"/>
              <w:rPr>
                <w:rFonts w:ascii="宋体" w:hAnsi="宋体" w:cs="宋体"/>
              </w:rPr>
            </w:pPr>
            <w:r>
              <w:rPr>
                <w:rFonts w:ascii="宋体" w:hAnsi="宋体" w:cs="宋体"/>
                <w:spacing w:val="-2"/>
              </w:rPr>
              <w:t>纳税等级评价</w:t>
            </w:r>
            <w:r>
              <w:rPr>
                <w:rFonts w:ascii="宋体" w:hAnsi="宋体"/>
                <w:spacing w:val="-3"/>
                <w:lang w:val="zh-CN"/>
              </w:rPr>
              <w:t>（5分）</w:t>
            </w:r>
          </w:p>
        </w:tc>
        <w:tc>
          <w:tcPr>
            <w:tcW w:w="5252" w:type="dxa"/>
            <w:vAlign w:val="center"/>
          </w:tcPr>
          <w:p>
            <w:pPr>
              <w:spacing w:before="100" w:line="239" w:lineRule="auto"/>
              <w:ind w:left="109" w:right="102" w:firstLine="3"/>
              <w:jc w:val="left"/>
              <w:rPr>
                <w:rFonts w:ascii="宋体" w:hAnsi="宋体" w:cs="宋体"/>
              </w:rPr>
            </w:pPr>
            <w:r>
              <w:rPr>
                <w:rFonts w:hint="eastAsia" w:ascii="宋体" w:hAnsi="宋体" w:eastAsia="宋体" w:cs="宋体"/>
              </w:rPr>
              <w:t>投标人自 2019 年 1 月1日至今获得纳税信用等级 A 级或以上纳税人荣誉 3次及以上的得 5 分；获得纳税信用等级 A 级或以上纳税人荣誉2 次的得 3 分，获得纳税信用等级 A 级或以上纳税人荣誉1次的得 1 分，没有的不得分；（以证书颁发时间为准）。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880" w:type="dxa"/>
            <w:gridSpan w:val="2"/>
            <w:vMerge w:val="restart"/>
            <w:vAlign w:val="center"/>
          </w:tcPr>
          <w:p>
            <w:pPr>
              <w:pStyle w:val="30"/>
              <w:kinsoku w:val="0"/>
              <w:overflowPunct w:val="0"/>
              <w:ind w:left="-63" w:leftChars="-30" w:right="-111" w:rightChars="-53" w:firstLine="63" w:firstLineChars="30"/>
              <w:jc w:val="center"/>
              <w:rPr>
                <w:rFonts w:hint="eastAsia" w:ascii="宋体" w:hAnsi="宋体" w:eastAsia="宋体" w:cs="宋体"/>
              </w:rPr>
            </w:pPr>
            <w:r>
              <w:rPr>
                <w:rFonts w:hint="eastAsia" w:ascii="宋体" w:hAnsi="宋体" w:eastAsia="宋体" w:cs="宋体"/>
              </w:rPr>
              <w:t>2.2.4</w:t>
            </w:r>
          </w:p>
          <w:p>
            <w:pPr>
              <w:pStyle w:val="30"/>
              <w:kinsoku w:val="0"/>
              <w:overflowPunct w:val="0"/>
              <w:spacing w:before="4" w:line="110" w:lineRule="exact"/>
              <w:ind w:left="-63" w:leftChars="-30" w:right="-111" w:rightChars="-53" w:firstLine="33" w:firstLineChars="30"/>
              <w:jc w:val="center"/>
              <w:rPr>
                <w:rFonts w:hint="eastAsia" w:ascii="宋体" w:hAnsi="宋体" w:eastAsia="宋体" w:cs="宋体"/>
                <w:sz w:val="11"/>
              </w:rPr>
            </w:pPr>
          </w:p>
          <w:p>
            <w:pPr>
              <w:pStyle w:val="30"/>
              <w:kinsoku w:val="0"/>
              <w:overflowPunct w:val="0"/>
              <w:ind w:left="-63" w:leftChars="-30" w:right="-111" w:rightChars="-53" w:firstLine="62" w:firstLineChars="30"/>
              <w:jc w:val="center"/>
              <w:rPr>
                <w:rFonts w:hint="eastAsia" w:ascii="宋体" w:hAnsi="宋体" w:eastAsia="宋体" w:cs="宋体"/>
              </w:rPr>
            </w:pPr>
            <w:r>
              <w:rPr>
                <w:rFonts w:hint="eastAsia" w:ascii="宋体" w:hAnsi="宋体" w:eastAsia="宋体" w:cs="宋体"/>
                <w:spacing w:val="-1"/>
              </w:rPr>
              <w:t>（</w:t>
            </w:r>
            <w:r>
              <w:rPr>
                <w:rFonts w:hint="eastAsia" w:ascii="宋体" w:hAnsi="宋体" w:eastAsia="宋体" w:cs="宋体"/>
              </w:rPr>
              <w:t>2）</w:t>
            </w:r>
          </w:p>
        </w:tc>
        <w:tc>
          <w:tcPr>
            <w:tcW w:w="1098" w:type="dxa"/>
            <w:vMerge w:val="restart"/>
            <w:vAlign w:val="center"/>
          </w:tcPr>
          <w:p>
            <w:pPr>
              <w:spacing w:line="440" w:lineRule="exact"/>
              <w:jc w:val="center"/>
              <w:rPr>
                <w:rFonts w:hint="eastAsia" w:ascii="宋体" w:hAnsi="宋体" w:eastAsia="宋体" w:cs="宋体"/>
              </w:rPr>
            </w:pPr>
            <w:r>
              <w:rPr>
                <w:rFonts w:hint="eastAsia" w:ascii="宋体" w:hAnsi="宋体" w:eastAsia="宋体" w:cs="宋体"/>
              </w:rPr>
              <w:t>监理大纲评分标准</w:t>
            </w:r>
          </w:p>
          <w:p>
            <w:pPr>
              <w:pStyle w:val="30"/>
              <w:kinsoku w:val="0"/>
              <w:overflowPunct w:val="0"/>
              <w:spacing w:line="340" w:lineRule="auto"/>
              <w:ind w:left="-115" w:leftChars="-55" w:right="-122" w:rightChars="-58"/>
              <w:jc w:val="center"/>
              <w:rPr>
                <w:rFonts w:hint="eastAsia" w:ascii="宋体" w:hAnsi="宋体" w:eastAsia="宋体" w:cs="宋体"/>
              </w:rPr>
            </w:pPr>
            <w:r>
              <w:rPr>
                <w:rFonts w:hint="eastAsia" w:ascii="宋体" w:hAnsi="宋体" w:eastAsia="宋体" w:cs="宋体"/>
              </w:rPr>
              <w:t>（45分）</w:t>
            </w:r>
          </w:p>
        </w:tc>
        <w:tc>
          <w:tcPr>
            <w:tcW w:w="2132" w:type="dxa"/>
            <w:vAlign w:val="center"/>
          </w:tcPr>
          <w:p>
            <w:pPr>
              <w:spacing w:before="30" w:line="204" w:lineRule="auto"/>
              <w:jc w:val="center"/>
              <w:rPr>
                <w:rFonts w:hint="eastAsia" w:ascii="宋体" w:hAnsi="宋体" w:eastAsia="宋体" w:cs="宋体"/>
              </w:rPr>
            </w:pPr>
            <w:r>
              <w:rPr>
                <w:rFonts w:hint="eastAsia" w:ascii="宋体" w:hAnsi="宋体" w:eastAsia="宋体" w:cs="宋体"/>
                <w:spacing w:val="-2"/>
              </w:rPr>
              <w:t>投资控制措施</w:t>
            </w:r>
            <w:r>
              <w:rPr>
                <w:rFonts w:hint="eastAsia" w:ascii="宋体" w:hAnsi="宋体" w:eastAsia="宋体" w:cs="宋体"/>
                <w:spacing w:val="-9"/>
                <w:w w:val="88"/>
              </w:rPr>
              <w:t>（5分）</w:t>
            </w:r>
          </w:p>
        </w:tc>
        <w:tc>
          <w:tcPr>
            <w:tcW w:w="5252" w:type="dxa"/>
            <w:vAlign w:val="center"/>
          </w:tcPr>
          <w:p>
            <w:pPr>
              <w:spacing w:before="32" w:line="213" w:lineRule="auto"/>
              <w:ind w:left="110" w:right="45"/>
              <w:jc w:val="left"/>
              <w:rPr>
                <w:rFonts w:hint="eastAsia" w:ascii="宋体" w:hAnsi="宋体" w:eastAsia="宋体" w:cs="宋体"/>
              </w:rPr>
            </w:pPr>
            <w:r>
              <w:rPr>
                <w:rFonts w:hint="eastAsia" w:ascii="宋体" w:hAnsi="宋体" w:eastAsia="宋体" w:cs="宋体"/>
                <w:spacing w:val="-1"/>
              </w:rPr>
              <w:t>要求目标明确、方法合理可行、措施具体、针对性强。措施为优得</w:t>
            </w:r>
            <w:r>
              <w:rPr>
                <w:rFonts w:hint="eastAsia" w:ascii="宋体" w:hAnsi="宋体" w:eastAsia="宋体" w:cs="宋体"/>
                <w:spacing w:val="-33"/>
              </w:rPr>
              <w:t xml:space="preserve"> </w:t>
            </w:r>
            <w:r>
              <w:rPr>
                <w:rFonts w:hint="eastAsia" w:ascii="宋体" w:hAnsi="宋体" w:eastAsia="宋体" w:cs="宋体"/>
                <w:spacing w:val="-1"/>
              </w:rPr>
              <w:t>5</w:t>
            </w:r>
            <w:r>
              <w:rPr>
                <w:rFonts w:hint="eastAsia" w:ascii="宋体" w:hAnsi="宋体" w:eastAsia="宋体" w:cs="宋体"/>
                <w:spacing w:val="-41"/>
              </w:rPr>
              <w:t xml:space="preserve"> </w:t>
            </w:r>
            <w:r>
              <w:rPr>
                <w:rFonts w:hint="eastAsia" w:ascii="宋体" w:hAnsi="宋体" w:eastAsia="宋体" w:cs="宋体"/>
                <w:spacing w:val="-1"/>
              </w:rPr>
              <w:t>分；</w:t>
            </w:r>
            <w:r>
              <w:rPr>
                <w:rFonts w:hint="eastAsia" w:ascii="宋体" w:hAnsi="宋体" w:eastAsia="宋体" w:cs="宋体"/>
                <w:spacing w:val="-85"/>
              </w:rPr>
              <w:t xml:space="preserve"> </w:t>
            </w:r>
            <w:r>
              <w:rPr>
                <w:rFonts w:hint="eastAsia" w:ascii="宋体" w:hAnsi="宋体" w:eastAsia="宋体" w:cs="宋体"/>
                <w:spacing w:val="-4"/>
              </w:rPr>
              <w:t>措施为良得</w:t>
            </w:r>
            <w:r>
              <w:rPr>
                <w:rFonts w:hint="eastAsia" w:ascii="宋体" w:hAnsi="宋体" w:eastAsia="宋体" w:cs="宋体"/>
                <w:spacing w:val="-31"/>
              </w:rPr>
              <w:t xml:space="preserve"> </w:t>
            </w:r>
            <w:r>
              <w:rPr>
                <w:rFonts w:hint="eastAsia" w:ascii="宋体" w:hAnsi="宋体" w:eastAsia="宋体" w:cs="宋体"/>
                <w:spacing w:val="-4"/>
              </w:rPr>
              <w:t>3</w:t>
            </w:r>
            <w:r>
              <w:rPr>
                <w:rFonts w:hint="eastAsia" w:ascii="宋体" w:hAnsi="宋体" w:eastAsia="宋体" w:cs="宋体"/>
                <w:spacing w:val="-42"/>
              </w:rPr>
              <w:t xml:space="preserve"> </w:t>
            </w:r>
            <w:r>
              <w:rPr>
                <w:rFonts w:hint="eastAsia" w:ascii="宋体" w:hAnsi="宋体" w:eastAsia="宋体" w:cs="宋体"/>
                <w:spacing w:val="-4"/>
              </w:rPr>
              <w:t>分</w:t>
            </w:r>
            <w:r>
              <w:rPr>
                <w:rFonts w:hint="eastAsia" w:ascii="宋体" w:hAnsi="宋体" w:eastAsia="宋体" w:cs="宋体"/>
                <w:spacing w:val="-65"/>
              </w:rPr>
              <w:t xml:space="preserve"> </w:t>
            </w:r>
            <w:r>
              <w:rPr>
                <w:rFonts w:hint="eastAsia" w:ascii="宋体" w:hAnsi="宋体" w:eastAsia="宋体" w:cs="宋体"/>
                <w:spacing w:val="-4"/>
              </w:rPr>
              <w:t>;措施为一般得</w:t>
            </w:r>
            <w:r>
              <w:rPr>
                <w:rFonts w:hint="eastAsia" w:ascii="宋体" w:hAnsi="宋体" w:eastAsia="宋体" w:cs="宋体"/>
                <w:spacing w:val="-41"/>
              </w:rPr>
              <w:t xml:space="preserve"> </w:t>
            </w:r>
            <w:r>
              <w:rPr>
                <w:rFonts w:hint="eastAsia" w:ascii="宋体" w:hAnsi="宋体" w:eastAsia="宋体" w:cs="宋体"/>
                <w:spacing w:val="-4"/>
              </w:rPr>
              <w:t>2</w:t>
            </w:r>
            <w:r>
              <w:rPr>
                <w:rFonts w:hint="eastAsia" w:ascii="宋体" w:hAnsi="宋体" w:eastAsia="宋体" w:cs="宋体"/>
                <w:spacing w:val="-44"/>
              </w:rPr>
              <w:t xml:space="preserve"> </w:t>
            </w:r>
            <w:r>
              <w:rPr>
                <w:rFonts w:hint="eastAsia" w:ascii="宋体" w:hAnsi="宋体" w:eastAsia="宋体" w:cs="宋体"/>
                <w:spacing w:val="-4"/>
              </w:rPr>
              <w:t>分；</w:t>
            </w:r>
            <w:r>
              <w:rPr>
                <w:rFonts w:hint="eastAsia" w:ascii="宋体" w:hAnsi="宋体" w:eastAsia="宋体" w:cs="宋体"/>
                <w:spacing w:val="-97"/>
              </w:rPr>
              <w:t xml:space="preserve"> </w:t>
            </w:r>
            <w:r>
              <w:rPr>
                <w:rFonts w:hint="eastAsia" w:ascii="宋体" w:hAnsi="宋体" w:eastAsia="宋体" w:cs="宋体"/>
                <w:spacing w:val="-4"/>
              </w:rPr>
              <w:t>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880" w:type="dxa"/>
            <w:gridSpan w:val="2"/>
            <w:vMerge w:val="continue"/>
            <w:vAlign w:val="center"/>
          </w:tcPr>
          <w:p>
            <w:pPr>
              <w:pStyle w:val="30"/>
              <w:kinsoku w:val="0"/>
              <w:overflowPunct w:val="0"/>
              <w:ind w:left="-63" w:leftChars="-30" w:right="-111" w:rightChars="-53" w:firstLine="63" w:firstLineChars="30"/>
              <w:jc w:val="center"/>
              <w:rPr>
                <w:rFonts w:hint="eastAsia" w:ascii="宋体" w:hAnsi="宋体" w:eastAsia="宋体" w:cs="宋体"/>
              </w:rPr>
            </w:pPr>
          </w:p>
        </w:tc>
        <w:tc>
          <w:tcPr>
            <w:tcW w:w="1098" w:type="dxa"/>
            <w:vMerge w:val="continue"/>
            <w:vAlign w:val="center"/>
          </w:tcPr>
          <w:p>
            <w:pPr>
              <w:pStyle w:val="30"/>
              <w:kinsoku w:val="0"/>
              <w:overflowPunct w:val="0"/>
              <w:ind w:left="-115" w:leftChars="-55" w:right="-122" w:rightChars="-58"/>
              <w:jc w:val="center"/>
              <w:rPr>
                <w:rFonts w:hint="eastAsia" w:ascii="宋体" w:hAnsi="宋体" w:eastAsia="宋体" w:cs="宋体"/>
              </w:rPr>
            </w:pPr>
          </w:p>
        </w:tc>
        <w:tc>
          <w:tcPr>
            <w:tcW w:w="2132" w:type="dxa"/>
            <w:vAlign w:val="center"/>
          </w:tcPr>
          <w:p>
            <w:pPr>
              <w:spacing w:before="30" w:line="204" w:lineRule="auto"/>
              <w:jc w:val="center"/>
              <w:rPr>
                <w:rFonts w:hint="eastAsia" w:ascii="宋体" w:hAnsi="宋体" w:eastAsia="宋体" w:cs="宋体"/>
              </w:rPr>
            </w:pPr>
            <w:r>
              <w:rPr>
                <w:rFonts w:hint="eastAsia" w:ascii="宋体" w:hAnsi="宋体" w:eastAsia="宋体" w:cs="宋体"/>
                <w:spacing w:val="-1"/>
              </w:rPr>
              <w:t>进度控制措施</w:t>
            </w:r>
            <w:r>
              <w:rPr>
                <w:rFonts w:hint="eastAsia" w:ascii="宋体" w:hAnsi="宋体" w:eastAsia="宋体" w:cs="宋体"/>
                <w:spacing w:val="-9"/>
                <w:w w:val="88"/>
              </w:rPr>
              <w:t>（5</w:t>
            </w:r>
            <w:r>
              <w:rPr>
                <w:rFonts w:hint="eastAsia" w:ascii="宋体" w:hAnsi="宋体" w:eastAsia="宋体" w:cs="宋体"/>
                <w:spacing w:val="-41"/>
              </w:rPr>
              <w:t xml:space="preserve"> </w:t>
            </w:r>
            <w:r>
              <w:rPr>
                <w:rFonts w:hint="eastAsia" w:ascii="宋体" w:hAnsi="宋体" w:eastAsia="宋体" w:cs="宋体"/>
                <w:spacing w:val="-9"/>
                <w:w w:val="88"/>
              </w:rPr>
              <w:t>分）</w:t>
            </w:r>
          </w:p>
        </w:tc>
        <w:tc>
          <w:tcPr>
            <w:tcW w:w="5252" w:type="dxa"/>
            <w:vAlign w:val="center"/>
          </w:tcPr>
          <w:p>
            <w:pPr>
              <w:spacing w:before="31" w:line="213" w:lineRule="auto"/>
              <w:ind w:left="110" w:right="45"/>
              <w:jc w:val="left"/>
              <w:rPr>
                <w:rFonts w:hint="eastAsia" w:ascii="宋体" w:hAnsi="宋体" w:eastAsia="宋体" w:cs="宋体"/>
              </w:rPr>
            </w:pPr>
            <w:r>
              <w:rPr>
                <w:rFonts w:hint="eastAsia" w:ascii="宋体" w:hAnsi="宋体" w:eastAsia="宋体" w:cs="宋体"/>
                <w:spacing w:val="-1"/>
              </w:rPr>
              <w:t>要求目标明确、方法合理可行、措施具体、针对性强。措施为优得</w:t>
            </w:r>
            <w:r>
              <w:rPr>
                <w:rFonts w:hint="eastAsia" w:ascii="宋体" w:hAnsi="宋体" w:eastAsia="宋体" w:cs="宋体"/>
                <w:spacing w:val="-33"/>
              </w:rPr>
              <w:t xml:space="preserve"> </w:t>
            </w:r>
            <w:r>
              <w:rPr>
                <w:rFonts w:hint="eastAsia" w:ascii="宋体" w:hAnsi="宋体" w:eastAsia="宋体" w:cs="宋体"/>
                <w:spacing w:val="-1"/>
              </w:rPr>
              <w:t>5</w:t>
            </w:r>
            <w:r>
              <w:rPr>
                <w:rFonts w:hint="eastAsia" w:ascii="宋体" w:hAnsi="宋体" w:eastAsia="宋体" w:cs="宋体"/>
                <w:spacing w:val="-41"/>
              </w:rPr>
              <w:t xml:space="preserve"> </w:t>
            </w:r>
            <w:r>
              <w:rPr>
                <w:rFonts w:hint="eastAsia" w:ascii="宋体" w:hAnsi="宋体" w:eastAsia="宋体" w:cs="宋体"/>
                <w:spacing w:val="-1"/>
              </w:rPr>
              <w:t>分；</w:t>
            </w:r>
            <w:r>
              <w:rPr>
                <w:rFonts w:hint="eastAsia" w:ascii="宋体" w:hAnsi="宋体" w:eastAsia="宋体" w:cs="宋体"/>
                <w:spacing w:val="-85"/>
              </w:rPr>
              <w:t xml:space="preserve"> </w:t>
            </w:r>
            <w:r>
              <w:rPr>
                <w:rFonts w:hint="eastAsia" w:ascii="宋体" w:hAnsi="宋体" w:eastAsia="宋体" w:cs="宋体"/>
                <w:spacing w:val="-2"/>
              </w:rPr>
              <w:t>措施为良得</w:t>
            </w:r>
            <w:r>
              <w:rPr>
                <w:rFonts w:hint="eastAsia" w:ascii="宋体" w:hAnsi="宋体" w:eastAsia="宋体" w:cs="宋体"/>
                <w:spacing w:val="-36"/>
              </w:rPr>
              <w:t xml:space="preserve"> </w:t>
            </w:r>
            <w:r>
              <w:rPr>
                <w:rFonts w:hint="eastAsia" w:ascii="宋体" w:hAnsi="宋体" w:eastAsia="宋体" w:cs="宋体"/>
                <w:spacing w:val="-2"/>
              </w:rPr>
              <w:t>3</w:t>
            </w:r>
            <w:r>
              <w:rPr>
                <w:rFonts w:hint="eastAsia" w:ascii="宋体" w:hAnsi="宋体" w:eastAsia="宋体" w:cs="宋体"/>
                <w:spacing w:val="-41"/>
              </w:rPr>
              <w:t xml:space="preserve"> </w:t>
            </w:r>
            <w:r>
              <w:rPr>
                <w:rFonts w:hint="eastAsia" w:ascii="宋体" w:hAnsi="宋体" w:eastAsia="宋体" w:cs="宋体"/>
                <w:spacing w:val="-2"/>
              </w:rPr>
              <w:t>分；措施为一般得</w:t>
            </w:r>
            <w:r>
              <w:rPr>
                <w:rFonts w:hint="eastAsia" w:ascii="宋体" w:hAnsi="宋体" w:eastAsia="宋体" w:cs="宋体"/>
                <w:spacing w:val="-42"/>
              </w:rPr>
              <w:t xml:space="preserve"> </w:t>
            </w:r>
            <w:r>
              <w:rPr>
                <w:rFonts w:hint="eastAsia" w:ascii="宋体" w:hAnsi="宋体" w:eastAsia="宋体" w:cs="宋体"/>
                <w:spacing w:val="-2"/>
              </w:rPr>
              <w:t>2</w:t>
            </w:r>
            <w:r>
              <w:rPr>
                <w:rFonts w:hint="eastAsia" w:ascii="宋体" w:hAnsi="宋体" w:eastAsia="宋体" w:cs="宋体"/>
                <w:spacing w:val="-41"/>
              </w:rPr>
              <w:t xml:space="preserve"> </w:t>
            </w:r>
            <w:r>
              <w:rPr>
                <w:rFonts w:hint="eastAsia" w:ascii="宋体" w:hAnsi="宋体" w:eastAsia="宋体" w:cs="宋体"/>
                <w:spacing w:val="-2"/>
              </w:rPr>
              <w:t>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eastAsia" w:ascii="宋体" w:hAnsi="宋体" w:eastAsia="宋体" w:cs="宋体"/>
              </w:rPr>
            </w:pPr>
          </w:p>
        </w:tc>
        <w:tc>
          <w:tcPr>
            <w:tcW w:w="1098" w:type="dxa"/>
            <w:vMerge w:val="continue"/>
            <w:vAlign w:val="center"/>
          </w:tcPr>
          <w:p>
            <w:pPr>
              <w:pStyle w:val="30"/>
              <w:kinsoku w:val="0"/>
              <w:overflowPunct w:val="0"/>
              <w:spacing w:line="186" w:lineRule="exact"/>
              <w:ind w:left="-115" w:leftChars="-55" w:right="-122" w:rightChars="-58"/>
              <w:jc w:val="center"/>
              <w:rPr>
                <w:rFonts w:hint="eastAsia" w:ascii="宋体" w:hAnsi="宋体" w:eastAsia="宋体" w:cs="宋体"/>
              </w:rPr>
            </w:pPr>
          </w:p>
        </w:tc>
        <w:tc>
          <w:tcPr>
            <w:tcW w:w="2132" w:type="dxa"/>
            <w:vAlign w:val="center"/>
          </w:tcPr>
          <w:p>
            <w:pPr>
              <w:spacing w:before="129" w:line="204" w:lineRule="auto"/>
              <w:jc w:val="center"/>
              <w:rPr>
                <w:rFonts w:hint="eastAsia" w:ascii="宋体" w:hAnsi="宋体" w:eastAsia="宋体" w:cs="宋体"/>
              </w:rPr>
            </w:pPr>
            <w:r>
              <w:rPr>
                <w:rFonts w:hint="eastAsia" w:ascii="宋体" w:hAnsi="宋体" w:eastAsia="宋体" w:cs="宋体"/>
                <w:spacing w:val="-1"/>
              </w:rPr>
              <w:t>质量控制措施</w:t>
            </w:r>
            <w:r>
              <w:rPr>
                <w:rFonts w:hint="eastAsia" w:ascii="宋体" w:hAnsi="宋体" w:eastAsia="宋体" w:cs="宋体"/>
                <w:spacing w:val="-9"/>
                <w:w w:val="88"/>
              </w:rPr>
              <w:t>（5</w:t>
            </w:r>
            <w:r>
              <w:rPr>
                <w:rFonts w:hint="eastAsia" w:ascii="宋体" w:hAnsi="宋体" w:eastAsia="宋体" w:cs="宋体"/>
                <w:spacing w:val="-41"/>
              </w:rPr>
              <w:t xml:space="preserve"> </w:t>
            </w:r>
            <w:r>
              <w:rPr>
                <w:rFonts w:hint="eastAsia" w:ascii="宋体" w:hAnsi="宋体" w:eastAsia="宋体" w:cs="宋体"/>
                <w:spacing w:val="-9"/>
                <w:w w:val="88"/>
              </w:rPr>
              <w:t>分）</w:t>
            </w:r>
          </w:p>
        </w:tc>
        <w:tc>
          <w:tcPr>
            <w:tcW w:w="5252" w:type="dxa"/>
            <w:vAlign w:val="center"/>
          </w:tcPr>
          <w:p>
            <w:pPr>
              <w:spacing w:before="29" w:line="241" w:lineRule="auto"/>
              <w:ind w:left="112" w:right="-102" w:hanging="1"/>
              <w:jc w:val="left"/>
              <w:rPr>
                <w:rFonts w:hint="eastAsia" w:ascii="宋体" w:hAnsi="宋体" w:eastAsia="宋体" w:cs="宋体"/>
              </w:rPr>
            </w:pPr>
            <w:r>
              <w:rPr>
                <w:rFonts w:hint="eastAsia" w:ascii="宋体" w:hAnsi="宋体" w:eastAsia="宋体" w:cs="宋体"/>
                <w:spacing w:val="-1"/>
              </w:rPr>
              <w:t>要求目标明确、方法合理可行、措施具体、针对性强。措施为优得</w:t>
            </w:r>
            <w:r>
              <w:rPr>
                <w:rFonts w:hint="eastAsia" w:ascii="宋体" w:hAnsi="宋体" w:eastAsia="宋体" w:cs="宋体"/>
                <w:spacing w:val="-27"/>
              </w:rPr>
              <w:t xml:space="preserve"> </w:t>
            </w:r>
            <w:r>
              <w:rPr>
                <w:rFonts w:hint="eastAsia" w:ascii="宋体" w:hAnsi="宋体" w:eastAsia="宋体" w:cs="宋体"/>
                <w:spacing w:val="-1"/>
              </w:rPr>
              <w:t>5</w:t>
            </w:r>
            <w:r>
              <w:rPr>
                <w:rFonts w:hint="eastAsia" w:ascii="宋体" w:hAnsi="宋体" w:eastAsia="宋体" w:cs="宋体"/>
                <w:spacing w:val="-85"/>
              </w:rPr>
              <w:t xml:space="preserve"> </w:t>
            </w:r>
            <w:r>
              <w:rPr>
                <w:rFonts w:hint="eastAsia" w:ascii="宋体" w:hAnsi="宋体" w:eastAsia="宋体" w:cs="宋体"/>
                <w:spacing w:val="-2"/>
              </w:rPr>
              <w:t>分；措施为良得</w:t>
            </w:r>
            <w:r>
              <w:rPr>
                <w:rFonts w:hint="eastAsia" w:ascii="宋体" w:hAnsi="宋体" w:eastAsia="宋体" w:cs="宋体"/>
                <w:spacing w:val="-34"/>
              </w:rPr>
              <w:t xml:space="preserve"> </w:t>
            </w:r>
            <w:r>
              <w:rPr>
                <w:rFonts w:hint="eastAsia" w:ascii="宋体" w:hAnsi="宋体" w:eastAsia="宋体" w:cs="宋体"/>
                <w:spacing w:val="-2"/>
              </w:rPr>
              <w:t>3</w:t>
            </w:r>
            <w:r>
              <w:rPr>
                <w:rFonts w:hint="eastAsia" w:ascii="宋体" w:hAnsi="宋体" w:eastAsia="宋体" w:cs="宋体"/>
                <w:spacing w:val="-42"/>
              </w:rPr>
              <w:t xml:space="preserve"> </w:t>
            </w:r>
            <w:r>
              <w:rPr>
                <w:rFonts w:hint="eastAsia" w:ascii="宋体" w:hAnsi="宋体" w:eastAsia="宋体" w:cs="宋体"/>
                <w:spacing w:val="-2"/>
              </w:rPr>
              <w:t>分；措施为一般得</w:t>
            </w:r>
            <w:r>
              <w:rPr>
                <w:rFonts w:hint="eastAsia" w:ascii="宋体" w:hAnsi="宋体" w:eastAsia="宋体" w:cs="宋体"/>
                <w:spacing w:val="-41"/>
              </w:rPr>
              <w:t xml:space="preserve"> </w:t>
            </w:r>
            <w:r>
              <w:rPr>
                <w:rFonts w:hint="eastAsia" w:ascii="宋体" w:hAnsi="宋体" w:eastAsia="宋体" w:cs="宋体"/>
                <w:spacing w:val="-2"/>
              </w:rPr>
              <w:t>2</w:t>
            </w:r>
            <w:r>
              <w:rPr>
                <w:rFonts w:hint="eastAsia" w:ascii="宋体" w:hAnsi="宋体" w:eastAsia="宋体" w:cs="宋体"/>
                <w:spacing w:val="-42"/>
              </w:rPr>
              <w:t xml:space="preserve"> </w:t>
            </w:r>
            <w:r>
              <w:rPr>
                <w:rFonts w:hint="eastAsia" w:ascii="宋体" w:hAnsi="宋体" w:eastAsia="宋体" w:cs="宋体"/>
                <w:spacing w:val="-2"/>
              </w:rPr>
              <w:t>分；差或无措施不得分。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eastAsia" w:ascii="宋体" w:hAnsi="宋体" w:eastAsia="宋体" w:cs="宋体"/>
              </w:rPr>
            </w:pPr>
          </w:p>
        </w:tc>
        <w:tc>
          <w:tcPr>
            <w:tcW w:w="1098" w:type="dxa"/>
            <w:vMerge w:val="continue"/>
            <w:vAlign w:val="center"/>
          </w:tcPr>
          <w:p>
            <w:pPr>
              <w:pStyle w:val="30"/>
              <w:kinsoku w:val="0"/>
              <w:overflowPunct w:val="0"/>
              <w:spacing w:line="186" w:lineRule="exact"/>
              <w:ind w:left="-115" w:leftChars="-55" w:right="-122" w:rightChars="-58"/>
              <w:jc w:val="center"/>
              <w:rPr>
                <w:rFonts w:hint="eastAsia" w:ascii="宋体" w:hAnsi="宋体" w:eastAsia="宋体" w:cs="宋体"/>
              </w:rPr>
            </w:pPr>
          </w:p>
        </w:tc>
        <w:tc>
          <w:tcPr>
            <w:tcW w:w="2132" w:type="dxa"/>
            <w:vAlign w:val="center"/>
          </w:tcPr>
          <w:p>
            <w:pPr>
              <w:spacing w:before="126" w:line="204" w:lineRule="auto"/>
              <w:jc w:val="center"/>
              <w:rPr>
                <w:rFonts w:hint="eastAsia" w:ascii="宋体" w:hAnsi="宋体" w:eastAsia="宋体" w:cs="宋体"/>
              </w:rPr>
            </w:pPr>
            <w:r>
              <w:rPr>
                <w:rFonts w:hint="eastAsia" w:ascii="宋体" w:hAnsi="宋体" w:eastAsia="宋体" w:cs="宋体"/>
                <w:spacing w:val="-1"/>
              </w:rPr>
              <w:t>合同管理、信息管</w:t>
            </w:r>
            <w:r>
              <w:rPr>
                <w:rFonts w:hint="eastAsia" w:ascii="宋体" w:hAnsi="宋体" w:eastAsia="宋体" w:cs="宋体"/>
                <w:spacing w:val="-3"/>
              </w:rPr>
              <w:t>理（3</w:t>
            </w:r>
            <w:r>
              <w:rPr>
                <w:rFonts w:hint="eastAsia" w:ascii="宋体" w:hAnsi="宋体" w:eastAsia="宋体" w:cs="宋体"/>
                <w:spacing w:val="-41"/>
              </w:rPr>
              <w:t xml:space="preserve"> </w:t>
            </w:r>
            <w:r>
              <w:rPr>
                <w:rFonts w:hint="eastAsia" w:ascii="宋体" w:hAnsi="宋体" w:eastAsia="宋体" w:cs="宋体"/>
                <w:spacing w:val="-3"/>
              </w:rPr>
              <w:t>分）</w:t>
            </w:r>
          </w:p>
        </w:tc>
        <w:tc>
          <w:tcPr>
            <w:tcW w:w="5252" w:type="dxa"/>
            <w:vAlign w:val="center"/>
          </w:tcPr>
          <w:p>
            <w:pPr>
              <w:spacing w:before="125" w:line="241" w:lineRule="auto"/>
              <w:jc w:val="left"/>
              <w:rPr>
                <w:rFonts w:hint="eastAsia" w:ascii="宋体" w:hAnsi="宋体" w:eastAsia="宋体" w:cs="宋体"/>
              </w:rPr>
            </w:pPr>
            <w:r>
              <w:rPr>
                <w:rFonts w:hint="eastAsia" w:ascii="宋体" w:hAnsi="宋体" w:eastAsia="宋体" w:cs="宋体"/>
                <w:spacing w:val="-7"/>
              </w:rPr>
              <w:t>合同管理、信息管理方法，针对性强、措施具体得</w:t>
            </w:r>
            <w:r>
              <w:rPr>
                <w:rFonts w:hint="eastAsia" w:ascii="宋体" w:hAnsi="宋体" w:eastAsia="宋体" w:cs="宋体"/>
                <w:spacing w:val="-29"/>
              </w:rPr>
              <w:t xml:space="preserve"> </w:t>
            </w:r>
            <w:r>
              <w:rPr>
                <w:rFonts w:hint="eastAsia" w:ascii="宋体" w:hAnsi="宋体" w:eastAsia="宋体" w:cs="宋体"/>
                <w:spacing w:val="-7"/>
              </w:rPr>
              <w:t>3</w:t>
            </w:r>
            <w:r>
              <w:rPr>
                <w:rFonts w:hint="eastAsia" w:ascii="宋体" w:hAnsi="宋体" w:eastAsia="宋体" w:cs="宋体"/>
                <w:spacing w:val="-44"/>
              </w:rPr>
              <w:t xml:space="preserve"> </w:t>
            </w:r>
            <w:r>
              <w:rPr>
                <w:rFonts w:hint="eastAsia" w:ascii="宋体" w:hAnsi="宋体" w:eastAsia="宋体" w:cs="宋体"/>
                <w:spacing w:val="-7"/>
              </w:rPr>
              <w:t>分；基本可行得</w:t>
            </w:r>
            <w:r>
              <w:rPr>
                <w:rFonts w:hint="eastAsia" w:ascii="宋体" w:hAnsi="宋体" w:eastAsia="宋体" w:cs="宋体"/>
                <w:spacing w:val="-31"/>
              </w:rPr>
              <w:t xml:space="preserve"> </w:t>
            </w:r>
            <w:r>
              <w:rPr>
                <w:rFonts w:hint="eastAsia" w:ascii="宋体" w:hAnsi="宋体" w:eastAsia="宋体" w:cs="宋体"/>
                <w:spacing w:val="-7"/>
              </w:rPr>
              <w:t>1</w:t>
            </w:r>
            <w:r>
              <w:rPr>
                <w:rFonts w:hint="eastAsia" w:ascii="宋体" w:hAnsi="宋体" w:eastAsia="宋体" w:cs="宋体"/>
                <w:spacing w:val="-41"/>
              </w:rPr>
              <w:t xml:space="preserve"> </w:t>
            </w:r>
            <w:r>
              <w:rPr>
                <w:rFonts w:hint="eastAsia" w:ascii="宋体" w:hAnsi="宋体" w:eastAsia="宋体" w:cs="宋体"/>
                <w:spacing w:val="-7"/>
              </w:rPr>
              <w:t>分；</w:t>
            </w:r>
            <w:r>
              <w:rPr>
                <w:rFonts w:hint="eastAsia" w:ascii="宋体" w:hAnsi="宋体" w:eastAsia="宋体" w:cs="宋体"/>
                <w:spacing w:val="-85"/>
              </w:rPr>
              <w:t xml:space="preserve"> </w:t>
            </w:r>
            <w:r>
              <w:rPr>
                <w:rFonts w:hint="eastAsia" w:ascii="宋体" w:hAnsi="宋体" w:eastAsia="宋体" w:cs="宋体"/>
                <w:spacing w:val="-1"/>
              </w:rPr>
              <w:t>措施不得力或无不得分。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default"/>
              </w:rPr>
            </w:pPr>
          </w:p>
        </w:tc>
        <w:tc>
          <w:tcPr>
            <w:tcW w:w="1098" w:type="dxa"/>
            <w:vMerge w:val="continue"/>
            <w:vAlign w:val="center"/>
          </w:tcPr>
          <w:p>
            <w:pPr>
              <w:pStyle w:val="30"/>
              <w:kinsoku w:val="0"/>
              <w:overflowPunct w:val="0"/>
              <w:spacing w:line="186" w:lineRule="exact"/>
              <w:ind w:left="-115" w:leftChars="-55" w:right="-122" w:rightChars="-58"/>
              <w:jc w:val="center"/>
              <w:rPr>
                <w:rFonts w:hint="default"/>
              </w:rPr>
            </w:pPr>
          </w:p>
        </w:tc>
        <w:tc>
          <w:tcPr>
            <w:tcW w:w="2132" w:type="dxa"/>
            <w:vAlign w:val="center"/>
          </w:tcPr>
          <w:p>
            <w:pPr>
              <w:spacing w:before="164" w:line="204" w:lineRule="auto"/>
              <w:jc w:val="center"/>
              <w:rPr>
                <w:rFonts w:ascii="宋体" w:hAnsi="宋体" w:cs="宋体"/>
              </w:rPr>
            </w:pPr>
            <w:r>
              <w:rPr>
                <w:rFonts w:ascii="宋体" w:hAnsi="宋体" w:cs="宋体"/>
                <w:spacing w:val="-2"/>
              </w:rPr>
              <w:t>组织协调（3</w:t>
            </w:r>
            <w:r>
              <w:rPr>
                <w:rFonts w:ascii="宋体" w:hAnsi="宋体" w:cs="宋体"/>
                <w:spacing w:val="-40"/>
              </w:rPr>
              <w:t xml:space="preserve"> </w:t>
            </w:r>
            <w:r>
              <w:rPr>
                <w:rFonts w:ascii="宋体" w:hAnsi="宋体" w:cs="宋体"/>
                <w:spacing w:val="-2"/>
              </w:rPr>
              <w:t>分）</w:t>
            </w:r>
          </w:p>
        </w:tc>
        <w:tc>
          <w:tcPr>
            <w:tcW w:w="5252" w:type="dxa"/>
            <w:vAlign w:val="center"/>
          </w:tcPr>
          <w:p>
            <w:pPr>
              <w:spacing w:before="30" w:line="212" w:lineRule="auto"/>
              <w:ind w:right="102"/>
              <w:jc w:val="left"/>
              <w:rPr>
                <w:rFonts w:ascii="宋体" w:hAnsi="宋体" w:cs="宋体"/>
              </w:rPr>
            </w:pPr>
            <w:r>
              <w:rPr>
                <w:rFonts w:ascii="宋体" w:hAnsi="宋体" w:cs="宋体"/>
                <w:spacing w:val="-6"/>
              </w:rPr>
              <w:t>协调方法清晰合理、有具体措施优得</w:t>
            </w:r>
            <w:r>
              <w:rPr>
                <w:rFonts w:ascii="宋体" w:hAnsi="宋体" w:cs="宋体"/>
                <w:spacing w:val="-11"/>
              </w:rPr>
              <w:t xml:space="preserve"> </w:t>
            </w:r>
            <w:r>
              <w:rPr>
                <w:rFonts w:ascii="宋体" w:hAnsi="宋体" w:cs="宋体"/>
                <w:spacing w:val="-6"/>
              </w:rPr>
              <w:t>3</w:t>
            </w:r>
            <w:r>
              <w:rPr>
                <w:rFonts w:ascii="宋体" w:hAnsi="宋体" w:cs="宋体"/>
                <w:spacing w:val="-41"/>
              </w:rPr>
              <w:t xml:space="preserve"> </w:t>
            </w:r>
            <w:r>
              <w:rPr>
                <w:rFonts w:ascii="宋体" w:hAnsi="宋体" w:cs="宋体"/>
                <w:spacing w:val="-6"/>
              </w:rPr>
              <w:t>分；</w:t>
            </w:r>
            <w:r>
              <w:rPr>
                <w:rFonts w:ascii="宋体" w:hAnsi="宋体" w:cs="宋体"/>
                <w:spacing w:val="-77"/>
              </w:rPr>
              <w:t xml:space="preserve"> </w:t>
            </w:r>
            <w:r>
              <w:rPr>
                <w:rFonts w:ascii="宋体" w:hAnsi="宋体" w:cs="宋体"/>
                <w:spacing w:val="-6"/>
              </w:rPr>
              <w:t>良得</w:t>
            </w:r>
            <w:r>
              <w:rPr>
                <w:rFonts w:ascii="宋体" w:hAnsi="宋体" w:cs="宋体"/>
                <w:spacing w:val="-42"/>
              </w:rPr>
              <w:t xml:space="preserve"> </w:t>
            </w:r>
            <w:r>
              <w:rPr>
                <w:rFonts w:ascii="宋体" w:hAnsi="宋体" w:cs="宋体"/>
                <w:spacing w:val="-6"/>
              </w:rPr>
              <w:t>2</w:t>
            </w:r>
            <w:r>
              <w:rPr>
                <w:rFonts w:ascii="宋体" w:hAnsi="宋体" w:cs="宋体"/>
                <w:spacing w:val="-44"/>
              </w:rPr>
              <w:t xml:space="preserve"> </w:t>
            </w:r>
            <w:r>
              <w:rPr>
                <w:rFonts w:ascii="宋体" w:hAnsi="宋体" w:cs="宋体"/>
                <w:spacing w:val="-6"/>
              </w:rPr>
              <w:t>分；一般得</w:t>
            </w:r>
            <w:r>
              <w:rPr>
                <w:rFonts w:ascii="宋体" w:hAnsi="宋体" w:cs="宋体"/>
                <w:spacing w:val="-31"/>
              </w:rPr>
              <w:t xml:space="preserve"> </w:t>
            </w:r>
            <w:r>
              <w:rPr>
                <w:rFonts w:ascii="宋体" w:hAnsi="宋体" w:cs="宋体"/>
                <w:spacing w:val="-6"/>
              </w:rPr>
              <w:t>1</w:t>
            </w:r>
            <w:r>
              <w:rPr>
                <w:rFonts w:ascii="宋体" w:hAnsi="宋体" w:cs="宋体"/>
                <w:spacing w:val="-41"/>
              </w:rPr>
              <w:t xml:space="preserve"> </w:t>
            </w:r>
            <w:r>
              <w:rPr>
                <w:rFonts w:ascii="宋体" w:hAnsi="宋体" w:cs="宋体"/>
                <w:spacing w:val="-6"/>
              </w:rPr>
              <w:t>分；差或</w:t>
            </w:r>
            <w:r>
              <w:rPr>
                <w:rFonts w:ascii="宋体" w:hAnsi="宋体" w:cs="宋体"/>
                <w:spacing w:val="-85"/>
              </w:rPr>
              <w:t xml:space="preserve"> </w:t>
            </w:r>
            <w:r>
              <w:rPr>
                <w:rFonts w:ascii="宋体" w:hAnsi="宋体" w:cs="宋体"/>
                <w:spacing w:val="-2"/>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default"/>
              </w:rPr>
            </w:pPr>
          </w:p>
        </w:tc>
        <w:tc>
          <w:tcPr>
            <w:tcW w:w="1098" w:type="dxa"/>
            <w:vMerge w:val="continue"/>
            <w:vAlign w:val="center"/>
          </w:tcPr>
          <w:p>
            <w:pPr>
              <w:pStyle w:val="30"/>
              <w:kinsoku w:val="0"/>
              <w:overflowPunct w:val="0"/>
              <w:spacing w:line="186" w:lineRule="exact"/>
              <w:ind w:left="-115" w:leftChars="-55" w:right="-122" w:rightChars="-58"/>
              <w:jc w:val="center"/>
              <w:rPr>
                <w:rFonts w:hint="default"/>
              </w:rPr>
            </w:pPr>
          </w:p>
        </w:tc>
        <w:tc>
          <w:tcPr>
            <w:tcW w:w="2132" w:type="dxa"/>
            <w:vAlign w:val="center"/>
          </w:tcPr>
          <w:p>
            <w:pPr>
              <w:spacing w:before="30" w:line="204" w:lineRule="auto"/>
              <w:jc w:val="center"/>
              <w:rPr>
                <w:rFonts w:ascii="宋体" w:hAnsi="宋体" w:cs="宋体"/>
              </w:rPr>
            </w:pPr>
            <w:r>
              <w:rPr>
                <w:rFonts w:ascii="宋体" w:hAnsi="宋体" w:cs="宋体"/>
                <w:spacing w:val="-1"/>
              </w:rPr>
              <w:t>监理工作程序</w:t>
            </w:r>
            <w:r>
              <w:rPr>
                <w:rFonts w:ascii="宋体" w:hAnsi="宋体" w:cs="宋体"/>
                <w:spacing w:val="-9"/>
                <w:w w:val="88"/>
              </w:rPr>
              <w:t>（3</w:t>
            </w:r>
            <w:r>
              <w:rPr>
                <w:rFonts w:ascii="宋体" w:hAnsi="宋体" w:cs="宋体"/>
                <w:spacing w:val="-41"/>
              </w:rPr>
              <w:t xml:space="preserve"> </w:t>
            </w:r>
            <w:r>
              <w:rPr>
                <w:rFonts w:ascii="宋体" w:hAnsi="宋体" w:cs="宋体"/>
                <w:spacing w:val="-9"/>
                <w:w w:val="88"/>
              </w:rPr>
              <w:t>分）</w:t>
            </w:r>
          </w:p>
        </w:tc>
        <w:tc>
          <w:tcPr>
            <w:tcW w:w="5252" w:type="dxa"/>
            <w:vAlign w:val="center"/>
          </w:tcPr>
          <w:p>
            <w:pPr>
              <w:spacing w:before="30" w:line="212" w:lineRule="auto"/>
              <w:ind w:right="102"/>
              <w:jc w:val="left"/>
              <w:rPr>
                <w:rFonts w:ascii="宋体" w:hAnsi="宋体" w:cs="宋体"/>
              </w:rPr>
            </w:pPr>
            <w:r>
              <w:rPr>
                <w:rFonts w:ascii="宋体" w:hAnsi="宋体" w:cs="宋体"/>
                <w:spacing w:val="-4"/>
              </w:rPr>
              <w:t>有清晰的工作流程图、工作准则。满足要求得</w:t>
            </w:r>
            <w:r>
              <w:rPr>
                <w:rFonts w:ascii="宋体" w:hAnsi="宋体" w:cs="宋体"/>
                <w:spacing w:val="-28"/>
              </w:rPr>
              <w:t xml:space="preserve"> </w:t>
            </w:r>
            <w:r>
              <w:rPr>
                <w:rFonts w:ascii="宋体" w:hAnsi="宋体" w:cs="宋体"/>
                <w:spacing w:val="-4"/>
              </w:rPr>
              <w:t>3</w:t>
            </w:r>
            <w:r>
              <w:rPr>
                <w:rFonts w:ascii="宋体" w:hAnsi="宋体" w:cs="宋体"/>
                <w:spacing w:val="-41"/>
              </w:rPr>
              <w:t xml:space="preserve"> </w:t>
            </w:r>
            <w:r>
              <w:rPr>
                <w:rFonts w:ascii="宋体" w:hAnsi="宋体" w:cs="宋体"/>
                <w:spacing w:val="-4"/>
              </w:rPr>
              <w:t>分；基本满足得</w:t>
            </w:r>
            <w:r>
              <w:rPr>
                <w:rFonts w:ascii="宋体" w:hAnsi="宋体" w:cs="宋体"/>
                <w:spacing w:val="-28"/>
              </w:rPr>
              <w:t xml:space="preserve"> </w:t>
            </w:r>
            <w:r>
              <w:rPr>
                <w:rFonts w:ascii="宋体" w:hAnsi="宋体" w:cs="宋体"/>
                <w:spacing w:val="-4"/>
              </w:rPr>
              <w:t>1</w:t>
            </w:r>
            <w:r>
              <w:rPr>
                <w:rFonts w:ascii="宋体" w:hAnsi="宋体" w:cs="宋体"/>
                <w:spacing w:val="-44"/>
              </w:rPr>
              <w:t xml:space="preserve"> </w:t>
            </w:r>
            <w:r>
              <w:rPr>
                <w:rFonts w:ascii="宋体" w:hAnsi="宋体" w:cs="宋体"/>
                <w:spacing w:val="-4"/>
              </w:rPr>
              <w:t>分；不</w:t>
            </w:r>
            <w:r>
              <w:rPr>
                <w:rFonts w:ascii="宋体" w:hAnsi="宋体" w:cs="宋体"/>
                <w:spacing w:val="-85"/>
              </w:rPr>
              <w:t xml:space="preserve"> </w:t>
            </w:r>
            <w:r>
              <w:rPr>
                <w:rFonts w:ascii="宋体" w:hAnsi="宋体" w:cs="宋体"/>
                <w:spacing w:val="-1"/>
              </w:rPr>
              <w:t>满足要求或无不得分。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default"/>
              </w:rPr>
            </w:pPr>
          </w:p>
        </w:tc>
        <w:tc>
          <w:tcPr>
            <w:tcW w:w="1098" w:type="dxa"/>
            <w:vMerge w:val="continue"/>
            <w:vAlign w:val="center"/>
          </w:tcPr>
          <w:p>
            <w:pPr>
              <w:pStyle w:val="30"/>
              <w:kinsoku w:val="0"/>
              <w:overflowPunct w:val="0"/>
              <w:spacing w:line="186" w:lineRule="exact"/>
              <w:ind w:left="-115" w:leftChars="-55" w:right="-122" w:rightChars="-58"/>
              <w:jc w:val="center"/>
              <w:rPr>
                <w:rFonts w:hint="default"/>
              </w:rPr>
            </w:pPr>
          </w:p>
        </w:tc>
        <w:tc>
          <w:tcPr>
            <w:tcW w:w="2132" w:type="dxa"/>
            <w:vAlign w:val="center"/>
          </w:tcPr>
          <w:p>
            <w:pPr>
              <w:spacing w:before="30" w:line="204" w:lineRule="auto"/>
              <w:jc w:val="center"/>
              <w:rPr>
                <w:rFonts w:ascii="宋体" w:hAnsi="宋体" w:cs="宋体"/>
              </w:rPr>
            </w:pPr>
            <w:r>
              <w:rPr>
                <w:rFonts w:ascii="宋体" w:hAnsi="宋体" w:cs="宋体"/>
                <w:spacing w:val="-2"/>
              </w:rPr>
              <w:t>安全、文明施工管</w:t>
            </w:r>
            <w:r>
              <w:rPr>
                <w:rFonts w:ascii="宋体" w:hAnsi="宋体" w:cs="宋体"/>
                <w:spacing w:val="-3"/>
              </w:rPr>
              <w:t>理（4</w:t>
            </w:r>
            <w:r>
              <w:rPr>
                <w:rFonts w:ascii="宋体" w:hAnsi="宋体" w:cs="宋体"/>
                <w:spacing w:val="-41"/>
              </w:rPr>
              <w:t xml:space="preserve"> </w:t>
            </w:r>
            <w:r>
              <w:rPr>
                <w:rFonts w:ascii="宋体" w:hAnsi="宋体" w:cs="宋体"/>
                <w:spacing w:val="-3"/>
              </w:rPr>
              <w:t>分）</w:t>
            </w:r>
          </w:p>
        </w:tc>
        <w:tc>
          <w:tcPr>
            <w:tcW w:w="5252" w:type="dxa"/>
            <w:vAlign w:val="center"/>
          </w:tcPr>
          <w:p>
            <w:pPr>
              <w:spacing w:before="167" w:line="204" w:lineRule="auto"/>
              <w:jc w:val="left"/>
              <w:rPr>
                <w:rFonts w:ascii="宋体" w:hAnsi="宋体" w:cs="宋体"/>
              </w:rPr>
            </w:pPr>
            <w:r>
              <w:rPr>
                <w:rFonts w:ascii="宋体" w:hAnsi="宋体" w:cs="宋体"/>
                <w:spacing w:val="-4"/>
              </w:rPr>
              <w:t>管理措施优得</w:t>
            </w:r>
            <w:r>
              <w:rPr>
                <w:rFonts w:ascii="宋体" w:hAnsi="宋体" w:cs="宋体"/>
                <w:spacing w:val="-25"/>
              </w:rPr>
              <w:t xml:space="preserve"> </w:t>
            </w:r>
            <w:r>
              <w:rPr>
                <w:rFonts w:ascii="宋体" w:hAnsi="宋体" w:cs="宋体"/>
                <w:spacing w:val="-4"/>
              </w:rPr>
              <w:t>4</w:t>
            </w:r>
            <w:r>
              <w:rPr>
                <w:rFonts w:ascii="宋体" w:hAnsi="宋体" w:cs="宋体"/>
                <w:spacing w:val="-44"/>
              </w:rPr>
              <w:t xml:space="preserve"> </w:t>
            </w:r>
            <w:r>
              <w:rPr>
                <w:rFonts w:ascii="宋体" w:hAnsi="宋体" w:cs="宋体"/>
                <w:spacing w:val="-4"/>
              </w:rPr>
              <w:t>分；良得</w:t>
            </w:r>
            <w:r>
              <w:rPr>
                <w:rFonts w:ascii="宋体" w:hAnsi="宋体" w:cs="宋体"/>
                <w:spacing w:val="-44"/>
              </w:rPr>
              <w:t xml:space="preserve"> </w:t>
            </w:r>
            <w:r>
              <w:rPr>
                <w:rFonts w:ascii="宋体" w:hAnsi="宋体" w:cs="宋体"/>
                <w:spacing w:val="-4"/>
              </w:rPr>
              <w:t>2</w:t>
            </w:r>
            <w:r>
              <w:rPr>
                <w:rFonts w:ascii="宋体" w:hAnsi="宋体" w:cs="宋体"/>
                <w:spacing w:val="-41"/>
              </w:rPr>
              <w:t xml:space="preserve"> </w:t>
            </w:r>
            <w:r>
              <w:rPr>
                <w:rFonts w:ascii="宋体" w:hAnsi="宋体" w:cs="宋体"/>
                <w:spacing w:val="-4"/>
              </w:rPr>
              <w:t>分；</w:t>
            </w:r>
            <w:r>
              <w:rPr>
                <w:rFonts w:ascii="宋体" w:hAnsi="宋体" w:cs="宋体"/>
                <w:spacing w:val="-96"/>
              </w:rPr>
              <w:t xml:space="preserve"> </w:t>
            </w:r>
            <w:r>
              <w:rPr>
                <w:rFonts w:ascii="宋体" w:hAnsi="宋体" w:cs="宋体"/>
                <w:spacing w:val="-4"/>
              </w:rPr>
              <w:t>一般得</w:t>
            </w:r>
            <w:r>
              <w:rPr>
                <w:rFonts w:ascii="宋体" w:hAnsi="宋体" w:cs="宋体"/>
                <w:spacing w:val="-28"/>
              </w:rPr>
              <w:t xml:space="preserve"> </w:t>
            </w:r>
            <w:r>
              <w:rPr>
                <w:rFonts w:ascii="宋体" w:hAnsi="宋体" w:cs="宋体"/>
                <w:spacing w:val="-4"/>
              </w:rPr>
              <w:t>1</w:t>
            </w:r>
            <w:r>
              <w:rPr>
                <w:rFonts w:ascii="宋体" w:hAnsi="宋体" w:cs="宋体"/>
                <w:spacing w:val="-44"/>
              </w:rPr>
              <w:t xml:space="preserve"> </w:t>
            </w:r>
            <w:r>
              <w:rPr>
                <w:rFonts w:ascii="宋体" w:hAnsi="宋体" w:cs="宋体"/>
                <w:spacing w:val="-4"/>
              </w:rPr>
              <w:t>分；</w:t>
            </w:r>
            <w:r>
              <w:rPr>
                <w:rFonts w:ascii="宋体" w:hAnsi="宋体" w:cs="宋体"/>
                <w:spacing w:val="-97"/>
              </w:rPr>
              <w:t xml:space="preserve"> </w:t>
            </w:r>
            <w:r>
              <w:rPr>
                <w:rFonts w:ascii="宋体" w:hAnsi="宋体" w:cs="宋体"/>
                <w:spacing w:val="-4"/>
              </w:rPr>
              <w:t>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default"/>
              </w:rPr>
            </w:pPr>
          </w:p>
        </w:tc>
        <w:tc>
          <w:tcPr>
            <w:tcW w:w="1098" w:type="dxa"/>
            <w:vMerge w:val="continue"/>
            <w:vAlign w:val="center"/>
          </w:tcPr>
          <w:p>
            <w:pPr>
              <w:pStyle w:val="30"/>
              <w:kinsoku w:val="0"/>
              <w:overflowPunct w:val="0"/>
              <w:spacing w:line="186" w:lineRule="exact"/>
              <w:ind w:left="-115" w:leftChars="-55" w:right="-122" w:rightChars="-58"/>
              <w:jc w:val="center"/>
              <w:rPr>
                <w:rFonts w:hint="default"/>
              </w:rPr>
            </w:pPr>
          </w:p>
        </w:tc>
        <w:tc>
          <w:tcPr>
            <w:tcW w:w="2132" w:type="dxa"/>
            <w:vAlign w:val="center"/>
          </w:tcPr>
          <w:p>
            <w:pPr>
              <w:spacing w:before="30" w:line="204" w:lineRule="auto"/>
              <w:jc w:val="center"/>
              <w:rPr>
                <w:rFonts w:ascii="宋体" w:hAnsi="宋体" w:cs="宋体"/>
                <w:spacing w:val="-1"/>
              </w:rPr>
            </w:pPr>
            <w:r>
              <w:rPr>
                <w:rFonts w:ascii="宋体" w:hAnsi="宋体" w:cs="宋体"/>
                <w:spacing w:val="-1"/>
              </w:rPr>
              <w:t>重点难点监控措施</w:t>
            </w:r>
          </w:p>
          <w:p>
            <w:pPr>
              <w:spacing w:before="30" w:line="204" w:lineRule="auto"/>
              <w:jc w:val="center"/>
              <w:rPr>
                <w:rFonts w:ascii="宋体" w:hAnsi="宋体" w:cs="宋体"/>
              </w:rPr>
            </w:pPr>
            <w:r>
              <w:rPr>
                <w:rFonts w:ascii="宋体" w:hAnsi="宋体" w:cs="宋体"/>
                <w:spacing w:val="-9"/>
                <w:w w:val="88"/>
              </w:rPr>
              <w:t>（6</w:t>
            </w:r>
            <w:r>
              <w:rPr>
                <w:rFonts w:ascii="宋体" w:hAnsi="宋体" w:cs="宋体"/>
                <w:spacing w:val="-41"/>
              </w:rPr>
              <w:t xml:space="preserve"> </w:t>
            </w:r>
            <w:r>
              <w:rPr>
                <w:rFonts w:ascii="宋体" w:hAnsi="宋体" w:cs="宋体"/>
                <w:spacing w:val="-9"/>
                <w:w w:val="88"/>
              </w:rPr>
              <w:t>分）</w:t>
            </w:r>
          </w:p>
        </w:tc>
        <w:tc>
          <w:tcPr>
            <w:tcW w:w="5252" w:type="dxa"/>
            <w:vAlign w:val="center"/>
          </w:tcPr>
          <w:p>
            <w:pPr>
              <w:spacing w:before="30" w:line="213" w:lineRule="auto"/>
              <w:ind w:right="45"/>
              <w:jc w:val="left"/>
              <w:rPr>
                <w:rFonts w:ascii="宋体" w:hAnsi="宋体" w:cs="宋体"/>
              </w:rPr>
            </w:pPr>
            <w:r>
              <w:rPr>
                <w:rFonts w:ascii="宋体" w:hAnsi="宋体" w:cs="宋体"/>
                <w:spacing w:val="-3"/>
              </w:rPr>
              <w:t>要求针对性强、措施具体、可操作。优得</w:t>
            </w:r>
            <w:r>
              <w:rPr>
                <w:rFonts w:ascii="宋体" w:hAnsi="宋体" w:cs="宋体"/>
                <w:spacing w:val="-28"/>
              </w:rPr>
              <w:t xml:space="preserve"> </w:t>
            </w:r>
            <w:r>
              <w:rPr>
                <w:rFonts w:ascii="宋体" w:hAnsi="宋体" w:cs="宋体"/>
                <w:spacing w:val="-3"/>
              </w:rPr>
              <w:t>6</w:t>
            </w:r>
            <w:r>
              <w:rPr>
                <w:rFonts w:ascii="宋体" w:hAnsi="宋体" w:cs="宋体"/>
                <w:spacing w:val="-42"/>
              </w:rPr>
              <w:t xml:space="preserve"> </w:t>
            </w:r>
            <w:r>
              <w:rPr>
                <w:rFonts w:ascii="宋体" w:hAnsi="宋体" w:cs="宋体"/>
                <w:spacing w:val="-3"/>
              </w:rPr>
              <w:t>分；良得</w:t>
            </w:r>
            <w:r>
              <w:rPr>
                <w:rFonts w:ascii="宋体" w:hAnsi="宋体" w:cs="宋体"/>
                <w:spacing w:val="-39"/>
              </w:rPr>
              <w:t xml:space="preserve"> </w:t>
            </w:r>
            <w:r>
              <w:rPr>
                <w:rFonts w:ascii="宋体" w:hAnsi="宋体" w:cs="宋体"/>
                <w:spacing w:val="-3"/>
              </w:rPr>
              <w:t>3</w:t>
            </w:r>
            <w:r>
              <w:rPr>
                <w:rFonts w:ascii="宋体" w:hAnsi="宋体" w:cs="宋体"/>
                <w:spacing w:val="-41"/>
              </w:rPr>
              <w:t xml:space="preserve"> </w:t>
            </w:r>
            <w:r>
              <w:rPr>
                <w:rFonts w:ascii="宋体" w:hAnsi="宋体" w:cs="宋体"/>
                <w:spacing w:val="-3"/>
              </w:rPr>
              <w:t>分；一般得</w:t>
            </w:r>
            <w:r>
              <w:rPr>
                <w:rFonts w:ascii="宋体" w:hAnsi="宋体" w:cs="宋体"/>
                <w:spacing w:val="-29"/>
              </w:rPr>
              <w:t xml:space="preserve"> </w:t>
            </w:r>
            <w:r>
              <w:rPr>
                <w:rFonts w:ascii="宋体" w:hAnsi="宋体" w:cs="宋体"/>
                <w:spacing w:val="-3"/>
              </w:rPr>
              <w:t>1</w:t>
            </w:r>
            <w:r>
              <w:rPr>
                <w:rFonts w:ascii="宋体" w:hAnsi="宋体" w:cs="宋体"/>
                <w:spacing w:val="-41"/>
              </w:rPr>
              <w:t xml:space="preserve"> </w:t>
            </w:r>
            <w:r>
              <w:rPr>
                <w:rFonts w:ascii="宋体" w:hAnsi="宋体" w:cs="宋体"/>
                <w:spacing w:val="-3"/>
              </w:rPr>
              <w:t>分；</w:t>
            </w:r>
            <w:r>
              <w:rPr>
                <w:rFonts w:ascii="宋体" w:hAnsi="宋体" w:cs="宋体"/>
                <w:spacing w:val="-85"/>
              </w:rPr>
              <w:t xml:space="preserve"> </w:t>
            </w:r>
            <w:r>
              <w:rPr>
                <w:rFonts w:ascii="宋体" w:hAnsi="宋体" w:cs="宋体"/>
                <w:spacing w:val="-1"/>
              </w:rPr>
              <w:t>差或无措施不得分。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default"/>
              </w:rPr>
            </w:pPr>
          </w:p>
        </w:tc>
        <w:tc>
          <w:tcPr>
            <w:tcW w:w="1098" w:type="dxa"/>
            <w:vMerge w:val="continue"/>
            <w:vAlign w:val="center"/>
          </w:tcPr>
          <w:p>
            <w:pPr>
              <w:pStyle w:val="30"/>
              <w:kinsoku w:val="0"/>
              <w:overflowPunct w:val="0"/>
              <w:spacing w:line="186" w:lineRule="exact"/>
              <w:ind w:left="-115" w:leftChars="-55" w:right="-122" w:rightChars="-58"/>
              <w:jc w:val="center"/>
              <w:rPr>
                <w:rFonts w:hint="default"/>
              </w:rPr>
            </w:pPr>
          </w:p>
        </w:tc>
        <w:tc>
          <w:tcPr>
            <w:tcW w:w="2132" w:type="dxa"/>
            <w:vAlign w:val="center"/>
          </w:tcPr>
          <w:p>
            <w:pPr>
              <w:spacing w:before="29" w:line="204" w:lineRule="auto"/>
              <w:jc w:val="center"/>
              <w:rPr>
                <w:rFonts w:ascii="宋体" w:hAnsi="宋体" w:cs="宋体"/>
              </w:rPr>
            </w:pPr>
            <w:r>
              <w:rPr>
                <w:rFonts w:ascii="宋体" w:hAnsi="宋体" w:cs="宋体"/>
                <w:spacing w:val="-1"/>
              </w:rPr>
              <w:t>工程进度款、工程</w:t>
            </w:r>
          </w:p>
          <w:p>
            <w:pPr>
              <w:spacing w:before="41" w:line="204" w:lineRule="auto"/>
              <w:jc w:val="center"/>
              <w:rPr>
                <w:rFonts w:ascii="宋体" w:hAnsi="宋体" w:cs="宋体"/>
              </w:rPr>
            </w:pPr>
            <w:r>
              <w:rPr>
                <w:rFonts w:ascii="宋体" w:hAnsi="宋体" w:cs="宋体"/>
                <w:spacing w:val="-2"/>
              </w:rPr>
              <w:t>结算的管理</w:t>
            </w:r>
            <w:r>
              <w:rPr>
                <w:rFonts w:ascii="宋体" w:hAnsi="宋体" w:cs="宋体"/>
                <w:spacing w:val="-9"/>
                <w:w w:val="88"/>
              </w:rPr>
              <w:t>（3</w:t>
            </w:r>
            <w:r>
              <w:rPr>
                <w:rFonts w:ascii="宋体" w:hAnsi="宋体" w:cs="宋体"/>
                <w:spacing w:val="-41"/>
              </w:rPr>
              <w:t xml:space="preserve"> </w:t>
            </w:r>
            <w:r>
              <w:rPr>
                <w:rFonts w:ascii="宋体" w:hAnsi="宋体" w:cs="宋体"/>
                <w:spacing w:val="-9"/>
                <w:w w:val="88"/>
              </w:rPr>
              <w:t>分）</w:t>
            </w:r>
          </w:p>
        </w:tc>
        <w:tc>
          <w:tcPr>
            <w:tcW w:w="5252" w:type="dxa"/>
            <w:vAlign w:val="center"/>
          </w:tcPr>
          <w:p>
            <w:pPr>
              <w:spacing w:before="168" w:line="238" w:lineRule="auto"/>
              <w:ind w:right="105"/>
              <w:jc w:val="left"/>
              <w:rPr>
                <w:rFonts w:ascii="宋体" w:hAnsi="宋体" w:cs="宋体"/>
              </w:rPr>
            </w:pPr>
            <w:r>
              <w:rPr>
                <w:rFonts w:ascii="宋体" w:hAnsi="宋体" w:cs="宋体"/>
                <w:spacing w:val="-4"/>
              </w:rPr>
              <w:t>管理方法合理有效、有具体措施得</w:t>
            </w:r>
            <w:r>
              <w:rPr>
                <w:rFonts w:ascii="宋体" w:hAnsi="宋体" w:cs="宋体"/>
                <w:spacing w:val="-34"/>
              </w:rPr>
              <w:t xml:space="preserve"> </w:t>
            </w:r>
            <w:r>
              <w:rPr>
                <w:rFonts w:ascii="宋体" w:hAnsi="宋体" w:cs="宋体"/>
                <w:spacing w:val="-4"/>
              </w:rPr>
              <w:t>3</w:t>
            </w:r>
            <w:r>
              <w:rPr>
                <w:rFonts w:ascii="宋体" w:hAnsi="宋体" w:cs="宋体"/>
                <w:spacing w:val="-44"/>
              </w:rPr>
              <w:t xml:space="preserve"> </w:t>
            </w:r>
            <w:r>
              <w:rPr>
                <w:rFonts w:ascii="宋体" w:hAnsi="宋体" w:cs="宋体"/>
                <w:spacing w:val="-4"/>
              </w:rPr>
              <w:t>分；一般、措施不具体得</w:t>
            </w:r>
            <w:r>
              <w:rPr>
                <w:rFonts w:ascii="宋体" w:hAnsi="宋体" w:cs="宋体"/>
                <w:spacing w:val="-28"/>
              </w:rPr>
              <w:t xml:space="preserve"> </w:t>
            </w:r>
            <w:r>
              <w:rPr>
                <w:rFonts w:ascii="宋体" w:hAnsi="宋体" w:cs="宋体"/>
                <w:spacing w:val="-4"/>
              </w:rPr>
              <w:t>1</w:t>
            </w:r>
            <w:r>
              <w:rPr>
                <w:rFonts w:ascii="宋体" w:hAnsi="宋体" w:cs="宋体"/>
                <w:spacing w:val="-41"/>
              </w:rPr>
              <w:t xml:space="preserve"> </w:t>
            </w:r>
            <w:r>
              <w:rPr>
                <w:rFonts w:ascii="宋体" w:hAnsi="宋体" w:cs="宋体"/>
                <w:spacing w:val="-4"/>
              </w:rPr>
              <w:t>分；无管</w:t>
            </w:r>
            <w:r>
              <w:rPr>
                <w:rFonts w:ascii="宋体" w:hAnsi="宋体" w:cs="宋体"/>
                <w:spacing w:val="-85"/>
              </w:rPr>
              <w:t xml:space="preserve"> </w:t>
            </w:r>
            <w:r>
              <w:rPr>
                <w:rFonts w:ascii="宋体" w:hAnsi="宋体" w:cs="宋体"/>
                <w:spacing w:val="-1"/>
              </w:rPr>
              <w:t>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default"/>
              </w:rPr>
            </w:pPr>
          </w:p>
        </w:tc>
        <w:tc>
          <w:tcPr>
            <w:tcW w:w="1098" w:type="dxa"/>
            <w:vMerge w:val="continue"/>
            <w:vAlign w:val="center"/>
          </w:tcPr>
          <w:p>
            <w:pPr>
              <w:pStyle w:val="30"/>
              <w:kinsoku w:val="0"/>
              <w:overflowPunct w:val="0"/>
              <w:spacing w:line="186" w:lineRule="exact"/>
              <w:ind w:left="-115" w:leftChars="-55" w:right="-122" w:rightChars="-58"/>
              <w:jc w:val="center"/>
              <w:rPr>
                <w:rFonts w:hint="default"/>
              </w:rPr>
            </w:pPr>
          </w:p>
        </w:tc>
        <w:tc>
          <w:tcPr>
            <w:tcW w:w="2132" w:type="dxa"/>
            <w:vAlign w:val="center"/>
          </w:tcPr>
          <w:p>
            <w:pPr>
              <w:spacing w:before="164" w:line="204" w:lineRule="auto"/>
              <w:jc w:val="center"/>
              <w:rPr>
                <w:rFonts w:ascii="宋体" w:hAnsi="宋体" w:cs="宋体"/>
              </w:rPr>
            </w:pPr>
            <w:r>
              <w:rPr>
                <w:rFonts w:ascii="宋体" w:hAnsi="宋体" w:cs="宋体"/>
                <w:spacing w:val="-2"/>
              </w:rPr>
              <w:t>会议制度（2</w:t>
            </w:r>
            <w:r>
              <w:rPr>
                <w:rFonts w:ascii="宋体" w:hAnsi="宋体" w:cs="宋体"/>
                <w:spacing w:val="-37"/>
              </w:rPr>
              <w:t xml:space="preserve"> </w:t>
            </w:r>
            <w:r>
              <w:rPr>
                <w:rFonts w:ascii="宋体" w:hAnsi="宋体" w:cs="宋体"/>
                <w:spacing w:val="-2"/>
              </w:rPr>
              <w:t>分）</w:t>
            </w:r>
          </w:p>
        </w:tc>
        <w:tc>
          <w:tcPr>
            <w:tcW w:w="5252" w:type="dxa"/>
            <w:vAlign w:val="center"/>
          </w:tcPr>
          <w:p>
            <w:pPr>
              <w:spacing w:before="30" w:line="212" w:lineRule="auto"/>
              <w:ind w:right="100"/>
              <w:jc w:val="left"/>
              <w:rPr>
                <w:rFonts w:ascii="宋体" w:hAnsi="宋体" w:cs="宋体"/>
              </w:rPr>
            </w:pPr>
            <w:r>
              <w:rPr>
                <w:rFonts w:ascii="宋体" w:hAnsi="宋体" w:cs="宋体"/>
                <w:spacing w:val="-4"/>
              </w:rPr>
              <w:t>建立完善的工地会议制度。满足要求得</w:t>
            </w:r>
            <w:r>
              <w:rPr>
                <w:rFonts w:ascii="宋体" w:hAnsi="宋体" w:cs="宋体"/>
                <w:spacing w:val="-29"/>
              </w:rPr>
              <w:t xml:space="preserve"> </w:t>
            </w:r>
            <w:r>
              <w:rPr>
                <w:rFonts w:ascii="宋体" w:hAnsi="宋体" w:cs="宋体"/>
                <w:spacing w:val="-4"/>
              </w:rPr>
              <w:t>2</w:t>
            </w:r>
            <w:r>
              <w:rPr>
                <w:rFonts w:ascii="宋体" w:hAnsi="宋体" w:cs="宋体"/>
                <w:spacing w:val="-42"/>
              </w:rPr>
              <w:t xml:space="preserve"> </w:t>
            </w:r>
            <w:r>
              <w:rPr>
                <w:rFonts w:ascii="宋体" w:hAnsi="宋体" w:cs="宋体"/>
                <w:spacing w:val="-4"/>
              </w:rPr>
              <w:t>分；基本满足要求得</w:t>
            </w:r>
            <w:r>
              <w:rPr>
                <w:rFonts w:ascii="宋体" w:hAnsi="宋体" w:cs="宋体"/>
                <w:spacing w:val="-28"/>
              </w:rPr>
              <w:t xml:space="preserve"> </w:t>
            </w:r>
            <w:r>
              <w:rPr>
                <w:rFonts w:ascii="宋体" w:hAnsi="宋体" w:cs="宋体"/>
                <w:spacing w:val="-4"/>
              </w:rPr>
              <w:t>1</w:t>
            </w:r>
            <w:r>
              <w:rPr>
                <w:rFonts w:ascii="宋体" w:hAnsi="宋体" w:cs="宋体"/>
                <w:spacing w:val="-41"/>
              </w:rPr>
              <w:t xml:space="preserve"> </w:t>
            </w:r>
            <w:r>
              <w:rPr>
                <w:rFonts w:ascii="宋体" w:hAnsi="宋体" w:cs="宋体"/>
                <w:spacing w:val="-4"/>
              </w:rPr>
              <w:t>分；不满</w:t>
            </w:r>
            <w:r>
              <w:rPr>
                <w:rFonts w:ascii="宋体" w:hAnsi="宋体" w:cs="宋体"/>
                <w:spacing w:val="-85"/>
              </w:rPr>
              <w:t xml:space="preserve"> </w:t>
            </w:r>
            <w:r>
              <w:rPr>
                <w:rFonts w:ascii="宋体" w:hAnsi="宋体" w:cs="宋体"/>
                <w:spacing w:val="-1"/>
              </w:rPr>
              <w:t>足要求或无不得分。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880" w:type="dxa"/>
            <w:gridSpan w:val="2"/>
            <w:vMerge w:val="continue"/>
            <w:vAlign w:val="center"/>
          </w:tcPr>
          <w:p>
            <w:pPr>
              <w:pStyle w:val="30"/>
              <w:kinsoku w:val="0"/>
              <w:overflowPunct w:val="0"/>
              <w:spacing w:line="186" w:lineRule="exact"/>
              <w:ind w:left="-63" w:leftChars="-30" w:right="-111" w:rightChars="-53" w:firstLine="63" w:firstLineChars="30"/>
              <w:jc w:val="center"/>
              <w:rPr>
                <w:rFonts w:hint="default"/>
              </w:rPr>
            </w:pPr>
          </w:p>
        </w:tc>
        <w:tc>
          <w:tcPr>
            <w:tcW w:w="1098" w:type="dxa"/>
            <w:vMerge w:val="continue"/>
            <w:vAlign w:val="center"/>
          </w:tcPr>
          <w:p>
            <w:pPr>
              <w:pStyle w:val="30"/>
              <w:kinsoku w:val="0"/>
              <w:overflowPunct w:val="0"/>
              <w:spacing w:line="186" w:lineRule="exact"/>
              <w:ind w:left="-115" w:leftChars="-55" w:right="-122" w:rightChars="-58"/>
              <w:jc w:val="center"/>
              <w:rPr>
                <w:rFonts w:hint="default"/>
              </w:rPr>
            </w:pPr>
          </w:p>
        </w:tc>
        <w:tc>
          <w:tcPr>
            <w:tcW w:w="2132" w:type="dxa"/>
            <w:vAlign w:val="center"/>
          </w:tcPr>
          <w:p>
            <w:pPr>
              <w:spacing w:before="29" w:line="204" w:lineRule="auto"/>
              <w:jc w:val="center"/>
              <w:rPr>
                <w:rFonts w:ascii="宋体" w:hAnsi="宋体" w:cs="宋体"/>
              </w:rPr>
            </w:pPr>
            <w:r>
              <w:rPr>
                <w:rFonts w:ascii="宋体" w:hAnsi="宋体" w:cs="宋体"/>
                <w:spacing w:val="-2"/>
              </w:rPr>
              <w:t>合理化建议</w:t>
            </w:r>
            <w:r>
              <w:rPr>
                <w:rFonts w:ascii="宋体" w:hAnsi="宋体" w:cs="宋体"/>
                <w:spacing w:val="-9"/>
                <w:w w:val="88"/>
              </w:rPr>
              <w:t>（6</w:t>
            </w:r>
            <w:r>
              <w:rPr>
                <w:rFonts w:ascii="宋体" w:hAnsi="宋体" w:cs="宋体"/>
                <w:spacing w:val="-41"/>
              </w:rPr>
              <w:t xml:space="preserve"> </w:t>
            </w:r>
            <w:r>
              <w:rPr>
                <w:rFonts w:ascii="宋体" w:hAnsi="宋体" w:cs="宋体"/>
                <w:spacing w:val="-9"/>
                <w:w w:val="88"/>
              </w:rPr>
              <w:t>分）</w:t>
            </w:r>
          </w:p>
        </w:tc>
        <w:tc>
          <w:tcPr>
            <w:tcW w:w="5252" w:type="dxa"/>
            <w:vAlign w:val="center"/>
          </w:tcPr>
          <w:p>
            <w:pPr>
              <w:spacing w:before="30" w:line="212" w:lineRule="auto"/>
              <w:ind w:right="102"/>
              <w:jc w:val="left"/>
              <w:rPr>
                <w:rFonts w:ascii="宋体" w:hAnsi="宋体" w:cs="宋体"/>
              </w:rPr>
            </w:pPr>
            <w:r>
              <w:rPr>
                <w:rFonts w:ascii="宋体" w:hAnsi="宋体" w:cs="宋体"/>
                <w:spacing w:val="-3"/>
              </w:rPr>
              <w:t>具有科学、合理、可行及具体措施的建议优得</w:t>
            </w:r>
            <w:r>
              <w:rPr>
                <w:rFonts w:ascii="宋体" w:hAnsi="宋体" w:cs="宋体"/>
                <w:spacing w:val="-33"/>
              </w:rPr>
              <w:t xml:space="preserve"> </w:t>
            </w:r>
            <w:r>
              <w:rPr>
                <w:rFonts w:ascii="宋体" w:hAnsi="宋体" w:cs="宋体"/>
                <w:spacing w:val="-3"/>
              </w:rPr>
              <w:t>6</w:t>
            </w:r>
            <w:r>
              <w:rPr>
                <w:rFonts w:ascii="宋体" w:hAnsi="宋体" w:cs="宋体"/>
                <w:spacing w:val="-41"/>
              </w:rPr>
              <w:t xml:space="preserve"> </w:t>
            </w:r>
            <w:r>
              <w:rPr>
                <w:rFonts w:ascii="宋体" w:hAnsi="宋体" w:cs="宋体"/>
                <w:spacing w:val="-3"/>
              </w:rPr>
              <w:t>分；良得</w:t>
            </w:r>
            <w:r>
              <w:rPr>
                <w:rFonts w:ascii="宋体" w:hAnsi="宋体" w:cs="宋体"/>
                <w:spacing w:val="-39"/>
              </w:rPr>
              <w:t xml:space="preserve"> </w:t>
            </w:r>
            <w:r>
              <w:rPr>
                <w:rFonts w:ascii="宋体" w:hAnsi="宋体" w:cs="宋体"/>
                <w:spacing w:val="-3"/>
              </w:rPr>
              <w:t>3</w:t>
            </w:r>
            <w:r>
              <w:rPr>
                <w:rFonts w:ascii="宋体" w:hAnsi="宋体" w:cs="宋体"/>
                <w:spacing w:val="-44"/>
              </w:rPr>
              <w:t xml:space="preserve"> </w:t>
            </w:r>
            <w:r>
              <w:rPr>
                <w:rFonts w:ascii="宋体" w:hAnsi="宋体" w:cs="宋体"/>
                <w:spacing w:val="-3"/>
              </w:rPr>
              <w:t>分；</w:t>
            </w:r>
            <w:r>
              <w:rPr>
                <w:rFonts w:ascii="宋体" w:hAnsi="宋体" w:cs="宋体"/>
                <w:spacing w:val="-96"/>
              </w:rPr>
              <w:t xml:space="preserve"> </w:t>
            </w:r>
            <w:r>
              <w:rPr>
                <w:rFonts w:ascii="宋体" w:hAnsi="宋体" w:cs="宋体"/>
                <w:spacing w:val="-3"/>
              </w:rPr>
              <w:t>一般得</w:t>
            </w:r>
            <w:r>
              <w:rPr>
                <w:rFonts w:ascii="宋体" w:hAnsi="宋体" w:cs="宋体"/>
                <w:spacing w:val="-28"/>
              </w:rPr>
              <w:t xml:space="preserve"> </w:t>
            </w:r>
            <w:r>
              <w:rPr>
                <w:rFonts w:ascii="宋体" w:hAnsi="宋体" w:cs="宋体"/>
                <w:spacing w:val="-3"/>
              </w:rPr>
              <w:t>1</w:t>
            </w:r>
            <w:r>
              <w:rPr>
                <w:rFonts w:ascii="宋体" w:hAnsi="宋体" w:cs="宋体"/>
                <w:spacing w:val="-85"/>
              </w:rPr>
              <w:t xml:space="preserve"> </w:t>
            </w:r>
            <w:r>
              <w:rPr>
                <w:rFonts w:ascii="宋体" w:hAnsi="宋体" w:cs="宋体"/>
                <w:spacing w:val="-1"/>
              </w:rPr>
              <w:t>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trPr>
        <w:tc>
          <w:tcPr>
            <w:tcW w:w="880" w:type="dxa"/>
            <w:gridSpan w:val="2"/>
            <w:vAlign w:val="center"/>
          </w:tcPr>
          <w:p>
            <w:pPr>
              <w:pStyle w:val="30"/>
              <w:kinsoku w:val="0"/>
              <w:overflowPunct w:val="0"/>
              <w:ind w:left="-63" w:leftChars="-30" w:right="-111" w:rightChars="-53" w:firstLine="63" w:firstLineChars="30"/>
              <w:jc w:val="center"/>
              <w:rPr>
                <w:rFonts w:hint="eastAsia" w:ascii="宋体" w:hAnsi="宋体" w:eastAsia="宋体" w:cs="宋体"/>
              </w:rPr>
            </w:pPr>
            <w:r>
              <w:rPr>
                <w:rFonts w:hint="eastAsia" w:ascii="宋体" w:hAnsi="宋体" w:eastAsia="宋体" w:cs="宋体"/>
              </w:rPr>
              <w:t>2.2.4</w:t>
            </w:r>
          </w:p>
          <w:p>
            <w:pPr>
              <w:pStyle w:val="30"/>
              <w:kinsoku w:val="0"/>
              <w:overflowPunct w:val="0"/>
              <w:spacing w:before="6" w:line="110" w:lineRule="exact"/>
              <w:ind w:left="-63" w:leftChars="-30" w:right="-111" w:rightChars="-53" w:firstLine="33" w:firstLineChars="30"/>
              <w:jc w:val="center"/>
              <w:rPr>
                <w:rFonts w:hint="eastAsia" w:ascii="宋体" w:hAnsi="宋体" w:eastAsia="宋体" w:cs="宋体"/>
                <w:sz w:val="11"/>
              </w:rPr>
            </w:pPr>
          </w:p>
          <w:p>
            <w:pPr>
              <w:pStyle w:val="30"/>
              <w:kinsoku w:val="0"/>
              <w:overflowPunct w:val="0"/>
              <w:ind w:left="-63" w:leftChars="-30" w:right="-111" w:rightChars="-53" w:firstLine="62" w:firstLineChars="30"/>
              <w:jc w:val="center"/>
              <w:rPr>
                <w:rFonts w:hint="eastAsia" w:ascii="宋体" w:hAnsi="宋体" w:eastAsia="宋体" w:cs="宋体"/>
              </w:rPr>
            </w:pPr>
            <w:r>
              <w:rPr>
                <w:rFonts w:hint="eastAsia" w:ascii="宋体" w:hAnsi="宋体" w:eastAsia="宋体" w:cs="宋体"/>
                <w:spacing w:val="-1"/>
              </w:rPr>
              <w:t>（</w:t>
            </w:r>
            <w:r>
              <w:rPr>
                <w:rFonts w:hint="eastAsia" w:ascii="宋体" w:hAnsi="宋体" w:eastAsia="宋体" w:cs="宋体"/>
              </w:rPr>
              <w:t>3）</w:t>
            </w:r>
          </w:p>
        </w:tc>
        <w:tc>
          <w:tcPr>
            <w:tcW w:w="1098" w:type="dxa"/>
            <w:vAlign w:val="center"/>
          </w:tcPr>
          <w:p>
            <w:pPr>
              <w:ind w:left="315" w:hanging="315" w:hangingChars="150"/>
              <w:jc w:val="center"/>
              <w:rPr>
                <w:rFonts w:hint="eastAsia" w:ascii="宋体" w:hAnsi="宋体" w:eastAsia="宋体" w:cs="宋体"/>
                <w:szCs w:val="21"/>
              </w:rPr>
            </w:pPr>
            <w:r>
              <w:rPr>
                <w:rFonts w:hint="eastAsia" w:ascii="宋体" w:hAnsi="宋体" w:eastAsia="宋体" w:cs="宋体"/>
              </w:rPr>
              <w:t>投标</w:t>
            </w:r>
            <w:r>
              <w:rPr>
                <w:rFonts w:hint="eastAsia" w:ascii="宋体" w:hAnsi="宋体" w:eastAsia="宋体" w:cs="宋体"/>
                <w:szCs w:val="21"/>
              </w:rPr>
              <w:t>报价</w:t>
            </w:r>
          </w:p>
          <w:p>
            <w:pPr>
              <w:ind w:left="315" w:hanging="315" w:hangingChars="150"/>
              <w:jc w:val="center"/>
              <w:rPr>
                <w:rFonts w:hint="eastAsia" w:ascii="宋体" w:hAnsi="宋体" w:eastAsia="宋体" w:cs="宋体"/>
              </w:rPr>
            </w:pPr>
            <w:r>
              <w:rPr>
                <w:rFonts w:hint="eastAsia" w:ascii="宋体" w:hAnsi="宋体" w:eastAsia="宋体" w:cs="宋体"/>
              </w:rPr>
              <w:t>评分</w:t>
            </w:r>
            <w:r>
              <w:rPr>
                <w:rFonts w:hint="eastAsia" w:ascii="宋体" w:hAnsi="宋体" w:eastAsia="宋体" w:cs="宋体"/>
                <w:spacing w:val="-3"/>
              </w:rPr>
              <w:t>标</w:t>
            </w:r>
            <w:r>
              <w:rPr>
                <w:rFonts w:hint="eastAsia" w:ascii="宋体" w:hAnsi="宋体" w:eastAsia="宋体" w:cs="宋体"/>
              </w:rPr>
              <w:t>准</w:t>
            </w:r>
          </w:p>
          <w:p>
            <w:pPr>
              <w:ind w:left="315" w:hanging="315" w:hangingChars="150"/>
              <w:jc w:val="center"/>
              <w:rPr>
                <w:rFonts w:hint="eastAsia" w:ascii="宋体" w:hAnsi="宋体" w:eastAsia="宋体" w:cs="宋体"/>
              </w:rPr>
            </w:pPr>
            <w:r>
              <w:rPr>
                <w:rFonts w:hint="eastAsia" w:ascii="宋体" w:hAnsi="宋体" w:eastAsia="宋体" w:cs="宋体"/>
              </w:rPr>
              <w:t>（10分）</w:t>
            </w:r>
          </w:p>
        </w:tc>
        <w:tc>
          <w:tcPr>
            <w:tcW w:w="2132" w:type="dxa"/>
            <w:vAlign w:val="center"/>
          </w:tcPr>
          <w:p>
            <w:pPr>
              <w:pStyle w:val="30"/>
              <w:kinsoku w:val="0"/>
              <w:overflowPunct w:val="0"/>
              <w:spacing w:before="14"/>
              <w:ind w:left="-102" w:leftChars="-49" w:hanging="1"/>
              <w:jc w:val="center"/>
              <w:rPr>
                <w:rFonts w:hint="eastAsia" w:ascii="宋体" w:hAnsi="宋体" w:eastAsia="宋体" w:cs="宋体"/>
              </w:rPr>
            </w:pPr>
            <w:r>
              <w:rPr>
                <w:rFonts w:hint="eastAsia" w:ascii="宋体" w:hAnsi="宋体" w:eastAsia="宋体" w:cs="宋体"/>
              </w:rPr>
              <w:t>报价得分</w:t>
            </w:r>
          </w:p>
        </w:tc>
        <w:tc>
          <w:tcPr>
            <w:tcW w:w="5252" w:type="dxa"/>
            <w:vAlign w:val="center"/>
          </w:tcPr>
          <w:p>
            <w:pPr>
              <w:pStyle w:val="30"/>
              <w:kinsoku w:val="0"/>
              <w:overflowPunct w:val="0"/>
              <w:ind w:right="-57"/>
              <w:jc w:val="left"/>
              <w:rPr>
                <w:rFonts w:hint="eastAsia" w:ascii="宋体" w:hAnsi="宋体" w:eastAsia="宋体" w:cs="宋体"/>
                <w:szCs w:val="21"/>
              </w:rPr>
            </w:pPr>
            <w:r>
              <w:rPr>
                <w:rFonts w:hint="eastAsia" w:ascii="宋体" w:hAnsi="宋体" w:eastAsia="宋体" w:cs="宋体"/>
                <w:szCs w:val="21"/>
              </w:rPr>
              <w:t>以评标基准价作为计算各有效投标价得分的基础，当有效投标报价等于评标基准价时得10分；投标有效报价与评标基准价相比，每上偏1%扣</w:t>
            </w:r>
            <w:r>
              <w:rPr>
                <w:rFonts w:hint="eastAsia" w:ascii="宋体" w:hAnsi="宋体" w:eastAsia="宋体" w:cs="宋体"/>
                <w:color w:val="auto"/>
                <w:szCs w:val="21"/>
              </w:rPr>
              <w:t>0.5分，下偏1%扣0.3分</w:t>
            </w:r>
            <w:r>
              <w:rPr>
                <w:rFonts w:hint="eastAsia" w:ascii="宋体" w:hAnsi="宋体" w:eastAsia="宋体" w:cs="宋体"/>
                <w:szCs w:val="21"/>
              </w:rPr>
              <w:t>。（</w:t>
            </w:r>
            <w:r>
              <w:rPr>
                <w:rFonts w:hint="eastAsia" w:ascii="宋体" w:hAnsi="宋体" w:eastAsia="宋体" w:cs="宋体"/>
                <w:spacing w:val="-6"/>
              </w:rPr>
              <w:t>最多扣</w:t>
            </w:r>
            <w:r>
              <w:rPr>
                <w:rFonts w:hint="eastAsia" w:ascii="宋体" w:hAnsi="宋体" w:eastAsia="宋体" w:cs="宋体"/>
                <w:spacing w:val="-22"/>
              </w:rPr>
              <w:t xml:space="preserve"> </w:t>
            </w:r>
            <w:r>
              <w:rPr>
                <w:rFonts w:hint="eastAsia" w:ascii="宋体" w:hAnsi="宋体" w:eastAsia="宋体" w:cs="宋体"/>
                <w:spacing w:val="-6"/>
              </w:rPr>
              <w:t>10</w:t>
            </w:r>
            <w:r>
              <w:rPr>
                <w:rFonts w:hint="eastAsia" w:ascii="宋体" w:hAnsi="宋体" w:eastAsia="宋体" w:cs="宋体"/>
                <w:spacing w:val="-44"/>
              </w:rPr>
              <w:t xml:space="preserve"> </w:t>
            </w:r>
            <w:r>
              <w:rPr>
                <w:rFonts w:hint="eastAsia" w:ascii="宋体" w:hAnsi="宋体" w:eastAsia="宋体" w:cs="宋体"/>
                <w:spacing w:val="-6"/>
              </w:rPr>
              <w:t>分。</w:t>
            </w:r>
            <w:r>
              <w:rPr>
                <w:rFonts w:hint="eastAsia" w:ascii="宋体" w:hAnsi="宋体" w:eastAsia="宋体" w:cs="宋体"/>
                <w:szCs w:val="21"/>
              </w:rPr>
              <w:t>）报价偏差率不足1%的，按直线内插法计算投标报价得分</w:t>
            </w:r>
            <w:r>
              <w:rPr>
                <w:rFonts w:hint="eastAsia" w:ascii="宋体" w:hAnsi="宋体" w:eastAsia="宋体" w:cs="宋体"/>
                <w:spacing w:val="-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exact"/>
        </w:trPr>
        <w:tc>
          <w:tcPr>
            <w:tcW w:w="880" w:type="dxa"/>
            <w:gridSpan w:val="2"/>
            <w:vAlign w:val="center"/>
          </w:tcPr>
          <w:p>
            <w:pPr>
              <w:pStyle w:val="30"/>
              <w:kinsoku w:val="0"/>
              <w:overflowPunct w:val="0"/>
              <w:ind w:left="-63" w:leftChars="-30" w:right="-111" w:rightChars="-53" w:firstLine="63" w:firstLineChars="30"/>
              <w:jc w:val="center"/>
              <w:rPr>
                <w:rFonts w:hint="eastAsia" w:ascii="宋体" w:hAnsi="宋体" w:eastAsia="宋体" w:cs="宋体"/>
              </w:rPr>
            </w:pPr>
            <w:r>
              <w:rPr>
                <w:rFonts w:hint="eastAsia" w:ascii="宋体" w:hAnsi="宋体" w:eastAsia="宋体" w:cs="宋体"/>
              </w:rPr>
              <w:t>2.2.4</w:t>
            </w:r>
          </w:p>
          <w:p>
            <w:pPr>
              <w:pStyle w:val="30"/>
              <w:kinsoku w:val="0"/>
              <w:overflowPunct w:val="0"/>
              <w:ind w:left="-63" w:leftChars="-30" w:right="-111" w:rightChars="-53" w:firstLine="63" w:firstLineChars="30"/>
              <w:jc w:val="center"/>
              <w:rPr>
                <w:rFonts w:hint="eastAsia" w:ascii="宋体" w:hAnsi="宋体" w:eastAsia="宋体" w:cs="宋体"/>
                <w:sz w:val="16"/>
              </w:rPr>
            </w:pPr>
            <w:r>
              <w:rPr>
                <w:rFonts w:hint="eastAsia" w:ascii="宋体" w:hAnsi="宋体" w:eastAsia="宋体" w:cs="宋体"/>
              </w:rPr>
              <w:t>（4）</w:t>
            </w:r>
          </w:p>
        </w:tc>
        <w:tc>
          <w:tcPr>
            <w:tcW w:w="1098" w:type="dxa"/>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其他因素</w:t>
            </w:r>
          </w:p>
          <w:p>
            <w:pPr>
              <w:widowControl/>
              <w:jc w:val="center"/>
              <w:textAlignment w:val="center"/>
              <w:rPr>
                <w:rFonts w:hint="eastAsia" w:ascii="宋体" w:hAnsi="宋体" w:eastAsia="宋体" w:cs="宋体"/>
                <w:szCs w:val="21"/>
              </w:rPr>
            </w:pPr>
            <w:r>
              <w:rPr>
                <w:rFonts w:hint="eastAsia" w:ascii="宋体" w:hAnsi="宋体" w:eastAsia="宋体" w:cs="宋体"/>
                <w:szCs w:val="21"/>
              </w:rPr>
              <w:t>评分标准（20分）</w:t>
            </w:r>
          </w:p>
        </w:tc>
        <w:tc>
          <w:tcPr>
            <w:tcW w:w="2132" w:type="dxa"/>
            <w:vAlign w:val="center"/>
          </w:tcPr>
          <w:p>
            <w:pPr>
              <w:widowControl/>
              <w:jc w:val="center"/>
              <w:textAlignment w:val="center"/>
              <w:rPr>
                <w:rFonts w:hint="eastAsia" w:ascii="宋体" w:hAnsi="宋体" w:eastAsia="宋体" w:cs="宋体"/>
                <w:szCs w:val="21"/>
              </w:rPr>
            </w:pPr>
            <w:r>
              <w:rPr>
                <w:rFonts w:hint="eastAsia" w:ascii="宋体" w:hAnsi="宋体" w:cs="宋体"/>
                <w:szCs w:val="21"/>
                <w:lang w:val="en-US" w:eastAsia="zh-CN"/>
              </w:rPr>
              <w:t>企业</w:t>
            </w:r>
            <w:r>
              <w:rPr>
                <w:rFonts w:hint="eastAsia" w:ascii="宋体" w:hAnsi="宋体" w:eastAsia="宋体" w:cs="宋体"/>
                <w:szCs w:val="21"/>
              </w:rPr>
              <w:t>诚信得分</w:t>
            </w:r>
          </w:p>
        </w:tc>
        <w:tc>
          <w:tcPr>
            <w:tcW w:w="5252" w:type="dxa"/>
            <w:vAlign w:val="center"/>
          </w:tcPr>
          <w:p>
            <w:pPr>
              <w:spacing w:line="240" w:lineRule="auto"/>
              <w:rPr>
                <w:rFonts w:ascii="宋体" w:hAnsi="宋体" w:cs="宋体"/>
                <w:color w:val="auto"/>
                <w:szCs w:val="21"/>
                <w:highlight w:val="none"/>
              </w:rPr>
            </w:pPr>
            <w:r>
              <w:rPr>
                <w:rFonts w:hint="eastAsia" w:ascii="宋体" w:hAnsi="宋体" w:cs="宋体"/>
                <w:b/>
                <w:color w:val="auto"/>
                <w:highlight w:val="none"/>
              </w:rPr>
              <w:t>投标人诚信得分=诚信综合评价排名得分×20%</w:t>
            </w:r>
            <w:r>
              <w:rPr>
                <w:rFonts w:hint="eastAsia" w:ascii="宋体" w:hAnsi="宋体" w:cs="宋体"/>
                <w:color w:val="auto"/>
                <w:szCs w:val="21"/>
                <w:highlight w:val="none"/>
              </w:rPr>
              <w:t>。诚信评价总分应当采用诚信评价信息系统在招标公告发布第1天所在季度的上一季度公布的分数。按广州市水务工程企业信息库及诚信中心网站（http://120.236.111.11:8001/#/website/integrity?type=1）中的“诚信排名&gt;&gt;监理—</w:t>
            </w:r>
            <w:r>
              <w:rPr>
                <w:rFonts w:hint="eastAsia" w:ascii="宋体" w:hAnsi="宋体" w:cs="宋体"/>
                <w:color w:val="auto"/>
                <w:szCs w:val="21"/>
                <w:highlight w:val="none"/>
                <w:lang w:val="en-US" w:eastAsia="zh-CN"/>
              </w:rPr>
              <w:t>给排水</w:t>
            </w:r>
            <w:r>
              <w:rPr>
                <w:rFonts w:hint="eastAsia" w:ascii="宋体" w:hAnsi="宋体" w:cs="宋体"/>
                <w:color w:val="auto"/>
                <w:szCs w:val="21"/>
                <w:highlight w:val="none"/>
              </w:rPr>
              <w:t>”的“诚信综合评价”中查询；未入库企业或在广州市水务工程企业信息库及诚信中心网中尚无诚信排名的投标人（简称“未入库企业”），其诚信评价总分取基准分。其中，质量安全管理评价、履约评价得分基准分取</w:t>
            </w:r>
            <w:r>
              <w:rPr>
                <w:rFonts w:ascii="宋体" w:hAnsi="宋体" w:cs="宋体"/>
                <w:color w:val="auto"/>
                <w:szCs w:val="21"/>
                <w:highlight w:val="none"/>
              </w:rPr>
              <w:t>75</w:t>
            </w:r>
            <w:r>
              <w:rPr>
                <w:rFonts w:hint="eastAsia" w:ascii="宋体" w:hAnsi="宋体" w:cs="宋体"/>
                <w:color w:val="auto"/>
                <w:szCs w:val="21"/>
                <w:highlight w:val="none"/>
              </w:rPr>
              <w:t xml:space="preserve">分，市场行为评价得分基准分取 </w:t>
            </w:r>
            <w:r>
              <w:rPr>
                <w:rFonts w:ascii="宋体" w:hAnsi="宋体" w:cs="宋体"/>
                <w:color w:val="auto"/>
                <w:szCs w:val="21"/>
                <w:highlight w:val="none"/>
              </w:rPr>
              <w:t>100</w:t>
            </w:r>
            <w:r>
              <w:rPr>
                <w:rFonts w:hint="eastAsia" w:ascii="宋体" w:hAnsi="宋体" w:cs="宋体"/>
                <w:color w:val="auto"/>
                <w:szCs w:val="21"/>
                <w:highlight w:val="none"/>
              </w:rPr>
              <w:t>分。</w:t>
            </w:r>
          </w:p>
          <w:p>
            <w:pPr>
              <w:rPr>
                <w:rFonts w:hint="eastAsia" w:ascii="宋体" w:hAnsi="宋体" w:eastAsia="宋体" w:cs="宋体"/>
                <w:szCs w:val="21"/>
              </w:rPr>
            </w:pPr>
            <w:r>
              <w:rPr>
                <w:rFonts w:hint="eastAsia" w:ascii="宋体" w:hAnsi="宋体" w:cs="宋体"/>
                <w:color w:val="auto"/>
                <w:szCs w:val="21"/>
                <w:highlight w:val="none"/>
              </w:rPr>
              <w:t>即“未入库企业”的诚信评价总分=100（市场行为评价分）×20%+75（质量安全管理评价得分）×50%+75（履约评价得分）×30%=80分。</w:t>
            </w:r>
          </w:p>
        </w:tc>
      </w:tr>
    </w:tbl>
    <w:p>
      <w:pPr>
        <w:topLinePunct/>
        <w:spacing w:line="300" w:lineRule="auto"/>
        <w:ind w:firstLine="550" w:firstLineChars="262"/>
        <w:rPr>
          <w:rFonts w:hint="eastAsia" w:ascii="宋体" w:hAnsi="宋体" w:eastAsia="宋体" w:cs="宋体"/>
          <w:lang w:val="zh-CN"/>
        </w:rPr>
      </w:pPr>
      <w:bookmarkStart w:id="500" w:name="_Toc89870610"/>
      <w:r>
        <w:rPr>
          <w:rFonts w:hint="eastAsia"/>
        </w:rPr>
        <w:t>说明：</w:t>
      </w:r>
      <w:r>
        <w:rPr>
          <w:rFonts w:hint="eastAsia" w:ascii="宋体" w:hAnsi="宋体" w:eastAsia="宋体" w:cs="宋体"/>
        </w:rPr>
        <w:t>（1）类似项目是指：类似工程是指工程监理综合资质或市政公用工程监理</w:t>
      </w:r>
      <w:r>
        <w:rPr>
          <w:rFonts w:hint="eastAsia" w:ascii="宋体" w:hAnsi="宋体" w:cs="宋体"/>
          <w:lang w:val="en-US" w:eastAsia="zh-CN"/>
        </w:rPr>
        <w:t>甲级</w:t>
      </w:r>
      <w:r>
        <w:rPr>
          <w:rFonts w:hint="eastAsia" w:ascii="宋体" w:hAnsi="宋体" w:eastAsia="宋体" w:cs="宋体"/>
        </w:rPr>
        <w:t>或以上资质方能承接的工程，</w:t>
      </w:r>
      <w:r>
        <w:rPr>
          <w:rFonts w:hint="eastAsia" w:ascii="宋体" w:hAnsi="宋体" w:eastAsia="宋体" w:cs="宋体"/>
          <w:lang w:val="zh-CN"/>
        </w:rPr>
        <w:t>需提供中标通知书</w:t>
      </w:r>
      <w:r>
        <w:rPr>
          <w:rFonts w:hint="eastAsia" w:ascii="宋体" w:hAnsi="宋体" w:eastAsia="宋体" w:cs="宋体"/>
          <w:spacing w:val="-3"/>
          <w:lang w:val="zh-CN"/>
        </w:rPr>
        <w:t>或免招标的相关证明、</w:t>
      </w:r>
      <w:r>
        <w:rPr>
          <w:rFonts w:hint="eastAsia" w:ascii="宋体" w:hAnsi="宋体" w:eastAsia="宋体" w:cs="宋体"/>
          <w:lang w:val="zh-CN"/>
        </w:rPr>
        <w:t>监理合同、</w:t>
      </w:r>
      <w:r>
        <w:rPr>
          <w:rFonts w:hint="eastAsia" w:ascii="宋体" w:hAnsi="宋体" w:eastAsia="宋体" w:cs="宋体"/>
        </w:rPr>
        <w:t>竣工验收报告（或竣工验收证明），业绩时间以竣工验收报告（或竣工验收证明）出具时间为准。</w:t>
      </w:r>
      <w:r>
        <w:rPr>
          <w:rFonts w:hint="eastAsia" w:ascii="宋体" w:hAnsi="宋体" w:eastAsia="宋体" w:cs="宋体"/>
          <w:lang w:val="zh-CN"/>
        </w:rPr>
        <w:t>同一项目不重复计分。</w:t>
      </w:r>
    </w:p>
    <w:p>
      <w:pPr>
        <w:tabs>
          <w:tab w:val="left" w:pos="720"/>
        </w:tabs>
        <w:spacing w:line="360" w:lineRule="auto"/>
        <w:ind w:firstLine="420" w:firstLineChars="200"/>
        <w:rPr>
          <w:rFonts w:hint="eastAsia" w:ascii="宋体" w:hAnsi="宋体" w:eastAsia="宋体" w:cs="宋体"/>
          <w:strike/>
          <w:szCs w:val="21"/>
        </w:rPr>
      </w:pPr>
      <w:r>
        <w:rPr>
          <w:rFonts w:hint="eastAsia" w:ascii="宋体" w:hAnsi="宋体" w:eastAsia="宋体" w:cs="宋体"/>
          <w:szCs w:val="21"/>
        </w:rPr>
        <w:t>（2）获奖监理业绩：国家级质量奖指全国市政金杯示范工程、鲁班奖、中国土木工程詹天佑大奖、金质奖、银质奖、国家优质工程奖、中国钢结构金奖等；省级质量奖指省级优良样板工程、省级双优工地、优质奖等；市级质量奖指市级优良样板工程、市级双优工地等。投标人需提供获奖证书，时间以获奖证书发证日期为准。同一工程项目按最高奖项计取，不重复计分。</w:t>
      </w:r>
    </w:p>
    <w:p>
      <w:pPr>
        <w:tabs>
          <w:tab w:val="left" w:pos="72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（3）监理机构人员资格、认证证书等方面内容必须提供相应的证明材料；人员专业以毕业证或职称证或注册证专业为准。“优秀总监理工程师”称号提供证书复印件，发证单位需在民政部门备案。</w:t>
      </w:r>
    </w:p>
    <w:p>
      <w:pPr>
        <w:tabs>
          <w:tab w:val="left" w:pos="720"/>
        </w:tabs>
        <w:spacing w:line="360" w:lineRule="auto"/>
        <w:ind w:firstLine="420" w:firstLineChars="200"/>
        <w:rPr>
          <w:rFonts w:ascii="宋体" w:hAnsi="宋体" w:cs="宋体"/>
          <w:szCs w:val="21"/>
        </w:rPr>
      </w:pPr>
      <w:r>
        <w:rPr>
          <w:rFonts w:hint="eastAsia" w:ascii="宋体" w:hAnsi="宋体" w:eastAsia="宋体" w:cs="宋体"/>
          <w:szCs w:val="21"/>
        </w:rPr>
        <w:t>（4）拟投入人员</w:t>
      </w:r>
      <w:r>
        <w:rPr>
          <w:rFonts w:hint="eastAsia" w:ascii="宋体" w:hAnsi="宋体" w:eastAsia="宋体" w:cs="宋体"/>
          <w:b w:val="0"/>
          <w:bCs w:val="0"/>
          <w:szCs w:val="21"/>
        </w:rPr>
        <w:t>需</w:t>
      </w:r>
      <w:r>
        <w:rPr>
          <w:rFonts w:hint="eastAsia" w:ascii="宋体" w:hAnsi="宋体" w:eastAsia="宋体" w:cs="宋体"/>
          <w:b w:val="0"/>
          <w:bCs w:val="0"/>
          <w:szCs w:val="21"/>
          <w:u w:val="single"/>
        </w:rPr>
        <w:t>提供近</w:t>
      </w:r>
      <w:r>
        <w:rPr>
          <w:rFonts w:hint="eastAsia" w:ascii="宋体" w:hAnsi="宋体" w:cs="宋体"/>
          <w:b w:val="0"/>
          <w:bCs w:val="0"/>
          <w:szCs w:val="21"/>
          <w:u w:val="single"/>
          <w:lang w:val="en-US" w:eastAsia="zh-CN"/>
        </w:rPr>
        <w:t>六</w:t>
      </w:r>
      <w:r>
        <w:rPr>
          <w:rFonts w:hint="eastAsia" w:ascii="宋体" w:hAnsi="宋体" w:eastAsia="宋体" w:cs="宋体"/>
          <w:b w:val="0"/>
          <w:bCs w:val="0"/>
          <w:szCs w:val="21"/>
          <w:u w:val="single"/>
        </w:rPr>
        <w:t>个月（即</w:t>
      </w:r>
      <w:r>
        <w:rPr>
          <w:rFonts w:hint="eastAsia" w:ascii="宋体" w:hAnsi="宋体" w:cs="宋体"/>
          <w:b w:val="0"/>
          <w:bCs w:val="0"/>
          <w:szCs w:val="21"/>
          <w:u w:val="single"/>
          <w:lang w:val="en-US" w:eastAsia="zh-CN"/>
        </w:rPr>
        <w:t>2022年11月至</w:t>
      </w:r>
      <w:r>
        <w:rPr>
          <w:rFonts w:hint="eastAsia" w:ascii="宋体" w:hAnsi="宋体" w:eastAsia="宋体" w:cs="宋体"/>
          <w:b w:val="0"/>
          <w:bCs w:val="0"/>
          <w:szCs w:val="21"/>
          <w:u w:val="single"/>
        </w:rPr>
        <w:t>202</w:t>
      </w:r>
      <w:r>
        <w:rPr>
          <w:rFonts w:hint="eastAsia" w:ascii="宋体" w:hAnsi="宋体" w:eastAsia="宋体" w:cs="宋体"/>
          <w:b w:val="0"/>
          <w:bCs w:val="0"/>
          <w:szCs w:val="21"/>
          <w:u w:val="single"/>
          <w:lang w:val="en-US" w:eastAsia="zh-CN"/>
        </w:rPr>
        <w:t>3</w:t>
      </w:r>
      <w:r>
        <w:rPr>
          <w:rFonts w:hint="eastAsia" w:ascii="宋体" w:hAnsi="宋体" w:eastAsia="宋体" w:cs="宋体"/>
          <w:b w:val="0"/>
          <w:bCs w:val="0"/>
          <w:szCs w:val="21"/>
          <w:u w:val="single"/>
        </w:rPr>
        <w:t>年</w:t>
      </w:r>
      <w:r>
        <w:rPr>
          <w:rFonts w:hint="eastAsia" w:ascii="宋体" w:hAnsi="宋体" w:cs="宋体"/>
          <w:b w:val="0"/>
          <w:bCs w:val="0"/>
          <w:color w:val="auto"/>
          <w:szCs w:val="21"/>
          <w:u w:val="single"/>
          <w:lang w:val="en-US" w:eastAsia="zh-CN"/>
        </w:rPr>
        <w:t>4</w:t>
      </w:r>
      <w:r>
        <w:rPr>
          <w:rFonts w:hint="eastAsia" w:ascii="宋体" w:hAnsi="宋体" w:eastAsia="宋体" w:cs="宋体"/>
          <w:b w:val="0"/>
          <w:bCs w:val="0"/>
          <w:color w:val="auto"/>
          <w:szCs w:val="21"/>
          <w:u w:val="single"/>
        </w:rPr>
        <w:t>月）</w:t>
      </w:r>
      <w:r>
        <w:rPr>
          <w:rFonts w:hint="eastAsia" w:ascii="宋体" w:hAnsi="宋体" w:eastAsia="宋体" w:cs="宋体"/>
          <w:b w:val="0"/>
          <w:bCs w:val="0"/>
          <w:szCs w:val="21"/>
        </w:rPr>
        <w:t>在投标人单</w:t>
      </w:r>
      <w:r>
        <w:rPr>
          <w:rFonts w:hint="eastAsia" w:ascii="宋体" w:hAnsi="宋体" w:eastAsia="宋体" w:cs="宋体"/>
          <w:szCs w:val="21"/>
        </w:rPr>
        <w:t>位（不含投标人的子公司）或</w:t>
      </w:r>
      <w:r>
        <w:rPr>
          <w:rFonts w:hint="eastAsia" w:ascii="宋体" w:hAnsi="宋体" w:cs="宋体"/>
          <w:szCs w:val="21"/>
        </w:rPr>
        <w:t>投标人单位非独立法人的分支机构连续参保的社保缴纳记录证明复印件。若当地政府部门允许企业在疫情期间缓缴社会保险费且投标人未缴纳的，投标人可提供当地政府部门允许缓缴社保的相关文件作为缴纳社保的证明。</w:t>
      </w:r>
    </w:p>
    <w:p>
      <w:pPr>
        <w:spacing w:before="141" w:line="360" w:lineRule="auto"/>
        <w:ind w:firstLine="420" w:firstLineChars="200"/>
        <w:rPr>
          <w:rFonts w:ascii="宋体" w:hAnsi="宋体" w:cs="宋体"/>
          <w:szCs w:val="21"/>
        </w:rPr>
      </w:pPr>
      <w:r>
        <w:rPr>
          <w:rFonts w:ascii="宋体" w:hAnsi="宋体" w:cs="宋体"/>
          <w:szCs w:val="21"/>
        </w:rPr>
        <w:t>（</w:t>
      </w:r>
      <w:r>
        <w:rPr>
          <w:rFonts w:hint="eastAsia" w:ascii="宋体" w:hAnsi="宋体" w:cs="宋体"/>
          <w:szCs w:val="21"/>
        </w:rPr>
        <w:t>5</w:t>
      </w:r>
      <w:r>
        <w:rPr>
          <w:rFonts w:ascii="宋体" w:hAnsi="宋体" w:cs="宋体"/>
          <w:szCs w:val="21"/>
        </w:rPr>
        <w:t>）履约信用评价</w:t>
      </w:r>
    </w:p>
    <w:p>
      <w:pPr>
        <w:topLinePunct/>
        <w:spacing w:line="300" w:lineRule="auto"/>
        <w:ind w:firstLine="550" w:firstLineChars="262"/>
      </w:pPr>
      <w:r>
        <w:rPr>
          <w:rFonts w:ascii="宋体" w:hAnsi="宋体" w:cs="宋体"/>
          <w:szCs w:val="21"/>
        </w:rPr>
        <w:t>1.</w:t>
      </w:r>
      <w:r>
        <w:rPr>
          <w:rFonts w:hint="eastAsia" w:ascii="宋体" w:hAnsi="宋体" w:cs="宋体"/>
          <w:szCs w:val="21"/>
          <w:lang w:val="en-US" w:eastAsia="zh-CN"/>
        </w:rPr>
        <w:t>1</w:t>
      </w:r>
      <w:r>
        <w:rPr>
          <w:rFonts w:ascii="宋体" w:hAnsi="宋体" w:cs="宋体"/>
          <w:szCs w:val="21"/>
        </w:rPr>
        <w:t xml:space="preserve"> </w:t>
      </w:r>
      <w:r>
        <w:rPr>
          <w:rFonts w:hint="eastAsia" w:ascii="宋体" w:hAnsi="宋体" w:cs="宋体"/>
          <w:szCs w:val="21"/>
        </w:rPr>
        <w:t>“先进企业”以获奖证书复印件或公示网页截图为准，发证单位需在民政部门备案，其他证明文件不得分。</w:t>
      </w:r>
    </w:p>
    <w:p>
      <w:pPr>
        <w:topLinePunct/>
        <w:spacing w:line="300" w:lineRule="auto"/>
        <w:ind w:firstLine="550" w:firstLineChars="262"/>
      </w:pPr>
      <w:r>
        <w:rPr>
          <w:rFonts w:ascii="宋体" w:hAnsi="宋体" w:cs="宋体"/>
          <w:szCs w:val="21"/>
        </w:rPr>
        <w:t>（</w:t>
      </w:r>
      <w:r>
        <w:rPr>
          <w:rFonts w:hint="eastAsia" w:ascii="宋体" w:hAnsi="宋体" w:cs="宋体"/>
          <w:szCs w:val="21"/>
        </w:rPr>
        <w:t>6</w:t>
      </w:r>
      <w:r>
        <w:rPr>
          <w:rFonts w:ascii="宋体" w:hAnsi="宋体" w:cs="宋体"/>
          <w:szCs w:val="21"/>
        </w:rPr>
        <w:t>）</w:t>
      </w:r>
      <w:r>
        <w:rPr>
          <w:rFonts w:hint="eastAsia" w:ascii="宋体" w:hAnsi="宋体" w:cs="宋体"/>
          <w:szCs w:val="21"/>
        </w:rPr>
        <w:t>纳税信用等级情况：投标人须提供在 “国家税务总局”官网（http://www.chinatax.gov.cn/index.html）查询的A级纳税人结果网页打印页或由“广州市国家税务局”、“广州市地方税务局”颁发证书的扫描件，只计算投标人自身（不计算投标人的分公司和子公司）。时间以国家税务总局官网公布的获奖年度（评价年度）或“广州市国家税务局”、“广州市地方税务局”颁发证书的时间为准。</w:t>
      </w:r>
    </w:p>
    <w:p>
      <w:pPr>
        <w:topLinePunct/>
        <w:spacing w:line="300" w:lineRule="auto"/>
        <w:ind w:firstLine="550" w:firstLineChars="262"/>
      </w:pPr>
      <w:r>
        <w:rPr>
          <w:rFonts w:hint="eastAsia"/>
        </w:rPr>
        <w:t>（7）投标人的综合评估得分为各评委的评分去掉一个最高分和一个最低分后计取的算术平均分。</w:t>
      </w:r>
    </w:p>
    <w:p>
      <w:pPr>
        <w:topLinePunct/>
        <w:spacing w:line="300" w:lineRule="auto"/>
        <w:ind w:firstLine="550" w:firstLineChars="262"/>
      </w:pPr>
      <w:r>
        <w:t>（</w:t>
      </w:r>
      <w:r>
        <w:rPr>
          <w:rFonts w:hint="eastAsia"/>
        </w:rPr>
        <w:t>8</w:t>
      </w:r>
      <w:r>
        <w:t>）评分如出现小数点，则保留小数点后两位，第三位四舍五入。</w:t>
      </w:r>
    </w:p>
    <w:p>
      <w:pPr>
        <w:topLinePunct/>
        <w:spacing w:line="300" w:lineRule="auto"/>
        <w:ind w:firstLine="550" w:firstLineChars="262"/>
        <w:rPr>
          <w:rFonts w:hint="eastAsia"/>
        </w:rPr>
      </w:pPr>
      <w:r>
        <w:rPr>
          <w:rFonts w:hint="eastAsia"/>
        </w:rPr>
        <w:t>（9）电子投标文件中的证明材料复印件上传件，必须内容清晰可辨，因上传件模糊导致评标时无法判断的，后果由投标人自负。</w:t>
      </w:r>
    </w:p>
    <w:p>
      <w:pPr>
        <w:pStyle w:val="2"/>
        <w:keepNext w:val="0"/>
        <w:keepLines w:val="0"/>
        <w:spacing w:before="0" w:after="0" w:line="360" w:lineRule="auto"/>
        <w:ind w:firstLine="643" w:firstLineChars="200"/>
        <w:rPr>
          <w:rFonts w:ascii="Times New Roman" w:hAnsi="Times New Roman"/>
          <w:color w:val="auto"/>
          <w:highlight w:val="none"/>
        </w:rPr>
      </w:pPr>
      <w:r>
        <w:rPr>
          <w:rFonts w:ascii="Times New Roman" w:hAnsi="Times New Roman"/>
          <w:color w:val="auto"/>
          <w:highlight w:val="none"/>
        </w:rPr>
        <w:t>1. 评标方法</w:t>
      </w:r>
      <w:bookmarkEnd w:id="50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次评标采用综合评估法。评标委员会对满足招标文件实质性要求的投标文件，按照本章规定的评分标准进行打分，并按得分由高到低顺序推荐中标候选人，或根据招标人授权直接确定中标人，但投标报价低于其成本的除</w:t>
      </w:r>
      <w:bookmarkStart w:id="501" w:name="_Toc144974565"/>
      <w:bookmarkStart w:id="502" w:name="_Toc352691533"/>
      <w:bookmarkStart w:id="503" w:name="_Toc152042375"/>
      <w:bookmarkStart w:id="504" w:name="_Toc369531577"/>
      <w:bookmarkStart w:id="505" w:name="_Toc152045598"/>
      <w:bookmarkStart w:id="506" w:name="_Toc384308272"/>
      <w:bookmarkStart w:id="507" w:name="_Toc247514022"/>
      <w:bookmarkStart w:id="508" w:name="_Toc4497"/>
      <w:bookmarkStart w:id="509" w:name="_Toc361508646"/>
      <w:bookmarkStart w:id="510" w:name="_Toc300835008"/>
      <w:bookmarkStart w:id="511" w:name="_Toc247527623"/>
      <w:r>
        <w:rPr>
          <w:rFonts w:ascii="Times New Roman" w:hAnsi="Times New Roman"/>
          <w:color w:val="auto"/>
          <w:sz w:val="24"/>
          <w:szCs w:val="24"/>
          <w:highlight w:val="none"/>
        </w:rPr>
        <w:t>外。综合评分相等时，以投标报价低的优先； 投标报价也相等的，以监理大纲得分高的优先；监理大纲得分也相等</w:t>
      </w:r>
      <w:r>
        <w:rPr>
          <w:rFonts w:hint="default" w:ascii="Times New Roman" w:hAnsi="Times New Roman"/>
          <w:color w:val="auto"/>
          <w:sz w:val="24"/>
          <w:szCs w:val="24"/>
          <w:highlight w:val="none"/>
        </w:rPr>
        <w:t>的，以资信业绩得分高的优先；如果仍存在相同情况，由评标委员会采用记名投票方式，以得票多的优先</w:t>
      </w:r>
      <w:bookmarkEnd w:id="501"/>
      <w:bookmarkEnd w:id="502"/>
      <w:bookmarkEnd w:id="503"/>
      <w:bookmarkEnd w:id="504"/>
      <w:bookmarkEnd w:id="505"/>
      <w:bookmarkEnd w:id="506"/>
      <w:bookmarkEnd w:id="507"/>
      <w:bookmarkEnd w:id="508"/>
      <w:bookmarkEnd w:id="509"/>
      <w:bookmarkEnd w:id="510"/>
      <w:bookmarkEnd w:id="511"/>
      <w:r>
        <w:rPr>
          <w:rFonts w:hint="eastAsia" w:ascii="Times New Roman" w:hAnsi="Times New Roman"/>
          <w:color w:val="auto"/>
          <w:sz w:val="24"/>
          <w:szCs w:val="24"/>
          <w:highlight w:val="none"/>
        </w:rPr>
        <w:t>。</w:t>
      </w:r>
    </w:p>
    <w:p>
      <w:pPr>
        <w:pStyle w:val="2"/>
        <w:keepNext w:val="0"/>
        <w:keepLines w:val="0"/>
        <w:spacing w:before="0" w:after="0" w:line="360" w:lineRule="auto"/>
        <w:ind w:firstLine="643" w:firstLineChars="200"/>
        <w:rPr>
          <w:rFonts w:ascii="Times New Roman" w:hAnsi="Times New Roman"/>
          <w:color w:val="auto"/>
          <w:highlight w:val="none"/>
        </w:rPr>
      </w:pPr>
      <w:bookmarkStart w:id="512" w:name="_Toc89870611"/>
      <w:r>
        <w:rPr>
          <w:rFonts w:ascii="Times New Roman" w:hAnsi="Times New Roman"/>
          <w:color w:val="auto"/>
          <w:highlight w:val="none"/>
        </w:rPr>
        <w:t>2. 评审标准</w:t>
      </w:r>
      <w:bookmarkEnd w:id="512"/>
    </w:p>
    <w:p>
      <w:pPr>
        <w:pStyle w:val="4"/>
        <w:keepNext w:val="0"/>
        <w:keepLines w:val="0"/>
        <w:spacing w:before="0" w:after="0" w:line="240" w:lineRule="auto"/>
        <w:ind w:firstLine="560" w:firstLineChars="200"/>
        <w:rPr>
          <w:rFonts w:ascii="Times New Roman" w:hAnsi="Times New Roman"/>
          <w:color w:val="auto"/>
          <w:highlight w:val="none"/>
        </w:rPr>
      </w:pPr>
      <w:bookmarkStart w:id="513" w:name="_Toc89870612"/>
      <w:r>
        <w:rPr>
          <w:rFonts w:ascii="Times New Roman" w:hAnsi="Times New Roman"/>
          <w:color w:val="auto"/>
          <w:highlight w:val="none"/>
        </w:rPr>
        <w:t>2.1 初步评审标准</w:t>
      </w:r>
      <w:bookmarkEnd w:id="513"/>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 形式评审标准：见评标办法前附表。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 资格评审标准：见评标办法前附表。</w:t>
      </w:r>
    </w:p>
    <w:p>
      <w:pPr>
        <w:spacing w:line="400" w:lineRule="exact"/>
        <w:ind w:firstLine="480" w:firstLineChars="200"/>
        <w:rPr>
          <w:rFonts w:ascii="Times New Roman" w:hAnsi="Times New Roman"/>
          <w:color w:val="auto"/>
          <w:highlight w:val="none"/>
        </w:rPr>
      </w:pPr>
      <w:r>
        <w:rPr>
          <w:rFonts w:ascii="Times New Roman" w:hAnsi="Times New Roman"/>
          <w:color w:val="auto"/>
          <w:sz w:val="24"/>
          <w:szCs w:val="24"/>
          <w:highlight w:val="none"/>
        </w:rPr>
        <w:t>2.1.3 响应性评审标准：见评标办法前附表。</w:t>
      </w:r>
    </w:p>
    <w:p>
      <w:pPr>
        <w:pStyle w:val="4"/>
        <w:keepNext w:val="0"/>
        <w:keepLines w:val="0"/>
        <w:spacing w:before="0" w:after="0" w:line="240" w:lineRule="auto"/>
        <w:ind w:firstLine="560" w:firstLineChars="200"/>
        <w:rPr>
          <w:rFonts w:ascii="Times New Roman" w:hAnsi="Times New Roman"/>
          <w:color w:val="auto"/>
          <w:highlight w:val="none"/>
        </w:rPr>
      </w:pPr>
      <w:bookmarkStart w:id="514" w:name="_Toc89870613"/>
      <w:r>
        <w:rPr>
          <w:rFonts w:ascii="Times New Roman" w:hAnsi="Times New Roman"/>
          <w:color w:val="auto"/>
          <w:highlight w:val="none"/>
        </w:rPr>
        <w:t>2.2 分值构成与评分标准</w:t>
      </w:r>
      <w:bookmarkEnd w:id="514"/>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2.2.1 分值构成</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（1）资信业绩部分：见评标办法前附表；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（2）监理大纲部分：见评标办法前附表；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（3）投标报价：见评标办法前附表；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（4）其他评分因素：见评标办法前附表。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2.2.2 评标基准价计算</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评标基准价计算方法：见评标办法前附表。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2.2.3 投标报价的偏差率计算</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投标报价的偏差率计算公式：见评标办法前附表。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2.2.4 评分标准</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（1）资信业绩评分标准：见评标办法前附表；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（2）监理大纲评分标准：见评标办法前附表；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（3）投标报价评分标准：见评标办法前附表；</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（4）其他因素评分标准：见评标办法前附表。</w:t>
      </w:r>
    </w:p>
    <w:p>
      <w:pPr>
        <w:pStyle w:val="2"/>
        <w:keepNext w:val="0"/>
        <w:keepLines w:val="0"/>
        <w:spacing w:before="0" w:after="0" w:line="360" w:lineRule="auto"/>
        <w:ind w:firstLine="643" w:firstLineChars="200"/>
        <w:rPr>
          <w:rFonts w:ascii="Times New Roman" w:hAnsi="Times New Roman"/>
          <w:color w:val="auto"/>
          <w:highlight w:val="none"/>
        </w:rPr>
      </w:pPr>
      <w:bookmarkStart w:id="515" w:name="_Toc89870614"/>
      <w:r>
        <w:rPr>
          <w:rFonts w:ascii="Times New Roman" w:hAnsi="Times New Roman"/>
          <w:color w:val="auto"/>
          <w:highlight w:val="none"/>
        </w:rPr>
        <w:t>3. 评标程序</w:t>
      </w:r>
      <w:bookmarkEnd w:id="515"/>
    </w:p>
    <w:p>
      <w:pPr>
        <w:pStyle w:val="4"/>
        <w:keepNext w:val="0"/>
        <w:keepLines w:val="0"/>
        <w:spacing w:before="0" w:after="0" w:line="240" w:lineRule="auto"/>
        <w:ind w:firstLine="560" w:firstLineChars="200"/>
        <w:rPr>
          <w:rFonts w:ascii="Times New Roman" w:hAnsi="Times New Roman"/>
          <w:color w:val="auto"/>
          <w:highlight w:val="none"/>
        </w:rPr>
      </w:pPr>
      <w:bookmarkStart w:id="516" w:name="_Toc89870616"/>
      <w:r>
        <w:rPr>
          <w:rFonts w:ascii="Times New Roman" w:hAnsi="Times New Roman"/>
          <w:color w:val="auto"/>
          <w:highlight w:val="none"/>
        </w:rPr>
        <w:t>3.1 初步评审</w:t>
      </w:r>
      <w:bookmarkEnd w:id="516"/>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3.1.1 评标委员会可以要求投标人提交第二章</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投标人须知</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规定的有关证明和证件的原件，以便核验。评标委员会依据本章第2.1款规定的标准对投标文件进行初步评审。有一项不符合评审标准的，评标委员会应当否决其投标。</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 投标人有以下情形之一的，评标委员会应当否决其投标：</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（1）投标文件没有对招标文件的实质性要求和条件作出响应，或者对招标文件的偏差超出招标文件规定的偏差范围或最高项数；</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（2）有串通投标、弄虚作假、行贿等违法行为。</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3.1.3 投标报价有算术错误及其他错误的，评标委员会按以下原则要求投标人对投标报价进</w:t>
      </w:r>
      <w:bookmarkStart w:id="517" w:name="_Toc384308277"/>
      <w:bookmarkStart w:id="518" w:name="_Toc300835013"/>
      <w:bookmarkStart w:id="519" w:name="_Toc247527628"/>
      <w:bookmarkStart w:id="520" w:name="_Toc352691538"/>
      <w:bookmarkStart w:id="521" w:name="_Toc2907"/>
      <w:bookmarkStart w:id="522" w:name="_Toc152045603"/>
      <w:bookmarkStart w:id="523" w:name="_Toc247514027"/>
      <w:bookmarkStart w:id="524" w:name="_Toc152042380"/>
      <w:bookmarkStart w:id="525" w:name="_Toc144974570"/>
      <w:bookmarkStart w:id="526" w:name="_Toc361508651"/>
      <w:bookmarkStart w:id="527" w:name="_Toc369531582"/>
      <w:r>
        <w:rPr>
          <w:rFonts w:ascii="Times New Roman" w:hAnsi="Times New Roman"/>
          <w:color w:val="auto"/>
          <w:sz w:val="24"/>
          <w:szCs w:val="24"/>
          <w:highlight w:val="none"/>
        </w:rPr>
        <w:t>行修正，并要求投标人书面澄清确认。</w:t>
      </w:r>
      <w:bookmarkEnd w:id="517"/>
      <w:bookmarkEnd w:id="518"/>
      <w:bookmarkEnd w:id="519"/>
      <w:bookmarkEnd w:id="520"/>
      <w:bookmarkEnd w:id="521"/>
      <w:bookmarkEnd w:id="522"/>
      <w:bookmarkEnd w:id="523"/>
      <w:bookmarkEnd w:id="524"/>
      <w:bookmarkEnd w:id="525"/>
      <w:bookmarkEnd w:id="526"/>
      <w:bookmarkEnd w:id="527"/>
      <w:r>
        <w:rPr>
          <w:rFonts w:ascii="Times New Roman" w:hAnsi="Times New Roman"/>
          <w:color w:val="auto"/>
          <w:sz w:val="24"/>
          <w:szCs w:val="24"/>
          <w:highlight w:val="none"/>
        </w:rPr>
        <w:t>投标人拒不澄清确认的，评标委员会应当否决其投标：</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（1）投标文件中的大写金额与小写金额不一致的，以大写金额为准；</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（2）总价金额与单价金额不一致的，以单价金额为准，但单价金额小数点有明显错误的除外</w:t>
      </w:r>
      <w:r>
        <w:rPr>
          <w:rFonts w:hint="eastAsia" w:ascii="Times New Roman" w:hAnsi="Times New Roman"/>
          <w:color w:val="auto"/>
          <w:sz w:val="24"/>
          <w:szCs w:val="24"/>
          <w:highlight w:val="none"/>
        </w:rPr>
        <w:t>。</w:t>
      </w:r>
    </w:p>
    <w:p>
      <w:pPr>
        <w:pStyle w:val="4"/>
        <w:keepNext w:val="0"/>
        <w:keepLines w:val="0"/>
        <w:spacing w:before="0" w:after="0" w:line="240" w:lineRule="auto"/>
        <w:ind w:firstLine="560" w:firstLineChars="200"/>
        <w:rPr>
          <w:rFonts w:ascii="Times New Roman" w:hAnsi="Times New Roman"/>
          <w:color w:val="auto"/>
          <w:highlight w:val="none"/>
        </w:rPr>
      </w:pPr>
      <w:bookmarkStart w:id="528" w:name="_Toc89870617"/>
      <w:r>
        <w:rPr>
          <w:rFonts w:ascii="Times New Roman" w:hAnsi="Times New Roman"/>
          <w:color w:val="auto"/>
          <w:highlight w:val="none"/>
        </w:rPr>
        <w:t>3.2 详细评审</w:t>
      </w:r>
      <w:bookmarkEnd w:id="528"/>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3.2.1 评标委员会按本章第2.2款规定的量化因素和分值进行打分，并计算出综合评估得分。</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（1）按本章第2.2.4（1）目规定的评审因素和分值对资信业绩部分计算出得分A；</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（2）按本章第2.2.4（2）目规定的评审因素和分值对监理大纲部分计算出得分B；</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（3）按本章第2.2.4（3）目规定的评审因素和</w:t>
      </w:r>
      <w:bookmarkStart w:id="529" w:name="_Toc247527629"/>
      <w:bookmarkStart w:id="530" w:name="_Toc152045604"/>
      <w:bookmarkStart w:id="531" w:name="_Toc24330"/>
      <w:bookmarkStart w:id="532" w:name="_Toc369531583"/>
      <w:bookmarkStart w:id="533" w:name="_Toc144974571"/>
      <w:bookmarkStart w:id="534" w:name="_Toc352691539"/>
      <w:bookmarkStart w:id="535" w:name="_Toc152042381"/>
      <w:bookmarkStart w:id="536" w:name="_Toc361508652"/>
      <w:bookmarkStart w:id="537" w:name="_Toc247514028"/>
      <w:bookmarkStart w:id="538" w:name="_Toc300835014"/>
      <w:bookmarkStart w:id="539" w:name="_Toc384308278"/>
      <w:r>
        <w:rPr>
          <w:rFonts w:ascii="Times New Roman" w:hAnsi="Times New Roman"/>
          <w:color w:val="auto"/>
          <w:sz w:val="24"/>
          <w:szCs w:val="24"/>
          <w:highlight w:val="none"/>
        </w:rPr>
        <w:t>分值对投标报价</w:t>
      </w:r>
      <w:bookmarkEnd w:id="529"/>
      <w:bookmarkEnd w:id="530"/>
      <w:bookmarkEnd w:id="531"/>
      <w:bookmarkEnd w:id="532"/>
      <w:bookmarkEnd w:id="533"/>
      <w:bookmarkEnd w:id="534"/>
      <w:bookmarkEnd w:id="535"/>
      <w:bookmarkEnd w:id="536"/>
      <w:bookmarkEnd w:id="537"/>
      <w:bookmarkEnd w:id="538"/>
      <w:bookmarkEnd w:id="539"/>
      <w:r>
        <w:rPr>
          <w:rFonts w:ascii="Times New Roman" w:hAnsi="Times New Roman"/>
          <w:color w:val="auto"/>
          <w:sz w:val="24"/>
          <w:szCs w:val="24"/>
          <w:highlight w:val="none"/>
        </w:rPr>
        <w:t>计</w:t>
      </w:r>
      <w:bookmarkStart w:id="540" w:name="_Toc369531584"/>
      <w:bookmarkStart w:id="541" w:name="_Toc247527630"/>
      <w:bookmarkStart w:id="542" w:name="_Toc352691540"/>
      <w:bookmarkStart w:id="543" w:name="_Toc152042382"/>
      <w:bookmarkStart w:id="544" w:name="_Toc152045605"/>
      <w:bookmarkStart w:id="545" w:name="_Toc300835015"/>
      <w:bookmarkStart w:id="546" w:name="_Toc18141"/>
      <w:bookmarkStart w:id="547" w:name="_Toc384308279"/>
      <w:bookmarkStart w:id="548" w:name="_Toc361508653"/>
      <w:bookmarkStart w:id="549" w:name="_Toc247514029"/>
      <w:bookmarkStart w:id="550" w:name="_Toc144974572"/>
      <w:r>
        <w:rPr>
          <w:rFonts w:ascii="Times New Roman" w:hAnsi="Times New Roman"/>
          <w:color w:val="auto"/>
          <w:sz w:val="24"/>
          <w:szCs w:val="24"/>
          <w:highlight w:val="none"/>
        </w:rPr>
        <w:t>算出得分C；</w:t>
      </w:r>
    </w:p>
    <w:p>
      <w:pPr>
        <w:spacing w:line="400" w:lineRule="exact"/>
        <w:ind w:firstLine="480" w:firstLineChars="200"/>
        <w:rPr>
          <w:color w:val="auto"/>
          <w:sz w:val="24"/>
          <w:szCs w:val="24"/>
          <w:highlight w:val="none"/>
        </w:rPr>
      </w:pPr>
      <w:r>
        <w:rPr>
          <w:rFonts w:hint="eastAsia" w:ascii="Times New Roman" w:hAnsi="Times New Roman"/>
          <w:color w:val="auto"/>
          <w:sz w:val="24"/>
          <w:szCs w:val="24"/>
          <w:highlight w:val="none"/>
        </w:rPr>
        <w:t>（</w:t>
      </w:r>
      <w:r>
        <w:rPr>
          <w:rFonts w:hint="eastAsia"/>
          <w:color w:val="auto"/>
          <w:sz w:val="24"/>
          <w:szCs w:val="24"/>
          <w:highlight w:val="none"/>
        </w:rPr>
        <w:t>4）</w:t>
      </w:r>
      <w:r>
        <w:rPr>
          <w:rFonts w:ascii="Times New Roman" w:hAnsi="Times New Roman"/>
          <w:color w:val="auto"/>
          <w:sz w:val="24"/>
          <w:szCs w:val="24"/>
          <w:highlight w:val="none"/>
        </w:rPr>
        <w:t>按本章第2.2.4（</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）目规定的评审因素和分值对其他因素计算出得分</w:t>
      </w:r>
      <w:r>
        <w:rPr>
          <w:rFonts w:hint="eastAsia" w:ascii="Times New Roman" w:hAnsi="Times New Roman"/>
          <w:color w:val="auto"/>
          <w:sz w:val="24"/>
          <w:szCs w:val="24"/>
          <w:highlight w:val="none"/>
        </w:rPr>
        <w:t>D。</w:t>
      </w:r>
    </w:p>
    <w:bookmarkEnd w:id="540"/>
    <w:bookmarkEnd w:id="541"/>
    <w:bookmarkEnd w:id="542"/>
    <w:bookmarkEnd w:id="543"/>
    <w:bookmarkEnd w:id="544"/>
    <w:bookmarkEnd w:id="545"/>
    <w:bookmarkEnd w:id="546"/>
    <w:bookmarkEnd w:id="547"/>
    <w:bookmarkEnd w:id="548"/>
    <w:bookmarkEnd w:id="549"/>
    <w:bookmarkEnd w:id="550"/>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3.2.2 </w:t>
      </w:r>
      <w:r>
        <w:rPr>
          <w:rFonts w:hint="eastAsia" w:ascii="Times New Roman" w:hAnsi="Times New Roman"/>
          <w:color w:val="auto"/>
          <w:sz w:val="24"/>
          <w:szCs w:val="24"/>
          <w:highlight w:val="none"/>
        </w:rPr>
        <w:t>投标人综合得分为各评委的评分去掉一个最高分和一个最低分后计取的算术平均分（分数出现小数点时，保留小数点后二位，第三位小数四舍五入）。</w:t>
      </w:r>
    </w:p>
    <w:p>
      <w:pPr>
        <w:spacing w:line="400" w:lineRule="exact"/>
        <w:ind w:firstLine="480" w:firstLineChars="200"/>
        <w:rPr>
          <w:rFonts w:hint="eastAsia" w:ascii="Times New Roman" w:hAnsi="Times New Roman"/>
          <w:color w:val="auto"/>
          <w:sz w:val="24"/>
          <w:szCs w:val="24"/>
          <w:highlight w:val="none"/>
        </w:rPr>
      </w:pPr>
      <w:r>
        <w:rPr>
          <w:rFonts w:ascii="Times New Roman" w:hAnsi="Times New Roman"/>
          <w:color w:val="auto"/>
          <w:sz w:val="24"/>
          <w:szCs w:val="24"/>
          <w:highlight w:val="none"/>
        </w:rPr>
        <w:t>3.2.3</w:t>
      </w:r>
      <w:r>
        <w:rPr>
          <w:rFonts w:hint="eastAsia" w:ascii="Times New Roman" w:hAnsi="Times New Roman"/>
          <w:color w:val="auto"/>
          <w:sz w:val="24"/>
          <w:szCs w:val="24"/>
          <w:highlight w:val="none"/>
        </w:rPr>
        <w:t>投标人总得分=投标人综合得分（A+B+C）*80%+企业诚信得分D。（综合得分</w:t>
      </w:r>
      <w:r>
        <w:rPr>
          <w:rFonts w:hint="eastAsia" w:ascii="Times New Roman" w:hAnsi="Times New Roman"/>
          <w:color w:val="auto"/>
          <w:sz w:val="24"/>
          <w:szCs w:val="24"/>
          <w:highlight w:val="none"/>
          <w:lang w:val="en-US" w:eastAsia="zh-CN"/>
        </w:rPr>
        <w:t>乘权重80%</w:t>
      </w:r>
      <w:r>
        <w:rPr>
          <w:rFonts w:hint="eastAsia" w:ascii="Times New Roman" w:hAnsi="Times New Roman"/>
          <w:color w:val="auto"/>
          <w:sz w:val="24"/>
          <w:szCs w:val="24"/>
          <w:highlight w:val="none"/>
        </w:rPr>
        <w:t>重后最高得分为80分，</w:t>
      </w:r>
      <w:r>
        <w:rPr>
          <w:rFonts w:hint="eastAsia" w:ascii="Times New Roman" w:hAnsi="Times New Roman"/>
          <w:color w:val="auto"/>
          <w:sz w:val="24"/>
          <w:szCs w:val="24"/>
          <w:highlight w:val="none"/>
          <w:lang w:val="en-US" w:eastAsia="zh-CN"/>
        </w:rPr>
        <w:t>企业</w:t>
      </w:r>
      <w:r>
        <w:rPr>
          <w:rFonts w:hint="eastAsia" w:ascii="Times New Roman" w:hAnsi="Times New Roman"/>
          <w:color w:val="auto"/>
          <w:sz w:val="24"/>
          <w:szCs w:val="24"/>
          <w:highlight w:val="none"/>
        </w:rPr>
        <w:t>诚信得分</w:t>
      </w:r>
      <w:r>
        <w:rPr>
          <w:rFonts w:hint="eastAsia" w:ascii="Times New Roman" w:hAnsi="Times New Roman"/>
          <w:color w:val="auto"/>
          <w:sz w:val="24"/>
          <w:szCs w:val="24"/>
          <w:highlight w:val="none"/>
          <w:lang w:val="en-US" w:eastAsia="zh-CN"/>
        </w:rPr>
        <w:t>D为企业诚信排名得分</w:t>
      </w:r>
      <w:r>
        <w:rPr>
          <w:rFonts w:hint="eastAsia" w:ascii="Times New Roman" w:hAnsi="Times New Roman"/>
          <w:color w:val="auto"/>
          <w:sz w:val="24"/>
          <w:szCs w:val="24"/>
          <w:highlight w:val="none"/>
        </w:rPr>
        <w:t>乘权重</w:t>
      </w:r>
      <w:r>
        <w:rPr>
          <w:rFonts w:hint="eastAsia" w:ascii="Times New Roman" w:hAnsi="Times New Roman"/>
          <w:color w:val="auto"/>
          <w:sz w:val="24"/>
          <w:szCs w:val="24"/>
          <w:highlight w:val="none"/>
          <w:lang w:val="en-US" w:eastAsia="zh-CN"/>
        </w:rPr>
        <w:t>20%</w:t>
      </w:r>
      <w:r>
        <w:rPr>
          <w:rFonts w:hint="eastAsia" w:ascii="Times New Roman" w:hAnsi="Times New Roman"/>
          <w:color w:val="auto"/>
          <w:sz w:val="24"/>
          <w:szCs w:val="24"/>
          <w:highlight w:val="none"/>
        </w:rPr>
        <w:t>后最高得分为20分。</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keepNext w:val="0"/>
        <w:keepLines w:val="0"/>
        <w:spacing w:before="0" w:after="0" w:line="240" w:lineRule="auto"/>
        <w:ind w:firstLine="560" w:firstLineChars="200"/>
        <w:rPr>
          <w:rFonts w:ascii="Times New Roman" w:hAnsi="Times New Roman"/>
          <w:color w:val="auto"/>
          <w:highlight w:val="none"/>
        </w:rPr>
      </w:pPr>
      <w:bookmarkStart w:id="551" w:name="_Toc89870618"/>
      <w:r>
        <w:rPr>
          <w:rFonts w:ascii="Times New Roman" w:hAnsi="Times New Roman"/>
          <w:color w:val="auto"/>
          <w:highlight w:val="none"/>
        </w:rPr>
        <w:t>3.3 投标文件的澄清</w:t>
      </w:r>
      <w:bookmarkEnd w:id="551"/>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3.3.2 澄清、说明或补正不得超出投标文件的范围且不得改变投标文件的实质性内容，并构成投标文件的组成部分。</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3.3.3 评标委员会对投标人提交的澄清、说明或补正有疑问的，可以要求投标人进一步澄清、说明或补正，直至满足评标委员会的要求。</w:t>
      </w:r>
    </w:p>
    <w:p>
      <w:pPr>
        <w:pStyle w:val="4"/>
        <w:keepNext w:val="0"/>
        <w:keepLines w:val="0"/>
        <w:spacing w:before="0" w:after="0" w:line="240" w:lineRule="auto"/>
        <w:ind w:firstLine="560" w:firstLineChars="200"/>
        <w:rPr>
          <w:rFonts w:ascii="Times New Roman" w:hAnsi="Times New Roman"/>
          <w:color w:val="auto"/>
          <w:highlight w:val="none"/>
        </w:rPr>
      </w:pPr>
      <w:bookmarkStart w:id="552" w:name="_Toc89870619"/>
      <w:r>
        <w:rPr>
          <w:rFonts w:ascii="Times New Roman" w:hAnsi="Times New Roman"/>
          <w:color w:val="auto"/>
          <w:highlight w:val="none"/>
        </w:rPr>
        <w:t>3.4 评标结果</w:t>
      </w:r>
      <w:bookmarkEnd w:id="552"/>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3.4.1 除第二章</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投标人须知</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前附表授权直接确定中标人外，评标委员会按照得分由高到低的顺序推荐中标候选人，并标明排序。</w:t>
      </w:r>
    </w:p>
    <w:p>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3.4.2 评标委员会完成评标后，应当向招标人提交书面评标报告和中标候选人名单。</w:t>
      </w:r>
    </w:p>
    <w:p>
      <w:pPr>
        <w:pStyle w:val="3"/>
        <w:keepNext w:val="0"/>
        <w:keepLines w:val="0"/>
        <w:spacing w:before="100" w:after="100" w:line="360" w:lineRule="auto"/>
        <w:jc w:val="center"/>
        <w:rPr>
          <w:color w:val="auto"/>
          <w:highlight w:val="none"/>
        </w:rPr>
      </w:pPr>
      <w:r>
        <w:rPr>
          <w:color w:val="auto"/>
          <w:highlight w:val="none"/>
        </w:rPr>
        <w:br w:type="page"/>
      </w:r>
      <w:bookmarkStart w:id="553" w:name="_Toc89870620"/>
      <w:r>
        <w:rPr>
          <w:color w:val="auto"/>
          <w:highlight w:val="none"/>
        </w:rPr>
        <w:t>第四章</w:t>
      </w:r>
      <w:r>
        <w:rPr>
          <w:rFonts w:hint="eastAsia"/>
          <w:color w:val="auto"/>
          <w:highlight w:val="none"/>
        </w:rPr>
        <w:t xml:space="preserve"> </w:t>
      </w:r>
      <w:r>
        <w:rPr>
          <w:color w:val="auto"/>
          <w:highlight w:val="none"/>
        </w:rPr>
        <w:t>合同条款及格式</w:t>
      </w:r>
      <w:bookmarkEnd w:id="553"/>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31"/>
        <w:spacing w:line="360" w:lineRule="auto"/>
        <w:ind w:firstLine="480" w:firstLineChars="200"/>
        <w:jc w:val="both"/>
        <w:rPr>
          <w:rFonts w:ascii="宋体" w:hAnsi="宋体"/>
          <w:color w:val="auto"/>
          <w:highlight w:val="none"/>
        </w:rPr>
      </w:pPr>
    </w:p>
    <w:p>
      <w:pPr>
        <w:pStyle w:val="4"/>
        <w:spacing w:before="0" w:after="0"/>
        <w:ind w:firstLine="883" w:firstLineChars="200"/>
        <w:jc w:val="center"/>
        <w:rPr>
          <w:rFonts w:ascii="Times New Roman" w:hAnsi="Times New Roman" w:eastAsia="宋体" w:cs="Times New Roman"/>
          <w:b/>
          <w:color w:val="auto"/>
          <w:kern w:val="44"/>
          <w:sz w:val="44"/>
          <w:szCs w:val="20"/>
          <w:highlight w:val="none"/>
          <w:lang w:val="en-US" w:eastAsia="zh-CN" w:bidi="ar-SA"/>
        </w:rPr>
      </w:pPr>
      <w:r>
        <w:rPr>
          <w:rFonts w:hint="eastAsia" w:ascii="Times New Roman" w:hAnsi="Times New Roman" w:eastAsia="宋体" w:cs="Times New Roman"/>
          <w:b/>
          <w:color w:val="auto"/>
          <w:kern w:val="44"/>
          <w:sz w:val="44"/>
          <w:szCs w:val="20"/>
          <w:highlight w:val="none"/>
          <w:lang w:val="en-US" w:eastAsia="zh-CN" w:bidi="ar-SA"/>
        </w:rPr>
        <w:t>建设工程监理合同</w:t>
      </w:r>
    </w:p>
    <w:p>
      <w:pPr>
        <w:ind w:firstLine="643" w:firstLineChars="200"/>
        <w:jc w:val="center"/>
        <w:rPr>
          <w:rFonts w:hint="eastAsia"/>
          <w:b/>
          <w:color w:val="auto"/>
          <w:sz w:val="32"/>
          <w:highlight w:val="none"/>
          <w:lang w:val="en-US" w:eastAsia="zh-CN"/>
        </w:rPr>
      </w:pPr>
      <w:r>
        <w:rPr>
          <w:rFonts w:hint="eastAsia"/>
          <w:b/>
          <w:color w:val="auto"/>
          <w:sz w:val="32"/>
          <w:highlight w:val="none"/>
          <w:lang w:val="en-US" w:eastAsia="zh-CN"/>
        </w:rPr>
        <w:t>（另册）</w:t>
      </w:r>
    </w:p>
    <w:p>
      <w:pPr>
        <w:rPr>
          <w:rFonts w:hint="eastAsia"/>
          <w:b/>
          <w:color w:val="auto"/>
          <w:sz w:val="32"/>
          <w:highlight w:val="none"/>
          <w:lang w:val="en-US" w:eastAsia="zh-CN"/>
        </w:rPr>
      </w:pPr>
      <w:r>
        <w:rPr>
          <w:rFonts w:hint="eastAsia"/>
          <w:b/>
          <w:color w:val="auto"/>
          <w:sz w:val="32"/>
          <w:highlight w:val="none"/>
          <w:lang w:val="en-US" w:eastAsia="zh-CN"/>
        </w:rPr>
        <w:br w:type="page"/>
      </w:r>
    </w:p>
    <w:p>
      <w:pPr>
        <w:pStyle w:val="5"/>
        <w:rPr>
          <w:rFonts w:hint="eastAsia"/>
          <w:lang w:val="en-US" w:eastAsia="zh-CN"/>
        </w:rPr>
      </w:pPr>
    </w:p>
    <w:p>
      <w:pPr>
        <w:ind w:firstLine="643" w:firstLineChars="200"/>
        <w:rPr>
          <w:b/>
          <w:color w:val="auto"/>
          <w:sz w:val="32"/>
          <w:highlight w:val="none"/>
        </w:rPr>
      </w:pPr>
    </w:p>
    <w:p>
      <w:pPr>
        <w:pStyle w:val="14"/>
        <w:rPr>
          <w:b/>
          <w:color w:val="auto"/>
          <w:sz w:val="32"/>
          <w:highlight w:val="none"/>
        </w:rPr>
      </w:pPr>
    </w:p>
    <w:p>
      <w:pPr>
        <w:ind w:firstLine="643" w:firstLineChars="200"/>
        <w:rPr>
          <w:b/>
          <w:color w:val="auto"/>
          <w:sz w:val="32"/>
          <w:highlight w:val="none"/>
        </w:rPr>
      </w:pPr>
    </w:p>
    <w:p>
      <w:pPr>
        <w:ind w:firstLine="643" w:firstLineChars="200"/>
        <w:rPr>
          <w:b/>
          <w:color w:val="auto"/>
          <w:sz w:val="32"/>
          <w:highlight w:val="none"/>
        </w:rPr>
      </w:pPr>
    </w:p>
    <w:p>
      <w:pPr>
        <w:ind w:firstLine="643" w:firstLineChars="200"/>
        <w:rPr>
          <w:b/>
          <w:color w:val="auto"/>
          <w:sz w:val="32"/>
          <w:highlight w:val="none"/>
        </w:rPr>
      </w:pPr>
    </w:p>
    <w:p>
      <w:pPr>
        <w:rPr>
          <w:color w:val="auto"/>
          <w:highlight w:val="none"/>
        </w:rPr>
      </w:pPr>
    </w:p>
    <w:p>
      <w:pPr>
        <w:rPr>
          <w:color w:val="auto"/>
          <w:highlight w:val="none"/>
        </w:rPr>
      </w:pPr>
    </w:p>
    <w:p>
      <w:pPr>
        <w:ind w:firstLine="629" w:firstLineChars="200"/>
        <w:rPr>
          <w:b/>
          <w:color w:val="auto"/>
          <w:sz w:val="33"/>
          <w:highlight w:val="none"/>
        </w:rPr>
      </w:pPr>
      <w:r>
        <w:rPr>
          <w:b/>
          <w:color w:val="auto"/>
          <w:w w:val="98"/>
          <w:sz w:val="32"/>
          <w:highlight w:val="non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val="0"/>
        <w:keepLines w:val="0"/>
        <w:spacing w:before="0" w:after="0" w:line="440" w:lineRule="exact"/>
        <w:jc w:val="center"/>
        <w:rPr>
          <w:color w:val="auto"/>
          <w:highlight w:val="none"/>
        </w:rPr>
      </w:pPr>
      <w:bookmarkStart w:id="554" w:name="_Toc89870621"/>
      <w:bookmarkStart w:id="555" w:name="_Toc246997081"/>
      <w:bookmarkStart w:id="556" w:name="_Toc247085853"/>
      <w:bookmarkStart w:id="557" w:name="_Toc179632787"/>
      <w:bookmarkStart w:id="558" w:name="_Toc246996338"/>
      <w:bookmarkStart w:id="559" w:name="_Toc184635122"/>
      <w:bookmarkStart w:id="560" w:name="_Toc144974829"/>
      <w:bookmarkStart w:id="561" w:name="_Toc300835199"/>
      <w:bookmarkStart w:id="562" w:name="_Toc144974578"/>
      <w:bookmarkStart w:id="563" w:name="_Toc247514197"/>
      <w:bookmarkStart w:id="564" w:name="_Toc152042549"/>
      <w:bookmarkStart w:id="565" w:name="_Toc152042388"/>
      <w:bookmarkStart w:id="566" w:name="_Toc247527798"/>
      <w:bookmarkStart w:id="567" w:name="_Toc152045610"/>
      <w:r>
        <w:rPr>
          <w:color w:val="auto"/>
          <w:highlight w:val="none"/>
        </w:rPr>
        <w:t>第</w:t>
      </w:r>
      <w:r>
        <w:rPr>
          <w:rFonts w:hint="eastAsia"/>
          <w:color w:val="auto"/>
          <w:highlight w:val="none"/>
        </w:rPr>
        <w:t>二</w:t>
      </w:r>
      <w:r>
        <w:rPr>
          <w:color w:val="auto"/>
          <w:highlight w:val="none"/>
        </w:rPr>
        <w:t>卷</w:t>
      </w:r>
      <w:bookmarkEnd w:id="554"/>
    </w:p>
    <w:p>
      <w:pPr>
        <w:rPr>
          <w:color w:val="auto"/>
          <w:sz w:val="36"/>
          <w:szCs w:val="36"/>
          <w:highlight w:val="none"/>
        </w:rPr>
      </w:pPr>
      <w:bookmarkStart w:id="568" w:name="_Toc89870622"/>
      <w:r>
        <w:rPr>
          <w:rFonts w:hint="eastAsia"/>
          <w:color w:val="auto"/>
          <w:sz w:val="36"/>
          <w:szCs w:val="36"/>
          <w:highlight w:val="none"/>
        </w:rPr>
        <w:br w:type="page"/>
      </w:r>
    </w:p>
    <w:p>
      <w:pPr>
        <w:pStyle w:val="3"/>
        <w:keepNext w:val="0"/>
        <w:keepLines w:val="0"/>
        <w:spacing w:before="0" w:after="0" w:line="360" w:lineRule="auto"/>
        <w:jc w:val="center"/>
        <w:rPr>
          <w:color w:val="auto"/>
          <w:sz w:val="36"/>
          <w:szCs w:val="36"/>
          <w:highlight w:val="none"/>
        </w:rPr>
      </w:pPr>
      <w:r>
        <w:rPr>
          <w:rFonts w:hint="eastAsia"/>
          <w:color w:val="auto"/>
          <w:sz w:val="36"/>
          <w:szCs w:val="36"/>
          <w:highlight w:val="none"/>
        </w:rPr>
        <w:t>第五章</w:t>
      </w:r>
      <w:r>
        <w:rPr>
          <w:color w:val="auto"/>
          <w:sz w:val="36"/>
          <w:szCs w:val="36"/>
          <w:highlight w:val="none"/>
        </w:rPr>
        <w:t xml:space="preserve"> </w:t>
      </w:r>
      <w:r>
        <w:rPr>
          <w:rFonts w:hint="eastAsia"/>
          <w:color w:val="auto"/>
          <w:sz w:val="36"/>
          <w:szCs w:val="36"/>
          <w:highlight w:val="none"/>
        </w:rPr>
        <w:t>委托人要求</w:t>
      </w:r>
      <w:bookmarkEnd w:id="555"/>
      <w:bookmarkEnd w:id="556"/>
      <w:bookmarkEnd w:id="557"/>
      <w:bookmarkEnd w:id="558"/>
      <w:bookmarkEnd w:id="568"/>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委托人要求通常包括但不限于以下内容：</w:t>
      </w:r>
    </w:p>
    <w:p>
      <w:pPr>
        <w:pStyle w:val="2"/>
        <w:keepNext w:val="0"/>
        <w:keepLines w:val="0"/>
        <w:spacing w:before="0" w:after="0" w:line="360" w:lineRule="auto"/>
        <w:ind w:firstLine="560" w:firstLineChars="200"/>
        <w:rPr>
          <w:rFonts w:ascii="Times New Roman" w:hAnsi="Times New Roman"/>
          <w:b w:val="0"/>
          <w:color w:val="auto"/>
          <w:sz w:val="28"/>
          <w:szCs w:val="28"/>
          <w:highlight w:val="none"/>
        </w:rPr>
      </w:pPr>
      <w:bookmarkStart w:id="569" w:name="_Toc527028520"/>
      <w:bookmarkStart w:id="570" w:name="_Toc89870623"/>
      <w:bookmarkStart w:id="571" w:name="_Toc482188637"/>
      <w:bookmarkStart w:id="572" w:name="_Toc511557110"/>
      <w:r>
        <w:rPr>
          <w:rFonts w:ascii="Times New Roman" w:hAnsi="Times New Roman"/>
          <w:b w:val="0"/>
          <w:color w:val="auto"/>
          <w:sz w:val="28"/>
          <w:szCs w:val="28"/>
          <w:highlight w:val="none"/>
        </w:rPr>
        <w:t>一、监理要求</w:t>
      </w:r>
      <w:bookmarkEnd w:id="569"/>
      <w:bookmarkEnd w:id="570"/>
      <w:bookmarkEnd w:id="571"/>
      <w:bookmarkEnd w:id="572"/>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招标人应当根据项目情况在本章中明确相应的监理要求，一般应包括以下内容：</w:t>
      </w:r>
    </w:p>
    <w:p>
      <w:pPr>
        <w:spacing w:line="360" w:lineRule="auto"/>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1. 项目概况</w:t>
      </w:r>
    </w:p>
    <w:p>
      <w:pPr>
        <w:spacing w:line="360" w:lineRule="auto"/>
        <w:ind w:firstLine="480" w:firstLineChars="200"/>
        <w:rPr>
          <w:rFonts w:ascii="宋体" w:hAnsi="宋体" w:cs="宋体"/>
          <w:color w:val="auto"/>
          <w:sz w:val="24"/>
          <w:szCs w:val="24"/>
          <w:highlight w:val="none"/>
        </w:rPr>
      </w:pPr>
      <w:r>
        <w:rPr>
          <w:rFonts w:hint="eastAsia"/>
          <w:color w:val="auto"/>
          <w:sz w:val="24"/>
          <w:szCs w:val="24"/>
          <w:highlight w:val="none"/>
        </w:rPr>
        <w:t>1.1项目名称：</w:t>
      </w:r>
      <w:r>
        <w:rPr>
          <w:rFonts w:hint="eastAsia" w:ascii="宋体" w:hAnsi="宋体" w:cs="宋体"/>
          <w:color w:val="auto"/>
          <w:sz w:val="24"/>
          <w:szCs w:val="24"/>
          <w:highlight w:val="none"/>
          <w:u w:val="single"/>
          <w:lang w:eastAsia="zh-CN"/>
        </w:rPr>
        <w:t>增城区开发区下沉式再生水厂及配套管网工程监理</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kern w:val="0"/>
          <w:sz w:val="24"/>
          <w:highlight w:val="none"/>
        </w:rPr>
      </w:pPr>
      <w:r>
        <w:rPr>
          <w:rFonts w:hint="eastAsia"/>
          <w:color w:val="auto"/>
          <w:sz w:val="24"/>
          <w:szCs w:val="24"/>
          <w:highlight w:val="none"/>
        </w:rPr>
        <w:t>1.2建设地点：</w:t>
      </w:r>
      <w:r>
        <w:rPr>
          <w:rFonts w:hint="eastAsia" w:ascii="宋体" w:hAnsi="宋体" w:cs="宋体"/>
          <w:color w:val="auto"/>
          <w:sz w:val="24"/>
          <w:szCs w:val="24"/>
          <w:highlight w:val="none"/>
          <w:u w:val="single"/>
          <w:lang w:eastAsia="zh-CN" w:bidi="ar"/>
        </w:rPr>
        <w:t>增城区永宁街长岗村</w:t>
      </w:r>
      <w:r>
        <w:rPr>
          <w:rFonts w:hint="eastAsia" w:ascii="宋体" w:hAnsi="宋体" w:cs="宋体"/>
          <w:color w:val="auto"/>
          <w:sz w:val="24"/>
          <w:szCs w:val="24"/>
          <w:highlight w:val="none"/>
        </w:rPr>
        <w:t>。</w:t>
      </w:r>
    </w:p>
    <w:p>
      <w:pPr>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rPr>
        <w:t>1.3项目规模：</w:t>
      </w:r>
      <w:r>
        <w:rPr>
          <w:rFonts w:hint="eastAsia" w:ascii="宋体" w:hAnsi="宋体" w:eastAsia="宋体" w:cs="宋体"/>
          <w:color w:val="auto"/>
          <w:sz w:val="24"/>
          <w:szCs w:val="24"/>
          <w:highlight w:val="none"/>
          <w:u w:val="single"/>
        </w:rPr>
        <w:t>本工程在永宁街长岗村创誉路与永和河交界的西南角，厂区建设征用地约100亩，新建开发区下沉式污水处理厂，采用全地下布置形式，近期总建设规模15万m³/d,生活污水厂设计规模10万m³/d（土建一次性完成，设备安装7.5万m³/d），工业废水厂5万m³/d；新建配套管网约18.2公里，包含d1350~d1500生活污水管约8.4公里，d800~d1500工业废水管约5.8公里，生活污水厂DN1500尾水排放管约50米，工业废水厂DN800尾水排放管约3.9公里。本工程服务范围为永宁街道，宁西街道和增城区技术开发区，服务面积104.14平方公里</w:t>
      </w:r>
      <w:r>
        <w:rPr>
          <w:rFonts w:hint="eastAsia" w:ascii="宋体" w:hAnsi="宋体" w:cs="宋体"/>
          <w:color w:val="auto"/>
          <w:sz w:val="24"/>
          <w:szCs w:val="24"/>
          <w:highlight w:val="none"/>
          <w:u w:val="single"/>
          <w:lang w:eastAsia="zh-CN"/>
        </w:rPr>
        <w:t>。</w:t>
      </w:r>
    </w:p>
    <w:p>
      <w:pPr>
        <w:spacing w:line="360" w:lineRule="auto"/>
        <w:ind w:firstLine="480" w:firstLineChars="200"/>
        <w:rPr>
          <w:rFonts w:ascii="宋体" w:hAnsi="宋体" w:cs="宋体"/>
          <w:color w:val="auto"/>
          <w:sz w:val="24"/>
          <w:highlight w:val="none"/>
          <w:u w:val="single"/>
        </w:rPr>
      </w:pPr>
      <w:r>
        <w:rPr>
          <w:rFonts w:hint="eastAsia"/>
          <w:color w:val="auto"/>
          <w:sz w:val="24"/>
          <w:szCs w:val="24"/>
          <w:highlight w:val="none"/>
        </w:rPr>
        <w:t>1.4</w:t>
      </w:r>
      <w:r>
        <w:rPr>
          <w:rFonts w:hint="eastAsia" w:ascii="宋体" w:hAnsi="宋体" w:cs="宋体"/>
          <w:color w:val="auto"/>
          <w:sz w:val="24"/>
          <w:highlight w:val="none"/>
          <w:u w:val="single"/>
        </w:rPr>
        <w:t>项目总投资估算约201372.83万元，建安费约156516.31万元。</w:t>
      </w:r>
    </w:p>
    <w:p>
      <w:pPr>
        <w:spacing w:line="360" w:lineRule="auto"/>
        <w:ind w:firstLine="480" w:firstLineChars="200"/>
        <w:rPr>
          <w:rFonts w:ascii="宋体" w:hAnsi="宋体"/>
          <w:color w:val="auto"/>
          <w:sz w:val="24"/>
          <w:szCs w:val="24"/>
          <w:highlight w:val="none"/>
        </w:rPr>
      </w:pPr>
      <w:r>
        <w:rPr>
          <w:color w:val="auto"/>
          <w:sz w:val="24"/>
          <w:szCs w:val="24"/>
          <w:highlight w:val="none"/>
        </w:rPr>
        <w:t xml:space="preserve">1.5 </w:t>
      </w:r>
      <w:r>
        <w:rPr>
          <w:rFonts w:hint="eastAsia" w:ascii="宋体" w:hAnsi="宋体"/>
          <w:color w:val="auto"/>
          <w:sz w:val="24"/>
          <w:szCs w:val="24"/>
          <w:highlight w:val="none"/>
        </w:rPr>
        <w:t>监理服务期限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施工准备阶段：</w:t>
      </w:r>
      <w:r>
        <w:rPr>
          <w:rFonts w:hint="eastAsia" w:ascii="宋体" w:hAnsi="宋体"/>
          <w:color w:val="auto"/>
          <w:sz w:val="24"/>
          <w:szCs w:val="24"/>
          <w:highlight w:val="none"/>
          <w:u w:val="single"/>
        </w:rPr>
        <w:t>从签订监理合同之日起参与施工准备阶段配合</w:t>
      </w:r>
      <w:r>
        <w:rPr>
          <w:rFonts w:hint="eastAsia" w:ascii="宋体" w:hAnsi="宋体"/>
          <w:color w:val="auto"/>
          <w:sz w:val="24"/>
          <w:szCs w:val="24"/>
          <w:highlight w:val="none"/>
          <w:u w:val="single"/>
          <w:lang w:val="en-US" w:eastAsia="zh-CN"/>
        </w:rPr>
        <w:t>采购人</w:t>
      </w:r>
      <w:r>
        <w:rPr>
          <w:rFonts w:hint="eastAsia" w:ascii="宋体" w:hAnsi="宋体"/>
          <w:color w:val="auto"/>
          <w:sz w:val="24"/>
          <w:szCs w:val="24"/>
          <w:highlight w:val="none"/>
          <w:u w:val="single"/>
        </w:rPr>
        <w:t>完成各项报建手续。</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施工阶段监理服务期：</w:t>
      </w:r>
      <w:r>
        <w:rPr>
          <w:rFonts w:hint="eastAsia" w:ascii="宋体" w:hAnsi="宋体"/>
          <w:color w:val="auto"/>
          <w:sz w:val="24"/>
          <w:szCs w:val="24"/>
          <w:highlight w:val="none"/>
          <w:u w:val="single"/>
        </w:rPr>
        <w:t>从</w:t>
      </w:r>
      <w:r>
        <w:rPr>
          <w:rFonts w:hint="eastAsia" w:ascii="宋体" w:hAnsi="宋体"/>
          <w:color w:val="auto"/>
          <w:sz w:val="24"/>
          <w:szCs w:val="24"/>
          <w:highlight w:val="none"/>
          <w:u w:val="single"/>
          <w:lang w:val="en-US" w:eastAsia="zh-CN"/>
        </w:rPr>
        <w:t>采购人</w:t>
      </w:r>
      <w:r>
        <w:rPr>
          <w:rFonts w:hint="eastAsia" w:ascii="宋体" w:hAnsi="宋体"/>
          <w:color w:val="auto"/>
          <w:sz w:val="24"/>
          <w:szCs w:val="24"/>
          <w:highlight w:val="none"/>
          <w:u w:val="single"/>
        </w:rPr>
        <w:t>下达开工令或开工报告审批之日起至施工项目全部完工并办理竣工验收、备案管理等为止</w:t>
      </w:r>
      <w:r>
        <w:rPr>
          <w:rFonts w:hint="eastAsia" w:ascii="宋体" w:hAnsi="宋体"/>
          <w:color w:val="auto"/>
          <w:sz w:val="24"/>
          <w:szCs w:val="24"/>
          <w:highlight w:val="none"/>
          <w:u w:val="single"/>
          <w:lang w:eastAsia="zh-CN"/>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工程收尾阶段：</w:t>
      </w:r>
      <w:r>
        <w:rPr>
          <w:rFonts w:hint="eastAsia" w:ascii="宋体" w:hAnsi="宋体"/>
          <w:color w:val="auto"/>
          <w:sz w:val="24"/>
          <w:szCs w:val="24"/>
          <w:highlight w:val="none"/>
          <w:u w:val="single"/>
        </w:rPr>
        <w:t>从工程竣工验收合格至</w:t>
      </w:r>
      <w:r>
        <w:rPr>
          <w:rFonts w:hint="eastAsia" w:ascii="宋体" w:hAnsi="宋体"/>
          <w:color w:val="auto"/>
          <w:sz w:val="24"/>
          <w:szCs w:val="24"/>
          <w:highlight w:val="none"/>
          <w:u w:val="single"/>
          <w:lang w:val="en-US" w:eastAsia="zh-CN"/>
        </w:rPr>
        <w:t>采购人</w:t>
      </w:r>
      <w:r>
        <w:rPr>
          <w:rFonts w:hint="eastAsia" w:ascii="宋体" w:hAnsi="宋体"/>
          <w:color w:val="auto"/>
          <w:sz w:val="24"/>
          <w:szCs w:val="24"/>
          <w:highlight w:val="none"/>
          <w:u w:val="single"/>
        </w:rPr>
        <w:t>（或其委托的第三方）审定结算为止。</w:t>
      </w:r>
    </w:p>
    <w:p>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保修阶段监理服务期：</w:t>
      </w:r>
      <w:r>
        <w:rPr>
          <w:rFonts w:hint="eastAsia" w:ascii="宋体" w:hAnsi="宋体"/>
          <w:color w:val="auto"/>
          <w:sz w:val="24"/>
          <w:szCs w:val="24"/>
          <w:highlight w:val="none"/>
          <w:u w:val="single"/>
        </w:rPr>
        <w:t>从工程竣工验收合格、备案管理完成之日起至完成保修期服务为止</w:t>
      </w:r>
      <w:r>
        <w:rPr>
          <w:rFonts w:ascii="宋体" w:hAnsi="宋体"/>
          <w:color w:val="auto"/>
          <w:sz w:val="24"/>
          <w:szCs w:val="24"/>
          <w:highlight w:val="none"/>
          <w:u w:val="single"/>
        </w:rPr>
        <w:t>。</w:t>
      </w:r>
    </w:p>
    <w:p>
      <w:pPr>
        <w:spacing w:line="360" w:lineRule="auto"/>
        <w:ind w:firstLine="480" w:firstLineChars="200"/>
        <w:rPr>
          <w:rFonts w:hint="default" w:eastAsia="宋体"/>
          <w:u w:val="none"/>
          <w:lang w:val="en-US" w:eastAsia="zh-CN"/>
        </w:rPr>
      </w:pPr>
      <w:r>
        <w:rPr>
          <w:rFonts w:hint="eastAsia" w:ascii="宋体" w:hAnsi="宋体"/>
          <w:color w:val="auto"/>
          <w:sz w:val="24"/>
          <w:szCs w:val="24"/>
          <w:highlight w:val="none"/>
          <w:u w:val="none"/>
          <w:lang w:val="en-US" w:eastAsia="zh-CN"/>
        </w:rPr>
        <w:t xml:space="preserve">    监理服务周期必须满足实际施工要求。</w:t>
      </w:r>
    </w:p>
    <w:p>
      <w:pPr>
        <w:adjustRightInd w:val="0"/>
        <w:snapToGrid w:val="0"/>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 xml:space="preserve">2. </w:t>
      </w:r>
      <w:r>
        <w:rPr>
          <w:rFonts w:hint="eastAsia" w:ascii="Times New Roman" w:hAnsi="Times New Roman"/>
          <w:b/>
          <w:color w:val="auto"/>
          <w:sz w:val="24"/>
          <w:szCs w:val="24"/>
          <w:highlight w:val="none"/>
        </w:rPr>
        <w:t>监理</w:t>
      </w:r>
      <w:r>
        <w:rPr>
          <w:rFonts w:ascii="Times New Roman" w:hAnsi="Times New Roman"/>
          <w:b/>
          <w:color w:val="auto"/>
          <w:sz w:val="24"/>
          <w:szCs w:val="24"/>
          <w:highlight w:val="none"/>
        </w:rPr>
        <w:t>范围及内容</w:t>
      </w:r>
    </w:p>
    <w:p>
      <w:pPr>
        <w:pStyle w:val="20"/>
        <w:spacing w:line="360" w:lineRule="auto"/>
        <w:ind w:firstLine="480" w:firstLineChars="200"/>
        <w:jc w:val="both"/>
        <w:rPr>
          <w:rFonts w:hint="eastAsia" w:ascii="Calibri" w:hAnsi="Calibri" w:eastAsia="宋体" w:cs="Times New Roman"/>
          <w:color w:val="auto"/>
          <w:kern w:val="2"/>
          <w:highlight w:val="none"/>
        </w:rPr>
      </w:pPr>
      <w:r>
        <w:rPr>
          <w:rFonts w:hint="eastAsia" w:ascii="Calibri" w:hAnsi="Calibri" w:eastAsia="宋体" w:cs="Times New Roman"/>
          <w:color w:val="auto"/>
          <w:kern w:val="2"/>
          <w:highlight w:val="none"/>
        </w:rPr>
        <w:t>（1）工程范围： 包括但不限于增城区开发区下沉式再生水厂及配套管网工程范围内的永久工程、临时工程等（具体以区域内有效的施工图纸、设计变更以及施工合同所确定的内容为准）以及服务类（勘察、设计、检测、监测）等。</w:t>
      </w:r>
    </w:p>
    <w:p>
      <w:pPr>
        <w:adjustRightInd w:val="0"/>
        <w:snapToGrid w:val="0"/>
        <w:spacing w:line="360" w:lineRule="auto"/>
        <w:ind w:firstLine="420" w:firstLineChars="200"/>
        <w:rPr>
          <w:rFonts w:ascii="Times New Roman" w:hAnsi="Times New Roman"/>
          <w:color w:val="auto"/>
          <w:sz w:val="24"/>
          <w:szCs w:val="24"/>
          <w:highlight w:val="none"/>
        </w:rPr>
      </w:pPr>
      <w:r>
        <w:rPr>
          <w:rFonts w:hint="eastAsia" w:ascii="Calibri" w:hAnsi="Calibri" w:eastAsia="宋体" w:cs="Times New Roman"/>
          <w:color w:val="auto"/>
          <w:kern w:val="2"/>
          <w:highlight w:val="none"/>
        </w:rPr>
        <w:t>（2）</w:t>
      </w:r>
      <w:r>
        <w:rPr>
          <w:rFonts w:hint="eastAsia" w:ascii="宋体" w:hAnsi="宋体" w:eastAsia="宋体" w:cs="宋体"/>
          <w:color w:val="auto"/>
          <w:sz w:val="24"/>
          <w:szCs w:val="24"/>
          <w:highlight w:val="none"/>
        </w:rPr>
        <w:t>服务范围：《建设工程监理规范》（GB/T50319—2013）规定的隶属于本工程的施工的准备阶段、施工阶段、工程收尾阶段（包括但不限于竣工验收、整改、工程移交及实物移交、工程结算等）及工程质量保修阶段的质量控制、安全生产监督管理、投资控制、进度控制、文明施工管理、合同管理、信息管理、环保管理、组织协调等施工监理工作，以及委托人委托的材料及实体检测、施工监测等服务监理，直至办理竣工验收手续和工程结算、质量保修期满等全过程监理服务和工程相关协调工作</w:t>
      </w:r>
      <w:r>
        <w:rPr>
          <w:rFonts w:hint="eastAsia" w:ascii="Calibri" w:hAnsi="Calibri" w:eastAsia="宋体" w:cs="Times New Roman"/>
          <w:color w:val="auto"/>
          <w:kern w:val="2"/>
          <w:highlight w:val="none"/>
        </w:rPr>
        <w:t>。</w:t>
      </w:r>
    </w:p>
    <w:p>
      <w:pPr>
        <w:spacing w:line="360" w:lineRule="auto"/>
        <w:ind w:firstLine="480" w:firstLineChars="200"/>
        <w:rPr>
          <w:rFonts w:ascii="宋体" w:hAnsi="宋体" w:cs="宋体"/>
          <w:color w:val="auto"/>
          <w:sz w:val="24"/>
          <w:szCs w:val="24"/>
          <w:highlight w:val="none"/>
        </w:rPr>
      </w:pPr>
      <w:r>
        <w:rPr>
          <w:rFonts w:hint="eastAsia" w:ascii="Times New Roman" w:hAnsi="Times New Roman"/>
          <w:color w:val="auto"/>
          <w:sz w:val="24"/>
          <w:szCs w:val="24"/>
          <w:highlight w:val="none"/>
          <w:lang w:bidi="ar"/>
        </w:rPr>
        <w:t>2</w:t>
      </w:r>
      <w:r>
        <w:rPr>
          <w:rFonts w:ascii="Times New Roman" w:hAnsi="Times New Roman"/>
          <w:color w:val="auto"/>
          <w:sz w:val="24"/>
          <w:szCs w:val="24"/>
          <w:highlight w:val="none"/>
          <w:lang w:bidi="ar"/>
        </w:rPr>
        <w:t xml:space="preserve">.2 </w:t>
      </w:r>
      <w:r>
        <w:rPr>
          <w:rFonts w:hint="eastAsia" w:ascii="Times New Roman" w:hAnsi="Times New Roman"/>
          <w:color w:val="auto"/>
          <w:sz w:val="24"/>
          <w:szCs w:val="24"/>
          <w:highlight w:val="none"/>
          <w:lang w:bidi="ar"/>
        </w:rPr>
        <w:t>监理人监理工作内容</w:t>
      </w:r>
    </w:p>
    <w:p>
      <w:pPr>
        <w:pStyle w:val="32"/>
        <w:tabs>
          <w:tab w:val="left" w:pos="1310"/>
        </w:tabs>
        <w:spacing w:line="364"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、负责</w:t>
      </w:r>
      <w:r>
        <w:rPr>
          <w:rFonts w:hint="eastAsia" w:ascii="宋体" w:hAnsi="宋体" w:cs="宋体"/>
          <w:color w:val="auto"/>
          <w:spacing w:val="-3"/>
          <w:sz w:val="24"/>
          <w:szCs w:val="24"/>
          <w:highlight w:val="none"/>
        </w:rPr>
        <w:t>施工准备</w:t>
      </w:r>
      <w:r>
        <w:rPr>
          <w:rFonts w:hint="eastAsia" w:ascii="宋体" w:hAnsi="宋体" w:cs="宋体"/>
          <w:color w:val="auto"/>
          <w:sz w:val="24"/>
          <w:szCs w:val="24"/>
          <w:highlight w:val="none"/>
        </w:rPr>
        <w:t xml:space="preserve">阶段的监理工作，包括但不限于以下内容： </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按国家《建设工程监理规范》及广东省、广州市、增城区有关工程监理规定和要求完成本合同项下的监理工作，组织建立项目监理机构，委派驻现场监理，作全过程的质量、安全、文明施工、工期、投资的监控及合同的管理。在执行和遵守国家有关建设法规的前提下，维护委托人的正当权益。</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根据工程规模、进展情况及委托人要求，派驻不低于投标文件相应数量的监理人员于现场，保证监理的管理力度，直到工程完成。</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在建设工程监理合同签订后15天内，由总监理工程师组织编制《监理规划》，并应在召开第一次工地会议前报送委托人审批。监理规划主要内容应包括：工程概况；监理工作的范围、内容、目标，监理工作依据；监理组织形式、人员配备及进退场计划、监理人员岗位职责；监理工作制度；工程质量控制；工程造价控制；工程进度控制；安全生产管理的监理工作；合同与信息管理；组织协调；监理工作设施。</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对于专业性较强、危险性较大的分部分项工程，监理人应在相应工程施工开始前，由专业监理工程师编制《监理实施细则》，并应报总监理工程师审批。监理实施细则应包括:专业工程特点、监理工作流程、监理工作要点、监理工作方法及措施。  </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监理人收到设计文件后7天内，组织监理部技术、经济人员全面审核施工图纸，并提交书面《图纸会审意见》，派相关人员参加委托人组织的图纸会审和设计交底会议，就工程设计图纸中的问题与建设单位及设计单位沟通，充分理解建设单位意图和设计思想，提出合理化建议，对工程功能及系统组成做到全面、深入的了解和掌握。</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参与或根据委托人要求，审核工程概算以及施工图预算，并提出书面审核意见；协助委托人选择有能力、有经验的承包商；协助委托人办理与项目相关的协调工作、报批报建等所需手续。 </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认真做好施工队伍（特别是总承包商）的资质审查工作，包括人员、技术、施工设备，确保人机证齐全合一、施工队伍素质与工程要求基本相适应。</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认真审核经承包单位技术部门审批盖章的施工组织设计（施工方案）、施工进度计划、质量保证措施和安全技术措施，施工现场的布置、劳动人员安排，工具材料准备、预制中、半成品的生产等，确保工程质量符合设计和规范与工程建设总进度。 </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督促总承包单位认真做好作业前的技术交底，使每个施工人员清楚各自工作的具体要求。</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 xml:space="preserve">督促施工单位准时报送人员计划、材料进场计划、机械进场计划、资金使用计划、施工进度计划、产值计划等各项计划，并根据委托人下达的建设目标进行分解和审核，督促、监督和落实各项计划。 </w:t>
      </w:r>
    </w:p>
    <w:p>
      <w:pPr>
        <w:spacing w:line="36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协助委托人移交与项目施工有关的测量控制网点，并负责控制网点的复核；审查承包人提交的测量实施报告，并依据监理规范要求检查和复核有关测量成果。</w:t>
      </w:r>
    </w:p>
    <w:p>
      <w:pPr>
        <w:spacing w:line="36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督促并审查工程开工条件，对条件具备的按时签发开工令。</w:t>
      </w:r>
      <w:r>
        <w:rPr>
          <w:rFonts w:ascii="宋体" w:hAnsi="宋体" w:cs="宋体"/>
          <w:color w:val="auto"/>
          <w:sz w:val="24"/>
          <w:szCs w:val="24"/>
          <w:highlight w:val="none"/>
        </w:rPr>
        <w:t xml:space="preserve"> </w:t>
      </w:r>
    </w:p>
    <w:p>
      <w:pPr>
        <w:pStyle w:val="32"/>
        <w:numPr>
          <w:ilvl w:val="255"/>
          <w:numId w:val="0"/>
        </w:numPr>
        <w:tabs>
          <w:tab w:val="left" w:pos="1190"/>
        </w:tabs>
        <w:spacing w:line="362" w:lineRule="auto"/>
        <w:ind w:left="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、施工阶段的监理工作，包括但不限于以下内容： </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建立全面的监理例会制度，主持每周的监理例会，对质量、安全、进度、投资等方面及存在问题提出监理意见，结合参建各方意见，解决技术问题，形成监理例会纪要。监理人根据工程建设和管理需要，自行组织质量管理、进度、安全、投资等方面的专题会议，必要时，通知委托人参与。</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建立监理日志制度，现场监理人员每日如实填写，以便查验。编制项目监理周报、监理月报、项目总结及其他委托人要求的专项报告。监理周报、月报分别需在例会前1天内、每月30日前报送委托人。其中监理月报内容应涵盖当月形象进度情况、产值完成情况、质量管理情况、安全管理情况、现场文明施工情况、绿色施工、投资管理、服务单位（检测、监测等）管理情况以及相应检查情况、相关指示落实情况等。其他报告根据委托人提出的时间与要求落实。</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建立相应检查制度及对施工单位的日常考勤考核、疫情防控（如有）制度，不定期检查或审核施工承包人工程质量、安全生产、疫情防控（如有）等管理制度建设情况，组织机构及人员资格情况，人员、物资配备情况，施工单位试验室情况，分包人资质条件情况等内容，并将相应检查结果纳入监理月报。</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根据材料、实体检测规范要求及施工图纸内容，结合工程建设实际，审核材料、实体检测清单。严格审核施工单位材料进场计划与检验批次的适配性、检测范围和必检参数。严格管理材料进场计划，避免材料分散采购而导致检测批次无限增加，避免将应由施工单位自行检测的内容纳入委托人检测范围，避免不该检或不必检项目纳入检测范围。 </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根据监测规范要求及施工图纸、施工工艺要求，严格审核监测方案的合理性和经济性，过程中严格记录和检查施工现场是否按监测方案予以落实，客观工作、实事求是地签署相应监测记录。</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严格把控工程质量关和见证取样试验关。严格审查施工单位报送的工程原材料、构配件、设备质量证明文件的有效性和符合性。按规定见证取样及送样，对用于永久工程的材料、结构性或质量关键部位，抽检其特性，并与第三方检测单位的实验值进行比较，严禁将不合格的材料、设备用于工程（含临时工程）。对检验和监测中发现的不合格品，根据实际情况需要进行标识、记录或下令停工，报送委托人并给出返修、加固、返工、让步接受或报废等措施处置意见。</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检查本工程采用的主要设备及关键材料是否符合设计文件或招、投标文件所规定的厂家、型号、规格、数量以及质量标准，在承包人或委托人订货前，视乎需要并经委托人同意可对生产厂家进行了解考察，但所发生的差旅费用由采购方负担。 </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督促施工单位严格执行合同和严格按照国家技术规范、标准、地方建筑安装规程以及设计图纸文件的要求进行施工、安装，并检查其实施情况；核查施工过程中的主要部位、环节以及隐蔽工程的施工验收签证，对于关键部位工序进行全过程旁站监理，控制工程质量。在巡视、旁站和检验过程中，发现工程质量存在问题或施工承包单位采用不适当的施工工艺时，或施工不当造成工程质量不合格的，应及时签发监理通知单要求施工单位整改。整改完毕后，监理人应根据施工单位报送的监理通知回复单对整改情况进行复查，提出复查意见。如现场遇到需要停工、复工的情况，经委托人书面同意，总监理工程师应及时签发工程暂停令和复工令，紧急情况下未能事先报告时，应在事后及时向委托人作出书面报告。</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监理人应根据法律法规、工程建设强制性标准，履行建设工程安全生产管理的监理职责，并应将安全生产管理的监理工作内容、方法和措施纳入监理规划及监理实施细则。监督检查工程的安全防护措施落实情况，若发生安全事故时，迅速采取措施，减少事故对工程的影响，并及时上报，事后配合有关部门查明事故原因，恢复施工生产。协助委托人组织施工承包单位、设计单位研究处理工程质量、安全事故，监督整改方案的实施，并监督检查整改工作实施；</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审查施工单位提交的采用新材料、新工艺、新技术、新设备的论证材料及相关验收标准，结合工程实际，确认能产生质量、投资、工期方面的效益后，书面报委托人批准使用。</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审核工程款支付报审表中提交的工程量和支付金额，确定实际完成的工程量，提出到期应支付给施工承包单位的金额，根据委托人审批意见签发工程款支付证书。审核竣工结算款支付申请，提出审查意见，报委托人审批，根据委托人的审批意见签发竣工结算款支付证书。审核过程中，对于特殊问题、有争议的问题应先查证相关资料，提出相关处理意见或建议，积极组织相关单位进行沟通、协调。</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对本工程的重大设计修改和技术洽商向委托人提出监理意见，并对工程变更费用及工期影响作出评估。按委托人制定的工程变更管理办法等规定，严格控制设计变更和现场签证，对设计变更要做出合理性、必要性审核意见后报委托人书面审核确认，对现场签证应与委托人现场代表及甲方委托的第三方（如有）共同现场计量核实后共同签证。未经委托人代表签证的设计变更、现场签证，均为无效。</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按规定，组织隐蔽工程、分部分项工程及专项验收。审查施工单位提交的竣工验收申请，组织工程竣工预验收，编写工程质量评估报告，签署竣工验收意见。</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按委托人制定的结算管理制度等相关规定，审核竣工结算材料，出具书面审核报告。审核过程中，对于特殊问题、有争议的问题应先查证相关资料，提出相关处理意见或建议，积极与委托人沟通、协调，后签署书面意见。</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定期检查施工进度计划的实施情况，分析比较工程施工实际进度于计划进度，预测实际进度对工程总工期的影响。若发现实际进度严重滞后于计划进度且影响合同工期时，应签发监理通知单，要求施工单位采取调整措施加快施工进度，并向委托人报告工期延误风险。</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督促施工单位应按照国家、部委及地方相关规定，做好安全文明施工工作，并按照最新《广州市建设工程安全文明施工标准化图集》及其他有效的管理文件实施，审核施工单位安全文明施工费用列支情况。督促项目范围内的建筑工程、市政工程、景观绿化工程争创广州市安全文明样板工地奖。</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督促施工单位建立治安管理机构、日常工作机制，制定突发治安事件的紧急预案，抓好日常管理和联防排查工作，尽量避免在施工现场范围内或承包人驻地范围内发生暴乱、爆炸等恐怖事件，以及群殴、械斗等群体性治安事件。同时，杜绝发生较大事故等级及以上的伤亡事故且工伤责任事故死亡人数为零。</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协助委托人与外部有关部门，如消防、人防、环保、地震、供水、供电、供气、市政排水、通讯、卫生、建筑管理等部门之间的协调工作；协助委托人处理有关合同索赔事宜、工程保险索赔、合同纠纷。协助委托人按相关规定监督施工单位工人工资支付分账管理事宜。</w:t>
      </w:r>
    </w:p>
    <w:p>
      <w:pPr>
        <w:pStyle w:val="11"/>
        <w:spacing w:after="0" w:line="36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 xml:space="preserve">对承包单位报来的各项工程报验单，隐蔽工程验收单，监理工程师都要以施工图纸和规范及施工工艺设计要求认真审查，工程质量不符合要求未经监理工程师签字，不得进行下道工序施工。 </w:t>
      </w:r>
    </w:p>
    <w:p>
      <w:pPr>
        <w:pStyle w:val="11"/>
        <w:spacing w:after="0" w:line="364"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做好并督促检查承包单位完成各阶段的过程资料，按照广州市工程档案相关规定要求，编制、整理工程监理归档文件并报委托人。不定期组织检查施工单位档案归档情况，参与委托人组织的档案检查工作。 </w:t>
      </w:r>
    </w:p>
    <w:p>
      <w:pPr>
        <w:pStyle w:val="14"/>
        <w:widowControl/>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szCs w:val="24"/>
          <w:highlight w:val="none"/>
          <w:lang w:eastAsia="zh-CN"/>
        </w:rPr>
        <w:t>、</w:t>
      </w:r>
      <w:r>
        <w:rPr>
          <w:rFonts w:hint="eastAsia" w:hAnsi="宋体" w:cs="宋体"/>
          <w:color w:val="auto"/>
          <w:sz w:val="24"/>
          <w:szCs w:val="24"/>
          <w:highlight w:val="none"/>
        </w:rPr>
        <w:t>竣工验收、质量保修期阶段的监理工作内容包括但不限于：</w:t>
      </w:r>
    </w:p>
    <w:p>
      <w:pPr>
        <w:pStyle w:val="14"/>
        <w:widowControl/>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 xml:space="preserve">对已完工程进行工程质量评估，并及时提供分部、单位工程质量评估报告及监理工作总结。 </w:t>
      </w:r>
    </w:p>
    <w:p>
      <w:pPr>
        <w:pStyle w:val="14"/>
        <w:widowControl/>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提供专业检测仪器和工具，协助委托人在竣工验收、每月的例行检查时对工程实体进行实测实量；</w:t>
      </w:r>
    </w:p>
    <w:p>
      <w:pPr>
        <w:pStyle w:val="14"/>
        <w:widowControl/>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hAnsi="宋体" w:cs="宋体"/>
          <w:color w:val="auto"/>
          <w:sz w:val="24"/>
          <w:szCs w:val="24"/>
          <w:highlight w:val="none"/>
        </w:rPr>
        <w:t>根据规范和强制性标准条文对承包单位报送的完工工程的实物质量进行竣工预验收、竣工资料进行审查，并对存在的问题整改的结果进行复验合格的基础上，向委托人提出竣工验收的建议。协助委托人组织竣工验收。</w:t>
      </w:r>
    </w:p>
    <w:p>
      <w:pPr>
        <w:pStyle w:val="14"/>
        <w:widowControl/>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督促承包单位完成各阶段及全套竣工图、工程结算及各种必须归档的资料编制工作，审核工程结算书的真实性、合理性与依据性，保证其正确无误，并及时提交委托人。</w:t>
      </w:r>
    </w:p>
    <w:p>
      <w:pPr>
        <w:pStyle w:val="14"/>
        <w:widowControl/>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（5）</w:t>
      </w:r>
      <w:r>
        <w:rPr>
          <w:rFonts w:hint="eastAsia" w:hAnsi="宋体" w:cs="宋体"/>
          <w:color w:val="auto"/>
          <w:sz w:val="24"/>
          <w:szCs w:val="24"/>
          <w:highlight w:val="none"/>
        </w:rPr>
        <w:t>工程竣工验收结束后7日内，监理人向委托人移交监理工作的试验检测资料、质量过程资料、监理程序资料、监理工作的验收评定资料、工程款计量支付资料、监理工作的影像资料，以及一式两套完整且符合广州市城建档案馆要求或增城区档案管理部门要求的纸质档案及电子文件。</w:t>
      </w:r>
    </w:p>
    <w:p>
      <w:pPr>
        <w:pStyle w:val="14"/>
        <w:widowControl/>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监理人需无条件配合委托人完成向广州市城建档案馆或增城区档案管理部门移交本项目工程文件的工作。若提交的资料不符合委托人或本合同约定要求的，监理人自委托人通知之日起7日内须无条件免费按前述要求补充完善。</w:t>
      </w:r>
    </w:p>
    <w:p>
      <w:pPr>
        <w:pStyle w:val="14"/>
        <w:widowControl/>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（7）</w:t>
      </w:r>
      <w:r>
        <w:rPr>
          <w:rFonts w:hint="eastAsia" w:hAnsi="宋体" w:cs="宋体"/>
          <w:color w:val="auto"/>
          <w:sz w:val="24"/>
          <w:szCs w:val="24"/>
          <w:highlight w:val="none"/>
        </w:rPr>
        <w:t xml:space="preserve">工程质量保修期内监理人根据监理合同约定，当委托人在使用中对工程质量提出异议或本工程监理公司在回访中，发现影响使用的质量缺陷时，应派专人进行现场查验。其结果在保修范围内，则通知承包单位进行保修并进行旁站监督实施。 </w:t>
      </w:r>
    </w:p>
    <w:p>
      <w:pPr>
        <w:rPr>
          <w:rFonts w:hint="default" w:eastAsia="宋体"/>
          <w:lang w:val="en-US" w:eastAsia="zh-CN"/>
        </w:rPr>
      </w:pPr>
      <w:r>
        <w:rPr>
          <w:rFonts w:hint="eastAsia" w:hAnsi="宋体" w:cs="宋体"/>
          <w:color w:val="auto"/>
          <w:sz w:val="24"/>
          <w:szCs w:val="24"/>
          <w:highlight w:val="none"/>
          <w:lang w:val="en-US" w:eastAsia="zh-CN"/>
        </w:rPr>
        <w:t xml:space="preserve">  4、其他工作内容：</w:t>
      </w:r>
      <w:r>
        <w:rPr>
          <w:rFonts w:hint="eastAsia" w:ascii="宋体" w:hAnsi="宋体"/>
          <w:color w:val="auto"/>
          <w:sz w:val="24"/>
          <w:szCs w:val="24"/>
          <w:highlight w:val="none"/>
          <w:u w:val="single"/>
        </w:rPr>
        <w:t>其他</w:t>
      </w:r>
      <w:r>
        <w:rPr>
          <w:rFonts w:hint="eastAsia" w:ascii="宋体" w:hAnsi="宋体"/>
          <w:color w:val="auto"/>
          <w:sz w:val="24"/>
          <w:szCs w:val="24"/>
          <w:highlight w:val="none"/>
          <w:u w:val="single"/>
          <w:lang w:val="en-US" w:eastAsia="zh-CN"/>
        </w:rPr>
        <w:t>工作内容</w:t>
      </w:r>
      <w:r>
        <w:rPr>
          <w:rFonts w:hint="eastAsia" w:ascii="宋体" w:hAnsi="宋体"/>
          <w:color w:val="auto"/>
          <w:sz w:val="24"/>
          <w:szCs w:val="24"/>
          <w:highlight w:val="none"/>
          <w:u w:val="single"/>
        </w:rPr>
        <w:t>详见按监理合同。</w:t>
      </w:r>
    </w:p>
    <w:p>
      <w:pPr>
        <w:adjustRightInd w:val="0"/>
        <w:snapToGri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3.监理依据：</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（1）适用的法律、行政法规及部门规章；</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（2）与工程有关的规范、标准、规程；</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（3）工程勘察文件、设计文件及其他文件；</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（4）本工程监理的委托合同及补充合同；</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（5）委托人签订的勘察、设计和施工承包合同；</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（6）合同履行中与监理服务有关的来往函件；</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（7）其他监理依据。</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4.监理的技术要求：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（1）符合法律、行政法规及部门规章；</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（2）符合本工程有关的规范、标准、规程；</w:t>
      </w:r>
    </w:p>
    <w:p>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5.监理人员、设备要求：</w:t>
      </w:r>
    </w:p>
    <w:p>
      <w:pPr>
        <w:pStyle w:val="23"/>
        <w:spacing w:line="360" w:lineRule="auto"/>
      </w:pPr>
      <w:r>
        <w:rPr>
          <w:rFonts w:hint="eastAsia"/>
          <w:highlight w:val="none"/>
          <w:lang w:eastAsia="zh-CN"/>
        </w:rPr>
        <w:t>（</w:t>
      </w:r>
      <w:r>
        <w:rPr>
          <w:rFonts w:hint="eastAsia"/>
          <w:highlight w:val="none"/>
        </w:rPr>
        <w:t>1</w:t>
      </w:r>
      <w:r>
        <w:rPr>
          <w:rFonts w:hint="eastAsia"/>
          <w:highlight w:val="none"/>
          <w:lang w:eastAsia="zh-CN"/>
        </w:rPr>
        <w:t>）</w:t>
      </w:r>
      <w:r>
        <w:rPr>
          <w:rFonts w:hint="eastAsia"/>
          <w:highlight w:val="none"/>
        </w:rPr>
        <w:t xml:space="preserve"> 监理人必须成立项目监理机构并驻施工现场办公，监理人须在施工现场或施工现场5公里范围内设置办公场所。监理机构在完成委托监理合同约定的监理工作后30天内撤离施工现场。如监理人在施工现场自建办公场所的，须经委托人批准，且场地取得和归还等应</w:t>
      </w:r>
      <w:r>
        <w:rPr>
          <w:rFonts w:hint="eastAsia"/>
        </w:rPr>
        <w:t>符合委托人的相关要求。</w:t>
      </w:r>
    </w:p>
    <w:p>
      <w:pPr>
        <w:spacing w:line="440" w:lineRule="exact"/>
        <w:ind w:left="2159" w:leftChars="228" w:hanging="1680" w:hangingChars="7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）本项目拟投入的监理机构人员配备要求：项目监理机构应设置总监理工</w:t>
      </w:r>
    </w:p>
    <w:p>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程师1名，总监理工程师代表至少1名，以及与工程建设进度和建设工作量相适应的专业监理工程师（土建、市政、机电、给排水、安全、造价工程师等）等主要管理人员，主要人员必须具备相应执业资格条件。</w:t>
      </w:r>
    </w:p>
    <w:p>
      <w:pPr>
        <w:spacing w:line="440" w:lineRule="exact"/>
        <w:ind w:left="2159" w:leftChars="228" w:hanging="1680" w:hangingChars="700"/>
        <w:rPr>
          <w:rFonts w:hint="eastAsia" w:ascii="仿宋" w:hAnsi="仿宋" w:eastAsia="仿宋" w:cs="仿宋"/>
          <w:sz w:val="24"/>
          <w:szCs w:val="24"/>
          <w:highlight w:val="none"/>
        </w:rPr>
      </w:pPr>
      <w:r>
        <w:rPr>
          <w:rFonts w:hint="eastAsia" w:ascii="宋体" w:hAnsi="宋体" w:cs="宋体"/>
          <w:color w:val="auto"/>
          <w:sz w:val="24"/>
          <w:szCs w:val="24"/>
          <w:highlight w:val="none"/>
        </w:rPr>
        <w:t>《本项目拟投入的监理机构人员配备要求》</w:t>
      </w:r>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350"/>
        <w:gridCol w:w="915"/>
        <w:gridCol w:w="3495"/>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岗位</w:t>
            </w:r>
          </w:p>
        </w:tc>
        <w:tc>
          <w:tcPr>
            <w:tcW w:w="13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人员要求</w:t>
            </w:r>
          </w:p>
        </w:tc>
        <w:tc>
          <w:tcPr>
            <w:tcW w:w="632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13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ascii="宋体" w:hAnsi="宋体" w:cs="宋体"/>
                <w:color w:val="auto"/>
                <w:sz w:val="24"/>
                <w:szCs w:val="24"/>
                <w:highlight w:val="none"/>
              </w:rPr>
              <w:t>1名</w:t>
            </w:r>
          </w:p>
        </w:tc>
        <w:tc>
          <w:tcPr>
            <w:tcW w:w="632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要求为注册监理工程师、注册专业为市政公用工程，并具备本科或以上学历。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总监理工程师代表</w:t>
            </w:r>
          </w:p>
        </w:tc>
        <w:tc>
          <w:tcPr>
            <w:tcW w:w="13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lang w:val="en-US" w:eastAsia="zh-CN"/>
              </w:rPr>
              <w:t>名</w:t>
            </w:r>
          </w:p>
        </w:tc>
        <w:tc>
          <w:tcPr>
            <w:tcW w:w="632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要求为注册监理工程师、注册专业为市政公用工程，并具备本科或以上学历。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专业监理工程师（工程师职称以上）</w:t>
            </w:r>
          </w:p>
        </w:tc>
        <w:tc>
          <w:tcPr>
            <w:tcW w:w="13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19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名</w:t>
            </w:r>
          </w:p>
        </w:tc>
        <w:tc>
          <w:tcPr>
            <w:tcW w:w="9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市政工程专业</w:t>
            </w:r>
          </w:p>
        </w:tc>
        <w:tc>
          <w:tcPr>
            <w:tcW w:w="3495" w:type="dxa"/>
            <w:tcBorders>
              <w:top w:val="single" w:color="auto" w:sz="4" w:space="0"/>
              <w:left w:val="single" w:color="auto" w:sz="4" w:space="0"/>
              <w:bottom w:val="single" w:color="auto" w:sz="4" w:space="0"/>
              <w:right w:val="single" w:color="auto" w:sz="4" w:space="0"/>
            </w:tcBorders>
            <w:vAlign w:val="center"/>
          </w:tcPr>
          <w:p>
            <w:pPr>
              <w:spacing w:line="440" w:lineRule="exact"/>
              <w:ind w:left="240" w:hanging="240" w:hangingChars="1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市政公用工程注册监理工程</w:t>
            </w:r>
          </w:p>
          <w:p>
            <w:pPr>
              <w:spacing w:line="440" w:lineRule="exact"/>
              <w:ind w:left="240" w:hanging="240" w:hangingChars="100"/>
              <w:rPr>
                <w:rFonts w:ascii="宋体" w:hAnsi="宋体" w:cs="宋体"/>
                <w:color w:val="auto"/>
                <w:sz w:val="24"/>
                <w:szCs w:val="24"/>
                <w:highlight w:val="none"/>
              </w:rPr>
            </w:pPr>
            <w:r>
              <w:rPr>
                <w:rFonts w:hint="eastAsia" w:ascii="宋体" w:hAnsi="宋体" w:cs="宋体"/>
                <w:color w:val="auto"/>
                <w:sz w:val="24"/>
                <w:szCs w:val="24"/>
                <w:highlight w:val="none"/>
              </w:rPr>
              <w:t>师</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rPr>
              <w:t>名。</w:t>
            </w:r>
          </w:p>
          <w:p>
            <w:pPr>
              <w:spacing w:line="440" w:lineRule="exact"/>
              <w:ind w:left="240" w:hanging="240" w:hangingChars="1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工民建（建筑、土木）</w:t>
            </w:r>
          </w:p>
          <w:p>
            <w:pPr>
              <w:rPr>
                <w:rFonts w:ascii="宋体" w:hAnsi="宋体" w:cs="宋体"/>
                <w:color w:val="auto"/>
                <w:sz w:val="24"/>
                <w:szCs w:val="24"/>
                <w:highlight w:val="none"/>
              </w:rPr>
            </w:pPr>
            <w:r>
              <w:rPr>
                <w:rFonts w:hint="eastAsia" w:ascii="宋体" w:hAnsi="宋体" w:cs="宋体"/>
                <w:b/>
                <w:bCs/>
                <w:color w:val="auto"/>
                <w:sz w:val="24"/>
                <w:szCs w:val="24"/>
                <w:highlight w:val="none"/>
                <w:lang w:eastAsia="zh-CN"/>
              </w:rPr>
              <w:sym w:font="Wingdings 2" w:char="0052"/>
            </w:r>
            <w:r>
              <w:rPr>
                <w:rFonts w:hint="eastAsia" w:ascii="宋体" w:hAnsi="宋体" w:cs="宋体"/>
                <w:color w:val="auto"/>
                <w:sz w:val="24"/>
                <w:szCs w:val="24"/>
                <w:highlight w:val="none"/>
              </w:rPr>
              <w:t>给排水、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电气、强电、弱电</w:t>
            </w:r>
          </w:p>
          <w:p>
            <w:pPr>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测量、</w:t>
            </w:r>
            <w:r>
              <w:rPr>
                <w:rFonts w:hint="eastAsia" w:ascii="宋体" w:hAnsi="宋体" w:cs="宋体"/>
                <w:b/>
                <w:bCs/>
                <w:color w:val="auto"/>
                <w:sz w:val="24"/>
                <w:szCs w:val="24"/>
                <w:highlight w:val="none"/>
                <w:lang w:eastAsia="zh-CN"/>
              </w:rPr>
              <w:sym w:font="Wingdings 2" w:char="0052"/>
            </w:r>
            <w:r>
              <w:rPr>
                <w:rFonts w:hint="eastAsia" w:ascii="宋体" w:hAnsi="宋体" w:cs="宋体"/>
                <w:color w:val="auto"/>
                <w:sz w:val="24"/>
                <w:szCs w:val="24"/>
                <w:highlight w:val="none"/>
              </w:rPr>
              <w:t>交通、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机电安装</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造价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水利水电</w:t>
            </w:r>
            <w:r>
              <w:rPr>
                <w:rFonts w:hint="eastAsia" w:ascii="宋体" w:hAnsi="宋体" w:cs="宋体"/>
                <w:color w:val="auto"/>
                <w:sz w:val="24"/>
                <w:szCs w:val="24"/>
                <w:highlight w:val="none"/>
              </w:rPr>
              <w:t>。</w:t>
            </w:r>
          </w:p>
        </w:tc>
        <w:tc>
          <w:tcPr>
            <w:tcW w:w="19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专业以监理工程师注册证或专业监理工程师证或职称证中的专业名称（含相近专业）为准；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安全工程师</w:t>
            </w:r>
          </w:p>
        </w:tc>
        <w:tc>
          <w:tcPr>
            <w:tcW w:w="13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bCs/>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lang w:val="en-US" w:eastAsia="zh-CN"/>
              </w:rPr>
              <w:t>名</w:t>
            </w:r>
          </w:p>
        </w:tc>
        <w:tc>
          <w:tcPr>
            <w:tcW w:w="632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具备国家</w:t>
            </w:r>
            <w:r>
              <w:rPr>
                <w:rFonts w:hint="eastAsia" w:ascii="宋体" w:hAnsi="宋体" w:cs="宋体"/>
                <w:color w:val="auto"/>
                <w:sz w:val="24"/>
                <w:szCs w:val="24"/>
                <w:highlight w:val="none"/>
              </w:rPr>
              <w:t>注册</w:t>
            </w:r>
            <w:r>
              <w:rPr>
                <w:rFonts w:hint="eastAsia" w:ascii="宋体" w:hAnsi="宋体" w:cs="宋体"/>
                <w:color w:val="auto"/>
                <w:sz w:val="24"/>
                <w:szCs w:val="24"/>
                <w:highlight w:val="none"/>
                <w:lang w:val="en-US" w:eastAsia="zh-CN"/>
              </w:rPr>
              <w:t>安全工程师资格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监理员</w:t>
            </w:r>
          </w:p>
        </w:tc>
        <w:tc>
          <w:tcPr>
            <w:tcW w:w="13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rPr>
              <w:t>名</w:t>
            </w:r>
          </w:p>
        </w:tc>
        <w:tc>
          <w:tcPr>
            <w:tcW w:w="632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监理员</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人或以上，具备监理员证，要求专业对口</w:t>
            </w:r>
          </w:p>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（以岗位证或职称证或毕业证中的专业为准）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总计</w:t>
            </w:r>
          </w:p>
        </w:tc>
        <w:tc>
          <w:tcPr>
            <w:tcW w:w="13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26</w:t>
            </w:r>
            <w:r>
              <w:rPr>
                <w:rFonts w:hint="eastAsia" w:ascii="宋体" w:hAnsi="宋体" w:cs="宋体"/>
                <w:color w:val="auto"/>
                <w:sz w:val="24"/>
                <w:szCs w:val="24"/>
                <w:highlight w:val="none"/>
              </w:rPr>
              <w:t>名</w:t>
            </w:r>
          </w:p>
          <w:p>
            <w:pPr>
              <w:rPr>
                <w:color w:val="auto"/>
                <w:sz w:val="24"/>
                <w:szCs w:val="24"/>
                <w:highlight w:val="none"/>
              </w:rPr>
            </w:pPr>
          </w:p>
        </w:tc>
        <w:tc>
          <w:tcPr>
            <w:tcW w:w="632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sz w:val="24"/>
                <w:szCs w:val="24"/>
                <w:highlight w:val="none"/>
              </w:rPr>
            </w:pPr>
          </w:p>
        </w:tc>
      </w:tr>
    </w:tbl>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1）表中所列人员配备为最低限度要求，招标单位可根据实际施工进度、施工作业面及专业需要，要求中标单位配备足够专业监理人员，所有监理人员均须身体健康。投标人提供的人员须为投标人在职员工，并</w:t>
      </w:r>
      <w:r>
        <w:rPr>
          <w:rFonts w:hint="eastAsia" w:ascii="宋体" w:hAnsi="宋体" w:cs="宋体"/>
          <w:color w:val="auto"/>
          <w:sz w:val="24"/>
          <w:highlight w:val="none"/>
          <w:u w:val="single"/>
        </w:rPr>
        <w:t>提供近</w:t>
      </w:r>
      <w:r>
        <w:rPr>
          <w:rFonts w:hint="eastAsia" w:ascii="宋体" w:hAnsi="宋体" w:cs="宋体"/>
          <w:color w:val="auto"/>
          <w:sz w:val="24"/>
          <w:highlight w:val="none"/>
          <w:u w:val="single"/>
          <w:lang w:val="en-US" w:eastAsia="zh-CN"/>
        </w:rPr>
        <w:t>六</w:t>
      </w:r>
      <w:r>
        <w:rPr>
          <w:rFonts w:hint="eastAsia" w:ascii="宋体" w:hAnsi="宋体" w:cs="宋体"/>
          <w:color w:val="auto"/>
          <w:sz w:val="24"/>
          <w:highlight w:val="none"/>
          <w:u w:val="single"/>
        </w:rPr>
        <w:t>个月（即</w:t>
      </w:r>
      <w:r>
        <w:rPr>
          <w:rFonts w:hint="eastAsia" w:ascii="宋体" w:hAnsi="宋体" w:cs="宋体"/>
          <w:color w:val="auto"/>
          <w:sz w:val="24"/>
          <w:highlight w:val="none"/>
          <w:u w:val="single"/>
          <w:lang w:val="en-US" w:eastAsia="zh-CN"/>
        </w:rPr>
        <w:t>2022年11月至2023年4月</w:t>
      </w:r>
      <w:r>
        <w:rPr>
          <w:rFonts w:hint="eastAsia" w:ascii="宋体" w:hAnsi="宋体" w:cs="宋体"/>
          <w:color w:val="auto"/>
          <w:sz w:val="24"/>
          <w:highlight w:val="none"/>
          <w:u w:val="single"/>
        </w:rPr>
        <w:t>）</w:t>
      </w:r>
      <w:r>
        <w:rPr>
          <w:rFonts w:hint="eastAsia" w:ascii="宋体" w:hAnsi="宋体" w:cs="宋体"/>
          <w:color w:val="auto"/>
          <w:sz w:val="24"/>
          <w:highlight w:val="none"/>
        </w:rPr>
        <w:t>社保缴纳证明（社保缴纳期限包含新型冠状病毒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原件清晰彩色扫描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3）本表不作为形式评审、资格评审、响应性评审的审查依据，只作为综合评分表中</w:t>
      </w:r>
      <w:r>
        <w:rPr>
          <w:rFonts w:hint="eastAsia" w:ascii="宋体" w:hAnsi="宋体" w:cs="宋体"/>
          <w:color w:val="auto"/>
          <w:sz w:val="24"/>
          <w:highlight w:val="none"/>
        </w:rPr>
        <w:t>相关人员的评审依据。</w:t>
      </w:r>
    </w:p>
    <w:p>
      <w:pPr>
        <w:pStyle w:val="23"/>
        <w:rPr>
          <w:rFonts w:hint="default" w:eastAsia="宋体"/>
          <w:lang w:val="en-US" w:eastAsia="zh-CN"/>
        </w:rPr>
      </w:pPr>
      <w:r>
        <w:rPr>
          <w:rFonts w:hint="eastAsia" w:ascii="宋体" w:hAnsi="宋体" w:cs="宋体"/>
          <w:color w:val="auto"/>
          <w:sz w:val="24"/>
          <w:highlight w:val="none"/>
          <w:lang w:val="en-US" w:eastAsia="zh-CN"/>
        </w:rPr>
        <w:t>4）其他要求：</w:t>
      </w:r>
      <w:r>
        <w:rPr>
          <w:rFonts w:hint="eastAsia" w:ascii="宋体" w:hAnsi="宋体"/>
          <w:color w:val="auto"/>
          <w:sz w:val="24"/>
          <w:szCs w:val="24"/>
          <w:highlight w:val="none"/>
          <w:u w:val="single"/>
        </w:rPr>
        <w:t>其他要求详见按监理合同。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（2）设备要求：/。</w:t>
      </w:r>
    </w:p>
    <w:p>
      <w:pPr>
        <w:spacing w:line="360" w:lineRule="auto"/>
        <w:ind w:firstLine="482" w:firstLineChars="200"/>
        <w:rPr>
          <w:rFonts w:ascii="宋体" w:hAnsi="宋体" w:cs="宋体"/>
          <w:b/>
          <w:color w:val="auto"/>
          <w:sz w:val="24"/>
          <w:szCs w:val="24"/>
          <w:highlight w:val="none"/>
        </w:rPr>
      </w:pPr>
      <w:r>
        <w:rPr>
          <w:rFonts w:ascii="宋体" w:hAnsi="宋体" w:cs="宋体"/>
          <w:b/>
          <w:color w:val="auto"/>
          <w:sz w:val="24"/>
          <w:szCs w:val="24"/>
          <w:highlight w:val="none"/>
        </w:rPr>
        <w:t>6.监理文件要求：</w:t>
      </w:r>
    </w:p>
    <w:p>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spacing w:line="360" w:lineRule="auto"/>
        <w:ind w:firstLine="482" w:firstLineChars="200"/>
        <w:rPr>
          <w:color w:val="auto"/>
          <w:highlight w:val="none"/>
        </w:rPr>
      </w:pPr>
      <w:r>
        <w:rPr>
          <w:rFonts w:ascii="宋体"/>
          <w:b/>
          <w:color w:val="auto"/>
          <w:sz w:val="24"/>
          <w:szCs w:val="24"/>
          <w:highlight w:val="none"/>
        </w:rPr>
        <w:t>7.</w:t>
      </w:r>
      <w:r>
        <w:rPr>
          <w:rFonts w:hint="eastAsia" w:ascii="宋体"/>
          <w:b/>
          <w:color w:val="auto"/>
          <w:sz w:val="24"/>
          <w:szCs w:val="24"/>
          <w:highlight w:val="none"/>
        </w:rPr>
        <w:t>监理工作目标要求</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①质量控制目标：合格工程</w:t>
      </w:r>
    </w:p>
    <w:p>
      <w:pPr>
        <w:spacing w:line="360" w:lineRule="auto"/>
        <w:ind w:firstLine="480" w:firstLineChars="200"/>
        <w:rPr>
          <w:rFonts w:hint="eastAsia" w:ascii="宋体" w:eastAsia="宋体"/>
          <w:color w:val="auto"/>
          <w:sz w:val="24"/>
          <w:szCs w:val="24"/>
          <w:highlight w:val="none"/>
          <w:lang w:eastAsia="zh-CN"/>
        </w:rPr>
      </w:pPr>
      <w:r>
        <w:rPr>
          <w:rFonts w:hint="eastAsia" w:ascii="宋体"/>
          <w:color w:val="auto"/>
          <w:sz w:val="24"/>
          <w:szCs w:val="24"/>
          <w:highlight w:val="none"/>
        </w:rPr>
        <w:t>②进度控制目标：施工工期为经业主同意的开工报告审批之日起按施工进度要求控制</w:t>
      </w:r>
      <w:r>
        <w:rPr>
          <w:rFonts w:hint="eastAsia" w:ascii="宋体"/>
          <w:color w:val="auto"/>
          <w:sz w:val="24"/>
          <w:szCs w:val="24"/>
          <w:highlight w:val="none"/>
          <w:lang w:eastAsia="zh-CN"/>
        </w:rPr>
        <w:t>。</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③造价控制目标：不超投资概算</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④安全管理目标：合格且无一般安全责任事故</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⑤文明施工管理目标：合格且不因工地文明施工管理问题受到有关政府、行业职能管理部门处罚</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⑥信息管理目标：\</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⑦建筑节能目标：\</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8. 其他要求：\。</w:t>
      </w:r>
    </w:p>
    <w:p>
      <w:pPr>
        <w:pStyle w:val="2"/>
        <w:keepNext w:val="0"/>
        <w:keepLines w:val="0"/>
        <w:spacing w:before="0" w:after="0" w:line="360" w:lineRule="auto"/>
        <w:ind w:firstLine="560" w:firstLineChars="200"/>
        <w:rPr>
          <w:rFonts w:ascii="Times New Roman" w:hAnsi="Times New Roman"/>
          <w:b w:val="0"/>
          <w:color w:val="auto"/>
          <w:sz w:val="28"/>
          <w:szCs w:val="28"/>
          <w:highlight w:val="none"/>
        </w:rPr>
      </w:pPr>
      <w:bookmarkStart w:id="573" w:name="_Toc89870624"/>
      <w:bookmarkStart w:id="574" w:name="_Toc527028521"/>
      <w:bookmarkStart w:id="575" w:name="_Toc482188638"/>
      <w:bookmarkStart w:id="576" w:name="_Toc511557111"/>
      <w:r>
        <w:rPr>
          <w:rFonts w:ascii="Times New Roman" w:hAnsi="Times New Roman"/>
          <w:b w:val="0"/>
          <w:color w:val="auto"/>
          <w:sz w:val="28"/>
          <w:szCs w:val="28"/>
          <w:highlight w:val="none"/>
        </w:rPr>
        <w:t>二、适用规范标准</w:t>
      </w:r>
      <w:bookmarkEnd w:id="573"/>
      <w:bookmarkEnd w:id="574"/>
      <w:bookmarkEnd w:id="575"/>
      <w:bookmarkEnd w:id="576"/>
    </w:p>
    <w:p>
      <w:pPr>
        <w:spacing w:line="360" w:lineRule="auto"/>
        <w:ind w:firstLine="480" w:firstLineChars="200"/>
        <w:rPr>
          <w:rFonts w:ascii="宋体"/>
          <w:color w:val="auto"/>
          <w:sz w:val="24"/>
          <w:szCs w:val="24"/>
          <w:highlight w:val="none"/>
        </w:rPr>
      </w:pPr>
      <w:r>
        <w:rPr>
          <w:rFonts w:ascii="Times New Roman" w:hAnsi="Times New Roman"/>
          <w:color w:val="auto"/>
          <w:sz w:val="24"/>
          <w:szCs w:val="24"/>
          <w:highlight w:val="none"/>
        </w:rPr>
        <w:t>1. 国家、行业、项目所在地规范名录</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《建设工程监理规范》</w:t>
      </w:r>
      <w:r>
        <w:rPr>
          <w:rFonts w:ascii="宋体" w:hAnsi="宋体"/>
          <w:color w:val="auto"/>
          <w:sz w:val="24"/>
          <w:szCs w:val="24"/>
          <w:highlight w:val="none"/>
          <w:u w:val="single"/>
        </w:rPr>
        <w:t>GB/T50319-2013</w:t>
      </w:r>
      <w:r>
        <w:rPr>
          <w:rFonts w:hint="eastAsia" w:ascii="宋体" w:hAnsi="宋体"/>
          <w:color w:val="auto"/>
          <w:sz w:val="24"/>
          <w:szCs w:val="24"/>
          <w:highlight w:val="none"/>
          <w:u w:val="single"/>
        </w:rPr>
        <w:t>，按国家、行业、项目所在地规范名录执行。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 国家、行业、项目所在地标准名录</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按国家、行业、项目所在地规范标准执行。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 国家、行业、项目所在地规程名录</w:t>
      </w:r>
      <w:r>
        <w:rPr>
          <w:rFonts w:hint="eastAsia" w:ascii="宋体" w:hAnsi="宋体"/>
          <w:color w:val="auto"/>
          <w:sz w:val="24"/>
          <w:szCs w:val="24"/>
          <w:highlight w:val="none"/>
        </w:rPr>
        <w:t>：</w:t>
      </w:r>
      <w:r>
        <w:rPr>
          <w:rFonts w:hint="eastAsia" w:ascii="宋体" w:hAnsi="宋体"/>
          <w:color w:val="auto"/>
          <w:sz w:val="24"/>
          <w:szCs w:val="24"/>
          <w:highlight w:val="none"/>
          <w:u w:val="single"/>
        </w:rPr>
        <w:t>按国家、行业、项目所在地规范规程执行。</w:t>
      </w:r>
    </w:p>
    <w:p>
      <w:pPr>
        <w:pStyle w:val="2"/>
        <w:keepNext w:val="0"/>
        <w:keepLines w:val="0"/>
        <w:spacing w:before="0" w:after="0" w:line="360" w:lineRule="auto"/>
        <w:ind w:firstLine="560" w:firstLineChars="200"/>
        <w:rPr>
          <w:rFonts w:ascii="Times New Roman" w:hAnsi="Times New Roman"/>
          <w:b w:val="0"/>
          <w:color w:val="auto"/>
          <w:sz w:val="28"/>
          <w:szCs w:val="28"/>
          <w:highlight w:val="none"/>
        </w:rPr>
      </w:pPr>
      <w:bookmarkStart w:id="577" w:name="_Toc527028522"/>
      <w:bookmarkStart w:id="578" w:name="_Toc482188639"/>
      <w:bookmarkStart w:id="579" w:name="_Toc89870625"/>
      <w:bookmarkStart w:id="580" w:name="_Toc511557112"/>
      <w:r>
        <w:rPr>
          <w:rFonts w:ascii="Times New Roman" w:hAnsi="Times New Roman"/>
          <w:b w:val="0"/>
          <w:color w:val="auto"/>
          <w:sz w:val="28"/>
          <w:szCs w:val="28"/>
          <w:highlight w:val="none"/>
        </w:rPr>
        <w:t>三、成果文件要求</w:t>
      </w:r>
      <w:bookmarkEnd w:id="577"/>
      <w:bookmarkEnd w:id="578"/>
      <w:bookmarkEnd w:id="579"/>
      <w:bookmarkEnd w:id="580"/>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按《建设工程监理规范》（</w:t>
      </w:r>
      <w:r>
        <w:rPr>
          <w:rFonts w:ascii="宋体" w:hAnsi="宋体"/>
          <w:color w:val="auto"/>
          <w:sz w:val="24"/>
          <w:szCs w:val="24"/>
          <w:highlight w:val="none"/>
        </w:rPr>
        <w:t>GB/T50319-2013</w:t>
      </w:r>
      <w:r>
        <w:rPr>
          <w:rFonts w:hint="eastAsia" w:ascii="宋体" w:hAnsi="宋体"/>
          <w:color w:val="auto"/>
          <w:sz w:val="24"/>
          <w:szCs w:val="24"/>
          <w:highlight w:val="none"/>
        </w:rPr>
        <w:t>）和招标人要求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 成果文件的组成</w:t>
      </w:r>
    </w:p>
    <w:p>
      <w:pPr>
        <w:numPr>
          <w:ilvl w:val="0"/>
          <w:numId w:val="3"/>
        </w:numPr>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w:t>
      </w:r>
      <w:r>
        <w:rPr>
          <w:rFonts w:hint="eastAsia" w:ascii="宋体" w:hAnsi="宋体"/>
          <w:color w:val="auto"/>
          <w:sz w:val="24"/>
          <w:szCs w:val="24"/>
          <w:highlight w:val="none"/>
          <w:u w:val="single"/>
        </w:rPr>
        <w:t>、勘察设计文件、建设工程监理合同及其他合同文件；</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2</w:t>
      </w:r>
      <w:r>
        <w:rPr>
          <w:rFonts w:hint="eastAsia" w:ascii="宋体" w:hAnsi="宋体"/>
          <w:color w:val="auto"/>
          <w:sz w:val="24"/>
          <w:szCs w:val="24"/>
          <w:highlight w:val="none"/>
          <w:u w:val="single"/>
        </w:rPr>
        <w:t>、监理规划、监理实施细则；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3</w:t>
      </w:r>
      <w:r>
        <w:rPr>
          <w:rFonts w:hint="eastAsia" w:ascii="宋体" w:hAnsi="宋体"/>
          <w:color w:val="auto"/>
          <w:sz w:val="24"/>
          <w:szCs w:val="24"/>
          <w:highlight w:val="none"/>
          <w:u w:val="single"/>
        </w:rPr>
        <w:t>、设计交底和图纸会审会议纪要；</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4</w:t>
      </w:r>
      <w:r>
        <w:rPr>
          <w:rFonts w:hint="eastAsia" w:ascii="宋体" w:hAnsi="宋体"/>
          <w:color w:val="auto"/>
          <w:sz w:val="24"/>
          <w:szCs w:val="24"/>
          <w:highlight w:val="none"/>
          <w:u w:val="single"/>
        </w:rPr>
        <w:t>、施工组织设计、（专项）施工方案、施工进度计划报审文件资料；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5</w:t>
      </w:r>
      <w:r>
        <w:rPr>
          <w:rFonts w:hint="eastAsia" w:ascii="宋体" w:hAnsi="宋体"/>
          <w:color w:val="auto"/>
          <w:sz w:val="24"/>
          <w:szCs w:val="24"/>
          <w:highlight w:val="none"/>
          <w:u w:val="single"/>
        </w:rPr>
        <w:t>、分包单位资格报审文件资料；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6</w:t>
      </w:r>
      <w:r>
        <w:rPr>
          <w:rFonts w:hint="eastAsia" w:ascii="宋体" w:hAnsi="宋体"/>
          <w:color w:val="auto"/>
          <w:sz w:val="24"/>
          <w:szCs w:val="24"/>
          <w:highlight w:val="none"/>
          <w:u w:val="single"/>
        </w:rPr>
        <w:t>、施工控制测量成果报验文件资料；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7</w:t>
      </w:r>
      <w:r>
        <w:rPr>
          <w:rFonts w:hint="eastAsia" w:ascii="宋体" w:hAnsi="宋体"/>
          <w:color w:val="auto"/>
          <w:sz w:val="24"/>
          <w:szCs w:val="24"/>
          <w:highlight w:val="none"/>
          <w:u w:val="single"/>
        </w:rPr>
        <w:t>、总监理工程师任命书、工程开工令、暂停令、复工令、开工或复工报审文件资料；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8</w:t>
      </w:r>
      <w:r>
        <w:rPr>
          <w:rFonts w:hint="eastAsia" w:ascii="宋体" w:hAnsi="宋体"/>
          <w:color w:val="auto"/>
          <w:sz w:val="24"/>
          <w:szCs w:val="24"/>
          <w:highlight w:val="none"/>
          <w:u w:val="single"/>
        </w:rPr>
        <w:t>、工程材料、设备、构配件报验文件资料；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9</w:t>
      </w:r>
      <w:r>
        <w:rPr>
          <w:rFonts w:hint="eastAsia" w:ascii="宋体" w:hAnsi="宋体"/>
          <w:color w:val="auto"/>
          <w:sz w:val="24"/>
          <w:szCs w:val="24"/>
          <w:highlight w:val="none"/>
          <w:u w:val="single"/>
        </w:rPr>
        <w:t>、见证取样和平行检验文件资料；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10</w:t>
      </w:r>
      <w:r>
        <w:rPr>
          <w:rFonts w:hint="eastAsia" w:ascii="宋体" w:hAnsi="宋体"/>
          <w:color w:val="auto"/>
          <w:sz w:val="24"/>
          <w:szCs w:val="24"/>
          <w:highlight w:val="none"/>
          <w:u w:val="single"/>
        </w:rPr>
        <w:t>、工程质量检查报验资料及工程有关验收资料；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11</w:t>
      </w:r>
      <w:r>
        <w:rPr>
          <w:rFonts w:hint="eastAsia" w:ascii="宋体" w:hAnsi="宋体"/>
          <w:color w:val="auto"/>
          <w:sz w:val="24"/>
          <w:szCs w:val="24"/>
          <w:highlight w:val="none"/>
          <w:u w:val="single"/>
        </w:rPr>
        <w:t>、工程变更、费用索赔及工程延期文件资料；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12</w:t>
      </w:r>
      <w:r>
        <w:rPr>
          <w:rFonts w:hint="eastAsia" w:ascii="宋体" w:hAnsi="宋体"/>
          <w:color w:val="auto"/>
          <w:sz w:val="24"/>
          <w:szCs w:val="24"/>
          <w:highlight w:val="none"/>
          <w:u w:val="single"/>
        </w:rPr>
        <w:t>、工程计量、工程款支付文件资料；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13</w:t>
      </w:r>
      <w:r>
        <w:rPr>
          <w:rFonts w:hint="eastAsia" w:ascii="宋体" w:hAnsi="宋体"/>
          <w:color w:val="auto"/>
          <w:sz w:val="24"/>
          <w:szCs w:val="24"/>
          <w:highlight w:val="none"/>
          <w:u w:val="single"/>
        </w:rPr>
        <w:t>、监理通知单、工作联系单与监理报告；</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14</w:t>
      </w:r>
      <w:r>
        <w:rPr>
          <w:rFonts w:hint="eastAsia" w:ascii="宋体" w:hAnsi="宋体"/>
          <w:color w:val="auto"/>
          <w:sz w:val="24"/>
          <w:szCs w:val="24"/>
          <w:highlight w:val="none"/>
          <w:u w:val="single"/>
        </w:rPr>
        <w:t>、第一次工地会议、监理例会、专题会议等会议纪要；</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15</w:t>
      </w:r>
      <w:r>
        <w:rPr>
          <w:rFonts w:hint="eastAsia" w:ascii="宋体" w:hAnsi="宋体"/>
          <w:color w:val="auto"/>
          <w:sz w:val="24"/>
          <w:szCs w:val="24"/>
          <w:highlight w:val="none"/>
          <w:u w:val="single"/>
        </w:rPr>
        <w:t>、监理月报、监理日志、旁站记录；</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16</w:t>
      </w:r>
      <w:r>
        <w:rPr>
          <w:rFonts w:hint="eastAsia" w:ascii="宋体" w:hAnsi="宋体"/>
          <w:color w:val="auto"/>
          <w:sz w:val="24"/>
          <w:szCs w:val="24"/>
          <w:highlight w:val="none"/>
          <w:u w:val="single"/>
        </w:rPr>
        <w:t>、工程质量或生产安全事故处理文件资料；</w:t>
      </w:r>
    </w:p>
    <w:p>
      <w:pPr>
        <w:numPr>
          <w:ilvl w:val="0"/>
          <w:numId w:val="3"/>
        </w:numPr>
        <w:tabs>
          <w:tab w:val="left" w:pos="680"/>
        </w:tabs>
        <w:snapToGrid w:val="0"/>
        <w:spacing w:line="360" w:lineRule="auto"/>
        <w:ind w:firstLine="480" w:firstLineChars="200"/>
        <w:rPr>
          <w:rFonts w:ascii="宋体"/>
          <w:color w:val="auto"/>
          <w:sz w:val="24"/>
          <w:szCs w:val="24"/>
          <w:highlight w:val="none"/>
          <w:u w:val="single"/>
        </w:rPr>
      </w:pPr>
      <w:r>
        <w:rPr>
          <w:rFonts w:ascii="宋体" w:hAnsi="宋体"/>
          <w:color w:val="auto"/>
          <w:sz w:val="24"/>
          <w:szCs w:val="24"/>
          <w:highlight w:val="none"/>
          <w:u w:val="single"/>
        </w:rPr>
        <w:t>17</w:t>
      </w:r>
      <w:r>
        <w:rPr>
          <w:rFonts w:hint="eastAsia" w:ascii="宋体" w:hAnsi="宋体"/>
          <w:color w:val="auto"/>
          <w:sz w:val="24"/>
          <w:szCs w:val="24"/>
          <w:highlight w:val="none"/>
          <w:u w:val="single"/>
        </w:rPr>
        <w:t>、工程质量评估报告及竣工验收监理文件资料；</w:t>
      </w:r>
    </w:p>
    <w:p>
      <w:pPr>
        <w:numPr>
          <w:ilvl w:val="0"/>
          <w:numId w:val="3"/>
        </w:numPr>
        <w:tabs>
          <w:tab w:val="left" w:pos="680"/>
        </w:tabs>
        <w:snapToGrid w:val="0"/>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18</w:t>
      </w:r>
      <w:r>
        <w:rPr>
          <w:rFonts w:hint="eastAsia" w:ascii="宋体" w:hAnsi="宋体"/>
          <w:color w:val="auto"/>
          <w:sz w:val="24"/>
          <w:szCs w:val="24"/>
          <w:highlight w:val="none"/>
          <w:u w:val="single"/>
        </w:rPr>
        <w:t>、监理工作总结。</w:t>
      </w:r>
      <w:r>
        <w:rPr>
          <w:rFonts w:ascii="宋体" w:hAnsi="宋体"/>
          <w:color w:val="auto"/>
          <w:sz w:val="24"/>
          <w:szCs w:val="24"/>
          <w:highlight w:val="none"/>
          <w:u w:val="single"/>
        </w:rPr>
        <w:t xml:space="preserve">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 成果文件的深度</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 xml:space="preserve"> 满足本项目监理服务要求。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 成果文件的格式要求</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 xml:space="preserve"> 满足本项目监理服务要求。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 成果文件的份数要求</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 xml:space="preserve"> 一式六份；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 成果文件的载体要求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（1）纸质版的要求</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 xml:space="preserve"> 一式六份；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（2）电子版的要求</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 xml:space="preserve"> 与纸质版一致的电子版文件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（3）其他要求。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 成果文件的其他要求</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 xml:space="preserve"> 满足本项目监理服务要求。</w:t>
      </w:r>
    </w:p>
    <w:p>
      <w:pPr>
        <w:pStyle w:val="2"/>
        <w:keepNext w:val="0"/>
        <w:keepLines w:val="0"/>
        <w:spacing w:before="0" w:after="0" w:line="360" w:lineRule="auto"/>
        <w:ind w:firstLine="560" w:firstLineChars="200"/>
        <w:rPr>
          <w:rFonts w:ascii="Times New Roman" w:hAnsi="Times New Roman"/>
          <w:b w:val="0"/>
          <w:color w:val="auto"/>
          <w:sz w:val="28"/>
          <w:szCs w:val="28"/>
          <w:highlight w:val="none"/>
        </w:rPr>
      </w:pPr>
      <w:bookmarkStart w:id="581" w:name="_Toc527028523"/>
      <w:bookmarkStart w:id="582" w:name="_Toc89870626"/>
      <w:bookmarkStart w:id="583" w:name="_Toc511557113"/>
      <w:bookmarkStart w:id="584" w:name="_Toc482188640"/>
      <w:r>
        <w:rPr>
          <w:rFonts w:ascii="Times New Roman" w:hAnsi="Times New Roman"/>
          <w:b w:val="0"/>
          <w:color w:val="auto"/>
          <w:sz w:val="28"/>
          <w:szCs w:val="28"/>
          <w:highlight w:val="none"/>
        </w:rPr>
        <w:t>四、委托人财产清单</w:t>
      </w:r>
      <w:bookmarkEnd w:id="581"/>
      <w:bookmarkEnd w:id="582"/>
      <w:bookmarkEnd w:id="583"/>
      <w:bookmarkEnd w:id="584"/>
    </w:p>
    <w:p>
      <w:pPr>
        <w:pStyle w:val="4"/>
        <w:keepNext w:val="0"/>
        <w:keepLines w:val="0"/>
        <w:spacing w:before="0" w:after="0" w:line="360" w:lineRule="auto"/>
        <w:ind w:firstLine="560" w:firstLineChars="200"/>
        <w:rPr>
          <w:rFonts w:ascii="Times New Roman" w:hAnsi="Times New Roman"/>
          <w:color w:val="auto"/>
          <w:highlight w:val="none"/>
        </w:rPr>
      </w:pPr>
      <w:bookmarkStart w:id="585" w:name="_Toc482188641"/>
      <w:bookmarkStart w:id="586" w:name="_Toc527028874"/>
      <w:bookmarkStart w:id="587" w:name="_Toc527028703"/>
      <w:bookmarkStart w:id="588" w:name="_Toc511557114"/>
      <w:bookmarkStart w:id="589" w:name="_Toc89870627"/>
      <w:bookmarkStart w:id="590" w:name="_Toc527028524"/>
      <w:r>
        <w:rPr>
          <w:rFonts w:ascii="Times New Roman" w:hAnsi="Times New Roman"/>
          <w:color w:val="auto"/>
          <w:highlight w:val="none"/>
        </w:rPr>
        <w:t>（一）委托人提供的设备、设施</w:t>
      </w:r>
      <w:bookmarkEnd w:id="585"/>
      <w:bookmarkEnd w:id="586"/>
      <w:bookmarkEnd w:id="587"/>
      <w:bookmarkEnd w:id="588"/>
      <w:bookmarkEnd w:id="589"/>
      <w:bookmarkEnd w:id="590"/>
    </w:p>
    <w:p>
      <w:pPr>
        <w:spacing w:line="360" w:lineRule="auto"/>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1. 委托人提供的办公房屋及冷暖设施：</w:t>
      </w:r>
      <w:r>
        <w:rPr>
          <w:rFonts w:hint="eastAsia" w:ascii="Times New Roman" w:hAnsi="Times New Roman"/>
          <w:color w:val="auto"/>
          <w:sz w:val="24"/>
          <w:szCs w:val="24"/>
          <w:highlight w:val="none"/>
          <w:u w:val="single"/>
        </w:rPr>
        <w:t>无；</w:t>
      </w:r>
    </w:p>
    <w:p>
      <w:pPr>
        <w:spacing w:line="360" w:lineRule="auto"/>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2. 委托人提供的设备清单：</w:t>
      </w:r>
      <w:r>
        <w:rPr>
          <w:rFonts w:hint="eastAsia" w:ascii="Times New Roman" w:hAnsi="Times New Roman"/>
          <w:color w:val="auto"/>
          <w:sz w:val="24"/>
          <w:szCs w:val="24"/>
          <w:highlight w:val="none"/>
          <w:u w:val="single"/>
        </w:rPr>
        <w:t>无；</w:t>
      </w:r>
    </w:p>
    <w:p>
      <w:pPr>
        <w:spacing w:line="360" w:lineRule="auto"/>
        <w:ind w:firstLine="480" w:firstLineChars="200"/>
        <w:rPr>
          <w:rFonts w:ascii="Times New Roman" w:hAnsi="Times New Roman"/>
          <w:color w:val="auto"/>
          <w:highlight w:val="none"/>
        </w:rPr>
      </w:pPr>
      <w:r>
        <w:rPr>
          <w:rFonts w:ascii="Times New Roman" w:hAnsi="Times New Roman"/>
          <w:color w:val="auto"/>
          <w:sz w:val="24"/>
          <w:szCs w:val="24"/>
          <w:highlight w:val="none"/>
        </w:rPr>
        <w:t>3. 委托人提供的设施清单：</w:t>
      </w:r>
      <w:r>
        <w:rPr>
          <w:rFonts w:hint="eastAsia" w:ascii="Times New Roman" w:hAnsi="Times New Roman"/>
          <w:color w:val="auto"/>
          <w:sz w:val="24"/>
          <w:szCs w:val="24"/>
          <w:highlight w:val="none"/>
          <w:u w:val="single"/>
        </w:rPr>
        <w:t>无；</w:t>
      </w:r>
    </w:p>
    <w:p>
      <w:pPr>
        <w:pStyle w:val="4"/>
        <w:keepNext w:val="0"/>
        <w:keepLines w:val="0"/>
        <w:spacing w:before="0" w:after="0" w:line="360" w:lineRule="auto"/>
        <w:ind w:firstLine="560" w:firstLineChars="200"/>
        <w:rPr>
          <w:rFonts w:ascii="Times New Roman" w:hAnsi="Times New Roman"/>
          <w:color w:val="auto"/>
          <w:highlight w:val="none"/>
        </w:rPr>
      </w:pPr>
      <w:bookmarkStart w:id="591" w:name="_Toc527028525"/>
      <w:bookmarkStart w:id="592" w:name="_Toc527028875"/>
      <w:bookmarkStart w:id="593" w:name="_Toc482188642"/>
      <w:bookmarkStart w:id="594" w:name="_Toc511557115"/>
      <w:bookmarkStart w:id="595" w:name="_Toc527028704"/>
      <w:bookmarkStart w:id="596" w:name="_Toc89870628"/>
      <w:r>
        <w:rPr>
          <w:rFonts w:ascii="Times New Roman" w:hAnsi="Times New Roman"/>
          <w:color w:val="auto"/>
          <w:highlight w:val="none"/>
        </w:rPr>
        <w:t>（二）委托人提供的资料</w:t>
      </w:r>
      <w:bookmarkEnd w:id="591"/>
      <w:bookmarkEnd w:id="592"/>
      <w:bookmarkEnd w:id="593"/>
      <w:bookmarkEnd w:id="594"/>
      <w:bookmarkEnd w:id="595"/>
      <w:bookmarkEnd w:id="59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 定位放线的基准点、基准线和基准标高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 委托人取得的有关审批、核准和备案材料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 勘察文件、设计文件等资料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 技术标准、规范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 工程承包合同及其他相关合同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 其他资料</w:t>
      </w:r>
    </w:p>
    <w:p>
      <w:pPr>
        <w:pStyle w:val="4"/>
        <w:keepNext w:val="0"/>
        <w:keepLines w:val="0"/>
        <w:spacing w:before="0" w:after="0" w:line="360" w:lineRule="auto"/>
        <w:ind w:firstLine="560" w:firstLineChars="200"/>
        <w:rPr>
          <w:rFonts w:ascii="Times New Roman" w:hAnsi="Times New Roman"/>
          <w:color w:val="auto"/>
          <w:highlight w:val="none"/>
        </w:rPr>
      </w:pPr>
      <w:bookmarkStart w:id="597" w:name="_Toc89870629"/>
      <w:bookmarkStart w:id="598" w:name="_Toc527028876"/>
      <w:bookmarkStart w:id="599" w:name="_Toc527028526"/>
      <w:bookmarkStart w:id="600" w:name="_Toc511557116"/>
      <w:bookmarkStart w:id="601" w:name="_Toc482188643"/>
      <w:bookmarkStart w:id="602" w:name="_Toc527028705"/>
      <w:r>
        <w:rPr>
          <w:rFonts w:ascii="Times New Roman" w:hAnsi="Times New Roman"/>
          <w:color w:val="auto"/>
          <w:highlight w:val="none"/>
        </w:rPr>
        <w:t>（三）委托人财产使用要求及退还要求</w:t>
      </w:r>
      <w:bookmarkEnd w:id="597"/>
      <w:bookmarkEnd w:id="598"/>
      <w:bookmarkEnd w:id="599"/>
      <w:bookmarkEnd w:id="600"/>
      <w:bookmarkEnd w:id="601"/>
      <w:bookmarkEnd w:id="602"/>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 委托人财产使用要求</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监理人对委托人财产保存完好，避免有损坏或丢失等情况发生；</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 委托人财产退还要求</w:t>
      </w:r>
      <w:r>
        <w:rPr>
          <w:rFonts w:hint="eastAsia" w:ascii="Times New Roman" w:hAnsi="Times New Roman"/>
          <w:color w:val="auto"/>
          <w:sz w:val="24"/>
          <w:szCs w:val="24"/>
          <w:highlight w:val="none"/>
        </w:rPr>
        <w:t>：</w:t>
      </w:r>
      <w:r>
        <w:rPr>
          <w:rFonts w:hint="eastAsia" w:ascii="宋体" w:hAnsi="宋体"/>
          <w:color w:val="auto"/>
          <w:sz w:val="24"/>
          <w:szCs w:val="24"/>
          <w:highlight w:val="none"/>
          <w:u w:val="single"/>
        </w:rPr>
        <w:t>工程完工后监理人将委托人财产全数完好地退还给委托人。</w:t>
      </w:r>
    </w:p>
    <w:p>
      <w:pPr>
        <w:pStyle w:val="2"/>
        <w:keepNext w:val="0"/>
        <w:keepLines w:val="0"/>
        <w:spacing w:before="0" w:after="0" w:line="360" w:lineRule="auto"/>
        <w:ind w:firstLine="560" w:firstLineChars="200"/>
        <w:rPr>
          <w:rFonts w:ascii="Times New Roman" w:hAnsi="Times New Roman"/>
          <w:b w:val="0"/>
          <w:color w:val="auto"/>
          <w:sz w:val="28"/>
          <w:szCs w:val="28"/>
          <w:highlight w:val="none"/>
        </w:rPr>
      </w:pPr>
      <w:bookmarkStart w:id="603" w:name="_Toc89870630"/>
      <w:bookmarkStart w:id="604" w:name="_Toc527028527"/>
      <w:bookmarkStart w:id="605" w:name="_Toc511557117"/>
      <w:bookmarkStart w:id="606" w:name="_Toc482188644"/>
      <w:r>
        <w:rPr>
          <w:rFonts w:ascii="Times New Roman" w:hAnsi="Times New Roman"/>
          <w:b w:val="0"/>
          <w:color w:val="auto"/>
          <w:sz w:val="28"/>
          <w:szCs w:val="28"/>
          <w:highlight w:val="none"/>
        </w:rPr>
        <w:t>五、委托人提供的便利条件</w:t>
      </w:r>
      <w:bookmarkEnd w:id="603"/>
      <w:bookmarkEnd w:id="604"/>
      <w:bookmarkEnd w:id="605"/>
      <w:bookmarkEnd w:id="606"/>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 委托人提供的生活条件</w:t>
      </w:r>
      <w:r>
        <w:rPr>
          <w:rFonts w:hint="eastAsia" w:ascii="宋体" w:hAnsi="宋体"/>
          <w:color w:val="auto"/>
          <w:sz w:val="24"/>
          <w:szCs w:val="24"/>
          <w:highlight w:val="none"/>
        </w:rPr>
        <w:t>：</w:t>
      </w:r>
      <w:r>
        <w:rPr>
          <w:rFonts w:hint="eastAsia" w:ascii="Times New Roman" w:hAnsi="Times New Roman"/>
          <w:color w:val="auto"/>
          <w:sz w:val="24"/>
          <w:szCs w:val="24"/>
          <w:highlight w:val="none"/>
          <w:u w:val="single"/>
        </w:rPr>
        <w:t>无</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 委托人提供的交通条件</w:t>
      </w:r>
      <w:r>
        <w:rPr>
          <w:rFonts w:hint="eastAsia" w:ascii="宋体" w:hAnsi="宋体"/>
          <w:color w:val="auto"/>
          <w:sz w:val="24"/>
          <w:szCs w:val="24"/>
          <w:highlight w:val="none"/>
        </w:rPr>
        <w:t>：</w:t>
      </w:r>
      <w:r>
        <w:rPr>
          <w:rFonts w:hint="eastAsia" w:ascii="Times New Roman" w:hAnsi="Times New Roman"/>
          <w:color w:val="auto"/>
          <w:sz w:val="24"/>
          <w:szCs w:val="24"/>
          <w:highlight w:val="none"/>
          <w:u w:val="single"/>
        </w:rPr>
        <w:t>无</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 委托人提供的网络、通讯条件</w:t>
      </w:r>
      <w:r>
        <w:rPr>
          <w:rFonts w:hint="eastAsia" w:ascii="宋体" w:hAnsi="宋体"/>
          <w:color w:val="auto"/>
          <w:sz w:val="24"/>
          <w:szCs w:val="24"/>
          <w:highlight w:val="none"/>
        </w:rPr>
        <w:t>：</w:t>
      </w:r>
      <w:r>
        <w:rPr>
          <w:rFonts w:hint="eastAsia" w:ascii="Times New Roman" w:hAnsi="Times New Roman"/>
          <w:color w:val="auto"/>
          <w:sz w:val="24"/>
          <w:szCs w:val="24"/>
          <w:highlight w:val="none"/>
          <w:u w:val="single"/>
        </w:rPr>
        <w:t>无</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 委托人提供的协助人员</w:t>
      </w:r>
      <w:r>
        <w:rPr>
          <w:rFonts w:hint="eastAsia" w:ascii="宋体" w:hAnsi="宋体"/>
          <w:color w:val="auto"/>
          <w:sz w:val="24"/>
          <w:szCs w:val="24"/>
          <w:highlight w:val="none"/>
        </w:rPr>
        <w:t>：</w:t>
      </w:r>
      <w:r>
        <w:rPr>
          <w:rFonts w:hint="eastAsia" w:ascii="Times New Roman" w:hAnsi="Times New Roman"/>
          <w:color w:val="auto"/>
          <w:sz w:val="24"/>
          <w:szCs w:val="24"/>
          <w:highlight w:val="none"/>
          <w:u w:val="single"/>
        </w:rPr>
        <w:t>无</w:t>
      </w:r>
      <w:bookmarkStart w:id="607" w:name="_Toc482188645"/>
      <w:r>
        <w:rPr>
          <w:rFonts w:ascii="Times New Roman" w:hAnsi="Times New Roman"/>
          <w:color w:val="auto"/>
          <w:sz w:val="24"/>
          <w:szCs w:val="24"/>
          <w:highlight w:val="none"/>
        </w:rPr>
        <w:t>……</w:t>
      </w:r>
    </w:p>
    <w:p>
      <w:pPr>
        <w:pStyle w:val="2"/>
        <w:keepNext w:val="0"/>
        <w:keepLines w:val="0"/>
        <w:spacing w:before="0" w:after="0" w:line="360" w:lineRule="auto"/>
        <w:ind w:firstLine="560" w:firstLineChars="200"/>
        <w:rPr>
          <w:rFonts w:ascii="Times New Roman" w:hAnsi="Times New Roman"/>
          <w:b w:val="0"/>
          <w:color w:val="auto"/>
          <w:sz w:val="28"/>
          <w:szCs w:val="28"/>
          <w:highlight w:val="none"/>
        </w:rPr>
      </w:pPr>
      <w:bookmarkStart w:id="608" w:name="_Toc527028528"/>
      <w:bookmarkStart w:id="609" w:name="_Toc89870631"/>
      <w:bookmarkStart w:id="610" w:name="_Toc511557118"/>
      <w:r>
        <w:rPr>
          <w:rFonts w:ascii="Times New Roman" w:hAnsi="Times New Roman"/>
          <w:b w:val="0"/>
          <w:color w:val="auto"/>
          <w:sz w:val="28"/>
          <w:szCs w:val="28"/>
          <w:highlight w:val="none"/>
        </w:rPr>
        <w:t>六、监理人需要自备的工作条件</w:t>
      </w:r>
      <w:bookmarkEnd w:id="607"/>
      <w:bookmarkEnd w:id="608"/>
      <w:bookmarkEnd w:id="609"/>
      <w:bookmarkEnd w:id="610"/>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 监理人自备的工作手册：</w:t>
      </w:r>
      <w:r>
        <w:rPr>
          <w:rFonts w:hint="eastAsia" w:ascii="宋体" w:hAnsi="宋体"/>
          <w:color w:val="auto"/>
          <w:sz w:val="24"/>
          <w:szCs w:val="24"/>
          <w:highlight w:val="none"/>
          <w:u w:val="single"/>
        </w:rPr>
        <w:t>本项目必备的规范标准、图集等。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 监理人自备的办公设备：</w:t>
      </w:r>
      <w:r>
        <w:rPr>
          <w:rFonts w:hint="eastAsia" w:ascii="宋体" w:hAnsi="宋体"/>
          <w:color w:val="auto"/>
          <w:sz w:val="24"/>
          <w:szCs w:val="24"/>
          <w:highlight w:val="none"/>
          <w:u w:val="single"/>
        </w:rPr>
        <w:t>电脑、软件、投影、打印机、复印机、照相机等。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 监理人自备的交通工具：</w:t>
      </w:r>
      <w:r>
        <w:rPr>
          <w:rFonts w:hint="eastAsia" w:ascii="宋体" w:hAnsi="宋体"/>
          <w:color w:val="auto"/>
          <w:sz w:val="24"/>
          <w:szCs w:val="24"/>
          <w:highlight w:val="none"/>
          <w:u w:val="single"/>
        </w:rPr>
        <w:t>出行车辆等。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 监理人自备的现场办公设施：</w:t>
      </w:r>
      <w:r>
        <w:rPr>
          <w:rFonts w:hint="eastAsia" w:ascii="宋体" w:hAnsi="宋体"/>
          <w:color w:val="auto"/>
          <w:sz w:val="24"/>
          <w:szCs w:val="24"/>
          <w:highlight w:val="none"/>
          <w:u w:val="single"/>
        </w:rPr>
        <w:t>办公桌椅、文件柜等。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 监理人自备的安全设施：</w:t>
      </w:r>
      <w:r>
        <w:rPr>
          <w:rFonts w:hint="eastAsia" w:ascii="宋体" w:hAnsi="宋体"/>
          <w:color w:val="auto"/>
          <w:sz w:val="24"/>
          <w:szCs w:val="24"/>
          <w:highlight w:val="none"/>
          <w:u w:val="single"/>
        </w:rPr>
        <w:t>安全帽、安全鞋、手电筒等。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 监理人自备的试验检测仪器、设备、工具</w:t>
      </w:r>
      <w:r>
        <w:rPr>
          <w:rFonts w:hint="eastAsia" w:ascii="宋体" w:hAnsi="宋体"/>
          <w:color w:val="auto"/>
          <w:sz w:val="24"/>
          <w:szCs w:val="24"/>
          <w:highlight w:val="none"/>
        </w:rPr>
        <w:t>：</w:t>
      </w:r>
      <w:r>
        <w:rPr>
          <w:rFonts w:hint="eastAsia" w:ascii="宋体" w:hAnsi="宋体"/>
          <w:color w:val="auto"/>
          <w:sz w:val="24"/>
          <w:szCs w:val="24"/>
          <w:highlight w:val="none"/>
          <w:u w:val="single"/>
        </w:rPr>
        <w:t>满足本项目监理服务要求。</w:t>
      </w:r>
    </w:p>
    <w:p>
      <w:pPr>
        <w:pStyle w:val="8"/>
        <w:spacing w:line="360" w:lineRule="auto"/>
        <w:ind w:firstLine="480" w:firstLineChars="200"/>
        <w:rPr>
          <w:color w:val="auto"/>
          <w:highlight w:val="none"/>
        </w:rPr>
      </w:pPr>
      <w:r>
        <w:rPr>
          <w:rFonts w:ascii="Times New Roman" w:hAnsi="Times New Roman"/>
          <w:color w:val="auto"/>
          <w:sz w:val="24"/>
          <w:szCs w:val="24"/>
          <w:highlight w:val="none"/>
        </w:rPr>
        <w:t>7. 监理人自备的试验用房、样品用房</w:t>
      </w:r>
      <w:r>
        <w:rPr>
          <w:rFonts w:hint="eastAsia" w:ascii="宋体" w:hAnsi="宋体"/>
          <w:color w:val="auto"/>
          <w:sz w:val="24"/>
          <w:szCs w:val="24"/>
          <w:highlight w:val="none"/>
        </w:rPr>
        <w:t>：</w:t>
      </w:r>
      <w:r>
        <w:rPr>
          <w:rFonts w:hint="eastAsia" w:ascii="宋体" w:hAnsi="宋体"/>
          <w:color w:val="auto"/>
          <w:sz w:val="24"/>
          <w:szCs w:val="24"/>
          <w:highlight w:val="none"/>
          <w:u w:val="single"/>
        </w:rPr>
        <w:t>监理人根据现场实际情况自行准备。</w:t>
      </w:r>
    </w:p>
    <w:p>
      <w:pPr>
        <w:pStyle w:val="2"/>
        <w:keepNext w:val="0"/>
        <w:keepLines w:val="0"/>
        <w:spacing w:before="0" w:after="0" w:line="360" w:lineRule="auto"/>
        <w:ind w:firstLine="560" w:firstLineChars="200"/>
        <w:rPr>
          <w:rFonts w:ascii="Times New Roman" w:hAnsi="Times New Roman"/>
          <w:b w:val="0"/>
          <w:color w:val="auto"/>
          <w:sz w:val="28"/>
          <w:szCs w:val="28"/>
          <w:highlight w:val="none"/>
        </w:rPr>
      </w:pPr>
      <w:bookmarkStart w:id="611" w:name="_Toc482188646"/>
      <w:bookmarkStart w:id="612" w:name="_Toc527028529"/>
      <w:bookmarkStart w:id="613" w:name="_Toc511557119"/>
      <w:bookmarkStart w:id="614" w:name="_Toc89870632"/>
      <w:r>
        <w:rPr>
          <w:rFonts w:ascii="Times New Roman" w:hAnsi="Times New Roman"/>
          <w:b w:val="0"/>
          <w:color w:val="auto"/>
          <w:sz w:val="28"/>
          <w:szCs w:val="28"/>
          <w:highlight w:val="none"/>
        </w:rPr>
        <w:t>七、委托人的其他要求</w:t>
      </w:r>
      <w:bookmarkEnd w:id="611"/>
      <w:bookmarkEnd w:id="612"/>
      <w:bookmarkEnd w:id="613"/>
      <w:bookmarkEnd w:id="614"/>
    </w:p>
    <w:p>
      <w:pPr>
        <w:ind w:firstLine="480" w:firstLineChars="200"/>
        <w:rPr>
          <w:color w:val="auto"/>
          <w:highlight w:val="none"/>
        </w:rPr>
      </w:pPr>
      <w:r>
        <w:rPr>
          <w:rFonts w:ascii="Times New Roman" w:hAnsi="Times New Roman"/>
          <w:color w:val="auto"/>
          <w:sz w:val="24"/>
          <w:szCs w:val="24"/>
          <w:highlight w:val="none"/>
        </w:rPr>
        <w:t>委托人的其他要求</w:t>
      </w:r>
      <w:r>
        <w:rPr>
          <w:rFonts w:hint="eastAsia" w:ascii="宋体" w:hAnsi="宋体"/>
          <w:color w:val="auto"/>
          <w:sz w:val="24"/>
          <w:szCs w:val="24"/>
          <w:highlight w:val="none"/>
        </w:rPr>
        <w:t>：</w:t>
      </w:r>
      <w:r>
        <w:rPr>
          <w:rFonts w:hint="eastAsia" w:ascii="宋体" w:hAnsi="宋体"/>
          <w:color w:val="auto"/>
          <w:sz w:val="24"/>
          <w:szCs w:val="24"/>
          <w:highlight w:val="none"/>
          <w:u w:val="single"/>
        </w:rPr>
        <w:t>其他要求详见按监理合同。</w:t>
      </w:r>
      <w:bookmarkStart w:id="615" w:name="_Toc89870633"/>
      <w:r>
        <w:rPr>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val="0"/>
        <w:keepLines w:val="0"/>
        <w:spacing w:before="0" w:after="0" w:line="240" w:lineRule="auto"/>
        <w:jc w:val="center"/>
        <w:rPr>
          <w:color w:val="auto"/>
          <w:highlight w:val="none"/>
        </w:rPr>
      </w:pPr>
      <w:r>
        <w:rPr>
          <w:color w:val="auto"/>
          <w:highlight w:val="none"/>
        </w:rPr>
        <w:t>第</w:t>
      </w:r>
      <w:r>
        <w:rPr>
          <w:rFonts w:hint="eastAsia"/>
          <w:color w:val="auto"/>
          <w:highlight w:val="none"/>
        </w:rPr>
        <w:t>三</w:t>
      </w:r>
      <w:r>
        <w:rPr>
          <w:color w:val="auto"/>
          <w:highlight w:val="none"/>
        </w:rPr>
        <w:t>卷</w:t>
      </w:r>
      <w:bookmarkEnd w:id="615"/>
    </w:p>
    <w:p>
      <w:pPr>
        <w:ind w:firstLine="420" w:firstLineChars="200"/>
        <w:rPr>
          <w:color w:val="auto"/>
          <w:highlight w:val="none"/>
        </w:rPr>
      </w:pPr>
      <w:bookmarkStart w:id="616" w:name="_Toc89870634"/>
      <w:r>
        <w:rPr>
          <w:color w:val="auto"/>
          <w:highlight w:val="none"/>
        </w:rPr>
        <w:br w:type="page"/>
      </w:r>
    </w:p>
    <w:p>
      <w:pPr>
        <w:pStyle w:val="3"/>
        <w:keepNext w:val="0"/>
        <w:keepLines w:val="0"/>
        <w:spacing w:before="0" w:after="0" w:line="360" w:lineRule="auto"/>
        <w:jc w:val="center"/>
        <w:rPr>
          <w:color w:val="auto"/>
          <w:highlight w:val="none"/>
        </w:rPr>
      </w:pPr>
      <w:r>
        <w:rPr>
          <w:color w:val="auto"/>
          <w:highlight w:val="none"/>
        </w:rPr>
        <w:t>第六章</w:t>
      </w:r>
      <w:r>
        <w:rPr>
          <w:rFonts w:hint="eastAsia"/>
          <w:color w:val="auto"/>
          <w:highlight w:val="none"/>
        </w:rPr>
        <w:t xml:space="preserve"> </w:t>
      </w:r>
      <w:r>
        <w:rPr>
          <w:color w:val="auto"/>
          <w:highlight w:val="none"/>
        </w:rPr>
        <w:t>投标文件格式</w:t>
      </w:r>
      <w:bookmarkEnd w:id="616"/>
    </w:p>
    <w:p>
      <w:pPr>
        <w:autoSpaceDE w:val="0"/>
        <w:autoSpaceDN w:val="0"/>
        <w:adjustRightInd w:val="0"/>
        <w:spacing w:line="360" w:lineRule="auto"/>
        <w:jc w:val="center"/>
        <w:rPr>
          <w:b/>
          <w:color w:val="auto"/>
          <w:sz w:val="44"/>
          <w:szCs w:val="44"/>
          <w:highlight w:val="none"/>
        </w:rPr>
      </w:pPr>
      <w:r>
        <w:rPr>
          <w:rFonts w:hint="eastAsia"/>
          <w:b/>
          <w:color w:val="auto"/>
          <w:sz w:val="44"/>
          <w:szCs w:val="44"/>
          <w:highlight w:val="none"/>
          <w:lang w:eastAsia="zh-CN"/>
        </w:rPr>
        <w:t>增城区开发区下沉式再生水厂及配套管网工程监理</w:t>
      </w:r>
      <w:r>
        <w:rPr>
          <w:rFonts w:hint="eastAsia"/>
          <w:b/>
          <w:color w:val="auto"/>
          <w:sz w:val="44"/>
          <w:szCs w:val="44"/>
          <w:highlight w:val="none"/>
        </w:rPr>
        <w:t xml:space="preserve"> </w:t>
      </w:r>
    </w:p>
    <w:p>
      <w:pPr>
        <w:autoSpaceDE w:val="0"/>
        <w:autoSpaceDN w:val="0"/>
        <w:adjustRightInd w:val="0"/>
        <w:ind w:firstLine="883" w:firstLineChars="200"/>
        <w:rPr>
          <w:b/>
          <w:color w:val="auto"/>
          <w:sz w:val="44"/>
          <w:szCs w:val="44"/>
          <w:highlight w:val="none"/>
        </w:rPr>
      </w:pPr>
    </w:p>
    <w:p>
      <w:pPr>
        <w:ind w:firstLine="400" w:firstLineChars="200"/>
        <w:rPr>
          <w:rFonts w:ascii="Times New Roman" w:hAnsi="Times New Roman" w:eastAsia="黑体"/>
          <w:color w:val="auto"/>
          <w:sz w:val="20"/>
          <w:highlight w:val="none"/>
        </w:rPr>
      </w:pPr>
    </w:p>
    <w:p>
      <w:pPr>
        <w:ind w:firstLine="400" w:firstLineChars="200"/>
        <w:rPr>
          <w:rFonts w:ascii="Times New Roman" w:hAnsi="Times New Roman" w:eastAsia="黑体"/>
          <w:color w:val="auto"/>
          <w:sz w:val="20"/>
          <w:highlight w:val="none"/>
        </w:rPr>
      </w:pPr>
    </w:p>
    <w:p>
      <w:pPr>
        <w:ind w:firstLine="400" w:firstLineChars="200"/>
        <w:rPr>
          <w:rFonts w:ascii="Times New Roman" w:hAnsi="Times New Roman" w:eastAsia="黑体"/>
          <w:color w:val="auto"/>
          <w:sz w:val="20"/>
          <w:highlight w:val="none"/>
        </w:rPr>
      </w:pPr>
    </w:p>
    <w:p>
      <w:pPr>
        <w:ind w:firstLine="400" w:firstLineChars="200"/>
        <w:rPr>
          <w:rFonts w:ascii="Times New Roman" w:hAnsi="Times New Roman" w:eastAsia="黑体"/>
          <w:color w:val="auto"/>
          <w:sz w:val="20"/>
          <w:highlight w:val="none"/>
        </w:rPr>
      </w:pPr>
    </w:p>
    <w:p>
      <w:pPr>
        <w:ind w:firstLine="400" w:firstLineChars="200"/>
        <w:rPr>
          <w:rFonts w:ascii="Times New Roman" w:hAnsi="Times New Roman" w:eastAsia="黑体"/>
          <w:color w:val="auto"/>
          <w:sz w:val="20"/>
          <w:highlight w:val="none"/>
        </w:rPr>
      </w:pPr>
    </w:p>
    <w:p>
      <w:pPr>
        <w:pStyle w:val="14"/>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1680" w:firstLineChars="200"/>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投 标 文 件</w:t>
      </w:r>
    </w:p>
    <w:p>
      <w:pPr>
        <w:ind w:firstLine="880" w:firstLineChars="200"/>
        <w:rPr>
          <w:rFonts w:ascii="Times New Roman" w:hAnsi="Times New Roman" w:eastAsia="黑体"/>
          <w:color w:val="auto"/>
          <w:sz w:val="44"/>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ind w:firstLine="560" w:firstLineChars="200"/>
        <w:rPr>
          <w:rFonts w:ascii="Times New Roman" w:hAnsi="Times New Roman" w:eastAsia="黑体"/>
          <w:color w:val="auto"/>
          <w:sz w:val="28"/>
          <w:highlight w:val="none"/>
        </w:rPr>
      </w:pPr>
    </w:p>
    <w:p>
      <w:pPr>
        <w:spacing w:line="360" w:lineRule="auto"/>
        <w:ind w:firstLine="560" w:firstLineChars="200"/>
        <w:rPr>
          <w:rFonts w:ascii="Times New Roman" w:hAnsi="Times New Roman" w:eastAsia="黑体"/>
          <w:color w:val="auto"/>
          <w:sz w:val="28"/>
          <w:highlight w:val="none"/>
        </w:rPr>
      </w:pPr>
    </w:p>
    <w:p>
      <w:pPr>
        <w:spacing w:line="360" w:lineRule="auto"/>
        <w:ind w:firstLine="560" w:firstLineChars="200"/>
        <w:rPr>
          <w:rFonts w:ascii="Times New Roman" w:hAnsi="Times New Roman" w:eastAsia="黑体"/>
          <w:color w:val="auto"/>
          <w:sz w:val="28"/>
          <w:highlight w:val="none"/>
          <w:u w:val="single"/>
        </w:rPr>
      </w:pPr>
      <w:r>
        <w:rPr>
          <w:rFonts w:ascii="Times New Roman" w:hAnsi="Times New Roman" w:eastAsia="黑体"/>
          <w:color w:val="auto"/>
          <w:sz w:val="28"/>
          <w:highlight w:val="none"/>
        </w:rPr>
        <w:t>投标人：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（盖单位章）</w:t>
      </w:r>
    </w:p>
    <w:p>
      <w:pPr>
        <w:spacing w:line="360" w:lineRule="auto"/>
        <w:ind w:firstLine="560" w:firstLineChars="200"/>
        <w:rPr>
          <w:rFonts w:ascii="Times New Roman" w:hAnsi="Times New Roman" w:eastAsia="黑体"/>
          <w:color w:val="auto"/>
          <w:sz w:val="28"/>
          <w:highlight w:val="none"/>
        </w:rPr>
      </w:pPr>
      <w:r>
        <w:rPr>
          <w:rFonts w:ascii="Times New Roman" w:hAnsi="Times New Roman" w:eastAsia="黑体"/>
          <w:color w:val="auto"/>
          <w:sz w:val="28"/>
          <w:highlight w:val="none"/>
        </w:rPr>
        <w:t>法定代表人或其委托代理人：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（签字）</w:t>
      </w:r>
    </w:p>
    <w:p>
      <w:pPr>
        <w:spacing w:line="360" w:lineRule="auto"/>
        <w:ind w:firstLine="420" w:firstLineChars="200"/>
        <w:rPr>
          <w:rFonts w:ascii="Times New Roman" w:hAnsi="Times New Roman" w:eastAsia="黑体"/>
          <w:color w:val="auto"/>
          <w:sz w:val="28"/>
          <w:highlight w:val="none"/>
        </w:rPr>
      </w:pPr>
      <w:r>
        <w:rPr>
          <w:rFonts w:ascii="Times New Roman" w:hAnsi="Times New Roman"/>
          <w:color w:val="auto"/>
          <w:highlight w:val="none"/>
          <w:u w:val="single"/>
        </w:rPr>
        <w:t xml:space="preserve">       </w:t>
      </w:r>
      <w:r>
        <w:rPr>
          <w:rFonts w:ascii="Times New Roman" w:hAnsi="Times New Roman" w:eastAsia="黑体"/>
          <w:color w:val="auto"/>
          <w:sz w:val="28"/>
          <w:highlight w:val="none"/>
        </w:rPr>
        <w:t>年</w:t>
      </w:r>
      <w:r>
        <w:rPr>
          <w:rFonts w:ascii="Times New Roman" w:hAnsi="Times New Roman"/>
          <w:color w:val="auto"/>
          <w:highlight w:val="none"/>
          <w:u w:val="single"/>
        </w:rPr>
        <w:t xml:space="preserve">       </w:t>
      </w:r>
      <w:r>
        <w:rPr>
          <w:rFonts w:ascii="Times New Roman" w:hAnsi="Times New Roman" w:eastAsia="黑体"/>
          <w:color w:val="auto"/>
          <w:sz w:val="28"/>
          <w:highlight w:val="none"/>
        </w:rPr>
        <w:t>月</w:t>
      </w:r>
      <w:r>
        <w:rPr>
          <w:rFonts w:ascii="Times New Roman" w:hAnsi="Times New Roman"/>
          <w:color w:val="auto"/>
          <w:highlight w:val="none"/>
          <w:u w:val="single"/>
        </w:rPr>
        <w:t xml:space="preserve">       </w:t>
      </w:r>
      <w:r>
        <w:rPr>
          <w:rFonts w:ascii="Times New Roman" w:hAnsi="Times New Roman" w:eastAsia="黑体"/>
          <w:color w:val="auto"/>
          <w:sz w:val="28"/>
          <w:highlight w:val="none"/>
        </w:rPr>
        <w:t>日</w:t>
      </w:r>
    </w:p>
    <w:p>
      <w:pPr>
        <w:ind w:firstLine="420" w:firstLineChars="200"/>
        <w:rPr>
          <w:rFonts w:ascii="Times New Roman" w:hAnsi="Times New Roman"/>
          <w:color w:val="auto"/>
          <w:highlight w:val="none"/>
        </w:rPr>
      </w:pPr>
      <w:bookmarkStart w:id="617" w:name="_Toc89870635"/>
      <w:r>
        <w:rPr>
          <w:rFonts w:ascii="Times New Roman" w:hAnsi="Times New Roman"/>
          <w:color w:val="auto"/>
          <w:highlight w:val="none"/>
        </w:rPr>
        <w:br w:type="page"/>
      </w:r>
    </w:p>
    <w:p>
      <w:pPr>
        <w:pStyle w:val="2"/>
        <w:keepNext w:val="0"/>
        <w:keepLines w:val="0"/>
        <w:spacing w:before="0" w:after="0"/>
        <w:ind w:firstLine="643" w:firstLineChars="200"/>
        <w:jc w:val="center"/>
        <w:rPr>
          <w:rFonts w:ascii="Times New Roman" w:hAnsi="Times New Roman"/>
          <w:color w:val="auto"/>
          <w:highlight w:val="none"/>
        </w:rPr>
      </w:pPr>
      <w:r>
        <w:rPr>
          <w:rFonts w:ascii="Times New Roman" w:hAnsi="Times New Roman"/>
          <w:color w:val="auto"/>
          <w:highlight w:val="none"/>
        </w:rPr>
        <w:t>目</w:t>
      </w:r>
      <w:r>
        <w:rPr>
          <w:rFonts w:hint="eastAsia" w:ascii="Times New Roman" w:hAnsi="Times New Roman"/>
          <w:color w:val="auto"/>
          <w:highlight w:val="none"/>
        </w:rPr>
        <w:t xml:space="preserve">  </w:t>
      </w:r>
      <w:r>
        <w:rPr>
          <w:rFonts w:ascii="Times New Roman" w:hAnsi="Times New Roman"/>
          <w:color w:val="auto"/>
          <w:highlight w:val="none"/>
        </w:rPr>
        <w:t>录</w:t>
      </w:r>
      <w:bookmarkEnd w:id="617"/>
    </w:p>
    <w:p>
      <w:pPr>
        <w:spacing w:line="540" w:lineRule="exact"/>
        <w:ind w:firstLine="420" w:firstLineChars="200"/>
        <w:rPr>
          <w:rFonts w:ascii="Times New Roman" w:hAnsi="Times New Roman"/>
          <w:color w:val="auto"/>
          <w:highlight w:val="none"/>
        </w:rPr>
      </w:pPr>
      <w:r>
        <w:rPr>
          <w:rFonts w:ascii="Times New Roman" w:hAnsi="Times New Roman"/>
          <w:color w:val="auto"/>
          <w:highlight w:val="none"/>
        </w:rPr>
        <w:t>一、投标函及投标函附录、投标报价书</w:t>
      </w:r>
    </w:p>
    <w:p>
      <w:pPr>
        <w:spacing w:line="540" w:lineRule="exact"/>
        <w:ind w:firstLine="420" w:firstLineChars="200"/>
        <w:rPr>
          <w:rFonts w:ascii="Times New Roman" w:hAnsi="Times New Roman"/>
          <w:color w:val="auto"/>
          <w:highlight w:val="none"/>
        </w:rPr>
      </w:pPr>
      <w:r>
        <w:rPr>
          <w:rFonts w:ascii="Times New Roman" w:hAnsi="Times New Roman"/>
          <w:color w:val="auto"/>
          <w:highlight w:val="none"/>
        </w:rPr>
        <w:t>二、法定代表人身份证明（适用于无委托代理人的情况）</w:t>
      </w:r>
    </w:p>
    <w:p>
      <w:pPr>
        <w:spacing w:line="540" w:lineRule="exact"/>
        <w:ind w:firstLine="420" w:firstLineChars="200"/>
        <w:rPr>
          <w:rFonts w:ascii="Times New Roman" w:hAnsi="Times New Roman"/>
          <w:color w:val="auto"/>
          <w:highlight w:val="none"/>
        </w:rPr>
      </w:pPr>
      <w:r>
        <w:rPr>
          <w:rFonts w:ascii="Times New Roman" w:hAnsi="Times New Roman"/>
          <w:color w:val="auto"/>
          <w:highlight w:val="none"/>
        </w:rPr>
        <w:t>授权委托书（适用于有委托代理人的情况）</w:t>
      </w:r>
    </w:p>
    <w:p>
      <w:pPr>
        <w:spacing w:line="540" w:lineRule="exact"/>
        <w:ind w:firstLine="420" w:firstLineChars="200"/>
        <w:rPr>
          <w:rFonts w:ascii="Times New Roman" w:hAnsi="Times New Roman"/>
          <w:color w:val="auto"/>
          <w:highlight w:val="none"/>
        </w:rPr>
      </w:pPr>
      <w:r>
        <w:rPr>
          <w:rFonts w:hint="eastAsia" w:ascii="Times New Roman" w:hAnsi="Times New Roman"/>
          <w:color w:val="auto"/>
          <w:highlight w:val="none"/>
        </w:rPr>
        <w:t>三</w:t>
      </w:r>
      <w:r>
        <w:rPr>
          <w:rFonts w:ascii="Times New Roman" w:hAnsi="Times New Roman"/>
          <w:color w:val="auto"/>
          <w:highlight w:val="none"/>
        </w:rPr>
        <w:t>、投标保证金</w:t>
      </w:r>
    </w:p>
    <w:p>
      <w:pPr>
        <w:spacing w:line="540" w:lineRule="exact"/>
        <w:ind w:left="420" w:leftChars="200" w:firstLine="0" w:firstLineChars="0"/>
        <w:rPr>
          <w:rFonts w:hint="eastAsia" w:ascii="Times New Roman" w:hAnsi="Times New Roman" w:eastAsia="宋体"/>
          <w:color w:val="auto"/>
          <w:highlight w:val="none"/>
          <w:lang w:eastAsia="zh-CN"/>
        </w:rPr>
      </w:pPr>
      <w:r>
        <w:rPr>
          <w:rFonts w:hint="eastAsia" w:ascii="Times New Roman" w:hAnsi="Times New Roman"/>
          <w:color w:val="auto"/>
          <w:highlight w:val="none"/>
        </w:rPr>
        <w:t>四</w:t>
      </w:r>
      <w:r>
        <w:rPr>
          <w:rFonts w:ascii="Times New Roman" w:hAnsi="Times New Roman"/>
          <w:color w:val="auto"/>
          <w:highlight w:val="none"/>
        </w:rPr>
        <w:t>、</w:t>
      </w:r>
      <w:r>
        <w:rPr>
          <w:rFonts w:hint="eastAsia" w:ascii="Times New Roman" w:hAnsi="Times New Roman"/>
          <w:color w:val="auto"/>
          <w:highlight w:val="none"/>
        </w:rPr>
        <w:t>广州建设工程监理投标书</w:t>
      </w:r>
    </w:p>
    <w:p>
      <w:pPr>
        <w:spacing w:line="540" w:lineRule="exact"/>
        <w:ind w:left="420" w:leftChars="200" w:firstLine="0" w:firstLineChars="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五、廉洁协议</w:t>
      </w:r>
    </w:p>
    <w:p>
      <w:pPr>
        <w:spacing w:line="540" w:lineRule="exact"/>
        <w:ind w:firstLine="420" w:firstLineChars="200"/>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rPr>
        <w:t>、资格审查资料</w:t>
      </w:r>
    </w:p>
    <w:p>
      <w:pPr>
        <w:spacing w:line="540" w:lineRule="exact"/>
        <w:ind w:firstLine="420" w:firstLineChars="200"/>
        <w:rPr>
          <w:rFonts w:ascii="Times New Roman" w:hAnsi="Times New Roman"/>
          <w:color w:val="auto"/>
          <w:highlight w:val="none"/>
        </w:rPr>
      </w:pPr>
      <w:r>
        <w:rPr>
          <w:rFonts w:hint="eastAsia" w:ascii="Times New Roman" w:hAnsi="Times New Roman"/>
          <w:color w:val="auto"/>
          <w:highlight w:val="none"/>
          <w:lang w:val="en-US" w:eastAsia="zh-CN"/>
        </w:rPr>
        <w:t>七</w:t>
      </w:r>
      <w:r>
        <w:rPr>
          <w:rFonts w:ascii="Times New Roman" w:hAnsi="Times New Roman"/>
          <w:color w:val="auto"/>
          <w:highlight w:val="none"/>
        </w:rPr>
        <w:t>、监理大纲</w:t>
      </w:r>
    </w:p>
    <w:p>
      <w:pPr>
        <w:spacing w:line="540" w:lineRule="exact"/>
        <w:ind w:firstLine="420" w:firstLineChars="200"/>
        <w:rPr>
          <w:rFonts w:ascii="Times New Roman" w:hAnsi="Times New Roman"/>
          <w:color w:val="auto"/>
          <w:highlight w:val="none"/>
        </w:rPr>
      </w:pPr>
      <w:bookmarkStart w:id="618" w:name="_Toc352691655"/>
      <w:bookmarkStart w:id="619" w:name="_Toc7039"/>
      <w:bookmarkStart w:id="620" w:name="_Toc369531691"/>
      <w:r>
        <w:rPr>
          <w:rFonts w:hint="eastAsia" w:ascii="Times New Roman" w:hAnsi="Times New Roman"/>
          <w:color w:val="auto"/>
          <w:highlight w:val="none"/>
          <w:lang w:val="en-US" w:eastAsia="zh-CN"/>
        </w:rPr>
        <w:t>八</w:t>
      </w:r>
      <w:r>
        <w:rPr>
          <w:rFonts w:ascii="Times New Roman" w:hAnsi="Times New Roman"/>
          <w:color w:val="auto"/>
          <w:highlight w:val="none"/>
        </w:rPr>
        <w:t>、其他资料</w:t>
      </w: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p>
      <w:pPr>
        <w:spacing w:line="540" w:lineRule="exact"/>
        <w:ind w:firstLine="400" w:firstLineChars="200"/>
        <w:rPr>
          <w:rFonts w:ascii="Times New Roman" w:hAnsi="Times New Roman" w:eastAsia="黑体"/>
          <w:color w:val="auto"/>
          <w:sz w:val="20"/>
          <w:highlight w:val="none"/>
        </w:rPr>
      </w:pPr>
    </w:p>
    <w:bookmarkEnd w:id="618"/>
    <w:bookmarkEnd w:id="619"/>
    <w:bookmarkEnd w:id="620"/>
    <w:p>
      <w:pPr>
        <w:pStyle w:val="2"/>
        <w:keepNext w:val="0"/>
        <w:keepLines w:val="0"/>
        <w:numPr>
          <w:ilvl w:val="0"/>
          <w:numId w:val="4"/>
        </w:numPr>
        <w:spacing w:before="0" w:after="0" w:line="360" w:lineRule="auto"/>
        <w:ind w:firstLine="643" w:firstLineChars="200"/>
        <w:rPr>
          <w:rFonts w:ascii="Times New Roman" w:hAnsi="Times New Roman"/>
          <w:color w:val="auto"/>
          <w:highlight w:val="none"/>
        </w:rPr>
      </w:pPr>
      <w:r>
        <w:rPr>
          <w:rFonts w:ascii="Times New Roman" w:hAnsi="Times New Roman"/>
          <w:color w:val="auto"/>
          <w:highlight w:val="none"/>
        </w:rPr>
        <w:br w:type="page"/>
      </w:r>
      <w:bookmarkStart w:id="621" w:name="_Toc89870636"/>
      <w:r>
        <w:rPr>
          <w:rFonts w:ascii="Times New Roman" w:hAnsi="Times New Roman"/>
          <w:color w:val="auto"/>
          <w:highlight w:val="none"/>
        </w:rPr>
        <w:t>投标</w:t>
      </w:r>
      <w:bookmarkStart w:id="622" w:name="_Toc6931"/>
      <w:bookmarkStart w:id="623" w:name="_Toc369531692"/>
      <w:bookmarkStart w:id="624" w:name="_Toc352691656"/>
      <w:r>
        <w:rPr>
          <w:rFonts w:ascii="Times New Roman" w:hAnsi="Times New Roman"/>
          <w:color w:val="auto"/>
          <w:highlight w:val="none"/>
        </w:rPr>
        <w:t>函及投标函附录</w:t>
      </w:r>
      <w:bookmarkEnd w:id="621"/>
      <w:bookmarkEnd w:id="622"/>
      <w:bookmarkEnd w:id="623"/>
      <w:bookmarkEnd w:id="624"/>
      <w:bookmarkStart w:id="625" w:name="_Toc385943065"/>
      <w:bookmarkStart w:id="626" w:name="_Toc482188651"/>
      <w:bookmarkStart w:id="627" w:name="_Toc391394111"/>
      <w:bookmarkStart w:id="628" w:name="_Toc370676426"/>
      <w:bookmarkStart w:id="629" w:name="_Toc359594235"/>
    </w:p>
    <w:p>
      <w:pPr>
        <w:pStyle w:val="4"/>
        <w:keepNext w:val="0"/>
        <w:keepLines w:val="0"/>
        <w:spacing w:before="0" w:after="0"/>
        <w:ind w:firstLine="560" w:firstLineChars="200"/>
        <w:rPr>
          <w:rFonts w:ascii="Times New Roman" w:hAnsi="Times New Roman"/>
          <w:color w:val="auto"/>
          <w:highlight w:val="none"/>
        </w:rPr>
      </w:pPr>
      <w:bookmarkStart w:id="630" w:name="_Toc89870637"/>
      <w:r>
        <w:rPr>
          <w:rFonts w:ascii="Times New Roman" w:hAnsi="Times New Roman"/>
          <w:color w:val="auto"/>
          <w:highlight w:val="none"/>
        </w:rPr>
        <w:t>（一）投标函</w:t>
      </w:r>
      <w:bookmarkEnd w:id="625"/>
      <w:bookmarkEnd w:id="626"/>
      <w:bookmarkEnd w:id="627"/>
      <w:bookmarkEnd w:id="628"/>
      <w:bookmarkEnd w:id="629"/>
      <w:bookmarkEnd w:id="630"/>
    </w:p>
    <w:p>
      <w:pPr>
        <w:spacing w:line="36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u w:val="single"/>
        </w:rPr>
        <w:t>致:</w:t>
      </w:r>
      <w:r>
        <w:rPr>
          <w:rFonts w:hint="eastAsia" w:ascii="Times New Roman" w:hAnsi="Times New Roman"/>
          <w:color w:val="auto"/>
          <w:szCs w:val="21"/>
          <w:highlight w:val="none"/>
          <w:u w:val="single"/>
          <w:lang w:eastAsia="zh-CN"/>
        </w:rPr>
        <w:t>广州市增城排水有限公司</w:t>
      </w:r>
      <w:r>
        <w:rPr>
          <w:rFonts w:ascii="Times New Roman" w:hAnsi="Times New Roman"/>
          <w:color w:val="auto"/>
          <w:szCs w:val="21"/>
          <w:highlight w:val="none"/>
        </w:rPr>
        <w:t>（招标人名称）</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1．我方已仔细研究</w:t>
      </w:r>
      <w:r>
        <w:rPr>
          <w:rFonts w:hint="eastAsia" w:ascii="Times New Roman" w:hAnsi="Times New Roman"/>
          <w:color w:val="auto"/>
          <w:szCs w:val="21"/>
          <w:highlight w:val="none"/>
        </w:rPr>
        <w:t>了</w:t>
      </w:r>
      <w:r>
        <w:rPr>
          <w:rFonts w:hint="eastAsia" w:ascii="Times New Roman" w:hAnsi="Times New Roman"/>
          <w:color w:val="auto"/>
          <w:szCs w:val="21"/>
          <w:highlight w:val="none"/>
          <w:u w:val="single"/>
          <w:lang w:eastAsia="zh-CN"/>
        </w:rPr>
        <w:t>增城区开发区下沉式再生水厂及配套管网工程监理</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招标项目招标文件的全部内容，</w:t>
      </w:r>
      <w:r>
        <w:rPr>
          <w:rFonts w:hint="eastAsia" w:ascii="Times New Roman" w:hAnsi="Times New Roman"/>
          <w:color w:val="auto"/>
          <w:szCs w:val="21"/>
          <w:highlight w:val="none"/>
        </w:rPr>
        <w:t>愿意以</w:t>
      </w:r>
      <w:r>
        <w:rPr>
          <w:rFonts w:ascii="Times New Roman" w:hAnsi="Times New Roman"/>
          <w:color w:val="auto"/>
          <w:szCs w:val="21"/>
          <w:highlight w:val="none"/>
        </w:rPr>
        <w:t>________%</w:t>
      </w:r>
      <w:r>
        <w:rPr>
          <w:rFonts w:hint="eastAsia" w:ascii="Times New Roman" w:hAnsi="Times New Roman"/>
          <w:color w:val="auto"/>
          <w:szCs w:val="21"/>
          <w:highlight w:val="none"/>
        </w:rPr>
        <w:t>的投标下浮率报价，即人民币（大写）</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万元</w:t>
      </w:r>
      <w:r>
        <w:rPr>
          <w:rFonts w:hint="eastAsia" w:ascii="Times New Roman" w:hAnsi="Times New Roman"/>
          <w:color w:val="auto"/>
          <w:szCs w:val="21"/>
          <w:highlight w:val="none"/>
        </w:rPr>
        <w:t>）的投标总报价，</w:t>
      </w:r>
      <w:r>
        <w:rPr>
          <w:rFonts w:ascii="Times New Roman" w:hAnsi="Times New Roman"/>
          <w:color w:val="auto"/>
          <w:szCs w:val="21"/>
          <w:highlight w:val="none"/>
        </w:rPr>
        <w:t>监理服务期限：</w:t>
      </w:r>
      <w:r>
        <w:rPr>
          <w:rFonts w:hint="eastAsia" w:ascii="Times New Roman" w:hAnsi="Times New Roman"/>
          <w:color w:val="auto"/>
          <w:szCs w:val="21"/>
          <w:highlight w:val="none"/>
          <w:u w:val="single"/>
        </w:rPr>
        <w:t>按招标文件要求</w:t>
      </w:r>
      <w:r>
        <w:rPr>
          <w:rFonts w:ascii="Times New Roman" w:hAnsi="Times New Roman"/>
          <w:color w:val="auto"/>
          <w:szCs w:val="21"/>
          <w:highlight w:val="none"/>
        </w:rPr>
        <w:t>日历天，按合同约定完成监理工作。</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 我方的投标文件包括下列内容：</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（1）投标函</w:t>
      </w:r>
      <w:r>
        <w:rPr>
          <w:rFonts w:ascii="Times New Roman" w:hAnsi="Times New Roman"/>
          <w:color w:val="auto"/>
          <w:highlight w:val="none"/>
        </w:rPr>
        <w:t>及投标函附录</w:t>
      </w:r>
      <w:r>
        <w:rPr>
          <w:rFonts w:ascii="Times New Roman" w:hAnsi="Times New Roman"/>
          <w:color w:val="auto"/>
          <w:szCs w:val="21"/>
          <w:highlight w:val="none"/>
        </w:rPr>
        <w:t>；</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（2）法定代表人身份证明或授权委托书；</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（3）投标保证金；</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4</w:t>
      </w:r>
      <w:r>
        <w:rPr>
          <w:rFonts w:ascii="Times New Roman" w:hAnsi="Times New Roman"/>
          <w:color w:val="auto"/>
          <w:szCs w:val="21"/>
          <w:highlight w:val="none"/>
        </w:rPr>
        <w:t>）</w:t>
      </w:r>
      <w:r>
        <w:rPr>
          <w:rFonts w:hint="eastAsia" w:ascii="Times New Roman" w:hAnsi="Times New Roman"/>
          <w:color w:val="auto"/>
          <w:highlight w:val="none"/>
        </w:rPr>
        <w:t>广州建设工程监理投标书</w:t>
      </w:r>
      <w:r>
        <w:rPr>
          <w:rFonts w:ascii="Times New Roman" w:hAnsi="Times New Roman"/>
          <w:color w:val="auto"/>
          <w:szCs w:val="21"/>
          <w:highlight w:val="none"/>
        </w:rPr>
        <w:t>；</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5</w:t>
      </w:r>
      <w:r>
        <w:rPr>
          <w:rFonts w:ascii="Times New Roman" w:hAnsi="Times New Roman"/>
          <w:color w:val="auto"/>
          <w:szCs w:val="21"/>
          <w:highlight w:val="none"/>
        </w:rPr>
        <w:t>）资格审查资料；</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6</w:t>
      </w:r>
      <w:r>
        <w:rPr>
          <w:rFonts w:ascii="Times New Roman" w:hAnsi="Times New Roman"/>
          <w:color w:val="auto"/>
          <w:szCs w:val="21"/>
          <w:highlight w:val="none"/>
        </w:rPr>
        <w:t>）监理大纲；</w:t>
      </w:r>
    </w:p>
    <w:p>
      <w:pPr>
        <w:spacing w:line="36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（7）其他资料。</w:t>
      </w:r>
      <w:r>
        <w:rPr>
          <w:rFonts w:ascii="Times New Roman" w:hAnsi="Times New Roman"/>
          <w:color w:val="auto"/>
          <w:szCs w:val="21"/>
          <w:highlight w:val="none"/>
        </w:rPr>
        <w:t>投标文件的上述组成部分如存在内容不一致的，以投标函为准。</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3．我方承诺在招标文件规定的投标有效期内不撤销投标文件。</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4．如我方中标，我方承诺：</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（1）在收到中标通知书后，在中标通知书规定的期限内与你方签订合同；</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（2）在签订合同时不向你方提出附加条件；</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（3）按照招标文件要求提交履约保证金；</w:t>
      </w:r>
      <w:bookmarkStart w:id="631" w:name="_Toc369531694"/>
      <w:bookmarkStart w:id="632" w:name="_Toc352691658"/>
      <w:bookmarkStart w:id="633" w:name="_Toc1187"/>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（4）在合</w:t>
      </w:r>
      <w:bookmarkEnd w:id="631"/>
      <w:bookmarkEnd w:id="632"/>
      <w:bookmarkEnd w:id="633"/>
      <w:r>
        <w:rPr>
          <w:rFonts w:ascii="Times New Roman" w:hAnsi="Times New Roman"/>
          <w:color w:val="auto"/>
          <w:szCs w:val="21"/>
          <w:highlight w:val="none"/>
        </w:rPr>
        <w:t>同约定的期限内完成合同规定的全部义务。</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5．我方在此声明，所递交的投标文件及有关资料内容完整、真实和准确，且不存在第二章</w:t>
      </w:r>
      <w:r>
        <w:rPr>
          <w:rFonts w:hint="eastAsia" w:ascii="Times New Roman" w:hAnsi="Times New Roman"/>
          <w:color w:val="auto"/>
          <w:szCs w:val="21"/>
          <w:highlight w:val="none"/>
          <w:lang w:eastAsia="zh-CN"/>
        </w:rPr>
        <w:t>“</w:t>
      </w:r>
      <w:r>
        <w:rPr>
          <w:rFonts w:ascii="Times New Roman" w:hAnsi="Times New Roman"/>
          <w:color w:val="auto"/>
          <w:szCs w:val="21"/>
          <w:highlight w:val="none"/>
        </w:rPr>
        <w:t>投标人须知</w:t>
      </w:r>
      <w:r>
        <w:rPr>
          <w:rFonts w:hint="eastAsia" w:ascii="Times New Roman" w:hAnsi="Times New Roman"/>
          <w:color w:val="auto"/>
          <w:szCs w:val="21"/>
          <w:highlight w:val="none"/>
          <w:lang w:eastAsia="zh-CN"/>
        </w:rPr>
        <w:t>”</w:t>
      </w:r>
      <w:r>
        <w:rPr>
          <w:rFonts w:ascii="Times New Roman" w:hAnsi="Times New Roman"/>
          <w:color w:val="auto"/>
          <w:szCs w:val="21"/>
          <w:highlight w:val="none"/>
        </w:rPr>
        <w:t>第1.4.3项规定的任何一种情形。</w:t>
      </w:r>
    </w:p>
    <w:p>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（其他补充说明）。</w:t>
      </w:r>
    </w:p>
    <w:bookmarkEnd w:id="559"/>
    <w:bookmarkEnd w:id="560"/>
    <w:bookmarkEnd w:id="561"/>
    <w:bookmarkEnd w:id="562"/>
    <w:bookmarkEnd w:id="563"/>
    <w:bookmarkEnd w:id="564"/>
    <w:bookmarkEnd w:id="565"/>
    <w:bookmarkEnd w:id="566"/>
    <w:bookmarkEnd w:id="567"/>
    <w:p>
      <w:pPr>
        <w:spacing w:line="360" w:lineRule="exact"/>
        <w:ind w:firstLine="420" w:firstLineChars="200"/>
        <w:jc w:val="left"/>
        <w:rPr>
          <w:rFonts w:ascii="Times New Roman" w:hAnsi="Times New Roman"/>
          <w:color w:val="auto"/>
          <w:szCs w:val="21"/>
          <w:highlight w:val="none"/>
        </w:rPr>
      </w:pPr>
      <w:bookmarkStart w:id="634" w:name="_Toc16568"/>
      <w:bookmarkEnd w:id="634"/>
      <w:bookmarkStart w:id="635" w:name="_Toc352691660"/>
      <w:bookmarkEnd w:id="635"/>
      <w:bookmarkStart w:id="636" w:name="_Toc369531696"/>
      <w:bookmarkEnd w:id="636"/>
      <w:bookmarkStart w:id="637" w:name="_Toc369531695"/>
      <w:bookmarkEnd w:id="637"/>
      <w:bookmarkStart w:id="638" w:name="_Toc352691659"/>
      <w:bookmarkEnd w:id="638"/>
      <w:bookmarkStart w:id="639" w:name="_Toc16824"/>
      <w:bookmarkEnd w:id="639"/>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pPr>
        <w:spacing w:line="360" w:lineRule="exact"/>
        <w:ind w:firstLine="420" w:firstLineChars="200"/>
        <w:jc w:val="left"/>
        <w:rPr>
          <w:rFonts w:ascii="Times New Roman" w:hAnsi="Times New Roman"/>
          <w:color w:val="auto"/>
          <w:szCs w:val="21"/>
          <w:highlight w:val="none"/>
        </w:rPr>
      </w:pPr>
      <w:r>
        <w:rPr>
          <w:rFonts w:ascii="Times New Roman" w:hAnsi="Times New Roman"/>
          <w:color w:val="auto"/>
          <w:highlight w:val="none"/>
        </w:rPr>
        <w:t>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p>
    <w:p>
      <w:pPr>
        <w:spacing w:line="36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网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exact"/>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exact"/>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exact"/>
        <w:ind w:firstLine="420" w:firstLineChars="200"/>
        <w:jc w:val="left"/>
        <w:rPr>
          <w:rFonts w:ascii="Times New Roman" w:hAnsi="Times New Roman"/>
          <w:color w:val="auto"/>
          <w:szCs w:val="21"/>
          <w:highlight w:val="none"/>
          <w:u w:val="single"/>
        </w:rPr>
      </w:pPr>
      <w:r>
        <w:rPr>
          <w:rFonts w:hint="eastAsia" w:ascii="Times New Roman" w:hAnsi="Times New Roman"/>
          <w:color w:val="auto"/>
          <w:szCs w:val="21"/>
          <w:highlight w:val="none"/>
        </w:rPr>
        <w:t>邮政编码</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pStyle w:val="14"/>
        <w:spacing w:line="360" w:lineRule="exact"/>
        <w:jc w:val="left"/>
        <w:rPr>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开户银行名称：</w:t>
      </w:r>
      <w:r>
        <w:rPr>
          <w:rFonts w:hint="eastAsia"/>
          <w:color w:val="auto"/>
          <w:highlight w:val="none"/>
          <w:u w:val="single"/>
          <w:lang w:val="en-US" w:eastAsia="zh-CN"/>
        </w:rPr>
        <w:t xml:space="preserve">                                          </w:t>
      </w:r>
    </w:p>
    <w:p>
      <w:pPr>
        <w:pStyle w:val="14"/>
        <w:spacing w:line="360" w:lineRule="exact"/>
        <w:jc w:val="left"/>
        <w:rPr>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银行账号：</w:t>
      </w:r>
      <w:r>
        <w:rPr>
          <w:rFonts w:hint="eastAsia"/>
          <w:color w:val="auto"/>
          <w:highlight w:val="none"/>
          <w:u w:val="single"/>
          <w:lang w:val="en-US" w:eastAsia="zh-CN"/>
        </w:rPr>
        <w:t xml:space="preserve">                                              </w:t>
      </w:r>
    </w:p>
    <w:p>
      <w:pPr>
        <w:spacing w:line="360" w:lineRule="exact"/>
        <w:ind w:firstLine="420" w:firstLineChars="200"/>
        <w:jc w:val="lef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bookmarkStart w:id="640" w:name="_Toc370676427"/>
      <w:bookmarkStart w:id="641" w:name="_Toc89870638"/>
      <w:bookmarkStart w:id="642" w:name="_Toc482188652"/>
      <w:bookmarkStart w:id="643" w:name="_Toc385943066"/>
      <w:bookmarkStart w:id="644" w:name="_Toc359594236"/>
      <w:bookmarkStart w:id="645" w:name="_Toc391394112"/>
      <w:bookmarkStart w:id="646" w:name="_Toc384308375"/>
      <w:bookmarkStart w:id="647" w:name="_Toc247527827"/>
      <w:bookmarkStart w:id="648" w:name="_Toc247514246"/>
      <w:bookmarkStart w:id="649" w:name="_Toc144974856"/>
      <w:bookmarkStart w:id="650" w:name="_Toc300835209"/>
      <w:bookmarkStart w:id="651" w:name="_Toc152042576"/>
      <w:bookmarkStart w:id="652" w:name="_Toc152045787"/>
      <w:bookmarkStart w:id="653" w:name="_Toc369531697"/>
      <w:bookmarkStart w:id="654" w:name="_Toc361508752"/>
      <w:bookmarkStart w:id="655" w:name="_Toc352691661"/>
      <w:bookmarkStart w:id="656" w:name="_Toc17960"/>
    </w:p>
    <w:p>
      <w:pPr>
        <w:pStyle w:val="14"/>
        <w:rPr>
          <w:rFonts w:eastAsia="黑体"/>
          <w:color w:val="auto"/>
          <w:sz w:val="28"/>
          <w:szCs w:val="20"/>
          <w:highlight w:val="none"/>
        </w:rPr>
      </w:pPr>
    </w:p>
    <w:p>
      <w:pPr>
        <w:pStyle w:val="4"/>
        <w:keepNext w:val="0"/>
        <w:keepLines w:val="0"/>
        <w:spacing w:before="0" w:after="0"/>
        <w:ind w:firstLine="0" w:firstLineChars="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二）投标函附录</w:t>
      </w:r>
      <w:bookmarkEnd w:id="640"/>
      <w:bookmarkEnd w:id="641"/>
      <w:bookmarkEnd w:id="642"/>
      <w:bookmarkEnd w:id="643"/>
      <w:bookmarkEnd w:id="644"/>
      <w:bookmarkEnd w:id="645"/>
    </w:p>
    <w:tbl>
      <w:tblPr>
        <w:tblStyle w:val="24"/>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592"/>
        <w:gridCol w:w="1317"/>
        <w:gridCol w:w="3967"/>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序号</w:t>
            </w:r>
          </w:p>
        </w:tc>
        <w:tc>
          <w:tcPr>
            <w:tcW w:w="25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条款名称</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合同条款号</w:t>
            </w:r>
          </w:p>
        </w:tc>
        <w:tc>
          <w:tcPr>
            <w:tcW w:w="39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约定内容</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r>
              <w:rPr>
                <w:rFonts w:hint="eastAsia" w:ascii="Times New Roman" w:hAnsi="Times New Roman"/>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1</w:t>
            </w:r>
          </w:p>
        </w:tc>
        <w:tc>
          <w:tcPr>
            <w:tcW w:w="25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总监理工程师</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姓名：</w:t>
            </w:r>
          </w:p>
          <w:p>
            <w:pPr>
              <w:rPr>
                <w:rFonts w:ascii="Times New Roman" w:hAnsi="Times New Roman"/>
                <w:color w:val="auto"/>
                <w:highlight w:val="none"/>
              </w:rPr>
            </w:pPr>
            <w:r>
              <w:rPr>
                <w:rFonts w:hint="eastAsia" w:ascii="Times New Roman" w:hAnsi="Times New Roman"/>
                <w:color w:val="auto"/>
                <w:highlight w:val="none"/>
              </w:rPr>
              <w:t>技术职称：</w:t>
            </w:r>
          </w:p>
          <w:p>
            <w:pPr>
              <w:rPr>
                <w:rFonts w:ascii="Times New Roman" w:hAnsi="Times New Roman"/>
                <w:color w:val="auto"/>
                <w:highlight w:val="none"/>
              </w:rPr>
            </w:pPr>
            <w:r>
              <w:rPr>
                <w:rFonts w:hint="eastAsia" w:ascii="Times New Roman" w:hAnsi="Times New Roman"/>
                <w:color w:val="auto"/>
                <w:highlight w:val="none"/>
              </w:rPr>
              <w:t>注册证号：</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2</w:t>
            </w:r>
          </w:p>
        </w:tc>
        <w:tc>
          <w:tcPr>
            <w:tcW w:w="25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监理服务期限</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按招标文件要求</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ascii="Times New Roman" w:hAnsi="Times New Roman"/>
                <w:color w:val="auto"/>
                <w:highlight w:val="none"/>
              </w:rPr>
              <w:t>3</w:t>
            </w:r>
          </w:p>
        </w:tc>
        <w:tc>
          <w:tcPr>
            <w:tcW w:w="25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合同价款确定方式</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按合同要求</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4</w:t>
            </w:r>
          </w:p>
        </w:tc>
        <w:tc>
          <w:tcPr>
            <w:tcW w:w="25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ascii="Times New Roman" w:hAnsi="Times New Roman"/>
                <w:color w:val="auto"/>
                <w:highlight w:val="none"/>
              </w:rPr>
              <w:t>质量</w:t>
            </w:r>
            <w:r>
              <w:rPr>
                <w:rFonts w:hint="eastAsia" w:ascii="Times New Roman" w:hAnsi="Times New Roman"/>
                <w:color w:val="auto"/>
                <w:highlight w:val="none"/>
              </w:rPr>
              <w:t>标准</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按招标文件要求</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5</w:t>
            </w:r>
          </w:p>
        </w:tc>
        <w:tc>
          <w:tcPr>
            <w:tcW w:w="25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投标总报价（监理报价）</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监理报价（万元）：</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6</w:t>
            </w:r>
          </w:p>
        </w:tc>
        <w:tc>
          <w:tcPr>
            <w:tcW w:w="259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投标下浮率</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p>
        </w:tc>
        <w:tc>
          <w:tcPr>
            <w:tcW w:w="3967"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投标下浮率：</w:t>
            </w:r>
            <w:r>
              <w:rPr>
                <w:rFonts w:hint="eastAsia"/>
                <w:color w:val="auto"/>
                <w:highlight w:val="none"/>
                <w:u w:val="single"/>
              </w:rPr>
              <w:t xml:space="preserve">     </w:t>
            </w:r>
            <w:r>
              <w:rPr>
                <w:rFonts w:hint="eastAsia"/>
                <w:color w:val="auto"/>
                <w:highlight w:val="none"/>
              </w:rPr>
              <w:t>%</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7</w:t>
            </w:r>
          </w:p>
        </w:tc>
        <w:tc>
          <w:tcPr>
            <w:tcW w:w="25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highlight w:val="none"/>
              </w:rPr>
            </w:pPr>
            <w:r>
              <w:rPr>
                <w:rFonts w:hint="eastAsia" w:ascii="Times New Roman" w:hAnsi="Times New Roman"/>
                <w:color w:val="auto"/>
                <w:highlight w:val="none"/>
              </w:rPr>
              <w:t>投标有效期</w:t>
            </w:r>
          </w:p>
        </w:tc>
        <w:tc>
          <w:tcPr>
            <w:tcW w:w="1317" w:type="dxa"/>
            <w:tcBorders>
              <w:top w:val="single" w:color="auto" w:sz="4" w:space="0"/>
              <w:left w:val="single" w:color="auto" w:sz="4" w:space="0"/>
              <w:bottom w:val="single" w:color="auto" w:sz="4" w:space="0"/>
              <w:right w:val="single" w:color="auto" w:sz="4" w:space="0"/>
            </w:tcBorders>
            <w:vAlign w:val="center"/>
          </w:tcPr>
          <w:p>
            <w:pPr>
              <w:ind w:firstLine="416" w:firstLineChars="200"/>
              <w:jc w:val="center"/>
              <w:rPr>
                <w:rFonts w:ascii="Times New Roman" w:hAnsi="Times New Roman"/>
                <w:color w:val="auto"/>
                <w:spacing w:val="-16"/>
                <w:sz w:val="24"/>
                <w:highlight w:val="none"/>
              </w:rPr>
            </w:pPr>
            <w:r>
              <w:rPr>
                <w:rFonts w:ascii="Times New Roman" w:hAnsi="Times New Roman"/>
                <w:color w:val="auto"/>
                <w:spacing w:val="-16"/>
                <w:sz w:val="24"/>
                <w:highlight w:val="none"/>
              </w:rPr>
              <w:t>/</w:t>
            </w: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highlight w:val="none"/>
              </w:rPr>
            </w:pPr>
            <w:r>
              <w:rPr>
                <w:rFonts w:hint="eastAsia" w:ascii="Times New Roman" w:hAnsi="Times New Roman"/>
                <w:color w:val="auto"/>
                <w:highlight w:val="none"/>
              </w:rPr>
              <w:t>90日历天（从投标截止之日算起）</w:t>
            </w:r>
          </w:p>
        </w:tc>
        <w:tc>
          <w:tcPr>
            <w:tcW w:w="6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highlight w:val="none"/>
              </w:rPr>
            </w:pPr>
          </w:p>
        </w:tc>
      </w:tr>
    </w:tbl>
    <w:p>
      <w:pPr>
        <w:spacing w:line="440" w:lineRule="exact"/>
        <w:ind w:firstLine="420" w:firstLineChars="200"/>
        <w:rPr>
          <w:rFonts w:ascii="Times New Roman" w:hAnsi="Times New Roman"/>
          <w:color w:val="auto"/>
          <w:szCs w:val="21"/>
          <w:highlight w:val="none"/>
        </w:rPr>
      </w:pPr>
    </w:p>
    <w:p>
      <w:pPr>
        <w:spacing w:line="440" w:lineRule="exact"/>
        <w:ind w:firstLine="420" w:firstLineChars="200"/>
        <w:jc w:val="righ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pPr>
        <w:spacing w:line="440" w:lineRule="exact"/>
        <w:ind w:firstLine="420" w:firstLineChars="200"/>
        <w:jc w:val="right"/>
        <w:rPr>
          <w:rFonts w:ascii="Times New Roman" w:hAnsi="Times New Roman"/>
          <w:color w:val="auto"/>
          <w:szCs w:val="21"/>
          <w:highlight w:val="none"/>
        </w:rPr>
      </w:pPr>
      <w:r>
        <w:rPr>
          <w:rFonts w:ascii="Times New Roman" w:hAnsi="Times New Roman"/>
          <w:color w:val="auto"/>
          <w:highlight w:val="none"/>
        </w:rPr>
        <w:t>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p>
    <w:p>
      <w:pPr>
        <w:spacing w:line="440" w:lineRule="exact"/>
        <w:ind w:firstLine="420" w:firstLineChars="20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ind w:firstLine="420" w:firstLineChars="200"/>
        <w:rPr>
          <w:rFonts w:ascii="Times New Roman" w:hAnsi="Times New Roman"/>
          <w:color w:val="auto"/>
          <w:szCs w:val="21"/>
          <w:highlight w:val="none"/>
        </w:rPr>
      </w:pPr>
    </w:p>
    <w:p>
      <w:pPr>
        <w:spacing w:line="440" w:lineRule="exact"/>
        <w:rPr>
          <w:rFonts w:ascii="Times New Roman" w:hAnsi="Times New Roman"/>
          <w:color w:val="auto"/>
          <w:szCs w:val="21"/>
          <w:highlight w:val="none"/>
        </w:rPr>
      </w:pPr>
    </w:p>
    <w:p>
      <w:pPr>
        <w:widowControl/>
        <w:jc w:val="left"/>
        <w:rPr>
          <w:rFonts w:ascii="Times New Roman" w:hAnsi="Times New Roman"/>
          <w:color w:val="auto"/>
          <w:highlight w:val="none"/>
        </w:rPr>
      </w:pPr>
      <w:bookmarkStart w:id="657" w:name="_Toc89870639"/>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widowControl/>
        <w:jc w:val="left"/>
        <w:rPr>
          <w:rFonts w:ascii="Times New Roman" w:hAnsi="Times New Roman"/>
          <w:color w:val="auto"/>
          <w:highlight w:val="none"/>
        </w:rPr>
      </w:pPr>
    </w:p>
    <w:p>
      <w:pPr>
        <w:pStyle w:val="14"/>
        <w:spacing w:before="240" w:after="240" w:line="360" w:lineRule="auto"/>
        <w:jc w:val="center"/>
        <w:rPr>
          <w:rFonts w:hAnsi="宋体"/>
          <w:bCs/>
          <w:color w:val="auto"/>
          <w:highlight w:val="none"/>
        </w:rPr>
      </w:pPr>
      <w:r>
        <w:rPr>
          <w:rFonts w:hint="eastAsia" w:hAnsi="宋体"/>
          <w:b/>
          <w:bCs/>
          <w:color w:val="auto"/>
          <w:sz w:val="36"/>
          <w:szCs w:val="44"/>
          <w:highlight w:val="none"/>
        </w:rPr>
        <w:t>(三)投标报价书</w:t>
      </w:r>
    </w:p>
    <w:p>
      <w:pPr>
        <w:pStyle w:val="14"/>
        <w:spacing w:before="240" w:after="240"/>
        <w:ind w:firstLine="420" w:firstLineChars="200"/>
        <w:rPr>
          <w:rFonts w:hAnsi="宋体"/>
          <w:color w:val="auto"/>
          <w:kern w:val="28"/>
          <w:szCs w:val="21"/>
          <w:highlight w:val="none"/>
        </w:rPr>
      </w:pPr>
      <w:r>
        <w:rPr>
          <w:rFonts w:hAnsi="宋体"/>
          <w:color w:val="auto"/>
          <w:kern w:val="28"/>
          <w:szCs w:val="21"/>
          <w:highlight w:val="none"/>
        </w:rPr>
        <w:t>1．我方已仔细研究了</w:t>
      </w:r>
      <w:r>
        <w:rPr>
          <w:rFonts w:hint="eastAsia" w:hAnsi="宋体" w:cs="宋体"/>
          <w:color w:val="auto"/>
          <w:szCs w:val="21"/>
          <w:highlight w:val="none"/>
        </w:rPr>
        <w:t>本项目</w:t>
      </w:r>
      <w:r>
        <w:rPr>
          <w:rFonts w:hint="eastAsia" w:hAnsi="宋体"/>
          <w:color w:val="auto"/>
          <w:kern w:val="28"/>
          <w:szCs w:val="21"/>
          <w:highlight w:val="none"/>
        </w:rPr>
        <w:t>招标文件的全部内容，愿意参与投标。</w:t>
      </w:r>
    </w:p>
    <w:p>
      <w:pPr>
        <w:pStyle w:val="14"/>
        <w:spacing w:before="240" w:after="240"/>
        <w:ind w:firstLine="420" w:firstLineChars="200"/>
        <w:rPr>
          <w:rFonts w:hAnsi="宋体"/>
          <w:color w:val="auto"/>
          <w:kern w:val="28"/>
          <w:szCs w:val="21"/>
          <w:highlight w:val="none"/>
        </w:rPr>
      </w:pPr>
      <w:r>
        <w:rPr>
          <w:rFonts w:hint="eastAsia" w:hAnsi="宋体"/>
          <w:color w:val="auto"/>
          <w:kern w:val="28"/>
          <w:szCs w:val="21"/>
          <w:highlight w:val="none"/>
        </w:rPr>
        <w:t>投标报价如下：</w:t>
      </w:r>
    </w:p>
    <w:tbl>
      <w:tblPr>
        <w:tblStyle w:val="24"/>
        <w:tblpPr w:leftFromText="180" w:rightFromText="180" w:vertAnchor="text" w:horzAnchor="margin" w:tblpY="336"/>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216"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422" w:firstLineChars="200"/>
              <w:rPr>
                <w:rFonts w:hAnsi="宋体" w:cs="宋体"/>
                <w:b/>
                <w:bCs/>
                <w:color w:val="auto"/>
                <w:szCs w:val="21"/>
                <w:highlight w:val="none"/>
                <w:lang w:val="zh-CN"/>
              </w:rPr>
            </w:pPr>
            <w:r>
              <w:rPr>
                <w:rFonts w:hint="eastAsia" w:hAnsi="宋体" w:cs="宋体"/>
                <w:b/>
                <w:bCs/>
                <w:color w:val="auto"/>
                <w:szCs w:val="21"/>
                <w:highlight w:val="none"/>
                <w:lang w:val="zh-CN"/>
              </w:rPr>
              <w:t>项</w:t>
            </w:r>
            <w:r>
              <w:rPr>
                <w:rFonts w:hAnsi="宋体" w:cs="宋体"/>
                <w:b/>
                <w:bCs/>
                <w:color w:val="auto"/>
                <w:szCs w:val="21"/>
                <w:highlight w:val="none"/>
                <w:lang w:val="zh-CN"/>
              </w:rPr>
              <w:t xml:space="preserve"> </w:t>
            </w:r>
            <w:r>
              <w:rPr>
                <w:rFonts w:hint="eastAsia" w:hAnsi="宋体" w:cs="宋体"/>
                <w:b/>
                <w:bCs/>
                <w:color w:val="auto"/>
                <w:szCs w:val="21"/>
                <w:highlight w:val="none"/>
                <w:lang w:val="zh-CN"/>
              </w:rPr>
              <w:t>目</w:t>
            </w:r>
            <w:r>
              <w:rPr>
                <w:rFonts w:hAnsi="宋体" w:cs="宋体"/>
                <w:b/>
                <w:bCs/>
                <w:color w:val="auto"/>
                <w:szCs w:val="21"/>
                <w:highlight w:val="none"/>
                <w:lang w:val="zh-CN"/>
              </w:rPr>
              <w:t xml:space="preserve"> </w:t>
            </w:r>
            <w:r>
              <w:rPr>
                <w:rFonts w:hint="eastAsia" w:hAnsi="宋体" w:cs="宋体"/>
                <w:b/>
                <w:bCs/>
                <w:color w:val="auto"/>
                <w:szCs w:val="21"/>
                <w:highlight w:val="none"/>
                <w:lang w:val="zh-CN"/>
              </w:rPr>
              <w:t>名</w:t>
            </w:r>
            <w:r>
              <w:rPr>
                <w:rFonts w:hAnsi="宋体" w:cs="宋体"/>
                <w:b/>
                <w:bCs/>
                <w:color w:val="auto"/>
                <w:szCs w:val="21"/>
                <w:highlight w:val="none"/>
                <w:lang w:val="zh-CN"/>
              </w:rPr>
              <w:t xml:space="preserve"> </w:t>
            </w:r>
            <w:r>
              <w:rPr>
                <w:rFonts w:hint="eastAsia" w:hAnsi="宋体" w:cs="宋体"/>
                <w:b/>
                <w:bCs/>
                <w:color w:val="auto"/>
                <w:szCs w:val="21"/>
                <w:highlight w:val="none"/>
                <w:lang w:val="zh-CN"/>
              </w:rPr>
              <w:t>称</w:t>
            </w:r>
          </w:p>
        </w:tc>
        <w:tc>
          <w:tcPr>
            <w:tcW w:w="6223" w:type="dxa"/>
            <w:tcBorders>
              <w:top w:val="single" w:color="auto" w:sz="4" w:space="0"/>
              <w:left w:val="single" w:color="auto" w:sz="4" w:space="0"/>
              <w:bottom w:val="single" w:color="auto" w:sz="4" w:space="0"/>
              <w:right w:val="single" w:color="auto" w:sz="4" w:space="0"/>
            </w:tcBorders>
            <w:vAlign w:val="center"/>
          </w:tcPr>
          <w:p>
            <w:pPr>
              <w:pStyle w:val="14"/>
              <w:spacing w:line="360" w:lineRule="auto"/>
              <w:ind w:firstLine="422" w:firstLineChars="200"/>
              <w:rPr>
                <w:rFonts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投标下浮率</w:t>
            </w:r>
          </w:p>
          <w:p>
            <w:pPr>
              <w:adjustRightInd w:val="0"/>
              <w:snapToGri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（填正数）</w:t>
            </w:r>
          </w:p>
        </w:tc>
        <w:tc>
          <w:tcPr>
            <w:tcW w:w="62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szCs w:val="21"/>
                <w:highlight w:val="none"/>
                <w:u w:val="single"/>
              </w:rPr>
            </w:pPr>
            <w:r>
              <w:rPr>
                <w:rFonts w:ascii="宋体" w:hAnsi="宋体" w:cs="Courier New"/>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投标总报价</w:t>
            </w:r>
          </w:p>
          <w:p>
            <w:pPr>
              <w:adjustRightInd w:val="0"/>
              <w:snapToGri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（保留</w:t>
            </w:r>
            <w:r>
              <w:rPr>
                <w:rFonts w:ascii="宋体" w:hAnsi="宋体" w:cs="宋体"/>
                <w:b/>
                <w:bCs/>
                <w:color w:val="auto"/>
                <w:szCs w:val="21"/>
                <w:highlight w:val="none"/>
                <w:lang w:val="zh-CN"/>
              </w:rPr>
              <w:t>2位小数）</w:t>
            </w:r>
          </w:p>
        </w:tc>
        <w:tc>
          <w:tcPr>
            <w:tcW w:w="6223" w:type="dxa"/>
            <w:tcBorders>
              <w:top w:val="single" w:color="auto" w:sz="4" w:space="0"/>
              <w:left w:val="single" w:color="auto" w:sz="4" w:space="0"/>
              <w:right w:val="single" w:color="auto" w:sz="4" w:space="0"/>
            </w:tcBorders>
            <w:vAlign w:val="center"/>
          </w:tcPr>
          <w:p>
            <w:pPr>
              <w:adjustRightInd w:val="0"/>
              <w:snapToGrid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大写：</w:t>
            </w:r>
            <w:r>
              <w:rPr>
                <w:rFonts w:ascii="宋体" w:hAnsi="宋体" w:cs="宋体"/>
                <w:b/>
                <w:bCs/>
                <w:color w:val="auto"/>
                <w:szCs w:val="21"/>
                <w:highlight w:val="none"/>
                <w:lang w:val="zh-CN"/>
              </w:rPr>
              <w:t xml:space="preserve">            </w:t>
            </w:r>
            <w:r>
              <w:rPr>
                <w:rFonts w:hint="eastAsia" w:ascii="宋体" w:hAnsi="宋体" w:cs="宋体"/>
                <w:b/>
                <w:bCs/>
                <w:color w:val="auto"/>
                <w:szCs w:val="21"/>
                <w:highlight w:val="none"/>
                <w:lang w:val="zh-CN"/>
              </w:rPr>
              <w:t>，小写：</w:t>
            </w:r>
            <w:r>
              <w:rPr>
                <w:rFonts w:ascii="宋体" w:hAnsi="宋体" w:cs="宋体"/>
                <w:b/>
                <w:bCs/>
                <w:color w:val="auto"/>
                <w:szCs w:val="21"/>
                <w:highlight w:val="none"/>
                <w:lang w:val="zh-CN"/>
              </w:rPr>
              <w:t xml:space="preserve">            </w:t>
            </w:r>
            <w:r>
              <w:rPr>
                <w:rFonts w:hint="eastAsia" w:ascii="宋体" w:hAnsi="宋体" w:cs="宋体"/>
                <w:b/>
                <w:bCs/>
                <w:color w:val="auto"/>
                <w:szCs w:val="21"/>
                <w:highlight w:val="none"/>
                <w:lang w:val="en-US" w:eastAsia="zh-CN"/>
              </w:rPr>
              <w:t>万</w:t>
            </w:r>
            <w:r>
              <w:rPr>
                <w:rFonts w:hint="eastAsia" w:ascii="宋体" w:hAnsi="宋体" w:cs="宋体"/>
                <w:b/>
                <w:bCs/>
                <w:color w:val="auto"/>
                <w:szCs w:val="21"/>
                <w:highlight w:val="none"/>
                <w:lang w:val="zh-CN"/>
              </w:rPr>
              <w:t>元</w:t>
            </w:r>
          </w:p>
        </w:tc>
      </w:tr>
    </w:tbl>
    <w:p>
      <w:pPr>
        <w:pStyle w:val="22"/>
        <w:spacing w:after="0" w:line="360" w:lineRule="auto"/>
        <w:ind w:firstLine="210"/>
        <w:rPr>
          <w:rFonts w:ascii="宋体" w:hAnsi="宋体"/>
          <w:color w:val="auto"/>
          <w:szCs w:val="21"/>
          <w:highlight w:val="none"/>
        </w:rPr>
      </w:pPr>
    </w:p>
    <w:p>
      <w:pPr>
        <w:pStyle w:val="14"/>
        <w:adjustRightInd w:val="0"/>
        <w:snapToGrid w:val="0"/>
        <w:spacing w:before="240" w:after="240" w:line="360" w:lineRule="auto"/>
        <w:jc w:val="right"/>
        <w:rPr>
          <w:rFonts w:hAnsi="宋体"/>
          <w:b/>
          <w:bCs/>
          <w:color w:val="auto"/>
          <w:szCs w:val="21"/>
          <w:highlight w:val="none"/>
        </w:rPr>
      </w:pPr>
    </w:p>
    <w:p>
      <w:pPr>
        <w:rPr>
          <w:rFonts w:hAnsi="宋体"/>
          <w:b/>
          <w:bCs/>
          <w:color w:val="auto"/>
          <w:szCs w:val="21"/>
          <w:highlight w:val="none"/>
        </w:rPr>
      </w:pPr>
    </w:p>
    <w:p>
      <w:pPr>
        <w:pStyle w:val="14"/>
        <w:rPr>
          <w:color w:val="auto"/>
          <w:highlight w:val="none"/>
        </w:rPr>
      </w:pPr>
    </w:p>
    <w:p>
      <w:pPr>
        <w:pStyle w:val="14"/>
        <w:adjustRightInd w:val="0"/>
        <w:snapToGrid w:val="0"/>
        <w:spacing w:before="240" w:after="240" w:line="360" w:lineRule="auto"/>
        <w:jc w:val="right"/>
        <w:rPr>
          <w:rFonts w:hAnsi="宋体"/>
          <w:b/>
          <w:bCs/>
          <w:color w:val="auto"/>
          <w:szCs w:val="21"/>
          <w:highlight w:val="none"/>
        </w:rPr>
      </w:pPr>
      <w:r>
        <w:rPr>
          <w:rFonts w:hint="eastAsia" w:hAnsi="宋体"/>
          <w:b/>
          <w:bCs/>
          <w:color w:val="auto"/>
          <w:szCs w:val="21"/>
          <w:highlight w:val="none"/>
        </w:rPr>
        <w:t>投标人（全称）：</w:t>
      </w:r>
      <w:r>
        <w:rPr>
          <w:rFonts w:hAnsi="宋体"/>
          <w:b/>
          <w:bCs/>
          <w:color w:val="auto"/>
          <w:szCs w:val="21"/>
          <w:highlight w:val="none"/>
        </w:rPr>
        <w:t xml:space="preserve"> </w:t>
      </w:r>
      <w:r>
        <w:rPr>
          <w:rFonts w:hint="eastAsia" w:hAnsi="宋体"/>
          <w:b/>
          <w:bCs/>
          <w:color w:val="auto"/>
          <w:szCs w:val="21"/>
          <w:highlight w:val="none"/>
        </w:rPr>
        <w:t>（盖公章）</w:t>
      </w:r>
    </w:p>
    <w:p>
      <w:pPr>
        <w:pStyle w:val="14"/>
        <w:adjustRightInd w:val="0"/>
        <w:snapToGrid w:val="0"/>
        <w:spacing w:before="240" w:after="240" w:line="360" w:lineRule="auto"/>
        <w:jc w:val="right"/>
        <w:rPr>
          <w:rFonts w:hAnsi="宋体"/>
          <w:b/>
          <w:bCs/>
          <w:color w:val="auto"/>
          <w:szCs w:val="21"/>
          <w:highlight w:val="none"/>
        </w:rPr>
      </w:pPr>
      <w:r>
        <w:rPr>
          <w:rFonts w:hint="eastAsia" w:hAnsi="宋体"/>
          <w:b/>
          <w:bCs/>
          <w:color w:val="auto"/>
          <w:szCs w:val="21"/>
          <w:highlight w:val="none"/>
        </w:rPr>
        <w:t>法定代表人或授权委托代理人：（签字或盖章）</w:t>
      </w:r>
    </w:p>
    <w:p>
      <w:pPr>
        <w:spacing w:before="240" w:after="240" w:line="480" w:lineRule="auto"/>
        <w:jc w:val="right"/>
        <w:outlineLvl w:val="2"/>
        <w:rPr>
          <w:rFonts w:ascii="宋体" w:hAnsi="宋体"/>
          <w:b/>
          <w:color w:val="auto"/>
          <w:sz w:val="30"/>
          <w:szCs w:val="30"/>
          <w:highlight w:val="none"/>
        </w:rPr>
      </w:pPr>
      <w:r>
        <w:rPr>
          <w:rFonts w:hint="eastAsia" w:ascii="宋体" w:hAnsi="宋体"/>
          <w:b/>
          <w:bCs/>
          <w:color w:val="auto"/>
          <w:szCs w:val="21"/>
          <w:highlight w:val="none"/>
        </w:rPr>
        <w:t>日期：</w:t>
      </w:r>
      <w:r>
        <w:rPr>
          <w:rFonts w:ascii="宋体" w:hAnsi="宋体"/>
          <w:b/>
          <w:bCs/>
          <w:color w:val="auto"/>
          <w:szCs w:val="21"/>
          <w:highlight w:val="none"/>
        </w:rPr>
        <w:t xml:space="preserve">    年   月    日 </w:t>
      </w:r>
    </w:p>
    <w:p>
      <w:pPr>
        <w:widowControl/>
        <w:jc w:val="left"/>
        <w:rPr>
          <w:rFonts w:ascii="Times New Roman" w:hAnsi="Times New Roman" w:eastAsia="黑体"/>
          <w:b/>
          <w:color w:val="auto"/>
          <w:sz w:val="32"/>
          <w:szCs w:val="20"/>
          <w:highlight w:val="none"/>
        </w:rPr>
      </w:pPr>
      <w:r>
        <w:rPr>
          <w:rFonts w:ascii="Times New Roman" w:hAnsi="Times New Roman"/>
          <w:color w:val="auto"/>
          <w:highlight w:val="none"/>
        </w:rPr>
        <w:br w:type="page"/>
      </w:r>
    </w:p>
    <w:p>
      <w:pPr>
        <w:pStyle w:val="2"/>
        <w:keepNext w:val="0"/>
        <w:keepLines w:val="0"/>
        <w:spacing w:before="0" w:after="0"/>
        <w:ind w:firstLine="643" w:firstLineChars="200"/>
        <w:rPr>
          <w:rFonts w:ascii="Times New Roman" w:hAnsi="Times New Roman"/>
          <w:color w:val="auto"/>
          <w:sz w:val="20"/>
          <w:highlight w:val="none"/>
        </w:rPr>
      </w:pPr>
      <w:r>
        <w:rPr>
          <w:rFonts w:ascii="Times New Roman" w:hAnsi="Times New Roman"/>
          <w:color w:val="auto"/>
          <w:highlight w:val="none"/>
        </w:rPr>
        <w:t>二</w:t>
      </w:r>
      <w:bookmarkEnd w:id="646"/>
      <w:bookmarkEnd w:id="647"/>
      <w:bookmarkEnd w:id="648"/>
      <w:bookmarkEnd w:id="649"/>
      <w:bookmarkEnd w:id="650"/>
      <w:bookmarkEnd w:id="651"/>
      <w:bookmarkEnd w:id="652"/>
      <w:bookmarkEnd w:id="653"/>
      <w:bookmarkEnd w:id="654"/>
      <w:bookmarkEnd w:id="655"/>
      <w:bookmarkEnd w:id="656"/>
      <w:r>
        <w:rPr>
          <w:rFonts w:ascii="Times New Roman" w:hAnsi="Times New Roman"/>
          <w:color w:val="auto"/>
          <w:highlight w:val="none"/>
        </w:rPr>
        <w:t>、法定代表人身份证明</w:t>
      </w:r>
      <w:bookmarkEnd w:id="657"/>
    </w:p>
    <w:p>
      <w:pPr>
        <w:spacing w:line="440" w:lineRule="exact"/>
        <w:ind w:firstLine="420" w:firstLineChars="200"/>
        <w:rPr>
          <w:rFonts w:ascii="Times New Roman" w:hAnsi="Times New Roman"/>
          <w:color w:val="auto"/>
          <w:highlight w:val="none"/>
        </w:rPr>
      </w:pPr>
    </w:p>
    <w:p>
      <w:pPr>
        <w:spacing w:line="360" w:lineRule="auto"/>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投标人名称：</w:t>
      </w:r>
      <w:r>
        <w:rPr>
          <w:rFonts w:ascii="Times New Roman" w:hAnsi="Times New Roman"/>
          <w:color w:val="auto"/>
          <w:sz w:val="24"/>
          <w:szCs w:val="24"/>
          <w:highlight w:val="none"/>
          <w:u w:val="single"/>
        </w:rPr>
        <w:t xml:space="preserve">                                                    </w:t>
      </w:r>
    </w:p>
    <w:p>
      <w:pPr>
        <w:pStyle w:val="14"/>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姓名：</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性别：</w:t>
      </w:r>
      <w:bookmarkStart w:id="658" w:name="_Toc369531698"/>
      <w:bookmarkStart w:id="659" w:name="_Toc27897"/>
      <w:bookmarkStart w:id="660" w:name="_Toc352691662"/>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bookmarkEnd w:id="658"/>
      <w:bookmarkEnd w:id="659"/>
      <w:bookmarkEnd w:id="660"/>
      <w:r>
        <w:rPr>
          <w:rFonts w:ascii="Times New Roman" w:hAnsi="Times New Roman"/>
          <w:color w:val="auto"/>
          <w:sz w:val="24"/>
          <w:szCs w:val="24"/>
          <w:highlight w:val="none"/>
        </w:rPr>
        <w:t>龄</w:t>
      </w:r>
      <w:bookmarkStart w:id="661" w:name="_Toc247514248"/>
      <w:bookmarkStart w:id="662" w:name="_Toc361508754"/>
      <w:bookmarkStart w:id="663" w:name="_Toc152042578"/>
      <w:bookmarkStart w:id="664" w:name="_Toc247527829"/>
      <w:bookmarkStart w:id="665" w:name="_Toc384308377"/>
      <w:bookmarkStart w:id="666" w:name="_Toc300835211"/>
      <w:bookmarkStart w:id="667" w:name="_Toc352691663"/>
      <w:bookmarkStart w:id="668" w:name="_Toc15573"/>
      <w:bookmarkStart w:id="669" w:name="_Toc144974858"/>
      <w:bookmarkStart w:id="670" w:name="_Toc152045789"/>
      <w:bookmarkStart w:id="671" w:name="_Toc369531699"/>
      <w:r>
        <w:rPr>
          <w:rFonts w:ascii="Times New Roman" w:hAnsi="Times New Roman"/>
          <w:color w:val="auto"/>
          <w:sz w:val="24"/>
          <w:szCs w:val="24"/>
          <w:highlight w:val="none"/>
        </w:rPr>
        <w:t>：</w:t>
      </w:r>
      <w:bookmarkEnd w:id="661"/>
      <w:bookmarkEnd w:id="662"/>
      <w:bookmarkEnd w:id="663"/>
      <w:bookmarkEnd w:id="664"/>
      <w:bookmarkEnd w:id="665"/>
      <w:bookmarkEnd w:id="666"/>
      <w:bookmarkEnd w:id="667"/>
      <w:bookmarkEnd w:id="668"/>
      <w:bookmarkEnd w:id="669"/>
      <w:bookmarkEnd w:id="670"/>
      <w:bookmarkEnd w:id="671"/>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职务：</w:t>
      </w:r>
      <w:r>
        <w:rPr>
          <w:rFonts w:ascii="Times New Roman" w:hAnsi="Times New Roman"/>
          <w:color w:val="auto"/>
          <w:sz w:val="24"/>
          <w:szCs w:val="24"/>
          <w:highlight w:val="none"/>
          <w:u w:val="single"/>
        </w:rPr>
        <w:t xml:space="preserve">        </w:t>
      </w:r>
    </w:p>
    <w:p>
      <w:pPr>
        <w:pStyle w:val="14"/>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系</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（投标人名称）的法定代表人。</w:t>
      </w:r>
    </w:p>
    <w:p>
      <w:pPr>
        <w:pStyle w:val="14"/>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特此证明。</w:t>
      </w:r>
    </w:p>
    <w:p>
      <w:pPr>
        <w:spacing w:line="360" w:lineRule="auto"/>
        <w:ind w:firstLine="480" w:firstLineChars="200"/>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附：法定代表人身份证复印件。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注：本身份证明需由投标人加盖单位公章。</w:t>
      </w:r>
    </w:p>
    <w:p>
      <w:pPr>
        <w:spacing w:line="360" w:lineRule="auto"/>
        <w:ind w:firstLine="480" w:firstLineChars="200"/>
        <w:rPr>
          <w:rFonts w:ascii="Times New Roman" w:hAnsi="Times New Roman"/>
          <w:color w:val="auto"/>
          <w:sz w:val="24"/>
          <w:szCs w:val="24"/>
          <w:highlight w:val="none"/>
        </w:rPr>
      </w:pPr>
    </w:p>
    <w:p>
      <w:pPr>
        <w:spacing w:line="360" w:lineRule="auto"/>
        <w:ind w:firstLine="480" w:firstLineChars="200"/>
        <w:rPr>
          <w:rFonts w:ascii="Times New Roman" w:hAnsi="Times New Roman"/>
          <w:color w:val="auto"/>
          <w:sz w:val="24"/>
          <w:szCs w:val="24"/>
          <w:highlight w:val="none"/>
        </w:rPr>
      </w:pPr>
    </w:p>
    <w:p>
      <w:pPr>
        <w:spacing w:line="360" w:lineRule="auto"/>
        <w:ind w:firstLine="480" w:firstLineChars="200"/>
        <w:jc w:val="right"/>
        <w:rPr>
          <w:rFonts w:ascii="Times New Roman" w:hAnsi="Times New Roman"/>
          <w:color w:val="auto"/>
          <w:sz w:val="24"/>
          <w:szCs w:val="24"/>
          <w:highlight w:val="none"/>
        </w:rPr>
      </w:pPr>
      <w:r>
        <w:rPr>
          <w:rFonts w:ascii="Times New Roman" w:hAnsi="Times New Roman"/>
          <w:color w:val="auto"/>
          <w:sz w:val="24"/>
          <w:szCs w:val="24"/>
          <w:highlight w:val="none"/>
        </w:rPr>
        <w:t xml:space="preserve">                              投标人：</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ab/>
      </w:r>
      <w:r>
        <w:rPr>
          <w:rFonts w:ascii="Times New Roman" w:hAnsi="Times New Roman"/>
          <w:color w:val="auto"/>
          <w:sz w:val="24"/>
          <w:szCs w:val="24"/>
          <w:highlight w:val="none"/>
        </w:rPr>
        <w:t>（</w:t>
      </w:r>
      <w:r>
        <w:rPr>
          <w:rFonts w:hint="eastAsia" w:ascii="Times New Roman" w:hAnsi="Times New Roman"/>
          <w:color w:val="auto"/>
          <w:sz w:val="24"/>
          <w:szCs w:val="24"/>
          <w:highlight w:val="none"/>
        </w:rPr>
        <w:t>盖</w:t>
      </w:r>
      <w:r>
        <w:rPr>
          <w:rFonts w:ascii="Times New Roman" w:hAnsi="Times New Roman"/>
          <w:color w:val="auto"/>
          <w:sz w:val="24"/>
          <w:szCs w:val="24"/>
          <w:highlight w:val="none"/>
        </w:rPr>
        <w:t>单位</w:t>
      </w:r>
      <w:r>
        <w:rPr>
          <w:rFonts w:hint="eastAsia" w:ascii="Times New Roman" w:hAnsi="Times New Roman"/>
          <w:color w:val="auto"/>
          <w:sz w:val="24"/>
          <w:szCs w:val="24"/>
          <w:highlight w:val="none"/>
        </w:rPr>
        <w:t>章</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p>
    <w:p>
      <w:pPr>
        <w:spacing w:line="360" w:lineRule="auto"/>
        <w:ind w:firstLine="480" w:firstLineChars="200"/>
        <w:jc w:val="right"/>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pPr>
        <w:spacing w:line="360" w:lineRule="auto"/>
        <w:ind w:firstLine="480" w:firstLineChars="200"/>
        <w:rPr>
          <w:rFonts w:ascii="Times New Roman" w:hAnsi="Times New Roman" w:eastAsia="黑体"/>
          <w:color w:val="auto"/>
          <w:sz w:val="24"/>
          <w:szCs w:val="24"/>
          <w:highlight w:val="none"/>
        </w:rPr>
      </w:pPr>
    </w:p>
    <w:p>
      <w:pPr>
        <w:spacing w:line="360" w:lineRule="auto"/>
        <w:ind w:firstLine="400" w:firstLineChars="200"/>
        <w:rPr>
          <w:rFonts w:ascii="Times New Roman" w:hAnsi="Times New Roman" w:eastAsia="黑体"/>
          <w:color w:val="auto"/>
          <w:sz w:val="20"/>
          <w:highlight w:val="none"/>
        </w:rPr>
      </w:pPr>
    </w:p>
    <w:p>
      <w:pPr>
        <w:spacing w:line="440" w:lineRule="exact"/>
        <w:ind w:firstLine="400" w:firstLineChars="200"/>
        <w:rPr>
          <w:rFonts w:ascii="Times New Roman" w:hAnsi="Times New Roman" w:eastAsia="黑体"/>
          <w:color w:val="auto"/>
          <w:sz w:val="20"/>
          <w:highlight w:val="none"/>
        </w:rPr>
      </w:pPr>
    </w:p>
    <w:p>
      <w:pPr>
        <w:spacing w:line="440" w:lineRule="exact"/>
        <w:ind w:firstLine="400" w:firstLineChars="200"/>
        <w:rPr>
          <w:rFonts w:ascii="Times New Roman" w:hAnsi="Times New Roman" w:eastAsia="黑体"/>
          <w:color w:val="auto"/>
          <w:sz w:val="20"/>
          <w:highlight w:val="none"/>
        </w:rPr>
      </w:pPr>
    </w:p>
    <w:p>
      <w:pPr>
        <w:spacing w:line="440" w:lineRule="exact"/>
        <w:ind w:firstLine="400" w:firstLineChars="200"/>
        <w:rPr>
          <w:rFonts w:ascii="Times New Roman" w:hAnsi="Times New Roman" w:eastAsia="黑体"/>
          <w:color w:val="auto"/>
          <w:sz w:val="20"/>
          <w:highlight w:val="none"/>
        </w:rPr>
      </w:pPr>
    </w:p>
    <w:p>
      <w:pPr>
        <w:pStyle w:val="2"/>
        <w:keepNext w:val="0"/>
        <w:keepLines w:val="0"/>
        <w:spacing w:before="0" w:after="0"/>
        <w:jc w:val="center"/>
        <w:rPr>
          <w:rFonts w:ascii="Times New Roman" w:hAnsi="Times New Roman"/>
          <w:color w:val="auto"/>
          <w:highlight w:val="none"/>
        </w:rPr>
      </w:pPr>
      <w:r>
        <w:rPr>
          <w:rFonts w:ascii="Times New Roman" w:hAnsi="Times New Roman"/>
          <w:color w:val="auto"/>
          <w:highlight w:val="none"/>
        </w:rPr>
        <w:br w:type="page"/>
      </w:r>
      <w:bookmarkStart w:id="672" w:name="_Toc89870640"/>
      <w:r>
        <w:rPr>
          <w:rFonts w:ascii="Times New Roman" w:hAnsi="Times New Roman"/>
          <w:color w:val="auto"/>
          <w:highlight w:val="none"/>
        </w:rPr>
        <w:t>授权委托书</w:t>
      </w:r>
      <w:bookmarkEnd w:id="672"/>
    </w:p>
    <w:p>
      <w:pPr>
        <w:spacing w:line="440" w:lineRule="exact"/>
        <w:ind w:firstLine="420" w:firstLineChars="200"/>
        <w:rPr>
          <w:rFonts w:ascii="Times New Roman" w:hAnsi="Times New Roman" w:eastAsia="黑体"/>
          <w:color w:val="auto"/>
          <w:highlight w:val="none"/>
        </w:rPr>
      </w:pPr>
    </w:p>
    <w:p>
      <w:pPr>
        <w:topLinePunct/>
        <w:spacing w:line="360" w:lineRule="auto"/>
        <w:ind w:firstLine="420" w:firstLineChars="200"/>
        <w:rPr>
          <w:rFonts w:ascii="Times New Roman" w:hAnsi="Times New Roman"/>
          <w:color w:val="auto"/>
          <w:highlight w:val="none"/>
        </w:rPr>
      </w:pPr>
      <w:r>
        <w:rPr>
          <w:rFonts w:ascii="Times New Roman" w:hAnsi="Times New Roman"/>
          <w:color w:val="auto"/>
          <w:highlight w:val="none"/>
        </w:rPr>
        <w:t>本人</w:t>
      </w:r>
      <w:r>
        <w:rPr>
          <w:rFonts w:ascii="Times New Roman" w:hAnsi="Times New Roman"/>
          <w:color w:val="auto"/>
          <w:highlight w:val="none"/>
          <w:u w:val="single"/>
        </w:rPr>
        <w:t xml:space="preserve">              </w:t>
      </w:r>
      <w:r>
        <w:rPr>
          <w:rFonts w:ascii="Times New Roman" w:hAnsi="Times New Roman"/>
          <w:color w:val="auto"/>
          <w:highlight w:val="none"/>
        </w:rPr>
        <w:t>（姓名）系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（投标人名称）的法定代表人，现委托</w:t>
      </w:r>
      <w:r>
        <w:rPr>
          <w:rFonts w:ascii="Times New Roman" w:hAnsi="Times New Roman"/>
          <w:color w:val="auto"/>
          <w:highlight w:val="none"/>
          <w:u w:val="single"/>
        </w:rPr>
        <w:t xml:space="preserve">            （姓名）</w:t>
      </w:r>
      <w:r>
        <w:rPr>
          <w:rFonts w:ascii="Times New Roman" w:hAnsi="Times New Roman"/>
          <w:color w:val="auto"/>
          <w:highlight w:val="none"/>
        </w:rPr>
        <w:t>为我方代理人。代理人根据授权，以我方名义签署、澄清确认、递交、撤回、修改监理招标项目投标文件、签订合同和处理有关事宜，其法律后果由我方承担。</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委托期限：</w:t>
      </w:r>
      <w:r>
        <w:rPr>
          <w:rFonts w:ascii="Times New Roman" w:hAnsi="Times New Roman"/>
          <w:color w:val="auto"/>
          <w:highlight w:val="none"/>
          <w:u w:val="single"/>
        </w:rPr>
        <w:t xml:space="preserve">                       </w:t>
      </w:r>
      <w:r>
        <w:rPr>
          <w:rFonts w:ascii="Times New Roman" w:hAnsi="Times New Roman"/>
          <w:color w:val="auto"/>
          <w:highlight w:val="none"/>
        </w:rPr>
        <w:t>。</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代理人无转委托权。</w:t>
      </w:r>
    </w:p>
    <w:p>
      <w:pPr>
        <w:spacing w:line="360" w:lineRule="auto"/>
        <w:ind w:firstLine="420" w:firstLineChars="200"/>
        <w:rPr>
          <w:rFonts w:ascii="Times New Roman" w:hAnsi="Times New Roman"/>
          <w:color w:val="auto"/>
          <w:highlight w:val="none"/>
        </w:rPr>
      </w:pP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附：法定代表人身份证复印件及委托代理人身份证复印件</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注：本授权委托书需由投标人加盖单位公章并由其法定代表人和委托代理人签字。</w:t>
      </w:r>
    </w:p>
    <w:p>
      <w:pPr>
        <w:spacing w:line="360" w:lineRule="auto"/>
        <w:ind w:firstLine="420" w:firstLineChars="200"/>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投  标  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w:t>
      </w:r>
      <w:r>
        <w:rPr>
          <w:rFonts w:hint="eastAsia" w:ascii="Times New Roman" w:hAnsi="Times New Roman"/>
          <w:color w:val="auto"/>
          <w:highlight w:val="none"/>
        </w:rPr>
        <w:t>盖</w:t>
      </w:r>
      <w:r>
        <w:rPr>
          <w:rFonts w:ascii="Times New Roman" w:hAnsi="Times New Roman"/>
          <w:color w:val="auto"/>
          <w:highlight w:val="none"/>
        </w:rPr>
        <w:t>单位</w:t>
      </w:r>
      <w:r>
        <w:rPr>
          <w:rFonts w:hint="eastAsia" w:ascii="Times New Roman" w:hAnsi="Times New Roman"/>
          <w:color w:val="auto"/>
          <w:highlight w:val="none"/>
        </w:rPr>
        <w:t>章</w:t>
      </w:r>
      <w:r>
        <w:rPr>
          <w:rFonts w:ascii="Times New Roman" w:hAnsi="Times New Roman"/>
          <w:color w:val="auto"/>
          <w:highlight w:val="none"/>
        </w:rPr>
        <w:t>）</w:t>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法定代表人：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（签字）</w:t>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委托代理人：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（签字）</w:t>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p>
    <w:p>
      <w:pPr>
        <w:spacing w:line="360" w:lineRule="auto"/>
        <w:ind w:firstLine="420" w:firstLineChars="20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360" w:lineRule="auto"/>
        <w:ind w:firstLine="420" w:firstLineChars="200"/>
        <w:rPr>
          <w:rFonts w:ascii="Times New Roman" w:hAnsi="Times New Roman"/>
          <w:color w:val="auto"/>
          <w:highlight w:val="none"/>
        </w:rPr>
      </w:pPr>
    </w:p>
    <w:p>
      <w:pPr>
        <w:pStyle w:val="2"/>
        <w:keepNext w:val="0"/>
        <w:keepLines w:val="0"/>
        <w:spacing w:before="0" w:after="0"/>
        <w:ind w:firstLine="643" w:firstLineChars="200"/>
        <w:rPr>
          <w:color w:val="auto"/>
          <w:highlight w:val="none"/>
        </w:rPr>
      </w:pPr>
      <w:r>
        <w:rPr>
          <w:color w:val="auto"/>
          <w:highlight w:val="none"/>
        </w:rPr>
        <w:br w:type="page"/>
      </w:r>
      <w:bookmarkStart w:id="673" w:name="_Toc89870641"/>
      <w:r>
        <w:rPr>
          <w:rFonts w:hint="eastAsia" w:ascii="Times New Roman" w:hAnsi="Times New Roman"/>
          <w:color w:val="auto"/>
          <w:highlight w:val="none"/>
        </w:rPr>
        <w:t>三、</w:t>
      </w:r>
      <w:bookmarkStart w:id="674" w:name="_Toc247527832"/>
      <w:bookmarkStart w:id="675" w:name="_Toc369531702"/>
      <w:bookmarkStart w:id="676" w:name="_Toc13469"/>
      <w:bookmarkStart w:id="677" w:name="_Toc247514284"/>
      <w:bookmarkStart w:id="678" w:name="_Toc152042581"/>
      <w:bookmarkStart w:id="679" w:name="_Toc152045792"/>
      <w:bookmarkStart w:id="680" w:name="_Toc352691666"/>
      <w:bookmarkStart w:id="681" w:name="_Toc144974861"/>
      <w:bookmarkStart w:id="682" w:name="_Toc384308381"/>
      <w:bookmarkStart w:id="683" w:name="_Toc300835214"/>
      <w:bookmarkStart w:id="684" w:name="_Toc361508757"/>
      <w:r>
        <w:rPr>
          <w:rFonts w:hint="eastAsia" w:ascii="Times New Roman" w:hAnsi="Times New Roman"/>
          <w:color w:val="auto"/>
          <w:highlight w:val="none"/>
        </w:rPr>
        <w:t>投标保证金</w:t>
      </w:r>
      <w:bookmarkEnd w:id="673"/>
    </w:p>
    <w:p>
      <w:pPr>
        <w:spacing w:line="440" w:lineRule="exact"/>
        <w:ind w:firstLine="480" w:firstLineChars="200"/>
        <w:rPr>
          <w:rFonts w:ascii="Times New Roman" w:hAnsi="Times New Roman"/>
          <w:color w:val="auto"/>
          <w:szCs w:val="21"/>
          <w:highlight w:val="none"/>
        </w:rPr>
      </w:pPr>
      <w:r>
        <w:rPr>
          <w:rFonts w:hint="eastAsia" w:ascii="宋体" w:hAnsi="宋体" w:cs="宋体"/>
          <w:color w:val="auto"/>
          <w:sz w:val="24"/>
          <w:szCs w:val="24"/>
          <w:highlight w:val="none"/>
        </w:rPr>
        <w:t>（详见本招标文件第二章投标人须知前附表</w:t>
      </w:r>
      <w:r>
        <w:rPr>
          <w:rFonts w:ascii="宋体" w:hAnsi="宋体" w:cs="宋体"/>
          <w:color w:val="auto"/>
          <w:sz w:val="24"/>
          <w:szCs w:val="24"/>
          <w:highlight w:val="none"/>
        </w:rPr>
        <w:t>3.4.1）</w:t>
      </w:r>
    </w:p>
    <w:p>
      <w:pPr>
        <w:spacing w:line="440" w:lineRule="exact"/>
        <w:ind w:firstLine="420" w:firstLineChars="200"/>
        <w:rPr>
          <w:rFonts w:ascii="Times New Roman" w:hAnsi="Times New Roman"/>
          <w:color w:val="auto"/>
          <w:szCs w:val="21"/>
          <w:highlight w:val="none"/>
        </w:rPr>
        <w:sectPr>
          <w:footerReference r:id="rId4" w:type="default"/>
          <w:pgSz w:w="12240" w:h="15840"/>
          <w:pgMar w:top="1440" w:right="1803" w:bottom="1440" w:left="1803" w:header="720" w:footer="720" w:gutter="0"/>
          <w:cols w:space="720" w:num="1"/>
          <w:docGrid w:linePitch="285" w:charSpace="0"/>
        </w:sectPr>
      </w:pPr>
    </w:p>
    <w:bookmarkEnd w:id="674"/>
    <w:bookmarkEnd w:id="675"/>
    <w:bookmarkEnd w:id="676"/>
    <w:bookmarkEnd w:id="677"/>
    <w:bookmarkEnd w:id="678"/>
    <w:bookmarkEnd w:id="679"/>
    <w:bookmarkEnd w:id="680"/>
    <w:bookmarkEnd w:id="681"/>
    <w:bookmarkEnd w:id="682"/>
    <w:bookmarkEnd w:id="683"/>
    <w:bookmarkEnd w:id="684"/>
    <w:p>
      <w:pPr>
        <w:pStyle w:val="14"/>
        <w:spacing w:line="480" w:lineRule="auto"/>
        <w:ind w:firstLine="640" w:firstLineChars="200"/>
        <w:jc w:val="center"/>
        <w:rPr>
          <w:rFonts w:ascii="黑体" w:hAnsi="黑体" w:eastAsia="黑体" w:cs="华文仿宋"/>
          <w:color w:val="auto"/>
          <w:sz w:val="32"/>
          <w:szCs w:val="32"/>
          <w:highlight w:val="none"/>
        </w:rPr>
      </w:pPr>
      <w:bookmarkStart w:id="685" w:name="_Toc89870642"/>
      <w:r>
        <w:rPr>
          <w:rFonts w:hint="eastAsia" w:ascii="黑体" w:hAnsi="黑体" w:eastAsia="黑体" w:cs="华文仿宋"/>
          <w:color w:val="auto"/>
          <w:sz w:val="32"/>
          <w:szCs w:val="32"/>
          <w:highlight w:val="none"/>
        </w:rPr>
        <w:t>（一）中小企业声明函</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本企业郑重声明，根据《关于印发中小企业划型标准规定的通知》（工信部联企业〔2011〕300号）的规定，本企业具体情况如下：</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本企业属于建筑业行业；营业收入为</w:t>
      </w:r>
      <w:r>
        <w:rPr>
          <w:rFonts w:asciiTheme="majorEastAsia" w:hAnsiTheme="majorEastAsia" w:eastAsiaTheme="majorEastAsia"/>
          <w:color w:val="auto"/>
          <w:szCs w:val="21"/>
          <w:highlight w:val="none"/>
          <w:u w:val="single"/>
        </w:rPr>
        <w:t xml:space="preserve">    </w:t>
      </w:r>
      <w:r>
        <w:rPr>
          <w:rFonts w:hint="eastAsia" w:asciiTheme="majorEastAsia" w:hAnsiTheme="majorEastAsia" w:eastAsiaTheme="majorEastAsia"/>
          <w:color w:val="auto"/>
          <w:szCs w:val="21"/>
          <w:highlight w:val="none"/>
        </w:rPr>
        <w:t>万元，资产总额为</w:t>
      </w:r>
      <w:r>
        <w:rPr>
          <w:rFonts w:asciiTheme="majorEastAsia" w:hAnsiTheme="majorEastAsia" w:eastAsiaTheme="majorEastAsia"/>
          <w:color w:val="auto"/>
          <w:szCs w:val="21"/>
          <w:highlight w:val="none"/>
          <w:u w:val="single"/>
        </w:rPr>
        <w:t xml:space="preserve">    </w:t>
      </w:r>
      <w:r>
        <w:rPr>
          <w:rFonts w:hint="eastAsia" w:asciiTheme="majorEastAsia" w:hAnsiTheme="majorEastAsia" w:eastAsiaTheme="majorEastAsia"/>
          <w:color w:val="auto"/>
          <w:szCs w:val="21"/>
          <w:highlight w:val="none"/>
        </w:rPr>
        <w:t>万元，属于</w:t>
      </w:r>
      <w:r>
        <w:rPr>
          <w:rFonts w:asciiTheme="majorEastAsia" w:hAnsiTheme="majorEastAsia" w:eastAsiaTheme="majorEastAsia"/>
          <w:color w:val="auto"/>
          <w:szCs w:val="21"/>
          <w:highlight w:val="none"/>
          <w:u w:val="single"/>
        </w:rPr>
        <w:t xml:space="preserve">    </w:t>
      </w:r>
      <w:r>
        <w:rPr>
          <w:rFonts w:hint="eastAsia" w:asciiTheme="majorEastAsia" w:hAnsiTheme="majorEastAsia" w:eastAsiaTheme="majorEastAsia"/>
          <w:color w:val="auto"/>
          <w:szCs w:val="21"/>
          <w:highlight w:val="none"/>
        </w:rPr>
        <w:t>（中型企业、小型企业、微型企业）；</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本企业对上述声明内容的真实性负责。如有虚假，将依法承担相应责任。 </w:t>
      </w:r>
    </w:p>
    <w:p>
      <w:pPr>
        <w:pStyle w:val="14"/>
        <w:spacing w:line="560" w:lineRule="exact"/>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企业名称（盖章）：</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日</w:t>
      </w:r>
      <w:r>
        <w:rPr>
          <w:rFonts w:asciiTheme="majorEastAsia" w:hAnsiTheme="majorEastAsia" w:eastAsiaTheme="majorEastAsia"/>
          <w:color w:val="auto"/>
          <w:szCs w:val="21"/>
          <w:highlight w:val="none"/>
        </w:rPr>
        <w:t xml:space="preserve"> </w:t>
      </w:r>
      <w:r>
        <w:rPr>
          <w:rFonts w:hint="eastAsia" w:asciiTheme="majorEastAsia" w:hAnsiTheme="majorEastAsia" w:eastAsiaTheme="majorEastAsia"/>
          <w:color w:val="auto"/>
          <w:szCs w:val="21"/>
          <w:highlight w:val="none"/>
        </w:rPr>
        <w:t>期：</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注：</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1、营业收入、资产总额填报上一年度数据，无上一年度数据的新成立企业可不填报。</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2、《中小企业声明函》须按照本函格式填写，否则评标委员会有权视其为非中小企业，不享受免于提交投标保证金的优惠政策。</w:t>
      </w:r>
    </w:p>
    <w:p>
      <w:pPr>
        <w:pStyle w:val="14"/>
        <w:spacing w:line="560" w:lineRule="exact"/>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3、招标人、招标代理机构将按有关规定公开《中小企业声明函》。</w:t>
      </w:r>
    </w:p>
    <w:p>
      <w:pPr>
        <w:widowControl/>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br w:type="page"/>
      </w:r>
    </w:p>
    <w:p>
      <w:pPr>
        <w:pStyle w:val="14"/>
        <w:ind w:firstLine="640" w:firstLineChars="200"/>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（二）关于投标保证金的承诺</w:t>
      </w:r>
    </w:p>
    <w:p>
      <w:pPr>
        <w:pStyle w:val="14"/>
        <w:spacing w:line="48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p>
    <w:p>
      <w:pPr>
        <w:autoSpaceDE w:val="0"/>
        <w:spacing w:line="48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本招标项目招标人及招标监管机构：</w:t>
      </w:r>
    </w:p>
    <w:p>
      <w:pPr>
        <w:autoSpaceDE w:val="0"/>
        <w:spacing w:line="48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本公司就参加</w:t>
      </w:r>
      <w:r>
        <w:rPr>
          <w:rFonts w:hint="eastAsia" w:asciiTheme="majorEastAsia" w:hAnsiTheme="majorEastAsia" w:eastAsiaTheme="majorEastAsia"/>
          <w:color w:val="auto"/>
          <w:szCs w:val="21"/>
          <w:highlight w:val="none"/>
          <w:u w:val="single"/>
        </w:rPr>
        <w:t xml:space="preserve">      （招标项目名称）     </w:t>
      </w:r>
      <w:r>
        <w:rPr>
          <w:rFonts w:hint="eastAsia" w:asciiTheme="majorEastAsia" w:hAnsiTheme="majorEastAsia" w:eastAsiaTheme="majorEastAsia"/>
          <w:color w:val="auto"/>
          <w:szCs w:val="21"/>
          <w:highlight w:val="none"/>
        </w:rPr>
        <w:t>项目的投标工作，作出郑重声明：</w:t>
      </w:r>
    </w:p>
    <w:p>
      <w:pPr>
        <w:autoSpaceDE w:val="0"/>
        <w:spacing w:line="48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cs="华文仿宋" w:asciiTheme="majorEastAsia" w:hAnsiTheme="majorEastAsia" w:eastAsiaTheme="majorEastAsia"/>
          <w:color w:val="auto"/>
          <w:kern w:val="0"/>
          <w:szCs w:val="21"/>
          <w:highlight w:val="none"/>
        </w:rPr>
        <w:t>一旦发生符合招标文件规定的不予退还投标保证金情形的，将</w:t>
      </w:r>
      <w:r>
        <w:rPr>
          <w:rFonts w:hint="eastAsia" w:asciiTheme="majorEastAsia" w:hAnsiTheme="majorEastAsia" w:eastAsiaTheme="majorEastAsia"/>
          <w:color w:val="auto"/>
          <w:szCs w:val="21"/>
          <w:highlight w:val="none"/>
        </w:rPr>
        <w:t>按照招标人的要求，在规定的时间内向招标人足额补交投标保证金。</w:t>
      </w:r>
    </w:p>
    <w:p>
      <w:pPr>
        <w:autoSpaceDE w:val="0"/>
        <w:spacing w:line="48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本公司违反上述保证的，将被视为虚假承诺，按相关规定进行信用记录。本公司对失信行为产生的一切后果已知悉，并承担由此产生的相应责任。</w:t>
      </w:r>
    </w:p>
    <w:p>
      <w:pPr>
        <w:autoSpaceDE w:val="0"/>
        <w:spacing w:line="48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特此承诺。</w:t>
      </w:r>
    </w:p>
    <w:p>
      <w:pPr>
        <w:autoSpaceDE w:val="0"/>
        <w:spacing w:line="48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p>
    <w:p>
      <w:pPr>
        <w:autoSpaceDE w:val="0"/>
        <w:spacing w:line="48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p>
    <w:p>
      <w:pPr>
        <w:autoSpaceDE w:val="0"/>
        <w:spacing w:line="48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p>
    <w:p>
      <w:pPr>
        <w:autoSpaceDE w:val="0"/>
        <w:spacing w:line="480" w:lineRule="auto"/>
        <w:ind w:firstLine="420" w:firstLineChars="200"/>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                                               投标人：</w:t>
      </w:r>
      <w:r>
        <w:rPr>
          <w:rFonts w:asciiTheme="majorEastAsia" w:hAnsiTheme="majorEastAsia" w:eastAsiaTheme="majorEastAsia"/>
          <w:color w:val="auto"/>
          <w:szCs w:val="21"/>
          <w:highlight w:val="none"/>
        </w:rPr>
        <w:t xml:space="preserve">  </w:t>
      </w:r>
      <w:r>
        <w:rPr>
          <w:rFonts w:hint="eastAsia" w:asciiTheme="majorEastAsia" w:hAnsiTheme="majorEastAsia" w:eastAsiaTheme="majorEastAsia"/>
          <w:color w:val="auto"/>
          <w:szCs w:val="21"/>
          <w:highlight w:val="none"/>
        </w:rPr>
        <w:t>（盖章）</w:t>
      </w:r>
    </w:p>
    <w:p>
      <w:pPr>
        <w:spacing w:line="48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r>
        <w:rPr>
          <w:rFonts w:hint="eastAsia" w:asciiTheme="majorEastAsia" w:hAnsiTheme="majorEastAsia" w:eastAsiaTheme="majorEastAsia"/>
          <w:color w:val="auto"/>
          <w:szCs w:val="21"/>
          <w:highlight w:val="none"/>
        </w:rPr>
        <w:t xml:space="preserve">                                                  日</w:t>
      </w:r>
      <w:r>
        <w:rPr>
          <w:rFonts w:asciiTheme="majorEastAsia" w:hAnsiTheme="majorEastAsia" w:eastAsiaTheme="majorEastAsia"/>
          <w:color w:val="auto"/>
          <w:szCs w:val="21"/>
          <w:highlight w:val="none"/>
        </w:rPr>
        <w:t xml:space="preserve">  </w:t>
      </w:r>
      <w:r>
        <w:rPr>
          <w:rFonts w:hint="eastAsia" w:asciiTheme="majorEastAsia" w:hAnsiTheme="majorEastAsia" w:eastAsiaTheme="majorEastAsia"/>
          <w:color w:val="auto"/>
          <w:szCs w:val="21"/>
          <w:highlight w:val="none"/>
        </w:rPr>
        <w:t>期：</w:t>
      </w:r>
    </w:p>
    <w:p>
      <w:pPr>
        <w:ind w:firstLine="420" w:firstLineChars="200"/>
        <w:rPr>
          <w:rFonts w:ascii="Times New Roman" w:hAnsi="Times New Roman"/>
          <w:color w:val="auto"/>
          <w:highlight w:val="none"/>
        </w:rPr>
      </w:pPr>
    </w:p>
    <w:p>
      <w:pPr>
        <w:widowControl/>
        <w:jc w:val="left"/>
        <w:rPr>
          <w:rFonts w:ascii="Times New Roman" w:hAnsi="Times New Roman" w:eastAsia="黑体"/>
          <w:b/>
          <w:color w:val="auto"/>
          <w:sz w:val="32"/>
          <w:szCs w:val="20"/>
          <w:highlight w:val="none"/>
        </w:rPr>
      </w:pPr>
      <w:r>
        <w:rPr>
          <w:rFonts w:ascii="Times New Roman" w:hAnsi="Times New Roman"/>
          <w:color w:val="auto"/>
          <w:highlight w:val="none"/>
        </w:rPr>
        <w:br w:type="page"/>
      </w:r>
    </w:p>
    <w:p>
      <w:pPr>
        <w:pStyle w:val="2"/>
        <w:keepNext w:val="0"/>
        <w:keepLines w:val="0"/>
        <w:spacing w:before="0" w:after="0"/>
        <w:ind w:firstLine="643" w:firstLineChars="200"/>
        <w:rPr>
          <w:rFonts w:ascii="Times New Roman" w:hAnsi="Times New Roman"/>
          <w:color w:val="auto"/>
          <w:highlight w:val="none"/>
        </w:rPr>
      </w:pPr>
      <w:r>
        <w:rPr>
          <w:rFonts w:hint="eastAsia" w:ascii="Times New Roman" w:hAnsi="Times New Roman"/>
          <w:color w:val="auto"/>
          <w:highlight w:val="none"/>
        </w:rPr>
        <w:t>四</w:t>
      </w:r>
      <w:r>
        <w:rPr>
          <w:rFonts w:ascii="Times New Roman" w:hAnsi="Times New Roman"/>
          <w:color w:val="auto"/>
          <w:highlight w:val="none"/>
        </w:rPr>
        <w:t>、</w:t>
      </w:r>
      <w:bookmarkStart w:id="686" w:name="_Toc361508760"/>
      <w:r>
        <w:rPr>
          <w:rFonts w:hint="eastAsia" w:ascii="Times New Roman" w:hAnsi="Times New Roman"/>
          <w:color w:val="auto"/>
          <w:highlight w:val="none"/>
        </w:rPr>
        <w:t>广州建设工程监理投标书</w:t>
      </w:r>
      <w:bookmarkEnd w:id="685"/>
    </w:p>
    <w:tbl>
      <w:tblPr>
        <w:tblStyle w:val="24"/>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1893"/>
        <w:gridCol w:w="2002"/>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8" w:type="dxa"/>
            <w:vAlign w:val="center"/>
          </w:tcPr>
          <w:p>
            <w:pPr>
              <w:spacing w:line="320" w:lineRule="exact"/>
              <w:ind w:firstLine="420" w:firstLineChars="200"/>
              <w:outlineLvl w:val="0"/>
              <w:rPr>
                <w:rFonts w:hint="eastAsia" w:ascii="宋体" w:hAnsi="宋体" w:eastAsia="宋体" w:cs="宋体"/>
                <w:color w:val="auto"/>
                <w:highlight w:val="none"/>
              </w:rPr>
            </w:pPr>
            <w:bookmarkStart w:id="687" w:name="_Toc89870643"/>
            <w:bookmarkStart w:id="688" w:name="_Toc527028890"/>
            <w:bookmarkStart w:id="689" w:name="_Toc527028718"/>
            <w:r>
              <w:rPr>
                <w:rFonts w:hint="eastAsia" w:ascii="宋体" w:hAnsi="宋体" w:eastAsia="宋体" w:cs="宋体"/>
                <w:color w:val="auto"/>
                <w:highlight w:val="none"/>
              </w:rPr>
              <w:t>项 目 名 称</w:t>
            </w:r>
            <w:bookmarkEnd w:id="687"/>
            <w:bookmarkEnd w:id="688"/>
            <w:bookmarkEnd w:id="689"/>
          </w:p>
        </w:tc>
        <w:tc>
          <w:tcPr>
            <w:tcW w:w="6915" w:type="dxa"/>
            <w:gridSpan w:val="3"/>
            <w:vAlign w:val="center"/>
          </w:tcPr>
          <w:p>
            <w:pPr>
              <w:spacing w:line="320" w:lineRule="exact"/>
              <w:ind w:firstLine="420" w:firstLineChars="200"/>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328" w:type="dxa"/>
            <w:vAlign w:val="center"/>
          </w:tcPr>
          <w:p>
            <w:pPr>
              <w:spacing w:before="240" w:after="60"/>
              <w:jc w:val="center"/>
              <w:outlineLvl w:val="0"/>
              <w:rPr>
                <w:rFonts w:hint="eastAsia" w:ascii="宋体" w:hAnsi="宋体" w:eastAsia="宋体" w:cs="宋体"/>
                <w:color w:val="auto"/>
                <w:highlight w:val="none"/>
              </w:rPr>
            </w:pPr>
            <w:bookmarkStart w:id="690" w:name="_Toc89870644"/>
            <w:bookmarkStart w:id="691" w:name="_Toc527028891"/>
            <w:bookmarkStart w:id="692" w:name="_Toc527028719"/>
            <w:r>
              <w:rPr>
                <w:rFonts w:hint="eastAsia" w:ascii="宋体" w:hAnsi="宋体" w:eastAsia="宋体" w:cs="宋体"/>
                <w:color w:val="auto"/>
                <w:highlight w:val="none"/>
              </w:rPr>
              <w:t>投 标 单 位</w:t>
            </w:r>
            <w:bookmarkEnd w:id="690"/>
            <w:bookmarkEnd w:id="691"/>
            <w:bookmarkEnd w:id="692"/>
          </w:p>
          <w:p>
            <w:pPr>
              <w:spacing w:before="240" w:after="60"/>
              <w:jc w:val="center"/>
              <w:outlineLvl w:val="0"/>
              <w:rPr>
                <w:rFonts w:hint="eastAsia" w:ascii="宋体" w:hAnsi="宋体" w:eastAsia="宋体" w:cs="宋体"/>
                <w:color w:val="auto"/>
                <w:highlight w:val="none"/>
              </w:rPr>
            </w:pPr>
            <w:bookmarkStart w:id="693" w:name="_Toc89870645"/>
            <w:bookmarkStart w:id="694" w:name="_Toc527028892"/>
            <w:bookmarkStart w:id="695" w:name="_Toc527028720"/>
            <w:r>
              <w:rPr>
                <w:rFonts w:hint="eastAsia" w:ascii="宋体" w:hAnsi="宋体" w:eastAsia="宋体" w:cs="宋体"/>
                <w:color w:val="auto"/>
                <w:highlight w:val="none"/>
              </w:rPr>
              <w:t>（盖章）</w:t>
            </w:r>
            <w:bookmarkEnd w:id="693"/>
            <w:bookmarkEnd w:id="694"/>
            <w:bookmarkEnd w:id="695"/>
          </w:p>
        </w:tc>
        <w:tc>
          <w:tcPr>
            <w:tcW w:w="1893" w:type="dxa"/>
          </w:tcPr>
          <w:p>
            <w:pPr>
              <w:spacing w:before="240" w:after="60"/>
              <w:jc w:val="center"/>
              <w:outlineLvl w:val="0"/>
              <w:rPr>
                <w:rFonts w:hint="eastAsia" w:ascii="宋体" w:hAnsi="宋体" w:eastAsia="宋体" w:cs="宋体"/>
                <w:color w:val="auto"/>
                <w:highlight w:val="none"/>
              </w:rPr>
            </w:pPr>
          </w:p>
        </w:tc>
        <w:tc>
          <w:tcPr>
            <w:tcW w:w="2002" w:type="dxa"/>
          </w:tcPr>
          <w:p>
            <w:pPr>
              <w:spacing w:before="240" w:after="60"/>
              <w:jc w:val="center"/>
              <w:outlineLvl w:val="0"/>
              <w:rPr>
                <w:rFonts w:hint="eastAsia" w:ascii="宋体" w:hAnsi="宋体" w:eastAsia="宋体" w:cs="宋体"/>
                <w:color w:val="auto"/>
                <w:highlight w:val="none"/>
              </w:rPr>
            </w:pPr>
            <w:bookmarkStart w:id="696" w:name="_Toc527028893"/>
            <w:bookmarkStart w:id="697" w:name="_Toc89870646"/>
            <w:bookmarkStart w:id="698" w:name="_Toc527028721"/>
            <w:r>
              <w:rPr>
                <w:rFonts w:hint="eastAsia" w:ascii="宋体" w:hAnsi="宋体" w:eastAsia="宋体" w:cs="宋体"/>
                <w:color w:val="auto"/>
                <w:highlight w:val="none"/>
              </w:rPr>
              <w:t>法 人 营 业</w:t>
            </w:r>
            <w:bookmarkEnd w:id="696"/>
            <w:bookmarkEnd w:id="697"/>
            <w:bookmarkEnd w:id="698"/>
          </w:p>
          <w:p>
            <w:pPr>
              <w:spacing w:before="240" w:after="60"/>
              <w:jc w:val="center"/>
              <w:outlineLvl w:val="0"/>
              <w:rPr>
                <w:rFonts w:hint="eastAsia" w:ascii="宋体" w:hAnsi="宋体" w:eastAsia="宋体" w:cs="宋体"/>
                <w:color w:val="auto"/>
                <w:highlight w:val="none"/>
              </w:rPr>
            </w:pPr>
            <w:bookmarkStart w:id="699" w:name="_Toc527028722"/>
            <w:bookmarkStart w:id="700" w:name="_Toc527028894"/>
            <w:bookmarkStart w:id="701" w:name="_Toc89870647"/>
            <w:r>
              <w:rPr>
                <w:rFonts w:hint="eastAsia" w:ascii="宋体" w:hAnsi="宋体" w:eastAsia="宋体" w:cs="宋体"/>
                <w:color w:val="auto"/>
                <w:highlight w:val="none"/>
              </w:rPr>
              <w:t>执 照 证 号</w:t>
            </w:r>
            <w:bookmarkEnd w:id="699"/>
            <w:bookmarkEnd w:id="700"/>
            <w:bookmarkEnd w:id="701"/>
          </w:p>
        </w:tc>
        <w:tc>
          <w:tcPr>
            <w:tcW w:w="3020" w:type="dxa"/>
          </w:tcPr>
          <w:p>
            <w:pPr>
              <w:spacing w:before="240" w:after="60" w:line="320" w:lineRule="exact"/>
              <w:jc w:val="center"/>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328" w:type="dxa"/>
          </w:tcPr>
          <w:p>
            <w:pPr>
              <w:spacing w:before="240" w:after="60"/>
              <w:jc w:val="center"/>
              <w:outlineLvl w:val="0"/>
              <w:rPr>
                <w:rFonts w:hint="eastAsia" w:ascii="宋体" w:hAnsi="宋体" w:eastAsia="宋体" w:cs="宋体"/>
                <w:color w:val="auto"/>
                <w:highlight w:val="none"/>
              </w:rPr>
            </w:pPr>
            <w:bookmarkStart w:id="702" w:name="_Toc527028895"/>
            <w:bookmarkStart w:id="703" w:name="_Toc89870648"/>
            <w:bookmarkStart w:id="704" w:name="_Toc527028723"/>
            <w:r>
              <w:rPr>
                <w:rFonts w:hint="eastAsia" w:ascii="宋体" w:hAnsi="宋体" w:eastAsia="宋体" w:cs="宋体"/>
                <w:color w:val="auto"/>
                <w:highlight w:val="none"/>
              </w:rPr>
              <w:t>广州市建设监理</w:t>
            </w:r>
            <w:bookmarkEnd w:id="702"/>
            <w:bookmarkEnd w:id="703"/>
            <w:bookmarkEnd w:id="704"/>
          </w:p>
          <w:p>
            <w:pPr>
              <w:spacing w:before="240" w:after="60"/>
              <w:jc w:val="center"/>
              <w:outlineLvl w:val="0"/>
              <w:rPr>
                <w:rFonts w:hint="eastAsia" w:ascii="宋体" w:hAnsi="宋体" w:eastAsia="宋体" w:cs="宋体"/>
                <w:color w:val="auto"/>
                <w:highlight w:val="none"/>
              </w:rPr>
            </w:pPr>
            <w:bookmarkStart w:id="705" w:name="_Toc527028724"/>
            <w:bookmarkStart w:id="706" w:name="_Toc89870649"/>
            <w:bookmarkStart w:id="707" w:name="_Toc527028896"/>
            <w:r>
              <w:rPr>
                <w:rFonts w:hint="eastAsia" w:ascii="宋体" w:hAnsi="宋体" w:eastAsia="宋体" w:cs="宋体"/>
                <w:color w:val="auto"/>
                <w:highlight w:val="none"/>
              </w:rPr>
              <w:t>单位注册证书号</w:t>
            </w:r>
            <w:bookmarkEnd w:id="705"/>
            <w:bookmarkEnd w:id="706"/>
            <w:bookmarkEnd w:id="707"/>
          </w:p>
        </w:tc>
        <w:tc>
          <w:tcPr>
            <w:tcW w:w="1893" w:type="dxa"/>
          </w:tcPr>
          <w:p>
            <w:pPr>
              <w:spacing w:before="240" w:after="60"/>
              <w:jc w:val="center"/>
              <w:outlineLvl w:val="0"/>
              <w:rPr>
                <w:rFonts w:hint="eastAsia" w:ascii="宋体" w:hAnsi="宋体" w:eastAsia="宋体" w:cs="宋体"/>
                <w:color w:val="auto"/>
                <w:highlight w:val="none"/>
              </w:rPr>
            </w:pPr>
          </w:p>
        </w:tc>
        <w:tc>
          <w:tcPr>
            <w:tcW w:w="2002" w:type="dxa"/>
          </w:tcPr>
          <w:p>
            <w:pPr>
              <w:spacing w:before="240" w:after="60"/>
              <w:jc w:val="center"/>
              <w:outlineLvl w:val="0"/>
              <w:rPr>
                <w:rFonts w:hint="eastAsia" w:ascii="宋体" w:hAnsi="宋体" w:eastAsia="宋体" w:cs="宋体"/>
                <w:color w:val="auto"/>
                <w:highlight w:val="none"/>
              </w:rPr>
            </w:pPr>
            <w:bookmarkStart w:id="708" w:name="_Toc527028897"/>
            <w:bookmarkStart w:id="709" w:name="_Toc527028725"/>
            <w:bookmarkStart w:id="710" w:name="_Toc89870650"/>
            <w:r>
              <w:rPr>
                <w:rFonts w:hint="eastAsia" w:ascii="宋体" w:hAnsi="宋体" w:eastAsia="宋体" w:cs="宋体"/>
                <w:color w:val="auto"/>
                <w:highlight w:val="none"/>
              </w:rPr>
              <w:t>资 质 等 级</w:t>
            </w:r>
            <w:bookmarkEnd w:id="708"/>
            <w:bookmarkEnd w:id="709"/>
            <w:bookmarkEnd w:id="710"/>
          </w:p>
          <w:p>
            <w:pPr>
              <w:spacing w:before="240" w:after="60"/>
              <w:jc w:val="center"/>
              <w:outlineLvl w:val="0"/>
              <w:rPr>
                <w:rFonts w:hint="eastAsia" w:ascii="宋体" w:hAnsi="宋体" w:eastAsia="宋体" w:cs="宋体"/>
                <w:color w:val="auto"/>
                <w:highlight w:val="none"/>
              </w:rPr>
            </w:pPr>
            <w:bookmarkStart w:id="711" w:name="_Toc527028726"/>
            <w:bookmarkStart w:id="712" w:name="_Toc89870651"/>
            <w:bookmarkStart w:id="713" w:name="_Toc527028898"/>
            <w:r>
              <w:rPr>
                <w:rFonts w:hint="eastAsia" w:ascii="宋体" w:hAnsi="宋体" w:eastAsia="宋体" w:cs="宋体"/>
                <w:color w:val="auto"/>
                <w:highlight w:val="none"/>
              </w:rPr>
              <w:t>及 证 书 号</w:t>
            </w:r>
            <w:bookmarkEnd w:id="711"/>
            <w:bookmarkEnd w:id="712"/>
            <w:bookmarkEnd w:id="713"/>
          </w:p>
        </w:tc>
        <w:tc>
          <w:tcPr>
            <w:tcW w:w="3020" w:type="dxa"/>
          </w:tcPr>
          <w:p>
            <w:pPr>
              <w:spacing w:before="240" w:after="60" w:line="320" w:lineRule="exact"/>
              <w:jc w:val="center"/>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328" w:type="dxa"/>
          </w:tcPr>
          <w:p>
            <w:pPr>
              <w:spacing w:before="240" w:after="60" w:line="320" w:lineRule="exact"/>
              <w:jc w:val="center"/>
              <w:outlineLvl w:val="0"/>
              <w:rPr>
                <w:rFonts w:hint="eastAsia" w:ascii="宋体" w:hAnsi="宋体" w:eastAsia="宋体" w:cs="宋体"/>
                <w:color w:val="auto"/>
                <w:highlight w:val="none"/>
              </w:rPr>
            </w:pPr>
            <w:bookmarkStart w:id="714" w:name="_Toc89870652"/>
            <w:bookmarkStart w:id="715" w:name="_Toc527028899"/>
            <w:bookmarkStart w:id="716" w:name="_Toc527028727"/>
            <w:r>
              <w:rPr>
                <w:rFonts w:hint="eastAsia" w:ascii="宋体" w:hAnsi="宋体" w:eastAsia="宋体" w:cs="宋体"/>
                <w:color w:val="auto"/>
                <w:highlight w:val="none"/>
              </w:rPr>
              <w:t>监理总报价（万元）</w:t>
            </w:r>
            <w:bookmarkEnd w:id="714"/>
            <w:bookmarkEnd w:id="715"/>
            <w:bookmarkEnd w:id="716"/>
          </w:p>
        </w:tc>
        <w:tc>
          <w:tcPr>
            <w:tcW w:w="1893" w:type="dxa"/>
          </w:tcPr>
          <w:p>
            <w:pPr>
              <w:spacing w:before="240" w:after="60" w:line="320" w:lineRule="exact"/>
              <w:jc w:val="center"/>
              <w:outlineLvl w:val="0"/>
              <w:rPr>
                <w:rFonts w:hint="eastAsia" w:ascii="宋体" w:hAnsi="宋体" w:eastAsia="宋体" w:cs="宋体"/>
                <w:color w:val="auto"/>
                <w:highlight w:val="none"/>
              </w:rPr>
            </w:pPr>
          </w:p>
        </w:tc>
        <w:tc>
          <w:tcPr>
            <w:tcW w:w="2002" w:type="dxa"/>
            <w:vAlign w:val="center"/>
          </w:tcPr>
          <w:p>
            <w:pPr>
              <w:jc w:val="center"/>
              <w:outlineLvl w:val="0"/>
              <w:rPr>
                <w:rFonts w:hint="eastAsia" w:ascii="宋体" w:hAnsi="宋体" w:eastAsia="宋体" w:cs="宋体"/>
                <w:color w:val="auto"/>
                <w:highlight w:val="none"/>
              </w:rPr>
            </w:pPr>
            <w:bookmarkStart w:id="717" w:name="_Toc89870654"/>
            <w:bookmarkStart w:id="718" w:name="_Toc527028901"/>
            <w:bookmarkStart w:id="719" w:name="_Toc527028729"/>
            <w:r>
              <w:rPr>
                <w:rFonts w:hint="eastAsia" w:ascii="宋体" w:hAnsi="宋体" w:eastAsia="宋体" w:cs="宋体"/>
                <w:color w:val="auto"/>
                <w:highlight w:val="none"/>
              </w:rPr>
              <w:t>下浮率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w:t>
            </w:r>
            <w:r>
              <w:rPr>
                <w:rFonts w:hint="eastAsia" w:ascii="宋体" w:hAnsi="宋体" w:cs="宋体"/>
                <w:color w:val="auto"/>
                <w:highlight w:val="none"/>
                <w:lang w:eastAsia="zh-CN"/>
              </w:rPr>
              <w:t>）</w:t>
            </w:r>
            <w:bookmarkEnd w:id="717"/>
            <w:bookmarkEnd w:id="718"/>
            <w:bookmarkEnd w:id="719"/>
          </w:p>
        </w:tc>
        <w:tc>
          <w:tcPr>
            <w:tcW w:w="3020" w:type="dxa"/>
            <w:vAlign w:val="center"/>
          </w:tcPr>
          <w:p>
            <w:pPr>
              <w:ind w:firstLine="1050" w:firstLineChars="500"/>
              <w:outlineLvl w:val="0"/>
              <w:rPr>
                <w:rFonts w:hint="eastAsia" w:ascii="宋体" w:hAnsi="宋体" w:eastAsia="宋体" w:cs="宋体"/>
                <w:color w:val="auto"/>
                <w:highlight w:val="none"/>
                <w:u w:val="single"/>
              </w:rPr>
            </w:pPr>
            <w:bookmarkStart w:id="720" w:name="_Toc89870655"/>
            <w:bookmarkStart w:id="721" w:name="_Toc527028730"/>
            <w:bookmarkStart w:id="722" w:name="_Toc527028902"/>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%（填正数）</w:t>
            </w:r>
            <w:bookmarkEnd w:id="720"/>
            <w:bookmarkEnd w:id="721"/>
            <w:bookmarkEnd w:id="7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2328" w:type="dxa"/>
            <w:vAlign w:val="center"/>
          </w:tcPr>
          <w:p>
            <w:pPr>
              <w:spacing w:before="240" w:after="60" w:line="320" w:lineRule="exact"/>
              <w:jc w:val="center"/>
              <w:outlineLvl w:val="0"/>
              <w:rPr>
                <w:rFonts w:hint="eastAsia" w:ascii="宋体" w:hAnsi="宋体" w:eastAsia="宋体" w:cs="宋体"/>
                <w:color w:val="auto"/>
                <w:highlight w:val="none"/>
              </w:rPr>
            </w:pPr>
            <w:bookmarkStart w:id="723" w:name="_Toc527028903"/>
            <w:bookmarkStart w:id="724" w:name="_Toc89870656"/>
            <w:bookmarkStart w:id="725" w:name="_Toc527028731"/>
            <w:r>
              <w:rPr>
                <w:rFonts w:hint="eastAsia" w:ascii="宋体" w:hAnsi="宋体" w:eastAsia="宋体" w:cs="宋体"/>
                <w:color w:val="auto"/>
                <w:highlight w:val="none"/>
              </w:rPr>
              <w:t>监理服务期</w:t>
            </w:r>
            <w:bookmarkEnd w:id="723"/>
            <w:bookmarkEnd w:id="724"/>
            <w:bookmarkEnd w:id="725"/>
          </w:p>
        </w:tc>
        <w:tc>
          <w:tcPr>
            <w:tcW w:w="1893" w:type="dxa"/>
          </w:tcPr>
          <w:p>
            <w:pPr>
              <w:spacing w:before="240" w:after="60" w:line="320" w:lineRule="exact"/>
              <w:jc w:val="center"/>
              <w:outlineLvl w:val="0"/>
              <w:rPr>
                <w:rFonts w:hint="eastAsia" w:ascii="宋体" w:hAnsi="宋体" w:eastAsia="宋体" w:cs="宋体"/>
                <w:color w:val="auto"/>
                <w:highlight w:val="none"/>
              </w:rPr>
            </w:pPr>
          </w:p>
        </w:tc>
        <w:tc>
          <w:tcPr>
            <w:tcW w:w="2002" w:type="dxa"/>
          </w:tcPr>
          <w:p>
            <w:pPr>
              <w:spacing w:before="240" w:after="60" w:line="320" w:lineRule="exact"/>
              <w:jc w:val="center"/>
              <w:outlineLvl w:val="0"/>
              <w:rPr>
                <w:rFonts w:hint="eastAsia" w:ascii="宋体" w:hAnsi="宋体" w:eastAsia="宋体" w:cs="宋体"/>
                <w:color w:val="auto"/>
                <w:highlight w:val="none"/>
              </w:rPr>
            </w:pPr>
            <w:bookmarkStart w:id="726" w:name="_Toc527028732"/>
            <w:bookmarkStart w:id="727" w:name="_Toc89870657"/>
            <w:bookmarkStart w:id="728" w:name="_Toc527028904"/>
            <w:r>
              <w:rPr>
                <w:rFonts w:hint="eastAsia" w:ascii="宋体" w:hAnsi="宋体" w:eastAsia="宋体" w:cs="宋体"/>
                <w:color w:val="auto"/>
                <w:highlight w:val="none"/>
              </w:rPr>
              <w:t>监 理 质 量</w:t>
            </w:r>
            <w:bookmarkEnd w:id="726"/>
            <w:bookmarkEnd w:id="727"/>
            <w:bookmarkEnd w:id="728"/>
          </w:p>
          <w:p>
            <w:pPr>
              <w:spacing w:before="240" w:after="60" w:line="320" w:lineRule="exact"/>
              <w:jc w:val="center"/>
              <w:outlineLvl w:val="0"/>
              <w:rPr>
                <w:rFonts w:hint="eastAsia" w:ascii="宋体" w:hAnsi="宋体" w:eastAsia="宋体" w:cs="宋体"/>
                <w:color w:val="auto"/>
                <w:highlight w:val="none"/>
              </w:rPr>
            </w:pPr>
            <w:bookmarkStart w:id="729" w:name="_Toc89870658"/>
            <w:bookmarkStart w:id="730" w:name="_Toc527028733"/>
            <w:bookmarkStart w:id="731" w:name="_Toc527028905"/>
            <w:r>
              <w:rPr>
                <w:rFonts w:hint="eastAsia" w:ascii="宋体" w:hAnsi="宋体" w:eastAsia="宋体" w:cs="宋体"/>
                <w:color w:val="auto"/>
                <w:highlight w:val="none"/>
              </w:rPr>
              <w:t>目   标</w:t>
            </w:r>
            <w:bookmarkEnd w:id="729"/>
            <w:bookmarkEnd w:id="730"/>
            <w:bookmarkEnd w:id="731"/>
          </w:p>
        </w:tc>
        <w:tc>
          <w:tcPr>
            <w:tcW w:w="3020" w:type="dxa"/>
          </w:tcPr>
          <w:p>
            <w:pPr>
              <w:spacing w:before="240" w:after="60" w:line="320" w:lineRule="exact"/>
              <w:jc w:val="center"/>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2328" w:type="dxa"/>
          </w:tcPr>
          <w:p>
            <w:pPr>
              <w:spacing w:before="240" w:after="60" w:line="320" w:lineRule="exact"/>
              <w:jc w:val="center"/>
              <w:outlineLvl w:val="0"/>
              <w:rPr>
                <w:rFonts w:hint="eastAsia" w:ascii="宋体" w:hAnsi="宋体" w:eastAsia="宋体" w:cs="宋体"/>
                <w:color w:val="auto"/>
                <w:highlight w:val="none"/>
              </w:rPr>
            </w:pPr>
            <w:bookmarkStart w:id="732" w:name="_Toc527028734"/>
            <w:bookmarkStart w:id="733" w:name="_Toc527028906"/>
            <w:bookmarkStart w:id="734" w:name="_Toc89870659"/>
            <w:r>
              <w:rPr>
                <w:rFonts w:hint="eastAsia" w:ascii="宋体" w:hAnsi="宋体" w:eastAsia="宋体" w:cs="宋体"/>
                <w:color w:val="auto"/>
                <w:highlight w:val="none"/>
              </w:rPr>
              <w:t>驻 场 机 构</w:t>
            </w:r>
            <w:bookmarkEnd w:id="732"/>
            <w:bookmarkEnd w:id="733"/>
            <w:bookmarkEnd w:id="734"/>
          </w:p>
          <w:p>
            <w:pPr>
              <w:spacing w:before="240" w:after="60" w:line="320" w:lineRule="exact"/>
              <w:jc w:val="center"/>
              <w:outlineLvl w:val="0"/>
              <w:rPr>
                <w:rFonts w:hint="eastAsia" w:ascii="宋体" w:hAnsi="宋体" w:eastAsia="宋体" w:cs="宋体"/>
                <w:color w:val="auto"/>
                <w:highlight w:val="none"/>
              </w:rPr>
            </w:pPr>
            <w:bookmarkStart w:id="735" w:name="_Toc527028735"/>
            <w:bookmarkStart w:id="736" w:name="_Toc527028907"/>
            <w:bookmarkStart w:id="737" w:name="_Toc89870660"/>
            <w:r>
              <w:rPr>
                <w:rFonts w:hint="eastAsia" w:ascii="宋体" w:hAnsi="宋体" w:eastAsia="宋体" w:cs="宋体"/>
                <w:color w:val="auto"/>
                <w:highlight w:val="none"/>
              </w:rPr>
              <w:t>人 数（人）</w:t>
            </w:r>
            <w:bookmarkEnd w:id="735"/>
            <w:bookmarkEnd w:id="736"/>
            <w:bookmarkEnd w:id="737"/>
          </w:p>
        </w:tc>
        <w:tc>
          <w:tcPr>
            <w:tcW w:w="1893" w:type="dxa"/>
          </w:tcPr>
          <w:p>
            <w:pPr>
              <w:spacing w:before="240" w:after="60" w:line="320" w:lineRule="exact"/>
              <w:jc w:val="center"/>
              <w:outlineLvl w:val="0"/>
              <w:rPr>
                <w:rFonts w:hint="eastAsia" w:ascii="宋体" w:hAnsi="宋体" w:eastAsia="宋体" w:cs="宋体"/>
                <w:color w:val="auto"/>
                <w:highlight w:val="none"/>
              </w:rPr>
            </w:pPr>
          </w:p>
        </w:tc>
        <w:tc>
          <w:tcPr>
            <w:tcW w:w="2002" w:type="dxa"/>
          </w:tcPr>
          <w:p>
            <w:pPr>
              <w:spacing w:before="240" w:after="60" w:line="320" w:lineRule="exact"/>
              <w:jc w:val="center"/>
              <w:outlineLvl w:val="0"/>
              <w:rPr>
                <w:rFonts w:hint="eastAsia" w:ascii="宋体" w:hAnsi="宋体" w:eastAsia="宋体" w:cs="宋体"/>
                <w:color w:val="auto"/>
                <w:highlight w:val="none"/>
              </w:rPr>
            </w:pPr>
            <w:bookmarkStart w:id="738" w:name="_Toc89870661"/>
            <w:bookmarkStart w:id="739" w:name="_Toc527028736"/>
            <w:bookmarkStart w:id="740" w:name="_Toc527028908"/>
            <w:r>
              <w:rPr>
                <w:rFonts w:hint="eastAsia" w:ascii="宋体" w:hAnsi="宋体" w:eastAsia="宋体" w:cs="宋体"/>
                <w:color w:val="auto"/>
                <w:highlight w:val="none"/>
              </w:rPr>
              <w:t>监理工程师</w:t>
            </w:r>
            <w:bookmarkEnd w:id="738"/>
            <w:bookmarkEnd w:id="739"/>
            <w:bookmarkEnd w:id="740"/>
          </w:p>
          <w:p>
            <w:pPr>
              <w:spacing w:before="240" w:after="60" w:line="320" w:lineRule="exact"/>
              <w:jc w:val="center"/>
              <w:outlineLvl w:val="0"/>
              <w:rPr>
                <w:rFonts w:hint="eastAsia" w:ascii="宋体" w:hAnsi="宋体" w:eastAsia="宋体" w:cs="宋体"/>
                <w:color w:val="auto"/>
                <w:highlight w:val="none"/>
              </w:rPr>
            </w:pPr>
            <w:bookmarkStart w:id="741" w:name="_Toc527028909"/>
            <w:bookmarkStart w:id="742" w:name="_Toc527028737"/>
            <w:bookmarkStart w:id="743" w:name="_Toc89870662"/>
            <w:r>
              <w:rPr>
                <w:rFonts w:hint="eastAsia" w:ascii="宋体" w:hAnsi="宋体" w:eastAsia="宋体" w:cs="宋体"/>
                <w:color w:val="auto"/>
                <w:highlight w:val="none"/>
              </w:rPr>
              <w:t>人 数（人）</w:t>
            </w:r>
            <w:bookmarkEnd w:id="741"/>
            <w:bookmarkEnd w:id="742"/>
            <w:bookmarkEnd w:id="743"/>
          </w:p>
        </w:tc>
        <w:tc>
          <w:tcPr>
            <w:tcW w:w="3020" w:type="dxa"/>
          </w:tcPr>
          <w:p>
            <w:pPr>
              <w:spacing w:before="240" w:after="60" w:line="320" w:lineRule="exact"/>
              <w:jc w:val="center"/>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8" w:type="dxa"/>
            <w:vMerge w:val="restart"/>
            <w:vAlign w:val="center"/>
          </w:tcPr>
          <w:p>
            <w:pPr>
              <w:spacing w:before="240" w:after="60" w:line="320" w:lineRule="exact"/>
              <w:jc w:val="center"/>
              <w:outlineLvl w:val="0"/>
              <w:rPr>
                <w:rFonts w:hint="eastAsia" w:ascii="宋体" w:hAnsi="宋体" w:eastAsia="宋体" w:cs="宋体"/>
                <w:color w:val="auto"/>
                <w:highlight w:val="none"/>
              </w:rPr>
            </w:pPr>
            <w:bookmarkStart w:id="744" w:name="_Toc527028738"/>
            <w:bookmarkStart w:id="745" w:name="_Toc527028910"/>
            <w:bookmarkStart w:id="746" w:name="_Toc89870663"/>
            <w:r>
              <w:rPr>
                <w:rFonts w:hint="eastAsia" w:ascii="宋体" w:hAnsi="宋体" w:eastAsia="宋体" w:cs="宋体"/>
                <w:color w:val="auto"/>
                <w:highlight w:val="none"/>
              </w:rPr>
              <w:t>拟委派的项目</w:t>
            </w:r>
            <w:bookmarkEnd w:id="744"/>
            <w:bookmarkEnd w:id="745"/>
            <w:bookmarkEnd w:id="746"/>
          </w:p>
          <w:p>
            <w:pPr>
              <w:spacing w:before="240" w:after="60" w:line="320" w:lineRule="exact"/>
              <w:jc w:val="center"/>
              <w:outlineLvl w:val="0"/>
              <w:rPr>
                <w:rFonts w:hint="eastAsia" w:ascii="宋体" w:hAnsi="宋体" w:eastAsia="宋体" w:cs="宋体"/>
                <w:color w:val="auto"/>
                <w:highlight w:val="none"/>
              </w:rPr>
            </w:pPr>
            <w:bookmarkStart w:id="747" w:name="_Toc527028911"/>
            <w:bookmarkStart w:id="748" w:name="_Toc89870664"/>
            <w:bookmarkStart w:id="749" w:name="_Toc527028739"/>
            <w:r>
              <w:rPr>
                <w:rFonts w:hint="eastAsia" w:ascii="宋体" w:hAnsi="宋体" w:eastAsia="宋体" w:cs="宋体"/>
                <w:color w:val="auto"/>
                <w:highlight w:val="none"/>
              </w:rPr>
              <w:t>总监理工程师</w:t>
            </w:r>
            <w:bookmarkEnd w:id="747"/>
            <w:bookmarkEnd w:id="748"/>
            <w:bookmarkEnd w:id="749"/>
          </w:p>
        </w:tc>
        <w:tc>
          <w:tcPr>
            <w:tcW w:w="1893" w:type="dxa"/>
            <w:vAlign w:val="center"/>
          </w:tcPr>
          <w:p>
            <w:pPr>
              <w:spacing w:before="240" w:after="60" w:line="320" w:lineRule="exact"/>
              <w:jc w:val="center"/>
              <w:outlineLvl w:val="0"/>
              <w:rPr>
                <w:rFonts w:hint="eastAsia" w:ascii="宋体" w:hAnsi="宋体" w:eastAsia="宋体" w:cs="宋体"/>
                <w:color w:val="auto"/>
                <w:highlight w:val="none"/>
              </w:rPr>
            </w:pPr>
            <w:bookmarkStart w:id="750" w:name="_Toc527028740"/>
            <w:bookmarkStart w:id="751" w:name="_Toc527028912"/>
            <w:bookmarkStart w:id="752" w:name="_Toc89870665"/>
            <w:r>
              <w:rPr>
                <w:rFonts w:hint="eastAsia" w:ascii="宋体" w:hAnsi="宋体" w:eastAsia="宋体" w:cs="宋体"/>
                <w:color w:val="auto"/>
                <w:highlight w:val="none"/>
              </w:rPr>
              <w:t>姓    名</w:t>
            </w:r>
            <w:bookmarkEnd w:id="750"/>
            <w:bookmarkEnd w:id="751"/>
            <w:bookmarkEnd w:id="752"/>
          </w:p>
        </w:tc>
        <w:tc>
          <w:tcPr>
            <w:tcW w:w="5022" w:type="dxa"/>
            <w:gridSpan w:val="2"/>
          </w:tcPr>
          <w:p>
            <w:pPr>
              <w:spacing w:before="240" w:after="60" w:line="320" w:lineRule="exact"/>
              <w:jc w:val="center"/>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8" w:type="dxa"/>
            <w:vMerge w:val="continue"/>
          </w:tcPr>
          <w:p>
            <w:pPr>
              <w:spacing w:line="320" w:lineRule="exact"/>
              <w:ind w:firstLine="420" w:firstLineChars="200"/>
              <w:outlineLvl w:val="0"/>
              <w:rPr>
                <w:rFonts w:hint="eastAsia" w:ascii="宋体" w:hAnsi="宋体" w:eastAsia="宋体" w:cs="宋体"/>
                <w:color w:val="auto"/>
                <w:highlight w:val="none"/>
              </w:rPr>
            </w:pPr>
          </w:p>
        </w:tc>
        <w:tc>
          <w:tcPr>
            <w:tcW w:w="1893" w:type="dxa"/>
            <w:vAlign w:val="center"/>
          </w:tcPr>
          <w:p>
            <w:pPr>
              <w:spacing w:line="320" w:lineRule="exact"/>
              <w:ind w:firstLine="0" w:firstLineChars="0"/>
              <w:jc w:val="center"/>
              <w:outlineLvl w:val="0"/>
              <w:rPr>
                <w:rFonts w:hint="eastAsia" w:ascii="宋体" w:hAnsi="宋体" w:eastAsia="宋体" w:cs="宋体"/>
                <w:color w:val="auto"/>
                <w:highlight w:val="none"/>
              </w:rPr>
            </w:pPr>
            <w:bookmarkStart w:id="753" w:name="_Toc527028741"/>
            <w:bookmarkStart w:id="754" w:name="_Toc89870666"/>
            <w:bookmarkStart w:id="755" w:name="_Toc527028913"/>
            <w:r>
              <w:rPr>
                <w:rFonts w:hint="eastAsia" w:ascii="宋体" w:hAnsi="宋体" w:eastAsia="宋体" w:cs="宋体"/>
                <w:color w:val="auto"/>
                <w:highlight w:val="none"/>
              </w:rPr>
              <w:t>技术职称</w:t>
            </w:r>
            <w:bookmarkEnd w:id="753"/>
            <w:bookmarkEnd w:id="754"/>
            <w:bookmarkEnd w:id="755"/>
          </w:p>
        </w:tc>
        <w:tc>
          <w:tcPr>
            <w:tcW w:w="5022" w:type="dxa"/>
            <w:gridSpan w:val="2"/>
          </w:tcPr>
          <w:p>
            <w:pPr>
              <w:spacing w:line="320" w:lineRule="exact"/>
              <w:ind w:firstLine="420" w:firstLineChars="200"/>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28" w:type="dxa"/>
            <w:vMerge w:val="continue"/>
          </w:tcPr>
          <w:p>
            <w:pPr>
              <w:spacing w:line="320" w:lineRule="exact"/>
              <w:ind w:firstLine="420" w:firstLineChars="200"/>
              <w:outlineLvl w:val="0"/>
              <w:rPr>
                <w:rFonts w:hint="eastAsia" w:ascii="宋体" w:hAnsi="宋体" w:eastAsia="宋体" w:cs="宋体"/>
                <w:color w:val="auto"/>
                <w:highlight w:val="none"/>
              </w:rPr>
            </w:pPr>
          </w:p>
        </w:tc>
        <w:tc>
          <w:tcPr>
            <w:tcW w:w="1893" w:type="dxa"/>
            <w:vAlign w:val="center"/>
          </w:tcPr>
          <w:p>
            <w:pPr>
              <w:spacing w:line="320" w:lineRule="exact"/>
              <w:ind w:firstLine="0" w:firstLineChars="0"/>
              <w:jc w:val="center"/>
              <w:outlineLvl w:val="0"/>
              <w:rPr>
                <w:rFonts w:hint="eastAsia" w:ascii="宋体" w:hAnsi="宋体" w:eastAsia="宋体" w:cs="宋体"/>
                <w:color w:val="auto"/>
                <w:highlight w:val="none"/>
              </w:rPr>
            </w:pPr>
            <w:bookmarkStart w:id="756" w:name="_Toc89870667"/>
            <w:bookmarkStart w:id="757" w:name="_Toc527028914"/>
            <w:bookmarkStart w:id="758" w:name="_Toc527028742"/>
            <w:r>
              <w:rPr>
                <w:rFonts w:hint="eastAsia" w:ascii="宋体" w:hAnsi="宋体" w:eastAsia="宋体" w:cs="宋体"/>
                <w:color w:val="auto"/>
                <w:highlight w:val="none"/>
              </w:rPr>
              <w:t>注册证号</w:t>
            </w:r>
            <w:bookmarkEnd w:id="756"/>
            <w:bookmarkEnd w:id="757"/>
            <w:bookmarkEnd w:id="758"/>
          </w:p>
        </w:tc>
        <w:tc>
          <w:tcPr>
            <w:tcW w:w="5022" w:type="dxa"/>
            <w:gridSpan w:val="2"/>
          </w:tcPr>
          <w:p>
            <w:pPr>
              <w:spacing w:line="320" w:lineRule="exact"/>
              <w:ind w:firstLine="420" w:firstLineChars="200"/>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2328" w:type="dxa"/>
            <w:vAlign w:val="center"/>
          </w:tcPr>
          <w:p>
            <w:pPr>
              <w:spacing w:before="240" w:after="60" w:line="320" w:lineRule="exact"/>
              <w:jc w:val="center"/>
              <w:outlineLvl w:val="0"/>
              <w:rPr>
                <w:rFonts w:hint="eastAsia" w:ascii="宋体" w:hAnsi="宋体" w:eastAsia="宋体" w:cs="宋体"/>
                <w:color w:val="auto"/>
                <w:highlight w:val="none"/>
              </w:rPr>
            </w:pPr>
            <w:bookmarkStart w:id="759" w:name="_Toc527028743"/>
            <w:bookmarkStart w:id="760" w:name="_Toc89870668"/>
            <w:bookmarkStart w:id="761" w:name="_Toc527028915"/>
            <w:r>
              <w:rPr>
                <w:rFonts w:hint="eastAsia" w:ascii="宋体" w:hAnsi="宋体" w:eastAsia="宋体" w:cs="宋体"/>
                <w:color w:val="auto"/>
                <w:highlight w:val="none"/>
              </w:rPr>
              <w:t>需要建设单位提</w:t>
            </w:r>
            <w:bookmarkEnd w:id="759"/>
            <w:bookmarkEnd w:id="760"/>
            <w:bookmarkEnd w:id="761"/>
          </w:p>
          <w:p>
            <w:pPr>
              <w:spacing w:before="240" w:after="60" w:line="320" w:lineRule="exact"/>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762" w:name="_Toc527028744"/>
            <w:bookmarkStart w:id="763" w:name="_Toc89870669"/>
            <w:bookmarkStart w:id="764" w:name="_Toc527028916"/>
            <w:r>
              <w:rPr>
                <w:rFonts w:hint="eastAsia" w:ascii="宋体" w:hAnsi="宋体" w:eastAsia="宋体" w:cs="宋体"/>
                <w:color w:val="auto"/>
                <w:highlight w:val="none"/>
              </w:rPr>
              <w:t>供的配合条件</w:t>
            </w:r>
            <w:bookmarkEnd w:id="762"/>
            <w:bookmarkEnd w:id="763"/>
            <w:bookmarkEnd w:id="764"/>
          </w:p>
        </w:tc>
        <w:tc>
          <w:tcPr>
            <w:tcW w:w="6915" w:type="dxa"/>
            <w:gridSpan w:val="3"/>
          </w:tcPr>
          <w:p>
            <w:pPr>
              <w:spacing w:before="240" w:after="60" w:line="320" w:lineRule="exact"/>
              <w:jc w:val="center"/>
              <w:outlineLvl w:val="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328" w:type="dxa"/>
          </w:tcPr>
          <w:p>
            <w:pPr>
              <w:spacing w:before="240" w:after="60" w:line="320" w:lineRule="exact"/>
              <w:jc w:val="center"/>
              <w:outlineLvl w:val="0"/>
              <w:rPr>
                <w:rFonts w:hint="eastAsia" w:ascii="宋体" w:hAnsi="宋体" w:eastAsia="宋体" w:cs="宋体"/>
                <w:color w:val="auto"/>
                <w:highlight w:val="none"/>
              </w:rPr>
            </w:pPr>
            <w:bookmarkStart w:id="765" w:name="_Toc527028917"/>
            <w:bookmarkStart w:id="766" w:name="_Toc527028745"/>
            <w:bookmarkStart w:id="767" w:name="_Toc89870670"/>
            <w:r>
              <w:rPr>
                <w:rFonts w:hint="eastAsia" w:ascii="宋体" w:hAnsi="宋体" w:eastAsia="宋体" w:cs="宋体"/>
                <w:color w:val="auto"/>
                <w:highlight w:val="none"/>
              </w:rPr>
              <w:t>投标单位法定代表人（签名或盖章）</w:t>
            </w:r>
            <w:bookmarkEnd w:id="765"/>
            <w:bookmarkEnd w:id="766"/>
            <w:bookmarkEnd w:id="767"/>
          </w:p>
        </w:tc>
        <w:tc>
          <w:tcPr>
            <w:tcW w:w="1893" w:type="dxa"/>
          </w:tcPr>
          <w:p>
            <w:pPr>
              <w:spacing w:before="240" w:after="60" w:line="320" w:lineRule="exact"/>
              <w:jc w:val="center"/>
              <w:outlineLvl w:val="0"/>
              <w:rPr>
                <w:rFonts w:hint="eastAsia" w:ascii="宋体" w:hAnsi="宋体" w:eastAsia="宋体" w:cs="宋体"/>
                <w:color w:val="auto"/>
                <w:highlight w:val="none"/>
              </w:rPr>
            </w:pPr>
          </w:p>
        </w:tc>
        <w:tc>
          <w:tcPr>
            <w:tcW w:w="2002" w:type="dxa"/>
          </w:tcPr>
          <w:p>
            <w:pPr>
              <w:spacing w:before="240" w:after="60" w:line="320" w:lineRule="exact"/>
              <w:jc w:val="center"/>
              <w:outlineLvl w:val="0"/>
              <w:rPr>
                <w:rFonts w:hint="eastAsia" w:ascii="宋体" w:hAnsi="宋体" w:eastAsia="宋体" w:cs="宋体"/>
                <w:color w:val="auto"/>
                <w:highlight w:val="none"/>
              </w:rPr>
            </w:pPr>
            <w:bookmarkStart w:id="768" w:name="_Toc89870671"/>
            <w:bookmarkStart w:id="769" w:name="_Toc527028746"/>
            <w:bookmarkStart w:id="770" w:name="_Toc527028918"/>
            <w:r>
              <w:rPr>
                <w:rFonts w:hint="eastAsia" w:ascii="宋体" w:hAnsi="宋体" w:eastAsia="宋体" w:cs="宋体"/>
                <w:color w:val="auto"/>
                <w:highlight w:val="none"/>
              </w:rPr>
              <w:t>授权委托人</w:t>
            </w:r>
            <w:bookmarkEnd w:id="768"/>
            <w:bookmarkEnd w:id="769"/>
            <w:bookmarkEnd w:id="770"/>
          </w:p>
          <w:p>
            <w:pPr>
              <w:spacing w:before="240" w:after="60" w:line="320" w:lineRule="exact"/>
              <w:jc w:val="center"/>
              <w:outlineLvl w:val="0"/>
              <w:rPr>
                <w:rFonts w:hint="eastAsia" w:ascii="宋体" w:hAnsi="宋体" w:eastAsia="宋体" w:cs="宋体"/>
                <w:color w:val="auto"/>
                <w:highlight w:val="none"/>
              </w:rPr>
            </w:pPr>
            <w:bookmarkStart w:id="771" w:name="_Toc527028919"/>
            <w:bookmarkStart w:id="772" w:name="_Toc89870672"/>
            <w:bookmarkStart w:id="773" w:name="_Toc527028747"/>
            <w:r>
              <w:rPr>
                <w:rFonts w:hint="eastAsia" w:ascii="宋体" w:hAnsi="宋体" w:eastAsia="宋体" w:cs="宋体"/>
                <w:color w:val="auto"/>
                <w:highlight w:val="none"/>
              </w:rPr>
              <w:t>（签名或盖章）</w:t>
            </w:r>
            <w:bookmarkEnd w:id="771"/>
            <w:bookmarkEnd w:id="772"/>
            <w:bookmarkEnd w:id="773"/>
          </w:p>
        </w:tc>
        <w:tc>
          <w:tcPr>
            <w:tcW w:w="3020" w:type="dxa"/>
          </w:tcPr>
          <w:p>
            <w:pPr>
              <w:spacing w:before="240" w:after="60" w:line="320" w:lineRule="exact"/>
              <w:jc w:val="center"/>
              <w:outlineLvl w:val="0"/>
              <w:rPr>
                <w:rFonts w:hint="eastAsia" w:ascii="宋体" w:hAnsi="宋体" w:eastAsia="宋体" w:cs="宋体"/>
                <w:color w:val="auto"/>
                <w:highlight w:val="none"/>
              </w:rPr>
            </w:pPr>
          </w:p>
        </w:tc>
      </w:tr>
    </w:tbl>
    <w:p>
      <w:pPr>
        <w:jc w:val="center"/>
        <w:rPr>
          <w:rFonts w:hint="eastAsia" w:ascii="Times New Roman" w:hAnsi="Times New Roman"/>
          <w:color w:val="auto"/>
          <w:highlight w:val="none"/>
        </w:rPr>
      </w:pPr>
      <w:r>
        <w:rPr>
          <w:rFonts w:hint="eastAsia" w:ascii="Times New Roman" w:hAnsi="Times New Roman"/>
          <w:color w:val="auto"/>
          <w:highlight w:val="none"/>
        </w:rPr>
        <w:t xml:space="preserve">                                                         投标日期：    年    月   日</w:t>
      </w:r>
      <w:bookmarkStart w:id="774" w:name="_Toc89870673"/>
      <w:bookmarkStart w:id="775" w:name="_Toc527028920"/>
      <w:bookmarkStart w:id="776" w:name="_Toc527028748"/>
    </w:p>
    <w:p>
      <w:pPr>
        <w:jc w:val="both"/>
        <w:rPr>
          <w:rFonts w:ascii="Times New Roman" w:hAnsi="Times New Roman" w:eastAsia="宋体"/>
          <w:b w:val="0"/>
          <w:color w:val="auto"/>
          <w:sz w:val="21"/>
          <w:szCs w:val="22"/>
          <w:highlight w:val="none"/>
        </w:rPr>
      </w:pPr>
      <w:r>
        <w:rPr>
          <w:rFonts w:hint="eastAsia" w:ascii="Times New Roman" w:hAnsi="Times New Roman" w:eastAsia="宋体"/>
          <w:b w:val="0"/>
          <w:color w:val="auto"/>
          <w:sz w:val="21"/>
          <w:szCs w:val="22"/>
          <w:highlight w:val="none"/>
        </w:rPr>
        <w:t>说明：保留小数点后二位，第三位四舍五入。</w:t>
      </w:r>
      <w:bookmarkEnd w:id="774"/>
    </w:p>
    <w:p>
      <w:pPr>
        <w:tabs>
          <w:tab w:val="left" w:pos="4842"/>
        </w:tabs>
        <w:ind w:firstLine="420" w:firstLineChars="200"/>
        <w:rPr>
          <w:color w:val="auto"/>
          <w:highlight w:val="none"/>
        </w:rPr>
        <w:sectPr>
          <w:pgSz w:w="12240" w:h="15840"/>
          <w:pgMar w:top="1440" w:right="1423" w:bottom="1162" w:left="1423" w:header="720" w:footer="720" w:gutter="0"/>
          <w:cols w:space="720" w:num="1"/>
          <w:docGrid w:linePitch="285" w:charSpace="0"/>
        </w:sectPr>
      </w:pPr>
    </w:p>
    <w:bookmarkEnd w:id="775"/>
    <w:bookmarkEnd w:id="776"/>
    <w:p>
      <w:pPr>
        <w:spacing w:line="360" w:lineRule="auto"/>
        <w:jc w:val="center"/>
        <w:outlineLvl w:val="1"/>
        <w:rPr>
          <w:rFonts w:hint="eastAsia" w:ascii="Times New Roman" w:hAnsi="Times New Roman" w:eastAsia="宋体" w:cs="Calibri"/>
          <w:b/>
          <w:color w:val="auto"/>
          <w:sz w:val="30"/>
          <w:szCs w:val="30"/>
          <w:highlight w:val="none"/>
        </w:rPr>
      </w:pPr>
      <w:bookmarkStart w:id="777" w:name="_Toc89870674"/>
      <w:r>
        <w:rPr>
          <w:rFonts w:hint="eastAsia" w:ascii="Times New Roman" w:hAnsi="Times New Roman" w:eastAsia="宋体" w:cs="Calibri"/>
          <w:b/>
          <w:color w:val="auto"/>
          <w:sz w:val="30"/>
          <w:szCs w:val="30"/>
          <w:highlight w:val="none"/>
          <w:lang w:val="en-US" w:eastAsia="zh-CN"/>
        </w:rPr>
        <w:t>五、</w:t>
      </w:r>
      <w:r>
        <w:rPr>
          <w:rFonts w:hint="eastAsia" w:ascii="Times New Roman" w:hAnsi="Times New Roman" w:eastAsia="宋体" w:cs="Calibri"/>
          <w:b/>
          <w:color w:val="auto"/>
          <w:sz w:val="30"/>
          <w:szCs w:val="30"/>
          <w:highlight w:val="none"/>
        </w:rPr>
        <w:t>广州市增城排水有限公司招投标项目廉洁协议</w:t>
      </w:r>
    </w:p>
    <w:p>
      <w:pPr>
        <w:spacing w:line="520" w:lineRule="exact"/>
        <w:rPr>
          <w:rFonts w:hint="eastAsia" w:ascii="宋体" w:hAnsi="宋体" w:cs="宋体"/>
          <w:sz w:val="24"/>
        </w:rPr>
      </w:pPr>
      <w:r>
        <w:rPr>
          <w:rFonts w:hint="eastAsia" w:ascii="宋体" w:hAnsi="宋体" w:cs="宋体"/>
          <w:sz w:val="24"/>
          <w:lang w:val="en-US" w:eastAsia="zh-CN"/>
        </w:rPr>
        <w:t>甲方</w:t>
      </w:r>
      <w:r>
        <w:rPr>
          <w:rFonts w:hint="eastAsia" w:ascii="宋体" w:hAnsi="宋体" w:cs="宋体"/>
          <w:sz w:val="24"/>
        </w:rPr>
        <w:t>：广州市增城排水有限公司</w:t>
      </w:r>
    </w:p>
    <w:p>
      <w:pPr>
        <w:spacing w:line="360" w:lineRule="auto"/>
        <w:rPr>
          <w:rFonts w:hint="eastAsia" w:ascii="宋体" w:hAnsi="宋体" w:cs="宋体"/>
          <w:sz w:val="24"/>
          <w:u w:val="single"/>
        </w:rPr>
      </w:pPr>
      <w:r>
        <w:rPr>
          <w:rFonts w:hint="eastAsia" w:ascii="宋体" w:hAnsi="宋体" w:cs="宋体"/>
          <w:sz w:val="24"/>
          <w:lang w:val="en-US" w:eastAsia="zh-CN"/>
        </w:rPr>
        <w:t>乙方</w:t>
      </w:r>
      <w:r>
        <w:rPr>
          <w:rFonts w:hint="eastAsia" w:ascii="宋体" w:hAnsi="宋体" w:cs="宋体"/>
          <w:sz w:val="24"/>
        </w:rPr>
        <w:t>：</w:t>
      </w:r>
      <w:r>
        <w:rPr>
          <w:rFonts w:hint="eastAsia" w:ascii="宋体" w:hAnsi="宋体" w:cs="宋体"/>
          <w:kern w:val="0"/>
          <w:sz w:val="24"/>
        </w:rPr>
        <w:t xml:space="preserve">             </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乙方同意接受甲方邀请，参与甲方</w:t>
      </w:r>
      <w:r>
        <w:rPr>
          <w:rFonts w:hint="eastAsia" w:cs="Times New Roman"/>
          <w:b w:val="0"/>
          <w:bCs/>
          <w:i w:val="0"/>
          <w:iCs w:val="0"/>
          <w:color w:val="000000"/>
          <w:kern w:val="2"/>
          <w:sz w:val="24"/>
          <w:szCs w:val="24"/>
          <w:u w:val="none"/>
          <w:lang w:val="en-US" w:eastAsia="zh-CN" w:bidi="ar"/>
        </w:rPr>
        <w:t>增城区开发区下沉式再生水厂及配套管网工程</w:t>
      </w:r>
      <w:r>
        <w:rPr>
          <w:rFonts w:hint="eastAsia" w:ascii="Calibri" w:hAnsi="Calibri" w:eastAsia="宋体" w:cs="Times New Roman"/>
          <w:b w:val="0"/>
          <w:bCs/>
          <w:i w:val="0"/>
          <w:iCs w:val="0"/>
          <w:color w:val="000000"/>
          <w:kern w:val="2"/>
          <w:sz w:val="24"/>
          <w:szCs w:val="24"/>
          <w:u w:val="none"/>
          <w:lang w:val="en-US" w:eastAsia="zh-CN" w:bidi="ar"/>
        </w:rPr>
        <w:t>施工监理</w:t>
      </w:r>
      <w:r>
        <w:rPr>
          <w:rFonts w:hint="eastAsia"/>
          <w:b w:val="0"/>
          <w:bCs/>
          <w:color w:val="000000"/>
          <w:sz w:val="24"/>
          <w:szCs w:val="24"/>
        </w:rPr>
        <w:t>项目，为保障双方的合法权益，使甲乙双方在采办过程中保持廉洁自律的工作作风，防止各种不正当行为的发生，甲乙双方同意订立本协议如下:</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一、甲乙双方应当自觉遵守国家、广东省和广州市有关法律法规以及有关廉政建设的各项规定。廉洁经营，对违反廉洁协议的人和事必须严肃处理。</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二、甲方及其工作人员不得以任何形式向乙方索要和收受回扣等好处费。</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三、甲方工作人员不得接受乙方的礼金（卡)、有价证券和贵重物品等，不得在乙方报销应由个人支付的费用。</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四、甲方及其工作人员应当保持与乙方的正常的业务交往，除公司安排的正常的对外业务活动外，甲方工作人员不得参加可能对公正执行业务有影响的宴请和娱乐活动。</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五、乙方及其工作人员不得利用向甲方及其工作人员行贿、提供回扣、送礼或者其它好处等不正当手段联系业务项目。</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六、乙方及其工作人员应按合同或双方约定的工作程序开展工作，不得为谋取私利擅自与甲方工作人员就项目所涉及的承包、费用、材料、变更、验收、质量问题处理等进行私下商谈或者达成默契。</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七、除双方正常的业务交往外，乙方不得以洽谈业务、签定经济合同等为借口，邀请甲方工作人员进行高消费的娱乐活动。</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八、乙方如发现甲方工作人员有违反上述协议者，应向甲方领导或具有审计风控职能的部门举报。甲方对举报属实和严格遵守《廉洁协议》的乙方，在同等条件下给予继续参加甲方今后有关项目投标的优先权。</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九、甲方发现乙方有违反本协议或者采取不正当的手段贿赂甲方工作人员，甲方根据具体情节和造成的后果追究乙方的违约责任。一经查实，甲方将取消乙方继续参与项目洽谈及竞标资格，如已签订合同，甲方有权中止项目合同，由此导致甲方所造成的损失以及发生的一切费用均由乙方承担。</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十、本协议作为广州市增城排水有限公司招投标项目实施期间甲乙双方的行为规范，应共同遵守。</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十一、本协议经乙方打印盖章签字后立即生效。本协议一式二份，甲乙双方各执一份。</w:t>
      </w:r>
    </w:p>
    <w:p>
      <w:pPr>
        <w:pStyle w:val="11"/>
        <w:spacing w:after="0" w:line="360" w:lineRule="auto"/>
        <w:ind w:firstLine="480" w:firstLineChars="200"/>
        <w:rPr>
          <w:rFonts w:hint="eastAsia"/>
          <w:b w:val="0"/>
          <w:bCs/>
          <w:color w:val="000000"/>
          <w:sz w:val="24"/>
          <w:szCs w:val="24"/>
        </w:rPr>
      </w:pPr>
    </w:p>
    <w:p>
      <w:pPr>
        <w:pStyle w:val="11"/>
        <w:spacing w:after="0" w:line="360" w:lineRule="auto"/>
        <w:ind w:firstLine="480" w:firstLineChars="200"/>
        <w:rPr>
          <w:rFonts w:hint="eastAsia"/>
          <w:b w:val="0"/>
          <w:bCs/>
          <w:color w:val="000000"/>
          <w:sz w:val="24"/>
          <w:szCs w:val="24"/>
        </w:rPr>
      </w:pPr>
    </w:p>
    <w:p>
      <w:pPr>
        <w:pStyle w:val="11"/>
        <w:spacing w:after="0" w:line="360" w:lineRule="auto"/>
        <w:ind w:firstLine="480" w:firstLineChars="200"/>
        <w:rPr>
          <w:rFonts w:hint="eastAsia"/>
          <w:b w:val="0"/>
          <w:bCs/>
          <w:color w:val="000000"/>
          <w:sz w:val="24"/>
          <w:szCs w:val="24"/>
        </w:rPr>
      </w:pPr>
    </w:p>
    <w:p>
      <w:pPr>
        <w:pStyle w:val="11"/>
        <w:spacing w:after="0" w:line="360" w:lineRule="auto"/>
        <w:ind w:firstLine="480" w:firstLineChars="200"/>
        <w:rPr>
          <w:rFonts w:hint="eastAsia" w:eastAsia="宋体"/>
          <w:b w:val="0"/>
          <w:bCs/>
          <w:color w:val="000000"/>
          <w:sz w:val="24"/>
          <w:szCs w:val="24"/>
          <w:lang w:eastAsia="zh-CN"/>
        </w:rPr>
      </w:pPr>
      <w:r>
        <w:rPr>
          <w:rFonts w:hint="eastAsia"/>
          <w:b w:val="0"/>
          <w:bCs/>
          <w:color w:val="000000"/>
          <w:sz w:val="24"/>
          <w:szCs w:val="24"/>
        </w:rPr>
        <w:t>甲方（盖章</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乙方（盖章）</w:t>
      </w:r>
      <w:r>
        <w:rPr>
          <w:rFonts w:hint="eastAsia"/>
          <w:b w:val="0"/>
          <w:bCs/>
          <w:color w:val="000000"/>
          <w:sz w:val="24"/>
          <w:szCs w:val="24"/>
          <w:lang w:eastAsia="zh-CN"/>
        </w:rPr>
        <w:t>：</w:t>
      </w:r>
    </w:p>
    <w:p>
      <w:pPr>
        <w:pStyle w:val="11"/>
        <w:spacing w:after="0" w:line="360" w:lineRule="auto"/>
        <w:ind w:firstLine="480" w:firstLineChars="200"/>
        <w:rPr>
          <w:rFonts w:hint="eastAsia" w:eastAsia="宋体"/>
          <w:b w:val="0"/>
          <w:bCs/>
          <w:color w:val="000000"/>
          <w:sz w:val="24"/>
          <w:szCs w:val="24"/>
          <w:lang w:eastAsia="zh-CN"/>
        </w:rPr>
      </w:pPr>
      <w:r>
        <w:rPr>
          <w:rFonts w:hint="eastAsia"/>
          <w:b w:val="0"/>
          <w:bCs/>
          <w:color w:val="000000"/>
          <w:sz w:val="24"/>
          <w:szCs w:val="24"/>
        </w:rPr>
        <w:t>签字代表</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签字代表</w:t>
      </w:r>
      <w:r>
        <w:rPr>
          <w:rFonts w:hint="eastAsia"/>
          <w:b w:val="0"/>
          <w:bCs/>
          <w:color w:val="000000"/>
          <w:sz w:val="24"/>
          <w:szCs w:val="24"/>
          <w:lang w:eastAsia="zh-CN"/>
        </w:rPr>
        <w:t>：</w:t>
      </w:r>
    </w:p>
    <w:p>
      <w:pPr>
        <w:pStyle w:val="11"/>
        <w:spacing w:after="0" w:line="360" w:lineRule="auto"/>
        <w:ind w:firstLine="480" w:firstLineChars="200"/>
        <w:rPr>
          <w:rFonts w:hint="eastAsia"/>
          <w:b w:val="0"/>
          <w:bCs/>
          <w:color w:val="000000"/>
          <w:sz w:val="24"/>
          <w:szCs w:val="24"/>
          <w:lang w:eastAsia="zh-CN"/>
        </w:rPr>
      </w:pPr>
      <w:r>
        <w:rPr>
          <w:rFonts w:hint="eastAsia"/>
          <w:b w:val="0"/>
          <w:bCs/>
          <w:color w:val="000000"/>
          <w:sz w:val="24"/>
          <w:szCs w:val="24"/>
        </w:rPr>
        <w:t>电话</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电话</w:t>
      </w:r>
      <w:r>
        <w:rPr>
          <w:rFonts w:hint="eastAsia"/>
          <w:b w:val="0"/>
          <w:bCs/>
          <w:color w:val="000000"/>
          <w:sz w:val="24"/>
          <w:szCs w:val="24"/>
          <w:lang w:eastAsia="zh-CN"/>
        </w:rPr>
        <w:t>：</w:t>
      </w:r>
    </w:p>
    <w:p>
      <w:pPr>
        <w:pStyle w:val="11"/>
        <w:spacing w:after="0" w:line="360" w:lineRule="auto"/>
        <w:ind w:firstLine="480" w:firstLineChars="200"/>
        <w:rPr>
          <w:rFonts w:hint="eastAsia"/>
          <w:b w:val="0"/>
          <w:bCs/>
          <w:color w:val="000000"/>
          <w:sz w:val="24"/>
          <w:szCs w:val="24"/>
        </w:rPr>
      </w:pPr>
      <w:r>
        <w:rPr>
          <w:rFonts w:hint="eastAsia"/>
          <w:b w:val="0"/>
          <w:bCs/>
          <w:color w:val="000000"/>
          <w:sz w:val="24"/>
          <w:szCs w:val="24"/>
        </w:rPr>
        <w:t>时间</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年</w:t>
      </w:r>
      <w:r>
        <w:rPr>
          <w:rFonts w:hint="eastAsia"/>
          <w:b w:val="0"/>
          <w:bCs/>
          <w:color w:val="000000"/>
          <w:sz w:val="24"/>
          <w:szCs w:val="24"/>
          <w:lang w:val="en-US" w:eastAsia="zh-CN"/>
        </w:rPr>
        <w:t xml:space="preserve">   </w:t>
      </w:r>
      <w:r>
        <w:rPr>
          <w:rFonts w:hint="eastAsia"/>
          <w:b w:val="0"/>
          <w:bCs/>
          <w:color w:val="000000"/>
          <w:sz w:val="24"/>
          <w:szCs w:val="24"/>
        </w:rPr>
        <w:t>月</w:t>
      </w:r>
      <w:r>
        <w:rPr>
          <w:rFonts w:hint="eastAsia"/>
          <w:b w:val="0"/>
          <w:bCs/>
          <w:color w:val="000000"/>
          <w:sz w:val="24"/>
          <w:szCs w:val="24"/>
          <w:lang w:val="en-US" w:eastAsia="zh-CN"/>
        </w:rPr>
        <w:t xml:space="preserve">   </w:t>
      </w:r>
      <w:r>
        <w:rPr>
          <w:rFonts w:hint="eastAsia"/>
          <w:b w:val="0"/>
          <w:bCs/>
          <w:color w:val="000000"/>
          <w:sz w:val="24"/>
          <w:szCs w:val="24"/>
        </w:rPr>
        <w:t>日</w:t>
      </w:r>
      <w:r>
        <w:rPr>
          <w:rFonts w:hint="eastAsia"/>
          <w:b w:val="0"/>
          <w:bCs/>
          <w:color w:val="000000"/>
          <w:sz w:val="24"/>
          <w:szCs w:val="24"/>
          <w:lang w:val="en-US" w:eastAsia="zh-CN"/>
        </w:rPr>
        <w:t xml:space="preserve">                </w:t>
      </w:r>
      <w:r>
        <w:rPr>
          <w:rFonts w:hint="eastAsia"/>
          <w:b w:val="0"/>
          <w:bCs/>
          <w:color w:val="000000"/>
          <w:sz w:val="24"/>
          <w:szCs w:val="24"/>
        </w:rPr>
        <w:t>时间</w:t>
      </w:r>
      <w:r>
        <w:rPr>
          <w:rFonts w:hint="eastAsia"/>
          <w:b w:val="0"/>
          <w:bCs/>
          <w:color w:val="000000"/>
          <w:sz w:val="24"/>
          <w:szCs w:val="24"/>
          <w:lang w:eastAsia="zh-CN"/>
        </w:rPr>
        <w:t>：</w:t>
      </w:r>
      <w:r>
        <w:rPr>
          <w:rFonts w:hint="eastAsia"/>
          <w:b w:val="0"/>
          <w:bCs/>
          <w:color w:val="000000"/>
          <w:sz w:val="24"/>
          <w:szCs w:val="24"/>
          <w:lang w:val="en-US" w:eastAsia="zh-CN"/>
        </w:rPr>
        <w:t xml:space="preserve">    </w:t>
      </w:r>
      <w:r>
        <w:rPr>
          <w:rFonts w:hint="eastAsia"/>
          <w:b w:val="0"/>
          <w:bCs/>
          <w:color w:val="000000"/>
          <w:sz w:val="24"/>
          <w:szCs w:val="24"/>
        </w:rPr>
        <w:t>年</w:t>
      </w:r>
      <w:r>
        <w:rPr>
          <w:rFonts w:hint="eastAsia"/>
          <w:b w:val="0"/>
          <w:bCs/>
          <w:color w:val="000000"/>
          <w:sz w:val="24"/>
          <w:szCs w:val="24"/>
          <w:lang w:val="en-US" w:eastAsia="zh-CN"/>
        </w:rPr>
        <w:t xml:space="preserve">   </w:t>
      </w:r>
      <w:r>
        <w:rPr>
          <w:rFonts w:hint="eastAsia"/>
          <w:b w:val="0"/>
          <w:bCs/>
          <w:color w:val="000000"/>
          <w:sz w:val="24"/>
          <w:szCs w:val="24"/>
        </w:rPr>
        <w:t>月</w:t>
      </w:r>
      <w:r>
        <w:rPr>
          <w:rFonts w:hint="eastAsia"/>
          <w:b w:val="0"/>
          <w:bCs/>
          <w:color w:val="000000"/>
          <w:sz w:val="24"/>
          <w:szCs w:val="24"/>
          <w:lang w:val="en-US" w:eastAsia="zh-CN"/>
        </w:rPr>
        <w:t xml:space="preserve">   </w:t>
      </w:r>
      <w:r>
        <w:rPr>
          <w:rFonts w:hint="eastAsia"/>
          <w:b w:val="0"/>
          <w:bCs/>
          <w:color w:val="000000"/>
          <w:sz w:val="24"/>
          <w:szCs w:val="24"/>
        </w:rPr>
        <w:t>日</w:t>
      </w:r>
    </w:p>
    <w:p>
      <w:pPr>
        <w:rPr>
          <w:rFonts w:hint="eastAsia"/>
          <w:b w:val="0"/>
          <w:bCs/>
          <w:color w:val="000000"/>
          <w:sz w:val="24"/>
          <w:szCs w:val="24"/>
        </w:rPr>
      </w:pPr>
      <w:r>
        <w:rPr>
          <w:rFonts w:hint="eastAsia"/>
          <w:b w:val="0"/>
          <w:bCs/>
          <w:color w:val="000000"/>
          <w:sz w:val="24"/>
          <w:szCs w:val="24"/>
        </w:rPr>
        <w:br w:type="page"/>
      </w:r>
    </w:p>
    <w:p>
      <w:pPr>
        <w:rPr>
          <w:rFonts w:hint="eastAsia"/>
          <w:lang w:val="en-US" w:eastAsia="zh-CN"/>
        </w:rPr>
      </w:pPr>
    </w:p>
    <w:p>
      <w:pPr>
        <w:pStyle w:val="2"/>
        <w:keepNext w:val="0"/>
        <w:keepLines w:val="0"/>
        <w:spacing w:before="0" w:after="0"/>
        <w:ind w:firstLine="643" w:firstLineChars="200"/>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rPr>
        <w:t>、资格审查资料</w:t>
      </w:r>
      <w:bookmarkEnd w:id="777"/>
    </w:p>
    <w:p>
      <w:pPr>
        <w:pStyle w:val="4"/>
        <w:keepNext w:val="0"/>
        <w:keepLines w:val="0"/>
        <w:spacing w:before="0" w:after="0"/>
        <w:ind w:firstLine="560" w:firstLineChars="200"/>
        <w:jc w:val="center"/>
        <w:rPr>
          <w:rFonts w:ascii="Times New Roman" w:hAnsi="Times New Roman"/>
          <w:color w:val="auto"/>
          <w:highlight w:val="none"/>
        </w:rPr>
      </w:pPr>
      <w:bookmarkStart w:id="778" w:name="_Toc89870675"/>
      <w:r>
        <w:rPr>
          <w:rFonts w:ascii="Times New Roman" w:hAnsi="Times New Roman"/>
          <w:color w:val="auto"/>
          <w:highlight w:val="none"/>
        </w:rPr>
        <w:t>（一）基本情况表</w:t>
      </w:r>
      <w:bookmarkEnd w:id="778"/>
    </w:p>
    <w:tbl>
      <w:tblPr>
        <w:tblStyle w:val="24"/>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ascii="Times New Roman" w:hAnsi="Times New Roman"/>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ascii="Times New Roman" w:hAnsi="Times New Roman"/>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0" w:firstLineChars="0"/>
              <w:rPr>
                <w:rFonts w:ascii="Times New Roman" w:hAnsi="Times New Roman"/>
                <w:color w:val="auto"/>
                <w:highlight w:val="none"/>
              </w:rPr>
            </w:pPr>
            <w:r>
              <w:rPr>
                <w:rFonts w:ascii="Times New Roman" w:hAnsi="Times New Roman"/>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企业</w:t>
            </w:r>
            <w:r>
              <w:rPr>
                <w:rFonts w:ascii="Times New Roman" w:hAnsi="Times New Roman"/>
                <w:color w:val="auto"/>
                <w:szCs w:val="21"/>
                <w:highlight w:val="none"/>
              </w:rPr>
              <w:t>监理</w:t>
            </w:r>
            <w:r>
              <w:rPr>
                <w:rFonts w:ascii="Times New Roman" w:hAnsi="Times New Roman"/>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Times New Roman" w:hAnsi="Times New Roman"/>
                <w:color w:val="auto"/>
                <w:highlight w:val="none"/>
              </w:rPr>
            </w:pPr>
            <w:r>
              <w:rPr>
                <w:rFonts w:ascii="Times New Roman" w:hAnsi="Times New Roman"/>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top"/>
          </w:tcPr>
          <w:p>
            <w:pPr>
              <w:topLinePunct/>
              <w:spacing w:before="100" w:beforeAutospacing="1" w:after="100" w:afterAutospacing="1" w:line="440" w:lineRule="exact"/>
              <w:jc w:val="both"/>
              <w:rPr>
                <w:rFonts w:ascii="Times New Roman" w:hAnsi="Times New Roman"/>
                <w:color w:val="auto"/>
                <w:highlight w:val="none"/>
              </w:rPr>
            </w:pPr>
            <w:r>
              <w:rPr>
                <w:rFonts w:ascii="Times New Roman" w:hAnsi="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p>
        </w:tc>
      </w:tr>
    </w:tbl>
    <w:p>
      <w:pPr>
        <w:spacing w:line="400" w:lineRule="exact"/>
        <w:rPr>
          <w:rFonts w:ascii="Times New Roman" w:hAnsi="Times New Roman"/>
          <w:color w:val="auto"/>
          <w:highlight w:val="none"/>
        </w:rPr>
      </w:pPr>
      <w:r>
        <w:rPr>
          <w:rFonts w:ascii="Times New Roman" w:hAnsi="Times New Roman"/>
          <w:color w:val="auto"/>
          <w:highlight w:val="none"/>
        </w:rPr>
        <w:t>注：投标人应根据投标人须知第3.5.</w:t>
      </w:r>
      <w:r>
        <w:rPr>
          <w:rFonts w:hint="eastAsia" w:ascii="Times New Roman" w:hAnsi="Times New Roman"/>
          <w:color w:val="auto"/>
          <w:highlight w:val="none"/>
        </w:rPr>
        <w:t>2及3.5.3</w:t>
      </w:r>
      <w:r>
        <w:rPr>
          <w:rFonts w:ascii="Times New Roman" w:hAnsi="Times New Roman"/>
          <w:color w:val="auto"/>
          <w:highlight w:val="none"/>
        </w:rPr>
        <w:t>项的要求在本表后附相关证明材料。境内投标人以现金或者支票形式提交投标保证金的，还应附基本账户开户</w:t>
      </w:r>
      <w:r>
        <w:rPr>
          <w:rFonts w:hint="eastAsia" w:ascii="Times New Roman" w:hAnsi="Times New Roman"/>
          <w:color w:val="auto"/>
          <w:highlight w:val="none"/>
        </w:rPr>
        <w:t>证明</w:t>
      </w:r>
      <w:r>
        <w:rPr>
          <w:rFonts w:ascii="Times New Roman" w:hAnsi="Times New Roman"/>
          <w:color w:val="auto"/>
          <w:highlight w:val="none"/>
        </w:rPr>
        <w:t>复印件。</w:t>
      </w:r>
    </w:p>
    <w:p>
      <w:pPr>
        <w:rPr>
          <w:color w:val="auto"/>
          <w:highlight w:val="none"/>
        </w:rPr>
      </w:pPr>
    </w:p>
    <w:bookmarkEnd w:id="686"/>
    <w:p>
      <w:pPr>
        <w:widowControl/>
        <w:jc w:val="left"/>
        <w:rPr>
          <w:rFonts w:ascii="Times New Roman" w:hAnsi="Times New Roman" w:eastAsia="黑体"/>
          <w:color w:val="auto"/>
          <w:sz w:val="28"/>
          <w:szCs w:val="20"/>
          <w:highlight w:val="none"/>
        </w:rPr>
      </w:pPr>
      <w:bookmarkStart w:id="779" w:name="_Toc144974873"/>
      <w:bookmarkStart w:id="780" w:name="_Toc370676440"/>
      <w:bookmarkStart w:id="781" w:name="_Toc179632825"/>
      <w:bookmarkStart w:id="782" w:name="_Toc152045805"/>
      <w:bookmarkStart w:id="783" w:name="_Toc359594249"/>
      <w:bookmarkStart w:id="784" w:name="_Toc482188668"/>
      <w:bookmarkStart w:id="785" w:name="_Toc300835232"/>
      <w:bookmarkStart w:id="786" w:name="_Toc391394125"/>
      <w:bookmarkStart w:id="787" w:name="_Toc384308390"/>
      <w:bookmarkStart w:id="788" w:name="_Toc152042594"/>
      <w:bookmarkStart w:id="789" w:name="_Toc9737"/>
      <w:bookmarkStart w:id="790" w:name="_Toc385943079"/>
      <w:bookmarkStart w:id="791" w:name="_Toc89870676"/>
      <w:r>
        <w:rPr>
          <w:rFonts w:ascii="Times New Roman" w:hAnsi="Times New Roman"/>
          <w:color w:val="auto"/>
          <w:highlight w:val="none"/>
        </w:rPr>
        <w:br w:type="page"/>
      </w:r>
    </w:p>
    <w:p>
      <w:pPr>
        <w:pStyle w:val="4"/>
        <w:keepNext w:val="0"/>
        <w:keepLines w:val="0"/>
        <w:spacing w:before="20" w:after="0"/>
        <w:ind w:firstLine="137"/>
        <w:jc w:val="cente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二</w:t>
      </w:r>
      <w:r>
        <w:rPr>
          <w:rFonts w:ascii="Times New Roman" w:hAnsi="Times New Roman"/>
          <w:color w:val="auto"/>
          <w:highlight w:val="none"/>
        </w:rPr>
        <w:t>）</w:t>
      </w:r>
      <w:r>
        <w:rPr>
          <w:rFonts w:hint="eastAsia" w:ascii="Times New Roman" w:hAnsi="Times New Roman"/>
          <w:color w:val="auto"/>
          <w:highlight w:val="none"/>
        </w:rPr>
        <w:t>总监理工程师</w:t>
      </w:r>
      <w:r>
        <w:rPr>
          <w:rFonts w:ascii="Times New Roman" w:hAnsi="Times New Roman"/>
          <w:color w:val="auto"/>
          <w:highlight w:val="none"/>
        </w:rPr>
        <w:t>简历表</w:t>
      </w:r>
      <w:bookmarkEnd w:id="779"/>
      <w:bookmarkEnd w:id="780"/>
      <w:bookmarkEnd w:id="781"/>
      <w:bookmarkEnd w:id="782"/>
      <w:bookmarkEnd w:id="783"/>
      <w:bookmarkEnd w:id="784"/>
      <w:bookmarkEnd w:id="785"/>
      <w:bookmarkEnd w:id="786"/>
      <w:bookmarkEnd w:id="787"/>
      <w:bookmarkEnd w:id="788"/>
      <w:bookmarkEnd w:id="789"/>
      <w:bookmarkEnd w:id="790"/>
      <w:bookmarkEnd w:id="791"/>
    </w:p>
    <w:p>
      <w:pPr>
        <w:topLinePunct/>
        <w:spacing w:line="440" w:lineRule="exact"/>
        <w:jc w:val="center"/>
        <w:rPr>
          <w:rFonts w:ascii="Times New Roman" w:hAnsi="Times New Roman"/>
          <w:color w:val="auto"/>
          <w:sz w:val="23"/>
          <w:highlight w:val="none"/>
        </w:rPr>
      </w:pPr>
    </w:p>
    <w:tbl>
      <w:tblPr>
        <w:tblStyle w:val="24"/>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374"/>
        <w:gridCol w:w="724"/>
        <w:gridCol w:w="1004"/>
        <w:gridCol w:w="1116"/>
        <w:gridCol w:w="739"/>
        <w:gridCol w:w="1321"/>
        <w:gridCol w:w="421"/>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44"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姓  名</w:t>
            </w:r>
          </w:p>
        </w:tc>
        <w:tc>
          <w:tcPr>
            <w:tcW w:w="1098" w:type="dxa"/>
            <w:gridSpan w:val="2"/>
            <w:vAlign w:val="center"/>
          </w:tcPr>
          <w:p>
            <w:pPr>
              <w:spacing w:line="440" w:lineRule="exact"/>
              <w:jc w:val="center"/>
              <w:rPr>
                <w:rFonts w:ascii="Times New Roman" w:hAnsi="Times New Roman"/>
                <w:color w:val="auto"/>
                <w:highlight w:val="none"/>
              </w:rPr>
            </w:pPr>
          </w:p>
        </w:tc>
        <w:tc>
          <w:tcPr>
            <w:tcW w:w="1004"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年龄</w:t>
            </w:r>
          </w:p>
        </w:tc>
        <w:tc>
          <w:tcPr>
            <w:tcW w:w="1116" w:type="dxa"/>
            <w:vAlign w:val="center"/>
          </w:tcPr>
          <w:p>
            <w:pPr>
              <w:spacing w:line="440" w:lineRule="exact"/>
              <w:jc w:val="center"/>
              <w:rPr>
                <w:rFonts w:ascii="Times New Roman" w:hAnsi="Times New Roman"/>
                <w:color w:val="auto"/>
                <w:highlight w:val="none"/>
              </w:rPr>
            </w:pPr>
          </w:p>
        </w:tc>
        <w:tc>
          <w:tcPr>
            <w:tcW w:w="2481" w:type="dxa"/>
            <w:gridSpan w:val="3"/>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执业资格证书（或上岗证书）名称</w:t>
            </w:r>
          </w:p>
        </w:tc>
        <w:tc>
          <w:tcPr>
            <w:tcW w:w="1986"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4"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职  称</w:t>
            </w:r>
          </w:p>
        </w:tc>
        <w:tc>
          <w:tcPr>
            <w:tcW w:w="1098" w:type="dxa"/>
            <w:gridSpan w:val="2"/>
            <w:vAlign w:val="center"/>
          </w:tcPr>
          <w:p>
            <w:pPr>
              <w:spacing w:line="440" w:lineRule="exact"/>
              <w:jc w:val="center"/>
              <w:rPr>
                <w:rFonts w:ascii="Times New Roman" w:hAnsi="Times New Roman"/>
                <w:color w:val="auto"/>
                <w:highlight w:val="none"/>
              </w:rPr>
            </w:pPr>
          </w:p>
        </w:tc>
        <w:tc>
          <w:tcPr>
            <w:tcW w:w="1004"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学历</w:t>
            </w:r>
          </w:p>
        </w:tc>
        <w:tc>
          <w:tcPr>
            <w:tcW w:w="1116" w:type="dxa"/>
            <w:vAlign w:val="center"/>
          </w:tcPr>
          <w:p>
            <w:pPr>
              <w:spacing w:line="440" w:lineRule="exact"/>
              <w:jc w:val="center"/>
              <w:rPr>
                <w:rFonts w:ascii="Times New Roman" w:hAnsi="Times New Roman"/>
                <w:color w:val="auto"/>
                <w:highlight w:val="none"/>
              </w:rPr>
            </w:pPr>
          </w:p>
        </w:tc>
        <w:tc>
          <w:tcPr>
            <w:tcW w:w="2481" w:type="dxa"/>
            <w:gridSpan w:val="3"/>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拟在本项目任职</w:t>
            </w:r>
          </w:p>
        </w:tc>
        <w:tc>
          <w:tcPr>
            <w:tcW w:w="1986"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4"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工作年限</w:t>
            </w:r>
          </w:p>
        </w:tc>
        <w:tc>
          <w:tcPr>
            <w:tcW w:w="3218" w:type="dxa"/>
            <w:gridSpan w:val="4"/>
            <w:vAlign w:val="center"/>
          </w:tcPr>
          <w:p>
            <w:pPr>
              <w:spacing w:line="440" w:lineRule="exact"/>
              <w:jc w:val="center"/>
              <w:rPr>
                <w:rFonts w:ascii="Times New Roman" w:hAnsi="Times New Roman"/>
                <w:color w:val="auto"/>
                <w:highlight w:val="none"/>
              </w:rPr>
            </w:pPr>
          </w:p>
        </w:tc>
        <w:tc>
          <w:tcPr>
            <w:tcW w:w="2481" w:type="dxa"/>
            <w:gridSpan w:val="3"/>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从事监理工作年限</w:t>
            </w:r>
          </w:p>
        </w:tc>
        <w:tc>
          <w:tcPr>
            <w:tcW w:w="1986"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44"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毕业学校</w:t>
            </w:r>
          </w:p>
        </w:tc>
        <w:tc>
          <w:tcPr>
            <w:tcW w:w="7685" w:type="dxa"/>
            <w:gridSpan w:val="8"/>
            <w:vAlign w:val="center"/>
          </w:tcPr>
          <w:p>
            <w:pPr>
              <w:spacing w:before="100" w:beforeAutospacing="1" w:after="100" w:afterAutospacing="1" w:line="440" w:lineRule="exact"/>
              <w:ind w:firstLine="1155" w:firstLineChars="550"/>
              <w:rPr>
                <w:rFonts w:ascii="Times New Roman" w:hAnsi="Times New Roman"/>
                <w:color w:val="auto"/>
                <w:highlight w:val="none"/>
              </w:rPr>
            </w:pPr>
            <w:r>
              <w:rPr>
                <w:rFonts w:ascii="Times New Roman" w:hAnsi="Times New Roman"/>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29" w:type="dxa"/>
            <w:gridSpan w:val="9"/>
            <w:vAlign w:val="center"/>
          </w:tcPr>
          <w:p>
            <w:pPr>
              <w:spacing w:before="100" w:beforeAutospacing="1" w:after="100" w:afterAutospacing="1" w:line="440" w:lineRule="exact"/>
              <w:jc w:val="left"/>
              <w:rPr>
                <w:rFonts w:ascii="Times New Roman" w:hAnsi="Times New Roman"/>
                <w:color w:val="auto"/>
                <w:highlight w:val="none"/>
              </w:rPr>
            </w:pPr>
            <w:r>
              <w:rPr>
                <w:rFonts w:ascii="Times New Roman" w:hAnsi="Times New Roman"/>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18" w:type="dxa"/>
            <w:gridSpan w:val="2"/>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时  间</w:t>
            </w:r>
          </w:p>
        </w:tc>
        <w:tc>
          <w:tcPr>
            <w:tcW w:w="3583" w:type="dxa"/>
            <w:gridSpan w:val="4"/>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参加过的类似项目</w:t>
            </w:r>
          </w:p>
        </w:tc>
        <w:tc>
          <w:tcPr>
            <w:tcW w:w="1321"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担任职务</w:t>
            </w:r>
          </w:p>
        </w:tc>
        <w:tc>
          <w:tcPr>
            <w:tcW w:w="2407" w:type="dxa"/>
            <w:gridSpan w:val="2"/>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tcPr>
          <w:p>
            <w:pPr>
              <w:spacing w:line="440" w:lineRule="exact"/>
              <w:rPr>
                <w:rFonts w:ascii="Times New Roman" w:hAnsi="Times New Roman"/>
                <w:color w:val="auto"/>
                <w:highlight w:val="none"/>
              </w:rPr>
            </w:pPr>
          </w:p>
        </w:tc>
        <w:tc>
          <w:tcPr>
            <w:tcW w:w="3583" w:type="dxa"/>
            <w:gridSpan w:val="4"/>
          </w:tcPr>
          <w:p>
            <w:pPr>
              <w:spacing w:line="440" w:lineRule="exact"/>
              <w:rPr>
                <w:rFonts w:ascii="Times New Roman" w:hAnsi="Times New Roman"/>
                <w:color w:val="auto"/>
                <w:highlight w:val="none"/>
              </w:rPr>
            </w:pPr>
          </w:p>
        </w:tc>
        <w:tc>
          <w:tcPr>
            <w:tcW w:w="1321" w:type="dxa"/>
          </w:tcPr>
          <w:p>
            <w:pPr>
              <w:spacing w:line="440" w:lineRule="exact"/>
              <w:rPr>
                <w:rFonts w:ascii="Times New Roman" w:hAnsi="Times New Roman"/>
                <w:color w:val="auto"/>
                <w:highlight w:val="none"/>
              </w:rPr>
            </w:pPr>
          </w:p>
        </w:tc>
        <w:tc>
          <w:tcPr>
            <w:tcW w:w="2407"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tcPr>
          <w:p>
            <w:pPr>
              <w:spacing w:line="440" w:lineRule="exact"/>
              <w:rPr>
                <w:rFonts w:ascii="Times New Roman" w:hAnsi="Times New Roman"/>
                <w:color w:val="auto"/>
                <w:highlight w:val="none"/>
              </w:rPr>
            </w:pPr>
          </w:p>
        </w:tc>
        <w:tc>
          <w:tcPr>
            <w:tcW w:w="3583" w:type="dxa"/>
            <w:gridSpan w:val="4"/>
          </w:tcPr>
          <w:p>
            <w:pPr>
              <w:spacing w:line="440" w:lineRule="exact"/>
              <w:rPr>
                <w:rFonts w:ascii="Times New Roman" w:hAnsi="Times New Roman"/>
                <w:color w:val="auto"/>
                <w:highlight w:val="none"/>
              </w:rPr>
            </w:pPr>
          </w:p>
        </w:tc>
        <w:tc>
          <w:tcPr>
            <w:tcW w:w="1321" w:type="dxa"/>
          </w:tcPr>
          <w:p>
            <w:pPr>
              <w:spacing w:line="440" w:lineRule="exact"/>
              <w:rPr>
                <w:rFonts w:ascii="Times New Roman" w:hAnsi="Times New Roman"/>
                <w:color w:val="auto"/>
                <w:highlight w:val="none"/>
              </w:rPr>
            </w:pPr>
          </w:p>
        </w:tc>
        <w:tc>
          <w:tcPr>
            <w:tcW w:w="2407"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tcPr>
          <w:p>
            <w:pPr>
              <w:spacing w:line="440" w:lineRule="exact"/>
              <w:rPr>
                <w:rFonts w:ascii="Times New Roman" w:hAnsi="Times New Roman"/>
                <w:color w:val="auto"/>
                <w:highlight w:val="none"/>
              </w:rPr>
            </w:pPr>
          </w:p>
        </w:tc>
        <w:tc>
          <w:tcPr>
            <w:tcW w:w="3583" w:type="dxa"/>
            <w:gridSpan w:val="4"/>
          </w:tcPr>
          <w:p>
            <w:pPr>
              <w:spacing w:line="440" w:lineRule="exact"/>
              <w:rPr>
                <w:rFonts w:ascii="Times New Roman" w:hAnsi="Times New Roman"/>
                <w:color w:val="auto"/>
                <w:highlight w:val="none"/>
              </w:rPr>
            </w:pPr>
          </w:p>
        </w:tc>
        <w:tc>
          <w:tcPr>
            <w:tcW w:w="1321" w:type="dxa"/>
          </w:tcPr>
          <w:p>
            <w:pPr>
              <w:spacing w:line="440" w:lineRule="exact"/>
              <w:rPr>
                <w:rFonts w:ascii="Times New Roman" w:hAnsi="Times New Roman"/>
                <w:color w:val="auto"/>
                <w:highlight w:val="none"/>
              </w:rPr>
            </w:pPr>
          </w:p>
        </w:tc>
        <w:tc>
          <w:tcPr>
            <w:tcW w:w="2407"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vAlign w:val="center"/>
          </w:tcPr>
          <w:p>
            <w:pPr>
              <w:spacing w:line="440" w:lineRule="exact"/>
              <w:rPr>
                <w:rFonts w:ascii="Times New Roman" w:hAnsi="Times New Roman"/>
                <w:color w:val="auto"/>
                <w:highlight w:val="none"/>
              </w:rPr>
            </w:pPr>
          </w:p>
        </w:tc>
        <w:tc>
          <w:tcPr>
            <w:tcW w:w="3583" w:type="dxa"/>
            <w:gridSpan w:val="4"/>
            <w:vAlign w:val="center"/>
          </w:tcPr>
          <w:p>
            <w:pPr>
              <w:spacing w:line="440" w:lineRule="exact"/>
              <w:rPr>
                <w:rFonts w:ascii="Times New Roman" w:hAnsi="Times New Roman"/>
                <w:color w:val="auto"/>
                <w:highlight w:val="none"/>
              </w:rPr>
            </w:pPr>
          </w:p>
        </w:tc>
        <w:tc>
          <w:tcPr>
            <w:tcW w:w="1321" w:type="dxa"/>
            <w:vAlign w:val="center"/>
          </w:tcPr>
          <w:p>
            <w:pPr>
              <w:spacing w:line="440" w:lineRule="exact"/>
              <w:rPr>
                <w:rFonts w:ascii="Times New Roman" w:hAnsi="Times New Roman"/>
                <w:color w:val="auto"/>
                <w:highlight w:val="none"/>
              </w:rPr>
            </w:pPr>
          </w:p>
        </w:tc>
        <w:tc>
          <w:tcPr>
            <w:tcW w:w="2407"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vAlign w:val="center"/>
          </w:tcPr>
          <w:p>
            <w:pPr>
              <w:spacing w:line="440" w:lineRule="exact"/>
              <w:rPr>
                <w:rFonts w:ascii="Times New Roman" w:hAnsi="Times New Roman"/>
                <w:color w:val="auto"/>
                <w:highlight w:val="none"/>
              </w:rPr>
            </w:pPr>
          </w:p>
        </w:tc>
        <w:tc>
          <w:tcPr>
            <w:tcW w:w="3583" w:type="dxa"/>
            <w:gridSpan w:val="4"/>
            <w:vAlign w:val="center"/>
          </w:tcPr>
          <w:p>
            <w:pPr>
              <w:spacing w:line="440" w:lineRule="exact"/>
              <w:rPr>
                <w:rFonts w:ascii="Times New Roman" w:hAnsi="Times New Roman"/>
                <w:color w:val="auto"/>
                <w:highlight w:val="none"/>
              </w:rPr>
            </w:pPr>
          </w:p>
        </w:tc>
        <w:tc>
          <w:tcPr>
            <w:tcW w:w="1321" w:type="dxa"/>
            <w:vAlign w:val="center"/>
          </w:tcPr>
          <w:p>
            <w:pPr>
              <w:spacing w:line="440" w:lineRule="exact"/>
              <w:rPr>
                <w:rFonts w:ascii="Times New Roman" w:hAnsi="Times New Roman"/>
                <w:color w:val="auto"/>
                <w:highlight w:val="none"/>
              </w:rPr>
            </w:pPr>
          </w:p>
        </w:tc>
        <w:tc>
          <w:tcPr>
            <w:tcW w:w="2407"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vAlign w:val="center"/>
          </w:tcPr>
          <w:p>
            <w:pPr>
              <w:spacing w:line="440" w:lineRule="exact"/>
              <w:rPr>
                <w:rFonts w:ascii="Times New Roman" w:hAnsi="Times New Roman"/>
                <w:color w:val="auto"/>
                <w:highlight w:val="none"/>
              </w:rPr>
            </w:pPr>
          </w:p>
        </w:tc>
        <w:tc>
          <w:tcPr>
            <w:tcW w:w="3583" w:type="dxa"/>
            <w:gridSpan w:val="4"/>
            <w:vAlign w:val="center"/>
          </w:tcPr>
          <w:p>
            <w:pPr>
              <w:spacing w:line="440" w:lineRule="exact"/>
              <w:rPr>
                <w:rFonts w:ascii="Times New Roman" w:hAnsi="Times New Roman"/>
                <w:color w:val="auto"/>
                <w:highlight w:val="none"/>
              </w:rPr>
            </w:pPr>
          </w:p>
        </w:tc>
        <w:tc>
          <w:tcPr>
            <w:tcW w:w="1321" w:type="dxa"/>
            <w:vAlign w:val="center"/>
          </w:tcPr>
          <w:p>
            <w:pPr>
              <w:spacing w:line="440" w:lineRule="exact"/>
              <w:rPr>
                <w:rFonts w:ascii="Times New Roman" w:hAnsi="Times New Roman"/>
                <w:color w:val="auto"/>
                <w:highlight w:val="none"/>
              </w:rPr>
            </w:pPr>
          </w:p>
        </w:tc>
        <w:tc>
          <w:tcPr>
            <w:tcW w:w="2407"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8" w:type="dxa"/>
            <w:gridSpan w:val="2"/>
            <w:vAlign w:val="center"/>
          </w:tcPr>
          <w:p>
            <w:pPr>
              <w:spacing w:line="440" w:lineRule="exact"/>
              <w:rPr>
                <w:rFonts w:ascii="Times New Roman" w:hAnsi="Times New Roman"/>
                <w:color w:val="auto"/>
                <w:highlight w:val="none"/>
              </w:rPr>
            </w:pPr>
          </w:p>
        </w:tc>
        <w:tc>
          <w:tcPr>
            <w:tcW w:w="3583" w:type="dxa"/>
            <w:gridSpan w:val="4"/>
            <w:vAlign w:val="center"/>
          </w:tcPr>
          <w:p>
            <w:pPr>
              <w:spacing w:line="440" w:lineRule="exact"/>
              <w:rPr>
                <w:rFonts w:ascii="Times New Roman" w:hAnsi="Times New Roman"/>
                <w:color w:val="auto"/>
                <w:highlight w:val="none"/>
              </w:rPr>
            </w:pPr>
          </w:p>
        </w:tc>
        <w:tc>
          <w:tcPr>
            <w:tcW w:w="1321" w:type="dxa"/>
            <w:vAlign w:val="center"/>
          </w:tcPr>
          <w:p>
            <w:pPr>
              <w:spacing w:line="440" w:lineRule="exact"/>
              <w:rPr>
                <w:rFonts w:ascii="Times New Roman" w:hAnsi="Times New Roman"/>
                <w:color w:val="auto"/>
                <w:highlight w:val="none"/>
              </w:rPr>
            </w:pPr>
          </w:p>
        </w:tc>
        <w:tc>
          <w:tcPr>
            <w:tcW w:w="2407" w:type="dxa"/>
            <w:gridSpan w:val="2"/>
            <w:vAlign w:val="center"/>
          </w:tcPr>
          <w:p>
            <w:pPr>
              <w:spacing w:line="440" w:lineRule="exact"/>
              <w:rPr>
                <w:rFonts w:ascii="Times New Roman" w:hAnsi="Times New Roman"/>
                <w:color w:val="auto"/>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注：投标人应根据投标人须知第3.5.</w:t>
      </w:r>
      <w:r>
        <w:rPr>
          <w:rFonts w:hint="eastAsia" w:ascii="Times New Roman" w:hAnsi="Times New Roman"/>
          <w:color w:val="auto"/>
          <w:highlight w:val="none"/>
        </w:rPr>
        <w:t>4</w:t>
      </w:r>
      <w:r>
        <w:rPr>
          <w:rFonts w:ascii="Times New Roman" w:hAnsi="Times New Roman"/>
          <w:color w:val="auto"/>
          <w:highlight w:val="none"/>
        </w:rPr>
        <w:t>项的要求在本表后附相关证明材料。</w:t>
      </w:r>
      <w:r>
        <w:rPr>
          <w:rFonts w:hint="eastAsia" w:ascii="Times New Roman" w:hAnsi="Times New Roman"/>
          <w:color w:val="auto"/>
          <w:highlight w:val="none"/>
        </w:rPr>
        <w:t>本项目社保缴纳期限包含疫情期，若当地政府部门允许企业在疫情期间缓缴社会保险费且投标人未缴纳的，投标人可提供当地政府部门允许缓缴社保的相关文件作为缴纳社保的证明。</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bookmarkStart w:id="792" w:name="_Toc300835229"/>
      <w:bookmarkStart w:id="793" w:name="_Toc352703741"/>
    </w:p>
    <w:p>
      <w:pPr>
        <w:spacing w:line="440" w:lineRule="exact"/>
        <w:jc w:val="center"/>
        <w:rPr>
          <w:rFonts w:ascii="Times New Roman" w:hAnsi="Times New Roman" w:eastAsia="黑体"/>
          <w:color w:val="auto"/>
          <w:sz w:val="28"/>
          <w:szCs w:val="20"/>
          <w:highlight w:val="none"/>
        </w:rPr>
      </w:pPr>
    </w:p>
    <w:bookmarkEnd w:id="792"/>
    <w:bookmarkEnd w:id="793"/>
    <w:p>
      <w:pPr>
        <w:pStyle w:val="4"/>
        <w:keepNext w:val="0"/>
        <w:keepLines w:val="0"/>
        <w:spacing w:before="20" w:after="0"/>
        <w:ind w:firstLine="137"/>
        <w:jc w:val="center"/>
        <w:rPr>
          <w:rFonts w:ascii="Times New Roman" w:hAnsi="Times New Roman"/>
          <w:color w:val="auto"/>
          <w:highlight w:val="none"/>
        </w:rPr>
      </w:pPr>
      <w:bookmarkStart w:id="794" w:name="_Toc482188666"/>
      <w:r>
        <w:rPr>
          <w:rFonts w:ascii="Times New Roman" w:hAnsi="Times New Roman"/>
          <w:color w:val="auto"/>
          <w:highlight w:val="none"/>
        </w:rPr>
        <w:br w:type="page"/>
      </w:r>
      <w:bookmarkEnd w:id="794"/>
      <w:bookmarkStart w:id="795" w:name="_Toc89870678"/>
      <w:r>
        <w:rPr>
          <w:rFonts w:ascii="Times New Roman" w:hAnsi="Times New Roman"/>
          <w:color w:val="auto"/>
          <w:highlight w:val="none"/>
        </w:rPr>
        <w:t>（</w:t>
      </w:r>
      <w:r>
        <w:rPr>
          <w:rFonts w:hint="eastAsia" w:ascii="Times New Roman" w:hAnsi="Times New Roman"/>
          <w:color w:val="auto"/>
          <w:highlight w:val="none"/>
        </w:rPr>
        <w:t>三</w:t>
      </w:r>
      <w:r>
        <w:rPr>
          <w:rFonts w:ascii="Times New Roman" w:hAnsi="Times New Roman"/>
          <w:color w:val="auto"/>
          <w:highlight w:val="none"/>
        </w:rPr>
        <w:t>）</w:t>
      </w:r>
      <w:r>
        <w:rPr>
          <w:rFonts w:hint="eastAsia" w:ascii="Times New Roman" w:hAnsi="Times New Roman"/>
          <w:color w:val="auto"/>
          <w:highlight w:val="none"/>
        </w:rPr>
        <w:t>投标人声明</w:t>
      </w:r>
      <w:bookmarkEnd w:id="795"/>
    </w:p>
    <w:p>
      <w:pPr>
        <w:pStyle w:val="2"/>
        <w:keepNext w:val="0"/>
        <w:keepLines w:val="0"/>
        <w:jc w:val="center"/>
        <w:rPr>
          <w:rFonts w:ascii="Times New Roman" w:hAnsi="Times New Roman" w:eastAsia="宋体"/>
          <w:b w:val="0"/>
          <w:color w:val="auto"/>
          <w:sz w:val="21"/>
          <w:szCs w:val="22"/>
          <w:highlight w:val="none"/>
        </w:rPr>
      </w:pPr>
      <w:bookmarkStart w:id="796" w:name="_Toc89870679"/>
      <w:r>
        <w:rPr>
          <w:rFonts w:hint="eastAsia" w:ascii="Times New Roman" w:hAnsi="Times New Roman" w:eastAsia="宋体"/>
          <w:b w:val="0"/>
          <w:color w:val="auto"/>
          <w:sz w:val="21"/>
          <w:szCs w:val="22"/>
          <w:highlight w:val="none"/>
        </w:rPr>
        <w:t xml:space="preserve">    格式详见招标公告附件一</w:t>
      </w:r>
      <w:bookmarkEnd w:id="796"/>
    </w:p>
    <w:p>
      <w:pPr>
        <w:spacing w:line="360" w:lineRule="auto"/>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pStyle w:val="11"/>
        <w:spacing w:after="0"/>
        <w:ind w:firstLine="480" w:firstLineChars="200"/>
        <w:rPr>
          <w:rFonts w:ascii="宋体" w:hAnsi="宋体" w:cs="宋体"/>
          <w:color w:val="auto"/>
          <w:kern w:val="0"/>
          <w:sz w:val="24"/>
          <w:szCs w:val="24"/>
          <w:highlight w:val="none"/>
        </w:rPr>
      </w:pPr>
    </w:p>
    <w:p>
      <w:pPr>
        <w:ind w:firstLine="480" w:firstLineChars="200"/>
        <w:rPr>
          <w:rFonts w:ascii="宋体" w:hAnsi="宋体" w:cs="宋体"/>
          <w:color w:val="auto"/>
          <w:kern w:val="0"/>
          <w:sz w:val="24"/>
          <w:highlight w:val="none"/>
        </w:rPr>
      </w:pPr>
    </w:p>
    <w:p>
      <w:pPr>
        <w:ind w:firstLine="560" w:firstLineChars="200"/>
        <w:rPr>
          <w:rFonts w:ascii="Times New Roman" w:hAnsi="Times New Roman" w:eastAsia="黑体"/>
          <w:color w:val="auto"/>
          <w:sz w:val="28"/>
          <w:szCs w:val="20"/>
          <w:highlight w:val="none"/>
        </w:rPr>
      </w:pPr>
    </w:p>
    <w:p>
      <w:pPr>
        <w:ind w:firstLine="560" w:firstLineChars="200"/>
        <w:rPr>
          <w:rFonts w:ascii="Times New Roman" w:hAnsi="Times New Roman" w:eastAsia="黑体"/>
          <w:color w:val="auto"/>
          <w:sz w:val="28"/>
          <w:szCs w:val="20"/>
          <w:highlight w:val="none"/>
        </w:rPr>
      </w:pPr>
    </w:p>
    <w:p>
      <w:pPr>
        <w:ind w:firstLine="560" w:firstLineChars="200"/>
        <w:rPr>
          <w:rFonts w:ascii="Times New Roman" w:hAnsi="Times New Roman" w:eastAsia="黑体"/>
          <w:color w:val="auto"/>
          <w:sz w:val="28"/>
          <w:szCs w:val="20"/>
          <w:highlight w:val="none"/>
        </w:rPr>
      </w:pPr>
    </w:p>
    <w:p>
      <w:pPr>
        <w:pStyle w:val="33"/>
        <w:ind w:firstLine="422" w:firstLineChars="200"/>
        <w:jc w:val="both"/>
        <w:rPr>
          <w:color w:val="auto"/>
          <w:highlight w:val="none"/>
        </w:rPr>
        <w:sectPr>
          <w:pgSz w:w="11906" w:h="16838"/>
          <w:pgMar w:top="1440" w:right="1800" w:bottom="1440" w:left="1800" w:header="851" w:footer="992" w:gutter="0"/>
          <w:cols w:space="425" w:num="1"/>
          <w:docGrid w:type="lines" w:linePitch="312" w:charSpace="0"/>
        </w:sectPr>
      </w:pPr>
    </w:p>
    <w:p>
      <w:pPr>
        <w:pStyle w:val="4"/>
        <w:keepNext w:val="0"/>
        <w:keepLines w:val="0"/>
        <w:spacing w:before="20" w:after="0"/>
        <w:ind w:firstLine="137"/>
        <w:jc w:val="center"/>
        <w:rPr>
          <w:rFonts w:hint="eastAsia" w:ascii="Times New Roman" w:hAnsi="Times New Roman" w:cs="Times New Roman"/>
          <w:color w:val="000000"/>
          <w:highlight w:val="none"/>
        </w:rPr>
      </w:pPr>
      <w:bookmarkStart w:id="797" w:name="_Toc527028924"/>
      <w:r>
        <w:rPr>
          <w:rFonts w:ascii="Times New Roman" w:hAnsi="Times New Roman"/>
          <w:color w:val="000000"/>
          <w:highlight w:val="none"/>
        </w:rPr>
        <w:t>（</w:t>
      </w:r>
      <w:r>
        <w:rPr>
          <w:rFonts w:hint="eastAsia" w:ascii="Times New Roman" w:hAnsi="Times New Roman"/>
          <w:color w:val="000000"/>
          <w:highlight w:val="none"/>
          <w:lang w:val="en-US" w:eastAsia="zh-CN"/>
        </w:rPr>
        <w:t>四</w:t>
      </w:r>
      <w:r>
        <w:rPr>
          <w:rFonts w:ascii="Times New Roman" w:hAnsi="Times New Roman"/>
          <w:color w:val="000000"/>
          <w:highlight w:val="none"/>
        </w:rPr>
        <w:t>）</w:t>
      </w:r>
      <w:r>
        <w:rPr>
          <w:rFonts w:hint="eastAsia" w:ascii="宋体" w:hAnsi="宋体"/>
          <w:color w:val="000000"/>
          <w:highlight w:val="none"/>
          <w:u w:val="single"/>
        </w:rPr>
        <w:t>投标人在广州公共资源交易中心办理企业信息登记及拟担任本工程总监理工程师须是本企业信息登记中的在册人员</w:t>
      </w:r>
      <w:r>
        <w:rPr>
          <w:rFonts w:hint="eastAsia" w:ascii="Times New Roman" w:hAnsi="Times New Roman" w:cs="Times New Roman"/>
          <w:color w:val="000000"/>
          <w:highlight w:val="none"/>
        </w:rPr>
        <w:t>的信息截图</w:t>
      </w:r>
      <w:bookmarkEnd w:id="797"/>
    </w:p>
    <w:p>
      <w:pPr>
        <w:spacing w:line="440" w:lineRule="exact"/>
        <w:rPr>
          <w:rFonts w:hint="eastAsia" w:ascii="Times New Roman" w:hAnsi="Times New Roman"/>
          <w:color w:val="000000"/>
          <w:highlight w:val="none"/>
        </w:rPr>
      </w:pPr>
    </w:p>
    <w:p>
      <w:pPr>
        <w:pStyle w:val="33"/>
        <w:ind w:firstLine="422" w:firstLineChars="200"/>
        <w:jc w:val="both"/>
        <w:rPr>
          <w:color w:val="auto"/>
          <w:highlight w:val="none"/>
        </w:rPr>
        <w:sectPr>
          <w:pgSz w:w="11906" w:h="16838"/>
          <w:pgMar w:top="1440" w:right="1800" w:bottom="1440" w:left="1800" w:header="851" w:footer="992" w:gutter="0"/>
          <w:cols w:space="425" w:num="1"/>
          <w:docGrid w:type="lines" w:linePitch="312" w:charSpace="0"/>
        </w:sectPr>
      </w:pPr>
      <w:r>
        <w:rPr>
          <w:rFonts w:ascii="Times New Roman" w:hAnsi="Times New Roman"/>
          <w:color w:val="000000"/>
          <w:highlight w:val="none"/>
        </w:rPr>
        <w:t>注：投标人应根据投标人须知第3.5.</w:t>
      </w:r>
      <w:r>
        <w:rPr>
          <w:rFonts w:hint="eastAsia" w:ascii="Times New Roman" w:hAnsi="Times New Roman"/>
          <w:color w:val="000000"/>
          <w:highlight w:val="none"/>
        </w:rPr>
        <w:t>5</w:t>
      </w:r>
      <w:r>
        <w:rPr>
          <w:rFonts w:ascii="Times New Roman" w:hAnsi="Times New Roman"/>
          <w:color w:val="000000"/>
          <w:highlight w:val="none"/>
        </w:rPr>
        <w:t>项的要求在本表后附相关证明</w:t>
      </w:r>
    </w:p>
    <w:p>
      <w:pPr>
        <w:pStyle w:val="2"/>
        <w:keepNext w:val="0"/>
        <w:keepLines w:val="0"/>
        <w:spacing w:before="0" w:after="0"/>
        <w:rPr>
          <w:rFonts w:ascii="Times New Roman" w:hAnsi="Times New Roman"/>
          <w:color w:val="auto"/>
          <w:highlight w:val="none"/>
        </w:rPr>
      </w:pPr>
      <w:bookmarkStart w:id="798" w:name="_Toc89870680"/>
      <w:r>
        <w:rPr>
          <w:rFonts w:hint="eastAsia" w:ascii="Times New Roman" w:hAnsi="Times New Roman"/>
          <w:color w:val="auto"/>
          <w:highlight w:val="none"/>
          <w:lang w:val="en-US" w:eastAsia="zh-CN"/>
        </w:rPr>
        <w:t>七</w:t>
      </w:r>
      <w:r>
        <w:rPr>
          <w:rFonts w:ascii="Times New Roman" w:hAnsi="Times New Roman"/>
          <w:color w:val="auto"/>
          <w:highlight w:val="none"/>
        </w:rPr>
        <w:t>、</w:t>
      </w:r>
      <w:r>
        <w:rPr>
          <w:rFonts w:ascii="Times New Roman" w:hAnsi="Times New Roman"/>
          <w:b w:val="0"/>
          <w:color w:val="auto"/>
          <w:highlight w:val="none"/>
        </w:rPr>
        <w:t>监理大纲</w:t>
      </w:r>
      <w:bookmarkEnd w:id="798"/>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监理大纲应包括（但不限于）下列内容：</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一、监理工程概况；</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二、监理范围、监理内容；</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三、监理依据、</w:t>
      </w:r>
      <w:r>
        <w:rPr>
          <w:rFonts w:ascii="Times New Roman" w:hAnsi="Times New Roman"/>
          <w:color w:val="auto"/>
          <w:highlight w:val="none"/>
        </w:rPr>
        <w:t>监理工作目标</w:t>
      </w:r>
      <w:r>
        <w:rPr>
          <w:rFonts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四、监理机构设置（框图）、岗位职责；</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五、监理工作程序、方法和制度；</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六、拟投入的监理人员、试验检测仪器设备；</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七、质量、进度、造价、安全、环保监理措施； </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八、合同、信息管理方案；</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九</w:t>
      </w:r>
      <w:r>
        <w:rPr>
          <w:rFonts w:ascii="Times New Roman" w:hAnsi="Times New Roman"/>
          <w:color w:val="auto"/>
          <w:szCs w:val="21"/>
          <w:highlight w:val="none"/>
        </w:rPr>
        <w:t>、组织协调内容及措施；</w:t>
      </w:r>
    </w:p>
    <w:p>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十、监理工作重点、难点分析；</w:t>
      </w:r>
    </w:p>
    <w:p>
      <w:pPr>
        <w:spacing w:line="360" w:lineRule="auto"/>
        <w:ind w:firstLine="420" w:firstLineChars="200"/>
        <w:rPr>
          <w:rFonts w:ascii="Times New Roman" w:hAnsi="Times New Roman"/>
          <w:color w:val="auto"/>
          <w:highlight w:val="none"/>
        </w:rPr>
      </w:pPr>
      <w:r>
        <w:rPr>
          <w:rFonts w:ascii="Times New Roman" w:hAnsi="Times New Roman"/>
          <w:color w:val="auto"/>
          <w:szCs w:val="21"/>
          <w:highlight w:val="none"/>
        </w:rPr>
        <w:t>十</w:t>
      </w:r>
      <w:r>
        <w:rPr>
          <w:rFonts w:hint="eastAsia" w:ascii="Times New Roman" w:hAnsi="Times New Roman"/>
          <w:color w:val="auto"/>
          <w:szCs w:val="21"/>
          <w:highlight w:val="none"/>
        </w:rPr>
        <w:t>一</w:t>
      </w:r>
      <w:r>
        <w:rPr>
          <w:rFonts w:ascii="Times New Roman" w:hAnsi="Times New Roman"/>
          <w:color w:val="auto"/>
          <w:szCs w:val="21"/>
          <w:highlight w:val="none"/>
        </w:rPr>
        <w:t>、对本工程监理的合理化建议。</w:t>
      </w:r>
    </w:p>
    <w:p>
      <w:pPr>
        <w:ind w:firstLine="420" w:firstLineChars="200"/>
        <w:rPr>
          <w:rFonts w:ascii="Times New Roman" w:hAnsi="Times New Roman"/>
          <w:color w:val="auto"/>
          <w:highlight w:val="none"/>
        </w:rPr>
      </w:pPr>
    </w:p>
    <w:p>
      <w:pPr>
        <w:pStyle w:val="2"/>
        <w:keepNext w:val="0"/>
        <w:keepLines w:val="0"/>
        <w:spacing w:before="0" w:after="0"/>
        <w:ind w:firstLine="643" w:firstLineChars="200"/>
        <w:rPr>
          <w:color w:val="auto"/>
          <w:highlight w:val="none"/>
        </w:rPr>
      </w:pPr>
      <w:r>
        <w:rPr>
          <w:rFonts w:hint="eastAsia"/>
          <w:color w:val="auto"/>
          <w:highlight w:val="none"/>
        </w:rPr>
        <w:br w:type="page"/>
      </w:r>
      <w:bookmarkStart w:id="799" w:name="_Toc89870681"/>
      <w:r>
        <w:rPr>
          <w:rFonts w:hint="eastAsia"/>
          <w:color w:val="auto"/>
          <w:highlight w:val="none"/>
          <w:lang w:val="en-US" w:eastAsia="zh-CN"/>
        </w:rPr>
        <w:t>八</w:t>
      </w:r>
      <w:r>
        <w:rPr>
          <w:rFonts w:hint="eastAsia"/>
          <w:color w:val="auto"/>
          <w:highlight w:val="none"/>
        </w:rPr>
        <w:t>、其他资料</w:t>
      </w:r>
      <w:bookmarkEnd w:id="799"/>
    </w:p>
    <w:p>
      <w:pPr>
        <w:pStyle w:val="4"/>
        <w:keepNext w:val="0"/>
        <w:keepLines w:val="0"/>
        <w:spacing w:before="0" w:after="0"/>
        <w:ind w:firstLine="0" w:firstLineChars="0"/>
        <w:jc w:val="center"/>
        <w:rPr>
          <w:rFonts w:ascii="Times New Roman" w:hAnsi="Times New Roman"/>
          <w:color w:val="auto"/>
          <w:highlight w:val="none"/>
        </w:rPr>
      </w:pPr>
      <w:bookmarkStart w:id="800" w:name="_Toc89870682"/>
      <w:r>
        <w:rPr>
          <w:rFonts w:hint="eastAsia" w:ascii="Times New Roman" w:hAnsi="Times New Roman"/>
          <w:color w:val="auto"/>
          <w:highlight w:val="none"/>
        </w:rPr>
        <w:t>（一）</w:t>
      </w:r>
      <w:r>
        <w:rPr>
          <w:rFonts w:ascii="Times New Roman" w:hAnsi="Times New Roman"/>
          <w:color w:val="auto"/>
          <w:highlight w:val="none"/>
        </w:rPr>
        <w:t>近年完成的类似项目情况表</w:t>
      </w:r>
      <w:bookmarkEnd w:id="800"/>
    </w:p>
    <w:tbl>
      <w:tblPr>
        <w:tblStyle w:val="24"/>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r>
              <w:rPr>
                <w:rFonts w:hint="eastAsia" w:ascii="宋体" w:hAnsi="宋体" w:cs="宋体"/>
                <w:color w:val="auto"/>
                <w:highlight w:val="none"/>
              </w:rPr>
              <w:t>项目名称</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420" w:firstLineChars="200"/>
              <w:rPr>
                <w:rFonts w:ascii="Times New Roman" w:hAnsi="Times New Roman"/>
                <w:color w:val="auto"/>
                <w:highlight w:val="none"/>
              </w:rPr>
            </w:pPr>
            <w:r>
              <w:rPr>
                <w:rFonts w:hint="eastAsia" w:ascii="宋体" w:hAnsi="宋体" w:cs="宋体"/>
                <w:color w:val="auto"/>
                <w:highlight w:val="none"/>
              </w:rPr>
              <w:t>项目所在地</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委托人名称</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委托人地址</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委托人电话</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合同价格</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监理服务期限</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监理内容</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总监理工程师</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项目描述</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highlight w:val="none"/>
              </w:rPr>
            </w:pPr>
            <w:r>
              <w:rPr>
                <w:rFonts w:hint="eastAsia" w:ascii="宋体" w:hAnsi="宋体" w:cs="宋体"/>
                <w:color w:val="auto"/>
                <w:highlight w:val="none"/>
              </w:rPr>
              <w:t>备注</w:t>
            </w:r>
          </w:p>
        </w:tc>
        <w:tc>
          <w:tcPr>
            <w:tcW w:w="6514"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color w:val="auto"/>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注：投标人应根据</w:t>
      </w:r>
      <w:r>
        <w:rPr>
          <w:rFonts w:hint="eastAsia" w:ascii="Times New Roman" w:hAnsi="Times New Roman"/>
          <w:color w:val="auto"/>
          <w:highlight w:val="none"/>
        </w:rPr>
        <w:t>评标办法前附表</w:t>
      </w:r>
      <w:r>
        <w:rPr>
          <w:rFonts w:ascii="Times New Roman" w:hAnsi="Times New Roman"/>
          <w:color w:val="auto"/>
          <w:highlight w:val="none"/>
        </w:rPr>
        <w:t>第</w:t>
      </w:r>
      <w:r>
        <w:rPr>
          <w:rFonts w:hint="eastAsia" w:ascii="Times New Roman" w:hAnsi="Times New Roman"/>
          <w:color w:val="auto"/>
          <w:highlight w:val="none"/>
        </w:rPr>
        <w:t>2.2.4</w:t>
      </w:r>
      <w:r>
        <w:rPr>
          <w:rFonts w:ascii="Times New Roman" w:hAnsi="Times New Roman"/>
          <w:color w:val="auto"/>
          <w:highlight w:val="none"/>
        </w:rPr>
        <w:t>项</w:t>
      </w:r>
      <w:r>
        <w:rPr>
          <w:rFonts w:hint="eastAsia" w:ascii="Times New Roman" w:hAnsi="Times New Roman"/>
          <w:color w:val="auto"/>
          <w:highlight w:val="none"/>
        </w:rPr>
        <w:t>说明</w:t>
      </w:r>
      <w:r>
        <w:rPr>
          <w:rFonts w:ascii="Times New Roman" w:hAnsi="Times New Roman"/>
          <w:color w:val="auto"/>
          <w:highlight w:val="none"/>
        </w:rPr>
        <w:t>的要求在本表后附相关证明材料。</w:t>
      </w: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rPr>
          <w:rFonts w:ascii="Times New Roman" w:hAnsi="Times New Roman"/>
          <w:color w:val="auto"/>
          <w:highlight w:val="none"/>
        </w:rPr>
      </w:pPr>
      <w:bookmarkStart w:id="801" w:name="_Toc89870683"/>
      <w:r>
        <w:rPr>
          <w:rFonts w:hint="eastAsia" w:ascii="Times New Roman" w:hAnsi="Times New Roman"/>
          <w:color w:val="auto"/>
          <w:highlight w:val="none"/>
        </w:rPr>
        <w:br w:type="page"/>
      </w:r>
    </w:p>
    <w:p>
      <w:pPr>
        <w:pStyle w:val="4"/>
        <w:spacing w:before="0" w:after="0"/>
        <w:ind w:firstLine="560" w:firstLineChars="200"/>
        <w:jc w:val="center"/>
        <w:rPr>
          <w:rFonts w:ascii="Times New Roman" w:hAnsi="Times New Roman"/>
          <w:color w:val="auto"/>
          <w:highlight w:val="none"/>
        </w:rPr>
      </w:pPr>
      <w:r>
        <w:rPr>
          <w:rFonts w:hint="eastAsia" w:ascii="Times New Roman" w:hAnsi="Times New Roman"/>
          <w:color w:val="auto"/>
          <w:highlight w:val="none"/>
        </w:rPr>
        <w:t>（二）</w:t>
      </w:r>
      <w:r>
        <w:rPr>
          <w:rFonts w:ascii="Times New Roman" w:hAnsi="Times New Roman"/>
          <w:color w:val="auto"/>
          <w:highlight w:val="none"/>
        </w:rPr>
        <w:t>项目管理团队人员信息表</w:t>
      </w:r>
      <w:bookmarkEnd w:id="801"/>
    </w:p>
    <w:tbl>
      <w:tblPr>
        <w:tblStyle w:val="24"/>
        <w:tblW w:w="9051" w:type="dxa"/>
        <w:jc w:val="center"/>
        <w:tblLayout w:type="fixed"/>
        <w:tblCellMar>
          <w:top w:w="0" w:type="dxa"/>
          <w:left w:w="0" w:type="dxa"/>
          <w:bottom w:w="0" w:type="dxa"/>
          <w:right w:w="0" w:type="dxa"/>
        </w:tblCellMar>
      </w:tblPr>
      <w:tblGrid>
        <w:gridCol w:w="871"/>
        <w:gridCol w:w="1271"/>
        <w:gridCol w:w="1799"/>
        <w:gridCol w:w="1799"/>
        <w:gridCol w:w="3311"/>
      </w:tblGrid>
      <w:tr>
        <w:tblPrEx>
          <w:tblCellMar>
            <w:top w:w="0" w:type="dxa"/>
            <w:left w:w="0" w:type="dxa"/>
            <w:bottom w:w="0" w:type="dxa"/>
            <w:right w:w="0" w:type="dxa"/>
          </w:tblCellMar>
        </w:tblPrEx>
        <w:trPr>
          <w:trHeight w:val="790"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kern w:val="0"/>
                <w:szCs w:val="21"/>
                <w:highlight w:val="none"/>
                <w:lang w:bidi="ar"/>
              </w:rPr>
            </w:pPr>
            <w:r>
              <w:rPr>
                <w:rFonts w:hint="eastAsia" w:cs="仿宋" w:asciiTheme="majorEastAsia" w:hAnsiTheme="majorEastAsia" w:eastAsiaTheme="majorEastAsia"/>
                <w:b/>
                <w:color w:val="auto"/>
                <w:kern w:val="0"/>
                <w:szCs w:val="21"/>
                <w:highlight w:val="none"/>
                <w:lang w:bidi="ar"/>
              </w:rPr>
              <w:t>序号</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kern w:val="0"/>
                <w:szCs w:val="21"/>
                <w:highlight w:val="none"/>
                <w:lang w:bidi="ar"/>
              </w:rPr>
            </w:pPr>
            <w:r>
              <w:rPr>
                <w:rFonts w:hint="eastAsia" w:cs="仿宋" w:asciiTheme="majorEastAsia" w:hAnsiTheme="majorEastAsia" w:eastAsiaTheme="majorEastAsia"/>
                <w:b/>
                <w:color w:val="auto"/>
                <w:kern w:val="0"/>
                <w:szCs w:val="21"/>
                <w:highlight w:val="none"/>
                <w:lang w:bidi="ar"/>
              </w:rPr>
              <w:t>姓名</w:t>
            </w: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szCs w:val="21"/>
                <w:highlight w:val="none"/>
              </w:rPr>
            </w:pPr>
            <w:r>
              <w:rPr>
                <w:rFonts w:hint="eastAsia" w:cs="仿宋" w:asciiTheme="majorEastAsia" w:hAnsiTheme="majorEastAsia" w:eastAsiaTheme="majorEastAsia"/>
                <w:b/>
                <w:color w:val="auto"/>
                <w:kern w:val="0"/>
                <w:szCs w:val="21"/>
                <w:highlight w:val="none"/>
                <w:lang w:bidi="ar"/>
              </w:rPr>
              <w:t>岗位</w:t>
            </w: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szCs w:val="21"/>
                <w:highlight w:val="none"/>
              </w:rPr>
            </w:pPr>
            <w:r>
              <w:rPr>
                <w:rFonts w:hint="eastAsia" w:cs="仿宋" w:asciiTheme="majorEastAsia" w:hAnsiTheme="majorEastAsia" w:eastAsiaTheme="majorEastAsia"/>
                <w:b/>
                <w:color w:val="auto"/>
                <w:kern w:val="0"/>
                <w:szCs w:val="21"/>
                <w:highlight w:val="none"/>
                <w:lang w:bidi="ar"/>
              </w:rPr>
              <w:t>职称</w:t>
            </w: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2" w:firstLineChars="200"/>
              <w:textAlignment w:val="center"/>
              <w:rPr>
                <w:rFonts w:cs="仿宋" w:asciiTheme="majorEastAsia" w:hAnsiTheme="majorEastAsia" w:eastAsiaTheme="majorEastAsia"/>
                <w:b/>
                <w:color w:val="auto"/>
                <w:szCs w:val="21"/>
                <w:highlight w:val="none"/>
              </w:rPr>
            </w:pPr>
            <w:r>
              <w:rPr>
                <w:rFonts w:hint="eastAsia" w:cs="仿宋" w:asciiTheme="majorEastAsia" w:hAnsiTheme="majorEastAsia" w:eastAsiaTheme="majorEastAsia"/>
                <w:b/>
                <w:color w:val="auto"/>
                <w:kern w:val="0"/>
                <w:szCs w:val="21"/>
                <w:highlight w:val="none"/>
                <w:lang w:bidi="ar"/>
              </w:rPr>
              <w:t>职称证书或资格证书编号</w:t>
            </w: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cs="仿宋" w:asciiTheme="majorEastAsia" w:hAnsiTheme="majorEastAsia" w:eastAsiaTheme="majorEastAsia"/>
                <w:color w:val="auto"/>
                <w:kern w:val="0"/>
                <w:szCs w:val="21"/>
                <w:highlight w:val="none"/>
                <w:lang w:bidi="ar"/>
              </w:rPr>
              <w:t>1</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cs="仿宋" w:asciiTheme="majorEastAsia" w:hAnsiTheme="majorEastAsia" w:eastAsiaTheme="majorEastAsia"/>
                <w:color w:val="auto"/>
                <w:kern w:val="0"/>
                <w:szCs w:val="21"/>
                <w:highlight w:val="none"/>
                <w:lang w:bidi="ar"/>
              </w:rPr>
              <w:t>2</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cs="仿宋" w:asciiTheme="majorEastAsia" w:hAnsiTheme="majorEastAsia" w:eastAsiaTheme="majorEastAsia"/>
                <w:color w:val="auto"/>
                <w:kern w:val="0"/>
                <w:szCs w:val="21"/>
                <w:highlight w:val="none"/>
                <w:lang w:bidi="ar"/>
              </w:rPr>
              <w:t>3</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cs="仿宋" w:asciiTheme="majorEastAsia" w:hAnsiTheme="majorEastAsia" w:eastAsiaTheme="majorEastAsia"/>
                <w:color w:val="auto"/>
                <w:kern w:val="0"/>
                <w:szCs w:val="21"/>
                <w:highlight w:val="none"/>
                <w:lang w:bidi="ar"/>
              </w:rPr>
              <w:t>4</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656" w:hRule="atLeast"/>
          <w:jc w:val="center"/>
        </w:trPr>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ajorEastAsia" w:hAnsiTheme="majorEastAsia" w:eastAsiaTheme="majorEastAsia"/>
                <w:color w:val="auto"/>
                <w:szCs w:val="21"/>
                <w:highlight w:val="none"/>
              </w:rPr>
            </w:pPr>
            <w:r>
              <w:rPr>
                <w:rFonts w:hint="eastAsia" w:cs="仿宋" w:asciiTheme="majorEastAsia" w:hAnsiTheme="majorEastAsia" w:eastAsiaTheme="majorEastAsia"/>
                <w:color w:val="auto"/>
                <w:kern w:val="0"/>
                <w:szCs w:val="21"/>
                <w:highlight w:val="none"/>
                <w:lang w:bidi="ar"/>
              </w:rPr>
              <w:t>……</w:t>
            </w:r>
          </w:p>
        </w:tc>
        <w:tc>
          <w:tcPr>
            <w:tcW w:w="12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17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c>
          <w:tcPr>
            <w:tcW w:w="3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仿宋" w:asciiTheme="majorEastAsia" w:hAnsiTheme="majorEastAsia" w:eastAsiaTheme="majorEastAsia"/>
                <w:color w:val="auto"/>
                <w:szCs w:val="21"/>
                <w:highlight w:val="none"/>
              </w:rPr>
            </w:pPr>
          </w:p>
        </w:tc>
      </w:tr>
      <w:tr>
        <w:tblPrEx>
          <w:tblCellMar>
            <w:top w:w="0" w:type="dxa"/>
            <w:left w:w="0" w:type="dxa"/>
            <w:bottom w:w="0" w:type="dxa"/>
            <w:right w:w="0" w:type="dxa"/>
          </w:tblCellMar>
        </w:tblPrEx>
        <w:trPr>
          <w:trHeight w:val="3648" w:hRule="atLeast"/>
          <w:jc w:val="center"/>
        </w:trPr>
        <w:tc>
          <w:tcPr>
            <w:tcW w:w="90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ajorEastAsia" w:hAnsiTheme="majorEastAsia" w:eastAsiaTheme="majorEastAsia"/>
                <w:color w:val="auto"/>
                <w:highlight w:val="none"/>
              </w:rPr>
            </w:pPr>
            <w:r>
              <w:rPr>
                <w:rStyle w:val="34"/>
                <w:rFonts w:hint="default" w:asciiTheme="majorEastAsia" w:hAnsiTheme="majorEastAsia" w:eastAsiaTheme="majorEastAsia"/>
                <w:color w:val="auto"/>
                <w:sz w:val="21"/>
                <w:szCs w:val="21"/>
                <w:highlight w:val="none"/>
                <w:lang w:bidi="ar"/>
              </w:rPr>
              <w:t>备注：</w:t>
            </w:r>
          </w:p>
          <w:p>
            <w:pPr>
              <w:widowControl/>
              <w:jc w:val="left"/>
              <w:textAlignment w:val="center"/>
              <w:rPr>
                <w:rFonts w:asciiTheme="majorEastAsia" w:hAnsiTheme="majorEastAsia" w:eastAsiaTheme="majorEastAsia"/>
                <w:color w:val="auto"/>
                <w:highlight w:val="none"/>
              </w:rPr>
            </w:pPr>
            <w:r>
              <w:rPr>
                <w:rStyle w:val="34"/>
                <w:rFonts w:hint="default" w:asciiTheme="majorEastAsia" w:hAnsiTheme="majorEastAsia" w:eastAsiaTheme="majorEastAsia"/>
                <w:color w:val="auto"/>
                <w:sz w:val="21"/>
                <w:szCs w:val="21"/>
                <w:highlight w:val="none"/>
                <w:lang w:bidi="ar"/>
              </w:rPr>
              <w:t>1、“岗位”要求</w:t>
            </w:r>
            <w:r>
              <w:rPr>
                <w:rStyle w:val="35"/>
                <w:rFonts w:hint="default" w:asciiTheme="majorEastAsia" w:hAnsiTheme="majorEastAsia" w:eastAsiaTheme="majorEastAsia"/>
                <w:color w:val="auto"/>
                <w:sz w:val="21"/>
                <w:szCs w:val="21"/>
                <w:highlight w:val="none"/>
                <w:lang w:bidi="ar"/>
              </w:rPr>
              <w:t>（总监理工程师除外）</w:t>
            </w:r>
            <w:r>
              <w:rPr>
                <w:rStyle w:val="34"/>
                <w:rFonts w:hint="default" w:asciiTheme="majorEastAsia" w:hAnsiTheme="majorEastAsia" w:eastAsiaTheme="majorEastAsia"/>
                <w:color w:val="auto"/>
                <w:sz w:val="21"/>
                <w:szCs w:val="21"/>
                <w:highlight w:val="none"/>
                <w:lang w:bidi="ar"/>
              </w:rPr>
              <w:t>由招标人根据项目管理需要在本表备注中明确提出，如：拟派驻施工现场的总监理工程师代表、专业监理工程师、监理员等。以上项目管理团队人员信息将由交易系统提取后供各相关单位在履约时比对、查核。</w:t>
            </w:r>
          </w:p>
          <w:p>
            <w:pPr>
              <w:widowControl/>
              <w:jc w:val="left"/>
              <w:textAlignment w:val="center"/>
              <w:rPr>
                <w:rFonts w:asciiTheme="majorEastAsia" w:hAnsiTheme="majorEastAsia" w:eastAsiaTheme="majorEastAsia"/>
                <w:color w:val="auto"/>
                <w:highlight w:val="none"/>
              </w:rPr>
            </w:pPr>
            <w:r>
              <w:rPr>
                <w:rStyle w:val="34"/>
                <w:rFonts w:hint="default" w:asciiTheme="majorEastAsia" w:hAnsiTheme="majorEastAsia" w:eastAsiaTheme="majorEastAsia"/>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cs="仿宋" w:asciiTheme="majorEastAsia" w:hAnsiTheme="majorEastAsia" w:eastAsiaTheme="majorEastAsia"/>
                <w:color w:val="auto"/>
                <w:szCs w:val="21"/>
                <w:highlight w:val="none"/>
              </w:rPr>
            </w:pPr>
            <w:r>
              <w:rPr>
                <w:rStyle w:val="34"/>
                <w:rFonts w:hint="default" w:asciiTheme="majorEastAsia" w:hAnsiTheme="majorEastAsia" w:eastAsiaTheme="majorEastAsia"/>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p>
      <w:pPr>
        <w:rPr>
          <w:rFonts w:ascii="Times New Roman" w:hAnsi="Times New Roman"/>
          <w:color w:val="auto"/>
          <w:highlight w:val="none"/>
        </w:rPr>
      </w:pPr>
    </w:p>
    <w:p>
      <w:pPr>
        <w:pStyle w:val="14"/>
        <w:rPr>
          <w:rFonts w:ascii="Times New Roman" w:hAnsi="Times New Roman"/>
          <w:color w:val="auto"/>
          <w:highlight w:val="none"/>
        </w:rPr>
      </w:pPr>
    </w:p>
    <w:p>
      <w:pPr>
        <w:rPr>
          <w:rFonts w:ascii="Times New Roman" w:hAnsi="Times New Roman"/>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widowControl/>
        <w:jc w:val="left"/>
        <w:rPr>
          <w:rFonts w:ascii="Times New Roman" w:hAnsi="Times New Roman" w:eastAsia="黑体"/>
          <w:color w:val="auto"/>
          <w:sz w:val="28"/>
          <w:szCs w:val="20"/>
          <w:highlight w:val="none"/>
        </w:rPr>
      </w:pPr>
      <w:bookmarkStart w:id="802" w:name="_Toc89870684"/>
      <w:r>
        <w:rPr>
          <w:rFonts w:ascii="Times New Roman" w:hAnsi="Times New Roman"/>
          <w:color w:val="auto"/>
          <w:highlight w:val="none"/>
        </w:rPr>
        <w:br w:type="page"/>
      </w:r>
    </w:p>
    <w:p>
      <w:pPr>
        <w:pStyle w:val="4"/>
        <w:keepNext w:val="0"/>
        <w:keepLines w:val="0"/>
        <w:ind w:firstLine="137"/>
        <w:jc w:val="center"/>
        <w:rPr>
          <w:rFonts w:ascii="Times New Roman" w:hAnsi="Times New Roman"/>
          <w:color w:val="auto"/>
          <w:highlight w:val="none"/>
        </w:rPr>
      </w:pPr>
      <w:r>
        <w:rPr>
          <w:rFonts w:hint="eastAsia" w:ascii="Times New Roman" w:hAnsi="Times New Roman"/>
          <w:color w:val="auto"/>
          <w:highlight w:val="none"/>
        </w:rPr>
        <w:t>（三）</w:t>
      </w:r>
      <w:r>
        <w:rPr>
          <w:rFonts w:ascii="Times New Roman" w:hAnsi="Times New Roman"/>
          <w:color w:val="auto"/>
          <w:highlight w:val="none"/>
        </w:rPr>
        <w:t>主要人员简历表</w:t>
      </w:r>
      <w:bookmarkEnd w:id="802"/>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78"/>
        <w:gridCol w:w="729"/>
        <w:gridCol w:w="1011"/>
        <w:gridCol w:w="1125"/>
        <w:gridCol w:w="747"/>
        <w:gridCol w:w="1331"/>
        <w:gridCol w:w="423"/>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53"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姓  名</w:t>
            </w:r>
          </w:p>
        </w:tc>
        <w:tc>
          <w:tcPr>
            <w:tcW w:w="1107" w:type="dxa"/>
            <w:gridSpan w:val="2"/>
            <w:vAlign w:val="center"/>
          </w:tcPr>
          <w:p>
            <w:pPr>
              <w:spacing w:line="440" w:lineRule="exact"/>
              <w:jc w:val="center"/>
              <w:rPr>
                <w:rFonts w:ascii="Times New Roman" w:hAnsi="Times New Roman"/>
                <w:color w:val="auto"/>
                <w:highlight w:val="none"/>
              </w:rPr>
            </w:pPr>
          </w:p>
        </w:tc>
        <w:tc>
          <w:tcPr>
            <w:tcW w:w="1011"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年龄</w:t>
            </w:r>
          </w:p>
        </w:tc>
        <w:tc>
          <w:tcPr>
            <w:tcW w:w="1125" w:type="dxa"/>
            <w:vAlign w:val="center"/>
          </w:tcPr>
          <w:p>
            <w:pPr>
              <w:spacing w:line="440" w:lineRule="exact"/>
              <w:jc w:val="center"/>
              <w:rPr>
                <w:rFonts w:ascii="Times New Roman" w:hAnsi="Times New Roman"/>
                <w:color w:val="auto"/>
                <w:highlight w:val="none"/>
              </w:rPr>
            </w:pPr>
          </w:p>
        </w:tc>
        <w:tc>
          <w:tcPr>
            <w:tcW w:w="2501" w:type="dxa"/>
            <w:gridSpan w:val="3"/>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执业资格证书（或上岗证书）名称</w:t>
            </w:r>
          </w:p>
        </w:tc>
        <w:tc>
          <w:tcPr>
            <w:tcW w:w="2003"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53" w:type="dxa"/>
            <w:vAlign w:val="center"/>
          </w:tcPr>
          <w:p>
            <w:pPr>
              <w:spacing w:line="440" w:lineRule="exact"/>
              <w:jc w:val="center"/>
              <w:rPr>
                <w:rFonts w:ascii="Times New Roman" w:hAnsi="Times New Roman"/>
                <w:color w:val="auto"/>
                <w:highlight w:val="none"/>
              </w:rPr>
            </w:pPr>
            <w:r>
              <w:rPr>
                <w:rFonts w:ascii="Times New Roman" w:hAnsi="Times New Roman"/>
                <w:color w:val="auto"/>
                <w:highlight w:val="none"/>
              </w:rPr>
              <w:t>职  称</w:t>
            </w:r>
          </w:p>
        </w:tc>
        <w:tc>
          <w:tcPr>
            <w:tcW w:w="1107" w:type="dxa"/>
            <w:gridSpan w:val="2"/>
            <w:vAlign w:val="center"/>
          </w:tcPr>
          <w:p>
            <w:pPr>
              <w:spacing w:line="440" w:lineRule="exact"/>
              <w:jc w:val="center"/>
              <w:rPr>
                <w:rFonts w:ascii="Times New Roman" w:hAnsi="Times New Roman"/>
                <w:color w:val="auto"/>
                <w:highlight w:val="none"/>
              </w:rPr>
            </w:pPr>
          </w:p>
        </w:tc>
        <w:tc>
          <w:tcPr>
            <w:tcW w:w="1011"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学历</w:t>
            </w:r>
          </w:p>
        </w:tc>
        <w:tc>
          <w:tcPr>
            <w:tcW w:w="1125" w:type="dxa"/>
            <w:vAlign w:val="center"/>
          </w:tcPr>
          <w:p>
            <w:pPr>
              <w:spacing w:line="440" w:lineRule="exact"/>
              <w:jc w:val="center"/>
              <w:rPr>
                <w:rFonts w:ascii="Times New Roman" w:hAnsi="Times New Roman"/>
                <w:color w:val="auto"/>
                <w:highlight w:val="none"/>
              </w:rPr>
            </w:pPr>
          </w:p>
        </w:tc>
        <w:tc>
          <w:tcPr>
            <w:tcW w:w="2501" w:type="dxa"/>
            <w:gridSpan w:val="3"/>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拟在本项目任职</w:t>
            </w:r>
          </w:p>
        </w:tc>
        <w:tc>
          <w:tcPr>
            <w:tcW w:w="2003"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53"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工作年限</w:t>
            </w:r>
          </w:p>
        </w:tc>
        <w:tc>
          <w:tcPr>
            <w:tcW w:w="3243" w:type="dxa"/>
            <w:gridSpan w:val="4"/>
            <w:vAlign w:val="center"/>
          </w:tcPr>
          <w:p>
            <w:pPr>
              <w:spacing w:line="440" w:lineRule="exact"/>
              <w:jc w:val="center"/>
              <w:rPr>
                <w:rFonts w:ascii="Times New Roman" w:hAnsi="Times New Roman"/>
                <w:color w:val="auto"/>
                <w:highlight w:val="none"/>
              </w:rPr>
            </w:pPr>
          </w:p>
        </w:tc>
        <w:tc>
          <w:tcPr>
            <w:tcW w:w="2501" w:type="dxa"/>
            <w:gridSpan w:val="3"/>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从事监理工作年限</w:t>
            </w:r>
          </w:p>
        </w:tc>
        <w:tc>
          <w:tcPr>
            <w:tcW w:w="2003" w:type="dxa"/>
            <w:vAlign w:val="center"/>
          </w:tcPr>
          <w:p>
            <w:pPr>
              <w:spacing w:line="440" w:lineRule="exact"/>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毕业学校</w:t>
            </w:r>
          </w:p>
        </w:tc>
        <w:tc>
          <w:tcPr>
            <w:tcW w:w="7747" w:type="dxa"/>
            <w:gridSpan w:val="8"/>
            <w:vAlign w:val="center"/>
          </w:tcPr>
          <w:p>
            <w:pPr>
              <w:spacing w:before="100" w:beforeAutospacing="1" w:after="100" w:afterAutospacing="1" w:line="440" w:lineRule="exact"/>
              <w:ind w:firstLine="1155" w:firstLineChars="550"/>
              <w:rPr>
                <w:rFonts w:ascii="Times New Roman" w:hAnsi="Times New Roman"/>
                <w:color w:val="auto"/>
                <w:highlight w:val="none"/>
              </w:rPr>
            </w:pPr>
            <w:r>
              <w:rPr>
                <w:rFonts w:ascii="Times New Roman" w:hAnsi="Times New Roman"/>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00" w:type="dxa"/>
            <w:gridSpan w:val="9"/>
            <w:vAlign w:val="center"/>
          </w:tcPr>
          <w:p>
            <w:pPr>
              <w:spacing w:before="100" w:beforeAutospacing="1" w:after="100" w:afterAutospacing="1" w:line="440" w:lineRule="exact"/>
              <w:jc w:val="left"/>
              <w:rPr>
                <w:rFonts w:ascii="Times New Roman" w:hAnsi="Times New Roman"/>
                <w:color w:val="auto"/>
                <w:highlight w:val="none"/>
              </w:rPr>
            </w:pPr>
            <w:r>
              <w:rPr>
                <w:rFonts w:ascii="Times New Roman" w:hAnsi="Times New Roman"/>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31" w:type="dxa"/>
            <w:gridSpan w:val="2"/>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时  间</w:t>
            </w:r>
          </w:p>
        </w:tc>
        <w:tc>
          <w:tcPr>
            <w:tcW w:w="3612" w:type="dxa"/>
            <w:gridSpan w:val="4"/>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参加过的类似项目</w:t>
            </w:r>
          </w:p>
        </w:tc>
        <w:tc>
          <w:tcPr>
            <w:tcW w:w="1331" w:type="dxa"/>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担任职务</w:t>
            </w:r>
          </w:p>
        </w:tc>
        <w:tc>
          <w:tcPr>
            <w:tcW w:w="2426" w:type="dxa"/>
            <w:gridSpan w:val="2"/>
            <w:vAlign w:val="center"/>
          </w:tcPr>
          <w:p>
            <w:pPr>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tcPr>
          <w:p>
            <w:pPr>
              <w:spacing w:line="440" w:lineRule="exact"/>
              <w:rPr>
                <w:rFonts w:ascii="Times New Roman" w:hAnsi="Times New Roman"/>
                <w:color w:val="auto"/>
                <w:highlight w:val="none"/>
              </w:rPr>
            </w:pPr>
          </w:p>
        </w:tc>
        <w:tc>
          <w:tcPr>
            <w:tcW w:w="3612" w:type="dxa"/>
            <w:gridSpan w:val="4"/>
          </w:tcPr>
          <w:p>
            <w:pPr>
              <w:spacing w:line="440" w:lineRule="exact"/>
              <w:rPr>
                <w:rFonts w:ascii="Times New Roman" w:hAnsi="Times New Roman"/>
                <w:color w:val="auto"/>
                <w:highlight w:val="none"/>
              </w:rPr>
            </w:pPr>
          </w:p>
        </w:tc>
        <w:tc>
          <w:tcPr>
            <w:tcW w:w="1331" w:type="dxa"/>
          </w:tcPr>
          <w:p>
            <w:pPr>
              <w:spacing w:line="440" w:lineRule="exact"/>
              <w:rPr>
                <w:rFonts w:ascii="Times New Roman" w:hAnsi="Times New Roman"/>
                <w:color w:val="auto"/>
                <w:highlight w:val="none"/>
              </w:rPr>
            </w:pPr>
          </w:p>
        </w:tc>
        <w:tc>
          <w:tcPr>
            <w:tcW w:w="2426"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tcPr>
          <w:p>
            <w:pPr>
              <w:spacing w:line="440" w:lineRule="exact"/>
              <w:rPr>
                <w:rFonts w:ascii="Times New Roman" w:hAnsi="Times New Roman"/>
                <w:color w:val="auto"/>
                <w:highlight w:val="none"/>
              </w:rPr>
            </w:pPr>
          </w:p>
        </w:tc>
        <w:tc>
          <w:tcPr>
            <w:tcW w:w="3612" w:type="dxa"/>
            <w:gridSpan w:val="4"/>
          </w:tcPr>
          <w:p>
            <w:pPr>
              <w:spacing w:line="440" w:lineRule="exact"/>
              <w:rPr>
                <w:rFonts w:ascii="Times New Roman" w:hAnsi="Times New Roman"/>
                <w:color w:val="auto"/>
                <w:highlight w:val="none"/>
              </w:rPr>
            </w:pPr>
          </w:p>
        </w:tc>
        <w:tc>
          <w:tcPr>
            <w:tcW w:w="1331" w:type="dxa"/>
          </w:tcPr>
          <w:p>
            <w:pPr>
              <w:spacing w:line="440" w:lineRule="exact"/>
              <w:rPr>
                <w:rFonts w:ascii="Times New Roman" w:hAnsi="Times New Roman"/>
                <w:color w:val="auto"/>
                <w:highlight w:val="none"/>
              </w:rPr>
            </w:pPr>
          </w:p>
        </w:tc>
        <w:tc>
          <w:tcPr>
            <w:tcW w:w="2426"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tcPr>
          <w:p>
            <w:pPr>
              <w:spacing w:line="440" w:lineRule="exact"/>
              <w:rPr>
                <w:rFonts w:ascii="Times New Roman" w:hAnsi="Times New Roman"/>
                <w:color w:val="auto"/>
                <w:highlight w:val="none"/>
              </w:rPr>
            </w:pPr>
          </w:p>
        </w:tc>
        <w:tc>
          <w:tcPr>
            <w:tcW w:w="3612" w:type="dxa"/>
            <w:gridSpan w:val="4"/>
          </w:tcPr>
          <w:p>
            <w:pPr>
              <w:spacing w:line="440" w:lineRule="exact"/>
              <w:rPr>
                <w:rFonts w:ascii="Times New Roman" w:hAnsi="Times New Roman"/>
                <w:color w:val="auto"/>
                <w:highlight w:val="none"/>
              </w:rPr>
            </w:pPr>
          </w:p>
        </w:tc>
        <w:tc>
          <w:tcPr>
            <w:tcW w:w="1331" w:type="dxa"/>
          </w:tcPr>
          <w:p>
            <w:pPr>
              <w:spacing w:line="440" w:lineRule="exact"/>
              <w:rPr>
                <w:rFonts w:ascii="Times New Roman" w:hAnsi="Times New Roman"/>
                <w:color w:val="auto"/>
                <w:highlight w:val="none"/>
              </w:rPr>
            </w:pPr>
          </w:p>
        </w:tc>
        <w:tc>
          <w:tcPr>
            <w:tcW w:w="2426" w:type="dxa"/>
            <w:gridSpan w:val="2"/>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vAlign w:val="center"/>
          </w:tcPr>
          <w:p>
            <w:pPr>
              <w:spacing w:line="440" w:lineRule="exact"/>
              <w:rPr>
                <w:rFonts w:ascii="Times New Roman" w:hAnsi="Times New Roman"/>
                <w:color w:val="auto"/>
                <w:highlight w:val="none"/>
              </w:rPr>
            </w:pPr>
          </w:p>
        </w:tc>
        <w:tc>
          <w:tcPr>
            <w:tcW w:w="3612" w:type="dxa"/>
            <w:gridSpan w:val="4"/>
            <w:vAlign w:val="center"/>
          </w:tcPr>
          <w:p>
            <w:pPr>
              <w:spacing w:line="440" w:lineRule="exact"/>
              <w:rPr>
                <w:rFonts w:ascii="Times New Roman" w:hAnsi="Times New Roman"/>
                <w:color w:val="auto"/>
                <w:highlight w:val="none"/>
              </w:rPr>
            </w:pPr>
          </w:p>
        </w:tc>
        <w:tc>
          <w:tcPr>
            <w:tcW w:w="1331" w:type="dxa"/>
            <w:vAlign w:val="center"/>
          </w:tcPr>
          <w:p>
            <w:pPr>
              <w:spacing w:line="440" w:lineRule="exact"/>
              <w:rPr>
                <w:rFonts w:ascii="Times New Roman" w:hAnsi="Times New Roman"/>
                <w:color w:val="auto"/>
                <w:highlight w:val="none"/>
              </w:rPr>
            </w:pPr>
          </w:p>
        </w:tc>
        <w:tc>
          <w:tcPr>
            <w:tcW w:w="2426"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vAlign w:val="center"/>
          </w:tcPr>
          <w:p>
            <w:pPr>
              <w:spacing w:line="440" w:lineRule="exact"/>
              <w:rPr>
                <w:rFonts w:ascii="Times New Roman" w:hAnsi="Times New Roman"/>
                <w:color w:val="auto"/>
                <w:highlight w:val="none"/>
              </w:rPr>
            </w:pPr>
          </w:p>
        </w:tc>
        <w:tc>
          <w:tcPr>
            <w:tcW w:w="3612" w:type="dxa"/>
            <w:gridSpan w:val="4"/>
            <w:vAlign w:val="center"/>
          </w:tcPr>
          <w:p>
            <w:pPr>
              <w:spacing w:line="440" w:lineRule="exact"/>
              <w:rPr>
                <w:rFonts w:ascii="Times New Roman" w:hAnsi="Times New Roman"/>
                <w:color w:val="auto"/>
                <w:highlight w:val="none"/>
              </w:rPr>
            </w:pPr>
          </w:p>
        </w:tc>
        <w:tc>
          <w:tcPr>
            <w:tcW w:w="1331" w:type="dxa"/>
            <w:vAlign w:val="center"/>
          </w:tcPr>
          <w:p>
            <w:pPr>
              <w:spacing w:line="440" w:lineRule="exact"/>
              <w:rPr>
                <w:rFonts w:ascii="Times New Roman" w:hAnsi="Times New Roman"/>
                <w:color w:val="auto"/>
                <w:highlight w:val="none"/>
              </w:rPr>
            </w:pPr>
          </w:p>
        </w:tc>
        <w:tc>
          <w:tcPr>
            <w:tcW w:w="2426"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vAlign w:val="center"/>
          </w:tcPr>
          <w:p>
            <w:pPr>
              <w:spacing w:line="440" w:lineRule="exact"/>
              <w:rPr>
                <w:rFonts w:ascii="Times New Roman" w:hAnsi="Times New Roman"/>
                <w:color w:val="auto"/>
                <w:highlight w:val="none"/>
              </w:rPr>
            </w:pPr>
          </w:p>
        </w:tc>
        <w:tc>
          <w:tcPr>
            <w:tcW w:w="3612" w:type="dxa"/>
            <w:gridSpan w:val="4"/>
            <w:vAlign w:val="center"/>
          </w:tcPr>
          <w:p>
            <w:pPr>
              <w:spacing w:line="440" w:lineRule="exact"/>
              <w:rPr>
                <w:rFonts w:ascii="Times New Roman" w:hAnsi="Times New Roman"/>
                <w:color w:val="auto"/>
                <w:highlight w:val="none"/>
              </w:rPr>
            </w:pPr>
          </w:p>
        </w:tc>
        <w:tc>
          <w:tcPr>
            <w:tcW w:w="1331" w:type="dxa"/>
            <w:vAlign w:val="center"/>
          </w:tcPr>
          <w:p>
            <w:pPr>
              <w:spacing w:line="440" w:lineRule="exact"/>
              <w:rPr>
                <w:rFonts w:ascii="Times New Roman" w:hAnsi="Times New Roman"/>
                <w:color w:val="auto"/>
                <w:highlight w:val="none"/>
              </w:rPr>
            </w:pPr>
          </w:p>
        </w:tc>
        <w:tc>
          <w:tcPr>
            <w:tcW w:w="2426" w:type="dxa"/>
            <w:gridSpan w:val="2"/>
            <w:vAlign w:val="center"/>
          </w:tcPr>
          <w:p>
            <w:pPr>
              <w:spacing w:line="440" w:lineRule="exact"/>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1" w:type="dxa"/>
            <w:gridSpan w:val="2"/>
            <w:vAlign w:val="center"/>
          </w:tcPr>
          <w:p>
            <w:pPr>
              <w:spacing w:line="440" w:lineRule="exact"/>
              <w:rPr>
                <w:rFonts w:ascii="Times New Roman" w:hAnsi="Times New Roman"/>
                <w:color w:val="auto"/>
                <w:highlight w:val="none"/>
              </w:rPr>
            </w:pPr>
          </w:p>
        </w:tc>
        <w:tc>
          <w:tcPr>
            <w:tcW w:w="3612" w:type="dxa"/>
            <w:gridSpan w:val="4"/>
            <w:vAlign w:val="center"/>
          </w:tcPr>
          <w:p>
            <w:pPr>
              <w:spacing w:line="440" w:lineRule="exact"/>
              <w:rPr>
                <w:rFonts w:ascii="Times New Roman" w:hAnsi="Times New Roman"/>
                <w:color w:val="auto"/>
                <w:highlight w:val="none"/>
              </w:rPr>
            </w:pPr>
          </w:p>
        </w:tc>
        <w:tc>
          <w:tcPr>
            <w:tcW w:w="1331" w:type="dxa"/>
            <w:vAlign w:val="center"/>
          </w:tcPr>
          <w:p>
            <w:pPr>
              <w:spacing w:line="440" w:lineRule="exact"/>
              <w:rPr>
                <w:rFonts w:ascii="Times New Roman" w:hAnsi="Times New Roman"/>
                <w:color w:val="auto"/>
                <w:highlight w:val="none"/>
              </w:rPr>
            </w:pPr>
          </w:p>
        </w:tc>
        <w:tc>
          <w:tcPr>
            <w:tcW w:w="2426" w:type="dxa"/>
            <w:gridSpan w:val="2"/>
            <w:vAlign w:val="center"/>
          </w:tcPr>
          <w:p>
            <w:pPr>
              <w:spacing w:line="440" w:lineRule="exact"/>
              <w:rPr>
                <w:rFonts w:ascii="Times New Roman" w:hAnsi="Times New Roman"/>
                <w:color w:val="auto"/>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注：投标人应根据</w:t>
      </w:r>
      <w:r>
        <w:rPr>
          <w:rFonts w:hint="eastAsia" w:ascii="Times New Roman" w:hAnsi="Times New Roman"/>
          <w:color w:val="auto"/>
          <w:highlight w:val="none"/>
        </w:rPr>
        <w:t>评标办法前附表</w:t>
      </w:r>
      <w:r>
        <w:rPr>
          <w:rFonts w:ascii="Times New Roman" w:hAnsi="Times New Roman"/>
          <w:color w:val="auto"/>
          <w:highlight w:val="none"/>
        </w:rPr>
        <w:t>第</w:t>
      </w:r>
      <w:r>
        <w:rPr>
          <w:rFonts w:hint="eastAsia" w:ascii="Times New Roman" w:hAnsi="Times New Roman"/>
          <w:color w:val="auto"/>
          <w:highlight w:val="none"/>
        </w:rPr>
        <w:t>2.2.4</w:t>
      </w:r>
      <w:r>
        <w:rPr>
          <w:rFonts w:ascii="Times New Roman" w:hAnsi="Times New Roman"/>
          <w:color w:val="auto"/>
          <w:highlight w:val="none"/>
        </w:rPr>
        <w:t>项</w:t>
      </w:r>
      <w:r>
        <w:rPr>
          <w:rFonts w:hint="eastAsia" w:ascii="Times New Roman" w:hAnsi="Times New Roman"/>
          <w:color w:val="auto"/>
          <w:highlight w:val="none"/>
        </w:rPr>
        <w:t>说明</w:t>
      </w:r>
      <w:r>
        <w:rPr>
          <w:rFonts w:ascii="Times New Roman" w:hAnsi="Times New Roman"/>
          <w:color w:val="auto"/>
          <w:highlight w:val="none"/>
        </w:rPr>
        <w:t>的要求在本表后附相关证明材料。</w:t>
      </w:r>
      <w:r>
        <w:rPr>
          <w:rFonts w:hint="eastAsia" w:ascii="Times New Roman" w:hAnsi="Times New Roman"/>
          <w:color w:val="auto"/>
          <w:highlight w:val="none"/>
        </w:rPr>
        <w:t>本项目社保缴纳期限包含疫情期，若当地政府部门允许企业在疫情期间缓缴社会保险费且投标人未缴纳的，投标人可提供当地政府部门允许缓缴社保的相关文件作为缴纳社保的证明。</w:t>
      </w:r>
    </w:p>
    <w:p>
      <w:pPr>
        <w:pStyle w:val="33"/>
        <w:rPr>
          <w:color w:val="auto"/>
          <w:highlight w:val="none"/>
        </w:rPr>
      </w:pPr>
    </w:p>
    <w:p>
      <w:pPr>
        <w:spacing w:line="440" w:lineRule="exact"/>
        <w:rPr>
          <w:rFonts w:ascii="Times New Roman" w:hAnsi="Times New Roman"/>
          <w:color w:val="auto"/>
          <w:highlight w:val="none"/>
        </w:rPr>
      </w:pPr>
    </w:p>
    <w:p>
      <w:pPr>
        <w:spacing w:line="440" w:lineRule="exact"/>
        <w:rPr>
          <w:rFonts w:ascii="Times New Roman" w:hAnsi="Times New Roman"/>
          <w:color w:val="auto"/>
          <w:highlight w:val="none"/>
        </w:rPr>
      </w:pPr>
    </w:p>
    <w:p>
      <w:pPr>
        <w:widowControl/>
        <w:jc w:val="left"/>
        <w:rPr>
          <w:rFonts w:ascii="Times New Roman" w:hAnsi="Times New Roman" w:eastAsia="黑体"/>
          <w:color w:val="auto"/>
          <w:sz w:val="28"/>
          <w:szCs w:val="20"/>
          <w:highlight w:val="none"/>
        </w:rPr>
      </w:pPr>
      <w:bookmarkStart w:id="803" w:name="_Toc89870685"/>
      <w:r>
        <w:rPr>
          <w:rFonts w:ascii="Times New Roman" w:hAnsi="Times New Roman"/>
          <w:color w:val="auto"/>
          <w:highlight w:val="none"/>
        </w:rPr>
        <w:br w:type="page"/>
      </w:r>
    </w:p>
    <w:p>
      <w:pPr>
        <w:pStyle w:val="4"/>
        <w:keepNext w:val="0"/>
        <w:keepLines w:val="0"/>
        <w:ind w:firstLine="137"/>
        <w:jc w:val="center"/>
        <w:rPr>
          <w:rFonts w:ascii="Times New Roman" w:hAnsi="Times New Roman"/>
          <w:color w:val="auto"/>
          <w:highlight w:val="none"/>
        </w:rPr>
      </w:pPr>
      <w:r>
        <w:rPr>
          <w:rFonts w:hint="eastAsia" w:ascii="Times New Roman" w:hAnsi="Times New Roman"/>
          <w:color w:val="auto"/>
          <w:highlight w:val="none"/>
        </w:rPr>
        <w:t>（四）</w:t>
      </w:r>
      <w:r>
        <w:rPr>
          <w:rFonts w:ascii="Times New Roman" w:hAnsi="Times New Roman"/>
          <w:color w:val="auto"/>
          <w:highlight w:val="none"/>
        </w:rPr>
        <w:t>拟投入本项目的主要试验检测仪器设备表</w:t>
      </w:r>
      <w:bookmarkEnd w:id="803"/>
    </w:p>
    <w:tbl>
      <w:tblPr>
        <w:tblStyle w:val="24"/>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10"/>
        <w:gridCol w:w="1036"/>
        <w:gridCol w:w="827"/>
        <w:gridCol w:w="941"/>
        <w:gridCol w:w="1099"/>
        <w:gridCol w:w="157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06" w:type="dxa"/>
            <w:vAlign w:val="center"/>
          </w:tcPr>
          <w:p>
            <w:pPr>
              <w:spacing w:line="440" w:lineRule="exact"/>
              <w:rPr>
                <w:rFonts w:ascii="Times New Roman" w:hAnsi="Times New Roman"/>
                <w:color w:val="auto"/>
                <w:szCs w:val="21"/>
                <w:highlight w:val="none"/>
              </w:rPr>
            </w:pPr>
            <w:r>
              <w:rPr>
                <w:rFonts w:ascii="Times New Roman" w:hAnsi="Times New Roman"/>
                <w:color w:val="auto"/>
                <w:szCs w:val="21"/>
                <w:highlight w:val="none"/>
              </w:rPr>
              <w:t>序号</w:t>
            </w:r>
          </w:p>
        </w:tc>
        <w:tc>
          <w:tcPr>
            <w:tcW w:w="1410"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仪器设备</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名称</w:t>
            </w:r>
          </w:p>
        </w:tc>
        <w:tc>
          <w:tcPr>
            <w:tcW w:w="1036"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型号</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规格</w:t>
            </w:r>
          </w:p>
        </w:tc>
        <w:tc>
          <w:tcPr>
            <w:tcW w:w="827"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941"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国别</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产地</w:t>
            </w:r>
          </w:p>
        </w:tc>
        <w:tc>
          <w:tcPr>
            <w:tcW w:w="1099"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制造</w:t>
            </w:r>
          </w:p>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年份</w:t>
            </w:r>
          </w:p>
        </w:tc>
        <w:tc>
          <w:tcPr>
            <w:tcW w:w="1570"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用途</w:t>
            </w:r>
          </w:p>
        </w:tc>
        <w:tc>
          <w:tcPr>
            <w:tcW w:w="1285" w:type="dxa"/>
            <w:vAlign w:val="center"/>
          </w:tcPr>
          <w:p>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vAlign w:val="center"/>
          </w:tcPr>
          <w:p>
            <w:pPr>
              <w:spacing w:line="440" w:lineRule="exact"/>
              <w:jc w:val="center"/>
              <w:rPr>
                <w:rFonts w:ascii="Times New Roman" w:hAnsi="Times New Roman"/>
                <w:color w:val="auto"/>
                <w:szCs w:val="21"/>
                <w:highlight w:val="none"/>
              </w:rPr>
            </w:pPr>
          </w:p>
        </w:tc>
        <w:tc>
          <w:tcPr>
            <w:tcW w:w="1410" w:type="dxa"/>
            <w:vAlign w:val="center"/>
          </w:tcPr>
          <w:p>
            <w:pPr>
              <w:spacing w:line="440" w:lineRule="exact"/>
              <w:jc w:val="center"/>
              <w:rPr>
                <w:rFonts w:ascii="Times New Roman" w:hAnsi="Times New Roman"/>
                <w:color w:val="auto"/>
                <w:szCs w:val="21"/>
                <w:highlight w:val="none"/>
              </w:rPr>
            </w:pPr>
          </w:p>
        </w:tc>
        <w:tc>
          <w:tcPr>
            <w:tcW w:w="1036" w:type="dxa"/>
            <w:vAlign w:val="center"/>
          </w:tcPr>
          <w:p>
            <w:pPr>
              <w:spacing w:line="440" w:lineRule="exact"/>
              <w:jc w:val="center"/>
              <w:rPr>
                <w:rFonts w:ascii="Times New Roman" w:hAnsi="Times New Roman"/>
                <w:color w:val="auto"/>
                <w:szCs w:val="21"/>
                <w:highlight w:val="none"/>
              </w:rPr>
            </w:pPr>
          </w:p>
        </w:tc>
        <w:tc>
          <w:tcPr>
            <w:tcW w:w="827" w:type="dxa"/>
            <w:vAlign w:val="center"/>
          </w:tcPr>
          <w:p>
            <w:pPr>
              <w:spacing w:line="440" w:lineRule="exact"/>
              <w:jc w:val="center"/>
              <w:rPr>
                <w:rFonts w:ascii="Times New Roman" w:hAnsi="Times New Roman"/>
                <w:color w:val="auto"/>
                <w:szCs w:val="21"/>
                <w:highlight w:val="none"/>
              </w:rPr>
            </w:pPr>
          </w:p>
        </w:tc>
        <w:tc>
          <w:tcPr>
            <w:tcW w:w="941" w:type="dxa"/>
            <w:vAlign w:val="center"/>
          </w:tcPr>
          <w:p>
            <w:pPr>
              <w:spacing w:line="440" w:lineRule="exact"/>
              <w:jc w:val="center"/>
              <w:rPr>
                <w:rFonts w:ascii="Times New Roman" w:hAnsi="Times New Roman"/>
                <w:color w:val="auto"/>
                <w:szCs w:val="21"/>
                <w:highlight w:val="none"/>
              </w:rPr>
            </w:pPr>
          </w:p>
        </w:tc>
        <w:tc>
          <w:tcPr>
            <w:tcW w:w="1099" w:type="dxa"/>
            <w:vAlign w:val="center"/>
          </w:tcPr>
          <w:p>
            <w:pPr>
              <w:spacing w:line="440" w:lineRule="exact"/>
              <w:jc w:val="center"/>
              <w:rPr>
                <w:rFonts w:ascii="Times New Roman" w:hAnsi="Times New Roman"/>
                <w:color w:val="auto"/>
                <w:szCs w:val="21"/>
                <w:highlight w:val="none"/>
              </w:rPr>
            </w:pPr>
          </w:p>
        </w:tc>
        <w:tc>
          <w:tcPr>
            <w:tcW w:w="1570" w:type="dxa"/>
            <w:vAlign w:val="center"/>
          </w:tcPr>
          <w:p>
            <w:pPr>
              <w:spacing w:line="440" w:lineRule="exact"/>
              <w:jc w:val="center"/>
              <w:rPr>
                <w:rFonts w:ascii="Times New Roman" w:hAnsi="Times New Roman"/>
                <w:color w:val="auto"/>
                <w:szCs w:val="21"/>
                <w:highlight w:val="none"/>
              </w:rPr>
            </w:pPr>
          </w:p>
        </w:tc>
        <w:tc>
          <w:tcPr>
            <w:tcW w:w="1285" w:type="dxa"/>
            <w:vAlign w:val="center"/>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vAlign w:val="center"/>
          </w:tcPr>
          <w:p>
            <w:pPr>
              <w:spacing w:line="440" w:lineRule="exact"/>
              <w:jc w:val="center"/>
              <w:rPr>
                <w:rFonts w:ascii="Times New Roman" w:hAnsi="Times New Roman"/>
                <w:color w:val="auto"/>
                <w:szCs w:val="21"/>
                <w:highlight w:val="none"/>
              </w:rPr>
            </w:pPr>
          </w:p>
        </w:tc>
        <w:tc>
          <w:tcPr>
            <w:tcW w:w="1410" w:type="dxa"/>
            <w:vAlign w:val="center"/>
          </w:tcPr>
          <w:p>
            <w:pPr>
              <w:spacing w:line="440" w:lineRule="exact"/>
              <w:jc w:val="center"/>
              <w:rPr>
                <w:rFonts w:ascii="Times New Roman" w:hAnsi="Times New Roman"/>
                <w:color w:val="auto"/>
                <w:szCs w:val="21"/>
                <w:highlight w:val="none"/>
              </w:rPr>
            </w:pPr>
          </w:p>
        </w:tc>
        <w:tc>
          <w:tcPr>
            <w:tcW w:w="1036" w:type="dxa"/>
            <w:vAlign w:val="center"/>
          </w:tcPr>
          <w:p>
            <w:pPr>
              <w:spacing w:line="440" w:lineRule="exact"/>
              <w:jc w:val="center"/>
              <w:rPr>
                <w:rFonts w:ascii="Times New Roman" w:hAnsi="Times New Roman"/>
                <w:color w:val="auto"/>
                <w:szCs w:val="21"/>
                <w:highlight w:val="none"/>
              </w:rPr>
            </w:pPr>
          </w:p>
        </w:tc>
        <w:tc>
          <w:tcPr>
            <w:tcW w:w="827" w:type="dxa"/>
            <w:vAlign w:val="center"/>
          </w:tcPr>
          <w:p>
            <w:pPr>
              <w:spacing w:line="440" w:lineRule="exact"/>
              <w:jc w:val="center"/>
              <w:rPr>
                <w:rFonts w:ascii="Times New Roman" w:hAnsi="Times New Roman"/>
                <w:color w:val="auto"/>
                <w:szCs w:val="21"/>
                <w:highlight w:val="none"/>
              </w:rPr>
            </w:pPr>
          </w:p>
        </w:tc>
        <w:tc>
          <w:tcPr>
            <w:tcW w:w="941" w:type="dxa"/>
            <w:vAlign w:val="center"/>
          </w:tcPr>
          <w:p>
            <w:pPr>
              <w:spacing w:line="440" w:lineRule="exact"/>
              <w:jc w:val="center"/>
              <w:rPr>
                <w:rFonts w:ascii="Times New Roman" w:hAnsi="Times New Roman"/>
                <w:color w:val="auto"/>
                <w:szCs w:val="21"/>
                <w:highlight w:val="none"/>
              </w:rPr>
            </w:pPr>
          </w:p>
        </w:tc>
        <w:tc>
          <w:tcPr>
            <w:tcW w:w="1099" w:type="dxa"/>
            <w:vAlign w:val="center"/>
          </w:tcPr>
          <w:p>
            <w:pPr>
              <w:spacing w:line="440" w:lineRule="exact"/>
              <w:jc w:val="center"/>
              <w:rPr>
                <w:rFonts w:ascii="Times New Roman" w:hAnsi="Times New Roman"/>
                <w:color w:val="auto"/>
                <w:szCs w:val="21"/>
                <w:highlight w:val="none"/>
              </w:rPr>
            </w:pPr>
          </w:p>
        </w:tc>
        <w:tc>
          <w:tcPr>
            <w:tcW w:w="1570" w:type="dxa"/>
            <w:vAlign w:val="center"/>
          </w:tcPr>
          <w:p>
            <w:pPr>
              <w:spacing w:line="440" w:lineRule="exact"/>
              <w:jc w:val="center"/>
              <w:rPr>
                <w:rFonts w:ascii="Times New Roman" w:hAnsi="Times New Roman"/>
                <w:color w:val="auto"/>
                <w:szCs w:val="21"/>
                <w:highlight w:val="none"/>
              </w:rPr>
            </w:pPr>
          </w:p>
        </w:tc>
        <w:tc>
          <w:tcPr>
            <w:tcW w:w="1285" w:type="dxa"/>
            <w:vAlign w:val="center"/>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6" w:type="dxa"/>
          </w:tcPr>
          <w:p>
            <w:pPr>
              <w:spacing w:line="440" w:lineRule="exact"/>
              <w:jc w:val="center"/>
              <w:rPr>
                <w:rFonts w:ascii="Times New Roman" w:hAnsi="Times New Roman"/>
                <w:color w:val="auto"/>
                <w:szCs w:val="21"/>
                <w:highlight w:val="none"/>
              </w:rPr>
            </w:pPr>
          </w:p>
        </w:tc>
        <w:tc>
          <w:tcPr>
            <w:tcW w:w="1410" w:type="dxa"/>
          </w:tcPr>
          <w:p>
            <w:pPr>
              <w:spacing w:line="440" w:lineRule="exact"/>
              <w:jc w:val="center"/>
              <w:rPr>
                <w:rFonts w:ascii="Times New Roman" w:hAnsi="Times New Roman"/>
                <w:color w:val="auto"/>
                <w:szCs w:val="21"/>
                <w:highlight w:val="none"/>
              </w:rPr>
            </w:pPr>
          </w:p>
        </w:tc>
        <w:tc>
          <w:tcPr>
            <w:tcW w:w="1036" w:type="dxa"/>
          </w:tcPr>
          <w:p>
            <w:pPr>
              <w:spacing w:line="440" w:lineRule="exact"/>
              <w:jc w:val="center"/>
              <w:rPr>
                <w:rFonts w:ascii="Times New Roman" w:hAnsi="Times New Roman"/>
                <w:color w:val="auto"/>
                <w:szCs w:val="21"/>
                <w:highlight w:val="none"/>
              </w:rPr>
            </w:pPr>
          </w:p>
        </w:tc>
        <w:tc>
          <w:tcPr>
            <w:tcW w:w="827" w:type="dxa"/>
          </w:tcPr>
          <w:p>
            <w:pPr>
              <w:spacing w:line="440" w:lineRule="exact"/>
              <w:jc w:val="center"/>
              <w:rPr>
                <w:rFonts w:ascii="Times New Roman" w:hAnsi="Times New Roman"/>
                <w:color w:val="auto"/>
                <w:szCs w:val="21"/>
                <w:highlight w:val="none"/>
              </w:rPr>
            </w:pPr>
          </w:p>
        </w:tc>
        <w:tc>
          <w:tcPr>
            <w:tcW w:w="941" w:type="dxa"/>
          </w:tcPr>
          <w:p>
            <w:pPr>
              <w:spacing w:line="440" w:lineRule="exact"/>
              <w:jc w:val="center"/>
              <w:rPr>
                <w:rFonts w:ascii="Times New Roman" w:hAnsi="Times New Roman"/>
                <w:color w:val="auto"/>
                <w:szCs w:val="21"/>
                <w:highlight w:val="none"/>
              </w:rPr>
            </w:pPr>
          </w:p>
        </w:tc>
        <w:tc>
          <w:tcPr>
            <w:tcW w:w="1099" w:type="dxa"/>
          </w:tcPr>
          <w:p>
            <w:pPr>
              <w:spacing w:line="440" w:lineRule="exact"/>
              <w:jc w:val="center"/>
              <w:rPr>
                <w:rFonts w:ascii="Times New Roman" w:hAnsi="Times New Roman"/>
                <w:color w:val="auto"/>
                <w:szCs w:val="21"/>
                <w:highlight w:val="none"/>
              </w:rPr>
            </w:pPr>
          </w:p>
        </w:tc>
        <w:tc>
          <w:tcPr>
            <w:tcW w:w="1570" w:type="dxa"/>
          </w:tcPr>
          <w:p>
            <w:pPr>
              <w:spacing w:line="440" w:lineRule="exact"/>
              <w:jc w:val="center"/>
              <w:rPr>
                <w:rFonts w:ascii="Times New Roman" w:hAnsi="Times New Roman"/>
                <w:color w:val="auto"/>
                <w:szCs w:val="21"/>
                <w:highlight w:val="none"/>
              </w:rPr>
            </w:pPr>
          </w:p>
        </w:tc>
        <w:tc>
          <w:tcPr>
            <w:tcW w:w="1285" w:type="dxa"/>
          </w:tcPr>
          <w:p>
            <w:pPr>
              <w:spacing w:line="440" w:lineRule="exact"/>
              <w:jc w:val="center"/>
              <w:rPr>
                <w:rFonts w:ascii="Times New Roman" w:hAnsi="Times New Roman"/>
                <w:color w:val="auto"/>
                <w:szCs w:val="21"/>
                <w:highlight w:val="none"/>
              </w:rPr>
            </w:pPr>
          </w:p>
        </w:tc>
      </w:tr>
    </w:tbl>
    <w:p>
      <w:pPr>
        <w:rPr>
          <w:rFonts w:ascii="Times New Roman" w:hAnsi="Times New Roman"/>
          <w:color w:val="auto"/>
          <w:highlight w:val="none"/>
        </w:rPr>
      </w:pPr>
    </w:p>
    <w:p>
      <w:pPr>
        <w:rPr>
          <w:color w:val="auto"/>
          <w:highlight w:val="none"/>
        </w:rPr>
      </w:pPr>
    </w:p>
    <w:p>
      <w:pPr>
        <w:rPr>
          <w:color w:val="auto"/>
          <w:highlight w:val="none"/>
        </w:rPr>
      </w:pPr>
    </w:p>
    <w:p>
      <w:pPr>
        <w:jc w:val="center"/>
        <w:rPr>
          <w:rFonts w:ascii="Times New Roman" w:hAnsi="Times New Roman" w:eastAsia="黑体"/>
          <w:color w:val="auto"/>
          <w:sz w:val="28"/>
          <w:szCs w:val="20"/>
          <w:highlight w:val="none"/>
        </w:rPr>
      </w:pPr>
      <w:bookmarkStart w:id="804" w:name="_Toc16"/>
    </w:p>
    <w:p>
      <w:pPr>
        <w:jc w:val="center"/>
        <w:rPr>
          <w:rFonts w:ascii="Times New Roman" w:hAnsi="Times New Roman" w:eastAsia="黑体"/>
          <w:color w:val="auto"/>
          <w:sz w:val="28"/>
          <w:szCs w:val="20"/>
          <w:highlight w:val="none"/>
        </w:rPr>
      </w:pPr>
    </w:p>
    <w:p>
      <w:pPr>
        <w:widowControl/>
        <w:jc w:val="left"/>
        <w:rPr>
          <w:rFonts w:ascii="Times New Roman" w:hAnsi="Times New Roman" w:eastAsia="黑体"/>
          <w:color w:val="auto"/>
          <w:sz w:val="28"/>
          <w:szCs w:val="20"/>
          <w:highlight w:val="none"/>
        </w:rPr>
      </w:pPr>
      <w:r>
        <w:rPr>
          <w:rFonts w:ascii="Times New Roman" w:hAnsi="Times New Roman" w:eastAsia="黑体"/>
          <w:color w:val="auto"/>
          <w:sz w:val="28"/>
          <w:szCs w:val="20"/>
          <w:highlight w:val="none"/>
        </w:rPr>
        <w:br w:type="page"/>
      </w:r>
    </w:p>
    <w:p>
      <w:pPr>
        <w:jc w:val="center"/>
        <w:rPr>
          <w:rFonts w:ascii="Times New Roman" w:hAnsi="Times New Roman" w:eastAsia="黑体"/>
          <w:color w:val="auto"/>
          <w:sz w:val="28"/>
          <w:szCs w:val="20"/>
          <w:highlight w:val="none"/>
        </w:rPr>
      </w:pPr>
      <w:r>
        <w:rPr>
          <w:rFonts w:hint="eastAsia" w:ascii="Times New Roman" w:hAnsi="Times New Roman" w:eastAsia="黑体"/>
          <w:color w:val="auto"/>
          <w:sz w:val="28"/>
          <w:szCs w:val="20"/>
          <w:highlight w:val="none"/>
        </w:rPr>
        <w:t>（五）</w:t>
      </w:r>
      <w:bookmarkEnd w:id="804"/>
      <w:r>
        <w:rPr>
          <w:rFonts w:hint="eastAsia" w:ascii="Times New Roman" w:hAnsi="Times New Roman" w:eastAsia="黑体"/>
          <w:color w:val="auto"/>
          <w:sz w:val="28"/>
          <w:szCs w:val="20"/>
          <w:highlight w:val="none"/>
        </w:rPr>
        <w:t>投标人认为需要提供的资料（如有）。</w:t>
      </w:r>
    </w:p>
    <w:p>
      <w:pPr>
        <w:jc w:val="center"/>
        <w:rPr>
          <w:color w:val="auto"/>
          <w:highlight w:val="none"/>
        </w:rPr>
      </w:pPr>
    </w:p>
    <w:p>
      <w:pPr>
        <w:rPr>
          <w:color w:val="auto"/>
          <w:highlight w:val="none"/>
        </w:rPr>
      </w:pPr>
      <w:r>
        <w:rPr>
          <w:rFonts w:hint="eastAsia"/>
          <w:color w:val="auto"/>
          <w:highlight w:val="none"/>
        </w:rPr>
        <w:t>格式自拟。</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24</w:t>
    </w:r>
    <w:r>
      <w:rPr>
        <w:lang w:val="zh-CN"/>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96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96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decimal"/>
      <w:suff w:val="space"/>
      <w:lvlText w:val="%1."/>
      <w:lvlJc w:val="left"/>
    </w:lvl>
  </w:abstractNum>
  <w:abstractNum w:abstractNumId="1">
    <w:nsid w:val="0ADC506F"/>
    <w:multiLevelType w:val="multilevel"/>
    <w:tmpl w:val="0ADC506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62762BB"/>
    <w:multiLevelType w:val="singleLevel"/>
    <w:tmpl w:val="262762BB"/>
    <w:lvl w:ilvl="0" w:tentative="0">
      <w:start w:val="1"/>
      <w:numFmt w:val="chineseCounting"/>
      <w:suff w:val="nothing"/>
      <w:lvlText w:val="%1、"/>
      <w:lvlJc w:val="left"/>
      <w:rPr>
        <w:rFonts w:hint="eastAsia"/>
      </w:rPr>
    </w:lvl>
  </w:abstractNum>
  <w:abstractNum w:abstractNumId="3">
    <w:nsid w:val="365FF7B4"/>
    <w:multiLevelType w:val="singleLevel"/>
    <w:tmpl w:val="365FF7B4"/>
    <w:lvl w:ilvl="0" w:tentative="0">
      <w:start w:val="3"/>
      <w:numFmt w:val="decimal"/>
      <w:suff w:val="space"/>
      <w:lvlText w:val="%1."/>
      <w:lvlJc w:val="left"/>
    </w:lvl>
  </w:abstractNum>
  <w:num w:numId="1">
    <w:abstractNumId w:val="3"/>
  </w:num>
  <w:num w:numId="2">
    <w:abstractNumId w:val="0"/>
    <w:lvlOverride w:ilvl="0">
      <w:startOverride w:val="4"/>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MWY0MTQ5YjM3MTU4YjZjODQ5ZWQ1MmMyYzIxOWEifQ=="/>
  </w:docVars>
  <w:rsids>
    <w:rsidRoot w:val="00EA63BE"/>
    <w:rsid w:val="00012B43"/>
    <w:rsid w:val="0001309E"/>
    <w:rsid w:val="000137F8"/>
    <w:rsid w:val="000442F5"/>
    <w:rsid w:val="00045A91"/>
    <w:rsid w:val="00046A38"/>
    <w:rsid w:val="0007228C"/>
    <w:rsid w:val="00084E2F"/>
    <w:rsid w:val="00093EE1"/>
    <w:rsid w:val="000A7F11"/>
    <w:rsid w:val="000D2476"/>
    <w:rsid w:val="000D30E6"/>
    <w:rsid w:val="000E1FA3"/>
    <w:rsid w:val="000F0C8C"/>
    <w:rsid w:val="0016513C"/>
    <w:rsid w:val="0017138F"/>
    <w:rsid w:val="001839C2"/>
    <w:rsid w:val="00197859"/>
    <w:rsid w:val="001A4E90"/>
    <w:rsid w:val="001C04CB"/>
    <w:rsid w:val="001E3BCC"/>
    <w:rsid w:val="00203339"/>
    <w:rsid w:val="00212BCD"/>
    <w:rsid w:val="00225258"/>
    <w:rsid w:val="002651B5"/>
    <w:rsid w:val="00271CBA"/>
    <w:rsid w:val="00273BE9"/>
    <w:rsid w:val="002A3A28"/>
    <w:rsid w:val="002A3F5A"/>
    <w:rsid w:val="002B4865"/>
    <w:rsid w:val="002C33A0"/>
    <w:rsid w:val="002C3F57"/>
    <w:rsid w:val="002D6312"/>
    <w:rsid w:val="002E623B"/>
    <w:rsid w:val="00302AFA"/>
    <w:rsid w:val="00330CF8"/>
    <w:rsid w:val="003509A0"/>
    <w:rsid w:val="003710DA"/>
    <w:rsid w:val="003741A5"/>
    <w:rsid w:val="00383EF9"/>
    <w:rsid w:val="0039151C"/>
    <w:rsid w:val="003A468C"/>
    <w:rsid w:val="003B1388"/>
    <w:rsid w:val="003B2365"/>
    <w:rsid w:val="003B4035"/>
    <w:rsid w:val="003D25CC"/>
    <w:rsid w:val="003D335E"/>
    <w:rsid w:val="003E1E32"/>
    <w:rsid w:val="00446693"/>
    <w:rsid w:val="00457C62"/>
    <w:rsid w:val="0046342D"/>
    <w:rsid w:val="00476F1D"/>
    <w:rsid w:val="00490505"/>
    <w:rsid w:val="004A2660"/>
    <w:rsid w:val="004A720E"/>
    <w:rsid w:val="004B4453"/>
    <w:rsid w:val="004E5648"/>
    <w:rsid w:val="0050468B"/>
    <w:rsid w:val="005253B6"/>
    <w:rsid w:val="00530E1B"/>
    <w:rsid w:val="00577076"/>
    <w:rsid w:val="0059555C"/>
    <w:rsid w:val="005B16C4"/>
    <w:rsid w:val="005B535D"/>
    <w:rsid w:val="005B7814"/>
    <w:rsid w:val="005D4016"/>
    <w:rsid w:val="005E1581"/>
    <w:rsid w:val="00601CC4"/>
    <w:rsid w:val="00611D91"/>
    <w:rsid w:val="00614470"/>
    <w:rsid w:val="00634B17"/>
    <w:rsid w:val="00674177"/>
    <w:rsid w:val="00684BC5"/>
    <w:rsid w:val="00687ED8"/>
    <w:rsid w:val="006C10CE"/>
    <w:rsid w:val="006C4E12"/>
    <w:rsid w:val="006D0DED"/>
    <w:rsid w:val="006D1DF3"/>
    <w:rsid w:val="006D525B"/>
    <w:rsid w:val="006E7DB4"/>
    <w:rsid w:val="006F2F19"/>
    <w:rsid w:val="0070519C"/>
    <w:rsid w:val="00724084"/>
    <w:rsid w:val="007279B8"/>
    <w:rsid w:val="00757C48"/>
    <w:rsid w:val="00757E7D"/>
    <w:rsid w:val="00761851"/>
    <w:rsid w:val="00764338"/>
    <w:rsid w:val="00790687"/>
    <w:rsid w:val="007D6515"/>
    <w:rsid w:val="008069CC"/>
    <w:rsid w:val="0080771A"/>
    <w:rsid w:val="00812578"/>
    <w:rsid w:val="00864E67"/>
    <w:rsid w:val="008660F5"/>
    <w:rsid w:val="00866B17"/>
    <w:rsid w:val="00872478"/>
    <w:rsid w:val="00886BF6"/>
    <w:rsid w:val="008B75A4"/>
    <w:rsid w:val="008C0192"/>
    <w:rsid w:val="0093008A"/>
    <w:rsid w:val="00931F5C"/>
    <w:rsid w:val="00956F7B"/>
    <w:rsid w:val="00966314"/>
    <w:rsid w:val="009846D5"/>
    <w:rsid w:val="00993705"/>
    <w:rsid w:val="009C353A"/>
    <w:rsid w:val="009F4D63"/>
    <w:rsid w:val="00A02080"/>
    <w:rsid w:val="00A3226D"/>
    <w:rsid w:val="00A44631"/>
    <w:rsid w:val="00A451B8"/>
    <w:rsid w:val="00A520CB"/>
    <w:rsid w:val="00A6176A"/>
    <w:rsid w:val="00AA0E86"/>
    <w:rsid w:val="00AA35CC"/>
    <w:rsid w:val="00AA4B77"/>
    <w:rsid w:val="00AC245E"/>
    <w:rsid w:val="00AE079C"/>
    <w:rsid w:val="00B04492"/>
    <w:rsid w:val="00B16218"/>
    <w:rsid w:val="00B26538"/>
    <w:rsid w:val="00B405EA"/>
    <w:rsid w:val="00B42A0D"/>
    <w:rsid w:val="00B7775B"/>
    <w:rsid w:val="00B9532C"/>
    <w:rsid w:val="00BB11A4"/>
    <w:rsid w:val="00BC6C0D"/>
    <w:rsid w:val="00BD566A"/>
    <w:rsid w:val="00C1624E"/>
    <w:rsid w:val="00C26783"/>
    <w:rsid w:val="00C45AA0"/>
    <w:rsid w:val="00C47594"/>
    <w:rsid w:val="00C80E39"/>
    <w:rsid w:val="00C814E2"/>
    <w:rsid w:val="00CF7353"/>
    <w:rsid w:val="00D122B0"/>
    <w:rsid w:val="00D16188"/>
    <w:rsid w:val="00D163B4"/>
    <w:rsid w:val="00D429CE"/>
    <w:rsid w:val="00D441A1"/>
    <w:rsid w:val="00D540CB"/>
    <w:rsid w:val="00D814E5"/>
    <w:rsid w:val="00DB1CE0"/>
    <w:rsid w:val="00DC7871"/>
    <w:rsid w:val="00DE20E1"/>
    <w:rsid w:val="00DE3C21"/>
    <w:rsid w:val="00DF2074"/>
    <w:rsid w:val="00E1350A"/>
    <w:rsid w:val="00E30FF2"/>
    <w:rsid w:val="00E47615"/>
    <w:rsid w:val="00E56834"/>
    <w:rsid w:val="00E83E65"/>
    <w:rsid w:val="00EA63BE"/>
    <w:rsid w:val="00EC3AF4"/>
    <w:rsid w:val="00EC53D1"/>
    <w:rsid w:val="00ED4C55"/>
    <w:rsid w:val="00EE4CC4"/>
    <w:rsid w:val="00F91460"/>
    <w:rsid w:val="00F93BD5"/>
    <w:rsid w:val="00FA64B5"/>
    <w:rsid w:val="00FB236E"/>
    <w:rsid w:val="00FC72CE"/>
    <w:rsid w:val="00FE4192"/>
    <w:rsid w:val="01B53DE7"/>
    <w:rsid w:val="01DA029C"/>
    <w:rsid w:val="01EF5AE7"/>
    <w:rsid w:val="026D60F8"/>
    <w:rsid w:val="02BD7044"/>
    <w:rsid w:val="04FD37D8"/>
    <w:rsid w:val="0549747E"/>
    <w:rsid w:val="061924C9"/>
    <w:rsid w:val="07EB3A46"/>
    <w:rsid w:val="08642C22"/>
    <w:rsid w:val="087106CF"/>
    <w:rsid w:val="0A1C7FF4"/>
    <w:rsid w:val="0AA552FF"/>
    <w:rsid w:val="0B2A2ABB"/>
    <w:rsid w:val="0D770573"/>
    <w:rsid w:val="0FE65785"/>
    <w:rsid w:val="10633051"/>
    <w:rsid w:val="10745A53"/>
    <w:rsid w:val="10DE1511"/>
    <w:rsid w:val="11B10E30"/>
    <w:rsid w:val="11CD7818"/>
    <w:rsid w:val="1203343A"/>
    <w:rsid w:val="12C06EC8"/>
    <w:rsid w:val="13787C50"/>
    <w:rsid w:val="13AF3B94"/>
    <w:rsid w:val="13B05E62"/>
    <w:rsid w:val="13E579DC"/>
    <w:rsid w:val="13E91B76"/>
    <w:rsid w:val="14634B62"/>
    <w:rsid w:val="149338DE"/>
    <w:rsid w:val="15D56CB2"/>
    <w:rsid w:val="15FB1B64"/>
    <w:rsid w:val="15FC17B8"/>
    <w:rsid w:val="17794719"/>
    <w:rsid w:val="18F06AAF"/>
    <w:rsid w:val="19AC7F7E"/>
    <w:rsid w:val="1A7F342E"/>
    <w:rsid w:val="1AAB1C95"/>
    <w:rsid w:val="1AD51FCD"/>
    <w:rsid w:val="1B0B7B63"/>
    <w:rsid w:val="1C1B5E4B"/>
    <w:rsid w:val="1F380D3F"/>
    <w:rsid w:val="1F707492"/>
    <w:rsid w:val="20052AA6"/>
    <w:rsid w:val="20956D4A"/>
    <w:rsid w:val="20F85B40"/>
    <w:rsid w:val="2287370D"/>
    <w:rsid w:val="243B7621"/>
    <w:rsid w:val="24CA0A70"/>
    <w:rsid w:val="25DC7F48"/>
    <w:rsid w:val="26185F86"/>
    <w:rsid w:val="262C51DF"/>
    <w:rsid w:val="27457B09"/>
    <w:rsid w:val="277830CE"/>
    <w:rsid w:val="27837A12"/>
    <w:rsid w:val="28D308C8"/>
    <w:rsid w:val="296F04B9"/>
    <w:rsid w:val="29D807BC"/>
    <w:rsid w:val="2B2A7D60"/>
    <w:rsid w:val="2C3B275A"/>
    <w:rsid w:val="2CC04333"/>
    <w:rsid w:val="2D010AED"/>
    <w:rsid w:val="2D2F177D"/>
    <w:rsid w:val="2EB508F0"/>
    <w:rsid w:val="2F0957D2"/>
    <w:rsid w:val="2F4010E3"/>
    <w:rsid w:val="2FFD45E8"/>
    <w:rsid w:val="309E4B8E"/>
    <w:rsid w:val="30B02C62"/>
    <w:rsid w:val="32E052B5"/>
    <w:rsid w:val="34274A45"/>
    <w:rsid w:val="34A24E89"/>
    <w:rsid w:val="34FA14D5"/>
    <w:rsid w:val="355A5615"/>
    <w:rsid w:val="35D809D0"/>
    <w:rsid w:val="376D3897"/>
    <w:rsid w:val="379C2FCB"/>
    <w:rsid w:val="391966F5"/>
    <w:rsid w:val="3C9E35D3"/>
    <w:rsid w:val="3CE872B3"/>
    <w:rsid w:val="3D3D07FB"/>
    <w:rsid w:val="3E1D72E9"/>
    <w:rsid w:val="3F514B82"/>
    <w:rsid w:val="3FC4700A"/>
    <w:rsid w:val="3FE61EF8"/>
    <w:rsid w:val="4021675B"/>
    <w:rsid w:val="40FF5779"/>
    <w:rsid w:val="41065AEE"/>
    <w:rsid w:val="412E638D"/>
    <w:rsid w:val="41B8696D"/>
    <w:rsid w:val="457D1427"/>
    <w:rsid w:val="465B54E0"/>
    <w:rsid w:val="48566BE5"/>
    <w:rsid w:val="48F67CDB"/>
    <w:rsid w:val="49367D46"/>
    <w:rsid w:val="4A9D1A87"/>
    <w:rsid w:val="4B092718"/>
    <w:rsid w:val="4B8360DE"/>
    <w:rsid w:val="4C722D31"/>
    <w:rsid w:val="4CD34868"/>
    <w:rsid w:val="4D072B13"/>
    <w:rsid w:val="4D9A513E"/>
    <w:rsid w:val="4DC84CF6"/>
    <w:rsid w:val="4E6C68F7"/>
    <w:rsid w:val="4F0222AA"/>
    <w:rsid w:val="4F21074D"/>
    <w:rsid w:val="50DF1D3D"/>
    <w:rsid w:val="516513D2"/>
    <w:rsid w:val="51B71ADC"/>
    <w:rsid w:val="52DB5D07"/>
    <w:rsid w:val="53443375"/>
    <w:rsid w:val="536C07A9"/>
    <w:rsid w:val="54AA0BDA"/>
    <w:rsid w:val="55267533"/>
    <w:rsid w:val="555155EA"/>
    <w:rsid w:val="563837FE"/>
    <w:rsid w:val="56F23486"/>
    <w:rsid w:val="58EC0B44"/>
    <w:rsid w:val="59822250"/>
    <w:rsid w:val="5A7C4F3D"/>
    <w:rsid w:val="5AB83FF2"/>
    <w:rsid w:val="5ABB73BD"/>
    <w:rsid w:val="5CB27435"/>
    <w:rsid w:val="5D306F28"/>
    <w:rsid w:val="5DBE3BA2"/>
    <w:rsid w:val="5E275D3B"/>
    <w:rsid w:val="5E6512D5"/>
    <w:rsid w:val="5F6A57A3"/>
    <w:rsid w:val="6115048B"/>
    <w:rsid w:val="61B90ACE"/>
    <w:rsid w:val="61D51065"/>
    <w:rsid w:val="62A95960"/>
    <w:rsid w:val="63007050"/>
    <w:rsid w:val="63054152"/>
    <w:rsid w:val="63675FAD"/>
    <w:rsid w:val="64B61558"/>
    <w:rsid w:val="64F44245"/>
    <w:rsid w:val="67927EE5"/>
    <w:rsid w:val="695068F6"/>
    <w:rsid w:val="69B94497"/>
    <w:rsid w:val="69E1674D"/>
    <w:rsid w:val="6A901C22"/>
    <w:rsid w:val="6BB54DFA"/>
    <w:rsid w:val="6CA228CB"/>
    <w:rsid w:val="6DE272CA"/>
    <w:rsid w:val="6E446F28"/>
    <w:rsid w:val="6E642E84"/>
    <w:rsid w:val="6E6E2E3E"/>
    <w:rsid w:val="6FE55D7F"/>
    <w:rsid w:val="70350F1C"/>
    <w:rsid w:val="704240C4"/>
    <w:rsid w:val="70DA42FD"/>
    <w:rsid w:val="71042628"/>
    <w:rsid w:val="71CE727E"/>
    <w:rsid w:val="72CF151B"/>
    <w:rsid w:val="739B4D00"/>
    <w:rsid w:val="73B32FEB"/>
    <w:rsid w:val="745F72FB"/>
    <w:rsid w:val="74B56541"/>
    <w:rsid w:val="754A6D84"/>
    <w:rsid w:val="764F7082"/>
    <w:rsid w:val="77163FC8"/>
    <w:rsid w:val="77A71FA9"/>
    <w:rsid w:val="77D63799"/>
    <w:rsid w:val="785448FC"/>
    <w:rsid w:val="78E263A4"/>
    <w:rsid w:val="79C329FD"/>
    <w:rsid w:val="7AD61519"/>
    <w:rsid w:val="7B881F66"/>
    <w:rsid w:val="7C1B348D"/>
    <w:rsid w:val="7C375CFE"/>
    <w:rsid w:val="7CF31D97"/>
    <w:rsid w:val="7D5E654A"/>
    <w:rsid w:val="7D9615AC"/>
    <w:rsid w:val="7DB4431C"/>
    <w:rsid w:val="7E0D0C38"/>
    <w:rsid w:val="7FDF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qFormat/>
    <w:uiPriority w:val="99"/>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qFormat/>
    <w:uiPriority w:val="1"/>
    <w:pPr>
      <w:spacing w:before="46"/>
      <w:ind w:left="108"/>
      <w:outlineLvl w:val="4"/>
    </w:pPr>
    <w:rPr>
      <w:sz w:val="28"/>
      <w:szCs w:val="28"/>
    </w:rPr>
  </w:style>
  <w:style w:type="paragraph" w:styleId="7">
    <w:name w:val="heading 6"/>
    <w:basedOn w:val="1"/>
    <w:next w:val="1"/>
    <w:qFormat/>
    <w:uiPriority w:val="1"/>
    <w:pPr>
      <w:ind w:left="296"/>
      <w:outlineLvl w:val="5"/>
    </w:pPr>
    <w:rPr>
      <w:b/>
      <w:bCs/>
      <w:sz w:val="24"/>
      <w:szCs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ind w:firstLine="420"/>
    </w:pPr>
    <w:rPr>
      <w:kern w:val="0"/>
      <w:sz w:val="20"/>
      <w:szCs w:val="20"/>
    </w:rPr>
  </w:style>
  <w:style w:type="paragraph" w:styleId="9">
    <w:name w:val="annotation text"/>
    <w:basedOn w:val="1"/>
    <w:link w:val="37"/>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next w:val="1"/>
    <w:unhideWhenUsed/>
    <w:qFormat/>
    <w:uiPriority w:val="0"/>
    <w:pPr>
      <w:spacing w:after="120"/>
    </w:pPr>
    <w:rPr>
      <w:rFonts w:ascii="Times New Roman" w:hAnsi="Times New Roman"/>
      <w:szCs w:val="20"/>
    </w:rPr>
  </w:style>
  <w:style w:type="paragraph" w:styleId="12">
    <w:name w:val="Body Text Indent"/>
    <w:basedOn w:val="1"/>
    <w:qFormat/>
    <w:uiPriority w:val="0"/>
    <w:pPr>
      <w:spacing w:after="120"/>
      <w:ind w:left="420" w:leftChars="200"/>
    </w:pPr>
    <w:rPr>
      <w:rFonts w:ascii="Times New Roman" w:hAnsi="Times New Roman"/>
      <w:szCs w:val="20"/>
    </w:rPr>
  </w:style>
  <w:style w:type="paragraph" w:styleId="13">
    <w:name w:val="toc 3"/>
    <w:basedOn w:val="1"/>
    <w:next w:val="1"/>
    <w:qFormat/>
    <w:uiPriority w:val="39"/>
    <w:pPr>
      <w:ind w:left="400" w:leftChars="400"/>
    </w:pPr>
  </w:style>
  <w:style w:type="paragraph" w:styleId="14">
    <w:name w:val="Plain Text"/>
    <w:basedOn w:val="1"/>
    <w:next w:val="1"/>
    <w:link w:val="42"/>
    <w:qFormat/>
    <w:uiPriority w:val="0"/>
    <w:rPr>
      <w:rFonts w:ascii="宋体"/>
    </w:rPr>
  </w:style>
  <w:style w:type="paragraph" w:styleId="15">
    <w:name w:val="Balloon Text"/>
    <w:basedOn w:val="1"/>
    <w:link w:val="4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200" w:leftChars="200"/>
    </w:pPr>
  </w:style>
  <w:style w:type="paragraph" w:styleId="20">
    <w:name w:val="Normal (Web)"/>
    <w:basedOn w:val="1"/>
    <w:semiHidden/>
    <w:unhideWhenUsed/>
    <w:qFormat/>
    <w:uiPriority w:val="99"/>
    <w:pPr>
      <w:widowControl/>
      <w:jc w:val="left"/>
    </w:pPr>
    <w:rPr>
      <w:rFonts w:ascii="微软雅黑" w:hAnsi="微软雅黑" w:eastAsia="微软雅黑" w:cs="宋体"/>
      <w:kern w:val="0"/>
      <w:sz w:val="24"/>
      <w:szCs w:val="24"/>
    </w:rPr>
  </w:style>
  <w:style w:type="paragraph" w:styleId="21">
    <w:name w:val="annotation subject"/>
    <w:basedOn w:val="9"/>
    <w:next w:val="9"/>
    <w:link w:val="38"/>
    <w:qFormat/>
    <w:uiPriority w:val="0"/>
    <w:rPr>
      <w:b/>
      <w:bCs/>
    </w:rPr>
  </w:style>
  <w:style w:type="paragraph" w:styleId="22">
    <w:name w:val="Body Text First Indent"/>
    <w:basedOn w:val="11"/>
    <w:qFormat/>
    <w:uiPriority w:val="0"/>
    <w:pPr>
      <w:spacing w:line="312" w:lineRule="auto"/>
      <w:ind w:firstLine="420"/>
    </w:pPr>
    <w:rPr>
      <w:szCs w:val="24"/>
    </w:rPr>
  </w:style>
  <w:style w:type="paragraph" w:styleId="23">
    <w:name w:val="Body Text First Indent 2"/>
    <w:basedOn w:val="1"/>
    <w:qFormat/>
    <w:uiPriority w:val="0"/>
    <w:pPr>
      <w:ind w:left="0" w:leftChars="0" w:firstLine="960" w:firstLineChars="200"/>
    </w:pPr>
    <w:rPr>
      <w:sz w:val="24"/>
      <w:szCs w:val="20"/>
    </w:rPr>
  </w:style>
  <w:style w:type="character" w:styleId="26">
    <w:name w:val="Hyperlink"/>
    <w:basedOn w:val="25"/>
    <w:qFormat/>
    <w:uiPriority w:val="99"/>
    <w:rPr>
      <w:color w:val="000000"/>
      <w:u w:val="none"/>
    </w:rPr>
  </w:style>
  <w:style w:type="character" w:styleId="27">
    <w:name w:val="annotation reference"/>
    <w:qFormat/>
    <w:uiPriority w:val="0"/>
    <w:rPr>
      <w:sz w:val="21"/>
    </w:rPr>
  </w:style>
  <w:style w:type="paragraph" w:customStyle="1" w:styleId="28">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29">
    <w:name w:val="p0"/>
    <w:basedOn w:val="1"/>
    <w:qFormat/>
    <w:uiPriority w:val="0"/>
    <w:pPr>
      <w:widowControl/>
      <w:spacing w:before="75" w:after="75"/>
      <w:jc w:val="left"/>
    </w:pPr>
    <w:rPr>
      <w:rFonts w:ascii="宋体" w:hAnsi="宋体" w:cs="宋体"/>
      <w:kern w:val="0"/>
      <w:sz w:val="24"/>
      <w:szCs w:val="24"/>
    </w:rPr>
  </w:style>
  <w:style w:type="paragraph" w:customStyle="1" w:styleId="30">
    <w:name w:val="Table Paragraph"/>
    <w:basedOn w:val="1"/>
    <w:unhideWhenUsed/>
    <w:qFormat/>
    <w:uiPriority w:val="99"/>
    <w:rPr>
      <w:rFonts w:hint="eastAsia"/>
    </w:rPr>
  </w:style>
  <w:style w:type="paragraph" w:customStyle="1" w:styleId="3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2">
    <w:name w:val="List Paragraph"/>
    <w:basedOn w:val="1"/>
    <w:unhideWhenUsed/>
    <w:qFormat/>
    <w:uiPriority w:val="99"/>
    <w:pPr>
      <w:ind w:firstLine="420" w:firstLineChars="200"/>
    </w:pPr>
  </w:style>
  <w:style w:type="paragraph" w:customStyle="1" w:styleId="33">
    <w:name w:val="样式 宋体 行距: 1.5 倍行距"/>
    <w:basedOn w:val="1"/>
    <w:qFormat/>
    <w:uiPriority w:val="99"/>
    <w:pPr>
      <w:jc w:val="center"/>
    </w:pPr>
    <w:rPr>
      <w:b/>
      <w:bCs/>
    </w:rPr>
  </w:style>
  <w:style w:type="character" w:customStyle="1" w:styleId="34">
    <w:name w:val="font31"/>
    <w:basedOn w:val="25"/>
    <w:qFormat/>
    <w:uiPriority w:val="0"/>
    <w:rPr>
      <w:rFonts w:hint="eastAsia" w:ascii="仿宋" w:hAnsi="仿宋" w:eastAsia="仿宋" w:cs="仿宋"/>
      <w:color w:val="000000"/>
      <w:sz w:val="28"/>
      <w:szCs w:val="28"/>
      <w:u w:val="none"/>
    </w:rPr>
  </w:style>
  <w:style w:type="character" w:customStyle="1" w:styleId="35">
    <w:name w:val="font01"/>
    <w:basedOn w:val="25"/>
    <w:qFormat/>
    <w:uiPriority w:val="0"/>
    <w:rPr>
      <w:rFonts w:hint="eastAsia" w:ascii="仿宋" w:hAnsi="仿宋" w:eastAsia="仿宋" w:cs="仿宋"/>
      <w:b/>
      <w:color w:val="000000"/>
      <w:sz w:val="28"/>
      <w:szCs w:val="28"/>
      <w:u w:val="none"/>
    </w:rPr>
  </w:style>
  <w:style w:type="paragraph" w:customStyle="1" w:styleId="36">
    <w:name w:val="修订1"/>
    <w:hidden/>
    <w:semiHidden/>
    <w:qFormat/>
    <w:uiPriority w:val="99"/>
    <w:rPr>
      <w:rFonts w:ascii="Calibri" w:hAnsi="Calibri" w:eastAsia="宋体" w:cs="Times New Roman"/>
      <w:kern w:val="2"/>
      <w:sz w:val="21"/>
      <w:szCs w:val="22"/>
      <w:lang w:val="en-US" w:eastAsia="zh-CN" w:bidi="ar-SA"/>
    </w:rPr>
  </w:style>
  <w:style w:type="character" w:customStyle="1" w:styleId="37">
    <w:name w:val="批注文字 Char"/>
    <w:basedOn w:val="25"/>
    <w:link w:val="9"/>
    <w:qFormat/>
    <w:uiPriority w:val="0"/>
    <w:rPr>
      <w:rFonts w:ascii="Calibri" w:hAnsi="Calibri" w:eastAsia="宋体" w:cs="Times New Roman"/>
      <w:kern w:val="2"/>
      <w:sz w:val="21"/>
      <w:szCs w:val="22"/>
    </w:rPr>
  </w:style>
  <w:style w:type="character" w:customStyle="1" w:styleId="38">
    <w:name w:val="批注主题 Char"/>
    <w:basedOn w:val="37"/>
    <w:link w:val="21"/>
    <w:qFormat/>
    <w:uiPriority w:val="0"/>
    <w:rPr>
      <w:rFonts w:ascii="Calibri" w:hAnsi="Calibri" w:eastAsia="宋体" w:cs="Times New Roman"/>
      <w:b/>
      <w:bCs/>
      <w:kern w:val="2"/>
      <w:sz w:val="21"/>
      <w:szCs w:val="22"/>
    </w:rPr>
  </w:style>
  <w:style w:type="character" w:customStyle="1" w:styleId="39">
    <w:name w:val="页眉 Char"/>
    <w:basedOn w:val="25"/>
    <w:link w:val="17"/>
    <w:qFormat/>
    <w:uiPriority w:val="0"/>
    <w:rPr>
      <w:rFonts w:ascii="Calibri" w:hAnsi="Calibri" w:eastAsia="宋体" w:cs="Times New Roman"/>
      <w:kern w:val="2"/>
      <w:sz w:val="18"/>
      <w:szCs w:val="18"/>
    </w:rPr>
  </w:style>
  <w:style w:type="paragraph" w:customStyle="1" w:styleId="40">
    <w:name w:val="修订2"/>
    <w:hidden/>
    <w:semiHidden/>
    <w:qFormat/>
    <w:uiPriority w:val="99"/>
    <w:rPr>
      <w:rFonts w:ascii="Calibri" w:hAnsi="Calibri" w:eastAsia="宋体" w:cs="Times New Roman"/>
      <w:kern w:val="2"/>
      <w:sz w:val="21"/>
      <w:szCs w:val="22"/>
      <w:lang w:val="en-US" w:eastAsia="zh-CN" w:bidi="ar-SA"/>
    </w:rPr>
  </w:style>
  <w:style w:type="character" w:customStyle="1" w:styleId="41">
    <w:name w:val="批注框文本 Char"/>
    <w:basedOn w:val="25"/>
    <w:link w:val="15"/>
    <w:qFormat/>
    <w:uiPriority w:val="0"/>
    <w:rPr>
      <w:rFonts w:ascii="Calibri" w:hAnsi="Calibri" w:eastAsia="宋体" w:cs="Times New Roman"/>
      <w:kern w:val="2"/>
      <w:sz w:val="18"/>
      <w:szCs w:val="18"/>
    </w:rPr>
  </w:style>
  <w:style w:type="character" w:customStyle="1" w:styleId="42">
    <w:name w:val="纯文本 Char"/>
    <w:link w:val="14"/>
    <w:qFormat/>
    <w:uiPriority w:val="0"/>
    <w:rPr>
      <w:rFonts w:ascii="宋体" w:hAnsi="Calibri" w:eastAsia="宋体" w:cs="Times New Roman"/>
      <w:kern w:val="2"/>
      <w:sz w:val="21"/>
      <w:szCs w:val="22"/>
    </w:rPr>
  </w:style>
  <w:style w:type="paragraph" w:customStyle="1" w:styleId="43">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53655-4280-4E6D-9D29-73D959CAAC00}">
  <ds:schemaRefs/>
</ds:datastoreItem>
</file>

<file path=docProps/app.xml><?xml version="1.0" encoding="utf-8"?>
<Properties xmlns="http://schemas.openxmlformats.org/officeDocument/2006/extended-properties" xmlns:vt="http://schemas.openxmlformats.org/officeDocument/2006/docPropsVTypes">
  <Template>Normal</Template>
  <Pages>91</Pages>
  <Words>41970</Words>
  <Characters>44824</Characters>
  <Lines>502</Lines>
  <Paragraphs>141</Paragraphs>
  <TotalTime>1</TotalTime>
  <ScaleCrop>false</ScaleCrop>
  <LinksUpToDate>false</LinksUpToDate>
  <CharactersWithSpaces>48675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2022-07-25T07:01:00Z</dcterms:created>
  <dc:creator>ZCCT</dc:creator>
  <cp:lastModifiedBy>黄工</cp:lastModifiedBy>
  <cp:lastPrinted>2023-03-07T11:04:00Z</cp:lastPrinted>
  <dcterms:modified xsi:type="dcterms:W3CDTF">2023-05-10T08:39:49Z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B49B2F2745AF4C56B9F413F480F9DF8C_13</vt:lpwstr>
  </property>
</Properties>
</file>