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20" w:line="360" w:lineRule="auto"/>
        <w:ind w:firstLine="721"/>
        <w:jc w:val="center"/>
        <w:rPr>
          <w:rFonts w:ascii="宋体" w:hAnsi="宋体" w:cs="Arial"/>
          <w:b/>
          <w:spacing w:val="10"/>
          <w:sz w:val="28"/>
          <w:szCs w:val="28"/>
          <w:highlight w:val="none"/>
        </w:rPr>
      </w:pPr>
      <w:r>
        <w:rPr>
          <w:rFonts w:hint="eastAsia" w:ascii="宋体" w:hAnsi="宋体" w:cs="Arial"/>
          <w:b/>
          <w:spacing w:val="10"/>
          <w:sz w:val="28"/>
          <w:szCs w:val="28"/>
          <w:highlight w:val="none"/>
        </w:rPr>
        <w:t>承包</w:t>
      </w:r>
      <w:r>
        <w:rPr>
          <w:rFonts w:ascii="宋体" w:hAnsi="宋体" w:cs="Arial"/>
          <w:b/>
          <w:spacing w:val="10"/>
          <w:sz w:val="28"/>
          <w:szCs w:val="28"/>
          <w:highlight w:val="none"/>
        </w:rPr>
        <w:t>范围</w:t>
      </w:r>
    </w:p>
    <w:p>
      <w:pPr>
        <w:pStyle w:val="15"/>
        <w:numPr>
          <w:ilvl w:val="0"/>
          <w:numId w:val="1"/>
        </w:numPr>
        <w:spacing w:before="120" w:beforeLines="50" w:line="360" w:lineRule="auto"/>
        <w:ind w:left="663" w:hanging="663" w:hangingChars="300"/>
        <w:rPr>
          <w:rFonts w:ascii="宋体" w:hAnsi="宋体" w:cs="Arial"/>
          <w:b/>
          <w:sz w:val="22"/>
          <w:szCs w:val="22"/>
          <w:highlight w:val="none"/>
        </w:rPr>
      </w:pPr>
      <w:r>
        <w:rPr>
          <w:rFonts w:ascii="宋体" w:hAnsi="宋体" w:cs="Arial"/>
          <w:b/>
          <w:sz w:val="22"/>
          <w:szCs w:val="22"/>
          <w:highlight w:val="none"/>
        </w:rPr>
        <w:t>概述</w:t>
      </w:r>
    </w:p>
    <w:p>
      <w:pPr>
        <w:pStyle w:val="15"/>
        <w:numPr>
          <w:ilvl w:val="1"/>
          <w:numId w:val="2"/>
        </w:numPr>
        <w:tabs>
          <w:tab w:val="left" w:pos="851"/>
        </w:tabs>
        <w:spacing w:before="120" w:beforeLines="50" w:line="360" w:lineRule="auto"/>
        <w:ind w:left="567" w:leftChars="0" w:hanging="567" w:firstLineChars="0"/>
        <w:rPr>
          <w:rFonts w:ascii="宋体" w:hAnsi="宋体" w:cs="Arial"/>
          <w:color w:val="FF0000"/>
          <w:spacing w:val="10"/>
          <w:szCs w:val="21"/>
          <w:highlight w:val="none"/>
        </w:rPr>
      </w:pPr>
      <w:r>
        <w:rPr>
          <w:rFonts w:hint="eastAsia" w:ascii="宋体" w:hAnsi="宋体" w:cs="Arial"/>
          <w:color w:val="FF0000"/>
          <w:spacing w:val="10"/>
          <w:szCs w:val="21"/>
          <w:highlight w:val="none"/>
        </w:rPr>
        <w:t>本项目</w:t>
      </w:r>
      <w:r>
        <w:rPr>
          <w:rFonts w:hint="eastAsia" w:ascii="宋体" w:hAnsi="宋体" w:cs="Arial"/>
          <w:color w:val="FF0000"/>
          <w:spacing w:val="10"/>
          <w:szCs w:val="21"/>
          <w:highlight w:val="none"/>
        </w:rPr>
        <w:t>位于</w:t>
      </w:r>
      <w:permStart w:id="0" w:edGrp="everyone"/>
      <w:r>
        <w:rPr>
          <w:rFonts w:hint="eastAsia" w:ascii="宋体" w:hAnsi="宋体" w:cs="Arial"/>
          <w:color w:val="FF0000"/>
          <w:spacing w:val="10"/>
          <w:szCs w:val="21"/>
          <w:highlight w:val="none"/>
          <w:u w:val="single"/>
        </w:rPr>
        <w:t>广州增城荔湖街增城大道三联路段北侧</w:t>
      </w:r>
      <w:r>
        <w:rPr>
          <w:rFonts w:ascii="宋体" w:hAnsi="宋体" w:cs="Arial"/>
          <w:color w:val="FF0000"/>
          <w:spacing w:val="10"/>
          <w:szCs w:val="21"/>
          <w:highlight w:val="none"/>
          <w:u w:val="single"/>
        </w:rPr>
        <w:t xml:space="preserve"> </w:t>
      </w:r>
      <w:permEnd w:id="0"/>
    </w:p>
    <w:p>
      <w:pPr>
        <w:pStyle w:val="15"/>
        <w:numPr>
          <w:ilvl w:val="1"/>
          <w:numId w:val="2"/>
        </w:numPr>
        <w:tabs>
          <w:tab w:val="left" w:pos="851"/>
        </w:tabs>
        <w:spacing w:before="120" w:beforeLines="50" w:line="360" w:lineRule="auto"/>
        <w:ind w:left="567" w:leftChars="0" w:hanging="567" w:firstLineChars="0"/>
        <w:rPr>
          <w:rFonts w:ascii="宋体" w:hAnsi="宋体" w:cs="Arial"/>
          <w:color w:val="0000CC"/>
          <w:szCs w:val="21"/>
          <w:highlight w:val="none"/>
        </w:rPr>
      </w:pPr>
      <w:r>
        <w:rPr>
          <w:rFonts w:hint="eastAsia" w:ascii="宋体" w:hAnsi="宋体" w:cs="Arial"/>
          <w:color w:val="FF0000"/>
          <w:spacing w:val="10"/>
          <w:szCs w:val="21"/>
          <w:highlight w:val="none"/>
        </w:rPr>
        <w:t>本次招标范围包括</w:t>
      </w:r>
      <w:permStart w:id="1" w:edGrp="everyone"/>
      <w:r>
        <w:rPr>
          <w:rFonts w:ascii="宋体" w:hAnsi="宋体" w:cs="Arial"/>
          <w:color w:val="FF0000"/>
          <w:spacing w:val="10"/>
          <w:szCs w:val="21"/>
          <w:highlight w:val="none"/>
          <w:u w:val="none"/>
        </w:rPr>
        <w:t xml:space="preserve"> </w:t>
      </w:r>
      <w:r>
        <w:rPr>
          <w:rFonts w:hint="eastAsia" w:ascii="宋体" w:hAnsi="宋体" w:cs="Arial"/>
          <w:color w:val="FF0000"/>
          <w:spacing w:val="10"/>
          <w:szCs w:val="21"/>
          <w:highlight w:val="none"/>
          <w:u w:val="none"/>
        </w:rPr>
        <w:t>国贸增城三联村房地产开发（新建）项目</w:t>
      </w:r>
      <w:r>
        <w:rPr>
          <w:rFonts w:hint="eastAsia" w:ascii="宋体" w:hAnsi="宋体"/>
          <w:color w:val="FF0000"/>
          <w:spacing w:val="10"/>
          <w:szCs w:val="21"/>
          <w:highlight w:val="none"/>
          <w:lang w:val="en-US" w:eastAsia="zh-CN"/>
        </w:rPr>
        <w:t>整个西地块红线内及红线外变电站至本项目西地块开关房的高压业扩配合部分。</w:t>
      </w:r>
      <w:r>
        <w:rPr>
          <w:rFonts w:hint="eastAsia" w:ascii="Arial" w:hAnsi="宋体" w:cs="Arial"/>
          <w:color w:val="FF0000"/>
          <w:kern w:val="0"/>
          <w:szCs w:val="21"/>
          <w:highlight w:val="none"/>
        </w:rPr>
        <w:t>总建面约</w:t>
      </w:r>
      <w:r>
        <w:rPr>
          <w:rFonts w:ascii="Arial" w:hAnsi="宋体" w:cs="Arial"/>
          <w:color w:val="FF0000"/>
          <w:kern w:val="0"/>
          <w:szCs w:val="21"/>
          <w:highlight w:val="none"/>
        </w:rPr>
        <w:t>39</w:t>
      </w:r>
      <w:r>
        <w:rPr>
          <w:rFonts w:hint="eastAsia" w:ascii="Arial" w:hAnsi="宋体" w:cs="Arial"/>
          <w:color w:val="FF0000"/>
          <w:kern w:val="0"/>
          <w:szCs w:val="21"/>
          <w:highlight w:val="none"/>
        </w:rPr>
        <w:t>万㎡（含地下室），占地面积约8万㎡</w:t>
      </w:r>
      <w:r>
        <w:rPr>
          <w:rFonts w:hint="eastAsia" w:ascii="Arial" w:hAnsi="宋体" w:cs="Arial"/>
          <w:color w:val="FF0000"/>
          <w:kern w:val="0"/>
          <w:szCs w:val="21"/>
          <w:highlight w:val="none"/>
          <w:lang w:eastAsia="zh-CN"/>
        </w:rPr>
        <w:t>，</w:t>
      </w:r>
      <w:r>
        <w:rPr>
          <w:rFonts w:hint="eastAsia" w:ascii="Arial" w:hAnsi="宋体" w:cs="Arial"/>
          <w:color w:val="FF0000"/>
          <w:kern w:val="0"/>
          <w:szCs w:val="21"/>
          <w:highlight w:val="none"/>
        </w:rPr>
        <w:t>主体共1</w:t>
      </w:r>
      <w:r>
        <w:rPr>
          <w:rFonts w:ascii="Arial" w:hAnsi="宋体" w:cs="Arial"/>
          <w:color w:val="FF0000"/>
          <w:kern w:val="0"/>
          <w:szCs w:val="21"/>
          <w:highlight w:val="none"/>
        </w:rPr>
        <w:t>3</w:t>
      </w:r>
      <w:r>
        <w:rPr>
          <w:rFonts w:hint="eastAsia" w:ascii="Arial" w:hAnsi="宋体" w:cs="Arial"/>
          <w:color w:val="FF0000"/>
          <w:kern w:val="0"/>
          <w:szCs w:val="21"/>
          <w:highlight w:val="none"/>
        </w:rPr>
        <w:t>栋。建筑物情况：1#－1</w:t>
      </w:r>
      <w:r>
        <w:rPr>
          <w:rFonts w:ascii="Arial" w:hAnsi="宋体" w:cs="Arial"/>
          <w:color w:val="FF0000"/>
          <w:kern w:val="0"/>
          <w:szCs w:val="21"/>
          <w:highlight w:val="none"/>
        </w:rPr>
        <w:t>2#</w:t>
      </w:r>
      <w:r>
        <w:rPr>
          <w:rFonts w:hint="eastAsia" w:ascii="Arial" w:hAnsi="宋体" w:cs="Arial"/>
          <w:color w:val="FF0000"/>
          <w:kern w:val="0"/>
          <w:szCs w:val="21"/>
          <w:highlight w:val="none"/>
        </w:rPr>
        <w:t>楼</w:t>
      </w:r>
      <w:r>
        <w:rPr>
          <w:rFonts w:hint="eastAsia" w:ascii="Arial" w:hAnsi="宋体" w:cs="Arial"/>
          <w:color w:val="FF0000"/>
          <w:kern w:val="0"/>
          <w:szCs w:val="21"/>
          <w:highlight w:val="none"/>
          <w:lang w:val="en-US" w:eastAsia="zh-CN"/>
        </w:rPr>
        <w:t>为</w:t>
      </w:r>
      <w:r>
        <w:rPr>
          <w:rFonts w:hint="eastAsia" w:ascii="Arial" w:hAnsi="宋体" w:cs="Arial"/>
          <w:color w:val="FF0000"/>
          <w:kern w:val="0"/>
          <w:szCs w:val="21"/>
          <w:highlight w:val="none"/>
        </w:rPr>
        <w:t>33F高层住宅，其中1</w:t>
      </w:r>
      <w:r>
        <w:rPr>
          <w:rFonts w:ascii="Arial" w:hAnsi="宋体" w:cs="Arial"/>
          <w:color w:val="FF0000"/>
          <w:kern w:val="0"/>
          <w:szCs w:val="21"/>
          <w:highlight w:val="none"/>
        </w:rPr>
        <w:t>#</w:t>
      </w:r>
      <w:r>
        <w:rPr>
          <w:rFonts w:hint="eastAsia" w:ascii="Arial" w:hAnsi="宋体" w:cs="Arial"/>
          <w:color w:val="FF0000"/>
          <w:kern w:val="0"/>
          <w:szCs w:val="21"/>
          <w:highlight w:val="none"/>
        </w:rPr>
        <w:t>、2</w:t>
      </w:r>
      <w:r>
        <w:rPr>
          <w:rFonts w:ascii="Arial" w:hAnsi="宋体" w:cs="Arial"/>
          <w:color w:val="FF0000"/>
          <w:kern w:val="0"/>
          <w:szCs w:val="21"/>
          <w:highlight w:val="none"/>
        </w:rPr>
        <w:t>#</w:t>
      </w:r>
      <w:r>
        <w:rPr>
          <w:rFonts w:hint="eastAsia" w:ascii="Arial" w:hAnsi="宋体" w:cs="Arial"/>
          <w:color w:val="FF0000"/>
          <w:kern w:val="0"/>
          <w:szCs w:val="21"/>
          <w:highlight w:val="none"/>
        </w:rPr>
        <w:t>、</w:t>
      </w:r>
      <w:r>
        <w:rPr>
          <w:rFonts w:ascii="Arial" w:hAnsi="宋体" w:cs="Arial"/>
          <w:color w:val="FF0000"/>
          <w:kern w:val="0"/>
          <w:szCs w:val="21"/>
          <w:highlight w:val="none"/>
        </w:rPr>
        <w:t>11#</w:t>
      </w:r>
      <w:r>
        <w:rPr>
          <w:rFonts w:hint="eastAsia" w:ascii="Arial" w:hAnsi="宋体" w:cs="Arial"/>
          <w:color w:val="FF0000"/>
          <w:kern w:val="0"/>
          <w:szCs w:val="21"/>
          <w:highlight w:val="none"/>
        </w:rPr>
        <w:t>、</w:t>
      </w:r>
      <w:r>
        <w:rPr>
          <w:rFonts w:ascii="Arial" w:hAnsi="宋体" w:cs="Arial"/>
          <w:color w:val="FF0000"/>
          <w:kern w:val="0"/>
          <w:szCs w:val="21"/>
          <w:highlight w:val="none"/>
        </w:rPr>
        <w:t>12#</w:t>
      </w:r>
      <w:r>
        <w:rPr>
          <w:rFonts w:hint="eastAsia" w:ascii="Arial" w:hAnsi="宋体" w:cs="Arial"/>
          <w:color w:val="FF0000"/>
          <w:kern w:val="0"/>
          <w:szCs w:val="21"/>
          <w:highlight w:val="none"/>
        </w:rPr>
        <w:t>楼为一层地下室，</w:t>
      </w:r>
      <w:r>
        <w:rPr>
          <w:rFonts w:ascii="Arial" w:hAnsi="宋体" w:cs="Arial"/>
          <w:color w:val="FF0000"/>
          <w:kern w:val="0"/>
          <w:szCs w:val="21"/>
          <w:highlight w:val="none"/>
        </w:rPr>
        <w:t>3#</w:t>
      </w:r>
      <w:r>
        <w:rPr>
          <w:rFonts w:hint="eastAsia" w:ascii="Arial" w:hAnsi="宋体" w:cs="Arial"/>
          <w:color w:val="FF0000"/>
          <w:kern w:val="0"/>
          <w:szCs w:val="21"/>
          <w:highlight w:val="none"/>
        </w:rPr>
        <w:t>－1</w:t>
      </w:r>
      <w:r>
        <w:rPr>
          <w:rFonts w:ascii="Arial" w:hAnsi="宋体" w:cs="Arial"/>
          <w:color w:val="FF0000"/>
          <w:kern w:val="0"/>
          <w:szCs w:val="21"/>
          <w:highlight w:val="none"/>
        </w:rPr>
        <w:t>0#</w:t>
      </w:r>
      <w:r>
        <w:rPr>
          <w:rFonts w:hint="eastAsia" w:ascii="Arial" w:hAnsi="宋体" w:cs="Arial"/>
          <w:color w:val="FF0000"/>
          <w:kern w:val="0"/>
          <w:szCs w:val="21"/>
          <w:highlight w:val="none"/>
        </w:rPr>
        <w:t>楼为两层地下室</w:t>
      </w:r>
      <w:r>
        <w:rPr>
          <w:rFonts w:hint="eastAsia" w:ascii="Arial" w:hAnsi="宋体" w:cs="Arial"/>
          <w:color w:val="FF0000"/>
          <w:kern w:val="0"/>
          <w:szCs w:val="21"/>
          <w:highlight w:val="none"/>
          <w:lang w:eastAsia="zh-CN"/>
        </w:rPr>
        <w:t>；</w:t>
      </w:r>
      <w:r>
        <w:rPr>
          <w:rFonts w:hint="eastAsia" w:ascii="Arial" w:hAnsi="宋体" w:cs="Arial"/>
          <w:color w:val="FF0000"/>
          <w:kern w:val="0"/>
          <w:szCs w:val="21"/>
          <w:highlight w:val="none"/>
        </w:rPr>
        <w:t>1</w:t>
      </w:r>
      <w:r>
        <w:rPr>
          <w:rFonts w:ascii="Arial" w:hAnsi="宋体" w:cs="Arial"/>
          <w:color w:val="FF0000"/>
          <w:kern w:val="0"/>
          <w:szCs w:val="21"/>
          <w:highlight w:val="none"/>
        </w:rPr>
        <w:t>3#</w:t>
      </w:r>
      <w:r>
        <w:rPr>
          <w:rFonts w:hint="eastAsia" w:ascii="Arial" w:hAnsi="宋体" w:cs="Arial"/>
          <w:color w:val="FF0000"/>
          <w:kern w:val="0"/>
          <w:szCs w:val="21"/>
          <w:highlight w:val="none"/>
        </w:rPr>
        <w:t>楼</w:t>
      </w:r>
      <w:r>
        <w:rPr>
          <w:rFonts w:hint="eastAsia" w:ascii="Arial" w:hAnsi="宋体" w:cs="Arial"/>
          <w:color w:val="FF0000"/>
          <w:kern w:val="0"/>
          <w:szCs w:val="21"/>
          <w:highlight w:val="none"/>
          <w:lang w:val="en-US" w:eastAsia="zh-CN"/>
        </w:rPr>
        <w:t>为</w:t>
      </w:r>
      <w:r>
        <w:rPr>
          <w:rFonts w:hint="eastAsia" w:ascii="Arial" w:hAnsi="宋体" w:cs="Arial"/>
          <w:color w:val="FF0000"/>
          <w:kern w:val="0"/>
          <w:szCs w:val="21"/>
          <w:highlight w:val="none"/>
        </w:rPr>
        <w:t>4F集中商业区及29层公寓</w:t>
      </w:r>
      <w:r>
        <w:rPr>
          <w:rFonts w:hint="eastAsia" w:ascii="Arial" w:hAnsi="宋体" w:cs="Arial"/>
          <w:color w:val="FF0000"/>
          <w:kern w:val="0"/>
          <w:szCs w:val="21"/>
          <w:highlight w:val="none"/>
          <w:lang w:eastAsia="zh-CN"/>
        </w:rPr>
        <w:t>，</w:t>
      </w:r>
      <w:r>
        <w:rPr>
          <w:rFonts w:hint="eastAsia" w:ascii="Arial" w:hAnsi="宋体" w:cs="Arial"/>
          <w:color w:val="FF0000"/>
          <w:kern w:val="0"/>
          <w:szCs w:val="21"/>
          <w:highlight w:val="none"/>
          <w:lang w:val="en-US" w:eastAsia="zh-CN"/>
        </w:rPr>
        <w:t>含</w:t>
      </w:r>
      <w:r>
        <w:rPr>
          <w:rFonts w:hint="eastAsia" w:ascii="Arial" w:hAnsi="宋体" w:cs="Arial"/>
          <w:color w:val="FF0000"/>
          <w:kern w:val="0"/>
          <w:szCs w:val="21"/>
          <w:highlight w:val="none"/>
        </w:rPr>
        <w:t>两层地下室</w:t>
      </w:r>
      <w:r>
        <w:rPr>
          <w:rFonts w:hint="eastAsia" w:ascii="Arial" w:hAnsi="宋体" w:cs="Arial"/>
          <w:color w:val="FF0000"/>
          <w:kern w:val="0"/>
          <w:szCs w:val="21"/>
          <w:highlight w:val="none"/>
          <w:lang w:eastAsia="zh-CN"/>
        </w:rPr>
        <w:t>。</w:t>
      </w:r>
    </w:p>
    <w:permEnd w:id="1"/>
    <w:p>
      <w:pPr>
        <w:pStyle w:val="15"/>
        <w:numPr>
          <w:ilvl w:val="0"/>
          <w:numId w:val="1"/>
        </w:numPr>
        <w:tabs>
          <w:tab w:val="left" w:pos="709"/>
        </w:tabs>
        <w:spacing w:before="120" w:beforeLines="50" w:line="360" w:lineRule="auto"/>
        <w:ind w:left="663" w:hanging="663" w:hangingChars="300"/>
        <w:rPr>
          <w:rFonts w:ascii="宋体" w:hAnsi="宋体" w:cs="Arial"/>
          <w:b/>
          <w:sz w:val="22"/>
          <w:szCs w:val="22"/>
          <w:highlight w:val="none"/>
        </w:rPr>
      </w:pPr>
      <w:r>
        <w:rPr>
          <w:rFonts w:ascii="宋体" w:hAnsi="宋体" w:cs="Arial"/>
          <w:b/>
          <w:sz w:val="22"/>
          <w:szCs w:val="22"/>
          <w:highlight w:val="none"/>
        </w:rPr>
        <w:t>作为简单的介绍，本工程包括但不限于：</w:t>
      </w:r>
    </w:p>
    <w:p>
      <w:pPr>
        <w:pStyle w:val="15"/>
        <w:numPr>
          <w:ilvl w:val="1"/>
          <w:numId w:val="3"/>
        </w:numPr>
        <w:tabs>
          <w:tab w:val="left" w:pos="851"/>
        </w:tabs>
        <w:spacing w:before="120" w:beforeLines="50" w:line="360" w:lineRule="auto"/>
        <w:ind w:left="567" w:leftChars="0" w:hanging="567" w:firstLineChars="0"/>
        <w:rPr>
          <w:rFonts w:ascii="宋体" w:hAnsi="宋体" w:cs="Arial"/>
          <w:spacing w:val="10"/>
          <w:szCs w:val="21"/>
          <w:highlight w:val="none"/>
        </w:rPr>
      </w:pPr>
      <w:r>
        <w:rPr>
          <w:rFonts w:hint="eastAsia" w:ascii="宋体" w:hAnsi="宋体" w:cs="Arial"/>
          <w:spacing w:val="10"/>
          <w:szCs w:val="21"/>
          <w:highlight w:val="none"/>
        </w:rPr>
        <w:t>措施费项目：</w:t>
      </w:r>
      <w:r>
        <w:rPr>
          <w:rFonts w:hint="eastAsia" w:ascii="宋体" w:hAnsi="宋体" w:cs="Arial"/>
          <w:spacing w:val="10"/>
          <w:szCs w:val="21"/>
          <w:highlight w:val="none"/>
          <w:u w:val="single"/>
        </w:rPr>
        <w:t>为完成本工程所需各种措施产生的相关费用。</w:t>
      </w:r>
    </w:p>
    <w:p>
      <w:pPr>
        <w:pStyle w:val="15"/>
        <w:numPr>
          <w:ilvl w:val="1"/>
          <w:numId w:val="3"/>
        </w:numPr>
        <w:tabs>
          <w:tab w:val="left" w:pos="851"/>
        </w:tabs>
        <w:spacing w:before="120" w:beforeLines="50" w:line="360" w:lineRule="auto"/>
        <w:ind w:left="567" w:leftChars="0" w:hanging="567" w:firstLineChars="0"/>
        <w:rPr>
          <w:rFonts w:ascii="宋体" w:hAnsi="宋体" w:cs="Arial"/>
          <w:spacing w:val="10"/>
          <w:szCs w:val="21"/>
          <w:highlight w:val="none"/>
        </w:rPr>
      </w:pPr>
      <w:r>
        <w:rPr>
          <w:rFonts w:hint="eastAsia" w:ascii="宋体" w:hAnsi="宋体" w:cs="Arial"/>
          <w:spacing w:val="10"/>
          <w:szCs w:val="21"/>
          <w:highlight w:val="none"/>
        </w:rPr>
        <w:t>承包范围及工作内容</w:t>
      </w:r>
      <w:r>
        <w:rPr>
          <w:rFonts w:hint="eastAsia" w:ascii="宋体" w:hAnsi="宋体" w:cs="Arial"/>
          <w:spacing w:val="10"/>
          <w:szCs w:val="21"/>
          <w:highlight w:val="none"/>
          <w:lang w:eastAsia="zh-CN"/>
        </w:rPr>
        <w:t>：</w:t>
      </w:r>
    </w:p>
    <w:p>
      <w:pPr>
        <w:spacing w:line="360" w:lineRule="auto"/>
        <w:ind w:left="630" w:leftChars="300"/>
        <w:rPr>
          <w:rFonts w:ascii="宋体" w:hAnsi="宋体" w:cs="Arial"/>
          <w:spacing w:val="10"/>
          <w:szCs w:val="21"/>
          <w:highlight w:val="none"/>
        </w:rPr>
      </w:pPr>
      <w:r>
        <w:rPr>
          <w:rFonts w:hint="eastAsia" w:ascii="宋体" w:hAnsi="宋体" w:cs="Arial"/>
          <w:spacing w:val="10"/>
          <w:szCs w:val="21"/>
          <w:highlight w:val="none"/>
        </w:rPr>
        <w:t>本项目施工图纸、审图意见书与本项目</w:t>
      </w:r>
      <w:sdt>
        <w:sdtPr>
          <w:rPr>
            <w:rFonts w:hint="eastAsia" w:ascii="宋体" w:hAnsi="宋体" w:cs="Arial"/>
            <w:spacing w:val="10"/>
            <w:szCs w:val="21"/>
            <w:highlight w:val="none"/>
          </w:rPr>
          <w:alias w:val="标题"/>
          <w:id w:val="627279992"/>
          <w:placeholder>
            <w:docPart w:val="{bf012d8f-bde3-48a0-9069-8cba37a006eb}"/>
          </w:placeholder>
          <w:dataBinding w:prefixMappings="xmlns:ns0='http://purl.org/dc/elements/1.1/' xmlns:ns1='http://schemas.openxmlformats.org/package/2006/metadata/core-properties' " w:xpath="/ns1:coreProperties[1]/ns0:title[1]" w:storeItemID="{6C3C8BC8-F283-45AE-878A-BAB7291924A1}"/>
          <w:text/>
        </w:sdtPr>
        <w:sdtEndPr>
          <w:rPr>
            <w:rFonts w:hint="eastAsia" w:ascii="宋体" w:hAnsi="宋体" w:cs="Arial"/>
            <w:spacing w:val="10"/>
            <w:szCs w:val="21"/>
            <w:highlight w:val="none"/>
          </w:rPr>
        </w:sdtEndPr>
        <w:sdtContent>
          <w:r>
            <w:rPr>
              <w:rFonts w:hint="eastAsia" w:ascii="宋体" w:hAnsi="宋体" w:cs="Arial"/>
              <w:spacing w:val="10"/>
              <w:szCs w:val="21"/>
              <w:highlight w:val="none"/>
            </w:rPr>
            <w:t>工程量清单</w:t>
          </w:r>
        </w:sdtContent>
      </w:sdt>
      <w:r>
        <w:rPr>
          <w:rFonts w:hint="eastAsia" w:ascii="宋体" w:hAnsi="宋体" w:cs="Arial"/>
          <w:spacing w:val="10"/>
          <w:szCs w:val="21"/>
          <w:highlight w:val="none"/>
        </w:rPr>
        <w:t>规定的所有内容（包含高低压变配电设备、材料供应及安装）及其他为实现合同目的所涉及的承包范围。</w:t>
      </w:r>
    </w:p>
    <w:p>
      <w:pPr>
        <w:pStyle w:val="15"/>
        <w:tabs>
          <w:tab w:val="left" w:pos="851"/>
        </w:tabs>
        <w:snapToGrid w:val="0"/>
        <w:spacing w:before="120" w:beforeLines="50" w:line="360" w:lineRule="auto"/>
        <w:ind w:left="659" w:leftChars="314" w:firstLine="0" w:firstLineChars="0"/>
        <w:rPr>
          <w:rFonts w:ascii="宋体" w:hAnsi="宋体" w:cs="Arial"/>
          <w:color w:val="FF0000"/>
          <w:spacing w:val="10"/>
          <w:szCs w:val="21"/>
          <w:highlight w:val="none"/>
        </w:rPr>
      </w:pPr>
      <w:permStart w:id="2" w:edGrp="everyone"/>
      <w:r>
        <w:rPr>
          <w:rFonts w:hint="eastAsia" w:ascii="宋体" w:hAnsi="宋体" w:cs="Arial"/>
          <w:color w:val="FF0000"/>
          <w:spacing w:val="10"/>
          <w:szCs w:val="21"/>
          <w:highlight w:val="none"/>
        </w:rPr>
        <w:t>1）变电站至本项目的开关房线路及开关房管网、</w:t>
      </w:r>
      <w:r>
        <w:rPr>
          <w:rFonts w:hint="eastAsia" w:ascii="宋体" w:hAnsi="宋体" w:cs="Arial"/>
          <w:color w:val="FF0000"/>
          <w:spacing w:val="10"/>
          <w:szCs w:val="21"/>
          <w:highlight w:val="none"/>
          <w:lang w:val="en-US" w:eastAsia="zh-CN"/>
        </w:rPr>
        <w:t>新建管廊、</w:t>
      </w:r>
      <w:r>
        <w:rPr>
          <w:rFonts w:hint="eastAsia" w:ascii="宋体" w:hAnsi="宋体" w:cs="Arial"/>
          <w:color w:val="FF0000"/>
          <w:spacing w:val="10"/>
          <w:szCs w:val="21"/>
          <w:highlight w:val="none"/>
        </w:rPr>
        <w:t>电缆沟、检查井、</w:t>
      </w:r>
      <w:r>
        <w:rPr>
          <w:rFonts w:hint="eastAsia" w:ascii="宋体" w:hAnsi="宋体" w:cs="Arial"/>
          <w:color w:val="FF0000"/>
          <w:spacing w:val="10"/>
          <w:szCs w:val="21"/>
          <w:highlight w:val="none"/>
          <w:lang w:val="en-US" w:eastAsia="zh-CN"/>
        </w:rPr>
        <w:t>顶管、新增穿墙/楼板套管安装及封堵、原有管廊的疏通、</w:t>
      </w:r>
      <w:r>
        <w:rPr>
          <w:rFonts w:hint="eastAsia" w:ascii="宋体" w:hAnsi="宋体" w:cs="Arial"/>
          <w:color w:val="FF0000"/>
          <w:spacing w:val="10"/>
          <w:szCs w:val="21"/>
          <w:highlight w:val="none"/>
        </w:rPr>
        <w:t>电线电缆敷设、电缆头制作、</w:t>
      </w:r>
      <w:r>
        <w:rPr>
          <w:rFonts w:hint="eastAsia" w:ascii="宋体" w:hAnsi="宋体" w:cs="Arial"/>
          <w:color w:val="FF0000"/>
          <w:spacing w:val="10"/>
          <w:szCs w:val="21"/>
          <w:highlight w:val="none"/>
          <w:lang w:val="en-US" w:eastAsia="zh-CN"/>
        </w:rPr>
        <w:t>光缆敷设、光缆保护套管、</w:t>
      </w:r>
      <w:r>
        <w:rPr>
          <w:rFonts w:hint="eastAsia" w:ascii="宋体" w:hAnsi="宋体" w:cs="Arial"/>
          <w:color w:val="FF0000"/>
          <w:spacing w:val="10"/>
          <w:szCs w:val="21"/>
          <w:highlight w:val="none"/>
        </w:rPr>
        <w:t>高压开关房</w:t>
      </w:r>
      <w:r>
        <w:rPr>
          <w:rFonts w:hint="eastAsia" w:ascii="宋体" w:hAnsi="宋体" w:cs="Arial"/>
          <w:color w:val="FF0000"/>
          <w:spacing w:val="10"/>
          <w:szCs w:val="21"/>
          <w:highlight w:val="none"/>
          <w:lang w:val="en-US" w:eastAsia="zh-CN"/>
        </w:rPr>
        <w:t>内</w:t>
      </w:r>
      <w:r>
        <w:rPr>
          <w:rFonts w:hint="eastAsia" w:ascii="宋体" w:hAnsi="宋体" w:cs="Arial"/>
          <w:color w:val="FF0000"/>
          <w:spacing w:val="10"/>
          <w:szCs w:val="21"/>
          <w:highlight w:val="none"/>
        </w:rPr>
        <w:t>土建、</w:t>
      </w:r>
      <w:r>
        <w:rPr>
          <w:rFonts w:hint="eastAsia" w:ascii="宋体" w:hAnsi="宋体" w:cs="Arial"/>
          <w:color w:val="FF0000"/>
          <w:spacing w:val="10"/>
          <w:szCs w:val="21"/>
          <w:highlight w:val="none"/>
          <w:lang w:val="en-US" w:eastAsia="zh-CN"/>
        </w:rPr>
        <w:t>开关房照明、防雷接地、标识标牌、开关房安、键、环、</w:t>
      </w:r>
      <w:r>
        <w:rPr>
          <w:rFonts w:hint="eastAsia" w:ascii="宋体" w:hAnsi="宋体" w:cs="Arial"/>
          <w:color w:val="FF0000"/>
          <w:spacing w:val="10"/>
          <w:szCs w:val="21"/>
          <w:highlight w:val="none"/>
        </w:rPr>
        <w:t>设备安装等一切业扩配套工程施工</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验收</w:t>
      </w:r>
      <w:r>
        <w:rPr>
          <w:rFonts w:hint="eastAsia" w:ascii="宋体" w:hAnsi="宋体" w:cs="Arial"/>
          <w:color w:val="FF0000"/>
          <w:spacing w:val="10"/>
          <w:szCs w:val="21"/>
          <w:highlight w:val="none"/>
        </w:rPr>
        <w:t>内容。</w:t>
      </w:r>
    </w:p>
    <w:p>
      <w:pPr>
        <w:pStyle w:val="15"/>
        <w:tabs>
          <w:tab w:val="left" w:pos="851"/>
        </w:tabs>
        <w:snapToGrid w:val="0"/>
        <w:spacing w:before="120" w:beforeLines="50" w:line="360" w:lineRule="auto"/>
        <w:ind w:left="659" w:leftChars="314" w:firstLine="0" w:firstLineChars="0"/>
        <w:rPr>
          <w:rFonts w:ascii="宋体" w:hAnsi="宋体" w:cs="Arial"/>
          <w:color w:val="FF0000"/>
          <w:spacing w:val="10"/>
          <w:szCs w:val="21"/>
          <w:highlight w:val="none"/>
        </w:rPr>
      </w:pPr>
      <w:r>
        <w:rPr>
          <w:rFonts w:hint="eastAsia" w:ascii="宋体" w:hAnsi="宋体" w:cs="Arial"/>
          <w:spacing w:val="10"/>
          <w:szCs w:val="21"/>
          <w:highlight w:val="none"/>
        </w:rPr>
        <w:t>2）</w:t>
      </w:r>
      <w:r>
        <w:rPr>
          <w:rFonts w:hint="eastAsia" w:ascii="宋体" w:hAnsi="宋体" w:cs="Arial"/>
          <w:color w:val="FF0000"/>
          <w:spacing w:val="10"/>
          <w:szCs w:val="21"/>
          <w:highlight w:val="none"/>
        </w:rPr>
        <w:t>公变/专变10KV高压进线部分、环网部分：由开关站/房出线至各变配电房之间的</w:t>
      </w:r>
      <w:r>
        <w:rPr>
          <w:rFonts w:hint="eastAsia" w:ascii="宋体" w:hAnsi="宋体" w:cs="Arial"/>
          <w:color w:val="FF0000"/>
          <w:spacing w:val="10"/>
          <w:szCs w:val="21"/>
          <w:highlight w:val="none"/>
          <w:lang w:val="en-US" w:eastAsia="zh-CN"/>
        </w:rPr>
        <w:t>管廊、</w:t>
      </w:r>
      <w:r>
        <w:rPr>
          <w:rFonts w:hint="eastAsia" w:ascii="宋体" w:hAnsi="宋体" w:cs="Arial"/>
          <w:color w:val="FF0000"/>
          <w:spacing w:val="10"/>
          <w:szCs w:val="21"/>
          <w:highlight w:val="none"/>
        </w:rPr>
        <w:t>电线电缆敷设、高压桥架</w:t>
      </w:r>
      <w:r>
        <w:rPr>
          <w:rFonts w:hint="eastAsia" w:ascii="宋体" w:hAnsi="宋体" w:cs="Arial"/>
          <w:color w:val="FF0000"/>
          <w:spacing w:val="10"/>
          <w:szCs w:val="21"/>
          <w:highlight w:val="none"/>
          <w:lang w:val="en-US" w:eastAsia="zh-CN"/>
        </w:rPr>
        <w:t>安装</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桥架穿越墙体的开孔及封堵、</w:t>
      </w:r>
      <w:r>
        <w:rPr>
          <w:rFonts w:hint="eastAsia" w:ascii="宋体" w:hAnsi="宋体" w:cs="Arial"/>
          <w:color w:val="FF0000"/>
          <w:spacing w:val="10"/>
          <w:szCs w:val="21"/>
          <w:highlight w:val="none"/>
        </w:rPr>
        <w:t>电缆头驳接</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光缆敷设及安装、光缆/光纤保护管、新增穿墙/楼板套管安装及封堵、防雷</w:t>
      </w:r>
      <w:r>
        <w:rPr>
          <w:rFonts w:hint="eastAsia" w:ascii="宋体" w:hAnsi="宋体" w:cs="Arial"/>
          <w:color w:val="FF0000"/>
          <w:spacing w:val="10"/>
          <w:szCs w:val="21"/>
          <w:highlight w:val="none"/>
        </w:rPr>
        <w:t>等一切配套施工</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验收</w:t>
      </w:r>
      <w:r>
        <w:rPr>
          <w:rFonts w:hint="eastAsia" w:ascii="宋体" w:hAnsi="宋体" w:cs="Arial"/>
          <w:color w:val="FF0000"/>
          <w:spacing w:val="10"/>
          <w:szCs w:val="21"/>
          <w:highlight w:val="none"/>
        </w:rPr>
        <w:t>内容。</w:t>
      </w:r>
    </w:p>
    <w:p>
      <w:pPr>
        <w:pStyle w:val="15"/>
        <w:tabs>
          <w:tab w:val="left" w:pos="851"/>
        </w:tabs>
        <w:snapToGrid w:val="0"/>
        <w:spacing w:before="120" w:beforeLines="50" w:line="360" w:lineRule="auto"/>
        <w:ind w:left="659" w:leftChars="314" w:firstLine="0" w:firstLineChars="0"/>
        <w:rPr>
          <w:rFonts w:ascii="宋体" w:hAnsi="宋体" w:cs="Arial"/>
          <w:spacing w:val="10"/>
          <w:szCs w:val="21"/>
          <w:highlight w:val="none"/>
        </w:rPr>
      </w:pPr>
      <w:r>
        <w:rPr>
          <w:rFonts w:hint="eastAsia" w:ascii="宋体" w:hAnsi="宋体" w:cs="Arial"/>
          <w:spacing w:val="10"/>
          <w:szCs w:val="21"/>
          <w:highlight w:val="none"/>
        </w:rPr>
        <w:t>3）变配电部分：各变配电房内高压柜出线至变压器、变压器出线至各低压配电房（设备）；以上高压柜出线端至低压柜本体安装之间所有的</w:t>
      </w:r>
      <w:r>
        <w:rPr>
          <w:rFonts w:hint="eastAsia" w:ascii="宋体" w:hAnsi="宋体" w:cs="Arial"/>
          <w:color w:val="FF0000"/>
          <w:spacing w:val="10"/>
          <w:szCs w:val="21"/>
          <w:highlight w:val="none"/>
        </w:rPr>
        <w:t>高低压柜体安装、变压器安装及之间电线电缆/母线槽回路敷设和安装、桥架</w:t>
      </w:r>
      <w:r>
        <w:rPr>
          <w:rFonts w:hint="eastAsia" w:ascii="宋体" w:hAnsi="宋体" w:cs="Arial"/>
          <w:color w:val="FF0000"/>
          <w:spacing w:val="10"/>
          <w:szCs w:val="21"/>
          <w:highlight w:val="none"/>
          <w:lang w:val="en-US" w:eastAsia="zh-CN"/>
        </w:rPr>
        <w:t>安装、电缆头制作、</w:t>
      </w:r>
      <w:r>
        <w:rPr>
          <w:rFonts w:hint="eastAsia" w:ascii="宋体" w:hAnsi="宋体" w:cs="Arial"/>
          <w:color w:val="FF0000"/>
          <w:spacing w:val="10"/>
          <w:szCs w:val="21"/>
          <w:highlight w:val="none"/>
        </w:rPr>
        <w:t>配电房设备基础、配电房照明、防雷接地、</w:t>
      </w:r>
      <w:r>
        <w:rPr>
          <w:rFonts w:hint="eastAsia" w:ascii="宋体" w:hAnsi="宋体" w:cs="Arial"/>
          <w:color w:val="FF0000"/>
          <w:spacing w:val="10"/>
          <w:szCs w:val="21"/>
          <w:highlight w:val="none"/>
          <w:lang w:val="en-US" w:eastAsia="zh-CN"/>
        </w:rPr>
        <w:t>新增穿墙/楼板套管安装及封堵、</w:t>
      </w:r>
      <w:r>
        <w:rPr>
          <w:rFonts w:hint="eastAsia" w:ascii="宋体" w:hAnsi="宋体" w:cs="Arial"/>
          <w:color w:val="FF0000"/>
          <w:spacing w:val="10"/>
          <w:szCs w:val="21"/>
          <w:highlight w:val="none"/>
        </w:rPr>
        <w:t>进出变配电房机电管线留洞及封堵</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标示标牌、</w:t>
      </w:r>
      <w:r>
        <w:rPr>
          <w:rFonts w:hint="eastAsia" w:ascii="宋体" w:hAnsi="宋体" w:cs="Arial"/>
          <w:color w:val="FF0000"/>
          <w:spacing w:val="10"/>
          <w:szCs w:val="21"/>
          <w:highlight w:val="none"/>
        </w:rPr>
        <w:t>配电房安、键、环及其一切配套检验调试</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验收</w:t>
      </w:r>
      <w:r>
        <w:rPr>
          <w:rFonts w:hint="eastAsia" w:ascii="宋体" w:hAnsi="宋体" w:cs="Arial"/>
          <w:color w:val="FF0000"/>
          <w:spacing w:val="10"/>
          <w:szCs w:val="21"/>
          <w:highlight w:val="none"/>
        </w:rPr>
        <w:t>等工作内容</w:t>
      </w:r>
      <w:r>
        <w:rPr>
          <w:rFonts w:hint="eastAsia" w:ascii="宋体" w:hAnsi="宋体" w:cs="Arial"/>
          <w:spacing w:val="10"/>
          <w:szCs w:val="21"/>
          <w:highlight w:val="none"/>
        </w:rPr>
        <w:t xml:space="preserve">。 </w:t>
      </w:r>
      <w:r>
        <w:rPr>
          <w:rFonts w:ascii="宋体" w:hAnsi="宋体" w:cs="Arial"/>
          <w:spacing w:val="10"/>
          <w:szCs w:val="21"/>
          <w:highlight w:val="none"/>
        </w:rPr>
        <w:t xml:space="preserve"> </w:t>
      </w:r>
    </w:p>
    <w:p>
      <w:pPr>
        <w:pStyle w:val="15"/>
        <w:tabs>
          <w:tab w:val="left" w:pos="851"/>
        </w:tabs>
        <w:snapToGrid w:val="0"/>
        <w:spacing w:before="120" w:beforeLines="50" w:line="360" w:lineRule="auto"/>
        <w:ind w:left="659" w:leftChars="314" w:firstLine="0" w:firstLineChars="0"/>
        <w:rPr>
          <w:rFonts w:ascii="宋体" w:hAnsi="宋体" w:cs="Arial"/>
          <w:spacing w:val="10"/>
          <w:szCs w:val="21"/>
          <w:highlight w:val="none"/>
        </w:rPr>
      </w:pPr>
      <w:r>
        <w:rPr>
          <w:rFonts w:hint="eastAsia" w:ascii="宋体" w:hAnsi="宋体" w:cs="Arial"/>
          <w:spacing w:val="10"/>
          <w:szCs w:val="21"/>
          <w:highlight w:val="none"/>
        </w:rPr>
        <w:t>4）低压表前配电部分：由各公用配电房内低压柜出线端至各楼栋电表箱间的</w:t>
      </w:r>
      <w:r>
        <w:rPr>
          <w:rFonts w:hint="eastAsia" w:ascii="宋体" w:hAnsi="宋体" w:cs="Arial"/>
          <w:color w:val="FF0000"/>
          <w:spacing w:val="10"/>
          <w:szCs w:val="21"/>
          <w:highlight w:val="none"/>
        </w:rPr>
        <w:t>电线电缆敷设、母线槽安装、线槽</w:t>
      </w:r>
      <w:r>
        <w:rPr>
          <w:rFonts w:hint="eastAsia" w:ascii="宋体" w:hAnsi="宋体" w:cs="Arial"/>
          <w:color w:val="FF0000"/>
          <w:spacing w:val="10"/>
          <w:szCs w:val="21"/>
          <w:highlight w:val="none"/>
          <w:lang w:val="en-US" w:eastAsia="zh-CN"/>
        </w:rPr>
        <w:t>/</w:t>
      </w:r>
      <w:r>
        <w:rPr>
          <w:rFonts w:hint="eastAsia" w:ascii="宋体" w:hAnsi="宋体" w:cs="Arial"/>
          <w:color w:val="FF0000"/>
          <w:spacing w:val="10"/>
          <w:szCs w:val="21"/>
          <w:highlight w:val="none"/>
        </w:rPr>
        <w:t>桥架安装</w:t>
      </w:r>
      <w:r>
        <w:rPr>
          <w:rFonts w:hint="eastAsia" w:ascii="宋体" w:hAnsi="宋体" w:cs="Arial"/>
          <w:spacing w:val="10"/>
          <w:szCs w:val="21"/>
          <w:highlight w:val="none"/>
        </w:rPr>
        <w:t>、</w:t>
      </w:r>
      <w:r>
        <w:rPr>
          <w:rFonts w:hint="eastAsia" w:ascii="宋体" w:hAnsi="宋体" w:cs="Arial"/>
          <w:color w:val="FF0000"/>
          <w:spacing w:val="10"/>
          <w:szCs w:val="21"/>
          <w:highlight w:val="none"/>
          <w:lang w:val="en-US" w:eastAsia="zh-CN"/>
        </w:rPr>
        <w:t>桥架穿越墙体的开孔及封堵、</w:t>
      </w:r>
      <w:r>
        <w:rPr>
          <w:rFonts w:hint="eastAsia" w:ascii="宋体" w:hAnsi="宋体" w:cs="Arial"/>
          <w:spacing w:val="10"/>
          <w:szCs w:val="21"/>
          <w:highlight w:val="none"/>
        </w:rPr>
        <w:t>电表箱箱体安装</w:t>
      </w:r>
      <w:r>
        <w:rPr>
          <w:rFonts w:hint="eastAsia" w:ascii="宋体" w:hAnsi="宋体" w:cs="Arial"/>
          <w:spacing w:val="10"/>
          <w:szCs w:val="21"/>
          <w:highlight w:val="none"/>
          <w:lang w:eastAsia="zh-CN"/>
        </w:rPr>
        <w:t>、</w:t>
      </w:r>
      <w:r>
        <w:rPr>
          <w:rFonts w:hint="eastAsia" w:ascii="宋体" w:hAnsi="宋体" w:cs="Arial"/>
          <w:spacing w:val="10"/>
          <w:szCs w:val="21"/>
          <w:highlight w:val="none"/>
          <w:lang w:val="en-US" w:eastAsia="zh-CN"/>
        </w:rPr>
        <w:t>电缆头制作、</w:t>
      </w:r>
      <w:r>
        <w:rPr>
          <w:rFonts w:hint="eastAsia" w:ascii="宋体" w:hAnsi="宋体" w:cs="Arial"/>
          <w:color w:val="FF0000"/>
          <w:spacing w:val="10"/>
          <w:szCs w:val="21"/>
          <w:highlight w:val="none"/>
          <w:lang w:val="en-US" w:eastAsia="zh-CN"/>
        </w:rPr>
        <w:t>新增穿墙/楼板套管安装及封堵、</w:t>
      </w:r>
      <w:r>
        <w:rPr>
          <w:rFonts w:hint="eastAsia" w:ascii="宋体" w:hAnsi="宋体" w:cs="Arial"/>
          <w:color w:val="FF0000"/>
          <w:spacing w:val="10"/>
          <w:szCs w:val="21"/>
          <w:highlight w:val="none"/>
        </w:rPr>
        <w:t>进出变配电房机电管线留洞及封堵</w:t>
      </w:r>
      <w:r>
        <w:rPr>
          <w:rFonts w:hint="eastAsia" w:ascii="宋体" w:hAnsi="宋体" w:cs="Arial"/>
          <w:color w:val="FF0000"/>
          <w:spacing w:val="10"/>
          <w:szCs w:val="21"/>
          <w:highlight w:val="none"/>
          <w:lang w:eastAsia="zh-CN"/>
        </w:rPr>
        <w:t>、</w:t>
      </w:r>
      <w:r>
        <w:rPr>
          <w:rFonts w:hint="eastAsia" w:ascii="宋体" w:hAnsi="宋体" w:cs="Arial"/>
          <w:spacing w:val="10"/>
          <w:szCs w:val="21"/>
          <w:highlight w:val="none"/>
        </w:rPr>
        <w:t>配电管线接地、穿越隔墙楼板的防火封堵</w:t>
      </w:r>
      <w:r>
        <w:rPr>
          <w:rFonts w:hint="eastAsia" w:ascii="宋体" w:hAnsi="宋体" w:cs="Arial"/>
          <w:spacing w:val="10"/>
          <w:szCs w:val="21"/>
          <w:highlight w:val="none"/>
          <w:lang w:eastAsia="zh-CN"/>
        </w:rPr>
        <w:t>、</w:t>
      </w:r>
      <w:r>
        <w:rPr>
          <w:rFonts w:hint="eastAsia" w:ascii="宋体" w:hAnsi="宋体" w:cs="Arial"/>
          <w:spacing w:val="10"/>
          <w:szCs w:val="21"/>
          <w:highlight w:val="none"/>
          <w:lang w:val="en-US" w:eastAsia="zh-CN"/>
        </w:rPr>
        <w:t>桥架或母线槽的防水坎、电表安装、标识标牌</w:t>
      </w:r>
      <w:r>
        <w:rPr>
          <w:rFonts w:hint="eastAsia" w:ascii="宋体" w:hAnsi="宋体" w:cs="Arial"/>
          <w:spacing w:val="10"/>
          <w:szCs w:val="21"/>
          <w:highlight w:val="none"/>
        </w:rPr>
        <w:t>及其一切配套检验调试等工作内容。</w:t>
      </w:r>
    </w:p>
    <w:p>
      <w:pPr>
        <w:pStyle w:val="15"/>
        <w:tabs>
          <w:tab w:val="left" w:pos="851"/>
        </w:tabs>
        <w:snapToGrid w:val="0"/>
        <w:spacing w:before="120" w:beforeLines="50" w:line="360" w:lineRule="auto"/>
        <w:ind w:left="659" w:leftChars="314" w:firstLine="0" w:firstLineChars="0"/>
        <w:rPr>
          <w:rFonts w:hint="default" w:ascii="宋体" w:hAnsi="宋体" w:eastAsia="宋体" w:cs="Arial"/>
          <w:spacing w:val="10"/>
          <w:szCs w:val="21"/>
          <w:highlight w:val="none"/>
          <w:lang w:val="en-US" w:eastAsia="zh-CN"/>
        </w:rPr>
      </w:pPr>
      <w:r>
        <w:rPr>
          <w:rFonts w:hint="eastAsia" w:ascii="宋体" w:hAnsi="宋体" w:cs="Arial"/>
          <w:spacing w:val="10"/>
          <w:szCs w:val="21"/>
          <w:highlight w:val="none"/>
        </w:rPr>
        <w:t>5）集中抄表系统</w:t>
      </w:r>
      <w:r>
        <w:rPr>
          <w:rFonts w:hint="eastAsia" w:ascii="宋体" w:hAnsi="宋体" w:cs="Arial"/>
          <w:spacing w:val="10"/>
          <w:szCs w:val="21"/>
          <w:highlight w:val="none"/>
          <w:lang w:val="en-US" w:eastAsia="zh-CN"/>
        </w:rPr>
        <w:t>满足供电部门验收要求的一切内容；供电局集抄系统所需的网络信号覆盖、防雷接地，及其一切配套检验调试等工作内容；。</w:t>
      </w:r>
    </w:p>
    <w:p>
      <w:pPr>
        <w:pStyle w:val="15"/>
        <w:tabs>
          <w:tab w:val="left" w:pos="851"/>
        </w:tabs>
        <w:snapToGrid w:val="0"/>
        <w:spacing w:before="120" w:beforeLines="50" w:line="360" w:lineRule="auto"/>
        <w:ind w:left="659" w:leftChars="314" w:firstLine="0" w:firstLineChars="0"/>
        <w:rPr>
          <w:rFonts w:hint="eastAsia" w:ascii="宋体" w:hAnsi="宋体" w:cs="Arial"/>
          <w:spacing w:val="10"/>
          <w:szCs w:val="21"/>
          <w:highlight w:val="none"/>
        </w:rPr>
      </w:pPr>
      <w:r>
        <w:rPr>
          <w:rFonts w:hint="eastAsia" w:ascii="宋体" w:hAnsi="宋体" w:cs="Arial"/>
          <w:spacing w:val="10"/>
          <w:szCs w:val="21"/>
          <w:highlight w:val="none"/>
        </w:rPr>
        <w:t>6）开关房/开闭所、高低压电房的附属设施安装，电房内标示、防火工具及地面防静电漆、警戒线等配套设施、电房内所有设备基础（含砼和砖砌基础）、电缆沟砌筑、电缆沟盖板、百叶窗、电房门外挂锁、电房回填、电表房门双头外挂锁（包含但不限于清单项目描述等工作内容），配电房照明、穿墙套管、封堵、防雷接地系统、安、建、环、电缆敷设、电缆头驳接确保符合验收规范的一切内容；</w:t>
      </w:r>
    </w:p>
    <w:p>
      <w:pPr>
        <w:pStyle w:val="15"/>
        <w:tabs>
          <w:tab w:val="left" w:pos="851"/>
        </w:tabs>
        <w:snapToGrid w:val="0"/>
        <w:spacing w:before="120" w:beforeLines="50" w:line="360" w:lineRule="auto"/>
        <w:ind w:left="659" w:leftChars="314" w:firstLine="0" w:firstLineChars="0"/>
        <w:rPr>
          <w:rFonts w:ascii="宋体" w:hAnsi="宋体" w:cs="Arial"/>
          <w:spacing w:val="10"/>
          <w:szCs w:val="21"/>
          <w:highlight w:val="none"/>
        </w:rPr>
      </w:pPr>
      <w:r>
        <w:rPr>
          <w:rFonts w:ascii="宋体" w:hAnsi="宋体" w:cs="Arial"/>
          <w:spacing w:val="10"/>
          <w:szCs w:val="21"/>
          <w:highlight w:val="none"/>
        </w:rPr>
        <w:t>7</w:t>
      </w:r>
      <w:r>
        <w:rPr>
          <w:rFonts w:hint="eastAsia" w:ascii="宋体" w:hAnsi="宋体" w:cs="Arial"/>
          <w:spacing w:val="10"/>
          <w:szCs w:val="21"/>
          <w:highlight w:val="none"/>
        </w:rPr>
        <w:t>）配电房电力设施号牌、标示牌、绝缘</w:t>
      </w:r>
      <w:r>
        <w:rPr>
          <w:rFonts w:hint="eastAsia" w:ascii="宋体" w:hAnsi="宋体" w:cs="Arial"/>
          <w:spacing w:val="10"/>
          <w:szCs w:val="21"/>
          <w:highlight w:val="none"/>
          <w:lang w:val="en-US" w:eastAsia="zh-CN"/>
        </w:rPr>
        <w:t>漆、</w:t>
      </w:r>
      <w:r>
        <w:rPr>
          <w:rFonts w:hint="eastAsia" w:ascii="宋体" w:hAnsi="宋体" w:cs="Arial"/>
          <w:spacing w:val="10"/>
          <w:szCs w:val="21"/>
          <w:highlight w:val="none"/>
        </w:rPr>
        <w:t>胶垫、操作工具等配套工程。进入室内的最后一级井道的防水封堵、防水措施以及不需使用的预留外电进线使用的套管封堵</w:t>
      </w:r>
      <w:r>
        <w:rPr>
          <w:rFonts w:hint="eastAsia" w:ascii="宋体" w:hAnsi="宋体" w:cs="Arial"/>
          <w:spacing w:val="10"/>
          <w:szCs w:val="21"/>
          <w:highlight w:val="none"/>
          <w:lang w:eastAsia="zh-CN"/>
        </w:rPr>
        <w:t>、所有开关房/开闭所、高低压电房门安装、地面找平，挡水坎、挡鼠板设置。</w:t>
      </w:r>
    </w:p>
    <w:p>
      <w:pPr>
        <w:pStyle w:val="15"/>
        <w:tabs>
          <w:tab w:val="left" w:pos="851"/>
        </w:tabs>
        <w:snapToGrid w:val="0"/>
        <w:spacing w:before="120" w:beforeLines="50" w:line="360" w:lineRule="auto"/>
        <w:ind w:left="659" w:leftChars="314" w:firstLine="0" w:firstLineChars="0"/>
        <w:rPr>
          <w:rFonts w:hint="eastAsia" w:ascii="宋体" w:hAnsi="宋体" w:cs="Arial"/>
          <w:color w:val="FF0000"/>
          <w:spacing w:val="10"/>
          <w:szCs w:val="21"/>
          <w:highlight w:val="none"/>
        </w:rPr>
      </w:pPr>
      <w:r>
        <w:rPr>
          <w:rFonts w:ascii="宋体" w:hAnsi="宋体" w:cs="Arial"/>
          <w:color w:val="FF0000"/>
          <w:spacing w:val="10"/>
          <w:szCs w:val="21"/>
          <w:highlight w:val="none"/>
        </w:rPr>
        <w:t>8</w:t>
      </w:r>
      <w:r>
        <w:rPr>
          <w:rFonts w:hint="eastAsia" w:ascii="宋体" w:hAnsi="宋体" w:cs="Arial"/>
          <w:color w:val="FF0000"/>
          <w:spacing w:val="10"/>
          <w:szCs w:val="21"/>
          <w:highlight w:val="none"/>
        </w:rPr>
        <w:t>）发电机柜出线部分至低压柜（含低压柜）间的线缆、母线槽、线槽；发电车接入柜至低压柜（含低压柜）间的线缆、母线槽、线槽等。</w:t>
      </w:r>
    </w:p>
    <w:p>
      <w:pPr>
        <w:pStyle w:val="15"/>
        <w:tabs>
          <w:tab w:val="left" w:pos="851"/>
        </w:tabs>
        <w:snapToGrid w:val="0"/>
        <w:spacing w:before="120" w:beforeLines="50" w:line="360" w:lineRule="auto"/>
        <w:ind w:left="659" w:leftChars="314" w:firstLine="0" w:firstLineChars="0"/>
        <w:rPr>
          <w:rFonts w:hint="eastAsia" w:ascii="宋体" w:hAnsi="宋体" w:cs="Arial"/>
          <w:color w:val="FF0000"/>
          <w:spacing w:val="10"/>
          <w:szCs w:val="21"/>
          <w:highlight w:val="none"/>
          <w:lang w:val="en-US" w:eastAsia="zh-CN"/>
        </w:rPr>
      </w:pPr>
      <w:r>
        <w:rPr>
          <w:rFonts w:hint="eastAsia" w:ascii="宋体" w:hAnsi="宋体" w:cs="Arial"/>
          <w:color w:val="FF0000"/>
          <w:spacing w:val="10"/>
          <w:szCs w:val="21"/>
          <w:highlight w:val="none"/>
          <w:lang w:val="en-US" w:eastAsia="zh-CN"/>
        </w:rPr>
        <w:t>9）由配电房至充电桩电表箱间的桥架、桥架穿越墙体的开孔及封堵、电线电缆、电表箱箱安装、防雷接地、标识标牌及其一切配套检验调试等内容；充电桩电表箱至车位桥架安装、防雷接地、标识标牌及其一切满足供电部门验收等内容。</w:t>
      </w:r>
    </w:p>
    <w:p>
      <w:pPr>
        <w:pStyle w:val="15"/>
        <w:tabs>
          <w:tab w:val="left" w:pos="851"/>
        </w:tabs>
        <w:snapToGrid w:val="0"/>
        <w:spacing w:before="120" w:beforeLines="50" w:line="360" w:lineRule="auto"/>
        <w:ind w:left="659" w:leftChars="314" w:firstLine="0" w:firstLineChars="0"/>
        <w:rPr>
          <w:rFonts w:hint="eastAsia" w:ascii="宋体" w:hAnsi="宋体" w:cs="Arial"/>
          <w:color w:val="FF0000"/>
          <w:spacing w:val="10"/>
          <w:szCs w:val="21"/>
          <w:highlight w:val="none"/>
          <w:lang w:eastAsia="zh-CN"/>
        </w:rPr>
      </w:pPr>
      <w:r>
        <w:rPr>
          <w:rFonts w:hint="eastAsia" w:ascii="宋体" w:hAnsi="宋体" w:cs="Arial"/>
          <w:color w:val="FF0000"/>
          <w:spacing w:val="10"/>
          <w:szCs w:val="21"/>
          <w:highlight w:val="none"/>
          <w:lang w:val="en-US" w:eastAsia="zh-CN"/>
        </w:rPr>
        <w:t>10）由专变低压柜至1-12#楼底部商业集中电表箱的</w:t>
      </w:r>
      <w:r>
        <w:rPr>
          <w:rFonts w:hint="eastAsia" w:ascii="宋体" w:hAnsi="宋体" w:cs="Arial"/>
          <w:color w:val="FF0000"/>
          <w:spacing w:val="10"/>
          <w:szCs w:val="21"/>
          <w:highlight w:val="none"/>
        </w:rPr>
        <w:t>电线电缆敷设</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该部分桥架由总承包单位安装</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底部商业集中电表箱安装（商业电表箱甲供）、电缆头制作、标识标牌</w:t>
      </w:r>
      <w:r>
        <w:rPr>
          <w:rFonts w:hint="eastAsia" w:ascii="宋体" w:hAnsi="宋体" w:cs="Arial"/>
          <w:color w:val="FF0000"/>
          <w:spacing w:val="10"/>
          <w:szCs w:val="21"/>
          <w:highlight w:val="none"/>
        </w:rPr>
        <w:t>及其一切配套检验调试等工作内容</w:t>
      </w:r>
      <w:r>
        <w:rPr>
          <w:rFonts w:hint="eastAsia" w:ascii="宋体" w:hAnsi="宋体" w:cs="Arial"/>
          <w:color w:val="FF0000"/>
          <w:spacing w:val="10"/>
          <w:szCs w:val="21"/>
          <w:highlight w:val="none"/>
          <w:lang w:eastAsia="zh-CN"/>
        </w:rPr>
        <w:t>。</w:t>
      </w:r>
    </w:p>
    <w:p>
      <w:pPr>
        <w:pStyle w:val="15"/>
        <w:tabs>
          <w:tab w:val="left" w:pos="851"/>
        </w:tabs>
        <w:snapToGrid w:val="0"/>
        <w:spacing w:before="120" w:beforeLines="50" w:line="360" w:lineRule="auto"/>
        <w:ind w:left="659" w:leftChars="314" w:firstLine="0" w:firstLineChars="0"/>
        <w:rPr>
          <w:rFonts w:hint="default" w:ascii="宋体" w:hAnsi="宋体" w:cs="Arial"/>
          <w:color w:val="FF0000"/>
          <w:spacing w:val="10"/>
          <w:szCs w:val="21"/>
          <w:highlight w:val="none"/>
          <w:lang w:val="en-US" w:eastAsia="zh-CN"/>
        </w:rPr>
      </w:pPr>
      <w:r>
        <w:rPr>
          <w:rFonts w:hint="eastAsia" w:ascii="宋体" w:hAnsi="宋体" w:cs="Arial"/>
          <w:color w:val="FF0000"/>
          <w:spacing w:val="10"/>
          <w:szCs w:val="21"/>
          <w:highlight w:val="none"/>
          <w:lang w:val="en-US" w:eastAsia="zh-CN"/>
        </w:rPr>
        <w:t>11）由专变低压柜至13#楼商业集中电表箱及13#塔楼电表箱的</w:t>
      </w:r>
      <w:r>
        <w:rPr>
          <w:rFonts w:hint="eastAsia" w:ascii="宋体" w:hAnsi="宋体" w:cs="Arial"/>
          <w:color w:val="FF0000"/>
          <w:spacing w:val="10"/>
          <w:szCs w:val="21"/>
          <w:highlight w:val="none"/>
        </w:rPr>
        <w:t>电线电缆敷设</w:t>
      </w:r>
      <w:r>
        <w:rPr>
          <w:rFonts w:hint="eastAsia" w:ascii="宋体" w:hAnsi="宋体" w:cs="Arial"/>
          <w:color w:val="FF0000"/>
          <w:spacing w:val="10"/>
          <w:szCs w:val="21"/>
          <w:highlight w:val="none"/>
          <w:lang w:val="en-US" w:eastAsia="zh-CN"/>
        </w:rPr>
        <w:t>/母线槽</w:t>
      </w:r>
      <w:r>
        <w:rPr>
          <w:rFonts w:hint="eastAsia" w:ascii="宋体" w:hAnsi="宋体" w:cs="Arial"/>
          <w:color w:val="FF0000"/>
          <w:spacing w:val="10"/>
          <w:szCs w:val="21"/>
          <w:highlight w:val="none"/>
        </w:rPr>
        <w:t>回路敷设和安装</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桥架安装、桥架穿越墙体的开孔及封堵、集中电表箱安装（电表箱甲供）、电缆头制作、标识标牌</w:t>
      </w:r>
      <w:r>
        <w:rPr>
          <w:rFonts w:hint="eastAsia" w:ascii="宋体" w:hAnsi="宋体" w:cs="Arial"/>
          <w:color w:val="FF0000"/>
          <w:spacing w:val="10"/>
          <w:szCs w:val="21"/>
          <w:highlight w:val="none"/>
        </w:rPr>
        <w:t>及其一切配套检验调试等工作内容</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rPr>
        <w:t>配电管线接地、</w:t>
      </w:r>
      <w:r>
        <w:rPr>
          <w:rFonts w:hint="eastAsia" w:ascii="宋体" w:hAnsi="宋体" w:cs="Arial"/>
          <w:color w:val="FF0000"/>
          <w:spacing w:val="10"/>
          <w:szCs w:val="21"/>
          <w:highlight w:val="none"/>
          <w:lang w:val="en-US" w:eastAsia="zh-CN"/>
        </w:rPr>
        <w:t>新增穿墙/楼板套管安装及封堵</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rPr>
        <w:t>进出变配电房机电管线留洞及封堵</w:t>
      </w:r>
      <w:r>
        <w:rPr>
          <w:rFonts w:hint="eastAsia" w:ascii="宋体" w:hAnsi="宋体" w:cs="Arial"/>
          <w:color w:val="FF0000"/>
          <w:spacing w:val="10"/>
          <w:szCs w:val="21"/>
          <w:highlight w:val="none"/>
          <w:lang w:eastAsia="zh-CN"/>
        </w:rPr>
        <w:t>、</w:t>
      </w:r>
      <w:r>
        <w:rPr>
          <w:rFonts w:hint="eastAsia" w:ascii="宋体" w:hAnsi="宋体" w:cs="Arial"/>
          <w:color w:val="FF0000"/>
          <w:spacing w:val="10"/>
          <w:szCs w:val="21"/>
          <w:highlight w:val="none"/>
          <w:lang w:val="en-US" w:eastAsia="zh-CN"/>
        </w:rPr>
        <w:t>桥架或母线槽的防水坎等</w:t>
      </w:r>
      <w:r>
        <w:rPr>
          <w:rFonts w:hint="eastAsia" w:ascii="宋体" w:hAnsi="宋体" w:cs="Arial"/>
          <w:color w:val="FF0000"/>
          <w:spacing w:val="10"/>
          <w:szCs w:val="21"/>
          <w:highlight w:val="none"/>
          <w:lang w:eastAsia="zh-CN"/>
        </w:rPr>
        <w:t>。</w:t>
      </w:r>
    </w:p>
    <w:p>
      <w:pPr>
        <w:pStyle w:val="15"/>
        <w:tabs>
          <w:tab w:val="left" w:pos="851"/>
        </w:tabs>
        <w:spacing w:before="120" w:beforeLines="50" w:line="360" w:lineRule="auto"/>
        <w:ind w:left="659" w:leftChars="314" w:firstLine="0" w:firstLineChars="0"/>
        <w:rPr>
          <w:rFonts w:hint="eastAsia" w:ascii="宋体" w:hAnsi="宋体" w:cs="宋体"/>
          <w:color w:val="000000"/>
          <w:kern w:val="0"/>
          <w:szCs w:val="21"/>
          <w:highlight w:val="none"/>
          <w:lang w:bidi="ar"/>
        </w:rPr>
      </w:pPr>
      <w:r>
        <w:rPr>
          <w:rFonts w:hint="eastAsia" w:ascii="宋体" w:hAnsi="宋体" w:cs="Arial"/>
          <w:spacing w:val="10"/>
          <w:szCs w:val="21"/>
          <w:highlight w:val="none"/>
          <w:lang w:val="en-US" w:eastAsia="zh-CN"/>
        </w:rPr>
        <w:t>12</w:t>
      </w:r>
      <w:r>
        <w:rPr>
          <w:rFonts w:hint="eastAsia" w:ascii="宋体" w:hAnsi="宋体" w:cs="Arial"/>
          <w:spacing w:val="10"/>
          <w:szCs w:val="21"/>
          <w:highlight w:val="none"/>
        </w:rPr>
        <w:t>）</w:t>
      </w:r>
      <w:r>
        <w:rPr>
          <w:rFonts w:hint="eastAsia" w:ascii="宋体" w:hAnsi="宋体" w:cs="宋体"/>
          <w:color w:val="000000"/>
          <w:kern w:val="0"/>
          <w:szCs w:val="21"/>
          <w:highlight w:val="none"/>
          <w:lang w:bidi="ar"/>
        </w:rPr>
        <w:t>本工程全部项目必须通过供电部门的验收合格并供电，</w:t>
      </w:r>
      <w:r>
        <w:rPr>
          <w:rFonts w:hint="eastAsia" w:ascii="宋体" w:hAnsi="宋体" w:cs="宋体"/>
          <w:color w:val="000000"/>
          <w:kern w:val="0"/>
          <w:szCs w:val="21"/>
          <w:highlight w:val="none"/>
          <w:lang w:val="en-US" w:eastAsia="zh-CN" w:bidi="ar"/>
        </w:rPr>
        <w:t>包括与永久用电设计单位的沟通与协调、跟进项目用电总规、方案及优化、深化图纸对当地供电部门的手续办理及审批、报装、永久用电的施工及其一切满足供电部门的手续办理、施工、设备安装、验收、送电，</w:t>
      </w:r>
      <w:r>
        <w:rPr>
          <w:rFonts w:hint="eastAsia" w:ascii="宋体" w:hAnsi="宋体" w:cs="宋体"/>
          <w:color w:val="000000"/>
          <w:kern w:val="0"/>
          <w:szCs w:val="21"/>
          <w:highlight w:val="none"/>
          <w:lang w:bidi="ar"/>
        </w:rPr>
        <w:t>配合完成</w:t>
      </w:r>
      <w:r>
        <w:rPr>
          <w:rFonts w:hint="eastAsia" w:ascii="宋体" w:hAnsi="宋体" w:cs="宋体"/>
          <w:color w:val="000000"/>
          <w:kern w:val="0"/>
          <w:szCs w:val="21"/>
          <w:highlight w:val="none"/>
          <w:lang w:val="en-US" w:eastAsia="zh-CN" w:bidi="ar"/>
        </w:rPr>
        <w:t>发包人第三方评估、竣工验收、</w:t>
      </w:r>
      <w:r>
        <w:rPr>
          <w:rFonts w:hint="eastAsia" w:ascii="宋体" w:hAnsi="宋体" w:cs="宋体"/>
          <w:color w:val="000000"/>
          <w:kern w:val="0"/>
          <w:szCs w:val="21"/>
          <w:highlight w:val="none"/>
          <w:lang w:bidi="ar"/>
        </w:rPr>
        <w:t xml:space="preserve">交付验收、整改维修及交付工作。 </w:t>
      </w:r>
    </w:p>
    <w:p>
      <w:pPr>
        <w:pStyle w:val="15"/>
        <w:tabs>
          <w:tab w:val="left" w:pos="851"/>
        </w:tabs>
        <w:spacing w:before="120" w:beforeLines="50" w:line="360" w:lineRule="auto"/>
        <w:ind w:left="659" w:leftChars="314" w:firstLine="0" w:firstLineChars="0"/>
        <w:rPr>
          <w:rFonts w:hint="default" w:ascii="宋体" w:hAnsi="宋体" w:eastAsia="宋体" w:cs="宋体"/>
          <w:color w:val="000000"/>
          <w:kern w:val="0"/>
          <w:szCs w:val="21"/>
          <w:highlight w:val="none"/>
          <w:lang w:val="en-US" w:eastAsia="zh-CN" w:bidi="ar"/>
        </w:rPr>
      </w:pPr>
      <w:r>
        <w:rPr>
          <w:rFonts w:hint="eastAsia" w:ascii="宋体" w:hAnsi="宋体" w:cs="宋体"/>
          <w:color w:val="000000"/>
          <w:kern w:val="0"/>
          <w:szCs w:val="21"/>
          <w:highlight w:val="none"/>
          <w:lang w:val="en-US" w:eastAsia="zh-CN" w:bidi="ar"/>
        </w:rPr>
        <w:t>13）</w:t>
      </w:r>
      <w:r>
        <w:rPr>
          <w:rFonts w:hint="eastAsia" w:ascii="宋体" w:hAnsi="宋体" w:cs="宋体"/>
          <w:color w:val="FF0000"/>
          <w:kern w:val="0"/>
          <w:szCs w:val="21"/>
          <w:highlight w:val="none"/>
          <w:lang w:val="en-US" w:eastAsia="zh-CN" w:bidi="ar"/>
        </w:rPr>
        <w:t>项</w:t>
      </w:r>
      <w:r>
        <w:rPr>
          <w:rFonts w:hint="eastAsia" w:ascii="宋体" w:hAnsi="宋体"/>
          <w:color w:val="FF0000"/>
          <w:sz w:val="21"/>
          <w:szCs w:val="21"/>
          <w:highlight w:val="none"/>
          <w:lang w:val="en-US" w:eastAsia="zh-CN"/>
        </w:rPr>
        <w:t>目分批进行竣工验收备案，每批竣工验收，需要配合完成该批次楼栋所有永久用电部分按审批通过图纸施工完成，并完成竣工验收通电、要求，并配合完成所有竣工验收备案所需的一切内容（竣工验收备案前，需要提前配合完成所有低压部分施工，并接通临时用电（包含临时电缆敷设），配合精装、公共区照明、应急照明、消防、电梯、智能化等各专业工程的调试、验收。</w:t>
      </w:r>
      <w:permEnd w:id="2"/>
    </w:p>
    <w:p>
      <w:pPr>
        <w:pStyle w:val="15"/>
        <w:numPr>
          <w:ilvl w:val="1"/>
          <w:numId w:val="3"/>
        </w:numPr>
        <w:tabs>
          <w:tab w:val="left" w:pos="851"/>
        </w:tabs>
        <w:spacing w:before="120" w:beforeLines="50" w:line="360" w:lineRule="auto"/>
        <w:ind w:left="567" w:leftChars="0" w:hanging="567" w:firstLineChars="0"/>
        <w:rPr>
          <w:rFonts w:ascii="宋体" w:hAnsi="宋体" w:cs="Arial"/>
          <w:spacing w:val="10"/>
          <w:szCs w:val="21"/>
          <w:highlight w:val="none"/>
        </w:rPr>
      </w:pPr>
      <w:r>
        <w:rPr>
          <w:rFonts w:hint="eastAsia" w:ascii="宋体" w:hAnsi="宋体" w:cs="Arial"/>
          <w:spacing w:val="10"/>
          <w:szCs w:val="21"/>
          <w:highlight w:val="none"/>
        </w:rPr>
        <w:t>合同价款中包含的风险范围</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szCs w:val="21"/>
          <w:highlight w:val="none"/>
        </w:rPr>
        <w:t>1）</w:t>
      </w:r>
      <w:r>
        <w:rPr>
          <w:rFonts w:ascii="宋体" w:hAnsi="宋体"/>
          <w:szCs w:val="21"/>
          <w:highlight w:val="none"/>
        </w:rPr>
        <w:t>作为有经验的承包</w:t>
      </w:r>
      <w:r>
        <w:rPr>
          <w:rFonts w:hint="eastAsia" w:ascii="宋体" w:hAnsi="宋体"/>
          <w:szCs w:val="21"/>
          <w:highlight w:val="none"/>
          <w:lang w:val="en-US" w:eastAsia="zh-CN"/>
        </w:rPr>
        <w:t>人</w:t>
      </w:r>
      <w:r>
        <w:rPr>
          <w:rFonts w:ascii="宋体" w:hAnsi="宋体"/>
          <w:szCs w:val="21"/>
          <w:highlight w:val="none"/>
        </w:rPr>
        <w:t>，在投标及签订本合同前已充分了解、研究并考虑到项目所在地的有关规定、周边市场和行业等现状、本项目工程的进展情况、全部施工图纸、技术说明、承包范围、工地周边环境、交通道路、现场条件、包装运输及二次搬运、人员、材料、机械、安全施工、冬（雨）季施工、夜间及节假日施工、外地施工、施工组织设计、施工技术措施、文明施工措施、建筑垃圾自行清理、施工期间的气候影响、</w:t>
      </w:r>
      <w:r>
        <w:rPr>
          <w:rFonts w:hint="eastAsia" w:ascii="宋体" w:hAnsi="宋体"/>
          <w:szCs w:val="21"/>
          <w:highlight w:val="none"/>
          <w:lang w:val="en-US" w:eastAsia="zh-CN"/>
        </w:rPr>
        <w:t>发包人</w:t>
      </w:r>
      <w:r>
        <w:rPr>
          <w:rFonts w:ascii="宋体" w:hAnsi="宋体"/>
          <w:szCs w:val="21"/>
          <w:highlight w:val="none"/>
        </w:rPr>
        <w:t>对工期和质量的要求、设计及工程变更、成品和半成品的保护、检验、调试、验收、样品、工程管理、所有税费的规定和缴纳等因素。在全部合同工作中，应视为</w:t>
      </w:r>
      <w:r>
        <w:rPr>
          <w:rFonts w:hint="eastAsia" w:ascii="宋体" w:hAnsi="宋体"/>
          <w:szCs w:val="21"/>
          <w:highlight w:val="none"/>
        </w:rPr>
        <w:t>承包人</w:t>
      </w:r>
      <w:r>
        <w:rPr>
          <w:rFonts w:ascii="宋体" w:hAnsi="宋体"/>
          <w:szCs w:val="21"/>
          <w:highlight w:val="none"/>
        </w:rPr>
        <w:t>已充分估计了应承担的责任和风险。</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szCs w:val="21"/>
          <w:highlight w:val="none"/>
        </w:rPr>
        <w:t>2）</w:t>
      </w:r>
      <w:r>
        <w:rPr>
          <w:rFonts w:ascii="宋体" w:hAnsi="宋体"/>
          <w:szCs w:val="21"/>
          <w:highlight w:val="none"/>
        </w:rPr>
        <w:t>任何外汇与人民币汇率的变化</w:t>
      </w:r>
      <w:r>
        <w:rPr>
          <w:rFonts w:hint="eastAsia" w:ascii="宋体" w:hAnsi="宋体"/>
          <w:szCs w:val="21"/>
          <w:highlight w:val="none"/>
        </w:rPr>
        <w:t>。</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cs="Arial"/>
          <w:spacing w:val="10"/>
          <w:szCs w:val="21"/>
          <w:highlight w:val="none"/>
        </w:rPr>
        <w:t>3）本合同单价已考虑了合同期内人工、材料、机械和临时设施的费用、费率等价格要素的波动，合同履行期内不调整。</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szCs w:val="21"/>
          <w:highlight w:val="none"/>
        </w:rPr>
        <w:t>4）</w:t>
      </w:r>
      <w:r>
        <w:rPr>
          <w:rFonts w:ascii="宋体" w:hAnsi="宋体"/>
          <w:szCs w:val="21"/>
          <w:highlight w:val="none"/>
        </w:rPr>
        <w:t>包含了结构施工的洞口尺寸误差引起的风险费</w:t>
      </w:r>
      <w:r>
        <w:rPr>
          <w:rFonts w:hint="eastAsia" w:ascii="宋体" w:hAnsi="宋体"/>
          <w:szCs w:val="21"/>
          <w:highlight w:val="none"/>
        </w:rPr>
        <w:t>。</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szCs w:val="21"/>
          <w:highlight w:val="none"/>
        </w:rPr>
        <w:t>5）承包人</w:t>
      </w:r>
      <w:r>
        <w:rPr>
          <w:rFonts w:ascii="宋体" w:hAnsi="宋体"/>
          <w:szCs w:val="21"/>
          <w:highlight w:val="none"/>
        </w:rPr>
        <w:t>居住于工地之外所需要的办公、生活、生产用房的房租费用，人员往来于工地之间的交通费用。</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szCs w:val="21"/>
          <w:highlight w:val="none"/>
        </w:rPr>
        <w:t>6）</w:t>
      </w:r>
      <w:r>
        <w:rPr>
          <w:rFonts w:ascii="宋体" w:hAnsi="宋体"/>
          <w:szCs w:val="21"/>
          <w:highlight w:val="none"/>
        </w:rPr>
        <w:t>施工场地内需由</w:t>
      </w:r>
      <w:r>
        <w:rPr>
          <w:rFonts w:hint="eastAsia" w:ascii="宋体" w:hAnsi="宋体"/>
          <w:szCs w:val="21"/>
          <w:highlight w:val="none"/>
        </w:rPr>
        <w:t>承包人</w:t>
      </w:r>
      <w:r>
        <w:rPr>
          <w:rFonts w:ascii="宋体" w:hAnsi="宋体"/>
          <w:szCs w:val="21"/>
          <w:highlight w:val="none"/>
        </w:rPr>
        <w:t>自行配置的临时给排水、供电设施，可能发生的夜间施工照明等设施的设置和施工期间的维护。</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szCs w:val="21"/>
          <w:highlight w:val="none"/>
        </w:rPr>
        <w:t>7）承包人</w:t>
      </w:r>
      <w:r>
        <w:rPr>
          <w:rFonts w:ascii="宋体" w:hAnsi="宋体"/>
          <w:szCs w:val="21"/>
          <w:highlight w:val="none"/>
        </w:rPr>
        <w:t>对自身人员所投保的施工人员意外伤害保险、施工设备保险及第三者责任险的费用</w:t>
      </w:r>
      <w:r>
        <w:rPr>
          <w:rFonts w:hint="eastAsia" w:ascii="宋体" w:hAnsi="宋体"/>
          <w:szCs w:val="21"/>
          <w:highlight w:val="none"/>
        </w:rPr>
        <w:t>。</w:t>
      </w:r>
    </w:p>
    <w:p>
      <w:pPr>
        <w:pStyle w:val="15"/>
        <w:tabs>
          <w:tab w:val="left" w:pos="851"/>
        </w:tabs>
        <w:spacing w:before="120" w:beforeLines="50" w:line="360" w:lineRule="auto"/>
        <w:ind w:left="720" w:firstLine="0" w:firstLineChars="0"/>
        <w:rPr>
          <w:rFonts w:ascii="宋体" w:hAnsi="宋体" w:cs="Arial"/>
          <w:spacing w:val="10"/>
          <w:szCs w:val="21"/>
          <w:highlight w:val="none"/>
        </w:rPr>
      </w:pPr>
      <w:r>
        <w:rPr>
          <w:rFonts w:hint="eastAsia" w:ascii="宋体" w:hAnsi="宋体"/>
          <w:szCs w:val="21"/>
          <w:highlight w:val="none"/>
        </w:rPr>
        <w:t>8）</w:t>
      </w:r>
      <w:r>
        <w:rPr>
          <w:rFonts w:ascii="宋体" w:hAnsi="宋体"/>
          <w:szCs w:val="21"/>
          <w:highlight w:val="none"/>
        </w:rPr>
        <w:t>因雨季施工降效、因缩短工期和抢工所增加的直接和间接费用和额外开支</w:t>
      </w:r>
      <w:r>
        <w:rPr>
          <w:rFonts w:hint="eastAsia" w:ascii="宋体" w:hAnsi="宋体"/>
          <w:szCs w:val="21"/>
          <w:highlight w:val="none"/>
        </w:rPr>
        <w:t>。</w:t>
      </w:r>
    </w:p>
    <w:p>
      <w:pPr>
        <w:pStyle w:val="15"/>
        <w:numPr>
          <w:ilvl w:val="0"/>
          <w:numId w:val="1"/>
        </w:numPr>
        <w:tabs>
          <w:tab w:val="left" w:pos="709"/>
        </w:tabs>
        <w:spacing w:before="120" w:beforeLines="50" w:line="360" w:lineRule="auto"/>
        <w:ind w:left="663" w:hanging="663" w:hangingChars="300"/>
        <w:rPr>
          <w:rFonts w:ascii="宋体" w:hAnsi="宋体" w:cs="Arial"/>
          <w:sz w:val="22"/>
          <w:szCs w:val="22"/>
          <w:highlight w:val="none"/>
        </w:rPr>
      </w:pPr>
      <w:r>
        <w:rPr>
          <w:rFonts w:hint="eastAsia" w:ascii="宋体" w:hAnsi="宋体" w:cs="Arial"/>
          <w:b/>
          <w:sz w:val="22"/>
          <w:szCs w:val="22"/>
          <w:highlight w:val="none"/>
        </w:rPr>
        <w:t>以下的项目，不包含在本工程合同范围内：</w:t>
      </w:r>
      <w:permStart w:id="3" w:edGrp="everyone"/>
      <w:r>
        <w:rPr>
          <w:rFonts w:hint="eastAsia" w:ascii="宋体" w:hAnsi="宋体" w:cs="Arial"/>
          <w:spacing w:val="10"/>
          <w:szCs w:val="21"/>
          <w:highlight w:val="none"/>
        </w:rPr>
        <w:t>发电机柜本体供应安装及调试、发电机环保工程均不在本次招标范围内。</w:t>
      </w:r>
      <w:permEnd w:id="3"/>
      <w:r>
        <w:rPr>
          <w:rFonts w:hint="eastAsia" w:ascii="宋体" w:hAnsi="宋体" w:cs="Arial"/>
          <w:spacing w:val="10"/>
          <w:szCs w:val="21"/>
          <w:highlight w:val="none"/>
        </w:rPr>
        <w:t xml:space="preserve"> </w:t>
      </w:r>
    </w:p>
    <w:p>
      <w:pPr>
        <w:pStyle w:val="15"/>
        <w:numPr>
          <w:ilvl w:val="0"/>
          <w:numId w:val="1"/>
        </w:numPr>
        <w:tabs>
          <w:tab w:val="left" w:pos="709"/>
        </w:tabs>
        <w:spacing w:before="120" w:beforeLines="50" w:line="360" w:lineRule="auto"/>
        <w:ind w:left="663" w:hanging="663" w:hangingChars="300"/>
        <w:rPr>
          <w:rFonts w:ascii="宋体" w:hAnsi="宋体" w:cs="Arial"/>
          <w:sz w:val="22"/>
          <w:szCs w:val="22"/>
          <w:highlight w:val="none"/>
        </w:rPr>
      </w:pPr>
      <w:r>
        <w:rPr>
          <w:rFonts w:hint="eastAsia" w:ascii="宋体" w:hAnsi="宋体" w:cs="Arial"/>
          <w:b/>
          <w:sz w:val="22"/>
          <w:szCs w:val="22"/>
          <w:highlight w:val="none"/>
        </w:rPr>
        <w:t>与其它单位施工界限如下：</w:t>
      </w:r>
      <w:r>
        <w:rPr>
          <w:rFonts w:hint="eastAsia" w:ascii="宋体" w:hAnsi="宋体" w:cs="Arial"/>
          <w:sz w:val="22"/>
          <w:szCs w:val="22"/>
          <w:highlight w:val="none"/>
        </w:rPr>
        <w:t>详见06附件</w:t>
      </w:r>
      <w:r>
        <w:rPr>
          <w:rFonts w:hint="eastAsia" w:ascii="宋体" w:hAnsi="宋体" w:cs="Arial"/>
          <w:sz w:val="22"/>
          <w:szCs w:val="22"/>
          <w:highlight w:val="none"/>
          <w:lang w:val="en-US" w:eastAsia="zh-CN"/>
        </w:rPr>
        <w:t>2</w:t>
      </w:r>
      <w:r>
        <w:rPr>
          <w:rFonts w:hint="eastAsia" w:ascii="宋体" w:hAnsi="宋体" w:cs="Arial"/>
          <w:sz w:val="22"/>
          <w:szCs w:val="22"/>
          <w:highlight w:val="none"/>
        </w:rPr>
        <w:t>：与其它单位施工界面划分。</w:t>
      </w:r>
    </w:p>
    <w:p>
      <w:pPr>
        <w:pStyle w:val="15"/>
        <w:numPr>
          <w:ilvl w:val="0"/>
          <w:numId w:val="1"/>
        </w:numPr>
        <w:tabs>
          <w:tab w:val="left" w:pos="709"/>
        </w:tabs>
        <w:spacing w:before="120" w:beforeLines="50" w:line="360" w:lineRule="auto"/>
        <w:ind w:left="663" w:hanging="663" w:hangingChars="300"/>
        <w:rPr>
          <w:rFonts w:ascii="宋体" w:hAnsi="宋体" w:cs="Arial"/>
          <w:sz w:val="22"/>
          <w:szCs w:val="22"/>
          <w:highlight w:val="none"/>
        </w:rPr>
      </w:pPr>
      <w:r>
        <w:rPr>
          <w:rFonts w:hint="eastAsia" w:ascii="宋体" w:hAnsi="宋体" w:cs="Arial"/>
          <w:b/>
          <w:bCs/>
          <w:sz w:val="22"/>
          <w:szCs w:val="22"/>
          <w:highlight w:val="none"/>
        </w:rPr>
        <w:t>工期要求：</w:t>
      </w:r>
    </w:p>
    <w:p>
      <w:pPr>
        <w:spacing w:line="360" w:lineRule="auto"/>
        <w:ind w:left="473" w:leftChars="175" w:hanging="105" w:hangingChars="50"/>
        <w:rPr>
          <w:rFonts w:hint="eastAsia" w:ascii="宋体" w:hAnsi="宋体" w:eastAsia="宋体"/>
          <w:sz w:val="21"/>
          <w:szCs w:val="21"/>
          <w:highlight w:val="none"/>
          <w:lang w:eastAsia="zh-CN"/>
        </w:rPr>
      </w:pPr>
      <w:r>
        <w:rPr>
          <w:rFonts w:ascii="宋体" w:hAnsi="宋体"/>
          <w:sz w:val="21"/>
          <w:szCs w:val="21"/>
          <w:highlight w:val="none"/>
        </w:rPr>
        <w:t>本招标工期为</w:t>
      </w:r>
      <w:r>
        <w:rPr>
          <w:rFonts w:hint="eastAsia" w:ascii="宋体" w:hAnsi="宋体"/>
          <w:sz w:val="21"/>
          <w:szCs w:val="21"/>
          <w:highlight w:val="none"/>
          <w:lang w:val="en-US" w:eastAsia="zh-CN"/>
        </w:rPr>
        <w:t>三</w:t>
      </w:r>
      <w:r>
        <w:rPr>
          <w:rFonts w:ascii="宋体" w:hAnsi="宋体"/>
          <w:sz w:val="21"/>
          <w:szCs w:val="21"/>
          <w:highlight w:val="none"/>
        </w:rPr>
        <w:t>部分，工程全部完工并通过验收</w:t>
      </w:r>
      <w:r>
        <w:rPr>
          <w:rFonts w:hint="eastAsia" w:ascii="宋体" w:hAnsi="宋体"/>
          <w:sz w:val="21"/>
          <w:szCs w:val="21"/>
          <w:highlight w:val="none"/>
          <w:lang w:eastAsia="zh-CN"/>
        </w:rPr>
        <w:t>、</w:t>
      </w:r>
      <w:r>
        <w:rPr>
          <w:rFonts w:hint="eastAsia" w:ascii="宋体" w:hAnsi="宋体"/>
          <w:sz w:val="21"/>
          <w:szCs w:val="21"/>
          <w:highlight w:val="none"/>
          <w:lang w:val="en-US" w:eastAsia="zh-CN"/>
        </w:rPr>
        <w:t>送电</w:t>
      </w:r>
      <w:r>
        <w:rPr>
          <w:rFonts w:ascii="宋体" w:hAnsi="宋体"/>
          <w:sz w:val="21"/>
          <w:szCs w:val="21"/>
          <w:highlight w:val="none"/>
        </w:rPr>
        <w:t>，取得验收合格证，合同总工期：</w:t>
      </w:r>
      <w:r>
        <w:rPr>
          <w:rFonts w:hint="eastAsia" w:ascii="宋体" w:hAnsi="宋体"/>
          <w:sz w:val="21"/>
          <w:szCs w:val="21"/>
          <w:highlight w:val="none"/>
          <w:lang w:val="en-US" w:eastAsia="zh-CN"/>
        </w:rPr>
        <w:t>705</w:t>
      </w:r>
      <w:r>
        <w:rPr>
          <w:rFonts w:ascii="宋体" w:hAnsi="宋体"/>
          <w:sz w:val="21"/>
          <w:szCs w:val="21"/>
          <w:highlight w:val="none"/>
        </w:rPr>
        <w:t>天（日历天）</w:t>
      </w:r>
      <w:r>
        <w:rPr>
          <w:rFonts w:hint="eastAsia" w:ascii="宋体" w:hAnsi="宋体"/>
          <w:sz w:val="21"/>
          <w:szCs w:val="21"/>
          <w:highlight w:val="none"/>
          <w:lang w:eastAsia="zh-CN"/>
        </w:rPr>
        <w:t>；</w:t>
      </w:r>
    </w:p>
    <w:p>
      <w:pPr>
        <w:spacing w:line="360" w:lineRule="auto"/>
        <w:ind w:left="473" w:leftChars="175" w:hanging="105" w:hangingChars="50"/>
        <w:rPr>
          <w:rFonts w:ascii="宋体" w:hAnsi="宋体"/>
          <w:sz w:val="21"/>
          <w:szCs w:val="21"/>
          <w:highlight w:val="none"/>
        </w:rPr>
      </w:pPr>
      <w:r>
        <w:rPr>
          <w:rFonts w:ascii="宋体" w:hAnsi="宋体"/>
          <w:sz w:val="21"/>
          <w:szCs w:val="21"/>
          <w:highlight w:val="none"/>
        </w:rPr>
        <w:t>第一批次（1#、2#、3#、10#、11#、12#楼）开工时间暂定为202</w:t>
      </w:r>
      <w:r>
        <w:rPr>
          <w:rFonts w:hint="eastAsia" w:ascii="宋体" w:hAnsi="宋体"/>
          <w:sz w:val="21"/>
          <w:szCs w:val="21"/>
          <w:highlight w:val="none"/>
          <w:lang w:val="en-US" w:eastAsia="zh-CN"/>
        </w:rPr>
        <w:t>3</w:t>
      </w:r>
      <w:r>
        <w:rPr>
          <w:rFonts w:ascii="宋体" w:hAnsi="宋体"/>
          <w:sz w:val="21"/>
          <w:szCs w:val="21"/>
          <w:highlight w:val="none"/>
        </w:rPr>
        <w:t>年</w:t>
      </w:r>
      <w:r>
        <w:rPr>
          <w:rFonts w:hint="eastAsia" w:ascii="宋体" w:hAnsi="宋体"/>
          <w:sz w:val="21"/>
          <w:szCs w:val="21"/>
          <w:highlight w:val="none"/>
          <w:lang w:val="en-US" w:eastAsia="zh-CN"/>
        </w:rPr>
        <w:t>6</w:t>
      </w:r>
      <w:r>
        <w:rPr>
          <w:rFonts w:ascii="宋体" w:hAnsi="宋体"/>
          <w:sz w:val="21"/>
          <w:szCs w:val="21"/>
          <w:highlight w:val="none"/>
        </w:rPr>
        <w:t xml:space="preserve">月 </w:t>
      </w:r>
      <w:r>
        <w:rPr>
          <w:rFonts w:hint="eastAsia" w:ascii="宋体" w:hAnsi="宋体"/>
          <w:sz w:val="21"/>
          <w:szCs w:val="21"/>
          <w:highlight w:val="none"/>
          <w:lang w:val="en-US" w:eastAsia="zh-CN"/>
        </w:rPr>
        <w:t>25</w:t>
      </w:r>
      <w:r>
        <w:rPr>
          <w:rFonts w:ascii="宋体" w:hAnsi="宋体"/>
          <w:sz w:val="21"/>
          <w:szCs w:val="21"/>
          <w:highlight w:val="none"/>
        </w:rPr>
        <w:t xml:space="preserve">日，竣工时间暂定为 2024年 </w:t>
      </w:r>
      <w:r>
        <w:rPr>
          <w:rFonts w:hint="eastAsia" w:ascii="宋体" w:hAnsi="宋体"/>
          <w:sz w:val="21"/>
          <w:szCs w:val="21"/>
          <w:highlight w:val="none"/>
          <w:lang w:val="en-US" w:eastAsia="zh-CN"/>
        </w:rPr>
        <w:t>3</w:t>
      </w:r>
      <w:r>
        <w:rPr>
          <w:rFonts w:ascii="宋体" w:hAnsi="宋体"/>
          <w:sz w:val="21"/>
          <w:szCs w:val="21"/>
          <w:highlight w:val="none"/>
        </w:rPr>
        <w:t>月</w:t>
      </w:r>
      <w:r>
        <w:rPr>
          <w:rFonts w:hint="eastAsia" w:ascii="宋体" w:hAnsi="宋体"/>
          <w:sz w:val="21"/>
          <w:szCs w:val="21"/>
          <w:highlight w:val="none"/>
          <w:lang w:val="en-US" w:eastAsia="zh-CN"/>
        </w:rPr>
        <w:t>30</w:t>
      </w:r>
      <w:r>
        <w:rPr>
          <w:rFonts w:ascii="宋体" w:hAnsi="宋体"/>
          <w:sz w:val="21"/>
          <w:szCs w:val="21"/>
          <w:highlight w:val="none"/>
        </w:rPr>
        <w:t>日，总工期</w:t>
      </w:r>
      <w:r>
        <w:rPr>
          <w:rFonts w:hint="eastAsia" w:ascii="宋体" w:hAnsi="宋体"/>
          <w:sz w:val="21"/>
          <w:szCs w:val="21"/>
          <w:highlight w:val="none"/>
          <w:lang w:val="en-US" w:eastAsia="zh-CN"/>
        </w:rPr>
        <w:t>279</w:t>
      </w:r>
      <w:r>
        <w:rPr>
          <w:rFonts w:ascii="宋体" w:hAnsi="宋体"/>
          <w:sz w:val="21"/>
          <w:szCs w:val="21"/>
          <w:highlight w:val="none"/>
        </w:rPr>
        <w:t>天（日历天）；</w:t>
      </w:r>
      <w:r>
        <w:rPr>
          <w:rFonts w:ascii="宋体" w:hAnsi="宋体"/>
          <w:sz w:val="21"/>
          <w:szCs w:val="21"/>
          <w:highlight w:val="none"/>
        </w:rPr>
        <w:t xml:space="preserve"> </w:t>
      </w:r>
    </w:p>
    <w:p>
      <w:pPr>
        <w:spacing w:line="360" w:lineRule="auto"/>
        <w:ind w:left="473" w:leftChars="175" w:hanging="105" w:hangingChars="50"/>
        <w:rPr>
          <w:rFonts w:hint="default" w:ascii="宋体" w:hAnsi="宋体"/>
          <w:sz w:val="21"/>
          <w:szCs w:val="21"/>
          <w:highlight w:val="none"/>
        </w:rPr>
      </w:pPr>
      <w:r>
        <w:rPr>
          <w:rFonts w:ascii="宋体" w:hAnsi="宋体"/>
          <w:sz w:val="21"/>
          <w:szCs w:val="21"/>
          <w:highlight w:val="none"/>
        </w:rPr>
        <w:t>第二批次（4#、</w:t>
      </w:r>
      <w:r>
        <w:rPr>
          <w:rFonts w:hint="eastAsia" w:ascii="宋体" w:hAnsi="宋体"/>
          <w:sz w:val="21"/>
          <w:szCs w:val="21"/>
          <w:highlight w:val="none"/>
          <w:lang w:val="en-US" w:eastAsia="zh-CN"/>
        </w:rPr>
        <w:t>9#楼</w:t>
      </w:r>
      <w:r>
        <w:rPr>
          <w:rFonts w:ascii="宋体" w:hAnsi="宋体"/>
          <w:sz w:val="21"/>
          <w:szCs w:val="21"/>
          <w:highlight w:val="none"/>
        </w:rPr>
        <w:t>）开工时间暂定为202</w:t>
      </w:r>
      <w:r>
        <w:rPr>
          <w:rFonts w:hint="eastAsia" w:ascii="宋体" w:hAnsi="宋体"/>
          <w:sz w:val="21"/>
          <w:szCs w:val="21"/>
          <w:highlight w:val="none"/>
          <w:lang w:val="en-US" w:eastAsia="zh-CN"/>
        </w:rPr>
        <w:t>4</w:t>
      </w:r>
      <w:r>
        <w:rPr>
          <w:rFonts w:ascii="宋体" w:hAnsi="宋体"/>
          <w:sz w:val="21"/>
          <w:szCs w:val="21"/>
          <w:highlight w:val="none"/>
        </w:rPr>
        <w:t>年</w:t>
      </w:r>
      <w:r>
        <w:rPr>
          <w:rFonts w:hint="eastAsia" w:ascii="宋体" w:hAnsi="宋体"/>
          <w:sz w:val="21"/>
          <w:szCs w:val="21"/>
          <w:highlight w:val="none"/>
          <w:lang w:val="en-US" w:eastAsia="zh-CN"/>
        </w:rPr>
        <w:t>6</w:t>
      </w:r>
      <w:r>
        <w:rPr>
          <w:rFonts w:ascii="宋体" w:hAnsi="宋体"/>
          <w:sz w:val="21"/>
          <w:szCs w:val="21"/>
          <w:highlight w:val="none"/>
        </w:rPr>
        <w:t xml:space="preserve">月 </w:t>
      </w:r>
      <w:r>
        <w:rPr>
          <w:rFonts w:hint="default" w:ascii="宋体" w:hAnsi="宋体"/>
          <w:sz w:val="21"/>
          <w:szCs w:val="21"/>
          <w:highlight w:val="none"/>
        </w:rPr>
        <w:t>1</w:t>
      </w:r>
      <w:r>
        <w:rPr>
          <w:rFonts w:ascii="宋体" w:hAnsi="宋体"/>
          <w:sz w:val="21"/>
          <w:szCs w:val="21"/>
          <w:highlight w:val="none"/>
        </w:rPr>
        <w:t>日，竣工时间暂定为202</w:t>
      </w:r>
      <w:r>
        <w:rPr>
          <w:rFonts w:hint="eastAsia" w:ascii="宋体" w:hAnsi="宋体"/>
          <w:sz w:val="21"/>
          <w:szCs w:val="21"/>
          <w:highlight w:val="none"/>
          <w:lang w:val="en-US" w:eastAsia="zh-CN"/>
        </w:rPr>
        <w:t>4</w:t>
      </w:r>
      <w:r>
        <w:rPr>
          <w:rFonts w:ascii="宋体" w:hAnsi="宋体"/>
          <w:sz w:val="21"/>
          <w:szCs w:val="21"/>
          <w:highlight w:val="none"/>
        </w:rPr>
        <w:t>年</w:t>
      </w:r>
      <w:r>
        <w:rPr>
          <w:rFonts w:hint="eastAsia" w:ascii="宋体" w:hAnsi="宋体"/>
          <w:sz w:val="21"/>
          <w:szCs w:val="21"/>
          <w:highlight w:val="none"/>
          <w:lang w:val="en-US" w:eastAsia="zh-CN"/>
        </w:rPr>
        <w:t>11</w:t>
      </w:r>
      <w:r>
        <w:rPr>
          <w:rFonts w:ascii="宋体" w:hAnsi="宋体"/>
          <w:sz w:val="21"/>
          <w:szCs w:val="21"/>
          <w:highlight w:val="none"/>
        </w:rPr>
        <w:t>月</w:t>
      </w:r>
      <w:r>
        <w:rPr>
          <w:rFonts w:hint="eastAsia" w:ascii="宋体" w:hAnsi="宋体"/>
          <w:sz w:val="21"/>
          <w:szCs w:val="21"/>
          <w:highlight w:val="none"/>
          <w:lang w:val="en-US" w:eastAsia="zh-CN"/>
        </w:rPr>
        <w:t>30</w:t>
      </w:r>
      <w:r>
        <w:rPr>
          <w:rFonts w:ascii="宋体" w:hAnsi="宋体"/>
          <w:sz w:val="21"/>
          <w:szCs w:val="21"/>
          <w:highlight w:val="none"/>
        </w:rPr>
        <w:t>日，总工期</w:t>
      </w:r>
      <w:r>
        <w:rPr>
          <w:rFonts w:hint="eastAsia" w:ascii="宋体" w:hAnsi="宋体"/>
          <w:sz w:val="21"/>
          <w:szCs w:val="21"/>
          <w:highlight w:val="none"/>
          <w:lang w:val="en-US" w:eastAsia="zh-CN"/>
        </w:rPr>
        <w:t>182</w:t>
      </w:r>
      <w:r>
        <w:rPr>
          <w:rFonts w:ascii="宋体" w:hAnsi="宋体"/>
          <w:sz w:val="21"/>
          <w:szCs w:val="21"/>
          <w:highlight w:val="none"/>
        </w:rPr>
        <w:t>天（日历天）；</w:t>
      </w:r>
    </w:p>
    <w:p>
      <w:pPr>
        <w:spacing w:line="360" w:lineRule="auto"/>
        <w:ind w:left="473" w:leftChars="175" w:hanging="105" w:hangingChars="50"/>
        <w:rPr>
          <w:rFonts w:hint="default" w:ascii="宋体" w:hAnsi="宋体"/>
          <w:sz w:val="21"/>
          <w:szCs w:val="21"/>
          <w:highlight w:val="none"/>
        </w:rPr>
      </w:pPr>
      <w:r>
        <w:rPr>
          <w:rFonts w:ascii="宋体" w:hAnsi="宋体"/>
          <w:sz w:val="21"/>
          <w:szCs w:val="21"/>
          <w:highlight w:val="none"/>
        </w:rPr>
        <w:t>第</w:t>
      </w:r>
      <w:r>
        <w:rPr>
          <w:rFonts w:hint="eastAsia" w:ascii="宋体" w:hAnsi="宋体"/>
          <w:sz w:val="21"/>
          <w:szCs w:val="21"/>
          <w:highlight w:val="none"/>
          <w:lang w:val="en-US" w:eastAsia="zh-CN"/>
        </w:rPr>
        <w:t>三</w:t>
      </w:r>
      <w:r>
        <w:rPr>
          <w:rFonts w:ascii="宋体" w:hAnsi="宋体"/>
          <w:sz w:val="21"/>
          <w:szCs w:val="21"/>
          <w:highlight w:val="none"/>
        </w:rPr>
        <w:t>批次（5#、6#、</w:t>
      </w:r>
      <w:r>
        <w:rPr>
          <w:rFonts w:hint="eastAsia" w:ascii="宋体" w:hAnsi="宋体"/>
          <w:sz w:val="21"/>
          <w:szCs w:val="21"/>
          <w:highlight w:val="none"/>
          <w:lang w:val="en-US" w:eastAsia="zh-CN"/>
        </w:rPr>
        <w:t>7#、8#、</w:t>
      </w:r>
      <w:r>
        <w:rPr>
          <w:rFonts w:ascii="宋体" w:hAnsi="宋体"/>
          <w:sz w:val="21"/>
          <w:szCs w:val="21"/>
          <w:highlight w:val="none"/>
        </w:rPr>
        <w:t>13#</w:t>
      </w:r>
      <w:r>
        <w:rPr>
          <w:rFonts w:hint="eastAsia" w:ascii="宋体" w:hAnsi="宋体"/>
          <w:sz w:val="21"/>
          <w:szCs w:val="21"/>
          <w:highlight w:val="none"/>
          <w:lang w:val="en-US" w:eastAsia="zh-CN"/>
        </w:rPr>
        <w:t>楼</w:t>
      </w:r>
      <w:r>
        <w:rPr>
          <w:rFonts w:ascii="宋体" w:hAnsi="宋体"/>
          <w:sz w:val="21"/>
          <w:szCs w:val="21"/>
          <w:highlight w:val="none"/>
        </w:rPr>
        <w:t>）开工时间暂定为202</w:t>
      </w:r>
      <w:r>
        <w:rPr>
          <w:rFonts w:hint="eastAsia" w:ascii="宋体" w:hAnsi="宋体"/>
          <w:sz w:val="21"/>
          <w:szCs w:val="21"/>
          <w:highlight w:val="none"/>
          <w:lang w:val="en-US" w:eastAsia="zh-CN"/>
        </w:rPr>
        <w:t>4</w:t>
      </w:r>
      <w:r>
        <w:rPr>
          <w:rFonts w:ascii="宋体" w:hAnsi="宋体"/>
          <w:sz w:val="21"/>
          <w:szCs w:val="21"/>
          <w:highlight w:val="none"/>
        </w:rPr>
        <w:t>年</w:t>
      </w:r>
      <w:r>
        <w:rPr>
          <w:rFonts w:hint="eastAsia" w:ascii="宋体" w:hAnsi="宋体"/>
          <w:sz w:val="21"/>
          <w:szCs w:val="21"/>
          <w:highlight w:val="none"/>
          <w:lang w:val="en-US" w:eastAsia="zh-CN"/>
        </w:rPr>
        <w:t>11</w:t>
      </w:r>
      <w:r>
        <w:rPr>
          <w:rFonts w:ascii="宋体" w:hAnsi="宋体"/>
          <w:sz w:val="21"/>
          <w:szCs w:val="21"/>
          <w:highlight w:val="none"/>
        </w:rPr>
        <w:t>月 1日，竣工时间暂定为202</w:t>
      </w:r>
      <w:r>
        <w:rPr>
          <w:rFonts w:hint="eastAsia" w:ascii="宋体" w:hAnsi="宋体"/>
          <w:sz w:val="21"/>
          <w:szCs w:val="21"/>
          <w:highlight w:val="none"/>
          <w:lang w:val="en-US" w:eastAsia="zh-CN"/>
        </w:rPr>
        <w:t>5</w:t>
      </w:r>
      <w:r>
        <w:rPr>
          <w:rFonts w:ascii="宋体" w:hAnsi="宋体"/>
          <w:sz w:val="21"/>
          <w:szCs w:val="21"/>
          <w:highlight w:val="none"/>
        </w:rPr>
        <w:t>年</w:t>
      </w:r>
      <w:r>
        <w:rPr>
          <w:rFonts w:hint="eastAsia" w:ascii="宋体" w:hAnsi="宋体"/>
          <w:sz w:val="21"/>
          <w:szCs w:val="21"/>
          <w:highlight w:val="none"/>
          <w:lang w:val="en-US" w:eastAsia="zh-CN"/>
        </w:rPr>
        <w:t>5</w:t>
      </w:r>
      <w:r>
        <w:rPr>
          <w:rFonts w:ascii="宋体" w:hAnsi="宋体"/>
          <w:sz w:val="21"/>
          <w:szCs w:val="21"/>
          <w:highlight w:val="none"/>
        </w:rPr>
        <w:t xml:space="preserve">月 </w:t>
      </w:r>
      <w:r>
        <w:rPr>
          <w:rFonts w:hint="default" w:ascii="宋体" w:hAnsi="宋体"/>
          <w:sz w:val="21"/>
          <w:szCs w:val="21"/>
          <w:highlight w:val="none"/>
        </w:rPr>
        <w:t>30</w:t>
      </w:r>
      <w:r>
        <w:rPr>
          <w:rFonts w:ascii="宋体" w:hAnsi="宋体"/>
          <w:sz w:val="21"/>
          <w:szCs w:val="21"/>
          <w:highlight w:val="none"/>
        </w:rPr>
        <w:t xml:space="preserve">日，总工期 </w:t>
      </w:r>
      <w:r>
        <w:rPr>
          <w:rFonts w:hint="eastAsia" w:ascii="宋体" w:hAnsi="宋体"/>
          <w:sz w:val="21"/>
          <w:szCs w:val="21"/>
          <w:highlight w:val="none"/>
          <w:lang w:val="en-US" w:eastAsia="zh-CN"/>
        </w:rPr>
        <w:t>210</w:t>
      </w:r>
      <w:r>
        <w:rPr>
          <w:rFonts w:ascii="宋体" w:hAnsi="宋体"/>
          <w:sz w:val="21"/>
          <w:szCs w:val="21"/>
          <w:highlight w:val="none"/>
        </w:rPr>
        <w:t>天（日历天）；</w:t>
      </w:r>
    </w:p>
    <w:p>
      <w:pPr>
        <w:spacing w:line="360" w:lineRule="auto"/>
        <w:ind w:left="473" w:leftChars="175" w:hanging="105" w:hangingChars="50"/>
        <w:rPr>
          <w:rFonts w:ascii="宋体" w:hAnsi="宋体"/>
          <w:sz w:val="21"/>
          <w:szCs w:val="21"/>
          <w:highlight w:val="none"/>
        </w:rPr>
      </w:pPr>
      <w:r>
        <w:rPr>
          <w:rFonts w:ascii="宋体" w:hAnsi="宋体"/>
          <w:sz w:val="21"/>
          <w:szCs w:val="21"/>
          <w:highlight w:val="none"/>
        </w:rPr>
        <w:t>（具体进场时间以甲方书面通知为准，具体工期起算以收到</w:t>
      </w:r>
      <w:r>
        <w:rPr>
          <w:rFonts w:hint="eastAsia" w:ascii="宋体" w:hAnsi="宋体"/>
          <w:sz w:val="21"/>
          <w:szCs w:val="21"/>
          <w:highlight w:val="none"/>
          <w:lang w:val="en-US" w:eastAsia="zh-CN"/>
        </w:rPr>
        <w:t>发包人</w:t>
      </w:r>
      <w:r>
        <w:rPr>
          <w:rFonts w:ascii="宋体" w:hAnsi="宋体"/>
          <w:sz w:val="21"/>
          <w:szCs w:val="21"/>
          <w:highlight w:val="none"/>
        </w:rPr>
        <w:t>提供的满足现场分部分项施工需要的图纸起算、</w:t>
      </w:r>
      <w:r>
        <w:rPr>
          <w:rFonts w:ascii="宋体" w:hAnsi="宋体"/>
          <w:color w:val="FF0000"/>
          <w:sz w:val="21"/>
          <w:szCs w:val="21"/>
          <w:highlight w:val="none"/>
        </w:rPr>
        <w:t>其中实体样板间、展示区需要提前进行预埋的，需要无条件进场配合施工</w:t>
      </w:r>
      <w:r>
        <w:rPr>
          <w:rFonts w:hint="eastAsia" w:ascii="宋体" w:hAnsi="宋体"/>
          <w:color w:val="FF0000"/>
          <w:sz w:val="21"/>
          <w:szCs w:val="21"/>
          <w:highlight w:val="none"/>
          <w:lang w:eastAsia="zh-CN"/>
        </w:rPr>
        <w:t>。</w:t>
      </w:r>
      <w:r>
        <w:rPr>
          <w:rFonts w:hint="eastAsia" w:ascii="宋体" w:hAnsi="宋体"/>
          <w:color w:val="FF0000"/>
          <w:sz w:val="21"/>
          <w:szCs w:val="21"/>
          <w:highlight w:val="none"/>
          <w:lang w:val="en-US" w:eastAsia="zh-CN"/>
        </w:rPr>
        <w:t>项目分批竣工验收备案时，在竣工验收备案前，需要提前配合完成</w:t>
      </w:r>
      <w:bookmarkStart w:id="0" w:name="_GoBack"/>
      <w:bookmarkEnd w:id="0"/>
      <w:r>
        <w:rPr>
          <w:rFonts w:hint="eastAsia" w:ascii="宋体" w:hAnsi="宋体"/>
          <w:color w:val="FF0000"/>
          <w:sz w:val="21"/>
          <w:szCs w:val="21"/>
          <w:highlight w:val="none"/>
          <w:lang w:val="en-US" w:eastAsia="zh-CN"/>
        </w:rPr>
        <w:t>所有低压部分施工，并接通临时用电（包含临时电缆敷设），配合精装、公共区照明、应急照明、消防、电梯、智能化等各专业工程的调试、验收，并配合完成所有竣工验收备案所需的一切内容。</w:t>
      </w:r>
      <w:r>
        <w:rPr>
          <w:rFonts w:ascii="宋体" w:hAnsi="宋体"/>
          <w:color w:val="FF0000"/>
          <w:sz w:val="21"/>
          <w:szCs w:val="21"/>
          <w:highlight w:val="none"/>
        </w:rPr>
        <w:t>）</w:t>
      </w:r>
    </w:p>
    <w:p>
      <w:pPr>
        <w:pStyle w:val="15"/>
        <w:tabs>
          <w:tab w:val="left" w:pos="567"/>
          <w:tab w:val="left" w:pos="709"/>
        </w:tabs>
        <w:spacing w:before="120" w:beforeLines="50" w:line="360" w:lineRule="auto"/>
        <w:ind w:left="660" w:firstLine="0" w:firstLineChars="0"/>
        <w:rPr>
          <w:rFonts w:ascii="宋体" w:hAnsi="宋体" w:cs="Arial"/>
          <w:sz w:val="22"/>
          <w:szCs w:val="22"/>
          <w:highlight w:val="none"/>
        </w:rPr>
      </w:pPr>
    </w:p>
    <w:p>
      <w:pPr>
        <w:pStyle w:val="15"/>
        <w:numPr>
          <w:ilvl w:val="0"/>
          <w:numId w:val="1"/>
        </w:numPr>
        <w:tabs>
          <w:tab w:val="left" w:pos="425"/>
          <w:tab w:val="left" w:pos="709"/>
        </w:tabs>
        <w:spacing w:before="120" w:beforeLines="50" w:line="360" w:lineRule="auto"/>
        <w:ind w:left="663" w:hanging="663" w:hangingChars="300"/>
        <w:rPr>
          <w:rFonts w:ascii="宋体" w:hAnsi="宋体" w:cs="Arial"/>
          <w:b/>
          <w:sz w:val="22"/>
          <w:szCs w:val="22"/>
          <w:highlight w:val="none"/>
        </w:rPr>
      </w:pPr>
      <w:r>
        <w:rPr>
          <w:rFonts w:hint="eastAsia" w:ascii="宋体" w:hAnsi="宋体" w:cs="Arial"/>
          <w:b/>
          <w:sz w:val="22"/>
          <w:szCs w:val="22"/>
          <w:highlight w:val="none"/>
        </w:rPr>
        <w:t>材料</w:t>
      </w:r>
      <w:r>
        <w:rPr>
          <w:rFonts w:ascii="宋体" w:hAnsi="宋体" w:cs="Arial"/>
          <w:b/>
          <w:sz w:val="22"/>
          <w:szCs w:val="22"/>
          <w:highlight w:val="none"/>
        </w:rPr>
        <w:t>供应方式</w:t>
      </w:r>
    </w:p>
    <w:p>
      <w:pPr>
        <w:pStyle w:val="15"/>
        <w:tabs>
          <w:tab w:val="left" w:pos="709"/>
        </w:tabs>
        <w:spacing w:before="120" w:beforeLines="50" w:line="360" w:lineRule="auto"/>
        <w:ind w:left="663" w:firstLine="0" w:firstLineChars="0"/>
        <w:rPr>
          <w:rFonts w:ascii="宋体" w:hAnsi="宋体" w:cs="Arial"/>
          <w:szCs w:val="21"/>
          <w:highlight w:val="none"/>
        </w:rPr>
      </w:pPr>
      <w:r>
        <w:rPr>
          <w:rFonts w:hint="eastAsia" w:ascii="宋体" w:hAnsi="宋体" w:cs="Arial"/>
          <w:szCs w:val="21"/>
          <w:highlight w:val="none"/>
        </w:rPr>
        <w:t>关于甲供</w:t>
      </w:r>
      <w:r>
        <w:rPr>
          <w:rFonts w:ascii="宋体" w:hAnsi="宋体" w:cs="Arial"/>
          <w:szCs w:val="21"/>
          <w:highlight w:val="none"/>
        </w:rPr>
        <w:t>、甲指乙供、乙供等供货方式的约定详见清单说明。</w:t>
      </w:r>
    </w:p>
    <w:p>
      <w:pPr>
        <w:pStyle w:val="15"/>
        <w:numPr>
          <w:ilvl w:val="0"/>
          <w:numId w:val="4"/>
        </w:numPr>
        <w:spacing w:before="120" w:beforeLines="50" w:line="360" w:lineRule="auto"/>
        <w:ind w:firstLineChars="0"/>
        <w:rPr>
          <w:rFonts w:ascii="宋体" w:hAnsi="宋体" w:cs="Arial"/>
          <w:color w:val="000000" w:themeColor="text1"/>
          <w:szCs w:val="21"/>
          <w:highlight w:val="none"/>
        </w:rPr>
      </w:pPr>
      <w:r>
        <w:rPr>
          <w:rFonts w:ascii="宋体" w:hAnsi="宋体" w:cs="Arial"/>
          <w:color w:val="000000" w:themeColor="text1"/>
          <w:szCs w:val="21"/>
          <w:highlight w:val="none"/>
        </w:rPr>
        <w:t>发包人有权根据现场实际情况，对材料供应方式、施工承包范围的划分做出相应调整；对此承包人不得以任何理由向发包人提出相关费用、工期的索赔。</w:t>
      </w:r>
    </w:p>
    <w:p>
      <w:pPr>
        <w:pStyle w:val="15"/>
        <w:numPr>
          <w:ilvl w:val="0"/>
          <w:numId w:val="4"/>
        </w:numPr>
        <w:spacing w:before="120" w:beforeLines="50" w:line="360" w:lineRule="auto"/>
        <w:ind w:firstLineChars="0"/>
        <w:rPr>
          <w:rFonts w:ascii="宋体" w:hAnsi="宋体" w:cs="Arial"/>
          <w:color w:val="000000" w:themeColor="text1"/>
          <w:szCs w:val="21"/>
          <w:highlight w:val="none"/>
        </w:rPr>
      </w:pPr>
      <w:r>
        <w:rPr>
          <w:rFonts w:hint="eastAsia" w:ascii="宋体" w:hAnsi="宋体" w:cs="Arial"/>
          <w:color w:val="000000" w:themeColor="text1"/>
          <w:szCs w:val="21"/>
          <w:highlight w:val="none"/>
        </w:rPr>
        <w:t>发包人指定了品牌、款式、规格、型号及材质等的材料，承包人不得随意变更材料的品牌、款式、规格、型号及材质等，如擅自更换，发包人有权要求立即撤换，由此造成的工期延误及经济损失概由承包人承担</w:t>
      </w:r>
      <w:r>
        <w:rPr>
          <w:rFonts w:hint="eastAsia" w:ascii="宋体" w:hAnsi="宋体" w:cs="Arial"/>
          <w:color w:val="000000" w:themeColor="text1"/>
          <w:szCs w:val="21"/>
          <w:highlight w:val="none"/>
          <w:lang w:eastAsia="zh-CN"/>
        </w:rPr>
        <w:t>，</w:t>
      </w:r>
      <w:r>
        <w:rPr>
          <w:rFonts w:hint="eastAsia" w:ascii="宋体" w:hAnsi="宋体" w:cs="Arial"/>
          <w:color w:val="000000" w:themeColor="text1"/>
          <w:szCs w:val="21"/>
          <w:highlight w:val="none"/>
          <w:lang w:val="en-US" w:eastAsia="zh-CN"/>
        </w:rPr>
        <w:t>并处合同金额3%的违约金</w:t>
      </w:r>
      <w:r>
        <w:rPr>
          <w:rFonts w:hint="eastAsia" w:ascii="宋体" w:hAnsi="宋体" w:cs="Arial"/>
          <w:color w:val="000000" w:themeColor="text1"/>
          <w:szCs w:val="21"/>
          <w:highlight w:val="none"/>
        </w:rPr>
        <w:t>。</w:t>
      </w:r>
    </w:p>
    <w:p>
      <w:pPr>
        <w:pStyle w:val="15"/>
        <w:numPr>
          <w:ilvl w:val="0"/>
          <w:numId w:val="4"/>
        </w:numPr>
        <w:spacing w:before="120" w:beforeLines="50" w:line="360" w:lineRule="auto"/>
        <w:ind w:left="845" w:firstLineChars="0"/>
        <w:rPr>
          <w:rFonts w:ascii="宋体" w:hAnsi="宋体" w:cs="Arial"/>
          <w:szCs w:val="21"/>
          <w:highlight w:val="none"/>
        </w:rPr>
      </w:pPr>
      <w:r>
        <w:rPr>
          <w:rFonts w:hint="eastAsia" w:ascii="宋体" w:hAnsi="宋体" w:cs="Arial"/>
          <w:color w:val="000000" w:themeColor="text1"/>
          <w:szCs w:val="21"/>
          <w:highlight w:val="none"/>
        </w:rPr>
        <w:t>发包人有权对承包人已自检合格后的发包人限定的材料设备、承包人自购的材料设备随时进行抽查或送相关权威部门复检，若复检合格，复检费用由发包人承担；若抽查或复检出不合格的，每检查到一次对承包人处以</w:t>
      </w:r>
      <w:r>
        <w:rPr>
          <w:rFonts w:hint="eastAsia" w:ascii="宋体" w:hAnsi="宋体" w:cs="Arial"/>
          <w:color w:val="000000" w:themeColor="text1"/>
          <w:szCs w:val="21"/>
          <w:highlight w:val="none"/>
          <w:lang w:val="en-US" w:eastAsia="zh-CN"/>
        </w:rPr>
        <w:t>10</w:t>
      </w:r>
      <w:r>
        <w:rPr>
          <w:rFonts w:ascii="宋体" w:hAnsi="宋体" w:cs="Arial"/>
          <w:color w:val="000000" w:themeColor="text1"/>
          <w:szCs w:val="21"/>
          <w:highlight w:val="none"/>
        </w:rPr>
        <w:t>000</w:t>
      </w:r>
      <w:r>
        <w:rPr>
          <w:rFonts w:hint="eastAsia" w:ascii="宋体" w:hAnsi="宋体" w:cs="Arial"/>
          <w:color w:val="000000" w:themeColor="text1"/>
          <w:szCs w:val="21"/>
          <w:highlight w:val="none"/>
        </w:rPr>
        <w:t>元/次的罚款,若复检不合格，复检费用由承包人承担, 承包人须立即重新采购该批材料设备,若因材料设备质量问题造成的工程质量和工期损失由承包人全部负责。</w:t>
      </w:r>
    </w:p>
    <w:p>
      <w:pPr>
        <w:pStyle w:val="15"/>
        <w:numPr>
          <w:ilvl w:val="0"/>
          <w:numId w:val="1"/>
        </w:numPr>
        <w:tabs>
          <w:tab w:val="left" w:pos="709"/>
        </w:tabs>
        <w:spacing w:before="120" w:beforeLines="50" w:line="360" w:lineRule="auto"/>
        <w:ind w:left="630" w:hanging="630" w:hangingChars="300"/>
        <w:rPr>
          <w:rFonts w:ascii="宋体" w:hAnsi="宋体" w:cs="Arial"/>
          <w:szCs w:val="21"/>
          <w:highlight w:val="none"/>
        </w:rPr>
      </w:pPr>
      <w:r>
        <w:rPr>
          <w:rFonts w:ascii="宋体" w:hAnsi="宋体" w:cs="Arial"/>
          <w:szCs w:val="21"/>
          <w:highlight w:val="none"/>
        </w:rPr>
        <w:t>本文中所描述的工程范围仅是概括性的，不能视为是完整无缺的。承包人应参阅招标文件中的其他部分，包括但不限于</w:t>
      </w:r>
      <w:r>
        <w:rPr>
          <w:rFonts w:hint="eastAsia" w:ascii="宋体" w:hAnsi="宋体" w:cs="Arial"/>
          <w:szCs w:val="21"/>
          <w:highlight w:val="none"/>
        </w:rPr>
        <w:t>分包合同</w:t>
      </w:r>
      <w:r>
        <w:rPr>
          <w:rFonts w:ascii="宋体" w:hAnsi="宋体" w:cs="Arial"/>
          <w:szCs w:val="21"/>
          <w:highlight w:val="none"/>
        </w:rPr>
        <w:t>协议条款、合同条件、工程规范、工程量清单、图纸等去完全了解工程的实际范围与内容。</w:t>
      </w:r>
    </w:p>
    <w:p>
      <w:pPr>
        <w:pStyle w:val="15"/>
        <w:spacing w:before="120" w:beforeLines="50" w:line="360" w:lineRule="auto"/>
        <w:ind w:left="660" w:hanging="660" w:firstLineChars="0"/>
        <w:rPr>
          <w:rFonts w:ascii="宋体" w:hAnsi="宋体" w:cs="Arial"/>
          <w:color w:val="000000" w:themeColor="text1"/>
          <w:sz w:val="22"/>
          <w:szCs w:val="22"/>
          <w:highlight w:val="none"/>
        </w:rPr>
      </w:pPr>
      <w:r>
        <w:rPr>
          <w:rFonts w:ascii="宋体" w:hAnsi="宋体" w:cs="Arial"/>
          <w:color w:val="000000" w:themeColor="text1"/>
          <w:sz w:val="22"/>
          <w:szCs w:val="22"/>
          <w:highlight w:val="none"/>
        </w:rPr>
        <w:t>（以下无正文）</w:t>
      </w:r>
    </w:p>
    <w:sectPr>
      <w:headerReference r:id="rId3" w:type="default"/>
      <w:footerReference r:id="rId4" w:type="default"/>
      <w:pgSz w:w="11906" w:h="16838"/>
      <w:pgMar w:top="1440" w:right="1797" w:bottom="1440" w:left="1797" w:header="851"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B/6/</w:t>
    </w:r>
    <w:sdt>
      <w:sdtPr>
        <w:id w:val="6136430"/>
      </w:sdtPr>
      <w:sdtContent>
        <w:r>
          <w:fldChar w:fldCharType="begin"/>
        </w:r>
        <w:r>
          <w:instrText xml:space="preserve"> PAGE   \* MERGEFORMAT </w:instrText>
        </w:r>
        <w:r>
          <w:fldChar w:fldCharType="separate"/>
        </w:r>
        <w:r>
          <w:rPr>
            <w:lang w:val="zh-CN"/>
          </w:rPr>
          <w:t>4</w:t>
        </w:r>
        <w:r>
          <w:fldChar w:fldCharType="end"/>
        </w:r>
      </w:sdtContent>
    </w:sdt>
  </w:p>
  <w:p>
    <w:pPr>
      <w:pStyle w:val="7"/>
      <w:spacing w:before="120"/>
      <w:ind w:firstLine="630"/>
      <w:jc w:val="center"/>
      <w:rPr>
        <w:rFonts w:ascii="Arial" w:hAnsi="Arial" w:cs="Arial"/>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931"/>
        <w:tab w:val="clear" w:pos="8306"/>
      </w:tabs>
      <w:jc w:val="right"/>
      <w:rPr>
        <w:rFonts w:ascii="Arial" w:hAnsi="Arial" w:cs="Arial"/>
      </w:rPr>
    </w:pPr>
    <w:r>
      <w:rPr>
        <w:rFonts w:ascii="宋体" w:hAnsi="宋体"/>
        <w:color w:val="0000FF"/>
        <w:sz w:val="20"/>
      </w:rPr>
      <w:t xml:space="preserve">     </w:t>
    </w:r>
    <w:r>
      <w:rPr>
        <w:rFonts w:hint="eastAsia" w:ascii="宋体" w:hAnsi="宋体"/>
        <w:color w:val="0000FF"/>
        <w:sz w:val="20"/>
      </w:rPr>
      <w:t xml:space="preserve">  </w:t>
    </w:r>
    <w:r>
      <w:rPr>
        <w:rFonts w:hint="eastAsia" w:ascii="宋体" w:hAnsi="宋体"/>
        <w:sz w:val="20"/>
      </w:rPr>
      <w:t xml:space="preserve">  </w:t>
    </w:r>
    <w:r>
      <w:rPr>
        <w:rFonts w:hint="eastAsia"/>
        <w:sz w:val="20"/>
      </w:rPr>
      <w:t xml:space="preserve">                                               </w:t>
    </w:r>
    <w:r>
      <w:rPr>
        <w:rFonts w:hint="eastAsia" w:ascii="Arial" w:hAnsi="宋体" w:cs="Arial"/>
        <w:sz w:val="20"/>
      </w:rPr>
      <w:t>承包范围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3E0644"/>
    <w:multiLevelType w:val="multilevel"/>
    <w:tmpl w:val="FA3E064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1EC51E5C"/>
    <w:multiLevelType w:val="multilevel"/>
    <w:tmpl w:val="1EC51E5C"/>
    <w:lvl w:ilvl="0" w:tentative="0">
      <w:start w:val="1"/>
      <w:numFmt w:val="decimal"/>
      <w:lvlText w:val="%1)"/>
      <w:lvlJc w:val="left"/>
      <w:pPr>
        <w:ind w:left="846" w:hanging="420"/>
      </w:pPr>
      <w:rPr>
        <w:rFonts w:hint="default" w:ascii="Arial" w:hAnsi="Arial" w:cs="Arial"/>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5110D37"/>
    <w:multiLevelType w:val="multilevel"/>
    <w:tmpl w:val="35110D37"/>
    <w:lvl w:ilvl="0" w:tentative="0">
      <w:start w:val="1"/>
      <w:numFmt w:val="decimal"/>
      <w:lvlText w:val="%1."/>
      <w:lvlJc w:val="left"/>
      <w:pPr>
        <w:tabs>
          <w:tab w:val="left" w:pos="567"/>
        </w:tabs>
        <w:ind w:left="742" w:hanging="600"/>
      </w:pPr>
      <w:rPr>
        <w:rFonts w:hint="default" w:ascii="Arial" w:hAnsi="Arial" w:eastAsia="宋体" w:cs="Arial"/>
        <w:b/>
        <w:i w:val="0"/>
        <w:sz w:val="22"/>
        <w:szCs w:val="22"/>
      </w:rPr>
    </w:lvl>
    <w:lvl w:ilvl="1" w:tentative="0">
      <w:start w:val="1"/>
      <w:numFmt w:val="decimalZero"/>
      <w:lvlText w:val="%1.%2"/>
      <w:lvlJc w:val="left"/>
      <w:pPr>
        <w:tabs>
          <w:tab w:val="left" w:pos="425"/>
        </w:tabs>
        <w:ind w:left="600" w:hanging="600"/>
      </w:pPr>
      <w:rPr>
        <w:rFonts w:hint="default" w:ascii="Arial" w:hAnsi="Arial" w:eastAsia="宋体" w:cs="Arial"/>
        <w:b w:val="0"/>
        <w:i w:val="0"/>
        <w:spacing w:val="0"/>
        <w:sz w:val="22"/>
        <w:szCs w:val="22"/>
        <w:u w:val="none"/>
      </w:rPr>
    </w:lvl>
    <w:lvl w:ilvl="2" w:tentative="0">
      <w:start w:val="1"/>
      <w:numFmt w:val="decimalZero"/>
      <w:lvlText w:val="%1.%2.%3"/>
      <w:lvlJc w:val="left"/>
      <w:pPr>
        <w:tabs>
          <w:tab w:val="left" w:pos="425"/>
        </w:tabs>
        <w:ind w:left="600" w:hanging="600"/>
      </w:pPr>
      <w:rPr>
        <w:rFonts w:hint="eastAsia" w:eastAsia="宋体"/>
        <w:b w:val="0"/>
        <w:i w:val="0"/>
        <w:sz w:val="24"/>
        <w:u w:val="none"/>
      </w:rPr>
    </w:lvl>
    <w:lvl w:ilvl="3" w:tentative="0">
      <w:start w:val="1"/>
      <w:numFmt w:val="decimalZero"/>
      <w:lvlText w:val="%1.%2.%3.%4"/>
      <w:lvlJc w:val="left"/>
      <w:pPr>
        <w:tabs>
          <w:tab w:val="left" w:pos="425"/>
        </w:tabs>
        <w:ind w:left="600" w:hanging="600"/>
      </w:pPr>
      <w:rPr>
        <w:rFonts w:hint="eastAsia"/>
        <w:u w:val="none"/>
      </w:rPr>
    </w:lvl>
    <w:lvl w:ilvl="4" w:tentative="0">
      <w:start w:val="1"/>
      <w:numFmt w:val="decimal"/>
      <w:lvlText w:val="%1.%2.%3.%4.%5"/>
      <w:lvlJc w:val="left"/>
      <w:pPr>
        <w:tabs>
          <w:tab w:val="left" w:pos="425"/>
        </w:tabs>
        <w:ind w:left="600" w:hanging="600"/>
      </w:pPr>
      <w:rPr>
        <w:rFonts w:hint="eastAsia"/>
        <w:u w:val="none"/>
      </w:rPr>
    </w:lvl>
    <w:lvl w:ilvl="5" w:tentative="0">
      <w:start w:val="1"/>
      <w:numFmt w:val="decimal"/>
      <w:lvlText w:val="%1.%2.%3.%4.%5.%6"/>
      <w:lvlJc w:val="left"/>
      <w:pPr>
        <w:tabs>
          <w:tab w:val="left" w:pos="425"/>
        </w:tabs>
        <w:ind w:left="600" w:hanging="600"/>
      </w:pPr>
      <w:rPr>
        <w:rFonts w:hint="eastAsia"/>
        <w:u w:val="none"/>
      </w:rPr>
    </w:lvl>
    <w:lvl w:ilvl="6" w:tentative="0">
      <w:start w:val="1"/>
      <w:numFmt w:val="decimal"/>
      <w:lvlText w:val="%1.%2.%3.%4.%5.%6.%7"/>
      <w:lvlJc w:val="left"/>
      <w:pPr>
        <w:tabs>
          <w:tab w:val="left" w:pos="425"/>
        </w:tabs>
        <w:ind w:left="600" w:hanging="600"/>
      </w:pPr>
      <w:rPr>
        <w:rFonts w:hint="eastAsia"/>
        <w:u w:val="none"/>
      </w:rPr>
    </w:lvl>
    <w:lvl w:ilvl="7" w:tentative="0">
      <w:start w:val="1"/>
      <w:numFmt w:val="decimal"/>
      <w:lvlText w:val="%1.%2.%3.%4.%5.%6.%7.%8"/>
      <w:lvlJc w:val="left"/>
      <w:pPr>
        <w:tabs>
          <w:tab w:val="left" w:pos="425"/>
        </w:tabs>
        <w:ind w:left="600" w:hanging="600"/>
      </w:pPr>
      <w:rPr>
        <w:rFonts w:hint="eastAsia"/>
        <w:u w:val="none"/>
      </w:rPr>
    </w:lvl>
    <w:lvl w:ilvl="8" w:tentative="0">
      <w:start w:val="1"/>
      <w:numFmt w:val="decimal"/>
      <w:lvlText w:val="%1.%2.%3.%4.%5.%6.%7.%8.%9"/>
      <w:lvlJc w:val="left"/>
      <w:pPr>
        <w:tabs>
          <w:tab w:val="left" w:pos="425"/>
        </w:tabs>
        <w:ind w:left="600" w:hanging="600"/>
      </w:pPr>
      <w:rPr>
        <w:rFonts w:hint="eastAsia"/>
        <w:u w:val="none"/>
      </w:rPr>
    </w:lvl>
  </w:abstractNum>
  <w:abstractNum w:abstractNumId="3">
    <w:nsid w:val="45E101D9"/>
    <w:multiLevelType w:val="multilevel"/>
    <w:tmpl w:val="45E101D9"/>
    <w:lvl w:ilvl="0" w:tentative="0">
      <w:start w:val="1"/>
      <w:numFmt w:val="decimal"/>
      <w:lvlText w:val="%1."/>
      <w:lvlJc w:val="left"/>
      <w:pPr>
        <w:ind w:left="425" w:hanging="425"/>
      </w:pPr>
      <w:rPr>
        <w:rFonts w:hint="default"/>
      </w:rPr>
    </w:lvl>
    <w:lvl w:ilvl="1" w:tentative="0">
      <w:start w:val="1"/>
      <w:numFmt w:val="decimal"/>
      <w:lvlText w:val="2.%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4"/>
  <w:drawingGridHorizontalSpacing w:val="105"/>
  <w:drawingGridVerticalSpacing w:val="156"/>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NDBiMDRiYzEyMjM4ZGE5MzlhMDM2Yzg5MjJmZjYifQ=="/>
  </w:docVars>
  <w:rsids>
    <w:rsidRoot w:val="001B0076"/>
    <w:rsid w:val="00002E8D"/>
    <w:rsid w:val="0000595E"/>
    <w:rsid w:val="00006036"/>
    <w:rsid w:val="00006E05"/>
    <w:rsid w:val="00017E95"/>
    <w:rsid w:val="00020E4C"/>
    <w:rsid w:val="00025B4A"/>
    <w:rsid w:val="00034B9D"/>
    <w:rsid w:val="00035679"/>
    <w:rsid w:val="0003718A"/>
    <w:rsid w:val="0003777F"/>
    <w:rsid w:val="00037F2C"/>
    <w:rsid w:val="000409C8"/>
    <w:rsid w:val="000425E2"/>
    <w:rsid w:val="0004389B"/>
    <w:rsid w:val="00043DAE"/>
    <w:rsid w:val="00045F1B"/>
    <w:rsid w:val="00051304"/>
    <w:rsid w:val="000655DE"/>
    <w:rsid w:val="000662FE"/>
    <w:rsid w:val="000670DF"/>
    <w:rsid w:val="00077084"/>
    <w:rsid w:val="000779D0"/>
    <w:rsid w:val="00080A97"/>
    <w:rsid w:val="00083389"/>
    <w:rsid w:val="00091407"/>
    <w:rsid w:val="000934F9"/>
    <w:rsid w:val="000A2247"/>
    <w:rsid w:val="000A4B26"/>
    <w:rsid w:val="000A4D75"/>
    <w:rsid w:val="000A767E"/>
    <w:rsid w:val="000B15C4"/>
    <w:rsid w:val="000B385C"/>
    <w:rsid w:val="000B6E65"/>
    <w:rsid w:val="000C3105"/>
    <w:rsid w:val="000D20F2"/>
    <w:rsid w:val="000D43EF"/>
    <w:rsid w:val="000D6AE5"/>
    <w:rsid w:val="000E0FFC"/>
    <w:rsid w:val="000E5942"/>
    <w:rsid w:val="000E5ADE"/>
    <w:rsid w:val="000E5DF2"/>
    <w:rsid w:val="000E6212"/>
    <w:rsid w:val="000E6C47"/>
    <w:rsid w:val="000F11C0"/>
    <w:rsid w:val="000F158C"/>
    <w:rsid w:val="000F2112"/>
    <w:rsid w:val="000F488C"/>
    <w:rsid w:val="00102C56"/>
    <w:rsid w:val="001034E3"/>
    <w:rsid w:val="00104690"/>
    <w:rsid w:val="00112AFD"/>
    <w:rsid w:val="00112FB5"/>
    <w:rsid w:val="00113F4F"/>
    <w:rsid w:val="001149EC"/>
    <w:rsid w:val="00115824"/>
    <w:rsid w:val="00117399"/>
    <w:rsid w:val="00120316"/>
    <w:rsid w:val="0012536E"/>
    <w:rsid w:val="00126130"/>
    <w:rsid w:val="00126BF6"/>
    <w:rsid w:val="0013054D"/>
    <w:rsid w:val="0013140B"/>
    <w:rsid w:val="00132521"/>
    <w:rsid w:val="001356ED"/>
    <w:rsid w:val="00135972"/>
    <w:rsid w:val="0013621F"/>
    <w:rsid w:val="0013643A"/>
    <w:rsid w:val="00146D6A"/>
    <w:rsid w:val="00153732"/>
    <w:rsid w:val="00154763"/>
    <w:rsid w:val="00154F8D"/>
    <w:rsid w:val="00160A55"/>
    <w:rsid w:val="001638F2"/>
    <w:rsid w:val="001668BF"/>
    <w:rsid w:val="00166EBD"/>
    <w:rsid w:val="00171623"/>
    <w:rsid w:val="001736B4"/>
    <w:rsid w:val="0017376B"/>
    <w:rsid w:val="00173DB4"/>
    <w:rsid w:val="00174176"/>
    <w:rsid w:val="001811C7"/>
    <w:rsid w:val="001821AB"/>
    <w:rsid w:val="0018567D"/>
    <w:rsid w:val="001865F4"/>
    <w:rsid w:val="00186654"/>
    <w:rsid w:val="0019082E"/>
    <w:rsid w:val="0019202F"/>
    <w:rsid w:val="00192431"/>
    <w:rsid w:val="001934C1"/>
    <w:rsid w:val="00194C72"/>
    <w:rsid w:val="001958C8"/>
    <w:rsid w:val="001A5FAE"/>
    <w:rsid w:val="001B0076"/>
    <w:rsid w:val="001B1889"/>
    <w:rsid w:val="001B2119"/>
    <w:rsid w:val="001B37EF"/>
    <w:rsid w:val="001B7216"/>
    <w:rsid w:val="001B7D03"/>
    <w:rsid w:val="001C0828"/>
    <w:rsid w:val="001C54B6"/>
    <w:rsid w:val="001D4C53"/>
    <w:rsid w:val="001F69F8"/>
    <w:rsid w:val="00201E21"/>
    <w:rsid w:val="00211EA4"/>
    <w:rsid w:val="002134AA"/>
    <w:rsid w:val="00221840"/>
    <w:rsid w:val="00222E7A"/>
    <w:rsid w:val="002235B8"/>
    <w:rsid w:val="00225C87"/>
    <w:rsid w:val="00226CE5"/>
    <w:rsid w:val="00232696"/>
    <w:rsid w:val="00233DD7"/>
    <w:rsid w:val="00234597"/>
    <w:rsid w:val="00234C20"/>
    <w:rsid w:val="00243088"/>
    <w:rsid w:val="002450D8"/>
    <w:rsid w:val="00245840"/>
    <w:rsid w:val="00247480"/>
    <w:rsid w:val="002547C9"/>
    <w:rsid w:val="00260608"/>
    <w:rsid w:val="00262B2D"/>
    <w:rsid w:val="00274336"/>
    <w:rsid w:val="002751BB"/>
    <w:rsid w:val="002812BF"/>
    <w:rsid w:val="002876B5"/>
    <w:rsid w:val="00287BEF"/>
    <w:rsid w:val="002903DA"/>
    <w:rsid w:val="002929A9"/>
    <w:rsid w:val="002930B2"/>
    <w:rsid w:val="002967F9"/>
    <w:rsid w:val="002A6BB9"/>
    <w:rsid w:val="002A7187"/>
    <w:rsid w:val="002B23C6"/>
    <w:rsid w:val="002B4C1F"/>
    <w:rsid w:val="002B4ECE"/>
    <w:rsid w:val="002B4FF4"/>
    <w:rsid w:val="002B5856"/>
    <w:rsid w:val="002B74A9"/>
    <w:rsid w:val="002C1364"/>
    <w:rsid w:val="002C4C7E"/>
    <w:rsid w:val="002C53DB"/>
    <w:rsid w:val="002C6550"/>
    <w:rsid w:val="002D13E0"/>
    <w:rsid w:val="002D158F"/>
    <w:rsid w:val="002D6FA1"/>
    <w:rsid w:val="002D72E5"/>
    <w:rsid w:val="002E5E96"/>
    <w:rsid w:val="002E612B"/>
    <w:rsid w:val="002F1F22"/>
    <w:rsid w:val="002F3E22"/>
    <w:rsid w:val="002F6478"/>
    <w:rsid w:val="002F65B7"/>
    <w:rsid w:val="002F7DFC"/>
    <w:rsid w:val="003021A9"/>
    <w:rsid w:val="00302544"/>
    <w:rsid w:val="003070D4"/>
    <w:rsid w:val="0031011D"/>
    <w:rsid w:val="00310150"/>
    <w:rsid w:val="003121C2"/>
    <w:rsid w:val="00312710"/>
    <w:rsid w:val="00322C13"/>
    <w:rsid w:val="00322FF0"/>
    <w:rsid w:val="00337F8B"/>
    <w:rsid w:val="00345541"/>
    <w:rsid w:val="0034677F"/>
    <w:rsid w:val="00351C9D"/>
    <w:rsid w:val="0035283A"/>
    <w:rsid w:val="00360B09"/>
    <w:rsid w:val="00361FC2"/>
    <w:rsid w:val="00363C47"/>
    <w:rsid w:val="00366BA0"/>
    <w:rsid w:val="00371FA5"/>
    <w:rsid w:val="0037449B"/>
    <w:rsid w:val="003746B5"/>
    <w:rsid w:val="00376C48"/>
    <w:rsid w:val="003869B1"/>
    <w:rsid w:val="003A219B"/>
    <w:rsid w:val="003A5CEA"/>
    <w:rsid w:val="003B0CDD"/>
    <w:rsid w:val="003B5E19"/>
    <w:rsid w:val="003C2F33"/>
    <w:rsid w:val="003C4494"/>
    <w:rsid w:val="003D192F"/>
    <w:rsid w:val="003D1BF4"/>
    <w:rsid w:val="003D3181"/>
    <w:rsid w:val="003E3180"/>
    <w:rsid w:val="003E5A7C"/>
    <w:rsid w:val="003E626A"/>
    <w:rsid w:val="003E64AF"/>
    <w:rsid w:val="003E7235"/>
    <w:rsid w:val="00400DF8"/>
    <w:rsid w:val="0041209C"/>
    <w:rsid w:val="00412260"/>
    <w:rsid w:val="004133A3"/>
    <w:rsid w:val="00416756"/>
    <w:rsid w:val="00424865"/>
    <w:rsid w:val="0043062C"/>
    <w:rsid w:val="004316E8"/>
    <w:rsid w:val="00434723"/>
    <w:rsid w:val="004358AB"/>
    <w:rsid w:val="00440559"/>
    <w:rsid w:val="00441067"/>
    <w:rsid w:val="0044270B"/>
    <w:rsid w:val="00443884"/>
    <w:rsid w:val="004469B8"/>
    <w:rsid w:val="0045101B"/>
    <w:rsid w:val="004512A2"/>
    <w:rsid w:val="00453442"/>
    <w:rsid w:val="00461F9C"/>
    <w:rsid w:val="00464443"/>
    <w:rsid w:val="0046636E"/>
    <w:rsid w:val="00474C78"/>
    <w:rsid w:val="00477191"/>
    <w:rsid w:val="0048047F"/>
    <w:rsid w:val="00481448"/>
    <w:rsid w:val="0048339E"/>
    <w:rsid w:val="004917AF"/>
    <w:rsid w:val="00495326"/>
    <w:rsid w:val="00495507"/>
    <w:rsid w:val="0049699F"/>
    <w:rsid w:val="004A2019"/>
    <w:rsid w:val="004A4DB6"/>
    <w:rsid w:val="004A5027"/>
    <w:rsid w:val="004A5637"/>
    <w:rsid w:val="004A6654"/>
    <w:rsid w:val="004B1F88"/>
    <w:rsid w:val="004B3581"/>
    <w:rsid w:val="004B44C1"/>
    <w:rsid w:val="004B5674"/>
    <w:rsid w:val="004C0568"/>
    <w:rsid w:val="004C1014"/>
    <w:rsid w:val="004C7907"/>
    <w:rsid w:val="004C7D5D"/>
    <w:rsid w:val="004D2463"/>
    <w:rsid w:val="004D25EB"/>
    <w:rsid w:val="004D40A1"/>
    <w:rsid w:val="004D40E9"/>
    <w:rsid w:val="004D5D35"/>
    <w:rsid w:val="004E1B89"/>
    <w:rsid w:val="004E3093"/>
    <w:rsid w:val="004E384A"/>
    <w:rsid w:val="004E3BEA"/>
    <w:rsid w:val="004E6496"/>
    <w:rsid w:val="004E75AB"/>
    <w:rsid w:val="004F3B70"/>
    <w:rsid w:val="004F63F9"/>
    <w:rsid w:val="005014EF"/>
    <w:rsid w:val="00503CE8"/>
    <w:rsid w:val="00505D27"/>
    <w:rsid w:val="00507AFD"/>
    <w:rsid w:val="00515302"/>
    <w:rsid w:val="00523D16"/>
    <w:rsid w:val="00526E7F"/>
    <w:rsid w:val="00527494"/>
    <w:rsid w:val="00533A5F"/>
    <w:rsid w:val="00542485"/>
    <w:rsid w:val="0054415B"/>
    <w:rsid w:val="00546A6B"/>
    <w:rsid w:val="00551D2A"/>
    <w:rsid w:val="005535F9"/>
    <w:rsid w:val="00560497"/>
    <w:rsid w:val="005613CD"/>
    <w:rsid w:val="00561BB3"/>
    <w:rsid w:val="005652C5"/>
    <w:rsid w:val="00570935"/>
    <w:rsid w:val="00571675"/>
    <w:rsid w:val="00574E26"/>
    <w:rsid w:val="00574E91"/>
    <w:rsid w:val="005820C4"/>
    <w:rsid w:val="0058261E"/>
    <w:rsid w:val="0058298A"/>
    <w:rsid w:val="005834CB"/>
    <w:rsid w:val="00591108"/>
    <w:rsid w:val="00595273"/>
    <w:rsid w:val="005959B7"/>
    <w:rsid w:val="005A036A"/>
    <w:rsid w:val="005A3EEE"/>
    <w:rsid w:val="005A4052"/>
    <w:rsid w:val="005B16AD"/>
    <w:rsid w:val="005B5960"/>
    <w:rsid w:val="005B6DFC"/>
    <w:rsid w:val="005C0073"/>
    <w:rsid w:val="005C14C4"/>
    <w:rsid w:val="005C285C"/>
    <w:rsid w:val="005C37D9"/>
    <w:rsid w:val="005C3C00"/>
    <w:rsid w:val="005C64F9"/>
    <w:rsid w:val="005D3B53"/>
    <w:rsid w:val="005D4F7B"/>
    <w:rsid w:val="005D7326"/>
    <w:rsid w:val="005D7743"/>
    <w:rsid w:val="005E16DF"/>
    <w:rsid w:val="005E2117"/>
    <w:rsid w:val="005E43B3"/>
    <w:rsid w:val="005E5497"/>
    <w:rsid w:val="005E750D"/>
    <w:rsid w:val="005F00EC"/>
    <w:rsid w:val="005F3784"/>
    <w:rsid w:val="005F4C5E"/>
    <w:rsid w:val="005F5146"/>
    <w:rsid w:val="005F7BDC"/>
    <w:rsid w:val="006017B7"/>
    <w:rsid w:val="00603AA2"/>
    <w:rsid w:val="00603B3E"/>
    <w:rsid w:val="00604C93"/>
    <w:rsid w:val="006145C0"/>
    <w:rsid w:val="00622AC6"/>
    <w:rsid w:val="006321FC"/>
    <w:rsid w:val="00632749"/>
    <w:rsid w:val="00642562"/>
    <w:rsid w:val="00645F67"/>
    <w:rsid w:val="00646699"/>
    <w:rsid w:val="00653ED8"/>
    <w:rsid w:val="00656A40"/>
    <w:rsid w:val="00656BF0"/>
    <w:rsid w:val="00660469"/>
    <w:rsid w:val="00666DA1"/>
    <w:rsid w:val="0066786B"/>
    <w:rsid w:val="00670153"/>
    <w:rsid w:val="006721DC"/>
    <w:rsid w:val="00673229"/>
    <w:rsid w:val="0068063D"/>
    <w:rsid w:val="00681263"/>
    <w:rsid w:val="00686191"/>
    <w:rsid w:val="00686C91"/>
    <w:rsid w:val="006A2114"/>
    <w:rsid w:val="006B14B6"/>
    <w:rsid w:val="006B1718"/>
    <w:rsid w:val="006B35E4"/>
    <w:rsid w:val="006B46B6"/>
    <w:rsid w:val="006C08A2"/>
    <w:rsid w:val="006C67F2"/>
    <w:rsid w:val="006C75FE"/>
    <w:rsid w:val="006D1FCE"/>
    <w:rsid w:val="006F1AD5"/>
    <w:rsid w:val="006F1C24"/>
    <w:rsid w:val="006F63F3"/>
    <w:rsid w:val="00701000"/>
    <w:rsid w:val="00703014"/>
    <w:rsid w:val="0070448C"/>
    <w:rsid w:val="0070535B"/>
    <w:rsid w:val="00712CEE"/>
    <w:rsid w:val="00723340"/>
    <w:rsid w:val="00724AEF"/>
    <w:rsid w:val="00727F73"/>
    <w:rsid w:val="007354EB"/>
    <w:rsid w:val="00735933"/>
    <w:rsid w:val="007402F9"/>
    <w:rsid w:val="007416EE"/>
    <w:rsid w:val="00744612"/>
    <w:rsid w:val="0075030A"/>
    <w:rsid w:val="00751F1E"/>
    <w:rsid w:val="007627C2"/>
    <w:rsid w:val="00764EFF"/>
    <w:rsid w:val="007728C7"/>
    <w:rsid w:val="007827D2"/>
    <w:rsid w:val="0078570D"/>
    <w:rsid w:val="00785E65"/>
    <w:rsid w:val="00790017"/>
    <w:rsid w:val="00790C2F"/>
    <w:rsid w:val="00791B27"/>
    <w:rsid w:val="007970EF"/>
    <w:rsid w:val="00797BF1"/>
    <w:rsid w:val="007A38C5"/>
    <w:rsid w:val="007A7757"/>
    <w:rsid w:val="007B1AB2"/>
    <w:rsid w:val="007B4657"/>
    <w:rsid w:val="007B4750"/>
    <w:rsid w:val="007C669F"/>
    <w:rsid w:val="007C73D9"/>
    <w:rsid w:val="007D2199"/>
    <w:rsid w:val="007D34ED"/>
    <w:rsid w:val="007E199D"/>
    <w:rsid w:val="007F2B00"/>
    <w:rsid w:val="007F2D55"/>
    <w:rsid w:val="007F2E4A"/>
    <w:rsid w:val="00800448"/>
    <w:rsid w:val="0080136D"/>
    <w:rsid w:val="008020DC"/>
    <w:rsid w:val="008020FC"/>
    <w:rsid w:val="00813C19"/>
    <w:rsid w:val="00817DFB"/>
    <w:rsid w:val="00817EC7"/>
    <w:rsid w:val="00822492"/>
    <w:rsid w:val="00823447"/>
    <w:rsid w:val="008352B7"/>
    <w:rsid w:val="008352E4"/>
    <w:rsid w:val="00841ED1"/>
    <w:rsid w:val="00842A65"/>
    <w:rsid w:val="00850FA9"/>
    <w:rsid w:val="008543D2"/>
    <w:rsid w:val="008556AA"/>
    <w:rsid w:val="008560A9"/>
    <w:rsid w:val="00871D3A"/>
    <w:rsid w:val="00872C6D"/>
    <w:rsid w:val="00875B32"/>
    <w:rsid w:val="0087765B"/>
    <w:rsid w:val="00880DEA"/>
    <w:rsid w:val="00882BEE"/>
    <w:rsid w:val="00882E23"/>
    <w:rsid w:val="00882ED5"/>
    <w:rsid w:val="00883F82"/>
    <w:rsid w:val="00884FB5"/>
    <w:rsid w:val="00886326"/>
    <w:rsid w:val="00887DC1"/>
    <w:rsid w:val="00891F08"/>
    <w:rsid w:val="00892AA8"/>
    <w:rsid w:val="008938E7"/>
    <w:rsid w:val="00895082"/>
    <w:rsid w:val="0089601D"/>
    <w:rsid w:val="00896A1D"/>
    <w:rsid w:val="008A0547"/>
    <w:rsid w:val="008A2D02"/>
    <w:rsid w:val="008A5E71"/>
    <w:rsid w:val="008A6276"/>
    <w:rsid w:val="008A7BEE"/>
    <w:rsid w:val="008B05E0"/>
    <w:rsid w:val="008B0C2F"/>
    <w:rsid w:val="008B2C01"/>
    <w:rsid w:val="008B502C"/>
    <w:rsid w:val="008B7395"/>
    <w:rsid w:val="008B74B9"/>
    <w:rsid w:val="008C2659"/>
    <w:rsid w:val="008C511E"/>
    <w:rsid w:val="008C57E1"/>
    <w:rsid w:val="008C5C49"/>
    <w:rsid w:val="008D22AE"/>
    <w:rsid w:val="008D3F64"/>
    <w:rsid w:val="008D53DC"/>
    <w:rsid w:val="008E191B"/>
    <w:rsid w:val="008E1C54"/>
    <w:rsid w:val="008E41CE"/>
    <w:rsid w:val="008E4387"/>
    <w:rsid w:val="008F5A3E"/>
    <w:rsid w:val="00900CD8"/>
    <w:rsid w:val="00901BEA"/>
    <w:rsid w:val="0090591D"/>
    <w:rsid w:val="0090785A"/>
    <w:rsid w:val="009136F5"/>
    <w:rsid w:val="0091493B"/>
    <w:rsid w:val="00921DF7"/>
    <w:rsid w:val="0092597C"/>
    <w:rsid w:val="009306C7"/>
    <w:rsid w:val="00937528"/>
    <w:rsid w:val="00940836"/>
    <w:rsid w:val="00941D8F"/>
    <w:rsid w:val="00944F33"/>
    <w:rsid w:val="00952658"/>
    <w:rsid w:val="00957EAC"/>
    <w:rsid w:val="009616C7"/>
    <w:rsid w:val="00961DDF"/>
    <w:rsid w:val="00963160"/>
    <w:rsid w:val="0096320A"/>
    <w:rsid w:val="00964087"/>
    <w:rsid w:val="009661B2"/>
    <w:rsid w:val="00970E0C"/>
    <w:rsid w:val="0097199E"/>
    <w:rsid w:val="00971CA2"/>
    <w:rsid w:val="0097308C"/>
    <w:rsid w:val="00974017"/>
    <w:rsid w:val="00976D71"/>
    <w:rsid w:val="009831B7"/>
    <w:rsid w:val="00985861"/>
    <w:rsid w:val="009869F2"/>
    <w:rsid w:val="009965A1"/>
    <w:rsid w:val="009A647F"/>
    <w:rsid w:val="009B01DD"/>
    <w:rsid w:val="009B11FC"/>
    <w:rsid w:val="009B3BE7"/>
    <w:rsid w:val="009B42DE"/>
    <w:rsid w:val="009C35A8"/>
    <w:rsid w:val="009D0875"/>
    <w:rsid w:val="009D0C70"/>
    <w:rsid w:val="009D2E62"/>
    <w:rsid w:val="009D721F"/>
    <w:rsid w:val="009E33D7"/>
    <w:rsid w:val="009F17F9"/>
    <w:rsid w:val="009F3E0D"/>
    <w:rsid w:val="009F3E85"/>
    <w:rsid w:val="009F4F67"/>
    <w:rsid w:val="009F6DE9"/>
    <w:rsid w:val="009F7A19"/>
    <w:rsid w:val="00A01B3B"/>
    <w:rsid w:val="00A02EF7"/>
    <w:rsid w:val="00A03374"/>
    <w:rsid w:val="00A04AFC"/>
    <w:rsid w:val="00A07C33"/>
    <w:rsid w:val="00A14022"/>
    <w:rsid w:val="00A15469"/>
    <w:rsid w:val="00A20616"/>
    <w:rsid w:val="00A2277E"/>
    <w:rsid w:val="00A248D8"/>
    <w:rsid w:val="00A25362"/>
    <w:rsid w:val="00A2776A"/>
    <w:rsid w:val="00A30903"/>
    <w:rsid w:val="00A30C61"/>
    <w:rsid w:val="00A36B0E"/>
    <w:rsid w:val="00A40DF3"/>
    <w:rsid w:val="00A433A7"/>
    <w:rsid w:val="00A45F39"/>
    <w:rsid w:val="00A54ABD"/>
    <w:rsid w:val="00A54C37"/>
    <w:rsid w:val="00A56306"/>
    <w:rsid w:val="00A56D95"/>
    <w:rsid w:val="00A633C9"/>
    <w:rsid w:val="00A64E8D"/>
    <w:rsid w:val="00A6570B"/>
    <w:rsid w:val="00A8277E"/>
    <w:rsid w:val="00A83EAD"/>
    <w:rsid w:val="00A84798"/>
    <w:rsid w:val="00A86353"/>
    <w:rsid w:val="00A86B48"/>
    <w:rsid w:val="00A91FE7"/>
    <w:rsid w:val="00A96A3B"/>
    <w:rsid w:val="00A96C9A"/>
    <w:rsid w:val="00AA6D0E"/>
    <w:rsid w:val="00AB1043"/>
    <w:rsid w:val="00AB571C"/>
    <w:rsid w:val="00AC1882"/>
    <w:rsid w:val="00AC24BD"/>
    <w:rsid w:val="00AD1009"/>
    <w:rsid w:val="00AD2114"/>
    <w:rsid w:val="00AD21EB"/>
    <w:rsid w:val="00AD4936"/>
    <w:rsid w:val="00AE1AA7"/>
    <w:rsid w:val="00AE30A6"/>
    <w:rsid w:val="00AE3A08"/>
    <w:rsid w:val="00AE4FF3"/>
    <w:rsid w:val="00AF50FB"/>
    <w:rsid w:val="00AF61B4"/>
    <w:rsid w:val="00AF6619"/>
    <w:rsid w:val="00B04975"/>
    <w:rsid w:val="00B11F0C"/>
    <w:rsid w:val="00B12468"/>
    <w:rsid w:val="00B12F37"/>
    <w:rsid w:val="00B136BB"/>
    <w:rsid w:val="00B14216"/>
    <w:rsid w:val="00B21C80"/>
    <w:rsid w:val="00B24E11"/>
    <w:rsid w:val="00B2654F"/>
    <w:rsid w:val="00B26E98"/>
    <w:rsid w:val="00B32575"/>
    <w:rsid w:val="00B32A68"/>
    <w:rsid w:val="00B33F47"/>
    <w:rsid w:val="00B33F86"/>
    <w:rsid w:val="00B36BEF"/>
    <w:rsid w:val="00B455E0"/>
    <w:rsid w:val="00B46EB0"/>
    <w:rsid w:val="00B50898"/>
    <w:rsid w:val="00B52BC4"/>
    <w:rsid w:val="00B53A4E"/>
    <w:rsid w:val="00B53F88"/>
    <w:rsid w:val="00B5448D"/>
    <w:rsid w:val="00B54ADC"/>
    <w:rsid w:val="00B63E4B"/>
    <w:rsid w:val="00B65106"/>
    <w:rsid w:val="00B66137"/>
    <w:rsid w:val="00B72C44"/>
    <w:rsid w:val="00B74E99"/>
    <w:rsid w:val="00B756B9"/>
    <w:rsid w:val="00B75E5F"/>
    <w:rsid w:val="00B76A2E"/>
    <w:rsid w:val="00B8143D"/>
    <w:rsid w:val="00B8375B"/>
    <w:rsid w:val="00B87608"/>
    <w:rsid w:val="00B91594"/>
    <w:rsid w:val="00B92772"/>
    <w:rsid w:val="00B978FD"/>
    <w:rsid w:val="00BA0AB6"/>
    <w:rsid w:val="00BA4A6F"/>
    <w:rsid w:val="00BA5EF9"/>
    <w:rsid w:val="00BA7CA1"/>
    <w:rsid w:val="00BB0350"/>
    <w:rsid w:val="00BB59A7"/>
    <w:rsid w:val="00BB7CD1"/>
    <w:rsid w:val="00BC44E5"/>
    <w:rsid w:val="00BC785F"/>
    <w:rsid w:val="00BD5F41"/>
    <w:rsid w:val="00BE019E"/>
    <w:rsid w:val="00BE19CB"/>
    <w:rsid w:val="00BE2D93"/>
    <w:rsid w:val="00BE510A"/>
    <w:rsid w:val="00BE53F0"/>
    <w:rsid w:val="00BE541F"/>
    <w:rsid w:val="00BE54FF"/>
    <w:rsid w:val="00BF10CA"/>
    <w:rsid w:val="00BF1A50"/>
    <w:rsid w:val="00BF41D0"/>
    <w:rsid w:val="00BF5DF1"/>
    <w:rsid w:val="00C1283D"/>
    <w:rsid w:val="00C12E34"/>
    <w:rsid w:val="00C175F8"/>
    <w:rsid w:val="00C23E48"/>
    <w:rsid w:val="00C25D6F"/>
    <w:rsid w:val="00C308DC"/>
    <w:rsid w:val="00C34430"/>
    <w:rsid w:val="00C403C6"/>
    <w:rsid w:val="00C40C7D"/>
    <w:rsid w:val="00C42217"/>
    <w:rsid w:val="00C43C01"/>
    <w:rsid w:val="00C505CA"/>
    <w:rsid w:val="00C50BE2"/>
    <w:rsid w:val="00C52357"/>
    <w:rsid w:val="00C66839"/>
    <w:rsid w:val="00C67A71"/>
    <w:rsid w:val="00C67DBC"/>
    <w:rsid w:val="00C73C83"/>
    <w:rsid w:val="00C74236"/>
    <w:rsid w:val="00C75EED"/>
    <w:rsid w:val="00C77199"/>
    <w:rsid w:val="00C830F6"/>
    <w:rsid w:val="00C90FFA"/>
    <w:rsid w:val="00C973A9"/>
    <w:rsid w:val="00CA5323"/>
    <w:rsid w:val="00CA74BE"/>
    <w:rsid w:val="00CB092E"/>
    <w:rsid w:val="00CB69D7"/>
    <w:rsid w:val="00CC04A2"/>
    <w:rsid w:val="00CC30A6"/>
    <w:rsid w:val="00CC3E3D"/>
    <w:rsid w:val="00CC5620"/>
    <w:rsid w:val="00CC7615"/>
    <w:rsid w:val="00CD052B"/>
    <w:rsid w:val="00CD059A"/>
    <w:rsid w:val="00CD0764"/>
    <w:rsid w:val="00CD09B7"/>
    <w:rsid w:val="00CD6DBD"/>
    <w:rsid w:val="00CD73E3"/>
    <w:rsid w:val="00CE43B8"/>
    <w:rsid w:val="00CF2C8A"/>
    <w:rsid w:val="00D00277"/>
    <w:rsid w:val="00D039EE"/>
    <w:rsid w:val="00D0403D"/>
    <w:rsid w:val="00D0595C"/>
    <w:rsid w:val="00D06733"/>
    <w:rsid w:val="00D0674E"/>
    <w:rsid w:val="00D16733"/>
    <w:rsid w:val="00D21181"/>
    <w:rsid w:val="00D218A6"/>
    <w:rsid w:val="00D22BA6"/>
    <w:rsid w:val="00D25690"/>
    <w:rsid w:val="00D263ED"/>
    <w:rsid w:val="00D3271F"/>
    <w:rsid w:val="00D35AC1"/>
    <w:rsid w:val="00D37746"/>
    <w:rsid w:val="00D434AA"/>
    <w:rsid w:val="00D51FBC"/>
    <w:rsid w:val="00D521E2"/>
    <w:rsid w:val="00D529D5"/>
    <w:rsid w:val="00D536AB"/>
    <w:rsid w:val="00D53B70"/>
    <w:rsid w:val="00D550A6"/>
    <w:rsid w:val="00D5525B"/>
    <w:rsid w:val="00D56CBE"/>
    <w:rsid w:val="00D57389"/>
    <w:rsid w:val="00D60004"/>
    <w:rsid w:val="00D60BBF"/>
    <w:rsid w:val="00D61FEE"/>
    <w:rsid w:val="00D66043"/>
    <w:rsid w:val="00D70158"/>
    <w:rsid w:val="00D710A6"/>
    <w:rsid w:val="00D752B9"/>
    <w:rsid w:val="00D7693F"/>
    <w:rsid w:val="00D77073"/>
    <w:rsid w:val="00D80989"/>
    <w:rsid w:val="00D87AF9"/>
    <w:rsid w:val="00DA17AD"/>
    <w:rsid w:val="00DA1CFD"/>
    <w:rsid w:val="00DA5C1E"/>
    <w:rsid w:val="00DA72E7"/>
    <w:rsid w:val="00DB0767"/>
    <w:rsid w:val="00DB1983"/>
    <w:rsid w:val="00DB5C26"/>
    <w:rsid w:val="00DC03AB"/>
    <w:rsid w:val="00DC515B"/>
    <w:rsid w:val="00DC6889"/>
    <w:rsid w:val="00DD03CC"/>
    <w:rsid w:val="00DD4805"/>
    <w:rsid w:val="00DE0A4F"/>
    <w:rsid w:val="00DE1212"/>
    <w:rsid w:val="00DE2611"/>
    <w:rsid w:val="00DE44A2"/>
    <w:rsid w:val="00DE4728"/>
    <w:rsid w:val="00DE623B"/>
    <w:rsid w:val="00DE6F13"/>
    <w:rsid w:val="00DF04AC"/>
    <w:rsid w:val="00DF3D24"/>
    <w:rsid w:val="00DF5617"/>
    <w:rsid w:val="00E0214C"/>
    <w:rsid w:val="00E047D9"/>
    <w:rsid w:val="00E148D6"/>
    <w:rsid w:val="00E157BA"/>
    <w:rsid w:val="00E24075"/>
    <w:rsid w:val="00E268B9"/>
    <w:rsid w:val="00E26FBA"/>
    <w:rsid w:val="00E33468"/>
    <w:rsid w:val="00E34F37"/>
    <w:rsid w:val="00E37B27"/>
    <w:rsid w:val="00E40F53"/>
    <w:rsid w:val="00E46FC5"/>
    <w:rsid w:val="00E50A4E"/>
    <w:rsid w:val="00E5276F"/>
    <w:rsid w:val="00E61560"/>
    <w:rsid w:val="00E67477"/>
    <w:rsid w:val="00E710C7"/>
    <w:rsid w:val="00E73968"/>
    <w:rsid w:val="00E77A50"/>
    <w:rsid w:val="00E8344A"/>
    <w:rsid w:val="00E86AD8"/>
    <w:rsid w:val="00E9173B"/>
    <w:rsid w:val="00E96738"/>
    <w:rsid w:val="00EA085F"/>
    <w:rsid w:val="00EA0897"/>
    <w:rsid w:val="00EA0A84"/>
    <w:rsid w:val="00EA7A7A"/>
    <w:rsid w:val="00EB2A23"/>
    <w:rsid w:val="00EB54F3"/>
    <w:rsid w:val="00EB6C7A"/>
    <w:rsid w:val="00EB7260"/>
    <w:rsid w:val="00EB785D"/>
    <w:rsid w:val="00EC0ABB"/>
    <w:rsid w:val="00EC2643"/>
    <w:rsid w:val="00EC27D7"/>
    <w:rsid w:val="00EC4460"/>
    <w:rsid w:val="00EC6FFD"/>
    <w:rsid w:val="00EC7B2B"/>
    <w:rsid w:val="00ED1578"/>
    <w:rsid w:val="00ED6C80"/>
    <w:rsid w:val="00EE073A"/>
    <w:rsid w:val="00EE7865"/>
    <w:rsid w:val="00EF07AF"/>
    <w:rsid w:val="00F04D73"/>
    <w:rsid w:val="00F0567C"/>
    <w:rsid w:val="00F0716E"/>
    <w:rsid w:val="00F10AEB"/>
    <w:rsid w:val="00F131A7"/>
    <w:rsid w:val="00F13E3E"/>
    <w:rsid w:val="00F15776"/>
    <w:rsid w:val="00F17376"/>
    <w:rsid w:val="00F20727"/>
    <w:rsid w:val="00F2144E"/>
    <w:rsid w:val="00F2630E"/>
    <w:rsid w:val="00F26C69"/>
    <w:rsid w:val="00F27955"/>
    <w:rsid w:val="00F302A9"/>
    <w:rsid w:val="00F305DF"/>
    <w:rsid w:val="00F3117B"/>
    <w:rsid w:val="00F36596"/>
    <w:rsid w:val="00F36846"/>
    <w:rsid w:val="00F36D6A"/>
    <w:rsid w:val="00F42BA1"/>
    <w:rsid w:val="00F43D28"/>
    <w:rsid w:val="00F505C1"/>
    <w:rsid w:val="00F52E10"/>
    <w:rsid w:val="00F531F1"/>
    <w:rsid w:val="00F5367F"/>
    <w:rsid w:val="00F53FDB"/>
    <w:rsid w:val="00F559DF"/>
    <w:rsid w:val="00F60008"/>
    <w:rsid w:val="00F63B25"/>
    <w:rsid w:val="00F71295"/>
    <w:rsid w:val="00F75876"/>
    <w:rsid w:val="00F80FE6"/>
    <w:rsid w:val="00F83FCF"/>
    <w:rsid w:val="00F868B8"/>
    <w:rsid w:val="00F950C4"/>
    <w:rsid w:val="00F97219"/>
    <w:rsid w:val="00F97599"/>
    <w:rsid w:val="00FA607D"/>
    <w:rsid w:val="00FA64C6"/>
    <w:rsid w:val="00FA6FCA"/>
    <w:rsid w:val="00FA7A3E"/>
    <w:rsid w:val="00FB3F91"/>
    <w:rsid w:val="00FC27A5"/>
    <w:rsid w:val="00FC3B08"/>
    <w:rsid w:val="00FC3BCC"/>
    <w:rsid w:val="00FC4937"/>
    <w:rsid w:val="00FC559B"/>
    <w:rsid w:val="00FC5990"/>
    <w:rsid w:val="00FC5BDE"/>
    <w:rsid w:val="00FC634C"/>
    <w:rsid w:val="00FD09B5"/>
    <w:rsid w:val="00FD0E63"/>
    <w:rsid w:val="00FD59F0"/>
    <w:rsid w:val="00FE0D9D"/>
    <w:rsid w:val="00FE198D"/>
    <w:rsid w:val="00FE2BD7"/>
    <w:rsid w:val="00FE3D68"/>
    <w:rsid w:val="00FE60D3"/>
    <w:rsid w:val="00FF71DE"/>
    <w:rsid w:val="0272604C"/>
    <w:rsid w:val="02C57E45"/>
    <w:rsid w:val="02D45050"/>
    <w:rsid w:val="02E01F6A"/>
    <w:rsid w:val="041F49DE"/>
    <w:rsid w:val="045C31FC"/>
    <w:rsid w:val="05B1754B"/>
    <w:rsid w:val="08AB581D"/>
    <w:rsid w:val="0C03369C"/>
    <w:rsid w:val="0D103ED5"/>
    <w:rsid w:val="11656000"/>
    <w:rsid w:val="11DC3CBB"/>
    <w:rsid w:val="126D5F42"/>
    <w:rsid w:val="136715C8"/>
    <w:rsid w:val="19AD6E19"/>
    <w:rsid w:val="1AE44B6E"/>
    <w:rsid w:val="1B4156C8"/>
    <w:rsid w:val="1B6E3175"/>
    <w:rsid w:val="1CA4729D"/>
    <w:rsid w:val="1CB00D9B"/>
    <w:rsid w:val="21BE5B78"/>
    <w:rsid w:val="21C26D5D"/>
    <w:rsid w:val="25160250"/>
    <w:rsid w:val="25687F1C"/>
    <w:rsid w:val="291801D4"/>
    <w:rsid w:val="2BEF7499"/>
    <w:rsid w:val="311548E9"/>
    <w:rsid w:val="32BE6B6C"/>
    <w:rsid w:val="33072028"/>
    <w:rsid w:val="35182AED"/>
    <w:rsid w:val="3662452A"/>
    <w:rsid w:val="39745159"/>
    <w:rsid w:val="3AA259C6"/>
    <w:rsid w:val="3C11461C"/>
    <w:rsid w:val="3C820EA4"/>
    <w:rsid w:val="3C922FBF"/>
    <w:rsid w:val="3D4F5338"/>
    <w:rsid w:val="3E5F59F6"/>
    <w:rsid w:val="3E87039B"/>
    <w:rsid w:val="4130203D"/>
    <w:rsid w:val="42E071DA"/>
    <w:rsid w:val="43AC72C8"/>
    <w:rsid w:val="44034ED8"/>
    <w:rsid w:val="440F265A"/>
    <w:rsid w:val="452E6C13"/>
    <w:rsid w:val="45AB4EB8"/>
    <w:rsid w:val="48C93278"/>
    <w:rsid w:val="4B3703A8"/>
    <w:rsid w:val="4B4D7DAC"/>
    <w:rsid w:val="4B68727E"/>
    <w:rsid w:val="4B933601"/>
    <w:rsid w:val="4D051378"/>
    <w:rsid w:val="4D0C54E7"/>
    <w:rsid w:val="51952112"/>
    <w:rsid w:val="5315646D"/>
    <w:rsid w:val="53EC13BC"/>
    <w:rsid w:val="54416288"/>
    <w:rsid w:val="565E55FA"/>
    <w:rsid w:val="586249BE"/>
    <w:rsid w:val="59656E0C"/>
    <w:rsid w:val="5AA25D06"/>
    <w:rsid w:val="62FC571B"/>
    <w:rsid w:val="661521EF"/>
    <w:rsid w:val="67C52B6D"/>
    <w:rsid w:val="69D65C6C"/>
    <w:rsid w:val="6B882047"/>
    <w:rsid w:val="6BF206A0"/>
    <w:rsid w:val="6C0D0610"/>
    <w:rsid w:val="6C355D54"/>
    <w:rsid w:val="71D222D0"/>
    <w:rsid w:val="730228F4"/>
    <w:rsid w:val="76B5398B"/>
    <w:rsid w:val="76CD1A65"/>
    <w:rsid w:val="773935C9"/>
    <w:rsid w:val="77880FB0"/>
    <w:rsid w:val="7B437152"/>
    <w:rsid w:val="7B526396"/>
    <w:rsid w:val="7B5A3655"/>
    <w:rsid w:val="7DF45C8E"/>
    <w:rsid w:val="7EB74690"/>
    <w:rsid w:val="7F881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napToGrid w:val="0"/>
      <w:spacing w:line="360" w:lineRule="atLeast"/>
    </w:pPr>
    <w:rPr>
      <w:rFonts w:ascii="宋体"/>
      <w:sz w:val="24"/>
    </w:rPr>
  </w:style>
  <w:style w:type="paragraph" w:styleId="3">
    <w:name w:val="Body Text Indent"/>
    <w:basedOn w:val="1"/>
    <w:qFormat/>
    <w:uiPriority w:val="0"/>
    <w:pPr>
      <w:snapToGrid w:val="0"/>
      <w:spacing w:line="360" w:lineRule="atLeast"/>
      <w:ind w:left="540"/>
    </w:pPr>
    <w:rPr>
      <w:rFonts w:ascii="宋体"/>
      <w:sz w:val="24"/>
    </w:rPr>
  </w:style>
  <w:style w:type="paragraph" w:styleId="4">
    <w:name w:val="Date"/>
    <w:basedOn w:val="1"/>
    <w:next w:val="1"/>
    <w:qFormat/>
    <w:uiPriority w:val="0"/>
    <w:rPr>
      <w:sz w:val="24"/>
    </w:rPr>
  </w:style>
  <w:style w:type="paragraph" w:styleId="5">
    <w:name w:val="Body Text Indent 2"/>
    <w:basedOn w:val="1"/>
    <w:qFormat/>
    <w:uiPriority w:val="0"/>
    <w:pPr>
      <w:snapToGrid w:val="0"/>
      <w:spacing w:line="360" w:lineRule="atLeast"/>
      <w:ind w:left="360"/>
    </w:pPr>
    <w:rPr>
      <w:rFonts w:ascii="宋体"/>
      <w:sz w:val="24"/>
    </w:rPr>
  </w:style>
  <w:style w:type="paragraph" w:styleId="6">
    <w:name w:val="Balloon Text"/>
    <w:basedOn w:val="1"/>
    <w:link w:val="16"/>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Body Text Indent 3"/>
    <w:basedOn w:val="1"/>
    <w:qFormat/>
    <w:uiPriority w:val="0"/>
    <w:pPr>
      <w:snapToGrid w:val="0"/>
      <w:spacing w:line="320" w:lineRule="exact"/>
      <w:ind w:left="567"/>
    </w:pPr>
    <w:rPr>
      <w:rFonts w:ascii="宋体"/>
      <w:spacing w:val="10"/>
      <w:sz w:val="24"/>
    </w:rPr>
  </w:style>
  <w:style w:type="paragraph" w:styleId="10">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paragraph" w:styleId="15">
    <w:name w:val="List Paragraph"/>
    <w:basedOn w:val="1"/>
    <w:qFormat/>
    <w:uiPriority w:val="34"/>
    <w:pPr>
      <w:ind w:firstLine="420" w:firstLineChars="200"/>
    </w:pPr>
  </w:style>
  <w:style w:type="character" w:customStyle="1" w:styleId="16">
    <w:name w:val="批注框文本 字符"/>
    <w:basedOn w:val="13"/>
    <w:link w:val="6"/>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lang w:val="en-US" w:eastAsia="zh-CN" w:bidi="ar-SA"/>
    </w:rPr>
  </w:style>
  <w:style w:type="character" w:customStyle="1" w:styleId="18">
    <w:name w:val="页脚 字符"/>
    <w:basedOn w:val="13"/>
    <w:link w:val="7"/>
    <w:qFormat/>
    <w:uiPriority w:val="99"/>
    <w:rPr>
      <w:kern w:val="2"/>
      <w:sz w:val="18"/>
    </w:rPr>
  </w:style>
  <w:style w:type="character" w:customStyle="1" w:styleId="19">
    <w:name w:val="font51"/>
    <w:basedOn w:val="13"/>
    <w:qFormat/>
    <w:uiPriority w:val="0"/>
    <w:rPr>
      <w:rFonts w:hint="eastAsia" w:ascii="宋体" w:hAnsi="宋体" w:eastAsia="宋体"/>
      <w:color w:val="000000"/>
      <w:sz w:val="20"/>
      <w:szCs w:val="20"/>
      <w:u w:val="none"/>
    </w:rPr>
  </w:style>
  <w:style w:type="character" w:customStyle="1" w:styleId="20">
    <w:name w:val="font11"/>
    <w:basedOn w:val="13"/>
    <w:qFormat/>
    <w:uiPriority w:val="0"/>
    <w:rPr>
      <w:rFonts w:hint="eastAsia" w:ascii="宋体" w:hAnsi="宋体" w:eastAsia="宋体"/>
      <w:color w:val="FF0000"/>
      <w:sz w:val="20"/>
      <w:szCs w:val="20"/>
      <w:u w:val="none"/>
    </w:rPr>
  </w:style>
  <w:style w:type="character" w:styleId="21">
    <w:name w:val="Placeholder Text"/>
    <w:basedOn w:val="13"/>
    <w:semiHidden/>
    <w:qFormat/>
    <w:uiPriority w:val="0"/>
    <w:rPr>
      <w:color w:val="808080"/>
    </w:rPr>
  </w:style>
  <w:style w:type="character" w:customStyle="1" w:styleId="22">
    <w:name w:val="font61"/>
    <w:basedOn w:val="13"/>
    <w:qFormat/>
    <w:uiPriority w:val="0"/>
    <w:rPr>
      <w:rFonts w:hint="eastAsia" w:ascii="宋体" w:hAnsi="宋体" w:eastAsia="宋体" w:cs="宋体"/>
      <w:color w:val="000000"/>
      <w:sz w:val="20"/>
      <w:szCs w:val="20"/>
      <w:u w:val="none"/>
    </w:rPr>
  </w:style>
  <w:style w:type="character" w:customStyle="1" w:styleId="23">
    <w:name w:val="font21"/>
    <w:basedOn w:val="13"/>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012d8f-bde3-48a0-9069-8cba37a006eb}"/>
        <w:style w:val=""/>
        <w:category>
          <w:name w:val="常规"/>
          <w:gallery w:val="placeholder"/>
        </w:category>
        <w:types>
          <w:type w:val="bbPlcHdr"/>
        </w:types>
        <w:behaviors>
          <w:behavior w:val="content"/>
        </w:behaviors>
        <w:description w:val=""/>
        <w:guid w:val="{BF012D8F-BDE3-48A0-9069-8CBA37A006EB}"/>
      </w:docPartPr>
      <w:docPartBody>
        <w:p>
          <w:r>
            <w:rPr>
              <w:rStyle w:val="4"/>
              <w:rFonts w:hint="eastAsia"/>
            </w:rPr>
            <w:t>[标题]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B04F52"/>
    <w:rsid w:val="0008337E"/>
    <w:rsid w:val="00174775"/>
    <w:rsid w:val="001842A4"/>
    <w:rsid w:val="00220AD0"/>
    <w:rsid w:val="002F1C9D"/>
    <w:rsid w:val="008213FB"/>
    <w:rsid w:val="00B04F52"/>
    <w:rsid w:val="00BD278C"/>
    <w:rsid w:val="00DC4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0"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0"/>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58C12-08E1-405B-96C1-B8C58BEF6CD5}">
  <ds:schemaRefs/>
</ds:datastoreItem>
</file>

<file path=docProps/app.xml><?xml version="1.0" encoding="utf-8"?>
<Properties xmlns="http://schemas.openxmlformats.org/officeDocument/2006/extended-properties" xmlns:vt="http://schemas.openxmlformats.org/officeDocument/2006/docPropsVTypes">
  <Template>Normal</Template>
  <Company>融创中国控股</Company>
  <Pages>5</Pages>
  <Words>3655</Words>
  <Characters>3788</Characters>
  <Lines>17</Lines>
  <Paragraphs>4</Paragraphs>
  <TotalTime>6</TotalTime>
  <ScaleCrop>false</ScaleCrop>
  <LinksUpToDate>false</LinksUpToDate>
  <CharactersWithSpaces>3805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2016-04-09T01:46:00Z</dcterms:created>
  <dc:creator>李军</dc:creator>
  <cp:lastModifiedBy>....   .</cp:lastModifiedBy>
  <cp:lastPrinted>2010-01-13T13:18:00Z</cp:lastPrinted>
  <dcterms:modified xsi:type="dcterms:W3CDTF">2023-04-25T09:40:18Z</dcterms:modified>
  <dc:subject>JO肙 JARDIM x8?! PORRA! DIA 8 VOTA N肙!</dc:subject>
  <dc:title>工程量清单</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2776B5E6352A458C891DDB4B9605EEEF_13</vt:lpwstr>
  </property>
</Properties>
</file>