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pacing w:val="40"/>
          <w:sz w:val="40"/>
          <w:szCs w:val="44"/>
          <w:highlight w:val="none"/>
          <w:lang w:eastAsia="zh-CN"/>
        </w:rPr>
      </w:pPr>
    </w:p>
    <w:p>
      <w:pPr>
        <w:spacing w:line="360" w:lineRule="auto"/>
        <w:jc w:val="center"/>
        <w:rPr>
          <w:rFonts w:hint="eastAsia" w:ascii="宋体" w:hAnsi="宋体" w:cs="宋体"/>
          <w:b/>
          <w:bCs/>
          <w:color w:val="auto"/>
          <w:spacing w:val="40"/>
          <w:sz w:val="40"/>
          <w:szCs w:val="44"/>
          <w:highlight w:val="none"/>
          <w:lang w:eastAsia="zh-CN"/>
        </w:rPr>
      </w:pPr>
    </w:p>
    <w:p>
      <w:pPr>
        <w:spacing w:line="360" w:lineRule="auto"/>
        <w:jc w:val="center"/>
        <w:rPr>
          <w:rFonts w:ascii="宋体" w:hAnsi="宋体" w:cs="宋体"/>
          <w:color w:val="auto"/>
          <w:sz w:val="32"/>
          <w:szCs w:val="22"/>
          <w:highlight w:val="none"/>
          <w:u w:val="single"/>
        </w:rPr>
      </w:pPr>
      <w:r>
        <w:rPr>
          <w:rFonts w:hint="eastAsia" w:ascii="宋体" w:hAnsi="宋体" w:cs="宋体"/>
          <w:b/>
          <w:bCs/>
          <w:color w:val="auto"/>
          <w:spacing w:val="40"/>
          <w:sz w:val="40"/>
          <w:szCs w:val="44"/>
          <w:highlight w:val="none"/>
          <w:lang w:eastAsia="zh-CN"/>
        </w:rPr>
        <w:t>市教育局广州市铁一中学番禺校区场地和功能场室维护维修经费</w:t>
      </w:r>
    </w:p>
    <w:p>
      <w:pPr>
        <w:spacing w:line="360" w:lineRule="auto"/>
        <w:rPr>
          <w:rFonts w:ascii="宋体" w:hAnsi="宋体" w:cs="宋体"/>
          <w:b/>
          <w:bCs/>
          <w:color w:val="auto"/>
          <w:spacing w:val="26"/>
          <w:sz w:val="110"/>
          <w:szCs w:val="110"/>
          <w:highlight w:val="none"/>
        </w:rPr>
      </w:pPr>
    </w:p>
    <w:p>
      <w:pPr>
        <w:pStyle w:val="48"/>
        <w:rPr>
          <w:rFonts w:ascii="宋体" w:hAnsi="宋体" w:cs="宋体"/>
          <w:b/>
          <w:bCs/>
          <w:color w:val="auto"/>
          <w:spacing w:val="26"/>
          <w:sz w:val="110"/>
          <w:szCs w:val="110"/>
          <w:highlight w:val="none"/>
        </w:rPr>
      </w:pPr>
    </w:p>
    <w:p>
      <w:pPr>
        <w:pStyle w:val="48"/>
        <w:rPr>
          <w:highlight w:val="non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rFonts w:ascii="宋体" w:hAnsi="宋体" w:cs="宋体"/>
          <w:color w:val="auto"/>
          <w:sz w:val="32"/>
          <w:highlight w:val="none"/>
        </w:rPr>
      </w:pPr>
    </w:p>
    <w:p>
      <w:pPr>
        <w:spacing w:line="360" w:lineRule="auto"/>
        <w:rPr>
          <w:rFonts w:ascii="宋体" w:hAnsi="宋体" w:cs="宋体"/>
          <w:color w:val="auto"/>
          <w:sz w:val="30"/>
          <w:szCs w:val="30"/>
          <w:highlight w:val="none"/>
        </w:rPr>
      </w:pPr>
    </w:p>
    <w:p>
      <w:pPr>
        <w:spacing w:line="360" w:lineRule="auto"/>
        <w:ind w:firstLine="900" w:firstLineChars="300"/>
        <w:rPr>
          <w:rFonts w:ascii="宋体" w:hAnsi="宋体" w:cs="宋体"/>
          <w:color w:val="auto"/>
          <w:sz w:val="30"/>
          <w:szCs w:val="30"/>
          <w:highlight w:val="none"/>
        </w:rPr>
      </w:pPr>
    </w:p>
    <w:p>
      <w:pPr>
        <w:pStyle w:val="8"/>
        <w:rPr>
          <w:rFonts w:ascii="宋体" w:hAnsi="宋体" w:cs="宋体"/>
          <w:color w:val="auto"/>
          <w:sz w:val="30"/>
          <w:szCs w:val="30"/>
          <w:highlight w:val="none"/>
        </w:rPr>
      </w:pPr>
    </w:p>
    <w:p>
      <w:pPr>
        <w:rPr>
          <w:rFonts w:ascii="宋体" w:hAnsi="宋体" w:cs="宋体"/>
          <w:color w:val="auto"/>
          <w:highlight w:val="none"/>
        </w:rPr>
      </w:pPr>
    </w:p>
    <w:p>
      <w:pPr>
        <w:pStyle w:val="2"/>
        <w:rPr>
          <w:rFonts w:hAnsi="宋体" w:cs="宋体"/>
          <w:color w:val="auto"/>
          <w:highlight w:val="none"/>
        </w:rPr>
      </w:pPr>
    </w:p>
    <w:p>
      <w:pPr>
        <w:pStyle w:val="2"/>
        <w:rPr>
          <w:rFonts w:hAnsi="宋体" w:cs="宋体"/>
          <w:color w:val="auto"/>
          <w:highlight w:val="none"/>
        </w:rPr>
      </w:pPr>
    </w:p>
    <w:p>
      <w:pPr>
        <w:pStyle w:val="2"/>
        <w:rPr>
          <w:rFonts w:hAnsi="宋体" w:cs="宋体"/>
          <w:color w:val="auto"/>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广州市教育基建和装备中心</w:t>
      </w:r>
    </w:p>
    <w:p>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广州建筑工程监理有限公司</w:t>
      </w:r>
    </w:p>
    <w:p>
      <w:pPr>
        <w:spacing w:line="360" w:lineRule="auto"/>
        <w:ind w:firstLine="900" w:firstLineChars="300"/>
        <w:rPr>
          <w:rFonts w:ascii="宋体" w:hAnsi="宋体" w:cs="宋体"/>
          <w:color w:val="auto"/>
          <w:sz w:val="30"/>
          <w:szCs w:val="30"/>
          <w:highlight w:val="none"/>
        </w:rPr>
      </w:pPr>
      <w:r>
        <w:rPr>
          <w:rFonts w:hint="eastAsia" w:ascii="宋体" w:hAnsi="宋体" w:cs="宋体"/>
          <w:color w:val="auto"/>
          <w:sz w:val="30"/>
          <w:szCs w:val="30"/>
          <w:highlight w:val="none"/>
        </w:rPr>
        <w:t>日        期：202</w:t>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月</w:t>
      </w:r>
    </w:p>
    <w:p>
      <w:pPr>
        <w:spacing w:line="360" w:lineRule="auto"/>
        <w:ind w:firstLine="900" w:firstLineChars="300"/>
        <w:jc w:val="center"/>
        <w:rPr>
          <w:rFonts w:ascii="宋体" w:hAnsi="宋体" w:cs="宋体"/>
          <w:b/>
          <w:caps/>
          <w:color w:val="auto"/>
          <w:kern w:val="0"/>
          <w:highlight w:val="none"/>
        </w:rPr>
      </w:pPr>
      <w:r>
        <w:rPr>
          <w:rFonts w:hint="eastAsia" w:ascii="宋体" w:hAnsi="宋体" w:cs="宋体"/>
          <w:color w:val="auto"/>
          <w:sz w:val="30"/>
          <w:szCs w:val="30"/>
          <w:highlight w:val="none"/>
        </w:rPr>
        <w:br w:type="page"/>
      </w:r>
      <w:r>
        <w:rPr>
          <w:rStyle w:val="45"/>
          <w:rFonts w:hint="eastAsia" w:ascii="宋体" w:hAnsi="宋体" w:cs="宋体"/>
          <w:b/>
          <w:bCs/>
          <w:color w:val="auto"/>
          <w:sz w:val="30"/>
          <w:szCs w:val="30"/>
          <w:highlight w:val="none"/>
          <w:u w:val="none"/>
        </w:rPr>
        <w:t>目录</w:t>
      </w:r>
    </w:p>
    <w:p>
      <w:pPr>
        <w:pStyle w:val="28"/>
        <w:tabs>
          <w:tab w:val="right" w:leader="dot" w:pos="9070"/>
          <w:tab w:val="clear" w:pos="9060"/>
        </w:tabs>
        <w:rPr>
          <w:rFonts w:cs="宋体"/>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"_Toc29999" </w:instrText>
      </w:r>
      <w:r>
        <w:rPr>
          <w:color w:val="auto"/>
          <w:highlight w:val="none"/>
        </w:rPr>
        <w:fldChar w:fldCharType="separate"/>
      </w:r>
      <w:r>
        <w:rPr>
          <w:rFonts w:hint="eastAsia" w:cs="宋体"/>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_Toc29999 \h </w:instrText>
      </w:r>
      <w:r>
        <w:rPr>
          <w:rFonts w:hint="eastAsia" w:cs="宋体"/>
          <w:color w:val="auto"/>
          <w:highlight w:val="none"/>
        </w:rPr>
        <w:fldChar w:fldCharType="separate"/>
      </w:r>
      <w:r>
        <w:rPr>
          <w:rFonts w:hint="eastAsia" w:cs="宋体"/>
          <w:color w:val="auto"/>
          <w:highlight w:val="none"/>
        </w:rPr>
        <w:t>3</w:t>
      </w:r>
      <w:r>
        <w:rPr>
          <w:rFonts w:hint="eastAsia" w:cs="宋体"/>
          <w:color w:val="auto"/>
          <w:highlight w:val="none"/>
        </w:rPr>
        <w:fldChar w:fldCharType="end"/>
      </w:r>
      <w:r>
        <w:rPr>
          <w:rFonts w:hint="eastAsia" w:cs="宋体"/>
          <w:color w:val="auto"/>
          <w:highlight w:val="none"/>
        </w:rPr>
        <w:fldChar w:fldCharType="end"/>
      </w:r>
    </w:p>
    <w:p>
      <w:pPr>
        <w:pStyle w:val="31"/>
        <w:tabs>
          <w:tab w:val="right" w:leader="dot" w:pos="907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"_Toc3951"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_Toc3951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1"/>
        <w:tabs>
          <w:tab w:val="right" w:leader="dot" w:pos="907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"_Toc12984" </w:instrText>
      </w:r>
      <w:r>
        <w:rPr>
          <w:color w:val="auto"/>
          <w:highlight w:val="none"/>
        </w:rPr>
        <w:fldChar w:fldCharType="separate"/>
      </w:r>
      <w:r>
        <w:rPr>
          <w:rFonts w:hint="eastAsia" w:ascii="宋体" w:hAnsi="宋体" w:cs="宋体"/>
          <w:color w:val="auto"/>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_Toc12984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1"/>
        <w:tabs>
          <w:tab w:val="right" w:leader="dot" w:pos="907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"_Toc24881"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_Toc24881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"_Toc286" </w:instrText>
      </w:r>
      <w:r>
        <w:rPr>
          <w:color w:val="auto"/>
          <w:highlight w:val="none"/>
        </w:rPr>
        <w:fldChar w:fldCharType="separate"/>
      </w:r>
      <w:r>
        <w:rPr>
          <w:rFonts w:hint="eastAsia" w:cs="宋体"/>
          <w:color w:val="auto"/>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_Toc286 \h </w:instrText>
      </w:r>
      <w:r>
        <w:rPr>
          <w:rFonts w:hint="eastAsia" w:cs="宋体"/>
          <w:color w:val="auto"/>
          <w:highlight w:val="none"/>
        </w:rPr>
        <w:fldChar w:fldCharType="separate"/>
      </w:r>
      <w:r>
        <w:rPr>
          <w:rFonts w:hint="eastAsia" w:cs="宋体"/>
          <w:color w:val="auto"/>
          <w:highlight w:val="none"/>
        </w:rPr>
        <w:t>33</w:t>
      </w:r>
      <w:r>
        <w:rPr>
          <w:rFonts w:hint="eastAsia" w:cs="宋体"/>
          <w:color w:val="auto"/>
          <w:highlight w:val="none"/>
        </w:rPr>
        <w:fldChar w:fldCharType="end"/>
      </w:r>
      <w:r>
        <w:rPr>
          <w:rFonts w:hint="eastAsia" w:cs="宋体"/>
          <w:color w:val="auto"/>
          <w:highlight w:val="none"/>
        </w:rPr>
        <w:fldChar w:fldCharType="end"/>
      </w:r>
    </w:p>
    <w:p>
      <w:pPr>
        <w:pStyle w:val="31"/>
        <w:tabs>
          <w:tab w:val="right" w:leader="dot" w:pos="907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"_Toc20398" </w:instrText>
      </w:r>
      <w:r>
        <w:rPr>
          <w:color w:val="auto"/>
          <w:highlight w:val="none"/>
        </w:rPr>
        <w:fldChar w:fldCharType="separate"/>
      </w:r>
      <w:r>
        <w:rPr>
          <w:rFonts w:hint="eastAsia" w:ascii="宋体" w:hAnsi="宋体" w:cs="宋体"/>
          <w:color w:val="auto"/>
          <w:szCs w:val="28"/>
          <w:highlight w:val="none"/>
        </w:rPr>
        <w:t>一、</w:t>
      </w:r>
      <w:r>
        <w:rPr>
          <w:rFonts w:hint="eastAsia" w:ascii="宋体" w:hAnsi="宋体" w:cs="宋体"/>
          <w:color w:val="auto"/>
          <w:highlight w:val="none"/>
        </w:rPr>
        <w:t>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_Toc20398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1"/>
        <w:tabs>
          <w:tab w:val="right" w:leader="dot" w:pos="907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"_Toc11460"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_Toc11460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1"/>
        <w:tabs>
          <w:tab w:val="right" w:leader="dot" w:pos="907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"_Toc19940"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_Toc19940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1"/>
        <w:tabs>
          <w:tab w:val="right" w:leader="dot" w:pos="907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"_Toc18768" </w:instrText>
      </w:r>
      <w:r>
        <w:rPr>
          <w:color w:val="auto"/>
          <w:highlight w:val="none"/>
        </w:rPr>
        <w:fldChar w:fldCharType="separate"/>
      </w:r>
      <w:r>
        <w:rPr>
          <w:rFonts w:hint="eastAsia" w:ascii="宋体" w:hAnsi="宋体" w:cs="宋体"/>
          <w:color w:val="auto"/>
          <w:szCs w:val="24"/>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_Toc18768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1"/>
        <w:tabs>
          <w:tab w:val="right" w:leader="dot" w:pos="907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"_Toc25301" </w:instrText>
      </w:r>
      <w:r>
        <w:rPr>
          <w:color w:val="auto"/>
          <w:highlight w:val="none"/>
        </w:rPr>
        <w:fldChar w:fldCharType="separate"/>
      </w:r>
      <w:r>
        <w:rPr>
          <w:rFonts w:hint="eastAsia" w:ascii="宋体" w:hAnsi="宋体" w:cs="宋体"/>
          <w:color w:val="auto"/>
          <w:szCs w:val="24"/>
          <w:highlight w:val="none"/>
        </w:rPr>
        <w:t>可选办法七（适合综合评分法四，技术标与经济标同时开启）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_Toc25301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"_Toc14934" </w:instrText>
      </w:r>
      <w:r>
        <w:rPr>
          <w:color w:val="auto"/>
          <w:highlight w:val="none"/>
        </w:rPr>
        <w:fldChar w:fldCharType="separate"/>
      </w:r>
      <w:r>
        <w:rPr>
          <w:rFonts w:hint="eastAsia" w:cs="宋体"/>
          <w:color w:val="auto"/>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_Toc14934 \h </w:instrText>
      </w:r>
      <w:r>
        <w:rPr>
          <w:rFonts w:hint="eastAsia" w:cs="宋体"/>
          <w:color w:val="auto"/>
          <w:highlight w:val="none"/>
        </w:rPr>
        <w:fldChar w:fldCharType="separate"/>
      </w:r>
      <w:r>
        <w:rPr>
          <w:rFonts w:hint="eastAsia" w:cs="宋体"/>
          <w:color w:val="auto"/>
          <w:highlight w:val="none"/>
        </w:rPr>
        <w:t>60</w:t>
      </w:r>
      <w:r>
        <w:rPr>
          <w:rFonts w:hint="eastAsia" w:cs="宋体"/>
          <w:color w:val="auto"/>
          <w:highlight w:val="none"/>
        </w:rPr>
        <w:fldChar w:fldCharType="end"/>
      </w:r>
      <w:r>
        <w:rPr>
          <w:rFonts w:hint="eastAsia"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"_Toc12630" </w:instrText>
      </w:r>
      <w:r>
        <w:rPr>
          <w:color w:val="auto"/>
          <w:highlight w:val="none"/>
        </w:rPr>
        <w:fldChar w:fldCharType="separate"/>
      </w:r>
      <w:r>
        <w:rPr>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t xml:space="preserve"> </w:t>
      </w:r>
      <w:r>
        <w:rPr>
          <w:rFonts w:hint="eastAsia" w:cs="宋体"/>
          <w:color w:val="auto"/>
          <w:highlight w:val="none"/>
        </w:rPr>
        <w:fldChar w:fldCharType="begin"/>
      </w:r>
      <w:r>
        <w:rPr>
          <w:rFonts w:hint="eastAsia" w:cs="宋体"/>
          <w:color w:val="auto"/>
          <w:highlight w:val="none"/>
        </w:rPr>
        <w:instrText xml:space="preserve"> PAGEREF _Toc12630 \h </w:instrText>
      </w:r>
      <w:r>
        <w:rPr>
          <w:rFonts w:hint="eastAsia" w:cs="宋体"/>
          <w:color w:val="auto"/>
          <w:highlight w:val="none"/>
        </w:rPr>
        <w:fldChar w:fldCharType="separate"/>
      </w:r>
      <w:r>
        <w:rPr>
          <w:rFonts w:hint="eastAsia" w:cs="宋体"/>
          <w:color w:val="auto"/>
          <w:highlight w:val="none"/>
        </w:rPr>
        <w:t>61</w:t>
      </w:r>
      <w:r>
        <w:rPr>
          <w:rFonts w:hint="eastAsia" w:cs="宋体"/>
          <w:color w:val="auto"/>
          <w:highlight w:val="none"/>
        </w:rPr>
        <w:fldChar w:fldCharType="end"/>
      </w:r>
      <w:r>
        <w:rPr>
          <w:rFonts w:hint="eastAsia"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"_Toc22889" </w:instrText>
      </w:r>
      <w:r>
        <w:rPr>
          <w:color w:val="auto"/>
          <w:highlight w:val="none"/>
        </w:rPr>
        <w:fldChar w:fldCharType="separate"/>
      </w:r>
      <w:r>
        <w:rPr>
          <w:rFonts w:hint="eastAsia" w:cs="宋体"/>
          <w:color w:val="auto"/>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_Toc22889 \h </w:instrText>
      </w:r>
      <w:r>
        <w:rPr>
          <w:rFonts w:hint="eastAsia" w:cs="宋体"/>
          <w:color w:val="auto"/>
          <w:highlight w:val="none"/>
        </w:rPr>
        <w:fldChar w:fldCharType="separate"/>
      </w:r>
      <w:r>
        <w:rPr>
          <w:rFonts w:hint="eastAsia" w:cs="宋体"/>
          <w:color w:val="auto"/>
          <w:highlight w:val="none"/>
        </w:rPr>
        <w:t>86</w:t>
      </w:r>
      <w:r>
        <w:rPr>
          <w:rFonts w:hint="eastAsia" w:cs="宋体"/>
          <w:color w:val="auto"/>
          <w:highlight w:val="none"/>
        </w:rPr>
        <w:fldChar w:fldCharType="end"/>
      </w:r>
      <w:r>
        <w:rPr>
          <w:rFonts w:hint="eastAsia"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"_Toc17006" </w:instrText>
      </w:r>
      <w:r>
        <w:rPr>
          <w:color w:val="auto"/>
          <w:highlight w:val="none"/>
        </w:rPr>
        <w:fldChar w:fldCharType="separate"/>
      </w:r>
      <w:r>
        <w:rPr>
          <w:rFonts w:hint="eastAsia" w:cs="宋体"/>
          <w:color w:val="auto"/>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_Toc17006 \h </w:instrText>
      </w:r>
      <w:r>
        <w:rPr>
          <w:rFonts w:hint="eastAsia" w:cs="宋体"/>
          <w:color w:val="auto"/>
          <w:highlight w:val="none"/>
        </w:rPr>
        <w:fldChar w:fldCharType="separate"/>
      </w:r>
      <w:r>
        <w:rPr>
          <w:rFonts w:hint="eastAsia" w:cs="宋体"/>
          <w:color w:val="auto"/>
          <w:highlight w:val="none"/>
        </w:rPr>
        <w:t>87</w:t>
      </w:r>
      <w:r>
        <w:rPr>
          <w:rFonts w:hint="eastAsia" w:cs="宋体"/>
          <w:color w:val="auto"/>
          <w:highlight w:val="none"/>
        </w:rPr>
        <w:fldChar w:fldCharType="end"/>
      </w:r>
      <w:r>
        <w:rPr>
          <w:rFonts w:hint="eastAsia"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"_Toc2247" </w:instrText>
      </w:r>
      <w:r>
        <w:rPr>
          <w:color w:val="auto"/>
          <w:highlight w:val="none"/>
        </w:rPr>
        <w:fldChar w:fldCharType="separate"/>
      </w:r>
      <w:r>
        <w:rPr>
          <w:rFonts w:hint="eastAsia" w:cs="宋体"/>
          <w:color w:val="auto"/>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_Toc2247 \h </w:instrText>
      </w:r>
      <w:r>
        <w:rPr>
          <w:rFonts w:hint="eastAsia" w:cs="宋体"/>
          <w:color w:val="auto"/>
          <w:highlight w:val="none"/>
        </w:rPr>
        <w:fldChar w:fldCharType="separate"/>
      </w:r>
      <w:r>
        <w:rPr>
          <w:rFonts w:hint="eastAsia" w:cs="宋体"/>
          <w:color w:val="auto"/>
          <w:highlight w:val="none"/>
        </w:rPr>
        <w:t>88</w:t>
      </w:r>
      <w:r>
        <w:rPr>
          <w:rFonts w:hint="eastAsia" w:cs="宋体"/>
          <w:color w:val="auto"/>
          <w:highlight w:val="none"/>
        </w:rPr>
        <w:fldChar w:fldCharType="end"/>
      </w:r>
      <w:r>
        <w:rPr>
          <w:rFonts w:hint="eastAsia" w:cs="宋体"/>
          <w:color w:val="auto"/>
          <w:highlight w:val="none"/>
        </w:rPr>
        <w:fldChar w:fldCharType="end"/>
      </w:r>
    </w:p>
    <w:p>
      <w:pPr>
        <w:pStyle w:val="28"/>
        <w:tabs>
          <w:tab w:val="right" w:leader="dot" w:pos="9070"/>
          <w:tab w:val="clear" w:pos="9060"/>
        </w:tabs>
        <w:rPr>
          <w:rFonts w:cs="宋体"/>
          <w:color w:val="auto"/>
          <w:highlight w:val="none"/>
        </w:rPr>
      </w:pPr>
      <w:r>
        <w:rPr>
          <w:color w:val="auto"/>
          <w:highlight w:val="none"/>
        </w:rPr>
        <w:fldChar w:fldCharType="begin"/>
      </w:r>
      <w:r>
        <w:rPr>
          <w:color w:val="auto"/>
          <w:highlight w:val="none"/>
        </w:rPr>
        <w:instrText xml:space="preserve"> HYPERLINK \l "_Toc10163" </w:instrText>
      </w:r>
      <w:r>
        <w:rPr>
          <w:color w:val="auto"/>
          <w:highlight w:val="none"/>
        </w:rPr>
        <w:fldChar w:fldCharType="separate"/>
      </w:r>
      <w:r>
        <w:rPr>
          <w:rFonts w:hint="eastAsia" w:cs="宋体"/>
          <w:color w:val="auto"/>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_Toc10163 \h </w:instrText>
      </w:r>
      <w:r>
        <w:rPr>
          <w:rFonts w:hint="eastAsia" w:cs="宋体"/>
          <w:color w:val="auto"/>
          <w:highlight w:val="none"/>
        </w:rPr>
        <w:fldChar w:fldCharType="separate"/>
      </w:r>
      <w:r>
        <w:rPr>
          <w:rFonts w:hint="eastAsia" w:cs="宋体"/>
          <w:color w:val="auto"/>
          <w:highlight w:val="none"/>
        </w:rPr>
        <w:t>89</w:t>
      </w:r>
      <w:r>
        <w:rPr>
          <w:rFonts w:hint="eastAsia" w:cs="宋体"/>
          <w:color w:val="auto"/>
          <w:highlight w:val="none"/>
        </w:rPr>
        <w:fldChar w:fldCharType="end"/>
      </w:r>
      <w:r>
        <w:rPr>
          <w:rFonts w:hint="eastAsia" w:cs="宋体"/>
          <w:color w:val="auto"/>
          <w:highlight w:val="none"/>
        </w:rPr>
        <w:fldChar w:fldCharType="end"/>
      </w:r>
    </w:p>
    <w:p>
      <w:pPr>
        <w:pStyle w:val="3"/>
        <w:rPr>
          <w:rFonts w:ascii="宋体" w:hAnsi="宋体" w:cs="宋体"/>
          <w:color w:val="auto"/>
          <w:highlight w:val="none"/>
        </w:rPr>
      </w:pPr>
      <w:r>
        <w:rPr>
          <w:rFonts w:hint="eastAsia" w:ascii="宋体" w:hAnsi="宋体" w:cs="宋体"/>
          <w:color w:val="auto"/>
          <w:highlight w:val="none"/>
        </w:rPr>
        <w:fldChar w:fldCharType="end"/>
      </w:r>
    </w:p>
    <w:p>
      <w:pPr>
        <w:pStyle w:val="3"/>
        <w:rPr>
          <w:rFonts w:ascii="宋体" w:hAnsi="宋体" w:cs="宋体"/>
          <w:color w:val="auto"/>
          <w:highlight w:val="none"/>
        </w:rPr>
      </w:pPr>
    </w:p>
    <w:p>
      <w:pPr>
        <w:pStyle w:val="3"/>
        <w:rPr>
          <w:rFonts w:ascii="宋体" w:hAnsi="宋体" w:cs="宋体"/>
          <w:color w:val="auto"/>
          <w:highlight w:val="none"/>
        </w:rPr>
      </w:pPr>
    </w:p>
    <w:p>
      <w:pPr>
        <w:pStyle w:val="3"/>
        <w:ind w:left="0" w:leftChars="0" w:right="0" w:rightChars="0" w:firstLine="0" w:firstLineChars="0"/>
        <w:jc w:val="center"/>
        <w:rPr>
          <w:rFonts w:ascii="宋体" w:hAnsi="宋体" w:cs="宋体"/>
          <w:color w:val="auto"/>
          <w:highlight w:val="none"/>
        </w:rPr>
      </w:pPr>
      <w:r>
        <w:rPr>
          <w:rFonts w:hint="eastAsia" w:ascii="宋体" w:hAnsi="宋体" w:cs="宋体"/>
          <w:color w:val="auto"/>
          <w:highlight w:val="none"/>
        </w:rPr>
        <w:br w:type="page"/>
      </w:r>
      <w:bookmarkStart w:id="0" w:name="_Toc29999"/>
      <w:r>
        <w:rPr>
          <w:rFonts w:hint="eastAsia" w:ascii="宋体" w:hAnsi="宋体" w:cs="宋体"/>
          <w:color w:val="auto"/>
          <w:highlight w:val="none"/>
        </w:rPr>
        <w:t>第一章  投标须知</w:t>
      </w:r>
      <w:bookmarkEnd w:id="0"/>
    </w:p>
    <w:p>
      <w:pPr>
        <w:pStyle w:val="7"/>
        <w:rPr>
          <w:rFonts w:ascii="宋体" w:hAnsi="宋体" w:cs="宋体"/>
          <w:color w:val="auto"/>
          <w:highlight w:val="none"/>
        </w:rPr>
      </w:pPr>
      <w:bookmarkStart w:id="1" w:name="_Toc3951"/>
      <w:r>
        <w:rPr>
          <w:rFonts w:hint="eastAsia" w:ascii="宋体" w:hAnsi="宋体" w:cs="宋体"/>
          <w:color w:val="auto"/>
          <w:highlight w:val="none"/>
        </w:rPr>
        <w:t>一、投标须知前附表</w:t>
      </w:r>
      <w:bookmarkEnd w:id="1"/>
    </w:p>
    <w:p>
      <w:pPr>
        <w:pStyle w:val="8"/>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r>
              <w:rPr>
                <w:rFonts w:hint="eastAsia" w:ascii="宋体" w:hAnsi="宋体" w:cs="宋体"/>
                <w:color w:val="auto"/>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广州市教育基建和装备中心</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广州建筑工程监理有限公司</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 xml:space="preserve"> 华南创图设计有限公司 </w:t>
            </w:r>
          </w:p>
          <w:p>
            <w:pPr>
              <w:rPr>
                <w:rFonts w:ascii="宋体" w:hAnsi="宋体" w:cs="宋体"/>
                <w:color w:val="auto"/>
                <w:szCs w:val="21"/>
                <w:highlight w:val="non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广州市城市建设工程监理有限公司 </w:t>
            </w:r>
          </w:p>
          <w:p>
            <w:pPr>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广州继善建筑技术有限公司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市教育局广州市铁一中学番禺校区场地和功能场室维护维修经费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广州市花都区赤坭镇蓝田教育路11号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包工、包料、包工期、包质量、包安全、包文明施工、包验收。包组织实施工作和资料整理、包施工范围内的管理和现场整体组织、包专业协调及配合、包承包人应当购买的保险等，综合单价包干、按系数计算的措施费项目合价包干（专用条款另有约定的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必须符合国家和行业现行质量验收标准（GB50300-2013建筑工程施工质量验收统一标准）和《工程施工质量验收规范》，达到合格工程质量标准。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pPr>
              <w:ind w:hanging="10"/>
              <w:rPr>
                <w:rFonts w:ascii="宋体" w:hAnsi="宋体" w:cs="宋体"/>
                <w:color w:val="auto"/>
                <w:szCs w:val="21"/>
                <w:highlight w:val="none"/>
              </w:rPr>
            </w:pPr>
            <w:r>
              <w:rPr>
                <w:rStyle w:val="142"/>
                <w:rFonts w:hint="default"/>
                <w:u w:val="single"/>
                <w:lang w:bidi="ar"/>
              </w:rPr>
              <w:t xml:space="preserve"> 67 </w:t>
            </w:r>
            <w:r>
              <w:rPr>
                <w:rStyle w:val="142"/>
                <w:rFonts w:hint="default"/>
                <w:lang w:bidi="ar"/>
              </w:rPr>
              <w:t>天，</w:t>
            </w:r>
            <w:r>
              <w:rPr>
                <w:rFonts w:hint="eastAsia" w:ascii="宋体" w:hAnsi="宋体" w:cs="仿宋_GB2312"/>
                <w:szCs w:val="21"/>
              </w:rPr>
              <w:t>暂定从202</w:t>
            </w:r>
            <w:r>
              <w:rPr>
                <w:rFonts w:ascii="宋体" w:hAnsi="宋体" w:cs="仿宋_GB2312"/>
                <w:szCs w:val="21"/>
              </w:rPr>
              <w:t>3</w:t>
            </w:r>
            <w:r>
              <w:rPr>
                <w:rFonts w:hint="eastAsia" w:ascii="宋体" w:hAnsi="宋体" w:cs="仿宋_GB2312"/>
                <w:szCs w:val="21"/>
              </w:rPr>
              <w:t>年</w:t>
            </w:r>
            <w:r>
              <w:rPr>
                <w:rFonts w:ascii="宋体" w:hAnsi="宋体" w:cs="仿宋_GB2312"/>
                <w:szCs w:val="21"/>
              </w:rPr>
              <w:t>6</w:t>
            </w:r>
            <w:r>
              <w:rPr>
                <w:rFonts w:hint="eastAsia" w:ascii="宋体" w:hAnsi="宋体" w:cs="仿宋_GB2312"/>
                <w:szCs w:val="21"/>
              </w:rPr>
              <w:t>月</w:t>
            </w:r>
            <w:r>
              <w:rPr>
                <w:rFonts w:ascii="宋体" w:hAnsi="宋体" w:cs="仿宋_GB2312"/>
                <w:szCs w:val="21"/>
              </w:rPr>
              <w:t>10</w:t>
            </w:r>
            <w:r>
              <w:rPr>
                <w:rFonts w:hint="eastAsia" w:ascii="宋体" w:hAnsi="宋体" w:cs="仿宋_GB2312"/>
                <w:szCs w:val="21"/>
              </w:rPr>
              <w:t>日至202</w:t>
            </w:r>
            <w:r>
              <w:rPr>
                <w:rFonts w:ascii="宋体" w:hAnsi="宋体" w:cs="仿宋_GB2312"/>
                <w:szCs w:val="21"/>
              </w:rPr>
              <w:t>3</w:t>
            </w:r>
            <w:r>
              <w:rPr>
                <w:rFonts w:hint="eastAsia" w:ascii="宋体" w:hAnsi="宋体" w:cs="仿宋_GB2312"/>
                <w:szCs w:val="21"/>
              </w:rPr>
              <w:t>年</w:t>
            </w:r>
            <w:r>
              <w:rPr>
                <w:rFonts w:ascii="宋体" w:hAnsi="宋体" w:cs="仿宋_GB2312"/>
                <w:szCs w:val="21"/>
              </w:rPr>
              <w:t>8</w:t>
            </w:r>
            <w:r>
              <w:rPr>
                <w:rFonts w:hint="eastAsia" w:ascii="宋体" w:hAnsi="宋体" w:cs="仿宋_GB2312"/>
                <w:szCs w:val="21"/>
              </w:rPr>
              <w:t>月</w:t>
            </w:r>
            <w:r>
              <w:rPr>
                <w:rFonts w:ascii="宋体" w:hAnsi="宋体" w:cs="仿宋_GB2312"/>
                <w:szCs w:val="21"/>
              </w:rPr>
              <w:t>15</w:t>
            </w:r>
            <w:r>
              <w:rPr>
                <w:rFonts w:hint="eastAsia" w:ascii="宋体" w:hAnsi="宋体" w:cs="仿宋_GB2312"/>
                <w:szCs w:val="21"/>
              </w:rPr>
              <w:t>日</w:t>
            </w:r>
            <w:r>
              <w:rPr>
                <w:rFonts w:hint="eastAsia" w:ascii="宋体" w:hAnsi="宋体"/>
                <w:color w:val="000000"/>
                <w:sz w:val="22"/>
                <w:szCs w:val="22"/>
                <w:lang w:bidi="ar"/>
              </w:rPr>
              <w:t>。</w:t>
            </w:r>
            <w:r>
              <w:rPr>
                <w:rFonts w:hint="eastAsia" w:ascii="宋体" w:hAnsi="宋体"/>
                <w:szCs w:val="21"/>
              </w:rPr>
              <w:t>发包人有权根据现场情况，调整各期具体进场开工时间。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kern w:val="0"/>
                <w:szCs w:val="21"/>
                <w:highlight w:val="non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4.1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13.1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15.1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 xml:space="preserve"> 120 </w:t>
            </w:r>
            <w:r>
              <w:rPr>
                <w:rFonts w:hint="eastAsia" w:ascii="宋体" w:hAnsi="宋体" w:cs="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16.1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jc w:val="left"/>
              <w:rPr>
                <w:rFonts w:ascii="宋体" w:hAnsi="宋体" w:cs="宋体"/>
                <w:strike/>
                <w:dstrike w:val="0"/>
                <w:color w:val="auto"/>
                <w:szCs w:val="21"/>
                <w:highlight w:val="none"/>
              </w:rPr>
            </w:pPr>
            <w:r>
              <w:rPr>
                <w:rFonts w:hint="eastAsia" w:ascii="宋体" w:hAnsi="宋体" w:cs="宋体"/>
                <w:strike/>
                <w:dstrike w:val="0"/>
                <w:color w:val="auto"/>
                <w:szCs w:val="21"/>
                <w:highlight w:val="none"/>
                <w:lang w:val="en-US" w:eastAsia="zh-CN"/>
              </w:rPr>
              <w:t>□</w:t>
            </w:r>
            <w:r>
              <w:rPr>
                <w:rFonts w:hint="eastAsia" w:ascii="宋体" w:hAnsi="宋体" w:cs="宋体"/>
                <w:strike/>
                <w:dstrike w:val="0"/>
                <w:color w:val="auto"/>
                <w:szCs w:val="21"/>
                <w:highlight w:val="none"/>
              </w:rPr>
              <w:t>要求，投标保证金的金额：</w:t>
            </w:r>
            <w:r>
              <w:rPr>
                <w:rFonts w:hint="eastAsia" w:ascii="宋体" w:hAnsi="宋体" w:cs="宋体"/>
                <w:strike/>
                <w:dstrike w:val="0"/>
                <w:color w:val="auto"/>
                <w:sz w:val="22"/>
                <w:szCs w:val="22"/>
                <w:highlight w:val="none"/>
                <w:u w:val="single"/>
                <w:lang w:val="en-US" w:eastAsia="zh-CN"/>
              </w:rPr>
              <w:t xml:space="preserve">   </w:t>
            </w:r>
            <w:r>
              <w:rPr>
                <w:rFonts w:hint="eastAsia" w:ascii="宋体" w:hAnsi="宋体" w:cs="宋体"/>
                <w:strike/>
                <w:dstrike w:val="0"/>
                <w:color w:val="auto"/>
                <w:sz w:val="22"/>
                <w:szCs w:val="22"/>
                <w:highlight w:val="none"/>
              </w:rPr>
              <w:t>万</w:t>
            </w:r>
            <w:r>
              <w:rPr>
                <w:rFonts w:hint="eastAsia" w:ascii="宋体" w:hAnsi="宋体" w:cs="宋体"/>
                <w:strike/>
                <w:dstrike w:val="0"/>
                <w:color w:val="auto"/>
                <w:szCs w:val="21"/>
                <w:highlight w:val="none"/>
              </w:rPr>
              <w:t>元人民币。</w:t>
            </w:r>
          </w:p>
          <w:p>
            <w:pPr>
              <w:snapToGrid w:val="0"/>
              <w:rPr>
                <w:rFonts w:ascii="宋体" w:hAnsi="宋体" w:cs="宋体"/>
                <w:strike/>
                <w:dstrike w:val="0"/>
                <w:color w:val="auto"/>
                <w:szCs w:val="21"/>
                <w:highlight w:val="none"/>
              </w:rPr>
            </w:pPr>
            <w:r>
              <w:rPr>
                <w:rFonts w:hint="eastAsia" w:ascii="宋体" w:hAnsi="宋体" w:cs="宋体"/>
                <w:strike/>
                <w:dstrike w:val="0"/>
                <w:color w:val="auto"/>
                <w:szCs w:val="21"/>
                <w:highlight w:val="none"/>
              </w:rPr>
              <w:t>1、投标保证金的有效期：应长于或等于投标有效期。</w:t>
            </w:r>
          </w:p>
          <w:p>
            <w:pPr>
              <w:snapToGrid w:val="0"/>
              <w:rPr>
                <w:rFonts w:ascii="宋体" w:hAnsi="宋体" w:cs="宋体"/>
                <w:strike/>
                <w:dstrike w:val="0"/>
                <w:color w:val="auto"/>
                <w:szCs w:val="21"/>
                <w:highlight w:val="none"/>
              </w:rPr>
            </w:pPr>
            <w:r>
              <w:rPr>
                <w:rFonts w:hint="eastAsia" w:ascii="宋体" w:hAnsi="宋体" w:cs="宋体"/>
                <w:strike/>
                <w:dstrike w:val="0"/>
                <w:color w:val="auto"/>
                <w:szCs w:val="21"/>
                <w:highlight w:val="none"/>
              </w:rPr>
              <w:t>2、缴纳时间：递交投标文件截止时间前</w:t>
            </w:r>
          </w:p>
          <w:p>
            <w:pPr>
              <w:snapToGrid w:val="0"/>
              <w:rPr>
                <w:rFonts w:ascii="宋体" w:hAnsi="宋体" w:cs="宋体"/>
                <w:strike/>
                <w:dstrike w:val="0"/>
                <w:color w:val="auto"/>
                <w:szCs w:val="21"/>
                <w:highlight w:val="none"/>
              </w:rPr>
            </w:pPr>
            <w:r>
              <w:rPr>
                <w:rFonts w:hint="eastAsia" w:ascii="宋体" w:hAnsi="宋体" w:cs="宋体"/>
                <w:strike/>
                <w:dstrike w:val="0"/>
                <w:color w:val="auto"/>
                <w:szCs w:val="21"/>
                <w:highlight w:val="none"/>
              </w:rPr>
              <w:t>3、投标保证金的形式：投标保证金可采用现金、银行汇票、银行本票、银行电汇、支票（现金支票、转账支票）、银行保函、保证保险、专业担保公司担保等形式。</w:t>
            </w:r>
          </w:p>
          <w:p>
            <w:pPr>
              <w:snapToGrid w:val="0"/>
              <w:rPr>
                <w:rFonts w:ascii="宋体" w:hAnsi="宋体" w:cs="宋体"/>
                <w:strike/>
                <w:dstrike w:val="0"/>
                <w:color w:val="auto"/>
                <w:szCs w:val="21"/>
                <w:highlight w:val="none"/>
              </w:rPr>
            </w:pPr>
            <w:r>
              <w:rPr>
                <w:rFonts w:hint="eastAsia" w:ascii="宋体" w:hAnsi="宋体" w:cs="宋体"/>
                <w:strike/>
                <w:dstrike w:val="0"/>
                <w:color w:val="auto"/>
                <w:szCs w:val="21"/>
                <w:highlight w:val="none"/>
              </w:rPr>
              <w:t>4、递交方式：</w:t>
            </w:r>
          </w:p>
          <w:p>
            <w:pPr>
              <w:snapToGrid w:val="0"/>
              <w:rPr>
                <w:rFonts w:ascii="宋体" w:hAnsi="宋体" w:cs="宋体"/>
                <w:strike/>
                <w:dstrike w:val="0"/>
                <w:color w:val="auto"/>
                <w:szCs w:val="21"/>
                <w:highlight w:val="none"/>
              </w:rPr>
            </w:pPr>
            <w:r>
              <w:rPr>
                <w:rFonts w:hint="eastAsia" w:ascii="宋体" w:hAnsi="宋体" w:cs="宋体"/>
                <w:strike/>
                <w:dstrike w:val="0"/>
                <w:color w:val="auto"/>
                <w:szCs w:val="21"/>
                <w:highlight w:val="none"/>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pPr>
              <w:snapToGrid w:val="0"/>
              <w:rPr>
                <w:rFonts w:ascii="宋体" w:hAnsi="宋体" w:cs="宋体"/>
                <w:strike/>
                <w:dstrike w:val="0"/>
                <w:color w:val="auto"/>
                <w:szCs w:val="21"/>
                <w:highlight w:val="none"/>
              </w:rPr>
            </w:pPr>
            <w:r>
              <w:rPr>
                <w:rFonts w:hint="eastAsia" w:ascii="宋体" w:hAnsi="宋体" w:cs="宋体"/>
                <w:strike/>
                <w:dstrike w:val="0"/>
                <w:color w:val="auto"/>
                <w:szCs w:val="21"/>
                <w:highlight w:val="none"/>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pPr>
              <w:rPr>
                <w:rFonts w:ascii="宋体" w:hAnsi="宋体" w:cs="宋体"/>
                <w:strike/>
                <w:dstrike w:val="0"/>
                <w:color w:val="auto"/>
                <w:szCs w:val="21"/>
                <w:highlight w:val="none"/>
              </w:rPr>
            </w:pPr>
            <w:r>
              <w:rPr>
                <w:rFonts w:hint="eastAsia" w:ascii="宋体" w:hAnsi="宋体" w:cs="宋体"/>
                <w:strike/>
                <w:dstrike w:val="0"/>
                <w:color w:val="auto"/>
                <w:szCs w:val="21"/>
                <w:highlight w:val="none"/>
              </w:rPr>
              <w:t>（3）如采用电子保函形式递交投标保证金，按广州交易集团有限公司（广州公共资源交易中心）发布的《广州公共资源交易中心关于开通电子保函服务功能的通知》操作。详见：</w:t>
            </w:r>
            <w:r>
              <w:rPr>
                <w:rFonts w:ascii="宋体" w:hAnsi="宋体" w:cs="宋体"/>
                <w:strike/>
                <w:dstrike w:val="0"/>
                <w:color w:val="auto"/>
                <w:szCs w:val="21"/>
                <w:highlight w:val="none"/>
              </w:rPr>
              <w:t>http://www.gzggzy.cn/fwznbszycwxg/857020.jhtml</w:t>
            </w:r>
            <w:r>
              <w:rPr>
                <w:rFonts w:hint="eastAsia" w:ascii="宋体" w:hAnsi="宋体" w:cs="宋体"/>
                <w:strike/>
                <w:dstrike w:val="0"/>
                <w:color w:val="auto"/>
                <w:szCs w:val="21"/>
                <w:highlight w:val="none"/>
              </w:rPr>
              <w:t>。到账情况以开标时广州交易集团有限公司（广州公共资源交易中心）数据库查询信息为准。</w:t>
            </w:r>
          </w:p>
          <w:p>
            <w:pPr>
              <w:rPr>
                <w:rFonts w:hint="eastAsia" w:ascii="宋体" w:hAnsi="宋体" w:eastAsia="宋体" w:cs="宋体"/>
                <w:color w:val="auto"/>
                <w:szCs w:val="21"/>
                <w:highlight w:val="none"/>
                <w:lang w:eastAsia="zh-CN"/>
              </w:rPr>
            </w:pPr>
            <w:r>
              <w:rPr>
                <w:rFonts w:hint="eastAsia" w:ascii="宋体" w:hAnsi="宋体" w:cs="宋体"/>
                <w:strike/>
                <w:dstrike w:val="0"/>
                <w:color w:val="auto"/>
                <w:szCs w:val="21"/>
                <w:highlight w:val="none"/>
              </w:rPr>
              <w:t>5、投标保证金依据法律法规的相关规定退还</w:t>
            </w:r>
            <w:r>
              <w:rPr>
                <w:rFonts w:hint="eastAsia" w:ascii="宋体" w:hAnsi="宋体" w:cs="宋体"/>
                <w:strike/>
                <w:dstrike w:val="0"/>
                <w:color w:val="auto"/>
                <w:szCs w:val="21"/>
                <w:highlight w:val="none"/>
                <w:lang w:eastAsia="zh-CN"/>
              </w:rPr>
              <w:t>。</w:t>
            </w:r>
          </w:p>
          <w:p>
            <w:pPr>
              <w:rPr>
                <w:rFonts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2" w:type="dxa"/>
            <w:tcBorders>
              <w:top w:val="single" w:color="auto" w:sz="4" w:space="0"/>
              <w:left w:val="double" w:color="auto" w:sz="4" w:space="0"/>
              <w:bottom w:val="single" w:color="auto" w:sz="4" w:space="0"/>
              <w:right w:val="single" w:color="auto" w:sz="4" w:space="0"/>
            </w:tcBorders>
            <w:vAlign w:val="center"/>
          </w:tcPr>
          <w:p>
            <w:pPr>
              <w:ind w:firstLine="210" w:firstLineChars="100"/>
              <w:rPr>
                <w:rFonts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5</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pPr>
              <w:ind w:left="-38" w:leftChars="-18" w:right="-48" w:rightChars="-23"/>
              <w:jc w:val="left"/>
              <w:rPr>
                <w:rFonts w:hint="eastAsia" w:ascii="宋体" w:hAnsi="宋体" w:cs="宋体"/>
                <w:color w:val="auto"/>
                <w:kern w:val="2"/>
                <w:sz w:val="21"/>
                <w:szCs w:val="21"/>
                <w:highlight w:val="none"/>
                <w:u w:val="single"/>
              </w:rPr>
            </w:pPr>
            <w:r>
              <w:rPr>
                <w:rFonts w:hint="eastAsia" w:ascii="宋体" w:hAnsi="宋体"/>
                <w:color w:val="auto"/>
                <w:szCs w:val="21"/>
                <w:highlight w:val="none"/>
                <w:u w:val="single"/>
              </w:rPr>
              <w:t>时间：自招标公告发布之日起具备现场踏勘条件。</w:t>
            </w:r>
          </w:p>
          <w:p>
            <w:pPr>
              <w:pStyle w:val="22"/>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招标人不集中组织，由投标人自行踏勘</w:t>
            </w:r>
            <w:r>
              <w:rPr>
                <w:rFonts w:hint="eastAsia" w:ascii="宋体" w:hAnsi="宋体" w:cs="宋体"/>
                <w:color w:val="auto"/>
                <w:kern w:val="2"/>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8</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p>
          <w:p>
            <w:pPr>
              <w:rPr>
                <w:rFonts w:ascii="宋体" w:hAnsi="宋体" w:cs="宋体"/>
                <w:color w:val="auto"/>
                <w:szCs w:val="21"/>
                <w:highlight w:val="none"/>
              </w:rPr>
            </w:pPr>
            <w:r>
              <w:rPr>
                <w:rFonts w:hint="eastAsia" w:ascii="宋体" w:hAnsi="宋体" w:cs="宋体"/>
                <w:color w:val="auto"/>
                <w:szCs w:val="21"/>
                <w:highlight w:val="none"/>
              </w:rPr>
              <w:t>3、招标人澄清、修补或答疑期限：</w:t>
            </w:r>
            <w:r>
              <w:rPr>
                <w:rFonts w:hint="eastAsia" w:ascii="宋体" w:hAnsi="宋体" w:cs="宋体"/>
                <w:color w:val="auto"/>
                <w:szCs w:val="21"/>
                <w:highlight w:val="none"/>
                <w:u w:val="single"/>
              </w:rPr>
              <w:t>在递交投标文件截止日期前15日</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4、网上答疑的操作指南为：</w:t>
            </w:r>
            <w:r>
              <w:rPr>
                <w:rFonts w:hint="eastAsia" w:ascii="宋体" w:hAnsi="宋体" w:cs="宋体"/>
                <w:color w:val="auto"/>
                <w:szCs w:val="21"/>
                <w:highlight w:val="none"/>
                <w:u w:val="single"/>
              </w:rPr>
              <w:t>登陆广州公共资源交易中心网站→进入交易业务/</w:t>
            </w:r>
            <w:r>
              <w:rPr>
                <w:color w:val="auto"/>
                <w:highlight w:val="none"/>
              </w:rPr>
              <w:fldChar w:fldCharType="begin"/>
            </w:r>
            <w:r>
              <w:rPr>
                <w:color w:val="auto"/>
                <w:highlight w:val="none"/>
              </w:rPr>
              <w:instrText xml:space="preserve"> HYPERLINK "http://ggzy.gz.gov.cn/jyywjsgcfwjzzbgg/index.jhtml" </w:instrText>
            </w:r>
            <w:r>
              <w:rPr>
                <w:color w:val="auto"/>
                <w:highlight w:val="none"/>
              </w:rPr>
              <w:fldChar w:fldCharType="separate"/>
            </w:r>
            <w:r>
              <w:rPr>
                <w:rFonts w:hint="eastAsia" w:ascii="宋体" w:hAnsi="宋体" w:cs="宋体"/>
                <w:color w:val="auto"/>
                <w:szCs w:val="21"/>
                <w:highlight w:val="none"/>
                <w:u w:val="single"/>
              </w:rPr>
              <w:t>建设工程</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 xml:space="preserve"> “网上答疑”专区→通过项目编号或名称找到所需的项目→在上述的答疑时间内点击“提问”→登录系统进入到提问区域→无记名或匿名提出问题以及查看所有的问题。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时（北京时间）。</w:t>
            </w:r>
            <w:r>
              <w:rPr>
                <w:rFonts w:hint="eastAsia" w:ascii="宋体" w:hAnsi="宋体"/>
                <w:color w:val="auto"/>
                <w:szCs w:val="21"/>
                <w:highlight w:val="none"/>
              </w:rPr>
              <w:t>（详见广州</w:t>
            </w:r>
            <w:r>
              <w:rPr>
                <w:rFonts w:ascii="宋体" w:hAnsi="宋体"/>
                <w:color w:val="auto"/>
                <w:szCs w:val="21"/>
                <w:highlight w:val="none"/>
              </w:rPr>
              <w:t>公共资源交易中心</w:t>
            </w:r>
            <w:r>
              <w:rPr>
                <w:rFonts w:hint="eastAsia" w:ascii="宋体" w:hAnsi="宋体"/>
                <w:color w:val="auto"/>
                <w:szCs w:val="21"/>
                <w:highlight w:val="none"/>
              </w:rPr>
              <w:t>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（技术标和经济标同时开标）</w:t>
            </w:r>
          </w:p>
          <w:p>
            <w:pPr>
              <w:rPr>
                <w:rFonts w:ascii="宋体" w:hAnsi="宋体" w:cs="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广州公共资源交易中心第  开标室。</w:t>
            </w:r>
            <w:r>
              <w:rPr>
                <w:rFonts w:hint="eastAsia" w:ascii="宋体" w:hAnsi="宋体" w:cs="宋体"/>
                <w:color w:val="auto"/>
                <w:szCs w:val="21"/>
                <w:highlight w:val="none"/>
                <w:u w:val="none"/>
              </w:rPr>
              <w:t>投标人也可选择参加在线开标，具体按照交易平台相关指南进行操作。详见：</w:t>
            </w:r>
            <w:r>
              <w:rPr>
                <w:rFonts w:hint="eastAsia" w:ascii="宋体" w:hAnsi="宋体" w:cs="宋体"/>
                <w:color w:val="auto"/>
                <w:szCs w:val="21"/>
                <w:highlight w:val="none"/>
                <w:u w:val="single"/>
                <w:lang w:val="en-US" w:eastAsia="zh-CN"/>
              </w:rPr>
              <w:t>广州公共资源交易中心网站发布的最新版操作指引</w:t>
            </w:r>
            <w:r>
              <w:rPr>
                <w:rFonts w:hint="eastAsia" w:ascii="宋体" w:hAnsi="宋体" w:cs="宋体"/>
                <w:color w:val="auto"/>
                <w:szCs w:val="21"/>
                <w:highlight w:val="none"/>
                <w:u w:val="none"/>
              </w:rPr>
              <w:t>。</w:t>
            </w:r>
          </w:p>
          <w:p>
            <w:pPr>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highlight w:val="none"/>
                <w:u w:val="single"/>
              </w:rPr>
              <w:t>广州公共资源交易中心第  开标室。</w:t>
            </w:r>
            <w:r>
              <w:rPr>
                <w:rFonts w:hint="eastAsia" w:ascii="宋体" w:hAnsi="宋体" w:cs="宋体"/>
                <w:color w:val="auto"/>
                <w:highlight w:val="none"/>
              </w:rPr>
              <w:t>(建议安排在投标文件截止时间前15分钟至投标文件截止时间）</w:t>
            </w:r>
          </w:p>
          <w:p>
            <w:pPr>
              <w:rPr>
                <w:rFonts w:ascii="宋体" w:hAnsi="宋体" w:cs="宋体"/>
                <w:color w:val="auto"/>
                <w:szCs w:val="21"/>
                <w:highlight w:val="none"/>
              </w:rPr>
            </w:pPr>
            <w:r>
              <w:rPr>
                <w:rFonts w:hint="eastAsia" w:ascii="宋体" w:hAnsi="宋体" w:cs="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19</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26</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pPr>
              <w:pStyle w:val="5"/>
              <w:ind w:firstLine="0"/>
              <w:rPr>
                <w:rFonts w:ascii="宋体" w:hAnsi="宋体" w:cs="宋体"/>
                <w:color w:val="auto"/>
                <w:sz w:val="21"/>
                <w:szCs w:val="21"/>
                <w:highlight w:val="none"/>
              </w:rPr>
            </w:pPr>
            <w:r>
              <w:rPr>
                <w:rFonts w:hint="eastAsia" w:ascii="宋体" w:hAnsi="宋体" w:cs="宋体"/>
                <w:color w:val="auto"/>
                <w:sz w:val="21"/>
                <w:szCs w:val="21"/>
                <w:highlight w:val="none"/>
              </w:rPr>
              <w:t>投标人总得分=</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得分（100分）×</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得分权重（</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经济得分（100分）×经济得分权重（80%）。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29.1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s="宋体"/>
                <w:color w:val="auto"/>
                <w:kern w:val="2"/>
                <w:sz w:val="21"/>
                <w:szCs w:val="21"/>
                <w:highlight w:val="none"/>
                <w:u w:val="single"/>
              </w:rPr>
            </w:pPr>
            <w:r>
              <w:rPr>
                <w:rFonts w:hint="eastAsia" w:ascii="宋体" w:hAnsi="宋体" w:cs="宋体"/>
                <w:color w:val="auto"/>
                <w:sz w:val="21"/>
                <w:szCs w:val="21"/>
                <w:highlight w:val="none"/>
              </w:rPr>
              <w:t>方式一：中标人提供的履约保证金为中标价款的</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val="en-US" w:eastAsia="zh-CN"/>
              </w:rPr>
              <w:t xml:space="preserve"> 5358705.09</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lang w:val="en-US" w:eastAsia="zh-CN"/>
              </w:rPr>
              <w:t xml:space="preserve"> 328707.22 </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lang w:val="en-US" w:eastAsia="zh-CN"/>
              </w:rPr>
              <w:t>361714.32</w:t>
            </w:r>
            <w:r>
              <w:rPr>
                <w:rFonts w:hint="eastAsia" w:ascii="宋体" w:hAnsi="宋体" w:cs="宋体"/>
                <w:color w:val="auto"/>
                <w:szCs w:val="21"/>
                <w:highlight w:val="none"/>
              </w:rPr>
              <w:t>元，暂估价为</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pStyle w:val="5"/>
              <w:snapToGrid w:val="0"/>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val="en-US" w:eastAsia="zh-CN"/>
              </w:rPr>
              <w:t>款</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val="en-US" w:eastAsia="zh-CN"/>
              </w:rPr>
              <w:t>款</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lang w:val="en-US" w:eastAsia="zh-CN"/>
              </w:rPr>
              <w:t xml:space="preserve"> 4930008.68 </w:t>
            </w:r>
            <w:r>
              <w:rPr>
                <w:rFonts w:hint="eastAsia" w:ascii="宋体" w:hAnsi="宋体" w:cs="宋体"/>
                <w:color w:val="auto"/>
                <w:szCs w:val="21"/>
                <w:highlight w:val="none"/>
              </w:rPr>
              <w:t>元（按最高投标限价的</w:t>
            </w:r>
            <w:r>
              <w:rPr>
                <w:rFonts w:hint="eastAsia" w:ascii="宋体" w:hAnsi="宋体" w:cs="宋体"/>
                <w:color w:val="auto"/>
                <w:szCs w:val="21"/>
                <w:highlight w:val="none"/>
                <w:u w:val="single"/>
                <w:lang w:val="en-US" w:eastAsia="zh-CN"/>
              </w:rPr>
              <w:t>92</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val="en-US" w:eastAsia="zh-CN"/>
              </w:rPr>
              <w:t>款</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val="en-US" w:eastAsia="zh-CN"/>
              </w:rPr>
              <w:t>款</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val="en-US" w:eastAsia="zh-CN"/>
              </w:rPr>
              <w:t>款</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val="en-US" w:eastAsia="zh-CN"/>
              </w:rPr>
              <w:t>款</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Style w:val="140"/>
                <w:rFonts w:ascii="宋体" w:hAnsi="宋体"/>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建设工程质量检测管理办法</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pPr>
              <w:rPr>
                <w:rStyle w:val="140"/>
                <w:rFonts w:ascii="宋体" w:hAnsi="宋体"/>
                <w:color w:val="auto"/>
                <w:kern w:val="0"/>
                <w:szCs w:val="21"/>
                <w:highlight w:val="none"/>
                <w:lang w:val="zh-CN"/>
              </w:rPr>
            </w:pPr>
            <w:r>
              <w:rPr>
                <w:rFonts w:hint="eastAsia" w:ascii="宋体" w:hAnsi="宋体" w:cs="宋体"/>
                <w:color w:val="auto"/>
                <w:kern w:val="0"/>
                <w:szCs w:val="21"/>
                <w:highlight w:val="none"/>
                <w:lang w:val="zh-CN"/>
              </w:rPr>
              <w:t>■</w:t>
            </w:r>
            <w:r>
              <w:rPr>
                <w:rStyle w:val="140"/>
                <w:rFonts w:ascii="宋体" w:hAnsi="宋体"/>
                <w:color w:val="auto"/>
                <w:kern w:val="0"/>
                <w:szCs w:val="21"/>
                <w:highlight w:val="none"/>
                <w:lang w:val="zh-CN"/>
              </w:rPr>
              <w:t>不允许；</w:t>
            </w:r>
          </w:p>
          <w:p>
            <w:pPr>
              <w:rPr>
                <w:rFonts w:hint="default" w:ascii="宋体" w:hAnsi="宋体" w:eastAsia="宋体" w:cs="宋体"/>
                <w:color w:val="auto"/>
                <w:kern w:val="0"/>
                <w:szCs w:val="21"/>
                <w:highlight w:val="none"/>
                <w:lang w:val="en-US" w:eastAsia="zh-CN"/>
              </w:rPr>
            </w:pPr>
            <w:r>
              <w:rPr>
                <w:rStyle w:val="140"/>
                <w:rFonts w:hint="eastAsia" w:ascii="宋体" w:hAnsi="宋体"/>
                <w:color w:val="auto"/>
                <w:kern w:val="0"/>
                <w:szCs w:val="21"/>
                <w:highlight w:val="none"/>
                <w:lang w:val="zh-CN"/>
              </w:rPr>
              <w:t>□</w:t>
            </w: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lang w:val="en-US" w:eastAsia="zh-CN"/>
              </w:rPr>
              <w:t xml:space="preserve">   </w:t>
            </w:r>
          </w:p>
          <w:p>
            <w:pP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en-US" w:eastAsia="zh-CN"/>
              </w:rPr>
              <w:t xml:space="preserve">   </w:t>
            </w:r>
          </w:p>
          <w:p>
            <w:pP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en-US" w:eastAsia="zh-CN"/>
              </w:rPr>
              <w:t xml:space="preserve">  </w:t>
            </w:r>
          </w:p>
          <w:p>
            <w:pP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【房建市政】【交易系统】【投标人】全流程电子化交易系统操作手册</w:t>
            </w:r>
            <w:r>
              <w:rPr>
                <w:rFonts w:hint="eastAsia"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2、提交投标文件光盘备用</w:t>
            </w:r>
          </w:p>
          <w:p>
            <w:pPr>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宋体"/>
                <w:color w:val="auto"/>
                <w:szCs w:val="21"/>
                <w:highlight w:val="none"/>
              </w:rPr>
            </w:pPr>
            <w:r>
              <w:rPr>
                <w:rFonts w:hint="eastAsia" w:ascii="宋体" w:hAnsi="宋体" w:cs="宋体"/>
                <w:color w:val="auto"/>
                <w:szCs w:val="21"/>
                <w:highlight w:val="none"/>
              </w:rPr>
              <w:t xml:space="preserve"> 3、补救方案</w:t>
            </w:r>
          </w:p>
          <w:p>
            <w:pPr>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pPr>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pPr>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pacing w:before="156" w:beforeLines="5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其他费用</w:t>
            </w:r>
          </w:p>
        </w:tc>
        <w:tc>
          <w:tcPr>
            <w:tcW w:w="6048" w:type="dxa"/>
            <w:tcBorders>
              <w:top w:val="single" w:color="auto" w:sz="4" w:space="0"/>
              <w:left w:val="single" w:color="auto" w:sz="4" w:space="0"/>
              <w:bottom w:val="single" w:color="auto" w:sz="4" w:space="0"/>
              <w:right w:val="double" w:color="auto" w:sz="4" w:space="0"/>
            </w:tcBorders>
            <w:vAlign w:val="center"/>
          </w:tcPr>
          <w:p>
            <w:pPr>
              <w:adjustRightInd w:val="0"/>
              <w:spacing w:before="156" w:beforeLines="50"/>
              <w:rPr>
                <w:rFonts w:ascii="宋体" w:hAnsi="宋体" w:eastAsia="宋体" w:cs="宋体"/>
                <w:b/>
                <w:bCs/>
                <w:color w:val="auto"/>
                <w:kern w:val="2"/>
                <w:sz w:val="21"/>
                <w:szCs w:val="21"/>
                <w:highlight w:val="none"/>
                <w:u w:val="single"/>
                <w:lang w:val="en-US" w:eastAsia="zh-CN" w:bidi="ar-SA"/>
              </w:rPr>
            </w:pPr>
            <w:r>
              <w:rPr>
                <w:rFonts w:hint="eastAsia" w:ascii="宋体" w:hAnsi="宋体" w:cs="宋体"/>
                <w:color w:val="auto"/>
                <w:szCs w:val="21"/>
                <w:highlight w:val="none"/>
                <w:u w:val="single"/>
              </w:rPr>
              <w:t>交易服务费：由中标人支付，根据政府相关文件规定缴纳。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投标文件份数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highlight w:val="none"/>
              </w:rPr>
            </w:pPr>
            <w:r>
              <w:rPr>
                <w:rFonts w:hint="eastAsia" w:ascii="宋体" w:hAnsi="宋体" w:cs="宋体"/>
                <w:color w:val="auto"/>
                <w:highlight w:val="none"/>
              </w:rPr>
              <w:t>投标文件为含电子签章的加密电子投标文件1套。</w:t>
            </w:r>
          </w:p>
          <w:p>
            <w:pP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highlight w:val="none"/>
              </w:rPr>
              <w:t>项目中标后，在发出中标通知书前，中标单位必须提供投标文件纸质版4套，电子版（造价部分需提供软件版本及导出清单）1套。</w:t>
            </w:r>
          </w:p>
        </w:tc>
      </w:tr>
    </w:tbl>
    <w:p>
      <w:pPr>
        <w:pStyle w:val="7"/>
        <w:rPr>
          <w:rFonts w:ascii="宋体" w:hAnsi="宋体" w:cs="宋体"/>
          <w:color w:val="auto"/>
          <w:highlight w:val="none"/>
        </w:rPr>
      </w:pPr>
      <w:r>
        <w:rPr>
          <w:rFonts w:hint="eastAsia" w:ascii="宋体" w:hAnsi="宋体" w:cs="宋体"/>
          <w:color w:val="auto"/>
          <w:highlight w:val="none"/>
        </w:rPr>
        <w:br w:type="page"/>
      </w:r>
      <w:bookmarkStart w:id="2" w:name="_Toc12984"/>
      <w:r>
        <w:rPr>
          <w:rFonts w:hint="eastAsia" w:ascii="宋体" w:hAnsi="宋体" w:cs="宋体"/>
          <w:color w:val="auto"/>
          <w:highlight w:val="none"/>
        </w:rPr>
        <w:t>二、投标须知修改表</w:t>
      </w:r>
      <w:bookmarkEnd w:id="2"/>
    </w:p>
    <w:p>
      <w:pPr>
        <w:pStyle w:val="5"/>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"http://www.gzcc.gov.cn/）下载查阅" </w:instrText>
      </w:r>
      <w:r>
        <w:rPr>
          <w:color w:val="auto"/>
          <w:highlight w:val="none"/>
        </w:rPr>
        <w:fldChar w:fldCharType="separate"/>
      </w:r>
      <w:r>
        <w:rPr>
          <w:rFonts w:hint="eastAsia" w:ascii="宋体" w:hAnsi="宋体" w:cs="宋体"/>
          <w:b/>
          <w:color w:val="auto"/>
          <w:sz w:val="21"/>
          <w:szCs w:val="21"/>
          <w:highlight w:val="none"/>
          <w:lang w:eastAsia="zh-CN"/>
        </w:rPr>
        <w:t>http://zfcj.gz.gov.cn/</w:t>
      </w:r>
      <w:r>
        <w:rPr>
          <w:rFonts w:hint="eastAsia" w:ascii="宋体" w:hAnsi="宋体" w:cs="宋体"/>
          <w:b/>
          <w:color w:val="auto"/>
          <w:sz w:val="21"/>
          <w:szCs w:val="21"/>
          <w:highlight w:val="none"/>
        </w:rPr>
        <w:t>）下载查阅</w:t>
      </w:r>
      <w:r>
        <w:rPr>
          <w:rFonts w:hint="eastAsia" w:ascii="宋体" w:hAnsi="宋体" w:cs="宋体"/>
          <w:b/>
          <w:color w:val="auto"/>
          <w:sz w:val="21"/>
          <w:szCs w:val="21"/>
          <w:highlight w:val="none"/>
        </w:rPr>
        <w:fldChar w:fldCharType="end"/>
      </w:r>
      <w:r>
        <w:rPr>
          <w:rFonts w:hint="eastAsia" w:ascii="宋体" w:hAnsi="宋体" w:cs="宋体"/>
          <w:b/>
          <w:color w:val="auto"/>
          <w:sz w:val="21"/>
          <w:szCs w:val="21"/>
          <w:highlight w:val="none"/>
        </w:rPr>
        <w:t>。</w:t>
      </w:r>
    </w:p>
    <w:p>
      <w:pPr>
        <w:tabs>
          <w:tab w:val="left" w:pos="5620"/>
        </w:tabs>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检工作。</w:t>
      </w:r>
    </w:p>
    <w:p>
      <w:pPr>
        <w:tabs>
          <w:tab w:val="left" w:pos="5620"/>
        </w:tabs>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tabs>
          <w:tab w:val="left" w:pos="5620"/>
        </w:tabs>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原文：5</w:t>
      </w:r>
      <w:r>
        <w:rPr>
          <w:rFonts w:hint="eastAsia" w:ascii="宋体" w:hAnsi="宋体" w:cs="宋体"/>
          <w:color w:val="auto"/>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pPr>
        <w:tabs>
          <w:tab w:val="left" w:pos="5620"/>
        </w:tabs>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7.1</w:t>
      </w:r>
      <w:r>
        <w:rPr>
          <w:rFonts w:hint="eastAsia" w:ascii="宋体" w:hAnsi="宋体" w:cs="宋体"/>
          <w:b/>
          <w:color w:val="auto"/>
          <w:szCs w:val="21"/>
          <w:highlight w:val="none"/>
        </w:rPr>
        <w:t xml:space="preserve">            修改类型：修改</w:t>
      </w:r>
      <w:r>
        <w:rPr>
          <w:rFonts w:hint="eastAsia" w:ascii="宋体" w:hAnsi="宋体" w:cs="宋体"/>
          <w:b/>
          <w:color w:val="auto"/>
          <w:szCs w:val="21"/>
          <w:highlight w:val="none"/>
        </w:rPr>
        <w:tab/>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5"/>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5"/>
        <w:spacing w:after="0" w:line="360" w:lineRule="auto"/>
        <w:ind w:left="-2"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第三章  合同条款（另册）</w:t>
      </w:r>
    </w:p>
    <w:p>
      <w:pPr>
        <w:pStyle w:val="5"/>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5"/>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8.1         </w:t>
      </w:r>
      <w:r>
        <w:rPr>
          <w:rFonts w:hint="eastAsia" w:ascii="宋体" w:hAnsi="宋体" w:cs="宋体"/>
          <w:b/>
          <w:color w:val="auto"/>
          <w:szCs w:val="21"/>
          <w:highlight w:val="none"/>
        </w:rPr>
        <w:t>修改类型：修改</w:t>
      </w:r>
    </w:p>
    <w:p>
      <w:pPr>
        <w:pStyle w:val="5"/>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Bdr>
          <w:bottom w:val="single" w:color="auto" w:sz="6" w:space="1"/>
        </w:pBdr>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8.1投标人若对招标文件（包括招标图纸）中有疑问，可以通过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交易平台提交给招标人或招标代理人，提交形式见本须知前附表第16项。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8.2</w:t>
      </w:r>
      <w:r>
        <w:rPr>
          <w:rFonts w:hint="eastAsia" w:ascii="宋体" w:hAnsi="宋体" w:cs="宋体"/>
          <w:b/>
          <w:color w:val="auto"/>
          <w:szCs w:val="21"/>
          <w:highlight w:val="none"/>
        </w:rPr>
        <w:t xml:space="preserve">             修改类型：修改</w:t>
      </w:r>
    </w:p>
    <w:p>
      <w:pPr>
        <w:pStyle w:val="5"/>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9.2</w:t>
      </w:r>
      <w:r>
        <w:rPr>
          <w:rFonts w:hint="eastAsia" w:ascii="宋体" w:hAnsi="宋体" w:cs="宋体"/>
          <w:b/>
          <w:color w:val="auto"/>
          <w:szCs w:val="21"/>
          <w:highlight w:val="none"/>
        </w:rPr>
        <w:t xml:space="preserve">             修改类型：修改</w:t>
      </w:r>
    </w:p>
    <w:p>
      <w:pPr>
        <w:pStyle w:val="5"/>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9.4             </w:t>
      </w:r>
      <w:r>
        <w:rPr>
          <w:rFonts w:hint="eastAsia" w:ascii="宋体" w:hAnsi="宋体" w:cs="宋体"/>
          <w:b/>
          <w:color w:val="auto"/>
          <w:szCs w:val="21"/>
          <w:highlight w:val="none"/>
        </w:rPr>
        <w:t>修改类型：修改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w:t>
      </w:r>
      <w:r>
        <w:rPr>
          <w:rFonts w:hint="eastAsia" w:ascii="宋体" w:hAnsi="宋体" w:cs="宋体"/>
          <w:color w:val="auto"/>
          <w:szCs w:val="21"/>
          <w:highlight w:val="none"/>
          <w:u w:val="single"/>
        </w:rPr>
        <w:t>以广州公共资源交易中心网站发布</w:t>
      </w:r>
      <w:r>
        <w:rPr>
          <w:rFonts w:hint="eastAsia" w:ascii="宋体" w:hAnsi="宋体" w:cs="宋体"/>
          <w:color w:val="auto"/>
          <w:szCs w:val="21"/>
          <w:highlight w:val="none"/>
        </w:rPr>
        <w:t>的内容为准。当招标文件的澄清、修改、补充等在同一内容的表述不一致时，</w:t>
      </w:r>
      <w:r>
        <w:rPr>
          <w:rFonts w:hint="eastAsia" w:ascii="宋体" w:hAnsi="宋体" w:cs="宋体"/>
          <w:color w:val="auto"/>
          <w:szCs w:val="21"/>
          <w:highlight w:val="none"/>
          <w:u w:val="single"/>
        </w:rPr>
        <w:t>以广州公共资源交易中心网站最后发布的内容为准</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Cs/>
          <w:color w:val="auto"/>
          <w:szCs w:val="21"/>
          <w:highlight w:val="none"/>
        </w:rPr>
        <w:t>11.2</w:t>
      </w:r>
      <w:r>
        <w:rPr>
          <w:rFonts w:hint="eastAsia" w:ascii="宋体" w:hAnsi="宋体" w:cs="宋体"/>
          <w:b/>
          <w:color w:val="auto"/>
          <w:szCs w:val="21"/>
          <w:highlight w:val="none"/>
        </w:rPr>
        <w:t xml:space="preserve">            修改类型：修改</w:t>
      </w:r>
    </w:p>
    <w:p>
      <w:pPr>
        <w:pStyle w:val="5"/>
        <w:rPr>
          <w:rFonts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11.2.3项目管理机构配备。</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（1）投标人应列出该项目工程的施工组织机构构成和画出机构框架图及其负责人；</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（2）投标人应详细列出该施工组织机构中主要成员的名单、简历资料、职务职称和在本项目中拟担任的职务等资料，并附上有关证明材料扫描件；</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（3）其他辅助说明资料。</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11.2.4投标人在广州市可使用适合本工程的机械设备（附：机械设备为自有或租赁的说明；及承诺机械设备如属于租赁的，其租赁是不属于重复租赁）。</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11.2.5施工组织设计或施工方案。</w:t>
      </w:r>
    </w:p>
    <w:p>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11.2.6按照招标文件要求填写的《参与编制技术标投标文件人员名单》。</w:t>
      </w:r>
    </w:p>
    <w:p>
      <w:pPr>
        <w:tabs>
          <w:tab w:val="left" w:pos="1125"/>
        </w:tabs>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11.2投标文件技术标部分</w:t>
      </w:r>
      <w:r>
        <w:rPr>
          <w:rFonts w:hint="eastAsia" w:ascii="宋体" w:hAnsi="宋体" w:cs="宋体"/>
          <w:bCs/>
          <w:color w:val="auto"/>
          <w:szCs w:val="21"/>
          <w:highlight w:val="none"/>
          <w:u w:val="single"/>
        </w:rPr>
        <w:t>（含资格审查文件）</w:t>
      </w:r>
      <w:r>
        <w:rPr>
          <w:rFonts w:hint="eastAsia" w:ascii="宋体" w:hAnsi="宋体" w:cs="宋体"/>
          <w:color w:val="auto"/>
          <w:szCs w:val="21"/>
          <w:highlight w:val="none"/>
        </w:rPr>
        <w:t>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bCs/>
          <w:color w:val="auto"/>
          <w:szCs w:val="21"/>
          <w:highlight w:val="none"/>
          <w:u w:val="single"/>
          <w:lang w:val="en-US" w:eastAsia="zh-CN"/>
        </w:rPr>
        <w:t>目录</w:t>
      </w:r>
      <w:r>
        <w:rPr>
          <w:rFonts w:hint="eastAsia" w:ascii="宋体" w:hAnsi="宋体" w:cs="宋体"/>
          <w:bCs/>
          <w:color w:val="auto"/>
          <w:szCs w:val="21"/>
          <w:highlight w:val="none"/>
          <w:u w:val="singl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投标人声明（按招标公告附件一的格式及内容提交）；</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u w:val="single"/>
        </w:rPr>
        <w:t>拟委派技术负责人的职称证书扫描件；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u w:val="single"/>
        </w:rPr>
        <w:t>拟委派项目负责人的建造师注册证书（取自平台内上传件）；</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u w:val="single"/>
        </w:rPr>
        <w:t>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u w:val="single"/>
        </w:rPr>
        <w:t>专职安全员须具有在有效期内的安全考核合格证书（C类）或建筑施工企业专职安全生产管理人员安全生产考核合格证书（C3类）（取自平台内上传件），项目负责人和安全员不为同一人；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u w:val="singl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11.2.4 投标人廉洁承诺书（技术部分格式4）</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11.2.5 企业资信等相关资料（技术部分格式5）：按《技术标详细审查评分表》要求提交。</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11.2.6 施工技术承诺书（技术部分格式6）</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11.2.7参与编制技术标投标文件人员名单（技术部分格式7）</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11.2.8拟投入施工项目管理团队人员信息表（技术部分格式8）</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11.2.9技术负责人（或其他项目管理机构人员）基本情况表（技术部分格式9）</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危险性较大的分部分项工程清单及超过一定规模的危险性较大的分部分项工程清单（技术部分格式1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w:t>
      </w:r>
    </w:p>
    <w:p>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条款号：  11.3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11.3 经济部分投标文件主要包括下列内容：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p>
    <w:p>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lang w:val="en-US" w:eastAsia="zh-CN"/>
        </w:rPr>
        <w:t>目录</w:t>
      </w:r>
      <w:r>
        <w:rPr>
          <w:rFonts w:hint="eastAsia" w:ascii="宋体" w:hAnsi="宋体" w:cs="宋体"/>
          <w:color w:val="auto"/>
          <w:szCs w:val="21"/>
          <w:highlight w:val="none"/>
          <w:u w:val="single"/>
        </w:rPr>
        <w:t>。</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none"/>
        </w:rPr>
        <w:t>11.3.</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single"/>
        </w:rPr>
        <w:t>广州建设工程施工招标投标书（经济部分格式2）</w:t>
      </w:r>
      <w:r>
        <w:rPr>
          <w:rFonts w:hint="eastAsia" w:ascii="宋体" w:hAnsi="宋体" w:cs="宋体"/>
          <w:color w:val="auto"/>
          <w:szCs w:val="21"/>
          <w:highlight w:val="none"/>
        </w:rPr>
        <w:t>。</w:t>
      </w:r>
    </w:p>
    <w:p>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（投标报价的工程量清单的组成、格式等由广州公共资源交易中心的投标文件管理软件自动生成）</w:t>
      </w:r>
    </w:p>
    <w:p>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none"/>
        </w:rPr>
        <w:t>11.3.</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single"/>
        </w:rPr>
        <w:t>《对投标文件编制的承诺》（经济部分格式5）。</w:t>
      </w:r>
    </w:p>
    <w:p>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12.2       </w:t>
      </w:r>
      <w:r>
        <w:rPr>
          <w:rFonts w:hint="eastAsia" w:ascii="宋体" w:hAnsi="宋体" w:cs="宋体"/>
          <w:b/>
          <w:color w:val="auto"/>
          <w:szCs w:val="21"/>
          <w:highlight w:val="none"/>
        </w:rPr>
        <w:t>修改类型：修改</w:t>
      </w:r>
    </w:p>
    <w:p>
      <w:pPr>
        <w:pStyle w:val="5"/>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原文：</w:t>
      </w:r>
      <w:r>
        <w:rPr>
          <w:rFonts w:hint="eastAsia" w:ascii="宋体" w:hAnsi="宋体" w:cs="宋体"/>
          <w:color w:val="auto"/>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12.3       </w:t>
      </w:r>
      <w:r>
        <w:rPr>
          <w:rFonts w:hint="eastAsia" w:ascii="宋体" w:hAnsi="宋体" w:cs="宋体"/>
          <w:b/>
          <w:color w:val="auto"/>
          <w:szCs w:val="21"/>
          <w:highlight w:val="none"/>
        </w:rPr>
        <w:t>修改类型：修改</w:t>
      </w:r>
    </w:p>
    <w:p>
      <w:pPr>
        <w:pStyle w:val="8"/>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u w:val="none"/>
        </w:rPr>
        <w:t>如不按上述要求编制引起系统无法检索、读取相关信息的，其后果由投标人承担。</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除招标文件第三章合同条款另有约定外</w:t>
      </w:r>
      <w:r>
        <w:rPr>
          <w:rFonts w:hint="eastAsia" w:ascii="宋体" w:hAnsi="宋体" w:cs="宋体"/>
          <w:color w:val="auto"/>
          <w:szCs w:val="21"/>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Cs w:val="21"/>
          <w:highlight w:val="none"/>
          <w:u w:val="single"/>
        </w:rPr>
        <w:t>按招标文件第三章合同条款相关约定调整</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13.5工程项目实施期间……，中标后双方协商约定。</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变更结算方式按招标文件及施工合同相关规定执行。</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 xml:space="preserve">13.9 </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条款号：16.1-16.5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Bdr>
          <w:bottom w:val="single" w:color="auto" w:sz="6" w:space="1"/>
        </w:pBdr>
        <w:spacing w:line="360" w:lineRule="auto"/>
        <w:ind w:firstLine="527" w:firstLineChars="25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16.1投标人应按投标须知前附表第14项所述金额和时间递交投标保证金。</w:t>
      </w:r>
      <w:r>
        <w:rPr>
          <w:rFonts w:hint="eastAsia" w:ascii="宋体" w:hAnsi="宋体" w:cs="宋体"/>
          <w:bCs/>
          <w:color w:val="auto"/>
          <w:szCs w:val="21"/>
          <w:highlight w:val="none"/>
          <w:u w:val="single"/>
        </w:rPr>
        <w:t>招标人应当允许投标人自主选择现金、银行保函、保证保险、专业工程担保公司担保等方式缴纳投标保证金。</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16.1.1 采用现金</w:t>
      </w:r>
      <w:r>
        <w:rPr>
          <w:rFonts w:hint="eastAsia" w:ascii="宋体" w:hAnsi="宋体" w:cs="宋体"/>
          <w:bCs/>
          <w:color w:val="auto"/>
          <w:szCs w:val="21"/>
          <w:highlight w:val="none"/>
          <w:u w:val="single"/>
        </w:rPr>
        <w:t>或者支票</w:t>
      </w:r>
      <w:r>
        <w:rPr>
          <w:rFonts w:hint="eastAsia" w:ascii="宋体" w:hAnsi="宋体" w:cs="宋体"/>
          <w:bCs/>
          <w:color w:val="auto"/>
          <w:szCs w:val="21"/>
          <w:highlight w:val="none"/>
        </w:rPr>
        <w:t>形式提交的，投标保证金须从投标人的银行基本账户转出。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16.1.3 采用电子形式的保函、担保或保证保险提交投标保证金的，应在招标文件中明确电子递交途径。</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16.3投标保证金应依据法律法规的相关规定退还。</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16.4如有下列情况之一的，招标人将不予退还投标保证金：</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16.4.1因投标人原因造成投标文件未解密的；</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16.4.2投标人在投标有效期内撤销投标文件；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16.4.3中标人未能在规定期限内按要求提交履约担保；</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16.4.4中标人未能在规定期限内签署合同协议。</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16.5</w:t>
      </w:r>
      <w:r>
        <w:rPr>
          <w:rFonts w:hint="eastAsia" w:ascii="宋体" w:hAnsi="宋体" w:cs="宋体"/>
          <w:color w:val="auto"/>
          <w:kern w:val="0"/>
          <w:szCs w:val="24"/>
          <w:highlight w:val="none"/>
          <w:u w:val="single"/>
        </w:rPr>
        <w:t>投标人如存在下列情况之一的，将被拒绝在一定时期内参与招标人后续工程投标（拒绝投标时限为</w:t>
      </w:r>
      <w:r>
        <w:rPr>
          <w:rFonts w:hint="eastAsia" w:ascii="宋体" w:hAnsi="宋体" w:cs="宋体"/>
          <w:color w:val="auto"/>
          <w:kern w:val="0"/>
          <w:szCs w:val="24"/>
          <w:highlight w:val="none"/>
          <w:u w:val="single"/>
          <w:lang w:val="en-US" w:eastAsia="zh-CN"/>
        </w:rPr>
        <w:t>1年</w:t>
      </w:r>
      <w:r>
        <w:rPr>
          <w:rFonts w:hint="eastAsia" w:ascii="宋体" w:hAnsi="宋体" w:cs="宋体"/>
          <w:color w:val="auto"/>
          <w:kern w:val="0"/>
          <w:szCs w:val="24"/>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17.1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18、19</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pStyle w:val="5"/>
        <w:spacing w:after="0" w:line="360" w:lineRule="auto"/>
        <w:ind w:firstLine="422" w:firstLineChars="200"/>
        <w:rPr>
          <w:rFonts w:ascii="宋体" w:hAnsi="宋体" w:cs="宋体"/>
          <w:b/>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19.5技术标和经济标同时开启，广州公共资源交易中心交易平台将按招标文件规定的时间同时开启技术标和经济标。</w:t>
      </w:r>
    </w:p>
    <w:p>
      <w:pPr>
        <w:adjustRightInd w:val="0"/>
        <w:spacing w:line="360" w:lineRule="auto"/>
        <w:ind w:firstLine="470" w:firstLineChars="223"/>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adjustRightInd w:val="0"/>
        <w:spacing w:line="360" w:lineRule="auto"/>
        <w:ind w:firstLine="472" w:firstLineChars="224"/>
        <w:rPr>
          <w:rFonts w:ascii="宋体" w:hAnsi="宋体" w:cs="宋体"/>
          <w:b/>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527" w:firstLineChars="250"/>
        <w:rPr>
          <w:rFonts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20.3 到投标截止时间止，招标人收到的投标文件少于</w:t>
      </w:r>
      <w:r>
        <w:rPr>
          <w:rFonts w:hint="eastAsia" w:ascii="宋体" w:hAnsi="宋体" w:cs="宋体"/>
          <w:color w:val="auto"/>
          <w:szCs w:val="21"/>
          <w:highlight w:val="none"/>
          <w:u w:val="single"/>
        </w:rPr>
        <w:t>3家</w:t>
      </w:r>
      <w:r>
        <w:rPr>
          <w:rFonts w:hint="eastAsia" w:ascii="宋体" w:hAnsi="宋体" w:cs="宋体"/>
          <w:color w:val="auto"/>
          <w:szCs w:val="21"/>
          <w:highlight w:val="none"/>
        </w:rPr>
        <w:t>的，招标人将重新组织招标。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21.1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27.1招标人将在交易平台、广东省招标投标监管网和中国招标投标公共服务平台公示中标候选人，公示期为三天。</w:t>
      </w:r>
      <w:r>
        <w:rPr>
          <w:rFonts w:hint="eastAsia" w:ascii="宋体" w:hAnsi="宋体" w:cs="宋体"/>
          <w:b/>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宋体" w:hAnsi="宋体" w:cs="宋体"/>
          <w:b/>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27.4</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27.4在产生中标候选人后，招标人将中标候选人的投标文件商务部分文件的所有内容（包括人员、业绩、奖项等资料）在交易平台和广东省招标投标监管网公开。</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条款号：29.1  29.2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29.1在签订合同后15日内，中标人应按本须知前附表第20项的规定向招标人提交履约担保；</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color w:val="auto"/>
          <w:szCs w:val="21"/>
          <w:highlight w:val="non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pPr>
        <w:pStyle w:val="8"/>
        <w:spacing w:line="360" w:lineRule="auto"/>
        <w:ind w:firstLine="422" w:firstLineChars="200"/>
        <w:rPr>
          <w:rFonts w:ascii="宋体" w:hAnsi="宋体" w:cs="宋体"/>
          <w:b/>
          <w:bCs/>
          <w:color w:val="auto"/>
          <w:szCs w:val="21"/>
          <w:highlight w:val="none"/>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418" w:bottom="1247" w:left="1418" w:header="851" w:footer="907" w:gutter="0"/>
          <w:cols w:space="720" w:num="1"/>
          <w:titlePg/>
          <w:docGrid w:type="lines" w:linePitch="312" w:charSpace="0"/>
        </w:sectPr>
      </w:pPr>
    </w:p>
    <w:p>
      <w:pPr>
        <w:pStyle w:val="7"/>
        <w:rPr>
          <w:rFonts w:ascii="宋体" w:hAnsi="宋体" w:cs="宋体"/>
          <w:color w:val="auto"/>
          <w:highlight w:val="none"/>
        </w:rPr>
      </w:pPr>
      <w:bookmarkStart w:id="3" w:name="_Toc24881"/>
      <w:r>
        <w:rPr>
          <w:rFonts w:hint="eastAsia" w:ascii="宋体" w:hAnsi="宋体" w:cs="宋体"/>
          <w:color w:val="auto"/>
          <w:highlight w:val="none"/>
        </w:rPr>
        <w:t>三、投标须知通用条款</w:t>
      </w:r>
      <w:bookmarkEnd w:id="3"/>
    </w:p>
    <w:p>
      <w:pPr>
        <w:pStyle w:val="9"/>
        <w:spacing w:before="156" w:after="156"/>
        <w:rPr>
          <w:rFonts w:cs="宋体"/>
          <w:color w:val="auto"/>
          <w:highlight w:val="none"/>
        </w:rPr>
      </w:pPr>
      <w:bookmarkStart w:id="4" w:name="_Toc21525493"/>
      <w:bookmarkStart w:id="5" w:name="_Toc2272549"/>
      <w:bookmarkStart w:id="6" w:name="_Toc373"/>
      <w:r>
        <w:rPr>
          <w:rFonts w:hint="eastAsia" w:cs="宋体"/>
          <w:color w:val="auto"/>
          <w:highlight w:val="none"/>
        </w:rPr>
        <w:t>（一）总则</w:t>
      </w:r>
      <w:bookmarkEnd w:id="4"/>
      <w:bookmarkEnd w:id="5"/>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1、定义</w:t>
      </w:r>
    </w:p>
    <w:p>
      <w:pPr>
        <w:pStyle w:val="5"/>
        <w:spacing w:after="0"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pPr>
        <w:pStyle w:val="5"/>
        <w:spacing w:after="0"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（2）“投标人”指向招标人提交投标文件的当事人。   </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pPr>
        <w:pStyle w:val="5"/>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2、招标说明</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2.3设计说明：详见招标图纸。</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2.4工程施工特点：详见招标图纸。</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3．资金来源</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4．合格投标人的条件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4.1详见本项目招标公告</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5．踏勘现场</w:t>
      </w:r>
    </w:p>
    <w:p>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6．投标费用</w:t>
      </w:r>
    </w:p>
    <w:p>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9"/>
        <w:spacing w:before="156" w:after="156"/>
        <w:rPr>
          <w:rFonts w:cs="宋体"/>
          <w:color w:val="auto"/>
          <w:highlight w:val="none"/>
        </w:rPr>
      </w:pPr>
      <w:bookmarkStart w:id="7" w:name="_Toc2272550"/>
      <w:bookmarkStart w:id="8" w:name="_Toc21525494"/>
      <w:r>
        <w:rPr>
          <w:rFonts w:hint="eastAsia" w:cs="宋体"/>
          <w:color w:val="auto"/>
          <w:highlight w:val="none"/>
        </w:rPr>
        <w:t>（二）招标文件</w:t>
      </w:r>
      <w:bookmarkEnd w:id="7"/>
      <w:bookmarkEnd w:id="8"/>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7.招标文件的组成</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第一章  </w:t>
      </w:r>
      <w:r>
        <w:rPr>
          <w:rFonts w:hint="eastAsia" w:ascii="宋体" w:hAnsi="宋体" w:cs="宋体"/>
          <w:color w:val="auto"/>
          <w:sz w:val="24"/>
          <w:highlight w:val="none"/>
        </w:rPr>
        <w:t>投标须知</w:t>
      </w:r>
    </w:p>
    <w:p>
      <w:pPr>
        <w:pStyle w:val="5"/>
        <w:spacing w:after="0" w:line="360" w:lineRule="auto"/>
        <w:ind w:left="-2"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第二章  </w:t>
      </w:r>
      <w:r>
        <w:rPr>
          <w:rFonts w:hint="eastAsia" w:ascii="宋体" w:hAnsi="宋体" w:cs="宋体"/>
          <w:color w:val="auto"/>
          <w:sz w:val="24"/>
          <w:highlight w:val="none"/>
        </w:rPr>
        <w:t>开标、评标及定标办法</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第三章  合同条款</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第四章  </w:t>
      </w:r>
      <w:r>
        <w:rPr>
          <w:rFonts w:hint="eastAsia" w:ascii="宋体" w:hAnsi="宋体" w:cs="宋体"/>
          <w:color w:val="auto"/>
          <w:sz w:val="24"/>
          <w:highlight w:val="none"/>
        </w:rPr>
        <w:t>投标文件格式</w:t>
      </w:r>
    </w:p>
    <w:p>
      <w:pPr>
        <w:pStyle w:val="5"/>
        <w:spacing w:after="0" w:line="360" w:lineRule="auto"/>
        <w:ind w:left="-2"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第五章  </w:t>
      </w:r>
      <w:r>
        <w:rPr>
          <w:rFonts w:hint="eastAsia" w:ascii="宋体" w:hAnsi="宋体" w:cs="宋体"/>
          <w:color w:val="auto"/>
          <w:sz w:val="24"/>
          <w:highlight w:val="none"/>
        </w:rPr>
        <w:t>技术条件（工程建设标准）（另册）</w:t>
      </w:r>
    </w:p>
    <w:p>
      <w:pPr>
        <w:pStyle w:val="5"/>
        <w:spacing w:after="0" w:line="360" w:lineRule="auto"/>
        <w:ind w:left="-2"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第六章  </w:t>
      </w:r>
      <w:r>
        <w:rPr>
          <w:rFonts w:hint="eastAsia" w:ascii="宋体" w:hAnsi="宋体" w:cs="宋体"/>
          <w:color w:val="auto"/>
          <w:sz w:val="24"/>
          <w:highlight w:val="none"/>
        </w:rPr>
        <w:t>图纸及勘察资料（另册）</w:t>
      </w:r>
    </w:p>
    <w:p>
      <w:pPr>
        <w:pStyle w:val="5"/>
        <w:spacing w:after="0" w:line="360" w:lineRule="auto"/>
        <w:ind w:left="-2" w:firstLine="480" w:firstLineChars="200"/>
        <w:rPr>
          <w:rFonts w:ascii="宋体" w:hAnsi="宋体" w:cs="宋体"/>
          <w:color w:val="auto"/>
          <w:sz w:val="24"/>
          <w:highlight w:val="none"/>
        </w:rPr>
      </w:pPr>
      <w:r>
        <w:rPr>
          <w:rFonts w:hint="eastAsia" w:ascii="宋体" w:hAnsi="宋体" w:cs="宋体"/>
          <w:bCs/>
          <w:color w:val="auto"/>
          <w:sz w:val="24"/>
          <w:highlight w:val="none"/>
        </w:rPr>
        <w:t>第七章  招标</w:t>
      </w:r>
      <w:r>
        <w:rPr>
          <w:rFonts w:hint="eastAsia" w:ascii="宋体" w:hAnsi="宋体" w:cs="宋体"/>
          <w:color w:val="auto"/>
          <w:sz w:val="24"/>
          <w:highlight w:val="none"/>
        </w:rPr>
        <w:t>工程量清单（另册）</w:t>
      </w:r>
    </w:p>
    <w:p>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第八章  最高投标限价</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8．招标答疑</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投标人若对招标文件（包括招标图纸）中有疑问，可以书面形式</w:t>
      </w:r>
      <w:r>
        <w:rPr>
          <w:rFonts w:hint="eastAsia" w:ascii="宋体" w:hAnsi="宋体" w:cs="宋体"/>
          <w:color w:val="auto"/>
          <w:sz w:val="24"/>
          <w:szCs w:val="24"/>
          <w:highlight w:val="none"/>
        </w:rPr>
        <w:t>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交易平台提交</w:t>
      </w:r>
      <w:r>
        <w:rPr>
          <w:rFonts w:hint="eastAsia" w:ascii="宋体" w:hAnsi="宋体" w:cs="宋体"/>
          <w:color w:val="auto"/>
          <w:sz w:val="24"/>
          <w:highlight w:val="none"/>
        </w:rPr>
        <w:t>给招标人或招标代理人，提交形式见本须知前附表第16项。</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 xml:space="preserve"> “项目答疑纪要”专区公开发布。答疑纪要一经在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8.3答疑会会议纪要为招标文件的一部分。</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9.招标文件的澄清与修改</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rPr>
          <w:rFonts w:cs="宋体"/>
          <w:color w:val="auto"/>
          <w:highlight w:val="none"/>
        </w:rPr>
      </w:pPr>
      <w:bookmarkStart w:id="9" w:name="_Toc2272551"/>
      <w:bookmarkStart w:id="10" w:name="_Toc21525495"/>
      <w:r>
        <w:rPr>
          <w:rFonts w:hint="eastAsia" w:cs="宋体"/>
          <w:color w:val="auto"/>
          <w:highlight w:val="none"/>
        </w:rPr>
        <w:t>（三）投标文件的编制</w:t>
      </w:r>
      <w:bookmarkEnd w:id="9"/>
      <w:bookmarkEnd w:id="10"/>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11．投标文件的组成</w:t>
      </w:r>
    </w:p>
    <w:p>
      <w:pPr>
        <w:pStyle w:val="5"/>
        <w:spacing w:after="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11.2.2 资格审查文件：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（1）投标人声明；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（2）法定代表人证明书、法定代表人签字或盖章的本投标文件授权委托证明书；</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（3）企业营业执照（取自平台内上传件）；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（4）企业资质证书（取自平台内上传件）；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（5）建筑施工企业安全生产许可证（取自平台内上传件）；</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highlight w:val="none"/>
        </w:rPr>
        <w:t>（6）</w:t>
      </w:r>
      <w:r>
        <w:rPr>
          <w:rFonts w:hint="eastAsia" w:ascii="宋体" w:hAnsi="宋体" w:cs="宋体"/>
          <w:bCs/>
          <w:color w:val="auto"/>
          <w:sz w:val="24"/>
          <w:szCs w:val="24"/>
          <w:highlight w:val="none"/>
        </w:rPr>
        <w:t>项目负责人（按网上投标登记时选择拟投标的项目负责人）</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（7）专职安全员（按网上投标登记时选择拟投标的专职安全员）</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（8）拟委托技术负责人的相关证书、资料（具体要求由招标人明确）</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（9）拟委派项目负责人的建造师注册证书（取自平台内上传件）；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highlight w:val="none"/>
        </w:rPr>
        <w:t>（11）专职安全员须具有在有效期内的安全考核合格证书（C类）或建筑施工企业专职安全生产管理人员安全生产考核合格证书</w:t>
      </w:r>
      <w:r>
        <w:rPr>
          <w:rFonts w:hint="eastAsia" w:ascii="宋体" w:hAnsi="宋体" w:cs="宋体"/>
          <w:bCs/>
          <w:color w:val="auto"/>
          <w:sz w:val="24"/>
          <w:szCs w:val="24"/>
          <w:highlight w:val="none"/>
        </w:rPr>
        <w:t>（取自平台内上传件）；</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（12）用于资格审查的业绩（设置业绩要求时选择此项，投标人</w:t>
      </w:r>
      <w:r>
        <w:rPr>
          <w:rFonts w:hint="eastAsia" w:ascii="宋体" w:hAnsi="宋体" w:cs="宋体"/>
          <w:color w:val="auto"/>
          <w:sz w:val="24"/>
          <w:highlight w:val="none"/>
        </w:rPr>
        <w:t>须提供类似工程业绩的项目名称及项目编号，具体格式由招标人自定</w:t>
      </w:r>
      <w:r>
        <w:rPr>
          <w:rFonts w:hint="eastAsia" w:ascii="宋体" w:hAnsi="宋体" w:cs="宋体"/>
          <w:bCs/>
          <w:color w:val="auto"/>
          <w:sz w:val="24"/>
          <w:szCs w:val="24"/>
          <w:highlight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 w:val="24"/>
          <w:szCs w:val="24"/>
          <w:highlight w:val="none"/>
        </w:rPr>
        <w:t>联合体工作协议应明确约定各方拟承担的工作和责任</w:t>
      </w:r>
      <w:r>
        <w:rPr>
          <w:rFonts w:hint="eastAsia"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szCs w:val="24"/>
          <w:highlight w:val="none"/>
        </w:rPr>
        <w:t>（15）</w:t>
      </w:r>
      <w:r>
        <w:rPr>
          <w:rFonts w:hint="eastAsia" w:ascii="宋体" w:hAnsi="宋体" w:cs="宋体"/>
          <w:color w:val="auto"/>
          <w:sz w:val="24"/>
          <w:szCs w:val="24"/>
          <w:highlight w:val="none"/>
        </w:rPr>
        <w:t>投标人具有在广州地区可使用适合本工程的机械设备的证明文件（</w:t>
      </w:r>
      <w:r>
        <w:rPr>
          <w:rFonts w:hint="eastAsia" w:ascii="宋体" w:hAnsi="宋体" w:cs="宋体"/>
          <w:color w:val="auto"/>
          <w:sz w:val="24"/>
          <w:highlight w:val="none"/>
        </w:rPr>
        <w:t>提供沥青摊铺机自有发票或权属证明及设备现场全貌彩照（彩照须能反映其规格型号）</w:t>
      </w:r>
      <w:r>
        <w:rPr>
          <w:rFonts w:hint="eastAsia" w:ascii="宋体" w:hAnsi="宋体" w:cs="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11.2.3项目管理机构配备。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（3）其他辅助说明资料。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11.2.5施工组织设计或施工方案。</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r>
        <w:rPr>
          <w:rFonts w:hint="eastAsia" w:ascii="宋体" w:hAnsi="宋体" w:cs="宋体"/>
          <w:color w:val="auto"/>
          <w:sz w:val="24"/>
          <w:highlight w:val="none"/>
        </w:rPr>
        <w:t xml:space="preserve"> </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rPr>
        <w:t>（1）投标总价封面、扉页；</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（2）总说明</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（9）综合单价分析表；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（11）暂列金额明细表；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（14）计日工表；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（15）总承包服务计价表；</w:t>
      </w:r>
    </w:p>
    <w:p>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12．投标文件格式</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照交易平台关于全流程电子化项目的相关指南进行编制，详见：</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 xml:space="preserve">。               </w:t>
      </w:r>
    </w:p>
    <w:p>
      <w:pPr>
        <w:pStyle w:val="5"/>
        <w:spacing w:after="0" w:line="360" w:lineRule="auto"/>
        <w:ind w:firstLine="0"/>
        <w:rPr>
          <w:rFonts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13.5.1中标的投标文件工程量清单中已有相同项目的适用综合单价，则沿用；</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 xml:space="preserve"> 最高投标限价</w:t>
      </w:r>
      <w:r>
        <w:rPr>
          <w:rFonts w:hint="eastAsia" w:ascii="宋体" w:hAnsi="宋体" w:cs="宋体"/>
          <w:color w:val="auto"/>
          <w:sz w:val="24"/>
          <w:highlight w:val="none"/>
        </w:rPr>
        <w:t>）。</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13.6暂列金额、暂估价</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14．投标货币</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本工程投标报价采用的币种为人民币。</w:t>
      </w:r>
    </w:p>
    <w:p>
      <w:pPr>
        <w:pStyle w:val="5"/>
        <w:spacing w:after="0"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15．投标有效期</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w:t>
      </w:r>
      <w:r>
        <w:rPr>
          <w:rFonts w:hint="eastAsia" w:ascii="宋体" w:hAnsi="宋体" w:cs="宋体"/>
          <w:bCs/>
          <w:color w:val="auto"/>
          <w:sz w:val="24"/>
          <w:highlight w:val="none"/>
        </w:rPr>
        <w:t>投标保证金</w:t>
      </w:r>
      <w:r>
        <w:rPr>
          <w:rFonts w:hint="eastAsia" w:ascii="宋体" w:hAnsi="宋体" w:cs="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16.4.1因投标人原因造成投标文件未解密的；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16.4.2投标人在投标有效期内撤销投标文件；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17．投标文件的签署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Style w:val="9"/>
        <w:spacing w:before="156" w:after="156"/>
        <w:rPr>
          <w:rFonts w:cs="宋体"/>
          <w:color w:val="auto"/>
          <w:highlight w:val="none"/>
        </w:rPr>
      </w:pPr>
      <w:bookmarkStart w:id="11" w:name="_Toc21525496"/>
      <w:bookmarkStart w:id="12" w:name="_Toc2272552"/>
      <w:r>
        <w:rPr>
          <w:rFonts w:hint="eastAsia" w:cs="宋体"/>
          <w:color w:val="auto"/>
          <w:highlight w:val="none"/>
        </w:rPr>
        <w:t>（四）投标文件的提交</w:t>
      </w:r>
      <w:bookmarkEnd w:id="11"/>
      <w:bookmarkEnd w:id="12"/>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18.2 未按要求加密的投标文件，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19．投标文件的递交和接收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19.4 </w:t>
      </w:r>
      <w:r>
        <w:rPr>
          <w:rFonts w:hint="eastAsia" w:ascii="宋体" w:hAnsi="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19.5如技术标和经济标先后分别开启，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将按招标文件规定的时间分别开启技术标和经济标。</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20．投标文件提交的截止时间</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21．迟交的投标文件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22．投标文件的修改与撤回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在投标截止时间之后，投标人不得补充、修改和更换投标文件。</w:t>
      </w:r>
    </w:p>
    <w:p>
      <w:pPr>
        <w:pStyle w:val="9"/>
        <w:spacing w:before="156" w:after="156"/>
        <w:rPr>
          <w:rFonts w:cs="宋体"/>
          <w:color w:val="auto"/>
          <w:highlight w:val="none"/>
        </w:rPr>
      </w:pPr>
      <w:bookmarkStart w:id="13" w:name="_Toc2272553"/>
      <w:bookmarkStart w:id="14" w:name="_Toc21525497"/>
      <w:r>
        <w:rPr>
          <w:rFonts w:hint="eastAsia" w:cs="宋体"/>
          <w:color w:val="auto"/>
          <w:highlight w:val="none"/>
        </w:rPr>
        <w:t>（五）开标、评标、定标及合同签定</w:t>
      </w:r>
      <w:bookmarkEnd w:id="13"/>
      <w:bookmarkEnd w:id="14"/>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23、开标。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详见第二章开标、评标及定标办法</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24．评标过程的保密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pPr>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r>
        <w:rPr>
          <w:rFonts w:hint="eastAsia" w:ascii="宋体" w:hAnsi="宋体" w:cs="宋体"/>
          <w:b/>
          <w:bCs/>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27.4在产生中标候选人后，招标人将中标候选人的投标文件商务部分文件的所有内容（包括人员、业绩、奖项等资料）在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28．合同协议书的签订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28.4招标人支付工程款时，中标人应按规定开具发票。</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29．履约担保</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 在收到中标通知书后的</w:t>
      </w:r>
      <w:r>
        <w:rPr>
          <w:rFonts w:hint="eastAsia" w:ascii="宋体" w:hAnsi="宋体" w:cs="宋体"/>
          <w:b/>
          <w:color w:val="auto"/>
          <w:sz w:val="24"/>
          <w:highlight w:val="none"/>
        </w:rPr>
        <w:t>15日</w:t>
      </w:r>
      <w:r>
        <w:rPr>
          <w:rFonts w:hint="eastAsia" w:ascii="宋体" w:hAnsi="宋体" w:cs="宋体"/>
          <w:color w:val="auto"/>
          <w:sz w:val="24"/>
          <w:highlight w:val="none"/>
        </w:rPr>
        <w:t>内，中标人应按本须知前附表第20项的规定向招标人提交履约担保。</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30．合同生效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31．其它费用</w:t>
      </w:r>
    </w:p>
    <w:p>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32．腐败与欺诈行为</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32．1对本条款的规定，特定义如下词汇：</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bookmarkEnd w:id="6"/>
    <w:p>
      <w:pPr>
        <w:pStyle w:val="3"/>
        <w:ind w:left="0" w:leftChars="0" w:right="0" w:rightChars="0" w:firstLine="0" w:firstLineChars="0"/>
        <w:jc w:val="center"/>
        <w:rPr>
          <w:rFonts w:ascii="宋体" w:hAnsi="宋体" w:cs="宋体"/>
          <w:color w:val="auto"/>
          <w:highlight w:val="none"/>
        </w:rPr>
      </w:pPr>
      <w:r>
        <w:rPr>
          <w:rFonts w:hint="eastAsia" w:ascii="宋体" w:hAnsi="宋体" w:cs="宋体"/>
          <w:color w:val="auto"/>
          <w:sz w:val="24"/>
          <w:highlight w:val="none"/>
        </w:rPr>
        <w:br w:type="page"/>
      </w:r>
      <w:bookmarkStart w:id="15" w:name="_Toc286"/>
      <w:r>
        <w:rPr>
          <w:rFonts w:hint="eastAsia" w:ascii="宋体" w:hAnsi="宋体" w:cs="宋体"/>
          <w:color w:val="auto"/>
          <w:highlight w:val="none"/>
        </w:rPr>
        <w:t>第二章  开标、评标及定标办法</w:t>
      </w:r>
      <w:bookmarkEnd w:id="15"/>
    </w:p>
    <w:p>
      <w:pPr>
        <w:pStyle w:val="7"/>
        <w:rPr>
          <w:rFonts w:ascii="宋体" w:hAnsi="宋体" w:cs="宋体"/>
          <w:color w:val="auto"/>
          <w:highlight w:val="none"/>
        </w:rPr>
      </w:pPr>
      <w:bookmarkStart w:id="16" w:name="_Toc20398"/>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6"/>
    </w:p>
    <w:p>
      <w:pPr>
        <w:pStyle w:val="5"/>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w:t>
      </w:r>
      <w:r>
        <w:rPr>
          <w:rFonts w:hint="eastAsia" w:ascii="宋体" w:hAnsi="宋体" w:cs="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cs="宋体"/>
          <w:b/>
          <w:color w:val="auto"/>
          <w:szCs w:val="21"/>
          <w:highlight w:val="none"/>
        </w:rPr>
        <w:t>文不再有效。本招标文件中不再转录</w:t>
      </w:r>
      <w:r>
        <w:rPr>
          <w:rFonts w:hint="eastAsia" w:ascii="宋体" w:hAnsi="宋体" w:cs="宋体"/>
          <w:b/>
          <w:color w:val="auto"/>
          <w:highlight w:val="none"/>
        </w:rPr>
        <w:t>开标、评标及定标办法</w:t>
      </w:r>
      <w:r>
        <w:rPr>
          <w:rFonts w:hint="eastAsia" w:ascii="宋体" w:hAnsi="宋体" w:cs="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5"/>
          <w:rFonts w:hint="eastAsia" w:ascii="宋体" w:hAnsi="宋体" w:cs="宋体"/>
          <w:b/>
          <w:color w:val="auto"/>
          <w:szCs w:val="21"/>
          <w:highlight w:val="none"/>
          <w:lang w:eastAsia="zh-CN"/>
        </w:rPr>
        <w:t>http://zfcj.gz.gov.cn/</w:t>
      </w:r>
      <w:r>
        <w:rPr>
          <w:rStyle w:val="45"/>
          <w:rFonts w:hint="eastAsia" w:ascii="宋体" w:hAnsi="宋体" w:cs="宋体"/>
          <w:b/>
          <w:color w:val="auto"/>
          <w:szCs w:val="21"/>
          <w:highlight w:val="none"/>
        </w:rPr>
        <w:t>）下载GZZB2018-3</w:t>
      </w:r>
      <w:r>
        <w:rPr>
          <w:rStyle w:val="45"/>
          <w:rFonts w:hint="eastAsia" w:ascii="宋体" w:hAnsi="宋体" w:cs="宋体"/>
          <w:b/>
          <w:color w:val="auto"/>
          <w:szCs w:val="21"/>
          <w:highlight w:val="none"/>
        </w:rPr>
        <w:fldChar w:fldCharType="end"/>
      </w:r>
      <w:r>
        <w:rPr>
          <w:rFonts w:hint="eastAsia" w:ascii="宋体" w:hAnsi="宋体" w:cs="宋体"/>
          <w:b/>
          <w:color w:val="auto"/>
          <w:szCs w:val="21"/>
          <w:highlight w:val="none"/>
        </w:rPr>
        <w:t>范本查阅。</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36.5.1在投标截止时间后半小时内，投标人通过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36.5.</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 xml:space="preserve">              </w:t>
      </w:r>
      <w:r>
        <w:rPr>
          <w:rFonts w:hint="eastAsia" w:ascii="宋体" w:hAnsi="宋体" w:cs="宋体"/>
          <w:b/>
          <w:color w:val="auto"/>
          <w:sz w:val="24"/>
          <w:szCs w:val="24"/>
          <w:highlight w:val="none"/>
        </w:rPr>
        <w:t>修改类型：修改</w:t>
      </w:r>
    </w:p>
    <w:p>
      <w:pPr>
        <w:pBdr>
          <w:bottom w:val="none" w:color="auto" w:sz="0" w:space="0"/>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482" w:firstLineChars="200"/>
        <w:rPr>
          <w:color w:val="auto"/>
          <w:highlight w:val="none"/>
        </w:rPr>
      </w:pPr>
      <w:r>
        <w:rPr>
          <w:rFonts w:hint="eastAsia" w:ascii="宋体" w:hAnsi="宋体" w:cs="宋体"/>
          <w:b/>
          <w:color w:val="auto"/>
          <w:sz w:val="24"/>
          <w:szCs w:val="24"/>
          <w:highlight w:val="none"/>
        </w:rPr>
        <w:t>现文：</w:t>
      </w:r>
      <w:r>
        <w:rPr>
          <w:rFonts w:hint="eastAsia" w:ascii="宋体" w:hAnsi="宋体" w:cs="宋体"/>
          <w:b w:val="0"/>
          <w:bCs/>
          <w:color w:val="auto"/>
          <w:sz w:val="24"/>
          <w:szCs w:val="24"/>
          <w:highlight w:val="none"/>
        </w:rPr>
        <w:t>36.5.</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投标人代表、招标人代表、监标人、记录人等有关人员在开标记录上签字确认；若有关人员不签字的，不影响开标程序；</w:t>
      </w:r>
      <w:r>
        <w:rPr>
          <w:rFonts w:hint="eastAsia" w:ascii="宋体" w:hAnsi="宋体" w:cs="宋体"/>
          <w:b w:val="0"/>
          <w:bCs/>
          <w:color w:val="auto"/>
          <w:sz w:val="24"/>
          <w:szCs w:val="24"/>
          <w:highlight w:val="none"/>
          <w:u w:val="single"/>
        </w:rPr>
        <w:t>若投标人不参加开标会的，或不签字确认的，视同该投标人认可开标结果。</w:t>
      </w:r>
    </w:p>
    <w:p>
      <w:pPr>
        <w:pStyle w:val="34"/>
        <w:widowControl/>
        <w:spacing w:line="360" w:lineRule="auto"/>
        <w:ind w:firstLine="482"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条款号：39.3                   修改类型：修改</w:t>
      </w:r>
    </w:p>
    <w:p>
      <w:pPr>
        <w:widowControl/>
        <w:spacing w:line="360" w:lineRule="auto"/>
        <w:ind w:firstLine="472" w:firstLineChars="196"/>
        <w:jc w:val="left"/>
        <w:rPr>
          <w:rFonts w:ascii="宋体" w:hAnsi="宋体" w:cs="宋体"/>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原文：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shd w:val="clear" w:color="auto" w:fill="FFFFFF"/>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b/>
          <w:bCs/>
          <w:color w:val="auto"/>
          <w:sz w:val="24"/>
          <w:szCs w:val="24"/>
          <w:highlight w:val="none"/>
          <w:u w:val="single"/>
          <w:shd w:val="clear" w:color="auto" w:fill="FFFFFF"/>
        </w:rPr>
        <w:t>或经核查发现委派的项目负责人已在其他在建项目中担任施工单位项目负责人的，或者被查实存在影响中标结果的违法行为等情形，不符合中标条件的，</w:t>
      </w:r>
      <w:r>
        <w:rPr>
          <w:rFonts w:hint="eastAsia" w:ascii="宋体" w:hAnsi="宋体" w:cs="宋体"/>
          <w:color w:val="auto"/>
          <w:sz w:val="24"/>
          <w:szCs w:val="24"/>
          <w:highlight w:val="none"/>
          <w:u w:val="single"/>
        </w:rPr>
        <w:t>招标人可以确定排名第二的中标候选人为中标人。</w:t>
      </w:r>
    </w:p>
    <w:p>
      <w:pPr>
        <w:adjustRightIn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条款号：（二）开标评标办法程序和细则　注       　修改类型：删除</w:t>
      </w:r>
    </w:p>
    <w:p>
      <w:pPr>
        <w:adjustRightIn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（二）开标评标办法程序和细则</w:t>
      </w:r>
    </w:p>
    <w:p>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注：以下八种评标办法所述企业综合诚信评价分数即投标截止当日广州市工程招标代理行业协会网站上公布的企业综合诚信评价60日诚信分。</w:t>
      </w:r>
    </w:p>
    <w:p>
      <w:pPr>
        <w:pBdr>
          <w:bottom w:val="single" w:color="auto" w:sz="6" w:space="1"/>
        </w:pBdr>
        <w:adjustRightInd w:val="0"/>
        <w:spacing w:line="360" w:lineRule="auto"/>
        <w:rPr>
          <w:rFonts w:ascii="宋体" w:hAnsi="宋体" w:cs="宋体"/>
          <w:color w:val="auto"/>
          <w:sz w:val="24"/>
          <w:szCs w:val="24"/>
          <w:highlight w:val="none"/>
        </w:rPr>
      </w:pP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pPr>
        <w:pBdr>
          <w:bottom w:val="single" w:color="auto" w:sz="6" w:space="1"/>
        </w:pBdr>
        <w:spacing w:line="360" w:lineRule="auto"/>
        <w:ind w:firstLine="602" w:firstLineChars="250"/>
        <w:rPr>
          <w:rStyle w:val="45"/>
          <w:rFonts w:ascii="宋体" w:hAnsi="宋体" w:cs="宋体"/>
          <w:color w:val="auto"/>
          <w:szCs w:val="21"/>
          <w:highlight w:val="none"/>
        </w:rPr>
      </w:pPr>
      <w:r>
        <w:rPr>
          <w:rFonts w:hint="eastAsia" w:ascii="宋体" w:hAnsi="宋体" w:cs="宋体"/>
          <w:b/>
          <w:color w:val="auto"/>
          <w:sz w:val="24"/>
          <w:szCs w:val="24"/>
          <w:highlight w:val="none"/>
        </w:rPr>
        <w:t>原文：</w:t>
      </w:r>
      <w:r>
        <w:rPr>
          <w:rStyle w:val="45"/>
          <w:rFonts w:hint="eastAsia" w:ascii="宋体" w:hAnsi="宋体" w:cs="宋体"/>
          <w:color w:val="auto"/>
          <w:sz w:val="24"/>
          <w:szCs w:val="24"/>
          <w:highlight w:val="none"/>
        </w:rPr>
        <w:t>可选</w:t>
      </w:r>
      <w:r>
        <w:rPr>
          <w:rFonts w:hint="eastAsia" w:ascii="宋体" w:hAnsi="宋体" w:cs="宋体"/>
          <w:color w:val="auto"/>
          <w:sz w:val="24"/>
          <w:szCs w:val="24"/>
          <w:highlight w:val="none"/>
        </w:rPr>
        <w:t>办法</w:t>
      </w:r>
      <w:r>
        <w:rPr>
          <w:rStyle w:val="45"/>
          <w:rFonts w:hint="eastAsia" w:ascii="宋体" w:hAnsi="宋体" w:cs="宋体"/>
          <w:color w:val="auto"/>
          <w:sz w:val="24"/>
          <w:szCs w:val="24"/>
          <w:highlight w:val="none"/>
        </w:rPr>
        <w:t>一（适合</w:t>
      </w:r>
      <w:r>
        <w:rPr>
          <w:rStyle w:val="45"/>
          <w:rFonts w:hint="eastAsia" w:ascii="宋体" w:hAnsi="宋体" w:cs="宋体"/>
          <w:color w:val="auto"/>
          <w:kern w:val="0"/>
          <w:sz w:val="24"/>
          <w:szCs w:val="24"/>
          <w:highlight w:val="none"/>
        </w:rPr>
        <w:t>综合评分法一</w:t>
      </w:r>
      <w:r>
        <w:rPr>
          <w:rStyle w:val="45"/>
          <w:rFonts w:hint="eastAsia" w:ascii="宋体" w:hAnsi="宋体" w:cs="宋体"/>
          <w:color w:val="auto"/>
          <w:sz w:val="24"/>
          <w:szCs w:val="24"/>
          <w:highlight w:val="none"/>
        </w:rPr>
        <w:t>，技术标与经济标先后分别开启）</w:t>
      </w:r>
    </w:p>
    <w:p>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w:t>
      </w:r>
      <w:r>
        <w:rPr>
          <w:rFonts w:hint="eastAsia" w:ascii="宋体" w:hAnsi="宋体" w:cs="宋体"/>
          <w:color w:val="auto"/>
          <w:sz w:val="24"/>
          <w:szCs w:val="24"/>
          <w:highlight w:val="none"/>
        </w:rPr>
        <w:t>办法</w:t>
      </w:r>
      <w:r>
        <w:rPr>
          <w:rStyle w:val="45"/>
          <w:rFonts w:hint="eastAsia" w:ascii="宋体" w:hAnsi="宋体" w:cs="宋体"/>
          <w:color w:val="auto"/>
          <w:sz w:val="24"/>
          <w:szCs w:val="24"/>
          <w:highlight w:val="none"/>
        </w:rPr>
        <w:t>二（适合综合评分法一，技术标与经济标同时开启）</w:t>
      </w:r>
    </w:p>
    <w:p>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可选办法三（适合综合评分法二，技术标与经济标先后分别开启）</w:t>
      </w:r>
    </w:p>
    <w:p>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可选办法四（适合综合评分法二，技术标与经济标同时开启）</w:t>
      </w:r>
    </w:p>
    <w:p>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可选办法五（适合综合评分法三，技术标与经济标先后分别开启）</w:t>
      </w:r>
    </w:p>
    <w:p>
      <w:pPr>
        <w:pBdr>
          <w:bottom w:val="single" w:color="auto" w:sz="6" w:space="1"/>
        </w:pBdr>
        <w:spacing w:line="360" w:lineRule="auto"/>
        <w:ind w:firstLine="1320" w:firstLineChars="550"/>
        <w:rPr>
          <w:rStyle w:val="45"/>
          <w:rFonts w:ascii="宋体" w:hAnsi="宋体" w:cs="宋体"/>
          <w:color w:val="auto"/>
          <w:sz w:val="24"/>
          <w:szCs w:val="24"/>
          <w:highlight w:val="none"/>
        </w:rPr>
      </w:pPr>
      <w:r>
        <w:rPr>
          <w:rStyle w:val="45"/>
          <w:rFonts w:hint="eastAsia" w:ascii="宋体" w:hAnsi="宋体" w:cs="宋体"/>
          <w:color w:val="auto"/>
          <w:sz w:val="24"/>
          <w:szCs w:val="24"/>
          <w:highlight w:val="none"/>
        </w:rPr>
        <w:t>可选办法六（适合综合评分法三，技术标与经济标同时开启）</w:t>
      </w:r>
    </w:p>
    <w:p>
      <w:pPr>
        <w:pBdr>
          <w:bottom w:val="single" w:color="auto" w:sz="6" w:space="1"/>
        </w:pBdr>
        <w:spacing w:line="360" w:lineRule="auto"/>
        <w:ind w:firstLine="1320" w:firstLineChars="550"/>
        <w:rPr>
          <w:rFonts w:ascii="宋体" w:hAnsi="宋体" w:cs="宋体"/>
          <w:b/>
          <w:color w:val="auto"/>
          <w:sz w:val="24"/>
          <w:szCs w:val="24"/>
          <w:highlight w:val="none"/>
        </w:rPr>
      </w:pPr>
      <w:r>
        <w:rPr>
          <w:rStyle w:val="45"/>
          <w:rFonts w:hint="eastAsia" w:ascii="宋体" w:hAnsi="宋体" w:cs="宋体"/>
          <w:color w:val="auto"/>
          <w:sz w:val="24"/>
          <w:szCs w:val="24"/>
          <w:highlight w:val="none"/>
        </w:rPr>
        <w:t>可选办法八（适合经评审的最低投标价法，技术标与经济标同时开启）</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rPr>
        <w:t>广州公共资源交易中心</w:t>
      </w:r>
      <w:r>
        <w:rPr>
          <w:rFonts w:hint="eastAsia" w:ascii="宋体" w:hAnsi="宋体" w:cs="宋体"/>
          <w:bCs/>
          <w:color w:val="auto"/>
          <w:sz w:val="24"/>
          <w:szCs w:val="24"/>
          <w:highlight w:val="none"/>
        </w:rPr>
        <w:t>交易平台。有关投标文件提交的事项详见第一章投标须知。</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pPr>
        <w:pStyle w:val="5"/>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条款号：45.1             修改类型：修改</w:t>
      </w:r>
    </w:p>
    <w:p>
      <w:pPr>
        <w:pBdr>
          <w:bottom w:val="single" w:color="auto" w:sz="6" w:space="1"/>
        </w:pBd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u w:val="single"/>
        </w:rPr>
        <w:t>若通过技术标有效性审</w:t>
      </w:r>
      <w:bookmarkStart w:id="51" w:name="_GoBack"/>
      <w:bookmarkEnd w:id="51"/>
      <w:r>
        <w:rPr>
          <w:rFonts w:hint="eastAsia" w:ascii="宋体" w:hAnsi="宋体" w:cs="宋体"/>
          <w:bCs/>
          <w:color w:val="auto"/>
          <w:sz w:val="24"/>
          <w:szCs w:val="24"/>
          <w:highlight w:val="none"/>
          <w:u w:val="single"/>
        </w:rPr>
        <w:t>查的投标人中所有投标报价均大于等于最高投标限价100%的（具体金额为：5358705.09元），</w:t>
      </w:r>
      <w:r>
        <w:rPr>
          <w:rFonts w:hint="eastAsia" w:ascii="宋体" w:hAnsi="宋体" w:cs="宋体"/>
          <w:bCs/>
          <w:color w:val="auto"/>
          <w:sz w:val="24"/>
          <w:szCs w:val="24"/>
          <w:highlight w:val="none"/>
          <w:u w:val="single"/>
        </w:rPr>
        <w:t>则本项目招标失败，由招标人依法重新招标。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条款号：45.2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45.2按方法计算评标参考价：</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45.2按方法</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 xml:space="preserve">计算评标参考价： </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条款号：方法一：加权平均法              修改类型：修改</w:t>
      </w:r>
    </w:p>
    <w:p>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color w:val="auto"/>
          <w:sz w:val="24"/>
          <w:szCs w:val="24"/>
          <w:highlight w:val="none"/>
        </w:rPr>
        <w:t>原文：方法一：加权平均法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评标参考价=Σ（投标人的投标报价*报价权重）。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其中：报价权重的计算方法为：将N名投标人按技术分由高至低进行排序，第一名投标人的权重为（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79730" cy="45148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79730" cy="451485"/>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），第二名投标人的权重为（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20675" cy="403860"/>
            <wp:effectExtent l="0" t="0" r="317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20675" cy="403860"/>
            <wp:effectExtent l="0" t="0" r="317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），以此类推，最后一名投标人的权重为（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20675" cy="403860"/>
            <wp:effectExtent l="0" t="0" r="317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20675" cy="403860"/>
            <wp:effectExtent l="0" t="0" r="3175"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color w:val="auto"/>
          <w:sz w:val="24"/>
          <w:szCs w:val="24"/>
          <w:highlight w:val="none"/>
        </w:rPr>
        <w:t>现文：方法一：加权平均法</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color w:val="auto"/>
          <w:sz w:val="24"/>
          <w:szCs w:val="24"/>
          <w:highlight w:val="none"/>
        </w:rPr>
        <w:t>的经济报价加权平均，计算评标参考价。公式如下：</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评标参考价=Σ（投标人的投标报价*报价权重）。</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其中：报价权重的计算方法为：将N名投标人按技术分由高至低进行排序，第一名投标人的权重为（</w:t>
      </w:r>
      <w:r>
        <w:rPr>
          <w:rFonts w:hint="eastAsia" w:ascii="宋体" w:hAnsi="宋体" w:cs="宋体"/>
          <w:color w:val="auto"/>
          <w:spacing w:val="-4"/>
          <w:sz w:val="24"/>
          <w:szCs w:val="24"/>
          <w:highlight w:val="none"/>
        </w:rPr>
        <w:drawing>
          <wp:inline distT="0" distB="0" distL="114300" distR="114300">
            <wp:extent cx="237490" cy="285115"/>
            <wp:effectExtent l="0" t="0" r="10160" b="635"/>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宋体"/>
          <w:color w:val="auto"/>
          <w:sz w:val="24"/>
          <w:szCs w:val="24"/>
          <w:highlight w:val="none"/>
        </w:rPr>
        <w:t>），第二名投标人的权重为（</w:t>
      </w:r>
      <w:r>
        <w:rPr>
          <w:rFonts w:hint="eastAsia" w:ascii="宋体" w:hAnsi="宋体" w:cs="宋体"/>
          <w:color w:val="auto"/>
          <w:spacing w:val="-4"/>
          <w:sz w:val="24"/>
          <w:szCs w:val="24"/>
          <w:highlight w:val="none"/>
        </w:rPr>
        <w:drawing>
          <wp:inline distT="0" distB="0" distL="114300" distR="114300">
            <wp:extent cx="237490" cy="285115"/>
            <wp:effectExtent l="0" t="0" r="10160" b="63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宋体"/>
          <w:color w:val="auto"/>
          <w:sz w:val="24"/>
          <w:szCs w:val="24"/>
          <w:highlight w:val="none"/>
        </w:rPr>
        <w:t>），以此类推，最后一名投标人的权重为（</w:t>
      </w:r>
      <w:r>
        <w:rPr>
          <w:rFonts w:hint="eastAsia" w:ascii="宋体" w:hAnsi="宋体" w:cs="宋体"/>
          <w:color w:val="auto"/>
          <w:spacing w:val="-4"/>
          <w:sz w:val="24"/>
          <w:szCs w:val="24"/>
          <w:highlight w:val="none"/>
        </w:rPr>
        <w:drawing>
          <wp:inline distT="0" distB="0" distL="114300" distR="114300">
            <wp:extent cx="237490" cy="285115"/>
            <wp:effectExtent l="0" t="0" r="10160" b="63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宋体"/>
          <w:color w:val="auto"/>
          <w:sz w:val="24"/>
          <w:szCs w:val="24"/>
          <w:highlight w:val="none"/>
        </w:rPr>
        <w:t>）。</w:t>
      </w:r>
    </w:p>
    <w:p>
      <w:pPr>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
          <w:color w:val="auto"/>
          <w:kern w:val="0"/>
          <w:sz w:val="24"/>
          <w:szCs w:val="24"/>
          <w:highlight w:val="none"/>
        </w:rPr>
        <w:t>45.3</w:t>
      </w:r>
      <w:r>
        <w:rPr>
          <w:rFonts w:hint="eastAsia" w:ascii="宋体" w:hAnsi="宋体" w:cs="宋体"/>
          <w:b/>
          <w:color w:val="auto"/>
          <w:sz w:val="24"/>
          <w:szCs w:val="24"/>
          <w:highlight w:val="none"/>
        </w:rPr>
        <w:t xml:space="preserve">           修改类型：修改</w:t>
      </w:r>
    </w:p>
    <w:p>
      <w:pPr>
        <w:adjustRightIn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pPr>
        <w:pBdr>
          <w:bottom w:val="single" w:color="auto" w:sz="6" w:space="1"/>
        </w:pBdr>
        <w:adjustRightIn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w:t>
      </w:r>
      <w:r>
        <w:rPr>
          <w:rFonts w:hint="eastAsia" w:ascii="宋体" w:hAnsi="宋体" w:cs="宋体"/>
          <w:color w:val="auto"/>
          <w:sz w:val="24"/>
          <w:szCs w:val="24"/>
          <w:highlight w:val="none"/>
          <w:u w:val="single"/>
        </w:rPr>
        <w:t>投标总报价</w:t>
      </w:r>
      <w:r>
        <w:rPr>
          <w:rFonts w:hint="eastAsia" w:ascii="宋体" w:hAnsi="宋体" w:cs="宋体"/>
          <w:color w:val="auto"/>
          <w:sz w:val="24"/>
          <w:szCs w:val="24"/>
          <w:highlight w:val="none"/>
        </w:rPr>
        <w:t>等于评标参考价时得100分，</w:t>
      </w:r>
      <w:r>
        <w:rPr>
          <w:rFonts w:hint="eastAsia" w:ascii="宋体" w:hAnsi="宋体" w:cs="宋体"/>
          <w:color w:val="auto"/>
          <w:sz w:val="24"/>
          <w:szCs w:val="24"/>
          <w:highlight w:val="none"/>
          <w:u w:val="single"/>
        </w:rPr>
        <w:t>投标总报价</w:t>
      </w:r>
      <w:r>
        <w:rPr>
          <w:rFonts w:hint="eastAsia" w:ascii="宋体" w:hAnsi="宋体" w:cs="宋体"/>
          <w:color w:val="auto"/>
          <w:sz w:val="24"/>
          <w:szCs w:val="24"/>
          <w:highlight w:val="none"/>
        </w:rPr>
        <w:t>每高于评标参考价1%，扣</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分，每低于评标参考价1%，扣</w:t>
      </w:r>
      <w:r>
        <w:rPr>
          <w:rFonts w:ascii="宋体" w:hAnsi="宋体" w:cs="宋体"/>
          <w:color w:val="auto"/>
          <w:sz w:val="24"/>
          <w:szCs w:val="24"/>
          <w:highlight w:val="none"/>
        </w:rPr>
        <w:t>0.</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分，扣至0分为止，得出经济分，精确到小数点后两位。</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条款号：45.4修改类型：修改</w:t>
      </w:r>
    </w:p>
    <w:p>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计算通过技术标有效性审查的投标人总得分。投标人总得分=</w:t>
      </w:r>
      <w:r>
        <w:rPr>
          <w:rFonts w:hint="eastAsia" w:ascii="宋体" w:hAnsi="宋体" w:cs="宋体"/>
          <w:bCs/>
          <w:color w:val="auto"/>
          <w:sz w:val="24"/>
          <w:szCs w:val="24"/>
          <w:highlight w:val="none"/>
          <w:lang w:val="en-US" w:eastAsia="zh-CN"/>
        </w:rPr>
        <w:t>技术</w:t>
      </w:r>
      <w:r>
        <w:rPr>
          <w:rFonts w:hint="eastAsia" w:ascii="宋体" w:hAnsi="宋体" w:cs="宋体"/>
          <w:bCs/>
          <w:color w:val="auto"/>
          <w:sz w:val="24"/>
          <w:szCs w:val="24"/>
          <w:highlight w:val="none"/>
        </w:rPr>
        <w:t>得分（100分）×</w:t>
      </w:r>
      <w:r>
        <w:rPr>
          <w:rFonts w:hint="eastAsia" w:ascii="宋体" w:hAnsi="宋体" w:cs="宋体"/>
          <w:bCs/>
          <w:color w:val="auto"/>
          <w:sz w:val="24"/>
          <w:szCs w:val="24"/>
          <w:highlight w:val="none"/>
          <w:lang w:val="en-US" w:eastAsia="zh-CN"/>
        </w:rPr>
        <w:t>技术</w:t>
      </w:r>
      <w:r>
        <w:rPr>
          <w:rFonts w:hint="eastAsia" w:ascii="宋体" w:hAnsi="宋体" w:cs="宋体"/>
          <w:bCs/>
          <w:color w:val="auto"/>
          <w:sz w:val="24"/>
          <w:szCs w:val="24"/>
          <w:highlight w:val="none"/>
        </w:rPr>
        <w:t>得分权重（</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0%）＋经济得分（100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详见附表四《技术标详细审查评分表》</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tabs>
          <w:tab w:val="center" w:pos="4535"/>
        </w:tabs>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详见附表五《经济标评分表》</w:t>
      </w:r>
      <w:r>
        <w:rPr>
          <w:rFonts w:hint="eastAsia" w:ascii="宋体" w:hAnsi="宋体" w:cs="宋体"/>
          <w:bCs/>
          <w:color w:val="auto"/>
          <w:sz w:val="24"/>
          <w:szCs w:val="24"/>
          <w:highlight w:val="none"/>
        </w:rPr>
        <w:tab/>
      </w:r>
    </w:p>
    <w:p>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（以下无正文）</w:t>
      </w:r>
    </w:p>
    <w:p>
      <w:pPr>
        <w:pStyle w:val="8"/>
        <w:spacing w:line="360" w:lineRule="auto"/>
        <w:rPr>
          <w:rFonts w:ascii="宋体" w:hAnsi="宋体" w:cs="宋体"/>
          <w:color w:val="auto"/>
          <w:highlight w:val="none"/>
        </w:rPr>
      </w:pPr>
    </w:p>
    <w:p>
      <w:pPr>
        <w:pStyle w:val="7"/>
        <w:ind w:firstLine="525"/>
        <w:rPr>
          <w:rFonts w:ascii="宋体" w:hAnsi="宋体" w:cs="宋体"/>
          <w:color w:val="auto"/>
          <w:highlight w:val="none"/>
        </w:rPr>
      </w:pPr>
      <w:r>
        <w:rPr>
          <w:rFonts w:hint="eastAsia" w:ascii="宋体" w:hAnsi="宋体" w:cs="宋体"/>
          <w:color w:val="auto"/>
          <w:highlight w:val="none"/>
        </w:rPr>
        <w:br w:type="page"/>
      </w:r>
      <w:bookmarkStart w:id="17" w:name="_Toc11460"/>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7"/>
    </w:p>
    <w:p>
      <w:pPr>
        <w:pStyle w:val="9"/>
        <w:spacing w:before="156" w:after="156"/>
        <w:ind w:firstLine="540" w:firstLineChars="200"/>
        <w:rPr>
          <w:rFonts w:cs="宋体"/>
          <w:color w:val="auto"/>
          <w:highlight w:val="none"/>
        </w:rPr>
      </w:pPr>
      <w:bookmarkStart w:id="18" w:name="_Toc19940"/>
      <w:r>
        <w:rPr>
          <w:rFonts w:hint="eastAsia" w:cs="宋体"/>
          <w:color w:val="auto"/>
          <w:highlight w:val="none"/>
        </w:rPr>
        <w:t>（一）总则</w:t>
      </w:r>
      <w:bookmarkEnd w:id="18"/>
    </w:p>
    <w:p>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35.8《广州市工程建设项目招标投标管理办法》（穗府办规〔2017〕5号）。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35.9本项目招标文件。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36．开标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36.5.4开标结束。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37．评标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37.2.1根据评标细则，对投标文件进行认真评审，完成评审报告；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 评标结束后，评标委员会递交评标报告并依法推荐中标候选人。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39．定标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480" w:firstLineChars="200"/>
        <w:rPr>
          <w:rFonts w:cs="宋体"/>
          <w:color w:val="auto"/>
          <w:sz w:val="24"/>
          <w:szCs w:val="24"/>
          <w:highlight w:val="none"/>
        </w:rPr>
      </w:pPr>
      <w:bookmarkStart w:id="19" w:name="_Toc18768"/>
      <w:r>
        <w:rPr>
          <w:rFonts w:hint="eastAsia" w:cs="宋体"/>
          <w:color w:val="auto"/>
          <w:sz w:val="24"/>
          <w:szCs w:val="24"/>
          <w:highlight w:val="none"/>
        </w:rPr>
        <w:t>（二）开标评标办法程序和细则</w:t>
      </w:r>
      <w:bookmarkEnd w:id="19"/>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注：评标办法所述企业综合诚信评价分数即投标截止当日广州市住房和城乡建设局网站上公布的企业综合诚信评价60日诚信分。</w:t>
      </w:r>
    </w:p>
    <w:p>
      <w:pPr>
        <w:pStyle w:val="9"/>
        <w:spacing w:before="156" w:after="156"/>
        <w:ind w:firstLine="540" w:firstLineChars="200"/>
        <w:rPr>
          <w:rFonts w:cs="宋体"/>
          <w:color w:val="auto"/>
          <w:highlight w:val="none"/>
        </w:rPr>
      </w:pPr>
      <w:bookmarkStart w:id="20" w:name="_Toc21525509"/>
      <w:bookmarkStart w:id="21" w:name="_Toc2272564"/>
      <w:bookmarkStart w:id="22" w:name="_Toc25301"/>
      <w:r>
        <w:rPr>
          <w:rFonts w:hint="eastAsia" w:cs="宋体"/>
          <w:color w:val="auto"/>
          <w:highlight w:val="none"/>
        </w:rPr>
        <w:t>可选办法七（适合综合评分法四，技术标与经济标同时开启）</w:t>
      </w:r>
      <w:bookmarkEnd w:id="20"/>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40．开标和评标程序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40.5经济标详细审查评分；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41．开标细则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41.2.1投标截止期前，各投标人递交投标文件（包括技术标投标文件、经济标投标文件）至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45.2按方法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计算评标参考价：</w:t>
      </w:r>
    </w:p>
    <w:p>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方法一：加权平均法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评标参考价=Σ（投标人的投标报价*报价权重）。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其中：报价权重的计算方法为：将N名投标人按技术分由高至低进行排序，第一名投标人的权重为（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79730" cy="451485"/>
            <wp:effectExtent l="0" t="0" r="1270" b="571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79730" cy="451485"/>
            <wp:effectExtent l="0" t="0" r="1270" b="57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），第二名投标人的权重为（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position w:val="-23"/>
          <w:sz w:val="24"/>
          <w:szCs w:val="24"/>
          <w:highlight w:val="none"/>
        </w:rPr>
        <w:drawing>
          <wp:inline distT="0" distB="0" distL="114300" distR="114300">
            <wp:extent cx="320675" cy="403860"/>
            <wp:effectExtent l="0" t="0" r="3175" b="1524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position w:val="-23"/>
          <w:sz w:val="24"/>
          <w:szCs w:val="24"/>
          <w:highlight w:val="none"/>
        </w:rPr>
        <w:drawing>
          <wp:inline distT="0" distB="0" distL="114300" distR="114300">
            <wp:extent cx="320675" cy="403860"/>
            <wp:effectExtent l="0" t="0" r="3175" b="1524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），以此类推，最后一名投标人的权重为（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position w:val="-23"/>
          <w:sz w:val="24"/>
          <w:szCs w:val="24"/>
          <w:highlight w:val="none"/>
        </w:rPr>
        <w:drawing>
          <wp:inline distT="0" distB="0" distL="114300" distR="114300">
            <wp:extent cx="320675" cy="403860"/>
            <wp:effectExtent l="0" t="0" r="3175" b="1587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position w:val="-23"/>
          <w:sz w:val="24"/>
          <w:szCs w:val="24"/>
          <w:highlight w:val="none"/>
        </w:rPr>
        <w:drawing>
          <wp:inline distT="0" distB="0" distL="114300" distR="114300">
            <wp:extent cx="320675" cy="403860"/>
            <wp:effectExtent l="0" t="0" r="3175" b="1587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方法二：区间抽取法</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：为（最高投标限价*D%）（D的取值范围为[94,100],由招标人自定）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bookmarkEnd w:id="21"/>
      <w:bookmarkEnd w:id="22"/>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widowControl/>
        <w:snapToGrid w:val="0"/>
        <w:spacing w:line="360" w:lineRule="auto"/>
        <w:ind w:right="102"/>
        <w:jc w:val="left"/>
        <w:rPr>
          <w:rFonts w:ascii="宋体" w:hAnsi="宋体" w:cs="宋体"/>
          <w:color w:val="auto"/>
          <w:szCs w:val="21"/>
          <w:highlight w:val="none"/>
        </w:rPr>
        <w:sectPr>
          <w:endnotePr>
            <w:numFmt w:val="decimal"/>
          </w:endnotePr>
          <w:pgSz w:w="11906" w:h="16838"/>
          <w:pgMar w:top="1134" w:right="1418" w:bottom="1247" w:left="1418" w:header="851" w:footer="907" w:gutter="0"/>
          <w:cols w:space="720" w:num="1"/>
          <w:titlePg/>
          <w:docGrid w:type="lines" w:linePitch="312" w:charSpace="0"/>
        </w:sectPr>
      </w:pPr>
    </w:p>
    <w:p>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color w:val="auto"/>
          <w:sz w:val="24"/>
          <w:szCs w:val="24"/>
          <w:highlight w:val="none"/>
        </w:rPr>
        <w:t>附表一：</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Style w:val="140"/>
                <w:rFonts w:hint="eastAsia" w:ascii="宋体" w:hAnsi="宋体" w:eastAsia="宋体"/>
                <w:color w:val="auto"/>
                <w:szCs w:val="21"/>
                <w:highlight w:val="none"/>
              </w:rPr>
            </w:pPr>
            <w:r>
              <w:rPr>
                <w:rStyle w:val="140"/>
                <w:rFonts w:hint="eastAsia" w:ascii="宋体" w:hAnsi="宋体" w:eastAsia="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Style w:val="140"/>
                <w:rFonts w:hint="eastAsia" w:ascii="宋体" w:hAnsi="宋体" w:eastAsia="宋体"/>
                <w:color w:val="auto"/>
                <w:szCs w:val="21"/>
                <w:highlight w:val="none"/>
              </w:rPr>
            </w:pPr>
            <w:r>
              <w:rPr>
                <w:rStyle w:val="140"/>
                <w:rFonts w:hint="eastAsia" w:ascii="宋体" w:hAnsi="宋体" w:eastAsia="宋体"/>
                <w:color w:val="auto"/>
                <w:szCs w:val="21"/>
                <w:highlight w:val="none"/>
              </w:rPr>
              <w:t>使用有效期内的注册建造师注册证书在广州市住建行业信用平台内上传件。</w:t>
            </w:r>
          </w:p>
          <w:p>
            <w:pPr>
              <w:spacing w:before="120" w:after="60"/>
              <w:jc w:val="left"/>
              <w:rPr>
                <w:rStyle w:val="140"/>
                <w:rFonts w:hint="eastAsia" w:ascii="宋体" w:hAnsi="宋体" w:eastAsia="宋体"/>
                <w:color w:val="auto"/>
                <w:szCs w:val="21"/>
                <w:highlight w:val="none"/>
              </w:rPr>
            </w:pPr>
            <w:r>
              <w:rPr>
                <w:rStyle w:val="140"/>
                <w:rFonts w:hint="eastAsia" w:ascii="宋体" w:hAnsi="宋体" w:eastAsia="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Style w:val="140"/>
                <w:rFonts w:hint="eastAsia" w:ascii="宋体" w:hAnsi="宋体" w:eastAsia="宋体"/>
                <w:color w:val="auto"/>
                <w:szCs w:val="21"/>
                <w:highlight w:val="none"/>
              </w:rPr>
            </w:pPr>
            <w:r>
              <w:rPr>
                <w:rStyle w:val="140"/>
                <w:rFonts w:hint="eastAsia" w:ascii="宋体" w:hAnsi="宋体" w:eastAsia="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Style w:val="140"/>
                <w:rFonts w:hint="eastAsia" w:ascii="宋体" w:hAnsi="宋体" w:eastAsia="宋体"/>
                <w:color w:val="auto"/>
                <w:szCs w:val="21"/>
                <w:highlight w:val="none"/>
              </w:rPr>
            </w:pPr>
            <w:r>
              <w:rPr>
                <w:rStyle w:val="140"/>
                <w:rFonts w:hint="eastAsia" w:ascii="宋体" w:hAnsi="宋体" w:eastAsia="宋体"/>
                <w:color w:val="auto"/>
                <w:szCs w:val="21"/>
                <w:highlight w:val="non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拟委托技术负责人的相关证书</w:t>
            </w:r>
            <w:r>
              <w:rPr>
                <w:rStyle w:val="140"/>
                <w:rFonts w:hint="eastAsia" w:ascii="宋体" w:hAnsi="宋体"/>
                <w:color w:val="auto"/>
                <w:szCs w:val="21"/>
                <w:highlight w:val="none"/>
              </w:rPr>
              <w:t>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ascii="宋体" w:hAnsi="宋体" w:cs="宋体"/>
                <w:color w:val="auto"/>
                <w:sz w:val="21"/>
                <w:szCs w:val="21"/>
                <w:highlight w:val="none"/>
              </w:rPr>
              <w:t>专职安全员须具有在有效期内的安全生产考核合格证</w:t>
            </w:r>
            <w:r>
              <w:rPr>
                <w:rFonts w:ascii="宋体" w:hAnsi="宋体" w:cs="宋体"/>
                <w:color w:val="auto"/>
                <w:sz w:val="21"/>
                <w:szCs w:val="21"/>
                <w:highlight w:val="none"/>
                <w:u w:val="single"/>
              </w:rPr>
              <w:t>（C类）</w:t>
            </w:r>
            <w:r>
              <w:rPr>
                <w:rFonts w:ascii="宋体" w:hAnsi="宋体" w:cs="宋体"/>
                <w:color w:val="auto"/>
                <w:sz w:val="21"/>
                <w:szCs w:val="21"/>
                <w:highlight w:val="none"/>
              </w:rPr>
              <w:t>或建筑施工企业专职安全生产管理人员安全生产考核合格证</w:t>
            </w:r>
            <w:r>
              <w:rPr>
                <w:rFonts w:ascii="宋体" w:hAnsi="宋体" w:cs="宋体"/>
                <w:color w:val="auto"/>
                <w:sz w:val="21"/>
                <w:szCs w:val="21"/>
                <w:highlight w:val="none"/>
                <w:u w:val="single"/>
              </w:rPr>
              <w:t>（C3）</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ascii="宋体" w:hAnsi="宋体" w:cs="宋体"/>
                <w:color w:val="auto"/>
                <w:sz w:val="21"/>
                <w:szCs w:val="21"/>
                <w:highlight w:val="none"/>
              </w:rPr>
              <w:t>专职安全员须具有在有效期内的安全生产考核合格证</w:t>
            </w:r>
            <w:r>
              <w:rPr>
                <w:rFonts w:ascii="宋体" w:hAnsi="宋体" w:cs="宋体"/>
                <w:color w:val="auto"/>
                <w:sz w:val="21"/>
                <w:szCs w:val="21"/>
                <w:highlight w:val="none"/>
                <w:u w:val="single"/>
              </w:rPr>
              <w:t>（C类）</w:t>
            </w:r>
            <w:r>
              <w:rPr>
                <w:rFonts w:ascii="宋体" w:hAnsi="宋体" w:cs="宋体"/>
                <w:color w:val="auto"/>
                <w:sz w:val="21"/>
                <w:szCs w:val="21"/>
                <w:highlight w:val="none"/>
              </w:rPr>
              <w:t>或建筑施工企业专职安全生产管理人员安全生产考核合格证</w:t>
            </w:r>
            <w:r>
              <w:rPr>
                <w:rFonts w:ascii="宋体" w:hAnsi="宋体" w:cs="宋体"/>
                <w:color w:val="auto"/>
                <w:sz w:val="21"/>
                <w:szCs w:val="21"/>
                <w:highlight w:val="none"/>
                <w:u w:val="single"/>
              </w:rPr>
              <w:t>（C3）</w:t>
            </w:r>
            <w:r>
              <w:rPr>
                <w:rFonts w:ascii="宋体" w:hAnsi="宋体" w:cs="宋体"/>
                <w:color w:val="auto"/>
                <w:sz w:val="21"/>
                <w:szCs w:val="21"/>
                <w:highlight w:val="none"/>
              </w:rPr>
              <w:t>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u w:val="single"/>
              </w:rPr>
            </w:pPr>
            <w:r>
              <w:rPr>
                <w:rStyle w:val="140"/>
                <w:rFonts w:ascii="宋体" w:hAnsi="宋体"/>
                <w:color w:val="auto"/>
                <w:szCs w:val="21"/>
                <w:highlight w:val="none"/>
              </w:rPr>
              <w:t>本次招标不接受联合体投标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u w:val="single"/>
              </w:rPr>
            </w:pPr>
            <w:r>
              <w:rPr>
                <w:rStyle w:val="140"/>
                <w:rFonts w:ascii="宋体" w:hAnsi="宋体"/>
                <w:color w:val="auto"/>
                <w:szCs w:val="21"/>
                <w:highlight w:val="none"/>
              </w:rPr>
              <w:t>投标人非联合体投标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ascii="宋体" w:hAnsi="宋体"/>
                <w:color w:val="auto"/>
                <w:szCs w:val="21"/>
                <w:highlight w:val="none"/>
              </w:rPr>
              <w:t>投标人未出现以下情形：与其它投标人的单位负责人为同一人或者存在控股、管理关系的</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Style w:val="140"/>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未被纳入失信联合惩戒名单且被限制参加建设工程投标的（具体名单以递交投标文件截止时间“信用广州”https://credit1.gz.gov.cn/sgs/sgsXkNew公布的“失信黑名单”为准。不包含限制参加财政投资工程或政府投资工程的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bl>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48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Fonts w:hint="eastAsia" w:ascii="宋体" w:hAnsi="宋体" w:eastAsia="宋体" w:cs="宋体"/>
          <w:b w:val="0"/>
          <w:bCs w:val="0"/>
          <w:color w:val="auto"/>
          <w:szCs w:val="21"/>
          <w:highlight w:val="none"/>
        </w:rPr>
        <w:sectPr>
          <w:endnotePr>
            <w:numFmt w:val="decimal"/>
          </w:endnotePr>
          <w:pgSz w:w="11906" w:h="16838"/>
          <w:pgMar w:top="1134" w:right="1418" w:bottom="1247" w:left="1418" w:header="851" w:footer="907" w:gutter="0"/>
          <w:cols w:space="720" w:num="1"/>
          <w:titlePg/>
          <w:docGrid w:type="lines" w:linePitch="312" w:charSpace="0"/>
        </w:sectPr>
      </w:pPr>
    </w:p>
    <w:p>
      <w:pPr>
        <w:rPr>
          <w:rFonts w:ascii="宋体" w:hAnsi="宋体" w:cs="宋体"/>
          <w:color w:val="auto"/>
          <w:sz w:val="24"/>
          <w:szCs w:val="24"/>
          <w:highlight w:val="none"/>
        </w:rPr>
      </w:pPr>
      <w:r>
        <w:rPr>
          <w:rFonts w:hint="eastAsia" w:ascii="宋体" w:hAnsi="宋体" w:cs="宋体"/>
          <w:color w:val="auto"/>
          <w:sz w:val="24"/>
          <w:szCs w:val="24"/>
          <w:highlight w:val="none"/>
        </w:rPr>
        <w:t>附表二</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370"/>
        <w:gridCol w:w="1630"/>
        <w:gridCol w:w="163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s="宋体"/>
                <w:color w:val="auto"/>
                <w:szCs w:val="21"/>
                <w:highlight w:val="none"/>
              </w:rPr>
            </w:pPr>
            <w:r>
              <w:rPr>
                <w:rFonts w:hint="eastAsia" w:ascii="宋体" w:hAnsi="宋体" w:cs="宋体"/>
                <w:color w:val="auto"/>
                <w:szCs w:val="21"/>
                <w:highlight w:val="none"/>
              </w:rPr>
              <w:t xml:space="preserve">               投标人</w:t>
            </w:r>
          </w:p>
          <w:p>
            <w:pPr>
              <w:adjustRightInd w:val="0"/>
              <w:rPr>
                <w:rFonts w:ascii="宋体" w:hAnsi="宋体" w:cs="宋体"/>
                <w:color w:val="auto"/>
                <w:szCs w:val="21"/>
                <w:highlight w:val="none"/>
              </w:rPr>
            </w:pPr>
          </w:p>
          <w:p>
            <w:pPr>
              <w:adjustRightInd w:val="0"/>
              <w:rPr>
                <w:rFonts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1</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u w:val="single"/>
              </w:rPr>
              <w:t>《广州建设工程施工技术标招标投标书》中的工期不符合招标文件要求的；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trike/>
                <w:color w:val="auto"/>
                <w:szCs w:val="21"/>
                <w:highlight w:val="none"/>
              </w:rPr>
            </w:pPr>
            <w:r>
              <w:rPr>
                <w:rFonts w:hint="eastAsia" w:ascii="宋体" w:hAnsi="宋体" w:cs="宋体"/>
                <w:color w:val="auto"/>
                <w:szCs w:val="21"/>
                <w:highlight w:val="none"/>
              </w:rPr>
              <w:t>2</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trike/>
                <w:color w:val="auto"/>
                <w:szCs w:val="21"/>
                <w:highlight w:val="none"/>
              </w:rPr>
            </w:pPr>
            <w:r>
              <w:rPr>
                <w:rFonts w:hint="eastAsia" w:ascii="宋体" w:hAnsi="宋体" w:cs="宋体"/>
                <w:color w:val="auto"/>
                <w:szCs w:val="21"/>
                <w:highlight w:val="none"/>
                <w:u w:val="single"/>
              </w:rPr>
              <w:t>《广州建设工程施工技术标招标投标书）》中的工程质量标准不符合招标文件要求的；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3</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4</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（投标文件规定格式（即参与评审的格式）为技术标部分带★号的格式（即格式3、格式4、格式8、格式</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、格式</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5</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6</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color w:val="auto"/>
                <w:szCs w:val="21"/>
                <w:highlight w:val="none"/>
              </w:rPr>
              <w:t>无《参与编制技术标投标文件人员名单》的</w:t>
            </w:r>
            <w:r>
              <w:rPr>
                <w:rFonts w:hint="eastAsia" w:ascii="宋体" w:hAnsi="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7</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strike w:val="0"/>
                <w:color w:val="auto"/>
                <w:szCs w:val="21"/>
                <w:highlight w:val="none"/>
              </w:rPr>
              <w:t>投标人未按要求提交投标保证金的</w:t>
            </w:r>
            <w:r>
              <w:rPr>
                <w:rFonts w:hint="eastAsia" w:ascii="宋体" w:hAnsi="宋体"/>
                <w:strike w:val="0"/>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8</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color w:val="auto"/>
                <w:szCs w:val="21"/>
                <w:highlight w:val="none"/>
              </w:rPr>
              <w:t>投标人与</w:t>
            </w:r>
            <w:r>
              <w:rPr>
                <w:rFonts w:hint="eastAsia" w:ascii="宋体" w:hAnsi="宋体"/>
                <w:color w:val="auto"/>
                <w:szCs w:val="21"/>
                <w:highlight w:val="none"/>
                <w:lang w:eastAsia="zh-CN"/>
              </w:rPr>
              <w:t>本项目</w:t>
            </w:r>
            <w:r>
              <w:rPr>
                <w:rFonts w:hint="eastAsia" w:ascii="宋体" w:hAnsi="宋体"/>
                <w:color w:val="auto"/>
                <w:szCs w:val="21"/>
                <w:highlight w:val="none"/>
              </w:rPr>
              <w:t>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s="宋体"/>
          <w:color w:val="auto"/>
          <w:szCs w:val="21"/>
          <w:highlight w:val="none"/>
        </w:rPr>
      </w:pPr>
      <w:r>
        <w:rPr>
          <w:rFonts w:hint="eastAsia" w:ascii="宋体" w:hAnsi="宋体" w:cs="宋体"/>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s="宋体"/>
          <w:color w:val="auto"/>
          <w:szCs w:val="21"/>
          <w:highlight w:val="none"/>
        </w:rPr>
      </w:pPr>
      <w:r>
        <w:rPr>
          <w:rFonts w:hint="eastAsia" w:ascii="宋体" w:hAnsi="宋体" w:cs="宋体"/>
          <w:color w:val="auto"/>
          <w:szCs w:val="21"/>
          <w:highlight w:val="none"/>
        </w:rPr>
        <w:t xml:space="preserve">    3.凡出现以上任何一项情形，结论均为无效，否则就为有效。</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rPr>
          <w:rFonts w:ascii="宋体" w:hAnsi="宋体" w:cs="宋体"/>
          <w:color w:val="auto"/>
          <w:szCs w:val="21"/>
          <w:highlight w:val="none"/>
        </w:rPr>
      </w:pPr>
      <w:r>
        <w:rPr>
          <w:rFonts w:hint="eastAsia" w:ascii="宋体" w:hAnsi="宋体" w:cs="宋体"/>
          <w:color w:val="auto"/>
          <w:szCs w:val="21"/>
          <w:highlight w:val="none"/>
        </w:rPr>
        <w:t>评委签名：</w:t>
      </w:r>
    </w:p>
    <w:p>
      <w:pPr>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附表三</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 xml:space="preserve">               投标人</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（投标文件规定格式（即参与评审的格式）为经济标部分带★号的格式（即格式</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格式5））</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olor w:val="auto"/>
                <w:szCs w:val="21"/>
                <w:highlight w:val="none"/>
              </w:rPr>
              <w:t>无《对投标文件编制的承诺》</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bl>
    <w:p>
      <w:pPr>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3.如对本表中某种情形的评审意见不一致时，以评标委员会过半数成员的意见作为评标委员会对该情形的认定结论。</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color w:val="auto"/>
          <w:szCs w:val="21"/>
          <w:highlight w:val="none"/>
        </w:rPr>
        <w:t>评委签名：</w:t>
      </w:r>
    </w:p>
    <w:p>
      <w:pPr>
        <w:rPr>
          <w:rFonts w:ascii="宋体" w:hAnsi="宋体" w:cs="宋体"/>
          <w:color w:val="auto"/>
          <w:sz w:val="24"/>
          <w:szCs w:val="24"/>
          <w:highlight w:val="none"/>
        </w:rPr>
      </w:pPr>
      <w:r>
        <w:rPr>
          <w:rFonts w:hint="eastAsia" w:ascii="宋体" w:hAnsi="宋体" w:cs="宋体"/>
          <w:color w:val="auto"/>
          <w:sz w:val="24"/>
          <w:szCs w:val="24"/>
          <w:highlight w:val="none"/>
        </w:rPr>
        <w:t>附表四</w:t>
      </w:r>
    </w:p>
    <w:p>
      <w:pPr>
        <w:jc w:val="center"/>
        <w:rPr>
          <w:rFonts w:ascii="宋体" w:hAnsi="宋体" w:cs="宋体"/>
          <w:color w:val="auto"/>
          <w:highlight w:val="none"/>
        </w:rPr>
      </w:pPr>
      <w:r>
        <w:rPr>
          <w:rFonts w:hint="eastAsia" w:ascii="宋体" w:hAnsi="宋体" w:cs="宋体"/>
          <w:b/>
          <w:color w:val="auto"/>
          <w:sz w:val="36"/>
          <w:szCs w:val="36"/>
          <w:highlight w:val="none"/>
        </w:rPr>
        <w:t>技术标详细审查评分表</w:t>
      </w:r>
    </w:p>
    <w:tbl>
      <w:tblPr>
        <w:tblStyle w:val="38"/>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905"/>
        <w:gridCol w:w="654"/>
        <w:gridCol w:w="1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4" w:hRule="atLeast"/>
          <w:jc w:val="center"/>
        </w:trPr>
        <w:tc>
          <w:tcPr>
            <w:tcW w:w="1251" w:type="dxa"/>
            <w:shd w:val="clear" w:color="auto" w:fill="FFFFFF"/>
            <w:vAlign w:val="center"/>
          </w:tcPr>
          <w:p>
            <w:pPr>
              <w:widowControl/>
              <w:spacing w:line="276" w:lineRule="auto"/>
              <w:jc w:val="center"/>
              <w:rPr>
                <w:rFonts w:ascii="宋体" w:hAnsi="宋体" w:cs="宋体"/>
                <w:color w:val="000000"/>
                <w:kern w:val="0"/>
                <w:szCs w:val="21"/>
                <w:shd w:val="clear" w:color="auto" w:fill="FFFFFF"/>
                <w:lang w:val="zh-TW"/>
              </w:rPr>
            </w:pPr>
            <w:r>
              <w:rPr>
                <w:rFonts w:hint="eastAsia" w:ascii="宋体" w:hAnsi="宋体" w:cs="宋体"/>
                <w:bCs/>
                <w:kern w:val="0"/>
                <w:szCs w:val="21"/>
              </w:rPr>
              <w:t>评分项目</w:t>
            </w:r>
          </w:p>
        </w:tc>
        <w:tc>
          <w:tcPr>
            <w:tcW w:w="1905" w:type="dxa"/>
            <w:shd w:val="clear" w:color="auto" w:fill="FFFFFF"/>
            <w:vAlign w:val="center"/>
          </w:tcPr>
          <w:p>
            <w:pPr>
              <w:widowControl/>
              <w:spacing w:line="276" w:lineRule="auto"/>
              <w:jc w:val="center"/>
              <w:rPr>
                <w:rStyle w:val="143"/>
                <w:rFonts w:ascii="宋体" w:hAnsi="宋体"/>
                <w:b/>
                <w:bCs/>
                <w:szCs w:val="21"/>
              </w:rPr>
            </w:pPr>
            <w:r>
              <w:rPr>
                <w:rFonts w:hint="eastAsia" w:ascii="宋体" w:hAnsi="宋体" w:cs="宋体"/>
                <w:bCs/>
                <w:kern w:val="0"/>
                <w:szCs w:val="21"/>
              </w:rPr>
              <w:t>评分内容</w:t>
            </w:r>
          </w:p>
        </w:tc>
        <w:tc>
          <w:tcPr>
            <w:tcW w:w="654" w:type="dxa"/>
            <w:shd w:val="clear" w:color="auto" w:fill="FFFFFF"/>
            <w:vAlign w:val="center"/>
          </w:tcPr>
          <w:p>
            <w:pPr>
              <w:widowControl/>
              <w:spacing w:line="276" w:lineRule="auto"/>
              <w:jc w:val="center"/>
              <w:rPr>
                <w:rFonts w:ascii="宋体" w:hAnsi="宋体" w:cs="宋体"/>
                <w:color w:val="000000"/>
                <w:kern w:val="0"/>
                <w:szCs w:val="21"/>
              </w:rPr>
            </w:pPr>
            <w:r>
              <w:rPr>
                <w:rFonts w:hint="eastAsia" w:ascii="宋体" w:hAnsi="宋体" w:cs="宋体"/>
                <w:bCs/>
                <w:kern w:val="0"/>
                <w:szCs w:val="21"/>
              </w:rPr>
              <w:t>分值</w:t>
            </w:r>
          </w:p>
        </w:tc>
        <w:tc>
          <w:tcPr>
            <w:tcW w:w="11559" w:type="dxa"/>
            <w:shd w:val="clear" w:color="auto" w:fill="FFFFFF"/>
            <w:vAlign w:val="center"/>
          </w:tcPr>
          <w:p>
            <w:pPr>
              <w:widowControl/>
              <w:spacing w:line="276" w:lineRule="auto"/>
              <w:jc w:val="center"/>
              <w:rPr>
                <w:rFonts w:ascii="宋体" w:hAnsi="宋体" w:cs="宋体"/>
                <w:szCs w:val="21"/>
              </w:rPr>
            </w:pPr>
            <w:r>
              <w:rPr>
                <w:rFonts w:hint="eastAsia" w:ascii="宋体" w:hAnsi="宋体" w:cs="宋体"/>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4" w:hRule="atLeast"/>
          <w:jc w:val="center"/>
        </w:trPr>
        <w:tc>
          <w:tcPr>
            <w:tcW w:w="1251" w:type="dxa"/>
            <w:vMerge w:val="restart"/>
            <w:shd w:val="clear" w:color="auto" w:fill="FFFFFF"/>
            <w:vAlign w:val="center"/>
          </w:tcPr>
          <w:p>
            <w:pPr>
              <w:snapToGrid w:val="0"/>
              <w:jc w:val="center"/>
              <w:rPr>
                <w:rFonts w:ascii="宋体" w:hAnsi="宋体" w:cs="宋体"/>
                <w:color w:val="000000"/>
                <w:kern w:val="0"/>
                <w:szCs w:val="21"/>
              </w:rPr>
            </w:pPr>
            <w:r>
              <w:rPr>
                <w:rFonts w:ascii="宋体" w:hAnsi="宋体" w:cs="宋体"/>
                <w:color w:val="000000"/>
                <w:kern w:val="0"/>
                <w:szCs w:val="21"/>
                <w:shd w:val="clear" w:color="auto" w:fill="FFFFFF"/>
                <w:lang w:val="zh-TW"/>
              </w:rPr>
              <w:t>项目管理机构能力</w:t>
            </w:r>
            <w:r>
              <w:rPr>
                <w:rFonts w:ascii="宋体" w:hAnsi="宋体" w:cs="Century Schoolbook"/>
                <w:bCs/>
                <w:color w:val="000000"/>
                <w:spacing w:val="10"/>
                <w:kern w:val="0"/>
                <w:szCs w:val="21"/>
                <w:shd w:val="clear" w:color="auto" w:fill="FFFFFF"/>
              </w:rPr>
              <w:t>(</w:t>
            </w:r>
            <w:r>
              <w:rPr>
                <w:rFonts w:hint="eastAsia" w:ascii="宋体" w:hAnsi="宋体" w:cs="Century Schoolbook"/>
                <w:bCs/>
                <w:color w:val="000000"/>
                <w:spacing w:val="10"/>
                <w:kern w:val="0"/>
                <w:szCs w:val="21"/>
                <w:shd w:val="clear" w:color="auto" w:fill="FFFFFF"/>
              </w:rPr>
              <w:t>70</w:t>
            </w:r>
            <w:r>
              <w:rPr>
                <w:rFonts w:hint="eastAsia" w:ascii="宋体" w:hAnsi="宋体" w:cs="宋体"/>
                <w:color w:val="000000"/>
                <w:kern w:val="0"/>
                <w:szCs w:val="21"/>
                <w:shd w:val="clear" w:color="auto" w:fill="FFFFFF"/>
                <w:lang w:val="zh-TW"/>
              </w:rPr>
              <w:t>分</w:t>
            </w:r>
            <w:r>
              <w:rPr>
                <w:rFonts w:ascii="宋体" w:hAnsi="宋体" w:cs="宋体"/>
                <w:color w:val="000000"/>
                <w:kern w:val="0"/>
                <w:szCs w:val="21"/>
                <w:shd w:val="clear" w:color="auto" w:fill="FFFFFF"/>
                <w:lang w:val="zh-TW"/>
              </w:rPr>
              <w:t>)</w:t>
            </w:r>
          </w:p>
        </w:tc>
        <w:tc>
          <w:tcPr>
            <w:tcW w:w="1905" w:type="dxa"/>
            <w:shd w:val="clear" w:color="auto" w:fill="FFFFFF"/>
            <w:vAlign w:val="center"/>
          </w:tcPr>
          <w:p>
            <w:pPr>
              <w:spacing w:before="100" w:beforeAutospacing="1" w:after="100" w:afterAutospacing="1" w:line="408" w:lineRule="auto"/>
              <w:jc w:val="center"/>
              <w:rPr>
                <w:rFonts w:ascii="宋体" w:hAnsi="宋体" w:cs="宋体"/>
                <w:b/>
                <w:bCs/>
                <w:color w:val="000000"/>
                <w:szCs w:val="21"/>
              </w:rPr>
            </w:pPr>
            <w:r>
              <w:rPr>
                <w:rFonts w:hint="eastAsia" w:ascii="宋体" w:hAnsi="宋体" w:cs="宋体"/>
                <w:b/>
                <w:bCs/>
                <w:color w:val="000000"/>
                <w:szCs w:val="21"/>
              </w:rPr>
              <w:t>人员</w:t>
            </w:r>
            <w:r>
              <w:rPr>
                <w:rFonts w:ascii="宋体" w:hAnsi="宋体" w:cs="宋体"/>
                <w:b/>
                <w:bCs/>
                <w:color w:val="000000"/>
                <w:szCs w:val="21"/>
              </w:rPr>
              <w:t>配置</w:t>
            </w:r>
          </w:p>
        </w:tc>
        <w:tc>
          <w:tcPr>
            <w:tcW w:w="654" w:type="dxa"/>
            <w:shd w:val="clear" w:color="auto" w:fill="FFFFFF"/>
            <w:vAlign w:val="center"/>
          </w:tcPr>
          <w:p>
            <w:pPr>
              <w:spacing w:before="100" w:beforeAutospacing="1" w:after="100" w:afterAutospacing="1" w:line="408" w:lineRule="auto"/>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11559" w:type="dxa"/>
            <w:shd w:val="clear" w:color="auto" w:fill="FFFFFF"/>
            <w:vAlign w:val="center"/>
          </w:tcPr>
          <w:p>
            <w:pPr>
              <w:rPr>
                <w:rStyle w:val="140"/>
                <w:rFonts w:hint="eastAsia" w:ascii="宋体" w:hAnsi="宋体" w:eastAsia="宋体" w:cs="宋体"/>
                <w:bCs/>
                <w:lang w:val="zh-TW"/>
              </w:rPr>
            </w:pPr>
            <w:r>
              <w:rPr>
                <w:rStyle w:val="140"/>
                <w:rFonts w:hint="eastAsia" w:ascii="宋体" w:hAnsi="宋体" w:eastAsia="宋体" w:cs="宋体"/>
                <w:bCs/>
                <w:lang w:val="zh-TW"/>
              </w:rPr>
              <w:t>项目管理团队配置人员完全满足附表《项目管理机构人员配置要求表》要求得</w:t>
            </w:r>
            <w:r>
              <w:rPr>
                <w:rStyle w:val="140"/>
                <w:rFonts w:hint="eastAsia" w:ascii="宋体" w:hAnsi="宋体" w:eastAsia="宋体" w:cs="宋体"/>
                <w:bCs/>
                <w:lang w:val="zh-TW" w:eastAsia="zh-TW"/>
              </w:rPr>
              <w:t>10</w:t>
            </w:r>
            <w:r>
              <w:rPr>
                <w:rStyle w:val="140"/>
                <w:rFonts w:hint="eastAsia" w:ascii="宋体" w:hAnsi="宋体" w:eastAsia="宋体" w:cs="宋体"/>
                <w:bCs/>
                <w:lang w:val="zh-TW"/>
              </w:rPr>
              <w:t>分；其余不得分。</w:t>
            </w:r>
          </w:p>
          <w:p>
            <w:pPr>
              <w:widowControl/>
              <w:jc w:val="left"/>
              <w:rPr>
                <w:rFonts w:hint="eastAsia" w:ascii="宋体" w:hAnsi="宋体" w:eastAsia="宋体" w:cs="宋体"/>
                <w:color w:val="FF0000"/>
              </w:rPr>
            </w:pPr>
            <w:r>
              <w:rPr>
                <w:rStyle w:val="140"/>
                <w:rFonts w:hint="eastAsia" w:ascii="宋体" w:hAnsi="宋体" w:eastAsia="宋体" w:cs="宋体"/>
                <w:bCs/>
                <w:lang w:val="zh-TW"/>
              </w:rPr>
              <w:t>在此基础上计算以下人员得分：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4" w:hRule="atLeast"/>
          <w:jc w:val="center"/>
        </w:trPr>
        <w:tc>
          <w:tcPr>
            <w:tcW w:w="1251" w:type="dxa"/>
            <w:vMerge w:val="continue"/>
            <w:shd w:val="clear" w:color="auto" w:fill="FFFFFF"/>
            <w:vAlign w:val="center"/>
          </w:tcPr>
          <w:p>
            <w:pPr>
              <w:snapToGrid w:val="0"/>
              <w:jc w:val="center"/>
              <w:rPr>
                <w:rFonts w:ascii="宋体" w:hAnsi="宋体" w:cs="宋体"/>
                <w:color w:val="000000"/>
                <w:kern w:val="0"/>
                <w:szCs w:val="21"/>
                <w:shd w:val="clear" w:color="auto" w:fill="FFFFFF"/>
                <w:lang w:val="zh-TW"/>
              </w:rPr>
            </w:pPr>
          </w:p>
        </w:tc>
        <w:tc>
          <w:tcPr>
            <w:tcW w:w="1905" w:type="dxa"/>
            <w:shd w:val="clear" w:color="auto" w:fill="FFFFFF"/>
            <w:vAlign w:val="center"/>
          </w:tcPr>
          <w:p>
            <w:pPr>
              <w:widowControl/>
              <w:spacing w:before="100" w:beforeAutospacing="1" w:after="100" w:afterAutospacing="1" w:line="408" w:lineRule="auto"/>
              <w:jc w:val="center"/>
              <w:rPr>
                <w:rFonts w:ascii="宋体" w:hAnsi="宋体" w:cs="宋体"/>
                <w:b/>
                <w:bCs/>
                <w:color w:val="000000"/>
                <w:szCs w:val="21"/>
              </w:rPr>
            </w:pPr>
            <w:r>
              <w:rPr>
                <w:rFonts w:hint="eastAsia" w:ascii="宋体" w:hAnsi="宋体" w:cs="宋体"/>
                <w:b/>
                <w:bCs/>
                <w:color w:val="000000"/>
                <w:szCs w:val="21"/>
              </w:rPr>
              <w:t>技术负责人</w:t>
            </w:r>
          </w:p>
        </w:tc>
        <w:tc>
          <w:tcPr>
            <w:tcW w:w="654" w:type="dxa"/>
            <w:shd w:val="clear" w:color="auto" w:fill="FFFFFF"/>
            <w:vAlign w:val="center"/>
          </w:tcPr>
          <w:p>
            <w:pPr>
              <w:spacing w:before="100" w:beforeAutospacing="1" w:after="100" w:afterAutospacing="1" w:line="408" w:lineRule="auto"/>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11559" w:type="dxa"/>
            <w:shd w:val="clear" w:color="auto" w:fill="FFFFFF"/>
            <w:vAlign w:val="center"/>
          </w:tcPr>
          <w:p>
            <w:pPr>
              <w:pStyle w:val="8"/>
              <w:ind w:firstLine="0"/>
              <w:rPr>
                <w:rStyle w:val="140"/>
                <w:rFonts w:hint="eastAsia" w:ascii="宋体" w:hAnsi="宋体" w:eastAsia="宋体" w:cs="宋体"/>
                <w:bCs/>
                <w:szCs w:val="22"/>
                <w:lang w:val="zh-TW" w:eastAsia="zh-CN"/>
              </w:rPr>
            </w:pPr>
            <w:r>
              <w:rPr>
                <w:rStyle w:val="140"/>
                <w:rFonts w:hint="eastAsia" w:ascii="宋体" w:hAnsi="宋体" w:eastAsia="宋体" w:cs="宋体"/>
                <w:bCs/>
                <w:szCs w:val="22"/>
                <w:lang w:val="zh-TW"/>
              </w:rPr>
              <w:t>（1）取得建筑工程相关专业高级工程师（或以上）职称10年（不含）以上的，</w:t>
            </w:r>
            <w:r>
              <w:rPr>
                <w:rStyle w:val="140"/>
                <w:rFonts w:hint="eastAsia" w:ascii="宋体" w:hAnsi="宋体" w:eastAsia="宋体" w:cs="宋体"/>
                <w:bCs/>
                <w:szCs w:val="22"/>
                <w:lang w:val="zh-TW" w:eastAsia="zh-CN"/>
              </w:rPr>
              <w:t>得</w:t>
            </w:r>
            <w:r>
              <w:rPr>
                <w:rStyle w:val="140"/>
                <w:rFonts w:hint="eastAsia" w:ascii="宋体" w:hAnsi="宋体" w:eastAsia="宋体" w:cs="宋体"/>
                <w:bCs/>
                <w:szCs w:val="22"/>
                <w:lang w:val="zh-TW" w:eastAsia="zh-TW"/>
              </w:rPr>
              <w:t>5</w:t>
            </w:r>
            <w:r>
              <w:rPr>
                <w:rStyle w:val="140"/>
                <w:rFonts w:hint="eastAsia" w:ascii="宋体" w:hAnsi="宋体" w:eastAsia="宋体" w:cs="宋体"/>
                <w:bCs/>
                <w:szCs w:val="22"/>
                <w:lang w:val="zh-TW"/>
              </w:rPr>
              <w:t>分</w:t>
            </w:r>
            <w:r>
              <w:rPr>
                <w:rStyle w:val="140"/>
                <w:rFonts w:hint="eastAsia" w:ascii="宋体" w:hAnsi="宋体" w:eastAsia="宋体" w:cs="宋体"/>
                <w:bCs/>
                <w:szCs w:val="22"/>
                <w:lang w:val="zh-TW" w:eastAsia="zh-CN"/>
              </w:rPr>
              <w:t>；</w:t>
            </w:r>
          </w:p>
          <w:p>
            <w:pPr>
              <w:pStyle w:val="8"/>
              <w:ind w:firstLine="420" w:firstLineChars="200"/>
              <w:rPr>
                <w:rStyle w:val="140"/>
                <w:rFonts w:hint="eastAsia" w:ascii="宋体" w:hAnsi="宋体" w:eastAsia="宋体" w:cs="宋体"/>
                <w:bCs/>
                <w:szCs w:val="22"/>
                <w:lang w:val="zh-TW" w:eastAsia="zh-CN"/>
              </w:rPr>
            </w:pPr>
            <w:r>
              <w:rPr>
                <w:rStyle w:val="140"/>
                <w:rFonts w:hint="eastAsia" w:ascii="宋体" w:hAnsi="宋体" w:eastAsia="宋体" w:cs="宋体"/>
                <w:bCs/>
                <w:szCs w:val="22"/>
                <w:lang w:val="zh-TW"/>
              </w:rPr>
              <w:t>取得建筑工程相关专业高级工程师（或以上）职称</w:t>
            </w:r>
            <w:r>
              <w:rPr>
                <w:rStyle w:val="140"/>
                <w:rFonts w:hint="eastAsia" w:ascii="宋体" w:hAnsi="宋体" w:eastAsia="宋体" w:cs="宋体"/>
                <w:bCs/>
                <w:szCs w:val="22"/>
                <w:lang w:val="en-US" w:eastAsia="zh-CN"/>
              </w:rPr>
              <w:t>5</w:t>
            </w:r>
            <w:r>
              <w:rPr>
                <w:rStyle w:val="140"/>
                <w:rFonts w:hint="eastAsia" w:ascii="宋体" w:hAnsi="宋体" w:eastAsia="宋体" w:cs="宋体"/>
                <w:bCs/>
                <w:szCs w:val="22"/>
                <w:lang w:val="zh-TW"/>
              </w:rPr>
              <w:t>-10年的，</w:t>
            </w:r>
            <w:r>
              <w:rPr>
                <w:rStyle w:val="140"/>
                <w:rFonts w:hint="eastAsia" w:ascii="宋体" w:hAnsi="宋体" w:eastAsia="宋体" w:cs="宋体"/>
                <w:bCs/>
                <w:szCs w:val="22"/>
                <w:lang w:val="zh-TW" w:eastAsia="zh-CN"/>
              </w:rPr>
              <w:t>得</w:t>
            </w:r>
            <w:r>
              <w:rPr>
                <w:rStyle w:val="140"/>
                <w:rFonts w:hint="eastAsia" w:ascii="宋体" w:hAnsi="宋体" w:eastAsia="宋体" w:cs="宋体"/>
                <w:bCs/>
                <w:szCs w:val="22"/>
                <w:lang w:val="zh-TW" w:eastAsia="zh-TW"/>
              </w:rPr>
              <w:t>2.5</w:t>
            </w:r>
            <w:r>
              <w:rPr>
                <w:rStyle w:val="140"/>
                <w:rFonts w:hint="eastAsia" w:ascii="宋体" w:hAnsi="宋体" w:eastAsia="宋体" w:cs="宋体"/>
                <w:bCs/>
                <w:szCs w:val="22"/>
                <w:lang w:val="zh-TW"/>
              </w:rPr>
              <w:t>分</w:t>
            </w:r>
            <w:r>
              <w:rPr>
                <w:rStyle w:val="140"/>
                <w:rFonts w:hint="eastAsia" w:ascii="宋体" w:hAnsi="宋体" w:eastAsia="宋体" w:cs="宋体"/>
                <w:bCs/>
                <w:szCs w:val="22"/>
                <w:lang w:val="zh-TW" w:eastAsia="zh-CN"/>
              </w:rPr>
              <w:t>；</w:t>
            </w:r>
          </w:p>
          <w:p>
            <w:pPr>
              <w:pStyle w:val="8"/>
              <w:ind w:firstLine="420" w:firstLineChars="200"/>
              <w:rPr>
                <w:rStyle w:val="140"/>
                <w:rFonts w:hint="eastAsia" w:ascii="宋体" w:hAnsi="宋体" w:eastAsia="宋体" w:cs="宋体"/>
                <w:bCs/>
                <w:szCs w:val="22"/>
                <w:lang w:val="zh-TW"/>
              </w:rPr>
            </w:pPr>
            <w:r>
              <w:rPr>
                <w:rStyle w:val="140"/>
                <w:rFonts w:hint="eastAsia" w:ascii="宋体" w:hAnsi="宋体" w:eastAsia="宋体" w:cs="宋体"/>
                <w:bCs/>
                <w:szCs w:val="22"/>
                <w:lang w:val="zh-TW"/>
              </w:rPr>
              <w:t>取得建筑工程相关专业高级工程师（或以上）职称</w:t>
            </w:r>
            <w:r>
              <w:rPr>
                <w:rStyle w:val="140"/>
                <w:rFonts w:hint="eastAsia" w:ascii="宋体" w:hAnsi="宋体" w:eastAsia="宋体" w:cs="宋体"/>
                <w:bCs/>
                <w:lang w:val="en-US" w:eastAsia="zh-CN"/>
              </w:rPr>
              <w:t>5</w:t>
            </w:r>
            <w:r>
              <w:rPr>
                <w:rStyle w:val="140"/>
                <w:rFonts w:hint="eastAsia" w:ascii="宋体" w:hAnsi="宋体" w:eastAsia="宋体" w:cs="宋体"/>
                <w:bCs/>
                <w:lang w:val="zh-TW"/>
              </w:rPr>
              <w:t>年</w:t>
            </w:r>
            <w:r>
              <w:rPr>
                <w:rStyle w:val="140"/>
                <w:rFonts w:hint="eastAsia" w:ascii="宋体" w:hAnsi="宋体" w:eastAsia="宋体" w:cs="宋体"/>
                <w:bCs/>
                <w:lang w:val="zh-TW" w:eastAsia="zh-CN"/>
              </w:rPr>
              <w:t>（不含）以下</w:t>
            </w:r>
            <w:r>
              <w:rPr>
                <w:rStyle w:val="140"/>
                <w:rFonts w:hint="eastAsia" w:ascii="宋体" w:hAnsi="宋体" w:eastAsia="宋体" w:cs="宋体"/>
                <w:bCs/>
                <w:szCs w:val="22"/>
                <w:lang w:val="zh-TW" w:eastAsia="zh-CN"/>
              </w:rPr>
              <w:t>的，得1</w:t>
            </w:r>
            <w:r>
              <w:rPr>
                <w:rStyle w:val="140"/>
                <w:rFonts w:hint="eastAsia" w:ascii="宋体" w:hAnsi="宋体" w:eastAsia="宋体" w:cs="宋体"/>
                <w:bCs/>
                <w:szCs w:val="22"/>
                <w:lang w:val="en-US" w:eastAsia="zh-CN"/>
              </w:rPr>
              <w:t>分。</w:t>
            </w:r>
          </w:p>
          <w:p>
            <w:pPr>
              <w:widowControl/>
              <w:jc w:val="left"/>
              <w:rPr>
                <w:rFonts w:hint="default" w:ascii="宋体" w:hAnsi="宋体" w:eastAsia="宋体" w:cs="宋体"/>
                <w:color w:val="FF0000"/>
                <w:lang w:val="en-US" w:eastAsia="zh-CN"/>
              </w:rPr>
            </w:pPr>
            <w:r>
              <w:rPr>
                <w:rStyle w:val="140"/>
                <w:rFonts w:hint="eastAsia" w:ascii="宋体" w:hAnsi="宋体" w:eastAsia="宋体" w:cs="宋体"/>
                <w:bCs/>
                <w:lang w:val="zh-TW"/>
              </w:rPr>
              <w:t>（2）</w:t>
            </w:r>
            <w:r>
              <w:rPr>
                <w:rFonts w:hint="eastAsia" w:ascii="宋体" w:hAnsi="宋体" w:eastAsia="宋体"/>
                <w:color w:val="auto"/>
                <w:sz w:val="21"/>
                <w:szCs w:val="21"/>
                <w:highlight w:val="none"/>
              </w:rPr>
              <w:t>具有</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年以上（</w:t>
            </w:r>
            <w:r>
              <w:rPr>
                <w:rStyle w:val="140"/>
                <w:rFonts w:hint="eastAsia" w:ascii="宋体" w:hAnsi="宋体" w:eastAsia="宋体" w:cs="宋体"/>
                <w:bCs/>
                <w:lang w:val="zh-TW"/>
              </w:rPr>
              <w:t>不</w:t>
            </w:r>
            <w:r>
              <w:rPr>
                <w:rFonts w:hint="eastAsia" w:ascii="宋体" w:hAnsi="宋体" w:eastAsia="宋体"/>
                <w:color w:val="auto"/>
                <w:sz w:val="21"/>
                <w:szCs w:val="21"/>
                <w:highlight w:val="none"/>
              </w:rPr>
              <w:t>含）施工管理工作经验，得</w:t>
            </w: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分；具有</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年至</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年施工管理工作经验，得</w:t>
            </w:r>
            <w:r>
              <w:rPr>
                <w:rFonts w:hint="eastAsia" w:ascii="宋体" w:hAnsi="宋体"/>
                <w:color w:val="auto"/>
                <w:sz w:val="21"/>
                <w:szCs w:val="21"/>
                <w:highlight w:val="none"/>
                <w:lang w:val="en-US" w:eastAsia="zh-CN"/>
              </w:rPr>
              <w:t>2.5</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具有</w:t>
            </w:r>
            <w:r>
              <w:rPr>
                <w:rStyle w:val="140"/>
                <w:rFonts w:hint="eastAsia" w:ascii="宋体" w:hAnsi="宋体" w:eastAsia="宋体" w:cs="宋体"/>
                <w:bCs/>
                <w:lang w:val="zh-TW"/>
              </w:rPr>
              <w:t>10年（不含）以下</w:t>
            </w:r>
            <w:r>
              <w:rPr>
                <w:rFonts w:hint="eastAsia" w:ascii="宋体" w:hAnsi="宋体" w:eastAsia="宋体"/>
                <w:color w:val="auto"/>
                <w:sz w:val="21"/>
                <w:szCs w:val="21"/>
                <w:highlight w:val="none"/>
              </w:rPr>
              <w:t>施工管理工作经验，得</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；起算</w:t>
            </w:r>
            <w:r>
              <w:rPr>
                <w:rFonts w:hint="eastAsia" w:ascii="宋体" w:hAnsi="宋体" w:eastAsia="宋体"/>
                <w:color w:val="auto"/>
                <w:sz w:val="21"/>
                <w:szCs w:val="21"/>
                <w:highlight w:val="none"/>
                <w:lang w:val="en-US" w:eastAsia="zh-CN"/>
              </w:rPr>
              <w:t>时间以</w:t>
            </w:r>
            <w:r>
              <w:rPr>
                <w:rStyle w:val="140"/>
                <w:rFonts w:hint="eastAsia" w:ascii="宋体" w:hAnsi="宋体" w:eastAsia="宋体" w:cs="宋体"/>
                <w:bCs/>
                <w:lang w:val="zh-TW"/>
              </w:rPr>
              <w:t>大学专科(或以上)学历</w:t>
            </w:r>
            <w:r>
              <w:rPr>
                <w:rStyle w:val="140"/>
                <w:rFonts w:hint="eastAsia" w:ascii="宋体" w:hAnsi="宋体" w:eastAsia="宋体" w:cs="宋体"/>
                <w:bCs/>
                <w:lang w:val="en-US" w:eastAsia="zh-CN"/>
              </w:rPr>
              <w:t>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5" w:hRule="atLeast"/>
          <w:jc w:val="center"/>
        </w:trPr>
        <w:tc>
          <w:tcPr>
            <w:tcW w:w="1251" w:type="dxa"/>
            <w:vMerge w:val="continue"/>
            <w:shd w:val="clear" w:color="auto" w:fill="FFFFFF"/>
            <w:vAlign w:val="center"/>
          </w:tcPr>
          <w:p>
            <w:pPr>
              <w:snapToGrid w:val="0"/>
              <w:jc w:val="center"/>
              <w:rPr>
                <w:rFonts w:ascii="宋体" w:hAnsi="宋体" w:cs="宋体"/>
                <w:color w:val="000000"/>
                <w:kern w:val="0"/>
                <w:szCs w:val="21"/>
                <w:shd w:val="clear" w:color="auto" w:fill="FFFFFF"/>
                <w:lang w:val="zh-TW"/>
              </w:rPr>
            </w:pPr>
          </w:p>
        </w:tc>
        <w:tc>
          <w:tcPr>
            <w:tcW w:w="1905" w:type="dxa"/>
            <w:shd w:val="clear" w:color="auto" w:fill="FFFFFF"/>
            <w:vAlign w:val="center"/>
          </w:tcPr>
          <w:p>
            <w:pPr>
              <w:widowControl/>
              <w:spacing w:before="100" w:beforeAutospacing="1" w:after="100" w:afterAutospacing="1" w:line="408" w:lineRule="auto"/>
              <w:jc w:val="center"/>
              <w:rPr>
                <w:rFonts w:ascii="宋体" w:hAnsi="宋体" w:cs="宋体"/>
                <w:b/>
                <w:bCs/>
                <w:color w:val="000000"/>
                <w:szCs w:val="21"/>
              </w:rPr>
            </w:pPr>
            <w:r>
              <w:rPr>
                <w:rFonts w:hint="eastAsia" w:ascii="宋体" w:hAnsi="宋体" w:cs="宋体"/>
                <w:b/>
                <w:bCs/>
                <w:color w:val="000000"/>
                <w:szCs w:val="21"/>
              </w:rPr>
              <w:t>质量负责人</w:t>
            </w:r>
          </w:p>
        </w:tc>
        <w:tc>
          <w:tcPr>
            <w:tcW w:w="654" w:type="dxa"/>
            <w:shd w:val="clear" w:color="auto" w:fill="FFFFFF"/>
            <w:vAlign w:val="center"/>
          </w:tcPr>
          <w:p>
            <w:pPr>
              <w:spacing w:before="100" w:beforeAutospacing="1" w:after="100" w:afterAutospacing="1" w:line="408" w:lineRule="auto"/>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11559" w:type="dxa"/>
            <w:shd w:val="clear" w:color="auto" w:fill="FFFFFF"/>
            <w:vAlign w:val="center"/>
          </w:tcPr>
          <w:p>
            <w:pPr>
              <w:pStyle w:val="8"/>
              <w:ind w:firstLine="0"/>
              <w:rPr>
                <w:rStyle w:val="140"/>
                <w:rFonts w:hint="eastAsia" w:ascii="宋体" w:hAnsi="宋体" w:eastAsia="宋体" w:cs="宋体"/>
                <w:bCs/>
                <w:szCs w:val="22"/>
                <w:lang w:val="zh-TW" w:eastAsia="zh-CN"/>
              </w:rPr>
            </w:pPr>
            <w:r>
              <w:rPr>
                <w:rStyle w:val="140"/>
                <w:rFonts w:hint="eastAsia" w:ascii="宋体" w:hAnsi="宋体" w:eastAsia="宋体" w:cs="宋体"/>
                <w:bCs/>
                <w:szCs w:val="22"/>
                <w:lang w:val="zh-TW"/>
              </w:rPr>
              <w:t>（1）取得建筑工程相关专业高级工程师（或以上）职称</w:t>
            </w:r>
            <w:r>
              <w:rPr>
                <w:rStyle w:val="140"/>
                <w:rFonts w:hint="eastAsia" w:ascii="宋体" w:hAnsi="宋体" w:eastAsia="宋体" w:cs="宋体"/>
                <w:bCs/>
                <w:szCs w:val="22"/>
                <w:lang w:val="zh-TW" w:eastAsia="zh-TW"/>
              </w:rPr>
              <w:t>10</w:t>
            </w:r>
            <w:r>
              <w:rPr>
                <w:rStyle w:val="140"/>
                <w:rFonts w:hint="eastAsia" w:ascii="宋体" w:hAnsi="宋体" w:eastAsia="宋体" w:cs="宋体"/>
                <w:bCs/>
                <w:szCs w:val="22"/>
                <w:lang w:val="zh-TW"/>
              </w:rPr>
              <w:t>年（不含）以上的，</w:t>
            </w:r>
            <w:r>
              <w:rPr>
                <w:rStyle w:val="140"/>
                <w:rFonts w:hint="eastAsia" w:ascii="宋体" w:hAnsi="宋体" w:eastAsia="宋体" w:cs="宋体"/>
                <w:bCs/>
                <w:szCs w:val="22"/>
                <w:lang w:val="zh-TW" w:eastAsia="zh-CN"/>
              </w:rPr>
              <w:t>得</w:t>
            </w:r>
            <w:r>
              <w:rPr>
                <w:rStyle w:val="140"/>
                <w:rFonts w:hint="eastAsia" w:ascii="宋体" w:hAnsi="宋体" w:eastAsia="宋体" w:cs="宋体"/>
                <w:bCs/>
                <w:szCs w:val="22"/>
                <w:lang w:val="zh-TW" w:eastAsia="zh-TW"/>
              </w:rPr>
              <w:t>5</w:t>
            </w:r>
            <w:r>
              <w:rPr>
                <w:rStyle w:val="140"/>
                <w:rFonts w:hint="eastAsia" w:ascii="宋体" w:hAnsi="宋体" w:eastAsia="宋体" w:cs="宋体"/>
                <w:bCs/>
                <w:szCs w:val="22"/>
                <w:lang w:val="zh-TW"/>
              </w:rPr>
              <w:t>分</w:t>
            </w:r>
            <w:r>
              <w:rPr>
                <w:rStyle w:val="140"/>
                <w:rFonts w:hint="eastAsia" w:ascii="宋体" w:hAnsi="宋体" w:eastAsia="宋体" w:cs="宋体"/>
                <w:bCs/>
                <w:szCs w:val="22"/>
                <w:lang w:val="zh-TW" w:eastAsia="zh-CN"/>
              </w:rPr>
              <w:t>；</w:t>
            </w:r>
          </w:p>
          <w:p>
            <w:pPr>
              <w:pStyle w:val="8"/>
              <w:ind w:firstLine="420" w:firstLineChars="200"/>
              <w:rPr>
                <w:rStyle w:val="140"/>
                <w:rFonts w:hint="eastAsia" w:ascii="宋体" w:hAnsi="宋体" w:eastAsia="宋体" w:cs="宋体"/>
                <w:bCs/>
                <w:szCs w:val="22"/>
                <w:lang w:val="zh-TW" w:eastAsia="zh-CN"/>
              </w:rPr>
            </w:pPr>
            <w:r>
              <w:rPr>
                <w:rStyle w:val="140"/>
                <w:rFonts w:hint="eastAsia" w:ascii="宋体" w:hAnsi="宋体" w:eastAsia="宋体" w:cs="宋体"/>
                <w:bCs/>
                <w:szCs w:val="22"/>
                <w:lang w:val="zh-TW"/>
              </w:rPr>
              <w:t>取得建筑工程相关专业高级工程师（或以上）职称</w:t>
            </w:r>
            <w:r>
              <w:rPr>
                <w:rStyle w:val="140"/>
                <w:rFonts w:hint="eastAsia" w:ascii="宋体" w:hAnsi="宋体" w:eastAsia="宋体" w:cs="宋体"/>
                <w:bCs/>
                <w:szCs w:val="22"/>
                <w:lang w:val="en-US" w:eastAsia="zh-CN"/>
              </w:rPr>
              <w:t>5</w:t>
            </w:r>
            <w:r>
              <w:rPr>
                <w:rStyle w:val="140"/>
                <w:rFonts w:hint="eastAsia" w:ascii="宋体" w:hAnsi="宋体" w:eastAsia="宋体" w:cs="宋体"/>
                <w:bCs/>
                <w:szCs w:val="22"/>
                <w:lang w:val="zh-TW"/>
              </w:rPr>
              <w:t>-</w:t>
            </w:r>
            <w:r>
              <w:rPr>
                <w:rStyle w:val="140"/>
                <w:rFonts w:hint="eastAsia" w:ascii="宋体" w:hAnsi="宋体" w:eastAsia="宋体" w:cs="宋体"/>
                <w:bCs/>
                <w:szCs w:val="22"/>
                <w:lang w:val="zh-TW" w:eastAsia="zh-TW"/>
              </w:rPr>
              <w:t>10</w:t>
            </w:r>
            <w:r>
              <w:rPr>
                <w:rStyle w:val="140"/>
                <w:rFonts w:hint="eastAsia" w:ascii="宋体" w:hAnsi="宋体" w:eastAsia="宋体" w:cs="宋体"/>
                <w:bCs/>
                <w:szCs w:val="22"/>
                <w:lang w:val="zh-TW"/>
              </w:rPr>
              <w:t>年的，</w:t>
            </w:r>
            <w:r>
              <w:rPr>
                <w:rStyle w:val="140"/>
                <w:rFonts w:hint="eastAsia" w:ascii="宋体" w:hAnsi="宋体" w:eastAsia="宋体" w:cs="宋体"/>
                <w:bCs/>
                <w:szCs w:val="22"/>
                <w:lang w:val="zh-TW" w:eastAsia="zh-CN"/>
              </w:rPr>
              <w:t>得2</w:t>
            </w:r>
            <w:r>
              <w:rPr>
                <w:rStyle w:val="140"/>
                <w:rFonts w:hint="eastAsia" w:ascii="宋体" w:hAnsi="宋体" w:eastAsia="宋体" w:cs="宋体"/>
                <w:bCs/>
                <w:szCs w:val="22"/>
                <w:lang w:val="zh-TW" w:eastAsia="zh-TW"/>
              </w:rPr>
              <w:t>.</w:t>
            </w:r>
            <w:r>
              <w:rPr>
                <w:rStyle w:val="140"/>
                <w:rFonts w:hint="eastAsia" w:ascii="宋体" w:hAnsi="宋体" w:eastAsia="宋体" w:cs="宋体"/>
                <w:bCs/>
                <w:szCs w:val="22"/>
                <w:lang w:val="zh-TW" w:eastAsia="zh-CN"/>
              </w:rPr>
              <w:t>5</w:t>
            </w:r>
            <w:r>
              <w:rPr>
                <w:rStyle w:val="140"/>
                <w:rFonts w:hint="eastAsia" w:ascii="宋体" w:hAnsi="宋体" w:eastAsia="宋体" w:cs="宋体"/>
                <w:bCs/>
                <w:szCs w:val="22"/>
                <w:lang w:val="zh-TW"/>
              </w:rPr>
              <w:t>分</w:t>
            </w:r>
            <w:r>
              <w:rPr>
                <w:rStyle w:val="140"/>
                <w:rFonts w:hint="eastAsia" w:ascii="宋体" w:hAnsi="宋体" w:eastAsia="宋体" w:cs="宋体"/>
                <w:bCs/>
                <w:szCs w:val="22"/>
                <w:lang w:val="zh-TW" w:eastAsia="zh-CN"/>
              </w:rPr>
              <w:t>；</w:t>
            </w:r>
          </w:p>
          <w:p>
            <w:pPr>
              <w:pStyle w:val="8"/>
              <w:ind w:firstLine="420" w:firstLineChars="200"/>
              <w:rPr>
                <w:rStyle w:val="140"/>
                <w:rFonts w:hint="eastAsia" w:ascii="宋体" w:hAnsi="宋体" w:eastAsia="宋体" w:cs="宋体"/>
                <w:bCs/>
                <w:szCs w:val="22"/>
                <w:lang w:val="zh-TW"/>
              </w:rPr>
            </w:pPr>
            <w:r>
              <w:rPr>
                <w:rStyle w:val="140"/>
                <w:rFonts w:hint="eastAsia" w:ascii="宋体" w:hAnsi="宋体" w:eastAsia="宋体" w:cs="宋体"/>
                <w:bCs/>
                <w:szCs w:val="22"/>
                <w:lang w:val="zh-TW"/>
              </w:rPr>
              <w:t>取得建筑工程相关专业高级工程师（或以上）职称</w:t>
            </w:r>
            <w:r>
              <w:rPr>
                <w:rStyle w:val="140"/>
                <w:rFonts w:hint="eastAsia" w:ascii="宋体" w:hAnsi="宋体" w:eastAsia="宋体" w:cs="宋体"/>
                <w:bCs/>
                <w:lang w:val="en-US" w:eastAsia="zh-CN"/>
              </w:rPr>
              <w:t>5</w:t>
            </w:r>
            <w:r>
              <w:rPr>
                <w:rStyle w:val="140"/>
                <w:rFonts w:hint="eastAsia" w:ascii="宋体" w:hAnsi="宋体" w:eastAsia="宋体" w:cs="宋体"/>
                <w:bCs/>
                <w:lang w:val="zh-TW"/>
              </w:rPr>
              <w:t>年</w:t>
            </w:r>
            <w:r>
              <w:rPr>
                <w:rStyle w:val="140"/>
                <w:rFonts w:hint="eastAsia" w:ascii="宋体" w:hAnsi="宋体" w:eastAsia="宋体" w:cs="宋体"/>
                <w:bCs/>
                <w:lang w:val="zh-TW" w:eastAsia="zh-CN"/>
              </w:rPr>
              <w:t>（不含）以下</w:t>
            </w:r>
            <w:r>
              <w:rPr>
                <w:rStyle w:val="140"/>
                <w:rFonts w:hint="eastAsia" w:ascii="宋体" w:hAnsi="宋体" w:eastAsia="宋体" w:cs="宋体"/>
                <w:bCs/>
                <w:szCs w:val="22"/>
                <w:lang w:val="zh-TW" w:eastAsia="zh-CN"/>
              </w:rPr>
              <w:t>的，得1</w:t>
            </w:r>
            <w:r>
              <w:rPr>
                <w:rStyle w:val="140"/>
                <w:rFonts w:hint="eastAsia" w:ascii="宋体" w:hAnsi="宋体" w:eastAsia="宋体" w:cs="宋体"/>
                <w:bCs/>
                <w:szCs w:val="22"/>
                <w:lang w:val="en-US" w:eastAsia="zh-CN"/>
              </w:rPr>
              <w:t>分</w:t>
            </w:r>
            <w:r>
              <w:rPr>
                <w:rStyle w:val="140"/>
                <w:rFonts w:hint="eastAsia" w:ascii="宋体" w:hAnsi="宋体" w:eastAsia="宋体" w:cs="宋体"/>
                <w:bCs/>
                <w:szCs w:val="22"/>
                <w:lang w:val="zh-TW"/>
              </w:rPr>
              <w:t>。</w:t>
            </w:r>
          </w:p>
          <w:p>
            <w:pPr>
              <w:widowControl/>
              <w:jc w:val="left"/>
              <w:rPr>
                <w:rFonts w:hint="eastAsia" w:ascii="宋体" w:hAnsi="宋体" w:eastAsia="宋体" w:cs="宋体"/>
                <w:color w:val="FF0000"/>
                <w:szCs w:val="21"/>
              </w:rPr>
            </w:pPr>
            <w:r>
              <w:rPr>
                <w:rStyle w:val="140"/>
                <w:rFonts w:hint="eastAsia" w:ascii="宋体" w:hAnsi="宋体" w:eastAsia="宋体" w:cs="宋体"/>
                <w:bCs/>
                <w:lang w:val="zh-TW"/>
              </w:rPr>
              <w:t>（2）</w:t>
            </w:r>
            <w:r>
              <w:rPr>
                <w:rFonts w:hint="eastAsia" w:ascii="宋体" w:hAnsi="宋体" w:eastAsia="宋体"/>
                <w:color w:val="auto"/>
                <w:sz w:val="21"/>
                <w:szCs w:val="21"/>
                <w:highlight w:val="none"/>
              </w:rPr>
              <w:t>具有</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年以上（</w:t>
            </w:r>
            <w:r>
              <w:rPr>
                <w:rStyle w:val="140"/>
                <w:rFonts w:hint="eastAsia" w:ascii="宋体" w:hAnsi="宋体" w:eastAsia="宋体" w:cs="宋体"/>
                <w:bCs/>
                <w:lang w:val="zh-TW"/>
              </w:rPr>
              <w:t>不</w:t>
            </w:r>
            <w:r>
              <w:rPr>
                <w:rFonts w:hint="eastAsia" w:ascii="宋体" w:hAnsi="宋体" w:eastAsia="宋体"/>
                <w:color w:val="auto"/>
                <w:sz w:val="21"/>
                <w:szCs w:val="21"/>
                <w:highlight w:val="none"/>
              </w:rPr>
              <w:t>含）施工管理工作经验，得</w:t>
            </w: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分；具有</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年至</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年施工管理工作经验，得</w:t>
            </w:r>
            <w:r>
              <w:rPr>
                <w:rFonts w:hint="eastAsia" w:ascii="宋体" w:hAnsi="宋体"/>
                <w:color w:val="auto"/>
                <w:sz w:val="21"/>
                <w:szCs w:val="21"/>
                <w:highlight w:val="none"/>
                <w:lang w:val="en-US" w:eastAsia="zh-CN"/>
              </w:rPr>
              <w:t>2.5</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具有</w:t>
            </w:r>
            <w:r>
              <w:rPr>
                <w:rStyle w:val="140"/>
                <w:rFonts w:hint="eastAsia" w:ascii="宋体" w:hAnsi="宋体" w:eastAsia="宋体" w:cs="宋体"/>
                <w:bCs/>
                <w:lang w:val="zh-TW"/>
              </w:rPr>
              <w:t>10年（不含）以下</w:t>
            </w:r>
            <w:r>
              <w:rPr>
                <w:rFonts w:hint="eastAsia" w:ascii="宋体" w:hAnsi="宋体" w:eastAsia="宋体"/>
                <w:color w:val="auto"/>
                <w:sz w:val="21"/>
                <w:szCs w:val="21"/>
                <w:highlight w:val="none"/>
              </w:rPr>
              <w:t>施工管理工作经验，得</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；起算</w:t>
            </w:r>
            <w:r>
              <w:rPr>
                <w:rFonts w:hint="eastAsia" w:ascii="宋体" w:hAnsi="宋体" w:eastAsia="宋体"/>
                <w:color w:val="auto"/>
                <w:sz w:val="21"/>
                <w:szCs w:val="21"/>
                <w:highlight w:val="none"/>
                <w:lang w:val="en-US" w:eastAsia="zh-CN"/>
              </w:rPr>
              <w:t>时间以</w:t>
            </w:r>
            <w:r>
              <w:rPr>
                <w:rStyle w:val="140"/>
                <w:rFonts w:hint="eastAsia" w:ascii="宋体" w:hAnsi="宋体" w:eastAsia="宋体" w:cs="宋体"/>
                <w:bCs/>
                <w:lang w:val="zh-TW"/>
              </w:rPr>
              <w:t>大学专科(或以上)学历</w:t>
            </w:r>
            <w:r>
              <w:rPr>
                <w:rStyle w:val="140"/>
                <w:rFonts w:hint="eastAsia" w:ascii="宋体" w:hAnsi="宋体" w:eastAsia="宋体" w:cs="宋体"/>
                <w:bCs/>
                <w:lang w:val="en-US" w:eastAsia="zh-CN"/>
              </w:rPr>
              <w:t>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atLeast"/>
          <w:jc w:val="center"/>
        </w:trPr>
        <w:tc>
          <w:tcPr>
            <w:tcW w:w="1251" w:type="dxa"/>
            <w:vMerge w:val="continue"/>
            <w:shd w:val="clear" w:color="auto" w:fill="FFFFFF"/>
            <w:vAlign w:val="center"/>
          </w:tcPr>
          <w:p>
            <w:pPr>
              <w:snapToGrid w:val="0"/>
              <w:jc w:val="center"/>
              <w:rPr>
                <w:rFonts w:ascii="宋体" w:hAnsi="宋体"/>
                <w:color w:val="000000"/>
                <w:szCs w:val="21"/>
              </w:rPr>
            </w:pPr>
          </w:p>
        </w:tc>
        <w:tc>
          <w:tcPr>
            <w:tcW w:w="1905" w:type="dxa"/>
            <w:shd w:val="clear" w:color="auto" w:fill="FFFFFF"/>
            <w:vAlign w:val="center"/>
          </w:tcPr>
          <w:p>
            <w:pPr>
              <w:widowControl/>
              <w:spacing w:before="100" w:beforeAutospacing="1" w:after="100" w:afterAutospacing="1" w:line="408" w:lineRule="auto"/>
              <w:jc w:val="center"/>
              <w:rPr>
                <w:rFonts w:ascii="宋体" w:hAnsi="宋体" w:cs="宋体"/>
                <w:b/>
                <w:bCs/>
                <w:color w:val="000000"/>
                <w:szCs w:val="21"/>
              </w:rPr>
            </w:pPr>
            <w:r>
              <w:rPr>
                <w:rFonts w:hint="eastAsia" w:ascii="宋体" w:hAnsi="宋体" w:cs="宋体"/>
                <w:b/>
                <w:bCs/>
                <w:color w:val="000000"/>
                <w:szCs w:val="21"/>
              </w:rPr>
              <w:t>安全负责人</w:t>
            </w:r>
          </w:p>
        </w:tc>
        <w:tc>
          <w:tcPr>
            <w:tcW w:w="654" w:type="dxa"/>
            <w:shd w:val="clear" w:color="auto" w:fill="FFFFFF"/>
            <w:vAlign w:val="center"/>
          </w:tcPr>
          <w:p>
            <w:pPr>
              <w:spacing w:before="100" w:beforeAutospacing="1" w:after="100" w:afterAutospacing="1" w:line="408" w:lineRule="auto"/>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11559" w:type="dxa"/>
            <w:shd w:val="clear" w:color="auto" w:fill="FFFFFF"/>
            <w:vAlign w:val="center"/>
          </w:tcPr>
          <w:p>
            <w:pPr>
              <w:pStyle w:val="141"/>
              <w:jc w:val="left"/>
              <w:rPr>
                <w:rStyle w:val="140"/>
                <w:rFonts w:hint="eastAsia" w:ascii="宋体" w:hAnsi="宋体" w:eastAsia="宋体" w:cs="宋体"/>
                <w:bCs/>
                <w:lang w:val="zh-TW"/>
              </w:rPr>
            </w:pPr>
            <w:r>
              <w:rPr>
                <w:rStyle w:val="140"/>
                <w:rFonts w:hint="eastAsia" w:ascii="宋体" w:hAnsi="宋体" w:eastAsia="宋体" w:cs="宋体"/>
                <w:bCs/>
                <w:lang w:val="zh-TW"/>
              </w:rPr>
              <w:t>（1）取得“建筑施工安全”类别的注册安全工程师执业证10年（不含）以上的，得</w:t>
            </w:r>
            <w:r>
              <w:rPr>
                <w:rStyle w:val="140"/>
                <w:rFonts w:hint="eastAsia" w:ascii="宋体" w:hAnsi="宋体" w:eastAsia="宋体" w:cs="宋体"/>
                <w:bCs/>
                <w:lang w:val="zh-TW" w:eastAsia="zh-TW"/>
              </w:rPr>
              <w:t>5</w:t>
            </w:r>
            <w:r>
              <w:rPr>
                <w:rStyle w:val="140"/>
                <w:rFonts w:hint="eastAsia" w:ascii="宋体" w:hAnsi="宋体" w:eastAsia="宋体" w:cs="宋体"/>
                <w:bCs/>
                <w:lang w:val="zh-TW"/>
              </w:rPr>
              <w:t>分；</w:t>
            </w:r>
          </w:p>
          <w:p>
            <w:pPr>
              <w:pStyle w:val="141"/>
              <w:ind w:firstLine="420" w:firstLineChars="200"/>
              <w:jc w:val="left"/>
              <w:rPr>
                <w:rStyle w:val="140"/>
                <w:rFonts w:hint="eastAsia" w:ascii="宋体" w:hAnsi="宋体" w:eastAsia="宋体" w:cs="宋体"/>
                <w:bCs/>
                <w:lang w:val="zh-TW"/>
              </w:rPr>
            </w:pPr>
            <w:r>
              <w:rPr>
                <w:rStyle w:val="140"/>
                <w:rFonts w:hint="eastAsia" w:ascii="宋体" w:hAnsi="宋体" w:eastAsia="宋体" w:cs="宋体"/>
                <w:bCs/>
                <w:lang w:val="zh-TW"/>
              </w:rPr>
              <w:t>取得“建筑施工安全”类别的注册安全工程师执业证</w:t>
            </w:r>
            <w:r>
              <w:rPr>
                <w:rStyle w:val="140"/>
                <w:rFonts w:hint="eastAsia" w:ascii="宋体" w:hAnsi="宋体" w:eastAsia="宋体" w:cs="宋体"/>
                <w:bCs/>
                <w:lang w:val="en-US" w:eastAsia="zh-CN"/>
              </w:rPr>
              <w:t>5</w:t>
            </w:r>
            <w:r>
              <w:rPr>
                <w:rStyle w:val="140"/>
                <w:rFonts w:hint="eastAsia" w:ascii="宋体" w:hAnsi="宋体" w:eastAsia="宋体" w:cs="宋体"/>
                <w:bCs/>
                <w:lang w:val="zh-TW"/>
              </w:rPr>
              <w:t>-10年的，得2</w:t>
            </w:r>
            <w:r>
              <w:rPr>
                <w:rStyle w:val="140"/>
                <w:rFonts w:hint="eastAsia" w:ascii="宋体" w:hAnsi="宋体" w:eastAsia="宋体" w:cs="宋体"/>
                <w:bCs/>
                <w:lang w:val="zh-TW" w:eastAsia="zh-TW"/>
              </w:rPr>
              <w:t>.</w:t>
            </w:r>
            <w:r>
              <w:rPr>
                <w:rStyle w:val="140"/>
                <w:rFonts w:hint="eastAsia" w:ascii="宋体" w:hAnsi="宋体" w:eastAsia="宋体" w:cs="宋体"/>
                <w:bCs/>
                <w:lang w:val="zh-TW"/>
              </w:rPr>
              <w:t>5分；</w:t>
            </w:r>
          </w:p>
          <w:p>
            <w:pPr>
              <w:pStyle w:val="141"/>
              <w:ind w:firstLine="420" w:firstLineChars="200"/>
              <w:jc w:val="left"/>
              <w:rPr>
                <w:rStyle w:val="140"/>
                <w:rFonts w:hint="eastAsia" w:ascii="宋体" w:hAnsi="宋体" w:eastAsia="宋体" w:cs="宋体"/>
                <w:bCs/>
                <w:lang w:val="zh-TW"/>
              </w:rPr>
            </w:pPr>
            <w:r>
              <w:rPr>
                <w:rStyle w:val="140"/>
                <w:rFonts w:hint="eastAsia" w:ascii="宋体" w:hAnsi="宋体" w:eastAsia="宋体" w:cs="宋体"/>
                <w:bCs/>
                <w:lang w:val="zh-TW"/>
              </w:rPr>
              <w:t>取得“建筑施工安全”类别的注册安全工程师执业证</w:t>
            </w:r>
            <w:r>
              <w:rPr>
                <w:rStyle w:val="140"/>
                <w:rFonts w:hint="eastAsia" w:ascii="宋体" w:hAnsi="宋体" w:eastAsia="宋体" w:cs="宋体"/>
                <w:bCs/>
                <w:lang w:val="en-US" w:eastAsia="zh-CN"/>
              </w:rPr>
              <w:t>5</w:t>
            </w:r>
            <w:r>
              <w:rPr>
                <w:rStyle w:val="140"/>
                <w:rFonts w:hint="eastAsia" w:ascii="宋体" w:hAnsi="宋体" w:eastAsia="宋体" w:cs="宋体"/>
                <w:bCs/>
                <w:lang w:val="zh-TW"/>
              </w:rPr>
              <w:t>年（不含）以下的，得1分。</w:t>
            </w:r>
          </w:p>
          <w:p>
            <w:pPr>
              <w:widowControl/>
              <w:jc w:val="left"/>
              <w:rPr>
                <w:rFonts w:hint="eastAsia" w:ascii="宋体" w:hAnsi="宋体" w:eastAsia="宋体" w:cs="宋体"/>
                <w:color w:val="FF0000"/>
              </w:rPr>
            </w:pPr>
            <w:r>
              <w:rPr>
                <w:rStyle w:val="140"/>
                <w:rFonts w:hint="eastAsia" w:ascii="宋体" w:hAnsi="宋体" w:eastAsia="宋体" w:cs="宋体"/>
                <w:bCs/>
                <w:lang w:val="zh-TW"/>
              </w:rPr>
              <w:t>（2）</w:t>
            </w:r>
            <w:r>
              <w:rPr>
                <w:rFonts w:hint="eastAsia" w:ascii="宋体" w:hAnsi="宋体" w:eastAsia="宋体"/>
                <w:color w:val="auto"/>
                <w:sz w:val="21"/>
                <w:szCs w:val="21"/>
                <w:highlight w:val="none"/>
              </w:rPr>
              <w:t>具有</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年以上（</w:t>
            </w:r>
            <w:r>
              <w:rPr>
                <w:rStyle w:val="140"/>
                <w:rFonts w:hint="eastAsia" w:ascii="宋体" w:hAnsi="宋体" w:eastAsia="宋体" w:cs="宋体"/>
                <w:bCs/>
                <w:lang w:val="zh-TW"/>
              </w:rPr>
              <w:t>不</w:t>
            </w:r>
            <w:r>
              <w:rPr>
                <w:rFonts w:hint="eastAsia" w:ascii="宋体" w:hAnsi="宋体" w:eastAsia="宋体"/>
                <w:color w:val="auto"/>
                <w:sz w:val="21"/>
                <w:szCs w:val="21"/>
                <w:highlight w:val="none"/>
              </w:rPr>
              <w:t>含）施工管理工作经验，得</w:t>
            </w: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分；具有</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年至</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年施工管理工作经验，得</w:t>
            </w:r>
            <w:r>
              <w:rPr>
                <w:rFonts w:hint="eastAsia" w:ascii="宋体" w:hAnsi="宋体"/>
                <w:color w:val="auto"/>
                <w:sz w:val="21"/>
                <w:szCs w:val="21"/>
                <w:highlight w:val="none"/>
                <w:lang w:val="en-US" w:eastAsia="zh-CN"/>
              </w:rPr>
              <w:t>2.5</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具有</w:t>
            </w:r>
            <w:r>
              <w:rPr>
                <w:rStyle w:val="140"/>
                <w:rFonts w:hint="eastAsia" w:ascii="宋体" w:hAnsi="宋体" w:eastAsia="宋体" w:cs="宋体"/>
                <w:bCs/>
                <w:lang w:val="zh-TW"/>
              </w:rPr>
              <w:t>10年（不含）以下</w:t>
            </w:r>
            <w:r>
              <w:rPr>
                <w:rFonts w:hint="eastAsia" w:ascii="宋体" w:hAnsi="宋体" w:eastAsia="宋体"/>
                <w:color w:val="auto"/>
                <w:sz w:val="21"/>
                <w:szCs w:val="21"/>
                <w:highlight w:val="none"/>
              </w:rPr>
              <w:t>施工管理工作经验，得</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；起算</w:t>
            </w:r>
            <w:r>
              <w:rPr>
                <w:rFonts w:hint="eastAsia" w:ascii="宋体" w:hAnsi="宋体" w:eastAsia="宋体"/>
                <w:color w:val="auto"/>
                <w:sz w:val="21"/>
                <w:szCs w:val="21"/>
                <w:highlight w:val="none"/>
                <w:lang w:val="en-US" w:eastAsia="zh-CN"/>
              </w:rPr>
              <w:t>时间以</w:t>
            </w:r>
            <w:r>
              <w:rPr>
                <w:rStyle w:val="140"/>
                <w:rFonts w:hint="eastAsia" w:ascii="宋体" w:hAnsi="宋体" w:eastAsia="宋体" w:cs="宋体"/>
                <w:bCs/>
                <w:lang w:val="zh-TW"/>
              </w:rPr>
              <w:t>大学专科(或以上)学历</w:t>
            </w:r>
            <w:r>
              <w:rPr>
                <w:rStyle w:val="140"/>
                <w:rFonts w:hint="eastAsia" w:ascii="宋体" w:hAnsi="宋体" w:eastAsia="宋体" w:cs="宋体"/>
                <w:bCs/>
                <w:lang w:val="en-US" w:eastAsia="zh-CN"/>
              </w:rPr>
              <w:t>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atLeast"/>
          <w:jc w:val="center"/>
        </w:trPr>
        <w:tc>
          <w:tcPr>
            <w:tcW w:w="1251" w:type="dxa"/>
            <w:vMerge w:val="continue"/>
            <w:shd w:val="clear" w:color="auto" w:fill="FFFFFF"/>
            <w:vAlign w:val="center"/>
          </w:tcPr>
          <w:p>
            <w:pPr>
              <w:snapToGrid w:val="0"/>
              <w:jc w:val="center"/>
              <w:rPr>
                <w:rFonts w:ascii="宋体" w:hAnsi="宋体"/>
                <w:color w:val="000000"/>
                <w:szCs w:val="21"/>
              </w:rPr>
            </w:pPr>
          </w:p>
        </w:tc>
        <w:tc>
          <w:tcPr>
            <w:tcW w:w="1905" w:type="dxa"/>
            <w:shd w:val="clear" w:color="auto" w:fill="FFFFFF"/>
            <w:vAlign w:val="center"/>
          </w:tcPr>
          <w:p>
            <w:pPr>
              <w:widowControl/>
              <w:spacing w:before="100" w:beforeAutospacing="1" w:after="100" w:afterAutospacing="1" w:line="408" w:lineRule="auto"/>
              <w:jc w:val="center"/>
              <w:rPr>
                <w:rFonts w:ascii="宋体" w:hAnsi="宋体" w:cs="宋体"/>
                <w:b/>
                <w:bCs/>
                <w:color w:val="000000"/>
                <w:szCs w:val="21"/>
                <w:lang w:val="zh-TW"/>
              </w:rPr>
            </w:pPr>
            <w:r>
              <w:rPr>
                <w:rFonts w:hint="eastAsia" w:ascii="宋体" w:hAnsi="宋体" w:cs="宋体"/>
                <w:b/>
                <w:bCs/>
                <w:color w:val="000000"/>
                <w:szCs w:val="21"/>
                <w:lang w:val="zh-TW"/>
              </w:rPr>
              <w:t>造价负责人</w:t>
            </w:r>
          </w:p>
        </w:tc>
        <w:tc>
          <w:tcPr>
            <w:tcW w:w="654" w:type="dxa"/>
            <w:shd w:val="clear" w:color="auto" w:fill="FFFFFF"/>
            <w:vAlign w:val="center"/>
          </w:tcPr>
          <w:p>
            <w:pPr>
              <w:spacing w:before="100" w:beforeAutospacing="1" w:after="100" w:afterAutospacing="1" w:line="408" w:lineRule="auto"/>
              <w:jc w:val="center"/>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w:t>
            </w:r>
            <w:r>
              <w:rPr>
                <w:rFonts w:ascii="宋体" w:hAnsi="宋体" w:cs="宋体"/>
                <w:color w:val="000000"/>
                <w:kern w:val="0"/>
                <w:szCs w:val="21"/>
                <w:shd w:val="clear" w:color="auto" w:fill="FFFFFF"/>
              </w:rPr>
              <w:t>0</w:t>
            </w:r>
          </w:p>
        </w:tc>
        <w:tc>
          <w:tcPr>
            <w:tcW w:w="11559" w:type="dxa"/>
            <w:shd w:val="clear" w:color="auto" w:fill="FFFFFF"/>
            <w:vAlign w:val="center"/>
          </w:tcPr>
          <w:p>
            <w:pPr>
              <w:pStyle w:val="8"/>
              <w:ind w:left="0" w:leftChars="0" w:firstLine="0" w:firstLineChars="0"/>
              <w:rPr>
                <w:rStyle w:val="140"/>
                <w:rFonts w:hint="eastAsia" w:ascii="宋体" w:hAnsi="宋体" w:eastAsia="宋体" w:cs="宋体"/>
                <w:bCs/>
                <w:szCs w:val="22"/>
                <w:lang w:val="zh-TW"/>
              </w:rPr>
            </w:pPr>
            <w:r>
              <w:rPr>
                <w:rStyle w:val="140"/>
                <w:rFonts w:hint="eastAsia" w:ascii="宋体" w:hAnsi="宋体" w:eastAsia="宋体" w:cs="宋体"/>
                <w:bCs/>
                <w:szCs w:val="22"/>
                <w:lang w:val="zh-TW" w:eastAsia="zh-CN"/>
              </w:rPr>
              <w:t>（</w:t>
            </w:r>
            <w:r>
              <w:rPr>
                <w:rStyle w:val="140"/>
                <w:rFonts w:hint="eastAsia" w:ascii="宋体" w:hAnsi="宋体" w:eastAsia="宋体" w:cs="宋体"/>
                <w:bCs/>
                <w:szCs w:val="22"/>
                <w:lang w:val="en-US" w:eastAsia="zh-CN"/>
              </w:rPr>
              <w:t>1</w:t>
            </w:r>
            <w:r>
              <w:rPr>
                <w:rStyle w:val="140"/>
                <w:rFonts w:hint="eastAsia" w:ascii="宋体" w:hAnsi="宋体" w:eastAsia="宋体" w:cs="宋体"/>
                <w:bCs/>
                <w:szCs w:val="22"/>
                <w:lang w:val="zh-TW" w:eastAsia="zh-CN"/>
              </w:rPr>
              <w:t>）</w:t>
            </w:r>
            <w:r>
              <w:rPr>
                <w:rStyle w:val="140"/>
                <w:rFonts w:hint="eastAsia" w:ascii="宋体" w:hAnsi="宋体" w:eastAsia="宋体" w:cs="宋体"/>
                <w:bCs/>
                <w:szCs w:val="22"/>
                <w:lang w:val="zh-TW"/>
              </w:rPr>
              <w:t>具有建筑相关专业高级（或以上）工程师职称1</w:t>
            </w:r>
            <w:r>
              <w:rPr>
                <w:rStyle w:val="140"/>
                <w:rFonts w:hint="eastAsia" w:ascii="宋体" w:hAnsi="宋体" w:eastAsia="宋体" w:cs="宋体"/>
                <w:bCs/>
                <w:szCs w:val="22"/>
                <w:lang w:val="zh-TW" w:eastAsia="zh-TW"/>
              </w:rPr>
              <w:t>0</w:t>
            </w:r>
            <w:r>
              <w:rPr>
                <w:rStyle w:val="140"/>
                <w:rFonts w:hint="eastAsia" w:ascii="宋体" w:hAnsi="宋体" w:eastAsia="宋体" w:cs="宋体"/>
                <w:bCs/>
                <w:szCs w:val="22"/>
                <w:lang w:val="zh-TW"/>
              </w:rPr>
              <w:t>年（不含）以上的，</w:t>
            </w:r>
            <w:r>
              <w:rPr>
                <w:rStyle w:val="140"/>
                <w:rFonts w:hint="eastAsia" w:ascii="宋体" w:hAnsi="宋体" w:eastAsia="宋体" w:cs="宋体"/>
                <w:bCs/>
                <w:szCs w:val="22"/>
                <w:lang w:val="zh-TW" w:eastAsia="zh-CN"/>
              </w:rPr>
              <w:t>得</w:t>
            </w:r>
            <w:r>
              <w:rPr>
                <w:rStyle w:val="140"/>
                <w:rFonts w:hint="eastAsia" w:ascii="宋体" w:hAnsi="宋体" w:eastAsia="宋体" w:cs="宋体"/>
                <w:bCs/>
                <w:szCs w:val="22"/>
                <w:lang w:val="zh-TW" w:eastAsia="zh-TW"/>
              </w:rPr>
              <w:t>5</w:t>
            </w:r>
            <w:r>
              <w:rPr>
                <w:rStyle w:val="140"/>
                <w:rFonts w:hint="eastAsia" w:ascii="宋体" w:hAnsi="宋体" w:eastAsia="宋体" w:cs="宋体"/>
                <w:bCs/>
                <w:szCs w:val="22"/>
                <w:lang w:val="zh-TW"/>
              </w:rPr>
              <w:t>分；</w:t>
            </w:r>
          </w:p>
          <w:p>
            <w:pPr>
              <w:pStyle w:val="8"/>
              <w:ind w:firstLine="420" w:firstLineChars="200"/>
              <w:rPr>
                <w:rStyle w:val="140"/>
                <w:rFonts w:hint="eastAsia" w:ascii="宋体" w:hAnsi="宋体" w:eastAsia="宋体" w:cs="宋体"/>
                <w:bCs/>
                <w:szCs w:val="22"/>
                <w:lang w:val="zh-TW"/>
              </w:rPr>
            </w:pPr>
            <w:r>
              <w:rPr>
                <w:rStyle w:val="140"/>
                <w:rFonts w:hint="eastAsia" w:ascii="宋体" w:hAnsi="宋体" w:eastAsia="宋体" w:cs="宋体"/>
                <w:bCs/>
                <w:szCs w:val="22"/>
                <w:lang w:val="zh-TW"/>
              </w:rPr>
              <w:t>具有建筑相关专业高级（或以上）工程师职称5-</w:t>
            </w:r>
            <w:r>
              <w:rPr>
                <w:rStyle w:val="140"/>
                <w:rFonts w:hint="eastAsia" w:ascii="宋体" w:hAnsi="宋体" w:eastAsia="宋体" w:cs="宋体"/>
                <w:bCs/>
                <w:szCs w:val="22"/>
                <w:lang w:val="zh-TW" w:eastAsia="zh-TW"/>
              </w:rPr>
              <w:t>10</w:t>
            </w:r>
            <w:r>
              <w:rPr>
                <w:rStyle w:val="140"/>
                <w:rFonts w:hint="eastAsia" w:ascii="宋体" w:hAnsi="宋体" w:eastAsia="宋体" w:cs="宋体"/>
                <w:bCs/>
                <w:szCs w:val="22"/>
                <w:lang w:val="zh-TW"/>
              </w:rPr>
              <w:t>年的，</w:t>
            </w:r>
            <w:r>
              <w:rPr>
                <w:rStyle w:val="140"/>
                <w:rFonts w:hint="eastAsia" w:ascii="宋体" w:hAnsi="宋体" w:eastAsia="宋体" w:cs="宋体"/>
                <w:bCs/>
                <w:szCs w:val="22"/>
                <w:lang w:val="zh-TW" w:eastAsia="zh-CN"/>
              </w:rPr>
              <w:t>得2</w:t>
            </w:r>
            <w:r>
              <w:rPr>
                <w:rStyle w:val="140"/>
                <w:rFonts w:hint="eastAsia" w:ascii="宋体" w:hAnsi="宋体" w:eastAsia="宋体" w:cs="宋体"/>
                <w:bCs/>
                <w:szCs w:val="22"/>
                <w:lang w:val="zh-TW" w:eastAsia="zh-TW"/>
              </w:rPr>
              <w:t>.</w:t>
            </w:r>
            <w:r>
              <w:rPr>
                <w:rStyle w:val="140"/>
                <w:rFonts w:hint="eastAsia" w:ascii="宋体" w:hAnsi="宋体" w:eastAsia="宋体" w:cs="宋体"/>
                <w:bCs/>
                <w:szCs w:val="22"/>
                <w:lang w:val="zh-TW" w:eastAsia="zh-CN"/>
              </w:rPr>
              <w:t>5</w:t>
            </w:r>
            <w:r>
              <w:rPr>
                <w:rStyle w:val="140"/>
                <w:rFonts w:hint="eastAsia" w:ascii="宋体" w:hAnsi="宋体" w:eastAsia="宋体" w:cs="宋体"/>
                <w:bCs/>
                <w:szCs w:val="22"/>
                <w:lang w:val="zh-TW"/>
              </w:rPr>
              <w:t>分；</w:t>
            </w:r>
          </w:p>
          <w:p>
            <w:pPr>
              <w:pStyle w:val="8"/>
              <w:ind w:firstLine="420" w:firstLineChars="200"/>
              <w:rPr>
                <w:rStyle w:val="140"/>
                <w:rFonts w:hint="eastAsia" w:ascii="宋体" w:hAnsi="宋体" w:eastAsia="宋体" w:cs="宋体"/>
                <w:bCs/>
                <w:szCs w:val="22"/>
                <w:lang w:val="zh-TW"/>
              </w:rPr>
            </w:pPr>
            <w:r>
              <w:rPr>
                <w:rStyle w:val="140"/>
                <w:rFonts w:hint="eastAsia" w:ascii="宋体" w:hAnsi="宋体" w:eastAsia="宋体" w:cs="宋体"/>
                <w:bCs/>
                <w:szCs w:val="22"/>
                <w:lang w:val="zh-TW"/>
              </w:rPr>
              <w:t>具有建筑相关专业高级（或以上）工程师职称5年以下的，</w:t>
            </w:r>
            <w:r>
              <w:rPr>
                <w:rStyle w:val="140"/>
                <w:rFonts w:hint="eastAsia" w:ascii="宋体" w:hAnsi="宋体" w:eastAsia="宋体" w:cs="宋体"/>
                <w:bCs/>
                <w:szCs w:val="22"/>
                <w:lang w:val="zh-TW" w:eastAsia="zh-CN"/>
              </w:rPr>
              <w:t>得1</w:t>
            </w:r>
            <w:r>
              <w:rPr>
                <w:rStyle w:val="140"/>
                <w:rFonts w:hint="eastAsia" w:ascii="宋体" w:hAnsi="宋体" w:eastAsia="宋体" w:cs="宋体"/>
                <w:bCs/>
                <w:szCs w:val="22"/>
                <w:lang w:val="zh-TW"/>
              </w:rPr>
              <w:t>分。</w:t>
            </w:r>
          </w:p>
          <w:p>
            <w:pPr>
              <w:widowControl/>
              <w:jc w:val="left"/>
              <w:rPr>
                <w:rFonts w:hint="eastAsia" w:ascii="宋体" w:hAnsi="宋体" w:eastAsia="宋体" w:cs="宋体"/>
                <w:color w:val="FF0000"/>
                <w:lang w:val="zh-TW"/>
              </w:rPr>
            </w:pPr>
            <w:r>
              <w:rPr>
                <w:rStyle w:val="140"/>
                <w:rFonts w:hint="eastAsia" w:ascii="宋体" w:hAnsi="宋体" w:eastAsia="宋体" w:cs="宋体"/>
                <w:bCs/>
                <w:lang w:val="zh-TW"/>
              </w:rPr>
              <w:t>（</w:t>
            </w:r>
            <w:r>
              <w:rPr>
                <w:rStyle w:val="140"/>
                <w:rFonts w:hint="eastAsia" w:ascii="宋体" w:hAnsi="宋体" w:eastAsia="宋体" w:cs="宋体"/>
                <w:bCs/>
              </w:rPr>
              <w:t>2</w:t>
            </w:r>
            <w:r>
              <w:rPr>
                <w:rStyle w:val="140"/>
                <w:rFonts w:hint="eastAsia" w:ascii="宋体" w:hAnsi="宋体" w:eastAsia="宋体" w:cs="宋体"/>
                <w:bCs/>
                <w:lang w:val="zh-TW"/>
              </w:rPr>
              <w:t>）从造价师初始注册时间开始计算，工程造价从业经历</w:t>
            </w:r>
            <w:r>
              <w:rPr>
                <w:rStyle w:val="140"/>
                <w:rFonts w:hint="eastAsia" w:ascii="宋体" w:hAnsi="宋体" w:eastAsia="宋体" w:cs="宋体"/>
                <w:bCs/>
                <w:lang w:val="zh-TW" w:eastAsia="zh-TW"/>
              </w:rPr>
              <w:t>15</w:t>
            </w:r>
            <w:r>
              <w:rPr>
                <w:rStyle w:val="140"/>
                <w:rFonts w:hint="eastAsia" w:ascii="宋体" w:hAnsi="宋体" w:eastAsia="宋体" w:cs="宋体"/>
                <w:bCs/>
                <w:lang w:val="zh-TW"/>
              </w:rPr>
              <w:t>年（不含）以上的，得5分；10-</w:t>
            </w:r>
            <w:r>
              <w:rPr>
                <w:rStyle w:val="140"/>
                <w:rFonts w:hint="eastAsia" w:ascii="宋体" w:hAnsi="宋体" w:eastAsia="宋体" w:cs="宋体"/>
                <w:bCs/>
                <w:lang w:val="zh-TW" w:eastAsia="zh-TW"/>
              </w:rPr>
              <w:t>15</w:t>
            </w:r>
            <w:r>
              <w:rPr>
                <w:rStyle w:val="140"/>
                <w:rFonts w:hint="eastAsia" w:ascii="宋体" w:hAnsi="宋体" w:eastAsia="宋体" w:cs="宋体"/>
                <w:bCs/>
                <w:lang w:val="zh-TW"/>
              </w:rPr>
              <w:t>年的，得</w:t>
            </w:r>
            <w:r>
              <w:rPr>
                <w:rStyle w:val="140"/>
                <w:rFonts w:hint="eastAsia" w:ascii="宋体" w:hAnsi="宋体" w:eastAsia="宋体" w:cs="宋体"/>
                <w:bCs/>
                <w:lang w:val="zh-TW" w:eastAsia="zh-TW"/>
              </w:rPr>
              <w:t>2.5</w:t>
            </w:r>
            <w:r>
              <w:rPr>
                <w:rStyle w:val="140"/>
                <w:rFonts w:hint="eastAsia" w:ascii="宋体" w:hAnsi="宋体" w:eastAsia="宋体" w:cs="宋体"/>
                <w:bCs/>
                <w:lang w:val="zh-TW"/>
              </w:rPr>
              <w:t>分；10年（不含）以下的，得</w:t>
            </w:r>
            <w:r>
              <w:rPr>
                <w:rStyle w:val="140"/>
                <w:rFonts w:hint="eastAsia" w:ascii="宋体" w:hAnsi="宋体" w:eastAsia="宋体" w:cs="宋体"/>
                <w:bCs/>
                <w:lang w:val="zh-TW" w:eastAsia="zh-TW"/>
              </w:rPr>
              <w:t>1</w:t>
            </w:r>
            <w:r>
              <w:rPr>
                <w:rStyle w:val="140"/>
                <w:rFonts w:hint="eastAsia" w:ascii="宋体" w:hAnsi="宋体" w:eastAsia="宋体" w:cs="宋体"/>
                <w:bCs/>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3" w:hRule="atLeast"/>
          <w:jc w:val="center"/>
        </w:trPr>
        <w:tc>
          <w:tcPr>
            <w:tcW w:w="1251" w:type="dxa"/>
            <w:vMerge w:val="continue"/>
            <w:shd w:val="clear" w:color="auto" w:fill="FFFFFF"/>
            <w:vAlign w:val="center"/>
          </w:tcPr>
          <w:p>
            <w:pPr>
              <w:snapToGrid w:val="0"/>
              <w:jc w:val="center"/>
              <w:rPr>
                <w:rFonts w:ascii="宋体" w:hAnsi="宋体"/>
                <w:color w:val="000000"/>
                <w:szCs w:val="21"/>
              </w:rPr>
            </w:pPr>
          </w:p>
        </w:tc>
        <w:tc>
          <w:tcPr>
            <w:tcW w:w="1905" w:type="dxa"/>
            <w:shd w:val="clear" w:color="auto" w:fill="FFFFFF"/>
            <w:vAlign w:val="center"/>
          </w:tcPr>
          <w:p>
            <w:pPr>
              <w:widowControl/>
              <w:spacing w:before="100" w:beforeAutospacing="1" w:after="100" w:afterAutospacing="1" w:line="408" w:lineRule="auto"/>
              <w:jc w:val="center"/>
              <w:rPr>
                <w:rFonts w:ascii="宋体" w:hAnsi="宋体" w:cs="宋体"/>
                <w:b/>
                <w:bCs/>
                <w:color w:val="000000"/>
                <w:szCs w:val="21"/>
                <w:lang w:val="zh-TW"/>
              </w:rPr>
            </w:pPr>
            <w:r>
              <w:rPr>
                <w:rFonts w:hint="eastAsia" w:ascii="宋体" w:hAnsi="宋体" w:cs="宋体"/>
                <w:b/>
                <w:bCs/>
                <w:color w:val="000000"/>
                <w:szCs w:val="21"/>
              </w:rPr>
              <w:t>装饰专业工程</w:t>
            </w:r>
            <w:r>
              <w:rPr>
                <w:rFonts w:ascii="宋体" w:hAnsi="宋体" w:cs="宋体"/>
                <w:b/>
                <w:bCs/>
                <w:color w:val="000000"/>
                <w:szCs w:val="21"/>
              </w:rPr>
              <w:t>师</w:t>
            </w:r>
          </w:p>
        </w:tc>
        <w:tc>
          <w:tcPr>
            <w:tcW w:w="654" w:type="dxa"/>
            <w:shd w:val="clear" w:color="auto" w:fill="FFFFFF"/>
            <w:vAlign w:val="center"/>
          </w:tcPr>
          <w:p>
            <w:pPr>
              <w:spacing w:before="100" w:beforeAutospacing="1" w:after="100" w:afterAutospacing="1" w:line="408" w:lineRule="auto"/>
              <w:jc w:val="center"/>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lang w:val="en-US" w:eastAsia="zh-CN"/>
              </w:rPr>
              <w:t>2</w:t>
            </w:r>
            <w:r>
              <w:rPr>
                <w:rFonts w:hint="eastAsia" w:ascii="宋体" w:hAnsi="宋体" w:cs="宋体"/>
                <w:color w:val="000000"/>
                <w:kern w:val="0"/>
                <w:szCs w:val="21"/>
                <w:shd w:val="clear" w:color="auto" w:fill="FFFFFF"/>
              </w:rPr>
              <w:t>0</w:t>
            </w:r>
          </w:p>
        </w:tc>
        <w:tc>
          <w:tcPr>
            <w:tcW w:w="11559" w:type="dxa"/>
            <w:shd w:val="clear" w:color="auto" w:fill="FFFFFF"/>
            <w:vAlign w:val="center"/>
          </w:tcPr>
          <w:p>
            <w:pPr>
              <w:numPr>
                <w:ilvl w:val="0"/>
                <w:numId w:val="3"/>
              </w:numPr>
              <w:rPr>
                <w:rFonts w:hint="eastAsia" w:ascii="宋体" w:hAnsi="宋体" w:eastAsia="宋体" w:cs="宋体"/>
              </w:rPr>
            </w:pPr>
            <w:r>
              <w:rPr>
                <w:rFonts w:hint="eastAsia" w:ascii="宋体" w:hAnsi="宋体" w:eastAsia="宋体" w:cs="宋体"/>
              </w:rPr>
              <w:t>具有建筑装饰装修类专业高级工程师(或以上)职称的，</w:t>
            </w:r>
            <w:r>
              <w:rPr>
                <w:rFonts w:hint="eastAsia" w:ascii="宋体" w:hAnsi="宋体" w:cs="宋体"/>
                <w:lang w:val="en-US" w:eastAsia="zh-CN"/>
              </w:rPr>
              <w:t>得5</w:t>
            </w:r>
            <w:r>
              <w:rPr>
                <w:rFonts w:hint="eastAsia" w:ascii="宋体" w:hAnsi="宋体" w:eastAsia="宋体" w:cs="宋体"/>
              </w:rPr>
              <w:t>分</w:t>
            </w:r>
            <w:r>
              <w:rPr>
                <w:rFonts w:hint="eastAsia" w:ascii="宋体" w:hAnsi="宋体" w:cs="宋体"/>
                <w:lang w:eastAsia="zh-CN"/>
              </w:rPr>
              <w:t>。</w:t>
            </w:r>
          </w:p>
          <w:p>
            <w:pPr>
              <w:numPr>
                <w:ilvl w:val="0"/>
                <w:numId w:val="3"/>
              </w:numPr>
              <w:rPr>
                <w:rFonts w:hint="eastAsia" w:ascii="宋体" w:hAnsi="宋体" w:eastAsia="宋体" w:cs="宋体"/>
                <w:lang w:eastAsia="zh-CN"/>
              </w:rPr>
            </w:pPr>
            <w:r>
              <w:rPr>
                <w:rFonts w:hint="eastAsia" w:ascii="宋体" w:hAnsi="宋体" w:eastAsia="宋体"/>
                <w:color w:val="auto"/>
                <w:sz w:val="21"/>
                <w:szCs w:val="21"/>
                <w:highlight w:val="none"/>
              </w:rPr>
              <w:t>具有</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年以上（</w:t>
            </w:r>
            <w:r>
              <w:rPr>
                <w:rStyle w:val="140"/>
                <w:rFonts w:hint="eastAsia" w:ascii="宋体" w:hAnsi="宋体" w:eastAsia="宋体" w:cs="宋体"/>
                <w:bCs/>
                <w:lang w:val="zh-TW"/>
              </w:rPr>
              <w:t>不</w:t>
            </w:r>
            <w:r>
              <w:rPr>
                <w:rFonts w:hint="eastAsia" w:ascii="宋体" w:hAnsi="宋体" w:eastAsia="宋体"/>
                <w:color w:val="auto"/>
                <w:sz w:val="21"/>
                <w:szCs w:val="21"/>
                <w:highlight w:val="none"/>
              </w:rPr>
              <w:t>含）施工管理工作经验，得</w:t>
            </w: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分；具有</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年至</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年施工管理工作经验，得</w:t>
            </w:r>
            <w:r>
              <w:rPr>
                <w:rFonts w:hint="eastAsia" w:ascii="宋体" w:hAnsi="宋体"/>
                <w:color w:val="auto"/>
                <w:sz w:val="21"/>
                <w:szCs w:val="21"/>
                <w:highlight w:val="none"/>
                <w:lang w:val="en-US" w:eastAsia="zh-CN"/>
              </w:rPr>
              <w:t>2.5</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具有</w:t>
            </w:r>
            <w:r>
              <w:rPr>
                <w:rStyle w:val="140"/>
                <w:rFonts w:hint="eastAsia" w:ascii="宋体" w:hAnsi="宋体" w:eastAsia="宋体" w:cs="宋体"/>
                <w:bCs/>
                <w:lang w:val="zh-TW"/>
              </w:rPr>
              <w:t>10年（不含）以下</w:t>
            </w:r>
            <w:r>
              <w:rPr>
                <w:rFonts w:hint="eastAsia" w:ascii="宋体" w:hAnsi="宋体" w:eastAsia="宋体"/>
                <w:color w:val="auto"/>
                <w:sz w:val="21"/>
                <w:szCs w:val="21"/>
                <w:highlight w:val="none"/>
              </w:rPr>
              <w:t>施工管理工作经验，得</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；起算</w:t>
            </w:r>
            <w:r>
              <w:rPr>
                <w:rFonts w:hint="eastAsia" w:ascii="宋体" w:hAnsi="宋体" w:eastAsia="宋体"/>
                <w:color w:val="auto"/>
                <w:sz w:val="21"/>
                <w:szCs w:val="21"/>
                <w:highlight w:val="none"/>
                <w:lang w:val="en-US" w:eastAsia="zh-CN"/>
              </w:rPr>
              <w:t>时间以</w:t>
            </w:r>
            <w:r>
              <w:rPr>
                <w:rStyle w:val="140"/>
                <w:rFonts w:hint="eastAsia" w:ascii="宋体" w:hAnsi="宋体" w:eastAsia="宋体" w:cs="宋体"/>
                <w:bCs/>
                <w:lang w:val="zh-TW"/>
              </w:rPr>
              <w:t>大学专科(或以上)学历</w:t>
            </w:r>
            <w:r>
              <w:rPr>
                <w:rStyle w:val="140"/>
                <w:rFonts w:hint="eastAsia" w:ascii="宋体" w:hAnsi="宋体" w:eastAsia="宋体" w:cs="宋体"/>
                <w:bCs/>
                <w:lang w:val="en-US" w:eastAsia="zh-CN"/>
              </w:rPr>
              <w:t>证书为准。</w:t>
            </w:r>
          </w:p>
          <w:p>
            <w:pPr>
              <w:numPr>
                <w:ilvl w:val="0"/>
                <w:numId w:val="3"/>
              </w:numPr>
              <w:rPr>
                <w:rFonts w:hint="eastAsia" w:ascii="宋体" w:hAnsi="宋体" w:eastAsia="宋体" w:cs="宋体"/>
                <w:lang w:eastAsia="zh-CN"/>
              </w:rPr>
            </w:pPr>
            <w:r>
              <w:rPr>
                <w:rStyle w:val="140"/>
                <w:rFonts w:hint="eastAsia" w:ascii="宋体" w:hAnsi="宋体" w:cs="宋体"/>
                <w:bCs/>
              </w:rPr>
              <w:t>每增加一名</w:t>
            </w:r>
            <w:r>
              <w:rPr>
                <w:rFonts w:hint="eastAsia" w:ascii="宋体" w:hAnsi="宋体" w:eastAsia="宋体" w:cs="宋体"/>
              </w:rPr>
              <w:t>建筑装饰装修</w:t>
            </w:r>
            <w:r>
              <w:rPr>
                <w:rStyle w:val="140"/>
                <w:rFonts w:hint="eastAsia" w:ascii="宋体" w:hAnsi="宋体" w:cs="宋体"/>
                <w:bCs/>
              </w:rPr>
              <w:t>类专业高级工程（或以上）职称的，加2分；中级加1分；本小项最多加</w:t>
            </w:r>
            <w:r>
              <w:rPr>
                <w:rStyle w:val="140"/>
                <w:rFonts w:hint="eastAsia" w:ascii="宋体" w:hAnsi="宋体" w:cs="宋体"/>
                <w:bCs/>
                <w:lang w:val="en-US" w:eastAsia="zh-CN"/>
              </w:rPr>
              <w:t>10</w:t>
            </w:r>
            <w:r>
              <w:rPr>
                <w:rStyle w:val="140"/>
                <w:rFonts w:hint="eastAsia" w:ascii="宋体" w:hAnsi="宋体" w:cs="宋体"/>
                <w:bCs/>
              </w:rPr>
              <w:t>分</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atLeast"/>
          <w:jc w:val="center"/>
        </w:trPr>
        <w:tc>
          <w:tcPr>
            <w:tcW w:w="1251" w:type="dxa"/>
            <w:vMerge w:val="restart"/>
            <w:shd w:val="clear" w:color="auto" w:fill="FFFFFF"/>
            <w:vAlign w:val="center"/>
          </w:tcPr>
          <w:p>
            <w:pPr>
              <w:snapToGrid w:val="0"/>
              <w:jc w:val="center"/>
              <w:rPr>
                <w:rFonts w:ascii="宋体" w:hAnsi="宋体" w:cs="宋体"/>
                <w:color w:val="000000"/>
                <w:kern w:val="0"/>
                <w:szCs w:val="21"/>
              </w:rPr>
            </w:pPr>
            <w:r>
              <w:rPr>
                <w:rFonts w:ascii="宋体" w:hAnsi="宋体" w:cs="宋体"/>
                <w:color w:val="000000"/>
                <w:kern w:val="0"/>
                <w:szCs w:val="21"/>
                <w:shd w:val="clear" w:color="auto" w:fill="FFFFFF"/>
                <w:lang w:val="zh-TW"/>
              </w:rPr>
              <w:t>企业资信</w:t>
            </w:r>
            <w:r>
              <w:rPr>
                <w:rFonts w:ascii="宋体" w:hAnsi="宋体" w:cs="Century Schoolbook"/>
                <w:bCs/>
                <w:color w:val="000000"/>
                <w:spacing w:val="10"/>
                <w:kern w:val="0"/>
                <w:szCs w:val="21"/>
                <w:shd w:val="clear" w:color="auto" w:fill="FFFFFF"/>
              </w:rPr>
              <w:t>(30</w:t>
            </w:r>
            <w:r>
              <w:rPr>
                <w:rFonts w:ascii="宋体" w:hAnsi="宋体" w:cs="宋体"/>
                <w:color w:val="000000"/>
                <w:kern w:val="0"/>
                <w:szCs w:val="21"/>
                <w:shd w:val="clear" w:color="auto" w:fill="FFFFFF"/>
                <w:lang w:val="zh-TW"/>
              </w:rPr>
              <w:t>分</w:t>
            </w:r>
            <w:r>
              <w:rPr>
                <w:rFonts w:ascii="宋体" w:hAnsi="宋体" w:cs="Century Schoolbook"/>
                <w:bCs/>
                <w:color w:val="000000"/>
                <w:spacing w:val="10"/>
                <w:kern w:val="0"/>
                <w:szCs w:val="21"/>
                <w:shd w:val="clear" w:color="auto" w:fill="FFFFFF"/>
              </w:rPr>
              <w:t>)</w:t>
            </w:r>
          </w:p>
        </w:tc>
        <w:tc>
          <w:tcPr>
            <w:tcW w:w="1905" w:type="dxa"/>
            <w:shd w:val="clear" w:color="auto" w:fill="FFFFFF"/>
            <w:vAlign w:val="center"/>
          </w:tcPr>
          <w:p>
            <w:pPr>
              <w:snapToGrid w:val="0"/>
              <w:jc w:val="center"/>
              <w:rPr>
                <w:rFonts w:ascii="宋体" w:hAnsi="宋体" w:cs="宋体"/>
                <w:b/>
                <w:bCs/>
                <w:color w:val="000000"/>
                <w:szCs w:val="21"/>
              </w:rPr>
            </w:pPr>
            <w:r>
              <w:rPr>
                <w:rFonts w:ascii="宋体" w:hAnsi="宋体" w:cs="宋体"/>
                <w:b/>
                <w:bCs/>
                <w:color w:val="000000"/>
                <w:szCs w:val="21"/>
              </w:rPr>
              <w:t>工程业绩</w:t>
            </w:r>
          </w:p>
        </w:tc>
        <w:tc>
          <w:tcPr>
            <w:tcW w:w="654" w:type="dxa"/>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15</w:t>
            </w:r>
          </w:p>
        </w:tc>
        <w:tc>
          <w:tcPr>
            <w:tcW w:w="11559" w:type="dxa"/>
            <w:shd w:val="clear" w:color="auto" w:fill="FFFFFF"/>
            <w:vAlign w:val="center"/>
          </w:tcPr>
          <w:p>
            <w:pPr>
              <w:rPr>
                <w:rFonts w:hint="eastAsia" w:ascii="宋体" w:hAnsi="宋体" w:eastAsia="宋体" w:cs="宋体"/>
              </w:rPr>
            </w:pPr>
            <w:r>
              <w:rPr>
                <w:rFonts w:hint="eastAsia" w:ascii="宋体" w:hAnsi="宋体" w:eastAsia="宋体" w:cs="宋体"/>
              </w:rPr>
              <w:t>投标人自2020年1月1日至投标截止时间，完成过质量合格且合同金额大于3</w:t>
            </w:r>
            <w:r>
              <w:rPr>
                <w:rFonts w:hint="eastAsia" w:ascii="宋体" w:hAnsi="宋体" w:eastAsia="宋体" w:cs="宋体"/>
                <w:lang w:val="en-US" w:eastAsia="zh-CN"/>
              </w:rPr>
              <w:t>0</w:t>
            </w:r>
            <w:r>
              <w:rPr>
                <w:rFonts w:hint="eastAsia" w:ascii="宋体" w:hAnsi="宋体" w:eastAsia="宋体" w:cs="宋体"/>
              </w:rPr>
              <w:t>0万的类似工程业绩，每项得1.5分，最多得1</w:t>
            </w:r>
            <w:r>
              <w:rPr>
                <w:rFonts w:hint="eastAsia" w:ascii="宋体" w:hAnsi="宋体" w:eastAsia="宋体" w:cs="宋体"/>
                <w:lang w:val="en-US" w:eastAsia="zh-CN"/>
              </w:rPr>
              <w:t>5</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0" w:hRule="atLeast"/>
          <w:jc w:val="center"/>
        </w:trPr>
        <w:tc>
          <w:tcPr>
            <w:tcW w:w="1251" w:type="dxa"/>
            <w:vMerge w:val="continue"/>
            <w:shd w:val="clear" w:color="auto" w:fill="FFFFFF"/>
            <w:vAlign w:val="center"/>
          </w:tcPr>
          <w:p>
            <w:pPr>
              <w:snapToGrid w:val="0"/>
              <w:jc w:val="center"/>
              <w:rPr>
                <w:rFonts w:ascii="宋体" w:hAnsi="宋体" w:cs="宋体"/>
                <w:color w:val="000000"/>
                <w:kern w:val="0"/>
                <w:szCs w:val="21"/>
                <w:shd w:val="clear" w:color="auto" w:fill="FFFFFF"/>
                <w:lang w:val="zh-TW"/>
              </w:rPr>
            </w:pPr>
          </w:p>
        </w:tc>
        <w:tc>
          <w:tcPr>
            <w:tcW w:w="1905" w:type="dxa"/>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工程获奖</w:t>
            </w:r>
          </w:p>
        </w:tc>
        <w:tc>
          <w:tcPr>
            <w:tcW w:w="654" w:type="dxa"/>
            <w:shd w:val="clear" w:color="auto" w:fill="FFFFFF"/>
            <w:vAlign w:val="center"/>
          </w:tcPr>
          <w:p>
            <w:pPr>
              <w:snapToGrid w:val="0"/>
              <w:jc w:val="center"/>
              <w:rPr>
                <w:rFonts w:ascii="宋体" w:hAnsi="宋体" w:cs="宋体"/>
                <w:color w:val="000000"/>
                <w:szCs w:val="21"/>
              </w:rPr>
            </w:pPr>
            <w:r>
              <w:rPr>
                <w:rFonts w:ascii="宋体" w:hAnsi="宋体" w:cs="宋体"/>
                <w:color w:val="000000"/>
                <w:szCs w:val="21"/>
              </w:rPr>
              <w:t>10</w:t>
            </w:r>
          </w:p>
        </w:tc>
        <w:tc>
          <w:tcPr>
            <w:tcW w:w="11559" w:type="dxa"/>
            <w:shd w:val="clear" w:color="auto" w:fill="FFFFFF"/>
            <w:vAlign w:val="center"/>
          </w:tcPr>
          <w:p>
            <w:pPr>
              <w:adjustRightInd w:val="0"/>
              <w:ind w:right="134" w:rightChars="64"/>
              <w:jc w:val="left"/>
              <w:rPr>
                <w:rFonts w:hint="eastAsia" w:ascii="宋体" w:hAnsi="宋体" w:eastAsia="宋体" w:cs="宋体"/>
                <w:szCs w:val="21"/>
              </w:rPr>
            </w:pPr>
            <w:r>
              <w:rPr>
                <w:rFonts w:hint="eastAsia" w:ascii="宋体" w:hAnsi="宋体" w:eastAsia="宋体" w:cs="宋体"/>
                <w:szCs w:val="21"/>
              </w:rPr>
              <w:t>投标人自2020年1月1日至投标截止日，完成过的类似项目，获得过的工程质量奖项情况：</w:t>
            </w:r>
          </w:p>
          <w:p>
            <w:pPr>
              <w:adjustRightInd w:val="0"/>
              <w:ind w:right="134" w:rightChars="64"/>
              <w:jc w:val="left"/>
              <w:rPr>
                <w:rFonts w:hint="eastAsia" w:ascii="宋体" w:hAnsi="宋体" w:eastAsia="宋体" w:cs="宋体"/>
                <w:szCs w:val="21"/>
              </w:rPr>
            </w:pPr>
            <w:r>
              <w:rPr>
                <w:rFonts w:hint="eastAsia" w:ascii="宋体" w:hAnsi="宋体" w:eastAsia="宋体" w:cs="宋体"/>
                <w:szCs w:val="21"/>
              </w:rPr>
              <w:t>（1）国家级工程质量奖项，每项得1分，最多得10分；</w:t>
            </w:r>
          </w:p>
          <w:p>
            <w:pPr>
              <w:adjustRightInd w:val="0"/>
              <w:ind w:right="134" w:rightChars="64"/>
              <w:jc w:val="left"/>
              <w:rPr>
                <w:rFonts w:hint="eastAsia" w:ascii="宋体" w:hAnsi="宋体" w:eastAsia="宋体" w:cs="宋体"/>
                <w:szCs w:val="21"/>
              </w:rPr>
            </w:pPr>
            <w:r>
              <w:rPr>
                <w:rFonts w:hint="eastAsia" w:ascii="宋体" w:hAnsi="宋体" w:eastAsia="宋体" w:cs="宋体"/>
                <w:szCs w:val="21"/>
              </w:rPr>
              <w:t>（2）省级工程质量奖项，每项得0.5分，最多得5分；</w:t>
            </w:r>
          </w:p>
          <w:p>
            <w:pPr>
              <w:adjustRightInd w:val="0"/>
              <w:ind w:right="134" w:rightChars="64"/>
              <w:jc w:val="left"/>
              <w:rPr>
                <w:rFonts w:hint="eastAsia" w:ascii="宋体" w:hAnsi="宋体" w:eastAsia="宋体" w:cs="宋体"/>
                <w:szCs w:val="21"/>
              </w:rPr>
            </w:pPr>
            <w:r>
              <w:rPr>
                <w:rFonts w:hint="eastAsia" w:ascii="宋体" w:hAnsi="宋体" w:eastAsia="宋体" w:cs="宋体"/>
                <w:szCs w:val="21"/>
              </w:rPr>
              <w:t>（3）市级工程质量奖项，每项得0.3分，最多得3分。</w:t>
            </w:r>
          </w:p>
          <w:p>
            <w:pPr>
              <w:adjustRightInd w:val="0"/>
              <w:ind w:right="134" w:rightChars="64"/>
              <w:jc w:val="left"/>
              <w:rPr>
                <w:rFonts w:hint="eastAsia" w:ascii="宋体" w:hAnsi="宋体" w:eastAsia="宋体" w:cs="宋体"/>
              </w:rPr>
            </w:pPr>
            <w:r>
              <w:rPr>
                <w:rFonts w:hint="eastAsia" w:ascii="宋体" w:hAnsi="宋体" w:eastAsia="宋体" w:cs="宋体"/>
                <w:szCs w:val="21"/>
              </w:rPr>
              <w:t>本项最多得</w:t>
            </w:r>
            <w:r>
              <w:rPr>
                <w:rFonts w:hint="eastAsia" w:ascii="宋体" w:hAnsi="宋体" w:eastAsia="宋体" w:cs="宋体"/>
                <w:szCs w:val="21"/>
                <w:lang w:val="en-US" w:eastAsia="zh-CN"/>
              </w:rPr>
              <w:t>10</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48" w:hRule="atLeast"/>
          <w:jc w:val="center"/>
        </w:trPr>
        <w:tc>
          <w:tcPr>
            <w:tcW w:w="1251" w:type="dxa"/>
            <w:vMerge w:val="continue"/>
            <w:shd w:val="clear" w:color="auto" w:fill="FFFFFF"/>
            <w:vAlign w:val="center"/>
          </w:tcPr>
          <w:p>
            <w:pPr>
              <w:snapToGrid w:val="0"/>
              <w:jc w:val="center"/>
              <w:rPr>
                <w:rFonts w:ascii="宋体" w:hAnsi="宋体" w:cs="宋体"/>
                <w:color w:val="000000"/>
                <w:kern w:val="0"/>
                <w:szCs w:val="21"/>
                <w:shd w:val="clear" w:color="auto" w:fill="FFFFFF"/>
                <w:lang w:val="zh-TW"/>
              </w:rPr>
            </w:pPr>
          </w:p>
        </w:tc>
        <w:tc>
          <w:tcPr>
            <w:tcW w:w="1905" w:type="dxa"/>
            <w:shd w:val="clear" w:color="auto" w:fill="FFFFFF"/>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第三</w:t>
            </w:r>
            <w:r>
              <w:rPr>
                <w:rFonts w:ascii="宋体" w:hAnsi="宋体" w:cs="宋体"/>
                <w:b/>
                <w:bCs/>
                <w:color w:val="000000"/>
                <w:kern w:val="0"/>
                <w:szCs w:val="21"/>
              </w:rPr>
              <w:t>方评价</w:t>
            </w:r>
          </w:p>
        </w:tc>
        <w:tc>
          <w:tcPr>
            <w:tcW w:w="654" w:type="dxa"/>
            <w:shd w:val="clear" w:color="auto" w:fill="FFFFFF"/>
            <w:vAlign w:val="center"/>
          </w:tcPr>
          <w:p>
            <w:pPr>
              <w:jc w:val="center"/>
              <w:rPr>
                <w:rFonts w:ascii="宋体" w:hAnsi="宋体" w:cs="宋体"/>
                <w:bCs/>
                <w:color w:val="000000"/>
                <w:kern w:val="0"/>
                <w:szCs w:val="21"/>
              </w:rPr>
            </w:pPr>
            <w:r>
              <w:rPr>
                <w:rFonts w:hint="eastAsia" w:ascii="宋体" w:hAnsi="宋体" w:cs="宋体"/>
                <w:bCs/>
                <w:color w:val="000000"/>
                <w:kern w:val="0"/>
                <w:szCs w:val="21"/>
              </w:rPr>
              <w:t>5</w:t>
            </w:r>
          </w:p>
        </w:tc>
        <w:tc>
          <w:tcPr>
            <w:tcW w:w="11559" w:type="dxa"/>
            <w:shd w:val="clear" w:color="auto" w:fill="FFFFFF"/>
            <w:vAlign w:val="center"/>
          </w:tcPr>
          <w:p>
            <w:pPr>
              <w:pStyle w:val="141"/>
              <w:jc w:val="left"/>
              <w:rPr>
                <w:rStyle w:val="140"/>
                <w:rFonts w:hint="eastAsia" w:ascii="宋体" w:hAnsi="宋体" w:eastAsia="宋体" w:cs="宋体"/>
                <w:bCs/>
                <w:lang w:val="zh-TW"/>
              </w:rPr>
            </w:pPr>
            <w:r>
              <w:rPr>
                <w:rStyle w:val="140"/>
                <w:rFonts w:hint="eastAsia" w:ascii="宋体" w:hAnsi="宋体" w:eastAsia="宋体" w:cs="宋体"/>
                <w:bCs/>
                <w:lang w:val="zh-TW"/>
              </w:rPr>
              <w:t>投标人累计，连续获得“纳税信用A级纳税人”称号情况：</w:t>
            </w:r>
          </w:p>
          <w:p>
            <w:pPr>
              <w:pStyle w:val="141"/>
              <w:jc w:val="left"/>
              <w:rPr>
                <w:rStyle w:val="140"/>
                <w:rFonts w:hint="eastAsia" w:ascii="宋体" w:hAnsi="宋体" w:eastAsia="宋体" w:cs="宋体"/>
                <w:bCs/>
                <w:lang w:val="zh-TW"/>
              </w:rPr>
            </w:pPr>
            <w:r>
              <w:rPr>
                <w:rStyle w:val="140"/>
                <w:rFonts w:hint="eastAsia" w:ascii="宋体" w:hAnsi="宋体" w:eastAsia="宋体" w:cs="宋体"/>
                <w:bCs/>
                <w:lang w:val="zh-TW"/>
              </w:rPr>
              <w:t>（1）连续4年或以上（需含2021年度）获得“纳税信用A级纳税人”称号的，得5分；</w:t>
            </w:r>
          </w:p>
          <w:p>
            <w:pPr>
              <w:pStyle w:val="141"/>
              <w:jc w:val="left"/>
              <w:rPr>
                <w:rStyle w:val="140"/>
                <w:rFonts w:hint="eastAsia" w:ascii="宋体" w:hAnsi="宋体" w:eastAsia="宋体" w:cs="宋体"/>
                <w:bCs/>
                <w:lang w:val="zh-TW"/>
              </w:rPr>
            </w:pPr>
            <w:r>
              <w:rPr>
                <w:rStyle w:val="140"/>
                <w:rFonts w:hint="eastAsia" w:ascii="宋体" w:hAnsi="宋体" w:eastAsia="宋体" w:cs="宋体"/>
                <w:bCs/>
                <w:lang w:val="zh-TW"/>
              </w:rPr>
              <w:t>（2）连续3年（需含2021年度）获得“纳税信用A级纳税人”称号的，得</w:t>
            </w:r>
            <w:r>
              <w:rPr>
                <w:rStyle w:val="140"/>
                <w:rFonts w:hint="eastAsia" w:ascii="宋体" w:hAnsi="宋体" w:eastAsia="宋体" w:cs="宋体"/>
                <w:bCs/>
                <w:lang w:val="zh-TW" w:eastAsia="zh-TW"/>
              </w:rPr>
              <w:t>3</w:t>
            </w:r>
            <w:r>
              <w:rPr>
                <w:rStyle w:val="140"/>
                <w:rFonts w:hint="eastAsia" w:ascii="宋体" w:hAnsi="宋体" w:eastAsia="宋体" w:cs="宋体"/>
                <w:bCs/>
                <w:lang w:val="zh-TW"/>
              </w:rPr>
              <w:t>分；</w:t>
            </w:r>
          </w:p>
          <w:p>
            <w:pPr>
              <w:pStyle w:val="141"/>
              <w:jc w:val="left"/>
              <w:rPr>
                <w:rStyle w:val="140"/>
                <w:rFonts w:hint="eastAsia" w:ascii="宋体" w:hAnsi="宋体" w:eastAsia="宋体" w:cs="宋体"/>
                <w:bCs/>
                <w:lang w:val="zh-TW"/>
              </w:rPr>
            </w:pPr>
            <w:r>
              <w:rPr>
                <w:rStyle w:val="140"/>
                <w:rFonts w:hint="eastAsia" w:ascii="宋体" w:hAnsi="宋体" w:eastAsia="宋体" w:cs="宋体"/>
                <w:bCs/>
                <w:lang w:val="zh-TW"/>
              </w:rPr>
              <w:t>（3）连续2年或以下（需含2021年度）获得“纳税信用A级纳税人”称号的，得</w:t>
            </w:r>
            <w:r>
              <w:rPr>
                <w:rStyle w:val="140"/>
                <w:rFonts w:hint="eastAsia" w:ascii="宋体" w:hAnsi="宋体" w:eastAsia="宋体" w:cs="宋体"/>
                <w:bCs/>
                <w:lang w:val="zh-TW" w:eastAsia="zh-TW"/>
              </w:rPr>
              <w:t>1</w:t>
            </w:r>
            <w:r>
              <w:rPr>
                <w:rStyle w:val="140"/>
                <w:rFonts w:hint="eastAsia" w:ascii="宋体" w:hAnsi="宋体" w:eastAsia="宋体" w:cs="宋体"/>
                <w:bCs/>
                <w:lang w:val="zh-TW"/>
              </w:rPr>
              <w:t>分；</w:t>
            </w:r>
          </w:p>
          <w:p>
            <w:pPr>
              <w:adjustRightInd w:val="0"/>
              <w:ind w:right="134" w:rightChars="64"/>
              <w:jc w:val="left"/>
              <w:rPr>
                <w:rFonts w:hint="eastAsia" w:ascii="宋体" w:hAnsi="宋体" w:eastAsia="宋体" w:cs="宋体"/>
                <w:szCs w:val="21"/>
              </w:rPr>
            </w:pPr>
            <w:r>
              <w:rPr>
                <w:rStyle w:val="140"/>
                <w:rFonts w:hint="eastAsia" w:ascii="宋体" w:hAnsi="宋体" w:eastAsia="宋体" w:cs="宋体"/>
                <w:bCs/>
                <w:lang w:val="zh-TW"/>
              </w:rPr>
              <w:t>备注：本项最多得</w:t>
            </w:r>
            <w:r>
              <w:rPr>
                <w:rStyle w:val="140"/>
                <w:rFonts w:hint="eastAsia" w:ascii="宋体" w:hAnsi="宋体" w:eastAsia="宋体" w:cs="宋体"/>
                <w:bCs/>
                <w:lang w:val="zh-TW" w:eastAsia="zh-TW"/>
              </w:rPr>
              <w:t>6</w:t>
            </w:r>
            <w:r>
              <w:rPr>
                <w:rStyle w:val="140"/>
                <w:rFonts w:hint="eastAsia" w:ascii="宋体" w:hAnsi="宋体" w:eastAsia="宋体" w:cs="宋体"/>
                <w:bCs/>
                <w:lang w:val="zh-TW"/>
              </w:rPr>
              <w:t>分；不符合上述条件或未提供相关证明材料的不得分。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3156" w:type="dxa"/>
            <w:gridSpan w:val="2"/>
            <w:shd w:val="clear" w:color="auto" w:fill="FFFFFF"/>
            <w:vAlign w:val="center"/>
          </w:tcPr>
          <w:p>
            <w:pPr>
              <w:snapToGrid w:val="0"/>
              <w:jc w:val="center"/>
              <w:rPr>
                <w:rFonts w:ascii="宋体" w:hAnsi="宋体" w:cs="宋体"/>
                <w:color w:val="000000"/>
                <w:kern w:val="0"/>
                <w:szCs w:val="21"/>
                <w:shd w:val="clear" w:color="auto" w:fill="FFFFFF"/>
                <w:lang w:val="zh-TW"/>
              </w:rPr>
            </w:pPr>
            <w:r>
              <w:rPr>
                <w:rFonts w:hint="eastAsia" w:ascii="宋体" w:hAnsi="宋体" w:cs="宋体"/>
                <w:color w:val="000000"/>
                <w:kern w:val="0"/>
                <w:szCs w:val="21"/>
                <w:shd w:val="clear" w:color="auto" w:fill="FFFFFF"/>
                <w:lang w:val="zh-TW"/>
              </w:rPr>
              <w:t>合计</w:t>
            </w:r>
          </w:p>
        </w:tc>
        <w:tc>
          <w:tcPr>
            <w:tcW w:w="654" w:type="dxa"/>
            <w:shd w:val="clear" w:color="auto" w:fill="FFFFFF"/>
            <w:vAlign w:val="center"/>
          </w:tcPr>
          <w:p>
            <w:pPr>
              <w:snapToGrid w:val="0"/>
              <w:jc w:val="center"/>
              <w:rPr>
                <w:rFonts w:ascii="宋体" w:hAnsi="宋体" w:cs="Century Schoolbook"/>
                <w:color w:val="000000"/>
                <w:spacing w:val="10"/>
                <w:kern w:val="0"/>
                <w:szCs w:val="21"/>
                <w:shd w:val="clear" w:color="auto" w:fill="FFFFFF"/>
              </w:rPr>
            </w:pPr>
            <w:r>
              <w:rPr>
                <w:rFonts w:ascii="宋体" w:hAnsi="宋体" w:cs="Century Schoolbook"/>
                <w:bCs/>
                <w:color w:val="000000"/>
                <w:spacing w:val="10"/>
                <w:kern w:val="0"/>
                <w:szCs w:val="21"/>
                <w:shd w:val="clear" w:color="auto" w:fill="FFFFFF"/>
              </w:rPr>
              <w:t>100</w:t>
            </w:r>
          </w:p>
        </w:tc>
        <w:tc>
          <w:tcPr>
            <w:tcW w:w="11559" w:type="dxa"/>
            <w:shd w:val="clear" w:color="auto" w:fill="FFFFFF"/>
            <w:vAlign w:val="center"/>
          </w:tcPr>
          <w:p>
            <w:pPr>
              <w:snapToGrid w:val="0"/>
              <w:jc w:val="left"/>
              <w:rPr>
                <w:rFonts w:ascii="宋体" w:hAnsi="宋体" w:cs="宋体"/>
                <w:color w:val="000000"/>
                <w:kern w:val="0"/>
                <w:szCs w:val="21"/>
                <w:shd w:val="clear" w:color="auto" w:fill="FFFFFF"/>
                <w:lang w:val="zh-TW"/>
              </w:rPr>
            </w:pPr>
          </w:p>
        </w:tc>
      </w:tr>
    </w:tbl>
    <w:p>
      <w:pPr>
        <w:tabs>
          <w:tab w:val="left" w:pos="0"/>
        </w:tabs>
        <w:spacing w:line="360" w:lineRule="auto"/>
        <w:rPr>
          <w:rFonts w:ascii="宋体" w:hAnsi="宋体"/>
          <w:bCs/>
          <w:color w:val="000000"/>
          <w:szCs w:val="21"/>
        </w:rPr>
      </w:pPr>
      <w:r>
        <w:rPr>
          <w:rFonts w:hint="eastAsia" w:ascii="宋体" w:hAnsi="宋体" w:cs="宋体"/>
          <w:color w:val="000000"/>
          <w:szCs w:val="21"/>
        </w:rPr>
        <w:t>注：1、</w:t>
      </w:r>
      <w:r>
        <w:rPr>
          <w:rFonts w:hint="eastAsia" w:ascii="宋体" w:hAnsi="宋体"/>
          <w:b/>
          <w:color w:val="000000"/>
          <w:szCs w:val="21"/>
        </w:rPr>
        <w:t>【</w:t>
      </w:r>
      <w:r>
        <w:rPr>
          <w:rFonts w:hint="eastAsia" w:ascii="宋体" w:hAnsi="宋体" w:cs="宋体"/>
          <w:b/>
          <w:bCs/>
          <w:color w:val="000000"/>
          <w:kern w:val="0"/>
          <w:szCs w:val="21"/>
        </w:rPr>
        <w:t>项目管理机构能力</w:t>
      </w:r>
      <w:r>
        <w:rPr>
          <w:rFonts w:hint="eastAsia" w:ascii="宋体" w:hAnsi="宋体"/>
          <w:b/>
          <w:color w:val="000000"/>
          <w:szCs w:val="21"/>
        </w:rPr>
        <w:t>】：</w:t>
      </w:r>
      <w:r>
        <w:rPr>
          <w:rFonts w:hint="eastAsia" w:ascii="宋体" w:hAnsi="宋体"/>
          <w:color w:val="000000"/>
          <w:szCs w:val="21"/>
        </w:rPr>
        <w:t>1）、</w:t>
      </w:r>
      <w:r>
        <w:rPr>
          <w:rFonts w:hint="eastAsia" w:ascii="宋体" w:hAnsi="宋体"/>
          <w:bCs/>
          <w:color w:val="000000"/>
          <w:szCs w:val="21"/>
        </w:rPr>
        <w:t>（1）指投标人自身人员（不含子母公司人员），上述人员不得相互兼任。投标人须提交人员相关</w:t>
      </w:r>
      <w:r>
        <w:rPr>
          <w:rFonts w:hint="eastAsia" w:ascii="宋体" w:hAnsi="宋体"/>
          <w:bCs/>
          <w:color w:val="000000"/>
          <w:szCs w:val="21"/>
          <w:lang w:val="en-US" w:eastAsia="zh-CN"/>
        </w:rPr>
        <w:t>学历证书、</w:t>
      </w:r>
      <w:r>
        <w:rPr>
          <w:rFonts w:hint="eastAsia" w:ascii="宋体" w:hAnsi="宋体"/>
          <w:bCs/>
          <w:color w:val="000000"/>
          <w:szCs w:val="21"/>
        </w:rPr>
        <w:t>职称证书、注册证书扫描件，时间以证书发证时间为准。（2）投标人应同时提供上述人员近一个月（2023年</w:t>
      </w:r>
      <w:r>
        <w:rPr>
          <w:rFonts w:ascii="宋体" w:hAnsi="宋体"/>
          <w:bCs/>
          <w:color w:val="000000"/>
          <w:szCs w:val="21"/>
        </w:rPr>
        <w:t>4</w:t>
      </w:r>
      <w:r>
        <w:rPr>
          <w:rFonts w:hint="eastAsia" w:ascii="宋体" w:hAnsi="宋体"/>
          <w:bCs/>
          <w:color w:val="000000"/>
          <w:szCs w:val="21"/>
        </w:rPr>
        <w:t>月）在投标人单位（不含投标人的子公司）参保的社保缴纳记录证明文件。不符合条件或无提交相关资料的不计分。</w:t>
      </w:r>
    </w:p>
    <w:p>
      <w:pPr>
        <w:tabs>
          <w:tab w:val="left" w:pos="0"/>
        </w:tabs>
        <w:spacing w:line="360" w:lineRule="auto"/>
        <w:ind w:firstLine="525" w:firstLineChars="250"/>
        <w:rPr>
          <w:rFonts w:ascii="宋体" w:hAnsi="宋体"/>
          <w:bCs/>
          <w:color w:val="000000"/>
          <w:szCs w:val="21"/>
        </w:rPr>
      </w:pPr>
      <w:r>
        <w:rPr>
          <w:rFonts w:hint="eastAsia"/>
        </w:rPr>
        <w:t>2）、</w:t>
      </w:r>
      <w:r>
        <w:rPr>
          <w:rFonts w:hint="eastAsia" w:ascii="宋体" w:hAnsi="宋体"/>
          <w:bCs/>
          <w:color w:val="000000"/>
          <w:szCs w:val="21"/>
        </w:rPr>
        <w:t>按照《造价工程师职业资格制度规定》的规定，根据原人事部、原建设部发布的《造价工程师执业资格制度暂行规定》（人发〔1996〕77号）取得的造价工程师执业资格，并经注册且在有限期内的，等同于一级注册造价工程师。一级造价工程师注册信息查询（https://cceamember.jianshe99.com/evalution/engineerSelect.do）网页截图，执业状态栏须显示“正常”，否则不得分。有效期以一级造价工程师注册信息查询（https://cceamember.jianshe99.com/evalution/engineerSelect.do）网页截图为准，初始注册时间以有效期内的注册造价工程师证上显示的初始注册日期计算（如因故重新注册，则不含重新注册前的时间）。注册安全工程师须同时提交注册安全工程师注册管理系统网站（http://rmocse.chinasafety.ac.cn/Query.aspx）查询结果网页截图并加盖投标人电子印章证明其注册有效。</w:t>
      </w:r>
    </w:p>
    <w:p>
      <w:pPr>
        <w:spacing w:line="360" w:lineRule="auto"/>
        <w:rPr>
          <w:rFonts w:ascii="宋体" w:hAnsi="宋体" w:cs="宋体"/>
          <w:color w:val="000000"/>
          <w:szCs w:val="21"/>
        </w:rPr>
      </w:pPr>
      <w:r>
        <w:rPr>
          <w:rFonts w:hint="eastAsia" w:ascii="宋体" w:hAnsi="宋体" w:cs="宋体"/>
          <w:color w:val="000000"/>
          <w:szCs w:val="21"/>
        </w:rPr>
        <w:t>“建筑工程类”技术职称是指包括但不限于建筑施工管理、建筑施工、施工管理、工程管理、建筑工程造价、建筑生产技术管理等工程项目建设所涉及的相关专业的技术职称。</w:t>
      </w:r>
    </w:p>
    <w:p>
      <w:pPr>
        <w:spacing w:line="360" w:lineRule="auto"/>
        <w:rPr>
          <w:rFonts w:hint="eastAsia" w:ascii="宋体" w:hAnsi="宋体" w:cs="宋体"/>
          <w:color w:val="000000"/>
          <w:szCs w:val="21"/>
        </w:rPr>
      </w:pPr>
      <w:r>
        <w:rPr>
          <w:rFonts w:hint="eastAsia" w:ascii="宋体" w:hAnsi="宋体" w:cs="宋体"/>
          <w:color w:val="000000"/>
          <w:szCs w:val="21"/>
        </w:rPr>
        <w:t>2、【类似工程业绩】：业绩取自广州市住建行业信用管理平台。类似工程业绩是指质量合格且单项中标金额大于或等于</w:t>
      </w:r>
      <w:r>
        <w:rPr>
          <w:rFonts w:hint="eastAsia" w:ascii="宋体" w:hAnsi="宋体" w:cs="宋体"/>
          <w:color w:val="000000"/>
          <w:szCs w:val="21"/>
          <w:lang w:val="en-US" w:eastAsia="zh-CN"/>
        </w:rPr>
        <w:t>30</w:t>
      </w:r>
      <w:r>
        <w:rPr>
          <w:rFonts w:hint="eastAsia" w:ascii="宋体" w:hAnsi="宋体" w:cs="宋体"/>
          <w:color w:val="000000"/>
          <w:szCs w:val="21"/>
        </w:rPr>
        <w:t>0万元的建筑装修装饰工程施工专业承包业绩。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用于本项目投标的类似业绩，在广州市住建行业信用管理平台中“工程对应的企业资质”栏中须登记有与本项目要求相对应的资质(建筑装修装饰工程专业承包资质或建筑装饰装修工程设计与施工一体化)。</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完成时间以子分部工程质量验收记录时间为准。未提供子分部工程质量验收记录的，完成时间以验收文件记录时间为准。验收记录或验收文件至少具有建设单位、设计、施工和监理单位盖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广州市住建行业信用管理平台内业绩上传件不符合上述要求的或登记的工程资质内容与施工合同等业绩证明资料不相符的，该项业绩不予认定。</w:t>
      </w:r>
    </w:p>
    <w:p>
      <w:pPr>
        <w:spacing w:line="360" w:lineRule="auto"/>
        <w:rPr>
          <w:rFonts w:ascii="宋体" w:hAnsi="宋体"/>
          <w:color w:val="000000"/>
          <w:szCs w:val="21"/>
        </w:rPr>
      </w:pPr>
      <w:r>
        <w:rPr>
          <w:rFonts w:hint="eastAsia" w:ascii="宋体" w:hAnsi="宋体"/>
          <w:color w:val="000000"/>
          <w:szCs w:val="21"/>
        </w:rPr>
        <w:t>3、</w:t>
      </w:r>
      <w:r>
        <w:rPr>
          <w:rFonts w:hint="eastAsia" w:ascii="宋体" w:hAnsi="宋体" w:cs="宋体"/>
          <w:color w:val="000000"/>
          <w:szCs w:val="21"/>
        </w:rPr>
        <w:t>【工程获奖】：获奖情况取自广州市住建行业信用管理平台，获奖时间以证书颁发日期为准，投标人需提交广州市住建行业信用管理平台的网页截图</w:t>
      </w:r>
      <w:r>
        <w:rPr>
          <w:rFonts w:hint="eastAsia" w:ascii="宋体" w:hAnsi="宋体" w:cs="宋体"/>
          <w:b/>
          <w:bCs/>
          <w:color w:val="000000"/>
          <w:szCs w:val="21"/>
        </w:rPr>
        <w:t>（截图须包含广州市住建行业信用管理平台中的“项目基本信息”栏和“奖项信息”栏）</w:t>
      </w:r>
      <w:r>
        <w:rPr>
          <w:rFonts w:hint="eastAsia" w:ascii="宋体" w:hAnsi="宋体" w:cs="宋体"/>
          <w:color w:val="000000"/>
          <w:szCs w:val="21"/>
        </w:rPr>
        <w:t>并加盖投标人企业电子印章。类似工程是指建筑装修装饰工程施工专业承包工程，国家级工程质量奖项是指中国建设工程鲁班奖、中国土木工程詹天佑奖、国家优质工程金质奖、国家优质工程奖（原国家优质工程银质奖）、中国建筑工程装饰奖，省（市）级工程质量奖项指省（市）级行政主管部门或行业协会颁发的各类工程质量奖项（不包含安全文明、绿色施工、技术创新、QC成果、科技进步及技术应用类等奖项）。同一工程项目获得多个奖项的，只计算其符合要求的最高奖项得分，不重复累计得分。评标委员会对该部分资料的审查以递交投标文件截止时间在广州市住建行业信用管理平台内的上传件为依据。不符合上述条件或未提供上述资料的不得分。</w:t>
      </w:r>
    </w:p>
    <w:p>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）、同一项目获得多个奖项的，按最高级别奖项只计一次得分。</w:t>
      </w:r>
    </w:p>
    <w:p>
      <w:pPr>
        <w:spacing w:line="360" w:lineRule="auto"/>
        <w:rPr>
          <w:rFonts w:ascii="宋体" w:hAnsi="宋体"/>
          <w:color w:val="000000"/>
          <w:szCs w:val="21"/>
        </w:rPr>
      </w:pPr>
      <w:r>
        <w:rPr>
          <w:rFonts w:hint="eastAsia" w:ascii="宋体" w:hAnsi="宋体"/>
          <w:color w:val="000000"/>
          <w:szCs w:val="21"/>
        </w:rPr>
        <w:t>4、【第三</w:t>
      </w:r>
      <w:r>
        <w:rPr>
          <w:rFonts w:ascii="宋体" w:hAnsi="宋体"/>
          <w:color w:val="000000"/>
          <w:szCs w:val="21"/>
        </w:rPr>
        <w:t>方评价</w:t>
      </w:r>
      <w:r>
        <w:rPr>
          <w:rFonts w:hint="eastAsia" w:ascii="宋体" w:hAnsi="宋体"/>
          <w:color w:val="000000"/>
          <w:szCs w:val="21"/>
        </w:rPr>
        <w:t>】：</w:t>
      </w:r>
      <w:r>
        <w:rPr>
          <w:rFonts w:hint="eastAsia" w:ascii="宋体" w:hAnsi="宋体"/>
        </w:rPr>
        <w:t>“纳税信用A级</w:t>
      </w:r>
      <w:r>
        <w:rPr>
          <w:rFonts w:hint="eastAsia" w:ascii="宋体" w:hAnsi="宋体" w:cs="宋体"/>
          <w:szCs w:val="21"/>
          <w:lang w:val="zh-TW"/>
        </w:rPr>
        <w:t>纳税人</w:t>
      </w:r>
      <w:r>
        <w:rPr>
          <w:rFonts w:hint="eastAsia" w:ascii="宋体" w:hAnsi="宋体"/>
        </w:rPr>
        <w:t>”称号提供税务部门颁发的“纳税信用A级”纳税人电子证书或证书扫描件，且同时提供省级或以上税务总局网站查询结果截图；时间以证书上注明的公示评价（或评定）年度为准。“纳税信用A级”纳税人只计算投标人自身（不计算投标人的分公司和子公司）。不符合上述条件或未提供上述资料的不得分。</w:t>
      </w:r>
    </w:p>
    <w:p>
      <w:r>
        <w:rPr>
          <w:rFonts w:hint="eastAsia"/>
        </w:rPr>
        <w:t>5、评标委员会成员评分的算术平均值，即为该投标人的评审得分（若分数出现小数点时，保留到小数点后两位，第三位小数四舍五入）。</w:t>
      </w:r>
    </w:p>
    <w:p>
      <w:pPr>
        <w:spacing w:line="240" w:lineRule="exact"/>
        <w:rPr>
          <w:rFonts w:ascii="宋体" w:hAnsi="宋体" w:cs="宋体"/>
          <w:color w:val="000000"/>
          <w:szCs w:val="21"/>
        </w:rPr>
      </w:pPr>
    </w:p>
    <w:p>
      <w:pPr>
        <w:spacing w:line="240" w:lineRule="exact"/>
        <w:rPr>
          <w:rFonts w:ascii="宋体" w:hAnsi="宋体" w:cs="宋体"/>
          <w:color w:val="000000"/>
          <w:szCs w:val="21"/>
        </w:rPr>
      </w:pPr>
      <w:r>
        <w:rPr>
          <w:rFonts w:hint="eastAsia" w:ascii="宋体" w:hAnsi="宋体" w:cs="宋体"/>
          <w:color w:val="000000"/>
          <w:szCs w:val="21"/>
        </w:rPr>
        <w:t xml:space="preserve">评委签名：                     日期：  </w:t>
      </w:r>
    </w:p>
    <w:p>
      <w:pPr>
        <w:spacing w:line="240" w:lineRule="exact"/>
        <w:rPr>
          <w:rFonts w:ascii="宋体" w:hAnsi="宋体" w:cs="宋体"/>
          <w:color w:val="000000"/>
          <w:szCs w:val="21"/>
        </w:rPr>
      </w:pPr>
      <w:r>
        <w:rPr>
          <w:rFonts w:hint="eastAsia" w:ascii="宋体" w:hAnsi="宋体" w:cs="宋体"/>
          <w:color w:val="000000"/>
          <w:szCs w:val="21"/>
        </w:rPr>
        <w:t xml:space="preserve"> </w:t>
      </w:r>
    </w:p>
    <w:p>
      <w:pPr>
        <w:widowControl/>
        <w:jc w:val="left"/>
        <w:rPr>
          <w:b/>
          <w:sz w:val="24"/>
          <w:szCs w:val="24"/>
        </w:rPr>
      </w:pPr>
    </w:p>
    <w:p>
      <w:pPr>
        <w:rPr>
          <w:rFonts w:hint="eastAsia"/>
          <w:b/>
          <w:sz w:val="24"/>
          <w:szCs w:val="24"/>
        </w:rPr>
      </w:pPr>
      <w:r>
        <w:rPr>
          <w:rFonts w:hint="eastAsia"/>
          <w:b/>
          <w:sz w:val="24"/>
          <w:szCs w:val="24"/>
        </w:rPr>
        <w:br w:type="page"/>
      </w:r>
    </w:p>
    <w:p>
      <w:pPr>
        <w:snapToGrid w:val="0"/>
        <w:ind w:firstLine="350"/>
        <w:jc w:val="center"/>
        <w:rPr>
          <w:b/>
          <w:sz w:val="24"/>
          <w:szCs w:val="24"/>
        </w:rPr>
      </w:pPr>
      <w:r>
        <w:rPr>
          <w:rFonts w:hint="eastAsia"/>
          <w:b/>
          <w:sz w:val="24"/>
          <w:szCs w:val="24"/>
        </w:rPr>
        <w:t>项目管理机构人员配置要求表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70"/>
        <w:gridCol w:w="707"/>
        <w:gridCol w:w="5320"/>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240" w:lineRule="exact"/>
              <w:ind w:left="-57" w:leftChars="-27" w:right="-46" w:rightChars="-22"/>
              <w:jc w:val="center"/>
              <w:rPr>
                <w:rFonts w:ascii="宋体" w:hAnsi="宋体"/>
                <w:b/>
                <w:color w:val="000000"/>
                <w:kern w:val="0"/>
                <w:szCs w:val="21"/>
              </w:rPr>
            </w:pPr>
            <w:r>
              <w:rPr>
                <w:rFonts w:hint="eastAsia" w:ascii="宋体" w:hAnsi="宋体"/>
                <w:b/>
                <w:color w:val="000000"/>
                <w:kern w:val="0"/>
                <w:szCs w:val="21"/>
              </w:rPr>
              <w:t>序号</w:t>
            </w:r>
          </w:p>
        </w:tc>
        <w:tc>
          <w:tcPr>
            <w:tcW w:w="3470" w:type="dxa"/>
            <w:tcBorders>
              <w:top w:val="single" w:color="auto" w:sz="4" w:space="0"/>
              <w:left w:val="single" w:color="auto" w:sz="4" w:space="0"/>
              <w:bottom w:val="single" w:color="auto" w:sz="4" w:space="0"/>
              <w:right w:val="single" w:color="auto" w:sz="4" w:space="0"/>
            </w:tcBorders>
            <w:vAlign w:val="center"/>
          </w:tcPr>
          <w:p>
            <w:pPr>
              <w:spacing w:line="240" w:lineRule="exact"/>
              <w:ind w:left="-57" w:leftChars="-27" w:right="-46" w:rightChars="-22"/>
              <w:jc w:val="center"/>
              <w:rPr>
                <w:rFonts w:ascii="宋体" w:hAnsi="宋体"/>
                <w:b/>
                <w:bCs/>
                <w:color w:val="000000"/>
                <w:szCs w:val="21"/>
              </w:rPr>
            </w:pPr>
            <w:r>
              <w:rPr>
                <w:rFonts w:hint="eastAsia" w:ascii="宋体" w:hAnsi="宋体"/>
                <w:b/>
                <w:color w:val="000000"/>
                <w:kern w:val="0"/>
                <w:szCs w:val="21"/>
              </w:rPr>
              <w:t>类别</w:t>
            </w:r>
          </w:p>
        </w:tc>
        <w:tc>
          <w:tcPr>
            <w:tcW w:w="707" w:type="dxa"/>
            <w:tcBorders>
              <w:top w:val="single" w:color="auto" w:sz="4" w:space="0"/>
              <w:left w:val="single" w:color="auto" w:sz="4" w:space="0"/>
              <w:bottom w:val="single" w:color="auto" w:sz="4" w:space="0"/>
              <w:right w:val="single" w:color="auto" w:sz="4" w:space="0"/>
            </w:tcBorders>
            <w:vAlign w:val="center"/>
          </w:tcPr>
          <w:p>
            <w:pPr>
              <w:spacing w:line="240" w:lineRule="exact"/>
              <w:ind w:left="-57" w:leftChars="-27" w:right="-46" w:rightChars="-22"/>
              <w:jc w:val="center"/>
              <w:rPr>
                <w:rFonts w:ascii="宋体" w:hAnsi="宋体"/>
                <w:b/>
                <w:bCs/>
                <w:color w:val="000000"/>
                <w:szCs w:val="21"/>
              </w:rPr>
            </w:pPr>
            <w:r>
              <w:rPr>
                <w:rFonts w:hint="eastAsia" w:ascii="宋体" w:hAnsi="宋体"/>
                <w:b/>
                <w:color w:val="000000"/>
                <w:szCs w:val="21"/>
              </w:rPr>
              <w:t>数量</w:t>
            </w:r>
          </w:p>
        </w:tc>
        <w:tc>
          <w:tcPr>
            <w:tcW w:w="5320" w:type="dxa"/>
            <w:tcBorders>
              <w:top w:val="single" w:color="auto" w:sz="4" w:space="0"/>
              <w:left w:val="single" w:color="auto" w:sz="4" w:space="0"/>
              <w:bottom w:val="single" w:color="auto" w:sz="4" w:space="0"/>
              <w:right w:val="single" w:color="auto" w:sz="4" w:space="0"/>
            </w:tcBorders>
            <w:vAlign w:val="center"/>
          </w:tcPr>
          <w:p>
            <w:pPr>
              <w:spacing w:line="240" w:lineRule="exact"/>
              <w:ind w:left="-57" w:leftChars="-27" w:right="-46" w:rightChars="-22"/>
              <w:jc w:val="center"/>
              <w:rPr>
                <w:rFonts w:ascii="宋体" w:hAnsi="宋体"/>
                <w:b/>
                <w:color w:val="000000"/>
                <w:szCs w:val="21"/>
              </w:rPr>
            </w:pPr>
            <w:r>
              <w:rPr>
                <w:rFonts w:hint="eastAsia" w:ascii="宋体" w:hAnsi="宋体"/>
                <w:b/>
                <w:color w:val="000000"/>
                <w:szCs w:val="21"/>
              </w:rPr>
              <w:t>任职条件</w:t>
            </w:r>
          </w:p>
        </w:tc>
        <w:tc>
          <w:tcPr>
            <w:tcW w:w="3686" w:type="dxa"/>
            <w:tcBorders>
              <w:top w:val="single" w:color="auto" w:sz="4" w:space="0"/>
              <w:left w:val="single" w:color="auto" w:sz="4" w:space="0"/>
              <w:bottom w:val="single" w:color="auto" w:sz="4" w:space="0"/>
              <w:right w:val="single" w:color="auto" w:sz="4" w:space="0"/>
            </w:tcBorders>
            <w:vAlign w:val="center"/>
          </w:tcPr>
          <w:p>
            <w:pPr>
              <w:spacing w:line="240" w:lineRule="exact"/>
              <w:ind w:left="-57" w:leftChars="-27" w:right="-46" w:rightChars="-22"/>
              <w:jc w:val="center"/>
              <w:rPr>
                <w:rFonts w:ascii="宋体" w:hAnsi="宋体"/>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1</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项目负责人</w:t>
            </w:r>
          </w:p>
        </w:tc>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1人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360" w:lineRule="auto"/>
              <w:ind w:right="-46" w:rightChars="-22"/>
              <w:jc w:val="left"/>
              <w:rPr>
                <w:rFonts w:ascii="宋体" w:hAnsi="宋体"/>
                <w:color w:val="000000"/>
                <w:szCs w:val="21"/>
              </w:rPr>
            </w:pPr>
            <w:r>
              <w:rPr>
                <w:rFonts w:hint="eastAsia" w:ascii="宋体" w:hAnsi="宋体" w:cs="宋体"/>
                <w:color w:val="000000"/>
                <w:kern w:val="0"/>
                <w:szCs w:val="21"/>
              </w:rPr>
              <w:t>符合招标公告要求</w:t>
            </w:r>
            <w:r>
              <w:rPr>
                <w:rFonts w:hint="eastAsia" w:ascii="宋体" w:hAnsi="宋体"/>
                <w:color w:val="000000"/>
                <w:szCs w:val="21"/>
              </w:rPr>
              <w:t xml:space="preserve"> </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right="-46" w:rightChars="-22"/>
              <w:jc w:val="center"/>
              <w:rPr>
                <w:rFonts w:ascii="宋体" w:hAnsi="宋体"/>
                <w:color w:val="000000"/>
                <w:szCs w:val="21"/>
              </w:rPr>
            </w:pPr>
            <w:r>
              <w:rPr>
                <w:rFonts w:hint="eastAsia" w:ascii="宋体" w:hAnsi="宋体"/>
                <w:color w:val="000000"/>
                <w:szCs w:val="21"/>
              </w:rPr>
              <w:t>按招标公告提供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2</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技术负责人</w:t>
            </w:r>
          </w:p>
        </w:tc>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1人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360" w:lineRule="auto"/>
              <w:ind w:right="-46" w:rightChars="-22"/>
              <w:jc w:val="left"/>
              <w:rPr>
                <w:rFonts w:ascii="宋体" w:hAnsi="宋体" w:cs="宋体"/>
                <w:color w:val="000000"/>
                <w:kern w:val="0"/>
                <w:szCs w:val="21"/>
              </w:rPr>
            </w:pPr>
            <w:r>
              <w:rPr>
                <w:rFonts w:hint="eastAsia" w:ascii="宋体" w:hAnsi="宋体" w:cs="宋体"/>
                <w:color w:val="000000"/>
                <w:kern w:val="0"/>
                <w:szCs w:val="21"/>
              </w:rPr>
              <w:t>符合招标公告要求</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right="-46" w:rightChars="-22"/>
              <w:jc w:val="center"/>
              <w:rPr>
                <w:rFonts w:ascii="宋体" w:hAnsi="宋体"/>
                <w:color w:val="000000"/>
                <w:szCs w:val="21"/>
              </w:rPr>
            </w:pPr>
            <w:r>
              <w:rPr>
                <w:rFonts w:hint="eastAsia" w:ascii="宋体" w:hAnsi="宋体"/>
                <w:color w:val="000000"/>
                <w:szCs w:val="21"/>
              </w:rPr>
              <w:t>按招标公告提供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s="宋体"/>
                <w:bCs/>
                <w:color w:val="000000"/>
                <w:kern w:val="44"/>
                <w:szCs w:val="21"/>
              </w:rPr>
            </w:pPr>
            <w:r>
              <w:rPr>
                <w:rFonts w:hint="eastAsia" w:ascii="宋体" w:hAnsi="宋体" w:cs="宋体"/>
                <w:bCs/>
                <w:color w:val="000000"/>
                <w:kern w:val="44"/>
                <w:szCs w:val="21"/>
              </w:rPr>
              <w:t>3</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质量负责人</w:t>
            </w:r>
          </w:p>
        </w:tc>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1人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kern w:val="0"/>
                <w:szCs w:val="21"/>
              </w:rPr>
            </w:pPr>
            <w:r>
              <w:rPr>
                <w:rFonts w:hint="eastAsia" w:ascii="宋体" w:hAnsi="宋体" w:cs="宋体"/>
                <w:color w:val="000000"/>
                <w:kern w:val="0"/>
                <w:szCs w:val="21"/>
              </w:rPr>
              <w:t>具有建筑</w:t>
            </w:r>
            <w:r>
              <w:rPr>
                <w:rStyle w:val="140"/>
                <w:rFonts w:hint="eastAsia" w:ascii="宋体" w:hAnsi="宋体" w:cs="宋体"/>
                <w:bCs/>
                <w:lang w:val="zh-TW"/>
              </w:rPr>
              <w:t>工程</w:t>
            </w:r>
            <w:r>
              <w:rPr>
                <w:rFonts w:hint="eastAsia" w:ascii="宋体" w:hAnsi="宋体" w:cs="宋体"/>
                <w:color w:val="000000"/>
                <w:kern w:val="0"/>
                <w:szCs w:val="21"/>
              </w:rPr>
              <w:t>相关专业工程师（或以上）职称</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kern w:val="0"/>
                <w:szCs w:val="21"/>
              </w:rPr>
              <w:t>提供</w:t>
            </w:r>
            <w:r>
              <w:rPr>
                <w:rFonts w:hint="eastAsia" w:ascii="宋体" w:hAnsi="宋体"/>
                <w:color w:val="000000"/>
                <w:szCs w:val="21"/>
              </w:rPr>
              <w:t>职称证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s="宋体"/>
                <w:bCs/>
                <w:color w:val="000000"/>
                <w:kern w:val="44"/>
                <w:szCs w:val="21"/>
              </w:rPr>
            </w:pPr>
            <w:r>
              <w:rPr>
                <w:rFonts w:hint="eastAsia" w:ascii="宋体" w:hAnsi="宋体" w:cs="宋体"/>
                <w:bCs/>
                <w:color w:val="000000"/>
                <w:kern w:val="44"/>
                <w:szCs w:val="21"/>
              </w:rPr>
              <w:t>4</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安全负责人</w:t>
            </w:r>
          </w:p>
        </w:tc>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hint="eastAsia" w:ascii="宋体" w:hAnsi="宋体"/>
                <w:color w:val="000000"/>
                <w:szCs w:val="21"/>
              </w:rPr>
              <w:t>1人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kern w:val="0"/>
                <w:szCs w:val="21"/>
              </w:rPr>
            </w:pPr>
            <w:r>
              <w:rPr>
                <w:rFonts w:hint="eastAsia"/>
              </w:rPr>
              <w:t>具有有效的“建筑施工安全”类别的注册安全工程师执业证</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注册安全工程师执业证书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s="宋体"/>
                <w:bCs/>
                <w:color w:val="000000"/>
                <w:kern w:val="44"/>
                <w:szCs w:val="21"/>
              </w:rPr>
            </w:pPr>
            <w:r>
              <w:rPr>
                <w:rFonts w:hint="eastAsia" w:ascii="宋体" w:hAnsi="宋体" w:cs="宋体"/>
                <w:bCs/>
                <w:color w:val="000000"/>
                <w:kern w:val="44"/>
                <w:szCs w:val="21"/>
              </w:rPr>
              <w:t>5</w:t>
            </w:r>
          </w:p>
        </w:tc>
        <w:tc>
          <w:tcPr>
            <w:tcW w:w="3470" w:type="dxa"/>
            <w:tcBorders>
              <w:top w:val="single" w:color="auto" w:sz="4" w:space="0"/>
              <w:left w:val="single" w:color="auto" w:sz="4" w:space="0"/>
              <w:bottom w:val="single" w:color="auto" w:sz="4" w:space="0"/>
              <w:right w:val="single" w:color="auto" w:sz="4" w:space="0"/>
            </w:tcBorders>
            <w:vAlign w:val="center"/>
          </w:tcPr>
          <w:p>
            <w:pPr>
              <w:spacing w:line="276" w:lineRule="auto"/>
              <w:ind w:left="-57" w:leftChars="-27" w:right="-46" w:rightChars="-22"/>
              <w:jc w:val="center"/>
              <w:rPr>
                <w:rFonts w:ascii="宋体" w:hAnsi="宋体"/>
                <w:color w:val="000000"/>
                <w:szCs w:val="21"/>
              </w:rPr>
            </w:pPr>
            <w:r>
              <w:rPr>
                <w:rFonts w:hint="eastAsia" w:ascii="宋体" w:hAnsi="宋体"/>
                <w:color w:val="000000"/>
                <w:szCs w:val="21"/>
              </w:rPr>
              <w:t>造价负责人</w:t>
            </w:r>
          </w:p>
        </w:tc>
        <w:tc>
          <w:tcPr>
            <w:tcW w:w="707" w:type="dxa"/>
            <w:tcBorders>
              <w:top w:val="single" w:color="auto" w:sz="4" w:space="0"/>
              <w:left w:val="single" w:color="auto" w:sz="4" w:space="0"/>
              <w:bottom w:val="single" w:color="auto" w:sz="4" w:space="0"/>
              <w:right w:val="single" w:color="auto" w:sz="4" w:space="0"/>
            </w:tcBorders>
            <w:vAlign w:val="center"/>
          </w:tcPr>
          <w:p>
            <w:pPr>
              <w:spacing w:line="276" w:lineRule="auto"/>
              <w:ind w:left="-57" w:leftChars="-27" w:right="-46" w:rightChars="-22"/>
              <w:jc w:val="center"/>
              <w:rPr>
                <w:rFonts w:ascii="宋体" w:hAnsi="宋体"/>
                <w:color w:val="000000"/>
                <w:szCs w:val="21"/>
              </w:rPr>
            </w:pPr>
            <w:r>
              <w:rPr>
                <w:rFonts w:hint="eastAsia" w:ascii="宋体" w:hAnsi="宋体"/>
                <w:color w:val="000000"/>
                <w:szCs w:val="21"/>
              </w:rPr>
              <w:t>1人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color w:val="000000"/>
                <w:kern w:val="0"/>
                <w:szCs w:val="21"/>
              </w:rPr>
            </w:pPr>
            <w:r>
              <w:rPr>
                <w:rFonts w:hint="eastAsia" w:ascii="宋体" w:hAnsi="宋体" w:eastAsia="宋体" w:cs="宋体"/>
                <w:color w:val="auto"/>
                <w:kern w:val="0"/>
                <w:sz w:val="21"/>
                <w:szCs w:val="21"/>
                <w:highlight w:val="none"/>
                <w:lang w:val="en-US" w:eastAsia="zh-CN" w:bidi="ar"/>
              </w:rPr>
              <w:t>一级注册造价工程师</w:t>
            </w:r>
          </w:p>
        </w:tc>
        <w:tc>
          <w:tcPr>
            <w:tcW w:w="368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cs="宋体"/>
                <w:color w:val="000000"/>
                <w:szCs w:val="21"/>
                <w:lang w:val="en-US"/>
              </w:rPr>
            </w:pPr>
            <w:r>
              <w:rPr>
                <w:rFonts w:hint="eastAsia" w:ascii="宋体" w:hAnsi="宋体"/>
                <w:color w:val="000000"/>
                <w:szCs w:val="21"/>
              </w:rPr>
              <w:t>提供</w:t>
            </w:r>
            <w:r>
              <w:rPr>
                <w:rFonts w:hint="eastAsia" w:ascii="宋体" w:hAnsi="宋体" w:eastAsia="宋体" w:cs="宋体"/>
                <w:color w:val="auto"/>
                <w:kern w:val="0"/>
                <w:sz w:val="21"/>
                <w:szCs w:val="21"/>
                <w:highlight w:val="none"/>
                <w:lang w:val="en-US" w:eastAsia="zh-CN" w:bidi="ar"/>
              </w:rPr>
              <w:t>一级注册造价工程师</w:t>
            </w:r>
            <w:r>
              <w:rPr>
                <w:rFonts w:hint="eastAsia" w:ascii="宋体" w:hAnsi="宋体" w:cs="宋体"/>
                <w:color w:val="auto"/>
                <w:kern w:val="0"/>
                <w:sz w:val="21"/>
                <w:szCs w:val="21"/>
                <w:highlight w:val="none"/>
                <w:lang w:val="en-US" w:eastAsia="zh-CN" w:bidi="ar"/>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ascii="宋体" w:hAnsi="宋体"/>
                <w:bCs/>
                <w:color w:val="000000"/>
                <w:szCs w:val="21"/>
              </w:rPr>
              <w:t>6</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eastAsia="宋体" w:cs="Times New Roman"/>
                <w:bCs/>
                <w:color w:val="000000"/>
                <w:kern w:val="2"/>
                <w:sz w:val="21"/>
                <w:szCs w:val="21"/>
                <w:lang w:val="en-US" w:eastAsia="zh-CN" w:bidi="ar-SA"/>
              </w:rPr>
            </w:pPr>
            <w:r>
              <w:rPr>
                <w:rFonts w:hint="eastAsia" w:ascii="宋体" w:hAnsi="宋体"/>
                <w:bCs/>
                <w:color w:val="000000"/>
                <w:szCs w:val="21"/>
              </w:rPr>
              <w:t>专职安全员</w:t>
            </w:r>
          </w:p>
        </w:tc>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eastAsia="宋体" w:cs="Times New Roman"/>
                <w:bCs/>
                <w:color w:val="000000"/>
                <w:kern w:val="2"/>
                <w:sz w:val="21"/>
                <w:szCs w:val="21"/>
                <w:lang w:val="en-US" w:eastAsia="zh-CN" w:bidi="ar-SA"/>
              </w:rPr>
            </w:pPr>
            <w:r>
              <w:rPr>
                <w:rFonts w:hint="eastAsia" w:ascii="宋体" w:hAnsi="宋体"/>
                <w:bCs/>
                <w:color w:val="000000"/>
                <w:szCs w:val="21"/>
              </w:rPr>
              <w:t>1</w:t>
            </w:r>
            <w:r>
              <w:rPr>
                <w:rFonts w:hint="eastAsia" w:ascii="宋体" w:hAnsi="宋体"/>
                <w:color w:val="000000"/>
                <w:szCs w:val="21"/>
              </w:rPr>
              <w:t>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360" w:lineRule="auto"/>
              <w:ind w:right="-46" w:rightChars="-22"/>
              <w:jc w:val="left"/>
              <w:rPr>
                <w:rFonts w:ascii="宋体" w:hAnsi="宋体" w:eastAsia="宋体" w:cs="Times New Roman"/>
                <w:bCs/>
                <w:color w:val="000000"/>
                <w:kern w:val="2"/>
                <w:sz w:val="21"/>
                <w:szCs w:val="21"/>
                <w:lang w:val="en-US" w:eastAsia="zh-CN" w:bidi="ar-SA"/>
              </w:rPr>
            </w:pPr>
            <w:r>
              <w:rPr>
                <w:rFonts w:hint="eastAsia" w:ascii="宋体" w:hAnsi="宋体" w:cs="宋体"/>
                <w:color w:val="000000"/>
                <w:kern w:val="0"/>
                <w:szCs w:val="21"/>
              </w:rPr>
              <w:t>符合招标公告要求</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按招标公告提供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left="-57" w:leftChars="-27" w:right="-46" w:rightChars="-22"/>
              <w:jc w:val="center"/>
              <w:rPr>
                <w:rFonts w:ascii="宋体" w:hAnsi="宋体"/>
                <w:color w:val="000000"/>
                <w:szCs w:val="21"/>
              </w:rPr>
            </w:pPr>
            <w:r>
              <w:rPr>
                <w:rFonts w:ascii="宋体" w:hAnsi="宋体"/>
                <w:color w:val="000000"/>
                <w:szCs w:val="21"/>
              </w:rPr>
              <w:t>7</w:t>
            </w:r>
          </w:p>
        </w:tc>
        <w:tc>
          <w:tcPr>
            <w:tcW w:w="3470" w:type="dxa"/>
            <w:tcBorders>
              <w:top w:val="single" w:color="auto" w:sz="4" w:space="0"/>
              <w:left w:val="single" w:color="auto" w:sz="4" w:space="0"/>
              <w:bottom w:val="single" w:color="auto" w:sz="4" w:space="0"/>
              <w:right w:val="single" w:color="auto" w:sz="4" w:space="0"/>
            </w:tcBorders>
            <w:vAlign w:val="center"/>
          </w:tcPr>
          <w:p>
            <w:pPr>
              <w:spacing w:line="276" w:lineRule="auto"/>
              <w:ind w:left="-57" w:leftChars="-27" w:right="-46" w:rightChars="-22"/>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装饰专业工程师</w:t>
            </w:r>
          </w:p>
        </w:tc>
        <w:tc>
          <w:tcPr>
            <w:tcW w:w="707" w:type="dxa"/>
            <w:tcBorders>
              <w:top w:val="single" w:color="auto" w:sz="4" w:space="0"/>
              <w:left w:val="single" w:color="auto" w:sz="4" w:space="0"/>
              <w:bottom w:val="single" w:color="auto" w:sz="4" w:space="0"/>
              <w:right w:val="single" w:color="auto" w:sz="4" w:space="0"/>
            </w:tcBorders>
            <w:vAlign w:val="center"/>
          </w:tcPr>
          <w:p>
            <w:pPr>
              <w:spacing w:line="276" w:lineRule="auto"/>
              <w:ind w:left="-57" w:leftChars="-27" w:right="-46" w:rightChars="-22"/>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1</w:t>
            </w:r>
            <w:r>
              <w:rPr>
                <w:rFonts w:hint="eastAsia" w:ascii="宋体" w:hAnsi="宋体"/>
                <w:color w:val="000000"/>
                <w:szCs w:val="21"/>
              </w:rPr>
              <w:t>人</w:t>
            </w:r>
          </w:p>
        </w:tc>
        <w:tc>
          <w:tcPr>
            <w:tcW w:w="5320" w:type="dxa"/>
            <w:tcBorders>
              <w:top w:val="single" w:color="auto" w:sz="4" w:space="0"/>
              <w:left w:val="single" w:color="auto" w:sz="4" w:space="0"/>
              <w:bottom w:val="single" w:color="auto" w:sz="4" w:space="0"/>
              <w:right w:val="single" w:color="auto" w:sz="4" w:space="0"/>
            </w:tcBorders>
            <w:vAlign w:val="center"/>
          </w:tcPr>
          <w:p>
            <w:pPr>
              <w:spacing w:line="276" w:lineRule="auto"/>
              <w:ind w:right="-46" w:rightChars="-22"/>
              <w:jc w:val="lef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具有</w:t>
            </w:r>
            <w:r>
              <w:rPr>
                <w:rFonts w:hint="eastAsia" w:ascii="宋体" w:hAnsi="宋体" w:eastAsia="宋体" w:cs="宋体"/>
                <w:color w:val="auto"/>
                <w:sz w:val="21"/>
                <w:szCs w:val="21"/>
                <w:highlight w:val="none"/>
              </w:rPr>
              <w:t>建筑装饰</w:t>
            </w:r>
            <w:r>
              <w:rPr>
                <w:rFonts w:hint="eastAsia" w:ascii="宋体" w:hAnsi="宋体" w:eastAsia="宋体" w:cs="宋体"/>
                <w:color w:val="auto"/>
                <w:sz w:val="21"/>
                <w:szCs w:val="21"/>
                <w:highlight w:val="none"/>
                <w:lang w:val="en-US" w:eastAsia="zh-CN"/>
              </w:rPr>
              <w:t>装修</w:t>
            </w:r>
            <w:r>
              <w:rPr>
                <w:rFonts w:hint="eastAsia" w:ascii="宋体" w:hAnsi="宋体" w:cs="宋体"/>
                <w:color w:val="000000"/>
                <w:kern w:val="0"/>
                <w:szCs w:val="21"/>
              </w:rPr>
              <w:t>类专业中级（或以上）职称</w:t>
            </w:r>
          </w:p>
        </w:tc>
        <w:tc>
          <w:tcPr>
            <w:tcW w:w="3686" w:type="dxa"/>
            <w:tcBorders>
              <w:top w:val="single" w:color="auto" w:sz="4" w:space="0"/>
              <w:left w:val="single" w:color="auto" w:sz="4" w:space="0"/>
              <w:bottom w:val="single" w:color="auto" w:sz="4" w:space="0"/>
              <w:right w:val="single" w:color="auto" w:sz="4" w:space="0"/>
            </w:tcBorders>
            <w:vAlign w:val="center"/>
          </w:tcPr>
          <w:p>
            <w:pPr>
              <w:spacing w:line="276" w:lineRule="auto"/>
              <w:ind w:right="-46" w:rightChars="-22"/>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提供职称证</w:t>
            </w:r>
          </w:p>
        </w:tc>
      </w:tr>
    </w:tbl>
    <w:p/>
    <w:p>
      <w:pPr>
        <w:pStyle w:val="2"/>
      </w:pPr>
    </w:p>
    <w:p/>
    <w:p>
      <w:pPr>
        <w:pStyle w:val="2"/>
      </w:pPr>
    </w:p>
    <w:p>
      <w:pPr>
        <w:rPr>
          <w:rFonts w:ascii="宋体" w:hAnsi="宋体" w:cs="宋体"/>
          <w:color w:val="auto"/>
          <w:sz w:val="24"/>
          <w:szCs w:val="24"/>
          <w:highlight w:val="none"/>
        </w:rPr>
      </w:pPr>
      <w:r>
        <w:rPr>
          <w:rFonts w:hint="eastAsia" w:ascii="宋体" w:hAnsi="宋体" w:eastAsia="宋体" w:cs="宋体"/>
          <w:color w:val="000000"/>
          <w:kern w:val="2"/>
          <w:sz w:val="21"/>
          <w:szCs w:val="21"/>
          <w:highlight w:val="none"/>
          <w:lang w:val="en-US" w:eastAsia="zh-CN" w:bidi="ar-SA"/>
        </w:rPr>
        <w:br w:type="page"/>
      </w:r>
      <w:r>
        <w:rPr>
          <w:rFonts w:hint="eastAsia" w:ascii="宋体" w:hAnsi="宋体" w:cs="宋体"/>
          <w:color w:val="auto"/>
          <w:sz w:val="24"/>
          <w:szCs w:val="24"/>
          <w:highlight w:val="none"/>
        </w:rPr>
        <w:t>附表五</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b/>
          <w:color w:val="auto"/>
          <w:sz w:val="24"/>
          <w:szCs w:val="24"/>
          <w:highlight w:val="none"/>
        </w:rPr>
      </w:pPr>
      <w:r>
        <w:rPr>
          <w:rFonts w:hint="eastAsia" w:ascii="宋体" w:hAnsi="宋体" w:cs="宋体"/>
          <w:color w:val="auto"/>
          <w:sz w:val="24"/>
          <w:szCs w:val="24"/>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8"/>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9" w:type="first"/>
          <w:footerReference r:id="rId11" w:type="first"/>
          <w:headerReference r:id="rId8" w:type="default"/>
          <w:footerReference r:id="rId10" w:type="default"/>
          <w:endnotePr>
            <w:numFmt w:val="decimal"/>
          </w:endnotePr>
          <w:pgSz w:w="16838" w:h="11906" w:orient="landscape"/>
          <w:pgMar w:top="1418" w:right="1247" w:bottom="1418" w:left="1134" w:header="851" w:footer="907" w:gutter="0"/>
          <w:cols w:space="720" w:num="1"/>
          <w:titlePg/>
          <w:docGrid w:type="lines" w:linePitch="312" w:charSpace="0"/>
        </w:sectPr>
      </w:pPr>
    </w:p>
    <w:p>
      <w:pPr>
        <w:pStyle w:val="3"/>
        <w:jc w:val="center"/>
        <w:rPr>
          <w:rFonts w:ascii="宋体" w:hAnsi="宋体" w:cs="宋体"/>
          <w:color w:val="auto"/>
          <w:sz w:val="32"/>
          <w:szCs w:val="32"/>
          <w:highlight w:val="none"/>
        </w:rPr>
      </w:pPr>
      <w:bookmarkStart w:id="23" w:name="_Toc14934"/>
      <w:r>
        <w:rPr>
          <w:rFonts w:hint="eastAsia" w:ascii="宋体" w:hAnsi="宋体" w:cs="宋体"/>
          <w:color w:val="auto"/>
          <w:sz w:val="32"/>
          <w:szCs w:val="32"/>
          <w:highlight w:val="none"/>
        </w:rPr>
        <w:t>第三章  合同条款</w:t>
      </w:r>
      <w:bookmarkEnd w:id="23"/>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pPr>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5"/>
        <w:spacing w:line="360" w:lineRule="auto"/>
        <w:rPr>
          <w:rFonts w:ascii="宋体" w:hAnsi="宋体" w:cs="宋体"/>
          <w:color w:val="auto"/>
          <w:sz w:val="24"/>
          <w:szCs w:val="24"/>
          <w:highlight w:val="none"/>
        </w:rPr>
      </w:pPr>
    </w:p>
    <w:p>
      <w:pPr>
        <w:pStyle w:val="2"/>
        <w:spacing w:line="360" w:lineRule="auto"/>
        <w:rPr>
          <w:rFonts w:hAnsi="宋体" w:cs="宋体"/>
          <w:color w:val="auto"/>
          <w:sz w:val="24"/>
          <w:szCs w:val="24"/>
          <w:highlight w:val="none"/>
        </w:rPr>
      </w:pPr>
    </w:p>
    <w:p>
      <w:pPr>
        <w:pStyle w:val="2"/>
        <w:spacing w:line="360" w:lineRule="auto"/>
        <w:rPr>
          <w:rFonts w:hAnsi="宋体" w:cs="宋体"/>
          <w:color w:val="auto"/>
          <w:sz w:val="24"/>
          <w:szCs w:val="24"/>
          <w:highlight w:val="none"/>
        </w:rPr>
      </w:pPr>
    </w:p>
    <w:p>
      <w:pPr>
        <w:pStyle w:val="3"/>
        <w:jc w:val="center"/>
        <w:rPr>
          <w:rFonts w:ascii="宋体" w:hAnsi="宋体" w:cs="宋体"/>
          <w:color w:val="auto"/>
          <w:sz w:val="32"/>
          <w:szCs w:val="32"/>
          <w:highlight w:val="none"/>
        </w:rPr>
      </w:pPr>
      <w:bookmarkStart w:id="24" w:name="_Toc12630"/>
      <w:r>
        <w:rPr>
          <w:rFonts w:hint="eastAsia" w:ascii="宋体" w:hAnsi="宋体" w:cs="宋体"/>
          <w:color w:val="auto"/>
          <w:sz w:val="32"/>
          <w:szCs w:val="32"/>
          <w:highlight w:val="none"/>
        </w:rPr>
        <w:t>第四章  投标文件格式</w:t>
      </w:r>
      <w:bookmarkEnd w:id="24"/>
    </w:p>
    <w:p>
      <w:pPr>
        <w:rPr>
          <w:rFonts w:ascii="宋体" w:hAnsi="宋体" w:cs="宋体"/>
          <w:bCs/>
          <w:color w:val="auto"/>
          <w:szCs w:val="21"/>
          <w:highlight w:val="none"/>
        </w:rPr>
      </w:pPr>
    </w:p>
    <w:p>
      <w:pPr>
        <w:autoSpaceDE w:val="0"/>
        <w:autoSpaceDN w:val="0"/>
        <w:adjustRightIn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rPr>
          <w:rFonts w:ascii="宋体" w:hAnsi="宋体" w:cs="宋体"/>
          <w:bCs/>
          <w:color w:val="auto"/>
          <w:szCs w:val="21"/>
          <w:highlight w:val="none"/>
        </w:rPr>
      </w:pPr>
    </w:p>
    <w:p>
      <w:pPr>
        <w:pStyle w:val="8"/>
        <w:ind w:firstLine="0"/>
        <w:rPr>
          <w:rFonts w:ascii="宋体" w:hAnsi="宋体" w:cs="宋体"/>
          <w:color w:val="auto"/>
          <w:highlight w:val="none"/>
        </w:rPr>
      </w:pPr>
    </w:p>
    <w:p>
      <w:pPr>
        <w:pStyle w:val="8"/>
        <w:ind w:firstLine="0"/>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bCs w:val="0"/>
          <w:color w:val="auto"/>
          <w:sz w:val="24"/>
          <w:szCs w:val="24"/>
          <w:highlight w:val="none"/>
        </w:rPr>
        <w:t>技术部分格式1：技术标封面</w:t>
      </w: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133"/>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134"/>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33"/>
        <w:rPr>
          <w:rFonts w:ascii="宋体" w:hAnsi="宋体" w:eastAsia="宋体" w:cs="宋体"/>
          <w:b w:val="0"/>
          <w:color w:val="auto"/>
          <w:highlight w:val="none"/>
        </w:rPr>
      </w:pPr>
      <w:r>
        <w:rPr>
          <w:rFonts w:hint="eastAsia" w:ascii="宋体" w:hAnsi="宋体" w:eastAsia="宋体" w:cs="宋体"/>
          <w:b w:val="0"/>
          <w:color w:val="auto"/>
          <w:highlight w:val="none"/>
        </w:rPr>
        <w:t>第一册  技术标</w:t>
      </w:r>
      <w:r>
        <w:rPr>
          <w:rFonts w:hint="eastAsia" w:ascii="宋体" w:hAnsi="宋体" w:eastAsia="宋体" w:cs="宋体"/>
          <w:b w:val="0"/>
          <w:color w:val="auto"/>
          <w:highlight w:val="none"/>
          <w:lang w:val="en-US" w:eastAsia="zh-CN"/>
        </w:rPr>
        <w:t>书</w:t>
      </w:r>
      <w:r>
        <w:rPr>
          <w:rFonts w:hint="eastAsia" w:ascii="宋体" w:hAnsi="宋体" w:eastAsia="宋体" w:cs="宋体"/>
          <w:b w:val="0"/>
          <w:color w:val="auto"/>
          <w:highlight w:val="none"/>
        </w:rPr>
        <w:t>（含资格审查文件）</w:t>
      </w: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135"/>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（填写投标人单位名称）    （盖章）</w:t>
      </w:r>
    </w:p>
    <w:p>
      <w:pPr>
        <w:pStyle w:val="135"/>
        <w:ind w:firstLine="616"/>
        <w:rPr>
          <w:rFonts w:ascii="宋体" w:hAnsi="宋体" w:cs="宋体"/>
          <w:color w:val="auto"/>
          <w:highlight w:val="none"/>
        </w:rPr>
      </w:pPr>
    </w:p>
    <w:p>
      <w:pPr>
        <w:pStyle w:val="135"/>
        <w:ind w:firstLine="616"/>
        <w:rPr>
          <w:rFonts w:ascii="宋体" w:hAnsi="宋体" w:cs="宋体"/>
          <w:color w:val="auto"/>
          <w:highlight w:val="none"/>
        </w:rPr>
      </w:pPr>
      <w:r>
        <w:rPr>
          <w:rFonts w:hint="eastAsia" w:ascii="宋体" w:hAnsi="宋体" w:cs="宋体"/>
          <w:color w:val="auto"/>
          <w:highlight w:val="none"/>
        </w:rPr>
        <w:t>法定代表人或</w:t>
      </w:r>
    </w:p>
    <w:p>
      <w:pPr>
        <w:pStyle w:val="135"/>
        <w:ind w:firstLine="616"/>
        <w:rPr>
          <w:rFonts w:ascii="宋体" w:hAnsi="宋体" w:cs="宋体"/>
          <w:color w:val="auto"/>
          <w:highlight w:val="none"/>
        </w:rPr>
      </w:pPr>
      <w:r>
        <w:rPr>
          <w:rFonts w:hint="eastAsia" w:ascii="宋体" w:hAnsi="宋体" w:cs="宋体"/>
          <w:color w:val="auto"/>
          <w:highlight w:val="none"/>
        </w:rPr>
        <w:t>其委托代理人：</w:t>
      </w:r>
      <w:r>
        <w:rPr>
          <w:rFonts w:hint="eastAsia" w:ascii="宋体" w:hAnsi="宋体" w:cs="宋体"/>
          <w:color w:val="auto"/>
          <w:highlight w:val="none"/>
          <w:u w:val="single"/>
        </w:rPr>
        <w:t xml:space="preserve">                        （签名或盖章）</w:t>
      </w:r>
    </w:p>
    <w:p>
      <w:pPr>
        <w:pStyle w:val="135"/>
        <w:ind w:firstLine="616"/>
        <w:rPr>
          <w:rFonts w:ascii="宋体" w:hAnsi="宋体" w:cs="宋体"/>
          <w:color w:val="auto"/>
          <w:sz w:val="24"/>
          <w:szCs w:val="24"/>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rPr>
          <w:rFonts w:ascii="宋体" w:hAnsi="宋体" w:cs="宋体"/>
          <w:bCs/>
          <w:color w:val="auto"/>
          <w:szCs w:val="21"/>
          <w:highlight w:val="none"/>
        </w:rPr>
      </w:pPr>
    </w:p>
    <w:p>
      <w:pPr>
        <w:rPr>
          <w:rFonts w:ascii="宋体" w:hAnsi="宋体" w:cs="宋体"/>
          <w:bCs/>
          <w:color w:val="auto"/>
          <w:szCs w:val="21"/>
          <w:highlight w:val="none"/>
        </w:rPr>
      </w:pPr>
    </w:p>
    <w:p>
      <w:pPr>
        <w:rPr>
          <w:rFonts w:hint="eastAsia" w:ascii="宋体" w:hAnsi="宋体" w:cs="宋体"/>
          <w:b/>
          <w:color w:val="auto"/>
          <w:sz w:val="32"/>
          <w:szCs w:val="32"/>
          <w:highlight w:val="none"/>
        </w:rPr>
      </w:pPr>
      <w:bookmarkStart w:id="25" w:name="_Hlk101451102"/>
      <w:r>
        <w:rPr>
          <w:rFonts w:hint="eastAsia" w:ascii="宋体" w:hAnsi="宋体" w:cs="宋体"/>
          <w:b/>
          <w:color w:val="auto"/>
          <w:sz w:val="32"/>
          <w:szCs w:val="32"/>
          <w:highlight w:val="none"/>
        </w:rPr>
        <w:br w:type="page"/>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bookmarkEnd w:id="25"/>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一、资格审查文件</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三、投标人廉洁承诺书</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四、企业资信等相关资料</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五、施工技术承诺书</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、参与编制技术标投标文件人员名单</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、拟投入施工项目管理团队人员信息表</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、技术负责人（或其他项目管理机构人员）基本情况表</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、业绩及获奖情况一览表</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十、危险性较大的分部分项工程清单及超过一定规模的危险性较大的分部分项工程清单</w:t>
      </w: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、其他投标人认为须提交的资料</w:t>
      </w:r>
    </w:p>
    <w:p>
      <w:pPr>
        <w:pStyle w:val="2"/>
        <w:rPr>
          <w:rFonts w:ascii="宋体" w:hAnsi="宋体" w:cs="宋体"/>
          <w:color w:val="auto"/>
          <w:sz w:val="24"/>
          <w:szCs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技术部分格式2：</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资格审查资料</w: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★技术部分格式3：</w:t>
      </w:r>
    </w:p>
    <w:p>
      <w:pPr>
        <w:spacing w:line="360" w:lineRule="auto"/>
        <w:rPr>
          <w:rFonts w:ascii="宋体" w:hAnsi="宋体" w:cs="宋体"/>
          <w:color w:val="auto"/>
          <w:sz w:val="24"/>
          <w:highlight w:val="none"/>
        </w:rPr>
      </w:pPr>
    </w:p>
    <w:p>
      <w:pPr>
        <w:autoSpaceDE w:val="0"/>
        <w:autoSpaceDN w:val="0"/>
        <w:adjustRightInd w:val="0"/>
        <w:ind w:left="-178" w:leftChars="-85"/>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p>
      <w:pPr>
        <w:ind w:right="560"/>
        <w:jc w:val="center"/>
        <w:rPr>
          <w:rFonts w:ascii="宋体" w:hAnsi="宋体" w:cs="宋体"/>
          <w:b/>
          <w:color w:val="auto"/>
          <w:sz w:val="28"/>
          <w:szCs w:val="28"/>
          <w:highlight w:val="none"/>
          <w:lang w:val="zh-CN"/>
        </w:rPr>
      </w:pPr>
    </w:p>
    <w:tbl>
      <w:tblPr>
        <w:tblStyle w:val="3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项目负责人</w:t>
            </w:r>
          </w:p>
        </w:tc>
        <w:tc>
          <w:tcPr>
            <w:tcW w:w="556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安全员</w:t>
            </w:r>
          </w:p>
        </w:tc>
        <w:tc>
          <w:tcPr>
            <w:tcW w:w="556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★技术部分格式4：</w:t>
      </w: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投标人廉洁承诺书</w:t>
      </w:r>
    </w:p>
    <w:p>
      <w:pPr>
        <w:widowControl/>
        <w:shd w:val="clear" w:color="auto" w:fill="FFFFFF"/>
        <w:spacing w:after="135"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广州市住房和城乡建设局、本招标项目招标人及招标监管机构：</w:t>
      </w:r>
    </w:p>
    <w:p>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 xml:space="preserve"> （项目名称/标段名称） </w:t>
      </w:r>
      <w:r>
        <w:rPr>
          <w:rFonts w:hint="eastAsia" w:ascii="宋体"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500" w:lineRule="exact"/>
        <w:ind w:right="42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pPr>
        <w:widowControl/>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fill="FFFFFF"/>
        <w:spacing w:line="500" w:lineRule="exact"/>
        <w:ind w:right="-58" w:firstLine="2880"/>
        <w:jc w:val="right"/>
        <w:rPr>
          <w:rFonts w:ascii="宋体" w:hAnsi="宋体" w:cs="宋体"/>
          <w:color w:val="auto"/>
          <w:sz w:val="24"/>
          <w:szCs w:val="24"/>
          <w:highlight w:val="none"/>
        </w:rPr>
      </w:pPr>
      <w:r>
        <w:rPr>
          <w:rFonts w:hint="eastAsia" w:ascii="宋体" w:hAnsi="宋体" w:cs="宋体"/>
          <w:color w:val="auto"/>
          <w:sz w:val="24"/>
          <w:szCs w:val="24"/>
          <w:highlight w:val="none"/>
        </w:rPr>
        <w:t>承诺企业：              (企业公章或电子印章)</w:t>
      </w:r>
    </w:p>
    <w:p>
      <w:pPr>
        <w:widowControl/>
        <w:shd w:val="clear" w:color="auto" w:fill="FFFFFF"/>
        <w:spacing w:after="135" w:line="500" w:lineRule="exact"/>
        <w:ind w:firstLine="645"/>
        <w:jc w:val="left"/>
        <w:rPr>
          <w:rFonts w:ascii="宋体" w:hAnsi="宋体" w:cs="宋体"/>
          <w:b/>
          <w:color w:val="auto"/>
          <w:sz w:val="24"/>
          <w:szCs w:val="31"/>
          <w:highlight w:val="none"/>
        </w:rPr>
      </w:pPr>
      <w:r>
        <w:rPr>
          <w:rFonts w:hint="eastAsia" w:ascii="宋体" w:hAnsi="宋体" w:cs="宋体"/>
          <w:color w:val="auto"/>
          <w:sz w:val="24"/>
          <w:szCs w:val="24"/>
          <w:highlight w:val="none"/>
        </w:rPr>
        <w:t xml:space="preserve">                    法定代表人（签字或盖章）： </w:t>
      </w:r>
    </w:p>
    <w:p>
      <w:pPr>
        <w:widowControl/>
        <w:shd w:val="clear" w:color="auto" w:fill="FFFFFF"/>
        <w:spacing w:line="500" w:lineRule="exact"/>
        <w:ind w:right="165" w:firstLine="3770" w:firstLineChars="1571"/>
        <w:jc w:val="both"/>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pacing w:line="360" w:lineRule="auto"/>
        <w:rPr>
          <w:rFonts w:ascii="宋体" w:hAnsi="宋体" w:cs="宋体"/>
          <w:color w:val="auto"/>
          <w:sz w:val="24"/>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4"/>
          <w:highlight w:val="none"/>
        </w:rPr>
        <w:t>技术部分格式5：</w:t>
      </w:r>
    </w:p>
    <w:p>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p>
    <w:p>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pPr>
        <w:topLinePunct/>
        <w:adjustRightInd w:val="0"/>
        <w:snapToGrid w:val="0"/>
        <w:spacing w:line="360" w:lineRule="auto"/>
        <w:ind w:firstLine="496" w:firstLineChars="200"/>
        <w:rPr>
          <w:rFonts w:ascii="宋体" w:hAnsi="宋体" w:cs="宋体"/>
          <w:snapToGrid w:val="0"/>
          <w:color w:val="auto"/>
          <w:spacing w:val="4"/>
          <w:kern w:val="0"/>
          <w:sz w:val="24"/>
          <w:szCs w:val="20"/>
          <w:highlight w:val="none"/>
        </w:rPr>
      </w:pPr>
    </w:p>
    <w:p>
      <w:pPr>
        <w:topLinePunct/>
        <w:adjustRightInd w:val="0"/>
        <w:snapToGrid w:val="0"/>
        <w:spacing w:line="360" w:lineRule="auto"/>
        <w:jc w:val="center"/>
        <w:rPr>
          <w:rFonts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pPr>
        <w:spacing w:line="360" w:lineRule="auto"/>
        <w:rPr>
          <w:rFonts w:ascii="宋体" w:hAnsi="宋体" w:cs="宋体"/>
          <w:color w:val="auto"/>
          <w:sz w:val="24"/>
          <w:highlight w:val="none"/>
        </w:rPr>
      </w:pPr>
      <w:r>
        <w:rPr>
          <w:rFonts w:hint="eastAsia" w:ascii="宋体" w:hAnsi="宋体" w:cs="宋体"/>
          <w:snapToGrid w:val="0"/>
          <w:color w:val="auto"/>
          <w:spacing w:val="4"/>
          <w:kern w:val="0"/>
          <w:sz w:val="24"/>
          <w:szCs w:val="20"/>
          <w:highlight w:val="none"/>
        </w:rPr>
        <w:br w:type="page"/>
      </w:r>
      <w:r>
        <w:rPr>
          <w:rFonts w:hint="eastAsia" w:ascii="宋体" w:hAnsi="宋体" w:cs="宋体"/>
          <w:b/>
          <w:bCs/>
          <w:color w:val="auto"/>
          <w:sz w:val="24"/>
          <w:highlight w:val="none"/>
        </w:rPr>
        <w:t>技术部分格式6：</w:t>
      </w:r>
    </w:p>
    <w:p>
      <w:pPr>
        <w:spacing w:line="360" w:lineRule="auto"/>
        <w:rPr>
          <w:rFonts w:ascii="宋体" w:hAnsi="宋体" w:cs="宋体"/>
          <w:color w:val="auto"/>
          <w:sz w:val="24"/>
          <w:highlight w:val="none"/>
        </w:rPr>
      </w:pPr>
    </w:p>
    <w:p>
      <w:pPr>
        <w:spacing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施工技术承诺书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广州市教育基建和装备中心</w:t>
      </w:r>
      <w:r>
        <w:rPr>
          <w:rFonts w:hint="eastAsia" w:ascii="宋体" w:hAnsi="宋体" w:cs="宋体"/>
          <w:color w:val="auto"/>
          <w:sz w:val="24"/>
          <w:szCs w:val="24"/>
          <w:highlight w:val="none"/>
        </w:rPr>
        <w:t>：</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公司已充分阅读了招标文件、图纸等资料并通过现场考察充分了解本工程的全面情况。如若中标，我们承诺将按技术规范、相关技术要求、施工图纸进行施工。本工程所有的施工方案、施工方法、施工工艺等都将满足本工程施工图纸和现行的有关规范、标准要求，且上述施工方案、施工方法和施工工艺等均在取得监理工程师和业主的批准后予以实施，同时声明采用经监理工程师和业主批准的上述施工方案、施工方法、施工工艺等所发生的一切费用均已包含在我方的投标总报价之中，并保证在本项目实施过程中不论何种原因均不会向你方提出任何增加费用或延长工期的要求，否则，视为我方违约，你方有权解除合同并按合同支付违约金，我方应承担由此给你方造成的所有经济损失，并承担其他相应的责任。</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如未履行上述承诺，视为我方违约，你方有权解除合同并按合同支付违约金，我方应承担由此给你方造成的所有经济损失，并承担其他相应的责任。</w:t>
      </w: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法定代表人或其委托代理人：（签字或盖章）</w:t>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单位名称：（盖公章或电子印章）</w:t>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spacing w:line="400" w:lineRule="exac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施工组织设计：</w:t>
      </w: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施工组织设计</w:t>
      </w:r>
    </w:p>
    <w:p>
      <w:pPr>
        <w:spacing w:line="400" w:lineRule="exact"/>
        <w:ind w:firstLine="480" w:firstLineChars="200"/>
        <w:rPr>
          <w:rFonts w:hint="eastAsia" w:ascii="宋体" w:hAnsi="宋体" w:cs="宋体"/>
          <w:color w:val="auto"/>
          <w:sz w:val="24"/>
          <w:szCs w:val="24"/>
          <w:highlight w:val="none"/>
        </w:rPr>
      </w:pP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对本项目特点有深刻认识，组织实施方案计划详细、保证措施合理且切实可行；对本项目的重点、难点，考虑全面，并制定可行的措施；针对本项目特点制定的交通疏解措施切实可行、详细、合理；应急处理措施、安全防护制度和文明操作措施完善；必须提交人员和机械安排计划，计划切实可行、详细、合理。各部分文字直接简炼，不得出现大量宣传性及无实质性意义或直接引用范本照搬照套的文字，并结合图表说明及表示。施工组织设计编制可包括以下内容：</w:t>
      </w:r>
    </w:p>
    <w:p>
      <w:pPr>
        <w:spacing w:line="400" w:lineRule="exact"/>
        <w:ind w:firstLine="480" w:firstLineChars="200"/>
        <w:rPr>
          <w:rFonts w:hint="eastAsia" w:ascii="宋体" w:hAnsi="宋体" w:cs="宋体"/>
          <w:b/>
          <w:bCs/>
          <w:color w:val="auto"/>
          <w:sz w:val="30"/>
          <w:szCs w:val="30"/>
          <w:highlight w:val="none"/>
        </w:rPr>
      </w:pPr>
      <w:r>
        <w:rPr>
          <w:rFonts w:hint="eastAsia" w:ascii="宋体" w:hAnsi="宋体" w:cs="宋体"/>
          <w:color w:val="auto"/>
          <w:sz w:val="24"/>
          <w:szCs w:val="24"/>
          <w:highlight w:val="none"/>
        </w:rPr>
        <w:t>一、文字部分：</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1.工程概况及工程重点、难点</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2.项目组织机构</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要求项目负责人、总工程师、施工计划及财务负责人、质检、地质、实验、测量和机械、土建等组织结构配置合理，满足施工要求。</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3.施工总平面布置</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3.1临设平面布置图；</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3.2临时供水、临时供电；</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3.3临时排水、排污；</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3.4围蔽结构；</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3.5施工通道布置；</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3.6投标人认为需补充的内容。</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4.主要分项工程的施工方案、施工方法、施工工艺</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根据本工程施工特点，制定各关键工序的施工方案、施工方法和工艺，要求所采用的施工方案、施工方法和工艺具有针对性、先进性和独创性。并阐述对进场施工后保证实施上述施工方案、施工方法和工艺；</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5.危险性较大的分部分项工程专项施工方案。</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6.工程建设进度计划于措施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6.1总体施工进度计划</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6.2各阶段施工进度计划及控制措施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6.3资源配备计划（工、料、机、资金等的使用计划）</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6.4主要的工艺流程</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 质量管理体系和措施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 环保与文明施工管理体系与措施（包括空气污染、水质污染、噪音控制、施工场地和驻地卫生，以及文明施工等方面控制措施）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9.制订完善的成品保护措施。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10.民工工资支付方案及措施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11.承诺优先使用绿色生产达标企业的混凝土及措施</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二、图表部分</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1.项目组织机构图</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2.施工平面布置图</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3.施工进度计划网络图及横道图</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4.劳动力使用计划图（或表）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5.拟投入的主要材料、半成品、设备及品牌计划表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6.拟投入的主要施工机械设备计划表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7.资金使用计划表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8.主要施工工艺的工艺流程图</w:t>
      </w:r>
    </w:p>
    <w:p>
      <w:pPr>
        <w:pStyle w:val="8"/>
        <w:rPr>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w:t>
      </w:r>
      <w:r>
        <w:rPr>
          <w:rFonts w:ascii="宋体" w:hAnsi="宋体" w:cs="宋体"/>
          <w:b/>
          <w:bCs/>
          <w:color w:val="auto"/>
          <w:sz w:val="24"/>
          <w:highlight w:val="none"/>
        </w:rPr>
        <w:t>7</w:t>
      </w:r>
      <w:r>
        <w:rPr>
          <w:rFonts w:hint="eastAsia" w:ascii="宋体" w:hAnsi="宋体" w:cs="宋体"/>
          <w:b/>
          <w:bCs/>
          <w:color w:val="auto"/>
          <w:sz w:val="24"/>
          <w:highlight w:val="none"/>
        </w:rPr>
        <w:t>：</w:t>
      </w:r>
    </w:p>
    <w:p>
      <w:pPr>
        <w:pStyle w:val="78"/>
        <w:ind w:firstLine="496"/>
        <w:rPr>
          <w:rFonts w:ascii="宋体" w:hAnsi="宋体" w:cs="宋体"/>
          <w:color w:val="auto"/>
          <w:highlight w:val="none"/>
        </w:rPr>
      </w:pPr>
    </w:p>
    <w:p>
      <w:pPr>
        <w:pStyle w:val="121"/>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参与编制技术标投标文件人员名单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noWrap w:val="0"/>
            <w:vAlign w:val="center"/>
          </w:tcPr>
          <w:p>
            <w:pPr>
              <w:pStyle w:val="116"/>
              <w:ind w:firstLine="22"/>
              <w:rPr>
                <w:rFonts w:cs="宋体"/>
                <w:color w:val="auto"/>
                <w:sz w:val="24"/>
                <w:highlight w:val="none"/>
              </w:rPr>
            </w:pPr>
            <w:r>
              <w:rPr>
                <w:rFonts w:hint="eastAsia" w:cs="宋体"/>
                <w:color w:val="auto"/>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rPr>
                <w:rFonts w:cs="宋体"/>
                <w:color w:val="auto"/>
                <w:highlight w:val="none"/>
              </w:rPr>
            </w:pPr>
            <w:r>
              <w:rPr>
                <w:rFonts w:hint="eastAsia" w:cs="宋体"/>
                <w:color w:val="auto"/>
                <w:highlight w:val="none"/>
              </w:rPr>
              <w:t>姓名</w:t>
            </w:r>
          </w:p>
        </w:tc>
        <w:tc>
          <w:tcPr>
            <w:tcW w:w="1848" w:type="dxa"/>
            <w:noWrap w:val="0"/>
            <w:vAlign w:val="center"/>
          </w:tcPr>
          <w:p>
            <w:pPr>
              <w:pStyle w:val="116"/>
              <w:ind w:firstLine="525"/>
              <w:rPr>
                <w:rFonts w:cs="宋体"/>
                <w:color w:val="auto"/>
                <w:highlight w:val="none"/>
              </w:rPr>
            </w:pPr>
            <w:r>
              <w:rPr>
                <w:rFonts w:hint="eastAsia" w:cs="宋体"/>
                <w:color w:val="auto"/>
                <w:highlight w:val="none"/>
              </w:rPr>
              <w:t>职务</w:t>
            </w:r>
          </w:p>
        </w:tc>
        <w:tc>
          <w:tcPr>
            <w:tcW w:w="1849" w:type="dxa"/>
            <w:noWrap w:val="0"/>
            <w:vAlign w:val="center"/>
          </w:tcPr>
          <w:p>
            <w:pPr>
              <w:pStyle w:val="116"/>
              <w:ind w:firstLine="19"/>
              <w:jc w:val="center"/>
              <w:rPr>
                <w:rFonts w:cs="宋体"/>
                <w:color w:val="auto"/>
                <w:highlight w:val="none"/>
              </w:rPr>
            </w:pPr>
            <w:r>
              <w:rPr>
                <w:rFonts w:hint="eastAsia" w:cs="宋体"/>
                <w:color w:val="auto"/>
                <w:highlight w:val="none"/>
              </w:rPr>
              <w:t>所承担工作</w:t>
            </w:r>
          </w:p>
        </w:tc>
        <w:tc>
          <w:tcPr>
            <w:tcW w:w="1849" w:type="dxa"/>
            <w:noWrap w:val="0"/>
            <w:vAlign w:val="center"/>
          </w:tcPr>
          <w:p>
            <w:pPr>
              <w:pStyle w:val="116"/>
              <w:ind w:firstLine="16"/>
              <w:jc w:val="center"/>
              <w:rPr>
                <w:rFonts w:cs="宋体"/>
                <w:color w:val="auto"/>
                <w:highlight w:val="none"/>
              </w:rPr>
            </w:pPr>
            <w:r>
              <w:rPr>
                <w:rFonts w:hint="eastAsia" w:cs="宋体"/>
                <w:color w:val="auto"/>
                <w:highlight w:val="none"/>
              </w:rPr>
              <w:t>身份证号码</w:t>
            </w:r>
          </w:p>
        </w:tc>
        <w:tc>
          <w:tcPr>
            <w:tcW w:w="1849" w:type="dxa"/>
            <w:noWrap w:val="0"/>
            <w:vAlign w:val="center"/>
          </w:tcPr>
          <w:p>
            <w:pPr>
              <w:pStyle w:val="116"/>
              <w:jc w:val="center"/>
              <w:rPr>
                <w:rFonts w:cs="宋体"/>
                <w:color w:val="auto"/>
                <w:highlight w:val="none"/>
              </w:rPr>
            </w:pPr>
            <w:r>
              <w:rPr>
                <w:rFonts w:hint="eastAsia" w:cs="宋体"/>
                <w:color w:val="auto"/>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jc w:val="center"/>
              <w:rPr>
                <w:rFonts w:cs="宋体"/>
                <w:color w:val="auto"/>
                <w:sz w:val="24"/>
                <w:highlight w:val="none"/>
              </w:rPr>
            </w:pPr>
          </w:p>
        </w:tc>
        <w:tc>
          <w:tcPr>
            <w:tcW w:w="1848"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jc w:val="center"/>
              <w:rPr>
                <w:rFonts w:cs="宋体"/>
                <w:color w:val="auto"/>
                <w:sz w:val="24"/>
                <w:highlight w:val="none"/>
              </w:rPr>
            </w:pPr>
          </w:p>
        </w:tc>
        <w:tc>
          <w:tcPr>
            <w:tcW w:w="1848"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jc w:val="center"/>
              <w:rPr>
                <w:rFonts w:cs="宋体"/>
                <w:color w:val="auto"/>
                <w:sz w:val="24"/>
                <w:highlight w:val="none"/>
              </w:rPr>
            </w:pPr>
          </w:p>
        </w:tc>
        <w:tc>
          <w:tcPr>
            <w:tcW w:w="1848"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jc w:val="center"/>
              <w:rPr>
                <w:rFonts w:cs="宋体"/>
                <w:color w:val="auto"/>
                <w:sz w:val="24"/>
                <w:highlight w:val="none"/>
              </w:rPr>
            </w:pPr>
          </w:p>
        </w:tc>
        <w:tc>
          <w:tcPr>
            <w:tcW w:w="1848"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jc w:val="center"/>
              <w:rPr>
                <w:rFonts w:cs="宋体"/>
                <w:color w:val="auto"/>
                <w:sz w:val="24"/>
                <w:highlight w:val="none"/>
              </w:rPr>
            </w:pPr>
          </w:p>
        </w:tc>
        <w:tc>
          <w:tcPr>
            <w:tcW w:w="1848"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pPr>
              <w:pStyle w:val="116"/>
              <w:ind w:firstLine="525"/>
              <w:jc w:val="center"/>
              <w:rPr>
                <w:rFonts w:cs="宋体"/>
                <w:color w:val="auto"/>
                <w:sz w:val="24"/>
                <w:highlight w:val="none"/>
              </w:rPr>
            </w:pPr>
          </w:p>
        </w:tc>
        <w:tc>
          <w:tcPr>
            <w:tcW w:w="1848"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c>
          <w:tcPr>
            <w:tcW w:w="1849" w:type="dxa"/>
            <w:noWrap w:val="0"/>
            <w:vAlign w:val="center"/>
          </w:tcPr>
          <w:p>
            <w:pPr>
              <w:pStyle w:val="116"/>
              <w:ind w:firstLine="525"/>
              <w:jc w:val="center"/>
              <w:rPr>
                <w:rFonts w:cs="宋体"/>
                <w:color w:val="auto"/>
                <w:sz w:val="24"/>
                <w:highlight w:val="none"/>
              </w:rPr>
            </w:pPr>
          </w:p>
        </w:tc>
      </w:tr>
    </w:tbl>
    <w:p>
      <w:pPr>
        <w:spacing w:line="360" w:lineRule="auto"/>
        <w:rPr>
          <w:rFonts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pPr>
        <w:pStyle w:val="8"/>
        <w:rPr>
          <w:rFonts w:ascii="宋体" w:hAnsi="宋体" w:cs="宋体"/>
          <w:color w:val="auto"/>
          <w:highlight w:val="none"/>
        </w:rPr>
      </w:pPr>
    </w:p>
    <w:p>
      <w:pPr>
        <w:spacing w:line="360" w:lineRule="auto"/>
        <w:rPr>
          <w:bCs/>
          <w:color w:val="auto"/>
          <w:szCs w:val="21"/>
          <w:highlight w:val="none"/>
        </w:rPr>
      </w:pPr>
      <w:r>
        <w:rPr>
          <w:bCs/>
          <w:color w:val="auto"/>
          <w:szCs w:val="21"/>
          <w:highlight w:val="none"/>
        </w:rPr>
        <w:br w:type="page"/>
      </w:r>
    </w:p>
    <w:p>
      <w:pPr>
        <w:rPr>
          <w:rFonts w:ascii="宋体" w:hAnsi="宋体" w:cs="宋体"/>
          <w:b/>
          <w:color w:val="auto"/>
          <w:sz w:val="24"/>
          <w:szCs w:val="24"/>
          <w:highlight w:val="none"/>
        </w:rPr>
      </w:pP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w:t>
      </w: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：拟投入施工项目管理团队人员信息表</w:t>
      </w:r>
    </w:p>
    <w:p>
      <w:pPr>
        <w:pStyle w:val="121"/>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拟投入施工项目管理团队人员信息表</w:t>
      </w:r>
    </w:p>
    <w:tbl>
      <w:tblPr>
        <w:tblStyle w:val="38"/>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5"/>
        <w:gridCol w:w="2391"/>
        <w:gridCol w:w="709"/>
        <w:gridCol w:w="1539"/>
        <w:gridCol w:w="567"/>
        <w:gridCol w:w="567"/>
        <w:gridCol w:w="709"/>
        <w:gridCol w:w="689"/>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序号</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spacing w:val="-6"/>
                <w:highlight w:val="none"/>
              </w:rPr>
              <w:t>姓名</w:t>
            </w:r>
          </w:p>
        </w:tc>
        <w:tc>
          <w:tcPr>
            <w:tcW w:w="2391"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岗位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职称</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职称证书或资格证书编号</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性别</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年龄</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专业</w:t>
            </w: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从事工程工作年限</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r>
              <w:rPr>
                <w:rFonts w:hint="eastAsia"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1</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eastAsia="宋体" w:cs="宋体"/>
                <w:color w:val="auto"/>
                <w:highlight w:val="none"/>
              </w:rPr>
            </w:pPr>
            <w:r>
              <w:rPr>
                <w:rFonts w:hint="eastAsia" w:ascii="宋体" w:hAnsi="宋体"/>
                <w:color w:val="auto"/>
                <w:szCs w:val="21"/>
                <w:highlight w:val="none"/>
              </w:rPr>
              <w:t>技术负责人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2</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eastAsia="宋体" w:cs="宋体"/>
                <w:color w:val="auto"/>
                <w:highlight w:val="none"/>
              </w:rPr>
            </w:pPr>
            <w:r>
              <w:rPr>
                <w:rFonts w:hint="eastAsia" w:ascii="宋体" w:hAnsi="宋体" w:eastAsia="宋体" w:cs="宋体"/>
                <w:kern w:val="0"/>
                <w:sz w:val="21"/>
                <w:szCs w:val="21"/>
                <w:highlight w:val="none"/>
                <w:lang w:val="en-US" w:eastAsia="zh-CN" w:bidi="ar"/>
              </w:rPr>
              <w:t>专职安全员</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3</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eastAsia="宋体" w:cs="宋体"/>
                <w:color w:val="auto"/>
                <w:highlight w:val="none"/>
              </w:rPr>
            </w:pPr>
            <w:r>
              <w:rPr>
                <w:rFonts w:hint="eastAsia" w:ascii="宋体" w:hAnsi="宋体"/>
                <w:color w:val="auto"/>
                <w:szCs w:val="21"/>
                <w:highlight w:val="none"/>
              </w:rPr>
              <w:t>质量负责人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4</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highlight w:val="none"/>
              </w:rPr>
            </w:pPr>
            <w:r>
              <w:rPr>
                <w:rFonts w:hint="eastAsia" w:ascii="宋体" w:hAnsi="宋体" w:cs="仿宋"/>
                <w:color w:val="auto"/>
                <w:kern w:val="0"/>
                <w:szCs w:val="21"/>
                <w:highlight w:val="none"/>
                <w:lang w:val="zh-TW" w:eastAsia="zh-TW" w:bidi="zh-TW"/>
              </w:rPr>
              <w:t>安全负责人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5</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eastAsia="宋体" w:cs="宋体"/>
                <w:color w:val="auto"/>
                <w:highlight w:val="none"/>
              </w:rPr>
            </w:pPr>
            <w:r>
              <w:rPr>
                <w:rFonts w:hint="eastAsia" w:ascii="宋体" w:hAnsi="宋体"/>
                <w:color w:val="auto"/>
                <w:szCs w:val="21"/>
                <w:highlight w:val="none"/>
                <w:lang w:val="zh-TW" w:eastAsia="zh-TW"/>
              </w:rPr>
              <w:t>造价负责人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6</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57" w:leftChars="-27" w:right="-46" w:rightChars="-22"/>
              <w:jc w:val="center"/>
              <w:rPr>
                <w:rFonts w:hint="eastAsia" w:ascii="宋体" w:hAnsi="宋体" w:eastAsia="宋体" w:cs="宋体"/>
                <w:color w:val="auto"/>
                <w:kern w:val="2"/>
                <w:sz w:val="21"/>
                <w:szCs w:val="22"/>
                <w:highlight w:val="none"/>
                <w:lang w:val="en-US" w:eastAsia="zh-CN" w:bidi="ar-SA"/>
              </w:rPr>
            </w:pPr>
            <w:r>
              <w:rPr>
                <w:rFonts w:hint="eastAsia" w:ascii="宋体" w:hAnsi="宋体"/>
                <w:bCs/>
                <w:color w:val="000000"/>
                <w:szCs w:val="21"/>
              </w:rPr>
              <w:t>专职安全员</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eastAsia="宋体" w:cs="宋体"/>
                <w:color w:val="auto"/>
                <w:highlight w:val="none"/>
                <w:lang w:eastAsia="zh-CN"/>
              </w:rPr>
            </w:pPr>
            <w:r>
              <w:rPr>
                <w:rFonts w:hint="eastAsia" w:cs="宋体"/>
                <w:color w:val="auto"/>
                <w:highlight w:val="none"/>
                <w:lang w:val="en-US" w:eastAsia="zh-CN"/>
              </w:rPr>
              <w:t>7</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23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57" w:leftChars="-27" w:right="-46" w:rightChars="-22"/>
              <w:jc w:val="center"/>
              <w:rPr>
                <w:rFonts w:hint="eastAsia" w:ascii="宋体" w:hAnsi="宋体" w:eastAsia="宋体" w:cs="宋体"/>
                <w:color w:val="auto"/>
                <w:kern w:val="2"/>
                <w:sz w:val="21"/>
                <w:szCs w:val="22"/>
                <w:highlight w:val="none"/>
                <w:lang w:val="en-US" w:eastAsia="zh-CN" w:bidi="ar-SA"/>
              </w:rPr>
            </w:pPr>
            <w:r>
              <w:rPr>
                <w:rFonts w:hint="eastAsia" w:ascii="宋体" w:hAnsi="宋体"/>
                <w:color w:val="000000"/>
                <w:szCs w:val="21"/>
              </w:rPr>
              <w:t>装饰专业工程师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cs="宋体"/>
                <w:color w:val="auto"/>
                <w:highlight w:val="none"/>
              </w:rPr>
            </w:pPr>
          </w:p>
        </w:tc>
      </w:tr>
    </w:tbl>
    <w:p>
      <w:pPr>
        <w:widowControl/>
        <w:shd w:val="clear" w:color="auto" w:fill="FFFFFF"/>
        <w:adjustRightInd w:val="0"/>
        <w:ind w:firstLine="422" w:firstLineChars="200"/>
        <w:jc w:val="left"/>
        <w:rPr>
          <w:rFonts w:ascii="宋体" w:hAnsi="宋体" w:cs="宋体"/>
          <w:color w:val="auto"/>
          <w:highlight w:val="none"/>
        </w:rPr>
      </w:pPr>
      <w:r>
        <w:rPr>
          <w:rFonts w:hint="eastAsia" w:ascii="宋体" w:hAnsi="宋体" w:cs="宋体"/>
          <w:b/>
          <w:color w:val="auto"/>
          <w:highlight w:val="none"/>
        </w:rPr>
        <w:t>备注：</w:t>
      </w:r>
      <w:r>
        <w:rPr>
          <w:rFonts w:hint="eastAsia" w:ascii="宋体" w:hAnsi="宋体" w:cs="宋体"/>
          <w:color w:val="auto"/>
          <w:highlight w:val="none"/>
        </w:rPr>
        <w:t>1、“岗位”要求（除项目负责人和专职安全员外）由招标人根据项目管理需要在本表备注中明确提出。以上项目管理团队人员信息将由交易系统提取后供各相关单位在履约时比对、查核。</w:t>
      </w:r>
    </w:p>
    <w:p>
      <w:pPr>
        <w:widowControl/>
        <w:shd w:val="clear" w:color="auto" w:fill="FFFFFF"/>
        <w:adjustRightInd w:val="0"/>
        <w:ind w:firstLine="420" w:firstLineChars="200"/>
        <w:jc w:val="left"/>
        <w:rPr>
          <w:rFonts w:ascii="宋体" w:hAnsi="宋体" w:cs="宋体"/>
          <w:color w:val="auto"/>
          <w:highlight w:val="none"/>
        </w:rPr>
      </w:pPr>
      <w:r>
        <w:rPr>
          <w:rFonts w:hint="eastAsia" w:ascii="宋体" w:hAnsi="宋体" w:cs="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hd w:val="clear" w:color="auto" w:fill="FFFFFF"/>
        <w:adjustRightInd w:val="0"/>
        <w:ind w:firstLine="420" w:firstLineChars="200"/>
        <w:jc w:val="left"/>
        <w:rPr>
          <w:rFonts w:ascii="宋体" w:hAnsi="宋体" w:cs="宋体"/>
          <w:color w:val="auto"/>
          <w:highlight w:val="none"/>
        </w:rPr>
      </w:pPr>
      <w:r>
        <w:rPr>
          <w:rFonts w:hint="eastAsia" w:ascii="宋体" w:hAnsi="宋体" w:cs="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shd w:val="clear" w:color="auto" w:fill="FFFFFF"/>
        <w:adjustRightInd w:val="0"/>
        <w:ind w:firstLine="420" w:firstLineChars="200"/>
        <w:jc w:val="left"/>
        <w:rPr>
          <w:rFonts w:hint="eastAsia" w:ascii="宋体" w:hAnsi="宋体" w:cs="宋体"/>
          <w:color w:val="auto"/>
          <w:highlight w:val="none"/>
        </w:rPr>
      </w:pPr>
      <w:r>
        <w:rPr>
          <w:rFonts w:hint="eastAsia" w:ascii="宋体" w:hAnsi="宋体" w:cs="宋体"/>
          <w:color w:val="auto"/>
          <w:highlight w:val="none"/>
        </w:rPr>
        <w:t>4、本表为项目管理团队人员的基本情况汇总，投标人可根据自身情况和招标文件要求配备专业技术管理人员，各岗位人员不得相互兼职。</w:t>
      </w:r>
    </w:p>
    <w:p>
      <w:pPr>
        <w:widowControl/>
        <w:shd w:val="clear" w:color="auto" w:fill="FFFFFF"/>
        <w:adjustRightInd w:val="0"/>
        <w:ind w:firstLine="420" w:firstLineChars="200"/>
        <w:jc w:val="left"/>
        <w:rPr>
          <w:rFonts w:ascii="宋体" w:hAnsi="宋体" w:cs="宋体"/>
          <w:color w:val="auto"/>
          <w:highlight w:val="none"/>
        </w:rPr>
      </w:pPr>
      <w:r>
        <w:rPr>
          <w:rFonts w:hint="eastAsia" w:ascii="宋体" w:hAnsi="宋体" w:cs="宋体"/>
          <w:color w:val="auto"/>
          <w:highlight w:val="none"/>
        </w:rPr>
        <w:t>5、本表项目管理团队人员需提供近一个月（202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2</w:t>
      </w:r>
      <w:r>
        <w:rPr>
          <w:rFonts w:hint="eastAsia" w:ascii="宋体" w:hAnsi="宋体" w:cs="宋体"/>
          <w:color w:val="auto"/>
          <w:highlight w:val="none"/>
        </w:rPr>
        <w:t>月）社保证明文件原件清晰扫描件（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将其行为纳入不诚信名单，招标人保留上报给行政主管部门的权力），并按招标公告及招标文件第二章附表四《技术标详细审查评分表》和附表四附件《投标人投入主要人员基本要求表》的评分要求提供相应证明材料，否则相应评分项不得分。所有证明材料要求为原件清晰扫描件。</w:t>
      </w:r>
    </w:p>
    <w:p>
      <w:pPr>
        <w:widowControl/>
        <w:shd w:val="clear" w:color="auto" w:fill="FFFFFF"/>
        <w:adjustRightInd w:val="0"/>
        <w:ind w:firstLine="420" w:firstLineChars="200"/>
        <w:jc w:val="left"/>
        <w:rPr>
          <w:rFonts w:ascii="宋体" w:hAnsi="宋体" w:cs="宋体"/>
          <w:color w:val="auto"/>
          <w:highlight w:val="none"/>
        </w:rPr>
      </w:pPr>
      <w:r>
        <w:rPr>
          <w:rFonts w:hint="eastAsia" w:ascii="宋体" w:hAnsi="宋体" w:cs="宋体"/>
          <w:color w:val="auto"/>
          <w:highlight w:val="none"/>
        </w:rPr>
        <w:t>6、人员仅指投标人（不含子公司）自身人员。</w:t>
      </w:r>
    </w:p>
    <w:p>
      <w:pPr>
        <w:widowControl/>
        <w:shd w:val="clear" w:color="auto" w:fill="FFFFFF"/>
        <w:adjustRightInd w:val="0"/>
        <w:ind w:firstLine="420" w:firstLineChars="200"/>
        <w:jc w:val="left"/>
        <w:rPr>
          <w:rFonts w:ascii="宋体" w:hAnsi="宋体" w:cs="宋体"/>
          <w:color w:val="auto"/>
          <w:highlight w:val="none"/>
        </w:rPr>
      </w:pPr>
      <w:r>
        <w:rPr>
          <w:rFonts w:hint="eastAsia" w:ascii="宋体" w:hAnsi="宋体" w:cs="宋体"/>
          <w:color w:val="auto"/>
          <w:highlight w:val="none"/>
        </w:rPr>
        <w:t>7、拟投入的项目管理团队人员，未经招标人同意，中标后不得更换，否则按合同约定承担违约责任。</w:t>
      </w:r>
    </w:p>
    <w:p>
      <w:pPr>
        <w:pStyle w:val="78"/>
        <w:ind w:firstLine="3596" w:firstLineChars="1450"/>
        <w:rPr>
          <w:rFonts w:ascii="宋体" w:hAnsi="宋体" w:cs="宋体"/>
          <w:color w:val="auto"/>
          <w:highlight w:val="none"/>
        </w:rPr>
      </w:pPr>
    </w:p>
    <w:p>
      <w:pPr>
        <w:pStyle w:val="78"/>
        <w:ind w:firstLine="3596" w:firstLineChars="1450"/>
        <w:rPr>
          <w:rFonts w:ascii="宋体" w:hAnsi="宋体" w:cs="宋体"/>
          <w:color w:val="auto"/>
          <w:highlight w:val="none"/>
        </w:rPr>
      </w:pPr>
      <w:r>
        <w:rPr>
          <w:rFonts w:hint="eastAsia" w:ascii="宋体" w:hAnsi="宋体" w:cs="宋体"/>
          <w:color w:val="auto"/>
          <w:highlight w:val="none"/>
        </w:rPr>
        <w:t>投标人：　　（盖章）</w:t>
      </w:r>
    </w:p>
    <w:p>
      <w:pPr>
        <w:pStyle w:val="78"/>
        <w:ind w:firstLine="3596" w:firstLineChars="1450"/>
        <w:rPr>
          <w:rFonts w:ascii="宋体" w:hAnsi="宋体" w:cs="宋体"/>
          <w:color w:val="auto"/>
          <w:highlight w:val="none"/>
        </w:rPr>
      </w:pPr>
      <w:r>
        <w:rPr>
          <w:rFonts w:hint="eastAsia" w:ascii="宋体" w:hAnsi="宋体" w:cs="宋体"/>
          <w:color w:val="auto"/>
          <w:highlight w:val="none"/>
        </w:rPr>
        <w:t>法定代表人或授权代理人(签字或盖章)：</w:t>
      </w:r>
    </w:p>
    <w:p>
      <w:pPr>
        <w:ind w:firstLine="3600" w:firstLineChars="1500"/>
        <w:rPr>
          <w:rFonts w:ascii="宋体" w:hAnsi="宋体" w:cs="宋体"/>
          <w:color w:val="auto"/>
          <w:sz w:val="24"/>
          <w:highlight w:val="none"/>
        </w:rPr>
      </w:pPr>
      <w:r>
        <w:rPr>
          <w:rFonts w:hint="eastAsia" w:ascii="宋体" w:hAnsi="宋体" w:cs="宋体"/>
          <w:color w:val="auto"/>
          <w:sz w:val="24"/>
          <w:highlight w:val="none"/>
        </w:rPr>
        <w:t>日   期：    年    月    日</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widowControl/>
        <w:jc w:val="left"/>
        <w:rPr>
          <w:rFonts w:ascii="宋体" w:hAnsi="宋体" w:cs="宋体"/>
          <w:b/>
          <w:bCs w:val="0"/>
          <w:color w:val="auto"/>
          <w:sz w:val="24"/>
          <w:szCs w:val="24"/>
          <w:highlight w:val="none"/>
        </w:rPr>
      </w:pPr>
      <w:r>
        <w:rPr>
          <w:rFonts w:hint="eastAsia" w:ascii="宋体" w:hAnsi="宋体" w:cs="宋体"/>
          <w:color w:val="auto"/>
          <w:sz w:val="24"/>
          <w:highlight w:val="none"/>
        </w:rPr>
        <w:t>★</w:t>
      </w:r>
      <w:r>
        <w:rPr>
          <w:rFonts w:hint="eastAsia" w:ascii="宋体" w:hAnsi="宋体" w:cs="宋体"/>
          <w:b/>
          <w:bCs w:val="0"/>
          <w:color w:val="auto"/>
          <w:sz w:val="24"/>
          <w:szCs w:val="24"/>
          <w:highlight w:val="none"/>
        </w:rPr>
        <w:t>技术部分格式</w:t>
      </w:r>
      <w:r>
        <w:rPr>
          <w:rFonts w:hint="eastAsia" w:ascii="宋体" w:hAnsi="宋体" w:cs="宋体"/>
          <w:b/>
          <w:bCs w:val="0"/>
          <w:color w:val="auto"/>
          <w:sz w:val="24"/>
          <w:szCs w:val="24"/>
          <w:highlight w:val="none"/>
          <w:lang w:val="en-US" w:eastAsia="zh-CN"/>
        </w:rPr>
        <w:t>9</w:t>
      </w:r>
      <w:r>
        <w:rPr>
          <w:rFonts w:hint="eastAsia" w:ascii="宋体" w:hAnsi="宋体" w:cs="宋体"/>
          <w:b/>
          <w:bCs w:val="0"/>
          <w:color w:val="auto"/>
          <w:sz w:val="24"/>
          <w:szCs w:val="24"/>
          <w:highlight w:val="none"/>
        </w:rPr>
        <w:t>：</w:t>
      </w:r>
    </w:p>
    <w:p>
      <w:pPr>
        <w:pStyle w:val="8"/>
        <w:rPr>
          <w:rFonts w:hint="eastAsia" w:ascii="宋体" w:hAnsi="宋体" w:cs="宋体"/>
          <w:color w:val="auto"/>
          <w:highlight w:val="none"/>
        </w:rPr>
      </w:pPr>
      <w:bookmarkStart w:id="26" w:name="_Toc239311752"/>
      <w:bookmarkStart w:id="27" w:name="_Toc352240529"/>
      <w:bookmarkStart w:id="28" w:name="_Toc464131230"/>
      <w:bookmarkStart w:id="29" w:name="_Toc318924501"/>
      <w:bookmarkStart w:id="30" w:name="_Toc369536776"/>
      <w:bookmarkStart w:id="31" w:name="_Toc337720097"/>
      <w:bookmarkStart w:id="32" w:name="_Toc352623427"/>
      <w:bookmarkStart w:id="33" w:name="_Toc515454599"/>
      <w:bookmarkStart w:id="34" w:name="_Toc395261105"/>
      <w:bookmarkStart w:id="35" w:name="_Toc11987"/>
      <w:bookmarkStart w:id="36" w:name="_Toc239216037"/>
      <w:bookmarkStart w:id="37" w:name="_Toc23443"/>
      <w:bookmarkStart w:id="38" w:name="_Toc163337626"/>
      <w:bookmarkStart w:id="39" w:name="_Toc358370584"/>
      <w:bookmarkStart w:id="40" w:name="_Toc226209009"/>
      <w:bookmarkStart w:id="41" w:name="_Toc449308426"/>
    </w:p>
    <w:p>
      <w:pPr>
        <w:pStyle w:val="8"/>
        <w:rPr>
          <w:rFonts w:hint="eastAsia" w:ascii="宋体" w:hAnsi="宋体" w:cs="宋体"/>
          <w:color w:val="auto"/>
          <w:highlight w:val="none"/>
        </w:rPr>
      </w:pPr>
    </w:p>
    <w:p>
      <w:pPr>
        <w:autoSpaceDE w:val="0"/>
        <w:autoSpaceDN w:val="0"/>
        <w:adjustRightInd w:val="0"/>
        <w:snapToGrid w:val="0"/>
        <w:spacing w:line="48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技术负责人（或其他项目管理机构人员）基本情况表</w:t>
      </w:r>
    </w:p>
    <w:tbl>
      <w:tblPr>
        <w:tblStyle w:val="38"/>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2036"/>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从业简历</w:t>
            </w: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tc>
      </w:tr>
    </w:tbl>
    <w:p>
      <w:pPr>
        <w:autoSpaceDE w:val="0"/>
        <w:autoSpaceDN w:val="0"/>
        <w:adjustRightInd w:val="0"/>
        <w:ind w:firstLine="360" w:firstLineChars="150"/>
        <w:rPr>
          <w:rFonts w:hint="eastAsia" w:ascii="宋体" w:hAnsi="宋体" w:cs="宋体"/>
          <w:color w:val="auto"/>
          <w:sz w:val="24"/>
          <w:highlight w:val="none"/>
        </w:rPr>
      </w:pPr>
    </w:p>
    <w:p>
      <w:pPr>
        <w:autoSpaceDE w:val="0"/>
        <w:autoSpaceDN w:val="0"/>
        <w:adjustRightInd w:val="0"/>
        <w:ind w:firstLine="360" w:firstLineChars="150"/>
        <w:rPr>
          <w:rFonts w:hint="eastAsia" w:ascii="宋体" w:hAnsi="宋体" w:cs="宋体"/>
          <w:color w:val="auto"/>
          <w:sz w:val="24"/>
          <w:highlight w:val="none"/>
        </w:rPr>
      </w:pPr>
    </w:p>
    <w:p>
      <w:pPr>
        <w:autoSpaceDE w:val="0"/>
        <w:autoSpaceDN w:val="0"/>
        <w:adjustRightInd w:val="0"/>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本人承诺以上填写内容真实有效。我知道隐瞒有关真实情况和填报虚假信息是严重的违法行为，以上关于我本人的基本信息如有虚假，本人愿接受招标监管主管部门或其他有关部门依法给予的行政处罚并纳入个人诚信记录，除身份证号外，本人同意上述内容在评标后全部公开。</w:t>
      </w:r>
    </w:p>
    <w:p>
      <w:pPr>
        <w:wordWrap w:val="0"/>
        <w:autoSpaceDE w:val="0"/>
        <w:autoSpaceDN w:val="0"/>
        <w:adjustRightInd w:val="0"/>
        <w:ind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rPr>
        <w:t xml:space="preserve">本人签字：      </w:t>
      </w:r>
    </w:p>
    <w:p>
      <w:pPr>
        <w:autoSpaceDE w:val="0"/>
        <w:autoSpaceDN w:val="0"/>
        <w:adjustRightInd w:val="0"/>
        <w:ind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wordWrap w:val="0"/>
        <w:jc w:val="right"/>
        <w:rPr>
          <w:rFonts w:hint="eastAsia" w:ascii="宋体" w:hAnsi="宋体" w:cs="宋体"/>
          <w:color w:val="auto"/>
          <w:sz w:val="24"/>
          <w:highlight w:val="none"/>
        </w:rPr>
      </w:pPr>
      <w:r>
        <w:rPr>
          <w:rFonts w:hint="eastAsia" w:ascii="宋体" w:hAnsi="宋体" w:cs="宋体"/>
          <w:color w:val="auto"/>
          <w:sz w:val="24"/>
          <w:highlight w:val="none"/>
        </w:rPr>
        <w:t>单位盖章或电子印章</w:t>
      </w:r>
    </w:p>
    <w:p>
      <w:pPr>
        <w:spacing w:line="320" w:lineRule="exact"/>
        <w:jc w:val="right"/>
        <w:rPr>
          <w:rFonts w:hint="eastAsia" w:ascii="宋体" w:hAnsi="宋体" w:cs="宋体"/>
          <w:color w:val="auto"/>
          <w:szCs w:val="21"/>
          <w:highlight w:val="none"/>
        </w:rPr>
      </w:pPr>
      <w:r>
        <w:rPr>
          <w:rFonts w:hint="eastAsia" w:ascii="宋体" w:hAnsi="宋体" w:cs="宋体"/>
          <w:color w:val="auto"/>
          <w:sz w:val="24"/>
          <w:highlight w:val="none"/>
        </w:rPr>
        <w:t>年  月  日</w:t>
      </w:r>
    </w:p>
    <w:p>
      <w:pPr>
        <w:pStyle w:val="8"/>
        <w:rPr>
          <w:rFonts w:hint="eastAsia" w:ascii="宋体" w:hAnsi="宋体" w:cs="宋体"/>
          <w:color w:val="auto"/>
          <w:highlight w:val="none"/>
        </w:rPr>
      </w:pP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topLinePunct/>
        <w:adjustRightInd w:val="0"/>
        <w:snapToGrid w:val="0"/>
        <w:spacing w:line="360" w:lineRule="auto"/>
        <w:ind w:firstLine="168" w:firstLineChars="80"/>
        <w:rPr>
          <w:rFonts w:ascii="宋体" w:hAnsi="宋体" w:cs="宋体"/>
          <w:color w:val="auto"/>
          <w:szCs w:val="21"/>
          <w:highlight w:val="none"/>
        </w:rPr>
      </w:pPr>
      <w:r>
        <w:rPr>
          <w:rFonts w:hint="eastAsia" w:ascii="宋体" w:hAnsi="宋体" w:cs="宋体"/>
          <w:color w:val="auto"/>
          <w:szCs w:val="21"/>
          <w:highlight w:val="none"/>
        </w:rPr>
        <w:br w:type="page"/>
      </w:r>
    </w:p>
    <w:p>
      <w:pPr>
        <w:rPr>
          <w:rFonts w:ascii="宋体" w:hAnsi="宋体" w:cs="宋体"/>
          <w:b/>
          <w:color w:val="auto"/>
          <w:sz w:val="24"/>
          <w:szCs w:val="24"/>
          <w:highlight w:val="none"/>
        </w:rPr>
      </w:pPr>
      <w:r>
        <w:rPr>
          <w:rFonts w:hint="eastAsia" w:ascii="宋体" w:hAnsi="宋体" w:cs="宋体"/>
          <w:color w:val="auto"/>
          <w:sz w:val="24"/>
          <w:highlight w:val="none"/>
        </w:rPr>
        <w:t>★</w:t>
      </w:r>
      <w:r>
        <w:rPr>
          <w:rFonts w:hint="eastAsia" w:ascii="宋体" w:hAnsi="宋体" w:cs="宋体"/>
          <w:b/>
          <w:bCs w:val="0"/>
          <w:color w:val="auto"/>
          <w:sz w:val="24"/>
          <w:szCs w:val="24"/>
          <w:highlight w:val="none"/>
        </w:rPr>
        <w:t>技术部分格式</w:t>
      </w:r>
      <w:r>
        <w:rPr>
          <w:rFonts w:hint="eastAsia" w:ascii="宋体" w:hAnsi="宋体" w:cs="宋体"/>
          <w:b/>
          <w:bCs w:val="0"/>
          <w:color w:val="auto"/>
          <w:sz w:val="24"/>
          <w:szCs w:val="24"/>
          <w:highlight w:val="none"/>
          <w:lang w:val="en-US" w:eastAsia="zh-CN"/>
        </w:rPr>
        <w:t>10</w:t>
      </w:r>
      <w:r>
        <w:rPr>
          <w:rFonts w:hint="eastAsia" w:ascii="宋体" w:hAnsi="宋体" w:cs="宋体"/>
          <w:b/>
          <w:bCs/>
          <w:color w:val="auto"/>
          <w:sz w:val="24"/>
          <w:szCs w:val="24"/>
          <w:highlight w:val="none"/>
        </w:rPr>
        <w:t>：</w:t>
      </w:r>
    </w:p>
    <w:p>
      <w:pPr>
        <w:pStyle w:val="121"/>
        <w:spacing w:before="100" w:beforeAutospacing="1" w:after="100" w:afterAutospacing="1"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w:t>
      </w:r>
    </w:p>
    <w:p>
      <w:pPr>
        <w:pStyle w:val="121"/>
        <w:spacing w:before="100" w:beforeAutospacing="1" w:after="100" w:afterAutospacing="1"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超过一定规模的危险性较大的分部分项工程清单</w:t>
      </w:r>
    </w:p>
    <w:p>
      <w:pPr>
        <w:widowControl/>
        <w:numPr>
          <w:ilvl w:val="0"/>
          <w:numId w:val="4"/>
        </w:numPr>
        <w:autoSpaceDE w:val="0"/>
        <w:autoSpaceDN w:val="0"/>
        <w:adjustRightIn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pPr>
        <w:widowControl/>
        <w:numPr>
          <w:ilvl w:val="0"/>
          <w:numId w:val="5"/>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pPr>
        <w:widowControl/>
        <w:numPr>
          <w:ilvl w:val="0"/>
          <w:numId w:val="5"/>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pPr>
        <w:widowControl/>
        <w:numPr>
          <w:ilvl w:val="0"/>
          <w:numId w:val="5"/>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pPr>
        <w:widowControl/>
        <w:autoSpaceDE w:val="0"/>
        <w:autoSpaceDN w:val="0"/>
        <w:adjustRightInd w:val="0"/>
        <w:spacing w:line="360" w:lineRule="auto"/>
        <w:jc w:val="left"/>
        <w:rPr>
          <w:rFonts w:ascii="宋体" w:hAnsi="宋体" w:cs="宋体"/>
          <w:color w:val="auto"/>
          <w:kern w:val="0"/>
          <w:sz w:val="24"/>
          <w:szCs w:val="28"/>
          <w:highlight w:val="none"/>
        </w:rPr>
        <w:sectPr>
          <w:pgSz w:w="11907" w:h="16840"/>
          <w:pgMar w:top="1440" w:right="1797" w:bottom="1440" w:left="1797" w:header="720" w:footer="720" w:gutter="0"/>
          <w:cols w:space="720" w:num="1"/>
        </w:sect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spacing w:line="36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bl>
    <w:p>
      <w:pPr>
        <w:rPr>
          <w:rFonts w:ascii="宋体" w:hAnsi="宋体" w:cs="宋体"/>
          <w:color w:val="auto"/>
          <w:highlight w:val="none"/>
        </w:rPr>
      </w:pPr>
    </w:p>
    <w:p>
      <w:pPr>
        <w:widowControl/>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pPr>
        <w:pStyle w:val="78"/>
        <w:ind w:right="2480" w:firstLine="3543" w:firstLineChars="1429"/>
        <w:jc w:val="left"/>
        <w:rPr>
          <w:rFonts w:ascii="宋体" w:hAnsi="宋体" w:cs="宋体"/>
          <w:color w:val="auto"/>
          <w:szCs w:val="20"/>
          <w:highlight w:val="none"/>
        </w:rPr>
      </w:pPr>
      <w:r>
        <w:rPr>
          <w:rFonts w:hint="eastAsia" w:ascii="宋体" w:hAnsi="宋体" w:cs="宋体"/>
          <w:color w:val="auto"/>
          <w:szCs w:val="20"/>
          <w:highlight w:val="none"/>
        </w:rPr>
        <w:t>投标人：　　（盖章）</w:t>
      </w:r>
    </w:p>
    <w:p>
      <w:pPr>
        <w:pStyle w:val="78"/>
        <w:ind w:right="248" w:firstLine="3543" w:firstLineChars="1429"/>
        <w:jc w:val="left"/>
        <w:rPr>
          <w:rFonts w:ascii="宋体" w:hAnsi="宋体" w:cs="宋体"/>
          <w:color w:val="auto"/>
          <w:szCs w:val="20"/>
          <w:highlight w:val="none"/>
        </w:rPr>
      </w:pPr>
      <w:r>
        <w:rPr>
          <w:rFonts w:hint="eastAsia" w:ascii="宋体" w:hAnsi="宋体" w:cs="宋体"/>
          <w:color w:val="auto"/>
          <w:szCs w:val="20"/>
          <w:highlight w:val="none"/>
        </w:rPr>
        <w:t>法定代表人或授权代理人(签字或盖章)：</w:t>
      </w:r>
    </w:p>
    <w:p>
      <w:pPr>
        <w:pStyle w:val="78"/>
        <w:ind w:right="992" w:firstLine="3543" w:firstLineChars="1429"/>
        <w:rPr>
          <w:rFonts w:ascii="宋体" w:hAnsi="宋体" w:cs="宋体"/>
          <w:color w:val="auto"/>
          <w:szCs w:val="20"/>
          <w:highlight w:val="none"/>
        </w:rPr>
      </w:pPr>
      <w:r>
        <w:rPr>
          <w:rFonts w:hint="eastAsia" w:ascii="宋体" w:hAnsi="宋体" w:cs="宋体"/>
          <w:color w:val="auto"/>
          <w:szCs w:val="20"/>
          <w:highlight w:val="none"/>
        </w:rPr>
        <w:t>日期：　　　年　　月　　日</w:t>
      </w:r>
    </w:p>
    <w:p>
      <w:pPr>
        <w:pStyle w:val="78"/>
        <w:ind w:right="992" w:firstLine="3543" w:firstLineChars="1429"/>
        <w:rPr>
          <w:rFonts w:ascii="宋体" w:hAnsi="宋体" w:cs="宋体"/>
          <w:color w:val="auto"/>
          <w:szCs w:val="20"/>
          <w:highlight w:val="none"/>
        </w:rPr>
      </w:pPr>
    </w:p>
    <w:p>
      <w:pPr>
        <w:pStyle w:val="78"/>
        <w:ind w:right="992" w:firstLine="3543" w:firstLineChars="1429"/>
        <w:rPr>
          <w:rFonts w:ascii="宋体" w:hAnsi="宋体" w:cs="宋体"/>
          <w:color w:val="auto"/>
          <w:szCs w:val="20"/>
          <w:highlight w:val="none"/>
        </w:rPr>
      </w:pPr>
    </w:p>
    <w:p>
      <w:pPr>
        <w:pStyle w:val="78"/>
        <w:ind w:right="992" w:firstLine="3543" w:firstLineChars="1429"/>
        <w:rPr>
          <w:rFonts w:ascii="宋体" w:hAnsi="宋体" w:cs="宋体"/>
          <w:color w:val="auto"/>
          <w:szCs w:val="20"/>
          <w:highlight w:val="none"/>
        </w:rPr>
      </w:pPr>
    </w:p>
    <w:p>
      <w:pPr>
        <w:pStyle w:val="78"/>
        <w:ind w:right="992" w:firstLine="3543" w:firstLineChars="1429"/>
        <w:rPr>
          <w:rFonts w:ascii="宋体" w:hAnsi="宋体" w:cs="宋体"/>
          <w:color w:val="auto"/>
          <w:szCs w:val="20"/>
          <w:highlight w:val="none"/>
        </w:rPr>
      </w:pPr>
    </w:p>
    <w:p>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pPr>
        <w:pStyle w:val="78"/>
        <w:ind w:firstLine="899"/>
        <w:rPr>
          <w:rFonts w:ascii="宋体" w:hAnsi="宋体" w:cs="宋体"/>
          <w:b/>
          <w:bCs/>
          <w:color w:val="auto"/>
          <w:sz w:val="44"/>
          <w:szCs w:val="44"/>
          <w:highlight w:val="none"/>
        </w:rPr>
      </w:pPr>
    </w:p>
    <w:p>
      <w:pPr>
        <w:pStyle w:val="78"/>
        <w:ind w:firstLine="899"/>
        <w:rPr>
          <w:rFonts w:ascii="宋体" w:hAnsi="宋体" w:cs="宋体"/>
          <w:b/>
          <w:bCs/>
          <w:color w:val="auto"/>
          <w:sz w:val="44"/>
          <w:szCs w:val="44"/>
          <w:highlight w:val="none"/>
        </w:rPr>
      </w:pPr>
    </w:p>
    <w:p>
      <w:pPr>
        <w:rPr>
          <w:rFonts w:ascii="宋体" w:hAnsi="宋体" w:cs="宋体"/>
          <w:b/>
          <w:color w:val="auto"/>
          <w:sz w:val="24"/>
          <w:szCs w:val="24"/>
          <w:highlight w:val="none"/>
        </w:rPr>
      </w:pPr>
      <w:r>
        <w:rPr>
          <w:rFonts w:hint="eastAsia" w:ascii="宋体" w:hAnsi="宋体" w:cs="宋体"/>
          <w:b/>
          <w:bCs/>
          <w:color w:val="auto"/>
          <w:sz w:val="44"/>
          <w:szCs w:val="44"/>
          <w:highlight w:val="none"/>
        </w:rPr>
        <w:t>第二部分  投标文件经济标部分（部分格式）</w:t>
      </w:r>
      <w:r>
        <w:rPr>
          <w:rFonts w:hint="eastAsia" w:ascii="宋体" w:hAnsi="宋体" w:cs="宋体"/>
          <w:b/>
          <w:color w:val="auto"/>
          <w:highlight w:val="none"/>
        </w:rPr>
        <w:br w:type="page"/>
      </w:r>
      <w:r>
        <w:rPr>
          <w:rFonts w:hint="eastAsia" w:ascii="宋体" w:hAnsi="宋体" w:cs="宋体"/>
          <w:b/>
          <w:color w:val="auto"/>
          <w:sz w:val="24"/>
          <w:szCs w:val="24"/>
          <w:highlight w:val="none"/>
        </w:rPr>
        <w:t>经济部分格式1：经济标封面</w:t>
      </w: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133"/>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134"/>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33"/>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第二册 经济标</w:t>
      </w:r>
      <w:r>
        <w:rPr>
          <w:rFonts w:hint="eastAsia" w:ascii="宋体" w:hAnsi="宋体" w:eastAsia="宋体" w:cs="宋体"/>
          <w:b w:val="0"/>
          <w:color w:val="auto"/>
          <w:highlight w:val="none"/>
          <w:lang w:val="en-US" w:eastAsia="zh-CN"/>
        </w:rPr>
        <w:t>书</w:t>
      </w:r>
    </w:p>
    <w:p>
      <w:pPr>
        <w:pStyle w:val="78"/>
        <w:ind w:firstLine="496"/>
        <w:rPr>
          <w:rFonts w:ascii="宋体" w:hAnsi="宋体" w:cs="宋体"/>
          <w:color w:val="auto"/>
          <w:highlight w:val="none"/>
        </w:rPr>
      </w:pPr>
      <w:r>
        <w:rPr>
          <w:rFonts w:hint="eastAsia" w:ascii="宋体" w:hAnsi="宋体" w:cs="宋体"/>
          <w:color w:val="auto"/>
          <w:highlight w:val="none"/>
        </w:rPr>
        <w:t xml:space="preserve">   </w:t>
      </w: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78"/>
        <w:ind w:firstLine="496"/>
        <w:rPr>
          <w:rFonts w:ascii="宋体" w:hAnsi="宋体" w:cs="宋体"/>
          <w:color w:val="auto"/>
          <w:highlight w:val="none"/>
        </w:rPr>
      </w:pPr>
    </w:p>
    <w:p>
      <w:pPr>
        <w:pStyle w:val="135"/>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（填写投标人单位名称）       （盖章）</w:t>
      </w:r>
    </w:p>
    <w:p>
      <w:pPr>
        <w:pStyle w:val="135"/>
        <w:ind w:firstLine="616"/>
        <w:rPr>
          <w:rFonts w:ascii="宋体" w:hAnsi="宋体" w:cs="宋体"/>
          <w:color w:val="auto"/>
          <w:highlight w:val="none"/>
        </w:rPr>
      </w:pPr>
    </w:p>
    <w:p>
      <w:pPr>
        <w:pStyle w:val="135"/>
        <w:ind w:firstLine="616"/>
        <w:rPr>
          <w:rFonts w:ascii="宋体" w:hAnsi="宋体" w:cs="宋体"/>
          <w:color w:val="auto"/>
          <w:highlight w:val="none"/>
        </w:rPr>
      </w:pPr>
      <w:r>
        <w:rPr>
          <w:rFonts w:hint="eastAsia" w:ascii="宋体" w:hAnsi="宋体" w:cs="宋体"/>
          <w:color w:val="auto"/>
          <w:highlight w:val="none"/>
        </w:rPr>
        <w:t>法定代表人或</w:t>
      </w:r>
    </w:p>
    <w:p>
      <w:pPr>
        <w:pStyle w:val="135"/>
        <w:ind w:firstLine="616"/>
        <w:rPr>
          <w:rFonts w:ascii="宋体" w:hAnsi="宋体" w:cs="宋体"/>
          <w:color w:val="auto"/>
          <w:highlight w:val="none"/>
        </w:rPr>
      </w:pPr>
      <w:r>
        <w:rPr>
          <w:rFonts w:hint="eastAsia" w:ascii="宋体" w:hAnsi="宋体" w:cs="宋体"/>
          <w:color w:val="auto"/>
          <w:highlight w:val="none"/>
        </w:rPr>
        <w:t>其委托代理人：</w:t>
      </w:r>
      <w:r>
        <w:rPr>
          <w:rFonts w:hint="eastAsia" w:ascii="宋体" w:hAnsi="宋体" w:cs="宋体"/>
          <w:color w:val="auto"/>
          <w:highlight w:val="none"/>
          <w:u w:val="single"/>
        </w:rPr>
        <w:t xml:space="preserve">                        （签字或盖章）</w:t>
      </w:r>
    </w:p>
    <w:p>
      <w:pPr>
        <w:pStyle w:val="135"/>
        <w:ind w:firstLine="616"/>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一、广州建设工程施工招标投标书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pPr>
        <w:pStyle w:val="2"/>
        <w:rPr>
          <w:rFonts w:hint="eastAsia" w:eastAsia="宋体"/>
          <w:color w:val="auto"/>
          <w:highlight w:val="none"/>
          <w:lang w:eastAsia="zh-CN"/>
        </w:rPr>
      </w:pPr>
      <w:r>
        <w:rPr>
          <w:rFonts w:hint="eastAsia" w:hAnsi="宋体" w:cs="宋体"/>
          <w:color w:val="auto"/>
          <w:sz w:val="24"/>
          <w:szCs w:val="24"/>
          <w:highlight w:val="none"/>
          <w:lang w:eastAsia="zh-CN"/>
        </w:rPr>
        <w:t>五、</w:t>
      </w:r>
      <w:r>
        <w:rPr>
          <w:rFonts w:hint="eastAsia" w:ascii="宋体" w:hAnsi="宋体" w:eastAsia="宋体" w:cs="宋体"/>
          <w:color w:val="auto"/>
          <w:kern w:val="2"/>
          <w:sz w:val="24"/>
          <w:szCs w:val="24"/>
          <w:highlight w:val="none"/>
          <w:lang w:val="en-US" w:eastAsia="zh-CN" w:bidi="ar-SA"/>
        </w:rPr>
        <w:t>其他投标人认为须提交的资料</w:t>
      </w:r>
    </w:p>
    <w:p>
      <w:pPr>
        <w:rPr>
          <w:rFonts w:hint="eastAsia"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autoSpaceDE w:val="0"/>
        <w:autoSpaceDN w:val="0"/>
        <w:adjustRightInd w:val="0"/>
        <w:ind w:left="-540" w:leftChars="-257" w:firstLine="619" w:firstLineChars="257"/>
        <w:jc w:val="left"/>
        <w:rPr>
          <w:rFonts w:ascii="宋体" w:hAnsi="宋体" w:cs="宋体"/>
          <w:b/>
          <w:bCs/>
          <w:color w:val="auto"/>
          <w:sz w:val="24"/>
          <w:szCs w:val="24"/>
          <w:highlight w:val="none"/>
          <w:lang w:val="zh-CN"/>
        </w:rPr>
      </w:pP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经济部分格式2：广州建设工程施工招标投标书</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bl>
    <w:p>
      <w:pPr>
        <w:rPr>
          <w:rFonts w:ascii="宋体" w:hAnsi="宋体" w:cs="宋体"/>
          <w:color w:val="auto"/>
          <w:highlight w:val="none"/>
        </w:rPr>
      </w:pPr>
    </w:p>
    <w:p>
      <w:pPr>
        <w:pStyle w:val="37"/>
        <w:ind w:left="420" w:firstLine="420"/>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rPr>
          <w:rFonts w:ascii="宋体" w:hAnsi="宋体" w:cs="宋体"/>
          <w:b/>
          <w:bCs w:val="0"/>
          <w:color w:val="auto"/>
          <w:sz w:val="24"/>
          <w:szCs w:val="24"/>
          <w:highlight w:val="none"/>
        </w:rPr>
      </w:pPr>
      <w:r>
        <w:rPr>
          <w:rFonts w:hint="eastAsia" w:ascii="宋体" w:hAnsi="宋体" w:cs="宋体"/>
          <w:b/>
          <w:bCs w:val="0"/>
          <w:color w:val="auto"/>
          <w:sz w:val="24"/>
          <w:szCs w:val="24"/>
          <w:highlight w:val="none"/>
        </w:rPr>
        <w:t>经济部分格式</w:t>
      </w:r>
      <w:r>
        <w:rPr>
          <w:rFonts w:hint="eastAsia" w:ascii="宋体" w:hAnsi="宋体" w:cs="宋体"/>
          <w:b/>
          <w:bCs w:val="0"/>
          <w:color w:val="auto"/>
          <w:sz w:val="24"/>
          <w:szCs w:val="24"/>
          <w:highlight w:val="none"/>
          <w:lang w:val="en-US" w:eastAsia="zh-CN"/>
        </w:rPr>
        <w:t>3</w:t>
      </w:r>
      <w:r>
        <w:rPr>
          <w:rFonts w:hint="eastAsia" w:ascii="宋体" w:hAnsi="宋体" w:cs="宋体"/>
          <w:b/>
          <w:bCs w:val="0"/>
          <w:color w:val="auto"/>
          <w:sz w:val="24"/>
          <w:szCs w:val="24"/>
          <w:highlight w:val="none"/>
        </w:rPr>
        <w:t>：工程量清单计价表</w:t>
      </w:r>
    </w:p>
    <w:p>
      <w:pPr>
        <w:pStyle w:val="121"/>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pPr>
        <w:pStyle w:val="78"/>
        <w:ind w:firstLine="0" w:firstLineChars="0"/>
        <w:jc w:val="center"/>
        <w:rPr>
          <w:rFonts w:ascii="宋体" w:hAnsi="宋体" w:cs="宋体"/>
          <w:b/>
          <w:color w:val="auto"/>
          <w:highlight w:val="none"/>
        </w:rPr>
      </w:pPr>
      <w:r>
        <w:rPr>
          <w:rFonts w:hint="eastAsia" w:ascii="宋体" w:hAnsi="宋体" w:cs="宋体"/>
          <w:b/>
          <w:color w:val="auto"/>
          <w:highlight w:val="none"/>
        </w:rPr>
        <w:t>本部分内容详见招标文件第七章工程量清单。</w:t>
      </w:r>
    </w:p>
    <w:p>
      <w:pPr>
        <w:pStyle w:val="78"/>
        <w:ind w:firstLine="496"/>
        <w:rPr>
          <w:rFonts w:ascii="宋体" w:hAnsi="宋体" w:cs="宋体"/>
          <w:color w:val="auto"/>
          <w:highlight w:val="none"/>
        </w:rPr>
      </w:pPr>
    </w:p>
    <w:p>
      <w:pPr>
        <w:rPr>
          <w:rFonts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b/>
          <w:bCs w:val="0"/>
          <w:color w:val="auto"/>
          <w:sz w:val="24"/>
          <w:szCs w:val="24"/>
          <w:highlight w:val="none"/>
        </w:rPr>
        <w:t>经济部分格式</w:t>
      </w:r>
      <w:r>
        <w:rPr>
          <w:rFonts w:hint="eastAsia" w:ascii="宋体" w:hAnsi="宋体" w:cs="宋体"/>
          <w:b/>
          <w:bCs w:val="0"/>
          <w:color w:val="auto"/>
          <w:sz w:val="24"/>
          <w:szCs w:val="24"/>
          <w:highlight w:val="none"/>
          <w:lang w:val="en-US" w:eastAsia="zh-CN"/>
        </w:rPr>
        <w:t>4</w:t>
      </w:r>
      <w:r>
        <w:rPr>
          <w:rFonts w:hint="eastAsia" w:ascii="宋体" w:hAnsi="宋体" w:cs="宋体"/>
          <w:b/>
          <w:bCs w:val="0"/>
          <w:color w:val="auto"/>
          <w:sz w:val="24"/>
          <w:szCs w:val="24"/>
          <w:highlight w:val="none"/>
        </w:rPr>
        <w:t>：</w:t>
      </w:r>
      <w:r>
        <w:rPr>
          <w:rFonts w:hint="eastAsia" w:ascii="宋体" w:hAnsi="宋体" w:cs="宋体"/>
          <w:b/>
          <w:color w:val="auto"/>
          <w:sz w:val="24"/>
          <w:szCs w:val="24"/>
          <w:highlight w:val="none"/>
        </w:rPr>
        <w:t>参与编制经济标投标文件人员名单</w:t>
      </w:r>
    </w:p>
    <w:p>
      <w:pPr>
        <w:pStyle w:val="121"/>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参与编制经济标投标文件人员名单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vAlign w:val="center"/>
          </w:tcPr>
          <w:p>
            <w:pPr>
              <w:tabs>
                <w:tab w:val="left" w:pos="720"/>
              </w:tabs>
              <w:snapToGrid w:val="0"/>
              <w:jc w:val="center"/>
              <w:rPr>
                <w:rFonts w:ascii="宋体" w:hAnsi="宋体" w:cs="宋体"/>
                <w:color w:val="auto"/>
                <w:sz w:val="24"/>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82" w:type="dxa"/>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1" w:type="dxa"/>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245" w:type="dxa"/>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2304" w:type="dxa"/>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vAlign w:val="center"/>
          </w:tcPr>
          <w:p>
            <w:pPr>
              <w:tabs>
                <w:tab w:val="left" w:pos="720"/>
              </w:tabs>
              <w:snapToGrid w:val="0"/>
              <w:jc w:val="center"/>
              <w:rPr>
                <w:rFonts w:ascii="宋体" w:hAnsi="宋体" w:cs="宋体"/>
                <w:color w:val="auto"/>
                <w:sz w:val="24"/>
                <w:highlight w:val="none"/>
              </w:rPr>
            </w:pPr>
          </w:p>
        </w:tc>
        <w:tc>
          <w:tcPr>
            <w:tcW w:w="1382" w:type="dxa"/>
            <w:vAlign w:val="center"/>
          </w:tcPr>
          <w:p>
            <w:pPr>
              <w:tabs>
                <w:tab w:val="left" w:pos="720"/>
              </w:tabs>
              <w:snapToGrid w:val="0"/>
              <w:jc w:val="center"/>
              <w:rPr>
                <w:rFonts w:ascii="宋体" w:hAnsi="宋体" w:cs="宋体"/>
                <w:color w:val="auto"/>
                <w:sz w:val="24"/>
                <w:highlight w:val="none"/>
              </w:rPr>
            </w:pPr>
          </w:p>
        </w:tc>
        <w:tc>
          <w:tcPr>
            <w:tcW w:w="2341" w:type="dxa"/>
            <w:vAlign w:val="center"/>
          </w:tcPr>
          <w:p>
            <w:pPr>
              <w:tabs>
                <w:tab w:val="left" w:pos="720"/>
              </w:tabs>
              <w:snapToGrid w:val="0"/>
              <w:jc w:val="center"/>
              <w:rPr>
                <w:rFonts w:ascii="宋体" w:hAnsi="宋体" w:cs="宋体"/>
                <w:color w:val="auto"/>
                <w:sz w:val="24"/>
                <w:highlight w:val="none"/>
              </w:rPr>
            </w:pPr>
          </w:p>
        </w:tc>
        <w:tc>
          <w:tcPr>
            <w:tcW w:w="2245" w:type="dxa"/>
            <w:vAlign w:val="center"/>
          </w:tcPr>
          <w:p>
            <w:pPr>
              <w:tabs>
                <w:tab w:val="left" w:pos="720"/>
              </w:tabs>
              <w:snapToGrid w:val="0"/>
              <w:jc w:val="center"/>
              <w:rPr>
                <w:rFonts w:ascii="宋体" w:hAnsi="宋体" w:cs="宋体"/>
                <w:color w:val="auto"/>
                <w:sz w:val="24"/>
                <w:highlight w:val="none"/>
              </w:rPr>
            </w:pPr>
          </w:p>
        </w:tc>
        <w:tc>
          <w:tcPr>
            <w:tcW w:w="2304" w:type="dxa"/>
            <w:vAlign w:val="center"/>
          </w:tcPr>
          <w:p>
            <w:pPr>
              <w:tabs>
                <w:tab w:val="left" w:pos="720"/>
              </w:tabs>
              <w:snapToGrid w:val="0"/>
              <w:jc w:val="center"/>
              <w:rPr>
                <w:rFonts w:ascii="宋体" w:hAnsi="宋体" w:cs="宋体"/>
                <w:color w:val="auto"/>
                <w:sz w:val="24"/>
                <w:highlight w:val="none"/>
              </w:rPr>
            </w:pPr>
          </w:p>
        </w:tc>
      </w:tr>
    </w:tbl>
    <w:p>
      <w:pPr>
        <w:autoSpaceDE w:val="0"/>
        <w:autoSpaceDN w:val="0"/>
        <w:adjustRightInd w:val="0"/>
        <w:spacing w:line="360" w:lineRule="auto"/>
        <w:rPr>
          <w:rFonts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color w:val="auto"/>
          <w:sz w:val="24"/>
          <w:highlight w:val="none"/>
        </w:rPr>
        <w:t xml:space="preserve"> </w:t>
      </w:r>
    </w:p>
    <w:p>
      <w:pPr>
        <w:pStyle w:val="5"/>
        <w:spacing w:after="0" w:line="360" w:lineRule="auto"/>
        <w:ind w:firstLine="0"/>
        <w:jc w:val="left"/>
        <w:rPr>
          <w:rFonts w:ascii="宋体" w:hAnsi="宋体" w:cs="宋体"/>
          <w:b/>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rPr>
        <w:t>★经济部分格式5：对投标文件编制的承诺</w:t>
      </w:r>
    </w:p>
    <w:p>
      <w:pPr>
        <w:pStyle w:val="121"/>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对投标文件编制的承诺</w:t>
      </w:r>
    </w:p>
    <w:p>
      <w:pPr>
        <w:pStyle w:val="5"/>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w:t>
      </w:r>
    </w:p>
    <w:p>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r>
        <w:rPr>
          <w:rFonts w:hint="eastAsia" w:ascii="宋体" w:hAnsi="宋体" w:cs="宋体"/>
          <w:color w:val="auto"/>
          <w:sz w:val="24"/>
          <w:szCs w:val="24"/>
          <w:highlight w:val="none"/>
          <w:u w:val="single"/>
        </w:rPr>
        <w:t xml:space="preserve">                  </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pPr>
        <w:pStyle w:val="121"/>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投标文件编制情况</w:t>
      </w:r>
    </w:p>
    <w:tbl>
      <w:tblPr>
        <w:tblStyle w:val="38"/>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1.投标文件报价编制方式: □自行编制的，编制的负责人：</w:t>
            </w:r>
            <w:r>
              <w:rPr>
                <w:rFonts w:hint="eastAsia" w:ascii="宋体" w:hAnsi="宋体" w:cs="宋体"/>
                <w:color w:val="auto"/>
                <w:kern w:val="2"/>
                <w:sz w:val="24"/>
                <w:highlight w:val="none"/>
                <w:u w:val="single"/>
              </w:rPr>
              <w:t xml:space="preserve"> （盖造价工程师执业专用章或全国建设工程造价员章，执业单位应与投标人一致） </w:t>
            </w:r>
            <w:r>
              <w:rPr>
                <w:rFonts w:hint="eastAsia" w:ascii="宋体" w:hAnsi="宋体" w:cs="宋体"/>
                <w:color w:val="auto"/>
                <w:kern w:val="2"/>
                <w:sz w:val="24"/>
                <w:highlight w:val="none"/>
              </w:rPr>
              <w:t>。□委托编制的，受委托单位</w:t>
            </w:r>
            <w:r>
              <w:rPr>
                <w:rFonts w:hint="eastAsia" w:ascii="宋体" w:hAnsi="宋体" w:cs="宋体"/>
                <w:color w:val="auto"/>
                <w:kern w:val="2"/>
                <w:sz w:val="24"/>
                <w:highlight w:val="none"/>
                <w:u w:val="single"/>
              </w:rPr>
              <w:t xml:space="preserve">                    </w:t>
            </w:r>
            <w:r>
              <w:rPr>
                <w:rFonts w:hint="eastAsia" w:ascii="宋体" w:hAnsi="宋体" w:cs="宋体"/>
                <w:color w:val="auto"/>
                <w:kern w:val="2"/>
                <w:sz w:val="24"/>
                <w:highlight w:val="none"/>
              </w:rPr>
              <w:t>，编制的负责人：</w:t>
            </w:r>
            <w:r>
              <w:rPr>
                <w:rFonts w:hint="eastAsia" w:ascii="宋体" w:hAnsi="宋体" w:cs="宋体"/>
                <w:color w:val="auto"/>
                <w:kern w:val="2"/>
                <w:sz w:val="24"/>
                <w:highlight w:val="none"/>
                <w:u w:val="single"/>
              </w:rPr>
              <w:t xml:space="preserve"> （盖造价工程师执业专用章或全国建设工程造价员章，执业单位应与受委托单位一致） </w:t>
            </w:r>
            <w:r>
              <w:rPr>
                <w:rFonts w:hint="eastAsia" w:ascii="宋体" w:hAnsi="宋体" w:cs="宋体"/>
                <w:color w:val="auto"/>
                <w:kern w:val="2"/>
                <w:sz w:val="24"/>
                <w:highlight w:val="none"/>
              </w:rPr>
              <w:t>。</w:t>
            </w:r>
          </w:p>
          <w:p>
            <w:pPr>
              <w:pStyle w:val="5"/>
              <w:spacing w:after="0" w:line="360" w:lineRule="auto"/>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2.投标文件加密打包的电脑情况</w:t>
            </w:r>
          </w:p>
          <w:p>
            <w:pPr>
              <w:pStyle w:val="5"/>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pPr>
              <w:pStyle w:val="5"/>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电脑类型</w:t>
            </w:r>
          </w:p>
          <w:p>
            <w:pPr>
              <w:pStyle w:val="5"/>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电脑所属单位</w:t>
            </w:r>
          </w:p>
          <w:p>
            <w:pPr>
              <w:pStyle w:val="5"/>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电脑所在地址     （如××市××区(县) ××街（路）××号××大厦××房）</w:t>
            </w:r>
          </w:p>
        </w:tc>
      </w:tr>
    </w:tbl>
    <w:p>
      <w:pPr>
        <w:pStyle w:val="3"/>
        <w:jc w:val="center"/>
        <w:rPr>
          <w:rFonts w:ascii="宋体" w:hAnsi="宋体" w:cs="宋体"/>
          <w:color w:val="auto"/>
          <w:sz w:val="44"/>
          <w:szCs w:val="44"/>
          <w:highlight w:val="none"/>
        </w:rPr>
      </w:pPr>
      <w:r>
        <w:rPr>
          <w:rFonts w:hint="eastAsia" w:ascii="宋体" w:hAnsi="宋体" w:cs="宋体"/>
          <w:b w:val="0"/>
          <w:color w:val="auto"/>
          <w:kern w:val="2"/>
          <w:sz w:val="24"/>
          <w:szCs w:val="24"/>
          <w:highlight w:val="none"/>
        </w:rPr>
        <w:br w:type="page"/>
      </w:r>
      <w:bookmarkStart w:id="42" w:name="_Toc22889"/>
      <w:r>
        <w:rPr>
          <w:rFonts w:hint="eastAsia" w:ascii="宋体" w:hAnsi="宋体" w:cs="宋体"/>
          <w:bCs/>
          <w:color w:val="auto"/>
          <w:kern w:val="2"/>
          <w:sz w:val="32"/>
          <w:szCs w:val="32"/>
          <w:highlight w:val="none"/>
        </w:rPr>
        <w:t>第五章</w:t>
      </w:r>
      <w:r>
        <w:rPr>
          <w:rFonts w:hint="eastAsia" w:ascii="宋体" w:hAnsi="宋体" w:cs="宋体"/>
          <w:bCs/>
          <w:color w:val="auto"/>
          <w:sz w:val="32"/>
          <w:szCs w:val="32"/>
          <w:highlight w:val="none"/>
        </w:rPr>
        <w:t>.技术条件（工程建设标准）</w:t>
      </w:r>
      <w:bookmarkEnd w:id="42"/>
    </w:p>
    <w:p>
      <w:pPr>
        <w:tabs>
          <w:tab w:val="left" w:pos="2105"/>
        </w:tabs>
        <w:spacing w:line="460" w:lineRule="exact"/>
        <w:ind w:firstLine="480" w:firstLineChars="200"/>
        <w:rPr>
          <w:rFonts w:ascii="宋体" w:hAnsi="宋体" w:cs="宋体"/>
          <w:color w:val="auto"/>
          <w:sz w:val="24"/>
          <w:szCs w:val="24"/>
          <w:highlight w:val="none"/>
        </w:rPr>
      </w:pPr>
      <w:bookmarkStart w:id="43" w:name="_Toc162252729"/>
      <w:bookmarkStart w:id="44" w:name="_Toc162269370"/>
      <w:bookmarkStart w:id="45" w:name="_Toc162253569"/>
      <w:bookmarkStart w:id="46" w:name="_Toc291172704"/>
      <w:bookmarkStart w:id="47" w:name="_Toc42392986"/>
    </w:p>
    <w:p>
      <w:pPr>
        <w:topLinePunct/>
        <w:adjustRightIn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下列文件应被认为是组成本章内容的一部分，并互为补充和解释，如各文件存在冲突之处，以如下排列次序在前者优先适用：</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1、遵照招标人相关管理规定要求；</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2、采用图纸中规定的其它技术和验收标准；</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3、采用中华人民共和国现行技术和验收规范。</w:t>
      </w:r>
    </w:p>
    <w:p>
      <w:pPr>
        <w:pStyle w:val="132"/>
        <w:widowControl/>
        <w:ind w:firstLineChars="0"/>
        <w:jc w:val="left"/>
        <w:rPr>
          <w:rFonts w:ascii="宋体" w:hAnsi="宋体" w:cs="宋体"/>
          <w:color w:val="auto"/>
          <w:highlight w:val="none"/>
        </w:rPr>
      </w:pPr>
    </w:p>
    <w:p>
      <w:pPr>
        <w:pStyle w:val="132"/>
        <w:widowControl/>
        <w:ind w:firstLineChars="0"/>
        <w:jc w:val="left"/>
        <w:rPr>
          <w:rFonts w:ascii="宋体" w:hAnsi="宋体" w:cs="宋体"/>
          <w:color w:val="auto"/>
          <w:highlight w:val="none"/>
        </w:rPr>
      </w:pPr>
    </w:p>
    <w:p>
      <w:pPr>
        <w:pStyle w:val="132"/>
        <w:widowControl/>
        <w:tabs>
          <w:tab w:val="left" w:pos="6105"/>
        </w:tabs>
        <w:ind w:firstLineChars="0"/>
        <w:jc w:val="left"/>
        <w:rPr>
          <w:rFonts w:ascii="宋体" w:hAnsi="宋体" w:cs="宋体"/>
          <w:color w:val="auto"/>
          <w:highlight w:val="none"/>
        </w:rPr>
      </w:pPr>
      <w:r>
        <w:rPr>
          <w:rFonts w:hint="eastAsia" w:ascii="宋体" w:hAnsi="宋体" w:cs="宋体"/>
          <w:color w:val="auto"/>
          <w:highlight w:val="none"/>
        </w:rPr>
        <w:tab/>
      </w:r>
    </w:p>
    <w:p>
      <w:pPr>
        <w:pStyle w:val="3"/>
        <w:jc w:val="center"/>
        <w:rPr>
          <w:rFonts w:ascii="宋体" w:hAnsi="宋体" w:cs="宋体"/>
          <w:color w:val="auto"/>
          <w:highlight w:val="none"/>
        </w:rPr>
      </w:pPr>
      <w:r>
        <w:rPr>
          <w:rFonts w:hint="eastAsia" w:ascii="宋体" w:hAnsi="宋体" w:cs="宋体"/>
          <w:color w:val="auto"/>
          <w:highlight w:val="none"/>
        </w:rPr>
        <w:br w:type="page"/>
      </w:r>
      <w:bookmarkEnd w:id="43"/>
      <w:bookmarkEnd w:id="44"/>
      <w:bookmarkEnd w:id="45"/>
      <w:bookmarkEnd w:id="46"/>
      <w:bookmarkEnd w:id="47"/>
      <w:bookmarkStart w:id="48" w:name="_Toc17006"/>
      <w:r>
        <w:rPr>
          <w:rFonts w:hint="eastAsia" w:ascii="宋体" w:hAnsi="宋体" w:cs="宋体"/>
          <w:color w:val="auto"/>
          <w:sz w:val="32"/>
          <w:szCs w:val="32"/>
          <w:highlight w:val="none"/>
        </w:rPr>
        <w:t>第六章  图纸及勘察资料</w:t>
      </w:r>
      <w:bookmarkEnd w:id="48"/>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pPr>
        <w:pStyle w:val="3"/>
        <w:jc w:val="center"/>
        <w:rPr>
          <w:rFonts w:ascii="宋体" w:hAnsi="宋体" w:cs="宋体"/>
          <w:color w:val="auto"/>
          <w:highlight w:val="none"/>
        </w:rPr>
      </w:pPr>
      <w:r>
        <w:rPr>
          <w:rFonts w:hint="eastAsia" w:ascii="宋体" w:hAnsi="宋体" w:cs="宋体"/>
          <w:color w:val="auto"/>
          <w:sz w:val="24"/>
          <w:szCs w:val="24"/>
          <w:highlight w:val="none"/>
        </w:rPr>
        <w:br w:type="page"/>
      </w:r>
      <w:bookmarkStart w:id="49" w:name="_Toc2247"/>
      <w:r>
        <w:rPr>
          <w:rFonts w:hint="eastAsia" w:ascii="宋体" w:hAnsi="宋体" w:cs="宋体"/>
          <w:color w:val="auto"/>
          <w:sz w:val="32"/>
          <w:szCs w:val="32"/>
          <w:highlight w:val="none"/>
        </w:rPr>
        <w:t>第七章  工程量清单</w:t>
      </w:r>
      <w:bookmarkEnd w:id="49"/>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pPr>
        <w:rPr>
          <w:rFonts w:ascii="宋体" w:hAnsi="宋体" w:cs="宋体"/>
          <w:color w:val="auto"/>
          <w:sz w:val="24"/>
          <w:highlight w:val="none"/>
        </w:rPr>
      </w:pPr>
      <w:r>
        <w:rPr>
          <w:rFonts w:hint="eastAsia" w:ascii="宋体" w:hAnsi="宋体" w:cs="宋体"/>
          <w:color w:val="auto"/>
          <w:sz w:val="24"/>
          <w:highlight w:val="none"/>
        </w:rPr>
        <w:br w:type="page"/>
      </w:r>
    </w:p>
    <w:p>
      <w:pPr>
        <w:pStyle w:val="5"/>
        <w:spacing w:after="0" w:line="360" w:lineRule="auto"/>
        <w:ind w:left="-2" w:leftChars="-1" w:firstLine="960" w:firstLineChars="400"/>
        <w:rPr>
          <w:rFonts w:ascii="宋体" w:hAnsi="宋体" w:cs="宋体"/>
          <w:color w:val="auto"/>
          <w:sz w:val="24"/>
          <w:highlight w:val="none"/>
        </w:rPr>
      </w:pPr>
    </w:p>
    <w:p>
      <w:pPr>
        <w:pStyle w:val="3"/>
        <w:jc w:val="center"/>
        <w:rPr>
          <w:rFonts w:ascii="宋体" w:hAnsi="宋体" w:cs="宋体"/>
          <w:color w:val="auto"/>
          <w:sz w:val="32"/>
          <w:szCs w:val="32"/>
          <w:highlight w:val="none"/>
        </w:rPr>
      </w:pPr>
      <w:bookmarkStart w:id="50" w:name="_Toc10163"/>
      <w:r>
        <w:rPr>
          <w:rFonts w:hint="eastAsia" w:ascii="宋体" w:hAnsi="宋体" w:cs="宋体"/>
          <w:color w:val="auto"/>
          <w:sz w:val="32"/>
          <w:szCs w:val="32"/>
          <w:highlight w:val="none"/>
        </w:rPr>
        <w:t>第八章  最高投标限价</w:t>
      </w:r>
      <w:bookmarkEnd w:id="50"/>
    </w:p>
    <w:p>
      <w:pPr>
        <w:spacing w:line="360" w:lineRule="auto"/>
        <w:ind w:firstLine="480"/>
        <w:rPr>
          <w:rStyle w:val="140"/>
          <w:rFonts w:hint="eastAsia" w:ascii="宋体" w:hAnsi="宋体"/>
          <w:color w:val="auto"/>
          <w:sz w:val="24"/>
          <w:szCs w:val="24"/>
          <w:highlight w:val="none"/>
        </w:rPr>
      </w:pPr>
      <w:r>
        <w:rPr>
          <w:rStyle w:val="140"/>
          <w:rFonts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pStyle w:val="141"/>
        <w:rPr>
          <w:rFonts w:hint="eastAsia" w:ascii="宋体" w:hAnsi="宋体"/>
          <w:color w:val="auto"/>
          <w:highlight w:val="none"/>
        </w:rPr>
      </w:pPr>
    </w:p>
    <w:p>
      <w:pPr>
        <w:jc w:val="center"/>
        <w:rPr>
          <w:rFonts w:ascii="宋体" w:hAnsi="宋体"/>
          <w:color w:val="auto"/>
          <w:highlight w:val="none"/>
        </w:rPr>
      </w:pPr>
      <w:r>
        <w:rPr>
          <w:rFonts w:hint="eastAsia" w:ascii="宋体" w:hAnsi="宋体"/>
          <w:color w:val="auto"/>
          <w:sz w:val="24"/>
          <w:szCs w:val="24"/>
          <w:highlight w:val="none"/>
        </w:rPr>
        <w:t>详见《最高投标限价公布函》</w:t>
      </w:r>
    </w:p>
    <w:p>
      <w:pPr>
        <w:rPr>
          <w:rFonts w:ascii="宋体" w:hAnsi="宋体" w:cs="宋体"/>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Calisto MT">
    <w:altName w:val="Segoe Print"/>
    <w:panose1 w:val="02040603050505030304"/>
    <w:charset w:val="00"/>
    <w:family w:val="roman"/>
    <w:pitch w:val="default"/>
    <w:sig w:usb0="00000000" w:usb1="00000000" w:usb2="00000000" w:usb3="00000000" w:csb0="20000001" w:csb1="00000000"/>
  </w:font>
  <w:font w:name="方正书宋简体">
    <w:altName w:val="宋体"/>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0" w:leftChars="0" w:right="0" w:rightChars="0" w:firstLine="0" w:firstLineChars="0"/>
      <w:jc w:val="center"/>
      <w:rPr>
        <w:rStyle w:val="43"/>
      </w:rPr>
    </w:pPr>
    <w:r>
      <w:fldChar w:fldCharType="begin"/>
    </w:r>
    <w:r>
      <w:rPr>
        <w:rStyle w:val="43"/>
      </w:rPr>
      <w:instrText xml:space="preserve">PAGE  </w:instrText>
    </w:r>
    <w:r>
      <w:fldChar w:fldCharType="separate"/>
    </w:r>
    <w:r>
      <w:rPr>
        <w:rStyle w:val="43"/>
      </w:rPr>
      <w:t>50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3"/>
      </w:rPr>
    </w:pPr>
    <w:r>
      <w:fldChar w:fldCharType="begin"/>
    </w:r>
    <w:r>
      <w:rPr>
        <w:rStyle w:val="43"/>
      </w:rPr>
      <w:instrText xml:space="preserve">PAGE  </w:instrText>
    </w:r>
    <w:r>
      <w:fldChar w:fldCharType="separate"/>
    </w:r>
    <w:r>
      <w:rPr>
        <w:rStyle w:val="43"/>
        <w:rFonts w:hint="eastAsia"/>
      </w:rPr>
      <w:t>一</w:t>
    </w:r>
    <w:r>
      <w:rPr>
        <w:rStyle w:val="43"/>
      </w:rPr>
      <w:t>–2</w:t>
    </w:r>
    <w:r>
      <w:fldChar w:fldCharType="end"/>
    </w:r>
  </w:p>
  <w:p>
    <w:pPr>
      <w:pStyle w:val="2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fldChar w:fldCharType="begin"/>
    </w:r>
    <w:r>
      <w:rPr>
        <w:rStyle w:val="43"/>
      </w:rPr>
      <w:instrText xml:space="preserve"> PAGE </w:instrText>
    </w:r>
    <w:r>
      <w:fldChar w:fldCharType="separate"/>
    </w:r>
    <w:r>
      <w:rPr>
        <w:rStyle w:val="43"/>
      </w:rPr>
      <w:t>48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43"/>
      </w:rPr>
    </w:pPr>
    <w:r>
      <w:fldChar w:fldCharType="begin"/>
    </w:r>
    <w:r>
      <w:rPr>
        <w:rStyle w:val="43"/>
      </w:rPr>
      <w:instrText xml:space="preserve">PAGE  </w:instrText>
    </w:r>
    <w:r>
      <w:fldChar w:fldCharType="separate"/>
    </w:r>
    <w:r>
      <w:rPr>
        <w:rStyle w:val="43"/>
      </w:rPr>
      <w:t>69</w:t>
    </w:r>
    <w:r>
      <w:fldChar w:fldCharType="end"/>
    </w:r>
  </w:p>
  <w:p>
    <w:pPr>
      <w:pStyle w:val="26"/>
      <w:framePr w:wrap="around" w:vAnchor="text" w:hAnchor="margin" w:xAlign="outside" w:y="1"/>
      <w:ind w:left="-4410" w:leftChars="-2100" w:right="-4439" w:rightChars="-2114"/>
      <w:rPr>
        <w:rStyle w:val="43"/>
      </w:rPr>
    </w:pPr>
  </w:p>
  <w:p>
    <w:pPr>
      <w:pStyle w:val="2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3"/>
      </w:rPr>
      <w:instrText xml:space="preserve"> PAGE </w:instrText>
    </w:r>
    <w:r>
      <w:fldChar w:fldCharType="separate"/>
    </w:r>
    <w:r>
      <w:rPr>
        <w:rStyle w:val="43"/>
      </w:rP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DBDBE"/>
    <w:multiLevelType w:val="singleLevel"/>
    <w:tmpl w:val="B76DBDBE"/>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259905B5"/>
    <w:multiLevelType w:val="multilevel"/>
    <w:tmpl w:val="259905B5"/>
    <w:lvl w:ilvl="0" w:tentative="0">
      <w:start w:val="1"/>
      <w:numFmt w:val="chineseCountingThousand"/>
      <w:pStyle w:val="11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YjdlNGQ1YjU1NDJkMzMyZmIxMzc0MmZmMzAxYTQifQ=="/>
  </w:docVars>
  <w:rsids>
    <w:rsidRoot w:val="00172A27"/>
    <w:rsid w:val="00005D13"/>
    <w:rsid w:val="0001289E"/>
    <w:rsid w:val="00015EC9"/>
    <w:rsid w:val="00020941"/>
    <w:rsid w:val="00026495"/>
    <w:rsid w:val="00030D9C"/>
    <w:rsid w:val="00041F74"/>
    <w:rsid w:val="000759EE"/>
    <w:rsid w:val="00076695"/>
    <w:rsid w:val="00085996"/>
    <w:rsid w:val="00094870"/>
    <w:rsid w:val="000A7196"/>
    <w:rsid w:val="000B7EB3"/>
    <w:rsid w:val="000C024B"/>
    <w:rsid w:val="000C5828"/>
    <w:rsid w:val="000D4EA9"/>
    <w:rsid w:val="000E2149"/>
    <w:rsid w:val="00100D96"/>
    <w:rsid w:val="00107946"/>
    <w:rsid w:val="00113A64"/>
    <w:rsid w:val="00117AE4"/>
    <w:rsid w:val="00135762"/>
    <w:rsid w:val="00135891"/>
    <w:rsid w:val="00153E1B"/>
    <w:rsid w:val="00172A27"/>
    <w:rsid w:val="00184CD6"/>
    <w:rsid w:val="00192113"/>
    <w:rsid w:val="001A3A7C"/>
    <w:rsid w:val="001B1978"/>
    <w:rsid w:val="001C1F9B"/>
    <w:rsid w:val="001C5C3C"/>
    <w:rsid w:val="001D2863"/>
    <w:rsid w:val="001E4DCF"/>
    <w:rsid w:val="002025B5"/>
    <w:rsid w:val="00224B37"/>
    <w:rsid w:val="002411B9"/>
    <w:rsid w:val="00261BD4"/>
    <w:rsid w:val="00274290"/>
    <w:rsid w:val="002961F1"/>
    <w:rsid w:val="002A65EC"/>
    <w:rsid w:val="002E5C2F"/>
    <w:rsid w:val="002E5ECA"/>
    <w:rsid w:val="00315A54"/>
    <w:rsid w:val="00324B89"/>
    <w:rsid w:val="0032745C"/>
    <w:rsid w:val="0033362B"/>
    <w:rsid w:val="00341969"/>
    <w:rsid w:val="0034431F"/>
    <w:rsid w:val="0038792B"/>
    <w:rsid w:val="003907F7"/>
    <w:rsid w:val="00393E76"/>
    <w:rsid w:val="003951C5"/>
    <w:rsid w:val="003C1C8E"/>
    <w:rsid w:val="003E0A8F"/>
    <w:rsid w:val="004306DE"/>
    <w:rsid w:val="00434B33"/>
    <w:rsid w:val="00462D80"/>
    <w:rsid w:val="00492BCF"/>
    <w:rsid w:val="004A2237"/>
    <w:rsid w:val="004A7C38"/>
    <w:rsid w:val="004B1BD5"/>
    <w:rsid w:val="004E1274"/>
    <w:rsid w:val="004E3FE5"/>
    <w:rsid w:val="00523CF8"/>
    <w:rsid w:val="00534947"/>
    <w:rsid w:val="0055109D"/>
    <w:rsid w:val="00591DB5"/>
    <w:rsid w:val="0059302E"/>
    <w:rsid w:val="005A0693"/>
    <w:rsid w:val="005B579D"/>
    <w:rsid w:val="005C489A"/>
    <w:rsid w:val="005D2EE2"/>
    <w:rsid w:val="00604E15"/>
    <w:rsid w:val="00605397"/>
    <w:rsid w:val="0063155F"/>
    <w:rsid w:val="006335E3"/>
    <w:rsid w:val="0063385C"/>
    <w:rsid w:val="006508AB"/>
    <w:rsid w:val="00675E5C"/>
    <w:rsid w:val="006B6B0D"/>
    <w:rsid w:val="00700508"/>
    <w:rsid w:val="00704AB7"/>
    <w:rsid w:val="00713FB4"/>
    <w:rsid w:val="007262C3"/>
    <w:rsid w:val="00735360"/>
    <w:rsid w:val="007443D5"/>
    <w:rsid w:val="007632B6"/>
    <w:rsid w:val="007646C8"/>
    <w:rsid w:val="00775409"/>
    <w:rsid w:val="007756C4"/>
    <w:rsid w:val="007807D9"/>
    <w:rsid w:val="007B0B3C"/>
    <w:rsid w:val="007B41BE"/>
    <w:rsid w:val="007D6A53"/>
    <w:rsid w:val="0080488F"/>
    <w:rsid w:val="00805998"/>
    <w:rsid w:val="00824E3E"/>
    <w:rsid w:val="00831E6E"/>
    <w:rsid w:val="00834F89"/>
    <w:rsid w:val="008457C9"/>
    <w:rsid w:val="0085034F"/>
    <w:rsid w:val="008635D8"/>
    <w:rsid w:val="008836D8"/>
    <w:rsid w:val="008A67E2"/>
    <w:rsid w:val="008D39D0"/>
    <w:rsid w:val="008F4AB4"/>
    <w:rsid w:val="00900FF4"/>
    <w:rsid w:val="00905BAA"/>
    <w:rsid w:val="0090600B"/>
    <w:rsid w:val="009234FB"/>
    <w:rsid w:val="00944D5C"/>
    <w:rsid w:val="00957A32"/>
    <w:rsid w:val="009871C3"/>
    <w:rsid w:val="009B2D84"/>
    <w:rsid w:val="009C2C75"/>
    <w:rsid w:val="009C56C0"/>
    <w:rsid w:val="009D2D51"/>
    <w:rsid w:val="009D66E1"/>
    <w:rsid w:val="00A16E0F"/>
    <w:rsid w:val="00A73120"/>
    <w:rsid w:val="00A86462"/>
    <w:rsid w:val="00AB6AAA"/>
    <w:rsid w:val="00AC2B3B"/>
    <w:rsid w:val="00AC37D5"/>
    <w:rsid w:val="00AE160C"/>
    <w:rsid w:val="00AE1AC3"/>
    <w:rsid w:val="00AE1D40"/>
    <w:rsid w:val="00AE3BAB"/>
    <w:rsid w:val="00AF2557"/>
    <w:rsid w:val="00B01DB6"/>
    <w:rsid w:val="00B144AC"/>
    <w:rsid w:val="00B210BE"/>
    <w:rsid w:val="00B236C9"/>
    <w:rsid w:val="00B23E5D"/>
    <w:rsid w:val="00B37967"/>
    <w:rsid w:val="00B429B2"/>
    <w:rsid w:val="00B73135"/>
    <w:rsid w:val="00B7711F"/>
    <w:rsid w:val="00B85EB6"/>
    <w:rsid w:val="00B86FDC"/>
    <w:rsid w:val="00BA1FE0"/>
    <w:rsid w:val="00BC2B4D"/>
    <w:rsid w:val="00BC6A43"/>
    <w:rsid w:val="00C27837"/>
    <w:rsid w:val="00C408D3"/>
    <w:rsid w:val="00C44F2E"/>
    <w:rsid w:val="00C53C2F"/>
    <w:rsid w:val="00C62A97"/>
    <w:rsid w:val="00C8237C"/>
    <w:rsid w:val="00C95251"/>
    <w:rsid w:val="00C96388"/>
    <w:rsid w:val="00CA3057"/>
    <w:rsid w:val="00CA48AA"/>
    <w:rsid w:val="00CA6851"/>
    <w:rsid w:val="00D50F19"/>
    <w:rsid w:val="00D7074B"/>
    <w:rsid w:val="00D72F7B"/>
    <w:rsid w:val="00D9177E"/>
    <w:rsid w:val="00DB774A"/>
    <w:rsid w:val="00DE0E55"/>
    <w:rsid w:val="00E14F29"/>
    <w:rsid w:val="00E15E33"/>
    <w:rsid w:val="00E36CB2"/>
    <w:rsid w:val="00E56493"/>
    <w:rsid w:val="00E64487"/>
    <w:rsid w:val="00E6639E"/>
    <w:rsid w:val="00E94D22"/>
    <w:rsid w:val="00EB0F85"/>
    <w:rsid w:val="00EF2B3A"/>
    <w:rsid w:val="00EF2C5A"/>
    <w:rsid w:val="00F053A1"/>
    <w:rsid w:val="00F136F3"/>
    <w:rsid w:val="00F16648"/>
    <w:rsid w:val="00F16847"/>
    <w:rsid w:val="00F22375"/>
    <w:rsid w:val="00F24BE4"/>
    <w:rsid w:val="00F50B3D"/>
    <w:rsid w:val="00F73E07"/>
    <w:rsid w:val="00F82701"/>
    <w:rsid w:val="00F840D3"/>
    <w:rsid w:val="00F871EC"/>
    <w:rsid w:val="00F967BD"/>
    <w:rsid w:val="00F9704C"/>
    <w:rsid w:val="00FA77DD"/>
    <w:rsid w:val="00FD2749"/>
    <w:rsid w:val="00FD3F21"/>
    <w:rsid w:val="00FD60F6"/>
    <w:rsid w:val="00FE2126"/>
    <w:rsid w:val="00FF2A13"/>
    <w:rsid w:val="00FF4B98"/>
    <w:rsid w:val="010074D2"/>
    <w:rsid w:val="010F3B4F"/>
    <w:rsid w:val="013A16E3"/>
    <w:rsid w:val="016E1B67"/>
    <w:rsid w:val="01904305"/>
    <w:rsid w:val="019127B6"/>
    <w:rsid w:val="019A0A09"/>
    <w:rsid w:val="01A0487B"/>
    <w:rsid w:val="01AC056F"/>
    <w:rsid w:val="01BF523B"/>
    <w:rsid w:val="01C268D3"/>
    <w:rsid w:val="01CB67AC"/>
    <w:rsid w:val="01EA1FC0"/>
    <w:rsid w:val="01EF572E"/>
    <w:rsid w:val="02130FD6"/>
    <w:rsid w:val="02220C44"/>
    <w:rsid w:val="022E6257"/>
    <w:rsid w:val="023E3B2A"/>
    <w:rsid w:val="024209B9"/>
    <w:rsid w:val="024E62CB"/>
    <w:rsid w:val="02536E58"/>
    <w:rsid w:val="026A065D"/>
    <w:rsid w:val="02701A1B"/>
    <w:rsid w:val="02717394"/>
    <w:rsid w:val="02735C7D"/>
    <w:rsid w:val="02AE5769"/>
    <w:rsid w:val="02B212CA"/>
    <w:rsid w:val="02C7348C"/>
    <w:rsid w:val="02CE72B4"/>
    <w:rsid w:val="02D15574"/>
    <w:rsid w:val="02D23086"/>
    <w:rsid w:val="02D40EFC"/>
    <w:rsid w:val="02DC5CB3"/>
    <w:rsid w:val="02E10537"/>
    <w:rsid w:val="02E75FB9"/>
    <w:rsid w:val="02EB5511"/>
    <w:rsid w:val="02F230FA"/>
    <w:rsid w:val="02F95075"/>
    <w:rsid w:val="031A2FE6"/>
    <w:rsid w:val="03274EAB"/>
    <w:rsid w:val="032F672A"/>
    <w:rsid w:val="032F7263"/>
    <w:rsid w:val="033D4F2C"/>
    <w:rsid w:val="033F3C93"/>
    <w:rsid w:val="035903FF"/>
    <w:rsid w:val="0361440A"/>
    <w:rsid w:val="03670C13"/>
    <w:rsid w:val="03685798"/>
    <w:rsid w:val="038044A7"/>
    <w:rsid w:val="03816883"/>
    <w:rsid w:val="038679A8"/>
    <w:rsid w:val="03867F85"/>
    <w:rsid w:val="03A260C2"/>
    <w:rsid w:val="03AA7B5F"/>
    <w:rsid w:val="03BC20CC"/>
    <w:rsid w:val="03C541E5"/>
    <w:rsid w:val="03DD6494"/>
    <w:rsid w:val="03E10905"/>
    <w:rsid w:val="03E14C64"/>
    <w:rsid w:val="03E4503E"/>
    <w:rsid w:val="0413601A"/>
    <w:rsid w:val="041969DB"/>
    <w:rsid w:val="0424086D"/>
    <w:rsid w:val="042518DB"/>
    <w:rsid w:val="042F62B6"/>
    <w:rsid w:val="043B7FCA"/>
    <w:rsid w:val="04405D9B"/>
    <w:rsid w:val="044503BF"/>
    <w:rsid w:val="045A77D7"/>
    <w:rsid w:val="045E1129"/>
    <w:rsid w:val="04690F65"/>
    <w:rsid w:val="046A686F"/>
    <w:rsid w:val="046E5030"/>
    <w:rsid w:val="047153A5"/>
    <w:rsid w:val="0479465A"/>
    <w:rsid w:val="04926F71"/>
    <w:rsid w:val="04A21E6A"/>
    <w:rsid w:val="04AB5A2A"/>
    <w:rsid w:val="04B0389B"/>
    <w:rsid w:val="04B7004B"/>
    <w:rsid w:val="04C35ED3"/>
    <w:rsid w:val="04CA2892"/>
    <w:rsid w:val="04E377CC"/>
    <w:rsid w:val="04F419D9"/>
    <w:rsid w:val="05021E26"/>
    <w:rsid w:val="050545C8"/>
    <w:rsid w:val="050D4170"/>
    <w:rsid w:val="051C4A8C"/>
    <w:rsid w:val="05453FE3"/>
    <w:rsid w:val="0549284E"/>
    <w:rsid w:val="0563090D"/>
    <w:rsid w:val="056C1967"/>
    <w:rsid w:val="056F3B9B"/>
    <w:rsid w:val="057667D6"/>
    <w:rsid w:val="058A162D"/>
    <w:rsid w:val="058B7615"/>
    <w:rsid w:val="05965BC8"/>
    <w:rsid w:val="059A40DB"/>
    <w:rsid w:val="059D30B6"/>
    <w:rsid w:val="05A86320"/>
    <w:rsid w:val="05AF15F9"/>
    <w:rsid w:val="05B64EE1"/>
    <w:rsid w:val="05C86BBC"/>
    <w:rsid w:val="05FC76AB"/>
    <w:rsid w:val="05FF3094"/>
    <w:rsid w:val="060D2627"/>
    <w:rsid w:val="06181408"/>
    <w:rsid w:val="061A5DE6"/>
    <w:rsid w:val="0627667A"/>
    <w:rsid w:val="062C0CFF"/>
    <w:rsid w:val="062E2B49"/>
    <w:rsid w:val="06326C4C"/>
    <w:rsid w:val="063473E1"/>
    <w:rsid w:val="06471FDD"/>
    <w:rsid w:val="06492E89"/>
    <w:rsid w:val="06557E95"/>
    <w:rsid w:val="065F2C53"/>
    <w:rsid w:val="06681E71"/>
    <w:rsid w:val="06732DD2"/>
    <w:rsid w:val="0675368A"/>
    <w:rsid w:val="06753B14"/>
    <w:rsid w:val="06840B3B"/>
    <w:rsid w:val="06955753"/>
    <w:rsid w:val="06996AFE"/>
    <w:rsid w:val="06A738C8"/>
    <w:rsid w:val="06BE36DD"/>
    <w:rsid w:val="06C00178"/>
    <w:rsid w:val="070018B2"/>
    <w:rsid w:val="07076189"/>
    <w:rsid w:val="070B7EE1"/>
    <w:rsid w:val="0710675B"/>
    <w:rsid w:val="071365F6"/>
    <w:rsid w:val="07372051"/>
    <w:rsid w:val="073B727B"/>
    <w:rsid w:val="073E518E"/>
    <w:rsid w:val="07405C23"/>
    <w:rsid w:val="07414C7E"/>
    <w:rsid w:val="074C4D53"/>
    <w:rsid w:val="07510ABE"/>
    <w:rsid w:val="0755780B"/>
    <w:rsid w:val="07577FFE"/>
    <w:rsid w:val="077C0B51"/>
    <w:rsid w:val="078826EE"/>
    <w:rsid w:val="078F65C3"/>
    <w:rsid w:val="079B28D1"/>
    <w:rsid w:val="07A5520D"/>
    <w:rsid w:val="07AA753B"/>
    <w:rsid w:val="07B165BA"/>
    <w:rsid w:val="07B34F1F"/>
    <w:rsid w:val="07B611C8"/>
    <w:rsid w:val="07DB3EBD"/>
    <w:rsid w:val="07E56D86"/>
    <w:rsid w:val="07EA70C4"/>
    <w:rsid w:val="07F30CD9"/>
    <w:rsid w:val="07F47A44"/>
    <w:rsid w:val="07F647A3"/>
    <w:rsid w:val="07F81966"/>
    <w:rsid w:val="081418AD"/>
    <w:rsid w:val="08415EBD"/>
    <w:rsid w:val="08475DBA"/>
    <w:rsid w:val="084C2F3A"/>
    <w:rsid w:val="084D5140"/>
    <w:rsid w:val="08591B53"/>
    <w:rsid w:val="087F4C1E"/>
    <w:rsid w:val="08A00CAC"/>
    <w:rsid w:val="08A11AA0"/>
    <w:rsid w:val="08C32DBB"/>
    <w:rsid w:val="08F9013A"/>
    <w:rsid w:val="0908581E"/>
    <w:rsid w:val="090C3022"/>
    <w:rsid w:val="091F0FEF"/>
    <w:rsid w:val="09293C1C"/>
    <w:rsid w:val="093C7BDC"/>
    <w:rsid w:val="094422F5"/>
    <w:rsid w:val="09501632"/>
    <w:rsid w:val="09541F4B"/>
    <w:rsid w:val="0955056D"/>
    <w:rsid w:val="09670FF5"/>
    <w:rsid w:val="09671F09"/>
    <w:rsid w:val="09821A8A"/>
    <w:rsid w:val="09957574"/>
    <w:rsid w:val="099C0CDE"/>
    <w:rsid w:val="09A01AC7"/>
    <w:rsid w:val="09A07E44"/>
    <w:rsid w:val="09A3752A"/>
    <w:rsid w:val="09A729C9"/>
    <w:rsid w:val="09A80656"/>
    <w:rsid w:val="09AE133E"/>
    <w:rsid w:val="09BB6D63"/>
    <w:rsid w:val="09BF766A"/>
    <w:rsid w:val="09C12A91"/>
    <w:rsid w:val="09D41E3F"/>
    <w:rsid w:val="09D7525B"/>
    <w:rsid w:val="09E33DCA"/>
    <w:rsid w:val="09FA113C"/>
    <w:rsid w:val="09FB0CDF"/>
    <w:rsid w:val="09FB1114"/>
    <w:rsid w:val="09FD67E9"/>
    <w:rsid w:val="0A0041E2"/>
    <w:rsid w:val="0A0424B8"/>
    <w:rsid w:val="0A0B5121"/>
    <w:rsid w:val="0A11655F"/>
    <w:rsid w:val="0A167A7F"/>
    <w:rsid w:val="0A1E7A99"/>
    <w:rsid w:val="0A1E7C70"/>
    <w:rsid w:val="0A342878"/>
    <w:rsid w:val="0A344626"/>
    <w:rsid w:val="0A3F6C18"/>
    <w:rsid w:val="0A4B7BB6"/>
    <w:rsid w:val="0A626216"/>
    <w:rsid w:val="0A6D0F03"/>
    <w:rsid w:val="0A726EFC"/>
    <w:rsid w:val="0A733F58"/>
    <w:rsid w:val="0A765E32"/>
    <w:rsid w:val="0A7A4F9A"/>
    <w:rsid w:val="0A7D421F"/>
    <w:rsid w:val="0A813A44"/>
    <w:rsid w:val="0A870BFA"/>
    <w:rsid w:val="0A924985"/>
    <w:rsid w:val="0AA2673C"/>
    <w:rsid w:val="0ACC2AB1"/>
    <w:rsid w:val="0ADE529F"/>
    <w:rsid w:val="0AE150CC"/>
    <w:rsid w:val="0AE80E7C"/>
    <w:rsid w:val="0AEB7418"/>
    <w:rsid w:val="0B05532B"/>
    <w:rsid w:val="0B093D05"/>
    <w:rsid w:val="0B0E2A78"/>
    <w:rsid w:val="0B0F0330"/>
    <w:rsid w:val="0B111AA5"/>
    <w:rsid w:val="0B1B51A9"/>
    <w:rsid w:val="0B1D330C"/>
    <w:rsid w:val="0B25207A"/>
    <w:rsid w:val="0B2E6C33"/>
    <w:rsid w:val="0B442158"/>
    <w:rsid w:val="0B4C6E5E"/>
    <w:rsid w:val="0B4D1E43"/>
    <w:rsid w:val="0B4E5BBB"/>
    <w:rsid w:val="0B4F1B41"/>
    <w:rsid w:val="0B535FAE"/>
    <w:rsid w:val="0B552AA6"/>
    <w:rsid w:val="0B5F56D3"/>
    <w:rsid w:val="0B837CD0"/>
    <w:rsid w:val="0B884C29"/>
    <w:rsid w:val="0BA03C2D"/>
    <w:rsid w:val="0BAE21B6"/>
    <w:rsid w:val="0BAE588C"/>
    <w:rsid w:val="0BB41559"/>
    <w:rsid w:val="0BBF724F"/>
    <w:rsid w:val="0BC375B5"/>
    <w:rsid w:val="0BC63955"/>
    <w:rsid w:val="0BD36B95"/>
    <w:rsid w:val="0BDC2B05"/>
    <w:rsid w:val="0BED7AC3"/>
    <w:rsid w:val="0BF16634"/>
    <w:rsid w:val="0C0270B0"/>
    <w:rsid w:val="0C0D3381"/>
    <w:rsid w:val="0C0D7A99"/>
    <w:rsid w:val="0C1F0599"/>
    <w:rsid w:val="0C264442"/>
    <w:rsid w:val="0C316A63"/>
    <w:rsid w:val="0C3D5A96"/>
    <w:rsid w:val="0C4444D5"/>
    <w:rsid w:val="0C465FA0"/>
    <w:rsid w:val="0C474574"/>
    <w:rsid w:val="0C5065DE"/>
    <w:rsid w:val="0C511C1F"/>
    <w:rsid w:val="0C5E47D1"/>
    <w:rsid w:val="0C61547A"/>
    <w:rsid w:val="0C626150"/>
    <w:rsid w:val="0C655E36"/>
    <w:rsid w:val="0C6671C3"/>
    <w:rsid w:val="0C6B374D"/>
    <w:rsid w:val="0C6F7B97"/>
    <w:rsid w:val="0C776777"/>
    <w:rsid w:val="0C782EF0"/>
    <w:rsid w:val="0C7A3FBD"/>
    <w:rsid w:val="0C85528E"/>
    <w:rsid w:val="0C874EE1"/>
    <w:rsid w:val="0C9470B7"/>
    <w:rsid w:val="0C9B08B8"/>
    <w:rsid w:val="0C9C6F10"/>
    <w:rsid w:val="0CA27F6D"/>
    <w:rsid w:val="0CE031F7"/>
    <w:rsid w:val="0CE42333"/>
    <w:rsid w:val="0CF031B7"/>
    <w:rsid w:val="0D011D3C"/>
    <w:rsid w:val="0D0C53E6"/>
    <w:rsid w:val="0D116EA1"/>
    <w:rsid w:val="0D16240A"/>
    <w:rsid w:val="0D36491F"/>
    <w:rsid w:val="0D3F561A"/>
    <w:rsid w:val="0D4848A0"/>
    <w:rsid w:val="0D5D3682"/>
    <w:rsid w:val="0D6D057B"/>
    <w:rsid w:val="0D713AAF"/>
    <w:rsid w:val="0D7A67F4"/>
    <w:rsid w:val="0D7C53D8"/>
    <w:rsid w:val="0D827467"/>
    <w:rsid w:val="0D840F6C"/>
    <w:rsid w:val="0D896853"/>
    <w:rsid w:val="0D8E386E"/>
    <w:rsid w:val="0D957AD2"/>
    <w:rsid w:val="0D9A756D"/>
    <w:rsid w:val="0DA45757"/>
    <w:rsid w:val="0DB708B7"/>
    <w:rsid w:val="0DB83A46"/>
    <w:rsid w:val="0DC12675"/>
    <w:rsid w:val="0DC254D2"/>
    <w:rsid w:val="0DCB3E19"/>
    <w:rsid w:val="0DCF1DAD"/>
    <w:rsid w:val="0DE14AC5"/>
    <w:rsid w:val="0DF6090C"/>
    <w:rsid w:val="0DFC39FC"/>
    <w:rsid w:val="0DFE5BC4"/>
    <w:rsid w:val="0E06335B"/>
    <w:rsid w:val="0E1339E0"/>
    <w:rsid w:val="0E1A722C"/>
    <w:rsid w:val="0E4678D6"/>
    <w:rsid w:val="0E511C4A"/>
    <w:rsid w:val="0E590AFF"/>
    <w:rsid w:val="0E76520D"/>
    <w:rsid w:val="0E7B0A75"/>
    <w:rsid w:val="0E855986"/>
    <w:rsid w:val="0E8801FF"/>
    <w:rsid w:val="0E927A52"/>
    <w:rsid w:val="0EAC08BC"/>
    <w:rsid w:val="0EB62A25"/>
    <w:rsid w:val="0EC00B7E"/>
    <w:rsid w:val="0ECB4A99"/>
    <w:rsid w:val="0ECC35D9"/>
    <w:rsid w:val="0ED16285"/>
    <w:rsid w:val="0ED458F2"/>
    <w:rsid w:val="0ED4693B"/>
    <w:rsid w:val="0ED62150"/>
    <w:rsid w:val="0EE37204"/>
    <w:rsid w:val="0EE4486D"/>
    <w:rsid w:val="0EF058FB"/>
    <w:rsid w:val="0EF2523B"/>
    <w:rsid w:val="0EF60AB7"/>
    <w:rsid w:val="0EFA7B59"/>
    <w:rsid w:val="0EFD76DC"/>
    <w:rsid w:val="0F0563A0"/>
    <w:rsid w:val="0F185413"/>
    <w:rsid w:val="0F1D38DB"/>
    <w:rsid w:val="0F2B5050"/>
    <w:rsid w:val="0F384BB8"/>
    <w:rsid w:val="0F3B5EF1"/>
    <w:rsid w:val="0F3E3322"/>
    <w:rsid w:val="0F456BFE"/>
    <w:rsid w:val="0F4946D0"/>
    <w:rsid w:val="0F4C2740"/>
    <w:rsid w:val="0F563291"/>
    <w:rsid w:val="0F5B24A1"/>
    <w:rsid w:val="0F635A4C"/>
    <w:rsid w:val="0F6931C8"/>
    <w:rsid w:val="0F977B31"/>
    <w:rsid w:val="0FA51DD8"/>
    <w:rsid w:val="0FA533AF"/>
    <w:rsid w:val="0FB676E2"/>
    <w:rsid w:val="0FC14BAE"/>
    <w:rsid w:val="0FD17044"/>
    <w:rsid w:val="0FD75899"/>
    <w:rsid w:val="0FFA1E6E"/>
    <w:rsid w:val="1005368D"/>
    <w:rsid w:val="10084FF9"/>
    <w:rsid w:val="10164E3D"/>
    <w:rsid w:val="10235934"/>
    <w:rsid w:val="10286AF6"/>
    <w:rsid w:val="102A1F5D"/>
    <w:rsid w:val="104100E8"/>
    <w:rsid w:val="10464C43"/>
    <w:rsid w:val="10547DD8"/>
    <w:rsid w:val="105744E8"/>
    <w:rsid w:val="106B4B1A"/>
    <w:rsid w:val="107734BE"/>
    <w:rsid w:val="107E2A9F"/>
    <w:rsid w:val="10833C11"/>
    <w:rsid w:val="108A4FA0"/>
    <w:rsid w:val="10955B2F"/>
    <w:rsid w:val="109868A6"/>
    <w:rsid w:val="10B70033"/>
    <w:rsid w:val="10BE7AAC"/>
    <w:rsid w:val="10C9787B"/>
    <w:rsid w:val="10D77991"/>
    <w:rsid w:val="10EC4218"/>
    <w:rsid w:val="10ED3781"/>
    <w:rsid w:val="10F93ED3"/>
    <w:rsid w:val="11036B00"/>
    <w:rsid w:val="110A00C6"/>
    <w:rsid w:val="11203B56"/>
    <w:rsid w:val="112C1969"/>
    <w:rsid w:val="113F1490"/>
    <w:rsid w:val="1142587A"/>
    <w:rsid w:val="114C007F"/>
    <w:rsid w:val="114D329F"/>
    <w:rsid w:val="11921749"/>
    <w:rsid w:val="11965869"/>
    <w:rsid w:val="11992AC1"/>
    <w:rsid w:val="119F6630"/>
    <w:rsid w:val="11AB38BE"/>
    <w:rsid w:val="11AB78C4"/>
    <w:rsid w:val="11B61270"/>
    <w:rsid w:val="11C65384"/>
    <w:rsid w:val="11D95C36"/>
    <w:rsid w:val="11DA047F"/>
    <w:rsid w:val="11F0184F"/>
    <w:rsid w:val="12094350"/>
    <w:rsid w:val="12134C2A"/>
    <w:rsid w:val="12183CC4"/>
    <w:rsid w:val="121F5BBC"/>
    <w:rsid w:val="122338FE"/>
    <w:rsid w:val="12303925"/>
    <w:rsid w:val="12386C7D"/>
    <w:rsid w:val="12501C41"/>
    <w:rsid w:val="125957A1"/>
    <w:rsid w:val="12644A7C"/>
    <w:rsid w:val="12705F50"/>
    <w:rsid w:val="12797A0B"/>
    <w:rsid w:val="127C75DE"/>
    <w:rsid w:val="12901631"/>
    <w:rsid w:val="129F1D9B"/>
    <w:rsid w:val="12A2347A"/>
    <w:rsid w:val="12A65A60"/>
    <w:rsid w:val="12A80D3A"/>
    <w:rsid w:val="12B46304"/>
    <w:rsid w:val="12B51E98"/>
    <w:rsid w:val="12C603DA"/>
    <w:rsid w:val="12C85ACD"/>
    <w:rsid w:val="12CB0F05"/>
    <w:rsid w:val="12DF4148"/>
    <w:rsid w:val="12DF5787"/>
    <w:rsid w:val="12F26E2C"/>
    <w:rsid w:val="13001549"/>
    <w:rsid w:val="130C4392"/>
    <w:rsid w:val="13135720"/>
    <w:rsid w:val="1332640D"/>
    <w:rsid w:val="133501ED"/>
    <w:rsid w:val="133767A4"/>
    <w:rsid w:val="133B07BF"/>
    <w:rsid w:val="13427E55"/>
    <w:rsid w:val="134379B3"/>
    <w:rsid w:val="13766BE3"/>
    <w:rsid w:val="137B4F51"/>
    <w:rsid w:val="138228A6"/>
    <w:rsid w:val="138A7508"/>
    <w:rsid w:val="13985C26"/>
    <w:rsid w:val="139D4FEA"/>
    <w:rsid w:val="13A14FBF"/>
    <w:rsid w:val="13A96016"/>
    <w:rsid w:val="13AC57F8"/>
    <w:rsid w:val="13AF2762"/>
    <w:rsid w:val="13B14F39"/>
    <w:rsid w:val="13B97EE4"/>
    <w:rsid w:val="13DF2DA3"/>
    <w:rsid w:val="13E470BD"/>
    <w:rsid w:val="13E84D18"/>
    <w:rsid w:val="13F310AE"/>
    <w:rsid w:val="13FD357C"/>
    <w:rsid w:val="1403099A"/>
    <w:rsid w:val="14033C6A"/>
    <w:rsid w:val="14072DAB"/>
    <w:rsid w:val="14195FFB"/>
    <w:rsid w:val="142317B8"/>
    <w:rsid w:val="142376D5"/>
    <w:rsid w:val="14351D79"/>
    <w:rsid w:val="144E0982"/>
    <w:rsid w:val="1463784D"/>
    <w:rsid w:val="146F2E2A"/>
    <w:rsid w:val="148443FC"/>
    <w:rsid w:val="14894222"/>
    <w:rsid w:val="148B6803"/>
    <w:rsid w:val="14956609"/>
    <w:rsid w:val="14BB6070"/>
    <w:rsid w:val="14C8253B"/>
    <w:rsid w:val="14D26F15"/>
    <w:rsid w:val="14E0580D"/>
    <w:rsid w:val="14ED4913"/>
    <w:rsid w:val="15107A3E"/>
    <w:rsid w:val="151326FF"/>
    <w:rsid w:val="15191A6E"/>
    <w:rsid w:val="1520289B"/>
    <w:rsid w:val="15372817"/>
    <w:rsid w:val="15507658"/>
    <w:rsid w:val="15574A5F"/>
    <w:rsid w:val="155B7B8E"/>
    <w:rsid w:val="15771381"/>
    <w:rsid w:val="1582731D"/>
    <w:rsid w:val="15880362"/>
    <w:rsid w:val="158A3C94"/>
    <w:rsid w:val="15AE7982"/>
    <w:rsid w:val="15BA6327"/>
    <w:rsid w:val="15C64414"/>
    <w:rsid w:val="15CA2E6E"/>
    <w:rsid w:val="15CF16A7"/>
    <w:rsid w:val="15DB1323"/>
    <w:rsid w:val="15E06E6A"/>
    <w:rsid w:val="15E149F4"/>
    <w:rsid w:val="15EC3FC3"/>
    <w:rsid w:val="15FC72EA"/>
    <w:rsid w:val="160838A2"/>
    <w:rsid w:val="16111CBF"/>
    <w:rsid w:val="161C4039"/>
    <w:rsid w:val="1620060F"/>
    <w:rsid w:val="16270A78"/>
    <w:rsid w:val="16531299"/>
    <w:rsid w:val="165C5741"/>
    <w:rsid w:val="165E218F"/>
    <w:rsid w:val="16610AB7"/>
    <w:rsid w:val="168263A6"/>
    <w:rsid w:val="16877CA9"/>
    <w:rsid w:val="16912848"/>
    <w:rsid w:val="1699418F"/>
    <w:rsid w:val="169E79F7"/>
    <w:rsid w:val="169F4260"/>
    <w:rsid w:val="16A0450C"/>
    <w:rsid w:val="16B6220D"/>
    <w:rsid w:val="16BA2B3B"/>
    <w:rsid w:val="16BF4870"/>
    <w:rsid w:val="16C3745D"/>
    <w:rsid w:val="16CF2FE2"/>
    <w:rsid w:val="16CF678A"/>
    <w:rsid w:val="16D375ED"/>
    <w:rsid w:val="16DB3E22"/>
    <w:rsid w:val="16DC407B"/>
    <w:rsid w:val="16E01C07"/>
    <w:rsid w:val="16EC2F91"/>
    <w:rsid w:val="16F615E1"/>
    <w:rsid w:val="16F921CD"/>
    <w:rsid w:val="17196F8C"/>
    <w:rsid w:val="173358D0"/>
    <w:rsid w:val="17365E81"/>
    <w:rsid w:val="173C434C"/>
    <w:rsid w:val="173E7A8F"/>
    <w:rsid w:val="174B6B68"/>
    <w:rsid w:val="175C0B85"/>
    <w:rsid w:val="175E2CE2"/>
    <w:rsid w:val="17602AE3"/>
    <w:rsid w:val="1761070A"/>
    <w:rsid w:val="176D4945"/>
    <w:rsid w:val="17721D0F"/>
    <w:rsid w:val="1776627E"/>
    <w:rsid w:val="177702D8"/>
    <w:rsid w:val="178A2E03"/>
    <w:rsid w:val="178C372E"/>
    <w:rsid w:val="17A0413C"/>
    <w:rsid w:val="17A771A4"/>
    <w:rsid w:val="17AE3C6A"/>
    <w:rsid w:val="17B36DE7"/>
    <w:rsid w:val="17B40B54"/>
    <w:rsid w:val="17BE19D3"/>
    <w:rsid w:val="17C756E4"/>
    <w:rsid w:val="17D45786"/>
    <w:rsid w:val="17DB0714"/>
    <w:rsid w:val="17E51656"/>
    <w:rsid w:val="17FC17DF"/>
    <w:rsid w:val="17FE566D"/>
    <w:rsid w:val="181D5D28"/>
    <w:rsid w:val="1820029D"/>
    <w:rsid w:val="182069E9"/>
    <w:rsid w:val="18234574"/>
    <w:rsid w:val="18273A1C"/>
    <w:rsid w:val="182F3296"/>
    <w:rsid w:val="18351C95"/>
    <w:rsid w:val="18354E66"/>
    <w:rsid w:val="18381785"/>
    <w:rsid w:val="18381E73"/>
    <w:rsid w:val="18386ED8"/>
    <w:rsid w:val="183F2B14"/>
    <w:rsid w:val="184E7FCE"/>
    <w:rsid w:val="1864257A"/>
    <w:rsid w:val="18655B7C"/>
    <w:rsid w:val="18656DB1"/>
    <w:rsid w:val="18BE4634"/>
    <w:rsid w:val="18BE55E5"/>
    <w:rsid w:val="18CD4E78"/>
    <w:rsid w:val="18DF06AB"/>
    <w:rsid w:val="19065A91"/>
    <w:rsid w:val="190F554B"/>
    <w:rsid w:val="19120228"/>
    <w:rsid w:val="192F2B88"/>
    <w:rsid w:val="19477ABA"/>
    <w:rsid w:val="194859F8"/>
    <w:rsid w:val="194F204E"/>
    <w:rsid w:val="19532596"/>
    <w:rsid w:val="19560BD8"/>
    <w:rsid w:val="195E521C"/>
    <w:rsid w:val="195F2D42"/>
    <w:rsid w:val="19654926"/>
    <w:rsid w:val="196C5488"/>
    <w:rsid w:val="196C7118"/>
    <w:rsid w:val="196D14DD"/>
    <w:rsid w:val="1970491C"/>
    <w:rsid w:val="19856C4C"/>
    <w:rsid w:val="198D3D53"/>
    <w:rsid w:val="19A14F2D"/>
    <w:rsid w:val="19BB61C6"/>
    <w:rsid w:val="19CC0666"/>
    <w:rsid w:val="19DF21D8"/>
    <w:rsid w:val="19ED659F"/>
    <w:rsid w:val="19F636A6"/>
    <w:rsid w:val="19F952E2"/>
    <w:rsid w:val="1A1678A4"/>
    <w:rsid w:val="1A203EF2"/>
    <w:rsid w:val="1A257008"/>
    <w:rsid w:val="1A292DD4"/>
    <w:rsid w:val="1A2B456B"/>
    <w:rsid w:val="1A537115"/>
    <w:rsid w:val="1A612A1C"/>
    <w:rsid w:val="1A75281D"/>
    <w:rsid w:val="1A846CB9"/>
    <w:rsid w:val="1A883F8C"/>
    <w:rsid w:val="1A8E7D82"/>
    <w:rsid w:val="1A947DBD"/>
    <w:rsid w:val="1A9C7BAA"/>
    <w:rsid w:val="1AA80E44"/>
    <w:rsid w:val="1AB428BA"/>
    <w:rsid w:val="1AB937DF"/>
    <w:rsid w:val="1AC40B3F"/>
    <w:rsid w:val="1ACA4736"/>
    <w:rsid w:val="1ACE6812"/>
    <w:rsid w:val="1AE6528E"/>
    <w:rsid w:val="1AF56462"/>
    <w:rsid w:val="1AF87270"/>
    <w:rsid w:val="1AFD5D26"/>
    <w:rsid w:val="1B0077AB"/>
    <w:rsid w:val="1B05203B"/>
    <w:rsid w:val="1B284797"/>
    <w:rsid w:val="1B3161C8"/>
    <w:rsid w:val="1B4D6483"/>
    <w:rsid w:val="1B5D0493"/>
    <w:rsid w:val="1B6A2598"/>
    <w:rsid w:val="1B7F2725"/>
    <w:rsid w:val="1B8342A5"/>
    <w:rsid w:val="1B835F0C"/>
    <w:rsid w:val="1B836D49"/>
    <w:rsid w:val="1B8C12F5"/>
    <w:rsid w:val="1B972169"/>
    <w:rsid w:val="1BBD091F"/>
    <w:rsid w:val="1BC33C07"/>
    <w:rsid w:val="1BDF1618"/>
    <w:rsid w:val="1BE2796C"/>
    <w:rsid w:val="1BE51A7E"/>
    <w:rsid w:val="1BF22477"/>
    <w:rsid w:val="1BF65BBD"/>
    <w:rsid w:val="1BFA092C"/>
    <w:rsid w:val="1BFA0C5D"/>
    <w:rsid w:val="1BFB1448"/>
    <w:rsid w:val="1C0A2D4E"/>
    <w:rsid w:val="1C2B3706"/>
    <w:rsid w:val="1C357D1B"/>
    <w:rsid w:val="1C3E79C8"/>
    <w:rsid w:val="1C47643B"/>
    <w:rsid w:val="1C4D0737"/>
    <w:rsid w:val="1C4E1577"/>
    <w:rsid w:val="1C4F3541"/>
    <w:rsid w:val="1C5555C3"/>
    <w:rsid w:val="1C6D7908"/>
    <w:rsid w:val="1C7142BF"/>
    <w:rsid w:val="1C721804"/>
    <w:rsid w:val="1C7B60E4"/>
    <w:rsid w:val="1C8F233F"/>
    <w:rsid w:val="1C953DEA"/>
    <w:rsid w:val="1CB3003D"/>
    <w:rsid w:val="1CB54BB4"/>
    <w:rsid w:val="1CCB0B3D"/>
    <w:rsid w:val="1CCB0E1A"/>
    <w:rsid w:val="1CD82543"/>
    <w:rsid w:val="1CE558F5"/>
    <w:rsid w:val="1CE95744"/>
    <w:rsid w:val="1CEE2F53"/>
    <w:rsid w:val="1CF00880"/>
    <w:rsid w:val="1CFE580E"/>
    <w:rsid w:val="1D034873"/>
    <w:rsid w:val="1D050FAB"/>
    <w:rsid w:val="1D067072"/>
    <w:rsid w:val="1D0B56BA"/>
    <w:rsid w:val="1D1931C2"/>
    <w:rsid w:val="1D1A5933"/>
    <w:rsid w:val="1D277E8F"/>
    <w:rsid w:val="1D2E76EA"/>
    <w:rsid w:val="1D2F75FB"/>
    <w:rsid w:val="1D4C45D1"/>
    <w:rsid w:val="1D4F5270"/>
    <w:rsid w:val="1D697473"/>
    <w:rsid w:val="1D9E32D9"/>
    <w:rsid w:val="1DAC0B1D"/>
    <w:rsid w:val="1DAC0C4B"/>
    <w:rsid w:val="1DCF61E0"/>
    <w:rsid w:val="1DD41F50"/>
    <w:rsid w:val="1DEA449D"/>
    <w:rsid w:val="1DF45212"/>
    <w:rsid w:val="1DF919B7"/>
    <w:rsid w:val="1E031A4F"/>
    <w:rsid w:val="1E0518D3"/>
    <w:rsid w:val="1E0839A8"/>
    <w:rsid w:val="1E1660C5"/>
    <w:rsid w:val="1E3033EF"/>
    <w:rsid w:val="1E32375F"/>
    <w:rsid w:val="1E326739"/>
    <w:rsid w:val="1E4924FE"/>
    <w:rsid w:val="1E4C2987"/>
    <w:rsid w:val="1E5B03BF"/>
    <w:rsid w:val="1E611FF0"/>
    <w:rsid w:val="1E7419C1"/>
    <w:rsid w:val="1E82375A"/>
    <w:rsid w:val="1EAA7D2F"/>
    <w:rsid w:val="1EB4768C"/>
    <w:rsid w:val="1EB756DE"/>
    <w:rsid w:val="1EDD1368"/>
    <w:rsid w:val="1EEC01C4"/>
    <w:rsid w:val="1F004F75"/>
    <w:rsid w:val="1F02489B"/>
    <w:rsid w:val="1F046865"/>
    <w:rsid w:val="1F215C8B"/>
    <w:rsid w:val="1F301408"/>
    <w:rsid w:val="1F3702EE"/>
    <w:rsid w:val="1F3B2567"/>
    <w:rsid w:val="1F404366"/>
    <w:rsid w:val="1F4271E7"/>
    <w:rsid w:val="1F474F76"/>
    <w:rsid w:val="1F49661C"/>
    <w:rsid w:val="1F9429D6"/>
    <w:rsid w:val="1FA6791C"/>
    <w:rsid w:val="1FA80624"/>
    <w:rsid w:val="1FB14BE7"/>
    <w:rsid w:val="1FCE33A5"/>
    <w:rsid w:val="1FCF0C21"/>
    <w:rsid w:val="1FD076F3"/>
    <w:rsid w:val="1FD20711"/>
    <w:rsid w:val="1FD77AD6"/>
    <w:rsid w:val="1FDE70B6"/>
    <w:rsid w:val="1FEA66CE"/>
    <w:rsid w:val="1FEB4313"/>
    <w:rsid w:val="1FEE5A47"/>
    <w:rsid w:val="1FF40909"/>
    <w:rsid w:val="2007660D"/>
    <w:rsid w:val="200C3197"/>
    <w:rsid w:val="200E4011"/>
    <w:rsid w:val="201523AC"/>
    <w:rsid w:val="20166252"/>
    <w:rsid w:val="201B2E55"/>
    <w:rsid w:val="201C57D3"/>
    <w:rsid w:val="20384A18"/>
    <w:rsid w:val="204B4BB2"/>
    <w:rsid w:val="205100F2"/>
    <w:rsid w:val="205B0B85"/>
    <w:rsid w:val="20744B90"/>
    <w:rsid w:val="20857532"/>
    <w:rsid w:val="20872A54"/>
    <w:rsid w:val="208E0C7B"/>
    <w:rsid w:val="209303AC"/>
    <w:rsid w:val="209D2ACD"/>
    <w:rsid w:val="20B40849"/>
    <w:rsid w:val="20BB5253"/>
    <w:rsid w:val="20CE2C87"/>
    <w:rsid w:val="20CF4A6E"/>
    <w:rsid w:val="20E53B86"/>
    <w:rsid w:val="20ED01BD"/>
    <w:rsid w:val="20F122CF"/>
    <w:rsid w:val="20FA6951"/>
    <w:rsid w:val="21036593"/>
    <w:rsid w:val="211865F8"/>
    <w:rsid w:val="212C60E2"/>
    <w:rsid w:val="212E3AEF"/>
    <w:rsid w:val="213C49BF"/>
    <w:rsid w:val="214E003C"/>
    <w:rsid w:val="217105E2"/>
    <w:rsid w:val="217F6677"/>
    <w:rsid w:val="218A22AE"/>
    <w:rsid w:val="21A260CC"/>
    <w:rsid w:val="21A97250"/>
    <w:rsid w:val="21B856E5"/>
    <w:rsid w:val="21C26972"/>
    <w:rsid w:val="21C747A7"/>
    <w:rsid w:val="21D75751"/>
    <w:rsid w:val="21DB2C70"/>
    <w:rsid w:val="21E962A7"/>
    <w:rsid w:val="21EA5582"/>
    <w:rsid w:val="21FF7E06"/>
    <w:rsid w:val="2209790D"/>
    <w:rsid w:val="2210107D"/>
    <w:rsid w:val="221C5C74"/>
    <w:rsid w:val="222E45A7"/>
    <w:rsid w:val="223034CD"/>
    <w:rsid w:val="22306E3A"/>
    <w:rsid w:val="2258337D"/>
    <w:rsid w:val="226159F3"/>
    <w:rsid w:val="22681F0D"/>
    <w:rsid w:val="226F2EA9"/>
    <w:rsid w:val="22714F68"/>
    <w:rsid w:val="227B0F9B"/>
    <w:rsid w:val="227E692E"/>
    <w:rsid w:val="228A7D35"/>
    <w:rsid w:val="22B478FE"/>
    <w:rsid w:val="22BB60FF"/>
    <w:rsid w:val="22BE1816"/>
    <w:rsid w:val="22D33394"/>
    <w:rsid w:val="22D66196"/>
    <w:rsid w:val="22DE47AF"/>
    <w:rsid w:val="22EB547A"/>
    <w:rsid w:val="22F10EAE"/>
    <w:rsid w:val="22F8335B"/>
    <w:rsid w:val="230074E7"/>
    <w:rsid w:val="23055EEC"/>
    <w:rsid w:val="23076316"/>
    <w:rsid w:val="23091E70"/>
    <w:rsid w:val="230F25DD"/>
    <w:rsid w:val="23103A2A"/>
    <w:rsid w:val="231144E4"/>
    <w:rsid w:val="2320398D"/>
    <w:rsid w:val="232804AB"/>
    <w:rsid w:val="23294CBD"/>
    <w:rsid w:val="232C4727"/>
    <w:rsid w:val="2342410B"/>
    <w:rsid w:val="234C6F3D"/>
    <w:rsid w:val="23606162"/>
    <w:rsid w:val="23654070"/>
    <w:rsid w:val="23654586"/>
    <w:rsid w:val="237C4C1C"/>
    <w:rsid w:val="23817044"/>
    <w:rsid w:val="238275E5"/>
    <w:rsid w:val="238647DA"/>
    <w:rsid w:val="23B0187E"/>
    <w:rsid w:val="23B732D3"/>
    <w:rsid w:val="23B97B95"/>
    <w:rsid w:val="23BD23FC"/>
    <w:rsid w:val="23BD4BAD"/>
    <w:rsid w:val="23CA24BD"/>
    <w:rsid w:val="23D2181F"/>
    <w:rsid w:val="23EB7FF4"/>
    <w:rsid w:val="24027F80"/>
    <w:rsid w:val="24061C63"/>
    <w:rsid w:val="2419690F"/>
    <w:rsid w:val="241C2D00"/>
    <w:rsid w:val="2422030A"/>
    <w:rsid w:val="242749C2"/>
    <w:rsid w:val="24415FF3"/>
    <w:rsid w:val="244B1945"/>
    <w:rsid w:val="245B6F27"/>
    <w:rsid w:val="245C4332"/>
    <w:rsid w:val="247F4DE3"/>
    <w:rsid w:val="2481649F"/>
    <w:rsid w:val="2487655B"/>
    <w:rsid w:val="24A42887"/>
    <w:rsid w:val="24BC1F63"/>
    <w:rsid w:val="24C6093E"/>
    <w:rsid w:val="24C85C3F"/>
    <w:rsid w:val="24DA1DD2"/>
    <w:rsid w:val="24DE078D"/>
    <w:rsid w:val="24E0065E"/>
    <w:rsid w:val="24FA0E8C"/>
    <w:rsid w:val="25022907"/>
    <w:rsid w:val="2523607B"/>
    <w:rsid w:val="25246D8F"/>
    <w:rsid w:val="252C6CAA"/>
    <w:rsid w:val="252D0109"/>
    <w:rsid w:val="253A554B"/>
    <w:rsid w:val="25413CAF"/>
    <w:rsid w:val="25506360"/>
    <w:rsid w:val="25563DDE"/>
    <w:rsid w:val="25565941"/>
    <w:rsid w:val="25711304"/>
    <w:rsid w:val="257638ED"/>
    <w:rsid w:val="257B5644"/>
    <w:rsid w:val="25873D4C"/>
    <w:rsid w:val="25AB4DE7"/>
    <w:rsid w:val="25CD5C03"/>
    <w:rsid w:val="25D732A6"/>
    <w:rsid w:val="25E1751A"/>
    <w:rsid w:val="25E51036"/>
    <w:rsid w:val="260B5D15"/>
    <w:rsid w:val="260F2A3B"/>
    <w:rsid w:val="26153106"/>
    <w:rsid w:val="261B099F"/>
    <w:rsid w:val="26217DF1"/>
    <w:rsid w:val="265479E5"/>
    <w:rsid w:val="26594E46"/>
    <w:rsid w:val="265A2354"/>
    <w:rsid w:val="265D7353"/>
    <w:rsid w:val="26791D03"/>
    <w:rsid w:val="267C2264"/>
    <w:rsid w:val="268E2890"/>
    <w:rsid w:val="26B57584"/>
    <w:rsid w:val="26B65607"/>
    <w:rsid w:val="26B714A3"/>
    <w:rsid w:val="26B878C6"/>
    <w:rsid w:val="26BB60A2"/>
    <w:rsid w:val="26CB02AF"/>
    <w:rsid w:val="26D477AB"/>
    <w:rsid w:val="26DA4C5A"/>
    <w:rsid w:val="26DC3B65"/>
    <w:rsid w:val="26E760D0"/>
    <w:rsid w:val="26EE7226"/>
    <w:rsid w:val="26EF15AD"/>
    <w:rsid w:val="26F62F37"/>
    <w:rsid w:val="26F96B36"/>
    <w:rsid w:val="271055D7"/>
    <w:rsid w:val="271B39F9"/>
    <w:rsid w:val="2722563E"/>
    <w:rsid w:val="272F6ACE"/>
    <w:rsid w:val="275859A0"/>
    <w:rsid w:val="275D1456"/>
    <w:rsid w:val="2760453C"/>
    <w:rsid w:val="27677EE8"/>
    <w:rsid w:val="276A2C91"/>
    <w:rsid w:val="276B300F"/>
    <w:rsid w:val="277327DA"/>
    <w:rsid w:val="277B4DBB"/>
    <w:rsid w:val="277D265E"/>
    <w:rsid w:val="278542BB"/>
    <w:rsid w:val="27870033"/>
    <w:rsid w:val="278A3680"/>
    <w:rsid w:val="278F2573"/>
    <w:rsid w:val="279354DD"/>
    <w:rsid w:val="279D2657"/>
    <w:rsid w:val="27A86180"/>
    <w:rsid w:val="27B76119"/>
    <w:rsid w:val="27BA11FB"/>
    <w:rsid w:val="27C03587"/>
    <w:rsid w:val="27C6290A"/>
    <w:rsid w:val="27CF665E"/>
    <w:rsid w:val="27D96A21"/>
    <w:rsid w:val="27DD7361"/>
    <w:rsid w:val="27E267D5"/>
    <w:rsid w:val="27E67C02"/>
    <w:rsid w:val="27F0321E"/>
    <w:rsid w:val="27F27E01"/>
    <w:rsid w:val="27FC27CF"/>
    <w:rsid w:val="27FC4C3E"/>
    <w:rsid w:val="28033E7D"/>
    <w:rsid w:val="28053D2F"/>
    <w:rsid w:val="280B47C0"/>
    <w:rsid w:val="280C63A8"/>
    <w:rsid w:val="280D0956"/>
    <w:rsid w:val="280E2B80"/>
    <w:rsid w:val="281A15F3"/>
    <w:rsid w:val="281D61F8"/>
    <w:rsid w:val="28243D9D"/>
    <w:rsid w:val="282E29D2"/>
    <w:rsid w:val="28302775"/>
    <w:rsid w:val="283074A0"/>
    <w:rsid w:val="283F4D75"/>
    <w:rsid w:val="284A533C"/>
    <w:rsid w:val="284F1421"/>
    <w:rsid w:val="285717B4"/>
    <w:rsid w:val="28575C58"/>
    <w:rsid w:val="28577A06"/>
    <w:rsid w:val="28697739"/>
    <w:rsid w:val="286B525F"/>
    <w:rsid w:val="287A27B0"/>
    <w:rsid w:val="2880161A"/>
    <w:rsid w:val="28846321"/>
    <w:rsid w:val="28865461"/>
    <w:rsid w:val="288E196F"/>
    <w:rsid w:val="28920A3E"/>
    <w:rsid w:val="289A0FFA"/>
    <w:rsid w:val="289B5394"/>
    <w:rsid w:val="28A928BB"/>
    <w:rsid w:val="28AA2E6A"/>
    <w:rsid w:val="28B210AB"/>
    <w:rsid w:val="28CB615E"/>
    <w:rsid w:val="28DA4193"/>
    <w:rsid w:val="28F00BAC"/>
    <w:rsid w:val="28F45255"/>
    <w:rsid w:val="28F72F97"/>
    <w:rsid w:val="28FF2AE6"/>
    <w:rsid w:val="290045B0"/>
    <w:rsid w:val="291F052E"/>
    <w:rsid w:val="292A511A"/>
    <w:rsid w:val="292F479B"/>
    <w:rsid w:val="294E4F1F"/>
    <w:rsid w:val="29564DCA"/>
    <w:rsid w:val="297317D3"/>
    <w:rsid w:val="297E7214"/>
    <w:rsid w:val="29814577"/>
    <w:rsid w:val="298370C8"/>
    <w:rsid w:val="29856872"/>
    <w:rsid w:val="298621D9"/>
    <w:rsid w:val="29874822"/>
    <w:rsid w:val="298D57C7"/>
    <w:rsid w:val="299A2DD8"/>
    <w:rsid w:val="29A1748C"/>
    <w:rsid w:val="29AE1C97"/>
    <w:rsid w:val="29B1315D"/>
    <w:rsid w:val="29B83E8B"/>
    <w:rsid w:val="29BD1846"/>
    <w:rsid w:val="29CF181E"/>
    <w:rsid w:val="29EA3ABC"/>
    <w:rsid w:val="29EF1312"/>
    <w:rsid w:val="29F04FCA"/>
    <w:rsid w:val="29F5733B"/>
    <w:rsid w:val="29FA0633"/>
    <w:rsid w:val="29FE7B47"/>
    <w:rsid w:val="2A0840E6"/>
    <w:rsid w:val="2A142CA0"/>
    <w:rsid w:val="2A200AAF"/>
    <w:rsid w:val="2A297180"/>
    <w:rsid w:val="2A2E160B"/>
    <w:rsid w:val="2A3049B2"/>
    <w:rsid w:val="2A355B25"/>
    <w:rsid w:val="2A392F30"/>
    <w:rsid w:val="2A40080A"/>
    <w:rsid w:val="2A4018B0"/>
    <w:rsid w:val="2A456BC6"/>
    <w:rsid w:val="2A4917F3"/>
    <w:rsid w:val="2A4D6D7B"/>
    <w:rsid w:val="2A5E6A18"/>
    <w:rsid w:val="2A87171A"/>
    <w:rsid w:val="2A893A72"/>
    <w:rsid w:val="2A8964D8"/>
    <w:rsid w:val="2A8A6E1E"/>
    <w:rsid w:val="2A94496D"/>
    <w:rsid w:val="2A9C737E"/>
    <w:rsid w:val="2AA607D0"/>
    <w:rsid w:val="2AAE45D1"/>
    <w:rsid w:val="2AC73582"/>
    <w:rsid w:val="2AD509DD"/>
    <w:rsid w:val="2ADA69F3"/>
    <w:rsid w:val="2ADD1B45"/>
    <w:rsid w:val="2ADF03DE"/>
    <w:rsid w:val="2AE13EFE"/>
    <w:rsid w:val="2AFD4458"/>
    <w:rsid w:val="2B1E0CAF"/>
    <w:rsid w:val="2B2700E3"/>
    <w:rsid w:val="2B33701E"/>
    <w:rsid w:val="2B363826"/>
    <w:rsid w:val="2B3F46DF"/>
    <w:rsid w:val="2B411C10"/>
    <w:rsid w:val="2B686F10"/>
    <w:rsid w:val="2B6D3C2D"/>
    <w:rsid w:val="2B794137"/>
    <w:rsid w:val="2B8054C5"/>
    <w:rsid w:val="2B881574"/>
    <w:rsid w:val="2B961E48"/>
    <w:rsid w:val="2BAE2033"/>
    <w:rsid w:val="2BB10E19"/>
    <w:rsid w:val="2BBA0D78"/>
    <w:rsid w:val="2BBD3EBE"/>
    <w:rsid w:val="2BBD4403"/>
    <w:rsid w:val="2BC52FD9"/>
    <w:rsid w:val="2BC80E7E"/>
    <w:rsid w:val="2BD001FB"/>
    <w:rsid w:val="2BD41EAC"/>
    <w:rsid w:val="2BE377ED"/>
    <w:rsid w:val="2BE42BAA"/>
    <w:rsid w:val="2BE72C37"/>
    <w:rsid w:val="2BF01D9B"/>
    <w:rsid w:val="2BF37A45"/>
    <w:rsid w:val="2C125B1F"/>
    <w:rsid w:val="2C1637CE"/>
    <w:rsid w:val="2C1F0378"/>
    <w:rsid w:val="2C7A7731"/>
    <w:rsid w:val="2C956603"/>
    <w:rsid w:val="2CA27357"/>
    <w:rsid w:val="2CA83832"/>
    <w:rsid w:val="2CAA441E"/>
    <w:rsid w:val="2CAC0C68"/>
    <w:rsid w:val="2CBE38FD"/>
    <w:rsid w:val="2CCA4A56"/>
    <w:rsid w:val="2CCB5B45"/>
    <w:rsid w:val="2CDC010A"/>
    <w:rsid w:val="2CE5374C"/>
    <w:rsid w:val="2CF77681"/>
    <w:rsid w:val="2CFD3981"/>
    <w:rsid w:val="2D1C431A"/>
    <w:rsid w:val="2D1C4D7A"/>
    <w:rsid w:val="2D2C51EC"/>
    <w:rsid w:val="2D4935AC"/>
    <w:rsid w:val="2D493DCD"/>
    <w:rsid w:val="2D670CE2"/>
    <w:rsid w:val="2D697326"/>
    <w:rsid w:val="2D6C09B2"/>
    <w:rsid w:val="2D7566D8"/>
    <w:rsid w:val="2D8017AD"/>
    <w:rsid w:val="2DBB0FB2"/>
    <w:rsid w:val="2DCE7BCA"/>
    <w:rsid w:val="2DF3628F"/>
    <w:rsid w:val="2DFF6B75"/>
    <w:rsid w:val="2E2F6D2F"/>
    <w:rsid w:val="2E330430"/>
    <w:rsid w:val="2E446745"/>
    <w:rsid w:val="2E5454F9"/>
    <w:rsid w:val="2E575727"/>
    <w:rsid w:val="2E5B2891"/>
    <w:rsid w:val="2E627104"/>
    <w:rsid w:val="2E632C3A"/>
    <w:rsid w:val="2E76495E"/>
    <w:rsid w:val="2E813A38"/>
    <w:rsid w:val="2E840E29"/>
    <w:rsid w:val="2E9164D7"/>
    <w:rsid w:val="2E947BD2"/>
    <w:rsid w:val="2E9C6B58"/>
    <w:rsid w:val="2EA17C2D"/>
    <w:rsid w:val="2EBE4744"/>
    <w:rsid w:val="2EC851B9"/>
    <w:rsid w:val="2ED25570"/>
    <w:rsid w:val="2EDF143F"/>
    <w:rsid w:val="2EE639D5"/>
    <w:rsid w:val="2EE97C78"/>
    <w:rsid w:val="2EED6B95"/>
    <w:rsid w:val="2EEF5074"/>
    <w:rsid w:val="2EFA3040"/>
    <w:rsid w:val="2F000DF7"/>
    <w:rsid w:val="2F005D90"/>
    <w:rsid w:val="2F11041D"/>
    <w:rsid w:val="2F1A79DF"/>
    <w:rsid w:val="2F282AF7"/>
    <w:rsid w:val="2F2A7EBA"/>
    <w:rsid w:val="2F2C087C"/>
    <w:rsid w:val="2F2D7712"/>
    <w:rsid w:val="2F2E761D"/>
    <w:rsid w:val="2F3A3BDD"/>
    <w:rsid w:val="2F4607D4"/>
    <w:rsid w:val="2F585448"/>
    <w:rsid w:val="2F886361"/>
    <w:rsid w:val="2F8A6913"/>
    <w:rsid w:val="2F92185E"/>
    <w:rsid w:val="2FA26195"/>
    <w:rsid w:val="2FB142D6"/>
    <w:rsid w:val="2FCA7304"/>
    <w:rsid w:val="2FD22068"/>
    <w:rsid w:val="2FD50BA6"/>
    <w:rsid w:val="2FE065FC"/>
    <w:rsid w:val="2FE7751E"/>
    <w:rsid w:val="2FE97D6D"/>
    <w:rsid w:val="2FEA5603"/>
    <w:rsid w:val="2FF67E7C"/>
    <w:rsid w:val="2FFA53A6"/>
    <w:rsid w:val="2FFC0C14"/>
    <w:rsid w:val="30111B75"/>
    <w:rsid w:val="301E7C66"/>
    <w:rsid w:val="303838E5"/>
    <w:rsid w:val="303E3D77"/>
    <w:rsid w:val="305051F8"/>
    <w:rsid w:val="30641298"/>
    <w:rsid w:val="3065794D"/>
    <w:rsid w:val="30667749"/>
    <w:rsid w:val="307E2994"/>
    <w:rsid w:val="30867736"/>
    <w:rsid w:val="308D2386"/>
    <w:rsid w:val="30A1347E"/>
    <w:rsid w:val="30A530BB"/>
    <w:rsid w:val="30AD3885"/>
    <w:rsid w:val="30BC6725"/>
    <w:rsid w:val="30E33659"/>
    <w:rsid w:val="30FA7A74"/>
    <w:rsid w:val="310D7F1E"/>
    <w:rsid w:val="310E43BD"/>
    <w:rsid w:val="31236CCA"/>
    <w:rsid w:val="31280191"/>
    <w:rsid w:val="312A74A0"/>
    <w:rsid w:val="312D4941"/>
    <w:rsid w:val="3141717F"/>
    <w:rsid w:val="31430BC5"/>
    <w:rsid w:val="314E45CF"/>
    <w:rsid w:val="315822AE"/>
    <w:rsid w:val="315A5C79"/>
    <w:rsid w:val="315B6A09"/>
    <w:rsid w:val="315B7C22"/>
    <w:rsid w:val="316F1F3B"/>
    <w:rsid w:val="31AE3E57"/>
    <w:rsid w:val="31BE2C9D"/>
    <w:rsid w:val="31BF526D"/>
    <w:rsid w:val="31C17736"/>
    <w:rsid w:val="31C34AB9"/>
    <w:rsid w:val="31CB0F43"/>
    <w:rsid w:val="31D976DD"/>
    <w:rsid w:val="31E3055C"/>
    <w:rsid w:val="31E83DC4"/>
    <w:rsid w:val="31F6471F"/>
    <w:rsid w:val="32011947"/>
    <w:rsid w:val="321327E8"/>
    <w:rsid w:val="323668DE"/>
    <w:rsid w:val="323731E2"/>
    <w:rsid w:val="323963CE"/>
    <w:rsid w:val="324B1034"/>
    <w:rsid w:val="324E1191"/>
    <w:rsid w:val="324E7B8F"/>
    <w:rsid w:val="325E5DAA"/>
    <w:rsid w:val="32600B35"/>
    <w:rsid w:val="326E63CC"/>
    <w:rsid w:val="327E1A1D"/>
    <w:rsid w:val="32874F81"/>
    <w:rsid w:val="32892CC9"/>
    <w:rsid w:val="328F7F00"/>
    <w:rsid w:val="329506D0"/>
    <w:rsid w:val="32982106"/>
    <w:rsid w:val="329830F5"/>
    <w:rsid w:val="32F629B0"/>
    <w:rsid w:val="33060B25"/>
    <w:rsid w:val="33093B71"/>
    <w:rsid w:val="33116F58"/>
    <w:rsid w:val="332E3A59"/>
    <w:rsid w:val="333D1567"/>
    <w:rsid w:val="334528CA"/>
    <w:rsid w:val="335A33AB"/>
    <w:rsid w:val="3364747B"/>
    <w:rsid w:val="33680D19"/>
    <w:rsid w:val="33730036"/>
    <w:rsid w:val="33843679"/>
    <w:rsid w:val="33B43F5E"/>
    <w:rsid w:val="33B95385"/>
    <w:rsid w:val="33C04270"/>
    <w:rsid w:val="33C63CA9"/>
    <w:rsid w:val="33C93D5B"/>
    <w:rsid w:val="33CA2D93"/>
    <w:rsid w:val="33CC539B"/>
    <w:rsid w:val="33D60378"/>
    <w:rsid w:val="33DF4D54"/>
    <w:rsid w:val="33E660E2"/>
    <w:rsid w:val="33E70D43"/>
    <w:rsid w:val="33F407FF"/>
    <w:rsid w:val="34055EEA"/>
    <w:rsid w:val="340C5B48"/>
    <w:rsid w:val="341509B2"/>
    <w:rsid w:val="341E42FC"/>
    <w:rsid w:val="34326364"/>
    <w:rsid w:val="344076B3"/>
    <w:rsid w:val="3444151B"/>
    <w:rsid w:val="344E25CC"/>
    <w:rsid w:val="34690523"/>
    <w:rsid w:val="346A0AC1"/>
    <w:rsid w:val="347171DF"/>
    <w:rsid w:val="347D4D87"/>
    <w:rsid w:val="348B4F98"/>
    <w:rsid w:val="349519D6"/>
    <w:rsid w:val="34AF776F"/>
    <w:rsid w:val="34B81243"/>
    <w:rsid w:val="34BA1A48"/>
    <w:rsid w:val="34BF1622"/>
    <w:rsid w:val="34C96C44"/>
    <w:rsid w:val="34E33FD9"/>
    <w:rsid w:val="34E46AC5"/>
    <w:rsid w:val="34EF0FE3"/>
    <w:rsid w:val="34EF2EF3"/>
    <w:rsid w:val="34F43741"/>
    <w:rsid w:val="34F62354"/>
    <w:rsid w:val="350C4EE6"/>
    <w:rsid w:val="350E6E5D"/>
    <w:rsid w:val="35152BAF"/>
    <w:rsid w:val="3515527C"/>
    <w:rsid w:val="351917AF"/>
    <w:rsid w:val="352813DC"/>
    <w:rsid w:val="35352E7D"/>
    <w:rsid w:val="354558B8"/>
    <w:rsid w:val="35605664"/>
    <w:rsid w:val="35646059"/>
    <w:rsid w:val="3566664D"/>
    <w:rsid w:val="35683AF9"/>
    <w:rsid w:val="356B4BBD"/>
    <w:rsid w:val="35782713"/>
    <w:rsid w:val="35816D2B"/>
    <w:rsid w:val="358C7174"/>
    <w:rsid w:val="35956011"/>
    <w:rsid w:val="35B2056F"/>
    <w:rsid w:val="35B47C93"/>
    <w:rsid w:val="35BE2E72"/>
    <w:rsid w:val="35CA6AEE"/>
    <w:rsid w:val="35D96B49"/>
    <w:rsid w:val="35FD0483"/>
    <w:rsid w:val="360B7296"/>
    <w:rsid w:val="361A00DF"/>
    <w:rsid w:val="36296547"/>
    <w:rsid w:val="363B44C3"/>
    <w:rsid w:val="363D3F98"/>
    <w:rsid w:val="36413AA3"/>
    <w:rsid w:val="364C3AAE"/>
    <w:rsid w:val="36592A97"/>
    <w:rsid w:val="36602BB6"/>
    <w:rsid w:val="36740AF6"/>
    <w:rsid w:val="367B5207"/>
    <w:rsid w:val="368B6F70"/>
    <w:rsid w:val="369622A4"/>
    <w:rsid w:val="369F5E70"/>
    <w:rsid w:val="36AD058E"/>
    <w:rsid w:val="36C16AAB"/>
    <w:rsid w:val="36C20D84"/>
    <w:rsid w:val="36E50144"/>
    <w:rsid w:val="36EA7C97"/>
    <w:rsid w:val="36F21067"/>
    <w:rsid w:val="36F75FD1"/>
    <w:rsid w:val="37084D57"/>
    <w:rsid w:val="371F3DE4"/>
    <w:rsid w:val="373553B6"/>
    <w:rsid w:val="374B2E2B"/>
    <w:rsid w:val="37545091"/>
    <w:rsid w:val="37546640"/>
    <w:rsid w:val="37582F5A"/>
    <w:rsid w:val="375C22EB"/>
    <w:rsid w:val="375D2B5F"/>
    <w:rsid w:val="376419E9"/>
    <w:rsid w:val="37654B44"/>
    <w:rsid w:val="377A1D27"/>
    <w:rsid w:val="377F2AD5"/>
    <w:rsid w:val="378309E4"/>
    <w:rsid w:val="378C0D4E"/>
    <w:rsid w:val="37A02766"/>
    <w:rsid w:val="37BD53AB"/>
    <w:rsid w:val="37C56718"/>
    <w:rsid w:val="37C74E88"/>
    <w:rsid w:val="37DD15AA"/>
    <w:rsid w:val="3803716D"/>
    <w:rsid w:val="38043092"/>
    <w:rsid w:val="38187167"/>
    <w:rsid w:val="38250630"/>
    <w:rsid w:val="383428CB"/>
    <w:rsid w:val="3841140F"/>
    <w:rsid w:val="38424834"/>
    <w:rsid w:val="38442B07"/>
    <w:rsid w:val="38487597"/>
    <w:rsid w:val="384D3341"/>
    <w:rsid w:val="384D5E3D"/>
    <w:rsid w:val="386251AF"/>
    <w:rsid w:val="38670D12"/>
    <w:rsid w:val="38703F00"/>
    <w:rsid w:val="387543A5"/>
    <w:rsid w:val="388A06B0"/>
    <w:rsid w:val="388A4FF3"/>
    <w:rsid w:val="38934A8A"/>
    <w:rsid w:val="389B048C"/>
    <w:rsid w:val="38A333D2"/>
    <w:rsid w:val="38A51829"/>
    <w:rsid w:val="38B85C64"/>
    <w:rsid w:val="38C46EC4"/>
    <w:rsid w:val="38E26AF6"/>
    <w:rsid w:val="38E516DC"/>
    <w:rsid w:val="38E928FC"/>
    <w:rsid w:val="39016F24"/>
    <w:rsid w:val="39160AB4"/>
    <w:rsid w:val="3918737E"/>
    <w:rsid w:val="391975A4"/>
    <w:rsid w:val="391F645A"/>
    <w:rsid w:val="394916F9"/>
    <w:rsid w:val="394A5D81"/>
    <w:rsid w:val="39584D00"/>
    <w:rsid w:val="396F26D5"/>
    <w:rsid w:val="3977132C"/>
    <w:rsid w:val="398C5A2B"/>
    <w:rsid w:val="398F4611"/>
    <w:rsid w:val="398F7031"/>
    <w:rsid w:val="39A36673"/>
    <w:rsid w:val="39A5327C"/>
    <w:rsid w:val="39A80DAB"/>
    <w:rsid w:val="39CE1AF2"/>
    <w:rsid w:val="39DE64A1"/>
    <w:rsid w:val="39EC4850"/>
    <w:rsid w:val="39EF53C1"/>
    <w:rsid w:val="3A0379ED"/>
    <w:rsid w:val="3A0948D8"/>
    <w:rsid w:val="3A472A48"/>
    <w:rsid w:val="3A4B2663"/>
    <w:rsid w:val="3A4C07C2"/>
    <w:rsid w:val="3A662AC7"/>
    <w:rsid w:val="3A6815EC"/>
    <w:rsid w:val="3A706E73"/>
    <w:rsid w:val="3A7837D1"/>
    <w:rsid w:val="3A7E78DA"/>
    <w:rsid w:val="3AAC6550"/>
    <w:rsid w:val="3ABC30CE"/>
    <w:rsid w:val="3ACA050B"/>
    <w:rsid w:val="3AD924FC"/>
    <w:rsid w:val="3ADB2718"/>
    <w:rsid w:val="3ADB44C6"/>
    <w:rsid w:val="3AF33AC3"/>
    <w:rsid w:val="3B137C65"/>
    <w:rsid w:val="3B311A87"/>
    <w:rsid w:val="3B312338"/>
    <w:rsid w:val="3B3E6A81"/>
    <w:rsid w:val="3B441376"/>
    <w:rsid w:val="3B4F0A10"/>
    <w:rsid w:val="3B541B43"/>
    <w:rsid w:val="3B59446D"/>
    <w:rsid w:val="3B624DAA"/>
    <w:rsid w:val="3B630348"/>
    <w:rsid w:val="3B6F744F"/>
    <w:rsid w:val="3B822B94"/>
    <w:rsid w:val="3B84690C"/>
    <w:rsid w:val="3B8546B9"/>
    <w:rsid w:val="3BB61594"/>
    <w:rsid w:val="3BBA7170"/>
    <w:rsid w:val="3BCB1537"/>
    <w:rsid w:val="3BDD7357"/>
    <w:rsid w:val="3BDF201C"/>
    <w:rsid w:val="3BF13876"/>
    <w:rsid w:val="3BF27D19"/>
    <w:rsid w:val="3BF375EE"/>
    <w:rsid w:val="3BFA0BC7"/>
    <w:rsid w:val="3BFF3566"/>
    <w:rsid w:val="3C035E1E"/>
    <w:rsid w:val="3C1063F2"/>
    <w:rsid w:val="3C1F2FC0"/>
    <w:rsid w:val="3C2E0626"/>
    <w:rsid w:val="3C2E582E"/>
    <w:rsid w:val="3C3245BA"/>
    <w:rsid w:val="3C3251D9"/>
    <w:rsid w:val="3C3814A4"/>
    <w:rsid w:val="3C463F15"/>
    <w:rsid w:val="3C5851D9"/>
    <w:rsid w:val="3C5A6BC7"/>
    <w:rsid w:val="3C633A43"/>
    <w:rsid w:val="3C694EE5"/>
    <w:rsid w:val="3C7262C5"/>
    <w:rsid w:val="3C756255"/>
    <w:rsid w:val="3C940BFA"/>
    <w:rsid w:val="3CA9599D"/>
    <w:rsid w:val="3CAA23A2"/>
    <w:rsid w:val="3CC571DC"/>
    <w:rsid w:val="3CCF699C"/>
    <w:rsid w:val="3CD13DD3"/>
    <w:rsid w:val="3CD459EE"/>
    <w:rsid w:val="3CDA3AC5"/>
    <w:rsid w:val="3CE50A0D"/>
    <w:rsid w:val="3CF71663"/>
    <w:rsid w:val="3CFD6D40"/>
    <w:rsid w:val="3CFE7149"/>
    <w:rsid w:val="3CFE7B29"/>
    <w:rsid w:val="3D0E279C"/>
    <w:rsid w:val="3D112D10"/>
    <w:rsid w:val="3D1D157C"/>
    <w:rsid w:val="3D264521"/>
    <w:rsid w:val="3D4466EE"/>
    <w:rsid w:val="3D464997"/>
    <w:rsid w:val="3D552F65"/>
    <w:rsid w:val="3D5A55A1"/>
    <w:rsid w:val="3D6E1622"/>
    <w:rsid w:val="3D6E19E5"/>
    <w:rsid w:val="3D7D1E84"/>
    <w:rsid w:val="3D95620E"/>
    <w:rsid w:val="3D9F722B"/>
    <w:rsid w:val="3DA32353"/>
    <w:rsid w:val="3DC079A3"/>
    <w:rsid w:val="3DC808F4"/>
    <w:rsid w:val="3DCE20C0"/>
    <w:rsid w:val="3DD07BE6"/>
    <w:rsid w:val="3DD671C7"/>
    <w:rsid w:val="3DFC548F"/>
    <w:rsid w:val="3DFD452B"/>
    <w:rsid w:val="3E061F76"/>
    <w:rsid w:val="3E0748C6"/>
    <w:rsid w:val="3E077AB4"/>
    <w:rsid w:val="3E086EC7"/>
    <w:rsid w:val="3E0B0C9A"/>
    <w:rsid w:val="3E117CBE"/>
    <w:rsid w:val="3E12103A"/>
    <w:rsid w:val="3E17048A"/>
    <w:rsid w:val="3E1C788F"/>
    <w:rsid w:val="3E233019"/>
    <w:rsid w:val="3E287956"/>
    <w:rsid w:val="3E3772B0"/>
    <w:rsid w:val="3E3F4D6C"/>
    <w:rsid w:val="3E4601CC"/>
    <w:rsid w:val="3E6E11AD"/>
    <w:rsid w:val="3E7C0513"/>
    <w:rsid w:val="3E860BED"/>
    <w:rsid w:val="3E8610BE"/>
    <w:rsid w:val="3E8A718F"/>
    <w:rsid w:val="3EAE4245"/>
    <w:rsid w:val="3EAE4852"/>
    <w:rsid w:val="3EBD1E6E"/>
    <w:rsid w:val="3EBE37CE"/>
    <w:rsid w:val="3EC129FF"/>
    <w:rsid w:val="3EC95DEC"/>
    <w:rsid w:val="3EE22562"/>
    <w:rsid w:val="3EE4121D"/>
    <w:rsid w:val="3EE5462F"/>
    <w:rsid w:val="3EE97955"/>
    <w:rsid w:val="3F0A35CC"/>
    <w:rsid w:val="3F175EC4"/>
    <w:rsid w:val="3F1E7C2D"/>
    <w:rsid w:val="3F354C0B"/>
    <w:rsid w:val="3F37496B"/>
    <w:rsid w:val="3F3B1A2C"/>
    <w:rsid w:val="3F473ED8"/>
    <w:rsid w:val="3F4E1332"/>
    <w:rsid w:val="3F5443B1"/>
    <w:rsid w:val="3F620D12"/>
    <w:rsid w:val="3F635074"/>
    <w:rsid w:val="3F7B5566"/>
    <w:rsid w:val="3FB57928"/>
    <w:rsid w:val="3FBB27B3"/>
    <w:rsid w:val="3FBF5CBA"/>
    <w:rsid w:val="3FD20DF3"/>
    <w:rsid w:val="3FE6109F"/>
    <w:rsid w:val="3FEE6A4A"/>
    <w:rsid w:val="3FF036D6"/>
    <w:rsid w:val="3FFE6D98"/>
    <w:rsid w:val="40092D50"/>
    <w:rsid w:val="40187BE4"/>
    <w:rsid w:val="401D0C2C"/>
    <w:rsid w:val="402406BD"/>
    <w:rsid w:val="402606A6"/>
    <w:rsid w:val="402803C3"/>
    <w:rsid w:val="403D08A6"/>
    <w:rsid w:val="403D1A8C"/>
    <w:rsid w:val="40434C72"/>
    <w:rsid w:val="40461D7D"/>
    <w:rsid w:val="4048682E"/>
    <w:rsid w:val="404C35CE"/>
    <w:rsid w:val="40503261"/>
    <w:rsid w:val="405D2A3A"/>
    <w:rsid w:val="40624D42"/>
    <w:rsid w:val="407105CD"/>
    <w:rsid w:val="407C0E8D"/>
    <w:rsid w:val="407C4056"/>
    <w:rsid w:val="408A6D7E"/>
    <w:rsid w:val="40906F4C"/>
    <w:rsid w:val="409327E5"/>
    <w:rsid w:val="40994C08"/>
    <w:rsid w:val="40A738A5"/>
    <w:rsid w:val="40A84DF8"/>
    <w:rsid w:val="40AD7779"/>
    <w:rsid w:val="40B324F2"/>
    <w:rsid w:val="40B437EF"/>
    <w:rsid w:val="40C316C3"/>
    <w:rsid w:val="40C86825"/>
    <w:rsid w:val="40DB24F9"/>
    <w:rsid w:val="40ED0414"/>
    <w:rsid w:val="40F2629B"/>
    <w:rsid w:val="40F474CF"/>
    <w:rsid w:val="40F55BB6"/>
    <w:rsid w:val="40FA32AE"/>
    <w:rsid w:val="41263501"/>
    <w:rsid w:val="412B15D8"/>
    <w:rsid w:val="412C41DD"/>
    <w:rsid w:val="412E3AA0"/>
    <w:rsid w:val="41326E0A"/>
    <w:rsid w:val="4133259E"/>
    <w:rsid w:val="41405083"/>
    <w:rsid w:val="414E67F4"/>
    <w:rsid w:val="415F3F37"/>
    <w:rsid w:val="415F460A"/>
    <w:rsid w:val="416D1BF0"/>
    <w:rsid w:val="41A47B32"/>
    <w:rsid w:val="41B92EC6"/>
    <w:rsid w:val="41BC1D5B"/>
    <w:rsid w:val="41C41EE0"/>
    <w:rsid w:val="41CF772C"/>
    <w:rsid w:val="41E53E7C"/>
    <w:rsid w:val="41EB06B1"/>
    <w:rsid w:val="41FA3A2A"/>
    <w:rsid w:val="42004812"/>
    <w:rsid w:val="42147A3A"/>
    <w:rsid w:val="42176738"/>
    <w:rsid w:val="421D797E"/>
    <w:rsid w:val="423D67D1"/>
    <w:rsid w:val="424B1C04"/>
    <w:rsid w:val="426B6130"/>
    <w:rsid w:val="427B20EB"/>
    <w:rsid w:val="42AD063B"/>
    <w:rsid w:val="42C171F3"/>
    <w:rsid w:val="42D266C7"/>
    <w:rsid w:val="42D651C1"/>
    <w:rsid w:val="42D913E9"/>
    <w:rsid w:val="42E40DD1"/>
    <w:rsid w:val="42EC34F6"/>
    <w:rsid w:val="430201D2"/>
    <w:rsid w:val="43072DA7"/>
    <w:rsid w:val="4309198C"/>
    <w:rsid w:val="43135319"/>
    <w:rsid w:val="432C2A32"/>
    <w:rsid w:val="432D1C04"/>
    <w:rsid w:val="433619DB"/>
    <w:rsid w:val="434E5F92"/>
    <w:rsid w:val="43575365"/>
    <w:rsid w:val="43577E34"/>
    <w:rsid w:val="435A40A3"/>
    <w:rsid w:val="435E6358"/>
    <w:rsid w:val="435E7642"/>
    <w:rsid w:val="43680537"/>
    <w:rsid w:val="43700157"/>
    <w:rsid w:val="439F701C"/>
    <w:rsid w:val="43A5262D"/>
    <w:rsid w:val="43C07C63"/>
    <w:rsid w:val="43C55D14"/>
    <w:rsid w:val="43DE6B3B"/>
    <w:rsid w:val="43F206CA"/>
    <w:rsid w:val="43FE4F8A"/>
    <w:rsid w:val="44166BF1"/>
    <w:rsid w:val="442F7F2A"/>
    <w:rsid w:val="4458645A"/>
    <w:rsid w:val="44717D3E"/>
    <w:rsid w:val="44872FC9"/>
    <w:rsid w:val="44925C64"/>
    <w:rsid w:val="44947D38"/>
    <w:rsid w:val="449556E6"/>
    <w:rsid w:val="44A0537A"/>
    <w:rsid w:val="44A5762A"/>
    <w:rsid w:val="44C37AAB"/>
    <w:rsid w:val="44C96219"/>
    <w:rsid w:val="44D632A8"/>
    <w:rsid w:val="44DF70AD"/>
    <w:rsid w:val="44E94EF1"/>
    <w:rsid w:val="44EA41B5"/>
    <w:rsid w:val="44F62472"/>
    <w:rsid w:val="44FD22D5"/>
    <w:rsid w:val="45112FEA"/>
    <w:rsid w:val="4517469A"/>
    <w:rsid w:val="452B2344"/>
    <w:rsid w:val="453221C1"/>
    <w:rsid w:val="453B3D19"/>
    <w:rsid w:val="453C2005"/>
    <w:rsid w:val="4555107C"/>
    <w:rsid w:val="456600C8"/>
    <w:rsid w:val="456B4699"/>
    <w:rsid w:val="456C1FA4"/>
    <w:rsid w:val="456C2D26"/>
    <w:rsid w:val="45734934"/>
    <w:rsid w:val="457A7A7F"/>
    <w:rsid w:val="457B3AC6"/>
    <w:rsid w:val="45983295"/>
    <w:rsid w:val="459A065A"/>
    <w:rsid w:val="459A6248"/>
    <w:rsid w:val="459C19DC"/>
    <w:rsid w:val="459E1DF2"/>
    <w:rsid w:val="45C26CA2"/>
    <w:rsid w:val="45D14951"/>
    <w:rsid w:val="45D71D2E"/>
    <w:rsid w:val="45DA5C7B"/>
    <w:rsid w:val="45E7300C"/>
    <w:rsid w:val="45F25354"/>
    <w:rsid w:val="45F37CC1"/>
    <w:rsid w:val="45FD3163"/>
    <w:rsid w:val="46030EB3"/>
    <w:rsid w:val="460958D0"/>
    <w:rsid w:val="460F7455"/>
    <w:rsid w:val="46130A89"/>
    <w:rsid w:val="46144E9B"/>
    <w:rsid w:val="46317253"/>
    <w:rsid w:val="464F5100"/>
    <w:rsid w:val="46537317"/>
    <w:rsid w:val="465E47C3"/>
    <w:rsid w:val="46616988"/>
    <w:rsid w:val="46761090"/>
    <w:rsid w:val="467E09EF"/>
    <w:rsid w:val="46813DBF"/>
    <w:rsid w:val="4693575D"/>
    <w:rsid w:val="46AE2A8F"/>
    <w:rsid w:val="46AE583F"/>
    <w:rsid w:val="46AE6E07"/>
    <w:rsid w:val="46B40F2B"/>
    <w:rsid w:val="46DD60EE"/>
    <w:rsid w:val="46DE2D82"/>
    <w:rsid w:val="46DE55E8"/>
    <w:rsid w:val="46F36309"/>
    <w:rsid w:val="46FD6C53"/>
    <w:rsid w:val="470C1F25"/>
    <w:rsid w:val="470C4B51"/>
    <w:rsid w:val="47263250"/>
    <w:rsid w:val="472A62F3"/>
    <w:rsid w:val="472C5E04"/>
    <w:rsid w:val="473236C0"/>
    <w:rsid w:val="47332F94"/>
    <w:rsid w:val="473339CD"/>
    <w:rsid w:val="47376734"/>
    <w:rsid w:val="473E145B"/>
    <w:rsid w:val="473E70DF"/>
    <w:rsid w:val="47417B21"/>
    <w:rsid w:val="47443E3C"/>
    <w:rsid w:val="475112EB"/>
    <w:rsid w:val="4760696F"/>
    <w:rsid w:val="47617B01"/>
    <w:rsid w:val="477325D6"/>
    <w:rsid w:val="477C3A73"/>
    <w:rsid w:val="47831BFE"/>
    <w:rsid w:val="479809B8"/>
    <w:rsid w:val="47AA7C5C"/>
    <w:rsid w:val="47B16BE0"/>
    <w:rsid w:val="47D26C51"/>
    <w:rsid w:val="47D47E08"/>
    <w:rsid w:val="47DE71F1"/>
    <w:rsid w:val="47FB7648"/>
    <w:rsid w:val="480027FF"/>
    <w:rsid w:val="480C4220"/>
    <w:rsid w:val="48221986"/>
    <w:rsid w:val="48294272"/>
    <w:rsid w:val="482C0A84"/>
    <w:rsid w:val="48357B3B"/>
    <w:rsid w:val="4839101C"/>
    <w:rsid w:val="484C7DB3"/>
    <w:rsid w:val="485D4C28"/>
    <w:rsid w:val="486329A7"/>
    <w:rsid w:val="487065F8"/>
    <w:rsid w:val="487D480D"/>
    <w:rsid w:val="48822B58"/>
    <w:rsid w:val="48862167"/>
    <w:rsid w:val="48964AD8"/>
    <w:rsid w:val="48AB093C"/>
    <w:rsid w:val="48AB3752"/>
    <w:rsid w:val="48BC5937"/>
    <w:rsid w:val="48D82045"/>
    <w:rsid w:val="48DC3718"/>
    <w:rsid w:val="48F40954"/>
    <w:rsid w:val="4924528A"/>
    <w:rsid w:val="49301E81"/>
    <w:rsid w:val="49423962"/>
    <w:rsid w:val="494D2A33"/>
    <w:rsid w:val="495B6457"/>
    <w:rsid w:val="4972249A"/>
    <w:rsid w:val="49781549"/>
    <w:rsid w:val="49782801"/>
    <w:rsid w:val="49785D34"/>
    <w:rsid w:val="49790338"/>
    <w:rsid w:val="49923258"/>
    <w:rsid w:val="499D721E"/>
    <w:rsid w:val="49A577F9"/>
    <w:rsid w:val="49AF5DB5"/>
    <w:rsid w:val="49D0144B"/>
    <w:rsid w:val="49F50870"/>
    <w:rsid w:val="49F870F5"/>
    <w:rsid w:val="49FE735A"/>
    <w:rsid w:val="4A21338E"/>
    <w:rsid w:val="4A26019D"/>
    <w:rsid w:val="4A314103"/>
    <w:rsid w:val="4A3431F4"/>
    <w:rsid w:val="4A383046"/>
    <w:rsid w:val="4A452AB4"/>
    <w:rsid w:val="4A471C26"/>
    <w:rsid w:val="4A483D5D"/>
    <w:rsid w:val="4A4D76CB"/>
    <w:rsid w:val="4A4F4589"/>
    <w:rsid w:val="4A5971B6"/>
    <w:rsid w:val="4A5B1180"/>
    <w:rsid w:val="4A5C75B9"/>
    <w:rsid w:val="4A5F5501"/>
    <w:rsid w:val="4A6313CC"/>
    <w:rsid w:val="4A702F34"/>
    <w:rsid w:val="4A73708A"/>
    <w:rsid w:val="4A82749F"/>
    <w:rsid w:val="4A9F411E"/>
    <w:rsid w:val="4AB32D6A"/>
    <w:rsid w:val="4AC152FB"/>
    <w:rsid w:val="4AC57702"/>
    <w:rsid w:val="4ADA25F1"/>
    <w:rsid w:val="4ADB406F"/>
    <w:rsid w:val="4AE03433"/>
    <w:rsid w:val="4AE178D7"/>
    <w:rsid w:val="4AE21620"/>
    <w:rsid w:val="4AEE4B87"/>
    <w:rsid w:val="4AFD336F"/>
    <w:rsid w:val="4B0B0E05"/>
    <w:rsid w:val="4B3764A7"/>
    <w:rsid w:val="4B424154"/>
    <w:rsid w:val="4B486E71"/>
    <w:rsid w:val="4B4D6D1A"/>
    <w:rsid w:val="4B610736"/>
    <w:rsid w:val="4B614574"/>
    <w:rsid w:val="4B64401B"/>
    <w:rsid w:val="4B6C4CC7"/>
    <w:rsid w:val="4B70749F"/>
    <w:rsid w:val="4B733540"/>
    <w:rsid w:val="4B9666BC"/>
    <w:rsid w:val="4BBE441A"/>
    <w:rsid w:val="4BC52D55"/>
    <w:rsid w:val="4BC76479"/>
    <w:rsid w:val="4BCC2290"/>
    <w:rsid w:val="4BD272AD"/>
    <w:rsid w:val="4BD411EA"/>
    <w:rsid w:val="4BD4754C"/>
    <w:rsid w:val="4BDF471B"/>
    <w:rsid w:val="4BF050E7"/>
    <w:rsid w:val="4C00634E"/>
    <w:rsid w:val="4C231829"/>
    <w:rsid w:val="4C3F1EF8"/>
    <w:rsid w:val="4C4F6AC2"/>
    <w:rsid w:val="4C524663"/>
    <w:rsid w:val="4C551CE7"/>
    <w:rsid w:val="4C5C6B91"/>
    <w:rsid w:val="4C5D61E1"/>
    <w:rsid w:val="4C6641E5"/>
    <w:rsid w:val="4CA510E8"/>
    <w:rsid w:val="4CAC05A1"/>
    <w:rsid w:val="4CB37ECC"/>
    <w:rsid w:val="4CBE77A4"/>
    <w:rsid w:val="4CC3431D"/>
    <w:rsid w:val="4CC50B32"/>
    <w:rsid w:val="4CC865E3"/>
    <w:rsid w:val="4CE0771A"/>
    <w:rsid w:val="4CE32639"/>
    <w:rsid w:val="4CE959B3"/>
    <w:rsid w:val="4CEB7145"/>
    <w:rsid w:val="4D16233D"/>
    <w:rsid w:val="4D166AC2"/>
    <w:rsid w:val="4D241CFD"/>
    <w:rsid w:val="4D2F2B78"/>
    <w:rsid w:val="4D5D40C1"/>
    <w:rsid w:val="4D746F26"/>
    <w:rsid w:val="4D87299B"/>
    <w:rsid w:val="4D8A45B0"/>
    <w:rsid w:val="4D91586D"/>
    <w:rsid w:val="4DAB0F88"/>
    <w:rsid w:val="4DB206FC"/>
    <w:rsid w:val="4DB51C9F"/>
    <w:rsid w:val="4DB575FA"/>
    <w:rsid w:val="4DBF0B7C"/>
    <w:rsid w:val="4DC63176"/>
    <w:rsid w:val="4DCB57F5"/>
    <w:rsid w:val="4DD418AA"/>
    <w:rsid w:val="4DDE676B"/>
    <w:rsid w:val="4DFB3652"/>
    <w:rsid w:val="4E01490D"/>
    <w:rsid w:val="4E114094"/>
    <w:rsid w:val="4E132D5B"/>
    <w:rsid w:val="4E1522AB"/>
    <w:rsid w:val="4E22092A"/>
    <w:rsid w:val="4E37300F"/>
    <w:rsid w:val="4E3E1A52"/>
    <w:rsid w:val="4E415771"/>
    <w:rsid w:val="4E447CC9"/>
    <w:rsid w:val="4E546612"/>
    <w:rsid w:val="4E605328"/>
    <w:rsid w:val="4E743B3C"/>
    <w:rsid w:val="4E807468"/>
    <w:rsid w:val="4E896D30"/>
    <w:rsid w:val="4E987B37"/>
    <w:rsid w:val="4E9B47DC"/>
    <w:rsid w:val="4EA51DC2"/>
    <w:rsid w:val="4EB01625"/>
    <w:rsid w:val="4EB106F2"/>
    <w:rsid w:val="4EB66A33"/>
    <w:rsid w:val="4EBB5DBE"/>
    <w:rsid w:val="4EBD5F65"/>
    <w:rsid w:val="4EBE7F2F"/>
    <w:rsid w:val="4EC26A4D"/>
    <w:rsid w:val="4ED81994"/>
    <w:rsid w:val="4ED84B4D"/>
    <w:rsid w:val="4EE1241C"/>
    <w:rsid w:val="4EE47996"/>
    <w:rsid w:val="4EF37BD9"/>
    <w:rsid w:val="4EF77FB8"/>
    <w:rsid w:val="4EF92D15"/>
    <w:rsid w:val="4F163447"/>
    <w:rsid w:val="4F1638C7"/>
    <w:rsid w:val="4F1A7008"/>
    <w:rsid w:val="4F1D02BB"/>
    <w:rsid w:val="4F2401A6"/>
    <w:rsid w:val="4F2414FE"/>
    <w:rsid w:val="4F364EA4"/>
    <w:rsid w:val="4F386D08"/>
    <w:rsid w:val="4F414506"/>
    <w:rsid w:val="4F423AC5"/>
    <w:rsid w:val="4F45280C"/>
    <w:rsid w:val="4F457AD3"/>
    <w:rsid w:val="4F604B42"/>
    <w:rsid w:val="4F66013C"/>
    <w:rsid w:val="4F704107"/>
    <w:rsid w:val="4F7A7484"/>
    <w:rsid w:val="4F7D74A2"/>
    <w:rsid w:val="4F857B9F"/>
    <w:rsid w:val="4F8B6983"/>
    <w:rsid w:val="4F987D83"/>
    <w:rsid w:val="4F9F6305"/>
    <w:rsid w:val="4FAD1767"/>
    <w:rsid w:val="4FB52022"/>
    <w:rsid w:val="4FD75ECD"/>
    <w:rsid w:val="4FE25B78"/>
    <w:rsid w:val="4FE85DF4"/>
    <w:rsid w:val="4FFE6835"/>
    <w:rsid w:val="500E7BE8"/>
    <w:rsid w:val="500F5168"/>
    <w:rsid w:val="500F5DAE"/>
    <w:rsid w:val="501645C5"/>
    <w:rsid w:val="501D2002"/>
    <w:rsid w:val="50255035"/>
    <w:rsid w:val="50267B3A"/>
    <w:rsid w:val="504132E3"/>
    <w:rsid w:val="504D24F4"/>
    <w:rsid w:val="505D122C"/>
    <w:rsid w:val="505D1564"/>
    <w:rsid w:val="50783A55"/>
    <w:rsid w:val="507C384E"/>
    <w:rsid w:val="508036EE"/>
    <w:rsid w:val="5085748E"/>
    <w:rsid w:val="509D1F88"/>
    <w:rsid w:val="509E4866"/>
    <w:rsid w:val="50A02775"/>
    <w:rsid w:val="50A37762"/>
    <w:rsid w:val="50A5492D"/>
    <w:rsid w:val="50DB3FDE"/>
    <w:rsid w:val="50DF2B57"/>
    <w:rsid w:val="50E278DA"/>
    <w:rsid w:val="50E32EF9"/>
    <w:rsid w:val="50EE64BD"/>
    <w:rsid w:val="51023A7C"/>
    <w:rsid w:val="51147D91"/>
    <w:rsid w:val="51174EDA"/>
    <w:rsid w:val="514736E5"/>
    <w:rsid w:val="51506A75"/>
    <w:rsid w:val="51561BDF"/>
    <w:rsid w:val="51583A45"/>
    <w:rsid w:val="516A0A8F"/>
    <w:rsid w:val="516E3E1A"/>
    <w:rsid w:val="51774495"/>
    <w:rsid w:val="5178037B"/>
    <w:rsid w:val="51842A7D"/>
    <w:rsid w:val="51982F91"/>
    <w:rsid w:val="519A35C6"/>
    <w:rsid w:val="519F2583"/>
    <w:rsid w:val="51AB557F"/>
    <w:rsid w:val="51AD6556"/>
    <w:rsid w:val="51B069E3"/>
    <w:rsid w:val="51BB3CB5"/>
    <w:rsid w:val="51BF6981"/>
    <w:rsid w:val="51DF3001"/>
    <w:rsid w:val="51E04E8D"/>
    <w:rsid w:val="51F37983"/>
    <w:rsid w:val="51FA3D00"/>
    <w:rsid w:val="51FA74D0"/>
    <w:rsid w:val="51FB4517"/>
    <w:rsid w:val="51FB4635"/>
    <w:rsid w:val="52026AE1"/>
    <w:rsid w:val="521F09DD"/>
    <w:rsid w:val="5222752C"/>
    <w:rsid w:val="52255AF3"/>
    <w:rsid w:val="523E13E6"/>
    <w:rsid w:val="524005E4"/>
    <w:rsid w:val="525106DF"/>
    <w:rsid w:val="5253532C"/>
    <w:rsid w:val="52663CB5"/>
    <w:rsid w:val="526E7576"/>
    <w:rsid w:val="527375D2"/>
    <w:rsid w:val="527B54B3"/>
    <w:rsid w:val="5289751A"/>
    <w:rsid w:val="52A62656"/>
    <w:rsid w:val="52AD1D52"/>
    <w:rsid w:val="52AE2DFB"/>
    <w:rsid w:val="52AF02BB"/>
    <w:rsid w:val="52B70F1D"/>
    <w:rsid w:val="52C85AB9"/>
    <w:rsid w:val="52CF270B"/>
    <w:rsid w:val="52D746D7"/>
    <w:rsid w:val="52E22D49"/>
    <w:rsid w:val="52E55A8A"/>
    <w:rsid w:val="52EA6127"/>
    <w:rsid w:val="52EB0BC7"/>
    <w:rsid w:val="52F263F9"/>
    <w:rsid w:val="530134AB"/>
    <w:rsid w:val="530734F8"/>
    <w:rsid w:val="531505DE"/>
    <w:rsid w:val="531B06DD"/>
    <w:rsid w:val="532260D6"/>
    <w:rsid w:val="53265CEC"/>
    <w:rsid w:val="53381174"/>
    <w:rsid w:val="53395A8D"/>
    <w:rsid w:val="53430A03"/>
    <w:rsid w:val="53453181"/>
    <w:rsid w:val="534D3630"/>
    <w:rsid w:val="535832A7"/>
    <w:rsid w:val="53684556"/>
    <w:rsid w:val="5374208A"/>
    <w:rsid w:val="537961D3"/>
    <w:rsid w:val="538434F5"/>
    <w:rsid w:val="538578BA"/>
    <w:rsid w:val="539E2038"/>
    <w:rsid w:val="53AC04B8"/>
    <w:rsid w:val="53AD6020"/>
    <w:rsid w:val="53B4545D"/>
    <w:rsid w:val="53C2612C"/>
    <w:rsid w:val="53DD074C"/>
    <w:rsid w:val="53DF697E"/>
    <w:rsid w:val="53EF085D"/>
    <w:rsid w:val="53F03A50"/>
    <w:rsid w:val="53FB074F"/>
    <w:rsid w:val="540422CF"/>
    <w:rsid w:val="542812E0"/>
    <w:rsid w:val="54442C85"/>
    <w:rsid w:val="54475DCC"/>
    <w:rsid w:val="544A38FA"/>
    <w:rsid w:val="54616281"/>
    <w:rsid w:val="546450D5"/>
    <w:rsid w:val="5479673C"/>
    <w:rsid w:val="547F6C75"/>
    <w:rsid w:val="548212A3"/>
    <w:rsid w:val="54871388"/>
    <w:rsid w:val="548A728F"/>
    <w:rsid w:val="54905ECA"/>
    <w:rsid w:val="549D6AC8"/>
    <w:rsid w:val="54A212AE"/>
    <w:rsid w:val="54AC532F"/>
    <w:rsid w:val="54B25F3F"/>
    <w:rsid w:val="54B4790E"/>
    <w:rsid w:val="54BD2D90"/>
    <w:rsid w:val="54D15BCB"/>
    <w:rsid w:val="54EA350A"/>
    <w:rsid w:val="54FC1AEC"/>
    <w:rsid w:val="550A5C7C"/>
    <w:rsid w:val="55585D19"/>
    <w:rsid w:val="556A2277"/>
    <w:rsid w:val="556E4059"/>
    <w:rsid w:val="556E7FB9"/>
    <w:rsid w:val="557E0E4D"/>
    <w:rsid w:val="55984425"/>
    <w:rsid w:val="55A21A11"/>
    <w:rsid w:val="55AF14AC"/>
    <w:rsid w:val="55B96E21"/>
    <w:rsid w:val="55C91189"/>
    <w:rsid w:val="55CE7DB6"/>
    <w:rsid w:val="55E1458A"/>
    <w:rsid w:val="55EA6E84"/>
    <w:rsid w:val="55EB6977"/>
    <w:rsid w:val="5607784E"/>
    <w:rsid w:val="560B6A22"/>
    <w:rsid w:val="562B7D0F"/>
    <w:rsid w:val="563166DC"/>
    <w:rsid w:val="56376A87"/>
    <w:rsid w:val="564877A5"/>
    <w:rsid w:val="565A22EB"/>
    <w:rsid w:val="56603E65"/>
    <w:rsid w:val="56694C24"/>
    <w:rsid w:val="5695539B"/>
    <w:rsid w:val="5695773D"/>
    <w:rsid w:val="569577C7"/>
    <w:rsid w:val="56A30DA8"/>
    <w:rsid w:val="56B32A88"/>
    <w:rsid w:val="56BE6D1E"/>
    <w:rsid w:val="56C101B4"/>
    <w:rsid w:val="56C279DB"/>
    <w:rsid w:val="56D63A7A"/>
    <w:rsid w:val="56D97728"/>
    <w:rsid w:val="56DA1345"/>
    <w:rsid w:val="56DD6858"/>
    <w:rsid w:val="56EE44F1"/>
    <w:rsid w:val="5715028F"/>
    <w:rsid w:val="5717185B"/>
    <w:rsid w:val="571747DE"/>
    <w:rsid w:val="57471110"/>
    <w:rsid w:val="57516383"/>
    <w:rsid w:val="57611C79"/>
    <w:rsid w:val="57631674"/>
    <w:rsid w:val="57851700"/>
    <w:rsid w:val="57937A03"/>
    <w:rsid w:val="579E26AC"/>
    <w:rsid w:val="57B10631"/>
    <w:rsid w:val="57B37B43"/>
    <w:rsid w:val="57C45AC7"/>
    <w:rsid w:val="57C9597B"/>
    <w:rsid w:val="57CC0FC7"/>
    <w:rsid w:val="57CCC813"/>
    <w:rsid w:val="57D56212"/>
    <w:rsid w:val="57D72812"/>
    <w:rsid w:val="57D75AB6"/>
    <w:rsid w:val="57E5652D"/>
    <w:rsid w:val="57EF5E0E"/>
    <w:rsid w:val="58054C91"/>
    <w:rsid w:val="580674C9"/>
    <w:rsid w:val="580E372B"/>
    <w:rsid w:val="58101591"/>
    <w:rsid w:val="58120A77"/>
    <w:rsid w:val="58156BCB"/>
    <w:rsid w:val="58235DE1"/>
    <w:rsid w:val="58294898"/>
    <w:rsid w:val="58385787"/>
    <w:rsid w:val="584450AA"/>
    <w:rsid w:val="584C2341"/>
    <w:rsid w:val="5850268F"/>
    <w:rsid w:val="585431F4"/>
    <w:rsid w:val="585C14A4"/>
    <w:rsid w:val="586F66CF"/>
    <w:rsid w:val="58785DD8"/>
    <w:rsid w:val="5881483E"/>
    <w:rsid w:val="588A205B"/>
    <w:rsid w:val="588E44CE"/>
    <w:rsid w:val="588E46D5"/>
    <w:rsid w:val="588F7B43"/>
    <w:rsid w:val="58906498"/>
    <w:rsid w:val="58B06B3A"/>
    <w:rsid w:val="58B312C4"/>
    <w:rsid w:val="58B7756C"/>
    <w:rsid w:val="58BB21DC"/>
    <w:rsid w:val="58BB441C"/>
    <w:rsid w:val="58D3217E"/>
    <w:rsid w:val="58DD051D"/>
    <w:rsid w:val="58FF5879"/>
    <w:rsid w:val="59041CE1"/>
    <w:rsid w:val="591B012B"/>
    <w:rsid w:val="59204EF1"/>
    <w:rsid w:val="59271F35"/>
    <w:rsid w:val="5930746B"/>
    <w:rsid w:val="59310CA2"/>
    <w:rsid w:val="59431CD3"/>
    <w:rsid w:val="5948515D"/>
    <w:rsid w:val="59520087"/>
    <w:rsid w:val="59590F80"/>
    <w:rsid w:val="59623730"/>
    <w:rsid w:val="59690793"/>
    <w:rsid w:val="596F4300"/>
    <w:rsid w:val="59745DBA"/>
    <w:rsid w:val="5978454B"/>
    <w:rsid w:val="597C47A4"/>
    <w:rsid w:val="59875AED"/>
    <w:rsid w:val="598D7D01"/>
    <w:rsid w:val="598F5362"/>
    <w:rsid w:val="59981AA8"/>
    <w:rsid w:val="5998614C"/>
    <w:rsid w:val="59A64B33"/>
    <w:rsid w:val="59BC3BE1"/>
    <w:rsid w:val="59BE6F97"/>
    <w:rsid w:val="59C363FA"/>
    <w:rsid w:val="59C7491A"/>
    <w:rsid w:val="59D21773"/>
    <w:rsid w:val="59DA5F12"/>
    <w:rsid w:val="5A055A2B"/>
    <w:rsid w:val="5A0A4028"/>
    <w:rsid w:val="5A0D7986"/>
    <w:rsid w:val="5A1D1CD0"/>
    <w:rsid w:val="5A1E1882"/>
    <w:rsid w:val="5A276988"/>
    <w:rsid w:val="5A34016C"/>
    <w:rsid w:val="5A562228"/>
    <w:rsid w:val="5A5E37A2"/>
    <w:rsid w:val="5A5F25C6"/>
    <w:rsid w:val="5A641A16"/>
    <w:rsid w:val="5A6870DC"/>
    <w:rsid w:val="5A6A6AB2"/>
    <w:rsid w:val="5A6E44D0"/>
    <w:rsid w:val="5A767A2F"/>
    <w:rsid w:val="5A7B66B2"/>
    <w:rsid w:val="5A9640B1"/>
    <w:rsid w:val="5AAB580B"/>
    <w:rsid w:val="5ABA1A75"/>
    <w:rsid w:val="5AC834F5"/>
    <w:rsid w:val="5AD21B15"/>
    <w:rsid w:val="5AEB1673"/>
    <w:rsid w:val="5AEF2EDA"/>
    <w:rsid w:val="5B0633C0"/>
    <w:rsid w:val="5B1E5FDD"/>
    <w:rsid w:val="5B24231E"/>
    <w:rsid w:val="5B266C40"/>
    <w:rsid w:val="5B28699E"/>
    <w:rsid w:val="5B2A2BD4"/>
    <w:rsid w:val="5B306F7E"/>
    <w:rsid w:val="5B53608C"/>
    <w:rsid w:val="5B5F0ACD"/>
    <w:rsid w:val="5B6023D9"/>
    <w:rsid w:val="5B765350"/>
    <w:rsid w:val="5B767BC7"/>
    <w:rsid w:val="5B774521"/>
    <w:rsid w:val="5B777ABF"/>
    <w:rsid w:val="5B7D019F"/>
    <w:rsid w:val="5B87717D"/>
    <w:rsid w:val="5B9751CE"/>
    <w:rsid w:val="5BA131E7"/>
    <w:rsid w:val="5BA272A6"/>
    <w:rsid w:val="5BB32F70"/>
    <w:rsid w:val="5BB54A4D"/>
    <w:rsid w:val="5BC16969"/>
    <w:rsid w:val="5BCC3C8B"/>
    <w:rsid w:val="5BD41BC2"/>
    <w:rsid w:val="5BE51DB4"/>
    <w:rsid w:val="5C17602F"/>
    <w:rsid w:val="5C1C4D52"/>
    <w:rsid w:val="5C20315A"/>
    <w:rsid w:val="5C287746"/>
    <w:rsid w:val="5C340A13"/>
    <w:rsid w:val="5C346CE4"/>
    <w:rsid w:val="5C361105"/>
    <w:rsid w:val="5C3C3455"/>
    <w:rsid w:val="5C4F0418"/>
    <w:rsid w:val="5C566ED1"/>
    <w:rsid w:val="5C6B7D11"/>
    <w:rsid w:val="5C6C23B9"/>
    <w:rsid w:val="5C6F5488"/>
    <w:rsid w:val="5C7210A2"/>
    <w:rsid w:val="5C791CC0"/>
    <w:rsid w:val="5C7F7B49"/>
    <w:rsid w:val="5C97462C"/>
    <w:rsid w:val="5C9F59FB"/>
    <w:rsid w:val="5CAC3166"/>
    <w:rsid w:val="5CAD05E2"/>
    <w:rsid w:val="5CB51004"/>
    <w:rsid w:val="5CE77B5D"/>
    <w:rsid w:val="5CE95669"/>
    <w:rsid w:val="5CF96232"/>
    <w:rsid w:val="5D00723B"/>
    <w:rsid w:val="5D0E27BC"/>
    <w:rsid w:val="5D174F7F"/>
    <w:rsid w:val="5D193DB1"/>
    <w:rsid w:val="5D213B63"/>
    <w:rsid w:val="5D364460"/>
    <w:rsid w:val="5D4C6DCF"/>
    <w:rsid w:val="5D5A0BF3"/>
    <w:rsid w:val="5D5C103F"/>
    <w:rsid w:val="5D5E7DF4"/>
    <w:rsid w:val="5D5F6D1D"/>
    <w:rsid w:val="5D6D1FFC"/>
    <w:rsid w:val="5D7A7774"/>
    <w:rsid w:val="5D7B09A3"/>
    <w:rsid w:val="5D7E7C70"/>
    <w:rsid w:val="5D9D345A"/>
    <w:rsid w:val="5DA6313C"/>
    <w:rsid w:val="5DAC1C09"/>
    <w:rsid w:val="5DB91FED"/>
    <w:rsid w:val="5DC15672"/>
    <w:rsid w:val="5DCD7847"/>
    <w:rsid w:val="5DD15589"/>
    <w:rsid w:val="5DD605D7"/>
    <w:rsid w:val="5DDC2224"/>
    <w:rsid w:val="5DDE377B"/>
    <w:rsid w:val="5DE033EA"/>
    <w:rsid w:val="5E11388E"/>
    <w:rsid w:val="5E230C3A"/>
    <w:rsid w:val="5E394EDC"/>
    <w:rsid w:val="5E3C5819"/>
    <w:rsid w:val="5E432DFD"/>
    <w:rsid w:val="5E4B68D2"/>
    <w:rsid w:val="5E573807"/>
    <w:rsid w:val="5E585F52"/>
    <w:rsid w:val="5E5D0BCB"/>
    <w:rsid w:val="5E650084"/>
    <w:rsid w:val="5E6A32E8"/>
    <w:rsid w:val="5E6E1B0A"/>
    <w:rsid w:val="5E830965"/>
    <w:rsid w:val="5E994F7A"/>
    <w:rsid w:val="5E997625"/>
    <w:rsid w:val="5EB804F7"/>
    <w:rsid w:val="5EBA601D"/>
    <w:rsid w:val="5EBD5AB9"/>
    <w:rsid w:val="5ED82764"/>
    <w:rsid w:val="5EDE34EF"/>
    <w:rsid w:val="5EE65303"/>
    <w:rsid w:val="5EEB1B57"/>
    <w:rsid w:val="5EEB1B82"/>
    <w:rsid w:val="5EEB5931"/>
    <w:rsid w:val="5F045798"/>
    <w:rsid w:val="5F055986"/>
    <w:rsid w:val="5F0D0843"/>
    <w:rsid w:val="5F186916"/>
    <w:rsid w:val="5F1D7B8D"/>
    <w:rsid w:val="5F2070F3"/>
    <w:rsid w:val="5F2521B5"/>
    <w:rsid w:val="5F293990"/>
    <w:rsid w:val="5F2B0CC9"/>
    <w:rsid w:val="5F2D50D0"/>
    <w:rsid w:val="5F2E1DC0"/>
    <w:rsid w:val="5F3B1F6C"/>
    <w:rsid w:val="5F3F6ACE"/>
    <w:rsid w:val="5F4165AB"/>
    <w:rsid w:val="5F423E29"/>
    <w:rsid w:val="5F443B39"/>
    <w:rsid w:val="5F4B43E8"/>
    <w:rsid w:val="5F4B5D21"/>
    <w:rsid w:val="5F4E2C09"/>
    <w:rsid w:val="5F620DA7"/>
    <w:rsid w:val="5F626165"/>
    <w:rsid w:val="5F731101"/>
    <w:rsid w:val="5F781A34"/>
    <w:rsid w:val="5F9C55AE"/>
    <w:rsid w:val="5FA019E5"/>
    <w:rsid w:val="5FA21886"/>
    <w:rsid w:val="5FA47EC7"/>
    <w:rsid w:val="5FC14BC7"/>
    <w:rsid w:val="5FD15AD2"/>
    <w:rsid w:val="5FE175D9"/>
    <w:rsid w:val="5FE63288"/>
    <w:rsid w:val="5FED48F2"/>
    <w:rsid w:val="5FF576C4"/>
    <w:rsid w:val="600A4D82"/>
    <w:rsid w:val="600D5A0F"/>
    <w:rsid w:val="60100168"/>
    <w:rsid w:val="6014175D"/>
    <w:rsid w:val="60174473"/>
    <w:rsid w:val="6018338A"/>
    <w:rsid w:val="601E438A"/>
    <w:rsid w:val="602023AF"/>
    <w:rsid w:val="6058076B"/>
    <w:rsid w:val="60691C79"/>
    <w:rsid w:val="606A2308"/>
    <w:rsid w:val="608D0B89"/>
    <w:rsid w:val="608D13B8"/>
    <w:rsid w:val="608E53E0"/>
    <w:rsid w:val="608F6DCF"/>
    <w:rsid w:val="60AC5E39"/>
    <w:rsid w:val="60AF6EEF"/>
    <w:rsid w:val="60B151FE"/>
    <w:rsid w:val="60C05441"/>
    <w:rsid w:val="60D30D2A"/>
    <w:rsid w:val="60DB227B"/>
    <w:rsid w:val="60E94998"/>
    <w:rsid w:val="60F50EA4"/>
    <w:rsid w:val="60FC046A"/>
    <w:rsid w:val="61195DA0"/>
    <w:rsid w:val="6133663B"/>
    <w:rsid w:val="613F695D"/>
    <w:rsid w:val="614B7A50"/>
    <w:rsid w:val="61603826"/>
    <w:rsid w:val="61647C13"/>
    <w:rsid w:val="61773B2D"/>
    <w:rsid w:val="617D4F8C"/>
    <w:rsid w:val="61871227"/>
    <w:rsid w:val="61890DAD"/>
    <w:rsid w:val="619C1A0A"/>
    <w:rsid w:val="619D39D4"/>
    <w:rsid w:val="619F599E"/>
    <w:rsid w:val="61A478CD"/>
    <w:rsid w:val="61A741F8"/>
    <w:rsid w:val="61B93A0D"/>
    <w:rsid w:val="61BA70C3"/>
    <w:rsid w:val="61BC7C78"/>
    <w:rsid w:val="61C37CAC"/>
    <w:rsid w:val="61EE2831"/>
    <w:rsid w:val="62052E9D"/>
    <w:rsid w:val="62233ED9"/>
    <w:rsid w:val="622B2A75"/>
    <w:rsid w:val="6235433D"/>
    <w:rsid w:val="623D1F44"/>
    <w:rsid w:val="624668BE"/>
    <w:rsid w:val="624A2316"/>
    <w:rsid w:val="625B49E0"/>
    <w:rsid w:val="625D62A0"/>
    <w:rsid w:val="62631D21"/>
    <w:rsid w:val="62652744"/>
    <w:rsid w:val="626C3AD2"/>
    <w:rsid w:val="628801E0"/>
    <w:rsid w:val="628D7295"/>
    <w:rsid w:val="629F593D"/>
    <w:rsid w:val="62AE40EB"/>
    <w:rsid w:val="62B92A90"/>
    <w:rsid w:val="62BD64F1"/>
    <w:rsid w:val="62C2089F"/>
    <w:rsid w:val="62C20B6E"/>
    <w:rsid w:val="62CE4A93"/>
    <w:rsid w:val="62D35C9A"/>
    <w:rsid w:val="62D54765"/>
    <w:rsid w:val="62DB7664"/>
    <w:rsid w:val="62E01DCA"/>
    <w:rsid w:val="62EF54E3"/>
    <w:rsid w:val="62FE221F"/>
    <w:rsid w:val="62FE5D89"/>
    <w:rsid w:val="630614D1"/>
    <w:rsid w:val="63072B74"/>
    <w:rsid w:val="630B0CC8"/>
    <w:rsid w:val="63117015"/>
    <w:rsid w:val="631E47F0"/>
    <w:rsid w:val="63211AF7"/>
    <w:rsid w:val="632A18EE"/>
    <w:rsid w:val="632A4CAE"/>
    <w:rsid w:val="632E6FDA"/>
    <w:rsid w:val="6337115D"/>
    <w:rsid w:val="634426C1"/>
    <w:rsid w:val="6350134F"/>
    <w:rsid w:val="636B1FDC"/>
    <w:rsid w:val="636B3D8A"/>
    <w:rsid w:val="637D5D70"/>
    <w:rsid w:val="637D73A5"/>
    <w:rsid w:val="639338AB"/>
    <w:rsid w:val="63AB062A"/>
    <w:rsid w:val="63AD43A2"/>
    <w:rsid w:val="63B967CD"/>
    <w:rsid w:val="63C11207"/>
    <w:rsid w:val="63C90472"/>
    <w:rsid w:val="63CA2316"/>
    <w:rsid w:val="63DA0F0F"/>
    <w:rsid w:val="63E04D05"/>
    <w:rsid w:val="63E34461"/>
    <w:rsid w:val="63EA5747"/>
    <w:rsid w:val="63EB5108"/>
    <w:rsid w:val="63F21953"/>
    <w:rsid w:val="6408782B"/>
    <w:rsid w:val="64101881"/>
    <w:rsid w:val="64104931"/>
    <w:rsid w:val="64153CF6"/>
    <w:rsid w:val="64274A84"/>
    <w:rsid w:val="642A0B53"/>
    <w:rsid w:val="642F169A"/>
    <w:rsid w:val="644E725E"/>
    <w:rsid w:val="6466124F"/>
    <w:rsid w:val="64754794"/>
    <w:rsid w:val="64B46124"/>
    <w:rsid w:val="64C7058E"/>
    <w:rsid w:val="64CA2BC8"/>
    <w:rsid w:val="64CF7044"/>
    <w:rsid w:val="64DC65F2"/>
    <w:rsid w:val="64E52B38"/>
    <w:rsid w:val="64F41B5D"/>
    <w:rsid w:val="64F75E2E"/>
    <w:rsid w:val="64FD6C0C"/>
    <w:rsid w:val="65062B47"/>
    <w:rsid w:val="651545C9"/>
    <w:rsid w:val="651F7051"/>
    <w:rsid w:val="652530BF"/>
    <w:rsid w:val="652801D5"/>
    <w:rsid w:val="652E1513"/>
    <w:rsid w:val="653F0A94"/>
    <w:rsid w:val="65422B5E"/>
    <w:rsid w:val="655363FF"/>
    <w:rsid w:val="65543B68"/>
    <w:rsid w:val="65550F6C"/>
    <w:rsid w:val="655722C3"/>
    <w:rsid w:val="655C6433"/>
    <w:rsid w:val="65644578"/>
    <w:rsid w:val="656A1E1F"/>
    <w:rsid w:val="656B71A0"/>
    <w:rsid w:val="656E1285"/>
    <w:rsid w:val="65987AD6"/>
    <w:rsid w:val="659D2C6E"/>
    <w:rsid w:val="659E70CA"/>
    <w:rsid w:val="659F59C1"/>
    <w:rsid w:val="65A76AC1"/>
    <w:rsid w:val="65A81871"/>
    <w:rsid w:val="65A90596"/>
    <w:rsid w:val="65B76EC6"/>
    <w:rsid w:val="65BC7CB7"/>
    <w:rsid w:val="65C7766D"/>
    <w:rsid w:val="65D02CDA"/>
    <w:rsid w:val="65D37CEE"/>
    <w:rsid w:val="65F51DC0"/>
    <w:rsid w:val="65F62BA4"/>
    <w:rsid w:val="65F954A8"/>
    <w:rsid w:val="6619273A"/>
    <w:rsid w:val="66251F2D"/>
    <w:rsid w:val="662F5994"/>
    <w:rsid w:val="66356DF9"/>
    <w:rsid w:val="664F74F8"/>
    <w:rsid w:val="6652789F"/>
    <w:rsid w:val="66554A2F"/>
    <w:rsid w:val="665657BB"/>
    <w:rsid w:val="665E48F2"/>
    <w:rsid w:val="66664CDC"/>
    <w:rsid w:val="667860ED"/>
    <w:rsid w:val="66837B42"/>
    <w:rsid w:val="66952ECC"/>
    <w:rsid w:val="669F7F7B"/>
    <w:rsid w:val="66A80E51"/>
    <w:rsid w:val="66A95CED"/>
    <w:rsid w:val="66AF21DF"/>
    <w:rsid w:val="66BA2932"/>
    <w:rsid w:val="66BD56F6"/>
    <w:rsid w:val="66C043ED"/>
    <w:rsid w:val="66C537B1"/>
    <w:rsid w:val="66D32372"/>
    <w:rsid w:val="66E85379"/>
    <w:rsid w:val="66F330C8"/>
    <w:rsid w:val="66F56645"/>
    <w:rsid w:val="66F771A7"/>
    <w:rsid w:val="670558E8"/>
    <w:rsid w:val="6712085D"/>
    <w:rsid w:val="67135588"/>
    <w:rsid w:val="67152BDF"/>
    <w:rsid w:val="675A65EF"/>
    <w:rsid w:val="67632E35"/>
    <w:rsid w:val="67654A77"/>
    <w:rsid w:val="676915DC"/>
    <w:rsid w:val="676E12FC"/>
    <w:rsid w:val="67765505"/>
    <w:rsid w:val="67771202"/>
    <w:rsid w:val="67805055"/>
    <w:rsid w:val="67A208E9"/>
    <w:rsid w:val="67A81461"/>
    <w:rsid w:val="67B2364E"/>
    <w:rsid w:val="67BE37C3"/>
    <w:rsid w:val="67C71028"/>
    <w:rsid w:val="67C76DB5"/>
    <w:rsid w:val="67E6546D"/>
    <w:rsid w:val="67FC1454"/>
    <w:rsid w:val="68060525"/>
    <w:rsid w:val="6839048A"/>
    <w:rsid w:val="684133A2"/>
    <w:rsid w:val="68587782"/>
    <w:rsid w:val="685F7C35"/>
    <w:rsid w:val="686061C9"/>
    <w:rsid w:val="68610E40"/>
    <w:rsid w:val="686F4BD0"/>
    <w:rsid w:val="687C02C3"/>
    <w:rsid w:val="687E4606"/>
    <w:rsid w:val="68903EBC"/>
    <w:rsid w:val="68975C9D"/>
    <w:rsid w:val="6898088E"/>
    <w:rsid w:val="68A82E84"/>
    <w:rsid w:val="68C857DA"/>
    <w:rsid w:val="68CC3A98"/>
    <w:rsid w:val="68F14D31"/>
    <w:rsid w:val="691B2DFC"/>
    <w:rsid w:val="692045F1"/>
    <w:rsid w:val="693379B4"/>
    <w:rsid w:val="693510F0"/>
    <w:rsid w:val="69673B44"/>
    <w:rsid w:val="6978078B"/>
    <w:rsid w:val="69847791"/>
    <w:rsid w:val="69853E38"/>
    <w:rsid w:val="699975C7"/>
    <w:rsid w:val="69A973BA"/>
    <w:rsid w:val="69DD6E88"/>
    <w:rsid w:val="69E312EA"/>
    <w:rsid w:val="69EA5D98"/>
    <w:rsid w:val="69FB617B"/>
    <w:rsid w:val="6A002D52"/>
    <w:rsid w:val="6A022F6E"/>
    <w:rsid w:val="6A063470"/>
    <w:rsid w:val="6A073376"/>
    <w:rsid w:val="6A0A7BC5"/>
    <w:rsid w:val="6A0C209B"/>
    <w:rsid w:val="6A104E32"/>
    <w:rsid w:val="6A143BD9"/>
    <w:rsid w:val="6A464C09"/>
    <w:rsid w:val="6A55309E"/>
    <w:rsid w:val="6A70612A"/>
    <w:rsid w:val="6A853969"/>
    <w:rsid w:val="6A8A71EB"/>
    <w:rsid w:val="6A8E68FC"/>
    <w:rsid w:val="6A8F3879"/>
    <w:rsid w:val="6AAB4112"/>
    <w:rsid w:val="6AB26B47"/>
    <w:rsid w:val="6AB67253"/>
    <w:rsid w:val="6AB83FD0"/>
    <w:rsid w:val="6ABA0365"/>
    <w:rsid w:val="6AC61A0E"/>
    <w:rsid w:val="6ACB3D20"/>
    <w:rsid w:val="6AD74766"/>
    <w:rsid w:val="6AE13829"/>
    <w:rsid w:val="6AF74155"/>
    <w:rsid w:val="6AF969DC"/>
    <w:rsid w:val="6AFD2A27"/>
    <w:rsid w:val="6B1C7940"/>
    <w:rsid w:val="6B2556D4"/>
    <w:rsid w:val="6B2770E7"/>
    <w:rsid w:val="6B40766A"/>
    <w:rsid w:val="6B413622"/>
    <w:rsid w:val="6B4C5B1C"/>
    <w:rsid w:val="6B506CC2"/>
    <w:rsid w:val="6B5920BF"/>
    <w:rsid w:val="6B614BD7"/>
    <w:rsid w:val="6B673089"/>
    <w:rsid w:val="6B6A0DCB"/>
    <w:rsid w:val="6B6C4B43"/>
    <w:rsid w:val="6BAA6F1F"/>
    <w:rsid w:val="6BCE265E"/>
    <w:rsid w:val="6BD244BA"/>
    <w:rsid w:val="6BD92C38"/>
    <w:rsid w:val="6BDB50B3"/>
    <w:rsid w:val="6BDE3C7A"/>
    <w:rsid w:val="6BE5371F"/>
    <w:rsid w:val="6BEA3B62"/>
    <w:rsid w:val="6BEE5EB9"/>
    <w:rsid w:val="6BF07522"/>
    <w:rsid w:val="6BF2344D"/>
    <w:rsid w:val="6BF4517A"/>
    <w:rsid w:val="6BF45B5C"/>
    <w:rsid w:val="6C241ABC"/>
    <w:rsid w:val="6C245957"/>
    <w:rsid w:val="6C2B2308"/>
    <w:rsid w:val="6C380772"/>
    <w:rsid w:val="6C601E17"/>
    <w:rsid w:val="6C6634D7"/>
    <w:rsid w:val="6C691082"/>
    <w:rsid w:val="6C7A6DEC"/>
    <w:rsid w:val="6CA51767"/>
    <w:rsid w:val="6CA87DFD"/>
    <w:rsid w:val="6CAD496E"/>
    <w:rsid w:val="6CB015C4"/>
    <w:rsid w:val="6CB613C7"/>
    <w:rsid w:val="6CC13353"/>
    <w:rsid w:val="6CC97AEC"/>
    <w:rsid w:val="6CD058E0"/>
    <w:rsid w:val="6CDE381E"/>
    <w:rsid w:val="6D1C7EA3"/>
    <w:rsid w:val="6D2D3320"/>
    <w:rsid w:val="6D312E7C"/>
    <w:rsid w:val="6D34343E"/>
    <w:rsid w:val="6D3C58FF"/>
    <w:rsid w:val="6D4572EE"/>
    <w:rsid w:val="6D571AC3"/>
    <w:rsid w:val="6D5F7612"/>
    <w:rsid w:val="6D6A3304"/>
    <w:rsid w:val="6D6C50AC"/>
    <w:rsid w:val="6D745F31"/>
    <w:rsid w:val="6D7A02C0"/>
    <w:rsid w:val="6D7C00C5"/>
    <w:rsid w:val="6D910991"/>
    <w:rsid w:val="6D965483"/>
    <w:rsid w:val="6DA649C0"/>
    <w:rsid w:val="6DA81E1C"/>
    <w:rsid w:val="6DAA1F98"/>
    <w:rsid w:val="6DAE5B0D"/>
    <w:rsid w:val="6DC42A14"/>
    <w:rsid w:val="6DCD5952"/>
    <w:rsid w:val="6DCF3167"/>
    <w:rsid w:val="6DD33161"/>
    <w:rsid w:val="6DEA1D4F"/>
    <w:rsid w:val="6DF049BD"/>
    <w:rsid w:val="6DF54F14"/>
    <w:rsid w:val="6DFC6948"/>
    <w:rsid w:val="6DFD31A9"/>
    <w:rsid w:val="6DFE57FA"/>
    <w:rsid w:val="6E000232"/>
    <w:rsid w:val="6E0E5A3E"/>
    <w:rsid w:val="6E1A4649"/>
    <w:rsid w:val="6E22562B"/>
    <w:rsid w:val="6E497753"/>
    <w:rsid w:val="6E5B2C4D"/>
    <w:rsid w:val="6E83011F"/>
    <w:rsid w:val="6E867227"/>
    <w:rsid w:val="6E883820"/>
    <w:rsid w:val="6E8E3022"/>
    <w:rsid w:val="6E925478"/>
    <w:rsid w:val="6E970129"/>
    <w:rsid w:val="6E9A0087"/>
    <w:rsid w:val="6EA30452"/>
    <w:rsid w:val="6EA36D56"/>
    <w:rsid w:val="6EA54A62"/>
    <w:rsid w:val="6EA72D69"/>
    <w:rsid w:val="6EA97255"/>
    <w:rsid w:val="6ED749C9"/>
    <w:rsid w:val="6EF07839"/>
    <w:rsid w:val="6EF21B94"/>
    <w:rsid w:val="6EFA2466"/>
    <w:rsid w:val="6EFA68C0"/>
    <w:rsid w:val="6F0003FC"/>
    <w:rsid w:val="6F0212A5"/>
    <w:rsid w:val="6F0B5294"/>
    <w:rsid w:val="6F196D90"/>
    <w:rsid w:val="6F2179F2"/>
    <w:rsid w:val="6F3A0F29"/>
    <w:rsid w:val="6F5C119C"/>
    <w:rsid w:val="6F675D4D"/>
    <w:rsid w:val="6F6A1399"/>
    <w:rsid w:val="6F715FF8"/>
    <w:rsid w:val="6F742218"/>
    <w:rsid w:val="6F862598"/>
    <w:rsid w:val="6F8B14B1"/>
    <w:rsid w:val="6F96218E"/>
    <w:rsid w:val="6FE74798"/>
    <w:rsid w:val="6FEB6780"/>
    <w:rsid w:val="6FF8536C"/>
    <w:rsid w:val="70061E86"/>
    <w:rsid w:val="70096235"/>
    <w:rsid w:val="70180DF5"/>
    <w:rsid w:val="701C5D76"/>
    <w:rsid w:val="70294093"/>
    <w:rsid w:val="70337DDE"/>
    <w:rsid w:val="704C7922"/>
    <w:rsid w:val="70581235"/>
    <w:rsid w:val="70592560"/>
    <w:rsid w:val="707F2C23"/>
    <w:rsid w:val="7090557F"/>
    <w:rsid w:val="70A72A68"/>
    <w:rsid w:val="70B04362"/>
    <w:rsid w:val="70CE5DB1"/>
    <w:rsid w:val="70D273FB"/>
    <w:rsid w:val="70D73CD3"/>
    <w:rsid w:val="70DD4EF6"/>
    <w:rsid w:val="70F300F3"/>
    <w:rsid w:val="70FA76A6"/>
    <w:rsid w:val="70FC0F37"/>
    <w:rsid w:val="71074A37"/>
    <w:rsid w:val="71296141"/>
    <w:rsid w:val="713A515F"/>
    <w:rsid w:val="71417C96"/>
    <w:rsid w:val="714A6BE2"/>
    <w:rsid w:val="714D10B3"/>
    <w:rsid w:val="715440AF"/>
    <w:rsid w:val="71574C81"/>
    <w:rsid w:val="715D54F9"/>
    <w:rsid w:val="718104E0"/>
    <w:rsid w:val="71900E5F"/>
    <w:rsid w:val="71B132B0"/>
    <w:rsid w:val="71C32C8F"/>
    <w:rsid w:val="71E84951"/>
    <w:rsid w:val="71EA742E"/>
    <w:rsid w:val="7203181E"/>
    <w:rsid w:val="72094DC3"/>
    <w:rsid w:val="720B11B4"/>
    <w:rsid w:val="720E0B7E"/>
    <w:rsid w:val="72217DC9"/>
    <w:rsid w:val="723F5E90"/>
    <w:rsid w:val="72477438"/>
    <w:rsid w:val="725513B4"/>
    <w:rsid w:val="725E4ABA"/>
    <w:rsid w:val="72794D1E"/>
    <w:rsid w:val="72816906"/>
    <w:rsid w:val="7281762C"/>
    <w:rsid w:val="728E4760"/>
    <w:rsid w:val="729F2B95"/>
    <w:rsid w:val="72B0169B"/>
    <w:rsid w:val="72BC193D"/>
    <w:rsid w:val="72FF5170"/>
    <w:rsid w:val="73005324"/>
    <w:rsid w:val="73051C17"/>
    <w:rsid w:val="73131D48"/>
    <w:rsid w:val="731D58B6"/>
    <w:rsid w:val="732122C1"/>
    <w:rsid w:val="732710B7"/>
    <w:rsid w:val="73400B1E"/>
    <w:rsid w:val="734A576D"/>
    <w:rsid w:val="73526450"/>
    <w:rsid w:val="73583A9B"/>
    <w:rsid w:val="736507F6"/>
    <w:rsid w:val="736A1C02"/>
    <w:rsid w:val="736B336C"/>
    <w:rsid w:val="73830465"/>
    <w:rsid w:val="73937D65"/>
    <w:rsid w:val="73B03CDC"/>
    <w:rsid w:val="73B33441"/>
    <w:rsid w:val="73BD5B78"/>
    <w:rsid w:val="73C5155C"/>
    <w:rsid w:val="73DA58C0"/>
    <w:rsid w:val="7400407A"/>
    <w:rsid w:val="740E69C5"/>
    <w:rsid w:val="74145D78"/>
    <w:rsid w:val="742A7349"/>
    <w:rsid w:val="742E43F3"/>
    <w:rsid w:val="742E450A"/>
    <w:rsid w:val="743F4223"/>
    <w:rsid w:val="74430027"/>
    <w:rsid w:val="74495668"/>
    <w:rsid w:val="745B39A7"/>
    <w:rsid w:val="747B2FCD"/>
    <w:rsid w:val="747E0A1E"/>
    <w:rsid w:val="74836A59"/>
    <w:rsid w:val="74984CA1"/>
    <w:rsid w:val="749C1F79"/>
    <w:rsid w:val="74AD4638"/>
    <w:rsid w:val="74B202D3"/>
    <w:rsid w:val="74C64118"/>
    <w:rsid w:val="74CA6401"/>
    <w:rsid w:val="74CF3EDA"/>
    <w:rsid w:val="74EC15DC"/>
    <w:rsid w:val="74F3598D"/>
    <w:rsid w:val="74FA31C0"/>
    <w:rsid w:val="74FD2B4F"/>
    <w:rsid w:val="74FF278E"/>
    <w:rsid w:val="75011717"/>
    <w:rsid w:val="7501454E"/>
    <w:rsid w:val="75071439"/>
    <w:rsid w:val="750A2CD7"/>
    <w:rsid w:val="75165475"/>
    <w:rsid w:val="7530273D"/>
    <w:rsid w:val="7538283F"/>
    <w:rsid w:val="7544326B"/>
    <w:rsid w:val="755E1F6B"/>
    <w:rsid w:val="756F35A7"/>
    <w:rsid w:val="75890153"/>
    <w:rsid w:val="75995C03"/>
    <w:rsid w:val="759F0B0D"/>
    <w:rsid w:val="75AD2F41"/>
    <w:rsid w:val="75AE4026"/>
    <w:rsid w:val="75AE759C"/>
    <w:rsid w:val="75B10E52"/>
    <w:rsid w:val="75B4344A"/>
    <w:rsid w:val="75D30258"/>
    <w:rsid w:val="75E15A0E"/>
    <w:rsid w:val="75EF359B"/>
    <w:rsid w:val="75F204AF"/>
    <w:rsid w:val="762471E0"/>
    <w:rsid w:val="76277FE4"/>
    <w:rsid w:val="763A22AF"/>
    <w:rsid w:val="763A3C55"/>
    <w:rsid w:val="764861AD"/>
    <w:rsid w:val="76617731"/>
    <w:rsid w:val="766F3032"/>
    <w:rsid w:val="76713781"/>
    <w:rsid w:val="768F6550"/>
    <w:rsid w:val="76903790"/>
    <w:rsid w:val="76920F63"/>
    <w:rsid w:val="76962A74"/>
    <w:rsid w:val="76B80C3C"/>
    <w:rsid w:val="76BF7232"/>
    <w:rsid w:val="76C8276D"/>
    <w:rsid w:val="76D06AEC"/>
    <w:rsid w:val="76D3680D"/>
    <w:rsid w:val="76D62CDB"/>
    <w:rsid w:val="76E37F31"/>
    <w:rsid w:val="76F732A3"/>
    <w:rsid w:val="77040325"/>
    <w:rsid w:val="77057BFA"/>
    <w:rsid w:val="77074B74"/>
    <w:rsid w:val="770C71DA"/>
    <w:rsid w:val="7713711B"/>
    <w:rsid w:val="77143B81"/>
    <w:rsid w:val="7718556C"/>
    <w:rsid w:val="77294EED"/>
    <w:rsid w:val="77336515"/>
    <w:rsid w:val="77350554"/>
    <w:rsid w:val="774B5FAF"/>
    <w:rsid w:val="77514D2B"/>
    <w:rsid w:val="77606A22"/>
    <w:rsid w:val="77692AB8"/>
    <w:rsid w:val="77794E56"/>
    <w:rsid w:val="77826B10"/>
    <w:rsid w:val="77927ED6"/>
    <w:rsid w:val="7794180B"/>
    <w:rsid w:val="7798281C"/>
    <w:rsid w:val="779D7E32"/>
    <w:rsid w:val="77A11A44"/>
    <w:rsid w:val="77AB254F"/>
    <w:rsid w:val="77BD2282"/>
    <w:rsid w:val="77CF3E8E"/>
    <w:rsid w:val="77D13651"/>
    <w:rsid w:val="77F12535"/>
    <w:rsid w:val="78091106"/>
    <w:rsid w:val="7814082D"/>
    <w:rsid w:val="7814578F"/>
    <w:rsid w:val="781931D0"/>
    <w:rsid w:val="782072C9"/>
    <w:rsid w:val="78212BE0"/>
    <w:rsid w:val="78227F45"/>
    <w:rsid w:val="783634EE"/>
    <w:rsid w:val="78395F16"/>
    <w:rsid w:val="783E0B9A"/>
    <w:rsid w:val="784347C4"/>
    <w:rsid w:val="784F4B65"/>
    <w:rsid w:val="785874D9"/>
    <w:rsid w:val="785E3A65"/>
    <w:rsid w:val="786801A4"/>
    <w:rsid w:val="786B4BDB"/>
    <w:rsid w:val="787107A9"/>
    <w:rsid w:val="78775FB3"/>
    <w:rsid w:val="78793A4C"/>
    <w:rsid w:val="787B0E50"/>
    <w:rsid w:val="787F4B16"/>
    <w:rsid w:val="789456D9"/>
    <w:rsid w:val="789A7176"/>
    <w:rsid w:val="78A10A94"/>
    <w:rsid w:val="78A2728C"/>
    <w:rsid w:val="78B55AAC"/>
    <w:rsid w:val="78B92662"/>
    <w:rsid w:val="78BA50F7"/>
    <w:rsid w:val="78C07EE4"/>
    <w:rsid w:val="78C07FFB"/>
    <w:rsid w:val="78CA3236"/>
    <w:rsid w:val="78CE133A"/>
    <w:rsid w:val="78D10C16"/>
    <w:rsid w:val="78D23783"/>
    <w:rsid w:val="78E679D2"/>
    <w:rsid w:val="78FA4811"/>
    <w:rsid w:val="79072250"/>
    <w:rsid w:val="791606B5"/>
    <w:rsid w:val="791B6DA4"/>
    <w:rsid w:val="79262551"/>
    <w:rsid w:val="794473A8"/>
    <w:rsid w:val="796230E1"/>
    <w:rsid w:val="796F0610"/>
    <w:rsid w:val="79713581"/>
    <w:rsid w:val="797515BF"/>
    <w:rsid w:val="797879A1"/>
    <w:rsid w:val="797C1E1F"/>
    <w:rsid w:val="797D6E8C"/>
    <w:rsid w:val="79814074"/>
    <w:rsid w:val="79964E85"/>
    <w:rsid w:val="79A77B0C"/>
    <w:rsid w:val="79BA41BB"/>
    <w:rsid w:val="79C61520"/>
    <w:rsid w:val="79CD0EA3"/>
    <w:rsid w:val="79E35DAD"/>
    <w:rsid w:val="79E766E9"/>
    <w:rsid w:val="79ED32F3"/>
    <w:rsid w:val="79F32CC4"/>
    <w:rsid w:val="7A150154"/>
    <w:rsid w:val="7A157E3F"/>
    <w:rsid w:val="7A1F0FD2"/>
    <w:rsid w:val="7A245B8D"/>
    <w:rsid w:val="7A2F3EAB"/>
    <w:rsid w:val="7A2F7467"/>
    <w:rsid w:val="7A3864DC"/>
    <w:rsid w:val="7A3A62E4"/>
    <w:rsid w:val="7A431165"/>
    <w:rsid w:val="7A4D0D36"/>
    <w:rsid w:val="7A5102F4"/>
    <w:rsid w:val="7A5D1E51"/>
    <w:rsid w:val="7A5F7DD8"/>
    <w:rsid w:val="7A624D9C"/>
    <w:rsid w:val="7A68681F"/>
    <w:rsid w:val="7A7C5D56"/>
    <w:rsid w:val="7A85139A"/>
    <w:rsid w:val="7A8B6668"/>
    <w:rsid w:val="7A9B68AB"/>
    <w:rsid w:val="7A9C08D9"/>
    <w:rsid w:val="7AB160CE"/>
    <w:rsid w:val="7AB847F0"/>
    <w:rsid w:val="7AC35E02"/>
    <w:rsid w:val="7AD41DBD"/>
    <w:rsid w:val="7AEC091C"/>
    <w:rsid w:val="7AF517DC"/>
    <w:rsid w:val="7AFB4923"/>
    <w:rsid w:val="7AFE3BAC"/>
    <w:rsid w:val="7B0A49A4"/>
    <w:rsid w:val="7B160627"/>
    <w:rsid w:val="7B160B6B"/>
    <w:rsid w:val="7B166879"/>
    <w:rsid w:val="7B176193"/>
    <w:rsid w:val="7B1D1BF5"/>
    <w:rsid w:val="7B301C64"/>
    <w:rsid w:val="7B3753B1"/>
    <w:rsid w:val="7B3E4ED8"/>
    <w:rsid w:val="7B450F0D"/>
    <w:rsid w:val="7B4B2817"/>
    <w:rsid w:val="7B535250"/>
    <w:rsid w:val="7B536393"/>
    <w:rsid w:val="7B5F19EA"/>
    <w:rsid w:val="7B783090"/>
    <w:rsid w:val="7B925739"/>
    <w:rsid w:val="7B9D5B7F"/>
    <w:rsid w:val="7B9E709A"/>
    <w:rsid w:val="7B9E743A"/>
    <w:rsid w:val="7BA670DF"/>
    <w:rsid w:val="7BA96FD5"/>
    <w:rsid w:val="7BB22650"/>
    <w:rsid w:val="7BC23C48"/>
    <w:rsid w:val="7BC776AC"/>
    <w:rsid w:val="7BE6072C"/>
    <w:rsid w:val="7BFD622B"/>
    <w:rsid w:val="7BFF3F5C"/>
    <w:rsid w:val="7C2659A6"/>
    <w:rsid w:val="7C2A64CE"/>
    <w:rsid w:val="7C2B0D5B"/>
    <w:rsid w:val="7C305719"/>
    <w:rsid w:val="7C354771"/>
    <w:rsid w:val="7C370855"/>
    <w:rsid w:val="7C520630"/>
    <w:rsid w:val="7C5928DA"/>
    <w:rsid w:val="7C6724CF"/>
    <w:rsid w:val="7C6F372C"/>
    <w:rsid w:val="7C7B55CC"/>
    <w:rsid w:val="7C7F2370"/>
    <w:rsid w:val="7C9130A5"/>
    <w:rsid w:val="7C964821"/>
    <w:rsid w:val="7CC05128"/>
    <w:rsid w:val="7CC11A85"/>
    <w:rsid w:val="7CD25CF0"/>
    <w:rsid w:val="7CDD764F"/>
    <w:rsid w:val="7CF46746"/>
    <w:rsid w:val="7CFE75C5"/>
    <w:rsid w:val="7D0D7808"/>
    <w:rsid w:val="7D27115C"/>
    <w:rsid w:val="7D2A5DDD"/>
    <w:rsid w:val="7D33726F"/>
    <w:rsid w:val="7D34167D"/>
    <w:rsid w:val="7D364FB1"/>
    <w:rsid w:val="7D367A56"/>
    <w:rsid w:val="7D415D2F"/>
    <w:rsid w:val="7D5F62B6"/>
    <w:rsid w:val="7D67065E"/>
    <w:rsid w:val="7D670C6D"/>
    <w:rsid w:val="7D6E474B"/>
    <w:rsid w:val="7D6E5788"/>
    <w:rsid w:val="7D796C4C"/>
    <w:rsid w:val="7D8754DE"/>
    <w:rsid w:val="7D8C4232"/>
    <w:rsid w:val="7D957F29"/>
    <w:rsid w:val="7D9677FD"/>
    <w:rsid w:val="7DA4016C"/>
    <w:rsid w:val="7DB36601"/>
    <w:rsid w:val="7DBF02E8"/>
    <w:rsid w:val="7DC0487A"/>
    <w:rsid w:val="7DC47C46"/>
    <w:rsid w:val="7DD44BD7"/>
    <w:rsid w:val="7DD57899"/>
    <w:rsid w:val="7DED3183"/>
    <w:rsid w:val="7DF34205"/>
    <w:rsid w:val="7DFA4230"/>
    <w:rsid w:val="7E177AE7"/>
    <w:rsid w:val="7E4A75E6"/>
    <w:rsid w:val="7E5020A2"/>
    <w:rsid w:val="7E6E2528"/>
    <w:rsid w:val="7E7B57EE"/>
    <w:rsid w:val="7E8B31DD"/>
    <w:rsid w:val="7EB84979"/>
    <w:rsid w:val="7EC62364"/>
    <w:rsid w:val="7ED27D86"/>
    <w:rsid w:val="7EEA3D63"/>
    <w:rsid w:val="7EEB29F2"/>
    <w:rsid w:val="7EEB5927"/>
    <w:rsid w:val="7EEC2028"/>
    <w:rsid w:val="7EEF5417"/>
    <w:rsid w:val="7F0C4312"/>
    <w:rsid w:val="7F1267A3"/>
    <w:rsid w:val="7F221CF3"/>
    <w:rsid w:val="7F406314"/>
    <w:rsid w:val="7F48121F"/>
    <w:rsid w:val="7F51183B"/>
    <w:rsid w:val="7F531C21"/>
    <w:rsid w:val="7F6835F2"/>
    <w:rsid w:val="7F791C2A"/>
    <w:rsid w:val="7F7D6EC7"/>
    <w:rsid w:val="7F8A0440"/>
    <w:rsid w:val="7F8D64E8"/>
    <w:rsid w:val="7F9933A0"/>
    <w:rsid w:val="7F9E0BEB"/>
    <w:rsid w:val="7FAC170B"/>
    <w:rsid w:val="7FC05006"/>
    <w:rsid w:val="7FC45788"/>
    <w:rsid w:val="7FCA0A9E"/>
    <w:rsid w:val="7FCE3445"/>
    <w:rsid w:val="7FF150A6"/>
    <w:rsid w:val="7FF6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1"/>
    <w:qFormat/>
    <w:uiPriority w:val="0"/>
    <w:pPr>
      <w:keepNext/>
      <w:keepLines/>
      <w:spacing w:after="120" w:line="360" w:lineRule="auto"/>
      <w:jc w:val="left"/>
      <w:outlineLvl w:val="0"/>
    </w:pPr>
    <w:rPr>
      <w:kern w:val="44"/>
      <w:sz w:val="28"/>
      <w:szCs w:val="28"/>
    </w:rPr>
  </w:style>
  <w:style w:type="paragraph" w:styleId="7">
    <w:name w:val="heading 2"/>
    <w:basedOn w:val="1"/>
    <w:next w:val="8"/>
    <w:link w:val="54"/>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9">
    <w:name w:val="heading 3"/>
    <w:basedOn w:val="1"/>
    <w:next w:val="1"/>
    <w:link w:val="56"/>
    <w:qFormat/>
    <w:uiPriority w:val="0"/>
    <w:pPr>
      <w:widowControl/>
      <w:spacing w:before="100" w:beforeAutospacing="1" w:after="100" w:afterAutospacing="1"/>
      <w:jc w:val="left"/>
      <w:outlineLvl w:val="2"/>
    </w:pPr>
    <w:rPr>
      <w:rFonts w:ascii="宋体" w:hAnsi="宋体"/>
      <w:kern w:val="0"/>
      <w:sz w:val="27"/>
      <w:szCs w:val="27"/>
    </w:rPr>
  </w:style>
  <w:style w:type="paragraph" w:styleId="10">
    <w:name w:val="heading 4"/>
    <w:basedOn w:val="1"/>
    <w:next w:val="1"/>
    <w:link w:val="57"/>
    <w:qFormat/>
    <w:uiPriority w:val="0"/>
    <w:pPr>
      <w:keepNext/>
      <w:keepLines/>
      <w:numPr>
        <w:ilvl w:val="3"/>
        <w:numId w:val="1"/>
      </w:numPr>
      <w:spacing w:beforeLines="50" w:afterLines="50" w:line="360" w:lineRule="auto"/>
      <w:outlineLvl w:val="3"/>
    </w:pPr>
    <w:rPr>
      <w:rFonts w:ascii="Arial" w:hAnsi="Arial"/>
      <w:color w:val="000000"/>
      <w:kern w:val="0"/>
      <w:sz w:val="20"/>
      <w:szCs w:val="21"/>
    </w:rPr>
  </w:style>
  <w:style w:type="paragraph" w:styleId="11">
    <w:name w:val="heading 5"/>
    <w:basedOn w:val="10"/>
    <w:next w:val="8"/>
    <w:link w:val="58"/>
    <w:qFormat/>
    <w:uiPriority w:val="0"/>
    <w:pPr>
      <w:numPr>
        <w:ilvl w:val="4"/>
      </w:numPr>
      <w:spacing w:line="240" w:lineRule="exact"/>
      <w:outlineLvl w:val="4"/>
    </w:pPr>
  </w:style>
  <w:style w:type="paragraph" w:styleId="12">
    <w:name w:val="heading 6"/>
    <w:basedOn w:val="1"/>
    <w:next w:val="1"/>
    <w:link w:val="59"/>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3">
    <w:name w:val="heading 7"/>
    <w:basedOn w:val="1"/>
    <w:next w:val="8"/>
    <w:link w:val="60"/>
    <w:qFormat/>
    <w:uiPriority w:val="0"/>
    <w:pPr>
      <w:keepNext/>
      <w:keepLines/>
      <w:numPr>
        <w:ilvl w:val="6"/>
        <w:numId w:val="1"/>
      </w:numPr>
      <w:spacing w:before="240" w:after="64" w:line="320" w:lineRule="auto"/>
      <w:outlineLvl w:val="6"/>
    </w:pPr>
    <w:rPr>
      <w:b/>
      <w:kern w:val="0"/>
      <w:sz w:val="24"/>
      <w:szCs w:val="20"/>
    </w:rPr>
  </w:style>
  <w:style w:type="paragraph" w:styleId="14">
    <w:name w:val="heading 8"/>
    <w:basedOn w:val="1"/>
    <w:next w:val="8"/>
    <w:link w:val="61"/>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5">
    <w:name w:val="heading 9"/>
    <w:basedOn w:val="1"/>
    <w:next w:val="8"/>
    <w:link w:val="62"/>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9"/>
    <w:qFormat/>
    <w:uiPriority w:val="0"/>
    <w:rPr>
      <w:rFonts w:ascii="宋体" w:hAnsi="Courier New"/>
      <w:kern w:val="0"/>
      <w:sz w:val="20"/>
      <w:szCs w:val="20"/>
    </w:rPr>
  </w:style>
  <w:style w:type="paragraph" w:styleId="4">
    <w:name w:val="Title"/>
    <w:basedOn w:val="1"/>
    <w:link w:val="50"/>
    <w:qFormat/>
    <w:uiPriority w:val="0"/>
    <w:pPr>
      <w:spacing w:before="120" w:after="60"/>
      <w:jc w:val="center"/>
    </w:pPr>
    <w:rPr>
      <w:rFonts w:ascii="Arial" w:hAnsi="Arial"/>
      <w:b/>
      <w:kern w:val="0"/>
      <w:sz w:val="44"/>
      <w:szCs w:val="20"/>
    </w:rPr>
  </w:style>
  <w:style w:type="paragraph" w:styleId="5">
    <w:name w:val="Body Text First Indent"/>
    <w:basedOn w:val="6"/>
    <w:link w:val="53"/>
    <w:qFormat/>
    <w:uiPriority w:val="0"/>
    <w:pPr>
      <w:ind w:firstLine="420"/>
    </w:pPr>
  </w:style>
  <w:style w:type="paragraph" w:styleId="6">
    <w:name w:val="Body Text"/>
    <w:basedOn w:val="1"/>
    <w:next w:val="1"/>
    <w:link w:val="52"/>
    <w:qFormat/>
    <w:uiPriority w:val="0"/>
    <w:pPr>
      <w:spacing w:after="120"/>
    </w:pPr>
    <w:rPr>
      <w:kern w:val="0"/>
      <w:sz w:val="20"/>
      <w:szCs w:val="20"/>
    </w:rPr>
  </w:style>
  <w:style w:type="paragraph" w:styleId="8">
    <w:name w:val="Normal Indent"/>
    <w:basedOn w:val="1"/>
    <w:next w:val="1"/>
    <w:link w:val="55"/>
    <w:qFormat/>
    <w:uiPriority w:val="0"/>
    <w:pPr>
      <w:ind w:firstLine="420"/>
    </w:pPr>
    <w:rPr>
      <w:szCs w:val="20"/>
    </w:rPr>
  </w:style>
  <w:style w:type="paragraph" w:styleId="16">
    <w:name w:val="Document Map"/>
    <w:basedOn w:val="1"/>
    <w:link w:val="63"/>
    <w:qFormat/>
    <w:uiPriority w:val="0"/>
    <w:pPr>
      <w:shd w:val="clear" w:color="auto" w:fill="000080"/>
    </w:pPr>
    <w:rPr>
      <w:kern w:val="0"/>
      <w:sz w:val="20"/>
      <w:szCs w:val="20"/>
    </w:rPr>
  </w:style>
  <w:style w:type="paragraph" w:styleId="17">
    <w:name w:val="annotation text"/>
    <w:basedOn w:val="1"/>
    <w:link w:val="64"/>
    <w:qFormat/>
    <w:uiPriority w:val="0"/>
    <w:pPr>
      <w:spacing w:line="360" w:lineRule="auto"/>
      <w:ind w:firstLine="523" w:firstLineChars="218"/>
      <w:jc w:val="left"/>
    </w:pPr>
    <w:rPr>
      <w:rFonts w:ascii="宋体" w:hAnsi="宋体"/>
      <w:kern w:val="0"/>
      <w:sz w:val="24"/>
      <w:szCs w:val="24"/>
    </w:rPr>
  </w:style>
  <w:style w:type="paragraph" w:styleId="18">
    <w:name w:val="Body Text 3"/>
    <w:basedOn w:val="1"/>
    <w:link w:val="65"/>
    <w:unhideWhenUsed/>
    <w:qFormat/>
    <w:uiPriority w:val="99"/>
    <w:pPr>
      <w:spacing w:after="120"/>
    </w:pPr>
    <w:rPr>
      <w:rFonts w:ascii="Calibri" w:hAnsi="Calibri"/>
      <w:sz w:val="16"/>
      <w:szCs w:val="16"/>
    </w:rPr>
  </w:style>
  <w:style w:type="paragraph" w:styleId="19">
    <w:name w:val="Body Text Indent"/>
    <w:basedOn w:val="1"/>
    <w:next w:val="20"/>
    <w:link w:val="66"/>
    <w:qFormat/>
    <w:uiPriority w:val="0"/>
    <w:pPr>
      <w:ind w:firstLine="570"/>
    </w:pPr>
    <w:rPr>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3"/>
    <w:basedOn w:val="1"/>
    <w:next w:val="1"/>
    <w:qFormat/>
    <w:uiPriority w:val="39"/>
    <w:pPr>
      <w:snapToGrid w:val="0"/>
      <w:spacing w:line="360" w:lineRule="auto"/>
      <w:ind w:left="400" w:leftChars="400"/>
      <w:jc w:val="left"/>
    </w:pPr>
    <w:rPr>
      <w:sz w:val="24"/>
      <w:szCs w:val="20"/>
    </w:rPr>
  </w:style>
  <w:style w:type="paragraph" w:styleId="22">
    <w:name w:val="Date"/>
    <w:basedOn w:val="1"/>
    <w:next w:val="1"/>
    <w:link w:val="67"/>
    <w:qFormat/>
    <w:uiPriority w:val="0"/>
    <w:rPr>
      <w:kern w:val="0"/>
      <w:sz w:val="20"/>
      <w:szCs w:val="20"/>
    </w:rPr>
  </w:style>
  <w:style w:type="paragraph" w:styleId="23">
    <w:name w:val="Body Text Indent 2"/>
    <w:basedOn w:val="1"/>
    <w:link w:val="68"/>
    <w:qFormat/>
    <w:uiPriority w:val="0"/>
    <w:pPr>
      <w:spacing w:line="400" w:lineRule="exact"/>
      <w:ind w:left="425"/>
    </w:pPr>
    <w:rPr>
      <w:color w:val="000000"/>
      <w:kern w:val="0"/>
      <w:sz w:val="24"/>
      <w:szCs w:val="20"/>
    </w:rPr>
  </w:style>
  <w:style w:type="paragraph" w:styleId="24">
    <w:name w:val="endnote text"/>
    <w:basedOn w:val="1"/>
    <w:link w:val="69"/>
    <w:qFormat/>
    <w:uiPriority w:val="0"/>
    <w:pPr>
      <w:snapToGrid w:val="0"/>
      <w:jc w:val="left"/>
    </w:pPr>
    <w:rPr>
      <w:kern w:val="0"/>
      <w:sz w:val="20"/>
      <w:szCs w:val="20"/>
    </w:rPr>
  </w:style>
  <w:style w:type="paragraph" w:styleId="25">
    <w:name w:val="Balloon Text"/>
    <w:basedOn w:val="1"/>
    <w:link w:val="70"/>
    <w:qFormat/>
    <w:uiPriority w:val="0"/>
    <w:rPr>
      <w:kern w:val="0"/>
      <w:sz w:val="18"/>
      <w:szCs w:val="18"/>
    </w:rPr>
  </w:style>
  <w:style w:type="paragraph" w:styleId="26">
    <w:name w:val="footer"/>
    <w:basedOn w:val="1"/>
    <w:link w:val="71"/>
    <w:unhideWhenUsed/>
    <w:qFormat/>
    <w:uiPriority w:val="0"/>
    <w:pPr>
      <w:tabs>
        <w:tab w:val="center" w:pos="4153"/>
        <w:tab w:val="right" w:pos="8306"/>
      </w:tabs>
      <w:snapToGrid w:val="0"/>
      <w:jc w:val="left"/>
    </w:pPr>
    <w:rPr>
      <w:rFonts w:ascii="Calibri" w:hAnsi="Calibri"/>
      <w:kern w:val="0"/>
      <w:sz w:val="18"/>
      <w:szCs w:val="18"/>
    </w:rPr>
  </w:style>
  <w:style w:type="paragraph" w:styleId="27">
    <w:name w:val="header"/>
    <w:basedOn w:val="1"/>
    <w:link w:val="72"/>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73"/>
    <w:qFormat/>
    <w:uiPriority w:val="0"/>
    <w:pPr>
      <w:snapToGrid w:val="0"/>
      <w:spacing w:line="360" w:lineRule="auto"/>
      <w:ind w:firstLine="523" w:firstLineChars="218"/>
      <w:jc w:val="left"/>
    </w:pPr>
    <w:rPr>
      <w:rFonts w:ascii="宋体" w:hAnsi="宋体"/>
      <w:kern w:val="0"/>
      <w:sz w:val="18"/>
      <w:szCs w:val="18"/>
    </w:rPr>
  </w:style>
  <w:style w:type="paragraph" w:styleId="30">
    <w:name w:val="Body Text Indent 3"/>
    <w:basedOn w:val="1"/>
    <w:link w:val="74"/>
    <w:qFormat/>
    <w:uiPriority w:val="0"/>
    <w:pPr>
      <w:tabs>
        <w:tab w:val="left" w:pos="0"/>
      </w:tabs>
      <w:spacing w:line="400" w:lineRule="exact"/>
      <w:ind w:left="563" w:leftChars="228" w:hanging="84" w:hangingChars="35"/>
    </w:pPr>
    <w:rPr>
      <w:color w:val="000000"/>
      <w:kern w:val="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32">
    <w:name w:val="Body Text 2"/>
    <w:basedOn w:val="1"/>
    <w:link w:val="75"/>
    <w:qFormat/>
    <w:uiPriority w:val="0"/>
    <w:rPr>
      <w:rFonts w:ascii="宋体" w:hAnsi="宋体"/>
      <w:kern w:val="0"/>
      <w:sz w:val="20"/>
      <w:szCs w:val="24"/>
      <w:u w:val="single"/>
    </w:rPr>
  </w:style>
  <w:style w:type="paragraph" w:styleId="33">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val="en-US" w:eastAsia="zh-CN" w:bidi="ar-SA"/>
    </w:rPr>
  </w:style>
  <w:style w:type="paragraph" w:styleId="3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5">
    <w:name w:val="index 1"/>
    <w:basedOn w:val="1"/>
    <w:next w:val="1"/>
    <w:qFormat/>
    <w:uiPriority w:val="0"/>
    <w:rPr>
      <w:rFonts w:eastAsia="仿宋_GB2312"/>
      <w:sz w:val="28"/>
      <w:szCs w:val="20"/>
    </w:rPr>
  </w:style>
  <w:style w:type="paragraph" w:styleId="36">
    <w:name w:val="annotation subject"/>
    <w:basedOn w:val="17"/>
    <w:next w:val="17"/>
    <w:link w:val="76"/>
    <w:qFormat/>
    <w:uiPriority w:val="0"/>
    <w:rPr>
      <w:b/>
      <w:bCs/>
    </w:rPr>
  </w:style>
  <w:style w:type="paragraph" w:styleId="37">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unhideWhenUsed/>
    <w:qFormat/>
    <w:uiPriority w:val="99"/>
    <w:rPr>
      <w:color w:val="954F72"/>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paragraph" w:customStyle="1" w:styleId="48">
    <w:name w:val="PlainText"/>
    <w:basedOn w:val="1"/>
    <w:qFormat/>
    <w:uiPriority w:val="0"/>
    <w:rPr>
      <w:rFonts w:ascii="宋体" w:hAnsi="Courier New"/>
      <w:kern w:val="0"/>
      <w:sz w:val="20"/>
      <w:szCs w:val="20"/>
    </w:rPr>
  </w:style>
  <w:style w:type="character" w:customStyle="1" w:styleId="49">
    <w:name w:val="纯文本 Char"/>
    <w:link w:val="2"/>
    <w:qFormat/>
    <w:uiPriority w:val="0"/>
    <w:rPr>
      <w:rFonts w:ascii="宋体" w:hAnsi="Courier New" w:eastAsia="宋体" w:cs="Times New Roman"/>
      <w:szCs w:val="20"/>
    </w:rPr>
  </w:style>
  <w:style w:type="character" w:customStyle="1" w:styleId="50">
    <w:name w:val="标题 Char"/>
    <w:link w:val="4"/>
    <w:qFormat/>
    <w:uiPriority w:val="0"/>
    <w:rPr>
      <w:rFonts w:ascii="Arial" w:hAnsi="Arial" w:eastAsia="宋体" w:cs="Times New Roman"/>
      <w:b/>
      <w:sz w:val="44"/>
      <w:szCs w:val="20"/>
    </w:rPr>
  </w:style>
  <w:style w:type="character" w:customStyle="1" w:styleId="51">
    <w:name w:val="标题 1 Char"/>
    <w:link w:val="3"/>
    <w:qFormat/>
    <w:uiPriority w:val="0"/>
    <w:rPr>
      <w:rFonts w:ascii="Arial" w:hAnsi="Arial" w:eastAsia="宋体" w:cs="Times New Roman"/>
      <w:b/>
      <w:kern w:val="44"/>
      <w:sz w:val="28"/>
      <w:szCs w:val="28"/>
    </w:rPr>
  </w:style>
  <w:style w:type="character" w:customStyle="1" w:styleId="52">
    <w:name w:val="正文文本 Char"/>
    <w:link w:val="6"/>
    <w:qFormat/>
    <w:uiPriority w:val="0"/>
    <w:rPr>
      <w:rFonts w:ascii="Times New Roman" w:hAnsi="Times New Roman" w:eastAsia="宋体" w:cs="Times New Roman"/>
      <w:szCs w:val="20"/>
    </w:rPr>
  </w:style>
  <w:style w:type="character" w:customStyle="1" w:styleId="53">
    <w:name w:val="正文首行缩进 Char"/>
    <w:link w:val="5"/>
    <w:qFormat/>
    <w:uiPriority w:val="0"/>
  </w:style>
  <w:style w:type="character" w:customStyle="1" w:styleId="54">
    <w:name w:val="标题 2 Char"/>
    <w:link w:val="7"/>
    <w:qFormat/>
    <w:uiPriority w:val="0"/>
    <w:rPr>
      <w:rFonts w:ascii="Arial" w:hAnsi="Arial" w:eastAsia="宋体" w:cs="Times New Roman"/>
      <w:b/>
      <w:color w:val="000000"/>
      <w:sz w:val="24"/>
      <w:szCs w:val="24"/>
    </w:rPr>
  </w:style>
  <w:style w:type="character" w:customStyle="1" w:styleId="55">
    <w:name w:val="正文缩进 Char"/>
    <w:link w:val="8"/>
    <w:qFormat/>
    <w:uiPriority w:val="0"/>
    <w:rPr>
      <w:rFonts w:ascii="Times New Roman" w:hAnsi="Times New Roman" w:eastAsia="宋体"/>
      <w:kern w:val="2"/>
      <w:sz w:val="21"/>
    </w:rPr>
  </w:style>
  <w:style w:type="character" w:customStyle="1" w:styleId="56">
    <w:name w:val="标题 3 Char"/>
    <w:link w:val="9"/>
    <w:qFormat/>
    <w:uiPriority w:val="0"/>
    <w:rPr>
      <w:rFonts w:ascii="宋体" w:hAnsi="宋体" w:eastAsia="宋体" w:cs="宋体"/>
      <w:kern w:val="0"/>
      <w:sz w:val="27"/>
      <w:szCs w:val="27"/>
    </w:rPr>
  </w:style>
  <w:style w:type="character" w:customStyle="1" w:styleId="57">
    <w:name w:val="标题 4 Char"/>
    <w:link w:val="10"/>
    <w:qFormat/>
    <w:uiPriority w:val="0"/>
    <w:rPr>
      <w:rFonts w:ascii="Arial" w:hAnsi="Arial" w:eastAsia="宋体" w:cs="Times New Roman"/>
      <w:color w:val="000000"/>
      <w:szCs w:val="21"/>
    </w:rPr>
  </w:style>
  <w:style w:type="character" w:customStyle="1" w:styleId="58">
    <w:name w:val="标题 5 Char"/>
    <w:link w:val="11"/>
    <w:qFormat/>
    <w:uiPriority w:val="0"/>
    <w:rPr>
      <w:rFonts w:ascii="Arial" w:hAnsi="Arial" w:eastAsia="宋体" w:cs="Times New Roman"/>
      <w:color w:val="000000"/>
      <w:szCs w:val="21"/>
    </w:rPr>
  </w:style>
  <w:style w:type="character" w:customStyle="1" w:styleId="59">
    <w:name w:val="标题 6 Char"/>
    <w:link w:val="12"/>
    <w:qFormat/>
    <w:uiPriority w:val="0"/>
    <w:rPr>
      <w:rFonts w:ascii="Arial" w:hAnsi="Arial" w:eastAsia="黑体" w:cs="Times New Roman"/>
      <w:b/>
      <w:bCs/>
      <w:sz w:val="24"/>
      <w:szCs w:val="24"/>
    </w:rPr>
  </w:style>
  <w:style w:type="character" w:customStyle="1" w:styleId="60">
    <w:name w:val="标题 7 Char"/>
    <w:link w:val="13"/>
    <w:qFormat/>
    <w:uiPriority w:val="0"/>
    <w:rPr>
      <w:rFonts w:ascii="Times New Roman" w:hAnsi="Times New Roman" w:eastAsia="宋体" w:cs="Times New Roman"/>
      <w:b/>
      <w:sz w:val="24"/>
      <w:szCs w:val="20"/>
    </w:rPr>
  </w:style>
  <w:style w:type="character" w:customStyle="1" w:styleId="61">
    <w:name w:val="标题 8 Char"/>
    <w:link w:val="14"/>
    <w:qFormat/>
    <w:uiPriority w:val="0"/>
    <w:rPr>
      <w:rFonts w:ascii="Arial" w:hAnsi="Arial" w:eastAsia="黑体" w:cs="Times New Roman"/>
      <w:sz w:val="24"/>
      <w:szCs w:val="20"/>
    </w:rPr>
  </w:style>
  <w:style w:type="character" w:customStyle="1" w:styleId="62">
    <w:name w:val="标题 9 Char"/>
    <w:link w:val="15"/>
    <w:qFormat/>
    <w:uiPriority w:val="0"/>
    <w:rPr>
      <w:rFonts w:ascii="Arial" w:hAnsi="Arial" w:eastAsia="黑体" w:cs="Times New Roman"/>
      <w:szCs w:val="20"/>
    </w:rPr>
  </w:style>
  <w:style w:type="character" w:customStyle="1" w:styleId="63">
    <w:name w:val="文档结构图 Char"/>
    <w:link w:val="16"/>
    <w:qFormat/>
    <w:uiPriority w:val="0"/>
    <w:rPr>
      <w:rFonts w:ascii="Times New Roman" w:hAnsi="Times New Roman" w:eastAsia="宋体" w:cs="Times New Roman"/>
      <w:szCs w:val="20"/>
      <w:shd w:val="clear" w:color="auto" w:fill="000080"/>
    </w:rPr>
  </w:style>
  <w:style w:type="character" w:customStyle="1" w:styleId="64">
    <w:name w:val="批注文字 Char"/>
    <w:link w:val="17"/>
    <w:qFormat/>
    <w:uiPriority w:val="0"/>
    <w:rPr>
      <w:rFonts w:ascii="宋体" w:hAnsi="宋体" w:eastAsia="宋体" w:cs="Times New Roman"/>
      <w:sz w:val="24"/>
      <w:szCs w:val="24"/>
    </w:rPr>
  </w:style>
  <w:style w:type="character" w:customStyle="1" w:styleId="65">
    <w:name w:val="正文文本 3 Char"/>
    <w:link w:val="18"/>
    <w:semiHidden/>
    <w:qFormat/>
    <w:uiPriority w:val="99"/>
    <w:rPr>
      <w:rFonts w:ascii="Calibri" w:hAnsi="Calibri" w:eastAsia="宋体"/>
      <w:kern w:val="2"/>
      <w:sz w:val="16"/>
      <w:szCs w:val="16"/>
    </w:rPr>
  </w:style>
  <w:style w:type="character" w:customStyle="1" w:styleId="66">
    <w:name w:val="正文文本缩进 Char"/>
    <w:link w:val="19"/>
    <w:qFormat/>
    <w:uiPriority w:val="0"/>
    <w:rPr>
      <w:rFonts w:ascii="Times New Roman" w:hAnsi="Times New Roman" w:eastAsia="宋体" w:cs="Times New Roman"/>
      <w:sz w:val="28"/>
      <w:szCs w:val="20"/>
    </w:rPr>
  </w:style>
  <w:style w:type="character" w:customStyle="1" w:styleId="67">
    <w:name w:val="日期 Char"/>
    <w:link w:val="22"/>
    <w:qFormat/>
    <w:uiPriority w:val="0"/>
    <w:rPr>
      <w:rFonts w:ascii="Times New Roman" w:hAnsi="Times New Roman" w:eastAsia="宋体" w:cs="Times New Roman"/>
      <w:szCs w:val="20"/>
    </w:rPr>
  </w:style>
  <w:style w:type="character" w:customStyle="1" w:styleId="68">
    <w:name w:val="正文文本缩进 2 Char"/>
    <w:link w:val="23"/>
    <w:qFormat/>
    <w:uiPriority w:val="0"/>
    <w:rPr>
      <w:rFonts w:ascii="Times New Roman" w:hAnsi="Times New Roman" w:eastAsia="宋体" w:cs="Times New Roman"/>
      <w:color w:val="000000"/>
      <w:sz w:val="24"/>
      <w:szCs w:val="20"/>
    </w:rPr>
  </w:style>
  <w:style w:type="character" w:customStyle="1" w:styleId="69">
    <w:name w:val="尾注文本 Char"/>
    <w:link w:val="24"/>
    <w:qFormat/>
    <w:uiPriority w:val="0"/>
    <w:rPr>
      <w:rFonts w:ascii="Times New Roman" w:hAnsi="Times New Roman" w:eastAsia="宋体" w:cs="Times New Roman"/>
      <w:szCs w:val="20"/>
    </w:rPr>
  </w:style>
  <w:style w:type="character" w:customStyle="1" w:styleId="70">
    <w:name w:val="批注框文本 Char"/>
    <w:link w:val="25"/>
    <w:qFormat/>
    <w:uiPriority w:val="0"/>
    <w:rPr>
      <w:rFonts w:ascii="Times New Roman" w:hAnsi="Times New Roman" w:eastAsia="宋体" w:cs="Times New Roman"/>
      <w:sz w:val="18"/>
      <w:szCs w:val="18"/>
    </w:rPr>
  </w:style>
  <w:style w:type="character" w:customStyle="1" w:styleId="71">
    <w:name w:val="页脚 Char"/>
    <w:link w:val="26"/>
    <w:qFormat/>
    <w:uiPriority w:val="0"/>
    <w:rPr>
      <w:rFonts w:ascii="Calibri" w:hAnsi="Calibri" w:eastAsia="宋体" w:cs="Times New Roman"/>
      <w:sz w:val="18"/>
      <w:szCs w:val="18"/>
    </w:rPr>
  </w:style>
  <w:style w:type="character" w:customStyle="1" w:styleId="72">
    <w:name w:val="页眉 Char"/>
    <w:link w:val="27"/>
    <w:qFormat/>
    <w:uiPriority w:val="0"/>
    <w:rPr>
      <w:rFonts w:ascii="Calibri" w:hAnsi="Calibri" w:eastAsia="宋体" w:cs="Times New Roman"/>
      <w:sz w:val="18"/>
      <w:szCs w:val="18"/>
    </w:rPr>
  </w:style>
  <w:style w:type="character" w:customStyle="1" w:styleId="73">
    <w:name w:val="脚注文本 Char"/>
    <w:link w:val="29"/>
    <w:qFormat/>
    <w:uiPriority w:val="0"/>
    <w:rPr>
      <w:rFonts w:ascii="宋体" w:hAnsi="宋体" w:eastAsia="宋体" w:cs="Times New Roman"/>
      <w:sz w:val="18"/>
      <w:szCs w:val="18"/>
    </w:rPr>
  </w:style>
  <w:style w:type="character" w:customStyle="1" w:styleId="74">
    <w:name w:val="正文文本缩进 3 Char"/>
    <w:link w:val="30"/>
    <w:qFormat/>
    <w:uiPriority w:val="0"/>
    <w:rPr>
      <w:rFonts w:ascii="Times New Roman" w:hAnsi="Times New Roman" w:eastAsia="宋体" w:cs="Times New Roman"/>
      <w:color w:val="000000"/>
      <w:sz w:val="24"/>
      <w:szCs w:val="20"/>
    </w:rPr>
  </w:style>
  <w:style w:type="character" w:customStyle="1" w:styleId="75">
    <w:name w:val="正文文本 2 Char"/>
    <w:link w:val="32"/>
    <w:qFormat/>
    <w:uiPriority w:val="0"/>
    <w:rPr>
      <w:rFonts w:ascii="宋体" w:hAnsi="宋体" w:eastAsia="宋体" w:cs="Times New Roman"/>
      <w:szCs w:val="24"/>
      <w:u w:val="single"/>
    </w:rPr>
  </w:style>
  <w:style w:type="character" w:customStyle="1" w:styleId="76">
    <w:name w:val="批注主题 Char"/>
    <w:link w:val="36"/>
    <w:qFormat/>
    <w:uiPriority w:val="0"/>
    <w:rPr>
      <w:rFonts w:ascii="宋体" w:hAnsi="宋体" w:eastAsia="宋体" w:cs="Times New Roman"/>
      <w:b/>
      <w:bCs/>
      <w:sz w:val="24"/>
      <w:szCs w:val="24"/>
    </w:rPr>
  </w:style>
  <w:style w:type="character" w:customStyle="1" w:styleId="77">
    <w:name w:val="文一 Char"/>
    <w:link w:val="78"/>
    <w:qFormat/>
    <w:uiPriority w:val="0"/>
    <w:rPr>
      <w:snapToGrid/>
      <w:spacing w:val="4"/>
      <w:sz w:val="24"/>
      <w:szCs w:val="24"/>
    </w:rPr>
  </w:style>
  <w:style w:type="paragraph" w:customStyle="1" w:styleId="78">
    <w:name w:val="文一"/>
    <w:basedOn w:val="1"/>
    <w:link w:val="77"/>
    <w:qFormat/>
    <w:uiPriority w:val="0"/>
    <w:pPr>
      <w:topLinePunct/>
      <w:adjustRightInd w:val="0"/>
      <w:snapToGrid w:val="0"/>
      <w:spacing w:line="360" w:lineRule="auto"/>
      <w:ind w:firstLine="200" w:firstLineChars="200"/>
    </w:pPr>
    <w:rPr>
      <w:spacing w:val="4"/>
      <w:kern w:val="0"/>
      <w:sz w:val="24"/>
      <w:szCs w:val="24"/>
    </w:rPr>
  </w:style>
  <w:style w:type="character" w:customStyle="1" w:styleId="79">
    <w:name w:val="正文文本缩进 3 字符"/>
    <w:semiHidden/>
    <w:qFormat/>
    <w:uiPriority w:val="99"/>
    <w:rPr>
      <w:rFonts w:ascii="Calibri" w:hAnsi="Calibri" w:eastAsia="宋体" w:cs="Times New Roman"/>
      <w:sz w:val="16"/>
      <w:szCs w:val="16"/>
    </w:rPr>
  </w:style>
  <w:style w:type="character" w:customStyle="1" w:styleId="80">
    <w:name w:val="标题 9 字符"/>
    <w:semiHidden/>
    <w:qFormat/>
    <w:uiPriority w:val="9"/>
    <w:rPr>
      <w:rFonts w:ascii="等线 Light" w:hAnsi="等线 Light" w:eastAsia="等线 Light" w:cs="Times New Roman"/>
      <w:szCs w:val="21"/>
    </w:rPr>
  </w:style>
  <w:style w:type="character" w:customStyle="1" w:styleId="81">
    <w:name w:val="标题 6 字符"/>
    <w:semiHidden/>
    <w:qFormat/>
    <w:uiPriority w:val="9"/>
    <w:rPr>
      <w:rFonts w:ascii="等线 Light" w:hAnsi="等线 Light" w:eastAsia="等线 Light" w:cs="Times New Roman"/>
      <w:b/>
      <w:bCs/>
      <w:sz w:val="24"/>
      <w:szCs w:val="24"/>
    </w:rPr>
  </w:style>
  <w:style w:type="character" w:customStyle="1" w:styleId="82">
    <w:name w:val="标题 3 字符"/>
    <w:semiHidden/>
    <w:qFormat/>
    <w:uiPriority w:val="9"/>
    <w:rPr>
      <w:rFonts w:ascii="Calibri" w:hAnsi="Calibri" w:eastAsia="宋体" w:cs="Times New Roman"/>
      <w:b/>
      <w:bCs/>
      <w:sz w:val="32"/>
      <w:szCs w:val="32"/>
    </w:rPr>
  </w:style>
  <w:style w:type="character" w:customStyle="1" w:styleId="83">
    <w:name w:val="正文文本首行缩进 字符"/>
    <w:link w:val="84"/>
    <w:qFormat/>
    <w:uiPriority w:val="0"/>
    <w:rPr>
      <w:rFonts w:ascii="Times New Roman" w:hAnsi="Times New Roman" w:eastAsia="宋体" w:cs="Times New Roman"/>
      <w:szCs w:val="20"/>
    </w:rPr>
  </w:style>
  <w:style w:type="paragraph" w:customStyle="1" w:styleId="84">
    <w:name w:val="_Style 48"/>
    <w:basedOn w:val="6"/>
    <w:next w:val="5"/>
    <w:link w:val="83"/>
    <w:qFormat/>
    <w:uiPriority w:val="0"/>
    <w:pPr>
      <w:ind w:firstLine="420"/>
    </w:pPr>
  </w:style>
  <w:style w:type="character" w:customStyle="1" w:styleId="85">
    <w:name w:val="尾注文本 字符"/>
    <w:semiHidden/>
    <w:qFormat/>
    <w:uiPriority w:val="99"/>
    <w:rPr>
      <w:rFonts w:ascii="Calibri" w:hAnsi="Calibri" w:eastAsia="宋体" w:cs="Times New Roman"/>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字符"/>
    <w:qFormat/>
    <w:uiPriority w:val="10"/>
    <w:rPr>
      <w:rFonts w:ascii="等线 Light" w:hAnsi="等线 Light" w:eastAsia="等线 Light" w:cs="Times New Roman"/>
      <w:b/>
      <w:bCs/>
      <w:sz w:val="32"/>
      <w:szCs w:val="32"/>
    </w:rPr>
  </w:style>
  <w:style w:type="character" w:customStyle="1" w:styleId="88">
    <w:name w:val="正文文本缩进 字符"/>
    <w:semiHidden/>
    <w:qFormat/>
    <w:uiPriority w:val="99"/>
    <w:rPr>
      <w:rFonts w:ascii="Calibri" w:hAnsi="Calibri" w:eastAsia="宋体" w:cs="Times New Roman"/>
    </w:rPr>
  </w:style>
  <w:style w:type="character" w:customStyle="1" w:styleId="89">
    <w:name w:val="批注主题 字符"/>
    <w:semiHidden/>
    <w:qFormat/>
    <w:uiPriority w:val="99"/>
    <w:rPr>
      <w:rFonts w:ascii="Calibri" w:hAnsi="Calibri" w:eastAsia="宋体" w:cs="Times New Roman"/>
      <w:b/>
      <w:bCs/>
    </w:rPr>
  </w:style>
  <w:style w:type="character" w:customStyle="1" w:styleId="90">
    <w:name w:val="标题 1 字符"/>
    <w:qFormat/>
    <w:uiPriority w:val="9"/>
    <w:rPr>
      <w:rFonts w:ascii="Calibri" w:hAnsi="Calibri" w:eastAsia="宋体" w:cs="Times New Roman"/>
      <w:b/>
      <w:bCs/>
      <w:kern w:val="44"/>
      <w:sz w:val="44"/>
      <w:szCs w:val="44"/>
    </w:rPr>
  </w:style>
  <w:style w:type="character" w:customStyle="1" w:styleId="91">
    <w:name w:val="标题 8 字符"/>
    <w:semiHidden/>
    <w:qFormat/>
    <w:uiPriority w:val="9"/>
    <w:rPr>
      <w:rFonts w:ascii="等线 Light" w:hAnsi="等线 Light" w:eastAsia="等线 Light" w:cs="Times New Roman"/>
      <w:sz w:val="24"/>
      <w:szCs w:val="24"/>
    </w:rPr>
  </w:style>
  <w:style w:type="character" w:customStyle="1" w:styleId="92">
    <w:name w:val="日期 字符"/>
    <w:qFormat/>
    <w:uiPriority w:val="0"/>
    <w:rPr>
      <w:rFonts w:ascii="Calibri" w:hAnsi="Calibri" w:eastAsia="宋体" w:cs="Times New Roman"/>
    </w:rPr>
  </w:style>
  <w:style w:type="character" w:customStyle="1" w:styleId="93">
    <w:name w:val="正文文本 2 字符"/>
    <w:qFormat/>
    <w:uiPriority w:val="0"/>
    <w:rPr>
      <w:rFonts w:ascii="Calibri" w:hAnsi="Calibri" w:eastAsia="宋体" w:cs="Times New Roman"/>
    </w:rPr>
  </w:style>
  <w:style w:type="character" w:customStyle="1" w:styleId="94">
    <w:name w:val="页眉 字符"/>
    <w:semiHidden/>
    <w:qFormat/>
    <w:uiPriority w:val="99"/>
    <w:rPr>
      <w:rFonts w:ascii="Calibri" w:hAnsi="Calibri" w:eastAsia="宋体" w:cs="Times New Roman"/>
      <w:sz w:val="18"/>
      <w:szCs w:val="18"/>
    </w:rPr>
  </w:style>
  <w:style w:type="character" w:customStyle="1" w:styleId="95">
    <w:name w:val="标题 5 字符"/>
    <w:semiHidden/>
    <w:qFormat/>
    <w:uiPriority w:val="9"/>
    <w:rPr>
      <w:rFonts w:ascii="Calibri" w:hAnsi="Calibri" w:eastAsia="宋体" w:cs="Times New Roman"/>
      <w:b/>
      <w:bCs/>
      <w:sz w:val="28"/>
      <w:szCs w:val="28"/>
    </w:rPr>
  </w:style>
  <w:style w:type="character" w:customStyle="1" w:styleId="96">
    <w:name w:val="正文文本缩进 2 字符"/>
    <w:semiHidden/>
    <w:qFormat/>
    <w:uiPriority w:val="99"/>
    <w:rPr>
      <w:rFonts w:ascii="Calibri" w:hAnsi="Calibri" w:eastAsia="宋体" w:cs="Times New Roman"/>
    </w:rPr>
  </w:style>
  <w:style w:type="character" w:customStyle="1" w:styleId="97">
    <w:name w:val="页脚 字符"/>
    <w:semiHidden/>
    <w:qFormat/>
    <w:uiPriority w:val="99"/>
    <w:rPr>
      <w:rFonts w:ascii="Calibri" w:hAnsi="Calibri" w:eastAsia="宋体" w:cs="Times New Roman"/>
      <w:sz w:val="18"/>
      <w:szCs w:val="18"/>
    </w:rPr>
  </w:style>
  <w:style w:type="character" w:customStyle="1" w:styleId="98">
    <w:name w:val="批注文字 字符"/>
    <w:semiHidden/>
    <w:qFormat/>
    <w:uiPriority w:val="99"/>
    <w:rPr>
      <w:rFonts w:ascii="Calibri" w:hAnsi="Calibri" w:eastAsia="宋体" w:cs="Times New Roman"/>
    </w:rPr>
  </w:style>
  <w:style w:type="character" w:customStyle="1" w:styleId="99">
    <w:name w:val="正文首行缩进 字符"/>
    <w:semiHidden/>
    <w:qFormat/>
    <w:uiPriority w:val="99"/>
  </w:style>
  <w:style w:type="character" w:customStyle="1" w:styleId="100">
    <w:name w:val="正文文本 字符"/>
    <w:semiHidden/>
    <w:qFormat/>
    <w:uiPriority w:val="99"/>
    <w:rPr>
      <w:rFonts w:ascii="Calibri" w:hAnsi="Calibri" w:eastAsia="宋体" w:cs="Times New Roman"/>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文档结构图 字符"/>
    <w:semiHidden/>
    <w:qFormat/>
    <w:uiPriority w:val="99"/>
    <w:rPr>
      <w:rFonts w:ascii="Microsoft YaHei UI" w:hAnsi="Calibri" w:eastAsia="Microsoft YaHei UI" w:cs="Times New Roman"/>
      <w:sz w:val="18"/>
      <w:szCs w:val="18"/>
    </w:rPr>
  </w:style>
  <w:style w:type="character" w:customStyle="1" w:styleId="103">
    <w:name w:val="标题 2 字符"/>
    <w:semiHidden/>
    <w:qFormat/>
    <w:uiPriority w:val="9"/>
    <w:rPr>
      <w:rFonts w:ascii="等线 Light" w:hAnsi="等线 Light" w:eastAsia="等线 Light" w:cs="Times New Roman"/>
      <w:b/>
      <w:bCs/>
      <w:sz w:val="32"/>
      <w:szCs w:val="32"/>
    </w:rPr>
  </w:style>
  <w:style w:type="character" w:customStyle="1" w:styleId="104">
    <w:name w:val="标题 4 字符"/>
    <w:semiHidden/>
    <w:qFormat/>
    <w:uiPriority w:val="9"/>
    <w:rPr>
      <w:rFonts w:ascii="等线 Light" w:hAnsi="等线 Light" w:eastAsia="等线 Light" w:cs="Times New Roman"/>
      <w:b/>
      <w:bCs/>
      <w:sz w:val="28"/>
      <w:szCs w:val="28"/>
    </w:rPr>
  </w:style>
  <w:style w:type="character" w:customStyle="1" w:styleId="105">
    <w:name w:val="标题 7 字符"/>
    <w:semiHidden/>
    <w:qFormat/>
    <w:uiPriority w:val="9"/>
    <w:rPr>
      <w:rFonts w:ascii="Calibri" w:hAnsi="Calibri" w:eastAsia="宋体" w:cs="Times New Roman"/>
      <w:b/>
      <w:bCs/>
      <w:sz w:val="24"/>
      <w:szCs w:val="24"/>
    </w:rPr>
  </w:style>
  <w:style w:type="character" w:customStyle="1" w:styleId="106">
    <w:name w:val="纯文本 字符"/>
    <w:semiHidden/>
    <w:qFormat/>
    <w:uiPriority w:val="99"/>
    <w:rPr>
      <w:rFonts w:ascii="等线" w:hAnsi="Courier New" w:cs="Courier New"/>
    </w:rPr>
  </w:style>
  <w:style w:type="paragraph" w:customStyle="1" w:styleId="107">
    <w:name w:val="Char"/>
    <w:basedOn w:val="1"/>
    <w:qFormat/>
    <w:uiPriority w:val="0"/>
    <w:rPr>
      <w:rFonts w:ascii="Tahoma" w:hAnsi="Tahoma"/>
      <w:sz w:val="24"/>
      <w:szCs w:val="20"/>
    </w:rPr>
  </w:style>
  <w:style w:type="paragraph" w:customStyle="1" w:styleId="108">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09">
    <w:name w:val="列出段落1"/>
    <w:basedOn w:val="1"/>
    <w:qFormat/>
    <w:uiPriority w:val="34"/>
    <w:pPr>
      <w:ind w:firstLine="420" w:firstLineChars="200"/>
    </w:pPr>
    <w:rPr>
      <w:szCs w:val="20"/>
    </w:rPr>
  </w:style>
  <w:style w:type="paragraph" w:customStyle="1" w:styleId="110">
    <w:name w:val="Char Char Char Char"/>
    <w:basedOn w:val="1"/>
    <w:qFormat/>
    <w:uiPriority w:val="0"/>
    <w:rPr>
      <w:sz w:val="30"/>
      <w:szCs w:val="24"/>
    </w:rPr>
  </w:style>
  <w:style w:type="paragraph" w:customStyle="1" w:styleId="111">
    <w:name w:val="1"/>
    <w:basedOn w:val="1"/>
    <w:next w:val="1"/>
    <w:qFormat/>
    <w:uiPriority w:val="0"/>
  </w:style>
  <w:style w:type="paragraph" w:customStyle="1" w:styleId="112">
    <w:name w:val="公文抬头"/>
    <w:basedOn w:val="8"/>
    <w:qFormat/>
    <w:uiPriority w:val="0"/>
    <w:pPr>
      <w:ind w:firstLine="0"/>
    </w:pPr>
    <w:rPr>
      <w:rFonts w:ascii="仿宋_GB2312" w:eastAsia="仿宋_GB2312"/>
      <w:sz w:val="30"/>
      <w:szCs w:val="24"/>
    </w:rPr>
  </w:style>
  <w:style w:type="paragraph" w:customStyle="1" w:styleId="113">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14">
    <w:name w:val="Char1"/>
    <w:basedOn w:val="1"/>
    <w:qFormat/>
    <w:uiPriority w:val="0"/>
    <w:pPr>
      <w:numPr>
        <w:ilvl w:val="0"/>
        <w:numId w:val="1"/>
      </w:numPr>
    </w:pPr>
    <w:rPr>
      <w:sz w:val="24"/>
      <w:szCs w:val="24"/>
    </w:rPr>
  </w:style>
  <w:style w:type="paragraph" w:customStyle="1" w:styleId="115">
    <w:name w:val="_Style 49"/>
    <w:basedOn w:val="6"/>
    <w:next w:val="5"/>
    <w:qFormat/>
    <w:uiPriority w:val="0"/>
    <w:pPr>
      <w:ind w:firstLine="420"/>
    </w:pPr>
  </w:style>
  <w:style w:type="paragraph" w:customStyle="1" w:styleId="116">
    <w:name w:val="文二"/>
    <w:basedOn w:val="1"/>
    <w:qFormat/>
    <w:uiPriority w:val="0"/>
    <w:pPr>
      <w:jc w:val="left"/>
    </w:pPr>
    <w:rPr>
      <w:rFonts w:ascii="宋体" w:hAnsi="宋体"/>
      <w:szCs w:val="21"/>
    </w:rPr>
  </w:style>
  <w:style w:type="paragraph" w:customStyle="1" w:styleId="117">
    <w:name w:val="列出段落11"/>
    <w:basedOn w:val="1"/>
    <w:qFormat/>
    <w:uiPriority w:val="34"/>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118">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11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1">
    <w:name w:val="正题"/>
    <w:basedOn w:val="78"/>
    <w:next w:val="78"/>
    <w:qFormat/>
    <w:uiPriority w:val="0"/>
    <w:pPr>
      <w:ind w:firstLine="0" w:firstLineChars="0"/>
      <w:jc w:val="center"/>
    </w:pPr>
    <w:rPr>
      <w:rFonts w:eastAsia="黑体"/>
      <w:b/>
      <w:sz w:val="36"/>
      <w:szCs w:val="36"/>
    </w:rPr>
  </w:style>
  <w:style w:type="paragraph" w:customStyle="1" w:styleId="122">
    <w:name w:val="修订1"/>
    <w:semiHidden/>
    <w:qFormat/>
    <w:uiPriority w:val="99"/>
    <w:rPr>
      <w:rFonts w:ascii="Times New Roman" w:hAnsi="Times New Roman" w:eastAsia="宋体" w:cs="Times New Roman"/>
      <w:kern w:val="2"/>
      <w:sz w:val="21"/>
      <w:lang w:val="en-US" w:eastAsia="zh-CN" w:bidi="ar-SA"/>
    </w:rPr>
  </w:style>
  <w:style w:type="paragraph" w:customStyle="1" w:styleId="123">
    <w:name w:val="Char Char Char1 Char"/>
    <w:basedOn w:val="16"/>
    <w:qFormat/>
    <w:uiPriority w:val="0"/>
    <w:rPr>
      <w:rFonts w:ascii="Tahoma" w:hAnsi="Tahoma"/>
      <w:sz w:val="24"/>
      <w:szCs w:val="24"/>
    </w:rPr>
  </w:style>
  <w:style w:type="paragraph" w:customStyle="1" w:styleId="124">
    <w:name w:val="章节三"/>
    <w:basedOn w:val="78"/>
    <w:next w:val="7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5">
    <w:name w:val="Table Paragraph"/>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宋体"/>
      <w:kern w:val="1"/>
      <w:sz w:val="21"/>
      <w:szCs w:val="22"/>
      <w:lang w:val="en-US" w:eastAsia="zh-CN" w:bidi="ar-SA"/>
    </w:rPr>
  </w:style>
  <w:style w:type="paragraph" w:customStyle="1" w:styleId="126">
    <w:name w:val="公文标题"/>
    <w:basedOn w:val="9"/>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27">
    <w:name w:val="发文落款"/>
    <w:basedOn w:val="120"/>
    <w:qFormat/>
    <w:uiPriority w:val="0"/>
    <w:pPr>
      <w:ind w:left="4094" w:right="607" w:firstLine="0"/>
      <w:jc w:val="center"/>
    </w:pPr>
  </w:style>
  <w:style w:type="paragraph" w:customStyle="1" w:styleId="128">
    <w:name w:val="表头"/>
    <w:basedOn w:val="1"/>
    <w:qFormat/>
    <w:uiPriority w:val="0"/>
    <w:pPr>
      <w:spacing w:line="360" w:lineRule="auto"/>
      <w:jc w:val="center"/>
    </w:pPr>
    <w:rPr>
      <w:rFonts w:ascii="黑体" w:eastAsia="黑体"/>
      <w:kern w:val="0"/>
      <w:sz w:val="24"/>
      <w:szCs w:val="20"/>
    </w:rPr>
  </w:style>
  <w:style w:type="paragraph" w:customStyle="1" w:styleId="129">
    <w:name w:val="纯文本1"/>
    <w:qFormat/>
    <w:uiPriority w:val="0"/>
    <w:pPr>
      <w:widowControl w:val="0"/>
      <w:jc w:val="both"/>
    </w:pPr>
    <w:rPr>
      <w:rFonts w:ascii="宋体" w:hAnsi="Courier New" w:eastAsia="宋体" w:cs="Courier New"/>
      <w:kern w:val="2"/>
      <w:sz w:val="21"/>
      <w:szCs w:val="21"/>
      <w:lang w:val="en-US" w:eastAsia="zh-CN" w:bidi="ar-SA"/>
    </w:rPr>
  </w:style>
  <w:style w:type="paragraph" w:customStyle="1" w:styleId="13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131">
    <w:name w:val="leo 样式"/>
    <w:qFormat/>
    <w:uiPriority w:val="0"/>
    <w:pPr>
      <w:widowControl w:val="0"/>
      <w:snapToGrid w:val="0"/>
      <w:spacing w:line="360" w:lineRule="auto"/>
      <w:jc w:val="both"/>
    </w:pPr>
    <w:rPr>
      <w:rFonts w:ascii="仿宋_GB2312" w:hAnsi="Calibri" w:eastAsia="仿宋_GB2312" w:cs="Times New Roman"/>
      <w:bCs/>
      <w:sz w:val="28"/>
      <w:szCs w:val="28"/>
      <w:lang w:val="en-US" w:eastAsia="zh-CN" w:bidi="ar-SA"/>
    </w:rPr>
  </w:style>
  <w:style w:type="paragraph" w:customStyle="1" w:styleId="132">
    <w:name w:val="列出段落3"/>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33">
    <w:name w:val="封二"/>
    <w:basedOn w:val="78"/>
    <w:next w:val="78"/>
    <w:qFormat/>
    <w:uiPriority w:val="0"/>
    <w:pPr>
      <w:ind w:firstLine="0" w:firstLineChars="0"/>
      <w:jc w:val="center"/>
    </w:pPr>
    <w:rPr>
      <w:rFonts w:eastAsia="黑体"/>
      <w:b/>
      <w:sz w:val="36"/>
      <w:szCs w:val="36"/>
    </w:rPr>
  </w:style>
  <w:style w:type="paragraph" w:customStyle="1" w:styleId="134">
    <w:name w:val="封一"/>
    <w:basedOn w:val="78"/>
    <w:next w:val="78"/>
    <w:qFormat/>
    <w:uiPriority w:val="0"/>
    <w:pPr>
      <w:ind w:firstLine="0" w:firstLineChars="0"/>
      <w:jc w:val="center"/>
    </w:pPr>
    <w:rPr>
      <w:rFonts w:eastAsia="黑体"/>
      <w:b/>
      <w:sz w:val="84"/>
      <w:szCs w:val="84"/>
    </w:rPr>
  </w:style>
  <w:style w:type="paragraph" w:customStyle="1" w:styleId="135">
    <w:name w:val="封四"/>
    <w:basedOn w:val="78"/>
    <w:next w:val="78"/>
    <w:qFormat/>
    <w:uiPriority w:val="0"/>
    <w:pPr>
      <w:jc w:val="left"/>
    </w:pPr>
    <w:rPr>
      <w:sz w:val="30"/>
      <w:szCs w:val="30"/>
    </w:rPr>
  </w:style>
  <w:style w:type="paragraph" w:customStyle="1" w:styleId="136">
    <w:name w:val="首行缩进"/>
    <w:basedOn w:val="1"/>
    <w:qFormat/>
    <w:uiPriority w:val="0"/>
    <w:pPr>
      <w:spacing w:line="300" w:lineRule="auto"/>
      <w:ind w:firstLine="420" w:firstLineChars="200"/>
    </w:pPr>
    <w:rPr>
      <w:rFonts w:eastAsia="方正书宋简体"/>
      <w:szCs w:val="20"/>
    </w:rPr>
  </w:style>
  <w:style w:type="character" w:customStyle="1" w:styleId="137">
    <w:name w:val="15"/>
    <w:qFormat/>
    <w:uiPriority w:val="0"/>
    <w:rPr>
      <w:rFonts w:hint="default" w:ascii="Times New Roman" w:hAnsi="Times New Roman" w:cs="Times New Roman"/>
    </w:rPr>
  </w:style>
  <w:style w:type="paragraph" w:customStyle="1" w:styleId="138">
    <w:name w:val="Revision"/>
    <w:hidden/>
    <w:semiHidden/>
    <w:unhideWhenUsed/>
    <w:qFormat/>
    <w:uiPriority w:val="99"/>
    <w:rPr>
      <w:rFonts w:ascii="Times New Roman" w:hAnsi="Times New Roman" w:eastAsia="宋体" w:cs="Times New Roman"/>
      <w:kern w:val="2"/>
      <w:sz w:val="21"/>
      <w:szCs w:val="22"/>
      <w:lang w:val="en-US" w:eastAsia="zh-CN" w:bidi="ar-SA"/>
    </w:rPr>
  </w:style>
  <w:style w:type="character" w:customStyle="1" w:styleId="139">
    <w:name w:val="s15"/>
    <w:qFormat/>
    <w:uiPriority w:val="0"/>
    <w:rPr>
      <w:color w:val="2131A1"/>
    </w:rPr>
  </w:style>
  <w:style w:type="character" w:customStyle="1" w:styleId="140">
    <w:name w:val="NormalCharacter"/>
    <w:qFormat/>
    <w:uiPriority w:val="0"/>
  </w:style>
  <w:style w:type="paragraph" w:customStyle="1" w:styleId="14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2">
    <w:name w:val="font21"/>
    <w:qFormat/>
    <w:uiPriority w:val="0"/>
    <w:rPr>
      <w:rFonts w:hint="eastAsia" w:ascii="宋体" w:hAnsi="宋体" w:eastAsia="宋体" w:cs="宋体"/>
      <w:color w:val="000000"/>
      <w:sz w:val="22"/>
      <w:szCs w:val="22"/>
      <w:u w:val="none"/>
    </w:rPr>
  </w:style>
  <w:style w:type="character" w:customStyle="1" w:styleId="143">
    <w:name w:val="s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89</Pages>
  <Words>46628</Words>
  <Characters>49086</Characters>
  <Lines>453</Lines>
  <Paragraphs>127</Paragraphs>
  <TotalTime>1</TotalTime>
  <ScaleCrop>false</ScaleCrop>
  <LinksUpToDate>false</LinksUpToDate>
  <CharactersWithSpaces>51287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2022-06-02T02:55:00Z</dcterms:created>
  <dc:creator>管理员</dc:creator>
  <cp:lastModifiedBy>小丁丁爹地</cp:lastModifiedBy>
  <cp:lastPrinted>2022-03-23T00:45:00Z</cp:lastPrinted>
  <dcterms:modified xsi:type="dcterms:W3CDTF">2023-05-05T06:18:31Z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6155FFC22256429289E36B570071FB20_13</vt:lpwstr>
  </property>
</Properties>
</file>