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color w:val="auto"/>
          <w:sz w:val="24"/>
          <w:szCs w:val="24"/>
          <w:highlight w:val="none"/>
          <w:u w:val="single"/>
        </w:rPr>
      </w:pPr>
    </w:p>
    <w:p>
      <w:pPr>
        <w:tabs>
          <w:tab w:val="left" w:pos="3276"/>
        </w:tabs>
        <w:rPr>
          <w:rFonts w:hint="eastAsia" w:ascii="宋体" w:hAnsi="宋体" w:eastAsia="宋体" w:cs="宋体"/>
          <w:color w:val="auto"/>
          <w:highlight w:val="none"/>
          <w:lang w:eastAsia="zh-CN"/>
        </w:rPr>
      </w:pPr>
      <w:r>
        <w:rPr>
          <w:rFonts w:hint="eastAsia" w:ascii="宋体" w:hAnsi="宋体" w:cs="宋体"/>
          <w:color w:val="auto"/>
          <w:highlight w:val="none"/>
          <w:lang w:eastAsia="zh-CN"/>
        </w:rPr>
        <w:tab/>
      </w:r>
    </w:p>
    <w:p>
      <w:pPr>
        <w:rPr>
          <w:rFonts w:hint="eastAsia" w:ascii="宋体" w:hAnsi="宋体" w:cs="宋体"/>
          <w:color w:val="auto"/>
          <w:highlight w:val="none"/>
        </w:rPr>
      </w:pPr>
    </w:p>
    <w:p>
      <w:pPr>
        <w:rPr>
          <w:rFonts w:hint="eastAsia" w:ascii="宋体" w:hAnsi="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宋体" w:hAnsi="宋体" w:eastAsia="宋体" w:cs="宋体"/>
          <w:b/>
          <w:bCs/>
          <w:color w:val="auto"/>
          <w:spacing w:val="0"/>
          <w:sz w:val="48"/>
          <w:szCs w:val="48"/>
          <w:highlight w:val="none"/>
          <w:lang w:eastAsia="zh-CN"/>
        </w:rPr>
      </w:pPr>
      <w:r>
        <w:rPr>
          <w:rFonts w:hint="eastAsia" w:ascii="宋体" w:hAnsi="宋体" w:cs="宋体"/>
          <w:b/>
          <w:bCs/>
          <w:color w:val="auto"/>
          <w:spacing w:val="0"/>
          <w:sz w:val="48"/>
          <w:szCs w:val="48"/>
          <w:highlight w:val="none"/>
          <w:lang w:eastAsia="zh-CN"/>
        </w:rPr>
        <w:t>广州市南沙区大岗镇金灵中路升级改造工程、广州市南沙区大岗镇爱灵东路和爱灵中路升级改造工程施工总承包</w:t>
      </w:r>
    </w:p>
    <w:p>
      <w:pPr>
        <w:spacing w:line="360" w:lineRule="auto"/>
        <w:jc w:val="center"/>
        <w:rPr>
          <w:rFonts w:hint="eastAsia" w:ascii="宋体" w:hAnsi="宋体" w:cs="宋体"/>
          <w:color w:val="auto"/>
          <w:spacing w:val="20"/>
          <w:sz w:val="36"/>
          <w:highlight w:val="none"/>
          <w:u w:val="single"/>
        </w:rPr>
      </w:pPr>
    </w:p>
    <w:p>
      <w:pPr>
        <w:spacing w:line="360" w:lineRule="auto"/>
        <w:jc w:val="both"/>
        <w:rPr>
          <w:rFonts w:hint="eastAsia" w:ascii="宋体" w:hAnsi="宋体" w:cs="宋体"/>
          <w:color w:val="auto"/>
          <w:spacing w:val="20"/>
          <w:sz w:val="36"/>
          <w:highlight w:val="none"/>
          <w:u w:val="single"/>
        </w:rPr>
      </w:pPr>
    </w:p>
    <w:p>
      <w:pPr>
        <w:spacing w:line="360" w:lineRule="auto"/>
        <w:jc w:val="center"/>
        <w:rPr>
          <w:rFonts w:hint="eastAsia" w:ascii="宋体" w:hAnsi="宋体" w:cs="宋体"/>
          <w:color w:val="auto"/>
          <w:spacing w:val="20"/>
          <w:sz w:val="36"/>
          <w:highlight w:val="none"/>
          <w:u w:val="single"/>
        </w:rPr>
      </w:pPr>
    </w:p>
    <w:p>
      <w:pPr>
        <w:spacing w:line="360" w:lineRule="auto"/>
        <w:jc w:val="center"/>
        <w:rPr>
          <w:rFonts w:hint="eastAsia" w:ascii="宋体" w:hAnsi="宋体" w:eastAsia="宋体" w:cs="宋体"/>
          <w:b/>
          <w:bCs/>
          <w:color w:val="auto"/>
          <w:spacing w:val="0"/>
          <w:sz w:val="80"/>
          <w:szCs w:val="80"/>
          <w:highlight w:val="none"/>
          <w:lang w:val="en-US" w:eastAsia="zh-CN"/>
          <w14:shadow w14:blurRad="0" w14:dist="0" w14:dir="0" w14:sx="0" w14:sy="0" w14:kx="0" w14:ky="0" w14:algn="none">
            <w14:srgbClr w14:val="000000"/>
          </w14:shadow>
        </w:rPr>
      </w:pPr>
      <w:r>
        <w:rPr>
          <w:rFonts w:hint="eastAsia" w:ascii="宋体" w:hAnsi="宋体" w:cs="宋体"/>
          <w:b/>
          <w:bCs/>
          <w:color w:val="auto"/>
          <w:spacing w:val="0"/>
          <w:sz w:val="80"/>
          <w:szCs w:val="80"/>
          <w:highlight w:val="none"/>
          <w14:shadow w14:blurRad="0" w14:dist="0" w14:dir="0" w14:sx="0" w14:sy="0" w14:kx="0" w14:ky="0" w14:algn="none">
            <w14:srgbClr w14:val="000000"/>
          </w14:shadow>
        </w:rPr>
        <w:t>招标文件</w:t>
      </w:r>
      <w:r>
        <w:rPr>
          <w:rFonts w:hint="eastAsia" w:ascii="宋体" w:hAnsi="宋体" w:cs="宋体"/>
          <w:b/>
          <w:bCs/>
          <w:color w:val="auto"/>
          <w:spacing w:val="0"/>
          <w:sz w:val="80"/>
          <w:szCs w:val="80"/>
          <w:highlight w:val="none"/>
          <w:lang w:val="en-US" w:eastAsia="zh-CN"/>
          <w14:shadow w14:blurRad="0" w14:dist="0" w14:dir="0" w14:sx="0" w14:sy="0" w14:kx="0" w14:ky="0" w14:algn="none">
            <w14:srgbClr w14:val="000000"/>
          </w14:shadow>
        </w:rPr>
        <w:t xml:space="preserve"> </w:t>
      </w:r>
      <w:bookmarkStart w:id="21" w:name="_GoBack"/>
      <w:bookmarkEnd w:id="21"/>
    </w:p>
    <w:p>
      <w:pPr>
        <w:spacing w:line="360" w:lineRule="auto"/>
        <w:jc w:val="center"/>
        <w:rPr>
          <w:rFonts w:hint="eastAsia" w:ascii="宋体" w:hAnsi="宋体" w:cs="宋体"/>
          <w:color w:val="auto"/>
          <w:spacing w:val="20"/>
          <w:sz w:val="32"/>
          <w:highlight w:val="none"/>
        </w:rPr>
      </w:pPr>
    </w:p>
    <w:p>
      <w:pPr>
        <w:spacing w:line="360" w:lineRule="auto"/>
        <w:rPr>
          <w:rFonts w:hint="eastAsia" w:ascii="宋体" w:hAnsi="宋体" w:cs="宋体"/>
          <w:color w:val="auto"/>
          <w:spacing w:val="20"/>
          <w:sz w:val="32"/>
          <w:highlight w:val="none"/>
        </w:rPr>
      </w:pPr>
    </w:p>
    <w:p>
      <w:pPr>
        <w:spacing w:line="360" w:lineRule="auto"/>
        <w:rPr>
          <w:rFonts w:hint="eastAsia" w:ascii="宋体" w:hAnsi="宋体" w:cs="宋体"/>
          <w:color w:val="auto"/>
          <w:spacing w:val="20"/>
          <w:sz w:val="52"/>
          <w:highlight w:val="none"/>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b/>
          <w:color w:val="auto"/>
          <w:sz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1260" w:leftChars="600" w:firstLine="0" w:firstLineChars="0"/>
        <w:jc w:val="left"/>
        <w:textAlignment w:val="auto"/>
        <w:rPr>
          <w:rFonts w:hint="eastAsia" w:ascii="宋体" w:hAnsi="宋体" w:cs="宋体"/>
          <w:b/>
          <w:color w:val="auto"/>
          <w:sz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1260" w:leftChars="600" w:firstLine="0" w:firstLineChars="0"/>
        <w:jc w:val="left"/>
        <w:textAlignment w:val="auto"/>
        <w:rPr>
          <w:rFonts w:hint="eastAsia" w:ascii="宋体" w:hAnsi="宋体" w:eastAsia="宋体" w:cs="宋体"/>
          <w:b/>
          <w:color w:val="auto"/>
          <w:sz w:val="32"/>
          <w:highlight w:val="none"/>
          <w:u w:val="single"/>
          <w:lang w:eastAsia="zh-CN"/>
        </w:rPr>
      </w:pPr>
      <w:r>
        <w:rPr>
          <w:rFonts w:hint="eastAsia" w:ascii="宋体" w:hAnsi="宋体" w:cs="宋体"/>
          <w:b/>
          <w:color w:val="auto"/>
          <w:sz w:val="32"/>
          <w:highlight w:val="none"/>
        </w:rPr>
        <w:t>招标人：</w:t>
      </w:r>
      <w:r>
        <w:rPr>
          <w:rFonts w:hint="eastAsia" w:ascii="宋体" w:hAnsi="宋体" w:cs="宋体"/>
          <w:b/>
          <w:color w:val="auto"/>
          <w:sz w:val="32"/>
          <w:highlight w:val="none"/>
          <w:u w:val="single"/>
          <w:lang w:eastAsia="zh-CN"/>
        </w:rPr>
        <w:t>广州市南沙区大岗镇人民政府</w:t>
      </w:r>
    </w:p>
    <w:p>
      <w:pPr>
        <w:keepNext w:val="0"/>
        <w:keepLines w:val="0"/>
        <w:pageBreakBefore w:val="0"/>
        <w:widowControl w:val="0"/>
        <w:kinsoku/>
        <w:wordWrap/>
        <w:overflowPunct/>
        <w:topLinePunct w:val="0"/>
        <w:autoSpaceDE/>
        <w:autoSpaceDN/>
        <w:bidi w:val="0"/>
        <w:adjustRightInd/>
        <w:snapToGrid/>
        <w:spacing w:line="360" w:lineRule="auto"/>
        <w:ind w:left="1260" w:leftChars="600" w:firstLine="0" w:firstLineChars="0"/>
        <w:jc w:val="left"/>
        <w:textAlignment w:val="auto"/>
        <w:rPr>
          <w:rFonts w:hint="eastAsia" w:ascii="宋体" w:hAnsi="宋体" w:eastAsia="宋体" w:cs="宋体"/>
          <w:b/>
          <w:color w:val="auto"/>
          <w:sz w:val="32"/>
          <w:szCs w:val="20"/>
          <w:highlight w:val="none"/>
          <w:u w:val="single"/>
          <w:lang w:eastAsia="zh-CN"/>
        </w:rPr>
      </w:pPr>
      <w:r>
        <w:rPr>
          <w:rFonts w:hint="eastAsia" w:ascii="宋体" w:hAnsi="宋体" w:cs="宋体"/>
          <w:b/>
          <w:color w:val="auto"/>
          <w:sz w:val="32"/>
          <w:highlight w:val="none"/>
        </w:rPr>
        <w:t>招标代理机构：</w:t>
      </w:r>
      <w:r>
        <w:rPr>
          <w:rFonts w:hint="eastAsia" w:ascii="宋体" w:hAnsi="宋体" w:cs="宋体"/>
          <w:b/>
          <w:color w:val="auto"/>
          <w:sz w:val="32"/>
          <w:highlight w:val="none"/>
          <w:u w:val="single"/>
          <w:lang w:eastAsia="zh-CN"/>
        </w:rPr>
        <w:t>深圳市中联建工程项目管理有限公司</w:t>
      </w:r>
    </w:p>
    <w:p>
      <w:pPr>
        <w:pStyle w:val="44"/>
        <w:keepNext w:val="0"/>
        <w:keepLines w:val="0"/>
        <w:pageBreakBefore w:val="0"/>
        <w:widowControl w:val="0"/>
        <w:kinsoku/>
        <w:wordWrap/>
        <w:overflowPunct/>
        <w:topLinePunct w:val="0"/>
        <w:autoSpaceDE/>
        <w:autoSpaceDN/>
        <w:bidi w:val="0"/>
        <w:adjustRightInd/>
        <w:snapToGrid/>
        <w:spacing w:line="480" w:lineRule="auto"/>
        <w:ind w:left="1260" w:leftChars="600" w:firstLine="0" w:firstLineChars="0"/>
        <w:textAlignment w:val="auto"/>
        <w:rPr>
          <w:rFonts w:hint="eastAsia" w:eastAsia="宋体" w:cs="宋体"/>
          <w:b/>
          <w:color w:val="auto"/>
          <w:sz w:val="32"/>
          <w:highlight w:val="none"/>
          <w:u w:val="none"/>
          <w:lang w:eastAsia="zh-CN"/>
        </w:rPr>
      </w:pPr>
      <w:r>
        <w:rPr>
          <w:rFonts w:hint="eastAsia" w:cs="宋体"/>
          <w:b/>
          <w:color w:val="auto"/>
          <w:sz w:val="32"/>
          <w:highlight w:val="none"/>
          <w:u w:val="none"/>
        </w:rPr>
        <w:t>日</w:t>
      </w:r>
      <w:r>
        <w:rPr>
          <w:rFonts w:hint="eastAsia" w:cs="宋体"/>
          <w:b/>
          <w:color w:val="auto"/>
          <w:sz w:val="32"/>
          <w:highlight w:val="none"/>
          <w:u w:val="none"/>
          <w:lang w:val="en-US" w:eastAsia="zh-CN"/>
        </w:rPr>
        <w:t xml:space="preserve">  </w:t>
      </w:r>
      <w:r>
        <w:rPr>
          <w:rFonts w:hint="eastAsia" w:cs="宋体"/>
          <w:b/>
          <w:color w:val="auto"/>
          <w:sz w:val="32"/>
          <w:highlight w:val="none"/>
          <w:u w:val="none"/>
        </w:rPr>
        <w:t>期：</w:t>
      </w:r>
      <w:r>
        <w:rPr>
          <w:rFonts w:hint="eastAsia" w:cs="宋体"/>
          <w:b/>
          <w:color w:val="auto"/>
          <w:sz w:val="32"/>
          <w:highlight w:val="none"/>
          <w:lang w:eastAsia="zh-CN"/>
        </w:rPr>
        <w:t>202</w:t>
      </w:r>
      <w:r>
        <w:rPr>
          <w:rFonts w:hint="eastAsia" w:cs="宋体"/>
          <w:b/>
          <w:color w:val="auto"/>
          <w:sz w:val="32"/>
          <w:highlight w:val="none"/>
          <w:lang w:val="en-US" w:eastAsia="zh-CN"/>
        </w:rPr>
        <w:t>3</w:t>
      </w:r>
      <w:r>
        <w:rPr>
          <w:rFonts w:hint="eastAsia" w:cs="宋体"/>
          <w:b/>
          <w:color w:val="auto"/>
          <w:sz w:val="32"/>
          <w:highlight w:val="none"/>
          <w:u w:val="none"/>
          <w:lang w:eastAsia="zh-CN"/>
        </w:rPr>
        <w:t>年</w:t>
      </w:r>
      <w:r>
        <w:rPr>
          <w:rFonts w:hint="eastAsia" w:cs="宋体"/>
          <w:b/>
          <w:color w:val="auto"/>
          <w:sz w:val="32"/>
          <w:highlight w:val="none"/>
          <w:u w:val="none"/>
          <w:lang w:val="en-US" w:eastAsia="zh-CN"/>
        </w:rPr>
        <w:t xml:space="preserve"> </w:t>
      </w:r>
      <w:r>
        <w:rPr>
          <w:rFonts w:hint="eastAsia" w:cs="宋体"/>
          <w:b/>
          <w:color w:val="auto"/>
          <w:sz w:val="32"/>
          <w:highlight w:val="none"/>
          <w:u w:val="single"/>
          <w:lang w:val="en-US" w:eastAsia="zh-CN"/>
        </w:rPr>
        <w:t>5</w:t>
      </w:r>
      <w:r>
        <w:rPr>
          <w:rFonts w:hint="eastAsia" w:cs="宋体"/>
          <w:b/>
          <w:color w:val="auto"/>
          <w:sz w:val="32"/>
          <w:highlight w:val="none"/>
          <w:u w:val="none"/>
          <w:lang w:eastAsia="zh-CN"/>
        </w:rPr>
        <w:t>月</w:t>
      </w:r>
    </w:p>
    <w:p>
      <w:pPr>
        <w:rPr>
          <w:rStyle w:val="60"/>
          <w:rFonts w:hint="eastAsia" w:ascii="宋体" w:hAnsi="宋体" w:cs="宋体"/>
          <w:b/>
          <w:bCs/>
          <w:color w:val="auto"/>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440" w:right="1440" w:bottom="1440" w:left="1440" w:header="851" w:footer="907" w:gutter="0"/>
          <w:pgBorders>
            <w:top w:val="none" w:sz="0" w:space="0"/>
            <w:left w:val="none" w:sz="0" w:space="0"/>
            <w:bottom w:val="none" w:sz="0" w:space="0"/>
            <w:right w:val="none" w:sz="0" w:space="0"/>
          </w:pgBorders>
          <w:cols w:space="720" w:num="1"/>
          <w:titlePg/>
          <w:docGrid w:type="lines" w:linePitch="312" w:charSpace="0"/>
        </w:sectPr>
      </w:pPr>
    </w:p>
    <w:p>
      <w:pPr>
        <w:jc w:val="center"/>
        <w:rPr>
          <w:rFonts w:hint="eastAsia" w:ascii="宋体" w:hAnsi="宋体" w:cs="宋体"/>
          <w:b/>
          <w:caps/>
          <w:color w:val="auto"/>
          <w:kern w:val="0"/>
          <w:highlight w:val="none"/>
        </w:rPr>
      </w:pPr>
      <w:r>
        <w:rPr>
          <w:rStyle w:val="60"/>
          <w:rFonts w:hint="eastAsia" w:ascii="宋体" w:hAnsi="宋体" w:cs="宋体"/>
          <w:b/>
          <w:bCs/>
          <w:color w:val="auto"/>
          <w:sz w:val="28"/>
          <w:szCs w:val="28"/>
          <w:highlight w:val="none"/>
          <w:u w:val="none"/>
        </w:rPr>
        <w:t>目录</w:t>
      </w:r>
    </w:p>
    <w:p>
      <w:pPr>
        <w:pStyle w:val="35"/>
        <w:tabs>
          <w:tab w:val="right" w:leader="dot" w:pos="8844"/>
          <w:tab w:val="clear" w:pos="9060"/>
        </w:tabs>
        <w:rPr>
          <w:color w:val="auto"/>
          <w:highlight w:val="none"/>
        </w:rPr>
      </w:pPr>
      <w:r>
        <w:rPr>
          <w:rFonts w:hint="eastAsia" w:cs="宋体"/>
          <w:color w:val="auto"/>
          <w:highlight w:val="none"/>
        </w:rPr>
        <w:fldChar w:fldCharType="begin"/>
      </w:r>
      <w:r>
        <w:rPr>
          <w:rFonts w:hint="eastAsia" w:cs="宋体"/>
          <w:color w:val="auto"/>
          <w:highlight w:val="none"/>
        </w:rPr>
        <w:instrText xml:space="preserve"> TOC \o "1-3" \h \z \u </w:instrText>
      </w:r>
      <w:r>
        <w:rPr>
          <w:rFonts w:hint="eastAsia" w:cs="宋体"/>
          <w:color w:val="auto"/>
          <w:highlight w:val="none"/>
        </w:rPr>
        <w:fldChar w:fldCharType="separate"/>
      </w:r>
      <w:r>
        <w:rPr>
          <w:rFonts w:hint="eastAsia" w:cs="宋体"/>
          <w:color w:val="auto"/>
          <w:highlight w:val="none"/>
        </w:rPr>
        <w:fldChar w:fldCharType="begin"/>
      </w:r>
      <w:r>
        <w:rPr>
          <w:rFonts w:hint="eastAsia" w:cs="宋体"/>
          <w:color w:val="auto"/>
          <w:highlight w:val="none"/>
        </w:rPr>
        <w:instrText xml:space="preserve"> HYPERLINK \l _Toc10285 </w:instrText>
      </w:r>
      <w:r>
        <w:rPr>
          <w:rFonts w:hint="eastAsia" w:cs="宋体"/>
          <w:color w:val="auto"/>
          <w:highlight w:val="none"/>
        </w:rPr>
        <w:fldChar w:fldCharType="separate"/>
      </w:r>
      <w:r>
        <w:rPr>
          <w:rFonts w:hint="eastAsia" w:ascii="宋体" w:hAnsi="宋体" w:cs="宋体"/>
          <w:bCs/>
          <w:color w:val="auto"/>
          <w:highlight w:val="none"/>
        </w:rPr>
        <w:t>第一章  投标须知</w:t>
      </w:r>
      <w:r>
        <w:rPr>
          <w:color w:val="auto"/>
          <w:highlight w:val="none"/>
        </w:rPr>
        <w:tab/>
      </w:r>
      <w:r>
        <w:rPr>
          <w:color w:val="auto"/>
          <w:highlight w:val="none"/>
        </w:rPr>
        <w:fldChar w:fldCharType="begin"/>
      </w:r>
      <w:r>
        <w:rPr>
          <w:color w:val="auto"/>
          <w:highlight w:val="none"/>
        </w:rPr>
        <w:instrText xml:space="preserve"> PAGEREF _Toc10285 \h </w:instrText>
      </w:r>
      <w:r>
        <w:rPr>
          <w:color w:val="auto"/>
          <w:highlight w:val="none"/>
        </w:rPr>
        <w:fldChar w:fldCharType="separate"/>
      </w:r>
      <w:r>
        <w:rPr>
          <w:color w:val="auto"/>
          <w:highlight w:val="none"/>
        </w:rPr>
        <w:t>1</w:t>
      </w:r>
      <w:r>
        <w:rPr>
          <w:color w:val="auto"/>
          <w:highlight w:val="none"/>
        </w:rPr>
        <w:fldChar w:fldCharType="end"/>
      </w:r>
      <w:r>
        <w:rPr>
          <w:rFonts w:hint="eastAsia" w:cs="宋体"/>
          <w:color w:val="auto"/>
          <w:highlight w:val="none"/>
        </w:rPr>
        <w:fldChar w:fldCharType="end"/>
      </w:r>
    </w:p>
    <w:p>
      <w:pPr>
        <w:pStyle w:val="42"/>
        <w:tabs>
          <w:tab w:val="right" w:leader="dot" w:pos="8844"/>
          <w:tab w:val="clear" w:pos="9060"/>
        </w:tabs>
        <w:rPr>
          <w:color w:val="auto"/>
          <w:highlight w:val="none"/>
        </w:rPr>
      </w:pPr>
      <w:r>
        <w:rPr>
          <w:rFonts w:hint="eastAsia"/>
          <w:color w:val="auto"/>
          <w:highlight w:val="none"/>
        </w:rPr>
        <w:fldChar w:fldCharType="begin"/>
      </w:r>
      <w:r>
        <w:rPr>
          <w:rFonts w:hint="eastAsia"/>
          <w:color w:val="auto"/>
          <w:highlight w:val="none"/>
        </w:rPr>
        <w:instrText xml:space="preserve"> HYPERLINK \l _Toc25858 </w:instrText>
      </w:r>
      <w:r>
        <w:rPr>
          <w:rFonts w:hint="eastAsia"/>
          <w:color w:val="auto"/>
          <w:highlight w:val="none"/>
        </w:rPr>
        <w:fldChar w:fldCharType="separate"/>
      </w:r>
      <w:r>
        <w:rPr>
          <w:rFonts w:hint="eastAsia" w:ascii="宋体" w:hAnsi="宋体" w:cs="宋体"/>
          <w:color w:val="auto"/>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_Toc25858 \h </w:instrText>
      </w:r>
      <w:r>
        <w:rPr>
          <w:color w:val="auto"/>
          <w:highlight w:val="none"/>
        </w:rPr>
        <w:fldChar w:fldCharType="separate"/>
      </w:r>
      <w:r>
        <w:rPr>
          <w:color w:val="auto"/>
          <w:highlight w:val="none"/>
        </w:rPr>
        <w:t>1</w:t>
      </w:r>
      <w:r>
        <w:rPr>
          <w:color w:val="auto"/>
          <w:highlight w:val="none"/>
        </w:rPr>
        <w:fldChar w:fldCharType="end"/>
      </w:r>
      <w:r>
        <w:rPr>
          <w:rFonts w:hint="eastAsia"/>
          <w:color w:val="auto"/>
          <w:highlight w:val="none"/>
        </w:rPr>
        <w:fldChar w:fldCharType="end"/>
      </w:r>
    </w:p>
    <w:p>
      <w:pPr>
        <w:pStyle w:val="42"/>
        <w:tabs>
          <w:tab w:val="right" w:leader="dot" w:pos="8844"/>
          <w:tab w:val="clear" w:pos="9060"/>
        </w:tabs>
        <w:rPr>
          <w:color w:val="auto"/>
          <w:highlight w:val="none"/>
        </w:rPr>
      </w:pPr>
      <w:r>
        <w:rPr>
          <w:rFonts w:hint="eastAsia"/>
          <w:color w:val="auto"/>
          <w:highlight w:val="none"/>
        </w:rPr>
        <w:fldChar w:fldCharType="begin"/>
      </w:r>
      <w:r>
        <w:rPr>
          <w:rFonts w:hint="eastAsia"/>
          <w:color w:val="auto"/>
          <w:highlight w:val="none"/>
        </w:rPr>
        <w:instrText xml:space="preserve"> HYPERLINK \l _Toc7765 </w:instrText>
      </w:r>
      <w:r>
        <w:rPr>
          <w:rFonts w:hint="eastAsia"/>
          <w:color w:val="auto"/>
          <w:highlight w:val="none"/>
        </w:rPr>
        <w:fldChar w:fldCharType="separate"/>
      </w:r>
      <w:r>
        <w:rPr>
          <w:rFonts w:hint="eastAsia" w:ascii="宋体" w:hAnsi="宋体" w:cs="宋体"/>
          <w:color w:val="auto"/>
          <w:highlight w:val="none"/>
        </w:rPr>
        <w:t>二、投标须知修改表</w:t>
      </w:r>
      <w:r>
        <w:rPr>
          <w:color w:val="auto"/>
          <w:highlight w:val="none"/>
        </w:rPr>
        <w:tab/>
      </w:r>
      <w:r>
        <w:rPr>
          <w:color w:val="auto"/>
          <w:highlight w:val="none"/>
        </w:rPr>
        <w:fldChar w:fldCharType="begin"/>
      </w:r>
      <w:r>
        <w:rPr>
          <w:color w:val="auto"/>
          <w:highlight w:val="none"/>
        </w:rPr>
        <w:instrText xml:space="preserve"> PAGEREF _Toc7765 \h </w:instrText>
      </w:r>
      <w:r>
        <w:rPr>
          <w:color w:val="auto"/>
          <w:highlight w:val="none"/>
        </w:rPr>
        <w:fldChar w:fldCharType="separate"/>
      </w:r>
      <w:r>
        <w:rPr>
          <w:color w:val="auto"/>
          <w:highlight w:val="none"/>
        </w:rPr>
        <w:t>6</w:t>
      </w:r>
      <w:r>
        <w:rPr>
          <w:color w:val="auto"/>
          <w:highlight w:val="none"/>
        </w:rPr>
        <w:fldChar w:fldCharType="end"/>
      </w:r>
      <w:r>
        <w:rPr>
          <w:rFonts w:hint="eastAsia"/>
          <w:color w:val="auto"/>
          <w:highlight w:val="none"/>
        </w:rPr>
        <w:fldChar w:fldCharType="end"/>
      </w:r>
    </w:p>
    <w:p>
      <w:pPr>
        <w:pStyle w:val="42"/>
        <w:tabs>
          <w:tab w:val="right" w:leader="dot" w:pos="8844"/>
          <w:tab w:val="clear" w:pos="9060"/>
        </w:tabs>
        <w:rPr>
          <w:color w:val="auto"/>
          <w:highlight w:val="none"/>
        </w:rPr>
      </w:pPr>
      <w:r>
        <w:rPr>
          <w:rFonts w:hint="eastAsia"/>
          <w:color w:val="auto"/>
          <w:highlight w:val="none"/>
        </w:rPr>
        <w:fldChar w:fldCharType="begin"/>
      </w:r>
      <w:r>
        <w:rPr>
          <w:rFonts w:hint="eastAsia"/>
          <w:color w:val="auto"/>
          <w:highlight w:val="none"/>
        </w:rPr>
        <w:instrText xml:space="preserve"> HYPERLINK \l _Toc12633 </w:instrText>
      </w:r>
      <w:r>
        <w:rPr>
          <w:rFonts w:hint="eastAsia"/>
          <w:color w:val="auto"/>
          <w:highlight w:val="none"/>
        </w:rPr>
        <w:fldChar w:fldCharType="separate"/>
      </w:r>
      <w:r>
        <w:rPr>
          <w:rFonts w:hint="eastAsia" w:ascii="宋体" w:hAnsi="宋体" w:cs="宋体"/>
          <w:color w:val="auto"/>
          <w:highlight w:val="none"/>
        </w:rPr>
        <w:t>三、投标须知通用条款</w:t>
      </w:r>
      <w:r>
        <w:rPr>
          <w:color w:val="auto"/>
          <w:highlight w:val="none"/>
        </w:rPr>
        <w:tab/>
      </w:r>
      <w:r>
        <w:rPr>
          <w:color w:val="auto"/>
          <w:highlight w:val="none"/>
        </w:rPr>
        <w:fldChar w:fldCharType="begin"/>
      </w:r>
      <w:r>
        <w:rPr>
          <w:color w:val="auto"/>
          <w:highlight w:val="none"/>
        </w:rPr>
        <w:instrText xml:space="preserve"> PAGEREF _Toc12633 \h </w:instrText>
      </w:r>
      <w:r>
        <w:rPr>
          <w:color w:val="auto"/>
          <w:highlight w:val="none"/>
        </w:rPr>
        <w:fldChar w:fldCharType="separate"/>
      </w:r>
      <w:r>
        <w:rPr>
          <w:color w:val="auto"/>
          <w:highlight w:val="none"/>
        </w:rPr>
        <w:t>17</w:t>
      </w:r>
      <w:r>
        <w:rPr>
          <w:color w:val="auto"/>
          <w:highlight w:val="none"/>
        </w:rPr>
        <w:fldChar w:fldCharType="end"/>
      </w:r>
      <w:r>
        <w:rPr>
          <w:rFonts w:hint="eastAsia"/>
          <w:color w:val="auto"/>
          <w:highlight w:val="none"/>
        </w:rPr>
        <w:fldChar w:fldCharType="end"/>
      </w:r>
    </w:p>
    <w:p>
      <w:pPr>
        <w:pStyle w:val="26"/>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_Toc20483 </w:instrText>
      </w:r>
      <w:r>
        <w:rPr>
          <w:rFonts w:hint="eastAsia"/>
          <w:color w:val="auto"/>
          <w:highlight w:val="none"/>
        </w:rPr>
        <w:fldChar w:fldCharType="separate"/>
      </w:r>
      <w:r>
        <w:rPr>
          <w:rFonts w:hint="eastAsia" w:cs="宋体"/>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_Toc20483 \h </w:instrText>
      </w:r>
      <w:r>
        <w:rPr>
          <w:color w:val="auto"/>
          <w:highlight w:val="none"/>
        </w:rPr>
        <w:fldChar w:fldCharType="separate"/>
      </w:r>
      <w:r>
        <w:rPr>
          <w:color w:val="auto"/>
          <w:highlight w:val="none"/>
        </w:rPr>
        <w:t>17</w:t>
      </w:r>
      <w:r>
        <w:rPr>
          <w:color w:val="auto"/>
          <w:highlight w:val="none"/>
        </w:rPr>
        <w:fldChar w:fldCharType="end"/>
      </w:r>
      <w:r>
        <w:rPr>
          <w:rFonts w:hint="eastAsia"/>
          <w:color w:val="auto"/>
          <w:highlight w:val="none"/>
        </w:rPr>
        <w:fldChar w:fldCharType="end"/>
      </w:r>
    </w:p>
    <w:p>
      <w:pPr>
        <w:pStyle w:val="26"/>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_Toc28367 </w:instrText>
      </w:r>
      <w:r>
        <w:rPr>
          <w:rFonts w:hint="eastAsia"/>
          <w:color w:val="auto"/>
          <w:highlight w:val="none"/>
        </w:rPr>
        <w:fldChar w:fldCharType="separate"/>
      </w:r>
      <w:r>
        <w:rPr>
          <w:rFonts w:hint="eastAsia" w:cs="宋体"/>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_Toc28367 \h </w:instrText>
      </w:r>
      <w:r>
        <w:rPr>
          <w:color w:val="auto"/>
          <w:highlight w:val="none"/>
        </w:rPr>
        <w:fldChar w:fldCharType="separate"/>
      </w:r>
      <w:r>
        <w:rPr>
          <w:color w:val="auto"/>
          <w:highlight w:val="none"/>
        </w:rPr>
        <w:t>18</w:t>
      </w:r>
      <w:r>
        <w:rPr>
          <w:color w:val="auto"/>
          <w:highlight w:val="none"/>
        </w:rPr>
        <w:fldChar w:fldCharType="end"/>
      </w:r>
      <w:r>
        <w:rPr>
          <w:rFonts w:hint="eastAsia"/>
          <w:color w:val="auto"/>
          <w:highlight w:val="none"/>
        </w:rPr>
        <w:fldChar w:fldCharType="end"/>
      </w:r>
    </w:p>
    <w:p>
      <w:pPr>
        <w:pStyle w:val="26"/>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_Toc23617 </w:instrText>
      </w:r>
      <w:r>
        <w:rPr>
          <w:rFonts w:hint="eastAsia"/>
          <w:color w:val="auto"/>
          <w:highlight w:val="none"/>
        </w:rPr>
        <w:fldChar w:fldCharType="separate"/>
      </w:r>
      <w:r>
        <w:rPr>
          <w:rFonts w:hint="eastAsia" w:cs="宋体"/>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_Toc23617 \h </w:instrText>
      </w:r>
      <w:r>
        <w:rPr>
          <w:color w:val="auto"/>
          <w:highlight w:val="none"/>
        </w:rPr>
        <w:fldChar w:fldCharType="separate"/>
      </w:r>
      <w:r>
        <w:rPr>
          <w:color w:val="auto"/>
          <w:highlight w:val="none"/>
        </w:rPr>
        <w:t>19</w:t>
      </w:r>
      <w:r>
        <w:rPr>
          <w:color w:val="auto"/>
          <w:highlight w:val="none"/>
        </w:rPr>
        <w:fldChar w:fldCharType="end"/>
      </w:r>
      <w:r>
        <w:rPr>
          <w:rFonts w:hint="eastAsia"/>
          <w:color w:val="auto"/>
          <w:highlight w:val="none"/>
        </w:rPr>
        <w:fldChar w:fldCharType="end"/>
      </w:r>
    </w:p>
    <w:p>
      <w:pPr>
        <w:pStyle w:val="26"/>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_Toc18394 </w:instrText>
      </w:r>
      <w:r>
        <w:rPr>
          <w:rFonts w:hint="eastAsia"/>
          <w:color w:val="auto"/>
          <w:highlight w:val="none"/>
        </w:rPr>
        <w:fldChar w:fldCharType="separate"/>
      </w:r>
      <w:r>
        <w:rPr>
          <w:rFonts w:hint="eastAsia" w:cs="宋体"/>
          <w:color w:val="auto"/>
          <w:highlight w:val="none"/>
        </w:rPr>
        <w:t>（四）投标文件的提交</w:t>
      </w:r>
      <w:r>
        <w:rPr>
          <w:color w:val="auto"/>
          <w:highlight w:val="none"/>
        </w:rPr>
        <w:tab/>
      </w:r>
      <w:r>
        <w:rPr>
          <w:color w:val="auto"/>
          <w:highlight w:val="none"/>
        </w:rPr>
        <w:fldChar w:fldCharType="begin"/>
      </w:r>
      <w:r>
        <w:rPr>
          <w:color w:val="auto"/>
          <w:highlight w:val="none"/>
        </w:rPr>
        <w:instrText xml:space="preserve"> PAGEREF _Toc18394 \h </w:instrText>
      </w:r>
      <w:r>
        <w:rPr>
          <w:color w:val="auto"/>
          <w:highlight w:val="none"/>
        </w:rPr>
        <w:fldChar w:fldCharType="separate"/>
      </w:r>
      <w:r>
        <w:rPr>
          <w:color w:val="auto"/>
          <w:highlight w:val="none"/>
        </w:rPr>
        <w:t>25</w:t>
      </w:r>
      <w:r>
        <w:rPr>
          <w:color w:val="auto"/>
          <w:highlight w:val="none"/>
        </w:rPr>
        <w:fldChar w:fldCharType="end"/>
      </w:r>
      <w:r>
        <w:rPr>
          <w:rFonts w:hint="eastAsia"/>
          <w:color w:val="auto"/>
          <w:highlight w:val="none"/>
        </w:rPr>
        <w:fldChar w:fldCharType="end"/>
      </w:r>
    </w:p>
    <w:p>
      <w:pPr>
        <w:pStyle w:val="26"/>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_Toc29937 </w:instrText>
      </w:r>
      <w:r>
        <w:rPr>
          <w:rFonts w:hint="eastAsia"/>
          <w:color w:val="auto"/>
          <w:highlight w:val="none"/>
        </w:rPr>
        <w:fldChar w:fldCharType="separate"/>
      </w:r>
      <w:r>
        <w:rPr>
          <w:rFonts w:hint="eastAsia" w:cs="宋体"/>
          <w:color w:val="auto"/>
          <w:highlight w:val="none"/>
        </w:rPr>
        <w:t>（五）开标、评标、定标及合同签定</w:t>
      </w:r>
      <w:r>
        <w:rPr>
          <w:color w:val="auto"/>
          <w:highlight w:val="none"/>
        </w:rPr>
        <w:tab/>
      </w:r>
      <w:r>
        <w:rPr>
          <w:color w:val="auto"/>
          <w:highlight w:val="none"/>
        </w:rPr>
        <w:fldChar w:fldCharType="begin"/>
      </w:r>
      <w:r>
        <w:rPr>
          <w:color w:val="auto"/>
          <w:highlight w:val="none"/>
        </w:rPr>
        <w:instrText xml:space="preserve"> PAGEREF _Toc29937 \h </w:instrText>
      </w:r>
      <w:r>
        <w:rPr>
          <w:color w:val="auto"/>
          <w:highlight w:val="none"/>
        </w:rPr>
        <w:fldChar w:fldCharType="separate"/>
      </w:r>
      <w:r>
        <w:rPr>
          <w:color w:val="auto"/>
          <w:highlight w:val="none"/>
        </w:rPr>
        <w:t>26</w:t>
      </w:r>
      <w:r>
        <w:rPr>
          <w:color w:val="auto"/>
          <w:highlight w:val="none"/>
        </w:rPr>
        <w:fldChar w:fldCharType="end"/>
      </w:r>
      <w:r>
        <w:rPr>
          <w:rFonts w:hint="eastAsia"/>
          <w:color w:val="auto"/>
          <w:highlight w:val="none"/>
        </w:rPr>
        <w:fldChar w:fldCharType="end"/>
      </w:r>
    </w:p>
    <w:p>
      <w:pPr>
        <w:pStyle w:val="35"/>
        <w:tabs>
          <w:tab w:val="right" w:leader="dot" w:pos="8844"/>
          <w:tab w:val="clear" w:pos="9060"/>
        </w:tabs>
        <w:rPr>
          <w:color w:val="auto"/>
          <w:highlight w:val="none"/>
        </w:rPr>
      </w:pPr>
      <w:r>
        <w:rPr>
          <w:rFonts w:hint="eastAsia"/>
          <w:color w:val="auto"/>
          <w:highlight w:val="none"/>
        </w:rPr>
        <w:fldChar w:fldCharType="begin"/>
      </w:r>
      <w:r>
        <w:rPr>
          <w:rFonts w:hint="eastAsia"/>
          <w:color w:val="auto"/>
          <w:highlight w:val="none"/>
        </w:rPr>
        <w:instrText xml:space="preserve"> HYPERLINK \l _Toc15093 </w:instrText>
      </w:r>
      <w:r>
        <w:rPr>
          <w:rFonts w:hint="eastAsia"/>
          <w:color w:val="auto"/>
          <w:highlight w:val="none"/>
        </w:rPr>
        <w:fldChar w:fldCharType="separate"/>
      </w:r>
      <w:r>
        <w:rPr>
          <w:rFonts w:hint="eastAsia" w:ascii="宋体" w:hAnsi="宋体" w:eastAsia="宋体" w:cs="宋体"/>
          <w:color w:val="auto"/>
          <w:kern w:val="0"/>
          <w:szCs w:val="28"/>
          <w:highlight w:val="none"/>
          <w:lang w:val="en-US" w:eastAsia="zh-CN" w:bidi="ar-SA"/>
        </w:rPr>
        <w:t>第二章  开标、评标及定标办法</w:t>
      </w:r>
      <w:r>
        <w:rPr>
          <w:color w:val="auto"/>
          <w:highlight w:val="none"/>
        </w:rPr>
        <w:tab/>
      </w:r>
      <w:r>
        <w:rPr>
          <w:color w:val="auto"/>
          <w:highlight w:val="none"/>
        </w:rPr>
        <w:fldChar w:fldCharType="begin"/>
      </w:r>
      <w:r>
        <w:rPr>
          <w:color w:val="auto"/>
          <w:highlight w:val="none"/>
        </w:rPr>
        <w:instrText xml:space="preserve"> PAGEREF _Toc15093 \h </w:instrText>
      </w:r>
      <w:r>
        <w:rPr>
          <w:color w:val="auto"/>
          <w:highlight w:val="none"/>
        </w:rPr>
        <w:fldChar w:fldCharType="separate"/>
      </w:r>
      <w:r>
        <w:rPr>
          <w:color w:val="auto"/>
          <w:highlight w:val="none"/>
        </w:rPr>
        <w:t>30</w:t>
      </w:r>
      <w:r>
        <w:rPr>
          <w:color w:val="auto"/>
          <w:highlight w:val="none"/>
        </w:rPr>
        <w:fldChar w:fldCharType="end"/>
      </w:r>
      <w:r>
        <w:rPr>
          <w:rFonts w:hint="eastAsia"/>
          <w:color w:val="auto"/>
          <w:highlight w:val="none"/>
        </w:rPr>
        <w:fldChar w:fldCharType="end"/>
      </w:r>
    </w:p>
    <w:p>
      <w:pPr>
        <w:pStyle w:val="42"/>
        <w:tabs>
          <w:tab w:val="right" w:leader="dot" w:pos="8844"/>
          <w:tab w:val="clear" w:pos="9060"/>
        </w:tabs>
        <w:rPr>
          <w:color w:val="auto"/>
          <w:highlight w:val="none"/>
        </w:rPr>
      </w:pPr>
      <w:r>
        <w:rPr>
          <w:rFonts w:hint="eastAsia"/>
          <w:color w:val="auto"/>
          <w:highlight w:val="none"/>
        </w:rPr>
        <w:fldChar w:fldCharType="begin"/>
      </w:r>
      <w:r>
        <w:rPr>
          <w:rFonts w:hint="eastAsia"/>
          <w:color w:val="auto"/>
          <w:highlight w:val="none"/>
        </w:rPr>
        <w:instrText xml:space="preserve"> HYPERLINK \l _Toc27199 </w:instrText>
      </w:r>
      <w:r>
        <w:rPr>
          <w:rFonts w:hint="eastAsia"/>
          <w:color w:val="auto"/>
          <w:highlight w:val="none"/>
        </w:rPr>
        <w:fldChar w:fldCharType="separate"/>
      </w:r>
      <w:r>
        <w:rPr>
          <w:rFonts w:hint="eastAsia" w:ascii="宋体" w:hAnsi="宋体" w:cs="宋体"/>
          <w:color w:val="auto"/>
          <w:szCs w:val="28"/>
          <w:highlight w:val="none"/>
        </w:rPr>
        <w:t>一、</w:t>
      </w:r>
      <w:r>
        <w:rPr>
          <w:rFonts w:hint="eastAsia" w:ascii="宋体" w:hAnsi="宋体" w:cs="宋体"/>
          <w:color w:val="auto"/>
          <w:highlight w:val="none"/>
        </w:rPr>
        <w:t>开标、评标及定标办法修改表</w:t>
      </w:r>
      <w:r>
        <w:rPr>
          <w:color w:val="auto"/>
          <w:highlight w:val="none"/>
        </w:rPr>
        <w:tab/>
      </w:r>
      <w:r>
        <w:rPr>
          <w:color w:val="auto"/>
          <w:highlight w:val="none"/>
        </w:rPr>
        <w:fldChar w:fldCharType="begin"/>
      </w:r>
      <w:r>
        <w:rPr>
          <w:color w:val="auto"/>
          <w:highlight w:val="none"/>
        </w:rPr>
        <w:instrText xml:space="preserve"> PAGEREF _Toc27199 \h </w:instrText>
      </w:r>
      <w:r>
        <w:rPr>
          <w:color w:val="auto"/>
          <w:highlight w:val="none"/>
        </w:rPr>
        <w:fldChar w:fldCharType="separate"/>
      </w:r>
      <w:r>
        <w:rPr>
          <w:color w:val="auto"/>
          <w:highlight w:val="none"/>
        </w:rPr>
        <w:t>30</w:t>
      </w:r>
      <w:r>
        <w:rPr>
          <w:color w:val="auto"/>
          <w:highlight w:val="none"/>
        </w:rPr>
        <w:fldChar w:fldCharType="end"/>
      </w:r>
      <w:r>
        <w:rPr>
          <w:rFonts w:hint="eastAsia"/>
          <w:color w:val="auto"/>
          <w:highlight w:val="none"/>
        </w:rPr>
        <w:fldChar w:fldCharType="end"/>
      </w:r>
    </w:p>
    <w:p>
      <w:pPr>
        <w:pStyle w:val="42"/>
        <w:tabs>
          <w:tab w:val="right" w:leader="dot" w:pos="8844"/>
          <w:tab w:val="clear" w:pos="9060"/>
        </w:tabs>
        <w:rPr>
          <w:color w:val="auto"/>
          <w:highlight w:val="none"/>
        </w:rPr>
      </w:pPr>
      <w:r>
        <w:rPr>
          <w:rFonts w:hint="eastAsia"/>
          <w:color w:val="auto"/>
          <w:highlight w:val="none"/>
        </w:rPr>
        <w:fldChar w:fldCharType="begin"/>
      </w:r>
      <w:r>
        <w:rPr>
          <w:rFonts w:hint="eastAsia"/>
          <w:color w:val="auto"/>
          <w:highlight w:val="none"/>
        </w:rPr>
        <w:instrText xml:space="preserve"> HYPERLINK \l _Toc23759 </w:instrText>
      </w:r>
      <w:r>
        <w:rPr>
          <w:rFonts w:hint="eastAsia"/>
          <w:color w:val="auto"/>
          <w:highlight w:val="none"/>
        </w:rPr>
        <w:fldChar w:fldCharType="separate"/>
      </w:r>
      <w:r>
        <w:rPr>
          <w:rFonts w:hint="eastAsia" w:ascii="宋体" w:hAnsi="宋体" w:cs="宋体"/>
          <w:color w:val="auto"/>
          <w:highlight w:val="none"/>
        </w:rPr>
        <w:t>二、开标、评标及定标办法</w:t>
      </w:r>
      <w:r>
        <w:rPr>
          <w:rFonts w:hint="eastAsia" w:ascii="宋体" w:hAnsi="宋体" w:cs="宋体"/>
          <w:color w:val="auto"/>
          <w:szCs w:val="30"/>
          <w:highlight w:val="none"/>
        </w:rPr>
        <w:t>通用条款</w:t>
      </w:r>
      <w:r>
        <w:rPr>
          <w:color w:val="auto"/>
          <w:highlight w:val="none"/>
        </w:rPr>
        <w:tab/>
      </w:r>
      <w:r>
        <w:rPr>
          <w:color w:val="auto"/>
          <w:highlight w:val="none"/>
        </w:rPr>
        <w:fldChar w:fldCharType="begin"/>
      </w:r>
      <w:r>
        <w:rPr>
          <w:color w:val="auto"/>
          <w:highlight w:val="none"/>
        </w:rPr>
        <w:instrText xml:space="preserve"> PAGEREF _Toc23759 \h </w:instrText>
      </w:r>
      <w:r>
        <w:rPr>
          <w:color w:val="auto"/>
          <w:highlight w:val="none"/>
        </w:rPr>
        <w:fldChar w:fldCharType="separate"/>
      </w:r>
      <w:r>
        <w:rPr>
          <w:color w:val="auto"/>
          <w:highlight w:val="none"/>
        </w:rPr>
        <w:t>36</w:t>
      </w:r>
      <w:r>
        <w:rPr>
          <w:color w:val="auto"/>
          <w:highlight w:val="none"/>
        </w:rPr>
        <w:fldChar w:fldCharType="end"/>
      </w:r>
      <w:r>
        <w:rPr>
          <w:rFonts w:hint="eastAsia"/>
          <w:color w:val="auto"/>
          <w:highlight w:val="none"/>
        </w:rPr>
        <w:fldChar w:fldCharType="end"/>
      </w:r>
    </w:p>
    <w:p>
      <w:pPr>
        <w:pStyle w:val="26"/>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_Toc13959 </w:instrText>
      </w:r>
      <w:r>
        <w:rPr>
          <w:rFonts w:hint="eastAsia"/>
          <w:color w:val="auto"/>
          <w:highlight w:val="none"/>
        </w:rPr>
        <w:fldChar w:fldCharType="separate"/>
      </w:r>
      <w:r>
        <w:rPr>
          <w:rFonts w:hint="eastAsia" w:cs="宋体"/>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_Toc13959 \h </w:instrText>
      </w:r>
      <w:r>
        <w:rPr>
          <w:color w:val="auto"/>
          <w:highlight w:val="none"/>
        </w:rPr>
        <w:fldChar w:fldCharType="separate"/>
      </w:r>
      <w:r>
        <w:rPr>
          <w:color w:val="auto"/>
          <w:highlight w:val="none"/>
        </w:rPr>
        <w:t>36</w:t>
      </w:r>
      <w:r>
        <w:rPr>
          <w:color w:val="auto"/>
          <w:highlight w:val="none"/>
        </w:rPr>
        <w:fldChar w:fldCharType="end"/>
      </w:r>
      <w:r>
        <w:rPr>
          <w:rFonts w:hint="eastAsia"/>
          <w:color w:val="auto"/>
          <w:highlight w:val="none"/>
        </w:rPr>
        <w:fldChar w:fldCharType="end"/>
      </w:r>
    </w:p>
    <w:p>
      <w:pPr>
        <w:pStyle w:val="26"/>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_Toc15636 </w:instrText>
      </w:r>
      <w:r>
        <w:rPr>
          <w:rFonts w:hint="eastAsia"/>
          <w:color w:val="auto"/>
          <w:highlight w:val="none"/>
        </w:rPr>
        <w:fldChar w:fldCharType="separate"/>
      </w:r>
      <w:r>
        <w:rPr>
          <w:rFonts w:hint="eastAsia" w:cs="宋体"/>
          <w:color w:val="auto"/>
          <w:szCs w:val="27"/>
          <w:highlight w:val="none"/>
        </w:rPr>
        <w:t>（二）开标评标办法程序和细则</w:t>
      </w:r>
      <w:r>
        <w:rPr>
          <w:color w:val="auto"/>
          <w:highlight w:val="none"/>
        </w:rPr>
        <w:tab/>
      </w:r>
      <w:r>
        <w:rPr>
          <w:color w:val="auto"/>
          <w:highlight w:val="none"/>
        </w:rPr>
        <w:fldChar w:fldCharType="begin"/>
      </w:r>
      <w:r>
        <w:rPr>
          <w:color w:val="auto"/>
          <w:highlight w:val="none"/>
        </w:rPr>
        <w:instrText xml:space="preserve"> PAGEREF _Toc15636 \h </w:instrText>
      </w:r>
      <w:r>
        <w:rPr>
          <w:color w:val="auto"/>
          <w:highlight w:val="none"/>
        </w:rPr>
        <w:fldChar w:fldCharType="separate"/>
      </w:r>
      <w:r>
        <w:rPr>
          <w:color w:val="auto"/>
          <w:highlight w:val="none"/>
        </w:rPr>
        <w:t>38</w:t>
      </w:r>
      <w:r>
        <w:rPr>
          <w:color w:val="auto"/>
          <w:highlight w:val="none"/>
        </w:rPr>
        <w:fldChar w:fldCharType="end"/>
      </w:r>
      <w:r>
        <w:rPr>
          <w:rFonts w:hint="eastAsia"/>
          <w:color w:val="auto"/>
          <w:highlight w:val="none"/>
        </w:rPr>
        <w:fldChar w:fldCharType="end"/>
      </w:r>
    </w:p>
    <w:p>
      <w:pPr>
        <w:pStyle w:val="26"/>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_Toc13953 </w:instrText>
      </w:r>
      <w:r>
        <w:rPr>
          <w:rFonts w:hint="eastAsia"/>
          <w:color w:val="auto"/>
          <w:highlight w:val="none"/>
        </w:rPr>
        <w:fldChar w:fldCharType="separate"/>
      </w:r>
      <w:r>
        <w:rPr>
          <w:rFonts w:hint="eastAsia" w:cs="宋体"/>
          <w:color w:val="auto"/>
          <w:highlight w:val="none"/>
        </w:rPr>
        <w:t>可选办法七（适合综合评分法四，技术标与经济标同时开启）</w:t>
      </w:r>
      <w:r>
        <w:rPr>
          <w:color w:val="auto"/>
          <w:highlight w:val="none"/>
        </w:rPr>
        <w:tab/>
      </w:r>
      <w:r>
        <w:rPr>
          <w:color w:val="auto"/>
          <w:highlight w:val="none"/>
        </w:rPr>
        <w:fldChar w:fldCharType="begin"/>
      </w:r>
      <w:r>
        <w:rPr>
          <w:color w:val="auto"/>
          <w:highlight w:val="none"/>
        </w:rPr>
        <w:instrText xml:space="preserve"> PAGEREF _Toc13953 \h </w:instrText>
      </w:r>
      <w:r>
        <w:rPr>
          <w:color w:val="auto"/>
          <w:highlight w:val="none"/>
        </w:rPr>
        <w:fldChar w:fldCharType="separate"/>
      </w:r>
      <w:r>
        <w:rPr>
          <w:color w:val="auto"/>
          <w:highlight w:val="none"/>
        </w:rPr>
        <w:t>38</w:t>
      </w:r>
      <w:r>
        <w:rPr>
          <w:color w:val="auto"/>
          <w:highlight w:val="none"/>
        </w:rPr>
        <w:fldChar w:fldCharType="end"/>
      </w:r>
      <w:r>
        <w:rPr>
          <w:rFonts w:hint="eastAsia"/>
          <w:color w:val="auto"/>
          <w:highlight w:val="none"/>
        </w:rPr>
        <w:fldChar w:fldCharType="end"/>
      </w:r>
    </w:p>
    <w:p>
      <w:pPr>
        <w:pStyle w:val="35"/>
        <w:tabs>
          <w:tab w:val="right" w:leader="dot" w:pos="8844"/>
          <w:tab w:val="clear" w:pos="9060"/>
        </w:tabs>
        <w:rPr>
          <w:color w:val="auto"/>
          <w:highlight w:val="none"/>
        </w:rPr>
      </w:pPr>
      <w:r>
        <w:rPr>
          <w:rFonts w:hint="eastAsia"/>
          <w:color w:val="auto"/>
          <w:highlight w:val="none"/>
        </w:rPr>
        <w:fldChar w:fldCharType="begin"/>
      </w:r>
      <w:r>
        <w:rPr>
          <w:rFonts w:hint="eastAsia"/>
          <w:color w:val="auto"/>
          <w:highlight w:val="none"/>
        </w:rPr>
        <w:instrText xml:space="preserve"> HYPERLINK \l _Toc2672 </w:instrText>
      </w:r>
      <w:r>
        <w:rPr>
          <w:rFonts w:hint="eastAsia"/>
          <w:color w:val="auto"/>
          <w:highlight w:val="none"/>
        </w:rPr>
        <w:fldChar w:fldCharType="separate"/>
      </w:r>
      <w:r>
        <w:rPr>
          <w:rFonts w:hint="eastAsia" w:ascii="宋体" w:hAnsi="宋体" w:cs="宋体"/>
          <w:bCs/>
          <w:color w:val="auto"/>
          <w:highlight w:val="none"/>
        </w:rPr>
        <w:t>第三章  合同条款</w:t>
      </w:r>
      <w:r>
        <w:rPr>
          <w:color w:val="auto"/>
          <w:highlight w:val="none"/>
        </w:rPr>
        <w:tab/>
      </w:r>
      <w:r>
        <w:rPr>
          <w:color w:val="auto"/>
          <w:highlight w:val="none"/>
        </w:rPr>
        <w:fldChar w:fldCharType="begin"/>
      </w:r>
      <w:r>
        <w:rPr>
          <w:color w:val="auto"/>
          <w:highlight w:val="none"/>
        </w:rPr>
        <w:instrText xml:space="preserve"> PAGEREF _Toc2672 \h </w:instrText>
      </w:r>
      <w:r>
        <w:rPr>
          <w:color w:val="auto"/>
          <w:highlight w:val="none"/>
        </w:rPr>
        <w:fldChar w:fldCharType="separate"/>
      </w:r>
      <w:r>
        <w:rPr>
          <w:color w:val="auto"/>
          <w:highlight w:val="none"/>
        </w:rPr>
        <w:t>54</w:t>
      </w:r>
      <w:r>
        <w:rPr>
          <w:color w:val="auto"/>
          <w:highlight w:val="none"/>
        </w:rPr>
        <w:fldChar w:fldCharType="end"/>
      </w:r>
      <w:r>
        <w:rPr>
          <w:rFonts w:hint="eastAsia"/>
          <w:color w:val="auto"/>
          <w:highlight w:val="none"/>
        </w:rPr>
        <w:fldChar w:fldCharType="end"/>
      </w:r>
    </w:p>
    <w:p>
      <w:pPr>
        <w:pStyle w:val="35"/>
        <w:tabs>
          <w:tab w:val="right" w:leader="dot" w:pos="8844"/>
          <w:tab w:val="clear" w:pos="9060"/>
        </w:tabs>
        <w:rPr>
          <w:color w:val="auto"/>
          <w:highlight w:val="none"/>
        </w:rPr>
      </w:pPr>
      <w:r>
        <w:rPr>
          <w:rFonts w:hint="eastAsia"/>
          <w:color w:val="auto"/>
          <w:highlight w:val="none"/>
        </w:rPr>
        <w:fldChar w:fldCharType="begin"/>
      </w:r>
      <w:r>
        <w:rPr>
          <w:rFonts w:hint="eastAsia"/>
          <w:color w:val="auto"/>
          <w:highlight w:val="none"/>
        </w:rPr>
        <w:instrText xml:space="preserve"> HYPERLINK \l _Toc22448 </w:instrText>
      </w:r>
      <w:r>
        <w:rPr>
          <w:rFonts w:hint="eastAsia"/>
          <w:color w:val="auto"/>
          <w:highlight w:val="none"/>
        </w:rPr>
        <w:fldChar w:fldCharType="separate"/>
      </w:r>
      <w:r>
        <w:rPr>
          <w:rFonts w:hint="eastAsia" w:ascii="宋体" w:hAnsi="宋体" w:eastAsia="宋体" w:cs="宋体"/>
          <w:bCs/>
          <w:color w:val="auto"/>
          <w:kern w:val="44"/>
          <w:szCs w:val="28"/>
          <w:highlight w:val="none"/>
          <w:lang w:val="en-US" w:eastAsia="zh-CN" w:bidi="ar-SA"/>
        </w:rPr>
        <w:t>第四章  投标文件格式</w:t>
      </w:r>
      <w:r>
        <w:rPr>
          <w:color w:val="auto"/>
          <w:highlight w:val="none"/>
        </w:rPr>
        <w:tab/>
      </w:r>
      <w:r>
        <w:rPr>
          <w:color w:val="auto"/>
          <w:highlight w:val="none"/>
        </w:rPr>
        <w:fldChar w:fldCharType="begin"/>
      </w:r>
      <w:r>
        <w:rPr>
          <w:color w:val="auto"/>
          <w:highlight w:val="none"/>
        </w:rPr>
        <w:instrText xml:space="preserve"> PAGEREF _Toc22448 \h </w:instrText>
      </w:r>
      <w:r>
        <w:rPr>
          <w:color w:val="auto"/>
          <w:highlight w:val="none"/>
        </w:rPr>
        <w:fldChar w:fldCharType="separate"/>
      </w:r>
      <w:r>
        <w:rPr>
          <w:color w:val="auto"/>
          <w:highlight w:val="none"/>
        </w:rPr>
        <w:t>55</w:t>
      </w:r>
      <w:r>
        <w:rPr>
          <w:color w:val="auto"/>
          <w:highlight w:val="none"/>
        </w:rPr>
        <w:fldChar w:fldCharType="end"/>
      </w:r>
      <w:r>
        <w:rPr>
          <w:rFonts w:hint="eastAsia"/>
          <w:color w:val="auto"/>
          <w:highlight w:val="none"/>
        </w:rPr>
        <w:fldChar w:fldCharType="end"/>
      </w:r>
    </w:p>
    <w:p>
      <w:pPr>
        <w:pStyle w:val="35"/>
        <w:tabs>
          <w:tab w:val="right" w:leader="dot" w:pos="8844"/>
          <w:tab w:val="clear" w:pos="9060"/>
        </w:tabs>
        <w:rPr>
          <w:color w:val="auto"/>
          <w:highlight w:val="none"/>
        </w:rPr>
      </w:pPr>
      <w:r>
        <w:rPr>
          <w:rFonts w:hint="eastAsia"/>
          <w:color w:val="auto"/>
          <w:highlight w:val="none"/>
        </w:rPr>
        <w:fldChar w:fldCharType="begin"/>
      </w:r>
      <w:r>
        <w:rPr>
          <w:rFonts w:hint="eastAsia"/>
          <w:color w:val="auto"/>
          <w:highlight w:val="none"/>
        </w:rPr>
        <w:instrText xml:space="preserve"> HYPERLINK \l _Toc14267 </w:instrText>
      </w:r>
      <w:r>
        <w:rPr>
          <w:rFonts w:hint="eastAsia"/>
          <w:color w:val="auto"/>
          <w:highlight w:val="none"/>
        </w:rPr>
        <w:fldChar w:fldCharType="separate"/>
      </w:r>
      <w:r>
        <w:rPr>
          <w:rFonts w:hint="eastAsia" w:ascii="宋体" w:hAnsi="宋体" w:cs="宋体"/>
          <w:bCs/>
          <w:color w:val="auto"/>
          <w:highlight w:val="none"/>
        </w:rPr>
        <w:t>第五章  技术条件（工程建设标准）</w:t>
      </w:r>
      <w:r>
        <w:rPr>
          <w:color w:val="auto"/>
          <w:highlight w:val="none"/>
        </w:rPr>
        <w:tab/>
      </w:r>
      <w:r>
        <w:rPr>
          <w:color w:val="auto"/>
          <w:highlight w:val="none"/>
        </w:rPr>
        <w:fldChar w:fldCharType="begin"/>
      </w:r>
      <w:r>
        <w:rPr>
          <w:color w:val="auto"/>
          <w:highlight w:val="none"/>
        </w:rPr>
        <w:instrText xml:space="preserve"> PAGEREF _Toc14267 \h </w:instrText>
      </w:r>
      <w:r>
        <w:rPr>
          <w:color w:val="auto"/>
          <w:highlight w:val="none"/>
        </w:rPr>
        <w:fldChar w:fldCharType="separate"/>
      </w:r>
      <w:r>
        <w:rPr>
          <w:color w:val="auto"/>
          <w:highlight w:val="none"/>
        </w:rPr>
        <w:t>62</w:t>
      </w:r>
      <w:r>
        <w:rPr>
          <w:color w:val="auto"/>
          <w:highlight w:val="none"/>
        </w:rPr>
        <w:fldChar w:fldCharType="end"/>
      </w:r>
      <w:r>
        <w:rPr>
          <w:rFonts w:hint="eastAsia"/>
          <w:color w:val="auto"/>
          <w:highlight w:val="none"/>
        </w:rPr>
        <w:fldChar w:fldCharType="end"/>
      </w:r>
    </w:p>
    <w:p>
      <w:pPr>
        <w:pStyle w:val="35"/>
        <w:tabs>
          <w:tab w:val="right" w:leader="dot" w:pos="8844"/>
          <w:tab w:val="clear" w:pos="9060"/>
        </w:tabs>
        <w:rPr>
          <w:color w:val="auto"/>
          <w:highlight w:val="none"/>
        </w:rPr>
      </w:pPr>
      <w:r>
        <w:rPr>
          <w:rFonts w:hint="eastAsia"/>
          <w:color w:val="auto"/>
          <w:highlight w:val="none"/>
        </w:rPr>
        <w:fldChar w:fldCharType="begin"/>
      </w:r>
      <w:r>
        <w:rPr>
          <w:rFonts w:hint="eastAsia"/>
          <w:color w:val="auto"/>
          <w:highlight w:val="none"/>
        </w:rPr>
        <w:instrText xml:space="preserve"> HYPERLINK \l _Toc5991 </w:instrText>
      </w:r>
      <w:r>
        <w:rPr>
          <w:rFonts w:hint="eastAsia"/>
          <w:color w:val="auto"/>
          <w:highlight w:val="none"/>
        </w:rPr>
        <w:fldChar w:fldCharType="separate"/>
      </w:r>
      <w:r>
        <w:rPr>
          <w:rFonts w:hint="eastAsia" w:ascii="宋体" w:hAnsi="宋体" w:cs="宋体"/>
          <w:bCs/>
          <w:color w:val="auto"/>
          <w:highlight w:val="none"/>
        </w:rPr>
        <w:t>第六章  图纸及勘察资料</w:t>
      </w:r>
      <w:r>
        <w:rPr>
          <w:color w:val="auto"/>
          <w:highlight w:val="none"/>
        </w:rPr>
        <w:tab/>
      </w:r>
      <w:r>
        <w:rPr>
          <w:color w:val="auto"/>
          <w:highlight w:val="none"/>
        </w:rPr>
        <w:fldChar w:fldCharType="begin"/>
      </w:r>
      <w:r>
        <w:rPr>
          <w:color w:val="auto"/>
          <w:highlight w:val="none"/>
        </w:rPr>
        <w:instrText xml:space="preserve"> PAGEREF _Toc5991 \h </w:instrText>
      </w:r>
      <w:r>
        <w:rPr>
          <w:color w:val="auto"/>
          <w:highlight w:val="none"/>
        </w:rPr>
        <w:fldChar w:fldCharType="separate"/>
      </w:r>
      <w:r>
        <w:rPr>
          <w:color w:val="auto"/>
          <w:highlight w:val="none"/>
        </w:rPr>
        <w:t>63</w:t>
      </w:r>
      <w:r>
        <w:rPr>
          <w:color w:val="auto"/>
          <w:highlight w:val="none"/>
        </w:rPr>
        <w:fldChar w:fldCharType="end"/>
      </w:r>
      <w:r>
        <w:rPr>
          <w:rFonts w:hint="eastAsia"/>
          <w:color w:val="auto"/>
          <w:highlight w:val="none"/>
        </w:rPr>
        <w:fldChar w:fldCharType="end"/>
      </w:r>
    </w:p>
    <w:p>
      <w:pPr>
        <w:pStyle w:val="35"/>
        <w:tabs>
          <w:tab w:val="right" w:leader="dot" w:pos="8844"/>
          <w:tab w:val="clear" w:pos="9060"/>
        </w:tabs>
        <w:rPr>
          <w:color w:val="auto"/>
          <w:highlight w:val="none"/>
        </w:rPr>
      </w:pPr>
      <w:r>
        <w:rPr>
          <w:rFonts w:hint="eastAsia"/>
          <w:color w:val="auto"/>
          <w:highlight w:val="none"/>
        </w:rPr>
        <w:fldChar w:fldCharType="begin"/>
      </w:r>
      <w:r>
        <w:rPr>
          <w:rFonts w:hint="eastAsia"/>
          <w:color w:val="auto"/>
          <w:highlight w:val="none"/>
        </w:rPr>
        <w:instrText xml:space="preserve"> HYPERLINK \l _Toc13166 </w:instrText>
      </w:r>
      <w:r>
        <w:rPr>
          <w:rFonts w:hint="eastAsia"/>
          <w:color w:val="auto"/>
          <w:highlight w:val="none"/>
        </w:rPr>
        <w:fldChar w:fldCharType="separate"/>
      </w:r>
      <w:r>
        <w:rPr>
          <w:rFonts w:hint="eastAsia" w:ascii="宋体" w:hAnsi="宋体" w:cs="宋体"/>
          <w:bCs/>
          <w:color w:val="auto"/>
          <w:highlight w:val="none"/>
        </w:rPr>
        <w:t>第七章  工程量清单</w:t>
      </w:r>
      <w:r>
        <w:rPr>
          <w:color w:val="auto"/>
          <w:highlight w:val="none"/>
        </w:rPr>
        <w:tab/>
      </w:r>
      <w:r>
        <w:rPr>
          <w:color w:val="auto"/>
          <w:highlight w:val="none"/>
        </w:rPr>
        <w:fldChar w:fldCharType="begin"/>
      </w:r>
      <w:r>
        <w:rPr>
          <w:color w:val="auto"/>
          <w:highlight w:val="none"/>
        </w:rPr>
        <w:instrText xml:space="preserve"> PAGEREF _Toc13166 \h </w:instrText>
      </w:r>
      <w:r>
        <w:rPr>
          <w:color w:val="auto"/>
          <w:highlight w:val="none"/>
        </w:rPr>
        <w:fldChar w:fldCharType="separate"/>
      </w:r>
      <w:r>
        <w:rPr>
          <w:color w:val="auto"/>
          <w:highlight w:val="none"/>
        </w:rPr>
        <w:t>64</w:t>
      </w:r>
      <w:r>
        <w:rPr>
          <w:color w:val="auto"/>
          <w:highlight w:val="none"/>
        </w:rPr>
        <w:fldChar w:fldCharType="end"/>
      </w:r>
      <w:r>
        <w:rPr>
          <w:rFonts w:hint="eastAsia"/>
          <w:color w:val="auto"/>
          <w:highlight w:val="none"/>
        </w:rPr>
        <w:fldChar w:fldCharType="end"/>
      </w:r>
    </w:p>
    <w:p>
      <w:pPr>
        <w:pStyle w:val="35"/>
        <w:tabs>
          <w:tab w:val="right" w:leader="dot" w:pos="8844"/>
          <w:tab w:val="clear" w:pos="9060"/>
        </w:tabs>
        <w:rPr>
          <w:color w:val="auto"/>
          <w:highlight w:val="none"/>
        </w:rPr>
      </w:pPr>
      <w:r>
        <w:rPr>
          <w:rFonts w:hint="eastAsia"/>
          <w:color w:val="auto"/>
          <w:highlight w:val="none"/>
        </w:rPr>
        <w:fldChar w:fldCharType="begin"/>
      </w:r>
      <w:r>
        <w:rPr>
          <w:rFonts w:hint="eastAsia"/>
          <w:color w:val="auto"/>
          <w:highlight w:val="none"/>
        </w:rPr>
        <w:instrText xml:space="preserve"> HYPERLINK \l _Toc16101 </w:instrText>
      </w:r>
      <w:r>
        <w:rPr>
          <w:rFonts w:hint="eastAsia"/>
          <w:color w:val="auto"/>
          <w:highlight w:val="none"/>
        </w:rPr>
        <w:fldChar w:fldCharType="separate"/>
      </w:r>
      <w:r>
        <w:rPr>
          <w:rFonts w:hint="eastAsia" w:ascii="宋体" w:hAnsi="宋体" w:cs="宋体"/>
          <w:bCs/>
          <w:color w:val="auto"/>
          <w:highlight w:val="none"/>
        </w:rPr>
        <w:t>第八章  最高投标限价</w:t>
      </w:r>
      <w:r>
        <w:rPr>
          <w:color w:val="auto"/>
          <w:highlight w:val="none"/>
        </w:rPr>
        <w:tab/>
      </w:r>
      <w:r>
        <w:rPr>
          <w:color w:val="auto"/>
          <w:highlight w:val="none"/>
        </w:rPr>
        <w:fldChar w:fldCharType="begin"/>
      </w:r>
      <w:r>
        <w:rPr>
          <w:color w:val="auto"/>
          <w:highlight w:val="none"/>
        </w:rPr>
        <w:instrText xml:space="preserve"> PAGEREF _Toc16101 \h </w:instrText>
      </w:r>
      <w:r>
        <w:rPr>
          <w:color w:val="auto"/>
          <w:highlight w:val="none"/>
        </w:rPr>
        <w:fldChar w:fldCharType="separate"/>
      </w:r>
      <w:r>
        <w:rPr>
          <w:color w:val="auto"/>
          <w:highlight w:val="none"/>
        </w:rPr>
        <w:t>65</w:t>
      </w:r>
      <w:r>
        <w:rPr>
          <w:color w:val="auto"/>
          <w:highlight w:val="none"/>
        </w:rPr>
        <w:fldChar w:fldCharType="end"/>
      </w:r>
      <w:r>
        <w:rPr>
          <w:rFonts w:hint="eastAsia"/>
          <w:color w:val="auto"/>
          <w:highlight w:val="none"/>
        </w:rPr>
        <w:fldChar w:fldCharType="end"/>
      </w:r>
    </w:p>
    <w:p>
      <w:pPr>
        <w:bidi w:val="0"/>
        <w:rPr>
          <w:rFonts w:hint="eastAsia"/>
          <w:color w:val="auto"/>
          <w:highlight w:val="none"/>
        </w:rPr>
      </w:pPr>
      <w:r>
        <w:rPr>
          <w:rFonts w:hint="eastAsia"/>
          <w:color w:val="auto"/>
          <w:highlight w:val="none"/>
        </w:rPr>
        <w:fldChar w:fldCharType="end"/>
      </w:r>
    </w:p>
    <w:p>
      <w:pPr>
        <w:bidi w:val="0"/>
        <w:rPr>
          <w:rFonts w:hint="eastAsia"/>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3"/>
        <w:rPr>
          <w:rFonts w:hint="eastAsia" w:ascii="宋体" w:hAnsi="宋体" w:cs="宋体"/>
          <w:color w:val="auto"/>
          <w:highlight w:val="none"/>
        </w:rPr>
        <w:sectPr>
          <w:footerReference r:id="rId10" w:type="first"/>
          <w:footerReference r:id="rId9" w:type="default"/>
          <w:endnotePr>
            <w:numFmt w:val="decimal"/>
          </w:endnotePr>
          <w:pgSz w:w="11906" w:h="16838"/>
          <w:pgMar w:top="1304" w:right="1531" w:bottom="1304" w:left="1531" w:header="851" w:footer="907" w:gutter="0"/>
          <w:pgBorders>
            <w:top w:val="none" w:sz="0" w:space="0"/>
            <w:left w:val="none" w:sz="0" w:space="0"/>
            <w:bottom w:val="none" w:sz="0" w:space="0"/>
            <w:right w:val="none" w:sz="0" w:space="0"/>
          </w:pgBorders>
          <w:pgNumType w:start="1"/>
          <w:cols w:space="720" w:num="1"/>
          <w:titlePg/>
          <w:docGrid w:type="lines" w:linePitch="312" w:charSpace="0"/>
        </w:sectPr>
      </w:pPr>
    </w:p>
    <w:p>
      <w:pPr>
        <w:pStyle w:val="3"/>
        <w:jc w:val="center"/>
        <w:rPr>
          <w:rFonts w:hint="eastAsia" w:ascii="宋体" w:hAnsi="宋体" w:cs="宋体"/>
          <w:b/>
          <w:bCs/>
          <w:color w:val="auto"/>
          <w:highlight w:val="none"/>
        </w:rPr>
      </w:pPr>
      <w:bookmarkStart w:id="0" w:name="_Toc10285"/>
      <w:r>
        <w:rPr>
          <w:rFonts w:hint="eastAsia" w:ascii="宋体" w:hAnsi="宋体" w:cs="宋体"/>
          <w:b/>
          <w:bCs/>
          <w:color w:val="auto"/>
          <w:highlight w:val="none"/>
        </w:rPr>
        <w:t>第一章  投标须知</w:t>
      </w:r>
      <w:bookmarkEnd w:id="0"/>
    </w:p>
    <w:p>
      <w:pPr>
        <w:pStyle w:val="4"/>
        <w:rPr>
          <w:rFonts w:hint="eastAsia" w:ascii="宋体" w:hAnsi="宋体" w:cs="宋体"/>
          <w:color w:val="auto"/>
          <w:highlight w:val="none"/>
        </w:rPr>
      </w:pPr>
      <w:bookmarkStart w:id="1" w:name="_Toc25858"/>
      <w:r>
        <w:rPr>
          <w:rFonts w:hint="eastAsia" w:ascii="宋体" w:hAnsi="宋体" w:cs="宋体"/>
          <w:color w:val="auto"/>
          <w:highlight w:val="none"/>
        </w:rPr>
        <w:t>一、投标须知前附表</w:t>
      </w:r>
      <w:bookmarkEnd w:id="1"/>
    </w:p>
    <w:p>
      <w:pPr>
        <w:pStyle w:val="7"/>
        <w:spacing w:line="360" w:lineRule="auto"/>
        <w:ind w:firstLine="0"/>
        <w:rPr>
          <w:rFonts w:hint="eastAsia" w:ascii="宋体" w:hAnsi="宋体" w:cs="宋体"/>
          <w:b/>
          <w:color w:val="auto"/>
          <w:sz w:val="24"/>
          <w:szCs w:val="24"/>
          <w:highlight w:val="none"/>
        </w:rPr>
      </w:pPr>
      <w:r>
        <w:rPr>
          <w:rFonts w:hint="eastAsia" w:ascii="宋体" w:hAnsi="宋体" w:cs="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52"/>
        <w:tblW w:w="986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070"/>
        <w:gridCol w:w="1746"/>
        <w:gridCol w:w="640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blHeader/>
          <w:jc w:val="center"/>
        </w:trPr>
        <w:tc>
          <w:tcPr>
            <w:tcW w:w="643" w:type="dxa"/>
            <w:tcBorders>
              <w:top w:val="doub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1070" w:type="dxa"/>
            <w:tcBorders>
              <w:top w:val="doub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1746" w:type="dxa"/>
            <w:tcBorders>
              <w:top w:val="double" w:color="auto" w:sz="4" w:space="0"/>
              <w:left w:val="single" w:color="auto" w:sz="4" w:space="0"/>
              <w:bottom w:val="single" w:color="auto" w:sz="4" w:space="0"/>
              <w:right w:val="single" w:color="auto" w:sz="4" w:space="0"/>
            </w:tcBorders>
            <w:noWrap w:val="0"/>
            <w:vAlign w:val="center"/>
          </w:tcPr>
          <w:p>
            <w:pPr>
              <w:ind w:firstLine="458"/>
              <w:jc w:val="center"/>
              <w:rPr>
                <w:rFonts w:hint="eastAsia" w:ascii="宋体" w:hAnsi="宋体" w:cs="宋体"/>
                <w:color w:val="auto"/>
                <w:szCs w:val="21"/>
                <w:highlight w:val="none"/>
              </w:rPr>
            </w:pPr>
            <w:r>
              <w:rPr>
                <w:rFonts w:hint="eastAsia" w:ascii="宋体" w:hAnsi="宋体" w:cs="宋体"/>
                <w:color w:val="auto"/>
                <w:szCs w:val="21"/>
                <w:highlight w:val="none"/>
              </w:rPr>
              <w:t>内容</w:t>
            </w:r>
          </w:p>
        </w:tc>
        <w:tc>
          <w:tcPr>
            <w:tcW w:w="6401" w:type="dxa"/>
            <w:tcBorders>
              <w:top w:val="double" w:color="auto" w:sz="4" w:space="0"/>
              <w:left w:val="single" w:color="auto" w:sz="4" w:space="0"/>
              <w:bottom w:val="single" w:color="auto" w:sz="4" w:space="0"/>
              <w:right w:val="double" w:color="auto" w:sz="4" w:space="0"/>
            </w:tcBorders>
            <w:noWrap w:val="0"/>
            <w:vAlign w:val="center"/>
          </w:tcPr>
          <w:p>
            <w:pPr>
              <w:pStyle w:val="28"/>
              <w:ind w:firstLine="458"/>
              <w:jc w:val="center"/>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45"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定义</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rPr>
              <w:t>招标人（即发包人）：</w:t>
            </w:r>
            <w:r>
              <w:rPr>
                <w:rFonts w:hint="eastAsia" w:ascii="宋体" w:hAnsi="宋体" w:cs="宋体"/>
                <w:color w:val="auto"/>
                <w:szCs w:val="21"/>
                <w:highlight w:val="none"/>
                <w:u w:val="single"/>
                <w:lang w:eastAsia="zh-CN"/>
              </w:rPr>
              <w:t>广州市南沙区大岗镇人民政府</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w:t>
            </w:r>
          </w:p>
          <w:p>
            <w:pPr>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rPr>
              <w:t>招标代理：</w:t>
            </w:r>
            <w:r>
              <w:rPr>
                <w:rFonts w:hint="eastAsia" w:ascii="宋体" w:hAnsi="宋体" w:cs="宋体"/>
                <w:color w:val="auto"/>
                <w:szCs w:val="21"/>
                <w:highlight w:val="none"/>
                <w:u w:val="single"/>
                <w:lang w:eastAsia="zh-CN" w:bidi="ar"/>
              </w:rPr>
              <w:t>深圳市中联建工程项目管理有限公司；</w:t>
            </w:r>
          </w:p>
          <w:p>
            <w:pPr>
              <w:rPr>
                <w:rFonts w:hint="eastAsia"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rPr>
              <w:t>设计单位：</w:t>
            </w:r>
            <w:r>
              <w:rPr>
                <w:rFonts w:hint="eastAsia" w:ascii="宋体" w:hAnsi="宋体" w:eastAsia="宋体" w:cs="宋体"/>
                <w:color w:val="auto"/>
                <w:szCs w:val="21"/>
                <w:highlight w:val="none"/>
                <w:u w:val="single"/>
                <w:lang w:eastAsia="zh-CN"/>
              </w:rPr>
              <w:t>南京市市政设计研究院有限责任公司</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lang w:eastAsia="zh-CN"/>
              </w:rPr>
              <w:t>广州市弘基市政建筑设计院有限公司</w:t>
            </w:r>
            <w:r>
              <w:rPr>
                <w:rFonts w:hint="eastAsia" w:ascii="宋体" w:hAnsi="宋体" w:cs="宋体"/>
                <w:color w:val="auto"/>
                <w:szCs w:val="21"/>
                <w:highlight w:val="none"/>
                <w:u w:val="single"/>
                <w:lang w:eastAsia="zh-CN"/>
              </w:rPr>
              <w:t>；</w:t>
            </w:r>
          </w:p>
          <w:p>
            <w:pPr>
              <w:rPr>
                <w:rFonts w:hint="eastAsia" w:ascii="宋体" w:hAnsi="宋体" w:cs="宋体"/>
                <w:color w:val="auto"/>
                <w:szCs w:val="21"/>
                <w:highlight w:val="none"/>
                <w:u w:val="single"/>
                <w:lang w:eastAsia="zh-CN"/>
              </w:rPr>
            </w:pPr>
            <w:r>
              <w:rPr>
                <w:rFonts w:hint="eastAsia" w:ascii="宋体" w:hAnsi="宋体" w:eastAsia="宋体" w:cs="宋体"/>
                <w:color w:val="auto"/>
                <w:szCs w:val="21"/>
                <w:highlight w:val="none"/>
                <w:u w:val="single"/>
                <w:lang w:eastAsia="zh-CN"/>
              </w:rPr>
              <w:t>监理单位</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lang w:eastAsia="zh-CN"/>
              </w:rPr>
              <w:t>广东广信建筑工程监理有限公司</w:t>
            </w:r>
            <w:r>
              <w:rPr>
                <w:rFonts w:hint="eastAsia" w:ascii="宋体" w:hAnsi="宋体" w:cs="宋体"/>
                <w:color w:val="auto"/>
                <w:szCs w:val="21"/>
                <w:highlight w:val="none"/>
                <w:u w:val="single"/>
                <w:lang w:eastAsia="zh-CN"/>
              </w:rPr>
              <w:t>；</w:t>
            </w:r>
          </w:p>
          <w:p>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u w:val="single"/>
                <w:lang w:eastAsia="zh-CN"/>
              </w:rPr>
              <w:t>检测单位</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lang w:eastAsia="zh-CN"/>
              </w:rPr>
              <w:t>广东全科工程检测有限公司</w:t>
            </w:r>
            <w:r>
              <w:rPr>
                <w:rFonts w:hint="eastAsia" w:ascii="宋体" w:hAnsi="宋体" w:cs="宋体"/>
                <w:color w:val="auto"/>
                <w:szCs w:val="21"/>
                <w:highlight w:val="none"/>
                <w:u w:val="singl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工程名称</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lang w:eastAsia="zh-CN"/>
              </w:rPr>
              <w:t>广州市南沙区大岗镇金灵中路升级改造工程、广州市南沙区大岗镇爱灵东路和爱灵中路升级改造工程施工总承包</w:t>
            </w:r>
            <w:r>
              <w:rPr>
                <w:rFonts w:hint="eastAsia" w:ascii="宋体" w:hAnsi="宋体" w:cs="宋体"/>
                <w:color w:val="auto"/>
                <w:szCs w:val="21"/>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建设地点</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广州市南沙区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建设规模</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bCs/>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承包方式</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ascii="宋体" w:hAnsi="宋体" w:eastAsia="宋体" w:cs="宋体"/>
                <w:bCs/>
                <w:color w:val="auto"/>
                <w:kern w:val="2"/>
                <w:sz w:val="21"/>
                <w:szCs w:val="21"/>
                <w:highlight w:val="none"/>
                <w:u w:val="single"/>
                <w:lang w:val="en-US" w:eastAsia="zh-CN"/>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rPr>
              <w:t>工程质量符合现行《工程施工质量验收规范》合格标准。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招标范围</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工期要求</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开工日期具体时间以总监理工程师发出开工令为准。</w:t>
            </w:r>
          </w:p>
          <w:p>
            <w:pPr>
              <w:rPr>
                <w:rFonts w:hint="eastAsia" w:ascii="宋体" w:hAnsi="宋体" w:cs="宋体"/>
                <w:color w:val="auto"/>
                <w:szCs w:val="21"/>
                <w:highlight w:val="none"/>
              </w:rPr>
            </w:pPr>
            <w:r>
              <w:rPr>
                <w:rFonts w:hint="eastAsia" w:ascii="宋体" w:hAnsi="宋体" w:cs="宋体"/>
                <w:color w:val="auto"/>
                <w:szCs w:val="21"/>
                <w:highlight w:val="none"/>
              </w:rPr>
              <w:t>施工</w:t>
            </w:r>
            <w:r>
              <w:rPr>
                <w:rFonts w:hint="eastAsia" w:ascii="宋体" w:hAnsi="宋体" w:cs="宋体"/>
                <w:color w:val="auto"/>
                <w:sz w:val="21"/>
                <w:szCs w:val="21"/>
                <w:highlight w:val="none"/>
              </w:rPr>
              <w:t>总</w:t>
            </w:r>
            <w:r>
              <w:rPr>
                <w:rFonts w:hint="eastAsia" w:ascii="宋体" w:hAnsi="宋体" w:cs="宋体"/>
                <w:color w:val="auto"/>
                <w:sz w:val="21"/>
                <w:szCs w:val="21"/>
                <w:highlight w:val="none"/>
                <w:lang w:val="en-US" w:eastAsia="zh-CN"/>
              </w:rPr>
              <w:t>工</w:t>
            </w:r>
            <w:r>
              <w:rPr>
                <w:rFonts w:hint="eastAsia" w:ascii="宋体" w:hAnsi="宋体" w:cs="宋体"/>
                <w:color w:val="auto"/>
                <w:sz w:val="21"/>
                <w:szCs w:val="21"/>
                <w:highlight w:val="none"/>
              </w:rPr>
              <w:t>期：</w:t>
            </w:r>
            <w:r>
              <w:rPr>
                <w:rFonts w:hint="eastAsia" w:ascii="宋体" w:hAnsi="宋体"/>
                <w:color w:val="auto"/>
                <w:sz w:val="21"/>
                <w:szCs w:val="21"/>
                <w:highlight w:val="none"/>
                <w:u w:val="single"/>
                <w:lang w:val="en-US" w:eastAsia="zh-CN"/>
              </w:rPr>
              <w:t>120</w:t>
            </w:r>
            <w:r>
              <w:rPr>
                <w:rFonts w:hint="eastAsia" w:ascii="宋体" w:hAnsi="宋体" w:cs="宋体"/>
                <w:color w:val="auto"/>
                <w:sz w:val="21"/>
                <w:szCs w:val="21"/>
                <w:highlight w:val="none"/>
              </w:rPr>
              <w:t>日</w:t>
            </w:r>
            <w:r>
              <w:rPr>
                <w:rFonts w:hint="eastAsia" w:ascii="宋体" w:hAnsi="宋体" w:cs="宋体"/>
                <w:color w:val="auto"/>
                <w:szCs w:val="21"/>
                <w:highlight w:val="none"/>
              </w:rPr>
              <w:t xml:space="preserve">历天。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3.1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资金来源</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财政资金。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4.1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投标人资质等级及项目负责人等级要求</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ind w:firstLine="458"/>
              <w:jc w:val="center"/>
              <w:rPr>
                <w:rFonts w:hint="eastAsia" w:ascii="宋体" w:hAnsi="宋体" w:cs="宋体"/>
                <w:color w:val="auto"/>
                <w:szCs w:val="21"/>
                <w:highlight w:val="none"/>
              </w:rPr>
            </w:pP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资格审查方式</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13.1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报价以及单价和总价计算方式</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工程量清单计价。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15.1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120日历天。（从投标截止之日计起），如出现异议或投诉，则投标有效期自动延长至异议或投诉处理结束，确定中标人并发放中标通知书为止。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333"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16.1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keepNext w:val="0"/>
              <w:keepLines w:val="0"/>
              <w:pageBreakBefore w:val="0"/>
              <w:widowControl w:val="0"/>
              <w:kinsoku/>
              <w:overflowPunct/>
              <w:topLinePunct w:val="0"/>
              <w:autoSpaceDE/>
              <w:autoSpaceDN/>
              <w:bidi w:val="0"/>
              <w:adjustRightInd/>
              <w:snapToGrid/>
              <w:ind w:firstLine="420" w:firstLineChars="200"/>
              <w:textAlignment w:val="auto"/>
              <w:rPr>
                <w:rFonts w:hint="eastAsia"/>
                <w:color w:val="auto"/>
                <w:highlight w:val="none"/>
                <w:lang w:val="zh-CN"/>
              </w:rPr>
            </w:pPr>
            <w:r>
              <w:rPr>
                <w:rFonts w:hint="eastAsia"/>
                <w:color w:val="auto"/>
                <w:highlight w:val="none"/>
              </w:rPr>
              <w:t>1.</w:t>
            </w:r>
            <w:r>
              <w:rPr>
                <w:rFonts w:hint="eastAsia"/>
                <w:color w:val="auto"/>
                <w:highlight w:val="none"/>
                <w:lang w:val="zh-CN"/>
              </w:rPr>
              <w:t>是否要求投标人递交投标保证金：</w:t>
            </w:r>
          </w:p>
          <w:p>
            <w:pPr>
              <w:keepNext w:val="0"/>
              <w:keepLines w:val="0"/>
              <w:pageBreakBefore w:val="0"/>
              <w:widowControl w:val="0"/>
              <w:kinsoku/>
              <w:overflowPunct/>
              <w:topLinePunct w:val="0"/>
              <w:autoSpaceDE/>
              <w:autoSpaceDN/>
              <w:bidi w:val="0"/>
              <w:adjustRightInd/>
              <w:snapToGrid/>
              <w:ind w:firstLine="420" w:firstLineChars="200"/>
              <w:textAlignment w:val="auto"/>
              <w:rPr>
                <w:rFonts w:hint="eastAsia"/>
                <w:color w:val="auto"/>
                <w:highlight w:val="none"/>
                <w:lang w:val="zh-CN"/>
              </w:rPr>
            </w:pPr>
            <w:r>
              <w:rPr>
                <w:rFonts w:hint="eastAsia"/>
                <w:color w:val="auto"/>
                <w:highlight w:val="none"/>
                <w:lang w:val="zh-CN"/>
              </w:rPr>
              <w:t>☑要求，投标保证金递交的形式：</w:t>
            </w:r>
          </w:p>
          <w:p>
            <w:pPr>
              <w:keepNext w:val="0"/>
              <w:keepLines w:val="0"/>
              <w:pageBreakBefore w:val="0"/>
              <w:widowControl w:val="0"/>
              <w:kinsoku/>
              <w:overflowPunct/>
              <w:topLinePunct w:val="0"/>
              <w:autoSpaceDE/>
              <w:autoSpaceDN/>
              <w:bidi w:val="0"/>
              <w:adjustRightInd/>
              <w:snapToGrid/>
              <w:ind w:firstLine="420" w:firstLineChars="200"/>
              <w:textAlignment w:val="auto"/>
              <w:rPr>
                <w:rFonts w:hint="eastAsia"/>
                <w:color w:val="auto"/>
                <w:highlight w:val="none"/>
              </w:rPr>
            </w:pPr>
            <w:r>
              <w:rPr>
                <w:rFonts w:hint="eastAsia"/>
                <w:color w:val="auto"/>
                <w:highlight w:val="none"/>
                <w:lang w:val="zh-CN"/>
              </w:rPr>
              <w:t>投标保证金的金额：</w:t>
            </w:r>
            <w:r>
              <w:rPr>
                <w:rFonts w:hint="eastAsia"/>
                <w:color w:val="auto"/>
                <w:highlight w:val="none"/>
                <w:u w:val="single"/>
                <w:lang w:val="en-US" w:eastAsia="zh-CN"/>
              </w:rPr>
              <w:t>11</w:t>
            </w:r>
            <w:r>
              <w:rPr>
                <w:rFonts w:hint="eastAsia"/>
                <w:color w:val="auto"/>
                <w:highlight w:val="none"/>
                <w:u w:val="single"/>
              </w:rPr>
              <w:t>万元</w:t>
            </w:r>
            <w:r>
              <w:rPr>
                <w:rFonts w:hint="eastAsia"/>
                <w:color w:val="auto"/>
                <w:highlight w:val="none"/>
              </w:rPr>
              <w:t>；</w:t>
            </w:r>
          </w:p>
          <w:p>
            <w:pPr>
              <w:keepNext w:val="0"/>
              <w:keepLines w:val="0"/>
              <w:pageBreakBefore w:val="0"/>
              <w:widowControl w:val="0"/>
              <w:kinsoku/>
              <w:overflowPunct/>
              <w:topLinePunct w:val="0"/>
              <w:autoSpaceDE/>
              <w:autoSpaceDN/>
              <w:bidi w:val="0"/>
              <w:adjustRightInd/>
              <w:snapToGrid/>
              <w:ind w:firstLine="420" w:firstLineChars="200"/>
              <w:textAlignment w:val="auto"/>
              <w:rPr>
                <w:rFonts w:hint="eastAsia"/>
                <w:color w:val="auto"/>
                <w:highlight w:val="none"/>
              </w:rPr>
            </w:pPr>
            <w:r>
              <w:rPr>
                <w:rFonts w:hint="eastAsia"/>
                <w:color w:val="auto"/>
                <w:highlight w:val="none"/>
              </w:rPr>
              <w:t>投标保证金有效期：与投标有效期一致。</w:t>
            </w:r>
          </w:p>
          <w:p>
            <w:pPr>
              <w:keepNext w:val="0"/>
              <w:keepLines w:val="0"/>
              <w:pageBreakBefore w:val="0"/>
              <w:widowControl w:val="0"/>
              <w:kinsoku/>
              <w:overflowPunct/>
              <w:topLinePunct w:val="0"/>
              <w:autoSpaceDE/>
              <w:autoSpaceDN/>
              <w:bidi w:val="0"/>
              <w:adjustRightInd/>
              <w:snapToGrid/>
              <w:ind w:firstLine="420" w:firstLineChars="200"/>
              <w:textAlignment w:val="auto"/>
              <w:rPr>
                <w:rFonts w:hint="eastAsia"/>
                <w:color w:val="auto"/>
                <w:highlight w:val="none"/>
                <w:lang w:val="zh-CN"/>
              </w:rPr>
            </w:pPr>
            <w:r>
              <w:rPr>
                <w:rFonts w:hint="eastAsia"/>
                <w:color w:val="auto"/>
                <w:highlight w:val="none"/>
              </w:rPr>
              <w:t>投标保证金可采用现金、支票、投标保函、投标保证保险的形式，必须在递交投标文件截止时间前完成缴纳。</w:t>
            </w:r>
          </w:p>
          <w:p>
            <w:pPr>
              <w:keepNext w:val="0"/>
              <w:keepLines w:val="0"/>
              <w:pageBreakBefore w:val="0"/>
              <w:widowControl w:val="0"/>
              <w:numPr>
                <w:ilvl w:val="0"/>
                <w:numId w:val="6"/>
              </w:numPr>
              <w:kinsoku/>
              <w:wordWrap/>
              <w:overflowPunct/>
              <w:topLinePunct w:val="0"/>
              <w:autoSpaceDE/>
              <w:autoSpaceDN/>
              <w:bidi w:val="0"/>
              <w:adjustRightInd/>
              <w:snapToGrid/>
              <w:ind w:firstLine="420" w:firstLineChars="200"/>
              <w:textAlignment w:val="auto"/>
              <w:rPr>
                <w:rFonts w:hint="eastAsia" w:ascii="宋体" w:hAnsi="宋体" w:cs="宋体"/>
                <w:color w:val="auto"/>
                <w:highlight w:val="none"/>
              </w:rPr>
            </w:pPr>
            <w:r>
              <w:rPr>
                <w:rFonts w:hint="eastAsia"/>
                <w:color w:val="auto"/>
                <w:highlight w:val="none"/>
              </w:rPr>
              <w:t>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r>
              <w:rPr>
                <w:rFonts w:hint="eastAsia"/>
                <w:color w:val="auto"/>
                <w:highlight w:val="none"/>
              </w:rPr>
              <w:br w:type="textWrapping"/>
            </w:r>
            <w:r>
              <w:rPr>
                <w:rFonts w:hint="eastAsia"/>
                <w:color w:val="auto"/>
                <w:highlight w:val="none"/>
              </w:rPr>
              <w:t>投标人需在交易系统中将汇入投标保证金与投标项目进行绑定，绑定成功后才能被认定为完成缴交投标保证金义务。</w:t>
            </w:r>
            <w:r>
              <w:rPr>
                <w:rFonts w:hint="eastAsia"/>
                <w:color w:val="auto"/>
                <w:highlight w:val="none"/>
              </w:rPr>
              <w:br w:type="textWrapping"/>
            </w:r>
            <w:r>
              <w:rPr>
                <w:rFonts w:hint="eastAsia"/>
                <w:color w:val="auto"/>
                <w:highlight w:val="none"/>
              </w:rPr>
              <w:t>收款单位：</w:t>
            </w:r>
            <w:r>
              <w:rPr>
                <w:rFonts w:hint="eastAsia" w:ascii="宋体" w:hAnsi="宋体" w:eastAsia="宋体" w:cs="宋体"/>
                <w:i w:val="0"/>
                <w:iCs w:val="0"/>
                <w:caps w:val="0"/>
                <w:color w:val="auto"/>
                <w:spacing w:val="0"/>
                <w:sz w:val="21"/>
                <w:szCs w:val="21"/>
                <w:highlight w:val="none"/>
                <w:u w:val="single"/>
                <w:shd w:val="clear" w:color="auto" w:fill="auto"/>
              </w:rPr>
              <w:t>广州交易集团有限公司</w:t>
            </w:r>
            <w:r>
              <w:rPr>
                <w:rFonts w:hint="eastAsia"/>
                <w:color w:val="auto"/>
                <w:highlight w:val="none"/>
              </w:rPr>
              <w:t>，开户银行：中国建设银行广州天润</w:t>
            </w:r>
            <w:r>
              <w:rPr>
                <w:rFonts w:hint="eastAsia" w:ascii="宋体" w:hAnsi="宋体" w:cs="宋体"/>
                <w:color w:val="auto"/>
                <w:highlight w:val="none"/>
              </w:rPr>
              <w:t>路支行，银行账号：44001583404059333333； </w:t>
            </w:r>
          </w:p>
          <w:p>
            <w:pPr>
              <w:keepNext w:val="0"/>
              <w:keepLines w:val="0"/>
              <w:pageBreakBefore w:val="0"/>
              <w:widowControl w:val="0"/>
              <w:numPr>
                <w:ilvl w:val="0"/>
                <w:numId w:val="6"/>
              </w:numPr>
              <w:kinsoku/>
              <w:wordWrap/>
              <w:overflowPunct/>
              <w:topLinePunct w:val="0"/>
              <w:autoSpaceDE/>
              <w:autoSpaceDN/>
              <w:bidi w:val="0"/>
              <w:adjustRightInd/>
              <w:snapToGrid/>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如采用非电子投标保函、投标保证保险或专业担保公司担保的形式提交投标保证金的，在开标前不强制要求提交相关文本原件，但投标人应在投标文件中提交投标保函、投标保证保险或专业担保公司担保的文本扫描件并加盖投标人电子印章。（中标候选人应在中标候选人公示前提交其办理的投标保函、投标保证保险或专业担保公司担保的原件以供招标人在网上予以公示。）如投标人选择在开标前提交纸质原件的，可在投标截止时间前单独密封递交至开标室（时间及地点同递交备用投标文件电子光盘的时间及地点）。</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3、如采用电子投标保函方式提交投标保证金，具体操作详见广州公共资源交易中心电子保函操作指引（</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"qq://txfile/" </w:instrText>
            </w:r>
            <w:r>
              <w:rPr>
                <w:rFonts w:hint="eastAsia" w:ascii="宋体" w:hAnsi="宋体" w:cs="宋体"/>
                <w:color w:val="auto"/>
                <w:highlight w:val="none"/>
              </w:rPr>
              <w:fldChar w:fldCharType="separate"/>
            </w:r>
            <w:r>
              <w:rPr>
                <w:rFonts w:hint="eastAsia" w:ascii="宋体" w:hAnsi="宋体" w:cs="宋体"/>
                <w:color w:val="auto"/>
                <w:highlight w:val="none"/>
              </w:rPr>
              <w:t>http://ggzy.gz.gov.cn/fwznxtbzczsc/699986.jhtml</w:t>
            </w:r>
            <w:r>
              <w:rPr>
                <w:rFonts w:hint="eastAsia" w:ascii="宋体" w:hAnsi="宋体" w:cs="宋体"/>
                <w:color w:val="auto"/>
                <w:highlight w:val="none"/>
              </w:rPr>
              <w:fldChar w:fldCharType="end"/>
            </w:r>
            <w:r>
              <w:rPr>
                <w:rFonts w:hint="eastAsia" w:ascii="宋体" w:hAnsi="宋体" w:cs="宋体"/>
                <w:color w:val="auto"/>
                <w:highlight w:val="none"/>
              </w:rPr>
              <w:t>）。</w:t>
            </w:r>
          </w:p>
          <w:p>
            <w:pPr>
              <w:pStyle w:val="19"/>
              <w:keepNext w:val="0"/>
              <w:keepLines w:val="0"/>
              <w:pageBreakBefore w:val="0"/>
              <w:widowControl w:val="0"/>
              <w:kinsoku/>
              <w:overflowPunct/>
              <w:topLinePunct w:val="0"/>
              <w:autoSpaceDE/>
              <w:autoSpaceDN/>
              <w:bidi w:val="0"/>
              <w:adjustRightInd/>
              <w:snapToGrid/>
              <w:spacing w:after="0"/>
              <w:ind w:firstLine="420" w:firstLineChars="200"/>
              <w:textAlignment w:val="auto"/>
              <w:rPr>
                <w:rFonts w:hint="eastAsia"/>
                <w:color w:val="auto"/>
                <w:highlight w:val="none"/>
                <w:lang w:val="en-US" w:eastAsia="zh-CN"/>
              </w:rPr>
            </w:pPr>
            <w:r>
              <w:rPr>
                <w:rFonts w:hint="eastAsia" w:ascii="宋体" w:hAnsi="宋体" w:cs="宋体"/>
                <w:color w:val="auto"/>
                <w:kern w:val="2"/>
                <w:sz w:val="21"/>
                <w:szCs w:val="22"/>
                <w:highlight w:val="none"/>
                <w:lang w:val="en-US" w:eastAsia="zh-CN"/>
              </w:rPr>
              <w:t>未按规定缴纳投标保证金的正式投标人将被视为自动放弃本工程的投标资格。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踏勘现场</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招标人不集中组织，由投标人自行踏勘。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88"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投标答疑</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highlight w:val="none"/>
              </w:rPr>
            </w:pPr>
            <w:r>
              <w:rPr>
                <w:rFonts w:hint="eastAsia" w:ascii="宋体" w:hAnsi="宋体" w:cs="宋体"/>
                <w:color w:val="auto"/>
                <w:highlight w:val="none"/>
              </w:rPr>
              <w:t>形式及时间：</w:t>
            </w:r>
          </w:p>
          <w:p>
            <w:pPr>
              <w:rPr>
                <w:rFonts w:hint="eastAsia" w:ascii="宋体" w:hAnsi="宋体" w:cs="宋体"/>
                <w:color w:val="auto"/>
                <w:highlight w:val="none"/>
              </w:rPr>
            </w:pPr>
            <w:r>
              <w:rPr>
                <w:rFonts w:hint="eastAsia" w:ascii="宋体" w:hAnsi="宋体" w:cs="宋体"/>
                <w:color w:val="auto"/>
                <w:highlight w:val="none"/>
              </w:rPr>
              <w:t>招标答疑采用网上答疑方式进行。投标人若对招标文件有疑问的，可在规定的时间内通过广州公共资源交易中心数字交易平台提交。</w:t>
            </w:r>
          </w:p>
          <w:p>
            <w:pPr>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eastAsia="宋体" w:cs="宋体"/>
                <w:color w:val="auto"/>
                <w:highlight w:val="none"/>
              </w:rPr>
              <w:t>应在约定的时间内（以广州公共资源交易中心网站发布的时间为准）提</w:t>
            </w:r>
            <w:r>
              <w:rPr>
                <w:rFonts w:hint="eastAsia" w:ascii="宋体" w:hAnsi="宋体" w:cs="宋体"/>
                <w:color w:val="auto"/>
                <w:highlight w:val="none"/>
              </w:rPr>
              <w:t>出答疑问题。招标人应在投标截止时间15日前解答投标人对招标文件提出的疑问，形成答疑纪要，在广州公共资源交易中心网站发布。</w:t>
            </w:r>
          </w:p>
          <w:p>
            <w:pPr>
              <w:rPr>
                <w:rFonts w:hint="eastAsia" w:ascii="宋体" w:hAnsi="宋体" w:cs="宋体"/>
                <w:color w:val="auto"/>
                <w:szCs w:val="21"/>
                <w:highlight w:val="none"/>
              </w:rPr>
            </w:pPr>
            <w:r>
              <w:rPr>
                <w:rFonts w:hint="eastAsia" w:ascii="宋体" w:hAnsi="宋体" w:cs="宋体"/>
                <w:color w:val="auto"/>
                <w:highlight w:val="none"/>
              </w:rPr>
              <w:t>具体操作方法按照广州公共资源交易平台关于全流程电子化项目的相关指南进行操作，详见：广州公共资源交易中心网站发布的最新版操作指引。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投标截止时间</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strike/>
                <w:color w:val="auto"/>
                <w:szCs w:val="21"/>
                <w:highlight w:val="none"/>
              </w:rPr>
            </w:pPr>
            <w:r>
              <w:rPr>
                <w:rFonts w:hint="eastAsia" w:ascii="宋体" w:hAnsi="宋体" w:cs="宋体"/>
                <w:color w:val="auto"/>
                <w:szCs w:val="21"/>
                <w:highlight w:val="none"/>
                <w:u w:val="single"/>
              </w:rPr>
              <w:t>20</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分（北京时间）。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开标开始时间和地点</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pStyle w:val="19"/>
              <w:rPr>
                <w:rFonts w:hint="eastAsia" w:ascii="宋体" w:hAnsi="宋体" w:eastAsia="宋体" w:cs="宋体"/>
                <w:color w:val="auto"/>
                <w:kern w:val="2"/>
                <w:sz w:val="21"/>
                <w:szCs w:val="21"/>
                <w:highlight w:val="none"/>
                <w:lang w:val="en-US" w:eastAsia="zh-CN" w:bidi="ar-SA"/>
              </w:rPr>
            </w:pPr>
            <w:r>
              <w:rPr>
                <w:rFonts w:hint="eastAsia"/>
                <w:color w:val="auto"/>
                <w:highlight w:val="none"/>
                <w:lang w:val="en-US" w:eastAsia="zh-CN"/>
              </w:rPr>
              <w:t>（</w:t>
            </w:r>
            <w:r>
              <w:rPr>
                <w:rFonts w:hint="eastAsia" w:ascii="宋体" w:hAnsi="宋体" w:eastAsia="宋体" w:cs="宋体"/>
                <w:color w:val="auto"/>
                <w:kern w:val="2"/>
                <w:sz w:val="21"/>
                <w:szCs w:val="21"/>
                <w:highlight w:val="none"/>
                <w:lang w:val="en-US" w:eastAsia="zh-CN" w:bidi="ar-SA"/>
              </w:rPr>
              <w:t>技术标和经济标同时开标）</w:t>
            </w:r>
          </w:p>
          <w:p>
            <w:pPr>
              <w:pStyle w:val="19"/>
              <w:numPr>
                <w:ilvl w:val="0"/>
                <w:numId w:val="7"/>
              </w:num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开标开始时间：</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年</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月</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日</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时</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分（与投标截止时间为同一时间），投标人也可选择参加在线开标，具体按照交易平台相关指南进行操作。地点</w:t>
            </w:r>
            <w:r>
              <w:rPr>
                <w:rFonts w:hint="eastAsia" w:ascii="宋体" w:hAnsi="宋体" w:eastAsia="宋体" w:cs="宋体"/>
                <w:color w:val="auto"/>
                <w:kern w:val="2"/>
                <w:sz w:val="21"/>
                <w:szCs w:val="21"/>
                <w:highlight w:val="none"/>
                <w:u w:val="none"/>
                <w:lang w:val="en-US" w:eastAsia="zh-CN" w:bidi="ar-SA"/>
              </w:rPr>
              <w:t>：广州公共资源交易中心南沙交易部</w:t>
            </w:r>
            <w:r>
              <w:rPr>
                <w:rFonts w:hint="eastAsia" w:ascii="宋体" w:hAnsi="宋体" w:cs="宋体"/>
                <w:color w:val="auto"/>
                <w:kern w:val="2"/>
                <w:sz w:val="21"/>
                <w:szCs w:val="21"/>
                <w:highlight w:val="none"/>
                <w:u w:val="none"/>
                <w:lang w:val="en-US" w:eastAsia="zh-CN" w:bidi="ar-SA"/>
              </w:rPr>
              <w:t>开标</w:t>
            </w:r>
            <w:r>
              <w:rPr>
                <w:rFonts w:hint="eastAsia" w:ascii="宋体" w:hAnsi="宋体" w:eastAsia="宋体" w:cs="宋体"/>
                <w:color w:val="auto"/>
                <w:kern w:val="2"/>
                <w:sz w:val="21"/>
                <w:szCs w:val="21"/>
                <w:highlight w:val="none"/>
                <w:u w:val="none"/>
                <w:lang w:val="en-US" w:eastAsia="zh-CN" w:bidi="ar-SA"/>
              </w:rPr>
              <w:t>室</w:t>
            </w:r>
            <w:r>
              <w:rPr>
                <w:rFonts w:hint="eastAsia" w:ascii="宋体" w:hAnsi="宋体" w:eastAsia="宋体" w:cs="宋体"/>
                <w:color w:val="auto"/>
                <w:kern w:val="2"/>
                <w:sz w:val="21"/>
                <w:szCs w:val="21"/>
                <w:highlight w:val="none"/>
                <w:lang w:val="en-US" w:eastAsia="zh-CN" w:bidi="ar-SA"/>
              </w:rPr>
              <w:t>。</w:t>
            </w:r>
          </w:p>
          <w:p>
            <w:pPr>
              <w:pStyle w:val="19"/>
              <w:numPr>
                <w:ilvl w:val="0"/>
                <w:numId w:val="7"/>
              </w:num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注：投标文件解密问题。投标人只用执行一次解密，招标人执行解密次数根据招标文件开标次数确定。</w:t>
            </w:r>
          </w:p>
          <w:p>
            <w:pPr>
              <w:pStyle w:val="1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2、递交投标文件备用光盘时间：</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年</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月 </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日   时</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分至</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年</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月</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日</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时</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分；递交地点：广州公共资源交易中心南沙交易部</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室。(建议安排在投标文件截止时间前15分钟至投标文件截止时间）</w:t>
            </w:r>
          </w:p>
          <w:p>
            <w:pPr>
              <w:pStyle w:val="19"/>
              <w:rPr>
                <w:rFonts w:hint="eastAsia"/>
                <w:color w:val="auto"/>
                <w:highlight w:val="none"/>
                <w:lang w:val="en-US" w:eastAsia="zh-CN"/>
              </w:rPr>
            </w:pPr>
            <w:r>
              <w:rPr>
                <w:rFonts w:hint="eastAsia" w:ascii="宋体" w:hAnsi="宋体" w:cs="宋体"/>
                <w:color w:val="auto"/>
                <w:kern w:val="2"/>
                <w:sz w:val="21"/>
                <w:szCs w:val="21"/>
                <w:highlight w:val="none"/>
                <w:lang w:val="en-US" w:eastAsia="zh-CN" w:bidi="ar-SA"/>
              </w:rPr>
              <w:t>注：</w:t>
            </w:r>
            <w:r>
              <w:rPr>
                <w:rFonts w:hint="eastAsia" w:ascii="宋体" w:hAnsi="宋体" w:eastAsia="宋体" w:cs="宋体"/>
                <w:color w:val="auto"/>
                <w:kern w:val="2"/>
                <w:sz w:val="21"/>
                <w:szCs w:val="21"/>
                <w:highlight w:val="none"/>
                <w:lang w:val="en-US" w:eastAsia="zh-CN" w:bidi="ar-SA"/>
              </w:rPr>
              <w:t>上述时间及地点是否有改变，请密切留意补充公告和招标答疑纪要的相关信息。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763"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26</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开标评标办法</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pStyle w:val="50"/>
              <w:ind w:firstLine="0"/>
              <w:jc w:val="both"/>
              <w:rPr>
                <w:rFonts w:hint="eastAsia" w:ascii="宋体" w:hAnsi="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rPr>
              <w:t>方式一：选取方法</w:t>
            </w:r>
            <w:r>
              <w:rPr>
                <w:rFonts w:hint="eastAsia" w:ascii="宋体" w:hAnsi="宋体" w:cs="宋体"/>
                <w:color w:val="auto"/>
                <w:kern w:val="2"/>
                <w:sz w:val="21"/>
                <w:szCs w:val="21"/>
                <w:highlight w:val="none"/>
                <w:u w:val="single"/>
                <w:lang w:val="en-US" w:eastAsia="zh-CN"/>
              </w:rPr>
              <w:t xml:space="preserve"> 七 </w:t>
            </w:r>
            <w:r>
              <w:rPr>
                <w:rFonts w:hint="eastAsia" w:ascii="宋体" w:hAnsi="宋体" w:cs="宋体"/>
                <w:color w:val="auto"/>
                <w:sz w:val="21"/>
                <w:szCs w:val="21"/>
                <w:highlight w:val="none"/>
                <w:lang w:val="en-US" w:eastAsia="zh-CN"/>
              </w:rPr>
              <w:t>（适合综合评分法四，技术标与经济标同时开启）；</w:t>
            </w:r>
          </w:p>
          <w:p>
            <w:pPr>
              <w:pStyle w:val="50"/>
              <w:ind w:firstLine="0"/>
              <w:jc w:val="both"/>
              <w:rPr>
                <w:rFonts w:hint="eastAsia" w:ascii="宋体" w:hAnsi="宋体" w:cs="宋体"/>
                <w:color w:val="auto"/>
                <w:kern w:val="2"/>
                <w:sz w:val="21"/>
                <w:szCs w:val="21"/>
                <w:highlight w:val="none"/>
                <w:lang w:val="en-US" w:eastAsia="zh-CN"/>
              </w:rPr>
            </w:pPr>
            <w:r>
              <w:rPr>
                <w:rFonts w:hint="eastAsia" w:ascii="宋体" w:hAnsi="宋体" w:cs="宋体"/>
                <w:color w:val="auto"/>
                <w:sz w:val="21"/>
                <w:szCs w:val="21"/>
                <w:highlight w:val="none"/>
                <w:u w:val="single"/>
                <w:lang w:val="en-US" w:eastAsia="zh-CN"/>
              </w:rPr>
              <w:t>投标人总得分（满分100）=技术得分（满分20分）＋经济得分（满分100分）×经济得分权重（80%）</w:t>
            </w:r>
            <w:r>
              <w:rPr>
                <w:rFonts w:hint="eastAsia" w:ascii="宋体" w:hAnsi="宋体" w:cs="宋体"/>
                <w:color w:val="auto"/>
                <w:kern w:val="2"/>
                <w:sz w:val="21"/>
                <w:szCs w:val="21"/>
                <w:highlight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29.1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履约担保</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jc w:val="both"/>
              <w:rPr>
                <w:rFonts w:hint="eastAsia" w:ascii="宋体" w:hAnsi="宋体" w:cs="宋体"/>
                <w:color w:val="auto"/>
                <w:highlight w:val="none"/>
              </w:rPr>
            </w:pPr>
            <w:r>
              <w:rPr>
                <w:rFonts w:hint="eastAsia" w:ascii="宋体" w:hAnsi="宋体" w:cs="宋体"/>
                <w:color w:val="auto"/>
                <w:highlight w:val="none"/>
              </w:rPr>
              <w:t>中标人提供的履约保证金为中标价款的</w:t>
            </w:r>
            <w:r>
              <w:rPr>
                <w:rFonts w:hint="eastAsia" w:ascii="宋体" w:hAnsi="宋体" w:cs="宋体"/>
                <w:color w:val="auto"/>
                <w:highlight w:val="none"/>
                <w:u w:val="single"/>
                <w:lang w:val="en-US" w:eastAsia="zh-CN"/>
              </w:rPr>
              <w:t>10</w:t>
            </w:r>
            <w:r>
              <w:rPr>
                <w:rFonts w:hint="eastAsia" w:ascii="宋体" w:hAnsi="宋体" w:cs="宋体"/>
                <w:color w:val="auto"/>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30"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21</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最高投标限价</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 w:val="21"/>
                <w:szCs w:val="21"/>
                <w:highlight w:val="none"/>
              </w:rPr>
            </w:pPr>
            <w:r>
              <w:rPr>
                <w:rFonts w:hint="eastAsia" w:ascii="宋体" w:hAnsi="宋体" w:cs="宋体"/>
                <w:color w:val="auto"/>
                <w:sz w:val="21"/>
                <w:szCs w:val="21"/>
                <w:highlight w:val="none"/>
              </w:rPr>
              <w:t>本项目最高投标限价为人民币</w:t>
            </w:r>
            <w:r>
              <w:rPr>
                <w:rFonts w:hint="eastAsia" w:ascii="宋体" w:hAnsi="宋体" w:cs="宋体"/>
                <w:color w:val="auto"/>
                <w:sz w:val="21"/>
                <w:szCs w:val="21"/>
                <w:highlight w:val="none"/>
                <w:lang w:eastAsia="zh-CN"/>
              </w:rPr>
              <w:t>：5553123.88元（其中：广州市南沙区大岗镇金灵中路升级改造工程1127294.08元；广州市南沙区大岗镇爱灵东路和爱灵中路升级改造工程4425829.80元）</w:t>
            </w:r>
          </w:p>
          <w:p>
            <w:pPr>
              <w:pStyle w:val="19"/>
              <w:rPr>
                <w:rFonts w:hint="eastAsia"/>
                <w:color w:val="auto"/>
                <w:sz w:val="21"/>
                <w:szCs w:val="21"/>
                <w:highlight w:val="none"/>
                <w:lang w:val="en-US" w:eastAsia="zh-CN"/>
              </w:rPr>
            </w:pPr>
            <w:r>
              <w:rPr>
                <w:rFonts w:hint="eastAsia" w:ascii="宋体" w:hAnsi="宋体" w:cs="宋体"/>
                <w:b/>
                <w:bCs/>
                <w:color w:val="auto"/>
                <w:sz w:val="21"/>
                <w:szCs w:val="21"/>
                <w:highlight w:val="none"/>
                <w:lang w:val="en-US" w:eastAsia="zh-CN"/>
              </w:rPr>
              <w:t>注：投标总报价不得超过最高投标限价，各分项目也不得超过对应项目的招标控制价</w:t>
            </w:r>
            <w:r>
              <w:rPr>
                <w:rFonts w:hint="eastAsia" w:ascii="宋体" w:hAnsi="宋体" w:cs="宋体"/>
                <w:color w:val="auto"/>
                <w:sz w:val="21"/>
                <w:szCs w:val="21"/>
                <w:highlight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21"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22</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非竞争费用</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 w:val="21"/>
                <w:szCs w:val="21"/>
                <w:highlight w:val="none"/>
              </w:rPr>
            </w:pPr>
            <w:r>
              <w:rPr>
                <w:rFonts w:hint="eastAsia" w:ascii="宋体" w:hAnsi="宋体" w:cs="宋体"/>
                <w:color w:val="auto"/>
                <w:sz w:val="21"/>
                <w:szCs w:val="21"/>
                <w:highlight w:val="none"/>
              </w:rPr>
              <w:t>本项目绿色施工安全防护措施费为</w:t>
            </w:r>
            <w:r>
              <w:rPr>
                <w:rFonts w:hint="eastAsia" w:ascii="宋体" w:hAnsi="宋体" w:eastAsia="宋体" w:cs="宋体"/>
                <w:b w:val="0"/>
                <w:bCs w:val="0"/>
                <w:color w:val="333333"/>
                <w:kern w:val="2"/>
                <w:sz w:val="21"/>
                <w:szCs w:val="21"/>
                <w:highlight w:val="none"/>
                <w:u w:val="single"/>
                <w:lang w:val="en-US" w:eastAsia="zh-CN" w:bidi="ar"/>
              </w:rPr>
              <w:t xml:space="preserve">212,894.29 </w:t>
            </w:r>
            <w:r>
              <w:rPr>
                <w:rFonts w:hint="eastAsia" w:ascii="宋体" w:hAnsi="宋体" w:cs="宋体"/>
                <w:b w:val="0"/>
                <w:bCs w:val="0"/>
                <w:color w:val="333333"/>
                <w:kern w:val="2"/>
                <w:sz w:val="21"/>
                <w:szCs w:val="21"/>
                <w:highlight w:val="none"/>
                <w:u w:val="single"/>
                <w:lang w:val="en-US" w:eastAsia="zh-CN" w:bidi="ar"/>
              </w:rPr>
              <w:t>元</w:t>
            </w:r>
            <w:r>
              <w:rPr>
                <w:rFonts w:hint="eastAsia" w:ascii="宋体" w:hAnsi="宋体" w:eastAsia="宋体" w:cs="宋体"/>
                <w:b w:val="0"/>
                <w:bCs w:val="0"/>
                <w:color w:val="333333"/>
                <w:kern w:val="2"/>
                <w:sz w:val="21"/>
                <w:szCs w:val="21"/>
                <w:highlight w:val="none"/>
                <w:u w:val="single"/>
                <w:lang w:val="en-US" w:eastAsia="zh-CN" w:bidi="ar"/>
              </w:rPr>
              <w:t>(其中：广州市南沙区大岗镇金灵中路升级改造工程58,878.15元、广州市南沙区大岗镇爱灵东路和爱灵中路升级改造工程154,016.14元)</w:t>
            </w:r>
            <w:r>
              <w:rPr>
                <w:rFonts w:hint="eastAsia" w:ascii="宋体" w:hAnsi="宋体" w:cs="宋体"/>
                <w:b w:val="0"/>
                <w:bCs w:val="0"/>
                <w:color w:val="auto"/>
                <w:sz w:val="21"/>
                <w:szCs w:val="21"/>
                <w:highlight w:val="none"/>
              </w:rPr>
              <w:t>，</w:t>
            </w:r>
            <w:r>
              <w:rPr>
                <w:rFonts w:hint="eastAsia" w:ascii="宋体" w:hAnsi="宋体" w:cs="宋体"/>
                <w:color w:val="auto"/>
                <w:sz w:val="21"/>
                <w:szCs w:val="21"/>
                <w:highlight w:val="none"/>
              </w:rPr>
              <w:t>暂列金额为</w:t>
            </w:r>
            <w:r>
              <w:rPr>
                <w:rFonts w:hint="eastAsia" w:ascii="宋体" w:hAnsi="宋体" w:cs="宋体"/>
                <w:color w:val="auto"/>
                <w:sz w:val="21"/>
                <w:szCs w:val="21"/>
                <w:highlight w:val="none"/>
                <w:u w:val="single"/>
                <w:lang w:val="en-US" w:eastAsia="zh-CN"/>
              </w:rPr>
              <w:t>0</w:t>
            </w:r>
            <w:r>
              <w:rPr>
                <w:rFonts w:hint="eastAsia" w:ascii="宋体" w:hAnsi="宋体" w:cs="宋体"/>
                <w:color w:val="auto"/>
                <w:sz w:val="21"/>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23</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p>
        </w:tc>
        <w:tc>
          <w:tcPr>
            <w:tcW w:w="1746" w:type="dxa"/>
            <w:tcBorders>
              <w:top w:val="single" w:color="auto" w:sz="4" w:space="0"/>
              <w:left w:val="single" w:color="auto" w:sz="4" w:space="0"/>
              <w:bottom w:val="single" w:color="auto" w:sz="4" w:space="0"/>
              <w:right w:val="single" w:color="auto" w:sz="4" w:space="0"/>
            </w:tcBorders>
            <w:noWrap w:val="0"/>
            <w:vAlign w:val="center"/>
          </w:tcPr>
          <w:p>
            <w:pPr>
              <w:pStyle w:val="50"/>
              <w:ind w:firstLine="0"/>
              <w:jc w:val="center"/>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保修期</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 w:val="21"/>
                <w:szCs w:val="21"/>
                <w:highlight w:val="none"/>
              </w:rPr>
            </w:pPr>
            <w:r>
              <w:rPr>
                <w:rFonts w:hint="eastAsia" w:ascii="宋体" w:hAnsi="宋体" w:cs="宋体"/>
                <w:color w:val="auto"/>
                <w:sz w:val="21"/>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24</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trike/>
                <w:dstrike w:val="0"/>
                <w:color w:val="auto"/>
                <w:sz w:val="21"/>
                <w:szCs w:val="21"/>
                <w:highlight w:val="none"/>
              </w:rPr>
            </w:pPr>
            <w:r>
              <w:rPr>
                <w:rFonts w:hint="eastAsia" w:ascii="宋体" w:hAnsi="宋体" w:cs="宋体"/>
                <w:strike/>
                <w:dstrike w:val="0"/>
                <w:color w:val="auto"/>
                <w:sz w:val="21"/>
                <w:szCs w:val="21"/>
                <w:highlight w:val="none"/>
              </w:rPr>
              <w:t>计算评标参考价的等分点值</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strike/>
                <w:dstrike w:val="0"/>
                <w:color w:val="auto"/>
                <w:sz w:val="21"/>
                <w:szCs w:val="21"/>
                <w:highlight w:val="none"/>
              </w:rPr>
            </w:pPr>
            <w:r>
              <w:rPr>
                <w:rFonts w:hint="eastAsia" w:ascii="宋体" w:hAnsi="宋体" w:cs="宋体"/>
                <w:strike/>
                <w:dstrike w:val="0"/>
                <w:color w:val="auto"/>
                <w:sz w:val="21"/>
                <w:szCs w:val="21"/>
                <w:highlight w:val="none"/>
              </w:rPr>
              <w:t>计算评标参考价的等分点值X</w:t>
            </w:r>
            <w:r>
              <w:rPr>
                <w:rFonts w:hint="eastAsia" w:ascii="宋体" w:hAnsi="宋体" w:eastAsia="宋体" w:cs="宋体"/>
                <w:strike/>
                <w:dstrike w:val="0"/>
                <w:color w:val="auto"/>
                <w:sz w:val="21"/>
                <w:szCs w:val="21"/>
                <w:highlight w:val="none"/>
                <w:u w:val="none"/>
              </w:rPr>
              <w:t>在开标前</w:t>
            </w:r>
            <w:r>
              <w:rPr>
                <w:rFonts w:hint="eastAsia" w:ascii="宋体" w:hAnsi="宋体" w:cs="宋体"/>
                <w:strike/>
                <w:dstrike w:val="0"/>
                <w:color w:val="auto"/>
                <w:sz w:val="21"/>
                <w:szCs w:val="21"/>
                <w:highlight w:val="none"/>
              </w:rPr>
              <w:t>从[0,100]的整数中随机抽取。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22"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26</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工程成本警戒价</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 w:val="21"/>
                <w:szCs w:val="21"/>
                <w:highlight w:val="none"/>
              </w:rPr>
            </w:pPr>
            <w:r>
              <w:rPr>
                <w:rFonts w:hint="eastAsia" w:ascii="宋体" w:hAnsi="宋体" w:cs="宋体"/>
                <w:color w:val="auto"/>
                <w:sz w:val="21"/>
                <w:szCs w:val="21"/>
                <w:highlight w:val="none"/>
              </w:rPr>
              <w:t>工程成本警戒价为</w:t>
            </w:r>
            <w:r>
              <w:rPr>
                <w:rFonts w:hint="eastAsia" w:ascii="宋体" w:hAnsi="宋体" w:cs="宋体"/>
                <w:b/>
                <w:bCs/>
                <w:color w:val="auto"/>
                <w:sz w:val="21"/>
                <w:szCs w:val="21"/>
                <w:highlight w:val="none"/>
                <w:u w:val="single"/>
                <w:lang w:val="en-US" w:eastAsia="zh-CN"/>
              </w:rPr>
              <w:t>5275467.69</w:t>
            </w:r>
            <w:r>
              <w:rPr>
                <w:rFonts w:hint="eastAsia" w:ascii="宋体" w:hAnsi="宋体" w:cs="宋体"/>
                <w:color w:val="auto"/>
                <w:sz w:val="21"/>
                <w:szCs w:val="21"/>
                <w:highlight w:val="none"/>
              </w:rPr>
              <w:t>元</w:t>
            </w:r>
            <w:r>
              <w:rPr>
                <w:rFonts w:hint="eastAsia" w:ascii="宋体" w:hAnsi="宋体" w:cs="宋体"/>
                <w:color w:val="auto"/>
                <w:sz w:val="21"/>
                <w:szCs w:val="21"/>
                <w:highlight w:val="none"/>
                <w:u w:val="single"/>
              </w:rPr>
              <w:t>（最高投标限价的</w:t>
            </w:r>
            <w:r>
              <w:rPr>
                <w:rFonts w:hint="eastAsia" w:ascii="宋体" w:hAnsi="宋体" w:cs="宋体"/>
                <w:b/>
                <w:bCs/>
                <w:color w:val="auto"/>
                <w:sz w:val="21"/>
                <w:szCs w:val="21"/>
                <w:highlight w:val="none"/>
                <w:u w:val="single"/>
              </w:rPr>
              <w:t>9</w:t>
            </w:r>
            <w:r>
              <w:rPr>
                <w:rFonts w:hint="eastAsia" w:ascii="宋体" w:hAnsi="宋体" w:cs="宋体"/>
                <w:b/>
                <w:bCs/>
                <w:color w:val="auto"/>
                <w:sz w:val="21"/>
                <w:szCs w:val="21"/>
                <w:highlight w:val="none"/>
                <w:u w:val="single"/>
                <w:lang w:val="en-US" w:eastAsia="zh-CN"/>
              </w:rPr>
              <w:t>5</w:t>
            </w:r>
            <w:r>
              <w:rPr>
                <w:rFonts w:hint="eastAsia" w:ascii="宋体" w:hAnsi="宋体" w:cs="宋体"/>
                <w:b/>
                <w:bCs/>
                <w:color w:val="auto"/>
                <w:sz w:val="21"/>
                <w:szCs w:val="21"/>
                <w:highlight w:val="none"/>
                <w:u w:val="single"/>
              </w:rPr>
              <w:t>%</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。对低于该警戒价的投标报价，投标人必须提供详细的施工组织设计</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28</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评标委员会人数</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33</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13.4、13.5.2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合同价款的调整办法</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详见招标文件及相关合同条款。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84"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34</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lang w:val="zh-CN"/>
              </w:rPr>
              <w:t>建设工程质量检测管理办法</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519"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35</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分包</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☑不允许；</w:t>
            </w:r>
          </w:p>
          <w:p>
            <w:pPr>
              <w:spacing w:line="440" w:lineRule="exact"/>
              <w:rPr>
                <w:rFonts w:ascii="宋体" w:hAnsi="宋体"/>
                <w:color w:val="auto"/>
                <w:kern w:val="0"/>
                <w:szCs w:val="21"/>
                <w:highlight w:val="none"/>
                <w:lang w:val="zh-CN"/>
              </w:rPr>
            </w:pPr>
            <w:r>
              <w:rPr>
                <w:rFonts w:hint="eastAsia" w:ascii="宋体" w:hAnsi="宋体" w:cs="宋体"/>
                <w:color w:val="auto"/>
                <w:kern w:val="0"/>
                <w:szCs w:val="21"/>
                <w:highlight w:val="none"/>
                <w:lang w:val="zh-CN"/>
              </w:rPr>
              <w:t>□</w:t>
            </w:r>
            <w:r>
              <w:rPr>
                <w:rFonts w:hint="eastAsia" w:ascii="宋体" w:hAnsi="宋体" w:eastAsia="宋体" w:cs="宋体"/>
                <w:color w:val="auto"/>
                <w:kern w:val="0"/>
                <w:szCs w:val="21"/>
                <w:highlight w:val="none"/>
                <w:lang w:val="zh-CN"/>
              </w:rPr>
              <w:t>允许：</w:t>
            </w:r>
            <w:r>
              <w:rPr>
                <w:rFonts w:hint="eastAsia" w:ascii="宋体" w:hAnsi="宋体"/>
                <w:color w:val="auto"/>
                <w:kern w:val="0"/>
                <w:szCs w:val="21"/>
                <w:highlight w:val="none"/>
                <w:lang w:val="zh-CN"/>
              </w:rPr>
              <w:t>分包内容要要求：</w:t>
            </w:r>
            <w:r>
              <w:rPr>
                <w:rFonts w:hint="eastAsia" w:ascii="宋体" w:hAnsi="宋体"/>
                <w:color w:val="auto"/>
                <w:szCs w:val="21"/>
                <w:highlight w:val="none"/>
                <w:u w:val="single"/>
              </w:rPr>
              <w:t>详见施工合同</w:t>
            </w:r>
          </w:p>
          <w:p>
            <w:pPr>
              <w:spacing w:line="440" w:lineRule="exact"/>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分包金额要求：</w:t>
            </w:r>
            <w:r>
              <w:rPr>
                <w:rFonts w:hint="eastAsia" w:ascii="宋体" w:hAnsi="宋体"/>
                <w:color w:val="auto"/>
                <w:szCs w:val="21"/>
                <w:highlight w:val="none"/>
                <w:u w:val="single"/>
              </w:rPr>
              <w:t>详见施工合同</w:t>
            </w:r>
          </w:p>
          <w:p>
            <w:pPr>
              <w:spacing w:line="440" w:lineRule="exact"/>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对分包人的资质要求：</w:t>
            </w:r>
            <w:r>
              <w:rPr>
                <w:rFonts w:hint="eastAsia" w:ascii="宋体" w:hAnsi="宋体"/>
                <w:color w:val="auto"/>
                <w:szCs w:val="21"/>
                <w:highlight w:val="none"/>
                <w:u w:val="single"/>
              </w:rPr>
              <w:t>详见施工合同</w:t>
            </w:r>
          </w:p>
          <w:p>
            <w:pPr>
              <w:rPr>
                <w:rFonts w:hint="eastAsia" w:ascii="宋体" w:hAnsi="宋体" w:cs="宋体"/>
                <w:color w:val="auto"/>
                <w:kern w:val="0"/>
                <w:szCs w:val="21"/>
                <w:highlight w:val="none"/>
                <w:lang w:val="zh-CN"/>
              </w:rPr>
            </w:pPr>
            <w:r>
              <w:rPr>
                <w:rFonts w:hint="eastAsia" w:ascii="宋体" w:hAnsi="宋体"/>
                <w:color w:val="auto"/>
                <w:kern w:val="0"/>
                <w:szCs w:val="21"/>
                <w:highlight w:val="none"/>
                <w:lang w:val="zh-CN"/>
              </w:rPr>
              <w:t xml:space="preserve">        对分包人的其他要求：</w:t>
            </w:r>
            <w:r>
              <w:rPr>
                <w:rFonts w:hint="eastAsia" w:ascii="宋体" w:hAnsi="宋体"/>
                <w:color w:val="auto"/>
                <w:szCs w:val="21"/>
                <w:highlight w:val="none"/>
                <w:u w:val="single"/>
              </w:rPr>
              <w:t>详见施工合同</w:t>
            </w:r>
            <w:r>
              <w:rPr>
                <w:rFonts w:hint="eastAsia" w:ascii="宋体" w:hAnsi="宋体" w:cs="宋体"/>
                <w:color w:val="auto"/>
                <w:kern w:val="0"/>
                <w:szCs w:val="21"/>
                <w:highlight w:val="none"/>
                <w:lang w:val="zh-CN"/>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255" w:hRule="atLeast"/>
          <w:jc w:val="center"/>
        </w:trPr>
        <w:tc>
          <w:tcPr>
            <w:tcW w:w="64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36</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highlight w:val="none"/>
              </w:rPr>
            </w:pP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电子招标投标解密失败及突发情况的补救</w:t>
            </w:r>
          </w:p>
        </w:tc>
        <w:tc>
          <w:tcPr>
            <w:tcW w:w="6401" w:type="dxa"/>
            <w:tcBorders>
              <w:top w:val="single" w:color="auto" w:sz="4" w:space="0"/>
              <w:left w:val="single" w:color="auto" w:sz="4" w:space="0"/>
              <w:bottom w:val="single" w:color="auto" w:sz="4"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1、按照交易平台关于全流程电子化项目的相关指南进行操作。详见：</w:t>
            </w:r>
            <w:r>
              <w:rPr>
                <w:rFonts w:hint="eastAsia" w:ascii="宋体" w:hAnsi="宋体" w:cs="宋体"/>
                <w:color w:val="auto"/>
                <w:szCs w:val="21"/>
                <w:highlight w:val="none"/>
                <w:u w:val="single"/>
              </w:rPr>
              <w:t>《全流程电子化项目电子招投标操作手册（无纸化）》</w:t>
            </w:r>
            <w:r>
              <w:rPr>
                <w:rFonts w:hint="eastAsia" w:ascii="宋体" w:hAnsi="宋体" w:cs="宋体"/>
                <w:color w:val="auto"/>
                <w:szCs w:val="21"/>
                <w:highlight w:val="none"/>
              </w:rPr>
              <w:t xml:space="preserve">。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2、提交投标文件光盘备用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3、补救方案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（1）投标文件解密失败的补救方案：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（2）评标时突发情况的补救方案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若遇不可抗力发生（指网络瘫痪、服务器损坏、交易系统故障短期无法恢复等因素），由评标委员会开启投标人递交的全部投标文件光盘，并按光盘内容进行评审。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87" w:hRule="atLeast"/>
          <w:jc w:val="center"/>
        </w:trPr>
        <w:tc>
          <w:tcPr>
            <w:tcW w:w="643" w:type="dxa"/>
            <w:tcBorders>
              <w:top w:val="single" w:color="auto" w:sz="4" w:space="0"/>
              <w:left w:val="double" w:color="auto" w:sz="4" w:space="0"/>
              <w:bottom w:val="double" w:color="auto" w:sz="4" w:space="0"/>
              <w:right w:val="single" w:color="auto" w:sz="4" w:space="0"/>
            </w:tcBorders>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highlight w:val="none"/>
                <w:u w:val="single"/>
              </w:rPr>
              <w:t>37</w:t>
            </w:r>
          </w:p>
        </w:tc>
        <w:tc>
          <w:tcPr>
            <w:tcW w:w="1070" w:type="dxa"/>
            <w:tcBorders>
              <w:top w:val="single" w:color="auto" w:sz="4" w:space="0"/>
              <w:left w:val="single" w:color="auto" w:sz="4" w:space="0"/>
              <w:bottom w:val="double" w:color="auto" w:sz="4" w:space="0"/>
              <w:right w:val="single" w:color="auto" w:sz="4" w:space="0"/>
            </w:tcBorders>
            <w:noWrap w:val="0"/>
            <w:vAlign w:val="center"/>
          </w:tcPr>
          <w:p>
            <w:pPr>
              <w:jc w:val="center"/>
              <w:rPr>
                <w:rFonts w:hint="eastAsia" w:ascii="宋体" w:hAnsi="宋体" w:cs="宋体"/>
                <w:color w:val="auto"/>
                <w:highlight w:val="none"/>
              </w:rPr>
            </w:pPr>
          </w:p>
        </w:tc>
        <w:tc>
          <w:tcPr>
            <w:tcW w:w="1746" w:type="dxa"/>
            <w:tcBorders>
              <w:top w:val="single" w:color="auto" w:sz="4" w:space="0"/>
              <w:left w:val="single" w:color="auto" w:sz="4" w:space="0"/>
              <w:bottom w:val="double" w:color="auto" w:sz="4" w:space="0"/>
              <w:right w:val="single" w:color="auto" w:sz="4" w:space="0"/>
            </w:tcBorders>
            <w:noWrap w:val="0"/>
            <w:vAlign w:val="center"/>
          </w:tcPr>
          <w:p>
            <w:pPr>
              <w:jc w:val="center"/>
              <w:rPr>
                <w:rFonts w:hint="eastAsia" w:ascii="宋体" w:hAnsi="宋体" w:cs="宋体"/>
                <w:color w:val="auto"/>
                <w:sz w:val="21"/>
                <w:szCs w:val="21"/>
                <w:highlight w:val="none"/>
              </w:rPr>
            </w:pPr>
            <w:r>
              <w:rPr>
                <w:rFonts w:hint="eastAsia" w:ascii="宋体" w:hAnsi="宋体" w:eastAsia="宋体" w:cs="宋体"/>
                <w:color w:val="auto"/>
                <w:kern w:val="0"/>
                <w:sz w:val="21"/>
                <w:szCs w:val="21"/>
                <w:highlight w:val="none"/>
                <w:u w:val="single"/>
                <w:lang w:val="zh-CN"/>
              </w:rPr>
              <w:t>其他</w:t>
            </w:r>
          </w:p>
        </w:tc>
        <w:tc>
          <w:tcPr>
            <w:tcW w:w="6401" w:type="dxa"/>
            <w:tcBorders>
              <w:top w:val="single" w:color="auto" w:sz="4" w:space="0"/>
              <w:left w:val="single" w:color="auto" w:sz="4" w:space="0"/>
              <w:bottom w:val="double" w:color="auto" w:sz="4" w:space="0"/>
              <w:right w:val="doub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highlight w:val="none"/>
              </w:rPr>
            </w:pPr>
            <w:r>
              <w:rPr>
                <w:rFonts w:hint="eastAsia" w:ascii="宋体" w:hAnsi="宋体" w:cs="宋体"/>
                <w:szCs w:val="21"/>
                <w:highlight w:val="none"/>
                <w:lang w:val="en-US" w:eastAsia="zh-CN"/>
              </w:rPr>
              <w:t>1、</w:t>
            </w:r>
            <w:r>
              <w:rPr>
                <w:rFonts w:hint="eastAsia" w:ascii="宋体" w:hAnsi="宋体" w:cs="宋体"/>
                <w:szCs w:val="21"/>
                <w:highlight w:val="none"/>
              </w:rPr>
              <w:t>领取中标通知书后，签订合同签前，中标人须向招标人</w:t>
            </w:r>
            <w:r>
              <w:rPr>
                <w:rFonts w:hint="eastAsia" w:ascii="宋体" w:hAnsi="宋体" w:cs="宋体"/>
                <w:szCs w:val="21"/>
                <w:highlight w:val="none"/>
                <w:u w:val="single"/>
              </w:rPr>
              <w:t>提交与在广州公共资源交易中心系统上传投标文件内容相同的已盖章的纸质版投标文件一式</w:t>
            </w:r>
            <w:r>
              <w:rPr>
                <w:rFonts w:hint="eastAsia" w:ascii="宋体" w:hAnsi="宋体" w:cs="宋体"/>
                <w:szCs w:val="21"/>
                <w:highlight w:val="none"/>
                <w:u w:val="single"/>
                <w:lang w:val="en-US" w:eastAsia="zh-CN"/>
              </w:rPr>
              <w:t>3</w:t>
            </w:r>
            <w:r>
              <w:rPr>
                <w:rFonts w:hint="eastAsia" w:ascii="宋体" w:hAnsi="宋体" w:cs="宋体"/>
                <w:szCs w:val="21"/>
                <w:highlight w:val="none"/>
                <w:u w:val="single"/>
              </w:rPr>
              <w:t>套（须编制目录及页码）及电子文件</w:t>
            </w:r>
            <w:r>
              <w:rPr>
                <w:rFonts w:hint="eastAsia" w:ascii="宋体" w:hAnsi="宋体" w:cs="宋体"/>
                <w:szCs w:val="21"/>
                <w:highlight w:val="none"/>
                <w:u w:val="single"/>
                <w:lang w:eastAsia="zh-CN"/>
              </w:rPr>
              <w:t>（</w:t>
            </w:r>
            <w:r>
              <w:rPr>
                <w:rFonts w:hint="eastAsia" w:ascii="宋体" w:hAnsi="宋体" w:cs="宋体"/>
                <w:szCs w:val="21"/>
                <w:highlight w:val="none"/>
                <w:u w:val="single"/>
                <w:lang w:val="en-US" w:eastAsia="zh-CN"/>
              </w:rPr>
              <w:t>U盘</w:t>
            </w:r>
            <w:r>
              <w:rPr>
                <w:rFonts w:hint="eastAsia" w:ascii="宋体" w:hAnsi="宋体" w:cs="宋体"/>
                <w:szCs w:val="21"/>
                <w:highlight w:val="none"/>
                <w:u w:val="single"/>
                <w:lang w:eastAsia="zh-CN"/>
              </w:rPr>
              <w:t>）</w:t>
            </w:r>
            <w:r>
              <w:rPr>
                <w:rFonts w:hint="eastAsia" w:ascii="宋体" w:hAnsi="宋体" w:cs="宋体"/>
                <w:szCs w:val="21"/>
                <w:highlight w:val="none"/>
                <w:u w:val="single"/>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highlight w:val="none"/>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highlight w:val="none"/>
                <w:lang w:val="en-US" w:eastAsia="zh-CN"/>
              </w:rPr>
            </w:pPr>
            <w:r>
              <w:rPr>
                <w:rFonts w:hint="eastAsia"/>
                <w:sz w:val="21"/>
                <w:szCs w:val="21"/>
                <w:highlight w:val="none"/>
              </w:rPr>
              <w:t>2、中标人按《广州市发展改革委转发省发展改革委关于规范公共资源交易服务收费及有关问题的通知》（穗发改〔2017〕811号）文件的规定，向广州公共资源交易中心代缴交易服务费及评标专家费，交易服务费的金额为中标总金额的0.9‰，其费用包含在中标人投标报价中，招</w:t>
            </w:r>
            <w:r>
              <w:rPr>
                <w:rFonts w:hint="eastAsia"/>
                <w:color w:val="000000"/>
                <w:sz w:val="21"/>
                <w:szCs w:val="21"/>
                <w:highlight w:val="none"/>
              </w:rPr>
              <w:t>标人不另行</w:t>
            </w:r>
            <w:r>
              <w:rPr>
                <w:rFonts w:hint="eastAsia"/>
                <w:sz w:val="21"/>
                <w:szCs w:val="21"/>
                <w:highlight w:val="none"/>
              </w:rPr>
              <w:t>支付。</w:t>
            </w:r>
          </w:p>
        </w:tc>
      </w:tr>
    </w:tbl>
    <w:p>
      <w:pPr>
        <w:pStyle w:val="4"/>
        <w:rPr>
          <w:rFonts w:hint="eastAsia" w:ascii="宋体" w:hAnsi="宋体" w:cs="宋体"/>
          <w:color w:val="auto"/>
          <w:highlight w:val="none"/>
        </w:rPr>
      </w:pPr>
      <w:r>
        <w:rPr>
          <w:rFonts w:hint="eastAsia" w:ascii="宋体" w:hAnsi="宋体" w:cs="宋体"/>
          <w:color w:val="auto"/>
          <w:highlight w:val="none"/>
        </w:rPr>
        <w:br w:type="page"/>
      </w:r>
      <w:bookmarkStart w:id="2" w:name="_Toc7765"/>
      <w:r>
        <w:rPr>
          <w:rFonts w:hint="eastAsia" w:ascii="宋体" w:hAnsi="宋体" w:cs="宋体"/>
          <w:color w:val="auto"/>
          <w:highlight w:val="none"/>
        </w:rPr>
        <w:t>二、投标须知修改表</w:t>
      </w:r>
      <w:bookmarkEnd w:id="2"/>
    </w:p>
    <w:p>
      <w:pPr>
        <w:pStyle w:val="93"/>
        <w:rPr>
          <w:rFonts w:hint="eastAsia"/>
          <w:b/>
          <w:bCs w:val="0"/>
          <w:sz w:val="22"/>
          <w:szCs w:val="18"/>
          <w:highlight w:val="none"/>
        </w:rPr>
      </w:pPr>
      <w:r>
        <w:rPr>
          <w:rFonts w:hint="eastAsia"/>
          <w:b/>
          <w:bCs w:val="0"/>
          <w:sz w:val="24"/>
          <w:szCs w:val="20"/>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adjustRightInd w:val="0"/>
        <w:spacing w:line="480" w:lineRule="auto"/>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条款号：5.1             修改类型：修改</w:t>
      </w:r>
    </w:p>
    <w:p>
      <w:pPr>
        <w:adjustRightInd w:val="0"/>
        <w:spacing w:line="460" w:lineRule="exact"/>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 w:val="24"/>
          <w:highlight w:val="none"/>
        </w:rPr>
        <w:t>投标人应按本投标须知前附表第15项所述时间和要求对工程现场及周围环境进行踏勘，</w:t>
      </w:r>
      <w:r>
        <w:rPr>
          <w:rFonts w:hint="eastAsia" w:ascii="宋体" w:hAnsi="宋体" w:cs="宋体"/>
          <w:color w:val="auto"/>
          <w:sz w:val="24"/>
          <w:highlight w:val="none"/>
        </w:rPr>
        <w:t>投标人应充分重视和仔细地进行这种考察，</w:t>
      </w:r>
      <w:r>
        <w:rPr>
          <w:rFonts w:hint="eastAsia" w:ascii="宋体" w:hAnsi="宋体" w:cs="宋体"/>
          <w:bCs/>
          <w:color w:val="auto"/>
          <w:sz w:val="24"/>
          <w:highlight w:val="none"/>
        </w:rPr>
        <w:t>以便投标人获取</w:t>
      </w:r>
      <w:r>
        <w:rPr>
          <w:rFonts w:hint="eastAsia" w:ascii="宋体" w:hAnsi="宋体" w:cs="宋体"/>
          <w:color w:val="auto"/>
          <w:sz w:val="24"/>
          <w:highlight w:val="none"/>
        </w:rPr>
        <w:t>那些须投标人自己负责的</w:t>
      </w:r>
      <w:r>
        <w:rPr>
          <w:rFonts w:hint="eastAsia" w:ascii="宋体" w:hAnsi="宋体" w:cs="宋体"/>
          <w:bCs/>
          <w:color w:val="auto"/>
          <w:sz w:val="24"/>
          <w:highlight w:val="none"/>
        </w:rPr>
        <w:t>有关编制投标文件和签署合同所涉及现场所有的资料。</w:t>
      </w:r>
      <w:r>
        <w:rPr>
          <w:rFonts w:hint="eastAsia" w:ascii="宋体" w:hAnsi="宋体" w:cs="宋体"/>
          <w:color w:val="auto"/>
          <w:sz w:val="24"/>
          <w:highlight w:val="none"/>
        </w:rPr>
        <w:t>一旦中标，这种考察即被认为其结果已在中标文件中得到充分反映。考察现场的费用由投标人自己承担。</w:t>
      </w:r>
    </w:p>
    <w:p>
      <w:pPr>
        <w:pBdr>
          <w:bottom w:val="single" w:color="auto" w:sz="6" w:space="1"/>
        </w:pBdr>
        <w:adjustRightInd w:val="0"/>
        <w:spacing w:line="460" w:lineRule="exact"/>
        <w:ind w:firstLine="527" w:firstLineChars="250"/>
        <w:textAlignment w:val="baseline"/>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 w:val="24"/>
          <w:highlight w:val="none"/>
        </w:rPr>
        <w:t>投标人应按本投标须知前附表第15项所述时间和要求对工程现场及周围环境进行踏勘，</w:t>
      </w:r>
      <w:r>
        <w:rPr>
          <w:rFonts w:hint="eastAsia" w:ascii="宋体" w:hAnsi="宋体" w:cs="宋体"/>
          <w:color w:val="auto"/>
          <w:sz w:val="24"/>
          <w:highlight w:val="none"/>
        </w:rPr>
        <w:t>投标人应充分重视和仔细地进行这种考察，</w:t>
      </w:r>
      <w:r>
        <w:rPr>
          <w:rFonts w:hint="eastAsia" w:ascii="宋体" w:hAnsi="宋体" w:cs="宋体"/>
          <w:bCs/>
          <w:color w:val="auto"/>
          <w:sz w:val="24"/>
          <w:highlight w:val="none"/>
        </w:rPr>
        <w:t>以便投标人获取</w:t>
      </w:r>
      <w:r>
        <w:rPr>
          <w:rFonts w:hint="eastAsia" w:ascii="宋体" w:hAnsi="宋体" w:cs="宋体"/>
          <w:color w:val="auto"/>
          <w:sz w:val="24"/>
          <w:highlight w:val="none"/>
        </w:rPr>
        <w:t>那些须投标人自己负责的</w:t>
      </w:r>
      <w:r>
        <w:rPr>
          <w:rFonts w:hint="eastAsia" w:ascii="宋体" w:hAnsi="宋体" w:cs="宋体"/>
          <w:bCs/>
          <w:color w:val="auto"/>
          <w:sz w:val="24"/>
          <w:highlight w:val="none"/>
        </w:rPr>
        <w:t>有关编制投标文件和签署合同所涉及现场所有的资料</w:t>
      </w:r>
      <w:r>
        <w:rPr>
          <w:rFonts w:hint="eastAsia" w:ascii="宋体" w:hAnsi="宋体" w:cs="宋体"/>
          <w:bCs/>
          <w:color w:val="auto"/>
          <w:sz w:val="24"/>
          <w:highlight w:val="none"/>
          <w:lang w:eastAsia="zh-CN"/>
        </w:rPr>
        <w:t>，</w:t>
      </w:r>
      <w:r>
        <w:rPr>
          <w:rFonts w:hint="eastAsia" w:ascii="宋体" w:hAnsi="宋体" w:cs="宋体"/>
          <w:bCs/>
          <w:color w:val="auto"/>
          <w:sz w:val="24"/>
          <w:highlight w:val="none"/>
          <w:u w:val="single"/>
        </w:rPr>
        <w:t>投标人不进行踏勘的，视为已熟知现场条件，自行承担相关风险</w:t>
      </w:r>
      <w:r>
        <w:rPr>
          <w:rFonts w:hint="eastAsia" w:ascii="宋体" w:hAnsi="宋体" w:cs="宋体"/>
          <w:bCs/>
          <w:color w:val="auto"/>
          <w:sz w:val="24"/>
          <w:highlight w:val="none"/>
          <w:lang w:eastAsia="zh-CN"/>
        </w:rPr>
        <w:t>。</w:t>
      </w:r>
      <w:r>
        <w:rPr>
          <w:rFonts w:hint="eastAsia" w:ascii="宋体" w:hAnsi="宋体" w:cs="宋体"/>
          <w:color w:val="auto"/>
          <w:sz w:val="24"/>
          <w:highlight w:val="none"/>
        </w:rPr>
        <w:t>一旦中标，这种考察即被认为其结果已在中标文件中得到充分反映。</w:t>
      </w:r>
      <w:r>
        <w:rPr>
          <w:rFonts w:hint="eastAsia" w:ascii="宋体" w:hAnsi="宋体" w:cs="宋体"/>
          <w:color w:val="auto"/>
          <w:sz w:val="24"/>
          <w:highlight w:val="none"/>
          <w:u w:val="single"/>
        </w:rPr>
        <w:t>招标人不受理因投标人缺乏对现场条件的了解或掌握而提出的任何索赔。</w:t>
      </w:r>
      <w:r>
        <w:rPr>
          <w:rFonts w:hint="eastAsia" w:ascii="宋体" w:hAnsi="宋体" w:cs="宋体"/>
          <w:color w:val="auto"/>
          <w:sz w:val="24"/>
          <w:highlight w:val="none"/>
        </w:rPr>
        <w:t>考察现场的费用由投标人自己承担。</w:t>
      </w:r>
    </w:p>
    <w:p>
      <w:pPr>
        <w:adjustRightInd w:val="0"/>
        <w:spacing w:line="480" w:lineRule="auto"/>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条款号：8.1             修改类型：修改</w:t>
      </w:r>
    </w:p>
    <w:p>
      <w:pPr>
        <w:adjustRightInd w:val="0"/>
        <w:spacing w:line="460" w:lineRule="exact"/>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olor w:val="auto"/>
          <w:sz w:val="24"/>
          <w:highlight w:val="none"/>
        </w:rPr>
        <w:t>投标人若对招标文件（包括招标图纸）中有疑问，可以书面形式</w:t>
      </w:r>
      <w:r>
        <w:rPr>
          <w:rFonts w:hint="eastAsia"/>
          <w:color w:val="auto"/>
          <w:sz w:val="24"/>
          <w:szCs w:val="24"/>
          <w:highlight w:val="none"/>
        </w:rPr>
        <w:t>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color w:val="auto"/>
          <w:sz w:val="24"/>
          <w:szCs w:val="24"/>
          <w:highlight w:val="none"/>
        </w:rPr>
        <w:t>提交</w:t>
      </w:r>
      <w:r>
        <w:rPr>
          <w:rFonts w:hint="eastAsia" w:ascii="宋体" w:hAnsi="宋体"/>
          <w:color w:val="auto"/>
          <w:sz w:val="24"/>
          <w:highlight w:val="none"/>
        </w:rPr>
        <w:t>给招标人或招标代理人，提交形式见本须知前附表第</w:t>
      </w:r>
      <w:r>
        <w:rPr>
          <w:rFonts w:ascii="宋体" w:hAnsi="宋体"/>
          <w:color w:val="auto"/>
          <w:sz w:val="24"/>
          <w:highlight w:val="none"/>
        </w:rPr>
        <w:t>16</w:t>
      </w:r>
      <w:r>
        <w:rPr>
          <w:rFonts w:hint="eastAsia" w:ascii="宋体" w:hAnsi="宋体"/>
          <w:color w:val="auto"/>
          <w:sz w:val="24"/>
          <w:highlight w:val="none"/>
        </w:rPr>
        <w:t>项。</w:t>
      </w:r>
    </w:p>
    <w:p>
      <w:pPr>
        <w:pBdr>
          <w:bottom w:val="single" w:color="auto" w:sz="6" w:space="1"/>
        </w:pBdr>
        <w:adjustRightInd w:val="0"/>
        <w:spacing w:line="460" w:lineRule="exact"/>
        <w:ind w:firstLine="527" w:firstLineChars="250"/>
        <w:textAlignment w:val="baseline"/>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olor w:val="auto"/>
          <w:sz w:val="24"/>
          <w:highlight w:val="none"/>
        </w:rPr>
        <w:t>投标人若对招标文件（包括</w:t>
      </w:r>
      <w:r>
        <w:rPr>
          <w:rFonts w:hint="eastAsia" w:ascii="宋体" w:hAnsi="宋体"/>
          <w:color w:val="auto"/>
          <w:sz w:val="24"/>
          <w:highlight w:val="none"/>
          <w:u w:val="single"/>
        </w:rPr>
        <w:t>招标图纸、清单、招标控制价、合同条款等</w:t>
      </w:r>
      <w:r>
        <w:rPr>
          <w:rFonts w:hint="eastAsia" w:ascii="宋体" w:hAnsi="宋体"/>
          <w:color w:val="auto"/>
          <w:sz w:val="24"/>
          <w:highlight w:val="none"/>
        </w:rPr>
        <w:t>）中有疑问，可以书面形式通过</w:t>
      </w:r>
      <w:r>
        <w:rPr>
          <w:rFonts w:hint="eastAsia" w:ascii="宋体" w:hAnsi="宋体"/>
          <w:color w:val="auto"/>
          <w:sz w:val="24"/>
          <w:highlight w:val="none"/>
          <w:u w:val="single"/>
        </w:rPr>
        <w:t>广州公共资源交易中心</w:t>
      </w:r>
      <w:r>
        <w:rPr>
          <w:rFonts w:hint="eastAsia" w:ascii="宋体" w:hAnsi="宋体"/>
          <w:color w:val="auto"/>
          <w:sz w:val="24"/>
          <w:highlight w:val="none"/>
        </w:rPr>
        <w:t>交易平台提交给招标人或招标代理人，提交形式见本须知前附表第16项。</w:t>
      </w:r>
    </w:p>
    <w:p>
      <w:pPr>
        <w:adjustRightInd w:val="0"/>
        <w:spacing w:line="480" w:lineRule="auto"/>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条款号：8.2             修改类型：修改</w:t>
      </w:r>
    </w:p>
    <w:p>
      <w:pPr>
        <w:adjustRightInd w:val="0"/>
        <w:spacing w:line="460" w:lineRule="exact"/>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color w:val="auto"/>
          <w:sz w:val="24"/>
          <w:highlight w:val="none"/>
        </w:rPr>
        <w:t>招标答疑会会议纪要将在提交投标文件截止时间15日前在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 xml:space="preserve"> “项目答疑纪要”专区公开发布。答疑纪要一经在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w:t>
      </w:r>
    </w:p>
    <w:p>
      <w:pPr>
        <w:pBdr>
          <w:bottom w:val="single" w:color="auto" w:sz="6" w:space="1"/>
        </w:pBdr>
        <w:adjustRightInd w:val="0"/>
        <w:spacing w:line="460" w:lineRule="exact"/>
        <w:ind w:firstLine="527" w:firstLineChars="250"/>
        <w:textAlignment w:val="baseline"/>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 w:val="24"/>
          <w:highlight w:val="none"/>
        </w:rPr>
        <w:t>招标答疑会会议纪要将在提交投标文件截止时间15日前在</w:t>
      </w:r>
      <w:r>
        <w:rPr>
          <w:rFonts w:hint="eastAsia" w:ascii="宋体" w:hAnsi="宋体" w:cs="宋体"/>
          <w:color w:val="auto"/>
          <w:sz w:val="24"/>
          <w:highlight w:val="none"/>
          <w:u w:val="single"/>
        </w:rPr>
        <w:t>广州公共资源交易中心交易平台（网址：http://www.gzggzy.cn）“首页/交易业务/建设工程/项目查询（日程安排、答疑纪要）</w:t>
      </w:r>
      <w:r>
        <w:rPr>
          <w:rFonts w:hint="eastAsia" w:ascii="宋体" w:hAnsi="宋体" w:cs="宋体"/>
          <w:color w:val="auto"/>
          <w:sz w:val="24"/>
          <w:highlight w:val="none"/>
        </w:rPr>
        <w:t>”公开发布。答疑纪要一经在</w:t>
      </w:r>
      <w:r>
        <w:rPr>
          <w:rFonts w:hint="eastAsia" w:ascii="宋体" w:hAnsi="宋体" w:cs="宋体"/>
          <w:color w:val="auto"/>
          <w:sz w:val="24"/>
          <w:highlight w:val="none"/>
          <w:u w:val="single"/>
        </w:rPr>
        <w:t>广州公共资源交易中心交易平台（网址：http://www.gzggzy.cn）</w:t>
      </w:r>
      <w:r>
        <w:rPr>
          <w:rFonts w:hint="eastAsia" w:ascii="宋体" w:hAnsi="宋体" w:cs="宋体"/>
          <w:color w:val="auto"/>
          <w:sz w:val="24"/>
          <w:highlight w:val="none"/>
        </w:rPr>
        <w:t>发布，视作已发放给所有投标人。</w:t>
      </w:r>
    </w:p>
    <w:p>
      <w:pPr>
        <w:adjustRightInd w:val="0"/>
        <w:spacing w:line="480" w:lineRule="auto"/>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条款号：9.2             修改类型：修改</w:t>
      </w:r>
    </w:p>
    <w:p>
      <w:pPr>
        <w:adjustRightInd w:val="0"/>
        <w:spacing w:line="460" w:lineRule="exact"/>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color w:val="auto"/>
          <w:sz w:val="24"/>
          <w:highlight w:val="none"/>
        </w:rPr>
        <w:t>招标文件的澄清或修改将在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“项目答疑纪要”专区公开发布。答疑纪要一经在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发布，视作已发放给所有投标人，以</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上网发布时间作为送达时间。</w:t>
      </w:r>
    </w:p>
    <w:p>
      <w:pPr>
        <w:pBdr>
          <w:bottom w:val="single" w:color="auto" w:sz="6" w:space="1"/>
        </w:pBdr>
        <w:adjustRightInd w:val="0"/>
        <w:spacing w:line="460" w:lineRule="exact"/>
        <w:ind w:firstLine="527" w:firstLineChars="250"/>
        <w:textAlignment w:val="baseline"/>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 w:val="24"/>
          <w:highlight w:val="none"/>
        </w:rPr>
        <w:t>招标文件的澄清或修改将在</w:t>
      </w:r>
      <w:r>
        <w:rPr>
          <w:rFonts w:hint="eastAsia" w:ascii="宋体" w:hAnsi="宋体" w:cs="宋体"/>
          <w:color w:val="auto"/>
          <w:sz w:val="24"/>
          <w:szCs w:val="24"/>
          <w:highlight w:val="none"/>
          <w:u w:val="single"/>
        </w:rPr>
        <w:t>广州公共资源交易中心交易平台（网址：http://www.gzggzy.cn）</w:t>
      </w:r>
      <w:r>
        <w:rPr>
          <w:rFonts w:hint="eastAsia" w:ascii="宋体" w:hAnsi="宋体" w:cs="宋体"/>
          <w:color w:val="auto"/>
          <w:sz w:val="24"/>
          <w:szCs w:val="24"/>
          <w:highlight w:val="non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首页/交易业务/建设工程/项目查询（日程安排、答疑纪要）</w:t>
      </w:r>
      <w:r>
        <w:rPr>
          <w:rFonts w:hint="eastAsia" w:ascii="宋体" w:hAnsi="宋体" w:cs="宋体"/>
          <w:color w:val="auto"/>
          <w:sz w:val="24"/>
          <w:highlight w:val="none"/>
        </w:rPr>
        <w:t>”公开发布。答疑纪要一经在</w:t>
      </w:r>
      <w:r>
        <w:rPr>
          <w:rFonts w:hint="eastAsia" w:ascii="宋体" w:hAnsi="宋体" w:cs="宋体"/>
          <w:color w:val="auto"/>
          <w:sz w:val="24"/>
          <w:szCs w:val="24"/>
          <w:highlight w:val="none"/>
          <w:u w:val="single"/>
        </w:rPr>
        <w:t>广州公共资源交易中心交易平台（网址：http://www.gzggzy.cn）</w:t>
      </w:r>
      <w:r>
        <w:rPr>
          <w:rFonts w:hint="eastAsia" w:ascii="宋体" w:hAnsi="宋体" w:cs="宋体"/>
          <w:color w:val="auto"/>
          <w:sz w:val="24"/>
          <w:highlight w:val="none"/>
        </w:rPr>
        <w:t>发布，视作已发放给所有投标人，以</w:t>
      </w:r>
      <w:r>
        <w:rPr>
          <w:rFonts w:hint="eastAsia" w:ascii="宋体" w:hAnsi="宋体" w:cs="宋体"/>
          <w:color w:val="auto"/>
          <w:sz w:val="24"/>
          <w:szCs w:val="24"/>
          <w:highlight w:val="none"/>
          <w:u w:val="single"/>
        </w:rPr>
        <w:t>广州公共资源交易中心交易平台（网址：http://www.gzggzy.cn）</w:t>
      </w:r>
      <w:r>
        <w:rPr>
          <w:rFonts w:hint="eastAsia" w:ascii="宋体" w:hAnsi="宋体" w:cs="宋体"/>
          <w:color w:val="auto"/>
          <w:sz w:val="24"/>
          <w:highlight w:val="none"/>
        </w:rPr>
        <w:t>上网发布时间作为送达时间。</w:t>
      </w:r>
    </w:p>
    <w:p>
      <w:pPr>
        <w:adjustRightInd w:val="0"/>
        <w:spacing w:line="480" w:lineRule="auto"/>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条款号：11.2             修改类型：修改</w:t>
      </w:r>
    </w:p>
    <w:p>
      <w:pPr>
        <w:spacing w:line="360" w:lineRule="auto"/>
        <w:ind w:firstLine="422" w:firstLineChars="200"/>
        <w:rPr>
          <w:rFonts w:ascii="宋体" w:hAnsi="宋体"/>
          <w:bCs/>
          <w:color w:val="auto"/>
          <w:sz w:val="24"/>
          <w:highlight w:val="none"/>
        </w:rPr>
      </w:pPr>
      <w:r>
        <w:rPr>
          <w:rFonts w:hint="eastAsia" w:ascii="宋体" w:hAnsi="宋体" w:cs="宋体"/>
          <w:b/>
          <w:color w:val="auto"/>
          <w:szCs w:val="21"/>
          <w:highlight w:val="none"/>
        </w:rPr>
        <w:t>原文：</w:t>
      </w:r>
      <w:r>
        <w:rPr>
          <w:rFonts w:ascii="宋体" w:hAnsi="宋体"/>
          <w:bCs/>
          <w:color w:val="auto"/>
          <w:sz w:val="24"/>
          <w:highlight w:val="none"/>
        </w:rPr>
        <w:t>11.2</w:t>
      </w:r>
      <w:r>
        <w:rPr>
          <w:rFonts w:hint="eastAsia" w:ascii="宋体" w:hAnsi="宋体"/>
          <w:bCs/>
          <w:color w:val="auto"/>
          <w:sz w:val="24"/>
          <w:highlight w:val="none"/>
        </w:rPr>
        <w:t>投标文件技术标部分主要包括下列内容</w:t>
      </w:r>
      <w:r>
        <w:rPr>
          <w:rFonts w:ascii="宋体" w:hAnsi="宋体"/>
          <w:bCs/>
          <w:color w:val="auto"/>
          <w:sz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11.2.1 技术投标文件</w:t>
      </w:r>
      <w:r>
        <w:rPr>
          <w:rFonts w:ascii="宋体" w:hAnsi="宋体"/>
          <w:color w:val="auto"/>
          <w:sz w:val="24"/>
          <w:highlight w:val="none"/>
        </w:rPr>
        <w:t>(</w:t>
      </w:r>
      <w:r>
        <w:rPr>
          <w:rFonts w:hint="eastAsia" w:ascii="宋体" w:hAnsi="宋体"/>
          <w:color w:val="auto"/>
          <w:sz w:val="24"/>
          <w:highlight w:val="none"/>
        </w:rPr>
        <w:t>按招标文件的要求填写</w:t>
      </w:r>
      <w:r>
        <w:rPr>
          <w:rFonts w:ascii="宋体" w:hAnsi="宋体"/>
          <w:color w:val="auto"/>
          <w:sz w:val="24"/>
          <w:highlight w:val="none"/>
        </w:rPr>
        <w:t>)</w:t>
      </w:r>
      <w:r>
        <w:rPr>
          <w:rFonts w:hint="eastAsia" w:ascii="宋体"/>
          <w:bCs/>
          <w:color w:val="auto"/>
          <w:sz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11.2.2 资格审查文件：</w:t>
      </w:r>
    </w:p>
    <w:p>
      <w:pPr>
        <w:spacing w:line="360" w:lineRule="auto"/>
        <w:ind w:firstLine="480" w:firstLineChars="200"/>
        <w:rPr>
          <w:rFonts w:ascii="宋体"/>
          <w:bCs/>
          <w:color w:val="auto"/>
          <w:sz w:val="24"/>
          <w:highlight w:val="none"/>
        </w:rPr>
      </w:pPr>
      <w:r>
        <w:rPr>
          <w:rFonts w:hint="eastAsia" w:ascii="宋体"/>
          <w:bCs/>
          <w:color w:val="auto"/>
          <w:sz w:val="24"/>
          <w:highlight w:val="none"/>
        </w:rPr>
        <w:t xml:space="preserve">（1）投标人声明； </w:t>
      </w:r>
    </w:p>
    <w:p>
      <w:pPr>
        <w:spacing w:line="360" w:lineRule="auto"/>
        <w:ind w:firstLine="480" w:firstLineChars="200"/>
        <w:rPr>
          <w:rFonts w:ascii="宋体"/>
          <w:bCs/>
          <w:color w:val="auto"/>
          <w:sz w:val="24"/>
          <w:highlight w:val="none"/>
        </w:rPr>
      </w:pPr>
      <w:r>
        <w:rPr>
          <w:rFonts w:hint="eastAsia" w:ascii="宋体"/>
          <w:bCs/>
          <w:color w:val="auto"/>
          <w:sz w:val="24"/>
          <w:highlight w:val="none"/>
        </w:rPr>
        <w:t>（2）法定代表人证明书、法定代表人签字或盖章的本投标文件授权委托证明书；</w:t>
      </w:r>
    </w:p>
    <w:p>
      <w:pPr>
        <w:spacing w:line="360" w:lineRule="auto"/>
        <w:ind w:firstLine="480" w:firstLineChars="200"/>
        <w:rPr>
          <w:rFonts w:ascii="宋体"/>
          <w:bCs/>
          <w:color w:val="auto"/>
          <w:sz w:val="24"/>
          <w:highlight w:val="none"/>
        </w:rPr>
      </w:pPr>
      <w:r>
        <w:rPr>
          <w:rFonts w:hint="eastAsia" w:ascii="宋体"/>
          <w:bCs/>
          <w:color w:val="auto"/>
          <w:sz w:val="24"/>
          <w:highlight w:val="none"/>
        </w:rPr>
        <w:t>（3）企业营业执照（取自平台内上传件）；</w:t>
      </w:r>
    </w:p>
    <w:p>
      <w:pPr>
        <w:spacing w:line="360" w:lineRule="auto"/>
        <w:ind w:firstLine="480" w:firstLineChars="200"/>
        <w:rPr>
          <w:rFonts w:ascii="宋体"/>
          <w:bCs/>
          <w:color w:val="auto"/>
          <w:sz w:val="24"/>
          <w:highlight w:val="none"/>
        </w:rPr>
      </w:pPr>
      <w:r>
        <w:rPr>
          <w:rFonts w:hint="eastAsia" w:ascii="宋体"/>
          <w:bCs/>
          <w:color w:val="auto"/>
          <w:sz w:val="24"/>
          <w:highlight w:val="none"/>
        </w:rPr>
        <w:t>（4）企业资质证书（取自平台内上传件）；</w:t>
      </w:r>
    </w:p>
    <w:p>
      <w:pPr>
        <w:spacing w:line="360" w:lineRule="auto"/>
        <w:ind w:firstLine="480" w:firstLineChars="200"/>
        <w:rPr>
          <w:rFonts w:ascii="宋体"/>
          <w:bCs/>
          <w:color w:val="auto"/>
          <w:sz w:val="24"/>
          <w:highlight w:val="none"/>
        </w:rPr>
      </w:pPr>
      <w:r>
        <w:rPr>
          <w:rFonts w:hint="eastAsia" w:ascii="宋体"/>
          <w:bCs/>
          <w:color w:val="auto"/>
          <w:sz w:val="24"/>
          <w:highlight w:val="none"/>
        </w:rPr>
        <w:t>（5）建筑施工企业安全生产许可证（取自平台内上传件）；</w:t>
      </w:r>
    </w:p>
    <w:p>
      <w:pPr>
        <w:spacing w:line="360" w:lineRule="auto"/>
        <w:ind w:firstLine="480" w:firstLineChars="200"/>
        <w:rPr>
          <w:rFonts w:ascii="宋体" w:hAnsi="宋体"/>
          <w:bCs/>
          <w:color w:val="auto"/>
          <w:sz w:val="24"/>
          <w:szCs w:val="24"/>
          <w:highlight w:val="none"/>
        </w:rPr>
      </w:pPr>
      <w:r>
        <w:rPr>
          <w:rFonts w:hint="eastAsia" w:ascii="宋体"/>
          <w:bCs/>
          <w:color w:val="auto"/>
          <w:sz w:val="24"/>
          <w:highlight w:val="none"/>
        </w:rPr>
        <w:t>（6）</w:t>
      </w:r>
      <w:r>
        <w:rPr>
          <w:rFonts w:hint="eastAsia" w:ascii="宋体" w:hAnsi="宋体"/>
          <w:bCs/>
          <w:color w:val="auto"/>
          <w:sz w:val="24"/>
          <w:szCs w:val="24"/>
          <w:highlight w:val="none"/>
        </w:rPr>
        <w:t>项目负责人（按网上投标登记时选择拟投标的项目负责人）</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（7）专职安全员（按网上投标登记时选择拟投标的专职安全员）</w:t>
      </w:r>
    </w:p>
    <w:p>
      <w:pPr>
        <w:spacing w:line="360" w:lineRule="auto"/>
        <w:ind w:firstLine="480" w:firstLineChars="200"/>
        <w:rPr>
          <w:rFonts w:ascii="宋体"/>
          <w:bCs/>
          <w:color w:val="auto"/>
          <w:sz w:val="24"/>
          <w:highlight w:val="none"/>
        </w:rPr>
      </w:pPr>
      <w:r>
        <w:rPr>
          <w:rFonts w:hint="eastAsia" w:ascii="宋体"/>
          <w:bCs/>
          <w:color w:val="auto"/>
          <w:sz w:val="24"/>
          <w:highlight w:val="none"/>
        </w:rPr>
        <w:t>（8）拟委托技术负责人的相关证书、资料（具体要求由招标人明确）</w:t>
      </w:r>
    </w:p>
    <w:p>
      <w:pPr>
        <w:spacing w:line="360" w:lineRule="auto"/>
        <w:ind w:firstLine="480" w:firstLineChars="200"/>
        <w:rPr>
          <w:rFonts w:ascii="宋体"/>
          <w:bCs/>
          <w:color w:val="auto"/>
          <w:sz w:val="24"/>
          <w:highlight w:val="none"/>
        </w:rPr>
      </w:pPr>
      <w:r>
        <w:rPr>
          <w:rFonts w:hint="eastAsia" w:ascii="宋体"/>
          <w:bCs/>
          <w:color w:val="auto"/>
          <w:sz w:val="24"/>
          <w:highlight w:val="none"/>
        </w:rPr>
        <w:t xml:space="preserve">（9）拟委派项目负责人的建造师注册证书（取自平台内上传件）； </w:t>
      </w:r>
    </w:p>
    <w:p>
      <w:pPr>
        <w:spacing w:line="360" w:lineRule="auto"/>
        <w:ind w:firstLine="480" w:firstLineChars="200"/>
        <w:rPr>
          <w:rFonts w:ascii="宋体"/>
          <w:bCs/>
          <w:color w:val="auto"/>
          <w:sz w:val="24"/>
          <w:highlight w:val="none"/>
        </w:rPr>
      </w:pPr>
      <w:r>
        <w:rPr>
          <w:rFonts w:hint="eastAsia" w:ascii="宋体"/>
          <w:bCs/>
          <w:color w:val="auto"/>
          <w:sz w:val="24"/>
          <w:highlight w:val="none"/>
        </w:rPr>
        <w:t>（10）项目负责人安全</w:t>
      </w:r>
      <w:r>
        <w:rPr>
          <w:rFonts w:hint="eastAsia" w:ascii="宋体"/>
          <w:bCs/>
          <w:color w:val="auto"/>
          <w:sz w:val="24"/>
          <w:highlight w:val="none"/>
          <w:lang w:val="en-US" w:eastAsia="zh-CN"/>
        </w:rPr>
        <w:t>生产</w:t>
      </w:r>
      <w:r>
        <w:rPr>
          <w:rFonts w:hint="eastAsia" w:ascii="宋体"/>
          <w:bCs/>
          <w:color w:val="auto"/>
          <w:sz w:val="24"/>
          <w:highlight w:val="none"/>
        </w:rPr>
        <w:t>考核合格证明或在有效期内的安全考核合格证书（B类）或建筑施工企业项目负责人安全生产考核合格证书（取自平台内上传件）</w:t>
      </w:r>
      <w:r>
        <w:rPr>
          <w:rFonts w:hint="eastAsia" w:ascii="宋体"/>
          <w:bCs/>
          <w:color w:val="auto"/>
          <w:sz w:val="24"/>
          <w:szCs w:val="24"/>
          <w:highlight w:val="none"/>
        </w:rPr>
        <w:t>；</w:t>
      </w:r>
    </w:p>
    <w:p>
      <w:pPr>
        <w:spacing w:line="360" w:lineRule="auto"/>
        <w:ind w:firstLine="480" w:firstLineChars="200"/>
        <w:rPr>
          <w:rFonts w:ascii="宋体"/>
          <w:bCs/>
          <w:color w:val="auto"/>
          <w:sz w:val="24"/>
          <w:szCs w:val="24"/>
          <w:highlight w:val="none"/>
        </w:rPr>
      </w:pPr>
      <w:r>
        <w:rPr>
          <w:rFonts w:hint="eastAsia" w:ascii="宋体"/>
          <w:bCs/>
          <w:color w:val="auto"/>
          <w:sz w:val="24"/>
          <w:highlight w:val="none"/>
        </w:rPr>
        <w:t>（11）专职安全员须具有在有效期内的安全考核合格证书（C类）或建筑施工企业专职安全生产管理人员安全生产考核合格证书</w:t>
      </w:r>
      <w:r>
        <w:rPr>
          <w:rFonts w:hint="eastAsia" w:ascii="宋体"/>
          <w:bCs/>
          <w:color w:val="auto"/>
          <w:sz w:val="24"/>
          <w:szCs w:val="24"/>
          <w:highlight w:val="none"/>
        </w:rPr>
        <w:t>（取自平台内上传件）；</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（12）</w:t>
      </w:r>
      <w:r>
        <w:rPr>
          <w:rFonts w:hint="eastAsia" w:ascii="宋体" w:hAnsi="宋体"/>
          <w:bCs/>
          <w:color w:val="auto"/>
          <w:sz w:val="24"/>
          <w:szCs w:val="24"/>
          <w:highlight w:val="none"/>
        </w:rPr>
        <w:t>用于资格审查的业绩（设置业绩要求时选择此项，投标人</w:t>
      </w:r>
      <w:r>
        <w:rPr>
          <w:rFonts w:hint="eastAsia" w:ascii="宋体" w:hAnsi="宋体"/>
          <w:color w:val="auto"/>
          <w:sz w:val="24"/>
          <w:highlight w:val="none"/>
        </w:rPr>
        <w:t>须提供类似工程业绩的项目名称及项目编号，具体格式由招标人自定</w:t>
      </w:r>
      <w:r>
        <w:rPr>
          <w:rFonts w:hint="eastAsia" w:ascii="宋体" w:hAnsi="宋体"/>
          <w:bCs/>
          <w:color w:val="auto"/>
          <w:sz w:val="24"/>
          <w:szCs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（14）列明主办单位的联合体工作协议（采用联合体投标时需递交，投标人拟任本工程项目负责人应为联合体主办方信用档案中的在册人员，</w:t>
      </w:r>
      <w:r>
        <w:rPr>
          <w:rFonts w:hint="eastAsia" w:ascii="宋体" w:hAnsi="宋体"/>
          <w:color w:val="auto"/>
          <w:sz w:val="24"/>
          <w:szCs w:val="24"/>
          <w:highlight w:val="none"/>
        </w:rPr>
        <w:t>联合体工作协议应明确约定各方拟承担的工作和责任</w:t>
      </w:r>
      <w:r>
        <w:rPr>
          <w:rFonts w:hint="eastAsia" w:ascii="宋体" w:hAnsi="宋体"/>
          <w:bCs/>
          <w:color w:val="auto"/>
          <w:sz w:val="24"/>
          <w:szCs w:val="24"/>
          <w:highlight w:val="none"/>
        </w:rPr>
        <w:t xml:space="preserve">）； </w:t>
      </w:r>
    </w:p>
    <w:p>
      <w:pPr>
        <w:spacing w:line="360" w:lineRule="auto"/>
        <w:ind w:firstLine="480" w:firstLineChars="200"/>
        <w:rPr>
          <w:rFonts w:ascii="宋体"/>
          <w:bCs/>
          <w:color w:val="auto"/>
          <w:sz w:val="24"/>
          <w:highlight w:val="none"/>
        </w:rPr>
      </w:pPr>
      <w:r>
        <w:rPr>
          <w:rFonts w:hint="eastAsia" w:ascii="宋体" w:hAnsi="宋体"/>
          <w:bCs/>
          <w:color w:val="auto"/>
          <w:sz w:val="24"/>
          <w:szCs w:val="24"/>
          <w:highlight w:val="none"/>
        </w:rPr>
        <w:t>（15）</w:t>
      </w:r>
      <w:r>
        <w:rPr>
          <w:rFonts w:hint="eastAsia" w:ascii="宋体" w:hAnsi="宋体"/>
          <w:color w:val="auto"/>
          <w:sz w:val="24"/>
          <w:szCs w:val="24"/>
          <w:highlight w:val="none"/>
        </w:rPr>
        <w:t>投标人具有在广州地区可使用适合本工程的机械设备的证明文件（</w:t>
      </w:r>
      <w:r>
        <w:rPr>
          <w:rFonts w:hint="eastAsia" w:ascii="宋体" w:hAnsi="宋体"/>
          <w:color w:val="auto"/>
          <w:sz w:val="24"/>
          <w:highlight w:val="none"/>
        </w:rPr>
        <w:t>提供沥青摊铺机自有发票或权属证明及设备现场全貌彩照（彩照须能反映其规格型号）</w:t>
      </w:r>
      <w:r>
        <w:rPr>
          <w:rFonts w:hint="eastAsia" w:ascii="宋体" w:hAnsi="宋体"/>
          <w:color w:val="auto"/>
          <w:sz w:val="24"/>
          <w:szCs w:val="24"/>
          <w:highlight w:val="none"/>
        </w:rPr>
        <w:t>）。（含有市政道路面层沥青摊铺且沥青摊铺占预计发包价50%或以上的大、中修市政公用工程需提供该项内容的证明文件）。</w:t>
      </w:r>
    </w:p>
    <w:p>
      <w:pPr>
        <w:spacing w:line="360" w:lineRule="auto"/>
        <w:ind w:firstLine="480" w:firstLineChars="200"/>
        <w:rPr>
          <w:rFonts w:ascii="宋体"/>
          <w:color w:val="auto"/>
          <w:sz w:val="24"/>
          <w:highlight w:val="none"/>
        </w:rPr>
      </w:pPr>
      <w:r>
        <w:rPr>
          <w:rFonts w:ascii="宋体" w:hAnsi="宋体"/>
          <w:color w:val="auto"/>
          <w:sz w:val="24"/>
          <w:highlight w:val="none"/>
        </w:rPr>
        <w:t>11.2.3</w:t>
      </w:r>
      <w:r>
        <w:rPr>
          <w:rFonts w:hint="eastAsia" w:ascii="宋体" w:hAnsi="宋体"/>
          <w:color w:val="auto"/>
          <w:sz w:val="24"/>
          <w:highlight w:val="none"/>
        </w:rPr>
        <w:t>项目管理机构配备。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）投标人应列出该项目工程的施工组织机构构成和画出机构框架图及其负责人；</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）其他辅助说明资料。</w:t>
      </w:r>
    </w:p>
    <w:p>
      <w:pPr>
        <w:spacing w:line="360" w:lineRule="auto"/>
        <w:ind w:firstLine="480" w:firstLineChars="200"/>
        <w:rPr>
          <w:rFonts w:ascii="宋体"/>
          <w:color w:val="auto"/>
          <w:sz w:val="24"/>
          <w:highlight w:val="none"/>
        </w:rPr>
      </w:pPr>
      <w:r>
        <w:rPr>
          <w:rFonts w:ascii="宋体" w:hAnsi="宋体"/>
          <w:color w:val="auto"/>
          <w:sz w:val="24"/>
          <w:highlight w:val="none"/>
        </w:rPr>
        <w:t>11.2.4</w:t>
      </w:r>
      <w:r>
        <w:rPr>
          <w:rFonts w:hint="eastAsia" w:ascii="宋体" w:hAnsi="宋体"/>
          <w:color w:val="auto"/>
          <w:sz w:val="24"/>
          <w:highlight w:val="none"/>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宋体"/>
          <w:color w:val="auto"/>
          <w:sz w:val="24"/>
          <w:highlight w:val="none"/>
        </w:rPr>
      </w:pPr>
      <w:r>
        <w:rPr>
          <w:rFonts w:ascii="宋体" w:hAnsi="宋体"/>
          <w:color w:val="auto"/>
          <w:sz w:val="24"/>
          <w:highlight w:val="none"/>
        </w:rPr>
        <w:t>11.2.5</w:t>
      </w:r>
      <w:r>
        <w:rPr>
          <w:rFonts w:hint="eastAsia" w:ascii="宋体" w:hAnsi="宋体"/>
          <w:color w:val="auto"/>
          <w:sz w:val="24"/>
          <w:highlight w:val="none"/>
        </w:rPr>
        <w:t>施工组织设计或施工方案。</w:t>
      </w:r>
    </w:p>
    <w:p>
      <w:pPr>
        <w:tabs>
          <w:tab w:val="left" w:pos="1125"/>
        </w:tabs>
        <w:spacing w:line="360" w:lineRule="auto"/>
        <w:ind w:firstLine="480" w:firstLineChars="200"/>
        <w:rPr>
          <w:rFonts w:ascii="宋体"/>
          <w:color w:val="auto"/>
          <w:sz w:val="24"/>
          <w:highlight w:val="none"/>
        </w:rPr>
      </w:pPr>
      <w:r>
        <w:rPr>
          <w:rFonts w:ascii="宋体" w:hAnsi="宋体"/>
          <w:color w:val="auto"/>
          <w:sz w:val="24"/>
          <w:highlight w:val="none"/>
        </w:rPr>
        <w:t>11.2.</w:t>
      </w:r>
      <w:r>
        <w:rPr>
          <w:rFonts w:hint="eastAsia" w:ascii="宋体" w:hAnsi="宋体"/>
          <w:color w:val="auto"/>
          <w:sz w:val="24"/>
          <w:highlight w:val="none"/>
        </w:rPr>
        <w:t>6按照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填写的《参与编制技术标投标文件人员名单》。</w:t>
      </w:r>
    </w:p>
    <w:p>
      <w:pPr>
        <w:pStyle w:val="50"/>
        <w:spacing w:after="0" w:line="360" w:lineRule="auto"/>
        <w:ind w:firstLine="402" w:firstLineChars="200"/>
        <w:rPr>
          <w:rFonts w:hint="eastAsia" w:ascii="宋体" w:hAnsi="宋体" w:cs="宋体"/>
          <w:b/>
          <w:color w:val="auto"/>
          <w:sz w:val="24"/>
          <w:highlight w:val="none"/>
        </w:rPr>
      </w:pPr>
      <w:r>
        <w:rPr>
          <w:rFonts w:hint="eastAsia" w:ascii="宋体" w:hAnsi="宋体" w:cs="宋体"/>
          <w:b/>
          <w:color w:val="auto"/>
          <w:szCs w:val="21"/>
          <w:highlight w:val="none"/>
        </w:rPr>
        <w:t>现文：</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11.2投标文件技术标部分主要包括下列内容:</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11.2.1 技术投标文件</w:t>
      </w:r>
      <w:r>
        <w:rPr>
          <w:rFonts w:hint="eastAsia" w:ascii="宋体" w:hAnsi="宋体" w:cs="宋体"/>
          <w:color w:val="auto"/>
          <w:sz w:val="24"/>
          <w:highlight w:val="none"/>
        </w:rPr>
        <w:t>(</w:t>
      </w:r>
      <w:r>
        <w:rPr>
          <w:rFonts w:hint="eastAsia" w:ascii="宋体" w:hAnsi="宋体" w:cs="宋体"/>
          <w:color w:val="auto"/>
          <w:sz w:val="24"/>
          <w:highlight w:val="none"/>
          <w:u w:val="single"/>
        </w:rPr>
        <w:t>含封面及目录</w:t>
      </w:r>
      <w:r>
        <w:rPr>
          <w:rFonts w:hint="eastAsia" w:ascii="宋体" w:hAnsi="宋体" w:cs="宋体"/>
          <w:color w:val="auto"/>
          <w:sz w:val="24"/>
          <w:highlight w:val="none"/>
        </w:rPr>
        <w:t>)</w:t>
      </w:r>
      <w:r>
        <w:rPr>
          <w:rFonts w:hint="eastAsia" w:ascii="宋体" w:hAnsi="宋体" w:cs="宋体"/>
          <w:bCs/>
          <w:color w:val="auto"/>
          <w:sz w:val="24"/>
          <w:highlight w:val="none"/>
        </w:rPr>
        <w:t>；</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11.2.2 资格审查文件：</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 xml:space="preserve">（1）投标人声明（按招标公告的要求填写）； </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（2）法定代表人证明书、法定代表人签字或盖章的本投标文件授权委托证明书；</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（3）企业营业执照（提交原件扫描件）；</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（4）企业资质证书（提交原件扫描件）；</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（5）建筑施工企业安全生产许可证（提交原件扫描件）；</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（6）项目负责人（按网上投标登记时选择拟投标的项目负责人）；</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（7）专职安全员（按网上投标登记时选择拟投标的专职安全员）；</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（8）拟委</w:t>
      </w:r>
      <w:r>
        <w:rPr>
          <w:rFonts w:hint="eastAsia" w:ascii="宋体" w:hAnsi="宋体" w:cs="宋体"/>
          <w:bCs/>
          <w:color w:val="auto"/>
          <w:sz w:val="24"/>
          <w:szCs w:val="24"/>
          <w:highlight w:val="none"/>
          <w:u w:val="single"/>
          <w:lang w:val="en-US" w:eastAsia="zh-CN"/>
        </w:rPr>
        <w:t>派</w:t>
      </w:r>
      <w:r>
        <w:rPr>
          <w:rFonts w:hint="eastAsia" w:ascii="宋体" w:hAnsi="宋体" w:cs="宋体"/>
          <w:bCs/>
          <w:color w:val="auto"/>
          <w:sz w:val="24"/>
          <w:szCs w:val="24"/>
          <w:highlight w:val="none"/>
          <w:u w:val="single"/>
        </w:rPr>
        <w:t>技术负责人的相关证书（提供职称证书扫描件）；</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（9）拟委派项目负责人的建造师注册证书（取自平台内上传件）；</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（10）项目负责人安全生产考核合格证明或在有效期内的安全考核合格证书（B类）或建筑施工企业项目负责人安全生产考核合格证书（取自平台内上传件）；</w:t>
      </w:r>
    </w:p>
    <w:p>
      <w:pPr>
        <w:spacing w:line="360" w:lineRule="auto"/>
        <w:ind w:firstLine="480" w:firstLineChars="200"/>
        <w:rPr>
          <w:rFonts w:hint="eastAsia" w:ascii="宋体" w:hAnsi="宋体" w:cs="宋体"/>
          <w:strike/>
          <w:color w:val="auto"/>
          <w:sz w:val="24"/>
          <w:szCs w:val="24"/>
          <w:highlight w:val="none"/>
          <w:u w:val="single"/>
        </w:rPr>
      </w:pPr>
      <w:r>
        <w:rPr>
          <w:rFonts w:hint="eastAsia" w:ascii="宋体" w:hAnsi="宋体" w:cs="宋体"/>
          <w:bCs/>
          <w:color w:val="auto"/>
          <w:sz w:val="24"/>
          <w:szCs w:val="24"/>
          <w:highlight w:val="none"/>
          <w:u w:val="single"/>
        </w:rPr>
        <w:t>（11）</w:t>
      </w:r>
      <w:r>
        <w:rPr>
          <w:rFonts w:hint="eastAsia" w:ascii="宋体" w:hAnsi="宋体" w:cs="宋体"/>
          <w:color w:val="auto"/>
          <w:sz w:val="24"/>
          <w:szCs w:val="24"/>
          <w:highlight w:val="none"/>
          <w:u w:val="single"/>
        </w:rPr>
        <w:t>专职安全员须具有</w:t>
      </w:r>
      <w:r>
        <w:rPr>
          <w:rFonts w:hint="eastAsia" w:ascii="宋体" w:hAnsi="宋体" w:cs="宋体"/>
          <w:color w:val="auto"/>
          <w:sz w:val="24"/>
          <w:szCs w:val="24"/>
          <w:highlight w:val="none"/>
          <w:u w:val="single"/>
          <w:lang w:val="en-US" w:eastAsia="zh-CN"/>
        </w:rPr>
        <w:t>在有效期内的</w:t>
      </w:r>
      <w:r>
        <w:rPr>
          <w:rFonts w:hint="eastAsia" w:ascii="宋体" w:hAnsi="宋体" w:cs="宋体"/>
          <w:color w:val="auto"/>
          <w:sz w:val="24"/>
          <w:szCs w:val="24"/>
          <w:highlight w:val="none"/>
          <w:u w:val="single"/>
        </w:rPr>
        <w:t>安全生产考核合格证</w:t>
      </w:r>
      <w:r>
        <w:rPr>
          <w:rFonts w:hint="eastAsia" w:ascii="宋体" w:hAnsi="宋体" w:cs="宋体"/>
          <w:color w:val="auto"/>
          <w:sz w:val="24"/>
          <w:szCs w:val="24"/>
          <w:highlight w:val="none"/>
          <w:u w:val="single"/>
          <w:lang w:val="en-US" w:eastAsia="zh-CN"/>
        </w:rPr>
        <w:t>书</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C</w:t>
      </w:r>
      <w:r>
        <w:rPr>
          <w:rFonts w:hint="eastAsia" w:ascii="宋体" w:hAnsi="宋体" w:cs="宋体"/>
          <w:color w:val="auto"/>
          <w:sz w:val="24"/>
          <w:szCs w:val="24"/>
          <w:highlight w:val="none"/>
          <w:u w:val="single"/>
        </w:rPr>
        <w:t>类）或建筑施工企业专职安全生产管理人员安全生产考核合格证书（C类或综合类C3）</w:t>
      </w:r>
      <w:r>
        <w:rPr>
          <w:rFonts w:hint="eastAsia" w:ascii="宋体" w:hAnsi="宋体" w:cs="宋体"/>
          <w:bCs/>
          <w:color w:val="auto"/>
          <w:sz w:val="24"/>
          <w:szCs w:val="24"/>
          <w:highlight w:val="none"/>
          <w:u w:val="single"/>
        </w:rPr>
        <w:t>（提交原件扫描件）；</w:t>
      </w:r>
    </w:p>
    <w:p>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bCs/>
          <w:strike/>
          <w:color w:val="auto"/>
          <w:sz w:val="24"/>
          <w:szCs w:val="24"/>
          <w:highlight w:val="none"/>
          <w:u w:val="single"/>
        </w:rPr>
        <w:t>（12）用于资格审查的业绩（投标人须提供广州市住房和城乡建设局企业诚信档案信息库中已有业绩编号和业绩名称的网页信息打印页）；</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szCs w:val="24"/>
          <w:highlight w:val="none"/>
          <w:u w:val="single"/>
        </w:rPr>
        <w:t>（13）</w:t>
      </w:r>
      <w:r>
        <w:rPr>
          <w:rFonts w:hint="eastAsia" w:ascii="宋体" w:hAnsi="宋体" w:cs="宋体"/>
          <w:color w:val="auto"/>
          <w:sz w:val="24"/>
          <w:highlight w:val="none"/>
          <w:u w:val="single"/>
        </w:rPr>
        <w:t>资格审查前，投标人须在</w:t>
      </w:r>
      <w:r>
        <w:rPr>
          <w:rFonts w:hint="eastAsia" w:ascii="宋体" w:hAnsi="宋体" w:cs="宋体"/>
          <w:color w:val="auto"/>
          <w:sz w:val="24"/>
          <w:szCs w:val="24"/>
          <w:highlight w:val="none"/>
          <w:u w:val="single"/>
        </w:rPr>
        <w:t>广州公共资源交易中心办理信息登记等相关投标登记手续</w:t>
      </w:r>
      <w:r>
        <w:rPr>
          <w:rFonts w:hint="eastAsia" w:ascii="宋体" w:hAnsi="宋体" w:cs="宋体"/>
          <w:color w:val="auto"/>
          <w:sz w:val="24"/>
          <w:highlight w:val="none"/>
          <w:u w:val="single"/>
        </w:rPr>
        <w:t>及拟担任本工程项目负责人、专职安全员须是本企业的在册人员且与</w:t>
      </w:r>
      <w:r>
        <w:rPr>
          <w:rFonts w:hint="eastAsia" w:ascii="宋体" w:hAnsi="宋体" w:cs="宋体"/>
          <w:color w:val="auto"/>
          <w:sz w:val="24"/>
          <w:szCs w:val="24"/>
          <w:highlight w:val="none"/>
          <w:u w:val="single"/>
        </w:rPr>
        <w:t>广州公共资源交易中心办理信息登记一致</w:t>
      </w:r>
      <w:r>
        <w:rPr>
          <w:rFonts w:hint="eastAsia" w:ascii="宋体" w:hAnsi="宋体" w:cs="宋体"/>
          <w:color w:val="auto"/>
          <w:sz w:val="24"/>
          <w:highlight w:val="none"/>
          <w:u w:val="single"/>
        </w:rPr>
        <w:t>。</w:t>
      </w:r>
    </w:p>
    <w:p>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w:t>
      </w: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u w:val="single"/>
        </w:rPr>
        <w:t>）未被纳入失信联合惩戒名单且被限制参加财政投资工程或政府投资工程或建设工程投标的（具体名单以递交投标文件截止时间“信用广州”https://credit1.gz.gov.cn/sgs/sgsXkNew公布的“失信黑名单”为准）（按交易系统比对的结果进行评审）；</w:t>
      </w:r>
    </w:p>
    <w:p>
      <w:pPr>
        <w:spacing w:line="360" w:lineRule="auto"/>
        <w:ind w:firstLine="480" w:firstLineChars="200"/>
        <w:rPr>
          <w:rFonts w:hint="eastAsia" w:ascii="宋体" w:hAnsi="宋体" w:cs="宋体"/>
          <w:bCs/>
          <w:color w:val="auto"/>
          <w:sz w:val="24"/>
          <w:highlight w:val="none"/>
          <w:u w:val="single"/>
        </w:rPr>
      </w:pPr>
      <w:r>
        <w:rPr>
          <w:rFonts w:hint="eastAsia" w:ascii="宋体" w:hAnsi="宋体" w:cs="宋体"/>
          <w:bCs/>
          <w:color w:val="auto"/>
          <w:sz w:val="24"/>
          <w:highlight w:val="none"/>
          <w:u w:val="single"/>
        </w:rPr>
        <w:t>（1</w:t>
      </w:r>
      <w:r>
        <w:rPr>
          <w:rFonts w:hint="eastAsia" w:ascii="宋体" w:hAnsi="宋体" w:cs="宋体"/>
          <w:bCs/>
          <w:color w:val="auto"/>
          <w:sz w:val="24"/>
          <w:highlight w:val="none"/>
          <w:u w:val="single"/>
          <w:lang w:val="en-US" w:eastAsia="zh-CN"/>
        </w:rPr>
        <w:t>5</w:t>
      </w:r>
      <w:r>
        <w:rPr>
          <w:rFonts w:hint="eastAsia" w:ascii="宋体" w:hAnsi="宋体" w:cs="宋体"/>
          <w:bCs/>
          <w:color w:val="auto"/>
          <w:sz w:val="24"/>
          <w:highlight w:val="none"/>
          <w:u w:val="single"/>
        </w:rPr>
        <w:t>）其他满足资格审查合格条件的证明材料。</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11.2.3项目管理机构配备。</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（1）投标人应列出该项目工程的施工组织机构构成和画出机构框架图及其负责人；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（2）投标人应详细列出该施工组织机构中主要成员的名单、简历资料、职务职称和在本项目中拟担任的职务等资料，并附上有关证明材料扫描件；</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（3）项目管理机构配备：《施工项目管理团队人员信息表》（格式见第四章），参考《技术标详细审查评分表》要求提交。</w:t>
      </w:r>
    </w:p>
    <w:p>
      <w:pPr>
        <w:pStyle w:val="262"/>
        <w:ind w:firstLine="480"/>
        <w:rPr>
          <w:color w:val="auto"/>
          <w:highlight w:val="none"/>
        </w:rPr>
      </w:pPr>
      <w:r>
        <w:rPr>
          <w:rFonts w:hint="eastAsia" w:ascii="宋体" w:hAnsi="宋体" w:cs="宋体"/>
          <w:color w:val="auto"/>
          <w:sz w:val="24"/>
          <w:highlight w:val="none"/>
        </w:rPr>
        <w:t>11.2.4</w:t>
      </w:r>
      <w:r>
        <w:rPr>
          <w:rFonts w:hint="eastAsia" w:ascii="宋体" w:hAnsi="宋体" w:cs="宋体"/>
          <w:color w:val="auto"/>
          <w:sz w:val="24"/>
          <w:highlight w:val="none"/>
          <w:u w:val="single"/>
        </w:rPr>
        <w:t>得分证明材料：参考《技术标详细审查评分表》要求提交）。</w:t>
      </w:r>
    </w:p>
    <w:p>
      <w:pPr>
        <w:tabs>
          <w:tab w:val="left" w:pos="112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按照</w:t>
      </w:r>
      <w:r>
        <w:rPr>
          <w:rFonts w:hint="eastAsia" w:ascii="宋体" w:hAnsi="宋体" w:cs="宋体"/>
          <w:bCs/>
          <w:color w:val="auto"/>
          <w:sz w:val="24"/>
          <w:highlight w:val="none"/>
        </w:rPr>
        <w:t>招标文件要求</w:t>
      </w:r>
      <w:r>
        <w:rPr>
          <w:rFonts w:hint="eastAsia" w:ascii="宋体" w:hAnsi="宋体" w:cs="宋体"/>
          <w:color w:val="auto"/>
          <w:sz w:val="24"/>
          <w:highlight w:val="none"/>
        </w:rPr>
        <w:t>填写的《参与编制技术标投标文件人员名单》。</w:t>
      </w:r>
    </w:p>
    <w:p>
      <w:pPr>
        <w:pBdr>
          <w:bottom w:val="single" w:color="auto" w:sz="6" w:space="1"/>
        </w:pBdr>
        <w:adjustRightInd w:val="0"/>
        <w:spacing w:line="460" w:lineRule="exact"/>
        <w:ind w:firstLine="600" w:firstLineChars="250"/>
        <w:textAlignment w:val="baseline"/>
        <w:rPr>
          <w:rFonts w:hint="eastAsia" w:ascii="宋体" w:hAnsi="宋体" w:cs="宋体"/>
          <w:b/>
          <w:color w:val="auto"/>
          <w:szCs w:val="21"/>
          <w:highlight w:val="none"/>
        </w:rPr>
      </w:pPr>
      <w:r>
        <w:rPr>
          <w:rFonts w:hint="eastAsia" w:ascii="宋体" w:hAnsi="宋体" w:cs="宋体"/>
          <w:color w:val="auto"/>
          <w:sz w:val="24"/>
          <w:highlight w:val="none"/>
        </w:rPr>
        <w:t>11.2.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《工程质量终身责任承诺书》（格式见第四章）。</w:t>
      </w:r>
    </w:p>
    <w:p>
      <w:pPr>
        <w:adjustRightInd w:val="0"/>
        <w:spacing w:line="480" w:lineRule="auto"/>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条款号：11.3.1             修改类型：修改</w:t>
      </w:r>
    </w:p>
    <w:p>
      <w:pPr>
        <w:adjustRightInd w:val="0"/>
        <w:spacing w:line="460" w:lineRule="exact"/>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ascii="宋体" w:hAnsi="宋体"/>
          <w:color w:val="auto"/>
          <w:sz w:val="24"/>
          <w:highlight w:val="none"/>
        </w:rPr>
        <w:t xml:space="preserve">11.3.1 </w:t>
      </w:r>
      <w:r>
        <w:rPr>
          <w:rFonts w:hint="eastAsia" w:ascii="宋体" w:hAnsi="宋体"/>
          <w:color w:val="auto"/>
          <w:sz w:val="24"/>
          <w:highlight w:val="none"/>
        </w:rPr>
        <w:t>经济投标文件</w:t>
      </w:r>
      <w:r>
        <w:rPr>
          <w:rFonts w:ascii="宋体" w:hAnsi="宋体"/>
          <w:color w:val="auto"/>
          <w:sz w:val="24"/>
          <w:highlight w:val="none"/>
        </w:rPr>
        <w:t>(</w:t>
      </w:r>
      <w:r>
        <w:rPr>
          <w:rFonts w:hint="eastAsia" w:ascii="宋体" w:hAnsi="宋体"/>
          <w:color w:val="auto"/>
          <w:sz w:val="24"/>
          <w:highlight w:val="none"/>
        </w:rPr>
        <w:t>按招标文件的要求填写</w:t>
      </w:r>
      <w:r>
        <w:rPr>
          <w:rFonts w:ascii="宋体" w:hAnsi="宋体"/>
          <w:color w:val="auto"/>
          <w:sz w:val="24"/>
          <w:highlight w:val="none"/>
        </w:rPr>
        <w:t>)</w:t>
      </w:r>
      <w:r>
        <w:rPr>
          <w:rFonts w:hint="eastAsia" w:ascii="宋体" w:hAnsi="宋体"/>
          <w:color w:val="auto"/>
          <w:sz w:val="24"/>
          <w:highlight w:val="none"/>
        </w:rPr>
        <w:t>。</w:t>
      </w:r>
    </w:p>
    <w:p>
      <w:pPr>
        <w:spacing w:line="360" w:lineRule="auto"/>
        <w:ind w:firstLine="422" w:firstLineChars="200"/>
        <w:rPr>
          <w:rFonts w:hint="eastAsia" w:ascii="宋体" w:hAnsi="宋体"/>
          <w:color w:val="auto"/>
          <w:sz w:val="24"/>
          <w:highlight w:val="none"/>
        </w:rPr>
      </w:pPr>
      <w:r>
        <w:rPr>
          <w:rFonts w:hint="eastAsia" w:ascii="宋体" w:hAnsi="宋体" w:cs="宋体"/>
          <w:b/>
          <w:color w:val="auto"/>
          <w:szCs w:val="21"/>
          <w:highlight w:val="none"/>
        </w:rPr>
        <w:t>现文：</w:t>
      </w:r>
      <w:r>
        <w:rPr>
          <w:rFonts w:ascii="宋体" w:hAnsi="宋体"/>
          <w:color w:val="auto"/>
          <w:sz w:val="24"/>
          <w:highlight w:val="none"/>
        </w:rPr>
        <w:t xml:space="preserve">11.3.1 </w:t>
      </w:r>
      <w:r>
        <w:rPr>
          <w:rFonts w:hint="eastAsia" w:ascii="宋体" w:hAnsi="宋体"/>
          <w:color w:val="auto"/>
          <w:sz w:val="24"/>
          <w:highlight w:val="none"/>
        </w:rPr>
        <w:t>经济投标文件</w:t>
      </w:r>
      <w:r>
        <w:rPr>
          <w:rFonts w:ascii="宋体" w:hAnsi="宋体"/>
          <w:color w:val="auto"/>
          <w:sz w:val="24"/>
          <w:highlight w:val="none"/>
        </w:rPr>
        <w:t>(</w:t>
      </w:r>
      <w:r>
        <w:rPr>
          <w:rFonts w:hint="eastAsia" w:ascii="宋体" w:hAnsi="宋体"/>
          <w:color w:val="auto"/>
          <w:sz w:val="24"/>
          <w:highlight w:val="none"/>
        </w:rPr>
        <w:t>按招标文件的要求填写</w:t>
      </w:r>
      <w:r>
        <w:rPr>
          <w:rFonts w:ascii="宋体" w:hAnsi="宋体"/>
          <w:color w:val="auto"/>
          <w:sz w:val="24"/>
          <w:highlight w:val="none"/>
        </w:rPr>
        <w:t>)</w:t>
      </w:r>
      <w:r>
        <w:rPr>
          <w:rFonts w:hint="eastAsia" w:ascii="宋体" w:hAnsi="宋体"/>
          <w:color w:val="auto"/>
          <w:sz w:val="24"/>
          <w:highlight w:val="none"/>
        </w:rPr>
        <w:t>。</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（1）经济标投标文件封面；</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（2）目录 ；</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（3）《广州建设工程施工招标投标书》；</w:t>
      </w:r>
    </w:p>
    <w:p>
      <w:pPr>
        <w:pBdr>
          <w:bottom w:val="single" w:color="auto" w:sz="6" w:space="1"/>
        </w:pBdr>
        <w:adjustRightInd w:val="0"/>
        <w:spacing w:line="460" w:lineRule="exact"/>
        <w:ind w:firstLine="600" w:firstLineChars="250"/>
        <w:textAlignment w:val="baseline"/>
        <w:rPr>
          <w:rFonts w:hint="eastAsia" w:ascii="宋体" w:hAnsi="宋体" w:cs="宋体"/>
          <w:b/>
          <w:color w:val="auto"/>
          <w:szCs w:val="21"/>
          <w:highlight w:val="none"/>
        </w:rPr>
      </w:pPr>
      <w:r>
        <w:rPr>
          <w:rFonts w:hint="eastAsia" w:ascii="宋体" w:hAnsi="宋体" w:cs="宋体"/>
          <w:color w:val="auto"/>
          <w:sz w:val="24"/>
          <w:highlight w:val="none"/>
          <w:u w:val="single"/>
        </w:rPr>
        <w:t>（4）《对投标文件编制的承诺》、《投标文件编制情况》。</w:t>
      </w:r>
    </w:p>
    <w:p>
      <w:pPr>
        <w:adjustRightInd w:val="0"/>
        <w:spacing w:line="480" w:lineRule="auto"/>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条款号：12.2             修改类型：修改</w:t>
      </w:r>
    </w:p>
    <w:p>
      <w:pPr>
        <w:adjustRightInd w:val="0"/>
        <w:spacing w:line="460" w:lineRule="exact"/>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olor w:val="auto"/>
          <w:sz w:val="24"/>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auto"/>
          <w:sz w:val="24"/>
          <w:szCs w:val="24"/>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pPr>
        <w:pBdr>
          <w:bottom w:val="single" w:color="auto" w:sz="6" w:space="1"/>
        </w:pBdr>
        <w:adjustRightInd w:val="0"/>
        <w:spacing w:line="460" w:lineRule="exact"/>
        <w:ind w:firstLine="527" w:firstLineChars="250"/>
        <w:textAlignment w:val="baseline"/>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 w:val="24"/>
          <w:highlight w:val="none"/>
        </w:rPr>
        <w:t xml:space="preserve"> </w:t>
      </w:r>
      <w:r>
        <w:rPr>
          <w:rFonts w:hint="eastAsia" w:ascii="宋体" w:hAnsi="宋体"/>
          <w:color w:val="auto"/>
          <w:sz w:val="24"/>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auto"/>
          <w:sz w:val="24"/>
          <w:szCs w:val="24"/>
          <w:highlight w:val="none"/>
        </w:rPr>
        <w:t>全流程电子化项目的相关指南进行操作。</w:t>
      </w:r>
      <w:r>
        <w:rPr>
          <w:rFonts w:hint="eastAsia" w:ascii="宋体" w:hAnsi="宋体" w:cs="宋体"/>
          <w:color w:val="auto"/>
          <w:sz w:val="24"/>
          <w:highlight w:val="none"/>
        </w:rPr>
        <w:t>详见：</w:t>
      </w:r>
      <w:r>
        <w:rPr>
          <w:rFonts w:hint="eastAsia" w:ascii="宋体" w:hAnsi="宋体" w:cs="宋体"/>
          <w:color w:val="auto"/>
          <w:sz w:val="24"/>
          <w:highlight w:val="none"/>
          <w:u w:val="single"/>
        </w:rPr>
        <w:t>《全流程电子化项目电子招投标操作手册（无纸化）》 。</w:t>
      </w:r>
    </w:p>
    <w:p>
      <w:pPr>
        <w:adjustRightInd w:val="0"/>
        <w:spacing w:line="480" w:lineRule="auto"/>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条款号：12.3             修改类型：修改</w:t>
      </w:r>
    </w:p>
    <w:p>
      <w:pPr>
        <w:adjustRightInd w:val="0"/>
        <w:spacing w:line="460" w:lineRule="exact"/>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bCs/>
          <w:color w:val="auto"/>
          <w:sz w:val="24"/>
          <w:szCs w:val="24"/>
          <w:highlight w:val="none"/>
        </w:rPr>
        <w:t>投标文件应按</w:t>
      </w:r>
      <w:r>
        <w:rPr>
          <w:rFonts w:hint="eastAsia" w:ascii="宋体" w:hAnsi="宋体"/>
          <w:color w:val="auto"/>
          <w:sz w:val="24"/>
          <w:highlight w:val="none"/>
        </w:rPr>
        <w:t>照交易平台关于全流程电子化项目的相关指南进行编制，详见：</w:t>
      </w:r>
      <w:r>
        <w:rPr>
          <w:color w:val="auto"/>
          <w:sz w:val="24"/>
          <w:szCs w:val="24"/>
          <w:highlight w:val="none"/>
          <w:u w:val="single"/>
        </w:rPr>
        <w:t xml:space="preserve">       </w:t>
      </w:r>
      <w:r>
        <w:rPr>
          <w:rFonts w:hint="eastAsia"/>
          <w:color w:val="auto"/>
          <w:sz w:val="24"/>
          <w:szCs w:val="24"/>
          <w:highlight w:val="none"/>
          <w:u w:val="single"/>
        </w:rPr>
        <w:t xml:space="preserve">     </w:t>
      </w:r>
      <w:r>
        <w:rPr>
          <w:rFonts w:hint="eastAsia" w:ascii="宋体" w:hAnsi="宋体"/>
          <w:color w:val="auto"/>
          <w:sz w:val="24"/>
          <w:highlight w:val="none"/>
        </w:rPr>
        <w:t>。</w:t>
      </w:r>
    </w:p>
    <w:p>
      <w:pPr>
        <w:pStyle w:val="50"/>
        <w:spacing w:after="0" w:line="360" w:lineRule="auto"/>
        <w:ind w:firstLine="402" w:firstLineChars="200"/>
        <w:rPr>
          <w:rFonts w:hint="eastAsia" w:ascii="宋体" w:hAnsi="宋体" w:cs="宋体"/>
          <w:color w:val="auto"/>
          <w:sz w:val="24"/>
          <w:highlight w:val="none"/>
        </w:rPr>
      </w:pPr>
      <w:r>
        <w:rPr>
          <w:rFonts w:hint="eastAsia" w:ascii="宋体" w:hAnsi="宋体" w:cs="宋体"/>
          <w:b/>
          <w:color w:val="auto"/>
          <w:szCs w:val="21"/>
          <w:highlight w:val="none"/>
        </w:rPr>
        <w:t>现文：</w:t>
      </w:r>
      <w:r>
        <w:rPr>
          <w:rFonts w:hint="eastAsia" w:ascii="宋体" w:hAnsi="宋体" w:cs="宋体"/>
          <w:color w:val="auto"/>
          <w:sz w:val="24"/>
          <w:highlight w:val="none"/>
        </w:rPr>
        <w:t xml:space="preserve"> 投标文件应按照交易平台关于全流程电子化项目的相关指南进行编制，详见：</w:t>
      </w:r>
      <w:r>
        <w:rPr>
          <w:rFonts w:hint="eastAsia" w:ascii="宋体" w:hAnsi="宋体" w:cs="宋体"/>
          <w:color w:val="auto"/>
          <w:sz w:val="24"/>
          <w:highlight w:val="none"/>
          <w:u w:val="single"/>
        </w:rPr>
        <w:t>《全流程电子化项目电子招投标操作手册（无纸化）》</w:t>
      </w:r>
      <w:r>
        <w:rPr>
          <w:rFonts w:hint="eastAsia" w:ascii="宋体" w:hAnsi="宋体" w:cs="宋体"/>
          <w:color w:val="auto"/>
          <w:sz w:val="24"/>
          <w:highlight w:val="none"/>
        </w:rPr>
        <w:t xml:space="preserve">。               </w:t>
      </w:r>
    </w:p>
    <w:p>
      <w:pPr>
        <w:pBdr>
          <w:bottom w:val="single" w:color="auto" w:sz="6" w:space="1"/>
        </w:pBdr>
        <w:adjustRightInd w:val="0"/>
        <w:spacing w:line="460" w:lineRule="exact"/>
        <w:ind w:firstLine="600" w:firstLineChars="250"/>
        <w:textAlignment w:val="baseline"/>
        <w:rPr>
          <w:rFonts w:hint="eastAsia" w:ascii="宋体" w:hAnsi="宋体" w:cs="宋体"/>
          <w:b/>
          <w:color w:val="auto"/>
          <w:szCs w:val="21"/>
          <w:highlight w:val="none"/>
        </w:rPr>
      </w:pPr>
      <w:r>
        <w:rPr>
          <w:rFonts w:hint="eastAsia" w:ascii="宋体" w:hAnsi="宋体" w:cs="宋体"/>
          <w:bCs/>
          <w:color w:val="auto"/>
          <w:sz w:val="24"/>
          <w:szCs w:val="24"/>
          <w:highlight w:val="none"/>
        </w:rPr>
        <w:t>如不按上述要求编制引起系统无法检索、读取相关信息的，其后果由投标人承担。</w:t>
      </w:r>
    </w:p>
    <w:p>
      <w:pPr>
        <w:adjustRightInd w:val="0"/>
        <w:spacing w:line="480" w:lineRule="auto"/>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条款号：13.4             修改类型：修改</w:t>
      </w:r>
    </w:p>
    <w:p>
      <w:pPr>
        <w:adjustRightInd w:val="0"/>
        <w:spacing w:line="460" w:lineRule="exact"/>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olor w:val="auto"/>
          <w:sz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4" w:space="0"/>
        </w:pBdr>
        <w:spacing w:line="360" w:lineRule="auto"/>
        <w:ind w:firstLine="472" w:firstLineChars="224"/>
        <w:rPr>
          <w:rFonts w:hint="eastAsia" w:ascii="宋体" w:hAnsi="宋体" w:cs="宋体"/>
          <w:color w:val="auto"/>
          <w:sz w:val="24"/>
          <w:highlight w:val="none"/>
          <w:u w:val="single"/>
        </w:rPr>
      </w:pPr>
      <w:r>
        <w:rPr>
          <w:rFonts w:hint="eastAsia" w:ascii="宋体" w:hAnsi="宋体" w:cs="宋体"/>
          <w:b/>
          <w:color w:val="auto"/>
          <w:szCs w:val="21"/>
          <w:highlight w:val="none"/>
        </w:rPr>
        <w:t>现文：</w:t>
      </w:r>
      <w:r>
        <w:rPr>
          <w:rFonts w:hint="eastAsia" w:ascii="宋体" w:hAnsi="宋体" w:cs="宋体"/>
          <w:color w:val="auto"/>
          <w:sz w:val="24"/>
          <w:highlight w:val="none"/>
        </w:rPr>
        <w:t xml:space="preserve"> 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Fonts w:hint="eastAsia" w:ascii="宋体" w:hAnsi="宋体" w:cs="宋体"/>
          <w:color w:val="auto"/>
          <w:sz w:val="24"/>
          <w:highlight w:val="none"/>
          <w:u w:val="single"/>
        </w:rPr>
        <w:t>措施项目费的调整办法按合同约定执行。</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条款号：13.5             修改类型：修改</w:t>
      </w:r>
    </w:p>
    <w:p>
      <w:pPr>
        <w:pStyle w:val="50"/>
        <w:spacing w:after="0" w:line="360" w:lineRule="auto"/>
        <w:ind w:firstLine="402" w:firstLineChars="200"/>
        <w:rPr>
          <w:rFonts w:hint="eastAsia" w:ascii="宋体" w:hAnsi="宋体" w:cs="宋体"/>
          <w:color w:val="auto"/>
          <w:sz w:val="24"/>
          <w:szCs w:val="24"/>
          <w:highlight w:val="none"/>
        </w:rPr>
      </w:pPr>
      <w:r>
        <w:rPr>
          <w:rFonts w:hint="eastAsia" w:ascii="宋体" w:hAnsi="宋体" w:cs="宋体"/>
          <w:b/>
          <w:color w:val="auto"/>
          <w:szCs w:val="21"/>
          <w:highlight w:val="none"/>
        </w:rPr>
        <w:t>原文：</w:t>
      </w:r>
      <w:r>
        <w:rPr>
          <w:rFonts w:hint="eastAsia" w:ascii="宋体" w:hAnsi="宋体" w:cs="宋体"/>
          <w:color w:val="auto"/>
          <w:sz w:val="24"/>
          <w:szCs w:val="24"/>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pStyle w:val="5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13.5.1中标的投标文件工程量清单中已有相同项目的适用综合单价，则沿用；</w:t>
      </w:r>
    </w:p>
    <w:p>
      <w:pPr>
        <w:pStyle w:val="5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5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pPr>
        <w:pStyle w:val="5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13.5.4 如相关定额没有相应子目的，其计价方式由招标人在本招标文件第三章中另行规定。未规定的，中标后双方协商约定。</w:t>
      </w:r>
    </w:p>
    <w:p>
      <w:pPr>
        <w:pBdr>
          <w:bottom w:val="single" w:color="auto" w:sz="6" w:space="1"/>
        </w:pBdr>
        <w:adjustRightInd/>
        <w:spacing w:line="360" w:lineRule="auto"/>
        <w:ind w:firstLine="472" w:firstLineChars="224"/>
        <w:textAlignment w:val="auto"/>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 w:val="24"/>
          <w:szCs w:val="24"/>
          <w:highlight w:val="none"/>
        </w:rPr>
        <w:t>13.5工程项目实施期间和结算时，招标文件工程量清单中漏列而由监理单位和招标人现场签证确认的工程项目、原设计没有而由招标人批准设计变更产生的工程项目，视为新增项目，</w:t>
      </w:r>
      <w:r>
        <w:rPr>
          <w:rFonts w:hint="eastAsia" w:ascii="宋体" w:hAnsi="宋体" w:cs="宋体"/>
          <w:color w:val="auto"/>
          <w:sz w:val="24"/>
          <w:szCs w:val="24"/>
          <w:highlight w:val="none"/>
          <w:u w:val="single"/>
        </w:rPr>
        <w:t>其价格的确定按合同</w:t>
      </w:r>
      <w:r>
        <w:rPr>
          <w:rFonts w:hint="eastAsia" w:ascii="宋体" w:hAnsi="宋体" w:cs="宋体"/>
          <w:color w:val="auto"/>
          <w:sz w:val="24"/>
          <w:szCs w:val="24"/>
          <w:highlight w:val="none"/>
          <w:u w:val="single"/>
          <w:lang w:val="en-US" w:eastAsia="zh-CN"/>
        </w:rPr>
        <w:t>约定</w:t>
      </w:r>
      <w:r>
        <w:rPr>
          <w:rFonts w:hint="eastAsia" w:ascii="宋体" w:hAnsi="宋体" w:cs="宋体"/>
          <w:color w:val="auto"/>
          <w:sz w:val="24"/>
          <w:szCs w:val="24"/>
          <w:highlight w:val="none"/>
          <w:u w:val="single"/>
        </w:rPr>
        <w:t>执行</w:t>
      </w:r>
      <w:r>
        <w:rPr>
          <w:rFonts w:hint="eastAsia" w:ascii="宋体" w:hAnsi="宋体" w:cs="宋体"/>
          <w:color w:val="auto"/>
          <w:sz w:val="24"/>
          <w:szCs w:val="24"/>
          <w:highlight w:val="none"/>
        </w:rPr>
        <w:t>。</w:t>
      </w:r>
    </w:p>
    <w:p>
      <w:pPr>
        <w:adjustRightInd w:val="0"/>
        <w:spacing w:line="480" w:lineRule="auto"/>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条款号：16.1-16.6             修改类型：修改</w:t>
      </w:r>
    </w:p>
    <w:p>
      <w:pPr>
        <w:spacing w:line="360" w:lineRule="auto"/>
        <w:ind w:firstLine="422" w:firstLineChars="200"/>
        <w:rPr>
          <w:rFonts w:ascii="宋体" w:hAnsi="宋体"/>
          <w:color w:val="auto"/>
          <w:sz w:val="24"/>
          <w:highlight w:val="none"/>
        </w:rPr>
      </w:pPr>
      <w:r>
        <w:rPr>
          <w:rFonts w:hint="eastAsia" w:ascii="宋体" w:hAnsi="宋体" w:cs="宋体"/>
          <w:b/>
          <w:color w:val="auto"/>
          <w:szCs w:val="21"/>
          <w:highlight w:val="none"/>
        </w:rPr>
        <w:t>原文：</w:t>
      </w:r>
      <w:r>
        <w:rPr>
          <w:rFonts w:ascii="宋体" w:hAnsi="宋体"/>
          <w:color w:val="auto"/>
          <w:sz w:val="24"/>
          <w:highlight w:val="none"/>
        </w:rPr>
        <w:t>16.1</w:t>
      </w:r>
      <w:r>
        <w:rPr>
          <w:rFonts w:hint="eastAsia" w:ascii="宋体" w:hAnsi="宋体"/>
          <w:color w:val="auto"/>
          <w:sz w:val="24"/>
          <w:highlight w:val="none"/>
        </w:rPr>
        <w:t>投标人应按投标须知前附表第</w:t>
      </w:r>
      <w:r>
        <w:rPr>
          <w:rFonts w:ascii="宋体" w:hAnsi="宋体"/>
          <w:color w:val="auto"/>
          <w:sz w:val="24"/>
          <w:highlight w:val="none"/>
        </w:rPr>
        <w:t>14</w:t>
      </w:r>
      <w:r>
        <w:rPr>
          <w:rFonts w:hint="eastAsia" w:ascii="宋体" w:hAnsi="宋体"/>
          <w:color w:val="auto"/>
          <w:sz w:val="24"/>
          <w:highlight w:val="none"/>
        </w:rPr>
        <w:t>项所述金额和时间递交</w:t>
      </w:r>
      <w:r>
        <w:rPr>
          <w:rFonts w:hint="eastAsia" w:ascii="宋体" w:hAnsi="宋体"/>
          <w:bCs/>
          <w:color w:val="auto"/>
          <w:sz w:val="24"/>
          <w:highlight w:val="none"/>
        </w:rPr>
        <w:t>投标保证金</w:t>
      </w:r>
      <w:r>
        <w:rPr>
          <w:rFonts w:hint="eastAsia" w:ascii="宋体" w:hAnsi="宋体"/>
          <w:color w:val="auto"/>
          <w:sz w:val="24"/>
          <w:highlight w:val="none"/>
        </w:rPr>
        <w:t>。招标人应当允许投标人自主选择现金、银行保函、保证保险、专业工程担保公司担保等方式缴纳投标保证金。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16.1.1 采用现金或者支票形式提交的，投标保证金须从投标人的银行基本账户转出。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16.1.3 采用电子形式的保函、担保或保证保险提交投标保证金的，应在招标文件中明确电子递交途径。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16.3投标保证金应依据法律法规的相关规定退还。</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16.4如有下列情况之一的，招标人可以不予退还投标保证金（是否退还投标保证金由招标人在招标文件中规定）：</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16.4.1因投标人原因造成投标文件未解密的；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16.4.2投标人在投标有效期内撤销投标文件；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16.4.3中标人未能在规定期限内按要求提交履约担保；</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16.4.4中标人未能在规定期限内签署合同协议。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16.5投标人如存在下列情况之一的，将被拒绝在一定时期内参与招标人后续工程投标（拒绝时限需在招标文件中明确）：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16.5.1投标人存在16.4条款所列情形且投标人提交的保函、担保或保证保险无法兑付的；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16.5.3按招标文件要求免于提供投标保证金的投标人存在16.4条款所列情形，且未按招标人要求补交投标保证金的；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16.5.3按招标文件要求免于提供投标保证金的投标人存在16.4条款所列情形的。</w:t>
      </w:r>
    </w:p>
    <w:p>
      <w:pPr>
        <w:spacing w:line="360" w:lineRule="auto"/>
        <w:ind w:firstLine="480" w:firstLineChars="200"/>
        <w:rPr>
          <w:rFonts w:hint="eastAsia" w:ascii="宋体" w:hAnsi="宋体" w:cs="宋体"/>
          <w:b/>
          <w:color w:val="auto"/>
          <w:szCs w:val="21"/>
          <w:highlight w:val="none"/>
        </w:rPr>
      </w:pPr>
      <w:r>
        <w:rPr>
          <w:rFonts w:hint="eastAsia" w:ascii="宋体" w:hAnsi="宋体"/>
          <w:color w:val="auto"/>
          <w:sz w:val="24"/>
          <w:highlight w:val="none"/>
        </w:rPr>
        <w:t>注：16.5.3款由招标人二选一，需在招标文件中明确。</w:t>
      </w:r>
    </w:p>
    <w:p>
      <w:pPr>
        <w:spacing w:line="360" w:lineRule="auto"/>
        <w:ind w:firstLine="422" w:firstLineChars="200"/>
        <w:rPr>
          <w:rFonts w:hint="eastAsia" w:ascii="宋体" w:hAnsi="宋体" w:cs="宋体"/>
          <w:color w:val="auto"/>
          <w:sz w:val="24"/>
          <w:highlight w:val="none"/>
        </w:rPr>
      </w:pPr>
      <w:r>
        <w:rPr>
          <w:rFonts w:hint="eastAsia" w:ascii="宋体" w:hAnsi="宋体" w:cs="宋体"/>
          <w:b/>
          <w:color w:val="auto"/>
          <w:szCs w:val="21"/>
          <w:highlight w:val="none"/>
        </w:rPr>
        <w:t>现文：</w:t>
      </w:r>
      <w:r>
        <w:rPr>
          <w:rFonts w:hint="eastAsia" w:ascii="宋体" w:hAnsi="宋体" w:cs="宋体"/>
          <w:color w:val="auto"/>
          <w:sz w:val="24"/>
          <w:highlight w:val="none"/>
        </w:rPr>
        <w:t>16.1投标人应按投标须知前附表第14项所述金额和时间递交投标保证金。招标人应当允许投标人自主选择现金、银行保函、保证保险、专业工程担保公司担保等方式缴纳投标保证金。</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16.1.1 采用现金、支票或汇票形式提交的，投标保证金须从投标人的银行基本账户转出。</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 xml:space="preserve">16.1.2 </w:t>
      </w:r>
      <w:r>
        <w:rPr>
          <w:rFonts w:hint="eastAsia" w:ascii="宋体" w:hAnsi="宋体" w:cs="宋体"/>
          <w:color w:val="auto"/>
          <w:sz w:val="24"/>
          <w:highlight w:val="none"/>
          <w:u w:val="single"/>
        </w:rPr>
        <w:t>如采用非电子形式的投标保函、专业工程担保公司担保或保证保险提交投标保证金的，在开标前不强制要求投标人提交纸质原件，由中标候选人在中标候选人公示前提交并在网上公示，投标人应在投标文件中提交</w:t>
      </w:r>
      <w:r>
        <w:rPr>
          <w:rFonts w:hint="eastAsia" w:ascii="宋体" w:hAnsi="宋体" w:cs="宋体"/>
          <w:color w:val="auto"/>
          <w:sz w:val="24"/>
          <w:highlight w:val="none"/>
          <w:u w:val="single"/>
          <w:lang w:val="en-US" w:eastAsia="zh-CN"/>
        </w:rPr>
        <w:t>投标</w:t>
      </w:r>
      <w:r>
        <w:rPr>
          <w:rFonts w:hint="eastAsia" w:ascii="宋体" w:hAnsi="宋体" w:cs="宋体"/>
          <w:color w:val="auto"/>
          <w:sz w:val="24"/>
          <w:highlight w:val="none"/>
          <w:u w:val="single"/>
        </w:rPr>
        <w:t>保函、担保或保证保险扫描件并加盖投标人电子印章。如投标人存在16.6条款所列情形的，应将纸质原件提交给招标人。</w:t>
      </w:r>
    </w:p>
    <w:p>
      <w:pPr>
        <w:pStyle w:val="19"/>
        <w:spacing w:line="360" w:lineRule="auto"/>
        <w:ind w:firstLine="480" w:firstLineChars="200"/>
        <w:rPr>
          <w:rFonts w:hint="eastAsia" w:ascii="宋体" w:hAnsi="宋体" w:cs="宋体"/>
          <w:color w:val="auto"/>
          <w:kern w:val="2"/>
          <w:sz w:val="24"/>
          <w:szCs w:val="22"/>
          <w:highlight w:val="none"/>
          <w:u w:val="single"/>
        </w:rPr>
      </w:pPr>
      <w:r>
        <w:rPr>
          <w:rFonts w:hint="eastAsia" w:ascii="宋体" w:hAnsi="宋体" w:cs="宋体"/>
          <w:color w:val="auto"/>
          <w:kern w:val="2"/>
          <w:sz w:val="24"/>
          <w:szCs w:val="22"/>
          <w:highlight w:val="none"/>
          <w:u w:val="single"/>
        </w:rPr>
        <w:t>16.1.3 采用电子形式的保函、担保或保证保险提交投标保证金的，应在招标文件中明确电子递交途径。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16.2招标人可委托</w:t>
      </w:r>
      <w:r>
        <w:rPr>
          <w:rFonts w:hint="eastAsia" w:ascii="宋体" w:hAnsi="宋体" w:cs="宋体"/>
          <w:color w:val="auto"/>
          <w:sz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具体实施保证金的收取和退还工作。通过</w:t>
      </w:r>
      <w:r>
        <w:rPr>
          <w:rFonts w:hint="eastAsia" w:ascii="宋体" w:hAnsi="宋体" w:cs="宋体"/>
          <w:color w:val="auto"/>
          <w:sz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递交投标保证金的相关事宜，请自行咨询</w:t>
      </w:r>
      <w:r>
        <w:rPr>
          <w:rFonts w:hint="eastAsia" w:ascii="宋体" w:hAnsi="宋体" w:cs="宋体"/>
          <w:color w:val="auto"/>
          <w:sz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br w:type="textWrapping"/>
      </w:r>
      <w:r>
        <w:rPr>
          <w:rFonts w:hint="eastAsia" w:ascii="宋体" w:hAnsi="宋体" w:cs="宋体"/>
          <w:color w:val="auto"/>
          <w:sz w:val="24"/>
          <w:highlight w:val="none"/>
        </w:rPr>
        <w:t xml:space="preserve">    16.3</w:t>
      </w:r>
      <w:r>
        <w:rPr>
          <w:rFonts w:hint="eastAsia" w:ascii="宋体" w:hAnsi="宋体" w:cs="宋体"/>
          <w:color w:val="auto"/>
          <w:sz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代收投标保证金的，其缴纳情况以</w:t>
      </w:r>
      <w:r>
        <w:rPr>
          <w:rFonts w:hint="eastAsia" w:ascii="宋体" w:hAnsi="宋体" w:cs="宋体"/>
          <w:color w:val="auto"/>
          <w:sz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数据库记录的信息为准。</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w:t>
      </w:r>
      <w:r>
        <w:rPr>
          <w:rFonts w:hint="eastAsia" w:ascii="宋体" w:hAnsi="宋体" w:cs="宋体"/>
          <w:color w:val="auto"/>
          <w:sz w:val="24"/>
          <w:szCs w:val="24"/>
          <w:highlight w:val="none"/>
        </w:rPr>
        <w:t>开标时投标人没有按要求提供投标保证金的，其投标文件将被否决</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w:t>
      </w:r>
      <w:r>
        <w:rPr>
          <w:rFonts w:hint="eastAsia" w:ascii="宋体" w:hAnsi="宋体" w:cs="宋体"/>
          <w:color w:val="auto"/>
          <w:sz w:val="24"/>
          <w:szCs w:val="24"/>
          <w:highlight w:val="none"/>
          <w:u w:val="single"/>
        </w:rPr>
        <w:t>投标保证金应依据法律法规的相关规定退还。</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16.6如有下列情况之一的，招标人不予退还投标保证金：</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16.6.1因投标人原因造成投标文件未解密的；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16.6.2投标人在投标有效期内</w:t>
      </w:r>
      <w:r>
        <w:rPr>
          <w:rFonts w:hint="eastAsia" w:ascii="宋体" w:hAnsi="宋体" w:cs="宋体"/>
          <w:b/>
          <w:bCs/>
          <w:color w:val="auto"/>
          <w:sz w:val="24"/>
          <w:highlight w:val="none"/>
          <w:u w:val="single"/>
        </w:rPr>
        <w:t>撤销</w:t>
      </w:r>
      <w:r>
        <w:rPr>
          <w:rFonts w:hint="eastAsia" w:ascii="宋体" w:hAnsi="宋体" w:cs="宋体"/>
          <w:color w:val="auto"/>
          <w:sz w:val="24"/>
          <w:highlight w:val="none"/>
        </w:rPr>
        <w:t>投标文件；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16.6.3中标人未能在规定期限内按要求提交履约担保；</w:t>
      </w:r>
    </w:p>
    <w:p>
      <w:pPr>
        <w:pBdr>
          <w:bottom w:val="single" w:color="auto" w:sz="6" w:space="1"/>
        </w:pBdr>
        <w:adjustRightInd w:val="0"/>
        <w:spacing w:line="460" w:lineRule="exact"/>
        <w:ind w:firstLine="600" w:firstLineChars="250"/>
        <w:textAlignment w:val="baseline"/>
        <w:rPr>
          <w:rFonts w:hint="eastAsia" w:ascii="宋体" w:hAnsi="宋体" w:cs="宋体"/>
          <w:b/>
          <w:color w:val="auto"/>
          <w:szCs w:val="21"/>
          <w:highlight w:val="none"/>
        </w:rPr>
      </w:pPr>
      <w:r>
        <w:rPr>
          <w:rFonts w:hint="eastAsia" w:ascii="宋体" w:hAnsi="宋体" w:cs="宋体"/>
          <w:color w:val="auto"/>
          <w:sz w:val="24"/>
          <w:highlight w:val="none"/>
        </w:rPr>
        <w:t>16.6.4中标人未能在规定期限内签署合同协议。</w:t>
      </w:r>
    </w:p>
    <w:p>
      <w:pPr>
        <w:adjustRightInd w:val="0"/>
        <w:spacing w:line="480" w:lineRule="auto"/>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条款号：17             修改类型：修改</w:t>
      </w:r>
    </w:p>
    <w:p>
      <w:pPr>
        <w:adjustRightInd w:val="0"/>
        <w:spacing w:line="460" w:lineRule="exact"/>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olor w:val="auto"/>
          <w:sz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pBdr>
          <w:bottom w:val="single" w:color="auto" w:sz="6" w:space="1"/>
        </w:pBdr>
        <w:adjustRightInd w:val="0"/>
        <w:spacing w:line="460" w:lineRule="exact"/>
        <w:ind w:firstLine="527" w:firstLineChars="250"/>
        <w:textAlignment w:val="baseline"/>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olor w:val="auto"/>
          <w:sz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color w:val="auto"/>
          <w:sz w:val="24"/>
          <w:highlight w:val="none"/>
        </w:rPr>
        <w:t>详见：</w:t>
      </w:r>
      <w:r>
        <w:rPr>
          <w:rFonts w:hint="eastAsia" w:ascii="宋体" w:hAnsi="宋体" w:cs="宋体"/>
          <w:color w:val="auto"/>
          <w:sz w:val="24"/>
          <w:highlight w:val="none"/>
          <w:u w:val="single"/>
        </w:rPr>
        <w:t>《全流程电子化项目电子招投标操作手册（无纸化）》</w:t>
      </w:r>
      <w:r>
        <w:rPr>
          <w:rFonts w:hint="eastAsia" w:ascii="宋体" w:hAnsi="宋体" w:cs="宋体"/>
          <w:color w:val="auto"/>
          <w:sz w:val="24"/>
          <w:highlight w:val="none"/>
        </w:rPr>
        <w:t>。</w:t>
      </w:r>
    </w:p>
    <w:p>
      <w:pPr>
        <w:adjustRightInd w:val="0"/>
        <w:spacing w:line="480" w:lineRule="auto"/>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条款号：18             修改类型：修改</w:t>
      </w:r>
    </w:p>
    <w:p>
      <w:pPr>
        <w:spacing w:line="360" w:lineRule="auto"/>
        <w:ind w:firstLine="422" w:firstLineChars="200"/>
        <w:rPr>
          <w:rFonts w:ascii="宋体"/>
          <w:bCs/>
          <w:color w:val="auto"/>
          <w:sz w:val="24"/>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18.1</w:t>
      </w:r>
      <w:r>
        <w:rPr>
          <w:rFonts w:hint="eastAsia" w:ascii="宋体" w:hAnsi="宋体"/>
          <w:bCs/>
          <w:color w:val="auto"/>
          <w:sz w:val="24"/>
          <w:highlight w:val="none"/>
        </w:rPr>
        <w:t>递交的电子投标文件（不含备用光盘）必须进行加密。按照交易平台关于</w:t>
      </w:r>
      <w:r>
        <w:rPr>
          <w:rFonts w:hint="eastAsia"/>
          <w:color w:val="auto"/>
          <w:sz w:val="24"/>
          <w:szCs w:val="24"/>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pPr>
        <w:adjustRightInd w:val="0"/>
        <w:spacing w:line="460" w:lineRule="exact"/>
        <w:ind w:firstLine="537" w:firstLineChars="224"/>
        <w:textAlignment w:val="baseline"/>
        <w:rPr>
          <w:rFonts w:hint="eastAsia" w:ascii="宋体" w:hAnsi="宋体" w:cs="宋体"/>
          <w:b/>
          <w:color w:val="auto"/>
          <w:szCs w:val="21"/>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.2</w:t>
      </w:r>
      <w:r>
        <w:rPr>
          <w:rFonts w:ascii="宋体"/>
          <w:bCs/>
          <w:color w:val="auto"/>
          <w:sz w:val="24"/>
          <w:highlight w:val="none"/>
        </w:rPr>
        <w:t xml:space="preserve"> </w:t>
      </w:r>
      <w:r>
        <w:rPr>
          <w:rFonts w:hint="eastAsia" w:ascii="宋体"/>
          <w:bCs/>
          <w:color w:val="auto"/>
          <w:sz w:val="24"/>
          <w:highlight w:val="none"/>
        </w:rPr>
        <w:t>未按要求加密的投标文件，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bCs/>
          <w:color w:val="auto"/>
          <w:sz w:val="24"/>
          <w:highlight w:val="none"/>
        </w:rPr>
        <w:t>将予以拒收。</w:t>
      </w:r>
    </w:p>
    <w:p>
      <w:pPr>
        <w:spacing w:line="360" w:lineRule="auto"/>
        <w:ind w:firstLine="422" w:firstLineChars="200"/>
        <w:rPr>
          <w:rFonts w:hint="eastAsia" w:ascii="宋体" w:hAnsi="宋体" w:cs="宋体"/>
          <w:bCs/>
          <w:color w:val="auto"/>
          <w:sz w:val="24"/>
          <w:highlight w:val="none"/>
        </w:rPr>
      </w:pPr>
      <w:r>
        <w:rPr>
          <w:rFonts w:hint="eastAsia" w:ascii="宋体" w:hAnsi="宋体" w:cs="宋体"/>
          <w:b/>
          <w:color w:val="auto"/>
          <w:szCs w:val="21"/>
          <w:highlight w:val="none"/>
        </w:rPr>
        <w:t>现文：</w:t>
      </w:r>
      <w:r>
        <w:rPr>
          <w:rFonts w:hint="eastAsia" w:ascii="宋体" w:hAnsi="宋体" w:cs="宋体"/>
          <w:bCs/>
          <w:color w:val="auto"/>
          <w:sz w:val="24"/>
          <w:highlight w:val="none"/>
        </w:rPr>
        <w:t>18.1递交的电子投标文件（不含备用光盘）必须进行加密。按照交易平台关于</w:t>
      </w:r>
      <w:r>
        <w:rPr>
          <w:rFonts w:hint="eastAsia" w:ascii="宋体" w:hAnsi="宋体" w:cs="宋体"/>
          <w:color w:val="auto"/>
          <w:sz w:val="24"/>
          <w:szCs w:val="24"/>
          <w:highlight w:val="none"/>
        </w:rPr>
        <w:t>全流程电子化项目的相关指南进行操作。详见：</w:t>
      </w:r>
      <w:r>
        <w:rPr>
          <w:rFonts w:hint="eastAsia" w:ascii="宋体" w:hAnsi="宋体" w:cs="宋体"/>
          <w:color w:val="auto"/>
          <w:sz w:val="24"/>
          <w:highlight w:val="none"/>
          <w:u w:val="single"/>
        </w:rPr>
        <w:t>广州公共资源交易中心网站发布的最新版操作指引</w:t>
      </w:r>
      <w:r>
        <w:rPr>
          <w:rFonts w:hint="eastAsia" w:ascii="宋体" w:hAnsi="宋体" w:cs="宋体"/>
          <w:color w:val="auto"/>
          <w:sz w:val="24"/>
          <w:szCs w:val="24"/>
          <w:highlight w:val="none"/>
        </w:rPr>
        <w:t>。</w:t>
      </w:r>
    </w:p>
    <w:p>
      <w:pPr>
        <w:pBdr>
          <w:bottom w:val="single" w:color="auto" w:sz="6" w:space="1"/>
        </w:pBdr>
        <w:adjustRightInd w:val="0"/>
        <w:spacing w:line="460" w:lineRule="exact"/>
        <w:ind w:firstLine="600" w:firstLineChars="250"/>
        <w:textAlignment w:val="baseline"/>
        <w:rPr>
          <w:rFonts w:hint="eastAsia" w:ascii="宋体" w:hAnsi="宋体" w:cs="宋体"/>
          <w:b/>
          <w:color w:val="auto"/>
          <w:szCs w:val="21"/>
          <w:highlight w:val="none"/>
        </w:rPr>
      </w:pPr>
      <w:r>
        <w:rPr>
          <w:rFonts w:hint="eastAsia" w:ascii="宋体" w:hAnsi="宋体" w:cs="宋体"/>
          <w:bCs/>
          <w:color w:val="auto"/>
          <w:sz w:val="24"/>
          <w:highlight w:val="none"/>
        </w:rPr>
        <w:t>18.2 未按要求加密的投标文件，</w:t>
      </w:r>
      <w:r>
        <w:rPr>
          <w:rFonts w:hint="eastAsia" w:ascii="宋体" w:hAnsi="宋体" w:cs="宋体"/>
          <w:color w:val="auto"/>
          <w:sz w:val="24"/>
          <w:szCs w:val="24"/>
          <w:highlight w:val="none"/>
          <w:u w:val="single"/>
        </w:rPr>
        <w:t>广州公共资源交易中心交易平台（网址：http://www.gzggzy.cn）</w:t>
      </w:r>
      <w:r>
        <w:rPr>
          <w:rFonts w:hint="eastAsia" w:ascii="宋体" w:hAnsi="宋体" w:cs="宋体"/>
          <w:bCs/>
          <w:color w:val="auto"/>
          <w:sz w:val="24"/>
          <w:highlight w:val="none"/>
        </w:rPr>
        <w:t>将予以拒收。</w:t>
      </w:r>
    </w:p>
    <w:p>
      <w:pPr>
        <w:adjustRightInd w:val="0"/>
        <w:spacing w:line="480" w:lineRule="auto"/>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条款号：19            修改类型：修改</w:t>
      </w:r>
    </w:p>
    <w:p>
      <w:pPr>
        <w:spacing w:line="360" w:lineRule="auto"/>
        <w:ind w:firstLine="422" w:firstLineChars="200"/>
        <w:rPr>
          <w:rFonts w:ascii="宋体"/>
          <w:bCs/>
          <w:color w:val="auto"/>
          <w:sz w:val="24"/>
          <w:highlight w:val="none"/>
        </w:rPr>
      </w:pPr>
      <w:r>
        <w:rPr>
          <w:rFonts w:hint="eastAsia" w:ascii="宋体" w:hAnsi="宋体" w:cs="宋体"/>
          <w:b/>
          <w:color w:val="auto"/>
          <w:szCs w:val="21"/>
          <w:highlight w:val="none"/>
        </w:rPr>
        <w:t>原文：</w:t>
      </w: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1投标人通过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2投标人完成电子</w:t>
      </w:r>
      <w:r>
        <w:rPr>
          <w:rFonts w:hint="eastAsia" w:ascii="宋体" w:hAnsi="宋体"/>
          <w:color w:val="auto"/>
          <w:sz w:val="24"/>
          <w:highlight w:val="none"/>
        </w:rPr>
        <w:t>投标文件</w:t>
      </w:r>
      <w:r>
        <w:rPr>
          <w:rFonts w:hint="eastAsia" w:ascii="宋体" w:hAnsi="宋体"/>
          <w:bCs/>
          <w:color w:val="auto"/>
          <w:sz w:val="24"/>
          <w:highlight w:val="none"/>
        </w:rPr>
        <w:t>上传后，</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即时向投标人发出递交回执通知。递交时间以递交回执通知载明的传输完成时间为准。</w:t>
      </w:r>
    </w:p>
    <w:p>
      <w:pPr>
        <w:spacing w:line="360" w:lineRule="auto"/>
        <w:ind w:firstLine="480" w:firstLineChars="200"/>
        <w:rPr>
          <w:rFonts w:ascii="宋体" w:hAnsi="宋体"/>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3</w:t>
      </w:r>
      <w:r>
        <w:rPr>
          <w:rFonts w:hint="eastAsia"/>
          <w:bCs/>
          <w:color w:val="auto"/>
          <w:sz w:val="24"/>
          <w:szCs w:val="24"/>
          <w:highlight w:val="none"/>
        </w:rPr>
        <w:t>逾期送达的</w:t>
      </w:r>
      <w:r>
        <w:rPr>
          <w:rFonts w:hint="eastAsia" w:ascii="宋体" w:hAnsi="宋体"/>
          <w:bCs/>
          <w:color w:val="auto"/>
          <w:sz w:val="24"/>
          <w:highlight w:val="none"/>
        </w:rPr>
        <w:t>电子投标文件，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spacing w:line="360" w:lineRule="auto"/>
        <w:ind w:firstLine="480" w:firstLineChars="200"/>
        <w:rPr>
          <w:rFonts w:ascii="宋体"/>
          <w:color w:val="auto"/>
          <w:sz w:val="24"/>
          <w:highlight w:val="none"/>
        </w:rPr>
      </w:pPr>
      <w:r>
        <w:rPr>
          <w:rFonts w:ascii="宋体" w:hAnsi="宋体"/>
          <w:color w:val="auto"/>
          <w:sz w:val="24"/>
          <w:highlight w:val="none"/>
        </w:rPr>
        <w:t>19.</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szCs w:val="24"/>
          <w:highlight w:val="none"/>
        </w:rPr>
        <w:t>投标截止前，</w:t>
      </w:r>
      <w:r>
        <w:rPr>
          <w:rFonts w:hint="eastAsia"/>
          <w:color w:val="auto"/>
          <w:sz w:val="24"/>
          <w:szCs w:val="24"/>
          <w:highlight w:val="none"/>
        </w:rPr>
        <w:t>招标人拒绝接收符合条件的投标文件，投标人可向招标投标监督机构投诉。</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19.</w:t>
      </w:r>
      <w:r>
        <w:rPr>
          <w:rFonts w:hint="eastAsia" w:ascii="宋体" w:hAnsi="宋体"/>
          <w:color w:val="auto"/>
          <w:sz w:val="24"/>
          <w:highlight w:val="none"/>
        </w:rPr>
        <w:t>5如技术标和经济标先后分别开启，</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将按招标文件规定的时间分别开启技术标和经济标。</w:t>
      </w:r>
    </w:p>
    <w:p>
      <w:pPr>
        <w:spacing w:line="360" w:lineRule="auto"/>
        <w:ind w:firstLine="422" w:firstLineChars="200"/>
        <w:rPr>
          <w:rFonts w:hint="eastAsia" w:ascii="宋体" w:hAnsi="宋体" w:cs="宋体"/>
          <w:bCs/>
          <w:color w:val="auto"/>
          <w:sz w:val="24"/>
          <w:highlight w:val="none"/>
        </w:rPr>
      </w:pPr>
      <w:r>
        <w:rPr>
          <w:rFonts w:hint="eastAsia" w:ascii="宋体" w:hAnsi="宋体" w:cs="宋体"/>
          <w:b/>
          <w:color w:val="auto"/>
          <w:szCs w:val="21"/>
          <w:highlight w:val="none"/>
        </w:rPr>
        <w:t>现文：</w:t>
      </w:r>
      <w:r>
        <w:rPr>
          <w:rFonts w:hint="eastAsia" w:ascii="宋体" w:hAnsi="宋体" w:cs="宋体"/>
          <w:bCs/>
          <w:color w:val="auto"/>
          <w:sz w:val="24"/>
          <w:highlight w:val="none"/>
        </w:rPr>
        <w:t>19.1投标人通过</w:t>
      </w:r>
      <w:r>
        <w:rPr>
          <w:rFonts w:hint="eastAsia" w:ascii="宋体" w:hAnsi="宋体" w:cs="宋体"/>
          <w:color w:val="auto"/>
          <w:sz w:val="24"/>
          <w:szCs w:val="24"/>
          <w:highlight w:val="none"/>
          <w:u w:val="single"/>
        </w:rPr>
        <w:t>广州公共资源交易中心交易平台（网址：http://www.gzggzy.cn）</w:t>
      </w:r>
      <w:r>
        <w:rPr>
          <w:rFonts w:hint="eastAsia" w:ascii="宋体" w:hAnsi="宋体" w:cs="宋体"/>
          <w:color w:val="auto"/>
          <w:sz w:val="24"/>
          <w:highlight w:val="none"/>
        </w:rPr>
        <w:t>递交电子投标文件。</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19.2投标人完成电子</w:t>
      </w:r>
      <w:r>
        <w:rPr>
          <w:rFonts w:hint="eastAsia" w:ascii="宋体" w:hAnsi="宋体" w:cs="宋体"/>
          <w:color w:val="auto"/>
          <w:sz w:val="24"/>
          <w:highlight w:val="none"/>
        </w:rPr>
        <w:t>投标文件</w:t>
      </w:r>
      <w:r>
        <w:rPr>
          <w:rFonts w:hint="eastAsia" w:ascii="宋体" w:hAnsi="宋体" w:cs="宋体"/>
          <w:bCs/>
          <w:color w:val="auto"/>
          <w:sz w:val="24"/>
          <w:highlight w:val="none"/>
        </w:rPr>
        <w:t>上传后，</w:t>
      </w:r>
      <w:r>
        <w:rPr>
          <w:rFonts w:hint="eastAsia" w:ascii="宋体" w:hAnsi="宋体" w:cs="宋体"/>
          <w:color w:val="auto"/>
          <w:sz w:val="24"/>
          <w:szCs w:val="24"/>
          <w:highlight w:val="none"/>
          <w:u w:val="single"/>
        </w:rPr>
        <w:t>广州公共资源交易中心交易平台（网址：http://www.gzggzy.cn）</w:t>
      </w:r>
      <w:r>
        <w:rPr>
          <w:rFonts w:hint="eastAsia" w:ascii="宋体" w:hAnsi="宋体" w:cs="宋体"/>
          <w:color w:val="auto"/>
          <w:sz w:val="24"/>
          <w:highlight w:val="none"/>
        </w:rPr>
        <w:t>即时向投标人发出递交回执通知。递交时间以递交回执通知载明的传输完成时间为准。</w:t>
      </w:r>
    </w:p>
    <w:p>
      <w:pPr>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19.3</w:t>
      </w:r>
      <w:r>
        <w:rPr>
          <w:rFonts w:hint="eastAsia" w:ascii="宋体" w:hAnsi="宋体" w:cs="宋体"/>
          <w:bCs/>
          <w:color w:val="auto"/>
          <w:sz w:val="24"/>
          <w:szCs w:val="24"/>
          <w:highlight w:val="none"/>
        </w:rPr>
        <w:t>逾期送达的</w:t>
      </w:r>
      <w:r>
        <w:rPr>
          <w:rFonts w:hint="eastAsia" w:ascii="宋体" w:hAnsi="宋体" w:cs="宋体"/>
          <w:bCs/>
          <w:color w:val="auto"/>
          <w:sz w:val="24"/>
          <w:highlight w:val="none"/>
        </w:rPr>
        <w:t>电子投标文件，</w:t>
      </w:r>
      <w:r>
        <w:rPr>
          <w:rFonts w:hint="eastAsia" w:ascii="宋体" w:hAnsi="宋体" w:cs="宋体"/>
          <w:color w:val="auto"/>
          <w:sz w:val="24"/>
          <w:szCs w:val="24"/>
          <w:highlight w:val="none"/>
          <w:u w:val="single"/>
        </w:rPr>
        <w:t>广州公共资源交易中心交易平台（网址：http://www.gzggzy.cn）</w:t>
      </w:r>
      <w:r>
        <w:rPr>
          <w:rFonts w:hint="eastAsia" w:ascii="宋体" w:hAnsi="宋体" w:cs="宋体"/>
          <w:color w:val="auto"/>
          <w:sz w:val="24"/>
          <w:highlight w:val="none"/>
        </w:rPr>
        <w:t>将予以拒收。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19.4 </w:t>
      </w:r>
      <w:r>
        <w:rPr>
          <w:rFonts w:hint="eastAsia" w:ascii="宋体" w:hAnsi="宋体" w:cs="宋体"/>
          <w:color w:val="auto"/>
          <w:sz w:val="24"/>
          <w:szCs w:val="24"/>
          <w:highlight w:val="none"/>
        </w:rPr>
        <w:t>投标截止前，招标人拒绝接收符合条件的投标文件，投标人可向招标投标监督机构投诉。</w:t>
      </w:r>
    </w:p>
    <w:p>
      <w:pPr>
        <w:pBdr>
          <w:bottom w:val="single" w:color="auto" w:sz="6" w:space="1"/>
        </w:pBdr>
        <w:adjustRightInd w:val="0"/>
        <w:spacing w:line="460" w:lineRule="exact"/>
        <w:ind w:firstLine="600" w:firstLineChars="250"/>
        <w:textAlignment w:val="baseline"/>
        <w:rPr>
          <w:rFonts w:hint="eastAsia" w:ascii="宋体" w:hAnsi="宋体" w:cs="宋体"/>
          <w:b/>
          <w:color w:val="auto"/>
          <w:szCs w:val="21"/>
          <w:highlight w:val="none"/>
        </w:rPr>
      </w:pPr>
      <w:r>
        <w:rPr>
          <w:rFonts w:hint="eastAsia" w:ascii="宋体" w:hAnsi="宋体" w:cs="宋体"/>
          <w:color w:val="auto"/>
          <w:sz w:val="24"/>
          <w:highlight w:val="none"/>
        </w:rPr>
        <w:t>19.5</w:t>
      </w:r>
      <w:r>
        <w:rPr>
          <w:rFonts w:hint="eastAsia" w:ascii="宋体" w:hAnsi="宋体" w:cs="宋体"/>
          <w:color w:val="auto"/>
          <w:sz w:val="24"/>
          <w:szCs w:val="24"/>
          <w:highlight w:val="none"/>
        </w:rPr>
        <w:t>成功递交电子投标文件的，</w:t>
      </w:r>
      <w:r>
        <w:rPr>
          <w:rFonts w:hint="eastAsia" w:ascii="宋体" w:hAnsi="宋体" w:cs="宋体"/>
          <w:color w:val="auto"/>
          <w:sz w:val="24"/>
          <w:szCs w:val="24"/>
          <w:highlight w:val="none"/>
          <w:u w:val="single"/>
        </w:rPr>
        <w:t>广州公共资源交易中心交易平台（网址：http://www.gzggzy.cn）</w:t>
      </w:r>
      <w:r>
        <w:rPr>
          <w:rFonts w:hint="eastAsia" w:ascii="宋体" w:hAnsi="宋体" w:cs="宋体"/>
          <w:color w:val="auto"/>
          <w:sz w:val="24"/>
          <w:szCs w:val="24"/>
          <w:highlight w:val="none"/>
        </w:rPr>
        <w:t>将按招标文件规定的时间开启技术标、经济标。</w:t>
      </w:r>
    </w:p>
    <w:p>
      <w:pPr>
        <w:adjustRightInd w:val="0"/>
        <w:spacing w:line="480" w:lineRule="auto"/>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条款号：21            修改类型：修改</w:t>
      </w:r>
    </w:p>
    <w:p>
      <w:pPr>
        <w:adjustRightInd w:val="0"/>
        <w:spacing w:line="460" w:lineRule="exact"/>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ascii="宋体" w:hAnsi="宋体"/>
          <w:color w:val="auto"/>
          <w:sz w:val="24"/>
          <w:highlight w:val="none"/>
        </w:rPr>
        <w:t xml:space="preserve">21.1 </w:t>
      </w:r>
      <w:r>
        <w:rPr>
          <w:rFonts w:hint="eastAsia" w:ascii="宋体" w:hAnsi="宋体"/>
          <w:color w:val="auto"/>
          <w:sz w:val="24"/>
          <w:highlight w:val="none"/>
        </w:rPr>
        <w:t>本须知前附表第</w:t>
      </w:r>
      <w:r>
        <w:rPr>
          <w:rFonts w:ascii="宋体" w:hAnsi="宋体"/>
          <w:color w:val="auto"/>
          <w:sz w:val="24"/>
          <w:highlight w:val="none"/>
        </w:rPr>
        <w:t>1</w:t>
      </w:r>
      <w:r>
        <w:rPr>
          <w:rFonts w:hint="eastAsia" w:ascii="宋体" w:hAnsi="宋体"/>
          <w:color w:val="auto"/>
          <w:sz w:val="24"/>
          <w:highlight w:val="none"/>
        </w:rPr>
        <w:t>7项规定的投标截止时间</w:t>
      </w:r>
      <w:r>
        <w:rPr>
          <w:rFonts w:hint="eastAsia"/>
          <w:bCs/>
          <w:color w:val="auto"/>
          <w:sz w:val="24"/>
          <w:szCs w:val="24"/>
          <w:highlight w:val="none"/>
        </w:rPr>
        <w:t>后送达的</w:t>
      </w:r>
      <w:r>
        <w:rPr>
          <w:rFonts w:hint="eastAsia" w:ascii="宋体" w:hAnsi="宋体"/>
          <w:bCs/>
          <w:color w:val="auto"/>
          <w:sz w:val="24"/>
          <w:highlight w:val="none"/>
        </w:rPr>
        <w:t>电子投标文件，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pBdr>
          <w:bottom w:val="single" w:color="auto" w:sz="6" w:space="1"/>
        </w:pBdr>
        <w:adjustRightInd w:val="0"/>
        <w:spacing w:line="460" w:lineRule="exact"/>
        <w:ind w:firstLine="527" w:firstLineChars="250"/>
        <w:textAlignment w:val="baseline"/>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 w:val="24"/>
          <w:highlight w:val="none"/>
        </w:rPr>
        <w:t>21.1 本须知前附表第17项规定的投标截止时间</w:t>
      </w:r>
      <w:r>
        <w:rPr>
          <w:rFonts w:hint="eastAsia" w:ascii="宋体" w:hAnsi="宋体" w:cs="宋体"/>
          <w:bCs/>
          <w:color w:val="auto"/>
          <w:sz w:val="24"/>
          <w:szCs w:val="24"/>
          <w:highlight w:val="none"/>
        </w:rPr>
        <w:t>后送达的</w:t>
      </w:r>
      <w:r>
        <w:rPr>
          <w:rFonts w:hint="eastAsia" w:ascii="宋体" w:hAnsi="宋体" w:cs="宋体"/>
          <w:bCs/>
          <w:color w:val="auto"/>
          <w:sz w:val="24"/>
          <w:highlight w:val="none"/>
        </w:rPr>
        <w:t>电子投标文件，</w:t>
      </w:r>
      <w:r>
        <w:rPr>
          <w:rFonts w:hint="eastAsia" w:ascii="宋体" w:hAnsi="宋体" w:cs="宋体"/>
          <w:color w:val="auto"/>
          <w:sz w:val="24"/>
          <w:szCs w:val="24"/>
          <w:highlight w:val="none"/>
          <w:u w:val="single"/>
        </w:rPr>
        <w:t>广州公共资源交易中心交易平台（网址：http://www.gzggzy.cn）</w:t>
      </w:r>
      <w:r>
        <w:rPr>
          <w:rFonts w:hint="eastAsia" w:ascii="宋体" w:hAnsi="宋体" w:cs="宋体"/>
          <w:color w:val="auto"/>
          <w:sz w:val="24"/>
          <w:highlight w:val="none"/>
        </w:rPr>
        <w:t>将予以拒收。</w:t>
      </w:r>
    </w:p>
    <w:p>
      <w:pPr>
        <w:adjustRightInd w:val="0"/>
        <w:spacing w:line="480" w:lineRule="auto"/>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条款号：27            修改类型：修改</w:t>
      </w:r>
    </w:p>
    <w:p>
      <w:pPr>
        <w:spacing w:line="360" w:lineRule="auto"/>
        <w:ind w:firstLine="422" w:firstLineChars="200"/>
        <w:rPr>
          <w:rFonts w:ascii="宋体"/>
          <w:color w:val="auto"/>
          <w:sz w:val="24"/>
          <w:highlight w:val="none"/>
        </w:rPr>
      </w:pPr>
      <w:r>
        <w:rPr>
          <w:rFonts w:hint="eastAsia" w:ascii="宋体" w:hAnsi="宋体" w:cs="宋体"/>
          <w:b/>
          <w:color w:val="auto"/>
          <w:szCs w:val="21"/>
          <w:highlight w:val="none"/>
        </w:rPr>
        <w:t>原文：</w:t>
      </w:r>
      <w:r>
        <w:rPr>
          <w:rFonts w:ascii="宋体" w:hAnsi="宋体"/>
          <w:color w:val="auto"/>
          <w:sz w:val="24"/>
          <w:highlight w:val="none"/>
        </w:rPr>
        <w:t>27.1</w:t>
      </w:r>
      <w:r>
        <w:rPr>
          <w:rFonts w:hint="eastAsia" w:ascii="宋体" w:hAnsi="宋体"/>
          <w:color w:val="auto"/>
          <w:sz w:val="24"/>
          <w:highlight w:val="none"/>
        </w:rPr>
        <w:t>招标人将在</w:t>
      </w:r>
      <w:r>
        <w:rPr>
          <w:rFonts w:hint="eastAsia" w:ascii="宋体" w:hAnsi="宋体"/>
          <w:color w:val="auto"/>
          <w:sz w:val="24"/>
          <w:szCs w:val="24"/>
          <w:highlight w:val="none"/>
        </w:rPr>
        <w:t>交易平台</w:t>
      </w:r>
      <w:r>
        <w:rPr>
          <w:rFonts w:hint="eastAsia" w:ascii="宋体" w:hAnsi="宋体"/>
          <w:color w:val="auto"/>
          <w:sz w:val="24"/>
          <w:highlight w:val="none"/>
        </w:rPr>
        <w:t>、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ascii="仿宋_GB2312" w:hAnsi="宋体" w:eastAsia="仿宋_GB2312"/>
          <w:color w:val="auto"/>
          <w:sz w:val="24"/>
          <w:highlight w:val="none"/>
        </w:rPr>
      </w:pPr>
      <w:r>
        <w:rPr>
          <w:rFonts w:ascii="宋体" w:hAnsi="宋体"/>
          <w:color w:val="auto"/>
          <w:sz w:val="24"/>
          <w:highlight w:val="none"/>
        </w:rPr>
        <w:t>27.2</w:t>
      </w:r>
      <w:r>
        <w:rPr>
          <w:rFonts w:hint="eastAsia" w:ascii="宋体" w:hAnsi="宋体"/>
          <w:color w:val="auto"/>
          <w:sz w:val="24"/>
          <w:highlight w:val="none"/>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27.3</w:t>
      </w:r>
      <w:r>
        <w:rPr>
          <w:rFonts w:hint="eastAsia" w:ascii="宋体" w:hAnsi="宋体"/>
          <w:color w:val="auto"/>
          <w:sz w:val="24"/>
          <w:highlight w:val="none"/>
        </w:rPr>
        <w:t>中标人必须在收到中标通知书后</w:t>
      </w:r>
      <w:r>
        <w:rPr>
          <w:rFonts w:ascii="宋体" w:hAnsi="宋体"/>
          <w:color w:val="auto"/>
          <w:sz w:val="24"/>
          <w:highlight w:val="none"/>
        </w:rPr>
        <w:t>24</w:t>
      </w:r>
      <w:r>
        <w:rPr>
          <w:rFonts w:hint="eastAsia" w:ascii="宋体" w:hAnsi="宋体"/>
          <w:color w:val="auto"/>
          <w:sz w:val="24"/>
          <w:highlight w:val="none"/>
        </w:rPr>
        <w:t>小时之内以书面形式回复招标人，确认收到。</w:t>
      </w:r>
    </w:p>
    <w:p>
      <w:pPr>
        <w:adjustRightInd w:val="0"/>
        <w:spacing w:line="460" w:lineRule="exact"/>
        <w:ind w:firstLine="537" w:firstLineChars="224"/>
        <w:textAlignment w:val="baseline"/>
        <w:rPr>
          <w:rFonts w:hint="eastAsia" w:ascii="宋体" w:hAnsi="宋体" w:cs="宋体"/>
          <w:b/>
          <w:color w:val="auto"/>
          <w:szCs w:val="21"/>
          <w:highlight w:val="none"/>
        </w:rPr>
      </w:pPr>
      <w:r>
        <w:rPr>
          <w:rFonts w:hint="eastAsia" w:ascii="宋体" w:hAnsi="宋体"/>
          <w:color w:val="auto"/>
          <w:sz w:val="24"/>
          <w:highlight w:val="none"/>
        </w:rPr>
        <w:t>27.4在产生中标候选人后，招标人将中标候选人的投标文件商务部分文件的所有内容（包括人员、业绩、奖项等资料）在</w:t>
      </w:r>
      <w:r>
        <w:rPr>
          <w:color w:val="auto"/>
          <w:sz w:val="24"/>
          <w:szCs w:val="24"/>
          <w:highlight w:val="none"/>
          <w:u w:val="single"/>
        </w:rPr>
        <w:t xml:space="preserve">        </w:t>
      </w:r>
      <w:r>
        <w:rPr>
          <w:rFonts w:hint="eastAsia" w:ascii="宋体" w:hAnsi="宋体"/>
          <w:color w:val="auto"/>
          <w:sz w:val="24"/>
          <w:szCs w:val="24"/>
          <w:highlight w:val="none"/>
        </w:rPr>
        <w:t>交易平台和广东省招标投标监管网</w:t>
      </w:r>
      <w:r>
        <w:rPr>
          <w:rFonts w:hint="eastAsia" w:ascii="宋体" w:hAnsi="宋体"/>
          <w:color w:val="auto"/>
          <w:sz w:val="24"/>
          <w:highlight w:val="none"/>
        </w:rPr>
        <w:t>公开。</w:t>
      </w:r>
    </w:p>
    <w:p>
      <w:pPr>
        <w:spacing w:line="360" w:lineRule="auto"/>
        <w:ind w:firstLine="422" w:firstLineChars="200"/>
        <w:rPr>
          <w:rFonts w:hint="eastAsia" w:ascii="宋体" w:hAnsi="宋体" w:cs="宋体"/>
          <w:color w:val="auto"/>
          <w:sz w:val="24"/>
          <w:highlight w:val="none"/>
        </w:rPr>
      </w:pPr>
      <w:r>
        <w:rPr>
          <w:rFonts w:hint="eastAsia" w:ascii="宋体" w:hAnsi="宋体" w:cs="宋体"/>
          <w:b/>
          <w:color w:val="auto"/>
          <w:szCs w:val="21"/>
          <w:highlight w:val="none"/>
        </w:rPr>
        <w:t>现文：</w:t>
      </w:r>
      <w:r>
        <w:rPr>
          <w:rFonts w:hint="eastAsia" w:ascii="宋体" w:hAnsi="宋体" w:cs="宋体"/>
          <w:color w:val="auto"/>
          <w:sz w:val="24"/>
          <w:highlight w:val="none"/>
        </w:rPr>
        <w:t>27.1招标人将在</w:t>
      </w:r>
      <w:r>
        <w:rPr>
          <w:rFonts w:hint="eastAsia" w:ascii="宋体" w:hAnsi="宋体" w:cs="宋体"/>
          <w:color w:val="auto"/>
          <w:sz w:val="24"/>
          <w:highlight w:val="none"/>
          <w:u w:val="single"/>
        </w:rPr>
        <w:t xml:space="preserve">  </w:t>
      </w:r>
      <w:r>
        <w:rPr>
          <w:rFonts w:hint="eastAsia" w:ascii="宋体" w:hAnsi="宋体" w:cs="宋体"/>
          <w:color w:val="auto"/>
          <w:sz w:val="24"/>
          <w:szCs w:val="24"/>
          <w:highlight w:val="none"/>
          <w:u w:val="single"/>
        </w:rPr>
        <w:t>广州公共资源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27.2招标人应当自确定中标人后，向招标投标监管机构提交招标投标情况的书面报告；经招投标监管机构备案后，方可发出中标通知书。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27.3中标人必须在收到中标通知书后24小时之内以书面形式回复招标人，确认收到。</w:t>
      </w:r>
    </w:p>
    <w:p>
      <w:pPr>
        <w:pBdr>
          <w:bottom w:val="single" w:color="auto" w:sz="6" w:space="1"/>
        </w:pBdr>
        <w:adjustRightInd w:val="0"/>
        <w:spacing w:line="460" w:lineRule="exact"/>
        <w:ind w:firstLine="600" w:firstLineChars="250"/>
        <w:textAlignment w:val="baseline"/>
        <w:rPr>
          <w:rFonts w:hint="eastAsia" w:ascii="宋体" w:hAnsi="宋体" w:cs="宋体"/>
          <w:b/>
          <w:color w:val="auto"/>
          <w:szCs w:val="21"/>
          <w:highlight w:val="none"/>
        </w:rPr>
      </w:pPr>
      <w:r>
        <w:rPr>
          <w:rFonts w:hint="eastAsia" w:ascii="宋体" w:hAnsi="宋体" w:cs="宋体"/>
          <w:color w:val="auto"/>
          <w:sz w:val="24"/>
          <w:highlight w:val="none"/>
        </w:rPr>
        <w:t>27.4在产生中标候选人后，招标人将中标候选人的投标文件商务部分文件的所有内容（包括人员、业绩、奖项等资料）在</w:t>
      </w:r>
      <w:r>
        <w:rPr>
          <w:rFonts w:hint="eastAsia" w:ascii="宋体" w:hAnsi="宋体" w:cs="宋体"/>
          <w:color w:val="auto"/>
          <w:sz w:val="24"/>
          <w:szCs w:val="24"/>
          <w:highlight w:val="none"/>
          <w:u w:val="single"/>
        </w:rPr>
        <w:t>广州公共资源</w:t>
      </w:r>
      <w:r>
        <w:rPr>
          <w:rFonts w:hint="eastAsia" w:ascii="宋体" w:hAnsi="宋体" w:cs="宋体"/>
          <w:color w:val="auto"/>
          <w:sz w:val="24"/>
          <w:highlight w:val="none"/>
        </w:rPr>
        <w:t>交易平台和广东省招标投标监管网公开。</w:t>
      </w:r>
    </w:p>
    <w:p>
      <w:pPr>
        <w:adjustRightInd w:val="0"/>
        <w:spacing w:line="480" w:lineRule="auto"/>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条款号：29            修改类型：修改</w:t>
      </w:r>
    </w:p>
    <w:p>
      <w:pPr>
        <w:snapToGrid w:val="0"/>
        <w:spacing w:line="360" w:lineRule="auto"/>
        <w:ind w:firstLine="422" w:firstLineChars="200"/>
        <w:rPr>
          <w:rFonts w:ascii="宋体"/>
          <w:color w:val="auto"/>
          <w:sz w:val="24"/>
          <w:highlight w:val="none"/>
        </w:rPr>
      </w:pPr>
      <w:r>
        <w:rPr>
          <w:rFonts w:hint="eastAsia" w:ascii="宋体" w:hAnsi="宋体" w:cs="宋体"/>
          <w:b/>
          <w:color w:val="auto"/>
          <w:szCs w:val="21"/>
          <w:highlight w:val="none"/>
        </w:rPr>
        <w:t>原文：</w:t>
      </w:r>
      <w:r>
        <w:rPr>
          <w:rFonts w:ascii="宋体" w:hAnsi="宋体"/>
          <w:color w:val="auto"/>
          <w:sz w:val="24"/>
          <w:highlight w:val="none"/>
        </w:rPr>
        <w:t xml:space="preserve">29.1 </w:t>
      </w:r>
      <w:r>
        <w:rPr>
          <w:rFonts w:hint="eastAsia" w:ascii="宋体" w:hAnsi="宋体"/>
          <w:color w:val="auto"/>
          <w:sz w:val="24"/>
          <w:highlight w:val="none"/>
        </w:rPr>
        <w:t>在收到中标通知书后的</w:t>
      </w:r>
      <w:r>
        <w:rPr>
          <w:rFonts w:ascii="宋体" w:hAnsi="宋体"/>
          <w:b/>
          <w:color w:val="auto"/>
          <w:sz w:val="24"/>
          <w:highlight w:val="none"/>
        </w:rPr>
        <w:t>15</w:t>
      </w:r>
      <w:r>
        <w:rPr>
          <w:rFonts w:hint="eastAsia" w:ascii="宋体" w:hAnsi="宋体"/>
          <w:b/>
          <w:color w:val="auto"/>
          <w:sz w:val="24"/>
          <w:highlight w:val="none"/>
        </w:rPr>
        <w:t>日</w:t>
      </w:r>
      <w:r>
        <w:rPr>
          <w:rFonts w:hint="eastAsia" w:ascii="宋体" w:hAnsi="宋体"/>
          <w:color w:val="auto"/>
          <w:sz w:val="24"/>
          <w:highlight w:val="none"/>
        </w:rPr>
        <w:t>内，中标人应按本须知前附表第</w:t>
      </w:r>
      <w:r>
        <w:rPr>
          <w:rFonts w:ascii="宋体" w:hAnsi="宋体"/>
          <w:color w:val="auto"/>
          <w:sz w:val="24"/>
          <w:highlight w:val="none"/>
        </w:rPr>
        <w:t>2</w:t>
      </w:r>
      <w:r>
        <w:rPr>
          <w:rFonts w:hint="eastAsia" w:ascii="宋体" w:hAnsi="宋体"/>
          <w:color w:val="auto"/>
          <w:sz w:val="24"/>
          <w:highlight w:val="none"/>
        </w:rPr>
        <w:t>0项的规定向招标人提交履约担保。</w:t>
      </w:r>
    </w:p>
    <w:p>
      <w:pPr>
        <w:adjustRightInd w:val="0"/>
        <w:spacing w:line="460" w:lineRule="exact"/>
        <w:ind w:firstLine="537" w:firstLineChars="224"/>
        <w:textAlignment w:val="baseline"/>
        <w:rPr>
          <w:rFonts w:hint="eastAsia" w:ascii="宋体" w:hAnsi="宋体" w:cs="宋体"/>
          <w:b/>
          <w:color w:val="auto"/>
          <w:szCs w:val="21"/>
          <w:highlight w:val="none"/>
        </w:rPr>
      </w:pPr>
      <w:r>
        <w:rPr>
          <w:rFonts w:ascii="宋体" w:hAnsi="宋体"/>
          <w:color w:val="auto"/>
          <w:sz w:val="24"/>
          <w:highlight w:val="none"/>
        </w:rPr>
        <w:t>29.2</w:t>
      </w:r>
      <w:r>
        <w:rPr>
          <w:rFonts w:hint="eastAsia" w:ascii="宋体" w:hAnsi="宋体"/>
          <w:color w:val="auto"/>
          <w:sz w:val="24"/>
          <w:highlight w:val="none"/>
        </w:rPr>
        <w:t>中标通知书发出之日起</w:t>
      </w:r>
      <w:r>
        <w:rPr>
          <w:rFonts w:ascii="宋体" w:hAnsi="宋体"/>
          <w:color w:val="auto"/>
          <w:sz w:val="24"/>
          <w:highlight w:val="none"/>
        </w:rPr>
        <w:t>15</w:t>
      </w:r>
      <w:r>
        <w:rPr>
          <w:rFonts w:hint="eastAsia" w:ascii="宋体" w:hAnsi="宋体"/>
          <w:color w:val="auto"/>
          <w:sz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napToGrid w:val="0"/>
        <w:spacing w:line="360" w:lineRule="auto"/>
        <w:ind w:firstLine="422" w:firstLineChars="200"/>
        <w:rPr>
          <w:rFonts w:hint="eastAsia" w:ascii="宋体" w:hAnsi="宋体" w:cs="宋体"/>
          <w:color w:val="auto"/>
          <w:sz w:val="24"/>
          <w:highlight w:val="none"/>
          <w:u w:val="single"/>
        </w:rPr>
      </w:pPr>
      <w:r>
        <w:rPr>
          <w:rFonts w:hint="eastAsia" w:ascii="宋体" w:hAnsi="宋体" w:cs="宋体"/>
          <w:b/>
          <w:color w:val="auto"/>
          <w:szCs w:val="21"/>
          <w:highlight w:val="none"/>
        </w:rPr>
        <w:t>现文：</w:t>
      </w:r>
      <w:r>
        <w:rPr>
          <w:rFonts w:hint="eastAsia" w:ascii="宋体" w:hAnsi="宋体" w:cs="宋体"/>
          <w:color w:val="auto"/>
          <w:sz w:val="24"/>
          <w:highlight w:val="none"/>
          <w:u w:val="single"/>
        </w:rPr>
        <w:t>29.1中标（承包）单位在收到中标通知书之日起，中标人应以中标人名义按本须知前附表第20项的规定向招标人提交履约担保。中标人如采用银行履约保函方式提交的，中标人应以中标人名义用银行履约保函方式提交经业主认可的见索即付银行保函作为履约保证金，履约保证金为中标价的10%，银行履约保函由中国境内注册的国有商业银行开具保函，是不可撤销的保函。若在中标通知书发放后，中标人未提交履约保函或未征得招标人同意延期缴交的，招标人有权取消其中标资格并没收其投标保证金，并选取第二中标候选人替补。上述履约保函作为本合同的组成文件之一。</w:t>
      </w:r>
    </w:p>
    <w:p>
      <w:pPr>
        <w:pBdr>
          <w:bottom w:val="single" w:color="auto" w:sz="6" w:space="1"/>
        </w:pBdr>
        <w:adjustRightInd w:val="0"/>
        <w:spacing w:line="460" w:lineRule="exact"/>
        <w:ind w:firstLine="600" w:firstLineChars="250"/>
        <w:textAlignment w:val="baseline"/>
        <w:rPr>
          <w:rFonts w:hint="eastAsia" w:ascii="宋体" w:hAnsi="宋体" w:cs="宋体"/>
          <w:b/>
          <w:color w:val="auto"/>
          <w:szCs w:val="21"/>
          <w:highlight w:val="none"/>
        </w:rPr>
      </w:pPr>
      <w:r>
        <w:rPr>
          <w:rFonts w:hint="eastAsia" w:ascii="宋体" w:hAnsi="宋体" w:cs="宋体"/>
          <w:color w:val="auto"/>
          <w:sz w:val="24"/>
          <w:highlight w:val="none"/>
          <w:u w:val="single"/>
        </w:rPr>
        <w:t>29.2中标（承包）单位在收到中标通知书之日起，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adjustRightInd w:val="0"/>
        <w:spacing w:line="480" w:lineRule="auto"/>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条款号：31.1           修改类型：增加</w:t>
      </w:r>
    </w:p>
    <w:p>
      <w:pPr>
        <w:pBdr>
          <w:bottom w:val="single" w:color="auto" w:sz="6" w:space="1"/>
        </w:pBdr>
        <w:adjustRightInd w:val="0"/>
        <w:spacing w:line="460" w:lineRule="exact"/>
        <w:ind w:firstLine="527" w:firstLineChars="250"/>
        <w:textAlignment w:val="baseline"/>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中标人按《广州市发展改革委转发省发展改革委关于规范公共资源交易服务收费及有关问题的通知》（穗发改〔2017〕811号）文件的规定，向广州公共资源交易中心代缴交易服务费及评标专家费，交易服务费的金额为中标总金额的0.9‰，其费用包含在中标人投标报价中，招标人不另行支付。</w:t>
      </w:r>
    </w:p>
    <w:p>
      <w:pPr>
        <w:adjustRightInd w:val="0"/>
        <w:spacing w:line="480" w:lineRule="auto"/>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条款号：34             修改类型：增加</w:t>
      </w:r>
    </w:p>
    <w:p>
      <w:pPr>
        <w:pBdr>
          <w:bottom w:val="single" w:color="auto" w:sz="6" w:space="1"/>
        </w:pBdr>
        <w:adjustRightInd w:val="0"/>
        <w:spacing w:line="460" w:lineRule="exact"/>
        <w:ind w:firstLine="527" w:firstLineChars="250"/>
        <w:textAlignment w:val="baseline"/>
        <w:rPr>
          <w:rFonts w:hint="eastAsia" w:ascii="宋体" w:hAnsi="宋体" w:eastAsia="宋体" w:cs="宋体"/>
          <w:b w:val="0"/>
          <w:color w:val="auto"/>
          <w:sz w:val="24"/>
          <w:szCs w:val="22"/>
          <w:highlight w:val="none"/>
          <w:u w:val="single"/>
        </w:rPr>
      </w:pPr>
      <w:r>
        <w:rPr>
          <w:rFonts w:hint="eastAsia" w:ascii="宋体" w:hAnsi="宋体" w:cs="宋体"/>
          <w:b/>
          <w:color w:val="auto"/>
          <w:szCs w:val="21"/>
          <w:highlight w:val="none"/>
        </w:rPr>
        <w:t>现文：</w:t>
      </w:r>
      <w:r>
        <w:rPr>
          <w:rFonts w:hint="eastAsia" w:ascii="宋体" w:hAnsi="宋体" w:eastAsia="宋体" w:cs="宋体"/>
          <w:bCs w:val="0"/>
          <w:color w:val="auto"/>
          <w:sz w:val="24"/>
          <w:szCs w:val="22"/>
          <w:highlight w:val="none"/>
          <w:u w:val="single"/>
        </w:rPr>
        <w:t>工人工资：按《广州市住房和城乡建设局、广州市人力资源和社会保障局、广州市交通运输局等关于印发广州市建设领域工人工资支付分账管理实施细则的通知》（穗建规字〔2020〕37号）的规定执行。</w:t>
      </w:r>
    </w:p>
    <w:p>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pPr>
        <w:pStyle w:val="262"/>
        <w:rPr>
          <w:rFonts w:hint="eastAsia"/>
          <w:color w:val="auto"/>
          <w:highlight w:val="none"/>
        </w:rPr>
      </w:pPr>
    </w:p>
    <w:p>
      <w:pPr>
        <w:spacing w:line="360" w:lineRule="auto"/>
        <w:rPr>
          <w:rFonts w:hint="eastAsia" w:ascii="宋体" w:hAnsi="宋体" w:cs="宋体"/>
          <w:color w:val="auto"/>
          <w:highlight w:val="none"/>
        </w:rPr>
      </w:pPr>
      <w:r>
        <w:rPr>
          <w:rFonts w:hint="eastAsia" w:ascii="宋体" w:hAnsi="宋体" w:cs="宋体"/>
          <w:b/>
          <w:color w:val="auto"/>
          <w:szCs w:val="21"/>
          <w:highlight w:val="none"/>
        </w:rPr>
        <w:t>（以下无正文）</w:t>
      </w:r>
    </w:p>
    <w:p>
      <w:pPr>
        <w:pStyle w:val="4"/>
        <w:rPr>
          <w:rFonts w:hint="eastAsia" w:ascii="宋体" w:hAnsi="宋体" w:cs="宋体"/>
          <w:color w:val="auto"/>
          <w:highlight w:val="none"/>
        </w:rPr>
      </w:pPr>
      <w:r>
        <w:rPr>
          <w:rFonts w:hint="eastAsia" w:ascii="宋体" w:hAnsi="宋体" w:cs="宋体"/>
          <w:color w:val="auto"/>
          <w:highlight w:val="none"/>
        </w:rPr>
        <w:br w:type="page"/>
      </w:r>
      <w:bookmarkStart w:id="3" w:name="_Toc12633"/>
      <w:r>
        <w:rPr>
          <w:rFonts w:hint="eastAsia" w:ascii="宋体" w:hAnsi="宋体" w:cs="宋体"/>
          <w:color w:val="auto"/>
          <w:highlight w:val="none"/>
        </w:rPr>
        <w:t>三、投标须知通用条款</w:t>
      </w:r>
      <w:bookmarkEnd w:id="3"/>
    </w:p>
    <w:p>
      <w:pPr>
        <w:pStyle w:val="5"/>
        <w:spacing w:before="156" w:after="156"/>
        <w:jc w:val="center"/>
        <w:rPr>
          <w:rFonts w:hint="eastAsia" w:cs="宋体"/>
          <w:color w:val="auto"/>
          <w:highlight w:val="none"/>
        </w:rPr>
      </w:pPr>
      <w:bookmarkStart w:id="4" w:name="_Toc20483"/>
      <w:r>
        <w:rPr>
          <w:rFonts w:hint="eastAsia" w:cs="宋体"/>
          <w:color w:val="auto"/>
          <w:highlight w:val="none"/>
        </w:rPr>
        <w:t>（一）总则</w:t>
      </w:r>
      <w:bookmarkEnd w:id="4"/>
    </w:p>
    <w:p>
      <w:pPr>
        <w:pStyle w:val="50"/>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1、定义</w:t>
      </w:r>
    </w:p>
    <w:p>
      <w:pPr>
        <w:pStyle w:val="50"/>
        <w:spacing w:after="0" w:line="360" w:lineRule="auto"/>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本招标文件使用的下列词语具有如下规定的意义：</w:t>
      </w:r>
    </w:p>
    <w:p>
      <w:pPr>
        <w:pStyle w:val="50"/>
        <w:spacing w:after="0" w:line="360" w:lineRule="auto"/>
        <w:ind w:firstLine="480" w:firstLineChars="200"/>
        <w:rPr>
          <w:rFonts w:hint="eastAsia" w:ascii="宋体" w:hAnsi="宋体" w:cs="宋体"/>
          <w:b/>
          <w:bCs/>
          <w:color w:val="auto"/>
          <w:sz w:val="24"/>
          <w:highlight w:val="none"/>
          <w:u w:val="single"/>
        </w:rPr>
      </w:pPr>
      <w:r>
        <w:rPr>
          <w:rFonts w:hint="eastAsia" w:ascii="宋体" w:hAnsi="宋体" w:cs="宋体"/>
          <w:color w:val="auto"/>
          <w:sz w:val="24"/>
          <w:highlight w:val="none"/>
        </w:rPr>
        <w:t>（1）“招标人”（即发包人）、“项目建设管理单位”（或称“项目代建单位”）、“招标代理”、“设计单位”、“监理单位”均已在投标须知前附表中列明。</w:t>
      </w:r>
    </w:p>
    <w:p>
      <w:pPr>
        <w:pStyle w:val="50"/>
        <w:spacing w:after="0"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 xml:space="preserve">（2）“投标人”指向招标人提交投标文件的当事人。   </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（3）“承包人”指其投标被招标人接受并与其签订承包合同的当事人。</w:t>
      </w:r>
    </w:p>
    <w:p>
      <w:pPr>
        <w:pStyle w:val="50"/>
        <w:spacing w:after="0"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（4）“招标文件”指由招标代理发出的本文件（包括全部章节、附件）及招标答疑会会议纪要和</w:t>
      </w:r>
      <w:r>
        <w:rPr>
          <w:rFonts w:hint="eastAsia" w:ascii="宋体" w:hAnsi="宋体" w:cs="宋体"/>
          <w:bCs/>
          <w:color w:val="auto"/>
          <w:sz w:val="24"/>
          <w:highlight w:val="none"/>
        </w:rPr>
        <w:t>招标文件的澄清与修改</w:t>
      </w:r>
      <w:r>
        <w:rPr>
          <w:rFonts w:hint="eastAsia" w:ascii="宋体" w:hAnsi="宋体" w:cs="宋体"/>
          <w:color w:val="auto"/>
          <w:sz w:val="24"/>
          <w:highlight w:val="none"/>
        </w:rPr>
        <w:t>文件。</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（5）“投标文件”指投标人根据本项目招标文件向招标人提交的全部文件。</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（6）“书面形式”指打字或印刷的文件和数据电文（包括电报、电传、传真、电子数据交换和电子邮件）。</w:t>
      </w:r>
    </w:p>
    <w:p>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2、招标说明</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2.1本招标工程项目按照《中华人民共和国招标投标法》等有关法律、行政法规、规章和规范性文件，通过招标方式选定承包人。</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2.2工程名称、建设地点、建设规模、承包方式、质量标准、招标范围、工期要求等均在投标须知前附表中列明。</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2.3设计说明：详见招标图纸。</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2.4工程施工特点：详见招标图纸。</w:t>
      </w:r>
    </w:p>
    <w:p>
      <w:pPr>
        <w:tabs>
          <w:tab w:val="left" w:pos="105"/>
        </w:tabs>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3．资金来源</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3.1本招标工程项目资金来源见投标须知前附表第9项</w:t>
      </w:r>
    </w:p>
    <w:p>
      <w:pPr>
        <w:tabs>
          <w:tab w:val="left" w:pos="105"/>
        </w:tabs>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4．合格投标人的条件</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4.1详见本项目招标公告</w:t>
      </w:r>
    </w:p>
    <w:p>
      <w:pPr>
        <w:tabs>
          <w:tab w:val="left" w:pos="105"/>
        </w:tabs>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5．踏勘现场</w:t>
      </w:r>
    </w:p>
    <w:p>
      <w:pPr>
        <w:spacing w:line="360" w:lineRule="auto"/>
        <w:ind w:firstLine="480" w:firstLineChars="200"/>
        <w:rPr>
          <w:rFonts w:hint="eastAsia" w:ascii="宋体" w:hAnsi="宋体" w:cs="宋体"/>
          <w:bCs/>
          <w:color w:val="auto"/>
          <w:sz w:val="24"/>
          <w:highlight w:val="none"/>
          <w:u w:val="single"/>
        </w:rPr>
      </w:pPr>
      <w:r>
        <w:rPr>
          <w:rFonts w:hint="eastAsia" w:ascii="宋体" w:hAnsi="宋体" w:cs="宋体"/>
          <w:bCs/>
          <w:color w:val="auto"/>
          <w:sz w:val="24"/>
          <w:highlight w:val="none"/>
        </w:rPr>
        <w:t>5.1 投标人应按本投标须知前附表第15项所述时间和要求对工程现场及周围环境进行踏勘，</w:t>
      </w:r>
      <w:r>
        <w:rPr>
          <w:rFonts w:hint="eastAsia" w:ascii="宋体" w:hAnsi="宋体" w:cs="宋体"/>
          <w:color w:val="auto"/>
          <w:sz w:val="24"/>
          <w:highlight w:val="none"/>
        </w:rPr>
        <w:t>投标人应充分重视和仔细地进行这种考察，</w:t>
      </w:r>
      <w:r>
        <w:rPr>
          <w:rFonts w:hint="eastAsia" w:ascii="宋体" w:hAnsi="宋体" w:cs="宋体"/>
          <w:bCs/>
          <w:color w:val="auto"/>
          <w:sz w:val="24"/>
          <w:highlight w:val="none"/>
        </w:rPr>
        <w:t>以便投标人获取</w:t>
      </w:r>
      <w:r>
        <w:rPr>
          <w:rFonts w:hint="eastAsia" w:ascii="宋体" w:hAnsi="宋体" w:cs="宋体"/>
          <w:color w:val="auto"/>
          <w:sz w:val="24"/>
          <w:highlight w:val="none"/>
        </w:rPr>
        <w:t>那些须投标人自己负责的</w:t>
      </w:r>
      <w:r>
        <w:rPr>
          <w:rFonts w:hint="eastAsia" w:ascii="宋体" w:hAnsi="宋体" w:cs="宋体"/>
          <w:bCs/>
          <w:color w:val="auto"/>
          <w:sz w:val="24"/>
          <w:highlight w:val="none"/>
        </w:rPr>
        <w:t>有关编制投标文件和签署合同所涉及现场所有的资料。</w:t>
      </w:r>
      <w:r>
        <w:rPr>
          <w:rFonts w:hint="eastAsia" w:ascii="宋体" w:hAnsi="宋体" w:cs="宋体"/>
          <w:color w:val="auto"/>
          <w:sz w:val="24"/>
          <w:highlight w:val="none"/>
        </w:rPr>
        <w:t>一旦中标，这种考察即被认为其结果已在中标文件中得到充分反映。</w:t>
      </w:r>
      <w:r>
        <w:rPr>
          <w:rFonts w:hint="eastAsia" w:ascii="宋体" w:hAnsi="宋体" w:cs="宋体"/>
          <w:color w:val="auto"/>
          <w:sz w:val="24"/>
          <w:highlight w:val="none"/>
          <w:u w:val="single"/>
        </w:rPr>
        <w:t>招标人不受理因投标人缺乏对现场条件的了解或掌握而提出的任何索赔。</w:t>
      </w:r>
      <w:r>
        <w:rPr>
          <w:rFonts w:hint="eastAsia" w:ascii="宋体" w:hAnsi="宋体" w:cs="宋体"/>
          <w:color w:val="auto"/>
          <w:sz w:val="24"/>
          <w:highlight w:val="none"/>
        </w:rPr>
        <w:t>考察现场的费用由投标人自己承担。</w:t>
      </w:r>
    </w:p>
    <w:p>
      <w:pPr>
        <w:tabs>
          <w:tab w:val="left" w:pos="105"/>
        </w:tabs>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5.2 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5.3 经招标人允许，投标人可为踏勘目的进入招标人的项目现场。</w:t>
      </w:r>
      <w:r>
        <w:rPr>
          <w:rFonts w:hint="eastAsia" w:ascii="宋体" w:hAnsi="宋体" w:cs="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cs="宋体"/>
          <w:bCs/>
          <w:color w:val="auto"/>
          <w:sz w:val="24"/>
          <w:highlight w:val="none"/>
        </w:rPr>
        <w:t>投标人不得因此使招标人承担有关的责任和蒙受损失。</w:t>
      </w:r>
    </w:p>
    <w:p>
      <w:pPr>
        <w:tabs>
          <w:tab w:val="left" w:pos="105"/>
        </w:tabs>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6．投标费用</w:t>
      </w:r>
    </w:p>
    <w:p>
      <w:pPr>
        <w:tabs>
          <w:tab w:val="left" w:pos="105"/>
        </w:tabs>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6.1</w:t>
      </w:r>
      <w:r>
        <w:rPr>
          <w:rFonts w:hint="eastAsia" w:ascii="宋体" w:hAnsi="宋体" w:cs="宋体"/>
          <w:color w:val="auto"/>
          <w:sz w:val="24"/>
          <w:highlight w:val="none"/>
        </w:rPr>
        <w:t>不论投标结果如何，投标人应承担</w:t>
      </w:r>
      <w:r>
        <w:rPr>
          <w:rFonts w:hint="eastAsia" w:ascii="宋体" w:hAnsi="宋体" w:cs="宋体"/>
          <w:bCs/>
          <w:color w:val="auto"/>
          <w:sz w:val="24"/>
          <w:highlight w:val="none"/>
        </w:rPr>
        <w:t>自身</w:t>
      </w:r>
      <w:r>
        <w:rPr>
          <w:rFonts w:hint="eastAsia" w:ascii="宋体" w:hAnsi="宋体" w:cs="宋体"/>
          <w:color w:val="auto"/>
          <w:sz w:val="24"/>
          <w:highlight w:val="none"/>
        </w:rPr>
        <w:t>因投标文件编制、递交及其他</w:t>
      </w:r>
      <w:r>
        <w:rPr>
          <w:rFonts w:hint="eastAsia" w:ascii="宋体" w:hAnsi="宋体" w:cs="宋体"/>
          <w:bCs/>
          <w:color w:val="auto"/>
          <w:sz w:val="24"/>
          <w:highlight w:val="none"/>
        </w:rPr>
        <w:t>参加本招标活动</w:t>
      </w:r>
      <w:r>
        <w:rPr>
          <w:rFonts w:hint="eastAsia" w:ascii="宋体" w:hAnsi="宋体" w:cs="宋体"/>
          <w:color w:val="auto"/>
          <w:sz w:val="24"/>
          <w:highlight w:val="none"/>
        </w:rPr>
        <w:t>所涉及的一切费用，招标人对上述费用不负任何责任。</w:t>
      </w:r>
    </w:p>
    <w:p>
      <w:pPr>
        <w:pStyle w:val="5"/>
        <w:spacing w:before="156" w:after="156"/>
        <w:jc w:val="center"/>
        <w:rPr>
          <w:rFonts w:hint="eastAsia" w:cs="宋体"/>
          <w:color w:val="auto"/>
          <w:highlight w:val="none"/>
        </w:rPr>
      </w:pPr>
      <w:bookmarkStart w:id="5" w:name="_Toc28367"/>
      <w:r>
        <w:rPr>
          <w:rFonts w:hint="eastAsia" w:cs="宋体"/>
          <w:color w:val="auto"/>
          <w:highlight w:val="none"/>
        </w:rPr>
        <w:t>（二）招标文件</w:t>
      </w:r>
      <w:bookmarkEnd w:id="5"/>
    </w:p>
    <w:p>
      <w:pPr>
        <w:tabs>
          <w:tab w:val="left" w:pos="105"/>
        </w:tabs>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7.招标文件的组成</w:t>
      </w:r>
    </w:p>
    <w:p>
      <w:pPr>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7.1</w:t>
      </w:r>
      <w:r>
        <w:rPr>
          <w:rFonts w:hint="eastAsia" w:ascii="宋体" w:hAnsi="宋体" w:cs="宋体"/>
          <w:color w:val="auto"/>
          <w:sz w:val="24"/>
          <w:highlight w:val="none"/>
        </w:rPr>
        <w:t>本招标文件包括下列文件，以及所有按本须知第8条发出的招标答疑会会议纪要和按本须知第9条发出的澄清或修改：</w:t>
      </w:r>
    </w:p>
    <w:p>
      <w:pPr>
        <w:pStyle w:val="50"/>
        <w:spacing w:after="0" w:line="360" w:lineRule="auto"/>
        <w:ind w:left="-2" w:firstLine="480" w:firstLineChars="200"/>
        <w:rPr>
          <w:rFonts w:hint="eastAsia" w:ascii="宋体" w:hAnsi="宋体" w:cs="宋体"/>
          <w:color w:val="auto"/>
          <w:sz w:val="24"/>
          <w:highlight w:val="none"/>
        </w:rPr>
      </w:pPr>
      <w:r>
        <w:rPr>
          <w:rFonts w:hint="eastAsia" w:ascii="宋体" w:hAnsi="宋体" w:cs="宋体"/>
          <w:bCs/>
          <w:color w:val="auto"/>
          <w:sz w:val="24"/>
          <w:highlight w:val="none"/>
        </w:rPr>
        <w:t xml:space="preserve">第一章  </w:t>
      </w:r>
      <w:r>
        <w:rPr>
          <w:rFonts w:hint="eastAsia" w:ascii="宋体" w:hAnsi="宋体" w:cs="宋体"/>
          <w:color w:val="auto"/>
          <w:sz w:val="24"/>
          <w:highlight w:val="none"/>
        </w:rPr>
        <w:t>投标须知</w:t>
      </w:r>
    </w:p>
    <w:p>
      <w:pPr>
        <w:pStyle w:val="50"/>
        <w:spacing w:after="0" w:line="360" w:lineRule="auto"/>
        <w:ind w:left="-2" w:firstLine="480" w:firstLineChars="200"/>
        <w:rPr>
          <w:rFonts w:hint="eastAsia" w:ascii="宋体" w:hAnsi="宋体" w:cs="宋体"/>
          <w:color w:val="auto"/>
          <w:sz w:val="24"/>
          <w:highlight w:val="none"/>
        </w:rPr>
      </w:pPr>
      <w:r>
        <w:rPr>
          <w:rFonts w:hint="eastAsia" w:ascii="宋体" w:hAnsi="宋体" w:cs="宋体"/>
          <w:bCs/>
          <w:color w:val="auto"/>
          <w:sz w:val="24"/>
          <w:highlight w:val="none"/>
        </w:rPr>
        <w:t xml:space="preserve">第二章  </w:t>
      </w:r>
      <w:r>
        <w:rPr>
          <w:rFonts w:hint="eastAsia" w:ascii="宋体" w:hAnsi="宋体" w:cs="宋体"/>
          <w:color w:val="auto"/>
          <w:sz w:val="24"/>
          <w:highlight w:val="none"/>
        </w:rPr>
        <w:t>开标、评标及定标办法</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第三章  合同条款</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 xml:space="preserve">第四章  </w:t>
      </w:r>
      <w:r>
        <w:rPr>
          <w:rFonts w:hint="eastAsia" w:ascii="宋体" w:hAnsi="宋体" w:cs="宋体"/>
          <w:color w:val="auto"/>
          <w:sz w:val="24"/>
          <w:highlight w:val="none"/>
        </w:rPr>
        <w:t>投标文件格式</w:t>
      </w:r>
    </w:p>
    <w:p>
      <w:pPr>
        <w:pStyle w:val="50"/>
        <w:spacing w:after="0" w:line="360" w:lineRule="auto"/>
        <w:ind w:left="-2" w:firstLine="480" w:firstLineChars="200"/>
        <w:rPr>
          <w:rFonts w:hint="eastAsia" w:ascii="宋体" w:hAnsi="宋体" w:cs="宋体"/>
          <w:color w:val="auto"/>
          <w:sz w:val="24"/>
          <w:highlight w:val="none"/>
        </w:rPr>
      </w:pPr>
      <w:r>
        <w:rPr>
          <w:rFonts w:hint="eastAsia" w:ascii="宋体" w:hAnsi="宋体" w:cs="宋体"/>
          <w:bCs/>
          <w:color w:val="auto"/>
          <w:sz w:val="24"/>
          <w:highlight w:val="none"/>
        </w:rPr>
        <w:t xml:space="preserve">第五章  </w:t>
      </w:r>
      <w:r>
        <w:rPr>
          <w:rFonts w:hint="eastAsia" w:ascii="宋体" w:hAnsi="宋体" w:cs="宋体"/>
          <w:color w:val="auto"/>
          <w:sz w:val="24"/>
          <w:highlight w:val="none"/>
        </w:rPr>
        <w:t>技术条件（工程建设标准）（按国家省市现行相关规定执行）</w:t>
      </w:r>
    </w:p>
    <w:p>
      <w:pPr>
        <w:pStyle w:val="50"/>
        <w:spacing w:after="0" w:line="360" w:lineRule="auto"/>
        <w:ind w:left="-2" w:firstLine="480" w:firstLineChars="200"/>
        <w:rPr>
          <w:rFonts w:hint="eastAsia" w:ascii="宋体" w:hAnsi="宋体" w:cs="宋体"/>
          <w:color w:val="auto"/>
          <w:sz w:val="24"/>
          <w:highlight w:val="none"/>
        </w:rPr>
      </w:pPr>
      <w:r>
        <w:rPr>
          <w:rFonts w:hint="eastAsia" w:ascii="宋体" w:hAnsi="宋体" w:cs="宋体"/>
          <w:bCs/>
          <w:color w:val="auto"/>
          <w:sz w:val="24"/>
          <w:highlight w:val="none"/>
        </w:rPr>
        <w:t xml:space="preserve">第六章  </w:t>
      </w:r>
      <w:r>
        <w:rPr>
          <w:rFonts w:hint="eastAsia" w:ascii="宋体" w:hAnsi="宋体" w:cs="宋体"/>
          <w:color w:val="auto"/>
          <w:sz w:val="24"/>
          <w:highlight w:val="none"/>
        </w:rPr>
        <w:t>图纸及勘察资料（另册）</w:t>
      </w:r>
    </w:p>
    <w:p>
      <w:pPr>
        <w:pStyle w:val="50"/>
        <w:spacing w:after="0" w:line="360" w:lineRule="auto"/>
        <w:ind w:left="-2" w:firstLine="480" w:firstLineChars="200"/>
        <w:rPr>
          <w:rFonts w:hint="eastAsia" w:ascii="宋体" w:hAnsi="宋体" w:cs="宋体"/>
          <w:color w:val="auto"/>
          <w:sz w:val="24"/>
          <w:highlight w:val="none"/>
        </w:rPr>
      </w:pPr>
      <w:r>
        <w:rPr>
          <w:rFonts w:hint="eastAsia" w:ascii="宋体" w:hAnsi="宋体" w:cs="宋体"/>
          <w:bCs/>
          <w:color w:val="auto"/>
          <w:sz w:val="24"/>
          <w:highlight w:val="none"/>
        </w:rPr>
        <w:t>第七章  招标</w:t>
      </w:r>
      <w:r>
        <w:rPr>
          <w:rFonts w:hint="eastAsia" w:ascii="宋体" w:hAnsi="宋体" w:cs="宋体"/>
          <w:color w:val="auto"/>
          <w:sz w:val="24"/>
          <w:highlight w:val="none"/>
        </w:rPr>
        <w:t>工程量清单（另册）</w:t>
      </w:r>
    </w:p>
    <w:p>
      <w:pPr>
        <w:pStyle w:val="50"/>
        <w:spacing w:after="0" w:line="360" w:lineRule="auto"/>
        <w:ind w:left="-2" w:firstLine="480" w:firstLineChars="200"/>
        <w:rPr>
          <w:rFonts w:hint="eastAsia" w:ascii="宋体" w:hAnsi="宋体" w:cs="宋体"/>
          <w:color w:val="auto"/>
          <w:sz w:val="24"/>
          <w:highlight w:val="none"/>
        </w:rPr>
      </w:pPr>
      <w:r>
        <w:rPr>
          <w:rFonts w:hint="eastAsia" w:ascii="宋体" w:hAnsi="宋体" w:cs="宋体"/>
          <w:color w:val="auto"/>
          <w:sz w:val="24"/>
          <w:highlight w:val="none"/>
        </w:rPr>
        <w:t>第八章  最高投标限价</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7.3 投标人一旦中标，招标文件的内容对招标人和中标人双方均有约束力。</w:t>
      </w:r>
    </w:p>
    <w:p>
      <w:pPr>
        <w:pStyle w:val="50"/>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8．招标答疑</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8.1 投标人若对招标文件</w:t>
      </w:r>
      <w:r>
        <w:rPr>
          <w:rFonts w:hint="eastAsia" w:ascii="宋体" w:hAnsi="宋体"/>
          <w:color w:val="auto"/>
          <w:sz w:val="24"/>
          <w:highlight w:val="none"/>
        </w:rPr>
        <w:t>（包括</w:t>
      </w:r>
      <w:r>
        <w:rPr>
          <w:rFonts w:hint="eastAsia" w:ascii="宋体" w:hAnsi="宋体"/>
          <w:color w:val="auto"/>
          <w:sz w:val="24"/>
          <w:highlight w:val="none"/>
          <w:u w:val="single"/>
        </w:rPr>
        <w:t>招标图纸、清单、招标控制价、合同条款等</w:t>
      </w:r>
      <w:r>
        <w:rPr>
          <w:rFonts w:hint="eastAsia" w:ascii="宋体" w:hAnsi="宋体"/>
          <w:color w:val="auto"/>
          <w:sz w:val="24"/>
          <w:highlight w:val="none"/>
        </w:rPr>
        <w:t>）</w:t>
      </w:r>
      <w:r>
        <w:rPr>
          <w:rFonts w:hint="eastAsia" w:ascii="宋体" w:hAnsi="宋体" w:cs="宋体"/>
          <w:color w:val="auto"/>
          <w:sz w:val="24"/>
          <w:highlight w:val="none"/>
        </w:rPr>
        <w:t>中有疑问，可以书面形式通过</w:t>
      </w:r>
      <w:r>
        <w:rPr>
          <w:rFonts w:hint="eastAsia" w:ascii="宋体" w:hAnsi="宋体" w:cs="宋体"/>
          <w:color w:val="auto"/>
          <w:sz w:val="24"/>
          <w:highlight w:val="none"/>
          <w:u w:val="single"/>
        </w:rPr>
        <w:t>广州公共资源交易中心</w:t>
      </w:r>
      <w:r>
        <w:rPr>
          <w:rFonts w:hint="eastAsia" w:ascii="宋体" w:hAnsi="宋体" w:cs="宋体"/>
          <w:color w:val="auto"/>
          <w:sz w:val="24"/>
          <w:highlight w:val="none"/>
        </w:rPr>
        <w:t>交易平台提交给招标人或招标代理人，提交形式见本须知前附表第16项。</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8.2招标答疑会会议纪要将在提交投标文件截止时间15日前在</w:t>
      </w:r>
      <w:r>
        <w:rPr>
          <w:rFonts w:hint="eastAsia" w:ascii="宋体" w:hAnsi="宋体" w:cs="宋体"/>
          <w:color w:val="auto"/>
          <w:sz w:val="24"/>
          <w:highlight w:val="none"/>
          <w:u w:val="single"/>
        </w:rPr>
        <w:t>广州公共资源交易中心交易平台（网址：http://www.gzggzy.cn）“首页/交易业务/建设工程/项目查询（日程安排、答疑纪要）</w:t>
      </w:r>
      <w:r>
        <w:rPr>
          <w:rFonts w:hint="eastAsia" w:ascii="宋体" w:hAnsi="宋体" w:cs="宋体"/>
          <w:color w:val="auto"/>
          <w:sz w:val="24"/>
          <w:highlight w:val="none"/>
        </w:rPr>
        <w:t>”公开发布。答疑纪要一经在</w:t>
      </w:r>
      <w:r>
        <w:rPr>
          <w:rFonts w:hint="eastAsia" w:ascii="宋体" w:hAnsi="宋体" w:cs="宋体"/>
          <w:color w:val="auto"/>
          <w:sz w:val="24"/>
          <w:highlight w:val="none"/>
          <w:u w:val="single"/>
        </w:rPr>
        <w:t>广州公共资源交易中心交易平台（网址：http://www.gzggzy.cn）</w:t>
      </w:r>
      <w:r>
        <w:rPr>
          <w:rFonts w:hint="eastAsia" w:ascii="宋体" w:hAnsi="宋体" w:cs="宋体"/>
          <w:color w:val="auto"/>
          <w:sz w:val="24"/>
          <w:highlight w:val="none"/>
        </w:rPr>
        <w:t>发布，视作已发放给所有投标人。</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8.3答疑会会议纪要为招标文件的一部分。</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8.4若招标答疑会会议纪要与招标文件有矛盾，以答疑会议纪要最后发出的书面形式的文件为准。</w:t>
      </w:r>
    </w:p>
    <w:p>
      <w:pPr>
        <w:pStyle w:val="50"/>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9.招标文件的澄清与修改</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9.1招标文件发出后,在提交投标文件截止时间15日前，招标人可对招标文件进行必要的澄清或修改。</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9.2招标文件的澄清或修改将在</w:t>
      </w:r>
      <w:r>
        <w:rPr>
          <w:rFonts w:hint="eastAsia" w:ascii="宋体" w:hAnsi="宋体" w:cs="宋体"/>
          <w:color w:val="auto"/>
          <w:sz w:val="24"/>
          <w:szCs w:val="24"/>
          <w:highlight w:val="none"/>
          <w:u w:val="single"/>
        </w:rPr>
        <w:t>广州公共资源交易中心交易平台（网址：http://www.gzggzy.cn）</w:t>
      </w:r>
      <w:r>
        <w:rPr>
          <w:rFonts w:hint="eastAsia" w:ascii="宋体" w:hAnsi="宋体" w:cs="宋体"/>
          <w:color w:val="auto"/>
          <w:sz w:val="24"/>
          <w:szCs w:val="24"/>
          <w:highlight w:val="non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首页/交易业务/建设工程/项目查询（日程安排、答疑纪要）</w:t>
      </w:r>
      <w:r>
        <w:rPr>
          <w:rFonts w:hint="eastAsia" w:ascii="宋体" w:hAnsi="宋体" w:cs="宋体"/>
          <w:color w:val="auto"/>
          <w:sz w:val="24"/>
          <w:highlight w:val="none"/>
        </w:rPr>
        <w:t>”公开发布。答疑纪要一经在</w:t>
      </w:r>
      <w:r>
        <w:rPr>
          <w:rFonts w:hint="eastAsia" w:ascii="宋体" w:hAnsi="宋体" w:cs="宋体"/>
          <w:color w:val="auto"/>
          <w:sz w:val="24"/>
          <w:szCs w:val="24"/>
          <w:highlight w:val="none"/>
          <w:u w:val="single"/>
        </w:rPr>
        <w:t>广州公共资源交易中心交易平台（网址：http://www.gzggzy.cn）</w:t>
      </w:r>
      <w:r>
        <w:rPr>
          <w:rFonts w:hint="eastAsia" w:ascii="宋体" w:hAnsi="宋体" w:cs="宋体"/>
          <w:color w:val="auto"/>
          <w:sz w:val="24"/>
          <w:highlight w:val="none"/>
        </w:rPr>
        <w:t>发布，视作已发放给所有投标人，以</w:t>
      </w:r>
      <w:r>
        <w:rPr>
          <w:rFonts w:hint="eastAsia" w:ascii="宋体" w:hAnsi="宋体" w:cs="宋体"/>
          <w:color w:val="auto"/>
          <w:sz w:val="24"/>
          <w:szCs w:val="24"/>
          <w:highlight w:val="none"/>
          <w:u w:val="single"/>
        </w:rPr>
        <w:t>广州公共资源交易中心交易平台（网址：http://www.gzggzy.cn）</w:t>
      </w:r>
      <w:r>
        <w:rPr>
          <w:rFonts w:hint="eastAsia" w:ascii="宋体" w:hAnsi="宋体" w:cs="宋体"/>
          <w:color w:val="auto"/>
          <w:sz w:val="24"/>
          <w:highlight w:val="none"/>
        </w:rPr>
        <w:t>上网发布时间作为送达时间。</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9.3招标文件的修改内容为招标文件的组成部分。</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9.4招标文件的澄清或修改均以书面形式明确的内容为准。当招标文件的澄清、修改、补充等在同一内容的表述不一致时，以最后发出的书面形式的文件为准。</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5"/>
        <w:spacing w:before="156" w:after="156"/>
        <w:jc w:val="center"/>
        <w:rPr>
          <w:rFonts w:hint="eastAsia" w:cs="宋体"/>
          <w:color w:val="auto"/>
          <w:highlight w:val="none"/>
        </w:rPr>
      </w:pPr>
      <w:bookmarkStart w:id="6" w:name="_Toc23617"/>
      <w:r>
        <w:rPr>
          <w:rFonts w:hint="eastAsia" w:cs="宋体"/>
          <w:color w:val="auto"/>
          <w:highlight w:val="none"/>
        </w:rPr>
        <w:t>（三）投标文件的编制</w:t>
      </w:r>
      <w:bookmarkEnd w:id="6"/>
    </w:p>
    <w:p>
      <w:pPr>
        <w:pStyle w:val="50"/>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10．投标文件的语言及度量衡单位</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 投标文件和与投标有关的所有文件均应使用中文。</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10.2 除工程规范另有规定外，投标文件使用的度量衡单位，均采用中华人民共和国法定计量单位。</w:t>
      </w:r>
    </w:p>
    <w:p>
      <w:pPr>
        <w:pStyle w:val="50"/>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11．投标文件的组成</w:t>
      </w:r>
    </w:p>
    <w:p>
      <w:pPr>
        <w:pStyle w:val="50"/>
        <w:spacing w:after="0"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11.1 投标文件由技术部分（含资格审查文件）和经济部分二部分投标文件组成</w:t>
      </w:r>
      <w:r>
        <w:rPr>
          <w:rFonts w:hint="eastAsia" w:ascii="宋体" w:hAnsi="宋体" w:cs="宋体"/>
          <w:b/>
          <w:color w:val="auto"/>
          <w:sz w:val="24"/>
          <w:highlight w:val="none"/>
        </w:rPr>
        <w:t>。</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11.2投标文件技术标部分主要包括下列内容:</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11.2.1 技术投标文件</w:t>
      </w:r>
      <w:r>
        <w:rPr>
          <w:rFonts w:hint="eastAsia" w:ascii="宋体" w:hAnsi="宋体" w:cs="宋体"/>
          <w:color w:val="auto"/>
          <w:sz w:val="24"/>
          <w:highlight w:val="none"/>
        </w:rPr>
        <w:t>(</w:t>
      </w:r>
      <w:r>
        <w:rPr>
          <w:rFonts w:hint="eastAsia" w:ascii="宋体" w:hAnsi="宋体" w:cs="宋体"/>
          <w:color w:val="auto"/>
          <w:sz w:val="24"/>
          <w:highlight w:val="none"/>
          <w:u w:val="single"/>
        </w:rPr>
        <w:t>含封面及目录</w:t>
      </w:r>
      <w:r>
        <w:rPr>
          <w:rFonts w:hint="eastAsia" w:ascii="宋体" w:hAnsi="宋体" w:cs="宋体"/>
          <w:color w:val="auto"/>
          <w:sz w:val="24"/>
          <w:highlight w:val="none"/>
        </w:rPr>
        <w:t>)</w:t>
      </w:r>
      <w:r>
        <w:rPr>
          <w:rFonts w:hint="eastAsia" w:ascii="宋体" w:hAnsi="宋体" w:cs="宋体"/>
          <w:bCs/>
          <w:color w:val="auto"/>
          <w:sz w:val="24"/>
          <w:highlight w:val="none"/>
        </w:rPr>
        <w:t>；</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11.2.2 资格审查文件：</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 xml:space="preserve">（1）投标人声明（按招标公告的要求填写）； </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（2）法定代表人证明书、法定代表人签字或盖章的本投标文件授权委托证明书；</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（3）企业营业执照（提交原件扫描件）；</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（4）企业资质证书（提交原件扫描件）；</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（5）建筑施工企业安全生产许可证（提交原件扫描件）；</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（6）项目负责人（按网上投标登记时选择拟投标的项目负责人）；</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（7）专职安全员（按网上投标登记时选择拟投标的专职安全员）；</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（8）拟委</w:t>
      </w:r>
      <w:r>
        <w:rPr>
          <w:rFonts w:hint="eastAsia" w:ascii="宋体" w:hAnsi="宋体" w:cs="宋体"/>
          <w:bCs/>
          <w:color w:val="auto"/>
          <w:sz w:val="24"/>
          <w:szCs w:val="24"/>
          <w:highlight w:val="none"/>
          <w:u w:val="single"/>
          <w:lang w:val="en-US" w:eastAsia="zh-CN"/>
        </w:rPr>
        <w:t>派</w:t>
      </w:r>
      <w:r>
        <w:rPr>
          <w:rFonts w:hint="eastAsia" w:ascii="宋体" w:hAnsi="宋体" w:cs="宋体"/>
          <w:bCs/>
          <w:color w:val="auto"/>
          <w:sz w:val="24"/>
          <w:szCs w:val="24"/>
          <w:highlight w:val="none"/>
          <w:u w:val="single"/>
        </w:rPr>
        <w:t>技术负责人的相关证书（提供职称证书扫描件）；</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（9）</w:t>
      </w:r>
      <w:r>
        <w:rPr>
          <w:rFonts w:hint="eastAsia" w:ascii="宋体" w:hAnsi="宋体" w:eastAsia="宋体" w:cs="宋体"/>
          <w:bCs/>
          <w:color w:val="auto"/>
          <w:sz w:val="24"/>
          <w:highlight w:val="none"/>
          <w:u w:val="single"/>
        </w:rPr>
        <w:t>拟委派项目负责人的建造师</w:t>
      </w:r>
      <w:r>
        <w:rPr>
          <w:rFonts w:hint="eastAsia" w:ascii="宋体" w:hAnsi="宋体" w:eastAsia="宋体" w:cs="宋体"/>
          <w:bCs/>
          <w:color w:val="auto"/>
          <w:sz w:val="24"/>
          <w:highlight w:val="none"/>
          <w:u w:val="single"/>
          <w:lang w:val="en-US" w:eastAsia="zh-CN"/>
        </w:rPr>
        <w:t>注册</w:t>
      </w:r>
      <w:r>
        <w:rPr>
          <w:rFonts w:hint="eastAsia" w:ascii="宋体" w:hAnsi="宋体" w:eastAsia="宋体" w:cs="宋体"/>
          <w:bCs/>
          <w:color w:val="auto"/>
          <w:sz w:val="24"/>
          <w:highlight w:val="none"/>
          <w:u w:val="single"/>
        </w:rPr>
        <w:t>证书</w:t>
      </w:r>
      <w:r>
        <w:rPr>
          <w:rFonts w:hint="eastAsia" w:ascii="宋体" w:hAnsi="宋体" w:cs="宋体"/>
          <w:bCs/>
          <w:color w:val="auto"/>
          <w:sz w:val="24"/>
          <w:szCs w:val="24"/>
          <w:highlight w:val="none"/>
          <w:u w:val="single"/>
        </w:rPr>
        <w:t>（提交原件扫描件）；</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（10）</w:t>
      </w:r>
      <w:r>
        <w:rPr>
          <w:rFonts w:hint="eastAsia" w:ascii="宋体" w:hAnsi="宋体" w:eastAsia="宋体" w:cs="宋体"/>
          <w:bCs/>
          <w:color w:val="auto"/>
          <w:sz w:val="24"/>
          <w:szCs w:val="24"/>
          <w:highlight w:val="none"/>
          <w:u w:val="single"/>
        </w:rPr>
        <w:t>项目负责人安全</w:t>
      </w:r>
      <w:r>
        <w:rPr>
          <w:rFonts w:hint="eastAsia" w:ascii="宋体" w:hAnsi="宋体" w:eastAsia="宋体" w:cs="宋体"/>
          <w:bCs/>
          <w:color w:val="auto"/>
          <w:sz w:val="24"/>
          <w:szCs w:val="24"/>
          <w:highlight w:val="none"/>
          <w:u w:val="single"/>
          <w:lang w:val="en-US" w:eastAsia="zh-CN"/>
        </w:rPr>
        <w:t>生产</w:t>
      </w:r>
      <w:r>
        <w:rPr>
          <w:rFonts w:hint="eastAsia" w:ascii="宋体" w:hAnsi="宋体" w:eastAsia="宋体" w:cs="宋体"/>
          <w:bCs/>
          <w:color w:val="auto"/>
          <w:sz w:val="24"/>
          <w:szCs w:val="24"/>
          <w:highlight w:val="none"/>
          <w:u w:val="single"/>
        </w:rPr>
        <w:t>考核合格证书（B类）或建筑施工企业项目负责人安全生产考核合格证书（提交原件扫描件）</w:t>
      </w:r>
      <w:r>
        <w:rPr>
          <w:rFonts w:hint="eastAsia" w:ascii="宋体" w:hAnsi="宋体" w:cs="宋体"/>
          <w:bCs/>
          <w:color w:val="auto"/>
          <w:sz w:val="24"/>
          <w:szCs w:val="24"/>
          <w:highlight w:val="none"/>
          <w:u w:val="single"/>
        </w:rPr>
        <w:t>；</w:t>
      </w:r>
    </w:p>
    <w:p>
      <w:pPr>
        <w:spacing w:line="360" w:lineRule="auto"/>
        <w:ind w:firstLine="480" w:firstLineChars="200"/>
        <w:rPr>
          <w:rFonts w:hint="eastAsia" w:ascii="宋体" w:hAnsi="宋体" w:cs="宋体"/>
          <w:strike/>
          <w:color w:val="auto"/>
          <w:sz w:val="24"/>
          <w:szCs w:val="24"/>
          <w:highlight w:val="none"/>
          <w:u w:val="single"/>
        </w:rPr>
      </w:pPr>
      <w:r>
        <w:rPr>
          <w:rFonts w:hint="eastAsia" w:ascii="宋体" w:hAnsi="宋体" w:cs="宋体"/>
          <w:bCs/>
          <w:color w:val="auto"/>
          <w:sz w:val="24"/>
          <w:szCs w:val="24"/>
          <w:highlight w:val="none"/>
          <w:u w:val="single"/>
        </w:rPr>
        <w:t>（11）</w:t>
      </w:r>
      <w:r>
        <w:rPr>
          <w:rFonts w:hint="eastAsia" w:ascii="宋体" w:hAnsi="宋体" w:eastAsia="宋体" w:cs="宋体"/>
          <w:bCs/>
          <w:color w:val="auto"/>
          <w:sz w:val="24"/>
          <w:szCs w:val="24"/>
          <w:highlight w:val="none"/>
          <w:u w:val="single"/>
        </w:rPr>
        <w:t>专职安全员须具有在有效期内的安全考核合格证书（C类）或建筑施工企业专职安全生产管理人员安全生产考核合格证书</w:t>
      </w:r>
      <w:r>
        <w:rPr>
          <w:rFonts w:hint="eastAsia" w:ascii="宋体" w:hAnsi="宋体" w:eastAsia="宋体" w:cs="宋体"/>
          <w:color w:val="000000"/>
          <w:sz w:val="24"/>
          <w:szCs w:val="24"/>
          <w:highlight w:val="none"/>
          <w:u w:val="single"/>
        </w:rPr>
        <w:t>（C类或综合类C3）</w:t>
      </w:r>
      <w:r>
        <w:rPr>
          <w:rFonts w:hint="eastAsia" w:ascii="宋体" w:hAnsi="宋体" w:eastAsia="宋体" w:cs="宋体"/>
          <w:bCs/>
          <w:color w:val="auto"/>
          <w:sz w:val="24"/>
          <w:szCs w:val="24"/>
          <w:highlight w:val="none"/>
          <w:u w:val="single"/>
        </w:rPr>
        <w:t>（提交原件扫描件）</w:t>
      </w:r>
      <w:r>
        <w:rPr>
          <w:rFonts w:hint="eastAsia" w:ascii="宋体" w:hAnsi="宋体" w:cs="宋体"/>
          <w:bCs/>
          <w:color w:val="auto"/>
          <w:sz w:val="24"/>
          <w:szCs w:val="24"/>
          <w:highlight w:val="none"/>
          <w:u w:val="single"/>
        </w:rPr>
        <w:t>；</w:t>
      </w:r>
    </w:p>
    <w:p>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bCs/>
          <w:strike/>
          <w:color w:val="auto"/>
          <w:sz w:val="24"/>
          <w:szCs w:val="24"/>
          <w:highlight w:val="none"/>
          <w:u w:val="single"/>
        </w:rPr>
        <w:t>（12）用于资格审查的业绩（投标人须提供广州市住房和城乡建设局企业诚信档案信息库中已有业绩编号和业绩名称的网页信息打印页）；</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szCs w:val="24"/>
          <w:highlight w:val="none"/>
          <w:u w:val="single"/>
        </w:rPr>
        <w:t>（13）</w:t>
      </w:r>
      <w:r>
        <w:rPr>
          <w:rFonts w:hint="eastAsia" w:ascii="宋体" w:hAnsi="宋体" w:cs="宋体"/>
          <w:color w:val="auto"/>
          <w:sz w:val="24"/>
          <w:highlight w:val="none"/>
          <w:u w:val="single"/>
        </w:rPr>
        <w:t>资格审查前，投标人须在</w:t>
      </w:r>
      <w:r>
        <w:rPr>
          <w:rFonts w:hint="eastAsia" w:ascii="宋体" w:hAnsi="宋体" w:cs="宋体"/>
          <w:color w:val="auto"/>
          <w:sz w:val="24"/>
          <w:szCs w:val="24"/>
          <w:highlight w:val="none"/>
          <w:u w:val="single"/>
        </w:rPr>
        <w:t>广州公共资源交易中心办理信息登记等相关投标登记手续</w:t>
      </w:r>
      <w:r>
        <w:rPr>
          <w:rFonts w:hint="eastAsia" w:ascii="宋体" w:hAnsi="宋体" w:cs="宋体"/>
          <w:color w:val="auto"/>
          <w:sz w:val="24"/>
          <w:highlight w:val="none"/>
          <w:u w:val="single"/>
        </w:rPr>
        <w:t>及拟担任本工程项目负责人、专职安全员须是本企业的在册人员且与</w:t>
      </w:r>
      <w:r>
        <w:rPr>
          <w:rFonts w:hint="eastAsia" w:ascii="宋体" w:hAnsi="宋体" w:cs="宋体"/>
          <w:color w:val="auto"/>
          <w:sz w:val="24"/>
          <w:szCs w:val="24"/>
          <w:highlight w:val="none"/>
          <w:u w:val="single"/>
        </w:rPr>
        <w:t>广州公共资源交易中心办理信息登记一致</w:t>
      </w:r>
      <w:r>
        <w:rPr>
          <w:rFonts w:hint="eastAsia" w:ascii="宋体" w:hAnsi="宋体" w:cs="宋体"/>
          <w:color w:val="auto"/>
          <w:sz w:val="24"/>
          <w:highlight w:val="none"/>
          <w:u w:val="single"/>
        </w:rPr>
        <w:t>。</w:t>
      </w:r>
    </w:p>
    <w:p>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w:t>
      </w: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u w:val="single"/>
        </w:rPr>
        <w:t>）未被纳入失信联合惩戒名单且被限制参加财政投资工程或政府投资工程或建设工程投标的（具体名单以递交投标文件截止时间“信用广州”https://credit1.gz.gov.cn/sgs/sgsXkNew公布的“失信黑名单”为准）（按交易系统比对的结果进行评审）；</w:t>
      </w:r>
    </w:p>
    <w:p>
      <w:pPr>
        <w:pStyle w:val="262"/>
        <w:rPr>
          <w:rFonts w:hint="eastAsia"/>
          <w:color w:val="auto"/>
          <w:highlight w:val="none"/>
        </w:rPr>
      </w:pPr>
      <w:r>
        <w:rPr>
          <w:rFonts w:hint="eastAsia" w:ascii="宋体" w:hAnsi="宋体" w:cs="宋体"/>
          <w:bCs/>
          <w:color w:val="auto"/>
          <w:sz w:val="24"/>
          <w:highlight w:val="none"/>
          <w:u w:val="single"/>
        </w:rPr>
        <w:t>（1</w:t>
      </w:r>
      <w:r>
        <w:rPr>
          <w:rFonts w:hint="eastAsia" w:ascii="宋体" w:hAnsi="宋体" w:cs="宋体"/>
          <w:bCs/>
          <w:color w:val="auto"/>
          <w:sz w:val="24"/>
          <w:highlight w:val="none"/>
          <w:u w:val="single"/>
          <w:lang w:val="en-US" w:eastAsia="zh-CN"/>
        </w:rPr>
        <w:t>5</w:t>
      </w:r>
      <w:r>
        <w:rPr>
          <w:rFonts w:hint="eastAsia" w:ascii="宋体" w:hAnsi="宋体" w:cs="宋体"/>
          <w:bCs/>
          <w:color w:val="auto"/>
          <w:sz w:val="24"/>
          <w:highlight w:val="none"/>
          <w:u w:val="single"/>
        </w:rPr>
        <w:t>）其他满足资格审查合格条件的证明材料。</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11.2.3项目管理机构配备。</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（1）投标人应列出该项目工程的施工组织机构构成和画出机构框架图及其负责人；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（2）投标人应详细列出该施工组织机构中主要成员的名单、简历资料、职务职称和在本项目中拟担任的职务等资料，并附上有关证明材料扫描件；</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（3）项目管理机构配备：《施工项目管理团队人员信息表》（格式见第四章），参考《技术标详细审查评分表》要求提交。</w:t>
      </w:r>
    </w:p>
    <w:p>
      <w:pPr>
        <w:pStyle w:val="262"/>
        <w:ind w:firstLine="480"/>
        <w:rPr>
          <w:color w:val="auto"/>
          <w:highlight w:val="none"/>
        </w:rPr>
      </w:pPr>
      <w:r>
        <w:rPr>
          <w:rFonts w:hint="eastAsia" w:ascii="宋体" w:hAnsi="宋体" w:cs="宋体"/>
          <w:color w:val="auto"/>
          <w:sz w:val="24"/>
          <w:highlight w:val="none"/>
        </w:rPr>
        <w:t>11.2.4</w:t>
      </w:r>
      <w:r>
        <w:rPr>
          <w:rFonts w:hint="eastAsia" w:ascii="宋体" w:hAnsi="宋体" w:cs="宋体"/>
          <w:color w:val="auto"/>
          <w:sz w:val="24"/>
          <w:highlight w:val="none"/>
          <w:u w:val="single"/>
        </w:rPr>
        <w:t>得分证明材料：参考《技术标详细审查评分表》要求提交）。</w:t>
      </w:r>
    </w:p>
    <w:p>
      <w:pPr>
        <w:tabs>
          <w:tab w:val="left" w:pos="112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按照</w:t>
      </w:r>
      <w:r>
        <w:rPr>
          <w:rFonts w:hint="eastAsia" w:ascii="宋体" w:hAnsi="宋体" w:cs="宋体"/>
          <w:bCs/>
          <w:color w:val="auto"/>
          <w:sz w:val="24"/>
          <w:highlight w:val="none"/>
        </w:rPr>
        <w:t>招标文件要求</w:t>
      </w:r>
      <w:r>
        <w:rPr>
          <w:rFonts w:hint="eastAsia" w:ascii="宋体" w:hAnsi="宋体" w:cs="宋体"/>
          <w:color w:val="auto"/>
          <w:sz w:val="24"/>
          <w:highlight w:val="none"/>
        </w:rPr>
        <w:t>填写的《参与编制技术标投标文件人员名单》。</w:t>
      </w:r>
    </w:p>
    <w:p>
      <w:pPr>
        <w:tabs>
          <w:tab w:val="left" w:pos="1125"/>
        </w:tabs>
        <w:spacing w:line="360" w:lineRule="auto"/>
        <w:ind w:firstLine="480" w:firstLineChars="200"/>
        <w:rPr>
          <w:rFonts w:hint="eastAsia"/>
          <w:color w:val="auto"/>
          <w:highlight w:val="none"/>
        </w:rPr>
      </w:pPr>
      <w:r>
        <w:rPr>
          <w:rFonts w:hint="eastAsia" w:ascii="宋体" w:hAnsi="宋体" w:cs="宋体"/>
          <w:color w:val="auto"/>
          <w:sz w:val="24"/>
          <w:highlight w:val="none"/>
        </w:rPr>
        <w:t>11.2.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《工程质量终身责任承诺书》（格式见第四章）。</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11.3 经济部分投标文件主要包括下列内容：</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11.3.1 </w:t>
      </w:r>
      <w:r>
        <w:rPr>
          <w:rFonts w:hint="eastAsia" w:ascii="宋体" w:hAnsi="宋体"/>
          <w:color w:val="auto"/>
          <w:sz w:val="24"/>
          <w:highlight w:val="none"/>
        </w:rPr>
        <w:t>经济投标文件</w:t>
      </w:r>
      <w:r>
        <w:rPr>
          <w:rFonts w:ascii="宋体" w:hAnsi="宋体"/>
          <w:color w:val="auto"/>
          <w:sz w:val="24"/>
          <w:highlight w:val="none"/>
        </w:rPr>
        <w:t>(</w:t>
      </w:r>
      <w:r>
        <w:rPr>
          <w:rFonts w:hint="eastAsia" w:ascii="宋体" w:hAnsi="宋体"/>
          <w:color w:val="auto"/>
          <w:sz w:val="24"/>
          <w:highlight w:val="none"/>
        </w:rPr>
        <w:t>按招标文件的要求填写</w:t>
      </w:r>
      <w:r>
        <w:rPr>
          <w:rFonts w:ascii="宋体" w:hAnsi="宋体"/>
          <w:color w:val="auto"/>
          <w:sz w:val="24"/>
          <w:highlight w:val="none"/>
        </w:rPr>
        <w:t>)</w:t>
      </w:r>
      <w:r>
        <w:rPr>
          <w:rFonts w:hint="eastAsia" w:ascii="宋体" w:hAnsi="宋体"/>
          <w:color w:val="auto"/>
          <w:sz w:val="24"/>
          <w:highlight w:val="none"/>
        </w:rPr>
        <w:t>。</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（1）经济标投标文件封面；</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（2）目录 ；</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（3）《广州建设工程施工招标投标书》；</w:t>
      </w:r>
    </w:p>
    <w:p>
      <w:pPr>
        <w:pStyle w:val="262"/>
        <w:rPr>
          <w:rFonts w:hint="eastAsia"/>
          <w:color w:val="auto"/>
          <w:highlight w:val="none"/>
        </w:rPr>
      </w:pPr>
      <w:r>
        <w:rPr>
          <w:rFonts w:hint="eastAsia" w:ascii="宋体" w:hAnsi="宋体" w:cs="宋体"/>
          <w:color w:val="auto"/>
          <w:sz w:val="24"/>
          <w:highlight w:val="none"/>
          <w:u w:val="single"/>
        </w:rPr>
        <w:t>（4）《对投标文件编制的承诺》、《投标文件编制情况》。</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具体内容详见第七章工程量清单）</w:t>
      </w:r>
    </w:p>
    <w:p>
      <w:pPr>
        <w:tabs>
          <w:tab w:val="left" w:pos="112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11.3.3按照</w:t>
      </w:r>
      <w:r>
        <w:rPr>
          <w:rFonts w:hint="eastAsia" w:ascii="宋体" w:hAnsi="宋体" w:cs="宋体"/>
          <w:bCs/>
          <w:color w:val="auto"/>
          <w:sz w:val="24"/>
          <w:highlight w:val="none"/>
        </w:rPr>
        <w:t>招标文件要求</w:t>
      </w:r>
      <w:r>
        <w:rPr>
          <w:rFonts w:hint="eastAsia" w:ascii="宋体" w:hAnsi="宋体" w:cs="宋体"/>
          <w:color w:val="auto"/>
          <w:sz w:val="24"/>
          <w:highlight w:val="none"/>
        </w:rPr>
        <w:t>填写的《广州建设工程施工招标投标书》《参与编制经济标投标文件人员名单》、《对投标文件编制的承诺》及《投标文件编制情况》。</w:t>
      </w:r>
    </w:p>
    <w:p>
      <w:pPr>
        <w:tabs>
          <w:tab w:val="left" w:pos="112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11.3.4若投标人的投标报价低于工程成本警戒价的，投标人还须提供详细的施工组织设计、单价、措施性费用、单价分析表、主要材料价格表、投标人成本分析供评标委员会评审。</w:t>
      </w:r>
    </w:p>
    <w:p>
      <w:pPr>
        <w:pStyle w:val="50"/>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12．投标文件格式</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12.1 投标文件包括本须知第11条中规定的内容，投标人提交的投标文件应当使用招标文件所提供的投标文件全部格式（表格可以按同样格式扩展）。</w:t>
      </w:r>
    </w:p>
    <w:p>
      <w:pPr>
        <w:pStyle w:val="5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12.2 投标文件全部采用电子文档，投标文件所附证书证件均为原件扫描件，并采用单位数字证书，按招标文件要求在相应位置加盖电子印章。</w:t>
      </w:r>
      <w:r>
        <w:rPr>
          <w:rFonts w:hint="eastAsia" w:ascii="宋体" w:hAnsi="宋体" w:cs="宋体"/>
          <w:color w:val="auto"/>
          <w:sz w:val="24"/>
          <w:highlight w:val="none"/>
          <w:u w:val="single"/>
        </w:rPr>
        <w:t>投标文件中需个人签字或盖章的，</w:t>
      </w:r>
      <w:r>
        <w:rPr>
          <w:rFonts w:hint="eastAsia" w:ascii="宋体" w:hAnsi="宋体" w:eastAsia="宋体" w:cs="宋体"/>
          <w:color w:val="auto"/>
          <w:sz w:val="24"/>
          <w:highlight w:val="none"/>
          <w:u w:val="single"/>
        </w:rPr>
        <w:t>应加盖个人电子印章或在线下完成后扫描上传</w:t>
      </w:r>
      <w:r>
        <w:rPr>
          <w:rFonts w:hint="eastAsia" w:ascii="宋体" w:hAnsi="宋体" w:cs="宋体"/>
          <w:color w:val="auto"/>
          <w:sz w:val="24"/>
          <w:highlight w:val="none"/>
        </w:rPr>
        <w:t>。按照交易平台关于全流程电子化项目的相关指南进行操作。详见：</w:t>
      </w:r>
      <w:r>
        <w:rPr>
          <w:rFonts w:hint="eastAsia" w:ascii="宋体" w:hAnsi="宋体" w:cs="宋体"/>
          <w:color w:val="auto"/>
          <w:sz w:val="24"/>
          <w:highlight w:val="none"/>
          <w:u w:val="single"/>
        </w:rPr>
        <w:t>《全流程电子化项目电子招投标操作手册（无纸化）》 。</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12.3 投标文件应按照交易平台关于全流程电子化项目的相关指南进行编制，详见：</w:t>
      </w:r>
      <w:r>
        <w:rPr>
          <w:rFonts w:hint="eastAsia" w:ascii="宋体" w:hAnsi="宋体" w:cs="宋体"/>
          <w:color w:val="auto"/>
          <w:sz w:val="24"/>
          <w:highlight w:val="none"/>
          <w:u w:val="single"/>
        </w:rPr>
        <w:t>《全流程电子化项目电子招投标操作手册（无纸化）》</w:t>
      </w:r>
      <w:r>
        <w:rPr>
          <w:rFonts w:hint="eastAsia" w:ascii="宋体" w:hAnsi="宋体" w:cs="宋体"/>
          <w:color w:val="auto"/>
          <w:sz w:val="24"/>
          <w:highlight w:val="none"/>
        </w:rPr>
        <w:t xml:space="preserve">。               </w:t>
      </w:r>
    </w:p>
    <w:p>
      <w:pPr>
        <w:pStyle w:val="50"/>
        <w:spacing w:after="0" w:line="360" w:lineRule="auto"/>
        <w:ind w:firstLine="0"/>
        <w:rPr>
          <w:rFonts w:hint="eastAsia" w:ascii="宋体" w:hAnsi="宋体" w:cs="宋体"/>
          <w:color w:val="auto"/>
          <w:sz w:val="24"/>
          <w:highlight w:val="none"/>
        </w:rPr>
      </w:pPr>
      <w:r>
        <w:rPr>
          <w:rFonts w:hint="eastAsia" w:ascii="宋体" w:hAnsi="宋体" w:cs="宋体"/>
          <w:bCs/>
          <w:color w:val="auto"/>
          <w:sz w:val="24"/>
          <w:szCs w:val="24"/>
          <w:highlight w:val="none"/>
        </w:rPr>
        <w:t>如不按上述要求编制引起系统无法检索、读取相关信息的，其后果由投标人承担。</w:t>
      </w:r>
    </w:p>
    <w:p>
      <w:pPr>
        <w:pStyle w:val="50"/>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13．投标报价及造价承包和变更结算方式</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13.1 本工程的投标报价采用投标须知前附表第12项所规定的方式。投标报价（含单价及总价）精确到“分”。</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s="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50"/>
        <w:spacing w:after="0"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Fonts w:hint="eastAsia" w:ascii="宋体" w:hAnsi="宋体" w:cs="宋体"/>
          <w:color w:val="auto"/>
          <w:sz w:val="24"/>
          <w:highlight w:val="none"/>
          <w:u w:val="single"/>
        </w:rPr>
        <w:t>措施项目费的调整办法按合同约定执行。</w:t>
      </w:r>
    </w:p>
    <w:p>
      <w:pPr>
        <w:pStyle w:val="50"/>
        <w:spacing w:after="0" w:line="360" w:lineRule="auto"/>
        <w:ind w:firstLine="480" w:firstLineChars="200"/>
        <w:rPr>
          <w:rFonts w:hint="eastAsia" w:ascii="宋体" w:hAnsi="宋体" w:cs="宋体"/>
          <w:dstrike/>
          <w:color w:val="auto"/>
          <w:sz w:val="24"/>
          <w:highlight w:val="none"/>
        </w:rPr>
      </w:pPr>
      <w:r>
        <w:rPr>
          <w:rFonts w:hint="eastAsia" w:ascii="宋体" w:hAnsi="宋体" w:cs="宋体"/>
          <w:color w:val="auto"/>
          <w:sz w:val="24"/>
          <w:highlight w:val="none"/>
        </w:rPr>
        <w:t>13.5工程项目实施期间和结算时，招标文件工程量清单中漏列而由监理单位和招标人现场签证确认的工程项目、原设计没有而由招标人批准设计变更产生的工程项目，视为新增项目，</w:t>
      </w:r>
      <w:r>
        <w:rPr>
          <w:rFonts w:hint="eastAsia" w:ascii="宋体" w:hAnsi="宋体" w:cs="宋体"/>
          <w:color w:val="auto"/>
          <w:sz w:val="24"/>
          <w:highlight w:val="none"/>
          <w:u w:val="single"/>
        </w:rPr>
        <w:t>其价格的确定按合同</w:t>
      </w:r>
      <w:r>
        <w:rPr>
          <w:rFonts w:hint="eastAsia" w:ascii="宋体" w:hAnsi="宋体" w:cs="宋体"/>
          <w:color w:val="auto"/>
          <w:sz w:val="24"/>
          <w:highlight w:val="none"/>
          <w:u w:val="single"/>
          <w:lang w:val="en-US" w:eastAsia="zh-CN"/>
        </w:rPr>
        <w:t>约定</w:t>
      </w:r>
      <w:r>
        <w:rPr>
          <w:rFonts w:hint="eastAsia" w:ascii="宋体" w:hAnsi="宋体" w:cs="宋体"/>
          <w:color w:val="auto"/>
          <w:sz w:val="24"/>
          <w:highlight w:val="none"/>
          <w:u w:val="single"/>
        </w:rPr>
        <w:t>执行</w:t>
      </w:r>
      <w:r>
        <w:rPr>
          <w:rFonts w:hint="eastAsia" w:ascii="宋体" w:hAnsi="宋体" w:cs="宋体"/>
          <w:color w:val="auto"/>
          <w:sz w:val="24"/>
          <w:highlight w:val="none"/>
        </w:rPr>
        <w:t>。</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13.6暂列金额、暂估价</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暂估价是指招标人在工程量清单中提供的用于支付必然发生但暂时不能确定价格的材料的单价以及专业工程的金额。</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w:t>
      </w:r>
      <w:r>
        <w:rPr>
          <w:rFonts w:hint="eastAsia" w:ascii="宋体" w:hAnsi="宋体" w:eastAsia="宋体" w:cs="宋体"/>
          <w:color w:val="auto"/>
          <w:sz w:val="24"/>
          <w:highlight w:val="none"/>
        </w:rPr>
        <w:t>格按本投</w:t>
      </w:r>
      <w:r>
        <w:rPr>
          <w:rFonts w:hint="eastAsia" w:ascii="宋体" w:hAnsi="宋体" w:cs="宋体"/>
          <w:color w:val="auto"/>
          <w:sz w:val="24"/>
          <w:highlight w:val="none"/>
        </w:rPr>
        <w:t>标须知13.5款规定确定。</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13.7投标人可先到工地踏勘以充分了解工地位置、情况、道路、储存空间、装卸限制及任何其他足以影响承包价的情况，任何因忽视或误解工地情况而导致的索赔或工期延长申请将不被批准。</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Style w:val="5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rPr>
        <w:t>13.9</w:t>
      </w:r>
      <w:r>
        <w:rPr>
          <w:rFonts w:hint="eastAsia" w:ascii="宋体" w:hAnsi="宋体" w:cs="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0"/>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14．投标货币</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14.1 本工程投标报价采用的币种为人民币。</w:t>
      </w:r>
    </w:p>
    <w:p>
      <w:pPr>
        <w:pStyle w:val="50"/>
        <w:spacing w:after="0" w:line="360" w:lineRule="auto"/>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rPr>
        <w:t>15．投标有效期</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15.1 投标有效期见投标须知前附表第13项所规定的期限，在此期限内，凡符合本招标文件要求的投标文件均保持有效。</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Style w:val="50"/>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16．投标保证金</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16.1</w:t>
      </w:r>
      <w:r>
        <w:rPr>
          <w:rFonts w:hint="eastAsia" w:ascii="宋体" w:hAnsi="宋体" w:cs="宋体"/>
          <w:color w:val="auto"/>
          <w:sz w:val="24"/>
          <w:highlight w:val="none"/>
          <w:u w:val="single"/>
        </w:rPr>
        <w:t>投标人应按投标须知前附表第14项所述金额和时间递交投标保证金。招标人应当允许投标人自主选择现金、银行保函、保证保险、专业工程担保公司担保等方式缴纳投标保证金。</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16.1.1 采用现金、支票或汇票形式提交的，投标保证金须从投标人的银行基本账户转出。</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 xml:space="preserve">16.1.2 </w:t>
      </w:r>
      <w:r>
        <w:rPr>
          <w:rFonts w:hint="eastAsia" w:ascii="宋体" w:hAnsi="宋体" w:cs="宋体"/>
          <w:color w:val="auto"/>
          <w:sz w:val="24"/>
          <w:highlight w:val="none"/>
          <w:u w:val="single"/>
        </w:rPr>
        <w:t>如采用非电子形式的投标保函</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专业工程担保公司担保或保证保险提交投标保证金的，在开标前不强制要求投标人提交纸质原件，由中标候选人在中标候选人公示前提交并在网上公示，投标人应在投标文件中提交投标保函</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担保</w:t>
      </w:r>
      <w:r>
        <w:rPr>
          <w:rFonts w:hint="eastAsia" w:ascii="宋体" w:hAnsi="宋体" w:cs="宋体"/>
          <w:color w:val="auto"/>
          <w:sz w:val="24"/>
          <w:highlight w:val="none"/>
          <w:u w:val="single"/>
        </w:rPr>
        <w:t>或保证保险扫描件并加盖投标人电子印章。如投标人存在16.6条款所列情形的，应将纸质原件提交给招标人。</w:t>
      </w:r>
    </w:p>
    <w:p>
      <w:pPr>
        <w:pStyle w:val="19"/>
        <w:spacing w:line="360" w:lineRule="auto"/>
        <w:ind w:firstLine="480" w:firstLineChars="200"/>
        <w:rPr>
          <w:rFonts w:hint="eastAsia" w:ascii="宋体" w:hAnsi="宋体" w:cs="宋体"/>
          <w:color w:val="auto"/>
          <w:kern w:val="2"/>
          <w:sz w:val="24"/>
          <w:szCs w:val="22"/>
          <w:highlight w:val="none"/>
          <w:u w:val="single"/>
          <w:lang w:val="en-US" w:eastAsia="zh-CN"/>
        </w:rPr>
      </w:pPr>
      <w:r>
        <w:rPr>
          <w:rFonts w:hint="eastAsia" w:ascii="宋体" w:hAnsi="宋体" w:cs="宋体"/>
          <w:color w:val="auto"/>
          <w:kern w:val="2"/>
          <w:sz w:val="24"/>
          <w:szCs w:val="22"/>
          <w:highlight w:val="none"/>
          <w:u w:val="single"/>
          <w:lang w:val="en-US" w:eastAsia="zh-CN"/>
        </w:rPr>
        <w:t>16.1.3 采用电子形式的保函、担保或保证保险提交投标保证金的，应在招标文件中明确电子递交途径。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16.2招标人可委托</w:t>
      </w:r>
      <w:r>
        <w:rPr>
          <w:rFonts w:hint="eastAsia" w:ascii="宋体" w:hAnsi="宋体" w:cs="宋体"/>
          <w:color w:val="auto"/>
          <w:sz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具体实施保证金的收取和退还工作。通过</w:t>
      </w:r>
      <w:r>
        <w:rPr>
          <w:rFonts w:hint="eastAsia" w:ascii="宋体" w:hAnsi="宋体" w:cs="宋体"/>
          <w:color w:val="auto"/>
          <w:sz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递交投标保证金的相关事宜，请自行咨询</w:t>
      </w:r>
      <w:r>
        <w:rPr>
          <w:rFonts w:hint="eastAsia" w:ascii="宋体" w:hAnsi="宋体" w:cs="宋体"/>
          <w:color w:val="auto"/>
          <w:sz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br w:type="textWrapping"/>
      </w:r>
      <w:r>
        <w:rPr>
          <w:rFonts w:hint="eastAsia" w:ascii="宋体" w:hAnsi="宋体" w:cs="宋体"/>
          <w:color w:val="auto"/>
          <w:sz w:val="24"/>
          <w:highlight w:val="none"/>
        </w:rPr>
        <w:t xml:space="preserve">    16.3</w:t>
      </w:r>
      <w:r>
        <w:rPr>
          <w:rFonts w:hint="eastAsia" w:ascii="宋体" w:hAnsi="宋体" w:cs="宋体"/>
          <w:color w:val="auto"/>
          <w:sz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代收投标保证金的，其缴纳情况以</w:t>
      </w:r>
      <w:r>
        <w:rPr>
          <w:rFonts w:hint="eastAsia" w:ascii="宋体" w:hAnsi="宋体" w:cs="宋体"/>
          <w:color w:val="auto"/>
          <w:sz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数据库记录的信息为准。</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w:t>
      </w:r>
      <w:r>
        <w:rPr>
          <w:rFonts w:hint="eastAsia" w:ascii="宋体" w:hAnsi="宋体" w:cs="宋体"/>
          <w:color w:val="auto"/>
          <w:sz w:val="24"/>
          <w:szCs w:val="24"/>
          <w:highlight w:val="none"/>
        </w:rPr>
        <w:t>开标时投标人没有按要求提供投标保证金的，其投标文件将被否决</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w:t>
      </w:r>
      <w:r>
        <w:rPr>
          <w:rFonts w:hint="eastAsia" w:ascii="宋体" w:hAnsi="宋体" w:cs="宋体"/>
          <w:color w:val="auto"/>
          <w:sz w:val="24"/>
          <w:szCs w:val="24"/>
          <w:highlight w:val="none"/>
          <w:u w:val="single"/>
        </w:rPr>
        <w:t>投标保证金应依据法律法规的相关规定退还。</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16.6如有下列情况之一的，招标人不予退还投标保证金：</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16.6.1因投标人原因造成投标文件未解密的；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16.6.2投标人在投标有效期内</w:t>
      </w:r>
      <w:r>
        <w:rPr>
          <w:rFonts w:hint="eastAsia" w:ascii="宋体" w:hAnsi="宋体" w:cs="宋体"/>
          <w:b/>
          <w:bCs/>
          <w:color w:val="auto"/>
          <w:sz w:val="24"/>
          <w:highlight w:val="none"/>
          <w:u w:val="single"/>
        </w:rPr>
        <w:t>撤销</w:t>
      </w:r>
      <w:r>
        <w:rPr>
          <w:rFonts w:hint="eastAsia" w:ascii="宋体" w:hAnsi="宋体" w:cs="宋体"/>
          <w:color w:val="auto"/>
          <w:sz w:val="24"/>
          <w:highlight w:val="none"/>
        </w:rPr>
        <w:t>投标文件；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16.6.3中标人未能在规定期限内按要求提交履约担保；</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16.6.4中标人未能在规定期限内签署合同协议。</w:t>
      </w:r>
    </w:p>
    <w:p>
      <w:pPr>
        <w:pStyle w:val="50"/>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17．投标文件的签署</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17.1投标人应采用单位数字证书，按招标文件要求在相应位置加盖电子印章。</w:t>
      </w:r>
      <w:r>
        <w:rPr>
          <w:rFonts w:hint="eastAsia" w:ascii="宋体" w:hAnsi="宋体" w:cs="宋体"/>
          <w:color w:val="auto"/>
          <w:sz w:val="24"/>
          <w:highlight w:val="none"/>
          <w:u w:val="single"/>
        </w:rPr>
        <w:t>投标文件中需个人签字或盖章的，</w:t>
      </w:r>
      <w:r>
        <w:rPr>
          <w:rFonts w:hint="eastAsia" w:ascii="宋体" w:hAnsi="宋体" w:eastAsia="宋体" w:cs="宋体"/>
          <w:color w:val="auto"/>
          <w:sz w:val="24"/>
          <w:highlight w:val="none"/>
          <w:u w:val="single"/>
        </w:rPr>
        <w:t>应加盖个人电子印章或在线下完成后扫描上传</w:t>
      </w:r>
      <w:r>
        <w:rPr>
          <w:rFonts w:hint="eastAsia" w:ascii="宋体" w:hAnsi="宋体" w:cs="宋体"/>
          <w:color w:val="auto"/>
          <w:sz w:val="24"/>
          <w:highlight w:val="none"/>
        </w:rPr>
        <w:t>。按照交易平台关于全流程电子化项目的相关指南进行操作。详见：</w:t>
      </w:r>
      <w:r>
        <w:rPr>
          <w:rFonts w:hint="eastAsia" w:ascii="宋体" w:hAnsi="宋体" w:cs="宋体"/>
          <w:color w:val="auto"/>
          <w:sz w:val="24"/>
          <w:highlight w:val="none"/>
          <w:u w:val="single"/>
        </w:rPr>
        <w:t>《全流程电子化项目电子招投标操作手册（无纸化）》</w:t>
      </w:r>
      <w:r>
        <w:rPr>
          <w:rFonts w:hint="eastAsia" w:ascii="宋体" w:hAnsi="宋体" w:cs="宋体"/>
          <w:color w:val="auto"/>
          <w:sz w:val="24"/>
          <w:highlight w:val="none"/>
        </w:rPr>
        <w:t>。</w:t>
      </w:r>
    </w:p>
    <w:p>
      <w:pPr>
        <w:pStyle w:val="5"/>
        <w:spacing w:before="156" w:after="156"/>
        <w:jc w:val="center"/>
        <w:rPr>
          <w:rFonts w:hint="eastAsia" w:cs="宋体"/>
          <w:color w:val="auto"/>
          <w:highlight w:val="none"/>
        </w:rPr>
      </w:pPr>
      <w:bookmarkStart w:id="7" w:name="_Toc18394"/>
      <w:r>
        <w:rPr>
          <w:rFonts w:hint="eastAsia" w:cs="宋体"/>
          <w:color w:val="auto"/>
          <w:highlight w:val="none"/>
        </w:rPr>
        <w:t>（四）投标文件的提交</w:t>
      </w:r>
      <w:bookmarkEnd w:id="7"/>
    </w:p>
    <w:p>
      <w:pPr>
        <w:pStyle w:val="50"/>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18．</w:t>
      </w:r>
      <w:r>
        <w:rPr>
          <w:rFonts w:hint="eastAsia" w:ascii="宋体" w:hAnsi="宋体" w:cs="宋体"/>
          <w:b/>
          <w:color w:val="auto"/>
          <w:sz w:val="24"/>
          <w:szCs w:val="24"/>
          <w:highlight w:val="none"/>
        </w:rPr>
        <w:t>投标文件的密封和标记</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18.1递交的电子投标文件（不含备用光盘）必须进行加密。按照交易平台关于</w:t>
      </w:r>
      <w:r>
        <w:rPr>
          <w:rFonts w:hint="eastAsia" w:ascii="宋体" w:hAnsi="宋体" w:cs="宋体"/>
          <w:color w:val="auto"/>
          <w:sz w:val="24"/>
          <w:szCs w:val="24"/>
          <w:highlight w:val="none"/>
        </w:rPr>
        <w:t>全流程电子化项目的相关指南进行操作。详见：</w:t>
      </w:r>
      <w:r>
        <w:rPr>
          <w:rFonts w:hint="eastAsia" w:ascii="宋体" w:hAnsi="宋体" w:cs="宋体"/>
          <w:color w:val="auto"/>
          <w:sz w:val="24"/>
          <w:highlight w:val="none"/>
          <w:u w:val="single"/>
        </w:rPr>
        <w:t>广州公共资源交易中心网站发布的最新版操作指引</w:t>
      </w:r>
      <w:r>
        <w:rPr>
          <w:rFonts w:hint="eastAsia" w:ascii="宋体" w:hAnsi="宋体" w:cs="宋体"/>
          <w:color w:val="auto"/>
          <w:sz w:val="24"/>
          <w:szCs w:val="24"/>
          <w:highlight w:val="none"/>
        </w:rPr>
        <w:t>。</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18.2 未按要求加密的投标文件，</w:t>
      </w:r>
      <w:r>
        <w:rPr>
          <w:rFonts w:hint="eastAsia" w:ascii="宋体" w:hAnsi="宋体" w:cs="宋体"/>
          <w:color w:val="auto"/>
          <w:sz w:val="24"/>
          <w:szCs w:val="24"/>
          <w:highlight w:val="none"/>
          <w:u w:val="single"/>
        </w:rPr>
        <w:t>广州公共资源交易中心交易平台（网址：http://www.gzggzy.cn）</w:t>
      </w:r>
      <w:r>
        <w:rPr>
          <w:rFonts w:hint="eastAsia" w:ascii="宋体" w:hAnsi="宋体" w:cs="宋体"/>
          <w:bCs/>
          <w:color w:val="auto"/>
          <w:sz w:val="24"/>
          <w:highlight w:val="none"/>
        </w:rPr>
        <w:t>将予以拒收。</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19．投标文件的递交和接收</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19.1投标人通过</w:t>
      </w:r>
      <w:r>
        <w:rPr>
          <w:rFonts w:hint="eastAsia" w:ascii="宋体" w:hAnsi="宋体" w:cs="宋体"/>
          <w:color w:val="auto"/>
          <w:sz w:val="24"/>
          <w:szCs w:val="24"/>
          <w:highlight w:val="none"/>
          <w:u w:val="single"/>
        </w:rPr>
        <w:t>广州公共资源交易中心交易平台（网址：http://www.gzggzy.cn）</w:t>
      </w:r>
      <w:r>
        <w:rPr>
          <w:rFonts w:hint="eastAsia" w:ascii="宋体" w:hAnsi="宋体" w:cs="宋体"/>
          <w:color w:val="auto"/>
          <w:sz w:val="24"/>
          <w:highlight w:val="none"/>
        </w:rPr>
        <w:t>递交电子投标文件。</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19.2投标人完成电子</w:t>
      </w:r>
      <w:r>
        <w:rPr>
          <w:rFonts w:hint="eastAsia" w:ascii="宋体" w:hAnsi="宋体" w:cs="宋体"/>
          <w:color w:val="auto"/>
          <w:sz w:val="24"/>
          <w:highlight w:val="none"/>
        </w:rPr>
        <w:t>投标文件</w:t>
      </w:r>
      <w:r>
        <w:rPr>
          <w:rFonts w:hint="eastAsia" w:ascii="宋体" w:hAnsi="宋体" w:cs="宋体"/>
          <w:bCs/>
          <w:color w:val="auto"/>
          <w:sz w:val="24"/>
          <w:highlight w:val="none"/>
        </w:rPr>
        <w:t>上传后，</w:t>
      </w:r>
      <w:r>
        <w:rPr>
          <w:rFonts w:hint="eastAsia" w:ascii="宋体" w:hAnsi="宋体" w:cs="宋体"/>
          <w:color w:val="auto"/>
          <w:sz w:val="24"/>
          <w:szCs w:val="24"/>
          <w:highlight w:val="none"/>
          <w:u w:val="single"/>
        </w:rPr>
        <w:t>广州公共资源交易中心交易平台（网址：http://www.gzggzy.cn）</w:t>
      </w:r>
      <w:r>
        <w:rPr>
          <w:rFonts w:hint="eastAsia" w:ascii="宋体" w:hAnsi="宋体" w:cs="宋体"/>
          <w:color w:val="auto"/>
          <w:sz w:val="24"/>
          <w:highlight w:val="none"/>
        </w:rPr>
        <w:t>即时向投标人发出递交回执通知。递交时间以递交回执通知载明的传输完成时间为准。</w:t>
      </w:r>
    </w:p>
    <w:p>
      <w:pPr>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19.3</w:t>
      </w:r>
      <w:r>
        <w:rPr>
          <w:rFonts w:hint="eastAsia" w:ascii="宋体" w:hAnsi="宋体" w:cs="宋体"/>
          <w:bCs/>
          <w:color w:val="auto"/>
          <w:sz w:val="24"/>
          <w:szCs w:val="24"/>
          <w:highlight w:val="none"/>
        </w:rPr>
        <w:t>逾期送达的</w:t>
      </w:r>
      <w:r>
        <w:rPr>
          <w:rFonts w:hint="eastAsia" w:ascii="宋体" w:hAnsi="宋体" w:cs="宋体"/>
          <w:bCs/>
          <w:color w:val="auto"/>
          <w:sz w:val="24"/>
          <w:highlight w:val="none"/>
        </w:rPr>
        <w:t>电子投标文件，</w:t>
      </w:r>
      <w:r>
        <w:rPr>
          <w:rFonts w:hint="eastAsia" w:ascii="宋体" w:hAnsi="宋体" w:cs="宋体"/>
          <w:color w:val="auto"/>
          <w:sz w:val="24"/>
          <w:szCs w:val="24"/>
          <w:highlight w:val="none"/>
          <w:u w:val="single"/>
        </w:rPr>
        <w:t>广州公共资源交易中心交易平台（网址：http://www.gzggzy.cn）</w:t>
      </w:r>
      <w:r>
        <w:rPr>
          <w:rFonts w:hint="eastAsia" w:ascii="宋体" w:hAnsi="宋体" w:cs="宋体"/>
          <w:color w:val="auto"/>
          <w:sz w:val="24"/>
          <w:highlight w:val="none"/>
        </w:rPr>
        <w:t>将予以拒收。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19.4 </w:t>
      </w:r>
      <w:r>
        <w:rPr>
          <w:rFonts w:hint="eastAsia" w:ascii="宋体" w:hAnsi="宋体" w:cs="宋体"/>
          <w:color w:val="auto"/>
          <w:sz w:val="24"/>
          <w:szCs w:val="24"/>
          <w:highlight w:val="none"/>
        </w:rPr>
        <w:t>投标截止前，招标人拒绝接收符合条件的投标文件，投标人可向招标投标监督机构投诉。</w:t>
      </w:r>
    </w:p>
    <w:p>
      <w:pPr>
        <w:spacing w:line="360" w:lineRule="auto"/>
        <w:ind w:firstLine="480" w:firstLineChars="200"/>
        <w:rPr>
          <w:rFonts w:hint="eastAsia" w:ascii="宋体" w:hAnsi="宋体" w:cs="宋体"/>
          <w:strike/>
          <w:color w:val="auto"/>
          <w:sz w:val="24"/>
          <w:highlight w:val="none"/>
        </w:rPr>
      </w:pPr>
      <w:r>
        <w:rPr>
          <w:rFonts w:hint="eastAsia" w:ascii="宋体" w:hAnsi="宋体" w:cs="宋体"/>
          <w:color w:val="auto"/>
          <w:sz w:val="24"/>
          <w:highlight w:val="none"/>
        </w:rPr>
        <w:t>19.5</w:t>
      </w:r>
      <w:r>
        <w:rPr>
          <w:rFonts w:hint="eastAsia" w:ascii="宋体" w:hAnsi="宋体" w:cs="宋体"/>
          <w:color w:val="auto"/>
          <w:sz w:val="24"/>
          <w:szCs w:val="24"/>
          <w:highlight w:val="none"/>
        </w:rPr>
        <w:t>成功递交电子投标文件的，</w:t>
      </w:r>
      <w:r>
        <w:rPr>
          <w:rFonts w:hint="eastAsia" w:ascii="宋体" w:hAnsi="宋体" w:cs="宋体"/>
          <w:color w:val="auto"/>
          <w:sz w:val="24"/>
          <w:szCs w:val="24"/>
          <w:highlight w:val="none"/>
          <w:u w:val="single"/>
        </w:rPr>
        <w:t>广州公共资源交易中心交易平台（网址：http://www.gzggzy.cn）</w:t>
      </w:r>
      <w:r>
        <w:rPr>
          <w:rFonts w:hint="eastAsia" w:ascii="宋体" w:hAnsi="宋体" w:cs="宋体"/>
          <w:color w:val="auto"/>
          <w:sz w:val="24"/>
          <w:szCs w:val="24"/>
          <w:highlight w:val="none"/>
        </w:rPr>
        <w:t>将按招标文件规定的时间开启技术标、经济标。</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20．投标文件提交的截止时间</w:t>
      </w:r>
    </w:p>
    <w:p>
      <w:pPr>
        <w:spacing w:line="360" w:lineRule="auto"/>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20.1投标人应在投标须知前附表第17项所述的时间前提交投标文件。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20.3 到投标截止时间止，招标人收到的投标文件少于3家的，招标人将重新组织招标</w:t>
      </w:r>
      <w:r>
        <w:rPr>
          <w:rFonts w:hint="eastAsia" w:ascii="宋体" w:hAnsi="宋体" w:cs="宋体"/>
          <w:color w:val="auto"/>
          <w:sz w:val="24"/>
          <w:szCs w:val="24"/>
          <w:highlight w:val="none"/>
        </w:rPr>
        <w:t>（当N个标段同时招标且不允许兼中时，若有效投标人不足N+2家，则重新组织招标）</w:t>
      </w:r>
      <w:r>
        <w:rPr>
          <w:rFonts w:hint="eastAsia" w:ascii="宋体" w:hAnsi="宋体" w:cs="宋体"/>
          <w:color w:val="auto"/>
          <w:sz w:val="24"/>
          <w:highlight w:val="none"/>
        </w:rPr>
        <w:t>。</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21．迟交的投标文件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 本须知前附表第17项规定的投标截止时间</w:t>
      </w:r>
      <w:r>
        <w:rPr>
          <w:rFonts w:hint="eastAsia" w:ascii="宋体" w:hAnsi="宋体" w:cs="宋体"/>
          <w:bCs/>
          <w:color w:val="auto"/>
          <w:sz w:val="24"/>
          <w:szCs w:val="24"/>
          <w:highlight w:val="none"/>
        </w:rPr>
        <w:t>后送达的</w:t>
      </w:r>
      <w:r>
        <w:rPr>
          <w:rFonts w:hint="eastAsia" w:ascii="宋体" w:hAnsi="宋体" w:cs="宋体"/>
          <w:bCs/>
          <w:color w:val="auto"/>
          <w:sz w:val="24"/>
          <w:highlight w:val="none"/>
        </w:rPr>
        <w:t>电子投标文件，</w:t>
      </w:r>
      <w:r>
        <w:rPr>
          <w:rFonts w:hint="eastAsia" w:ascii="宋体" w:hAnsi="宋体" w:cs="宋体"/>
          <w:color w:val="auto"/>
          <w:sz w:val="24"/>
          <w:szCs w:val="24"/>
          <w:highlight w:val="none"/>
          <w:u w:val="single"/>
        </w:rPr>
        <w:t>广州公共资源交易中心交易平台（网址：http://www.gzggzy.cn）</w:t>
      </w:r>
      <w:r>
        <w:rPr>
          <w:rFonts w:hint="eastAsia" w:ascii="宋体" w:hAnsi="宋体" w:cs="宋体"/>
          <w:color w:val="auto"/>
          <w:sz w:val="24"/>
          <w:highlight w:val="none"/>
        </w:rPr>
        <w:t>将予以拒收。</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22．投标文件的修改与撤回</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22.1在规定的投标截止时间前，投标人可以修改或撤回已递交的投标文件，但应以书面形式通知招标人。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22.2投标人修改或撤回已递交的投标文件，需在</w:t>
      </w:r>
      <w:r>
        <w:rPr>
          <w:rFonts w:hint="eastAsia" w:ascii="宋体" w:hAnsi="宋体" w:cs="宋体"/>
          <w:color w:val="auto"/>
          <w:sz w:val="24"/>
          <w:highlight w:val="none"/>
        </w:rPr>
        <w:t>交易平台发出修改或撤回</w:t>
      </w:r>
      <w:r>
        <w:rPr>
          <w:rFonts w:hint="eastAsia" w:ascii="宋体" w:hAnsi="宋体" w:cs="宋体"/>
          <w:color w:val="auto"/>
          <w:sz w:val="24"/>
          <w:szCs w:val="24"/>
          <w:highlight w:val="none"/>
        </w:rPr>
        <w:t>通知，并按要求加盖电子印章。</w:t>
      </w:r>
      <w:r>
        <w:rPr>
          <w:rFonts w:hint="eastAsia" w:ascii="宋体" w:hAnsi="宋体" w:cs="宋体"/>
          <w:bCs/>
          <w:iCs/>
          <w:color w:val="auto"/>
          <w:sz w:val="24"/>
          <w:szCs w:val="24"/>
          <w:highlight w:val="none"/>
        </w:rPr>
        <w:t>电子招标投标交易平台收到通知后，</w:t>
      </w:r>
      <w:r>
        <w:rPr>
          <w:rFonts w:hint="eastAsia" w:ascii="宋体" w:hAnsi="宋体" w:cs="宋体"/>
          <w:color w:val="auto"/>
          <w:sz w:val="24"/>
          <w:szCs w:val="24"/>
          <w:highlight w:val="none"/>
        </w:rPr>
        <w:t>即时向投标人发出确认回执通知。</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22.3修改后再次递交的，按19点的规定执行。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22.4 在投标截止时间之后，投标人不得补充、修改和更换投标文件。</w:t>
      </w:r>
    </w:p>
    <w:p>
      <w:pPr>
        <w:pStyle w:val="5"/>
        <w:spacing w:before="156" w:after="156"/>
        <w:jc w:val="center"/>
        <w:rPr>
          <w:rFonts w:hint="eastAsia" w:cs="宋体"/>
          <w:color w:val="auto"/>
          <w:highlight w:val="none"/>
        </w:rPr>
      </w:pPr>
      <w:bookmarkStart w:id="8" w:name="_Toc29937"/>
      <w:r>
        <w:rPr>
          <w:rFonts w:hint="eastAsia" w:cs="宋体"/>
          <w:color w:val="auto"/>
          <w:highlight w:val="none"/>
        </w:rPr>
        <w:t>（五）开标、评标、定标及合同签定</w:t>
      </w:r>
      <w:bookmarkEnd w:id="8"/>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23、开标。</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详见第二章开标、评标及定标办法</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24．评标过程的保密</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24.1 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24.2 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25．投标文件的澄清，计算错误的修正</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详见招标文件第二章开标、评标及定标办法</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26．投标文件的评审、比较和否决</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color w:val="auto"/>
          <w:sz w:val="24"/>
          <w:highlight w:val="none"/>
        </w:rPr>
        <w:t>详见招标文件第二章开标、评标及定标办法。</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27．中标通知书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27.1招标人将在</w:t>
      </w:r>
      <w:r>
        <w:rPr>
          <w:rFonts w:hint="eastAsia" w:ascii="宋体" w:hAnsi="宋体" w:cs="宋体"/>
          <w:color w:val="auto"/>
          <w:sz w:val="24"/>
          <w:szCs w:val="24"/>
          <w:highlight w:val="none"/>
          <w:u w:val="single"/>
        </w:rPr>
        <w:t>广州公共资源交易中心交易平台（网址：http://www.gzggzy.cn）</w:t>
      </w:r>
      <w:r>
        <w:rPr>
          <w:rFonts w:hint="eastAsia" w:ascii="宋体" w:hAnsi="宋体" w:cs="宋体"/>
          <w:color w:val="auto"/>
          <w:sz w:val="24"/>
          <w:highlight w:val="none"/>
        </w:rPr>
        <w:t>、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27.2招标人应当自确定中标人后，向招标投标监管机构提交招标投标情况的书面报告；经招投标监管机构备案后，方可发出中标通知书。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27.3中标人必须在收到中标通知书后24小时之内以书面形式回复招标人，确认收到。</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27.4在产生中标候选人后，招标人将中标候选人的投标文件商务部分</w:t>
      </w:r>
      <w:r>
        <w:rPr>
          <w:rFonts w:hint="eastAsia" w:ascii="宋体" w:hAnsi="宋体" w:cs="宋体"/>
          <w:color w:val="auto"/>
          <w:sz w:val="24"/>
          <w:szCs w:val="21"/>
          <w:highlight w:val="none"/>
        </w:rPr>
        <w:t>的人员、业绩、奖项等资料</w:t>
      </w:r>
      <w:r>
        <w:rPr>
          <w:rFonts w:hint="eastAsia" w:ascii="宋体" w:hAnsi="宋体" w:cs="宋体"/>
          <w:color w:val="auto"/>
          <w:sz w:val="24"/>
          <w:highlight w:val="none"/>
        </w:rPr>
        <w:t>在</w:t>
      </w:r>
      <w:r>
        <w:rPr>
          <w:rFonts w:hint="eastAsia" w:ascii="宋体" w:hAnsi="宋体" w:cs="宋体"/>
          <w:color w:val="auto"/>
          <w:sz w:val="24"/>
          <w:szCs w:val="24"/>
          <w:highlight w:val="none"/>
          <w:u w:val="single"/>
        </w:rPr>
        <w:t>广州公共资源交易中心交易平台（网址：http://www.gzggzy.cn）</w:t>
      </w:r>
      <w:r>
        <w:rPr>
          <w:rFonts w:hint="eastAsia" w:ascii="宋体" w:hAnsi="宋体" w:cs="宋体"/>
          <w:color w:val="auto"/>
          <w:sz w:val="24"/>
          <w:szCs w:val="24"/>
          <w:highlight w:val="none"/>
        </w:rPr>
        <w:t>和广东省招标投标监管网</w:t>
      </w:r>
      <w:r>
        <w:rPr>
          <w:rFonts w:hint="eastAsia" w:ascii="宋体" w:hAnsi="宋体" w:cs="宋体"/>
          <w:color w:val="auto"/>
          <w:sz w:val="24"/>
          <w:highlight w:val="none"/>
        </w:rPr>
        <w:t>公开。</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28．合同协议书的签订</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28.1 招标人与中标人将于中标通知书发出之日起</w:t>
      </w:r>
      <w:r>
        <w:rPr>
          <w:rFonts w:hint="eastAsia" w:ascii="宋体" w:hAnsi="宋体" w:cs="宋体"/>
          <w:color w:val="auto"/>
          <w:sz w:val="24"/>
          <w:highlight w:val="none"/>
          <w:u w:val="single"/>
        </w:rPr>
        <w:t>30</w:t>
      </w:r>
      <w:r>
        <w:rPr>
          <w:rFonts w:hint="eastAsia" w:ascii="宋体" w:hAnsi="宋体" w:cs="宋体"/>
          <w:color w:val="auto"/>
          <w:sz w:val="24"/>
          <w:highlight w:val="none"/>
        </w:rPr>
        <w:t>日内，按照招标文件和中标人的投标文件商定和签订合同，招标人和中标人不得再行订立背离合同实质性内容的其他协议。</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28.2中标通知书发出之日起</w:t>
      </w:r>
      <w:r>
        <w:rPr>
          <w:rFonts w:hint="eastAsia" w:ascii="宋体" w:hAnsi="宋体" w:cs="宋体"/>
          <w:color w:val="auto"/>
          <w:sz w:val="24"/>
          <w:highlight w:val="none"/>
          <w:u w:val="single"/>
        </w:rPr>
        <w:t>30</w:t>
      </w:r>
      <w:r>
        <w:rPr>
          <w:rFonts w:hint="eastAsia" w:ascii="宋体" w:hAnsi="宋体" w:cs="宋体"/>
          <w:color w:val="auto"/>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28.3非经招标人同意，中标人在投标过程中使用的银行名称及帐号至完成竣工结算不得变更，否则招标人有权停止工程款项的拔付及至解除合同，由此造成的一切责任由中标人承担。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28.4招标人支付工程款时，中标人应按规定开具发票。</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29．履约担保</w:t>
      </w:r>
    </w:p>
    <w:p>
      <w:pPr>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29.1中标（承包）单位在收到中标通知书之日起，中标人应以中标人名义按本须知前附表第20项的规定向招标人提交履约担保。中标人如采用银行履约保函方式提交的，中标人应以中标人名义用银行履约保函方式提交经业主认可的见索即付银行保函作为履约保证金，履约保证金为中标价的10%，银行履约保函由中国境内注册的国有商业银行开具保函，是不可撤销的保函。若在中标通知书发放后，中标人未提交履约保函或未征得招标人同意延期缴交的，招标人有权取消其中标资格并没收其投标保证金，并选取第二中标候选人替补。上述履约保函作为本合同的组成文件之一。</w:t>
      </w:r>
    </w:p>
    <w:p>
      <w:pPr>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29.2中标（承包）单位在收到中标通知书之日起，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30．合同生效</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30.1在合同双方全权代表在合同协议书上签字，并分别加盖双方单位的公章后，合同正式生效。</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31．其它费用</w:t>
      </w:r>
    </w:p>
    <w:p>
      <w:pPr>
        <w:pStyle w:val="19"/>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kern w:val="2"/>
          <w:sz w:val="24"/>
          <w:szCs w:val="22"/>
          <w:highlight w:val="none"/>
          <w:lang w:val="en-US" w:eastAsia="zh-CN"/>
        </w:rPr>
        <w:t xml:space="preserve">31.1 </w:t>
      </w:r>
      <w:r>
        <w:rPr>
          <w:rFonts w:hint="eastAsia" w:ascii="宋体" w:hAnsi="宋体" w:cs="宋体"/>
          <w:color w:val="auto"/>
          <w:kern w:val="2"/>
          <w:sz w:val="24"/>
          <w:szCs w:val="22"/>
          <w:highlight w:val="none"/>
          <w:u w:val="single"/>
          <w:lang w:val="en-US" w:eastAsia="zh-CN"/>
        </w:rPr>
        <w:t>2、中标人按《广州市发展改革委转发省发展改革委关于规范公共资源交易服务收费及有关问题的通知》（穗发改〔2017〕811号）文件的规定，向广州公共资源交易中心代缴交易服务费及评标专家费，交易服务费的金额为中标总金额的0.9‰，其费用包含在中标人投标报价中，招标人不另行支付。</w:t>
      </w:r>
    </w:p>
    <w:p>
      <w:pPr>
        <w:pStyle w:val="50"/>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32．腐败与欺诈行为</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在招标和合同实施期间，招标人要求投标人和承包人遵守最高的道德标准。</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32．1对本条款的规定，特定义如下词汇：</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1）、“腐败行为”是指在招标或合同执行期间，通过提供、给予、接受或索要任何有价值的东西，从而影响招标人有关人员工作的行为；</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32．2如果投标人被认定在本招标的竞争中有腐败或欺诈行为，则会被取消投标资格。</w:t>
      </w:r>
    </w:p>
    <w:p>
      <w:pPr>
        <w:pStyle w:val="5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50"/>
        <w:spacing w:after="0" w:line="360" w:lineRule="auto"/>
        <w:ind w:firstLine="482" w:firstLineChars="200"/>
        <w:rPr>
          <w:rFonts w:hint="eastAsia" w:ascii="宋体" w:hAnsi="宋体" w:cs="宋体"/>
          <w:color w:val="auto"/>
          <w:sz w:val="24"/>
          <w:highlight w:val="none"/>
        </w:rPr>
      </w:pPr>
      <w:r>
        <w:rPr>
          <w:rFonts w:hint="eastAsia" w:ascii="宋体" w:hAnsi="宋体" w:eastAsia="宋体" w:cs="宋体"/>
          <w:b/>
          <w:bCs/>
          <w:color w:val="auto"/>
          <w:sz w:val="24"/>
          <w:szCs w:val="24"/>
          <w:highlight w:val="none"/>
          <w:lang w:val="en-US" w:eastAsia="zh-CN"/>
        </w:rPr>
        <w:t>33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工人工资：</w:t>
      </w:r>
      <w:r>
        <w:rPr>
          <w:rFonts w:hint="eastAsia" w:ascii="宋体" w:hAnsi="宋体" w:eastAsia="宋体" w:cs="宋体"/>
          <w:color w:val="auto"/>
          <w:sz w:val="24"/>
          <w:szCs w:val="24"/>
          <w:highlight w:val="none"/>
          <w:u w:val="single"/>
          <w:lang w:val="en-US" w:eastAsia="zh-CN"/>
        </w:rPr>
        <w:t>按《广州市住房和城乡建设局、广州市人力资源和社会保障局、广州市交通运输局等关于印发广州市建设领域工人工资支付分账管理实施细则的通知》（穗建规字〔2020〕37号）的规定执行</w:t>
      </w:r>
      <w:r>
        <w:rPr>
          <w:rFonts w:hint="eastAsia" w:ascii="宋体" w:hAnsi="宋体" w:cs="宋体"/>
          <w:color w:val="auto"/>
          <w:sz w:val="24"/>
          <w:highlight w:val="none"/>
        </w:rPr>
        <w:t>。</w:t>
      </w:r>
    </w:p>
    <w:p>
      <w:pPr>
        <w:pStyle w:val="50"/>
        <w:spacing w:after="0" w:line="360" w:lineRule="auto"/>
        <w:ind w:firstLine="480" w:firstLineChars="200"/>
        <w:rPr>
          <w:rFonts w:hint="eastAsia" w:ascii="宋体" w:hAnsi="宋体" w:cs="宋体"/>
          <w:color w:val="auto"/>
          <w:sz w:val="24"/>
          <w:highlight w:val="none"/>
        </w:rPr>
      </w:pPr>
    </w:p>
    <w:p>
      <w:pPr>
        <w:pStyle w:val="50"/>
        <w:spacing w:after="0" w:line="360" w:lineRule="auto"/>
        <w:ind w:firstLine="480" w:firstLineChars="200"/>
        <w:jc w:val="center"/>
        <w:outlineLvl w:val="0"/>
        <w:rPr>
          <w:rFonts w:hint="eastAsia" w:ascii="宋体" w:hAnsi="宋体" w:cs="宋体"/>
          <w:b/>
          <w:bCs/>
          <w:color w:val="auto"/>
          <w:sz w:val="30"/>
          <w:szCs w:val="30"/>
          <w:highlight w:val="none"/>
        </w:rPr>
      </w:pPr>
      <w:r>
        <w:rPr>
          <w:rFonts w:hint="eastAsia" w:ascii="宋体" w:hAnsi="宋体" w:eastAsia="宋体" w:cs="宋体"/>
          <w:color w:val="auto"/>
          <w:sz w:val="24"/>
          <w:szCs w:val="24"/>
          <w:highlight w:val="none"/>
          <w:u w:val="single"/>
        </w:rPr>
        <w:br w:type="page"/>
      </w:r>
      <w:bookmarkStart w:id="9" w:name="_Toc15093"/>
      <w:r>
        <w:rPr>
          <w:rFonts w:hint="eastAsia" w:ascii="宋体" w:hAnsi="宋体" w:eastAsia="宋体" w:cs="宋体"/>
          <w:b/>
          <w:color w:val="auto"/>
          <w:kern w:val="0"/>
          <w:sz w:val="28"/>
          <w:szCs w:val="28"/>
          <w:highlight w:val="none"/>
          <w:lang w:val="en-US" w:eastAsia="zh-CN" w:bidi="ar-SA"/>
        </w:rPr>
        <w:t>第二章  开标、评标及定标办法</w:t>
      </w:r>
      <w:bookmarkEnd w:id="9"/>
    </w:p>
    <w:p>
      <w:pPr>
        <w:pStyle w:val="4"/>
        <w:rPr>
          <w:rFonts w:hint="eastAsia" w:ascii="宋体" w:hAnsi="宋体" w:cs="宋体"/>
          <w:color w:val="auto"/>
          <w:highlight w:val="none"/>
        </w:rPr>
      </w:pPr>
      <w:bookmarkStart w:id="10" w:name="_Toc27199"/>
      <w:r>
        <w:rPr>
          <w:rFonts w:hint="eastAsia" w:ascii="宋体" w:hAnsi="宋体" w:cs="宋体"/>
          <w:color w:val="auto"/>
          <w:sz w:val="28"/>
          <w:szCs w:val="28"/>
          <w:highlight w:val="none"/>
        </w:rPr>
        <w:t>一、</w:t>
      </w:r>
      <w:r>
        <w:rPr>
          <w:rFonts w:hint="eastAsia" w:ascii="宋体" w:hAnsi="宋体" w:cs="宋体"/>
          <w:color w:val="auto"/>
          <w:highlight w:val="none"/>
        </w:rPr>
        <w:t>开标、评标及定标办法修改表</w:t>
      </w:r>
      <w:bookmarkEnd w:id="10"/>
    </w:p>
    <w:p>
      <w:pPr>
        <w:spacing w:line="360" w:lineRule="auto"/>
        <w:ind w:firstLine="211" w:firstLineChars="100"/>
        <w:rPr>
          <w:rFonts w:hint="eastAsia" w:ascii="宋体" w:hAnsi="宋体" w:cs="宋体"/>
          <w:b/>
          <w:color w:val="auto"/>
          <w:szCs w:val="21"/>
          <w:highlight w:val="none"/>
        </w:rPr>
      </w:pPr>
      <w:r>
        <w:rPr>
          <w:rFonts w:hint="eastAsia" w:ascii="宋体" w:hAnsi="宋体" w:cs="宋体"/>
          <w:b/>
          <w:color w:val="auto"/>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pPr>
        <w:spacing w:line="360" w:lineRule="auto"/>
        <w:ind w:firstLine="472" w:firstLineChars="224"/>
        <w:rPr>
          <w:rStyle w:val="179"/>
          <w:rFonts w:ascii="宋体" w:hAnsi="宋体"/>
          <w:b/>
          <w:color w:val="auto"/>
          <w:szCs w:val="21"/>
          <w:highlight w:val="none"/>
        </w:rPr>
      </w:pPr>
      <w:r>
        <w:rPr>
          <w:rStyle w:val="179"/>
          <w:rFonts w:ascii="宋体" w:hAnsi="宋体"/>
          <w:b/>
          <w:color w:val="auto"/>
          <w:szCs w:val="21"/>
          <w:highlight w:val="none"/>
        </w:rPr>
        <w:t xml:space="preserve">条款号： </w:t>
      </w:r>
      <w:r>
        <w:rPr>
          <w:rStyle w:val="179"/>
          <w:rFonts w:ascii="宋体" w:hAnsi="宋体"/>
          <w:color w:val="auto"/>
          <w:szCs w:val="21"/>
          <w:highlight w:val="none"/>
        </w:rPr>
        <w:t>36.1</w:t>
      </w:r>
      <w:r>
        <w:rPr>
          <w:rStyle w:val="179"/>
          <w:rFonts w:ascii="宋体" w:hAnsi="宋体"/>
          <w:b/>
          <w:color w:val="auto"/>
          <w:szCs w:val="21"/>
          <w:highlight w:val="none"/>
        </w:rPr>
        <w:t xml:space="preserve">            修改类型：修改</w:t>
      </w:r>
    </w:p>
    <w:p>
      <w:pPr>
        <w:spacing w:line="360" w:lineRule="auto"/>
        <w:ind w:firstLine="472" w:firstLineChars="224"/>
        <w:rPr>
          <w:rStyle w:val="179"/>
          <w:rFonts w:ascii="宋体" w:hAnsi="宋体"/>
          <w:b/>
          <w:color w:val="auto"/>
          <w:szCs w:val="21"/>
          <w:highlight w:val="none"/>
        </w:rPr>
      </w:pPr>
      <w:r>
        <w:rPr>
          <w:rStyle w:val="179"/>
          <w:rFonts w:ascii="宋体" w:hAnsi="宋体"/>
          <w:b/>
          <w:color w:val="auto"/>
          <w:szCs w:val="21"/>
          <w:highlight w:val="none"/>
        </w:rPr>
        <w:t>原文：</w:t>
      </w:r>
      <w:r>
        <w:rPr>
          <w:rStyle w:val="179"/>
          <w:rFonts w:hint="eastAsia" w:ascii="宋体" w:hAnsi="宋体" w:eastAsia="宋体" w:cs="Times New Roman"/>
          <w:color w:val="auto"/>
          <w:sz w:val="24"/>
          <w:szCs w:val="22"/>
          <w:highlight w:val="none"/>
        </w:rPr>
        <w:t>36.1 招标人按投标须知前附表第18项所规定的时间和地点公开开标，并邀请所有投标人参加。截标后，开标开始时间因故推迟的，相关评标信息仍以原定的开标开始时间的信息为准。</w:t>
      </w:r>
    </w:p>
    <w:p>
      <w:pPr>
        <w:pBdr>
          <w:bottom w:val="single" w:color="000000" w:sz="6" w:space="1"/>
        </w:pBdr>
        <w:spacing w:line="360" w:lineRule="auto"/>
        <w:ind w:firstLine="422" w:firstLineChars="200"/>
        <w:rPr>
          <w:rStyle w:val="179"/>
          <w:rFonts w:ascii="宋体" w:hAnsi="宋体"/>
          <w:b/>
          <w:color w:val="auto"/>
          <w:szCs w:val="21"/>
          <w:highlight w:val="none"/>
        </w:rPr>
      </w:pPr>
      <w:r>
        <w:rPr>
          <w:rStyle w:val="179"/>
          <w:rFonts w:ascii="宋体" w:hAnsi="宋体"/>
          <w:b/>
          <w:color w:val="auto"/>
          <w:szCs w:val="21"/>
          <w:highlight w:val="none"/>
        </w:rPr>
        <w:t>现文：</w:t>
      </w:r>
      <w:r>
        <w:rPr>
          <w:rStyle w:val="179"/>
          <w:rFonts w:ascii="宋体" w:hAnsi="宋体"/>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r>
        <w:rPr>
          <w:rStyle w:val="179"/>
          <w:rFonts w:ascii="宋体" w:hAnsi="宋体"/>
          <w:color w:val="auto"/>
          <w:sz w:val="24"/>
          <w:szCs w:val="24"/>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条款号：36.3             修改类型：删除</w:t>
      </w:r>
    </w:p>
    <w:p>
      <w:pPr>
        <w:pBdr>
          <w:bottom w:val="single" w:color="auto" w:sz="6" w:space="1"/>
        </w:pBd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 w:val="24"/>
          <w:szCs w:val="24"/>
          <w:highlight w:val="none"/>
        </w:rPr>
        <w:t>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条款号：36.5.1             修改类型：修改</w:t>
      </w:r>
    </w:p>
    <w:p>
      <w:pPr>
        <w:spacing w:line="360" w:lineRule="auto"/>
        <w:ind w:firstLine="472" w:firstLineChars="224"/>
        <w:rPr>
          <w:rFonts w:hint="eastAsia" w:ascii="宋体" w:hAnsi="宋体" w:eastAsia="宋体" w:cs="宋体"/>
          <w:color w:val="auto"/>
          <w:sz w:val="24"/>
          <w:szCs w:val="24"/>
          <w:highlight w:val="none"/>
        </w:rPr>
      </w:pPr>
      <w:r>
        <w:rPr>
          <w:rFonts w:hint="eastAsia" w:ascii="宋体" w:hAnsi="宋体" w:cs="宋体"/>
          <w:b/>
          <w:color w:val="auto"/>
          <w:szCs w:val="21"/>
          <w:highlight w:val="none"/>
        </w:rPr>
        <w:t>原文：</w:t>
      </w:r>
      <w:r>
        <w:rPr>
          <w:rFonts w:hint="eastAsia" w:ascii="宋体" w:hAnsi="宋体" w:eastAsia="宋体" w:cs="宋体"/>
          <w:color w:val="auto"/>
          <w:sz w:val="24"/>
          <w:szCs w:val="24"/>
          <w:highlight w:val="none"/>
        </w:rPr>
        <w:t>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pPr>
        <w:pBdr>
          <w:bottom w:val="single" w:color="auto" w:sz="6" w:space="1"/>
        </w:pBdr>
        <w:spacing w:line="360" w:lineRule="auto"/>
        <w:ind w:firstLine="527" w:firstLineChars="250"/>
        <w:rPr>
          <w:rFonts w:hint="eastAsia" w:ascii="宋体" w:hAnsi="宋体" w:cs="宋体"/>
          <w:color w:val="auto"/>
          <w:sz w:val="24"/>
          <w:highlight w:val="none"/>
        </w:rPr>
      </w:pPr>
      <w:r>
        <w:rPr>
          <w:rFonts w:hint="eastAsia" w:ascii="宋体" w:hAnsi="宋体" w:cs="宋体"/>
          <w:b/>
          <w:color w:val="auto"/>
          <w:szCs w:val="21"/>
          <w:highlight w:val="none"/>
        </w:rPr>
        <w:t>现文：</w:t>
      </w:r>
      <w:r>
        <w:rPr>
          <w:rFonts w:hint="eastAsia" w:ascii="宋体" w:hAnsi="宋体" w:cs="宋体"/>
          <w:color w:val="auto"/>
          <w:sz w:val="24"/>
          <w:highlight w:val="none"/>
        </w:rPr>
        <w:t>在投标截止时间后半小时内，投标人通过</w:t>
      </w:r>
      <w:r>
        <w:rPr>
          <w:rFonts w:hint="eastAsia" w:ascii="宋体" w:hAnsi="宋体" w:cs="宋体"/>
          <w:color w:val="auto"/>
          <w:sz w:val="24"/>
          <w:highlight w:val="none"/>
          <w:u w:val="single"/>
        </w:rPr>
        <w:t>广州公共资源交易中心交易平台（网址：http://www.gzggzy.cn）</w:t>
      </w:r>
      <w:r>
        <w:rPr>
          <w:rFonts w:hint="eastAsia" w:ascii="宋体" w:hAnsi="宋体" w:cs="宋体"/>
          <w:color w:val="auto"/>
          <w:sz w:val="24"/>
          <w:highlight w:val="none"/>
        </w:rPr>
        <w:t>对已递交的电子投标文件进行解密。投标人完成解密后，再由</w:t>
      </w:r>
      <w:r>
        <w:rPr>
          <w:rFonts w:hint="eastAsia" w:ascii="宋体" w:hAnsi="宋体" w:cs="宋体"/>
          <w:color w:val="auto"/>
          <w:sz w:val="24"/>
          <w:highlight w:val="none"/>
          <w:u w:val="single"/>
        </w:rPr>
        <w:t>招标人或招标代理机构</w:t>
      </w:r>
      <w:r>
        <w:rPr>
          <w:rFonts w:hint="eastAsia" w:ascii="宋体" w:hAnsi="宋体" w:cs="宋体"/>
          <w:color w:val="auto"/>
          <w:sz w:val="24"/>
          <w:highlight w:val="none"/>
        </w:rPr>
        <w:t>进行解密。解密完成后，公布招标项目名称、投标人名称、投标保证金的递交情况、投标报价、工期及其他内容；</w:t>
      </w:r>
    </w:p>
    <w:p>
      <w:pPr>
        <w:spacing w:line="400" w:lineRule="exact"/>
        <w:ind w:firstLine="540" w:firstLineChars="224"/>
        <w:rPr>
          <w:rFonts w:hint="eastAsia" w:ascii="宋体" w:hAnsi="宋体"/>
          <w:b/>
          <w:color w:val="auto"/>
          <w:sz w:val="24"/>
          <w:szCs w:val="24"/>
          <w:highlight w:val="none"/>
        </w:rPr>
      </w:pPr>
      <w:r>
        <w:rPr>
          <w:rFonts w:hint="eastAsia" w:ascii="宋体" w:hAnsi="宋体"/>
          <w:b/>
          <w:color w:val="auto"/>
          <w:sz w:val="24"/>
          <w:szCs w:val="24"/>
          <w:highlight w:val="none"/>
        </w:rPr>
        <w:t xml:space="preserve">条款号： </w:t>
      </w:r>
      <w:r>
        <w:rPr>
          <w:rFonts w:hint="eastAsia" w:ascii="宋体" w:hAnsi="宋体"/>
          <w:color w:val="auto"/>
          <w:sz w:val="24"/>
          <w:szCs w:val="24"/>
          <w:highlight w:val="none"/>
        </w:rPr>
        <w:t>36.5.3</w:t>
      </w:r>
      <w:r>
        <w:rPr>
          <w:rFonts w:hint="eastAsia" w:ascii="宋体" w:hAnsi="宋体"/>
          <w:b/>
          <w:color w:val="auto"/>
          <w:sz w:val="24"/>
          <w:szCs w:val="24"/>
          <w:highlight w:val="none"/>
        </w:rPr>
        <w:t xml:space="preserve">           修改类型：修改</w:t>
      </w:r>
    </w:p>
    <w:p>
      <w:pPr>
        <w:spacing w:line="400" w:lineRule="exact"/>
        <w:ind w:firstLine="482" w:firstLineChars="200"/>
        <w:rPr>
          <w:rFonts w:hint="eastAsia" w:ascii="宋体" w:hAnsi="宋体"/>
          <w:color w:val="auto"/>
          <w:sz w:val="24"/>
          <w:szCs w:val="24"/>
          <w:highlight w:val="none"/>
        </w:rPr>
      </w:pPr>
      <w:r>
        <w:rPr>
          <w:rFonts w:hint="eastAsia" w:ascii="宋体" w:hAnsi="宋体"/>
          <w:b/>
          <w:color w:val="auto"/>
          <w:sz w:val="24"/>
          <w:szCs w:val="24"/>
          <w:highlight w:val="none"/>
        </w:rPr>
        <w:t>原文：</w:t>
      </w:r>
      <w:r>
        <w:rPr>
          <w:rFonts w:hint="eastAsia" w:ascii="宋体" w:hAnsi="宋体"/>
          <w:color w:val="auto"/>
          <w:sz w:val="24"/>
          <w:szCs w:val="24"/>
          <w:highlight w:val="none"/>
        </w:rPr>
        <w:t>投标人代表、招标人代表、监标人、记录人等有关人员在开标记录上签字确认；若有关人员不签字的，不影响开标程序；</w:t>
      </w:r>
    </w:p>
    <w:p>
      <w:pPr>
        <w:pBdr>
          <w:bottom w:val="single" w:color="auto" w:sz="6" w:space="1"/>
        </w:pBdr>
        <w:spacing w:line="400" w:lineRule="exact"/>
        <w:ind w:firstLine="540" w:firstLineChars="224"/>
        <w:rPr>
          <w:rFonts w:hint="eastAsia" w:ascii="宋体" w:hAnsi="宋体"/>
          <w:color w:val="auto"/>
          <w:sz w:val="24"/>
          <w:szCs w:val="24"/>
          <w:highlight w:val="none"/>
          <w:u w:val="single"/>
        </w:rPr>
      </w:pPr>
      <w:r>
        <w:rPr>
          <w:rFonts w:hint="eastAsia" w:ascii="宋体" w:hAnsi="宋体"/>
          <w:b/>
          <w:color w:val="auto"/>
          <w:sz w:val="24"/>
          <w:szCs w:val="24"/>
          <w:highlight w:val="none"/>
        </w:rPr>
        <w:t>现文：</w:t>
      </w:r>
      <w:r>
        <w:rPr>
          <w:rFonts w:hint="eastAsia" w:ascii="宋体" w:hAnsi="宋体" w:cs="宋体"/>
          <w:color w:val="auto"/>
          <w:sz w:val="24"/>
          <w:highlight w:val="none"/>
        </w:rPr>
        <w:t>投标人代表、招标人代表、监标人、记录人等有关人员在开标记录上签字确认；若有关人员不签字的，不影响开标程序；</w:t>
      </w:r>
      <w:r>
        <w:rPr>
          <w:rFonts w:hint="eastAsia" w:ascii="宋体" w:hAnsi="宋体" w:cs="宋体"/>
          <w:color w:val="auto"/>
          <w:sz w:val="24"/>
          <w:highlight w:val="none"/>
          <w:u w:val="single"/>
        </w:rPr>
        <w:t>若投标人不参加开标会的，或不签字确认的，视同该投标人认可开标结果。</w:t>
      </w:r>
    </w:p>
    <w:p>
      <w:pPr>
        <w:spacing w:line="360" w:lineRule="auto"/>
        <w:ind w:firstLine="472" w:firstLineChars="224"/>
        <w:rPr>
          <w:rFonts w:ascii="宋体" w:hAnsi="宋体"/>
          <w:b/>
          <w:bCs/>
          <w:color w:val="auto"/>
          <w:szCs w:val="21"/>
          <w:highlight w:val="none"/>
        </w:rPr>
      </w:pPr>
      <w:r>
        <w:rPr>
          <w:rFonts w:hint="eastAsia" w:ascii="宋体" w:hAnsi="宋体"/>
          <w:b/>
          <w:bCs/>
          <w:color w:val="auto"/>
          <w:szCs w:val="21"/>
          <w:highlight w:val="none"/>
        </w:rPr>
        <w:t>条款号：</w:t>
      </w:r>
      <w:r>
        <w:rPr>
          <w:rFonts w:hint="eastAsia" w:ascii="宋体" w:hAnsi="宋体"/>
          <w:b/>
          <w:color w:val="auto"/>
          <w:szCs w:val="21"/>
          <w:highlight w:val="none"/>
        </w:rPr>
        <w:t xml:space="preserve">39.3 </w:t>
      </w:r>
      <w:r>
        <w:rPr>
          <w:rFonts w:ascii="宋体" w:hAnsi="宋体"/>
          <w:b/>
          <w:bCs/>
          <w:color w:val="auto"/>
          <w:szCs w:val="21"/>
          <w:highlight w:val="none"/>
        </w:rPr>
        <w:t xml:space="preserve">         </w:t>
      </w:r>
      <w:r>
        <w:rPr>
          <w:rFonts w:hint="eastAsia" w:ascii="宋体" w:hAnsi="宋体"/>
          <w:b/>
          <w:bCs/>
          <w:color w:val="auto"/>
          <w:szCs w:val="21"/>
          <w:highlight w:val="none"/>
        </w:rPr>
        <w:t>修改类型：修改</w:t>
      </w:r>
    </w:p>
    <w:p>
      <w:pPr>
        <w:spacing w:line="360" w:lineRule="auto"/>
        <w:ind w:firstLine="472" w:firstLineChars="224"/>
        <w:rPr>
          <w:rFonts w:ascii="宋体" w:hAnsi="宋体"/>
          <w:color w:val="auto"/>
          <w:szCs w:val="21"/>
          <w:highlight w:val="none"/>
        </w:rPr>
      </w:pPr>
      <w:r>
        <w:rPr>
          <w:rFonts w:hint="eastAsia" w:ascii="宋体" w:hAnsi="宋体"/>
          <w:b/>
          <w:bCs/>
          <w:color w:val="auto"/>
          <w:szCs w:val="21"/>
          <w:highlight w:val="none"/>
        </w:rPr>
        <w:t>原文：</w:t>
      </w:r>
      <w:r>
        <w:rPr>
          <w:rFonts w:hint="eastAsia" w:ascii="宋体" w:hAnsi="宋体"/>
          <w:color w:val="auto"/>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4" w:space="1"/>
        </w:pBdr>
        <w:spacing w:line="360" w:lineRule="auto"/>
        <w:ind w:firstLine="472" w:firstLineChars="224"/>
        <w:rPr>
          <w:rFonts w:ascii="宋体" w:hAnsi="宋体"/>
          <w:color w:val="auto"/>
          <w:szCs w:val="21"/>
          <w:highlight w:val="none"/>
        </w:rPr>
      </w:pPr>
      <w:r>
        <w:rPr>
          <w:rFonts w:hint="eastAsia" w:ascii="宋体" w:hAnsi="宋体"/>
          <w:b/>
          <w:bCs/>
          <w:color w:val="auto"/>
          <w:szCs w:val="21"/>
          <w:highlight w:val="none"/>
        </w:rPr>
        <w:t>现文：</w:t>
      </w:r>
      <w:r>
        <w:rPr>
          <w:rFonts w:hint="eastAsia" w:ascii="宋体" w:hAnsi="宋体" w:cs="宋体"/>
          <w:color w:val="auto"/>
          <w:sz w:val="24"/>
          <w:szCs w:val="24"/>
          <w:highlight w:val="none"/>
        </w:rPr>
        <w:t>排名第一的中标候选人放弃中标、或因不可抗力提出不能履行合同，或者招标文件规定应当提交履约担保而在规定的期限内未能提交的，</w:t>
      </w:r>
      <w:r>
        <w:rPr>
          <w:rFonts w:hint="eastAsia" w:ascii="宋体" w:hAnsi="宋体" w:cs="宋体"/>
          <w:color w:val="auto"/>
          <w:sz w:val="24"/>
          <w:szCs w:val="24"/>
          <w:highlight w:val="none"/>
          <w:u w:val="single"/>
        </w:rPr>
        <w:t>或者被查实存在影响中标结果的违法行为等情形，不符合中标条件的，招标人可以按照评标委员会推荐的中标候选人名单排序依次确定其他中标候选人为中标人，也可以重新招标。</w:t>
      </w:r>
    </w:p>
    <w:p>
      <w:pPr>
        <w:spacing w:after="50"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color w:val="auto"/>
          <w:sz w:val="22"/>
          <w:highlight w:val="none"/>
        </w:rPr>
        <w:t xml:space="preserve"> </w:t>
      </w:r>
      <w:r>
        <w:rPr>
          <w:rFonts w:hint="eastAsia" w:ascii="宋体" w:hAnsi="宋体" w:cs="宋体"/>
          <w:color w:val="auto"/>
          <w:sz w:val="22"/>
          <w:highlight w:val="none"/>
        </w:rPr>
        <w:t>39.4</w:t>
      </w:r>
      <w:r>
        <w:rPr>
          <w:rFonts w:hint="eastAsia" w:ascii="宋体" w:hAnsi="宋体" w:cs="宋体"/>
          <w:b/>
          <w:color w:val="auto"/>
          <w:sz w:val="22"/>
          <w:highlight w:val="none"/>
        </w:rPr>
        <w:t xml:space="preserve"> </w:t>
      </w:r>
      <w:r>
        <w:rPr>
          <w:rFonts w:hint="eastAsia" w:ascii="宋体" w:hAnsi="宋体" w:cs="宋体"/>
          <w:b/>
          <w:color w:val="auto"/>
          <w:szCs w:val="21"/>
          <w:highlight w:val="none"/>
        </w:rPr>
        <w:t xml:space="preserve">         修改类型：删除</w:t>
      </w:r>
    </w:p>
    <w:p>
      <w:pPr>
        <w:pBdr>
          <w:bottom w:val="single" w:color="auto" w:sz="4" w:space="1"/>
        </w:pBdr>
        <w:spacing w:line="360" w:lineRule="auto"/>
        <w:ind w:firstLine="472" w:firstLineChars="224"/>
        <w:rPr>
          <w:rFonts w:ascii="宋体" w:hAnsi="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 w:val="24"/>
          <w:szCs w:val="24"/>
          <w:highlight w:val="none"/>
        </w:rPr>
        <w:t>39.4排名第二的中标候选人出现前款所列的情形的，招标人可以确定排名第三的中标候选人为中标人。以此类推，如所有中标候选人均出现前款所列的情形，为招标失败，招标人依法重新招标。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72" w:firstLineChars="224"/>
        <w:rPr>
          <w:rStyle w:val="179"/>
          <w:rFonts w:hint="eastAsia" w:ascii="宋体" w:hAnsi="宋体"/>
          <w:b/>
          <w:color w:val="auto"/>
          <w:szCs w:val="21"/>
          <w:highlight w:val="none"/>
        </w:rPr>
      </w:pPr>
      <w:r>
        <w:rPr>
          <w:rStyle w:val="179"/>
          <w:rFonts w:ascii="宋体" w:hAnsi="宋体"/>
          <w:b/>
          <w:color w:val="auto"/>
          <w:szCs w:val="21"/>
          <w:highlight w:val="none"/>
        </w:rPr>
        <w:t>条款号：</w:t>
      </w:r>
      <w:r>
        <w:rPr>
          <w:rStyle w:val="179"/>
          <w:rFonts w:hint="eastAsia" w:ascii="宋体" w:hAnsi="宋体"/>
          <w:b/>
          <w:color w:val="auto"/>
          <w:szCs w:val="21"/>
          <w:highlight w:val="none"/>
        </w:rPr>
        <w:t>（二）开标评标办法程序和细则</w:t>
      </w:r>
    </w:p>
    <w:p>
      <w:pPr>
        <w:spacing w:line="360" w:lineRule="auto"/>
        <w:ind w:firstLine="472" w:firstLineChars="224"/>
        <w:rPr>
          <w:rStyle w:val="179"/>
          <w:rFonts w:hint="eastAsia" w:ascii="宋体" w:hAnsi="宋体"/>
          <w:b/>
          <w:color w:val="auto"/>
          <w:szCs w:val="21"/>
          <w:highlight w:val="none"/>
        </w:rPr>
      </w:pPr>
      <w:r>
        <w:rPr>
          <w:rStyle w:val="179"/>
          <w:rFonts w:ascii="宋体" w:hAnsi="宋体"/>
          <w:b/>
          <w:color w:val="auto"/>
          <w:szCs w:val="21"/>
          <w:highlight w:val="none"/>
        </w:rPr>
        <w:t xml:space="preserve">可选办法一（适合综合评分法一，技术标与经济标先后分别开启）  </w:t>
      </w:r>
    </w:p>
    <w:p>
      <w:pPr>
        <w:spacing w:line="360" w:lineRule="auto"/>
        <w:ind w:firstLine="472" w:firstLineChars="224"/>
        <w:rPr>
          <w:rStyle w:val="179"/>
          <w:rFonts w:hint="eastAsia" w:ascii="宋体" w:hAnsi="宋体"/>
          <w:b/>
          <w:color w:val="auto"/>
          <w:szCs w:val="21"/>
          <w:highlight w:val="none"/>
        </w:rPr>
      </w:pPr>
      <w:r>
        <w:rPr>
          <w:rStyle w:val="179"/>
          <w:rFonts w:hint="eastAsia" w:ascii="宋体" w:hAnsi="宋体"/>
          <w:b/>
          <w:color w:val="auto"/>
          <w:szCs w:val="21"/>
          <w:highlight w:val="none"/>
        </w:rPr>
        <w:t>可选办法二（适合综合评分法一，技术标与经济标同时开启）</w:t>
      </w:r>
    </w:p>
    <w:p>
      <w:pPr>
        <w:spacing w:line="360" w:lineRule="auto"/>
        <w:ind w:firstLine="472" w:firstLineChars="224"/>
        <w:rPr>
          <w:rStyle w:val="179"/>
          <w:rFonts w:hint="eastAsia" w:ascii="宋体" w:hAnsi="宋体"/>
          <w:b/>
          <w:color w:val="auto"/>
          <w:szCs w:val="21"/>
          <w:highlight w:val="none"/>
        </w:rPr>
      </w:pPr>
      <w:r>
        <w:rPr>
          <w:rStyle w:val="179"/>
          <w:rFonts w:hint="eastAsia" w:ascii="宋体" w:hAnsi="宋体"/>
          <w:b/>
          <w:color w:val="auto"/>
          <w:szCs w:val="21"/>
          <w:highlight w:val="none"/>
        </w:rPr>
        <w:t>可选办法三（适合综合评分法二，技术标与经济标先后分别开启）</w:t>
      </w:r>
    </w:p>
    <w:p>
      <w:pPr>
        <w:spacing w:line="360" w:lineRule="auto"/>
        <w:ind w:firstLine="472" w:firstLineChars="224"/>
        <w:rPr>
          <w:rStyle w:val="179"/>
          <w:rFonts w:hint="eastAsia" w:ascii="宋体" w:hAnsi="宋体"/>
          <w:b/>
          <w:color w:val="auto"/>
          <w:szCs w:val="21"/>
          <w:highlight w:val="none"/>
        </w:rPr>
      </w:pPr>
      <w:r>
        <w:rPr>
          <w:rStyle w:val="179"/>
          <w:rFonts w:ascii="宋体" w:hAnsi="宋体"/>
          <w:b/>
          <w:color w:val="auto"/>
          <w:szCs w:val="21"/>
          <w:highlight w:val="none"/>
        </w:rPr>
        <w:t>可选办法四（适合综合评分法二，技术标与经济标同时开启）</w:t>
      </w:r>
    </w:p>
    <w:p>
      <w:pPr>
        <w:spacing w:line="360" w:lineRule="auto"/>
        <w:ind w:firstLine="472" w:firstLineChars="224"/>
        <w:rPr>
          <w:rStyle w:val="179"/>
          <w:rFonts w:hint="eastAsia" w:ascii="宋体" w:hAnsi="宋体"/>
          <w:b/>
          <w:color w:val="auto"/>
          <w:szCs w:val="21"/>
          <w:highlight w:val="none"/>
        </w:rPr>
      </w:pPr>
      <w:r>
        <w:rPr>
          <w:rStyle w:val="179"/>
          <w:rFonts w:ascii="宋体" w:hAnsi="宋体"/>
          <w:b/>
          <w:color w:val="auto"/>
          <w:szCs w:val="21"/>
          <w:highlight w:val="none"/>
        </w:rPr>
        <w:t>可选办法五（适合综合评分法三，技术标与经济标先后分别开启）</w:t>
      </w:r>
    </w:p>
    <w:p>
      <w:pPr>
        <w:spacing w:line="360" w:lineRule="auto"/>
        <w:ind w:firstLine="472" w:firstLineChars="224"/>
        <w:rPr>
          <w:rStyle w:val="179"/>
          <w:rFonts w:hint="eastAsia" w:ascii="宋体" w:hAnsi="宋体"/>
          <w:b/>
          <w:color w:val="auto"/>
          <w:szCs w:val="21"/>
          <w:highlight w:val="none"/>
        </w:rPr>
      </w:pPr>
      <w:r>
        <w:rPr>
          <w:rStyle w:val="179"/>
          <w:rFonts w:ascii="宋体" w:hAnsi="宋体"/>
          <w:b/>
          <w:color w:val="auto"/>
          <w:szCs w:val="21"/>
          <w:highlight w:val="none"/>
        </w:rPr>
        <w:t>可选办法</w:t>
      </w:r>
      <w:r>
        <w:rPr>
          <w:rStyle w:val="179"/>
          <w:rFonts w:hint="eastAsia" w:ascii="宋体" w:hAnsi="宋体"/>
          <w:b/>
          <w:color w:val="auto"/>
          <w:szCs w:val="21"/>
          <w:highlight w:val="none"/>
        </w:rPr>
        <w:t>六</w:t>
      </w:r>
      <w:r>
        <w:rPr>
          <w:rStyle w:val="179"/>
          <w:rFonts w:ascii="宋体" w:hAnsi="宋体"/>
          <w:b/>
          <w:color w:val="auto"/>
          <w:szCs w:val="21"/>
          <w:highlight w:val="none"/>
        </w:rPr>
        <w:t>（适合综合评分法三，技术标与经济标同时开启）</w:t>
      </w:r>
    </w:p>
    <w:p>
      <w:pPr>
        <w:spacing w:line="360" w:lineRule="auto"/>
        <w:ind w:firstLine="472" w:firstLineChars="224"/>
        <w:rPr>
          <w:rStyle w:val="179"/>
          <w:rFonts w:hint="eastAsia" w:ascii="宋体" w:hAnsi="宋体"/>
          <w:b/>
          <w:color w:val="auto"/>
          <w:szCs w:val="21"/>
          <w:highlight w:val="none"/>
        </w:rPr>
      </w:pPr>
      <w:r>
        <w:rPr>
          <w:rStyle w:val="179"/>
          <w:rFonts w:ascii="宋体" w:hAnsi="宋体"/>
          <w:b/>
          <w:color w:val="auto"/>
          <w:szCs w:val="21"/>
          <w:highlight w:val="none"/>
        </w:rPr>
        <w:t>可选办法八（适合经评审的最低投标价法，技术标与经济标同时开启）</w:t>
      </w:r>
    </w:p>
    <w:p>
      <w:pPr>
        <w:spacing w:line="360" w:lineRule="auto"/>
        <w:ind w:firstLine="472" w:firstLineChars="224"/>
        <w:rPr>
          <w:rStyle w:val="179"/>
          <w:rFonts w:ascii="宋体" w:hAnsi="宋体"/>
          <w:b/>
          <w:color w:val="auto"/>
          <w:szCs w:val="21"/>
          <w:highlight w:val="none"/>
        </w:rPr>
      </w:pPr>
      <w:r>
        <w:rPr>
          <w:rStyle w:val="179"/>
          <w:rFonts w:ascii="宋体" w:hAnsi="宋体"/>
          <w:b/>
          <w:color w:val="auto"/>
          <w:szCs w:val="21"/>
          <w:highlight w:val="none"/>
        </w:rPr>
        <w:t>修改类型：删除</w:t>
      </w:r>
    </w:p>
    <w:p>
      <w:pPr>
        <w:pBdr>
          <w:bottom w:val="single" w:color="000000" w:sz="6" w:space="1"/>
        </w:pBdr>
        <w:spacing w:line="360" w:lineRule="auto"/>
        <w:ind w:firstLine="472" w:firstLineChars="224"/>
        <w:rPr>
          <w:rStyle w:val="179"/>
          <w:rFonts w:ascii="宋体" w:hAnsi="宋体"/>
          <w:b/>
          <w:color w:val="auto"/>
          <w:szCs w:val="21"/>
          <w:highlight w:val="none"/>
        </w:rPr>
      </w:pPr>
      <w:r>
        <w:rPr>
          <w:rStyle w:val="179"/>
          <w:rFonts w:ascii="宋体" w:hAnsi="宋体"/>
          <w:b/>
          <w:color w:val="auto"/>
          <w:szCs w:val="21"/>
          <w:highlight w:val="none"/>
        </w:rPr>
        <w:t>原文：详见《广州市建设工程施工公开招标项目招标文件范本GZZB2018-3》</w:t>
      </w:r>
    </w:p>
    <w:p>
      <w:pPr>
        <w:spacing w:line="360" w:lineRule="auto"/>
        <w:ind w:firstLine="540" w:firstLineChars="224"/>
        <w:rPr>
          <w:rStyle w:val="179"/>
          <w:rFonts w:ascii="宋体" w:hAnsi="宋体"/>
          <w:b/>
          <w:color w:val="auto"/>
          <w:sz w:val="24"/>
          <w:szCs w:val="24"/>
          <w:highlight w:val="none"/>
        </w:rPr>
      </w:pPr>
      <w:r>
        <w:rPr>
          <w:rStyle w:val="179"/>
          <w:rFonts w:ascii="宋体" w:hAnsi="宋体"/>
          <w:b/>
          <w:color w:val="auto"/>
          <w:sz w:val="24"/>
          <w:szCs w:val="24"/>
          <w:highlight w:val="none"/>
        </w:rPr>
        <w:t>条款号：41.1                    修改类型：修改</w:t>
      </w:r>
    </w:p>
    <w:p>
      <w:pPr>
        <w:spacing w:line="360" w:lineRule="auto"/>
        <w:ind w:firstLine="525" w:firstLineChars="218"/>
        <w:rPr>
          <w:rStyle w:val="179"/>
          <w:rFonts w:ascii="宋体" w:hAnsi="宋体"/>
          <w:color w:val="auto"/>
          <w:sz w:val="24"/>
          <w:szCs w:val="24"/>
          <w:highlight w:val="none"/>
        </w:rPr>
      </w:pPr>
      <w:r>
        <w:rPr>
          <w:rStyle w:val="179"/>
          <w:rFonts w:ascii="宋体" w:hAnsi="宋体"/>
          <w:b/>
          <w:color w:val="auto"/>
          <w:sz w:val="24"/>
          <w:szCs w:val="24"/>
          <w:highlight w:val="none"/>
        </w:rPr>
        <w:t>原文：</w:t>
      </w:r>
      <w:r>
        <w:rPr>
          <w:rStyle w:val="179"/>
          <w:rFonts w:ascii="宋体" w:hAnsi="宋体"/>
          <w:color w:val="auto"/>
          <w:sz w:val="24"/>
          <w:szCs w:val="24"/>
          <w:highlight w:val="none"/>
        </w:rPr>
        <w:t>41.1开标由招标人主持；</w:t>
      </w:r>
    </w:p>
    <w:p>
      <w:pPr>
        <w:pBdr>
          <w:bottom w:val="single" w:color="000000" w:sz="6" w:space="1"/>
        </w:pBdr>
        <w:spacing w:line="360" w:lineRule="auto"/>
        <w:ind w:firstLine="525" w:firstLineChars="218"/>
        <w:rPr>
          <w:rStyle w:val="179"/>
          <w:rFonts w:ascii="宋体" w:hAnsi="宋体"/>
          <w:color w:val="auto"/>
          <w:sz w:val="24"/>
          <w:szCs w:val="24"/>
          <w:highlight w:val="none"/>
        </w:rPr>
      </w:pPr>
      <w:r>
        <w:rPr>
          <w:rStyle w:val="179"/>
          <w:rFonts w:ascii="宋体" w:hAnsi="宋体"/>
          <w:b/>
          <w:color w:val="auto"/>
          <w:sz w:val="24"/>
          <w:szCs w:val="24"/>
          <w:highlight w:val="none"/>
        </w:rPr>
        <w:t>现文：</w:t>
      </w:r>
      <w:r>
        <w:rPr>
          <w:rStyle w:val="179"/>
          <w:rFonts w:ascii="宋体" w:hAnsi="宋体"/>
          <w:color w:val="auto"/>
          <w:sz w:val="24"/>
          <w:szCs w:val="24"/>
          <w:highlight w:val="none"/>
        </w:rPr>
        <w:t>41.1开标由招标人</w:t>
      </w:r>
      <w:r>
        <w:rPr>
          <w:rStyle w:val="179"/>
          <w:rFonts w:ascii="宋体" w:hAnsi="宋体"/>
          <w:color w:val="auto"/>
          <w:sz w:val="24"/>
          <w:szCs w:val="24"/>
          <w:highlight w:val="none"/>
          <w:u w:val="single"/>
        </w:rPr>
        <w:t>或招标代理</w:t>
      </w:r>
      <w:r>
        <w:rPr>
          <w:rStyle w:val="179"/>
          <w:rFonts w:ascii="宋体" w:hAnsi="宋体"/>
          <w:color w:val="auto"/>
          <w:sz w:val="24"/>
          <w:szCs w:val="24"/>
          <w:highlight w:val="none"/>
        </w:rPr>
        <w:t>主持；</w:t>
      </w:r>
    </w:p>
    <w:p>
      <w:pPr>
        <w:spacing w:line="360" w:lineRule="auto"/>
        <w:ind w:firstLine="482" w:firstLineChars="200"/>
        <w:rPr>
          <w:rStyle w:val="179"/>
          <w:rFonts w:ascii="宋体" w:hAnsi="宋体"/>
          <w:b/>
          <w:color w:val="auto"/>
          <w:sz w:val="24"/>
          <w:szCs w:val="24"/>
          <w:highlight w:val="none"/>
        </w:rPr>
      </w:pPr>
      <w:r>
        <w:rPr>
          <w:rStyle w:val="179"/>
          <w:rFonts w:ascii="宋体" w:hAnsi="宋体"/>
          <w:b/>
          <w:color w:val="auto"/>
          <w:sz w:val="24"/>
          <w:szCs w:val="24"/>
          <w:highlight w:val="none"/>
        </w:rPr>
        <w:t>条款号：41.2.1             修改类型：修改</w:t>
      </w:r>
    </w:p>
    <w:p>
      <w:pPr>
        <w:spacing w:line="360" w:lineRule="auto"/>
        <w:ind w:firstLine="442" w:firstLineChars="200"/>
        <w:rPr>
          <w:rStyle w:val="179"/>
          <w:rFonts w:ascii="宋体" w:hAnsi="宋体"/>
          <w:b/>
          <w:color w:val="auto"/>
          <w:sz w:val="22"/>
          <w:highlight w:val="none"/>
        </w:rPr>
      </w:pPr>
      <w:r>
        <w:rPr>
          <w:rStyle w:val="179"/>
          <w:rFonts w:ascii="宋体" w:hAnsi="宋体"/>
          <w:b/>
          <w:color w:val="auto"/>
          <w:sz w:val="22"/>
          <w:highlight w:val="none"/>
        </w:rPr>
        <w:t>原文：</w:t>
      </w:r>
      <w:r>
        <w:rPr>
          <w:rStyle w:val="179"/>
          <w:rFonts w:ascii="宋体" w:hAnsi="宋体"/>
          <w:color w:val="auto"/>
          <w:sz w:val="22"/>
          <w:highlight w:val="none"/>
        </w:rPr>
        <w:t>41.2.1投标截止期前，各投标人递交投标文件（包括技术标投标文件、经济标投标文件）至</w:t>
      </w:r>
      <w:r>
        <w:rPr>
          <w:rStyle w:val="179"/>
          <w:rFonts w:ascii="宋体" w:hAnsi="宋体"/>
          <w:color w:val="auto"/>
          <w:sz w:val="22"/>
          <w:highlight w:val="none"/>
          <w:u w:val="single"/>
        </w:rPr>
        <w:t xml:space="preserve">     </w:t>
      </w:r>
      <w:r>
        <w:rPr>
          <w:rStyle w:val="179"/>
          <w:rFonts w:ascii="宋体" w:hAnsi="宋体"/>
          <w:color w:val="auto"/>
          <w:sz w:val="22"/>
          <w:highlight w:val="none"/>
        </w:rPr>
        <w:t>交易平台。有关投标文件提交的事项详见第一章投标须知。</w:t>
      </w:r>
    </w:p>
    <w:p>
      <w:pPr>
        <w:pBdr>
          <w:bottom w:val="single" w:color="000000" w:sz="6" w:space="1"/>
        </w:pBdr>
        <w:spacing w:line="360" w:lineRule="auto"/>
        <w:ind w:firstLine="402" w:firstLineChars="200"/>
        <w:rPr>
          <w:rFonts w:hint="eastAsia" w:ascii="宋体" w:hAnsi="宋体" w:cs="宋体"/>
          <w:color w:val="auto"/>
          <w:sz w:val="22"/>
          <w:highlight w:val="none"/>
        </w:rPr>
      </w:pPr>
      <w:r>
        <w:rPr>
          <w:rStyle w:val="179"/>
          <w:rFonts w:ascii="宋体" w:hAnsi="宋体"/>
          <w:b/>
          <w:color w:val="auto"/>
          <w:sz w:val="20"/>
          <w:szCs w:val="20"/>
          <w:highlight w:val="none"/>
        </w:rPr>
        <w:t>现文：</w:t>
      </w:r>
      <w:r>
        <w:rPr>
          <w:rStyle w:val="179"/>
          <w:rFonts w:ascii="宋体" w:hAnsi="宋体"/>
          <w:color w:val="auto"/>
          <w:sz w:val="20"/>
          <w:szCs w:val="20"/>
          <w:highlight w:val="none"/>
        </w:rPr>
        <w:t>41.2.1</w:t>
      </w:r>
      <w:r>
        <w:rPr>
          <w:rFonts w:hint="eastAsia" w:ascii="宋体" w:hAnsi="宋体" w:cs="宋体"/>
          <w:color w:val="auto"/>
          <w:sz w:val="22"/>
          <w:highlight w:val="none"/>
        </w:rPr>
        <w:t>投标截止期前，各投标人递交投标文件（包括技术标投标文件（含资格审查文件）、经济标投标文件）至</w:t>
      </w:r>
      <w:r>
        <w:rPr>
          <w:rFonts w:hint="eastAsia" w:ascii="宋体" w:hAnsi="宋体" w:cs="宋体"/>
          <w:color w:val="auto"/>
          <w:sz w:val="22"/>
          <w:highlight w:val="none"/>
          <w:u w:val="single"/>
        </w:rPr>
        <w:t>广州公共资源交易中心（网址：http://www.gzggzy.cn）交易平台。有关投标文件提交的事项详见第一章投标须知。</w:t>
      </w:r>
    </w:p>
    <w:p>
      <w:pPr>
        <w:spacing w:line="360" w:lineRule="auto"/>
        <w:ind w:firstLine="540" w:firstLineChars="224"/>
        <w:rPr>
          <w:rStyle w:val="179"/>
          <w:rFonts w:ascii="宋体" w:hAnsi="宋体"/>
          <w:b/>
          <w:color w:val="auto"/>
          <w:sz w:val="24"/>
          <w:szCs w:val="24"/>
          <w:highlight w:val="none"/>
        </w:rPr>
      </w:pPr>
      <w:r>
        <w:rPr>
          <w:rStyle w:val="179"/>
          <w:rFonts w:ascii="宋体" w:hAnsi="宋体"/>
          <w:b/>
          <w:color w:val="auto"/>
          <w:sz w:val="24"/>
          <w:szCs w:val="24"/>
          <w:highlight w:val="none"/>
        </w:rPr>
        <w:t>条款号：41.</w:t>
      </w:r>
      <w:r>
        <w:rPr>
          <w:rStyle w:val="179"/>
          <w:rFonts w:hint="eastAsia" w:ascii="宋体" w:hAnsi="宋体"/>
          <w:b/>
          <w:color w:val="auto"/>
          <w:sz w:val="24"/>
          <w:szCs w:val="24"/>
          <w:highlight w:val="none"/>
        </w:rPr>
        <w:t>3</w:t>
      </w:r>
      <w:r>
        <w:rPr>
          <w:rStyle w:val="179"/>
          <w:rFonts w:ascii="宋体" w:hAnsi="宋体"/>
          <w:b/>
          <w:color w:val="auto"/>
          <w:sz w:val="24"/>
          <w:szCs w:val="24"/>
          <w:highlight w:val="none"/>
        </w:rPr>
        <w:t xml:space="preserve">                   修改类型：修改</w:t>
      </w:r>
    </w:p>
    <w:p>
      <w:pPr>
        <w:spacing w:line="360" w:lineRule="auto"/>
        <w:ind w:firstLine="525" w:firstLineChars="218"/>
        <w:rPr>
          <w:rStyle w:val="179"/>
          <w:rFonts w:ascii="宋体" w:hAnsi="宋体"/>
          <w:color w:val="auto"/>
          <w:sz w:val="24"/>
          <w:szCs w:val="24"/>
          <w:highlight w:val="none"/>
        </w:rPr>
      </w:pPr>
      <w:r>
        <w:rPr>
          <w:rStyle w:val="179"/>
          <w:rFonts w:ascii="宋体" w:hAnsi="宋体"/>
          <w:b/>
          <w:color w:val="auto"/>
          <w:sz w:val="24"/>
          <w:szCs w:val="24"/>
          <w:highlight w:val="none"/>
        </w:rPr>
        <w:t>原文：</w:t>
      </w:r>
      <w:r>
        <w:rPr>
          <w:rFonts w:hint="eastAsia" w:ascii="宋体"/>
          <w:color w:val="auto"/>
          <w:sz w:val="24"/>
          <w:szCs w:val="24"/>
          <w:highlight w:val="none"/>
        </w:rPr>
        <w:t>招标人对开标过程进行记录，并存档备查，投标人在技术标开标记录上签字。</w:t>
      </w:r>
    </w:p>
    <w:p>
      <w:pPr>
        <w:pBdr>
          <w:bottom w:val="single" w:color="000000" w:sz="6" w:space="1"/>
        </w:pBdr>
        <w:spacing w:line="360" w:lineRule="auto"/>
        <w:ind w:firstLine="482" w:firstLineChars="200"/>
        <w:rPr>
          <w:rFonts w:hint="eastAsia" w:ascii="宋体" w:hAnsi="宋体" w:cs="宋体"/>
          <w:color w:val="auto"/>
          <w:sz w:val="22"/>
          <w:highlight w:val="none"/>
        </w:rPr>
      </w:pPr>
      <w:r>
        <w:rPr>
          <w:rStyle w:val="179"/>
          <w:rFonts w:ascii="宋体" w:hAnsi="宋体"/>
          <w:b/>
          <w:color w:val="auto"/>
          <w:sz w:val="24"/>
          <w:szCs w:val="24"/>
          <w:highlight w:val="none"/>
        </w:rPr>
        <w:t>现文：</w:t>
      </w:r>
      <w:r>
        <w:rPr>
          <w:rFonts w:hint="eastAsia" w:ascii="宋体" w:hAnsi="宋体" w:cs="宋体"/>
          <w:color w:val="auto"/>
          <w:sz w:val="24"/>
          <w:szCs w:val="24"/>
          <w:highlight w:val="none"/>
        </w:rPr>
        <w:t>招标人</w:t>
      </w:r>
      <w:r>
        <w:rPr>
          <w:rFonts w:hint="eastAsia" w:ascii="宋体" w:hAnsi="宋体" w:cs="宋体"/>
          <w:color w:val="auto"/>
          <w:sz w:val="24"/>
          <w:szCs w:val="24"/>
          <w:highlight w:val="none"/>
          <w:u w:val="single"/>
        </w:rPr>
        <w:t>或招标代理</w:t>
      </w:r>
      <w:r>
        <w:rPr>
          <w:rFonts w:hint="eastAsia" w:ascii="宋体" w:hAnsi="宋体" w:cs="宋体"/>
          <w:color w:val="auto"/>
          <w:sz w:val="24"/>
          <w:szCs w:val="24"/>
          <w:highlight w:val="none"/>
        </w:rPr>
        <w:t>对开标过程进行记录，并存档备查，投标人在技术标开标记录上签字。</w:t>
      </w:r>
    </w:p>
    <w:p>
      <w:pPr>
        <w:spacing w:line="360" w:lineRule="auto"/>
        <w:ind w:firstLine="540" w:firstLineChars="224"/>
        <w:rPr>
          <w:rStyle w:val="179"/>
          <w:rFonts w:ascii="宋体" w:hAnsi="宋体"/>
          <w:b/>
          <w:color w:val="auto"/>
          <w:sz w:val="24"/>
          <w:szCs w:val="24"/>
          <w:highlight w:val="none"/>
        </w:rPr>
      </w:pPr>
      <w:r>
        <w:rPr>
          <w:rStyle w:val="179"/>
          <w:rFonts w:ascii="宋体" w:hAnsi="宋体"/>
          <w:b/>
          <w:color w:val="auto"/>
          <w:sz w:val="24"/>
          <w:szCs w:val="24"/>
          <w:highlight w:val="none"/>
        </w:rPr>
        <w:t>条款号：41.</w:t>
      </w:r>
      <w:r>
        <w:rPr>
          <w:rStyle w:val="179"/>
          <w:rFonts w:hint="eastAsia" w:ascii="宋体" w:hAnsi="宋体"/>
          <w:b/>
          <w:color w:val="auto"/>
          <w:sz w:val="24"/>
          <w:szCs w:val="24"/>
          <w:highlight w:val="none"/>
        </w:rPr>
        <w:t>4</w:t>
      </w:r>
      <w:r>
        <w:rPr>
          <w:rStyle w:val="179"/>
          <w:rFonts w:ascii="宋体" w:hAnsi="宋体"/>
          <w:b/>
          <w:color w:val="auto"/>
          <w:sz w:val="24"/>
          <w:szCs w:val="24"/>
          <w:highlight w:val="none"/>
        </w:rPr>
        <w:t xml:space="preserve">                   修改类型：修改</w:t>
      </w:r>
    </w:p>
    <w:p>
      <w:pPr>
        <w:spacing w:line="360" w:lineRule="auto"/>
        <w:ind w:firstLine="525" w:firstLineChars="218"/>
        <w:rPr>
          <w:rStyle w:val="179"/>
          <w:rFonts w:ascii="宋体" w:hAnsi="宋体"/>
          <w:color w:val="auto"/>
          <w:sz w:val="24"/>
          <w:szCs w:val="24"/>
          <w:highlight w:val="none"/>
        </w:rPr>
      </w:pPr>
      <w:r>
        <w:rPr>
          <w:rStyle w:val="179"/>
          <w:rFonts w:ascii="宋体" w:hAnsi="宋体"/>
          <w:b/>
          <w:color w:val="auto"/>
          <w:sz w:val="24"/>
          <w:szCs w:val="24"/>
          <w:highlight w:val="none"/>
        </w:rPr>
        <w:t>原文：</w:t>
      </w:r>
      <w:r>
        <w:rPr>
          <w:rFonts w:hint="eastAsia" w:ascii="宋体"/>
          <w:color w:val="auto"/>
          <w:sz w:val="24"/>
          <w:szCs w:val="24"/>
          <w:highlight w:val="none"/>
        </w:rPr>
        <w:t>招标人将上述符合要求的投标文件，送至评标委员会进行评审。</w:t>
      </w:r>
    </w:p>
    <w:p>
      <w:pPr>
        <w:pBdr>
          <w:bottom w:val="single" w:color="000000" w:sz="6" w:space="1"/>
        </w:pBdr>
        <w:spacing w:line="360" w:lineRule="auto"/>
        <w:ind w:firstLine="525" w:firstLineChars="218"/>
        <w:rPr>
          <w:rStyle w:val="179"/>
          <w:rFonts w:ascii="宋体" w:hAnsi="宋体"/>
          <w:color w:val="auto"/>
          <w:sz w:val="24"/>
          <w:szCs w:val="24"/>
          <w:highlight w:val="none"/>
        </w:rPr>
      </w:pPr>
      <w:r>
        <w:rPr>
          <w:rStyle w:val="179"/>
          <w:rFonts w:ascii="宋体" w:hAnsi="宋体"/>
          <w:b/>
          <w:color w:val="auto"/>
          <w:sz w:val="24"/>
          <w:szCs w:val="24"/>
          <w:highlight w:val="none"/>
        </w:rPr>
        <w:t>现文：</w:t>
      </w:r>
      <w:r>
        <w:rPr>
          <w:rFonts w:hint="eastAsia" w:ascii="宋体" w:hAnsi="宋体" w:cs="宋体"/>
          <w:color w:val="auto"/>
          <w:sz w:val="24"/>
          <w:szCs w:val="24"/>
          <w:highlight w:val="none"/>
        </w:rPr>
        <w:t>招标人</w:t>
      </w:r>
      <w:r>
        <w:rPr>
          <w:rFonts w:hint="eastAsia" w:ascii="宋体" w:hAnsi="宋体" w:cs="宋体"/>
          <w:color w:val="auto"/>
          <w:sz w:val="24"/>
          <w:szCs w:val="24"/>
          <w:highlight w:val="none"/>
          <w:u w:val="single"/>
        </w:rPr>
        <w:t>或招标代理</w:t>
      </w:r>
      <w:r>
        <w:rPr>
          <w:rFonts w:hint="eastAsia" w:ascii="宋体" w:hAnsi="宋体" w:cs="宋体"/>
          <w:color w:val="auto"/>
          <w:sz w:val="24"/>
          <w:szCs w:val="24"/>
          <w:highlight w:val="none"/>
        </w:rPr>
        <w:t>将上述符合要求的投标文件，送至评标委员会进行评审。</w:t>
      </w:r>
    </w:p>
    <w:p>
      <w:pPr>
        <w:pStyle w:val="50"/>
        <w:spacing w:after="0" w:line="460" w:lineRule="exact"/>
        <w:ind w:firstLine="442" w:firstLineChars="200"/>
        <w:rPr>
          <w:rFonts w:hint="eastAsia" w:ascii="宋体" w:hAnsi="宋体" w:eastAsia="宋体"/>
          <w:color w:val="auto"/>
          <w:sz w:val="22"/>
          <w:szCs w:val="22"/>
          <w:highlight w:val="none"/>
          <w:lang w:val="en-US" w:eastAsia="zh-CN"/>
        </w:rPr>
      </w:pPr>
      <w:r>
        <w:rPr>
          <w:rFonts w:hint="eastAsia" w:ascii="宋体" w:hAnsi="宋体"/>
          <w:b/>
          <w:color w:val="auto"/>
          <w:sz w:val="22"/>
          <w:szCs w:val="22"/>
          <w:highlight w:val="none"/>
        </w:rPr>
        <w:t>条款号：</w:t>
      </w:r>
      <w:r>
        <w:rPr>
          <w:rFonts w:ascii="宋体" w:hAnsi="宋体"/>
          <w:b/>
          <w:color w:val="auto"/>
          <w:sz w:val="22"/>
          <w:szCs w:val="22"/>
          <w:highlight w:val="none"/>
        </w:rPr>
        <w:t>41.2.</w:t>
      </w:r>
      <w:r>
        <w:rPr>
          <w:rFonts w:hint="eastAsia" w:ascii="宋体" w:hAnsi="宋体"/>
          <w:b/>
          <w:color w:val="auto"/>
          <w:sz w:val="22"/>
          <w:szCs w:val="22"/>
          <w:highlight w:val="none"/>
        </w:rPr>
        <w:t>2</w:t>
      </w:r>
      <w:r>
        <w:rPr>
          <w:rFonts w:hint="eastAsia" w:ascii="宋体" w:hAnsi="宋体"/>
          <w:color w:val="auto"/>
          <w:sz w:val="22"/>
          <w:szCs w:val="22"/>
          <w:highlight w:val="none"/>
        </w:rPr>
        <w:t xml:space="preserve">           </w:t>
      </w:r>
      <w:r>
        <w:rPr>
          <w:rFonts w:hint="eastAsia" w:ascii="宋体" w:hAnsi="宋体"/>
          <w:b/>
          <w:color w:val="auto"/>
          <w:sz w:val="22"/>
          <w:szCs w:val="22"/>
          <w:highlight w:val="none"/>
        </w:rPr>
        <w:t>修改类型：</w:t>
      </w:r>
      <w:r>
        <w:rPr>
          <w:rFonts w:hint="eastAsia" w:ascii="宋体" w:hAnsi="宋体"/>
          <w:b/>
          <w:color w:val="auto"/>
          <w:sz w:val="22"/>
          <w:szCs w:val="22"/>
          <w:highlight w:val="none"/>
          <w:lang w:eastAsia="zh-CN"/>
        </w:rPr>
        <w:t>删除</w:t>
      </w:r>
    </w:p>
    <w:p>
      <w:pPr>
        <w:pBdr>
          <w:bottom w:val="single" w:color="auto" w:sz="6" w:space="1"/>
        </w:pBdr>
        <w:spacing w:line="460" w:lineRule="exact"/>
        <w:ind w:firstLine="433" w:firstLineChars="196"/>
        <w:rPr>
          <w:rFonts w:hint="eastAsia" w:ascii="宋体" w:hAnsi="宋体"/>
          <w:bCs/>
          <w:color w:val="auto"/>
          <w:szCs w:val="21"/>
          <w:highlight w:val="none"/>
          <w:u w:val="single"/>
        </w:rPr>
      </w:pPr>
      <w:r>
        <w:rPr>
          <w:rFonts w:hint="eastAsia" w:ascii="宋体" w:hAnsi="宋体"/>
          <w:b/>
          <w:color w:val="auto"/>
          <w:sz w:val="22"/>
          <w:highlight w:val="none"/>
        </w:rPr>
        <w:t>原文：</w:t>
      </w:r>
      <w:r>
        <w:rPr>
          <w:rFonts w:hint="eastAsia" w:ascii="宋体" w:hAnsi="宋体"/>
          <w:bCs/>
          <w:color w:val="auto"/>
          <w:sz w:val="22"/>
          <w:highlight w:val="none"/>
        </w:rPr>
        <w:t>41.2.2</w:t>
      </w:r>
      <w:r>
        <w:rPr>
          <w:rFonts w:hint="eastAsia" w:ascii="宋体"/>
          <w:color w:val="auto"/>
          <w:sz w:val="24"/>
          <w:szCs w:val="24"/>
          <w:highlight w:val="none"/>
        </w:rPr>
        <w:t>开标前，首先由招标人随机抽取确定该工程计算评标参考价的等分点值X</w:t>
      </w:r>
      <w:r>
        <w:rPr>
          <w:rStyle w:val="179"/>
          <w:rFonts w:hint="eastAsia" w:ascii="宋体" w:hAnsi="宋体"/>
          <w:bCs/>
          <w:color w:val="auto"/>
          <w:sz w:val="22"/>
          <w:highlight w:val="none"/>
        </w:rPr>
        <w:t>。</w:t>
      </w:r>
    </w:p>
    <w:p>
      <w:pPr>
        <w:spacing w:line="360" w:lineRule="auto"/>
        <w:ind w:firstLine="422" w:firstLineChars="200"/>
        <w:rPr>
          <w:rStyle w:val="179"/>
          <w:rFonts w:ascii="宋体" w:hAnsi="宋体"/>
          <w:b/>
          <w:color w:val="auto"/>
          <w:szCs w:val="21"/>
          <w:highlight w:val="none"/>
        </w:rPr>
      </w:pPr>
      <w:r>
        <w:rPr>
          <w:rStyle w:val="179"/>
          <w:rFonts w:ascii="宋体" w:hAnsi="宋体"/>
          <w:b/>
          <w:color w:val="auto"/>
          <w:szCs w:val="21"/>
          <w:highlight w:val="none"/>
        </w:rPr>
        <w:t>条款号：42.1             修改类型：修改</w:t>
      </w:r>
    </w:p>
    <w:p>
      <w:pPr>
        <w:pStyle w:val="247"/>
        <w:tabs>
          <w:tab w:val="left" w:pos="7380"/>
        </w:tabs>
        <w:spacing w:after="0" w:line="360" w:lineRule="auto"/>
        <w:ind w:firstLine="422" w:firstLineChars="200"/>
        <w:rPr>
          <w:rStyle w:val="179"/>
          <w:rFonts w:ascii="宋体" w:hAnsi="宋体"/>
          <w:color w:val="auto"/>
          <w:sz w:val="21"/>
          <w:szCs w:val="21"/>
          <w:highlight w:val="none"/>
        </w:rPr>
      </w:pPr>
      <w:r>
        <w:rPr>
          <w:rStyle w:val="179"/>
          <w:rFonts w:ascii="宋体" w:hAnsi="宋体"/>
          <w:b/>
          <w:color w:val="auto"/>
          <w:sz w:val="21"/>
          <w:szCs w:val="21"/>
          <w:highlight w:val="none"/>
        </w:rPr>
        <w:t>原文：</w:t>
      </w:r>
      <w:r>
        <w:rPr>
          <w:rStyle w:val="179"/>
          <w:rFonts w:ascii="宋体" w:hAnsi="宋体"/>
          <w:color w:val="auto"/>
          <w:sz w:val="21"/>
          <w:szCs w:val="21"/>
          <w:highlight w:val="none"/>
        </w:rPr>
        <w:t>42.1评标委员会的组成：方式</w:t>
      </w:r>
      <w:r>
        <w:rPr>
          <w:rStyle w:val="179"/>
          <w:rFonts w:ascii="宋体" w:hAnsi="宋体"/>
          <w:color w:val="auto"/>
          <w:sz w:val="21"/>
          <w:szCs w:val="21"/>
          <w:highlight w:val="none"/>
          <w:u w:val="single"/>
        </w:rPr>
        <w:t xml:space="preserve">   </w:t>
      </w:r>
      <w:r>
        <w:rPr>
          <w:rStyle w:val="179"/>
          <w:rFonts w:ascii="宋体" w:hAnsi="宋体"/>
          <w:color w:val="auto"/>
          <w:sz w:val="21"/>
          <w:szCs w:val="21"/>
          <w:highlight w:val="none"/>
        </w:rPr>
        <w:t>。</w:t>
      </w:r>
    </w:p>
    <w:p>
      <w:pPr>
        <w:spacing w:line="360" w:lineRule="auto"/>
        <w:ind w:firstLine="420" w:firstLineChars="200"/>
        <w:rPr>
          <w:rStyle w:val="179"/>
          <w:rFonts w:ascii="宋体" w:hAnsi="宋体"/>
          <w:color w:val="auto"/>
          <w:szCs w:val="21"/>
          <w:highlight w:val="none"/>
        </w:rPr>
      </w:pPr>
      <w:r>
        <w:rPr>
          <w:rStyle w:val="179"/>
          <w:rFonts w:ascii="宋体" w:hAnsi="宋体"/>
          <w:color w:val="auto"/>
          <w:szCs w:val="21"/>
          <w:highlight w:val="none"/>
        </w:rPr>
        <w:t>方式一：评标委员会为综合评标委员会，负责资格审查及评标工作。</w:t>
      </w:r>
    </w:p>
    <w:p>
      <w:pPr>
        <w:pStyle w:val="247"/>
        <w:tabs>
          <w:tab w:val="left" w:pos="7380"/>
        </w:tabs>
        <w:spacing w:after="0" w:line="360" w:lineRule="auto"/>
        <w:rPr>
          <w:rStyle w:val="179"/>
          <w:rFonts w:ascii="宋体" w:hAnsi="宋体"/>
          <w:color w:val="auto"/>
          <w:sz w:val="21"/>
          <w:szCs w:val="21"/>
          <w:highlight w:val="none"/>
        </w:rPr>
      </w:pPr>
      <w:r>
        <w:rPr>
          <w:rStyle w:val="179"/>
          <w:rFonts w:ascii="宋体" w:hAnsi="宋体"/>
          <w:color w:val="auto"/>
          <w:sz w:val="21"/>
          <w:szCs w:val="21"/>
          <w:highlight w:val="none"/>
        </w:rPr>
        <w:t>方式二：评标委员会由技术评审组和经济评审组组成。其中：资格审查及技术评审由技术评标组负责，经济评审由经济评审组负责。</w:t>
      </w:r>
    </w:p>
    <w:p>
      <w:pPr>
        <w:pStyle w:val="50"/>
        <w:tabs>
          <w:tab w:val="left" w:pos="7380"/>
        </w:tabs>
        <w:snapToGrid w:val="0"/>
        <w:spacing w:after="0" w:line="360" w:lineRule="auto"/>
        <w:ind w:firstLine="402" w:firstLineChars="200"/>
        <w:rPr>
          <w:rFonts w:hint="eastAsia" w:ascii="宋体" w:hAnsi="宋体" w:cs="宋体"/>
          <w:color w:val="auto"/>
          <w:sz w:val="24"/>
          <w:szCs w:val="24"/>
          <w:highlight w:val="none"/>
        </w:rPr>
      </w:pPr>
      <w:r>
        <w:rPr>
          <w:rStyle w:val="179"/>
          <w:rFonts w:ascii="宋体" w:hAnsi="宋体"/>
          <w:b/>
          <w:color w:val="auto"/>
          <w:szCs w:val="21"/>
          <w:highlight w:val="none"/>
        </w:rPr>
        <w:t>现文：</w:t>
      </w:r>
      <w:r>
        <w:rPr>
          <w:rFonts w:hint="eastAsia" w:ascii="宋体" w:hAnsi="宋体" w:cs="宋体"/>
          <w:color w:val="auto"/>
          <w:sz w:val="24"/>
          <w:szCs w:val="24"/>
          <w:highlight w:val="none"/>
        </w:rPr>
        <w:t>评标委员会的组成：方式</w:t>
      </w:r>
      <w:r>
        <w:rPr>
          <w:rFonts w:hint="eastAsia" w:ascii="宋体" w:hAnsi="宋体" w:cs="宋体"/>
          <w:color w:val="auto"/>
          <w:sz w:val="24"/>
          <w:szCs w:val="24"/>
          <w:highlight w:val="none"/>
          <w:u w:val="single"/>
        </w:rPr>
        <w:t xml:space="preserve"> 一 </w:t>
      </w:r>
      <w:r>
        <w:rPr>
          <w:rFonts w:hint="eastAsia" w:ascii="宋体" w:hAnsi="宋体" w:cs="宋体"/>
          <w:color w:val="auto"/>
          <w:sz w:val="24"/>
          <w:szCs w:val="24"/>
          <w:highlight w:val="none"/>
        </w:rPr>
        <w:t>。</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方式一：评标委员会为综合评标委员会，负责资格审查及评标工作。</w:t>
      </w:r>
    </w:p>
    <w:p>
      <w:pPr>
        <w:pBdr>
          <w:bottom w:val="single" w:color="000000" w:sz="6" w:space="1"/>
        </w:pBdr>
        <w:spacing w:line="360" w:lineRule="auto"/>
        <w:ind w:firstLine="480" w:firstLineChars="200"/>
        <w:rPr>
          <w:rStyle w:val="179"/>
          <w:rFonts w:ascii="宋体" w:hAnsi="宋体"/>
          <w:color w:val="auto"/>
          <w:szCs w:val="21"/>
          <w:highlight w:val="none"/>
        </w:rPr>
      </w:pPr>
      <w:r>
        <w:rPr>
          <w:rFonts w:hint="eastAsia" w:ascii="宋体"/>
          <w:color w:val="auto"/>
          <w:sz w:val="24"/>
          <w:szCs w:val="24"/>
          <w:highlight w:val="none"/>
        </w:rPr>
        <w:t>方式二：评标委员会由技术评审组和经济评审组组成。其中：资格审查及技术评审由技术评标组负责，经济评审由经济评审组负责。</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条款号：45.1             修改类型：修改</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olor w:val="auto"/>
          <w:sz w:val="24"/>
          <w:szCs w:val="24"/>
          <w:highlight w:val="none"/>
        </w:rPr>
        <w:t>若通过技术标有效性审查的投标人中所有投标报价均大于等于最高投标限价*D%（D的取值范围为[94,100],由招标人自主确定）的（具体金额为：</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元），则本项目招标失败，由招标人依法重新招标。</w:t>
      </w:r>
    </w:p>
    <w:p>
      <w:pPr>
        <w:pBdr>
          <w:bottom w:val="single" w:color="auto" w:sz="4" w:space="0"/>
        </w:pBdr>
        <w:spacing w:line="360" w:lineRule="auto"/>
        <w:ind w:firstLine="472" w:firstLineChars="224"/>
        <w:rPr>
          <w:rFonts w:hint="eastAsia" w:ascii="宋体" w:hAnsi="宋体"/>
          <w:color w:val="auto"/>
          <w:sz w:val="24"/>
          <w:szCs w:val="24"/>
          <w:highlight w:val="none"/>
        </w:rPr>
      </w:pPr>
      <w:r>
        <w:rPr>
          <w:rFonts w:hint="eastAsia" w:ascii="宋体" w:hAnsi="宋体" w:cs="宋体"/>
          <w:b/>
          <w:color w:val="auto"/>
          <w:szCs w:val="21"/>
          <w:highlight w:val="none"/>
        </w:rPr>
        <w:t>现文：</w:t>
      </w:r>
      <w:r>
        <w:rPr>
          <w:rFonts w:hint="eastAsia" w:ascii="宋体" w:hAnsi="宋体" w:cs="宋体"/>
          <w:color w:val="auto"/>
          <w:sz w:val="24"/>
          <w:szCs w:val="24"/>
          <w:highlight w:val="none"/>
        </w:rPr>
        <w:t>若通过技术标有效性审查的投标人中所有投标报价均大于等于最高投标限价*</w:t>
      </w:r>
      <w:r>
        <w:rPr>
          <w:rFonts w:hint="eastAsia" w:ascii="宋体" w:hAnsi="宋体" w:cs="宋体"/>
          <w:color w:val="auto"/>
          <w:sz w:val="24"/>
          <w:szCs w:val="24"/>
          <w:highlight w:val="none"/>
          <w:u w:val="single"/>
          <w:lang w:val="en-US" w:eastAsia="zh-CN"/>
        </w:rPr>
        <w:t>100</w:t>
      </w:r>
      <w:r>
        <w:rPr>
          <w:rFonts w:hint="eastAsia" w:ascii="宋体" w:hAnsi="宋体" w:cs="宋体"/>
          <w:color w:val="auto"/>
          <w:sz w:val="24"/>
          <w:szCs w:val="24"/>
          <w:highlight w:val="none"/>
        </w:rPr>
        <w:t>%的（具体金额为：</w:t>
      </w:r>
      <w:r>
        <w:rPr>
          <w:rFonts w:hint="eastAsia" w:ascii="宋体" w:hAnsi="宋体"/>
          <w:color w:val="auto"/>
          <w:sz w:val="24"/>
          <w:szCs w:val="24"/>
          <w:highlight w:val="none"/>
        </w:rPr>
        <w:t>5553123.88</w:t>
      </w:r>
      <w:r>
        <w:rPr>
          <w:rFonts w:hint="eastAsia" w:ascii="宋体" w:hAnsi="宋体" w:cs="宋体"/>
          <w:color w:val="auto"/>
          <w:sz w:val="24"/>
          <w:szCs w:val="24"/>
          <w:highlight w:val="none"/>
        </w:rPr>
        <w:t>元），则本项目招标失败，由招标人依法重新招标。</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条款号：45.2</w:t>
      </w: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45.3、45.4</w:t>
      </w:r>
      <w:r>
        <w:rPr>
          <w:rFonts w:hint="eastAsia" w:ascii="宋体" w:hAnsi="宋体" w:cs="宋体"/>
          <w:b/>
          <w:color w:val="auto"/>
          <w:szCs w:val="21"/>
          <w:highlight w:val="none"/>
        </w:rPr>
        <w:t xml:space="preserve">             修改类型：修改</w:t>
      </w:r>
    </w:p>
    <w:p>
      <w:pPr>
        <w:pStyle w:val="50"/>
        <w:tabs>
          <w:tab w:val="left" w:pos="7380"/>
        </w:tabs>
        <w:snapToGrid w:val="0"/>
        <w:spacing w:after="0" w:line="360" w:lineRule="auto"/>
        <w:ind w:firstLine="402" w:firstLineChars="200"/>
        <w:rPr>
          <w:rFonts w:ascii="宋体"/>
          <w:color w:val="auto"/>
          <w:sz w:val="24"/>
          <w:szCs w:val="24"/>
          <w:highlight w:val="none"/>
        </w:rPr>
      </w:pPr>
      <w:r>
        <w:rPr>
          <w:rFonts w:hint="eastAsia" w:ascii="宋体" w:hAnsi="宋体" w:cs="宋体"/>
          <w:b/>
          <w:color w:val="auto"/>
          <w:szCs w:val="21"/>
          <w:highlight w:val="none"/>
        </w:rPr>
        <w:t>原文：</w:t>
      </w:r>
      <w:r>
        <w:rPr>
          <w:rFonts w:hint="eastAsia" w:ascii="宋体" w:hAnsi="宋体" w:eastAsia="宋体" w:cs="宋体"/>
          <w:color w:val="auto"/>
          <w:kern w:val="0"/>
          <w:sz w:val="24"/>
          <w:szCs w:val="24"/>
          <w:highlight w:val="none"/>
          <w:lang w:val="en-US" w:eastAsia="zh-CN" w:bidi="ar-SA"/>
        </w:rPr>
        <w:t>45.2</w:t>
      </w:r>
      <w:r>
        <w:rPr>
          <w:rFonts w:hint="eastAsia" w:ascii="宋体" w:hAnsi="宋体"/>
          <w:color w:val="auto"/>
          <w:sz w:val="24"/>
          <w:szCs w:val="24"/>
          <w:highlight w:val="none"/>
        </w:rPr>
        <w:t>按方法</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计算评标参考价：</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方法一：加权平均法</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技术标或技术标加诚信得分（具体由招标人自定）前</w:t>
      </w:r>
      <w:r>
        <w:rPr>
          <w:rFonts w:ascii="宋体" w:hAnsi="宋体" w:cs="仿宋"/>
          <w:color w:val="auto"/>
          <w:sz w:val="24"/>
          <w:szCs w:val="24"/>
          <w:highlight w:val="none"/>
        </w:rPr>
        <w:t>N</w:t>
      </w:r>
      <w:r>
        <w:rPr>
          <w:rFonts w:hint="eastAsia" w:ascii="宋体" w:hAnsi="宋体" w:cs="仿宋"/>
          <w:color w:val="auto"/>
          <w:sz w:val="24"/>
          <w:szCs w:val="24"/>
          <w:highlight w:val="none"/>
        </w:rPr>
        <w:t>名（N≥5，具体由招标人自定）的经济报价加权平均，计算评标参考价。公式如下：</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评标参考价</w:t>
      </w:r>
      <w:r>
        <w:rPr>
          <w:rFonts w:ascii="宋体" w:hAnsi="宋体" w:cs="仿宋"/>
          <w:color w:val="auto"/>
          <w:sz w:val="24"/>
          <w:szCs w:val="24"/>
          <w:highlight w:val="none"/>
        </w:rPr>
        <w:t>=</w:t>
      </w:r>
      <w:r>
        <w:rPr>
          <w:rFonts w:hint="eastAsia" w:ascii="宋体" w:hAnsi="宋体" w:cs="仿宋"/>
          <w:color w:val="auto"/>
          <w:sz w:val="24"/>
          <w:szCs w:val="24"/>
          <w:highlight w:val="none"/>
        </w:rPr>
        <w:t>Σ（投标人的投标报价</w:t>
      </w:r>
      <w:r>
        <w:rPr>
          <w:rFonts w:ascii="宋体" w:hAnsi="宋体" w:cs="仿宋"/>
          <w:color w:val="auto"/>
          <w:sz w:val="24"/>
          <w:szCs w:val="24"/>
          <w:highlight w:val="none"/>
        </w:rPr>
        <w:t>*</w:t>
      </w:r>
      <w:r>
        <w:rPr>
          <w:rFonts w:hint="eastAsia" w:ascii="宋体" w:hAnsi="宋体" w:cs="仿宋"/>
          <w:color w:val="auto"/>
          <w:sz w:val="24"/>
          <w:szCs w:val="24"/>
          <w:highlight w:val="none"/>
        </w:rPr>
        <w:t>报价权重）。</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其中：报价权重的计算方法为：将</w:t>
      </w:r>
      <w:r>
        <w:rPr>
          <w:rFonts w:ascii="宋体" w:hAnsi="宋体" w:cs="仿宋"/>
          <w:color w:val="auto"/>
          <w:sz w:val="24"/>
          <w:szCs w:val="24"/>
          <w:highlight w:val="none"/>
        </w:rPr>
        <w:t>N</w:t>
      </w:r>
      <w:r>
        <w:rPr>
          <w:rFonts w:hint="eastAsia" w:ascii="宋体" w:hAnsi="宋体" w:cs="仿宋"/>
          <w:color w:val="auto"/>
          <w:sz w:val="24"/>
          <w:szCs w:val="24"/>
          <w:highlight w:val="none"/>
        </w:rPr>
        <w:t>名投标人按技术分由高至低进行排序，第一名投标人的权重为（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sz w:val="24"/>
          <w:szCs w:val="24"/>
          <w:highlight w:val="none"/>
        </w:rPr>
        <w:drawing>
          <wp:inline distT="0" distB="0" distL="114300" distR="114300">
            <wp:extent cx="381000" cy="447675"/>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7">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sz w:val="24"/>
          <w:szCs w:val="24"/>
          <w:highlight w:val="none"/>
        </w:rPr>
        <w:drawing>
          <wp:inline distT="0" distB="0" distL="114300" distR="114300">
            <wp:extent cx="381000" cy="447675"/>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7">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），第二名投标人的权重为（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114300" distR="114300">
            <wp:extent cx="323850" cy="4000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8">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114300" distR="114300">
            <wp:extent cx="323850" cy="4000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8">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），以此类推，最后一名投标人的权重为（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114300" distR="114300">
            <wp:extent cx="3238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114300" distR="114300">
            <wp:extent cx="323850" cy="4000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方法二：区间抽取法</w:t>
      </w:r>
    </w:p>
    <w:p>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：为（最高投标限价</w:t>
      </w:r>
      <w:r>
        <w:rPr>
          <w:rFonts w:ascii="宋体" w:hAnsi="宋体" w:cs="仿宋"/>
          <w:color w:val="auto"/>
          <w:sz w:val="24"/>
          <w:szCs w:val="24"/>
          <w:highlight w:val="none"/>
        </w:rPr>
        <w:t>*D%</w:t>
      </w:r>
      <w:r>
        <w:rPr>
          <w:rFonts w:hint="eastAsia" w:ascii="宋体" w:hAnsi="宋体" w:cs="仿宋"/>
          <w:color w:val="auto"/>
          <w:sz w:val="24"/>
          <w:szCs w:val="24"/>
          <w:highlight w:val="none"/>
        </w:rPr>
        <w:t>）（</w:t>
      </w:r>
      <w:r>
        <w:rPr>
          <w:rFonts w:ascii="宋体" w:hAnsi="宋体" w:cs="仿宋"/>
          <w:color w:val="auto"/>
          <w:sz w:val="24"/>
          <w:szCs w:val="24"/>
          <w:highlight w:val="none"/>
        </w:rPr>
        <w:t>D</w:t>
      </w:r>
      <w:r>
        <w:rPr>
          <w:rFonts w:hint="eastAsia" w:ascii="宋体" w:hAnsi="宋体" w:cs="仿宋"/>
          <w:color w:val="auto"/>
          <w:sz w:val="24"/>
          <w:szCs w:val="24"/>
          <w:highlight w:val="none"/>
        </w:rPr>
        <w:t>的取值范围为</w:t>
      </w:r>
      <w:r>
        <w:rPr>
          <w:rFonts w:ascii="宋体" w:hAnsi="宋体" w:cs="仿宋"/>
          <w:color w:val="auto"/>
          <w:sz w:val="24"/>
          <w:szCs w:val="24"/>
          <w:highlight w:val="none"/>
        </w:rPr>
        <w:t>[94,100],</w:t>
      </w:r>
      <w:r>
        <w:rPr>
          <w:rFonts w:hint="eastAsia" w:ascii="宋体" w:hAnsi="宋体" w:cs="仿宋"/>
          <w:color w:val="auto"/>
          <w:sz w:val="24"/>
          <w:szCs w:val="24"/>
          <w:highlight w:val="none"/>
        </w:rPr>
        <w:t>由招标人自定）</w:t>
      </w:r>
    </w:p>
    <w:p>
      <w:pPr>
        <w:spacing w:line="360" w:lineRule="auto"/>
        <w:ind w:firstLine="537" w:firstLineChars="224"/>
        <w:rPr>
          <w:rFonts w:hint="eastAsia" w:ascii="宋体" w:hAnsi="宋体" w:cs="仿宋"/>
          <w:color w:val="auto"/>
          <w:sz w:val="24"/>
          <w:szCs w:val="24"/>
          <w:highlight w:val="none"/>
        </w:rPr>
      </w:pP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45.3</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pPr>
        <w:pStyle w:val="50"/>
        <w:tabs>
          <w:tab w:val="left" w:pos="7380"/>
        </w:tabs>
        <w:snapToGrid w:val="0"/>
        <w:spacing w:line="360" w:lineRule="auto"/>
        <w:ind w:firstLine="480" w:firstLineChars="200"/>
        <w:rPr>
          <w:rFonts w:hint="eastAsia"/>
          <w:color w:val="auto"/>
          <w:highlight w:val="none"/>
        </w:rPr>
      </w:pPr>
      <w:r>
        <w:rPr>
          <w:rFonts w:hint="eastAsia" w:ascii="宋体" w:hAnsi="宋体"/>
          <w:color w:val="auto"/>
          <w:sz w:val="24"/>
          <w:szCs w:val="24"/>
          <w:highlight w:val="none"/>
        </w:rPr>
        <w:t>45.4计算通过技术标有效性审查的投标人总得分。投标人总得分=（技术得分×技术得分权重</w:t>
      </w:r>
      <w:r>
        <w:rPr>
          <w:rFonts w:hint="eastAsia" w:ascii="宋体" w:hAnsi="宋体" w:cs="宋体"/>
          <w:color w:val="auto"/>
          <w:sz w:val="24"/>
          <w:szCs w:val="24"/>
          <w:highlight w:val="none"/>
        </w:rPr>
        <w:t>＋</w:t>
      </w:r>
      <w:r>
        <w:rPr>
          <w:rFonts w:hint="eastAsia" w:ascii="宋体" w:hAnsi="宋体"/>
          <w:color w:val="auto"/>
          <w:sz w:val="24"/>
          <w:szCs w:val="24"/>
          <w:highlight w:val="none"/>
        </w:rPr>
        <w:t>经济得分×经济得分权重）×（1-综合诚信评价分数权重）</w:t>
      </w:r>
      <w:r>
        <w:rPr>
          <w:rFonts w:hint="eastAsia" w:ascii="宋体" w:hAnsi="宋体" w:cs="宋体"/>
          <w:color w:val="auto"/>
          <w:sz w:val="24"/>
          <w:szCs w:val="24"/>
          <w:highlight w:val="none"/>
        </w:rPr>
        <w:t>＋</w:t>
      </w:r>
      <w:r>
        <w:rPr>
          <w:rFonts w:hint="eastAsia" w:ascii="宋体" w:hAnsi="宋体"/>
          <w:color w:val="auto"/>
          <w:sz w:val="24"/>
          <w:szCs w:val="24"/>
          <w:highlight w:val="none"/>
        </w:rPr>
        <w:t>综合诚信评价排名得分×综合诚信评价分数权重）。技术、经济得分权重按投标须知前附表的规定执行。总得分四舍五入保留两位小数。</w:t>
      </w:r>
    </w:p>
    <w:p>
      <w:pPr>
        <w:pStyle w:val="50"/>
        <w:tabs>
          <w:tab w:val="left" w:pos="7380"/>
        </w:tabs>
        <w:snapToGrid w:val="0"/>
        <w:spacing w:after="0" w:line="360" w:lineRule="auto"/>
        <w:ind w:firstLine="422" w:firstLineChars="200"/>
        <w:rPr>
          <w:rFonts w:hint="eastAsia" w:ascii="宋体" w:hAnsi="宋体"/>
          <w:color w:val="auto"/>
          <w:sz w:val="28"/>
          <w:szCs w:val="28"/>
          <w:highlight w:val="none"/>
        </w:rPr>
      </w:pPr>
      <w:r>
        <w:rPr>
          <w:rFonts w:hint="eastAsia" w:ascii="宋体" w:hAnsi="宋体" w:cs="宋体"/>
          <w:b/>
          <w:color w:val="auto"/>
          <w:sz w:val="21"/>
          <w:szCs w:val="22"/>
          <w:highlight w:val="none"/>
        </w:rPr>
        <w:t>现文</w:t>
      </w:r>
      <w:r>
        <w:rPr>
          <w:rFonts w:hint="eastAsia" w:ascii="宋体" w:hAnsi="宋体" w:cs="宋体"/>
          <w:b/>
          <w:color w:val="auto"/>
          <w:sz w:val="21"/>
          <w:szCs w:val="22"/>
          <w:highlight w:val="none"/>
          <w:lang w:eastAsia="zh-CN"/>
        </w:rPr>
        <w:t>：</w:t>
      </w:r>
    </w:p>
    <w:p>
      <w:pPr>
        <w:pStyle w:val="50"/>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lang w:val="en-US" w:eastAsia="zh-CN"/>
        </w:rPr>
        <w:t>45.2</w:t>
      </w:r>
      <w:r>
        <w:rPr>
          <w:rFonts w:hint="eastAsia" w:ascii="宋体" w:hAnsi="宋体"/>
          <w:color w:val="auto"/>
          <w:sz w:val="24"/>
          <w:szCs w:val="24"/>
          <w:highlight w:val="none"/>
        </w:rPr>
        <w:t>按方法</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一</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计算评标参考价：</w:t>
      </w:r>
    </w:p>
    <w:p>
      <w:pPr>
        <w:widowControl/>
        <w:spacing w:line="440" w:lineRule="exact"/>
        <w:ind w:firstLine="442" w:firstLineChars="200"/>
        <w:rPr>
          <w:rFonts w:ascii="宋体" w:hAnsi="宋体"/>
          <w:b/>
          <w:bCs/>
          <w:color w:val="auto"/>
          <w:kern w:val="0"/>
          <w:sz w:val="22"/>
          <w:highlight w:val="none"/>
        </w:rPr>
      </w:pPr>
      <w:r>
        <w:rPr>
          <w:rFonts w:hint="eastAsia" w:ascii="宋体" w:hAnsi="宋体" w:cs="仿宋"/>
          <w:b/>
          <w:bCs/>
          <w:color w:val="auto"/>
          <w:kern w:val="0"/>
          <w:sz w:val="22"/>
          <w:highlight w:val="none"/>
        </w:rPr>
        <w:t>方法一：加权平均法</w:t>
      </w:r>
    </w:p>
    <w:p>
      <w:pPr>
        <w:spacing w:line="440" w:lineRule="exact"/>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u w:val="single"/>
        </w:rPr>
        <w:t>技术标得分前N名（当通过技术标投标文件有效性审查的投标人家数小于5家的，N取通过技术</w:t>
      </w:r>
      <w:r>
        <w:rPr>
          <w:rFonts w:ascii="宋体" w:hAnsi="宋体" w:cs="仿宋"/>
          <w:color w:val="auto"/>
          <w:sz w:val="24"/>
          <w:szCs w:val="24"/>
          <w:highlight w:val="none"/>
          <w:u w:val="single"/>
        </w:rPr>
        <w:t>标</w:t>
      </w:r>
      <w:r>
        <w:rPr>
          <w:rFonts w:hint="eastAsia" w:ascii="宋体" w:hAnsi="宋体" w:cs="仿宋"/>
          <w:color w:val="auto"/>
          <w:sz w:val="24"/>
          <w:szCs w:val="24"/>
          <w:highlight w:val="none"/>
          <w:u w:val="single"/>
        </w:rPr>
        <w:t>投标文件有效性审查的全部家数；当通过技术</w:t>
      </w:r>
      <w:r>
        <w:rPr>
          <w:rFonts w:ascii="宋体" w:hAnsi="宋体" w:cs="仿宋"/>
          <w:color w:val="auto"/>
          <w:sz w:val="24"/>
          <w:szCs w:val="24"/>
          <w:highlight w:val="none"/>
          <w:u w:val="single"/>
        </w:rPr>
        <w:t>标</w:t>
      </w:r>
      <w:r>
        <w:rPr>
          <w:rFonts w:hint="eastAsia" w:ascii="宋体" w:hAnsi="宋体" w:cs="仿宋"/>
          <w:color w:val="auto"/>
          <w:sz w:val="24"/>
          <w:szCs w:val="24"/>
          <w:highlight w:val="none"/>
          <w:u w:val="single"/>
        </w:rPr>
        <w:t>投标文件有效性审查的投标人家数大于或等于5家的，N=5）</w:t>
      </w:r>
      <w:r>
        <w:rPr>
          <w:rFonts w:hint="eastAsia" w:ascii="宋体" w:hAnsi="宋体" w:cs="仿宋"/>
          <w:color w:val="auto"/>
          <w:sz w:val="24"/>
          <w:szCs w:val="24"/>
          <w:highlight w:val="none"/>
        </w:rPr>
        <w:t>的经济报价加权平均，计算评标参考价，公式如下：</w:t>
      </w:r>
    </w:p>
    <w:p>
      <w:pPr>
        <w:spacing w:line="440" w:lineRule="exact"/>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评标参考价</w:t>
      </w:r>
      <w:r>
        <w:rPr>
          <w:rFonts w:ascii="宋体" w:hAnsi="宋体" w:cs="仿宋"/>
          <w:color w:val="auto"/>
          <w:sz w:val="24"/>
          <w:szCs w:val="24"/>
          <w:highlight w:val="none"/>
        </w:rPr>
        <w:t>=</w:t>
      </w:r>
      <w:r>
        <w:rPr>
          <w:rFonts w:hint="eastAsia" w:ascii="宋体" w:hAnsi="宋体" w:cs="仿宋"/>
          <w:color w:val="auto"/>
          <w:sz w:val="24"/>
          <w:szCs w:val="24"/>
          <w:highlight w:val="none"/>
        </w:rPr>
        <w:t>Σ（投标人的投标报价</w:t>
      </w:r>
      <w:r>
        <w:rPr>
          <w:rFonts w:ascii="宋体" w:hAnsi="宋体" w:cs="仿宋"/>
          <w:color w:val="auto"/>
          <w:sz w:val="24"/>
          <w:szCs w:val="24"/>
          <w:highlight w:val="none"/>
        </w:rPr>
        <w:t>*</w:t>
      </w:r>
      <w:r>
        <w:rPr>
          <w:rFonts w:hint="eastAsia" w:ascii="宋体" w:hAnsi="宋体" w:cs="仿宋"/>
          <w:color w:val="auto"/>
          <w:sz w:val="24"/>
          <w:szCs w:val="24"/>
          <w:highlight w:val="none"/>
        </w:rPr>
        <w:t>报价权重）。</w:t>
      </w:r>
    </w:p>
    <w:p>
      <w:pPr>
        <w:spacing w:line="360" w:lineRule="auto"/>
        <w:ind w:firstLine="480" w:firstLineChars="200"/>
        <w:rPr>
          <w:rFonts w:ascii="宋体" w:hAnsi="宋体" w:cs="仿宋"/>
          <w:color w:val="auto"/>
          <w:sz w:val="24"/>
          <w:szCs w:val="24"/>
          <w:highlight w:val="none"/>
          <w:u w:val="single"/>
        </w:rPr>
      </w:pPr>
      <w:r>
        <w:rPr>
          <w:rFonts w:hint="eastAsia" w:ascii="宋体" w:hAnsi="宋体" w:cs="仿宋"/>
          <w:color w:val="auto"/>
          <w:sz w:val="24"/>
          <w:szCs w:val="24"/>
          <w:highlight w:val="none"/>
        </w:rPr>
        <w:t>其中：报价权重的计算方法为：将</w:t>
      </w:r>
      <w:r>
        <w:rPr>
          <w:rFonts w:ascii="宋体" w:hAnsi="宋体" w:cs="仿宋"/>
          <w:color w:val="auto"/>
          <w:sz w:val="24"/>
          <w:szCs w:val="24"/>
          <w:highlight w:val="none"/>
        </w:rPr>
        <w:t>N</w:t>
      </w:r>
      <w:r>
        <w:rPr>
          <w:rFonts w:hint="eastAsia" w:ascii="宋体" w:hAnsi="宋体" w:cs="仿宋"/>
          <w:color w:val="auto"/>
          <w:sz w:val="24"/>
          <w:szCs w:val="24"/>
          <w:highlight w:val="none"/>
        </w:rPr>
        <w:t>名投标人按技术分由高至低进行排序，第一名投标人</w:t>
      </w:r>
      <w:r>
        <w:rPr>
          <w:rFonts w:hint="eastAsia" w:ascii="宋体" w:hAnsi="宋体" w:cs="仿宋"/>
          <w:color w:val="auto"/>
          <w:sz w:val="24"/>
          <w:szCs w:val="24"/>
          <w:highlight w:val="none"/>
          <w:u w:val="single"/>
        </w:rPr>
        <w:t>的权重为（</w:t>
      </w:r>
      <w:r>
        <w:rPr>
          <w:rFonts w:ascii="宋体" w:hAnsi="宋体" w:cs="仿宋"/>
          <w:color w:val="auto"/>
          <w:sz w:val="24"/>
          <w:szCs w:val="24"/>
          <w:highlight w:val="none"/>
          <w:u w:val="single"/>
        </w:rPr>
        <w:fldChar w:fldCharType="begin"/>
      </w:r>
      <w:r>
        <w:rPr>
          <w:rFonts w:ascii="宋体" w:hAnsi="宋体" w:cs="仿宋"/>
          <w:color w:val="auto"/>
          <w:sz w:val="24"/>
          <w:szCs w:val="24"/>
          <w:highlight w:val="none"/>
          <w:u w:val="single"/>
        </w:rPr>
        <w:instrText xml:space="preserve"> QUOTE </w:instrText>
      </w:r>
      <w:r>
        <w:rPr>
          <w:rFonts w:ascii="宋体" w:hAnsi="宋体"/>
          <w:color w:val="auto"/>
          <w:sz w:val="24"/>
          <w:szCs w:val="24"/>
          <w:highlight w:val="none"/>
          <w:u w:val="single"/>
        </w:rPr>
        <w:drawing>
          <wp:inline distT="0" distB="0" distL="114300" distR="114300">
            <wp:extent cx="381000" cy="447675"/>
            <wp:effectExtent l="0" t="0" r="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7">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olor w:val="auto"/>
          <w:sz w:val="24"/>
          <w:szCs w:val="24"/>
          <w:highlight w:val="none"/>
          <w:u w:val="single"/>
        </w:rPr>
        <w:instrText xml:space="preserve"> \* MERGEFORMAT </w:instrText>
      </w:r>
      <w:r>
        <w:rPr>
          <w:rFonts w:ascii="宋体" w:hAnsi="宋体" w:cs="仿宋"/>
          <w:color w:val="auto"/>
          <w:sz w:val="24"/>
          <w:szCs w:val="24"/>
          <w:highlight w:val="none"/>
          <w:u w:val="single"/>
        </w:rPr>
        <w:fldChar w:fldCharType="separate"/>
      </w:r>
      <w:r>
        <w:rPr>
          <w:rFonts w:ascii="宋体" w:hAnsi="宋体"/>
          <w:color w:val="auto"/>
          <w:sz w:val="24"/>
          <w:szCs w:val="24"/>
          <w:highlight w:val="none"/>
          <w:u w:val="single"/>
        </w:rPr>
        <w:drawing>
          <wp:inline distT="0" distB="0" distL="114300" distR="114300">
            <wp:extent cx="219075" cy="259715"/>
            <wp:effectExtent l="0" t="0" r="9525" b="698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7">
                      <a:clrChange>
                        <a:clrFrom>
                          <a:srgbClr val="FFFFFF"/>
                        </a:clrFrom>
                        <a:clrTo>
                          <a:srgbClr val="FFFFFF">
                            <a:alpha val="0"/>
                          </a:srgbClr>
                        </a:clrTo>
                      </a:clrChange>
                    </a:blip>
                    <a:stretch>
                      <a:fillRect/>
                    </a:stretch>
                  </pic:blipFill>
                  <pic:spPr>
                    <a:xfrm>
                      <a:off x="0" y="0"/>
                      <a:ext cx="219075" cy="259715"/>
                    </a:xfrm>
                    <a:prstGeom prst="rect">
                      <a:avLst/>
                    </a:prstGeom>
                    <a:noFill/>
                    <a:ln>
                      <a:noFill/>
                    </a:ln>
                  </pic:spPr>
                </pic:pic>
              </a:graphicData>
            </a:graphic>
          </wp:inline>
        </w:drawing>
      </w:r>
      <w:r>
        <w:rPr>
          <w:rFonts w:ascii="宋体" w:hAnsi="宋体" w:cs="仿宋"/>
          <w:color w:val="auto"/>
          <w:sz w:val="24"/>
          <w:szCs w:val="24"/>
          <w:highlight w:val="none"/>
          <w:u w:val="single"/>
        </w:rPr>
        <w:fldChar w:fldCharType="end"/>
      </w:r>
      <w:r>
        <w:rPr>
          <w:rFonts w:hint="eastAsia" w:ascii="宋体" w:hAnsi="宋体" w:cs="仿宋"/>
          <w:color w:val="auto"/>
          <w:sz w:val="24"/>
          <w:szCs w:val="24"/>
          <w:highlight w:val="none"/>
          <w:u w:val="single"/>
        </w:rPr>
        <w:t>），第二名投标人的权重为（</w:t>
      </w:r>
      <w:r>
        <w:rPr>
          <w:rFonts w:ascii="宋体" w:hAnsi="宋体" w:cs="仿宋"/>
          <w:color w:val="auto"/>
          <w:sz w:val="24"/>
          <w:szCs w:val="24"/>
          <w:highlight w:val="none"/>
          <w:u w:val="single"/>
        </w:rPr>
        <w:fldChar w:fldCharType="begin"/>
      </w:r>
      <w:r>
        <w:rPr>
          <w:rFonts w:ascii="宋体" w:hAnsi="宋体" w:cs="仿宋"/>
          <w:color w:val="auto"/>
          <w:sz w:val="24"/>
          <w:szCs w:val="24"/>
          <w:highlight w:val="none"/>
          <w:u w:val="single"/>
        </w:rPr>
        <w:instrText xml:space="preserve"> QUOTE </w:instrText>
      </w:r>
      <w:r>
        <w:rPr>
          <w:rFonts w:ascii="宋体" w:hAnsi="宋体"/>
          <w:color w:val="auto"/>
          <w:position w:val="-23"/>
          <w:sz w:val="24"/>
          <w:szCs w:val="24"/>
          <w:highlight w:val="none"/>
          <w:u w:val="single"/>
        </w:rPr>
        <w:drawing>
          <wp:inline distT="0" distB="0" distL="114300" distR="114300">
            <wp:extent cx="323850" cy="4000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8">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olor w:val="auto"/>
          <w:position w:val="-23"/>
          <w:sz w:val="24"/>
          <w:szCs w:val="24"/>
          <w:highlight w:val="none"/>
          <w:u w:val="single"/>
        </w:rPr>
        <w:instrText xml:space="preserve"> \* MERGEFORMAT </w:instrText>
      </w:r>
      <w:r>
        <w:rPr>
          <w:rFonts w:ascii="宋体" w:hAnsi="宋体" w:cs="仿宋"/>
          <w:color w:val="auto"/>
          <w:sz w:val="24"/>
          <w:szCs w:val="24"/>
          <w:highlight w:val="none"/>
          <w:u w:val="single"/>
        </w:rPr>
        <w:fldChar w:fldCharType="separate"/>
      </w:r>
      <w:r>
        <w:rPr>
          <w:rFonts w:ascii="宋体" w:hAnsi="宋体"/>
          <w:color w:val="auto"/>
          <w:position w:val="-23"/>
          <w:sz w:val="24"/>
          <w:szCs w:val="24"/>
          <w:highlight w:val="none"/>
          <w:u w:val="single"/>
        </w:rPr>
        <w:drawing>
          <wp:inline distT="0" distB="0" distL="114300" distR="114300">
            <wp:extent cx="217170" cy="273050"/>
            <wp:effectExtent l="0" t="0" r="11430" b="133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8">
                      <a:clrChange>
                        <a:clrFrom>
                          <a:srgbClr val="FFFFFF"/>
                        </a:clrFrom>
                        <a:clrTo>
                          <a:srgbClr val="FFFFFF">
                            <a:alpha val="0"/>
                          </a:srgbClr>
                        </a:clrTo>
                      </a:clrChange>
                    </a:blip>
                    <a:stretch>
                      <a:fillRect/>
                    </a:stretch>
                  </pic:blipFill>
                  <pic:spPr>
                    <a:xfrm>
                      <a:off x="0" y="0"/>
                      <a:ext cx="217170" cy="273050"/>
                    </a:xfrm>
                    <a:prstGeom prst="rect">
                      <a:avLst/>
                    </a:prstGeom>
                    <a:noFill/>
                    <a:ln>
                      <a:noFill/>
                    </a:ln>
                  </pic:spPr>
                </pic:pic>
              </a:graphicData>
            </a:graphic>
          </wp:inline>
        </w:drawing>
      </w:r>
      <w:r>
        <w:rPr>
          <w:rFonts w:ascii="宋体" w:hAnsi="宋体" w:cs="仿宋"/>
          <w:color w:val="auto"/>
          <w:sz w:val="24"/>
          <w:szCs w:val="24"/>
          <w:highlight w:val="none"/>
          <w:u w:val="single"/>
        </w:rPr>
        <w:fldChar w:fldCharType="end"/>
      </w:r>
      <w:r>
        <w:rPr>
          <w:rFonts w:hint="eastAsia" w:ascii="宋体" w:hAnsi="宋体" w:cs="仿宋"/>
          <w:color w:val="auto"/>
          <w:sz w:val="24"/>
          <w:szCs w:val="24"/>
          <w:highlight w:val="none"/>
          <w:u w:val="single"/>
        </w:rPr>
        <w:t>），以此类推，最后一名投标人的权重为（</w:t>
      </w:r>
      <w:r>
        <w:rPr>
          <w:rFonts w:ascii="宋体" w:hAnsi="宋体" w:cs="仿宋"/>
          <w:color w:val="auto"/>
          <w:sz w:val="24"/>
          <w:szCs w:val="24"/>
          <w:highlight w:val="none"/>
          <w:u w:val="single"/>
        </w:rPr>
        <w:fldChar w:fldCharType="begin"/>
      </w:r>
      <w:r>
        <w:rPr>
          <w:rFonts w:ascii="宋体" w:hAnsi="宋体" w:cs="仿宋"/>
          <w:color w:val="auto"/>
          <w:sz w:val="24"/>
          <w:szCs w:val="24"/>
          <w:highlight w:val="none"/>
          <w:u w:val="single"/>
        </w:rPr>
        <w:instrText xml:space="preserve"> QUOTE </w:instrText>
      </w:r>
      <w:r>
        <w:rPr>
          <w:rFonts w:ascii="宋体" w:hAnsi="宋体"/>
          <w:color w:val="auto"/>
          <w:position w:val="-23"/>
          <w:sz w:val="24"/>
          <w:szCs w:val="24"/>
          <w:highlight w:val="none"/>
          <w:u w:val="single"/>
        </w:rPr>
        <w:drawing>
          <wp:inline distT="0" distB="0" distL="114300" distR="114300">
            <wp:extent cx="323850" cy="4000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olor w:val="auto"/>
          <w:position w:val="-23"/>
          <w:sz w:val="24"/>
          <w:szCs w:val="24"/>
          <w:highlight w:val="none"/>
          <w:u w:val="single"/>
        </w:rPr>
        <w:instrText xml:space="preserve"> \* MERGEFORMAT </w:instrText>
      </w:r>
      <w:r>
        <w:rPr>
          <w:rFonts w:ascii="宋体" w:hAnsi="宋体" w:cs="仿宋"/>
          <w:color w:val="auto"/>
          <w:sz w:val="24"/>
          <w:szCs w:val="24"/>
          <w:highlight w:val="none"/>
          <w:u w:val="single"/>
        </w:rPr>
        <w:fldChar w:fldCharType="separate"/>
      </w:r>
      <w:r>
        <w:rPr>
          <w:rFonts w:ascii="宋体" w:hAnsi="宋体"/>
          <w:color w:val="auto"/>
          <w:position w:val="-23"/>
          <w:sz w:val="24"/>
          <w:szCs w:val="24"/>
          <w:highlight w:val="none"/>
          <w:u w:val="single"/>
        </w:rPr>
        <w:object>
          <v:shape id="_x0000_i1025" o:spt="75" type="#_x0000_t75" style="height:31.5pt;width:24.05pt;" o:ole="t" filled="f" stroked="f" coordsize="21600,21600">
            <v:path/>
            <v:fill on="f" focussize="0,0"/>
            <v:stroke on="f"/>
            <v:imagedata r:id="rId31" o:title=""/>
            <o:lock v:ext="edit" aspectratio="t"/>
            <w10:wrap type="none"/>
            <w10:anchorlock/>
          </v:shape>
          <o:OLEObject Type="Embed" ProgID="Word.Document.12" ShapeID="_x0000_i1025" DrawAspect="Content" ObjectID="_1468075725" r:id="rId30">
            <o:LockedField>false</o:LockedField>
          </o:OLEObject>
        </w:object>
      </w:r>
      <w:r>
        <w:rPr>
          <w:rFonts w:ascii="宋体" w:hAnsi="宋体" w:cs="仿宋"/>
          <w:color w:val="auto"/>
          <w:sz w:val="24"/>
          <w:szCs w:val="24"/>
          <w:highlight w:val="none"/>
          <w:u w:val="single"/>
        </w:rPr>
        <w:fldChar w:fldCharType="end"/>
      </w:r>
      <w:r>
        <w:rPr>
          <w:rFonts w:hint="eastAsia" w:ascii="宋体" w:hAnsi="宋体" w:cs="仿宋"/>
          <w:color w:val="auto"/>
          <w:sz w:val="24"/>
          <w:szCs w:val="24"/>
          <w:highlight w:val="none"/>
          <w:u w:val="single"/>
        </w:rPr>
        <w:t>）。</w:t>
      </w:r>
    </w:p>
    <w:p>
      <w:pPr>
        <w:spacing w:line="440" w:lineRule="exact"/>
        <w:ind w:firstLine="480" w:firstLineChars="200"/>
        <w:rPr>
          <w:rFonts w:hint="eastAsia" w:ascii="宋体" w:hAnsi="宋体" w:cs="仿宋"/>
          <w:color w:val="auto"/>
          <w:sz w:val="24"/>
          <w:szCs w:val="24"/>
          <w:highlight w:val="none"/>
          <w:u w:val="single"/>
        </w:rPr>
      </w:pPr>
      <w:r>
        <w:rPr>
          <w:rFonts w:hint="eastAsia" w:ascii="宋体" w:hAnsi="宋体" w:cs="仿宋"/>
          <w:color w:val="auto"/>
          <w:sz w:val="24"/>
          <w:szCs w:val="24"/>
          <w:highlight w:val="none"/>
          <w:u w:val="single"/>
        </w:rPr>
        <w:t>技术标得分相同的，以投标报价较低的排前；技术标得分与投标报价均相同的投标人，由评标委员会采用记名投票方式，确定投标人的排序。</w:t>
      </w:r>
    </w:p>
    <w:p>
      <w:pPr>
        <w:spacing w:line="440" w:lineRule="exact"/>
        <w:ind w:firstLine="480" w:firstLineChars="200"/>
        <w:rPr>
          <w:rFonts w:hint="eastAsia" w:ascii="宋体" w:hAnsi="宋体" w:cs="仿宋"/>
          <w:color w:val="auto"/>
          <w:sz w:val="24"/>
          <w:szCs w:val="24"/>
          <w:highlight w:val="none"/>
          <w:u w:val="single"/>
        </w:rPr>
      </w:pPr>
      <w:r>
        <w:rPr>
          <w:rFonts w:hint="eastAsia" w:ascii="宋体" w:hAnsi="宋体" w:cs="仿宋"/>
          <w:color w:val="auto"/>
          <w:sz w:val="24"/>
          <w:szCs w:val="24"/>
          <w:highlight w:val="none"/>
          <w:u w:val="single"/>
        </w:rPr>
        <w:t>注：投票方式确定排序的具体操作步骤为：由评标委员会对出现该情况的投标人进行编号，然后通过投票方式依次确定投标人的排序。</w:t>
      </w:r>
    </w:p>
    <w:p>
      <w:pPr>
        <w:widowControl/>
        <w:spacing w:line="360" w:lineRule="auto"/>
        <w:ind w:firstLine="482" w:firstLineChars="200"/>
        <w:rPr>
          <w:rFonts w:ascii="宋体" w:hAnsi="宋体"/>
          <w:b/>
          <w:bCs/>
          <w:strike/>
          <w:dstrike w:val="0"/>
          <w:color w:val="auto"/>
          <w:kern w:val="0"/>
          <w:sz w:val="24"/>
          <w:szCs w:val="24"/>
          <w:highlight w:val="none"/>
        </w:rPr>
      </w:pPr>
      <w:r>
        <w:rPr>
          <w:rFonts w:hint="eastAsia" w:ascii="宋体" w:hAnsi="宋体" w:cs="仿宋"/>
          <w:b/>
          <w:bCs/>
          <w:strike/>
          <w:dstrike w:val="0"/>
          <w:color w:val="auto"/>
          <w:kern w:val="0"/>
          <w:sz w:val="24"/>
          <w:szCs w:val="24"/>
          <w:highlight w:val="none"/>
        </w:rPr>
        <w:t>方法二：区间抽取法</w:t>
      </w:r>
    </w:p>
    <w:p>
      <w:pPr>
        <w:widowControl/>
        <w:snapToGrid w:val="0"/>
        <w:spacing w:line="360" w:lineRule="auto"/>
        <w:ind w:firstLine="480" w:firstLineChars="200"/>
        <w:rPr>
          <w:rFonts w:ascii="宋体" w:hAnsi="宋体"/>
          <w:strike/>
          <w:dstrike w:val="0"/>
          <w:color w:val="auto"/>
          <w:kern w:val="0"/>
          <w:sz w:val="24"/>
          <w:szCs w:val="24"/>
          <w:highlight w:val="none"/>
        </w:rPr>
      </w:pPr>
      <w:r>
        <w:rPr>
          <w:rFonts w:hint="eastAsia" w:ascii="宋体" w:hAnsi="宋体" w:cs="仿宋"/>
          <w:strike/>
          <w:dstrike w:val="0"/>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strike/>
          <w:dstrike w:val="0"/>
          <w:color w:val="auto"/>
          <w:kern w:val="0"/>
          <w:sz w:val="24"/>
          <w:szCs w:val="24"/>
          <w:highlight w:val="none"/>
          <w:vertAlign w:val="subscript"/>
        </w:rPr>
      </w:pPr>
      <w:r>
        <w:rPr>
          <w:rFonts w:hint="eastAsia" w:ascii="宋体" w:hAnsi="宋体" w:cs="仿宋"/>
          <w:strike/>
          <w:dstrike w:val="0"/>
          <w:color w:val="auto"/>
          <w:kern w:val="0"/>
          <w:sz w:val="24"/>
          <w:szCs w:val="24"/>
          <w:highlight w:val="none"/>
        </w:rPr>
        <w:t>评标参考价</w:t>
      </w:r>
      <w:r>
        <w:rPr>
          <w:rFonts w:ascii="宋体" w:hAnsi="宋体" w:cs="仿宋"/>
          <w:strike/>
          <w:dstrike w:val="0"/>
          <w:color w:val="auto"/>
          <w:kern w:val="0"/>
          <w:sz w:val="24"/>
          <w:szCs w:val="24"/>
          <w:highlight w:val="none"/>
        </w:rPr>
        <w:t>=</w:t>
      </w:r>
      <w:r>
        <w:rPr>
          <w:rFonts w:hint="eastAsia" w:ascii="宋体" w:hAnsi="宋体" w:cs="仿宋"/>
          <w:strike/>
          <w:dstrike w:val="0"/>
          <w:color w:val="auto"/>
          <w:kern w:val="0"/>
          <w:sz w:val="24"/>
          <w:szCs w:val="24"/>
          <w:highlight w:val="none"/>
        </w:rPr>
        <w:t>（</w:t>
      </w:r>
      <w:r>
        <w:rPr>
          <w:rFonts w:ascii="宋体" w:hAnsi="宋体" w:cs="仿宋"/>
          <w:strike/>
          <w:dstrike w:val="0"/>
          <w:color w:val="auto"/>
          <w:kern w:val="0"/>
          <w:sz w:val="24"/>
          <w:szCs w:val="24"/>
          <w:highlight w:val="none"/>
        </w:rPr>
        <w:t>Q</w:t>
      </w:r>
      <w:r>
        <w:rPr>
          <w:rFonts w:hint="eastAsia" w:ascii="宋体" w:hAnsi="宋体" w:cs="仿宋"/>
          <w:strike/>
          <w:dstrike w:val="0"/>
          <w:color w:val="auto"/>
          <w:kern w:val="0"/>
          <w:sz w:val="24"/>
          <w:szCs w:val="24"/>
          <w:highlight w:val="none"/>
          <w:vertAlign w:val="subscript"/>
        </w:rPr>
        <w:t>高</w:t>
      </w:r>
      <w:r>
        <w:rPr>
          <w:rFonts w:ascii="宋体" w:hAnsi="宋体" w:cs="仿宋"/>
          <w:strike/>
          <w:dstrike w:val="0"/>
          <w:color w:val="auto"/>
          <w:kern w:val="0"/>
          <w:sz w:val="24"/>
          <w:szCs w:val="24"/>
          <w:highlight w:val="none"/>
        </w:rPr>
        <w:t>-Q</w:t>
      </w:r>
      <w:r>
        <w:rPr>
          <w:rFonts w:hint="eastAsia" w:ascii="宋体" w:hAnsi="宋体" w:cs="仿宋"/>
          <w:strike/>
          <w:dstrike w:val="0"/>
          <w:color w:val="auto"/>
          <w:kern w:val="0"/>
          <w:sz w:val="24"/>
          <w:szCs w:val="24"/>
          <w:highlight w:val="none"/>
          <w:vertAlign w:val="subscript"/>
        </w:rPr>
        <w:t>低</w:t>
      </w:r>
      <w:r>
        <w:rPr>
          <w:rFonts w:hint="eastAsia" w:ascii="宋体" w:hAnsi="宋体" w:cs="仿宋"/>
          <w:strike/>
          <w:dstrike w:val="0"/>
          <w:color w:val="auto"/>
          <w:kern w:val="0"/>
          <w:sz w:val="24"/>
          <w:szCs w:val="24"/>
          <w:highlight w:val="none"/>
        </w:rPr>
        <w:t>）</w:t>
      </w:r>
      <w:r>
        <w:rPr>
          <w:rFonts w:ascii="宋体" w:hAnsi="宋体" w:cs="仿宋"/>
          <w:strike/>
          <w:dstrike w:val="0"/>
          <w:color w:val="auto"/>
          <w:kern w:val="0"/>
          <w:sz w:val="24"/>
          <w:szCs w:val="24"/>
          <w:highlight w:val="none"/>
        </w:rPr>
        <w:t>/100*</w:t>
      </w:r>
      <w:r>
        <w:rPr>
          <w:rFonts w:hint="eastAsia" w:ascii="宋体" w:hAnsi="宋体" w:cs="仿宋"/>
          <w:strike/>
          <w:dstrike w:val="0"/>
          <w:color w:val="auto"/>
          <w:kern w:val="0"/>
          <w:sz w:val="24"/>
          <w:szCs w:val="24"/>
          <w:highlight w:val="none"/>
        </w:rPr>
        <w:t>Ｘ</w:t>
      </w:r>
      <w:r>
        <w:rPr>
          <w:rFonts w:ascii="宋体" w:hAnsi="宋体" w:cs="仿宋"/>
          <w:strike/>
          <w:dstrike w:val="0"/>
          <w:color w:val="auto"/>
          <w:kern w:val="0"/>
          <w:sz w:val="24"/>
          <w:szCs w:val="24"/>
          <w:highlight w:val="none"/>
        </w:rPr>
        <w:t>+Q</w:t>
      </w:r>
      <w:r>
        <w:rPr>
          <w:rFonts w:hint="eastAsia" w:ascii="宋体" w:hAnsi="宋体" w:cs="仿宋"/>
          <w:strike/>
          <w:dstrike w:val="0"/>
          <w:color w:val="auto"/>
          <w:kern w:val="0"/>
          <w:sz w:val="24"/>
          <w:szCs w:val="24"/>
          <w:highlight w:val="none"/>
          <w:vertAlign w:val="subscript"/>
        </w:rPr>
        <w:t>低</w:t>
      </w:r>
    </w:p>
    <w:p>
      <w:pPr>
        <w:widowControl/>
        <w:snapToGrid w:val="0"/>
        <w:spacing w:line="360" w:lineRule="auto"/>
        <w:ind w:firstLine="480" w:firstLineChars="200"/>
        <w:rPr>
          <w:rFonts w:ascii="宋体" w:hAnsi="宋体"/>
          <w:strike/>
          <w:dstrike w:val="0"/>
          <w:color w:val="auto"/>
          <w:sz w:val="24"/>
          <w:szCs w:val="24"/>
          <w:highlight w:val="none"/>
        </w:rPr>
      </w:pPr>
      <w:r>
        <w:rPr>
          <w:rFonts w:ascii="宋体" w:hAnsi="宋体" w:cs="仿宋"/>
          <w:strike/>
          <w:dstrike w:val="0"/>
          <w:color w:val="auto"/>
          <w:sz w:val="24"/>
          <w:szCs w:val="24"/>
          <w:highlight w:val="none"/>
        </w:rPr>
        <w:t>Q</w:t>
      </w:r>
      <w:r>
        <w:rPr>
          <w:rFonts w:hint="eastAsia" w:ascii="宋体" w:hAnsi="宋体" w:cs="仿宋"/>
          <w:strike/>
          <w:dstrike w:val="0"/>
          <w:color w:val="auto"/>
          <w:sz w:val="24"/>
          <w:szCs w:val="24"/>
          <w:highlight w:val="none"/>
          <w:vertAlign w:val="subscript"/>
        </w:rPr>
        <w:t>低</w:t>
      </w:r>
      <w:r>
        <w:rPr>
          <w:rFonts w:hint="eastAsia" w:ascii="宋体" w:hAnsi="宋体" w:cs="仿宋"/>
          <w:strike/>
          <w:dstrike w:val="0"/>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strike/>
          <w:dstrike w:val="0"/>
          <w:color w:val="auto"/>
          <w:sz w:val="24"/>
          <w:szCs w:val="24"/>
          <w:highlight w:val="none"/>
        </w:rPr>
      </w:pPr>
      <w:r>
        <w:rPr>
          <w:rFonts w:ascii="宋体" w:hAnsi="宋体" w:cs="仿宋"/>
          <w:strike/>
          <w:dstrike w:val="0"/>
          <w:color w:val="auto"/>
          <w:kern w:val="0"/>
          <w:sz w:val="24"/>
          <w:szCs w:val="24"/>
          <w:highlight w:val="none"/>
        </w:rPr>
        <w:t>Q</w:t>
      </w:r>
      <w:r>
        <w:rPr>
          <w:rFonts w:hint="eastAsia" w:ascii="宋体" w:hAnsi="宋体" w:cs="仿宋"/>
          <w:strike/>
          <w:dstrike w:val="0"/>
          <w:color w:val="auto"/>
          <w:kern w:val="0"/>
          <w:sz w:val="24"/>
          <w:szCs w:val="24"/>
          <w:highlight w:val="none"/>
          <w:vertAlign w:val="subscript"/>
        </w:rPr>
        <w:t>高</w:t>
      </w:r>
      <w:r>
        <w:rPr>
          <w:rFonts w:hint="eastAsia" w:ascii="宋体" w:hAnsi="宋体" w:cs="仿宋"/>
          <w:strike/>
          <w:dstrike w:val="0"/>
          <w:color w:val="auto"/>
          <w:sz w:val="24"/>
          <w:szCs w:val="24"/>
          <w:highlight w:val="none"/>
        </w:rPr>
        <w:t>：为（最高投标限价</w:t>
      </w:r>
      <w:r>
        <w:rPr>
          <w:rFonts w:ascii="宋体" w:hAnsi="宋体" w:cs="仿宋"/>
          <w:strike/>
          <w:dstrike w:val="0"/>
          <w:color w:val="auto"/>
          <w:sz w:val="24"/>
          <w:szCs w:val="24"/>
          <w:highlight w:val="none"/>
        </w:rPr>
        <w:t>*D%</w:t>
      </w:r>
      <w:r>
        <w:rPr>
          <w:rFonts w:hint="eastAsia" w:ascii="宋体" w:hAnsi="宋体" w:cs="仿宋"/>
          <w:strike/>
          <w:dstrike w:val="0"/>
          <w:color w:val="auto"/>
          <w:sz w:val="24"/>
          <w:szCs w:val="24"/>
          <w:highlight w:val="none"/>
        </w:rPr>
        <w:t>）（</w:t>
      </w:r>
      <w:r>
        <w:rPr>
          <w:rFonts w:ascii="宋体" w:hAnsi="宋体" w:cs="仿宋"/>
          <w:strike/>
          <w:dstrike w:val="0"/>
          <w:color w:val="auto"/>
          <w:sz w:val="24"/>
          <w:szCs w:val="24"/>
          <w:highlight w:val="none"/>
        </w:rPr>
        <w:t>D</w:t>
      </w:r>
      <w:r>
        <w:rPr>
          <w:rFonts w:hint="eastAsia" w:ascii="宋体" w:hAnsi="宋体" w:cs="仿宋"/>
          <w:strike/>
          <w:dstrike w:val="0"/>
          <w:color w:val="auto"/>
          <w:sz w:val="24"/>
          <w:szCs w:val="24"/>
          <w:highlight w:val="none"/>
        </w:rPr>
        <w:t>的取值范围为</w:t>
      </w:r>
      <w:r>
        <w:rPr>
          <w:rFonts w:ascii="宋体" w:hAnsi="宋体" w:cs="仿宋"/>
          <w:strike/>
          <w:dstrike w:val="0"/>
          <w:color w:val="auto"/>
          <w:sz w:val="24"/>
          <w:szCs w:val="24"/>
          <w:highlight w:val="none"/>
        </w:rPr>
        <w:t>[94,100],</w:t>
      </w:r>
      <w:r>
        <w:rPr>
          <w:rFonts w:hint="eastAsia" w:ascii="宋体" w:hAnsi="宋体" w:cs="仿宋"/>
          <w:strike/>
          <w:dstrike w:val="0"/>
          <w:color w:val="auto"/>
          <w:sz w:val="24"/>
          <w:szCs w:val="24"/>
          <w:highlight w:val="none"/>
        </w:rPr>
        <w:t>由招标人自定）</w:t>
      </w:r>
    </w:p>
    <w:p>
      <w:pPr>
        <w:spacing w:line="360" w:lineRule="auto"/>
        <w:ind w:firstLine="537" w:firstLineChars="224"/>
        <w:rPr>
          <w:rFonts w:hint="eastAsia" w:ascii="宋体" w:hAnsi="宋体" w:cs="仿宋"/>
          <w:strike/>
          <w:dstrike w:val="0"/>
          <w:color w:val="auto"/>
          <w:sz w:val="24"/>
          <w:szCs w:val="24"/>
          <w:highlight w:val="none"/>
        </w:rPr>
      </w:pPr>
      <w:r>
        <w:rPr>
          <w:rFonts w:ascii="宋体" w:hAnsi="宋体" w:cs="仿宋"/>
          <w:strike/>
          <w:dstrike w:val="0"/>
          <w:color w:val="auto"/>
          <w:sz w:val="24"/>
          <w:szCs w:val="24"/>
          <w:highlight w:val="none"/>
        </w:rPr>
        <w:t>X:</w:t>
      </w:r>
      <w:r>
        <w:rPr>
          <w:rFonts w:hint="eastAsia" w:ascii="宋体" w:hAnsi="宋体" w:cs="仿宋"/>
          <w:strike/>
          <w:dstrike w:val="0"/>
          <w:color w:val="auto"/>
          <w:sz w:val="24"/>
          <w:szCs w:val="24"/>
          <w:highlight w:val="none"/>
        </w:rPr>
        <w:t>为等分点值，在开标前从</w:t>
      </w:r>
      <w:r>
        <w:rPr>
          <w:rFonts w:ascii="宋体" w:hAnsi="宋体" w:cs="仿宋"/>
          <w:strike/>
          <w:dstrike w:val="0"/>
          <w:color w:val="auto"/>
          <w:sz w:val="24"/>
          <w:szCs w:val="24"/>
          <w:highlight w:val="none"/>
        </w:rPr>
        <w:t>[0,100]</w:t>
      </w:r>
      <w:r>
        <w:rPr>
          <w:rFonts w:hint="eastAsia" w:ascii="宋体" w:hAnsi="宋体" w:cs="仿宋"/>
          <w:strike/>
          <w:dstrike w:val="0"/>
          <w:color w:val="auto"/>
          <w:sz w:val="24"/>
          <w:szCs w:val="24"/>
          <w:highlight w:val="none"/>
        </w:rPr>
        <w:t>整数中随机抽取</w:t>
      </w:r>
    </w:p>
    <w:p>
      <w:pPr>
        <w:spacing w:line="360" w:lineRule="auto"/>
        <w:ind w:firstLine="480" w:firstLineChars="200"/>
        <w:rPr>
          <w:rFonts w:hint="eastAsia" w:ascii="宋体" w:hAnsi="宋体" w:cs="宋体"/>
          <w:color w:val="auto"/>
          <w:kern w:val="0"/>
          <w:sz w:val="24"/>
          <w:szCs w:val="24"/>
          <w:highlight w:val="none"/>
        </w:rPr>
      </w:pPr>
    </w:p>
    <w:p>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kern w:val="0"/>
          <w:sz w:val="24"/>
          <w:szCs w:val="24"/>
          <w:highlight w:val="none"/>
        </w:rPr>
        <w:t>45.3</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hint="eastAsia" w:ascii="宋体" w:hAnsi="宋体"/>
          <w:color w:val="auto"/>
          <w:sz w:val="24"/>
          <w:szCs w:val="24"/>
          <w:highlight w:val="none"/>
          <w:lang w:val="en-US" w:eastAsia="zh-CN"/>
        </w:rPr>
        <w:t>0.2</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hint="eastAsia" w:ascii="宋体" w:hAnsi="宋体"/>
          <w:color w:val="auto"/>
          <w:sz w:val="24"/>
          <w:szCs w:val="24"/>
          <w:highlight w:val="none"/>
          <w:lang w:val="en-US" w:eastAsia="zh-CN"/>
        </w:rPr>
        <w:t>0.1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r>
        <w:rPr>
          <w:rFonts w:hint="eastAsia" w:ascii="宋体" w:hAnsi="宋体" w:cs="宋体"/>
          <w:color w:val="auto"/>
          <w:sz w:val="24"/>
          <w:szCs w:val="24"/>
          <w:highlight w:val="none"/>
          <w:lang w:val="en-US" w:eastAsia="zh-CN"/>
        </w:rPr>
        <w:t xml:space="preserve">    </w:t>
      </w:r>
    </w:p>
    <w:p>
      <w:pPr>
        <w:pBdr>
          <w:bottom w:val="single" w:color="auto" w:sz="4" w:space="0"/>
        </w:pBdr>
        <w:spacing w:line="360" w:lineRule="auto"/>
        <w:ind w:firstLine="537" w:firstLineChars="224"/>
        <w:rPr>
          <w:rFonts w:hint="eastAsia"/>
          <w:color w:val="auto"/>
          <w:highlight w:val="none"/>
        </w:rPr>
      </w:pPr>
      <w:r>
        <w:rPr>
          <w:rFonts w:hint="eastAsia" w:ascii="宋体" w:hAnsi="宋体" w:eastAsia="宋体" w:cs="宋体"/>
          <w:color w:val="auto"/>
          <w:kern w:val="0"/>
          <w:sz w:val="24"/>
          <w:szCs w:val="24"/>
          <w:highlight w:val="none"/>
        </w:rPr>
        <w:t>45.4</w:t>
      </w:r>
      <w:r>
        <w:rPr>
          <w:rFonts w:hint="eastAsia"/>
          <w:color w:val="auto"/>
          <w:sz w:val="24"/>
          <w:szCs w:val="24"/>
          <w:highlight w:val="none"/>
        </w:rPr>
        <w:t>计算通过技术标有效性审查的投标人总得分。</w:t>
      </w:r>
      <w:r>
        <w:rPr>
          <w:rFonts w:hint="eastAsia"/>
          <w:color w:val="auto"/>
          <w:sz w:val="24"/>
          <w:szCs w:val="24"/>
          <w:highlight w:val="none"/>
          <w:u w:val="single"/>
        </w:rPr>
        <w:t>投标人总得分（满分100）=技术得分（满分20分）＋经济得分（满分100分）×经济得分权重（80%）</w:t>
      </w:r>
      <w:r>
        <w:rPr>
          <w:rFonts w:hint="eastAsia"/>
          <w:color w:val="auto"/>
          <w:sz w:val="24"/>
          <w:szCs w:val="24"/>
          <w:highlight w:val="none"/>
        </w:rPr>
        <w:t>。技术、经济得分权重按投标须知前附表的规定执行。总得分四舍五入保留两位小数。</w:t>
      </w:r>
    </w:p>
    <w:p>
      <w:pPr>
        <w:pStyle w:val="50"/>
        <w:rPr>
          <w:rFonts w:hint="eastAsia"/>
          <w:color w:val="auto"/>
          <w:highlight w:val="none"/>
        </w:rPr>
      </w:pP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条款号：48           修改类型：修改</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 w:val="24"/>
          <w:szCs w:val="24"/>
          <w:highlight w:val="none"/>
        </w:rPr>
        <w:t>评标委员会应在通过投标文件经济标有效性审查的投标人中，按步骤45.4确定的投标人第二阶段排序，推荐前3名依次为第一中标候选人至第三中标候选人,并编制评标报告。</w:t>
      </w:r>
    </w:p>
    <w:p>
      <w:pPr>
        <w:pBdr>
          <w:bottom w:val="single" w:color="auto" w:sz="6" w:space="1"/>
        </w:pBdr>
        <w:spacing w:line="360" w:lineRule="auto"/>
        <w:ind w:firstLine="527" w:firstLineChars="250"/>
        <w:rPr>
          <w:rFonts w:hint="eastAsia" w:ascii="宋体" w:hAnsi="宋体" w:cs="宋体"/>
          <w:color w:val="auto"/>
          <w:highlight w:val="none"/>
          <w:u w:val="single"/>
        </w:rPr>
      </w:pPr>
      <w:r>
        <w:rPr>
          <w:rFonts w:hint="eastAsia" w:ascii="宋体" w:hAnsi="宋体" w:cs="宋体"/>
          <w:b/>
          <w:color w:val="auto"/>
          <w:szCs w:val="21"/>
          <w:highlight w:val="none"/>
        </w:rPr>
        <w:t>现文：</w:t>
      </w:r>
      <w:r>
        <w:rPr>
          <w:rFonts w:hint="eastAsia" w:ascii="宋体" w:hAnsi="宋体" w:cs="宋体"/>
          <w:color w:val="auto"/>
          <w:sz w:val="24"/>
          <w:szCs w:val="24"/>
          <w:highlight w:val="none"/>
        </w:rPr>
        <w:t>评标委员会应在通过投标文件经济标有效性审查的投标人中，按步骤45.4确定的投标人</w:t>
      </w:r>
      <w:r>
        <w:rPr>
          <w:rFonts w:hint="eastAsia" w:ascii="宋体" w:hAnsi="宋体" w:cs="宋体"/>
          <w:color w:val="auto"/>
          <w:sz w:val="24"/>
          <w:szCs w:val="24"/>
          <w:highlight w:val="none"/>
          <w:u w:val="single"/>
        </w:rPr>
        <w:t>总得分由高到低进行排序</w:t>
      </w:r>
      <w:r>
        <w:rPr>
          <w:rFonts w:hint="eastAsia" w:ascii="宋体" w:hAnsi="宋体" w:cs="宋体"/>
          <w:color w:val="auto"/>
          <w:sz w:val="24"/>
          <w:szCs w:val="24"/>
          <w:highlight w:val="none"/>
        </w:rPr>
        <w:t>，推荐前3名依次为第一中标候选人至第三中标候选人,并编制评标报告。</w:t>
      </w:r>
      <w:r>
        <w:rPr>
          <w:rFonts w:hint="eastAsia" w:ascii="宋体" w:hAnsi="宋体" w:cs="宋体"/>
          <w:color w:val="auto"/>
          <w:sz w:val="24"/>
          <w:szCs w:val="24"/>
          <w:highlight w:val="none"/>
          <w:u w:val="single"/>
        </w:rPr>
        <w:t>总得分相同的投标文件，以技术分排名靠前的排前；如仍存在相同情况，则对具有相同情况的投标人，由评标委员会采用投票方式，确定中标候选人的排序。</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条款号：附表一《资格审查表》             修改类型：修改</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原文：见范本</w:t>
      </w:r>
    </w:p>
    <w:p>
      <w:pPr>
        <w:pBdr>
          <w:bottom w:val="single" w:color="auto" w:sz="6" w:space="1"/>
        </w:pBdr>
        <w:spacing w:line="360" w:lineRule="auto"/>
        <w:ind w:firstLine="527" w:firstLineChars="250"/>
        <w:rPr>
          <w:rFonts w:hint="eastAsia" w:ascii="宋体" w:hAnsi="宋体" w:cs="宋体"/>
          <w:color w:val="auto"/>
          <w:highlight w:val="none"/>
        </w:rPr>
      </w:pPr>
      <w:r>
        <w:rPr>
          <w:rFonts w:hint="eastAsia" w:ascii="宋体" w:hAnsi="宋体" w:cs="宋体"/>
          <w:b/>
          <w:color w:val="auto"/>
          <w:szCs w:val="21"/>
          <w:highlight w:val="none"/>
        </w:rPr>
        <w:t>现文：详见本招标文件：附表一《资格审查表》</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条款号：附表二《技术标有效性审查表》             修改类型：修改</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原文：见范本</w:t>
      </w:r>
    </w:p>
    <w:p>
      <w:pPr>
        <w:pBdr>
          <w:bottom w:val="single" w:color="auto" w:sz="6" w:space="1"/>
        </w:pBdr>
        <w:spacing w:line="360" w:lineRule="auto"/>
        <w:ind w:firstLine="527" w:firstLineChars="250"/>
        <w:rPr>
          <w:rFonts w:hint="eastAsia" w:ascii="宋体" w:hAnsi="宋体" w:cs="宋体"/>
          <w:color w:val="auto"/>
          <w:highlight w:val="none"/>
        </w:rPr>
      </w:pPr>
      <w:r>
        <w:rPr>
          <w:rFonts w:hint="eastAsia" w:ascii="宋体" w:hAnsi="宋体" w:cs="宋体"/>
          <w:b/>
          <w:color w:val="auto"/>
          <w:szCs w:val="21"/>
          <w:highlight w:val="none"/>
        </w:rPr>
        <w:t>现文：详见本招标文件：附表二《技术标有效性审查表》</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条款号：附表三《经济标有效性审查表》             修改类型：修改</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原文：见范本</w:t>
      </w:r>
    </w:p>
    <w:p>
      <w:pPr>
        <w:pBdr>
          <w:bottom w:val="single" w:color="auto" w:sz="6" w:space="1"/>
        </w:pBdr>
        <w:spacing w:line="360" w:lineRule="auto"/>
        <w:ind w:firstLine="527" w:firstLineChars="250"/>
        <w:rPr>
          <w:rFonts w:hint="eastAsia" w:ascii="宋体" w:hAnsi="宋体" w:cs="宋体"/>
          <w:color w:val="auto"/>
          <w:highlight w:val="none"/>
        </w:rPr>
      </w:pPr>
      <w:r>
        <w:rPr>
          <w:rFonts w:hint="eastAsia" w:ascii="宋体" w:hAnsi="宋体" w:cs="宋体"/>
          <w:b/>
          <w:color w:val="auto"/>
          <w:szCs w:val="21"/>
          <w:highlight w:val="none"/>
        </w:rPr>
        <w:t>现文：详见本招标文件：附表三《经济标有效性审查表》</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条款号：附表四《技术标详细审查评分表》             修改类型：修改</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原文：见范本</w:t>
      </w:r>
    </w:p>
    <w:p>
      <w:pPr>
        <w:pBdr>
          <w:bottom w:val="single" w:color="auto" w:sz="6" w:space="1"/>
        </w:pBdr>
        <w:spacing w:line="360" w:lineRule="auto"/>
        <w:ind w:firstLine="527" w:firstLineChars="250"/>
        <w:rPr>
          <w:rFonts w:hint="eastAsia" w:ascii="宋体" w:hAnsi="宋体" w:cs="宋体"/>
          <w:color w:val="auto"/>
          <w:highlight w:val="none"/>
        </w:rPr>
      </w:pPr>
      <w:r>
        <w:rPr>
          <w:rFonts w:hint="eastAsia" w:ascii="宋体" w:hAnsi="宋体" w:cs="宋体"/>
          <w:b/>
          <w:color w:val="auto"/>
          <w:szCs w:val="21"/>
          <w:highlight w:val="none"/>
        </w:rPr>
        <w:t>现文：详见本招标文件：附表四《技术标详细审查评分表》</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条款号：附表五（适用于区间抽取法）《经济标评分表》             修改类型：删除</w:t>
      </w:r>
    </w:p>
    <w:p>
      <w:pPr>
        <w:pBdr>
          <w:bottom w:val="single" w:color="auto" w:sz="6" w:space="1"/>
        </w:pBdr>
        <w:spacing w:line="360" w:lineRule="auto"/>
        <w:ind w:firstLine="527" w:firstLineChars="250"/>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原</w:t>
      </w:r>
      <w:r>
        <w:rPr>
          <w:rFonts w:hint="eastAsia" w:ascii="宋体" w:hAnsi="宋体" w:cs="宋体"/>
          <w:b/>
          <w:color w:val="auto"/>
          <w:szCs w:val="21"/>
          <w:highlight w:val="none"/>
        </w:rPr>
        <w:t>文：见范本</w:t>
      </w:r>
    </w:p>
    <w:p>
      <w:pPr>
        <w:spacing w:line="360" w:lineRule="auto"/>
        <w:ind w:firstLine="211" w:firstLineChars="100"/>
        <w:rPr>
          <w:rFonts w:hint="eastAsia" w:ascii="宋体" w:hAnsi="宋体" w:cs="宋体"/>
          <w:b/>
          <w:color w:val="auto"/>
          <w:szCs w:val="21"/>
          <w:highlight w:val="none"/>
        </w:rPr>
      </w:pPr>
      <w:r>
        <w:rPr>
          <w:rFonts w:hint="eastAsia" w:ascii="宋体" w:hAnsi="宋体" w:cs="宋体"/>
          <w:b/>
          <w:color w:val="auto"/>
          <w:szCs w:val="21"/>
          <w:highlight w:val="none"/>
        </w:rPr>
        <w:t>注：以上修改，仅限于本范本中有可供选择条款的情形。</w:t>
      </w:r>
    </w:p>
    <w:p>
      <w:pPr>
        <w:spacing w:line="360" w:lineRule="auto"/>
        <w:rPr>
          <w:rFonts w:hint="eastAsia" w:ascii="宋体" w:hAnsi="宋体" w:cs="宋体"/>
          <w:color w:val="auto"/>
          <w:highlight w:val="none"/>
        </w:rPr>
      </w:pPr>
      <w:r>
        <w:rPr>
          <w:rFonts w:hint="eastAsia" w:ascii="宋体" w:hAnsi="宋体" w:cs="宋体"/>
          <w:b/>
          <w:color w:val="auto"/>
          <w:szCs w:val="21"/>
          <w:highlight w:val="none"/>
        </w:rPr>
        <w:t>（以下无正文）</w:t>
      </w:r>
    </w:p>
    <w:p>
      <w:pPr>
        <w:pStyle w:val="7"/>
        <w:spacing w:line="360" w:lineRule="auto"/>
        <w:rPr>
          <w:rFonts w:hint="eastAsia" w:ascii="宋体" w:hAnsi="宋体" w:cs="宋体"/>
          <w:color w:val="auto"/>
          <w:highlight w:val="none"/>
        </w:rPr>
      </w:pPr>
      <w:r>
        <w:rPr>
          <w:rFonts w:hint="eastAsia" w:ascii="宋体" w:hAnsi="宋体" w:cs="宋体"/>
          <w:color w:val="auto"/>
          <w:highlight w:val="none"/>
        </w:rPr>
        <w:br w:type="page"/>
      </w:r>
    </w:p>
    <w:p>
      <w:pPr>
        <w:pStyle w:val="4"/>
        <w:ind w:firstLine="525"/>
        <w:rPr>
          <w:rFonts w:hint="eastAsia" w:ascii="宋体" w:hAnsi="宋体" w:cs="宋体"/>
          <w:color w:val="auto"/>
          <w:highlight w:val="none"/>
        </w:rPr>
      </w:pPr>
      <w:bookmarkStart w:id="11" w:name="_Toc23759"/>
      <w:r>
        <w:rPr>
          <w:rFonts w:hint="eastAsia" w:ascii="宋体" w:hAnsi="宋体" w:cs="宋体"/>
          <w:color w:val="auto"/>
          <w:highlight w:val="none"/>
        </w:rPr>
        <w:t>二、开标、评标及定标办法</w:t>
      </w:r>
      <w:r>
        <w:rPr>
          <w:rFonts w:hint="eastAsia" w:ascii="宋体" w:hAnsi="宋体" w:cs="宋体"/>
          <w:color w:val="auto"/>
          <w:szCs w:val="30"/>
          <w:highlight w:val="none"/>
        </w:rPr>
        <w:t>通用条款</w:t>
      </w:r>
      <w:bookmarkEnd w:id="11"/>
    </w:p>
    <w:p>
      <w:pPr>
        <w:pStyle w:val="5"/>
        <w:spacing w:before="156" w:after="156"/>
        <w:ind w:firstLine="540" w:firstLineChars="200"/>
        <w:jc w:val="center"/>
        <w:rPr>
          <w:rFonts w:hint="eastAsia" w:cs="宋体"/>
          <w:color w:val="auto"/>
          <w:highlight w:val="none"/>
        </w:rPr>
      </w:pPr>
      <w:bookmarkStart w:id="12" w:name="_Toc13959"/>
      <w:r>
        <w:rPr>
          <w:rFonts w:hint="eastAsia" w:cs="宋体"/>
          <w:color w:val="auto"/>
          <w:highlight w:val="none"/>
        </w:rPr>
        <w:t>（一）总则</w:t>
      </w:r>
      <w:bookmarkEnd w:id="12"/>
    </w:p>
    <w:p>
      <w:pPr>
        <w:spacing w:line="360" w:lineRule="auto"/>
        <w:ind w:firstLine="480" w:firstLineChars="200"/>
        <w:rPr>
          <w:rFonts w:hint="eastAsia" w:ascii="宋体" w:hAnsi="宋体" w:cs="宋体"/>
          <w:b/>
          <w:color w:val="auto"/>
          <w:sz w:val="24"/>
          <w:szCs w:val="24"/>
          <w:highlight w:val="none"/>
        </w:rPr>
      </w:pPr>
      <w:r>
        <w:rPr>
          <w:rFonts w:hint="eastAsia" w:ascii="宋体" w:hAnsi="宋体" w:cs="宋体"/>
          <w:color w:val="auto"/>
          <w:sz w:val="24"/>
          <w:szCs w:val="24"/>
          <w:highlight w:val="none"/>
        </w:rPr>
        <w:t>35 开标、评标及定标所依据的规则</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35.1《中华人民共和国招标投标法》；</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35.2《中华人民共和国招标投标法实施条例》；</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35.3《评标委员会和评标方法暂行规定》（七部委第12号令）</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35.4《工程建设项目施工招标投标办法》（七部委2003年第30号令）</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35.5《广东省实施〈中华人民共和国招标投标法〉办法》；</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35.6《房屋建筑和市政基础设施工程施工招标投标管理办法》（建设部令第89号）</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35.7《广东省加强建设工程招标投标监督管理的若干规定》（粤发[2004]4号）；</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35.8《广州市工程建设项目招标投标管理办法》（穗府办规〔2017〕5号）。</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35.9本项目招标文件。</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36．开标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 w:val="24"/>
          <w:szCs w:val="24"/>
          <w:highlight w:val="none"/>
          <w:u w:val="single"/>
        </w:rPr>
        <w:t>若投标人不参加开标会的，其投标文件在开标现场的其他投标人或招标人代表、招标代理机构代表及交易中心代表见证下公开开启、解密、公布，并视同该投标人认可开标结果。</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36.2 招标人在招标文件要求提交投标文件的截止时间前收到的投标文件，开标时都当众予以解密、公布。</w:t>
      </w:r>
    </w:p>
    <w:p>
      <w:pPr>
        <w:spacing w:line="360" w:lineRule="auto"/>
        <w:ind w:firstLine="480" w:firstLineChars="200"/>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36.4若递交投标文件的投标人不足3家，则重新组织招标。（当N个标段同时招标且不允许兼中时，若有效投标人不足N+2家，则重新组织招标）</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36.5按下列程序进行开标：</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36.5.1在投标截止时间后半小时内，投标人通过</w:t>
      </w:r>
      <w:r>
        <w:rPr>
          <w:rFonts w:hint="eastAsia" w:ascii="宋体" w:hAnsi="宋体" w:cs="宋体"/>
          <w:color w:val="auto"/>
          <w:sz w:val="24"/>
          <w:highlight w:val="none"/>
          <w:u w:val="single"/>
        </w:rPr>
        <w:t>广州公共资源交易中心交易平台（网址：http://www.gzggzy.cn）</w:t>
      </w:r>
      <w:r>
        <w:rPr>
          <w:rFonts w:hint="eastAsia" w:ascii="宋体" w:hAnsi="宋体" w:cs="宋体"/>
          <w:color w:val="auto"/>
          <w:sz w:val="24"/>
          <w:highlight w:val="none"/>
        </w:rPr>
        <w:t>对已递交的电子投标文件进行解密。投标人完成解密后，再由</w:t>
      </w:r>
      <w:r>
        <w:rPr>
          <w:rFonts w:hint="eastAsia" w:ascii="宋体" w:hAnsi="宋体" w:cs="宋体"/>
          <w:color w:val="auto"/>
          <w:sz w:val="24"/>
          <w:highlight w:val="none"/>
          <w:u w:val="single"/>
        </w:rPr>
        <w:t>招标人或招标代理机构</w:t>
      </w:r>
      <w:r>
        <w:rPr>
          <w:rFonts w:hint="eastAsia" w:ascii="宋体" w:hAnsi="宋体" w:cs="宋体"/>
          <w:color w:val="auto"/>
          <w:sz w:val="24"/>
          <w:highlight w:val="none"/>
        </w:rPr>
        <w:t>进行解密。解密完成后，公布招标项目名称、投标人名称、投标保证金的递交情况、投标报价、工期及其他内容；</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36.5.2备用光盘的读取按投标须知前附表第36项的规定执行；</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36.5.3投标人代表、招标人代表、监标人、记录人等有关人员在开标记录上签字确认；若有关人员不签字的，不影响开标程序；</w:t>
      </w:r>
      <w:r>
        <w:rPr>
          <w:rFonts w:hint="eastAsia" w:ascii="宋体" w:hAnsi="宋体" w:cs="宋体"/>
          <w:color w:val="auto"/>
          <w:sz w:val="24"/>
          <w:highlight w:val="none"/>
          <w:u w:val="single"/>
        </w:rPr>
        <w:t>若投标人不参加开标会的，或不签字确认的，视同该投标人认可开标结果。</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36.5.4开标结束。</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37．评标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37.1评标委员会由招标人依法组建。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37.2评标委员会的职责及守则：</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37.2.1根据评标细则，对</w:t>
      </w:r>
      <w:r>
        <w:rPr>
          <w:rFonts w:hint="eastAsia" w:ascii="宋体" w:hAnsi="宋体" w:cs="宋体"/>
          <w:color w:val="auto"/>
          <w:sz w:val="24"/>
          <w:highlight w:val="none"/>
        </w:rPr>
        <w:t>投标文件</w:t>
      </w:r>
      <w:r>
        <w:rPr>
          <w:rFonts w:hint="eastAsia" w:ascii="宋体" w:hAnsi="宋体" w:cs="宋体"/>
          <w:color w:val="auto"/>
          <w:sz w:val="24"/>
          <w:szCs w:val="24"/>
          <w:highlight w:val="none"/>
        </w:rPr>
        <w:t>进行认真评审，完成评审报告；</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37.2.2向招标人报告评审意见，推荐合格的中标候选人。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37.2.3</w:t>
      </w:r>
      <w:r>
        <w:rPr>
          <w:rFonts w:hint="eastAsia" w:ascii="宋体" w:hAnsi="宋体" w:cs="宋体"/>
          <w:b/>
          <w:bCs/>
          <w:color w:val="auto"/>
          <w:sz w:val="24"/>
          <w:szCs w:val="24"/>
          <w:highlight w:val="none"/>
        </w:rPr>
        <w:t xml:space="preserve"> </w:t>
      </w:r>
      <w:r>
        <w:rPr>
          <w:rFonts w:hint="eastAsia" w:ascii="宋体" w:hAnsi="宋体" w:cs="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37.2.4全体参与评标人员：</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37.2.4.1 必须遵守评标纪律、不得泄密；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37.2.4.2 必须公正、不得循私；</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37.2.4.3 必须科学、不得草率；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37.2.4.4 必须客观、不得带有成见；</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37.2.4.5 必须平等、不得强加于人；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37.2.4.6 必须严谨、不得随意马虎。</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37.3 评标结束后，评标委员会递交评标报告并依法推荐中标候选人。 </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38．投标文件的澄清</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38.3 评标委员会或评标委员会专业评审组成员均应当阅读投标人的澄清，但应独立参考澄清对投标文件进行评审。</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38.4如果投标文件实质上不响应招标文件的各项要求，评标委员会将按照符合性审查标准予以拒绝，不接受投标人通过修改或撤销其不符合要求的差异或保留，使之成为具有响应性的投标。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39．定标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39.1 招标人根据评标委员会递交的评标报告，最终审定中标人。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39.2 依法必须进行公开招标的项目，招标人应当确定排名第一的中标候选人为中标人。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39.3排名第一的中标候选人放弃中标、或因不可抗力提出不能履行合同，或者招标文件规定应当提交履约担保而在规定的期限内未能提交的，</w:t>
      </w:r>
      <w:r>
        <w:rPr>
          <w:rFonts w:hint="eastAsia" w:ascii="宋体" w:hAnsi="宋体" w:cs="宋体"/>
          <w:color w:val="auto"/>
          <w:sz w:val="24"/>
          <w:szCs w:val="24"/>
          <w:highlight w:val="none"/>
          <w:u w:val="single"/>
        </w:rPr>
        <w:t>，或者被查实存在影响中标结果的违法行为等情形，不符合中标条件的，招标人可以按照评标委员会推荐的中标候选人名单排序依次确定其他中标候选人为中标人，也可以重新招标。</w:t>
      </w:r>
    </w:p>
    <w:p>
      <w:pPr>
        <w:spacing w:line="360" w:lineRule="auto"/>
        <w:ind w:firstLine="480" w:firstLineChars="200"/>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39.4排名第二的中标候选人出现前款所列的情形的，招标人可以确定排名第三的中标候选人为中标人。以此类推，如所有中标候选人均出现前款所列的情形，为招标失败，招标人依法重新招标。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spacing w:line="360" w:lineRule="auto"/>
        <w:jc w:val="center"/>
        <w:outlineLvl w:val="2"/>
        <w:rPr>
          <w:rFonts w:hint="eastAsia" w:cs="宋体"/>
          <w:strike/>
          <w:color w:val="auto"/>
          <w:sz w:val="27"/>
          <w:szCs w:val="27"/>
          <w:highlight w:val="none"/>
        </w:rPr>
      </w:pPr>
      <w:bookmarkStart w:id="13" w:name="_Toc15636"/>
      <w:r>
        <w:rPr>
          <w:rFonts w:hint="eastAsia" w:cs="宋体"/>
          <w:color w:val="auto"/>
          <w:sz w:val="27"/>
          <w:szCs w:val="27"/>
          <w:highlight w:val="none"/>
        </w:rPr>
        <w:t>（二）开标评标办法程序和细则</w:t>
      </w:r>
      <w:bookmarkEnd w:id="13"/>
    </w:p>
    <w:p>
      <w:pPr>
        <w:pStyle w:val="5"/>
        <w:spacing w:before="156" w:after="156"/>
        <w:ind w:firstLine="540" w:firstLineChars="200"/>
        <w:jc w:val="both"/>
        <w:rPr>
          <w:rFonts w:hint="eastAsia" w:cs="宋体"/>
          <w:color w:val="auto"/>
          <w:highlight w:val="none"/>
        </w:rPr>
      </w:pPr>
      <w:bookmarkStart w:id="14" w:name="_Toc13953"/>
      <w:r>
        <w:rPr>
          <w:rFonts w:hint="eastAsia" w:cs="宋体"/>
          <w:color w:val="auto"/>
          <w:highlight w:val="none"/>
        </w:rPr>
        <w:t>可选办法七（适合综合评分法四，技术标与经济标同时开启）</w:t>
      </w:r>
      <w:bookmarkEnd w:id="14"/>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40．开标和评标程序</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40.1技术标（含资格审查文件）与经济标投标文件同时公开开标；</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40.2由评标委员会对所有已公开开标的投标人进行资格审查；</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40.3技术标投标文件有效性审查；</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40.4技术标详细审查评分；</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40.5经济标详细审查评分； </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40.6评标委员会按照投标人总得分由高至低排序；</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40.7经济标投标文件有效性审查；</w:t>
      </w:r>
    </w:p>
    <w:p>
      <w:pPr>
        <w:snapToGrid w:val="0"/>
        <w:spacing w:line="360" w:lineRule="auto"/>
        <w:ind w:firstLine="480" w:firstLineChars="200"/>
        <w:rPr>
          <w:rFonts w:hint="eastAsia" w:ascii="宋体" w:hAnsi="宋体" w:cs="宋体"/>
          <w:color w:val="auto"/>
          <w:szCs w:val="21"/>
          <w:highlight w:val="none"/>
        </w:rPr>
      </w:pPr>
      <w:r>
        <w:rPr>
          <w:rFonts w:hint="eastAsia" w:ascii="宋体" w:hAnsi="宋体" w:cs="宋体"/>
          <w:color w:val="auto"/>
          <w:sz w:val="24"/>
          <w:szCs w:val="24"/>
          <w:highlight w:val="none"/>
        </w:rPr>
        <w:t>40.8评标委员会按排序向招标人推荐中标候选人名单，并递交资格审查报告及评标报告。</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41．开标细则</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41.1</w:t>
      </w:r>
      <w:r>
        <w:rPr>
          <w:rFonts w:hint="eastAsia" w:ascii="宋体" w:hAnsi="宋体" w:cs="宋体"/>
          <w:color w:val="auto"/>
          <w:sz w:val="24"/>
          <w:highlight w:val="none"/>
        </w:rPr>
        <w:t>开标由</w:t>
      </w:r>
      <w:r>
        <w:rPr>
          <w:rFonts w:hint="eastAsia" w:ascii="宋体" w:hAnsi="宋体" w:cs="宋体"/>
          <w:color w:val="auto"/>
          <w:sz w:val="24"/>
          <w:highlight w:val="none"/>
          <w:u w:val="single"/>
        </w:rPr>
        <w:t>招标人或招标代理</w:t>
      </w:r>
      <w:r>
        <w:rPr>
          <w:rFonts w:hint="eastAsia" w:ascii="宋体" w:hAnsi="宋体" w:cs="宋体"/>
          <w:color w:val="auto"/>
          <w:sz w:val="24"/>
          <w:highlight w:val="none"/>
        </w:rPr>
        <w:t>主持；</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41.2 细则</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41.2.1投标截止期前，各投标人递交投标文件（包括技术标投标文件（含资格审查文件）、经济标投标文件）至</w:t>
      </w:r>
      <w:r>
        <w:rPr>
          <w:rFonts w:hint="eastAsia" w:ascii="宋体" w:hAnsi="宋体" w:cs="宋体"/>
          <w:color w:val="auto"/>
          <w:sz w:val="24"/>
          <w:szCs w:val="24"/>
          <w:highlight w:val="none"/>
          <w:u w:val="single"/>
        </w:rPr>
        <w:t>广州公共资源交易中心（网址：http://www.gzggzy.cn）</w:t>
      </w:r>
      <w:r>
        <w:rPr>
          <w:rFonts w:hint="eastAsia" w:ascii="宋体" w:hAnsi="宋体" w:cs="宋体"/>
          <w:color w:val="auto"/>
          <w:sz w:val="24"/>
          <w:szCs w:val="24"/>
          <w:highlight w:val="none"/>
        </w:rPr>
        <w:t xml:space="preserve">交易平台。有关投标文件提交的事项详见第一章投标须知。 </w:t>
      </w:r>
    </w:p>
    <w:p>
      <w:pPr>
        <w:snapToGrid w:val="0"/>
        <w:spacing w:line="360" w:lineRule="auto"/>
        <w:ind w:firstLine="480" w:firstLineChars="200"/>
        <w:rPr>
          <w:rFonts w:hint="eastAsia"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41.2.2开标前，首先由招标人</w:t>
      </w:r>
      <w:r>
        <w:rPr>
          <w:rFonts w:hint="eastAsia" w:ascii="宋体"/>
          <w:strike/>
          <w:dstrike w:val="0"/>
          <w:color w:val="auto"/>
          <w:sz w:val="24"/>
          <w:szCs w:val="24"/>
          <w:highlight w:val="none"/>
          <w:u w:val="single"/>
        </w:rPr>
        <w:t>或招标代理</w:t>
      </w:r>
      <w:r>
        <w:rPr>
          <w:rFonts w:hint="eastAsia" w:ascii="宋体" w:hAnsi="宋体" w:cs="宋体"/>
          <w:strike/>
          <w:dstrike w:val="0"/>
          <w:color w:val="auto"/>
          <w:sz w:val="24"/>
          <w:szCs w:val="24"/>
          <w:highlight w:val="none"/>
        </w:rPr>
        <w:t>随机抽取确定该工程计算评标参考价的等分点值X。</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41.2.4.1开标时，公布：a、投标人名称；b、</w:t>
      </w:r>
      <w:r>
        <w:rPr>
          <w:rFonts w:hint="eastAsia" w:ascii="宋体" w:hAnsi="宋体" w:cs="宋体"/>
          <w:color w:val="auto"/>
          <w:sz w:val="24"/>
          <w:highlight w:val="none"/>
        </w:rPr>
        <w:t>投标文件</w:t>
      </w:r>
      <w:r>
        <w:rPr>
          <w:rFonts w:hint="eastAsia" w:ascii="宋体" w:hAnsi="宋体" w:cs="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41.3招标人</w:t>
      </w:r>
      <w:r>
        <w:rPr>
          <w:rFonts w:hint="eastAsia" w:ascii="宋体" w:hAnsi="宋体" w:cs="宋体"/>
          <w:color w:val="auto"/>
          <w:sz w:val="24"/>
          <w:szCs w:val="24"/>
          <w:highlight w:val="none"/>
          <w:u w:val="single"/>
        </w:rPr>
        <w:t>或招标代理</w:t>
      </w:r>
      <w:r>
        <w:rPr>
          <w:rFonts w:hint="eastAsia" w:ascii="宋体" w:hAnsi="宋体" w:cs="宋体"/>
          <w:color w:val="auto"/>
          <w:sz w:val="24"/>
          <w:szCs w:val="24"/>
          <w:highlight w:val="none"/>
        </w:rPr>
        <w:t>对开标过程进行记录，并存档备查，投标人在技术标开标记录上签字。</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41.4 招标人</w:t>
      </w:r>
      <w:r>
        <w:rPr>
          <w:rFonts w:hint="eastAsia" w:ascii="宋体" w:hAnsi="宋体" w:cs="宋体"/>
          <w:color w:val="auto"/>
          <w:sz w:val="24"/>
          <w:szCs w:val="24"/>
          <w:highlight w:val="none"/>
          <w:u w:val="single"/>
        </w:rPr>
        <w:t>或招标代理</w:t>
      </w:r>
      <w:r>
        <w:rPr>
          <w:rFonts w:hint="eastAsia" w:ascii="宋体" w:hAnsi="宋体" w:cs="宋体"/>
          <w:color w:val="auto"/>
          <w:sz w:val="24"/>
          <w:szCs w:val="24"/>
          <w:highlight w:val="none"/>
        </w:rPr>
        <w:t>将上述符合要求的投标文件，送至评标委员会进行评审。</w:t>
      </w:r>
    </w:p>
    <w:p>
      <w:pPr>
        <w:pStyle w:val="50"/>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42. 资格审查及评标细则</w:t>
      </w:r>
    </w:p>
    <w:p>
      <w:pPr>
        <w:pStyle w:val="50"/>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42.1资格审查及评标均由招标人依法组建的评标委员会负责。</w:t>
      </w:r>
    </w:p>
    <w:p>
      <w:pPr>
        <w:pStyle w:val="50"/>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42.2评标委员会的组成：方式</w:t>
      </w:r>
      <w:r>
        <w:rPr>
          <w:rFonts w:hint="eastAsia" w:ascii="宋体" w:hAnsi="宋体" w:cs="宋体"/>
          <w:color w:val="auto"/>
          <w:sz w:val="24"/>
          <w:szCs w:val="24"/>
          <w:highlight w:val="none"/>
          <w:u w:val="single"/>
        </w:rPr>
        <w:t xml:space="preserve"> 一 </w:t>
      </w:r>
      <w:r>
        <w:rPr>
          <w:rFonts w:hint="eastAsia" w:ascii="宋体" w:hAnsi="宋体" w:cs="宋体"/>
          <w:color w:val="auto"/>
          <w:sz w:val="24"/>
          <w:szCs w:val="24"/>
          <w:highlight w:val="none"/>
        </w:rPr>
        <w:t>。</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方式一：评标委员会为综合评标委员会，负责资格审查及评标工作。</w:t>
      </w:r>
    </w:p>
    <w:p>
      <w:pPr>
        <w:pStyle w:val="50"/>
        <w:tabs>
          <w:tab w:val="left" w:pos="7380"/>
        </w:tabs>
        <w:snapToGrid w:val="0"/>
        <w:spacing w:after="0" w:line="360" w:lineRule="auto"/>
        <w:ind w:firstLine="480" w:firstLineChars="200"/>
        <w:rPr>
          <w:rFonts w:hint="eastAsia"/>
          <w:color w:val="auto"/>
          <w:highlight w:val="none"/>
        </w:rPr>
      </w:pPr>
      <w:r>
        <w:rPr>
          <w:rFonts w:hint="eastAsia" w:ascii="宋体"/>
          <w:color w:val="auto"/>
          <w:sz w:val="24"/>
          <w:szCs w:val="24"/>
          <w:highlight w:val="none"/>
        </w:rPr>
        <w:t>方式二：评标委员会由技术评审组和经济评审组组成。其中：资格审查及技术评审由技术评标组负责，经济评审由经济评审组负责。</w:t>
      </w:r>
    </w:p>
    <w:p>
      <w:pPr>
        <w:pStyle w:val="50"/>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43．投标人资格审查</w:t>
      </w:r>
    </w:p>
    <w:p>
      <w:pPr>
        <w:pStyle w:val="50"/>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0"/>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43.2汇总资格审查情况，编写资格审查报告。</w:t>
      </w:r>
    </w:p>
    <w:p>
      <w:pPr>
        <w:pStyle w:val="50"/>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43.3资格审查不合格的投标文件不参加下一阶段的评标，不参与评标参考价的计算。</w:t>
      </w:r>
    </w:p>
    <w:p>
      <w:pPr>
        <w:pStyle w:val="50"/>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0"/>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43.5资审合格后，投标人的资格发生变化而不满足投标人合格条件，在发出中标通知书前，资格问题仍未解决的，招标人将取消其中标资格。</w:t>
      </w:r>
    </w:p>
    <w:p>
      <w:pPr>
        <w:pStyle w:val="50"/>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43.6资格审查合格的投标人少于3名的（当N个标段同时招标且不允许兼中时，资格审查合格的投标人少于N+2名），则本项目招标失败。</w:t>
      </w:r>
    </w:p>
    <w:p>
      <w:pPr>
        <w:pStyle w:val="50"/>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44．技术标评审</w:t>
      </w:r>
    </w:p>
    <w:p>
      <w:pPr>
        <w:pStyle w:val="50"/>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50"/>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50"/>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45．经济标评审和得分汇总</w:t>
      </w:r>
    </w:p>
    <w:p>
      <w:pPr>
        <w:pStyle w:val="50"/>
        <w:tabs>
          <w:tab w:val="left" w:pos="7380"/>
        </w:tabs>
        <w:snapToGrid w:val="0"/>
        <w:spacing w:after="0" w:line="360" w:lineRule="auto"/>
        <w:ind w:firstLine="480" w:firstLineChars="200"/>
        <w:rPr>
          <w:rFonts w:hint="eastAsia" w:ascii="宋体" w:hAnsi="宋体"/>
          <w:color w:val="auto"/>
          <w:sz w:val="24"/>
          <w:szCs w:val="24"/>
          <w:highlight w:val="none"/>
          <w:lang w:eastAsia="zh-CN"/>
        </w:rPr>
      </w:pPr>
      <w:r>
        <w:rPr>
          <w:rFonts w:hint="eastAsia" w:ascii="宋体" w:hAnsi="宋体" w:cs="宋体"/>
          <w:color w:val="auto"/>
          <w:sz w:val="24"/>
          <w:szCs w:val="24"/>
          <w:highlight w:val="none"/>
        </w:rPr>
        <w:t>45.1</w:t>
      </w:r>
      <w:r>
        <w:rPr>
          <w:rFonts w:hint="eastAsia" w:ascii="宋体" w:hAnsi="宋体"/>
          <w:color w:val="auto"/>
          <w:sz w:val="24"/>
          <w:szCs w:val="24"/>
          <w:highlight w:val="none"/>
        </w:rPr>
        <w:t>若通过技术标有效性审查的投标人中所有投标报价均大于等于最高投标限价*</w:t>
      </w:r>
      <w:r>
        <w:rPr>
          <w:rFonts w:hint="eastAsia" w:ascii="宋体" w:hAnsi="宋体"/>
          <w:color w:val="auto"/>
          <w:sz w:val="24"/>
          <w:szCs w:val="24"/>
          <w:highlight w:val="none"/>
          <w:lang w:val="en-US" w:eastAsia="zh-CN"/>
        </w:rPr>
        <w:t>100</w:t>
      </w:r>
      <w:r>
        <w:rPr>
          <w:rFonts w:hint="eastAsia" w:ascii="宋体" w:hAnsi="宋体"/>
          <w:color w:val="auto"/>
          <w:sz w:val="24"/>
          <w:szCs w:val="24"/>
          <w:highlight w:val="none"/>
        </w:rPr>
        <w:t>%的（具体金额为</w:t>
      </w:r>
      <w:r>
        <w:rPr>
          <w:rFonts w:hint="eastAsia" w:ascii="宋体" w:hAnsi="宋体"/>
          <w:color w:val="auto"/>
          <w:sz w:val="24"/>
          <w:szCs w:val="24"/>
          <w:highlight w:val="none"/>
          <w:u w:val="single"/>
        </w:rPr>
        <w:t>：5553123.88</w:t>
      </w:r>
      <w:r>
        <w:rPr>
          <w:rFonts w:hint="eastAsia" w:ascii="宋体" w:hAnsi="宋体"/>
          <w:color w:val="auto"/>
          <w:sz w:val="24"/>
          <w:szCs w:val="24"/>
          <w:highlight w:val="none"/>
        </w:rPr>
        <w:t>元），则本项目招标失败，由招标人依法重新招标。</w:t>
      </w:r>
    </w:p>
    <w:p>
      <w:pPr>
        <w:pStyle w:val="50"/>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lang w:val="en-US" w:eastAsia="zh-CN"/>
        </w:rPr>
        <w:t>45.2</w:t>
      </w:r>
      <w:r>
        <w:rPr>
          <w:rFonts w:hint="eastAsia" w:ascii="宋体" w:hAnsi="宋体"/>
          <w:color w:val="auto"/>
          <w:sz w:val="24"/>
          <w:szCs w:val="24"/>
          <w:highlight w:val="none"/>
        </w:rPr>
        <w:t>按方法</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一</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计算评标参考价：</w:t>
      </w:r>
    </w:p>
    <w:p>
      <w:pPr>
        <w:widowControl/>
        <w:spacing w:line="440" w:lineRule="exact"/>
        <w:ind w:firstLine="442" w:firstLineChars="200"/>
        <w:rPr>
          <w:rFonts w:ascii="宋体" w:hAnsi="宋体"/>
          <w:b/>
          <w:bCs/>
          <w:color w:val="auto"/>
          <w:kern w:val="0"/>
          <w:sz w:val="22"/>
          <w:highlight w:val="none"/>
        </w:rPr>
      </w:pPr>
      <w:r>
        <w:rPr>
          <w:rFonts w:hint="eastAsia" w:ascii="宋体" w:hAnsi="宋体" w:cs="仿宋"/>
          <w:b/>
          <w:bCs/>
          <w:color w:val="auto"/>
          <w:kern w:val="0"/>
          <w:sz w:val="22"/>
          <w:highlight w:val="none"/>
        </w:rPr>
        <w:t>方法一：加权平均法</w:t>
      </w:r>
    </w:p>
    <w:p>
      <w:pPr>
        <w:spacing w:line="440" w:lineRule="exact"/>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u w:val="single"/>
        </w:rPr>
        <w:t>技术标得分前N名（当通过技术标投标文件有效性审查的投标人家数小于5家的，N取通过技术</w:t>
      </w:r>
      <w:r>
        <w:rPr>
          <w:rFonts w:ascii="宋体" w:hAnsi="宋体" w:cs="仿宋"/>
          <w:color w:val="auto"/>
          <w:sz w:val="24"/>
          <w:szCs w:val="24"/>
          <w:highlight w:val="none"/>
          <w:u w:val="single"/>
        </w:rPr>
        <w:t>标</w:t>
      </w:r>
      <w:r>
        <w:rPr>
          <w:rFonts w:hint="eastAsia" w:ascii="宋体" w:hAnsi="宋体" w:cs="仿宋"/>
          <w:color w:val="auto"/>
          <w:sz w:val="24"/>
          <w:szCs w:val="24"/>
          <w:highlight w:val="none"/>
          <w:u w:val="single"/>
        </w:rPr>
        <w:t>投标文件有效性审查的全部家数；当通过技术</w:t>
      </w:r>
      <w:r>
        <w:rPr>
          <w:rFonts w:ascii="宋体" w:hAnsi="宋体" w:cs="仿宋"/>
          <w:color w:val="auto"/>
          <w:sz w:val="24"/>
          <w:szCs w:val="24"/>
          <w:highlight w:val="none"/>
          <w:u w:val="single"/>
        </w:rPr>
        <w:t>标</w:t>
      </w:r>
      <w:r>
        <w:rPr>
          <w:rFonts w:hint="eastAsia" w:ascii="宋体" w:hAnsi="宋体" w:cs="仿宋"/>
          <w:color w:val="auto"/>
          <w:sz w:val="24"/>
          <w:szCs w:val="24"/>
          <w:highlight w:val="none"/>
          <w:u w:val="single"/>
        </w:rPr>
        <w:t>投标文件有效性审查的投标人家数大于或等于5家的，N=5）</w:t>
      </w:r>
      <w:r>
        <w:rPr>
          <w:rFonts w:hint="eastAsia" w:ascii="宋体" w:hAnsi="宋体" w:cs="仿宋"/>
          <w:color w:val="auto"/>
          <w:sz w:val="24"/>
          <w:szCs w:val="24"/>
          <w:highlight w:val="none"/>
        </w:rPr>
        <w:t>的经济报价加权平均，计算评标参考价，公式如下：</w:t>
      </w:r>
    </w:p>
    <w:p>
      <w:pPr>
        <w:spacing w:line="440" w:lineRule="exact"/>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评标参考价</w:t>
      </w:r>
      <w:r>
        <w:rPr>
          <w:rFonts w:ascii="宋体" w:hAnsi="宋体" w:cs="仿宋"/>
          <w:color w:val="auto"/>
          <w:sz w:val="24"/>
          <w:szCs w:val="24"/>
          <w:highlight w:val="none"/>
        </w:rPr>
        <w:t>=</w:t>
      </w:r>
      <w:r>
        <w:rPr>
          <w:rFonts w:hint="eastAsia" w:ascii="宋体" w:hAnsi="宋体" w:cs="仿宋"/>
          <w:color w:val="auto"/>
          <w:sz w:val="24"/>
          <w:szCs w:val="24"/>
          <w:highlight w:val="none"/>
        </w:rPr>
        <w:t>Σ（投标人的投标报价</w:t>
      </w:r>
      <w:r>
        <w:rPr>
          <w:rFonts w:ascii="宋体" w:hAnsi="宋体" w:cs="仿宋"/>
          <w:color w:val="auto"/>
          <w:sz w:val="24"/>
          <w:szCs w:val="24"/>
          <w:highlight w:val="none"/>
        </w:rPr>
        <w:t>*</w:t>
      </w:r>
      <w:r>
        <w:rPr>
          <w:rFonts w:hint="eastAsia" w:ascii="宋体" w:hAnsi="宋体" w:cs="仿宋"/>
          <w:color w:val="auto"/>
          <w:sz w:val="24"/>
          <w:szCs w:val="24"/>
          <w:highlight w:val="none"/>
        </w:rPr>
        <w:t>报价权重）。</w:t>
      </w:r>
    </w:p>
    <w:p>
      <w:pPr>
        <w:spacing w:line="360" w:lineRule="auto"/>
        <w:ind w:firstLine="480" w:firstLineChars="200"/>
        <w:rPr>
          <w:rFonts w:ascii="宋体" w:hAnsi="宋体" w:cs="仿宋"/>
          <w:color w:val="auto"/>
          <w:sz w:val="24"/>
          <w:szCs w:val="24"/>
          <w:highlight w:val="none"/>
          <w:u w:val="single"/>
        </w:rPr>
      </w:pPr>
      <w:r>
        <w:rPr>
          <w:rFonts w:hint="eastAsia" w:ascii="宋体" w:hAnsi="宋体" w:cs="仿宋"/>
          <w:color w:val="auto"/>
          <w:sz w:val="24"/>
          <w:szCs w:val="24"/>
          <w:highlight w:val="none"/>
        </w:rPr>
        <w:t>其中：报价权重的计算方法为：将</w:t>
      </w:r>
      <w:r>
        <w:rPr>
          <w:rFonts w:ascii="宋体" w:hAnsi="宋体" w:cs="仿宋"/>
          <w:color w:val="auto"/>
          <w:sz w:val="24"/>
          <w:szCs w:val="24"/>
          <w:highlight w:val="none"/>
        </w:rPr>
        <w:t>N</w:t>
      </w:r>
      <w:r>
        <w:rPr>
          <w:rFonts w:hint="eastAsia" w:ascii="宋体" w:hAnsi="宋体" w:cs="仿宋"/>
          <w:color w:val="auto"/>
          <w:sz w:val="24"/>
          <w:szCs w:val="24"/>
          <w:highlight w:val="none"/>
        </w:rPr>
        <w:t>名投标人按技术分由高至低进行排序，第一名投标人</w:t>
      </w:r>
      <w:r>
        <w:rPr>
          <w:rFonts w:hint="eastAsia" w:ascii="宋体" w:hAnsi="宋体" w:cs="仿宋"/>
          <w:color w:val="auto"/>
          <w:sz w:val="24"/>
          <w:szCs w:val="24"/>
          <w:highlight w:val="none"/>
          <w:u w:val="single"/>
        </w:rPr>
        <w:t>的权重为（</w:t>
      </w:r>
      <w:r>
        <w:rPr>
          <w:rFonts w:ascii="宋体" w:hAnsi="宋体" w:cs="仿宋"/>
          <w:color w:val="auto"/>
          <w:sz w:val="24"/>
          <w:szCs w:val="24"/>
          <w:highlight w:val="none"/>
          <w:u w:val="single"/>
        </w:rPr>
        <w:fldChar w:fldCharType="begin"/>
      </w:r>
      <w:r>
        <w:rPr>
          <w:rFonts w:ascii="宋体" w:hAnsi="宋体" w:cs="仿宋"/>
          <w:color w:val="auto"/>
          <w:sz w:val="24"/>
          <w:szCs w:val="24"/>
          <w:highlight w:val="none"/>
          <w:u w:val="single"/>
        </w:rPr>
        <w:instrText xml:space="preserve"> QUOTE </w:instrText>
      </w:r>
      <w:r>
        <w:rPr>
          <w:rFonts w:ascii="宋体" w:hAnsi="宋体"/>
          <w:color w:val="auto"/>
          <w:sz w:val="24"/>
          <w:szCs w:val="24"/>
          <w:highlight w:val="none"/>
          <w:u w:val="single"/>
        </w:rPr>
        <w:drawing>
          <wp:inline distT="0" distB="0" distL="114300" distR="114300">
            <wp:extent cx="381000" cy="447675"/>
            <wp:effectExtent l="0" t="0" r="0" b="8890"/>
            <wp:docPr id="1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
                    <pic:cNvPicPr>
                      <a:picLocks noChangeAspect="1"/>
                    </pic:cNvPicPr>
                  </pic:nvPicPr>
                  <pic:blipFill>
                    <a:blip r:embed="rId27">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olor w:val="auto"/>
          <w:sz w:val="24"/>
          <w:szCs w:val="24"/>
          <w:highlight w:val="none"/>
          <w:u w:val="single"/>
        </w:rPr>
        <w:instrText xml:space="preserve"> \* MERGEFORMAT </w:instrText>
      </w:r>
      <w:r>
        <w:rPr>
          <w:rFonts w:ascii="宋体" w:hAnsi="宋体" w:cs="仿宋"/>
          <w:color w:val="auto"/>
          <w:sz w:val="24"/>
          <w:szCs w:val="24"/>
          <w:highlight w:val="none"/>
          <w:u w:val="single"/>
        </w:rPr>
        <w:fldChar w:fldCharType="separate"/>
      </w:r>
      <w:r>
        <w:rPr>
          <w:rFonts w:ascii="宋体" w:hAnsi="宋体"/>
          <w:color w:val="auto"/>
          <w:sz w:val="24"/>
          <w:szCs w:val="24"/>
          <w:highlight w:val="none"/>
          <w:u w:val="single"/>
        </w:rPr>
        <w:drawing>
          <wp:inline distT="0" distB="0" distL="114300" distR="114300">
            <wp:extent cx="219075" cy="259715"/>
            <wp:effectExtent l="0" t="0" r="9525" b="6985"/>
            <wp:docPr id="1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4"/>
                    <pic:cNvPicPr>
                      <a:picLocks noChangeAspect="1"/>
                    </pic:cNvPicPr>
                  </pic:nvPicPr>
                  <pic:blipFill>
                    <a:blip r:embed="rId27">
                      <a:clrChange>
                        <a:clrFrom>
                          <a:srgbClr val="FFFFFF"/>
                        </a:clrFrom>
                        <a:clrTo>
                          <a:srgbClr val="FFFFFF">
                            <a:alpha val="0"/>
                          </a:srgbClr>
                        </a:clrTo>
                      </a:clrChange>
                    </a:blip>
                    <a:stretch>
                      <a:fillRect/>
                    </a:stretch>
                  </pic:blipFill>
                  <pic:spPr>
                    <a:xfrm>
                      <a:off x="0" y="0"/>
                      <a:ext cx="219075" cy="259715"/>
                    </a:xfrm>
                    <a:prstGeom prst="rect">
                      <a:avLst/>
                    </a:prstGeom>
                    <a:noFill/>
                    <a:ln>
                      <a:noFill/>
                    </a:ln>
                  </pic:spPr>
                </pic:pic>
              </a:graphicData>
            </a:graphic>
          </wp:inline>
        </w:drawing>
      </w:r>
      <w:r>
        <w:rPr>
          <w:rFonts w:ascii="宋体" w:hAnsi="宋体" w:cs="仿宋"/>
          <w:color w:val="auto"/>
          <w:sz w:val="24"/>
          <w:szCs w:val="24"/>
          <w:highlight w:val="none"/>
          <w:u w:val="single"/>
        </w:rPr>
        <w:fldChar w:fldCharType="end"/>
      </w:r>
      <w:r>
        <w:rPr>
          <w:rFonts w:hint="eastAsia" w:ascii="宋体" w:hAnsi="宋体" w:cs="仿宋"/>
          <w:color w:val="auto"/>
          <w:sz w:val="24"/>
          <w:szCs w:val="24"/>
          <w:highlight w:val="none"/>
          <w:u w:val="single"/>
        </w:rPr>
        <w:t>），第二名投标人的权重为（</w:t>
      </w:r>
      <w:r>
        <w:rPr>
          <w:rFonts w:ascii="宋体" w:hAnsi="宋体" w:cs="仿宋"/>
          <w:color w:val="auto"/>
          <w:sz w:val="24"/>
          <w:szCs w:val="24"/>
          <w:highlight w:val="none"/>
          <w:u w:val="single"/>
        </w:rPr>
        <w:fldChar w:fldCharType="begin"/>
      </w:r>
      <w:r>
        <w:rPr>
          <w:rFonts w:ascii="宋体" w:hAnsi="宋体" w:cs="仿宋"/>
          <w:color w:val="auto"/>
          <w:sz w:val="24"/>
          <w:szCs w:val="24"/>
          <w:highlight w:val="none"/>
          <w:u w:val="single"/>
        </w:rPr>
        <w:instrText xml:space="preserve"> QUOTE </w:instrText>
      </w:r>
      <w:r>
        <w:rPr>
          <w:rFonts w:ascii="宋体" w:hAnsi="宋体"/>
          <w:color w:val="auto"/>
          <w:position w:val="-23"/>
          <w:sz w:val="24"/>
          <w:szCs w:val="24"/>
          <w:highlight w:val="none"/>
          <w:u w:val="single"/>
        </w:rPr>
        <w:drawing>
          <wp:inline distT="0" distB="0" distL="114300" distR="114300">
            <wp:extent cx="323850" cy="400050"/>
            <wp:effectExtent l="0" t="0" r="0" b="0"/>
            <wp:docPr id="1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5"/>
                    <pic:cNvPicPr>
                      <a:picLocks noChangeAspect="1"/>
                    </pic:cNvPicPr>
                  </pic:nvPicPr>
                  <pic:blipFill>
                    <a:blip r:embed="rId28">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olor w:val="auto"/>
          <w:position w:val="-23"/>
          <w:sz w:val="24"/>
          <w:szCs w:val="24"/>
          <w:highlight w:val="none"/>
          <w:u w:val="single"/>
        </w:rPr>
        <w:instrText xml:space="preserve"> \* MERGEFORMAT </w:instrText>
      </w:r>
      <w:r>
        <w:rPr>
          <w:rFonts w:ascii="宋体" w:hAnsi="宋体" w:cs="仿宋"/>
          <w:color w:val="auto"/>
          <w:sz w:val="24"/>
          <w:szCs w:val="24"/>
          <w:highlight w:val="none"/>
          <w:u w:val="single"/>
        </w:rPr>
        <w:fldChar w:fldCharType="separate"/>
      </w:r>
      <w:r>
        <w:rPr>
          <w:rFonts w:ascii="宋体" w:hAnsi="宋体"/>
          <w:color w:val="auto"/>
          <w:position w:val="-23"/>
          <w:sz w:val="24"/>
          <w:szCs w:val="24"/>
          <w:highlight w:val="none"/>
          <w:u w:val="single"/>
        </w:rPr>
        <w:drawing>
          <wp:inline distT="0" distB="0" distL="114300" distR="114300">
            <wp:extent cx="217170" cy="273050"/>
            <wp:effectExtent l="0" t="0" r="11430" b="13335"/>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pic:cNvPicPr>
                      <a:picLocks noChangeAspect="1"/>
                    </pic:cNvPicPr>
                  </pic:nvPicPr>
                  <pic:blipFill>
                    <a:blip r:embed="rId28">
                      <a:clrChange>
                        <a:clrFrom>
                          <a:srgbClr val="FFFFFF"/>
                        </a:clrFrom>
                        <a:clrTo>
                          <a:srgbClr val="FFFFFF">
                            <a:alpha val="0"/>
                          </a:srgbClr>
                        </a:clrTo>
                      </a:clrChange>
                    </a:blip>
                    <a:stretch>
                      <a:fillRect/>
                    </a:stretch>
                  </pic:blipFill>
                  <pic:spPr>
                    <a:xfrm>
                      <a:off x="0" y="0"/>
                      <a:ext cx="217170" cy="273050"/>
                    </a:xfrm>
                    <a:prstGeom prst="rect">
                      <a:avLst/>
                    </a:prstGeom>
                    <a:noFill/>
                    <a:ln>
                      <a:noFill/>
                    </a:ln>
                  </pic:spPr>
                </pic:pic>
              </a:graphicData>
            </a:graphic>
          </wp:inline>
        </w:drawing>
      </w:r>
      <w:r>
        <w:rPr>
          <w:rFonts w:ascii="宋体" w:hAnsi="宋体" w:cs="仿宋"/>
          <w:color w:val="auto"/>
          <w:sz w:val="24"/>
          <w:szCs w:val="24"/>
          <w:highlight w:val="none"/>
          <w:u w:val="single"/>
        </w:rPr>
        <w:fldChar w:fldCharType="end"/>
      </w:r>
      <w:r>
        <w:rPr>
          <w:rFonts w:hint="eastAsia" w:ascii="宋体" w:hAnsi="宋体" w:cs="仿宋"/>
          <w:color w:val="auto"/>
          <w:sz w:val="24"/>
          <w:szCs w:val="24"/>
          <w:highlight w:val="none"/>
          <w:u w:val="single"/>
        </w:rPr>
        <w:t>），以此类推，最后一名投标人的权重为（</w:t>
      </w:r>
      <w:r>
        <w:rPr>
          <w:rFonts w:ascii="宋体" w:hAnsi="宋体" w:cs="仿宋"/>
          <w:color w:val="auto"/>
          <w:sz w:val="24"/>
          <w:szCs w:val="24"/>
          <w:highlight w:val="none"/>
          <w:u w:val="single"/>
        </w:rPr>
        <w:fldChar w:fldCharType="begin"/>
      </w:r>
      <w:r>
        <w:rPr>
          <w:rFonts w:ascii="宋体" w:hAnsi="宋体" w:cs="仿宋"/>
          <w:color w:val="auto"/>
          <w:sz w:val="24"/>
          <w:szCs w:val="24"/>
          <w:highlight w:val="none"/>
          <w:u w:val="single"/>
        </w:rPr>
        <w:instrText xml:space="preserve"> QUOTE </w:instrText>
      </w:r>
      <w:r>
        <w:rPr>
          <w:rFonts w:ascii="宋体" w:hAnsi="宋体"/>
          <w:color w:val="auto"/>
          <w:position w:val="-23"/>
          <w:sz w:val="24"/>
          <w:szCs w:val="24"/>
          <w:highlight w:val="none"/>
          <w:u w:val="single"/>
        </w:rPr>
        <w:drawing>
          <wp:inline distT="0" distB="0" distL="114300" distR="114300">
            <wp:extent cx="323850" cy="400050"/>
            <wp:effectExtent l="0" t="0" r="0" b="0"/>
            <wp:docPr id="1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7"/>
                    <pic:cNvPicPr>
                      <a:picLocks noChangeAspect="1"/>
                    </pic:cNvPicPr>
                  </pic:nvPicPr>
                  <pic:blipFill>
                    <a:blip r:embed="rId2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olor w:val="auto"/>
          <w:position w:val="-23"/>
          <w:sz w:val="24"/>
          <w:szCs w:val="24"/>
          <w:highlight w:val="none"/>
          <w:u w:val="single"/>
        </w:rPr>
        <w:instrText xml:space="preserve"> \* MERGEFORMAT </w:instrText>
      </w:r>
      <w:r>
        <w:rPr>
          <w:rFonts w:ascii="宋体" w:hAnsi="宋体" w:cs="仿宋"/>
          <w:color w:val="auto"/>
          <w:sz w:val="24"/>
          <w:szCs w:val="24"/>
          <w:highlight w:val="none"/>
          <w:u w:val="single"/>
        </w:rPr>
        <w:fldChar w:fldCharType="separate"/>
      </w:r>
      <w:r>
        <w:rPr>
          <w:rFonts w:ascii="宋体" w:hAnsi="宋体"/>
          <w:color w:val="auto"/>
          <w:position w:val="-23"/>
          <w:sz w:val="24"/>
          <w:szCs w:val="24"/>
          <w:highlight w:val="none"/>
          <w:u w:val="single"/>
        </w:rPr>
        <w:object>
          <v:shape id="_x0000_i1026" o:spt="75" type="#_x0000_t75" style="height:31.5pt;width:24.05pt;" o:ole="t" filled="f" stroked="f" coordsize="21600,21600">
            <v:path/>
            <v:fill on="f" focussize="0,0"/>
            <v:stroke on="f"/>
            <v:imagedata r:id="rId31" o:title=""/>
            <o:lock v:ext="edit" aspectratio="t"/>
            <w10:wrap type="none"/>
            <w10:anchorlock/>
          </v:shape>
          <o:OLEObject Type="Embed" ProgID="Word.Document.12" ShapeID="_x0000_i1026" DrawAspect="Content" ObjectID="_1468075726" r:id="rId32">
            <o:LockedField>false</o:LockedField>
          </o:OLEObject>
        </w:object>
      </w:r>
      <w:r>
        <w:rPr>
          <w:rFonts w:ascii="宋体" w:hAnsi="宋体" w:cs="仿宋"/>
          <w:color w:val="auto"/>
          <w:sz w:val="24"/>
          <w:szCs w:val="24"/>
          <w:highlight w:val="none"/>
          <w:u w:val="single"/>
        </w:rPr>
        <w:fldChar w:fldCharType="end"/>
      </w:r>
      <w:r>
        <w:rPr>
          <w:rFonts w:hint="eastAsia" w:ascii="宋体" w:hAnsi="宋体" w:cs="仿宋"/>
          <w:color w:val="auto"/>
          <w:sz w:val="24"/>
          <w:szCs w:val="24"/>
          <w:highlight w:val="none"/>
          <w:u w:val="single"/>
        </w:rPr>
        <w:t>）。</w:t>
      </w:r>
    </w:p>
    <w:p>
      <w:pPr>
        <w:spacing w:line="440" w:lineRule="exact"/>
        <w:ind w:firstLine="480" w:firstLineChars="200"/>
        <w:rPr>
          <w:rFonts w:hint="eastAsia" w:ascii="宋体" w:hAnsi="宋体" w:cs="仿宋"/>
          <w:color w:val="auto"/>
          <w:sz w:val="24"/>
          <w:szCs w:val="24"/>
          <w:highlight w:val="none"/>
          <w:u w:val="single"/>
        </w:rPr>
      </w:pPr>
      <w:r>
        <w:rPr>
          <w:rFonts w:hint="eastAsia" w:ascii="宋体" w:hAnsi="宋体" w:cs="仿宋"/>
          <w:color w:val="auto"/>
          <w:sz w:val="24"/>
          <w:szCs w:val="24"/>
          <w:highlight w:val="none"/>
          <w:u w:val="single"/>
        </w:rPr>
        <w:t>技术标得分相同的，以投标报价较低的排前；技术标得分与投标报价均相同的投标人，由评标委员会采用记名投票方式，确定投标人的排序。</w:t>
      </w:r>
    </w:p>
    <w:p>
      <w:pPr>
        <w:spacing w:line="440" w:lineRule="exact"/>
        <w:ind w:firstLine="480" w:firstLineChars="200"/>
        <w:rPr>
          <w:rFonts w:hint="eastAsia" w:ascii="宋体" w:hAnsi="宋体" w:cs="仿宋"/>
          <w:color w:val="auto"/>
          <w:sz w:val="24"/>
          <w:szCs w:val="24"/>
          <w:highlight w:val="none"/>
          <w:u w:val="single"/>
        </w:rPr>
      </w:pPr>
      <w:r>
        <w:rPr>
          <w:rFonts w:hint="eastAsia" w:ascii="宋体" w:hAnsi="宋体" w:cs="仿宋"/>
          <w:color w:val="auto"/>
          <w:sz w:val="24"/>
          <w:szCs w:val="24"/>
          <w:highlight w:val="none"/>
          <w:u w:val="single"/>
        </w:rPr>
        <w:t>注：投票方式确定排序的具体操作步骤为：由评标委员会对出现该情况的投标人进行编号，然后通过投票方式依次确定投标人的排序。</w:t>
      </w:r>
    </w:p>
    <w:p>
      <w:pPr>
        <w:widowControl/>
        <w:spacing w:line="360" w:lineRule="auto"/>
        <w:ind w:firstLine="482" w:firstLineChars="200"/>
        <w:rPr>
          <w:rFonts w:ascii="宋体" w:hAnsi="宋体"/>
          <w:b/>
          <w:bCs/>
          <w:strike/>
          <w:dstrike w:val="0"/>
          <w:color w:val="auto"/>
          <w:kern w:val="0"/>
          <w:sz w:val="24"/>
          <w:szCs w:val="24"/>
          <w:highlight w:val="none"/>
        </w:rPr>
      </w:pPr>
      <w:r>
        <w:rPr>
          <w:rFonts w:hint="eastAsia" w:ascii="宋体" w:hAnsi="宋体" w:cs="仿宋"/>
          <w:b/>
          <w:bCs/>
          <w:strike/>
          <w:dstrike w:val="0"/>
          <w:color w:val="auto"/>
          <w:kern w:val="0"/>
          <w:sz w:val="24"/>
          <w:szCs w:val="24"/>
          <w:highlight w:val="none"/>
        </w:rPr>
        <w:t>方法二：区间抽取法</w:t>
      </w:r>
    </w:p>
    <w:p>
      <w:pPr>
        <w:widowControl/>
        <w:snapToGrid w:val="0"/>
        <w:spacing w:line="360" w:lineRule="auto"/>
        <w:ind w:firstLine="480" w:firstLineChars="200"/>
        <w:rPr>
          <w:rFonts w:ascii="宋体" w:hAnsi="宋体"/>
          <w:strike/>
          <w:dstrike w:val="0"/>
          <w:color w:val="auto"/>
          <w:kern w:val="0"/>
          <w:sz w:val="24"/>
          <w:szCs w:val="24"/>
          <w:highlight w:val="none"/>
        </w:rPr>
      </w:pPr>
      <w:r>
        <w:rPr>
          <w:rFonts w:hint="eastAsia" w:ascii="宋体" w:hAnsi="宋体" w:cs="仿宋"/>
          <w:strike/>
          <w:dstrike w:val="0"/>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strike/>
          <w:dstrike w:val="0"/>
          <w:color w:val="auto"/>
          <w:kern w:val="0"/>
          <w:sz w:val="24"/>
          <w:szCs w:val="24"/>
          <w:highlight w:val="none"/>
          <w:vertAlign w:val="subscript"/>
        </w:rPr>
      </w:pPr>
      <w:r>
        <w:rPr>
          <w:rFonts w:hint="eastAsia" w:ascii="宋体" w:hAnsi="宋体" w:cs="仿宋"/>
          <w:strike/>
          <w:dstrike w:val="0"/>
          <w:color w:val="auto"/>
          <w:kern w:val="0"/>
          <w:sz w:val="24"/>
          <w:szCs w:val="24"/>
          <w:highlight w:val="none"/>
        </w:rPr>
        <w:t>评标参考价</w:t>
      </w:r>
      <w:r>
        <w:rPr>
          <w:rFonts w:ascii="宋体" w:hAnsi="宋体" w:cs="仿宋"/>
          <w:strike/>
          <w:dstrike w:val="0"/>
          <w:color w:val="auto"/>
          <w:kern w:val="0"/>
          <w:sz w:val="24"/>
          <w:szCs w:val="24"/>
          <w:highlight w:val="none"/>
        </w:rPr>
        <w:t>=</w:t>
      </w:r>
      <w:r>
        <w:rPr>
          <w:rFonts w:hint="eastAsia" w:ascii="宋体" w:hAnsi="宋体" w:cs="仿宋"/>
          <w:strike/>
          <w:dstrike w:val="0"/>
          <w:color w:val="auto"/>
          <w:kern w:val="0"/>
          <w:sz w:val="24"/>
          <w:szCs w:val="24"/>
          <w:highlight w:val="none"/>
        </w:rPr>
        <w:t>（</w:t>
      </w:r>
      <w:r>
        <w:rPr>
          <w:rFonts w:ascii="宋体" w:hAnsi="宋体" w:cs="仿宋"/>
          <w:strike/>
          <w:dstrike w:val="0"/>
          <w:color w:val="auto"/>
          <w:kern w:val="0"/>
          <w:sz w:val="24"/>
          <w:szCs w:val="24"/>
          <w:highlight w:val="none"/>
        </w:rPr>
        <w:t>Q</w:t>
      </w:r>
      <w:r>
        <w:rPr>
          <w:rFonts w:hint="eastAsia" w:ascii="宋体" w:hAnsi="宋体" w:cs="仿宋"/>
          <w:strike/>
          <w:dstrike w:val="0"/>
          <w:color w:val="auto"/>
          <w:kern w:val="0"/>
          <w:sz w:val="24"/>
          <w:szCs w:val="24"/>
          <w:highlight w:val="none"/>
          <w:vertAlign w:val="subscript"/>
        </w:rPr>
        <w:t>高</w:t>
      </w:r>
      <w:r>
        <w:rPr>
          <w:rFonts w:ascii="宋体" w:hAnsi="宋体" w:cs="仿宋"/>
          <w:strike/>
          <w:dstrike w:val="0"/>
          <w:color w:val="auto"/>
          <w:kern w:val="0"/>
          <w:sz w:val="24"/>
          <w:szCs w:val="24"/>
          <w:highlight w:val="none"/>
        </w:rPr>
        <w:t>-Q</w:t>
      </w:r>
      <w:r>
        <w:rPr>
          <w:rFonts w:hint="eastAsia" w:ascii="宋体" w:hAnsi="宋体" w:cs="仿宋"/>
          <w:strike/>
          <w:dstrike w:val="0"/>
          <w:color w:val="auto"/>
          <w:kern w:val="0"/>
          <w:sz w:val="24"/>
          <w:szCs w:val="24"/>
          <w:highlight w:val="none"/>
          <w:vertAlign w:val="subscript"/>
        </w:rPr>
        <w:t>低</w:t>
      </w:r>
      <w:r>
        <w:rPr>
          <w:rFonts w:hint="eastAsia" w:ascii="宋体" w:hAnsi="宋体" w:cs="仿宋"/>
          <w:strike/>
          <w:dstrike w:val="0"/>
          <w:color w:val="auto"/>
          <w:kern w:val="0"/>
          <w:sz w:val="24"/>
          <w:szCs w:val="24"/>
          <w:highlight w:val="none"/>
        </w:rPr>
        <w:t>）</w:t>
      </w:r>
      <w:r>
        <w:rPr>
          <w:rFonts w:ascii="宋体" w:hAnsi="宋体" w:cs="仿宋"/>
          <w:strike/>
          <w:dstrike w:val="0"/>
          <w:color w:val="auto"/>
          <w:kern w:val="0"/>
          <w:sz w:val="24"/>
          <w:szCs w:val="24"/>
          <w:highlight w:val="none"/>
        </w:rPr>
        <w:t>/100*</w:t>
      </w:r>
      <w:r>
        <w:rPr>
          <w:rFonts w:hint="eastAsia" w:ascii="宋体" w:hAnsi="宋体" w:cs="仿宋"/>
          <w:strike/>
          <w:dstrike w:val="0"/>
          <w:color w:val="auto"/>
          <w:kern w:val="0"/>
          <w:sz w:val="24"/>
          <w:szCs w:val="24"/>
          <w:highlight w:val="none"/>
        </w:rPr>
        <w:t>Ｘ</w:t>
      </w:r>
      <w:r>
        <w:rPr>
          <w:rFonts w:ascii="宋体" w:hAnsi="宋体" w:cs="仿宋"/>
          <w:strike/>
          <w:dstrike w:val="0"/>
          <w:color w:val="auto"/>
          <w:kern w:val="0"/>
          <w:sz w:val="24"/>
          <w:szCs w:val="24"/>
          <w:highlight w:val="none"/>
        </w:rPr>
        <w:t>+Q</w:t>
      </w:r>
      <w:r>
        <w:rPr>
          <w:rFonts w:hint="eastAsia" w:ascii="宋体" w:hAnsi="宋体" w:cs="仿宋"/>
          <w:strike/>
          <w:dstrike w:val="0"/>
          <w:color w:val="auto"/>
          <w:kern w:val="0"/>
          <w:sz w:val="24"/>
          <w:szCs w:val="24"/>
          <w:highlight w:val="none"/>
          <w:vertAlign w:val="subscript"/>
        </w:rPr>
        <w:t>低</w:t>
      </w:r>
    </w:p>
    <w:p>
      <w:pPr>
        <w:widowControl/>
        <w:snapToGrid w:val="0"/>
        <w:spacing w:line="360" w:lineRule="auto"/>
        <w:ind w:firstLine="480" w:firstLineChars="200"/>
        <w:rPr>
          <w:rFonts w:ascii="宋体" w:hAnsi="宋体"/>
          <w:strike/>
          <w:dstrike w:val="0"/>
          <w:color w:val="auto"/>
          <w:sz w:val="24"/>
          <w:szCs w:val="24"/>
          <w:highlight w:val="none"/>
        </w:rPr>
      </w:pPr>
      <w:r>
        <w:rPr>
          <w:rFonts w:ascii="宋体" w:hAnsi="宋体" w:cs="仿宋"/>
          <w:strike/>
          <w:dstrike w:val="0"/>
          <w:color w:val="auto"/>
          <w:sz w:val="24"/>
          <w:szCs w:val="24"/>
          <w:highlight w:val="none"/>
        </w:rPr>
        <w:t>Q</w:t>
      </w:r>
      <w:r>
        <w:rPr>
          <w:rFonts w:hint="eastAsia" w:ascii="宋体" w:hAnsi="宋体" w:cs="仿宋"/>
          <w:strike/>
          <w:dstrike w:val="0"/>
          <w:color w:val="auto"/>
          <w:sz w:val="24"/>
          <w:szCs w:val="24"/>
          <w:highlight w:val="none"/>
          <w:vertAlign w:val="subscript"/>
        </w:rPr>
        <w:t>低</w:t>
      </w:r>
      <w:r>
        <w:rPr>
          <w:rFonts w:hint="eastAsia" w:ascii="宋体" w:hAnsi="宋体" w:cs="仿宋"/>
          <w:strike/>
          <w:dstrike w:val="0"/>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strike/>
          <w:dstrike w:val="0"/>
          <w:color w:val="auto"/>
          <w:sz w:val="24"/>
          <w:szCs w:val="24"/>
          <w:highlight w:val="none"/>
        </w:rPr>
      </w:pPr>
      <w:r>
        <w:rPr>
          <w:rFonts w:ascii="宋体" w:hAnsi="宋体" w:cs="仿宋"/>
          <w:strike/>
          <w:dstrike w:val="0"/>
          <w:color w:val="auto"/>
          <w:kern w:val="0"/>
          <w:sz w:val="24"/>
          <w:szCs w:val="24"/>
          <w:highlight w:val="none"/>
        </w:rPr>
        <w:t>Q</w:t>
      </w:r>
      <w:r>
        <w:rPr>
          <w:rFonts w:hint="eastAsia" w:ascii="宋体" w:hAnsi="宋体" w:cs="仿宋"/>
          <w:strike/>
          <w:dstrike w:val="0"/>
          <w:color w:val="auto"/>
          <w:kern w:val="0"/>
          <w:sz w:val="24"/>
          <w:szCs w:val="24"/>
          <w:highlight w:val="none"/>
          <w:vertAlign w:val="subscript"/>
        </w:rPr>
        <w:t>高</w:t>
      </w:r>
      <w:r>
        <w:rPr>
          <w:rFonts w:hint="eastAsia" w:ascii="宋体" w:hAnsi="宋体" w:cs="仿宋"/>
          <w:strike/>
          <w:dstrike w:val="0"/>
          <w:color w:val="auto"/>
          <w:sz w:val="24"/>
          <w:szCs w:val="24"/>
          <w:highlight w:val="none"/>
        </w:rPr>
        <w:t>：为（最高投标限价</w:t>
      </w:r>
      <w:r>
        <w:rPr>
          <w:rFonts w:ascii="宋体" w:hAnsi="宋体" w:cs="仿宋"/>
          <w:strike/>
          <w:dstrike w:val="0"/>
          <w:color w:val="auto"/>
          <w:sz w:val="24"/>
          <w:szCs w:val="24"/>
          <w:highlight w:val="none"/>
        </w:rPr>
        <w:t>*D%</w:t>
      </w:r>
      <w:r>
        <w:rPr>
          <w:rFonts w:hint="eastAsia" w:ascii="宋体" w:hAnsi="宋体" w:cs="仿宋"/>
          <w:strike/>
          <w:dstrike w:val="0"/>
          <w:color w:val="auto"/>
          <w:sz w:val="24"/>
          <w:szCs w:val="24"/>
          <w:highlight w:val="none"/>
        </w:rPr>
        <w:t>）（</w:t>
      </w:r>
      <w:r>
        <w:rPr>
          <w:rFonts w:ascii="宋体" w:hAnsi="宋体" w:cs="仿宋"/>
          <w:strike/>
          <w:dstrike w:val="0"/>
          <w:color w:val="auto"/>
          <w:sz w:val="24"/>
          <w:szCs w:val="24"/>
          <w:highlight w:val="none"/>
        </w:rPr>
        <w:t>D</w:t>
      </w:r>
      <w:r>
        <w:rPr>
          <w:rFonts w:hint="eastAsia" w:ascii="宋体" w:hAnsi="宋体" w:cs="仿宋"/>
          <w:strike/>
          <w:dstrike w:val="0"/>
          <w:color w:val="auto"/>
          <w:sz w:val="24"/>
          <w:szCs w:val="24"/>
          <w:highlight w:val="none"/>
        </w:rPr>
        <w:t>的取值范围为</w:t>
      </w:r>
      <w:r>
        <w:rPr>
          <w:rFonts w:ascii="宋体" w:hAnsi="宋体" w:cs="仿宋"/>
          <w:strike/>
          <w:dstrike w:val="0"/>
          <w:color w:val="auto"/>
          <w:sz w:val="24"/>
          <w:szCs w:val="24"/>
          <w:highlight w:val="none"/>
        </w:rPr>
        <w:t>[94,100],</w:t>
      </w:r>
      <w:r>
        <w:rPr>
          <w:rFonts w:hint="eastAsia" w:ascii="宋体" w:hAnsi="宋体" w:cs="仿宋"/>
          <w:strike/>
          <w:dstrike w:val="0"/>
          <w:color w:val="auto"/>
          <w:sz w:val="24"/>
          <w:szCs w:val="24"/>
          <w:highlight w:val="none"/>
        </w:rPr>
        <w:t>由招标人自定）</w:t>
      </w:r>
    </w:p>
    <w:p>
      <w:pPr>
        <w:spacing w:line="360" w:lineRule="auto"/>
        <w:ind w:firstLine="537" w:firstLineChars="224"/>
        <w:rPr>
          <w:rFonts w:hint="eastAsia" w:ascii="宋体" w:hAnsi="宋体" w:cs="仿宋"/>
          <w:strike/>
          <w:dstrike w:val="0"/>
          <w:color w:val="auto"/>
          <w:sz w:val="24"/>
          <w:szCs w:val="24"/>
          <w:highlight w:val="none"/>
        </w:rPr>
      </w:pPr>
      <w:r>
        <w:rPr>
          <w:rFonts w:ascii="宋体" w:hAnsi="宋体" w:cs="仿宋"/>
          <w:strike/>
          <w:dstrike w:val="0"/>
          <w:color w:val="auto"/>
          <w:sz w:val="24"/>
          <w:szCs w:val="24"/>
          <w:highlight w:val="none"/>
        </w:rPr>
        <w:t>X:</w:t>
      </w:r>
      <w:r>
        <w:rPr>
          <w:rFonts w:hint="eastAsia" w:ascii="宋体" w:hAnsi="宋体" w:cs="仿宋"/>
          <w:strike/>
          <w:dstrike w:val="0"/>
          <w:color w:val="auto"/>
          <w:sz w:val="24"/>
          <w:szCs w:val="24"/>
          <w:highlight w:val="none"/>
        </w:rPr>
        <w:t>为等分点值，在开标前从</w:t>
      </w:r>
      <w:r>
        <w:rPr>
          <w:rFonts w:ascii="宋体" w:hAnsi="宋体" w:cs="仿宋"/>
          <w:strike/>
          <w:dstrike w:val="0"/>
          <w:color w:val="auto"/>
          <w:sz w:val="24"/>
          <w:szCs w:val="24"/>
          <w:highlight w:val="none"/>
        </w:rPr>
        <w:t>[0,100]</w:t>
      </w:r>
      <w:r>
        <w:rPr>
          <w:rFonts w:hint="eastAsia" w:ascii="宋体" w:hAnsi="宋体" w:cs="仿宋"/>
          <w:strike/>
          <w:dstrike w:val="0"/>
          <w:color w:val="auto"/>
          <w:sz w:val="24"/>
          <w:szCs w:val="24"/>
          <w:highlight w:val="none"/>
        </w:rPr>
        <w:t>整数中随机抽取</w:t>
      </w:r>
    </w:p>
    <w:p>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kern w:val="0"/>
          <w:sz w:val="24"/>
          <w:szCs w:val="24"/>
          <w:highlight w:val="none"/>
        </w:rPr>
        <w:t>45.3</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hint="eastAsia" w:ascii="宋体" w:hAnsi="宋体"/>
          <w:color w:val="auto"/>
          <w:sz w:val="24"/>
          <w:szCs w:val="24"/>
          <w:highlight w:val="none"/>
          <w:lang w:val="en-US" w:eastAsia="zh-CN"/>
        </w:rPr>
        <w:t>0.2</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hint="eastAsia" w:ascii="宋体" w:hAnsi="宋体"/>
          <w:color w:val="auto"/>
          <w:sz w:val="24"/>
          <w:szCs w:val="24"/>
          <w:highlight w:val="none"/>
          <w:lang w:val="en-US" w:eastAsia="zh-CN"/>
        </w:rPr>
        <w:t>0.1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r>
        <w:rPr>
          <w:rFonts w:hint="eastAsia" w:ascii="宋体" w:hAnsi="宋体" w:cs="宋体"/>
          <w:color w:val="auto"/>
          <w:sz w:val="24"/>
          <w:szCs w:val="24"/>
          <w:highlight w:val="none"/>
          <w:lang w:val="en-US" w:eastAsia="zh-CN"/>
        </w:rPr>
        <w:t xml:space="preserve">    </w:t>
      </w:r>
    </w:p>
    <w:p>
      <w:pPr>
        <w:pStyle w:val="50"/>
        <w:tabs>
          <w:tab w:val="left" w:pos="7380"/>
        </w:tabs>
        <w:snapToGrid w:val="0"/>
        <w:spacing w:after="0" w:line="360" w:lineRule="auto"/>
        <w:ind w:firstLine="480" w:firstLineChars="200"/>
        <w:rPr>
          <w:rFonts w:hint="eastAsia" w:ascii="宋体" w:hAnsi="宋体" w:cs="宋体"/>
          <w:color w:val="auto"/>
          <w:sz w:val="36"/>
          <w:szCs w:val="36"/>
          <w:highlight w:val="none"/>
        </w:rPr>
      </w:pPr>
      <w:r>
        <w:rPr>
          <w:rFonts w:hint="eastAsia" w:ascii="宋体" w:hAnsi="宋体" w:eastAsia="宋体" w:cs="宋体"/>
          <w:color w:val="auto"/>
          <w:kern w:val="0"/>
          <w:sz w:val="24"/>
          <w:szCs w:val="24"/>
          <w:highlight w:val="none"/>
        </w:rPr>
        <w:t>45.4</w:t>
      </w:r>
      <w:r>
        <w:rPr>
          <w:rFonts w:hint="eastAsia"/>
          <w:color w:val="auto"/>
          <w:sz w:val="24"/>
          <w:szCs w:val="24"/>
          <w:highlight w:val="none"/>
        </w:rPr>
        <w:t>计算通过技术标有效性审查的投标人总得分。</w:t>
      </w:r>
      <w:r>
        <w:rPr>
          <w:rFonts w:hint="eastAsia"/>
          <w:color w:val="auto"/>
          <w:sz w:val="24"/>
          <w:szCs w:val="24"/>
          <w:highlight w:val="none"/>
          <w:u w:val="single"/>
        </w:rPr>
        <w:t>投标人总得分（满分100）=技术得分（满分20分）＋经济得分（满分100分）×经济得分权重（80%）</w:t>
      </w:r>
      <w:r>
        <w:rPr>
          <w:rFonts w:hint="eastAsia"/>
          <w:color w:val="auto"/>
          <w:sz w:val="24"/>
          <w:szCs w:val="24"/>
          <w:highlight w:val="none"/>
        </w:rPr>
        <w:t>。技术、经济得分权重按投标须知前附表的规定执行。总得分四舍五入保留两位小数。</w:t>
      </w:r>
    </w:p>
    <w:p>
      <w:pPr>
        <w:pStyle w:val="50"/>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46.经济标的有效性审查</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46.2经济标的算术校核。评标委员会对进行经济标有效性审查的投标文件投标报价按照就低不就高的原则进行算术校核，具体标准如下：</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46.2.1如果数字表示的金额和用文字表示的金额不一致时，应以文字表示的金额为准；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46.2.2经算术复核的投标人报价与其投标报价不一致时，按就低不就高原则确定其最终报价；</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46.2.4当合价、金额累加错误时，按就低不就高原则，如果累加修正值小于原累加值，则按累加修正值；如果累加修正值大于原累加值，则按原累加值；</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46.2.5如果投标人的有关规费、暂列金额、暂估价、绿色施工安全防护措施费等未按招标文件规定的金额填写的，由评标委员会按照招标文件规定的金额进行修正；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46.2.7按就低不就高原则，当修正后报价小于原报价，总价按修正后报价；当修正后报价大于原报价，总价按原报价，并在签订合同时载明在结算价中扣除修正报价与原报价的差额。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48.评标委员会应在通过投标文件经济标有效性审查的投标人中，按步骤45.4确定的投标人</w:t>
      </w:r>
      <w:r>
        <w:rPr>
          <w:rFonts w:hint="eastAsia" w:ascii="宋体" w:hAnsi="宋体" w:cs="宋体"/>
          <w:color w:val="auto"/>
          <w:sz w:val="24"/>
          <w:szCs w:val="24"/>
          <w:highlight w:val="none"/>
          <w:u w:val="single"/>
        </w:rPr>
        <w:t>总得分由高到低进行排序</w:t>
      </w:r>
      <w:r>
        <w:rPr>
          <w:rFonts w:hint="eastAsia" w:ascii="宋体" w:hAnsi="宋体" w:cs="宋体"/>
          <w:color w:val="auto"/>
          <w:sz w:val="24"/>
          <w:szCs w:val="24"/>
          <w:highlight w:val="none"/>
        </w:rPr>
        <w:t>，推荐前3名依次为第一中标候选人至第三中标候选人,并编制评标报告。</w:t>
      </w:r>
      <w:r>
        <w:rPr>
          <w:rFonts w:hint="eastAsia" w:ascii="宋体" w:hAnsi="宋体" w:cs="宋体"/>
          <w:color w:val="auto"/>
          <w:sz w:val="24"/>
          <w:szCs w:val="24"/>
          <w:highlight w:val="none"/>
          <w:u w:val="single"/>
        </w:rPr>
        <w:t>总得分相同的投标文件，以技术分排名靠前的排前；如仍存在相同情况，则对具有相同情况的投标人，由评标委员会采用投票方式，确定中标候选人的排序。</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49.若通过经济标有效性审查的投标人不足三家，应当依法重新招标。</w:t>
      </w:r>
    </w:p>
    <w:p>
      <w:pPr>
        <w:spacing w:line="360" w:lineRule="auto"/>
        <w:ind w:firstLine="480" w:firstLineChars="200"/>
        <w:rPr>
          <w:rFonts w:hint="eastAsia" w:ascii="宋体" w:hAnsi="宋体" w:cs="宋体"/>
          <w:color w:val="auto"/>
          <w:sz w:val="24"/>
          <w:szCs w:val="24"/>
          <w:highlight w:val="none"/>
        </w:rPr>
      </w:pPr>
    </w:p>
    <w:p>
      <w:pPr>
        <w:pStyle w:val="230"/>
        <w:ind w:firstLine="0"/>
        <w:rPr>
          <w:rFonts w:hint="eastAsia"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附表一：</w:t>
      </w:r>
    </w:p>
    <w:p>
      <w:pPr>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资格审查表</w:t>
      </w:r>
    </w:p>
    <w:p>
      <w:pPr>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工程名称：</w:t>
      </w:r>
    </w:p>
    <w:tbl>
      <w:tblPr>
        <w:tblStyle w:val="52"/>
        <w:tblW w:w="10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4394"/>
        <w:gridCol w:w="4395"/>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b/>
                <w:bCs/>
                <w:highlight w:val="none"/>
              </w:rPr>
            </w:pPr>
            <w:r>
              <w:rPr>
                <w:rFonts w:hint="eastAsia" w:ascii="宋体" w:hAnsi="宋体"/>
                <w:b/>
                <w:bCs/>
                <w:highlight w:val="none"/>
              </w:rPr>
              <w:t>序号</w:t>
            </w:r>
          </w:p>
        </w:tc>
        <w:tc>
          <w:tcPr>
            <w:tcW w:w="4394"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b/>
                <w:bCs/>
                <w:highlight w:val="none"/>
              </w:rPr>
            </w:pPr>
            <w:r>
              <w:rPr>
                <w:rFonts w:hint="eastAsia" w:ascii="宋体" w:hAnsi="宋体"/>
                <w:b/>
                <w:bCs/>
                <w:highlight w:val="none"/>
              </w:rPr>
              <w:t>审查项目</w:t>
            </w:r>
          </w:p>
        </w:tc>
        <w:tc>
          <w:tcPr>
            <w:tcW w:w="4395"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b/>
                <w:bCs/>
                <w:highlight w:val="none"/>
              </w:rPr>
            </w:pPr>
            <w:r>
              <w:rPr>
                <w:rFonts w:hint="eastAsia" w:ascii="宋体" w:hAnsi="宋体"/>
                <w:b/>
                <w:bCs/>
                <w:highlight w:val="none"/>
              </w:rPr>
              <w:t>须审查的资料</w:t>
            </w:r>
          </w:p>
        </w:tc>
        <w:tc>
          <w:tcPr>
            <w:tcW w:w="708"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b/>
                <w:bCs/>
                <w:highlight w:val="none"/>
              </w:rPr>
            </w:pPr>
            <w:r>
              <w:rPr>
                <w:rFonts w:hint="eastAsia" w:ascii="宋体" w:hAnsi="宋体"/>
                <w:b/>
                <w:bCs/>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highlight w:val="none"/>
              </w:rPr>
              <w:t>1</w:t>
            </w:r>
          </w:p>
        </w:tc>
        <w:tc>
          <w:tcPr>
            <w:tcW w:w="4394"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highlight w:val="none"/>
              </w:rPr>
              <w:t>投标人参加投标的意思表达清楚，投标人代表被授权有效</w:t>
            </w:r>
          </w:p>
        </w:tc>
        <w:tc>
          <w:tcPr>
            <w:tcW w:w="4395"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highlight w:val="none"/>
              </w:rPr>
              <w:t>投标人声明、法定代表人证明书；委托投标的还应提供法人授权委托证明书</w:t>
            </w:r>
          </w:p>
        </w:tc>
        <w:tc>
          <w:tcPr>
            <w:tcW w:w="708"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highlight w:val="none"/>
              </w:rPr>
              <w:t>2</w:t>
            </w:r>
          </w:p>
        </w:tc>
        <w:tc>
          <w:tcPr>
            <w:tcW w:w="4394"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highlight w:val="none"/>
              </w:rPr>
              <w:t>投标人均具有独立法人资格，按国家法律经营</w:t>
            </w:r>
          </w:p>
        </w:tc>
        <w:tc>
          <w:tcPr>
            <w:tcW w:w="4395" w:type="dxa"/>
            <w:tcBorders>
              <w:top w:val="single" w:color="auto" w:sz="4" w:space="0"/>
              <w:left w:val="nil"/>
              <w:bottom w:val="single" w:color="auto" w:sz="4" w:space="0"/>
              <w:right w:val="single" w:color="auto" w:sz="4" w:space="0"/>
            </w:tcBorders>
            <w:noWrap w:val="0"/>
            <w:vAlign w:val="center"/>
          </w:tcPr>
          <w:p>
            <w:pPr>
              <w:spacing w:before="120" w:after="60"/>
              <w:jc w:val="center"/>
              <w:rPr>
                <w:rFonts w:hint="eastAsia" w:ascii="宋体"/>
                <w:highlight w:val="none"/>
                <w:u w:val="single"/>
              </w:rPr>
            </w:pPr>
            <w:r>
              <w:rPr>
                <w:rFonts w:hint="eastAsia" w:ascii="宋体" w:hAnsi="宋体"/>
                <w:color w:val="000000"/>
                <w:szCs w:val="21"/>
                <w:highlight w:val="none"/>
              </w:rPr>
              <w:t>营业执照在广州市住建行业信用管理平台内上传件</w:t>
            </w:r>
          </w:p>
        </w:tc>
        <w:tc>
          <w:tcPr>
            <w:tcW w:w="708"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highlight w:val="none"/>
              </w:rPr>
              <w:t>3</w:t>
            </w:r>
          </w:p>
        </w:tc>
        <w:tc>
          <w:tcPr>
            <w:tcW w:w="4394" w:type="dxa"/>
            <w:tcBorders>
              <w:top w:val="single" w:color="auto" w:sz="4" w:space="0"/>
              <w:left w:val="nil"/>
              <w:bottom w:val="single" w:color="auto" w:sz="4" w:space="0"/>
              <w:right w:val="single" w:color="auto" w:sz="4" w:space="0"/>
            </w:tcBorders>
            <w:noWrap w:val="0"/>
            <w:vAlign w:val="center"/>
          </w:tcPr>
          <w:p>
            <w:pPr>
              <w:spacing w:before="120" w:after="60"/>
              <w:jc w:val="center"/>
              <w:rPr>
                <w:rFonts w:hint="eastAsia" w:ascii="宋体"/>
                <w:highlight w:val="none"/>
              </w:rPr>
            </w:pPr>
            <w:r>
              <w:rPr>
                <w:rFonts w:hint="eastAsia" w:ascii="宋体" w:hAnsi="宋体"/>
                <w:highlight w:val="none"/>
              </w:rPr>
              <w:t>投标人持有建设行政主管部门颁发的企业资质证书及安全生产许可证；投标人资质符合公告要求</w:t>
            </w:r>
          </w:p>
        </w:tc>
        <w:tc>
          <w:tcPr>
            <w:tcW w:w="4395"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u w:val="single"/>
              </w:rPr>
            </w:pPr>
            <w:r>
              <w:rPr>
                <w:rFonts w:hint="eastAsia" w:ascii="宋体" w:hAnsi="宋体"/>
                <w:color w:val="000000"/>
                <w:szCs w:val="21"/>
                <w:highlight w:val="none"/>
              </w:rPr>
              <w:t>资质证书及安全生产许可证在广州市住建行业信用管理平台内上传件</w:t>
            </w:r>
          </w:p>
        </w:tc>
        <w:tc>
          <w:tcPr>
            <w:tcW w:w="708"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highlight w:val="none"/>
              </w:rPr>
              <w:t>4</w:t>
            </w:r>
          </w:p>
        </w:tc>
        <w:tc>
          <w:tcPr>
            <w:tcW w:w="4394"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highlight w:val="none"/>
              </w:rPr>
              <w:t>投标人拟担任本工程项目负责人符合公告要求</w:t>
            </w:r>
          </w:p>
        </w:tc>
        <w:tc>
          <w:tcPr>
            <w:tcW w:w="4395" w:type="dxa"/>
            <w:tcBorders>
              <w:top w:val="single" w:color="auto" w:sz="4" w:space="0"/>
              <w:left w:val="nil"/>
              <w:bottom w:val="single" w:color="auto" w:sz="4" w:space="0"/>
              <w:right w:val="single" w:color="auto" w:sz="4" w:space="0"/>
            </w:tcBorders>
            <w:noWrap w:val="0"/>
            <w:vAlign w:val="center"/>
          </w:tcPr>
          <w:p>
            <w:pPr>
              <w:spacing w:before="120" w:after="60"/>
              <w:jc w:val="center"/>
              <w:rPr>
                <w:rFonts w:hint="eastAsia" w:ascii="宋体"/>
                <w:highlight w:val="none"/>
                <w:u w:val="single"/>
              </w:rPr>
            </w:pPr>
            <w:r>
              <w:rPr>
                <w:rFonts w:hint="eastAsia" w:ascii="宋体"/>
                <w:highlight w:val="none"/>
                <w:u w:val="single"/>
              </w:rPr>
              <w:t>使用有效期内的注册建造师注册证书在广州市住建行业信用平台内上传件。</w:t>
            </w:r>
          </w:p>
          <w:p>
            <w:pPr>
              <w:spacing w:before="120" w:after="60"/>
              <w:jc w:val="center"/>
              <w:rPr>
                <w:rFonts w:ascii="宋体"/>
                <w:highlight w:val="none"/>
                <w:u w:val="single"/>
              </w:rPr>
            </w:pPr>
            <w:r>
              <w:rPr>
                <w:rFonts w:hint="eastAsia" w:ascii="宋体"/>
                <w:highlight w:val="none"/>
                <w:u w:val="single"/>
              </w:rPr>
              <w:t>（注：打印建造师电子证书后，应在个人签名处手写本人签名再上传广州市住建行业信用平台，上传件未手写签名或与签名图像笔迹不一致的，该电子证书无效。）</w:t>
            </w:r>
          </w:p>
        </w:tc>
        <w:tc>
          <w:tcPr>
            <w:tcW w:w="708"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highlight w:val="none"/>
              </w:rPr>
              <w:t>5</w:t>
            </w:r>
          </w:p>
        </w:tc>
        <w:tc>
          <w:tcPr>
            <w:tcW w:w="4394"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ighlight w:val="none"/>
              </w:rPr>
              <w:t>持有项目负责人安全生产考核合格证（B类）或建筑施工企业项目负责人安全生产考核合格证</w:t>
            </w:r>
          </w:p>
        </w:tc>
        <w:tc>
          <w:tcPr>
            <w:tcW w:w="4395"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color w:val="000000"/>
                <w:szCs w:val="21"/>
                <w:highlight w:val="none"/>
              </w:rPr>
              <w:t>项目负责人安全生产考核合格证（B类）或建筑施工企业项目负责人安全生产考核合格证在广州市住建行业信用管理平台内上传件（项目负责人按编制资格预审申请文件时选择拟投标的项目负责人）</w:t>
            </w:r>
          </w:p>
        </w:tc>
        <w:tc>
          <w:tcPr>
            <w:tcW w:w="708"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highlight w:val="none"/>
              </w:rPr>
              <w:t>6</w:t>
            </w:r>
          </w:p>
        </w:tc>
        <w:tc>
          <w:tcPr>
            <w:tcW w:w="4394"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highlight w:val="none"/>
              </w:rPr>
              <w:t>投标人拟担任本工程技术负责人符合公告要求</w:t>
            </w:r>
          </w:p>
        </w:tc>
        <w:tc>
          <w:tcPr>
            <w:tcW w:w="4395"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szCs w:val="21"/>
                <w:highlight w:val="none"/>
                <w:u w:val="single"/>
              </w:rPr>
              <w:t>拟委派技术负责人职称证书扫描件</w:t>
            </w:r>
          </w:p>
        </w:tc>
        <w:tc>
          <w:tcPr>
            <w:tcW w:w="708"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highlight w:val="none"/>
              </w:rPr>
              <w:t>7</w:t>
            </w:r>
          </w:p>
        </w:tc>
        <w:tc>
          <w:tcPr>
            <w:tcW w:w="4394"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highlight w:val="none"/>
              </w:rPr>
              <w:t>专职安全员须具有安全生产考核合格证（C证）或</w:t>
            </w:r>
            <w:r>
              <w:rPr>
                <w:rFonts w:hint="eastAsia" w:ascii="宋体" w:hAnsi="宋体" w:cs="宋体"/>
                <w:bCs/>
                <w:szCs w:val="21"/>
                <w:highlight w:val="none"/>
              </w:rPr>
              <w:t>建筑施工企业专职安全生产管理人员安全生产考核合格证（C类或综合类C3）</w:t>
            </w:r>
          </w:p>
        </w:tc>
        <w:tc>
          <w:tcPr>
            <w:tcW w:w="4395"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color w:val="000000"/>
                <w:szCs w:val="21"/>
                <w:highlight w:val="none"/>
              </w:rPr>
              <w:t>专职安全员的安全生产考核合格证（</w:t>
            </w:r>
            <w:r>
              <w:rPr>
                <w:rFonts w:ascii="宋体" w:hAnsi="宋体"/>
                <w:color w:val="000000"/>
                <w:szCs w:val="21"/>
                <w:highlight w:val="none"/>
              </w:rPr>
              <w:t>C</w:t>
            </w:r>
            <w:r>
              <w:rPr>
                <w:rFonts w:hint="eastAsia" w:ascii="宋体" w:hAnsi="宋体"/>
                <w:color w:val="000000"/>
                <w:szCs w:val="21"/>
                <w:highlight w:val="none"/>
              </w:rPr>
              <w:t>类或C3类）或建筑施工企业专职安全生产管理人员安全生产考核合格证</w:t>
            </w:r>
            <w:r>
              <w:rPr>
                <w:rFonts w:hint="eastAsia" w:ascii="宋体" w:hAnsi="宋体" w:cs="宋体"/>
                <w:bCs/>
                <w:szCs w:val="21"/>
                <w:highlight w:val="none"/>
              </w:rPr>
              <w:t>（C类或综合类C3）</w:t>
            </w:r>
            <w:r>
              <w:rPr>
                <w:rFonts w:hint="eastAsia" w:ascii="宋体" w:hAnsi="宋体"/>
                <w:color w:val="000000"/>
                <w:szCs w:val="21"/>
                <w:highlight w:val="none"/>
              </w:rPr>
              <w:t>在广州市住建行业信用管理平台内上传件</w:t>
            </w:r>
          </w:p>
        </w:tc>
        <w:tc>
          <w:tcPr>
            <w:tcW w:w="708"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highlight w:val="none"/>
              </w:rPr>
              <w:t>8</w:t>
            </w:r>
          </w:p>
        </w:tc>
        <w:tc>
          <w:tcPr>
            <w:tcW w:w="4394"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highlight w:val="none"/>
              </w:rPr>
              <w:t>投标人提供的《投标人声明》符合公告要求</w:t>
            </w:r>
          </w:p>
        </w:tc>
        <w:tc>
          <w:tcPr>
            <w:tcW w:w="4395"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highlight w:val="none"/>
              </w:rPr>
              <w:t>投标人声明</w:t>
            </w:r>
          </w:p>
        </w:tc>
        <w:tc>
          <w:tcPr>
            <w:tcW w:w="708"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highlight w:val="none"/>
              </w:rPr>
              <w:t>9</w:t>
            </w:r>
          </w:p>
        </w:tc>
        <w:tc>
          <w:tcPr>
            <w:tcW w:w="4394"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highlight w:val="none"/>
              </w:rPr>
              <w:t>投标人声明中签字的项目负责人和技术负责人与本项目拟派的项目负责人和技术负责人一致</w:t>
            </w:r>
          </w:p>
        </w:tc>
        <w:tc>
          <w:tcPr>
            <w:tcW w:w="4395"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highlight w:val="none"/>
              </w:rPr>
              <w:t>网上投标时选择拟投标的项目负责人、资格审查文件中拟委派的技术负责人及投标人声明</w:t>
            </w:r>
          </w:p>
        </w:tc>
        <w:tc>
          <w:tcPr>
            <w:tcW w:w="708"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highlight w:val="none"/>
              </w:rPr>
              <w:t>10</w:t>
            </w:r>
          </w:p>
        </w:tc>
        <w:tc>
          <w:tcPr>
            <w:tcW w:w="4394"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u w:val="single"/>
              </w:rPr>
            </w:pPr>
            <w:r>
              <w:rPr>
                <w:rFonts w:hint="eastAsia" w:ascii="宋体"/>
                <w:highlight w:val="none"/>
                <w:u w:val="single"/>
              </w:rPr>
              <w:t>本项目不接受联合体投标</w:t>
            </w:r>
          </w:p>
        </w:tc>
        <w:tc>
          <w:tcPr>
            <w:tcW w:w="4395"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ighlight w:val="none"/>
              </w:rPr>
              <w:t>/</w:t>
            </w:r>
          </w:p>
        </w:tc>
        <w:tc>
          <w:tcPr>
            <w:tcW w:w="708"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highlight w:val="none"/>
              </w:rPr>
            </w:pPr>
            <w:r>
              <w:rPr>
                <w:rFonts w:hint="eastAsia" w:ascii="宋体" w:hAnsi="宋体"/>
                <w:highlight w:val="none"/>
              </w:rPr>
              <w:t>11</w:t>
            </w:r>
          </w:p>
        </w:tc>
        <w:tc>
          <w:tcPr>
            <w:tcW w:w="4394" w:type="dxa"/>
            <w:tcBorders>
              <w:top w:val="single" w:color="auto" w:sz="4" w:space="0"/>
              <w:left w:val="nil"/>
              <w:bottom w:val="single" w:color="auto" w:sz="4" w:space="0"/>
              <w:right w:val="single" w:color="auto" w:sz="4" w:space="0"/>
            </w:tcBorders>
            <w:noWrap w:val="0"/>
            <w:vAlign w:val="center"/>
          </w:tcPr>
          <w:p>
            <w:pPr>
              <w:spacing w:before="120" w:after="60"/>
              <w:jc w:val="center"/>
              <w:rPr>
                <w:rFonts w:hint="eastAsia" w:ascii="宋体" w:hAnsi="宋体"/>
                <w:highlight w:val="none"/>
              </w:rPr>
            </w:pPr>
            <w:r>
              <w:rPr>
                <w:rFonts w:hint="eastAsia" w:ascii="宋体" w:hAnsi="宋体"/>
                <w:highlight w:val="none"/>
              </w:rPr>
              <w:t>资格审查前，投标人已在广州公共资源交易中心企业库办理企业信息登记，拟担任本工程项目负责人、专职安全员是本企业在广州公共资源交易中心企业信息登记中的在册人员</w:t>
            </w:r>
          </w:p>
        </w:tc>
        <w:tc>
          <w:tcPr>
            <w:tcW w:w="4395"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highlight w:val="none"/>
              </w:rPr>
              <w:t>投标人在广州公共资源交易中心企业库内登记的企业和人员信息</w:t>
            </w:r>
          </w:p>
        </w:tc>
        <w:tc>
          <w:tcPr>
            <w:tcW w:w="708"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highlight w:val="none"/>
              </w:rPr>
              <w:t>12</w:t>
            </w:r>
          </w:p>
        </w:tc>
        <w:tc>
          <w:tcPr>
            <w:tcW w:w="4394"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highlight w:val="none"/>
              </w:rPr>
              <w:t>投标人未出现以下情形：与其它投标人的单位负责人为同一人或者存在控股、管理关系的（按投标人提供的《投标人声明》第八条内容进行评审）</w:t>
            </w:r>
          </w:p>
        </w:tc>
        <w:tc>
          <w:tcPr>
            <w:tcW w:w="4395"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r>
              <w:rPr>
                <w:rFonts w:hint="eastAsia" w:ascii="宋体" w:hAnsi="宋体"/>
                <w:highlight w:val="none"/>
              </w:rPr>
              <w:t>投标人声明</w:t>
            </w:r>
          </w:p>
        </w:tc>
        <w:tc>
          <w:tcPr>
            <w:tcW w:w="708" w:type="dxa"/>
            <w:tcBorders>
              <w:top w:val="single" w:color="auto" w:sz="4" w:space="0"/>
              <w:left w:val="nil"/>
              <w:bottom w:val="single" w:color="auto" w:sz="4" w:space="0"/>
              <w:right w:val="single" w:color="auto" w:sz="4" w:space="0"/>
            </w:tcBorders>
            <w:noWrap w:val="0"/>
            <w:vAlign w:val="center"/>
          </w:tcPr>
          <w:p>
            <w:pPr>
              <w:spacing w:before="120" w:after="60"/>
              <w:jc w:val="center"/>
              <w:rPr>
                <w:rFonts w:ascii="宋体"/>
                <w:highlight w:val="none"/>
              </w:rPr>
            </w:pPr>
          </w:p>
        </w:tc>
      </w:tr>
    </w:tbl>
    <w:p>
      <w:pPr>
        <w:pStyle w:val="7"/>
        <w:rPr>
          <w:rFonts w:hint="eastAsia"/>
          <w:highlight w:val="none"/>
        </w:rPr>
      </w:pPr>
    </w:p>
    <w:p>
      <w:pPr>
        <w:spacing w:line="480" w:lineRule="auto"/>
        <w:ind w:firstLine="470" w:firstLineChars="224"/>
        <w:rPr>
          <w:rFonts w:hint="eastAsia" w:ascii="宋体" w:hAnsi="宋体"/>
          <w:szCs w:val="21"/>
          <w:highlight w:val="none"/>
        </w:rPr>
      </w:pPr>
      <w:r>
        <w:rPr>
          <w:rFonts w:hint="eastAsia" w:ascii="宋体" w:hAnsi="宋体"/>
          <w:szCs w:val="21"/>
          <w:highlight w:val="none"/>
        </w:rPr>
        <w:t>备注：</w:t>
      </w:r>
    </w:p>
    <w:p>
      <w:pPr>
        <w:spacing w:line="480" w:lineRule="auto"/>
        <w:ind w:firstLine="470" w:firstLineChars="224"/>
        <w:rPr>
          <w:rFonts w:hint="eastAsia" w:ascii="宋体" w:hAnsi="宋体"/>
          <w:szCs w:val="21"/>
          <w:highlight w:val="none"/>
        </w:rPr>
      </w:pPr>
      <w:r>
        <w:rPr>
          <w:rFonts w:hint="eastAsia" w:ascii="宋体" w:hAnsi="宋体"/>
          <w:szCs w:val="21"/>
          <w:highlight w:val="none"/>
        </w:rPr>
        <w:t xml:space="preserve">1、每一项目符合的打“○”，不符合的打“×”； </w:t>
      </w:r>
    </w:p>
    <w:p>
      <w:pPr>
        <w:spacing w:line="480" w:lineRule="auto"/>
        <w:ind w:firstLine="470" w:firstLineChars="224"/>
        <w:rPr>
          <w:rFonts w:hint="eastAsia" w:ascii="宋体" w:hAnsi="宋体"/>
          <w:szCs w:val="21"/>
          <w:highlight w:val="none"/>
        </w:rPr>
      </w:pPr>
      <w:r>
        <w:rPr>
          <w:rFonts w:hint="eastAsia" w:ascii="宋体" w:hAnsi="宋体"/>
          <w:szCs w:val="21"/>
          <w:highlight w:val="none"/>
        </w:rPr>
        <w:t>2、若评委意见不一致时，则按少数服从多数的原则，作出评审结论。汇总后，出现一个“×”的结论为“不通过”。</w:t>
      </w:r>
    </w:p>
    <w:p>
      <w:pPr>
        <w:spacing w:line="480" w:lineRule="auto"/>
        <w:ind w:firstLine="470" w:firstLineChars="224"/>
        <w:rPr>
          <w:rFonts w:ascii="宋体" w:hAnsi="宋体"/>
          <w:szCs w:val="21"/>
          <w:highlight w:val="none"/>
        </w:rPr>
      </w:pPr>
      <w:r>
        <w:rPr>
          <w:rFonts w:hint="eastAsia" w:ascii="宋体" w:hAnsi="宋体"/>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spacing w:line="360" w:lineRule="auto"/>
        <w:ind w:firstLine="1050" w:firstLineChars="500"/>
        <w:rPr>
          <w:rFonts w:hint="eastAsia" w:ascii="宋体" w:hAnsi="宋体" w:cs="宋体"/>
          <w:color w:val="auto"/>
          <w:highlight w:val="none"/>
        </w:rPr>
        <w:sectPr>
          <w:headerReference r:id="rId13" w:type="first"/>
          <w:footerReference r:id="rId16" w:type="first"/>
          <w:headerReference r:id="rId11" w:type="default"/>
          <w:footerReference r:id="rId14" w:type="default"/>
          <w:headerReference r:id="rId12" w:type="even"/>
          <w:footerReference r:id="rId15" w:type="even"/>
          <w:endnotePr>
            <w:numFmt w:val="decimal"/>
          </w:endnotePr>
          <w:pgSz w:w="11906" w:h="16838"/>
          <w:pgMar w:top="1247" w:right="1418" w:bottom="1134" w:left="1418" w:header="851" w:footer="907" w:gutter="0"/>
          <w:pgBorders>
            <w:top w:val="none" w:sz="0" w:space="0"/>
            <w:left w:val="none" w:sz="0" w:space="0"/>
            <w:bottom w:val="none" w:sz="0" w:space="0"/>
            <w:right w:val="none" w:sz="0" w:space="0"/>
          </w:pgBorders>
          <w:pgNumType w:start="1"/>
          <w:cols w:space="720" w:num="1"/>
          <w:titlePg/>
          <w:docGrid w:type="lines" w:linePitch="312" w:charSpace="0"/>
        </w:sectPr>
      </w:pPr>
    </w:p>
    <w:p>
      <w:pPr>
        <w:rPr>
          <w:rFonts w:hint="eastAsia" w:ascii="宋体" w:hAnsi="宋体" w:cs="宋体"/>
          <w:color w:val="auto"/>
          <w:szCs w:val="21"/>
          <w:highlight w:val="none"/>
        </w:rPr>
      </w:pPr>
      <w:r>
        <w:rPr>
          <w:rFonts w:hint="eastAsia" w:ascii="宋体" w:hAnsi="宋体" w:cs="宋体"/>
          <w:color w:val="auto"/>
          <w:szCs w:val="21"/>
          <w:highlight w:val="none"/>
        </w:rPr>
        <w:t>附表二</w:t>
      </w:r>
    </w:p>
    <w:p>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技术标有效性审查表</w:t>
      </w:r>
    </w:p>
    <w:p>
      <w:pPr>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52"/>
        <w:tblW w:w="14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8654"/>
        <w:gridCol w:w="916"/>
        <w:gridCol w:w="916"/>
        <w:gridCol w:w="916"/>
        <w:gridCol w:w="916"/>
        <w:gridCol w:w="916"/>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2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highlight w:val="none"/>
              </w:rPr>
            </w:pPr>
            <w:r>
              <w:rPr>
                <w:rFonts w:hint="eastAsia" w:ascii="宋体" w:hAnsi="宋体"/>
                <w:highlight w:val="none"/>
              </w:rPr>
              <w:t>序号</w:t>
            </w:r>
          </w:p>
        </w:tc>
        <w:tc>
          <w:tcPr>
            <w:tcW w:w="8654" w:type="dxa"/>
            <w:tcBorders>
              <w:top w:val="single" w:color="auto" w:sz="4" w:space="0"/>
              <w:left w:val="nil"/>
              <w:bottom w:val="single" w:color="auto" w:sz="4" w:space="0"/>
              <w:right w:val="single" w:color="auto" w:sz="4" w:space="0"/>
              <w:tl2br w:val="single" w:color="auto" w:sz="4" w:space="0"/>
            </w:tcBorders>
            <w:noWrap w:val="0"/>
            <w:vAlign w:val="top"/>
          </w:tcPr>
          <w:p>
            <w:pPr>
              <w:ind w:firstLine="6090" w:firstLineChars="2900"/>
              <w:rPr>
                <w:rFonts w:ascii="宋体" w:hAnsi="宋体"/>
                <w:highlight w:val="none"/>
              </w:rPr>
            </w:pPr>
            <w:r>
              <w:rPr>
                <w:rFonts w:hint="eastAsia" w:ascii="宋体" w:hAnsi="宋体"/>
                <w:highlight w:val="none"/>
              </w:rPr>
              <w:t>投标人</w:t>
            </w:r>
          </w:p>
          <w:p>
            <w:pPr>
              <w:rPr>
                <w:rFonts w:ascii="宋体" w:hAnsi="宋体"/>
                <w:highlight w:val="none"/>
              </w:rPr>
            </w:pPr>
            <w:r>
              <w:rPr>
                <w:rFonts w:hint="eastAsia" w:ascii="宋体" w:hAnsi="宋体"/>
                <w:highlight w:val="none"/>
              </w:rPr>
              <w:t>评审内容</w:t>
            </w:r>
          </w:p>
        </w:tc>
        <w:tc>
          <w:tcPr>
            <w:tcW w:w="916" w:type="dxa"/>
            <w:tcBorders>
              <w:top w:val="single" w:color="auto" w:sz="4" w:space="0"/>
              <w:left w:val="nil"/>
              <w:bottom w:val="single" w:color="auto" w:sz="4" w:space="0"/>
              <w:right w:val="single" w:color="auto" w:sz="4" w:space="0"/>
            </w:tcBorders>
            <w:noWrap w:val="0"/>
            <w:vAlign w:val="top"/>
          </w:tcPr>
          <w:p>
            <w:pPr>
              <w:rPr>
                <w:rFonts w:ascii="宋体"/>
                <w:highlight w:val="none"/>
              </w:rPr>
            </w:pPr>
          </w:p>
        </w:tc>
        <w:tc>
          <w:tcPr>
            <w:tcW w:w="916" w:type="dxa"/>
            <w:tcBorders>
              <w:top w:val="single" w:color="auto" w:sz="4" w:space="0"/>
              <w:left w:val="nil"/>
              <w:bottom w:val="single" w:color="auto" w:sz="4" w:space="0"/>
              <w:right w:val="single" w:color="auto" w:sz="4" w:space="0"/>
            </w:tcBorders>
            <w:noWrap w:val="0"/>
            <w:vAlign w:val="top"/>
          </w:tcPr>
          <w:p>
            <w:pPr>
              <w:rPr>
                <w:rFonts w:ascii="宋体"/>
                <w:highlight w:val="none"/>
              </w:rPr>
            </w:pPr>
          </w:p>
        </w:tc>
        <w:tc>
          <w:tcPr>
            <w:tcW w:w="916" w:type="dxa"/>
            <w:tcBorders>
              <w:top w:val="single" w:color="auto" w:sz="4" w:space="0"/>
              <w:left w:val="nil"/>
              <w:bottom w:val="single" w:color="auto" w:sz="4" w:space="0"/>
              <w:right w:val="single" w:color="auto" w:sz="4" w:space="0"/>
            </w:tcBorders>
            <w:noWrap w:val="0"/>
            <w:vAlign w:val="top"/>
          </w:tcPr>
          <w:p>
            <w:pPr>
              <w:rPr>
                <w:rFonts w:ascii="宋体"/>
                <w:highlight w:val="none"/>
              </w:rPr>
            </w:pPr>
          </w:p>
        </w:tc>
        <w:tc>
          <w:tcPr>
            <w:tcW w:w="916" w:type="dxa"/>
            <w:tcBorders>
              <w:top w:val="single" w:color="auto" w:sz="4" w:space="0"/>
              <w:left w:val="nil"/>
              <w:bottom w:val="single" w:color="auto" w:sz="4" w:space="0"/>
              <w:right w:val="single" w:color="auto" w:sz="4" w:space="0"/>
            </w:tcBorders>
            <w:noWrap w:val="0"/>
            <w:vAlign w:val="top"/>
          </w:tcPr>
          <w:p>
            <w:pPr>
              <w:rPr>
                <w:rFonts w:ascii="宋体"/>
                <w:highlight w:val="none"/>
              </w:rPr>
            </w:pPr>
          </w:p>
        </w:tc>
        <w:tc>
          <w:tcPr>
            <w:tcW w:w="916" w:type="dxa"/>
            <w:tcBorders>
              <w:top w:val="single" w:color="auto" w:sz="4" w:space="0"/>
              <w:left w:val="nil"/>
              <w:bottom w:val="single" w:color="auto" w:sz="4" w:space="0"/>
              <w:right w:val="single" w:color="auto" w:sz="4" w:space="0"/>
            </w:tcBorders>
            <w:noWrap w:val="0"/>
            <w:vAlign w:val="top"/>
          </w:tcPr>
          <w:p>
            <w:pPr>
              <w:rPr>
                <w:rFonts w:ascii="宋体"/>
                <w:highlight w:val="none"/>
              </w:rPr>
            </w:pPr>
          </w:p>
        </w:tc>
        <w:tc>
          <w:tcPr>
            <w:tcW w:w="918" w:type="dxa"/>
            <w:tcBorders>
              <w:top w:val="single" w:color="auto" w:sz="4" w:space="0"/>
              <w:left w:val="nil"/>
              <w:bottom w:val="single" w:color="auto" w:sz="4" w:space="0"/>
              <w:right w:val="single" w:color="auto" w:sz="4" w:space="0"/>
            </w:tcBorders>
            <w:noWrap w:val="0"/>
            <w:vAlign w:val="top"/>
          </w:tcPr>
          <w:p>
            <w:pP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23"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highlight w:val="none"/>
              </w:rPr>
            </w:pPr>
            <w:r>
              <w:rPr>
                <w:rFonts w:hint="eastAsia" w:ascii="宋体" w:hAnsi="宋体"/>
                <w:highlight w:val="none"/>
              </w:rPr>
              <w:t>1</w:t>
            </w:r>
          </w:p>
        </w:tc>
        <w:tc>
          <w:tcPr>
            <w:tcW w:w="8654" w:type="dxa"/>
            <w:tcBorders>
              <w:top w:val="single" w:color="auto" w:sz="4" w:space="0"/>
              <w:left w:val="nil"/>
              <w:bottom w:val="single" w:color="auto" w:sz="4" w:space="0"/>
              <w:right w:val="single" w:color="auto" w:sz="4" w:space="0"/>
            </w:tcBorders>
            <w:noWrap w:val="0"/>
            <w:vAlign w:val="center"/>
          </w:tcPr>
          <w:p>
            <w:pPr>
              <w:jc w:val="both"/>
              <w:rPr>
                <w:rFonts w:ascii="宋体" w:hAnsi="宋体"/>
                <w:highlight w:val="none"/>
              </w:rPr>
            </w:pPr>
            <w:r>
              <w:rPr>
                <w:rFonts w:hint="eastAsia" w:ascii="宋体" w:hAnsi="宋体"/>
                <w:szCs w:val="21"/>
                <w:highlight w:val="none"/>
                <w:u w:val="single"/>
              </w:rPr>
              <w:t>《广州建设工程施工招标投标书》中的</w:t>
            </w:r>
            <w:r>
              <w:rPr>
                <w:rFonts w:hint="eastAsia" w:ascii="宋体" w:hAnsi="宋体" w:cs="宋体"/>
                <w:szCs w:val="21"/>
                <w:highlight w:val="none"/>
                <w:u w:val="single"/>
              </w:rPr>
              <w:t>工期</w:t>
            </w:r>
            <w:r>
              <w:rPr>
                <w:rFonts w:hint="eastAsia" w:ascii="宋体" w:hAnsi="宋体"/>
                <w:highlight w:val="none"/>
              </w:rPr>
              <w:t>不能满足完成投标项目工期的；</w:t>
            </w:r>
          </w:p>
        </w:tc>
        <w:tc>
          <w:tcPr>
            <w:tcW w:w="916"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916"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916"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916"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916"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918"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23"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highlight w:val="none"/>
              </w:rPr>
            </w:pPr>
            <w:r>
              <w:rPr>
                <w:rFonts w:hint="eastAsia" w:ascii="宋体" w:hAnsi="宋体"/>
                <w:highlight w:val="none"/>
              </w:rPr>
              <w:t>2</w:t>
            </w:r>
          </w:p>
        </w:tc>
        <w:tc>
          <w:tcPr>
            <w:tcW w:w="8654" w:type="dxa"/>
            <w:tcBorders>
              <w:top w:val="single" w:color="auto" w:sz="4" w:space="0"/>
              <w:left w:val="nil"/>
              <w:bottom w:val="single" w:color="auto" w:sz="4" w:space="0"/>
              <w:right w:val="single" w:color="auto" w:sz="4" w:space="0"/>
            </w:tcBorders>
            <w:noWrap w:val="0"/>
            <w:vAlign w:val="center"/>
          </w:tcPr>
          <w:p>
            <w:pPr>
              <w:adjustRightInd w:val="0"/>
              <w:jc w:val="both"/>
              <w:rPr>
                <w:rFonts w:hint="eastAsia" w:ascii="宋体" w:hAnsi="宋体"/>
                <w:szCs w:val="21"/>
                <w:highlight w:val="none"/>
                <w:u w:val="single"/>
              </w:rPr>
            </w:pPr>
            <w:r>
              <w:rPr>
                <w:rFonts w:hint="eastAsia" w:ascii="宋体" w:hAnsi="宋体"/>
                <w:szCs w:val="21"/>
                <w:highlight w:val="none"/>
                <w:u w:val="single"/>
              </w:rPr>
              <w:t>《广州建设工程施工招标投标书》中的工程质量标准不符合招标文件要求的；</w:t>
            </w:r>
          </w:p>
        </w:tc>
        <w:tc>
          <w:tcPr>
            <w:tcW w:w="916"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916"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916"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916"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916"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918"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23"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highlight w:val="none"/>
              </w:rPr>
            </w:pPr>
            <w:r>
              <w:rPr>
                <w:rFonts w:hint="eastAsia" w:ascii="宋体" w:hAnsi="宋体"/>
                <w:highlight w:val="none"/>
              </w:rPr>
              <w:t>3</w:t>
            </w:r>
          </w:p>
        </w:tc>
        <w:tc>
          <w:tcPr>
            <w:tcW w:w="8654" w:type="dxa"/>
            <w:tcBorders>
              <w:top w:val="single" w:color="auto" w:sz="4" w:space="0"/>
              <w:left w:val="nil"/>
              <w:bottom w:val="single" w:color="auto" w:sz="4" w:space="0"/>
              <w:right w:val="single" w:color="auto" w:sz="4" w:space="0"/>
            </w:tcBorders>
            <w:noWrap w:val="0"/>
            <w:vAlign w:val="center"/>
          </w:tcPr>
          <w:p>
            <w:pPr>
              <w:jc w:val="both"/>
              <w:rPr>
                <w:rFonts w:ascii="宋体" w:hAnsi="宋体"/>
                <w:highlight w:val="none"/>
              </w:rPr>
            </w:pPr>
            <w:r>
              <w:rPr>
                <w:rFonts w:hint="eastAsia" w:ascii="宋体" w:hAnsi="宋体"/>
                <w:szCs w:val="21"/>
                <w:highlight w:val="none"/>
              </w:rPr>
              <w:t>投标文件中没有有效的法定代表人证明书，或由委托代理人签署的投标文件中没有法定代表人授权书；</w:t>
            </w:r>
          </w:p>
        </w:tc>
        <w:tc>
          <w:tcPr>
            <w:tcW w:w="916"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916"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916"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916"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916"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918"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23"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highlight w:val="none"/>
              </w:rPr>
            </w:pPr>
            <w:r>
              <w:rPr>
                <w:rFonts w:hint="eastAsia" w:ascii="宋体" w:hAnsi="宋体"/>
                <w:highlight w:val="none"/>
              </w:rPr>
              <w:t>4</w:t>
            </w:r>
          </w:p>
        </w:tc>
        <w:tc>
          <w:tcPr>
            <w:tcW w:w="8654" w:type="dxa"/>
            <w:tcBorders>
              <w:top w:val="single" w:color="auto" w:sz="4" w:space="0"/>
              <w:left w:val="nil"/>
              <w:bottom w:val="single" w:color="auto" w:sz="4" w:space="0"/>
              <w:right w:val="single" w:color="auto" w:sz="4" w:space="0"/>
            </w:tcBorders>
            <w:noWrap w:val="0"/>
            <w:vAlign w:val="center"/>
          </w:tcPr>
          <w:p>
            <w:pPr>
              <w:jc w:val="both"/>
              <w:rPr>
                <w:rFonts w:ascii="宋体" w:hAnsi="宋体"/>
                <w:highlight w:val="none"/>
              </w:rPr>
            </w:pPr>
            <w:r>
              <w:rPr>
                <w:rFonts w:hint="eastAsia" w:ascii="宋体" w:hAnsi="宋体"/>
                <w:szCs w:val="21"/>
                <w:highlight w:val="none"/>
              </w:rPr>
              <w:t>投标文件未按规定的格式填写，或主要内容不全，或关键字迹模糊、无法辨认的；</w:t>
            </w:r>
          </w:p>
        </w:tc>
        <w:tc>
          <w:tcPr>
            <w:tcW w:w="916"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916"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916"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916"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916"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918"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23"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highlight w:val="none"/>
              </w:rPr>
            </w:pPr>
            <w:r>
              <w:rPr>
                <w:rFonts w:hint="eastAsia" w:ascii="宋体" w:hAnsi="宋体"/>
                <w:highlight w:val="none"/>
              </w:rPr>
              <w:t>5</w:t>
            </w:r>
          </w:p>
        </w:tc>
        <w:tc>
          <w:tcPr>
            <w:tcW w:w="8654" w:type="dxa"/>
            <w:tcBorders>
              <w:top w:val="single" w:color="auto" w:sz="4" w:space="0"/>
              <w:left w:val="nil"/>
              <w:bottom w:val="single" w:color="auto" w:sz="4" w:space="0"/>
              <w:right w:val="single" w:color="auto" w:sz="4" w:space="0"/>
            </w:tcBorders>
            <w:noWrap w:val="0"/>
            <w:vAlign w:val="center"/>
          </w:tcPr>
          <w:p>
            <w:pPr>
              <w:jc w:val="both"/>
              <w:rPr>
                <w:rFonts w:ascii="宋体" w:hAnsi="宋体"/>
                <w:highlight w:val="none"/>
              </w:rPr>
            </w:pPr>
            <w:r>
              <w:rPr>
                <w:rFonts w:hint="eastAsia" w:ascii="宋体" w:hAnsi="宋体"/>
                <w:highlight w:val="none"/>
              </w:rPr>
              <w:t>投标人之间存在《广东省实施&lt;中华人民共和国招标投标法&gt;》第十六条所禁止的情形的；</w:t>
            </w:r>
          </w:p>
        </w:tc>
        <w:tc>
          <w:tcPr>
            <w:tcW w:w="916"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916"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916"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916"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916"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918"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23"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highlight w:val="none"/>
              </w:rPr>
            </w:pPr>
            <w:r>
              <w:rPr>
                <w:rFonts w:hint="eastAsia" w:ascii="宋体" w:hAnsi="宋体"/>
                <w:highlight w:val="none"/>
              </w:rPr>
              <w:t>6</w:t>
            </w:r>
          </w:p>
        </w:tc>
        <w:tc>
          <w:tcPr>
            <w:tcW w:w="8654" w:type="dxa"/>
            <w:tcBorders>
              <w:top w:val="single" w:color="auto" w:sz="4" w:space="0"/>
              <w:left w:val="nil"/>
              <w:bottom w:val="single" w:color="auto" w:sz="4" w:space="0"/>
              <w:right w:val="single" w:color="auto" w:sz="4" w:space="0"/>
            </w:tcBorders>
            <w:noWrap w:val="0"/>
            <w:vAlign w:val="center"/>
          </w:tcPr>
          <w:p>
            <w:pPr>
              <w:jc w:val="both"/>
              <w:rPr>
                <w:rFonts w:ascii="宋体" w:hAnsi="宋体"/>
                <w:highlight w:val="none"/>
              </w:rPr>
            </w:pPr>
            <w:r>
              <w:rPr>
                <w:rFonts w:hint="eastAsia" w:ascii="宋体" w:hAnsi="宋体"/>
                <w:highlight w:val="none"/>
              </w:rPr>
              <w:t>无《参与编制技术标投标文件人员名单》的；</w:t>
            </w:r>
          </w:p>
        </w:tc>
        <w:tc>
          <w:tcPr>
            <w:tcW w:w="916"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916"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916"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916"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916"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918"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23"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highlight w:val="none"/>
              </w:rPr>
            </w:pPr>
            <w:r>
              <w:rPr>
                <w:rFonts w:hint="eastAsia" w:ascii="宋体" w:hAnsi="宋体"/>
                <w:highlight w:val="none"/>
              </w:rPr>
              <w:t>7</w:t>
            </w:r>
          </w:p>
        </w:tc>
        <w:tc>
          <w:tcPr>
            <w:tcW w:w="8654" w:type="dxa"/>
            <w:tcBorders>
              <w:top w:val="single" w:color="auto" w:sz="4" w:space="0"/>
              <w:left w:val="nil"/>
              <w:bottom w:val="single" w:color="auto" w:sz="4" w:space="0"/>
              <w:right w:val="single" w:color="auto" w:sz="4" w:space="0"/>
            </w:tcBorders>
            <w:noWrap w:val="0"/>
            <w:vAlign w:val="center"/>
          </w:tcPr>
          <w:p>
            <w:pPr>
              <w:jc w:val="both"/>
              <w:rPr>
                <w:rFonts w:ascii="宋体" w:hAnsi="宋体"/>
                <w:highlight w:val="none"/>
              </w:rPr>
            </w:pPr>
            <w:r>
              <w:rPr>
                <w:rFonts w:hint="eastAsia" w:ascii="宋体" w:hAnsi="宋体"/>
                <w:highlight w:val="none"/>
              </w:rPr>
              <w:t>投标人未按要求提交投标保证金的；</w:t>
            </w:r>
          </w:p>
        </w:tc>
        <w:tc>
          <w:tcPr>
            <w:tcW w:w="916"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916"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916"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916"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916"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918"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23"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highlight w:val="none"/>
              </w:rPr>
            </w:pPr>
            <w:r>
              <w:rPr>
                <w:rFonts w:hint="eastAsia" w:ascii="宋体" w:hAnsi="宋体"/>
                <w:highlight w:val="none"/>
              </w:rPr>
              <w:t>8</w:t>
            </w:r>
          </w:p>
        </w:tc>
        <w:tc>
          <w:tcPr>
            <w:tcW w:w="8654" w:type="dxa"/>
            <w:tcBorders>
              <w:top w:val="single" w:color="auto" w:sz="4" w:space="0"/>
              <w:left w:val="nil"/>
              <w:bottom w:val="single" w:color="auto" w:sz="4" w:space="0"/>
              <w:right w:val="single" w:color="auto" w:sz="4" w:space="0"/>
            </w:tcBorders>
            <w:noWrap w:val="0"/>
            <w:vAlign w:val="center"/>
          </w:tcPr>
          <w:p>
            <w:pPr>
              <w:jc w:val="both"/>
              <w:rPr>
                <w:rFonts w:ascii="宋体" w:hAnsi="宋体"/>
                <w:highlight w:val="none"/>
              </w:rPr>
            </w:pPr>
            <w:r>
              <w:rPr>
                <w:rFonts w:hint="eastAsia" w:ascii="宋体" w:hAnsi="宋体"/>
                <w:szCs w:val="21"/>
                <w:highlight w:val="none"/>
              </w:rPr>
              <w:t>投标人与本项目其他投标人加密打包投标文件电脑机器特征码一致的(以交易平台评标系统的检索信息为准)</w:t>
            </w:r>
          </w:p>
        </w:tc>
        <w:tc>
          <w:tcPr>
            <w:tcW w:w="916"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916"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916"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916"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916"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c>
          <w:tcPr>
            <w:tcW w:w="918" w:type="dxa"/>
            <w:tcBorders>
              <w:top w:val="single" w:color="auto" w:sz="4" w:space="0"/>
              <w:left w:val="nil"/>
              <w:bottom w:val="single" w:color="auto" w:sz="4" w:space="0"/>
              <w:right w:val="single" w:color="auto" w:sz="4" w:space="0"/>
            </w:tcBorders>
            <w:noWrap w:val="0"/>
            <w:vAlign w:val="center"/>
          </w:tcPr>
          <w:p>
            <w:pPr>
              <w:jc w:val="both"/>
              <w:rPr>
                <w:rFonts w:ascii="宋体"/>
                <w:highlight w:val="none"/>
              </w:rPr>
            </w:pPr>
          </w:p>
        </w:tc>
      </w:tr>
    </w:tbl>
    <w:p>
      <w:pPr>
        <w:rPr>
          <w:rFonts w:hint="eastAsia" w:ascii="宋体" w:hAnsi="宋体" w:cs="宋体"/>
          <w:color w:val="auto"/>
          <w:szCs w:val="21"/>
          <w:highlight w:val="none"/>
        </w:rPr>
      </w:pPr>
      <w:r>
        <w:rPr>
          <w:rFonts w:hint="eastAsia" w:ascii="宋体" w:hAnsi="宋体" w:cs="宋体"/>
          <w:color w:val="auto"/>
          <w:szCs w:val="21"/>
          <w:highlight w:val="none"/>
        </w:rPr>
        <w:t>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1.本表使用GZZB2018-3招标文件范本，与范本内容不同之处均以下划线标明。技术标评审中，响应性、承诺性内容不应作为评分因素，可在该表中对上述内容进行符合性审查。审查标准须具备可操作性。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3.凡出现以上任何一项情形，结论均为无效，否则就为有效。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4.如对本表中某种情形的评审意见不一致时，以评标委员会过半数成员的意见作为评标委员会对该情形的认定结论。</w:t>
      </w:r>
    </w:p>
    <w:p>
      <w:pPr>
        <w:rPr>
          <w:rFonts w:hint="eastAsia" w:ascii="宋体" w:hAnsi="宋体" w:cs="宋体"/>
          <w:color w:val="auto"/>
          <w:szCs w:val="21"/>
          <w:highlight w:val="none"/>
        </w:rPr>
      </w:pPr>
      <w:r>
        <w:rPr>
          <w:rFonts w:hint="eastAsia" w:ascii="宋体" w:hAnsi="宋体" w:cs="宋体"/>
          <w:color w:val="auto"/>
          <w:szCs w:val="21"/>
          <w:highlight w:val="none"/>
        </w:rPr>
        <w:t>评委签名：</w:t>
      </w:r>
    </w:p>
    <w:p>
      <w:pPr>
        <w:rPr>
          <w:rFonts w:hint="eastAsia" w:ascii="宋体" w:hAnsi="宋体" w:cs="宋体"/>
          <w:color w:val="auto"/>
          <w:szCs w:val="21"/>
          <w:highlight w:val="none"/>
        </w:rPr>
      </w:pPr>
      <w:r>
        <w:rPr>
          <w:rFonts w:hint="eastAsia" w:ascii="宋体" w:hAnsi="宋体" w:cs="宋体"/>
          <w:color w:val="auto"/>
          <w:highlight w:val="none"/>
        </w:rPr>
        <w:br w:type="page"/>
      </w:r>
      <w:r>
        <w:rPr>
          <w:rFonts w:hint="eastAsia" w:ascii="宋体" w:hAnsi="宋体" w:cs="宋体"/>
          <w:color w:val="auto"/>
          <w:szCs w:val="21"/>
          <w:highlight w:val="none"/>
        </w:rPr>
        <w:t>附表三</w:t>
      </w:r>
    </w:p>
    <w:p>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经济标有效性审查表</w:t>
      </w:r>
    </w:p>
    <w:p>
      <w:pPr>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52"/>
        <w:tblW w:w="15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8829"/>
        <w:gridCol w:w="912"/>
        <w:gridCol w:w="912"/>
        <w:gridCol w:w="912"/>
        <w:gridCol w:w="912"/>
        <w:gridCol w:w="912"/>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序号</w:t>
            </w:r>
          </w:p>
        </w:tc>
        <w:tc>
          <w:tcPr>
            <w:tcW w:w="8829"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rPr>
                <w:rFonts w:ascii="宋体" w:hAnsi="宋体"/>
                <w:szCs w:val="21"/>
                <w:highlight w:val="none"/>
              </w:rPr>
            </w:pPr>
            <w:r>
              <w:rPr>
                <w:rFonts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投标人</w:t>
            </w:r>
          </w:p>
          <w:p>
            <w:pPr>
              <w:rPr>
                <w:rFonts w:ascii="宋体" w:hAnsi="宋体"/>
                <w:szCs w:val="21"/>
                <w:highlight w:val="none"/>
              </w:rPr>
            </w:pPr>
            <w:r>
              <w:rPr>
                <w:rFonts w:hint="eastAsia" w:ascii="宋体" w:hAnsi="宋体"/>
                <w:szCs w:val="21"/>
                <w:highlight w:val="none"/>
              </w:rPr>
              <w:t>评审内容</w:t>
            </w:r>
          </w:p>
        </w:tc>
        <w:tc>
          <w:tcPr>
            <w:tcW w:w="91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91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1</w:t>
            </w:r>
          </w:p>
        </w:tc>
        <w:tc>
          <w:tcPr>
            <w:tcW w:w="8829"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r>
              <w:rPr>
                <w:rFonts w:hint="eastAsia" w:ascii="宋体" w:hAnsi="宋体"/>
                <w:szCs w:val="21"/>
                <w:highlight w:val="none"/>
              </w:rPr>
              <w:t>对同一招标项目出现两个或以上的投标报价，且没有申明哪个有效；</w:t>
            </w: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2</w:t>
            </w:r>
          </w:p>
        </w:tc>
        <w:tc>
          <w:tcPr>
            <w:tcW w:w="8829"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r>
              <w:rPr>
                <w:rFonts w:hint="eastAsia" w:ascii="宋体" w:hAnsi="宋体"/>
                <w:szCs w:val="21"/>
                <w:highlight w:val="none"/>
              </w:rPr>
              <w:t>投标报价高于最高投标限价的；</w:t>
            </w: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3</w:t>
            </w:r>
          </w:p>
        </w:tc>
        <w:tc>
          <w:tcPr>
            <w:tcW w:w="882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left="-2" w:leftChars="-1"/>
              <w:jc w:val="both"/>
              <w:rPr>
                <w:rFonts w:ascii="宋体" w:hAnsi="宋体"/>
                <w:szCs w:val="21"/>
                <w:highlight w:val="none"/>
              </w:rPr>
            </w:pPr>
            <w:r>
              <w:rPr>
                <w:rFonts w:hint="eastAsia" w:ascii="宋体" w:hAnsi="宋体"/>
                <w:szCs w:val="21"/>
                <w:highlight w:val="none"/>
              </w:rPr>
              <w:t>投标报价低于成本的；</w:t>
            </w: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4</w:t>
            </w:r>
          </w:p>
        </w:tc>
        <w:tc>
          <w:tcPr>
            <w:tcW w:w="8829"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r>
              <w:rPr>
                <w:rFonts w:hint="eastAsia" w:ascii="宋体" w:hAnsi="宋体"/>
                <w:szCs w:val="21"/>
                <w:highlight w:val="none"/>
              </w:rPr>
              <w:t>算术复核后的投标报价与原投标报价相比存在</w:t>
            </w:r>
            <w:r>
              <w:rPr>
                <w:rFonts w:ascii="宋体" w:hAnsi="宋体"/>
                <w:szCs w:val="21"/>
                <w:highlight w:val="none"/>
              </w:rPr>
              <w:t>1%</w:t>
            </w:r>
            <w:r>
              <w:rPr>
                <w:rFonts w:hint="eastAsia" w:ascii="宋体" w:hAnsi="宋体"/>
                <w:szCs w:val="21"/>
                <w:highlight w:val="none"/>
              </w:rPr>
              <w:t>或以上误差的；</w:t>
            </w: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5</w:t>
            </w:r>
          </w:p>
        </w:tc>
        <w:tc>
          <w:tcPr>
            <w:tcW w:w="8829"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r>
              <w:rPr>
                <w:rFonts w:hint="eastAsia" w:ascii="宋体" w:hAnsi="宋体"/>
                <w:szCs w:val="21"/>
                <w:highlight w:val="none"/>
              </w:rPr>
              <w:t>投标文件未按规定的格式填写，或主要内容不全，或关键字迹模糊、无法辨认的；</w:t>
            </w: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6</w:t>
            </w:r>
          </w:p>
        </w:tc>
        <w:tc>
          <w:tcPr>
            <w:tcW w:w="8829"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r>
              <w:rPr>
                <w:rFonts w:hint="eastAsia" w:ascii="宋体" w:hAnsi="宋体"/>
                <w:szCs w:val="21"/>
                <w:highlight w:val="none"/>
              </w:rPr>
              <w:t>不同投标人的投标报价中分部分项工程量清单综合单价相似度达到80%及以上的(以</w:t>
            </w:r>
            <w:r>
              <w:rPr>
                <w:rFonts w:hint="eastAsia" w:ascii="宋体" w:hAnsi="宋体"/>
                <w:szCs w:val="21"/>
                <w:highlight w:val="none"/>
                <w:u w:val="single"/>
              </w:rPr>
              <w:t>广州公共资源交易中心</w:t>
            </w:r>
            <w:r>
              <w:rPr>
                <w:rFonts w:hint="eastAsia" w:ascii="宋体" w:hAnsi="宋体"/>
                <w:szCs w:val="21"/>
                <w:highlight w:val="none"/>
              </w:rPr>
              <w:t>交易平台评标系统的检索信息为准)</w:t>
            </w: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7</w:t>
            </w:r>
          </w:p>
        </w:tc>
        <w:tc>
          <w:tcPr>
            <w:tcW w:w="8829"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r>
              <w:rPr>
                <w:rFonts w:hint="eastAsia" w:ascii="宋体" w:hAnsi="宋体"/>
                <w:szCs w:val="21"/>
                <w:highlight w:val="none"/>
              </w:rPr>
              <w:t>投标人之间存在《广东省实施&lt;中华人民共和国招标投标法&gt;办法》第十六条所禁止的情形的；</w:t>
            </w: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8</w:t>
            </w:r>
          </w:p>
        </w:tc>
        <w:tc>
          <w:tcPr>
            <w:tcW w:w="8829"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r>
              <w:rPr>
                <w:rFonts w:hint="eastAsia" w:ascii="宋体" w:hAnsi="宋体"/>
                <w:szCs w:val="21"/>
                <w:highlight w:val="none"/>
              </w:rPr>
              <w:t>无《参与编制经济标投标文件人员名单》的；</w:t>
            </w: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9</w:t>
            </w:r>
          </w:p>
        </w:tc>
        <w:tc>
          <w:tcPr>
            <w:tcW w:w="8829"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r>
              <w:rPr>
                <w:rFonts w:hint="eastAsia" w:ascii="宋体" w:hAnsi="宋体"/>
                <w:szCs w:val="21"/>
                <w:highlight w:val="none"/>
              </w:rPr>
              <w:t>无《对投标文件编制的承诺》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kern w:val="2"/>
                <w:sz w:val="21"/>
                <w:szCs w:val="21"/>
                <w:highlight w:val="none"/>
                <w:lang w:val="en-US" w:eastAsia="zh-CN" w:bidi="ar-SA"/>
              </w:rPr>
            </w:pPr>
            <w:r>
              <w:rPr>
                <w:rFonts w:hint="eastAsia" w:ascii="宋体" w:hAnsi="宋体"/>
                <w:szCs w:val="21"/>
                <w:highlight w:val="none"/>
              </w:rPr>
              <w:t>10</w:t>
            </w:r>
          </w:p>
        </w:tc>
        <w:tc>
          <w:tcPr>
            <w:tcW w:w="8829"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kern w:val="2"/>
                <w:sz w:val="21"/>
                <w:szCs w:val="21"/>
                <w:highlight w:val="none"/>
                <w:lang w:val="en-US" w:eastAsia="zh-CN" w:bidi="ar-SA"/>
              </w:rPr>
            </w:pPr>
            <w:r>
              <w:rPr>
                <w:rFonts w:hint="eastAsia" w:ascii="宋体" w:hAnsi="宋体"/>
                <w:szCs w:val="21"/>
                <w:highlight w:val="none"/>
              </w:rPr>
              <w:t>投标人与本项目其他投标人的投标文件工程量清单编制机器硬件信息一致的（以交易平台评标系统的检索信息为准）</w:t>
            </w: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Cs w:val="21"/>
                <w:highlight w:val="none"/>
              </w:rPr>
            </w:pPr>
          </w:p>
        </w:tc>
      </w:tr>
    </w:tbl>
    <w:p>
      <w:pPr>
        <w:rPr>
          <w:rFonts w:hint="eastAsia" w:ascii="宋体" w:hAnsi="宋体" w:cs="宋体"/>
          <w:color w:val="auto"/>
          <w:sz w:val="21"/>
          <w:szCs w:val="22"/>
          <w:highlight w:val="none"/>
        </w:rPr>
      </w:pPr>
      <w:r>
        <w:rPr>
          <w:rFonts w:hint="eastAsia" w:ascii="宋体" w:hAnsi="宋体" w:cs="宋体"/>
          <w:color w:val="auto"/>
          <w:szCs w:val="21"/>
          <w:highlight w:val="none"/>
        </w:rPr>
        <w:t>注：</w:t>
      </w:r>
      <w:r>
        <w:rPr>
          <w:rFonts w:hint="eastAsia" w:ascii="宋体" w:hAnsi="宋体" w:cs="宋体"/>
          <w:color w:val="auto"/>
          <w:sz w:val="21"/>
          <w:szCs w:val="22"/>
          <w:highlight w:val="none"/>
        </w:rPr>
        <w:t>1.本表使用GZZB2018-3招标文件范本，与范本内容不同之处均以下划线标明。</w:t>
      </w:r>
    </w:p>
    <w:p>
      <w:pPr>
        <w:pStyle w:val="50"/>
        <w:ind w:left="0" w:leftChars="0" w:firstLine="0" w:firstLineChars="0"/>
        <w:rPr>
          <w:rFonts w:hint="eastAsia" w:ascii="宋体" w:hAnsi="宋体" w:cs="宋体"/>
          <w:color w:val="auto"/>
          <w:sz w:val="21"/>
          <w:szCs w:val="22"/>
          <w:highlight w:val="none"/>
        </w:rPr>
      </w:pPr>
      <w:r>
        <w:rPr>
          <w:rFonts w:hint="eastAsia" w:ascii="宋体" w:hAnsi="宋体" w:cs="宋体"/>
          <w:color w:val="auto"/>
          <w:sz w:val="21"/>
          <w:szCs w:val="22"/>
          <w:highlight w:val="none"/>
        </w:rPr>
        <w:t>2.凡出现以上任何一项情形，结论均为无效，否则就为有效。</w:t>
      </w:r>
    </w:p>
    <w:p>
      <w:pPr>
        <w:pStyle w:val="50"/>
        <w:ind w:left="0" w:leftChars="0" w:firstLine="0" w:firstLineChars="0"/>
        <w:rPr>
          <w:rFonts w:hint="eastAsia" w:ascii="宋体" w:hAnsi="宋体" w:cs="宋体"/>
          <w:color w:val="auto"/>
          <w:sz w:val="21"/>
          <w:szCs w:val="22"/>
          <w:highlight w:val="none"/>
        </w:rPr>
      </w:pPr>
      <w:r>
        <w:rPr>
          <w:rFonts w:hint="eastAsia" w:ascii="宋体" w:hAnsi="宋体" w:cs="宋体"/>
          <w:color w:val="auto"/>
          <w:sz w:val="21"/>
          <w:szCs w:val="22"/>
          <w:highlight w:val="none"/>
        </w:rPr>
        <w:t>3.如对本表中某种情形的评审意见不一致时，以评标委员会过半数成员的意见作为评标委员会对该情形的认定结论。</w:t>
      </w:r>
    </w:p>
    <w:p>
      <w:pPr>
        <w:pStyle w:val="50"/>
        <w:ind w:left="0" w:leftChars="0" w:firstLine="0" w:firstLineChars="0"/>
        <w:rPr>
          <w:rFonts w:hint="eastAsia" w:ascii="宋体" w:hAnsi="宋体" w:cs="宋体"/>
          <w:color w:val="auto"/>
          <w:sz w:val="21"/>
          <w:szCs w:val="22"/>
          <w:highlight w:val="none"/>
        </w:rPr>
      </w:pPr>
      <w:r>
        <w:rPr>
          <w:rFonts w:hint="eastAsia" w:ascii="宋体" w:hAnsi="宋体" w:cs="宋体"/>
          <w:color w:val="auto"/>
          <w:sz w:val="21"/>
          <w:szCs w:val="22"/>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50"/>
        <w:ind w:left="0" w:leftChars="0" w:firstLine="0" w:firstLineChars="0"/>
        <w:rPr>
          <w:rFonts w:hint="eastAsia" w:ascii="宋体" w:hAnsi="宋体" w:cs="宋体"/>
          <w:color w:val="auto"/>
          <w:sz w:val="21"/>
          <w:szCs w:val="22"/>
          <w:highlight w:val="none"/>
        </w:rPr>
        <w:sectPr>
          <w:footerReference r:id="rId18" w:type="first"/>
          <w:footerReference r:id="rId17" w:type="default"/>
          <w:endnotePr>
            <w:numFmt w:val="decimal"/>
          </w:endnotePr>
          <w:pgSz w:w="16838" w:h="11906" w:orient="landscape"/>
          <w:pgMar w:top="1304" w:right="1531" w:bottom="1304" w:left="1531" w:header="851" w:footer="907" w:gutter="0"/>
          <w:pgBorders>
            <w:top w:val="none" w:sz="0" w:space="0"/>
            <w:left w:val="none" w:sz="0" w:space="0"/>
            <w:bottom w:val="none" w:sz="0" w:space="0"/>
            <w:right w:val="none" w:sz="0" w:space="0"/>
          </w:pgBorders>
          <w:cols w:space="720" w:num="1"/>
          <w:titlePg/>
          <w:docGrid w:type="lines" w:linePitch="312" w:charSpace="0"/>
        </w:sectPr>
      </w:pPr>
      <w:r>
        <w:rPr>
          <w:rFonts w:hint="eastAsia" w:ascii="宋体" w:hAnsi="宋体" w:cs="宋体"/>
          <w:color w:val="auto"/>
          <w:sz w:val="21"/>
          <w:szCs w:val="22"/>
          <w:highlight w:val="none"/>
        </w:rPr>
        <w:t>评委签名：</w:t>
      </w:r>
    </w:p>
    <w:p>
      <w:pPr>
        <w:rPr>
          <w:rFonts w:hint="eastAsia"/>
          <w:color w:val="auto"/>
          <w:szCs w:val="21"/>
          <w:highlight w:val="none"/>
        </w:rPr>
      </w:pPr>
      <w:r>
        <w:rPr>
          <w:rFonts w:hint="eastAsia"/>
          <w:color w:val="auto"/>
          <w:szCs w:val="21"/>
          <w:highlight w:val="none"/>
        </w:rPr>
        <w:t>附表四</w:t>
      </w:r>
    </w:p>
    <w:p>
      <w:pPr>
        <w:jc w:val="center"/>
        <w:rPr>
          <w:rFonts w:hint="eastAsia"/>
          <w:b/>
          <w:color w:val="auto"/>
          <w:sz w:val="36"/>
          <w:szCs w:val="36"/>
          <w:highlight w:val="none"/>
        </w:rPr>
      </w:pPr>
      <w:r>
        <w:rPr>
          <w:rFonts w:hint="eastAsia"/>
          <w:b/>
          <w:color w:val="auto"/>
          <w:sz w:val="36"/>
          <w:szCs w:val="36"/>
          <w:highlight w:val="none"/>
        </w:rPr>
        <w:t>技术标详细审查评分表</w:t>
      </w:r>
    </w:p>
    <w:tbl>
      <w:tblPr>
        <w:tblStyle w:val="52"/>
        <w:tblW w:w="14756"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1740"/>
        <w:gridCol w:w="810"/>
        <w:gridCol w:w="10519"/>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blHeader/>
          <w:jc w:val="center"/>
        </w:trPr>
        <w:tc>
          <w:tcPr>
            <w:tcW w:w="1687" w:type="dxa"/>
            <w:tcBorders>
              <w:top w:val="single" w:color="auto" w:sz="8" w:space="0"/>
            </w:tcBorders>
            <w:noWrap w:val="0"/>
            <w:vAlign w:val="center"/>
          </w:tcPr>
          <w:p>
            <w:pPr>
              <w:widowControl/>
              <w:adjustRightInd w:val="0"/>
              <w:snapToGrid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评分项目</w:t>
            </w:r>
          </w:p>
        </w:tc>
        <w:tc>
          <w:tcPr>
            <w:tcW w:w="1740" w:type="dxa"/>
            <w:tcBorders>
              <w:top w:val="single" w:color="auto" w:sz="8" w:space="0"/>
            </w:tcBorders>
            <w:noWrap w:val="0"/>
            <w:vAlign w:val="center"/>
          </w:tcPr>
          <w:p>
            <w:pPr>
              <w:widowControl/>
              <w:adjustRightInd w:val="0"/>
              <w:snapToGrid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评分内容</w:t>
            </w:r>
          </w:p>
        </w:tc>
        <w:tc>
          <w:tcPr>
            <w:tcW w:w="810" w:type="dxa"/>
            <w:tcBorders>
              <w:top w:val="single" w:color="auto" w:sz="8" w:space="0"/>
            </w:tcBorders>
            <w:noWrap w:val="0"/>
            <w:vAlign w:val="center"/>
          </w:tcPr>
          <w:p>
            <w:pPr>
              <w:widowControl/>
              <w:adjustRightInd w:val="0"/>
              <w:snapToGrid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分</w:t>
            </w:r>
            <w:r>
              <w:rPr>
                <w:rFonts w:hint="eastAsia" w:ascii="宋体" w:hAnsi="宋体" w:eastAsia="宋体" w:cs="宋体"/>
                <w:b/>
                <w:bCs/>
                <w:sz w:val="24"/>
                <w:szCs w:val="24"/>
                <w:highlight w:val="none"/>
              </w:rPr>
              <w:t>值</w:t>
            </w:r>
          </w:p>
        </w:tc>
        <w:tc>
          <w:tcPr>
            <w:tcW w:w="10519" w:type="dxa"/>
            <w:tcBorders>
              <w:top w:val="single" w:color="auto" w:sz="8" w:space="0"/>
            </w:tcBorders>
            <w:noWrap w:val="0"/>
            <w:vAlign w:val="center"/>
          </w:tcPr>
          <w:p>
            <w:pPr>
              <w:widowControl/>
              <w:adjustRightInd w:val="0"/>
              <w:snapToGrid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687" w:type="dxa"/>
            <w:vMerge w:val="restart"/>
            <w:noWrap w:val="0"/>
            <w:vAlign w:val="center"/>
          </w:tcPr>
          <w:p>
            <w:pPr>
              <w:numPr>
                <w:ilvl w:val="0"/>
                <w:numId w:val="8"/>
              </w:num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项目管理机构能力</w:t>
            </w:r>
          </w:p>
          <w:p>
            <w:pPr>
              <w:numPr>
                <w:ilvl w:val="0"/>
                <w:numId w:val="0"/>
              </w:num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（14分）</w:t>
            </w:r>
          </w:p>
        </w:tc>
        <w:tc>
          <w:tcPr>
            <w:tcW w:w="1740" w:type="dxa"/>
            <w:noWrap w:val="0"/>
            <w:vAlign w:val="center"/>
          </w:tcPr>
          <w:p>
            <w:pPr>
              <w:widowControl/>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技术负责人</w:t>
            </w:r>
          </w:p>
        </w:tc>
        <w:tc>
          <w:tcPr>
            <w:tcW w:w="810" w:type="dxa"/>
            <w:noWrap w:val="0"/>
            <w:vAlign w:val="center"/>
          </w:tcPr>
          <w:p>
            <w:pPr>
              <w:widowControl/>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0519" w:type="dxa"/>
            <w:noWrap w:val="0"/>
            <w:vAlign w:val="center"/>
          </w:tcPr>
          <w:p>
            <w:pPr>
              <w:ind w:right="134" w:rightChars="64"/>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拟委派的技术负责人具备市政类专业高级工程师或以上技术职称，得</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分</w:t>
            </w:r>
            <w:r>
              <w:rPr>
                <w:rFonts w:hint="eastAsia" w:ascii="宋体" w:hAnsi="宋体" w:cs="宋体"/>
                <w:sz w:val="24"/>
                <w:szCs w:val="24"/>
                <w:highlight w:val="none"/>
                <w:lang w:val="en-US" w:eastAsia="zh-CN"/>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6" w:hRule="atLeast"/>
          <w:jc w:val="center"/>
        </w:trPr>
        <w:tc>
          <w:tcPr>
            <w:tcW w:w="1687" w:type="dxa"/>
            <w:vMerge w:val="continue"/>
            <w:noWrap w:val="0"/>
            <w:vAlign w:val="center"/>
          </w:tcPr>
          <w:p>
            <w:pPr>
              <w:adjustRightInd w:val="0"/>
              <w:snapToGrid w:val="0"/>
              <w:jc w:val="center"/>
              <w:rPr>
                <w:rFonts w:hint="eastAsia" w:ascii="宋体" w:hAnsi="宋体" w:eastAsia="宋体" w:cs="宋体"/>
                <w:sz w:val="24"/>
                <w:szCs w:val="24"/>
                <w:highlight w:val="none"/>
              </w:rPr>
            </w:pPr>
          </w:p>
        </w:tc>
        <w:tc>
          <w:tcPr>
            <w:tcW w:w="1740" w:type="dxa"/>
            <w:noWrap w:val="0"/>
            <w:vAlign w:val="center"/>
          </w:tcPr>
          <w:p>
            <w:pPr>
              <w:ind w:right="134" w:rightChars="64"/>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安全负责人</w:t>
            </w:r>
          </w:p>
        </w:tc>
        <w:tc>
          <w:tcPr>
            <w:tcW w:w="810" w:type="dxa"/>
            <w:noWrap w:val="0"/>
            <w:vAlign w:val="center"/>
          </w:tcPr>
          <w:p>
            <w:pPr>
              <w:widowControl/>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0519" w:type="dxa"/>
            <w:noWrap w:val="0"/>
            <w:vAlign w:val="center"/>
          </w:tcPr>
          <w:p>
            <w:pPr>
              <w:ind w:right="134" w:rightChars="64"/>
              <w:rPr>
                <w:rFonts w:hint="eastAsia" w:ascii="宋体" w:hAnsi="宋体" w:eastAsia="宋体" w:cs="宋体"/>
                <w:sz w:val="24"/>
                <w:szCs w:val="24"/>
                <w:highlight w:val="none"/>
              </w:rPr>
            </w:pPr>
            <w:r>
              <w:rPr>
                <w:rFonts w:hint="eastAsia" w:ascii="宋体" w:hAnsi="宋体" w:eastAsia="宋体" w:cs="宋体"/>
                <w:sz w:val="24"/>
                <w:szCs w:val="24"/>
                <w:highlight w:val="none"/>
              </w:rPr>
              <w:t>拟委派的安全负责人具有市政类专业中级或以上技术职称，得2分；具有安全培训考核合格证（B类）或安全培训考核合格证（C类）或建筑施工企业项目负责人安全生产考核合格证书或建筑施工企业专职安全生产管理人员安全生产考核合格证书（C3类），得2分；最多得4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1687" w:type="dxa"/>
            <w:vMerge w:val="continue"/>
            <w:noWrap w:val="0"/>
            <w:vAlign w:val="center"/>
          </w:tcPr>
          <w:p>
            <w:pPr>
              <w:adjustRightInd w:val="0"/>
              <w:snapToGrid w:val="0"/>
              <w:jc w:val="center"/>
              <w:rPr>
                <w:rFonts w:hint="eastAsia" w:ascii="宋体" w:hAnsi="宋体" w:eastAsia="宋体" w:cs="宋体"/>
                <w:sz w:val="24"/>
                <w:szCs w:val="24"/>
                <w:highlight w:val="none"/>
              </w:rPr>
            </w:pPr>
          </w:p>
        </w:tc>
        <w:tc>
          <w:tcPr>
            <w:tcW w:w="1740" w:type="dxa"/>
            <w:noWrap w:val="0"/>
            <w:vAlign w:val="center"/>
          </w:tcPr>
          <w:p>
            <w:pPr>
              <w:ind w:right="134" w:rightChars="64"/>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质量负责人</w:t>
            </w:r>
          </w:p>
        </w:tc>
        <w:tc>
          <w:tcPr>
            <w:tcW w:w="810" w:type="dxa"/>
            <w:noWrap w:val="0"/>
            <w:vAlign w:val="center"/>
          </w:tcPr>
          <w:p>
            <w:pPr>
              <w:widowControl/>
              <w:snapToGrid w:val="0"/>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4</w:t>
            </w:r>
          </w:p>
        </w:tc>
        <w:tc>
          <w:tcPr>
            <w:tcW w:w="10519" w:type="dxa"/>
            <w:noWrap w:val="0"/>
            <w:vAlign w:val="center"/>
          </w:tcPr>
          <w:p>
            <w:pPr>
              <w:ind w:right="134" w:rightChars="64"/>
              <w:rPr>
                <w:rFonts w:hint="eastAsia" w:ascii="宋体" w:hAnsi="宋体" w:eastAsia="宋体" w:cs="宋体"/>
                <w:sz w:val="24"/>
                <w:szCs w:val="24"/>
                <w:highlight w:val="none"/>
              </w:rPr>
            </w:pPr>
            <w:r>
              <w:rPr>
                <w:rFonts w:hint="eastAsia" w:ascii="宋体" w:hAnsi="宋体" w:eastAsia="宋体" w:cs="宋体"/>
                <w:sz w:val="24"/>
                <w:szCs w:val="24"/>
                <w:highlight w:val="none"/>
              </w:rPr>
              <w:t>拟委派的质量负责人具备市政类专业高级工程师或以上技术职称，得</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分；具备市政类专业中级工程师技术职称，得</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687" w:type="dxa"/>
            <w:vMerge w:val="continue"/>
            <w:noWrap w:val="0"/>
            <w:vAlign w:val="center"/>
          </w:tcPr>
          <w:p>
            <w:pPr>
              <w:adjustRightInd w:val="0"/>
              <w:snapToGrid w:val="0"/>
              <w:jc w:val="center"/>
              <w:rPr>
                <w:rFonts w:hint="eastAsia" w:ascii="宋体" w:hAnsi="宋体" w:eastAsia="宋体" w:cs="宋体"/>
                <w:sz w:val="24"/>
                <w:szCs w:val="24"/>
                <w:highlight w:val="none"/>
              </w:rPr>
            </w:pPr>
          </w:p>
        </w:tc>
        <w:tc>
          <w:tcPr>
            <w:tcW w:w="1740" w:type="dxa"/>
            <w:noWrap w:val="0"/>
            <w:vAlign w:val="center"/>
          </w:tcPr>
          <w:p>
            <w:pPr>
              <w:ind w:right="134" w:rightChars="64"/>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造价负责人</w:t>
            </w:r>
          </w:p>
        </w:tc>
        <w:tc>
          <w:tcPr>
            <w:tcW w:w="810" w:type="dxa"/>
            <w:noWrap w:val="0"/>
            <w:vAlign w:val="center"/>
          </w:tcPr>
          <w:p>
            <w:pPr>
              <w:widowControl/>
              <w:snapToGrid w:val="0"/>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p>
        </w:tc>
        <w:tc>
          <w:tcPr>
            <w:tcW w:w="10519" w:type="dxa"/>
            <w:noWrap w:val="0"/>
            <w:vAlign w:val="center"/>
          </w:tcPr>
          <w:p>
            <w:pPr>
              <w:rPr>
                <w:rFonts w:hint="eastAsia" w:ascii="宋体" w:hAnsi="宋体" w:eastAsia="宋体" w:cs="宋体"/>
                <w:sz w:val="24"/>
                <w:szCs w:val="24"/>
                <w:highlight w:val="none"/>
              </w:rPr>
            </w:pPr>
            <w:r>
              <w:rPr>
                <w:rFonts w:hint="default" w:ascii="Times New Roman" w:hAnsi="Times New Roman" w:eastAsia="Times New Roman"/>
                <w:sz w:val="24"/>
                <w:szCs w:val="24"/>
                <w:highlight w:val="none"/>
                <w:lang w:val="zh-CN"/>
              </w:rPr>
              <w:t>拟委派的造价负责人具有一级注册造价师证书</w:t>
            </w:r>
            <w:r>
              <w:rPr>
                <w:rFonts w:hint="eastAsia" w:eastAsia="Times New Roman"/>
                <w:sz w:val="24"/>
                <w:szCs w:val="24"/>
                <w:highlight w:val="none"/>
                <w:lang w:val="zh-CN"/>
              </w:rPr>
              <w:t>或有效期内的注册造价工程师</w:t>
            </w:r>
            <w:r>
              <w:rPr>
                <w:rFonts w:hint="default" w:ascii="Times New Roman" w:hAnsi="Times New Roman" w:eastAsia="Times New Roman"/>
                <w:sz w:val="24"/>
                <w:szCs w:val="24"/>
                <w:highlight w:val="none"/>
                <w:lang w:val="zh-CN"/>
              </w:rPr>
              <w:t>或具有造价类专业高级或以上技术职称，得</w:t>
            </w:r>
            <w:r>
              <w:rPr>
                <w:rFonts w:hint="eastAsia" w:eastAsia="宋体"/>
                <w:sz w:val="24"/>
                <w:szCs w:val="24"/>
                <w:highlight w:val="none"/>
                <w:lang w:val="en-US" w:eastAsia="zh-CN"/>
              </w:rPr>
              <w:t>2</w:t>
            </w:r>
            <w:r>
              <w:rPr>
                <w:rFonts w:hint="default" w:ascii="Times New Roman" w:hAnsi="Times New Roman" w:eastAsia="Times New Roman"/>
                <w:sz w:val="24"/>
                <w:szCs w:val="24"/>
                <w:highlight w:val="none"/>
                <w:lang w:val="zh-CN"/>
              </w:rPr>
              <w:t>分；具有二级注册造价师证书或具有造价类专业中级技术职称的，得</w:t>
            </w:r>
            <w:r>
              <w:rPr>
                <w:rFonts w:hint="eastAsia" w:eastAsia="宋体"/>
                <w:sz w:val="24"/>
                <w:szCs w:val="24"/>
                <w:highlight w:val="none"/>
                <w:lang w:val="en-US" w:eastAsia="zh-CN"/>
              </w:rPr>
              <w:t>1</w:t>
            </w:r>
            <w:r>
              <w:rPr>
                <w:rFonts w:hint="default" w:ascii="Times New Roman" w:hAnsi="Times New Roman" w:eastAsia="Times New Roman"/>
                <w:sz w:val="24"/>
                <w:szCs w:val="24"/>
                <w:highlight w:val="none"/>
                <w:lang w:val="zh-CN"/>
              </w:rPr>
              <w:t>分</w:t>
            </w:r>
            <w:r>
              <w:rPr>
                <w:rFonts w:hint="eastAsia" w:ascii="宋体" w:hAnsi="宋体" w:eastAsia="宋体" w:cs="宋体"/>
                <w:sz w:val="24"/>
                <w:szCs w:val="24"/>
                <w:highlight w:val="none"/>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1687" w:type="dxa"/>
            <w:vMerge w:val="restart"/>
            <w:noWrap w:val="0"/>
            <w:vAlign w:val="center"/>
          </w:tcPr>
          <w:p>
            <w:pPr>
              <w:numPr>
                <w:ilvl w:val="0"/>
                <w:numId w:val="0"/>
              </w:numPr>
              <w:adjustRightInd w:val="0"/>
              <w:snapToGrid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rPr>
              <w:t>企业资信</w:t>
            </w:r>
          </w:p>
          <w:p>
            <w:pPr>
              <w:numPr>
                <w:ilvl w:val="0"/>
                <w:numId w:val="0"/>
              </w:num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（6分）</w:t>
            </w:r>
          </w:p>
        </w:tc>
        <w:tc>
          <w:tcPr>
            <w:tcW w:w="1740" w:type="dxa"/>
            <w:noWrap w:val="0"/>
            <w:vAlign w:val="center"/>
          </w:tcPr>
          <w:p>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企业业绩</w:t>
            </w:r>
          </w:p>
        </w:tc>
        <w:tc>
          <w:tcPr>
            <w:tcW w:w="810" w:type="dxa"/>
            <w:noWrap w:val="0"/>
            <w:vAlign w:val="center"/>
          </w:tcPr>
          <w:p>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0519" w:type="dxa"/>
            <w:noWrap w:val="0"/>
            <w:vAlign w:val="center"/>
          </w:tcPr>
          <w:p>
            <w:pPr>
              <w:widowControl/>
              <w:jc w:val="left"/>
              <w:rPr>
                <w:rFonts w:hint="eastAsia" w:ascii="宋体" w:hAnsi="宋体" w:eastAsia="宋体" w:cs="宋体"/>
                <w:kern w:val="0"/>
                <w:sz w:val="24"/>
                <w:szCs w:val="24"/>
                <w:highlight w:val="none"/>
                <w:lang w:bidi="ar"/>
              </w:rPr>
            </w:pPr>
            <w:r>
              <w:rPr>
                <w:rFonts w:hint="eastAsia" w:ascii="宋体" w:hAnsi="宋体" w:eastAsia="宋体" w:cs="宋体"/>
                <w:sz w:val="24"/>
                <w:szCs w:val="24"/>
                <w:highlight w:val="none"/>
              </w:rPr>
              <w:t>投标人自</w:t>
            </w:r>
            <w:r>
              <w:rPr>
                <w:rFonts w:hint="eastAsia" w:ascii="宋体" w:hAnsi="宋体" w:cs="宋体"/>
                <w:sz w:val="24"/>
                <w:szCs w:val="24"/>
                <w:highlight w:val="none"/>
                <w:lang w:eastAsia="zh-CN"/>
              </w:rPr>
              <w:t>20</w:t>
            </w:r>
            <w:r>
              <w:rPr>
                <w:rFonts w:hint="eastAsia" w:ascii="宋体" w:hAnsi="宋体" w:cs="宋体"/>
                <w:sz w:val="24"/>
                <w:szCs w:val="24"/>
                <w:highlight w:val="none"/>
                <w:lang w:val="en-US" w:eastAsia="zh-CN"/>
              </w:rPr>
              <w:t>19</w:t>
            </w:r>
            <w:r>
              <w:rPr>
                <w:rFonts w:hint="eastAsia" w:ascii="宋体" w:hAnsi="宋体" w:eastAsia="宋体" w:cs="宋体"/>
                <w:sz w:val="24"/>
                <w:szCs w:val="24"/>
                <w:highlight w:val="none"/>
              </w:rPr>
              <w:t>年1月1日至今完成过质量合格且中标金额为</w:t>
            </w:r>
            <w:r>
              <w:rPr>
                <w:rFonts w:hint="eastAsia" w:ascii="宋体" w:hAnsi="宋体" w:eastAsia="宋体" w:cs="宋体"/>
                <w:sz w:val="24"/>
                <w:szCs w:val="24"/>
                <w:highlight w:val="none"/>
                <w:lang w:val="en-US" w:eastAsia="zh-CN"/>
              </w:rPr>
              <w:t>300</w:t>
            </w:r>
            <w:r>
              <w:rPr>
                <w:rFonts w:hint="eastAsia" w:ascii="宋体" w:hAnsi="宋体" w:eastAsia="宋体" w:cs="宋体"/>
                <w:sz w:val="24"/>
                <w:szCs w:val="24"/>
                <w:highlight w:val="none"/>
              </w:rPr>
              <w:t>万元或以上的市政公用工程施工总承包业绩，每项0.2分，本项最高1分。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1687" w:type="dxa"/>
            <w:vMerge w:val="continue"/>
            <w:noWrap w:val="0"/>
            <w:vAlign w:val="center"/>
          </w:tcPr>
          <w:p>
            <w:pPr>
              <w:adjustRightInd w:val="0"/>
              <w:snapToGrid w:val="0"/>
              <w:jc w:val="center"/>
              <w:rPr>
                <w:rFonts w:hint="eastAsia" w:ascii="宋体" w:hAnsi="宋体" w:eastAsia="宋体" w:cs="宋体"/>
                <w:sz w:val="24"/>
                <w:szCs w:val="24"/>
                <w:highlight w:val="none"/>
              </w:rPr>
            </w:pPr>
          </w:p>
        </w:tc>
        <w:tc>
          <w:tcPr>
            <w:tcW w:w="1740"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工程获奖</w:t>
            </w:r>
          </w:p>
        </w:tc>
        <w:tc>
          <w:tcPr>
            <w:tcW w:w="810" w:type="dxa"/>
            <w:noWrap w:val="0"/>
            <w:vAlign w:val="center"/>
          </w:tcPr>
          <w:p>
            <w:pPr>
              <w:adjustRightInd w:val="0"/>
              <w:snapToGrid w:val="0"/>
              <w:ind w:firstLine="72" w:firstLineChars="3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0519" w:type="dxa"/>
            <w:noWrap w:val="0"/>
            <w:vAlign w:val="center"/>
          </w:tcPr>
          <w:p>
            <w:pPr>
              <w:ind w:right="134" w:rightChars="64"/>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投标人完成过的市政公用工程自</w:t>
            </w:r>
            <w:r>
              <w:rPr>
                <w:rFonts w:hint="eastAsia" w:ascii="宋体" w:hAnsi="宋体" w:cs="宋体"/>
                <w:kern w:val="0"/>
                <w:sz w:val="24"/>
                <w:szCs w:val="24"/>
                <w:highlight w:val="none"/>
                <w:lang w:eastAsia="zh-CN" w:bidi="ar"/>
              </w:rPr>
              <w:t>20</w:t>
            </w:r>
            <w:r>
              <w:rPr>
                <w:rFonts w:hint="eastAsia" w:ascii="宋体" w:hAnsi="宋体" w:cs="宋体"/>
                <w:kern w:val="0"/>
                <w:sz w:val="24"/>
                <w:szCs w:val="24"/>
                <w:highlight w:val="none"/>
                <w:lang w:val="en-US" w:eastAsia="zh-CN" w:bidi="ar"/>
              </w:rPr>
              <w:t>19</w:t>
            </w:r>
            <w:r>
              <w:rPr>
                <w:rFonts w:hint="eastAsia" w:ascii="宋体" w:hAnsi="宋体" w:eastAsia="宋体" w:cs="宋体"/>
                <w:kern w:val="0"/>
                <w:sz w:val="24"/>
                <w:szCs w:val="24"/>
                <w:highlight w:val="none"/>
                <w:lang w:bidi="ar"/>
              </w:rPr>
              <w:t>年1月1日至今：获得过国家级工程质量奖项每项得1分；获得过省级工程质量奖项每项得0.5分；获得过市级工程质量奖项每项得0.1分；本项最高得2分。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2" w:hRule="atLeast"/>
          <w:jc w:val="center"/>
        </w:trPr>
        <w:tc>
          <w:tcPr>
            <w:tcW w:w="1687" w:type="dxa"/>
            <w:vMerge w:val="continue"/>
            <w:noWrap w:val="0"/>
            <w:vAlign w:val="center"/>
          </w:tcPr>
          <w:p>
            <w:pPr>
              <w:adjustRightInd w:val="0"/>
              <w:snapToGrid w:val="0"/>
              <w:jc w:val="center"/>
              <w:rPr>
                <w:rFonts w:hint="eastAsia" w:ascii="宋体" w:hAnsi="宋体" w:eastAsia="宋体" w:cs="宋体"/>
                <w:sz w:val="24"/>
                <w:szCs w:val="24"/>
                <w:highlight w:val="none"/>
              </w:rPr>
            </w:pPr>
          </w:p>
        </w:tc>
        <w:tc>
          <w:tcPr>
            <w:tcW w:w="1740"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工程研发能力</w:t>
            </w:r>
          </w:p>
        </w:tc>
        <w:tc>
          <w:tcPr>
            <w:tcW w:w="810" w:type="dxa"/>
            <w:noWrap w:val="0"/>
            <w:vAlign w:val="center"/>
          </w:tcPr>
          <w:p>
            <w:pPr>
              <w:adjustRightInd w:val="0"/>
              <w:snapToGrid w:val="0"/>
              <w:ind w:firstLine="72" w:firstLineChars="3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1.8</w:t>
            </w:r>
          </w:p>
        </w:tc>
        <w:tc>
          <w:tcPr>
            <w:tcW w:w="10519" w:type="dxa"/>
            <w:noWrap w:val="0"/>
            <w:vAlign w:val="center"/>
          </w:tcPr>
          <w:p>
            <w:pPr>
              <w:numPr>
                <w:ilvl w:val="0"/>
                <w:numId w:val="0"/>
              </w:numPr>
              <w:ind w:right="134" w:rightChars="64"/>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投标人自2019年1月1日至今主编过市政类工程国家（或行业）标准（或规范或规程）的，每项得1.2分，最多得1.2分；参编或起草过市政类工程国家（或行业）标准（或规范或规程）的，每项得0.2分，最多得0.6分；本小项最高得1.2分。</w:t>
            </w:r>
          </w:p>
          <w:p>
            <w:pPr>
              <w:ind w:right="134" w:rightChars="64"/>
              <w:rPr>
                <w:rFonts w:hint="eastAsia" w:ascii="宋体" w:hAnsi="宋体" w:eastAsia="宋体" w:cs="宋体"/>
                <w:kern w:val="0"/>
                <w:sz w:val="24"/>
                <w:szCs w:val="24"/>
                <w:highlight w:val="none"/>
                <w:lang w:bidi="ar"/>
              </w:rPr>
            </w:pPr>
            <w:r>
              <w:rPr>
                <w:rFonts w:hint="eastAsia" w:ascii="宋体" w:hAnsi="宋体" w:eastAsia="宋体" w:cs="宋体"/>
                <w:sz w:val="24"/>
                <w:szCs w:val="24"/>
                <w:highlight w:val="none"/>
              </w:rPr>
              <w:t>2、投标人自</w:t>
            </w:r>
            <w:r>
              <w:rPr>
                <w:rFonts w:hint="eastAsia" w:ascii="宋体" w:hAnsi="宋体" w:cs="宋体"/>
                <w:sz w:val="24"/>
                <w:szCs w:val="24"/>
                <w:highlight w:val="none"/>
                <w:lang w:eastAsia="zh-CN"/>
              </w:rPr>
              <w:t>20</w:t>
            </w:r>
            <w:r>
              <w:rPr>
                <w:rFonts w:hint="eastAsia" w:ascii="宋体" w:hAnsi="宋体" w:cs="宋体"/>
                <w:sz w:val="24"/>
                <w:szCs w:val="24"/>
                <w:highlight w:val="none"/>
                <w:lang w:val="en-US" w:eastAsia="zh-CN"/>
              </w:rPr>
              <w:t>19</w:t>
            </w:r>
            <w:r>
              <w:rPr>
                <w:rFonts w:hint="eastAsia" w:ascii="宋体" w:hAnsi="宋体" w:eastAsia="宋体" w:cs="宋体"/>
                <w:sz w:val="24"/>
                <w:szCs w:val="24"/>
                <w:highlight w:val="none"/>
              </w:rPr>
              <w:t>年1月1日至今（以证书颁发时间为准）获得国家级市政工程科学技术奖的，每项得0.</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分；省级市政工程科学技术奖的，每项得0.</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分；市级市政工程科学技术奖的，每项得0.0</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分。本小项最多计6项奖项，最多得</w:t>
            </w:r>
            <w:r>
              <w:rPr>
                <w:rFonts w:hint="eastAsia" w:ascii="宋体" w:hAnsi="宋体" w:cs="宋体"/>
                <w:sz w:val="24"/>
                <w:szCs w:val="24"/>
                <w:highlight w:val="none"/>
                <w:lang w:val="en-US" w:eastAsia="zh-CN"/>
              </w:rPr>
              <w:t>0.6</w:t>
            </w:r>
            <w:r>
              <w:rPr>
                <w:rFonts w:hint="eastAsia" w:ascii="宋体" w:hAnsi="宋体" w:eastAsia="宋体" w:cs="宋体"/>
                <w:sz w:val="24"/>
                <w:szCs w:val="24"/>
                <w:highlight w:val="none"/>
              </w:rPr>
              <w:t>分，其他不得分。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1687" w:type="dxa"/>
            <w:vMerge w:val="continue"/>
            <w:noWrap w:val="0"/>
            <w:vAlign w:val="center"/>
          </w:tcPr>
          <w:p>
            <w:pPr>
              <w:adjustRightInd w:val="0"/>
              <w:snapToGrid w:val="0"/>
              <w:jc w:val="center"/>
              <w:rPr>
                <w:rFonts w:hint="eastAsia" w:ascii="宋体" w:hAnsi="宋体" w:eastAsia="宋体" w:cs="宋体"/>
                <w:sz w:val="24"/>
                <w:szCs w:val="24"/>
                <w:highlight w:val="none"/>
              </w:rPr>
            </w:pPr>
          </w:p>
        </w:tc>
        <w:tc>
          <w:tcPr>
            <w:tcW w:w="1740" w:type="dxa"/>
            <w:noWrap w:val="0"/>
            <w:vAlign w:val="center"/>
          </w:tcPr>
          <w:p>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第三方评价</w:t>
            </w:r>
          </w:p>
        </w:tc>
        <w:tc>
          <w:tcPr>
            <w:tcW w:w="810" w:type="dxa"/>
            <w:noWrap w:val="0"/>
            <w:vAlign w:val="center"/>
          </w:tcPr>
          <w:p>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10519" w:type="dxa"/>
            <w:noWrap w:val="0"/>
            <w:vAlign w:val="center"/>
          </w:tcPr>
          <w:p>
            <w:pPr>
              <w:ind w:right="134" w:rightChars="64"/>
              <w:rPr>
                <w:rFonts w:hint="eastAsia" w:ascii="宋体" w:hAnsi="宋体" w:eastAsia="宋体" w:cs="宋体"/>
                <w:kern w:val="0"/>
                <w:sz w:val="24"/>
                <w:szCs w:val="24"/>
                <w:highlight w:val="none"/>
                <w:lang w:bidi="ar"/>
              </w:rPr>
            </w:pPr>
            <w:r>
              <w:rPr>
                <w:rFonts w:hint="eastAsia" w:ascii="宋体" w:hAnsi="宋体" w:eastAsia="宋体" w:cs="宋体"/>
                <w:sz w:val="24"/>
                <w:szCs w:val="24"/>
                <w:highlight w:val="none"/>
              </w:rPr>
              <w:t>投标人自</w:t>
            </w:r>
            <w:r>
              <w:rPr>
                <w:rFonts w:hint="eastAsia" w:ascii="宋体" w:hAnsi="宋体" w:cs="宋体"/>
                <w:sz w:val="24"/>
                <w:szCs w:val="24"/>
                <w:highlight w:val="none"/>
                <w:lang w:eastAsia="zh-CN"/>
              </w:rPr>
              <w:t>20</w:t>
            </w:r>
            <w:r>
              <w:rPr>
                <w:rFonts w:hint="eastAsia" w:ascii="宋体" w:hAnsi="宋体" w:cs="宋体"/>
                <w:sz w:val="24"/>
                <w:szCs w:val="24"/>
                <w:highlight w:val="none"/>
                <w:lang w:val="en-US" w:eastAsia="zh-CN"/>
              </w:rPr>
              <w:t>19</w:t>
            </w:r>
            <w:r>
              <w:rPr>
                <w:rFonts w:hint="eastAsia" w:ascii="宋体" w:hAnsi="宋体" w:eastAsia="宋体" w:cs="宋体"/>
                <w:sz w:val="24"/>
                <w:szCs w:val="24"/>
                <w:highlight w:val="none"/>
              </w:rPr>
              <w:t>年1月1日至投标截止时间止，获得过省级或以上市政行业信用评价AAAAA级的，得</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分；AAAA级的，得0.</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分；AAA级或AA级或A级的，得0</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分。按最高得分计算一次，不满足以上条件的不得分，本小项最高得</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3427" w:type="dxa"/>
            <w:gridSpan w:val="2"/>
            <w:noWrap w:val="0"/>
            <w:vAlign w:val="center"/>
          </w:tcPr>
          <w:p>
            <w:pPr>
              <w:widowControl/>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合计</w:t>
            </w:r>
          </w:p>
        </w:tc>
        <w:tc>
          <w:tcPr>
            <w:tcW w:w="810" w:type="dxa"/>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w:t>
            </w:r>
          </w:p>
        </w:tc>
        <w:tc>
          <w:tcPr>
            <w:tcW w:w="10519" w:type="dxa"/>
            <w:noWrap w:val="0"/>
            <w:vAlign w:val="center"/>
          </w:tcPr>
          <w:p>
            <w:pPr>
              <w:adjustRightInd w:val="0"/>
              <w:snapToGrid w:val="0"/>
              <w:rPr>
                <w:rFonts w:hint="eastAsia" w:ascii="宋体" w:hAnsi="宋体" w:eastAsia="宋体" w:cs="宋体"/>
                <w:sz w:val="24"/>
                <w:szCs w:val="24"/>
                <w:highlight w:val="none"/>
                <w:lang w:eastAsia="zh-TW"/>
              </w:rPr>
            </w:pPr>
          </w:p>
        </w:tc>
      </w:tr>
    </w:tbl>
    <w:p>
      <w:pPr>
        <w:ind w:firstLine="458"/>
        <w:rPr>
          <w:rFonts w:hint="eastAsia" w:ascii="宋体" w:hAnsi="宋体"/>
          <w:color w:val="auto"/>
          <w:sz w:val="21"/>
          <w:szCs w:val="21"/>
          <w:highlight w:val="none"/>
        </w:rPr>
      </w:pP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eastAsia" w:ascii="宋体" w:hAnsi="宋体" w:cs="宋体"/>
          <w:b/>
          <w:kern w:val="0"/>
          <w:szCs w:val="21"/>
          <w:highlight w:val="none"/>
          <w:lang w:bidi="ar"/>
        </w:rPr>
      </w:pPr>
      <w:r>
        <w:rPr>
          <w:rFonts w:hint="eastAsia" w:ascii="宋体" w:hAnsi="宋体" w:cs="宋体"/>
          <w:b/>
          <w:kern w:val="0"/>
          <w:szCs w:val="21"/>
          <w:highlight w:val="none"/>
          <w:lang w:bidi="ar"/>
        </w:rPr>
        <w:t>备注：</w:t>
      </w:r>
    </w:p>
    <w:p>
      <w:pPr>
        <w:keepNext w:val="0"/>
        <w:keepLines w:val="0"/>
        <w:pageBreakBefore w:val="0"/>
        <w:widowControl/>
        <w:kinsoku/>
        <w:wordWrap/>
        <w:overflowPunct/>
        <w:topLinePunct w:val="0"/>
        <w:autoSpaceDE/>
        <w:autoSpaceDN/>
        <w:bidi w:val="0"/>
        <w:adjustRightInd/>
        <w:snapToGrid w:val="0"/>
        <w:spacing w:line="300" w:lineRule="exact"/>
        <w:ind w:firstLine="422" w:firstLineChars="200"/>
        <w:textAlignment w:val="auto"/>
        <w:rPr>
          <w:rFonts w:hint="eastAsia" w:ascii="宋体" w:hAnsi="宋体" w:cs="宋体"/>
          <w:b/>
          <w:kern w:val="0"/>
          <w:szCs w:val="21"/>
          <w:highlight w:val="none"/>
          <w:lang w:bidi="ar"/>
        </w:rPr>
      </w:pPr>
      <w:r>
        <w:rPr>
          <w:rFonts w:hint="eastAsia" w:ascii="宋体" w:hAnsi="宋体" w:cs="宋体"/>
          <w:b/>
          <w:kern w:val="0"/>
          <w:szCs w:val="21"/>
          <w:highlight w:val="none"/>
          <w:lang w:bidi="ar"/>
        </w:rPr>
        <w:t>1、项目管理机构能力：</w:t>
      </w:r>
    </w:p>
    <w:p>
      <w:pPr>
        <w:keepNext w:val="0"/>
        <w:keepLines w:val="0"/>
        <w:pageBreakBefore w:val="0"/>
        <w:widowControl/>
        <w:kinsoku/>
        <w:wordWrap/>
        <w:overflowPunct/>
        <w:topLinePunct w:val="0"/>
        <w:autoSpaceDE/>
        <w:autoSpaceDN/>
        <w:bidi w:val="0"/>
        <w:adjustRightInd/>
        <w:snapToGrid w:val="0"/>
        <w:spacing w:line="300" w:lineRule="exact"/>
        <w:ind w:firstLine="420" w:firstLineChars="200"/>
        <w:textAlignment w:val="auto"/>
        <w:rPr>
          <w:rFonts w:hint="eastAsia" w:ascii="宋体" w:hAnsi="宋体" w:cs="宋体"/>
          <w:bCs/>
          <w:kern w:val="0"/>
          <w:szCs w:val="21"/>
          <w:highlight w:val="none"/>
          <w:lang w:bidi="ar"/>
        </w:rPr>
      </w:pPr>
      <w:r>
        <w:rPr>
          <w:rFonts w:hint="eastAsia" w:ascii="宋体" w:hAnsi="宋体" w:cs="宋体"/>
          <w:bCs/>
          <w:kern w:val="0"/>
          <w:szCs w:val="21"/>
          <w:highlight w:val="none"/>
          <w:lang w:bidi="ar"/>
        </w:rPr>
        <w:t>（1）以上人员均为投标人自身人员（不含子母公司人员，如投标申请人为集团公司，则不含集团下属分公司，专指集团本部人员，同样下属公司也不得使用集团公司的人员），投标人需提供以上人员近一个月（202</w:t>
      </w:r>
      <w:r>
        <w:rPr>
          <w:rFonts w:hint="eastAsia" w:ascii="宋体" w:hAnsi="宋体" w:cs="宋体"/>
          <w:bCs/>
          <w:kern w:val="0"/>
          <w:szCs w:val="21"/>
          <w:highlight w:val="none"/>
          <w:lang w:val="en-US" w:eastAsia="zh-CN" w:bidi="ar"/>
        </w:rPr>
        <w:t>3</w:t>
      </w:r>
      <w:r>
        <w:rPr>
          <w:rFonts w:hint="eastAsia" w:ascii="宋体" w:hAnsi="宋体" w:cs="宋体"/>
          <w:bCs/>
          <w:kern w:val="0"/>
          <w:szCs w:val="21"/>
          <w:highlight w:val="none"/>
          <w:lang w:bidi="ar"/>
        </w:rPr>
        <w:t>年</w:t>
      </w:r>
      <w:r>
        <w:rPr>
          <w:rFonts w:hint="eastAsia" w:ascii="宋体" w:hAnsi="宋体" w:cs="宋体"/>
          <w:bCs/>
          <w:kern w:val="0"/>
          <w:szCs w:val="21"/>
          <w:highlight w:val="none"/>
          <w:lang w:val="en-US" w:eastAsia="zh-CN" w:bidi="ar"/>
        </w:rPr>
        <w:t>3</w:t>
      </w:r>
      <w:r>
        <w:rPr>
          <w:rFonts w:hint="eastAsia" w:ascii="宋体" w:hAnsi="宋体" w:cs="宋体"/>
          <w:bCs/>
          <w:kern w:val="0"/>
          <w:szCs w:val="21"/>
          <w:highlight w:val="none"/>
          <w:lang w:bidi="ar"/>
        </w:rPr>
        <w:t>月）在投标人单位缴纳社保的证明资料扫描件（</w:t>
      </w:r>
      <w:r>
        <w:rPr>
          <w:rFonts w:hint="eastAsia" w:ascii="宋体" w:hAnsi="宋体" w:cs="宋体"/>
          <w:szCs w:val="21"/>
          <w:highlight w:val="none"/>
        </w:rPr>
        <w:t>社保缴纳期限包含疫情防控期的，若当地政府部门允许企业在疫情防控期间缓缴社会保险费的，投标人可提供当地政府部门允许缓缴社保的相关文件作为缴纳社保的证明。中标后需提供投标文件中人员的社保补缴情况相关证明报招标人核实</w:t>
      </w:r>
      <w:r>
        <w:rPr>
          <w:rFonts w:hint="eastAsia" w:ascii="宋体" w:hAnsi="宋体" w:cs="宋体"/>
          <w:bCs/>
          <w:kern w:val="0"/>
          <w:szCs w:val="21"/>
          <w:highlight w:val="none"/>
          <w:lang w:bidi="ar"/>
        </w:rPr>
        <w:t>）及相关注册证书或职称证书或岗位（培训）证书扫描件或复印件。以上人员配置只作为评分标准，不作为废标条件。项目管理机构人员不得兼任。</w:t>
      </w:r>
    </w:p>
    <w:p>
      <w:pPr>
        <w:keepNext w:val="0"/>
        <w:keepLines w:val="0"/>
        <w:pageBreakBefore w:val="0"/>
        <w:kinsoku/>
        <w:wordWrap/>
        <w:overflowPunct/>
        <w:topLinePunct w:val="0"/>
        <w:autoSpaceDE/>
        <w:autoSpaceDN/>
        <w:bidi w:val="0"/>
        <w:adjustRightInd/>
        <w:snapToGrid w:val="0"/>
        <w:spacing w:line="30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（2）市政类专业职称包括但不限于：市政工程、给排水、工程技术、电气、燃气、暖通、公路与城市道路、桥梁与隧道工程等专业。</w:t>
      </w:r>
      <w:r>
        <w:rPr>
          <w:rFonts w:hint="eastAsia"/>
          <w:highlight w:val="none"/>
        </w:rPr>
        <w:t>造价类专业</w:t>
      </w:r>
      <w:r>
        <w:rPr>
          <w:rFonts w:hint="eastAsia" w:ascii="宋体" w:hAnsi="宋体" w:cs="宋体"/>
          <w:szCs w:val="21"/>
          <w:highlight w:val="none"/>
        </w:rPr>
        <w:t>职称包括但不限于：预（结）算、工程造价、工程经济等专业。</w:t>
      </w:r>
    </w:p>
    <w:p>
      <w:pPr>
        <w:keepNext w:val="0"/>
        <w:keepLines w:val="0"/>
        <w:pageBreakBefore w:val="0"/>
        <w:widowControl/>
        <w:kinsoku/>
        <w:wordWrap/>
        <w:overflowPunct/>
        <w:topLinePunct w:val="0"/>
        <w:autoSpaceDE/>
        <w:autoSpaceDN/>
        <w:bidi w:val="0"/>
        <w:adjustRightInd/>
        <w:snapToGrid w:val="0"/>
        <w:spacing w:line="300" w:lineRule="exact"/>
        <w:ind w:firstLine="422" w:firstLineChars="200"/>
        <w:textAlignment w:val="auto"/>
        <w:rPr>
          <w:rFonts w:hint="eastAsia" w:ascii="宋体" w:hAnsi="宋体" w:cs="宋体"/>
          <w:b/>
          <w:kern w:val="0"/>
          <w:szCs w:val="21"/>
          <w:highlight w:val="none"/>
          <w:lang w:bidi="ar"/>
        </w:rPr>
      </w:pPr>
      <w:r>
        <w:rPr>
          <w:rFonts w:hint="eastAsia" w:ascii="宋体" w:hAnsi="宋体" w:cs="宋体"/>
          <w:b/>
          <w:kern w:val="0"/>
          <w:szCs w:val="21"/>
          <w:highlight w:val="none"/>
          <w:lang w:bidi="ar"/>
        </w:rPr>
        <w:t>2、类似工程业绩：</w:t>
      </w:r>
    </w:p>
    <w:p>
      <w:pPr>
        <w:keepNext w:val="0"/>
        <w:keepLines w:val="0"/>
        <w:pageBreakBefore w:val="0"/>
        <w:widowControl/>
        <w:kinsoku/>
        <w:wordWrap/>
        <w:overflowPunct/>
        <w:topLinePunct w:val="0"/>
        <w:autoSpaceDE/>
        <w:autoSpaceDN/>
        <w:bidi w:val="0"/>
        <w:adjustRightInd/>
        <w:snapToGrid w:val="0"/>
        <w:spacing w:line="300" w:lineRule="exact"/>
        <w:ind w:firstLine="420" w:firstLineChars="200"/>
        <w:textAlignment w:val="auto"/>
        <w:rPr>
          <w:rFonts w:hint="eastAsia" w:ascii="宋体" w:hAnsi="宋体" w:cs="宋体"/>
          <w:bCs/>
          <w:kern w:val="0"/>
          <w:szCs w:val="21"/>
          <w:highlight w:val="none"/>
          <w:lang w:bidi="ar"/>
        </w:rPr>
      </w:pPr>
      <w:r>
        <w:rPr>
          <w:rFonts w:hint="eastAsia" w:ascii="宋体" w:hAnsi="宋体" w:cs="宋体"/>
          <w:bCs/>
          <w:kern w:val="0"/>
          <w:szCs w:val="21"/>
          <w:highlight w:val="none"/>
          <w:lang w:bidi="ar"/>
        </w:rPr>
        <w:t>（1）投标人需提供业绩的中标通知书（或免招标证明）、施工合同（仅需附协议书部分）、单位工程验收鉴定证书或合同工程完工验收鉴定书或工程竣工验收报告及其他补充（如需要）反映工程信息的相关证明材料扫描件。</w:t>
      </w:r>
    </w:p>
    <w:p>
      <w:pPr>
        <w:keepNext w:val="0"/>
        <w:keepLines w:val="0"/>
        <w:pageBreakBefore w:val="0"/>
        <w:widowControl/>
        <w:kinsoku/>
        <w:wordWrap/>
        <w:overflowPunct/>
        <w:topLinePunct w:val="0"/>
        <w:autoSpaceDE/>
        <w:autoSpaceDN/>
        <w:bidi w:val="0"/>
        <w:adjustRightInd/>
        <w:snapToGrid w:val="0"/>
        <w:spacing w:line="300" w:lineRule="exact"/>
        <w:ind w:firstLine="420" w:firstLineChars="200"/>
        <w:textAlignment w:val="auto"/>
        <w:rPr>
          <w:rFonts w:hint="eastAsia" w:ascii="宋体" w:hAnsi="宋体" w:cs="宋体"/>
          <w:bCs/>
          <w:kern w:val="0"/>
          <w:szCs w:val="21"/>
          <w:highlight w:val="none"/>
          <w:lang w:bidi="ar"/>
        </w:rPr>
      </w:pPr>
      <w:r>
        <w:rPr>
          <w:rFonts w:hint="eastAsia" w:ascii="宋体" w:hAnsi="宋体" w:cs="宋体"/>
          <w:bCs/>
          <w:kern w:val="0"/>
          <w:szCs w:val="21"/>
          <w:highlight w:val="none"/>
          <w:lang w:bidi="ar"/>
        </w:rPr>
        <w:t>（2）业绩金额以中标通知书为准，中标通知书上没有金额的，以施工合同（不含补充合同）为准，时间以单位工程验收鉴定证书或合同工程完工验收鉴定书或工程竣工验收报告等材料的日期为准。如为设计施工总承包项目（EPC项目）的，则投标人须为本项目的唯一施工单位。</w:t>
      </w:r>
    </w:p>
    <w:p>
      <w:pPr>
        <w:keepNext w:val="0"/>
        <w:keepLines w:val="0"/>
        <w:pageBreakBefore w:val="0"/>
        <w:widowControl/>
        <w:kinsoku/>
        <w:wordWrap/>
        <w:overflowPunct/>
        <w:topLinePunct w:val="0"/>
        <w:autoSpaceDE/>
        <w:autoSpaceDN/>
        <w:bidi w:val="0"/>
        <w:adjustRightInd/>
        <w:snapToGrid w:val="0"/>
        <w:spacing w:line="300" w:lineRule="exact"/>
        <w:ind w:firstLine="420" w:firstLineChars="200"/>
        <w:textAlignment w:val="auto"/>
        <w:rPr>
          <w:rFonts w:hint="eastAsia" w:ascii="宋体" w:hAnsi="宋体" w:cs="宋体"/>
          <w:bCs/>
          <w:kern w:val="0"/>
          <w:szCs w:val="21"/>
          <w:highlight w:val="none"/>
          <w:lang w:bidi="ar"/>
        </w:rPr>
      </w:pPr>
      <w:r>
        <w:rPr>
          <w:rFonts w:hint="eastAsia" w:ascii="宋体" w:hAnsi="宋体" w:cs="宋体"/>
          <w:bCs/>
          <w:kern w:val="0"/>
          <w:szCs w:val="21"/>
          <w:highlight w:val="none"/>
          <w:lang w:bidi="ar"/>
        </w:rPr>
        <w:t>（3）提供的材料不符合上述条件或未提供上述资料的，该业绩不予认定。</w:t>
      </w:r>
    </w:p>
    <w:p>
      <w:pPr>
        <w:keepNext w:val="0"/>
        <w:keepLines w:val="0"/>
        <w:pageBreakBefore w:val="0"/>
        <w:widowControl/>
        <w:kinsoku/>
        <w:wordWrap/>
        <w:overflowPunct/>
        <w:topLinePunct w:val="0"/>
        <w:autoSpaceDE/>
        <w:autoSpaceDN/>
        <w:bidi w:val="0"/>
        <w:adjustRightInd/>
        <w:snapToGrid w:val="0"/>
        <w:spacing w:line="300" w:lineRule="exact"/>
        <w:ind w:firstLine="420" w:firstLineChars="200"/>
        <w:textAlignment w:val="auto"/>
        <w:rPr>
          <w:rFonts w:hint="eastAsia" w:ascii="宋体" w:hAnsi="宋体" w:cs="宋体"/>
          <w:bCs/>
          <w:kern w:val="0"/>
          <w:szCs w:val="21"/>
          <w:highlight w:val="none"/>
          <w:lang w:bidi="ar"/>
        </w:rPr>
      </w:pPr>
      <w:r>
        <w:rPr>
          <w:rFonts w:hint="eastAsia" w:ascii="宋体" w:hAnsi="宋体" w:cs="宋体"/>
          <w:bCs/>
          <w:kern w:val="0"/>
          <w:szCs w:val="21"/>
          <w:highlight w:val="none"/>
          <w:lang w:bidi="ar"/>
        </w:rPr>
        <w:t>（4）评委对业绩认定意见不一致时，则由招标人解释招标文件后，评委讨论业绩认定标准；经讨论后标准仍不一致时，则按少数服从多数处理。按少数服从多数仍不能形成一致意见时，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keepNext w:val="0"/>
        <w:keepLines w:val="0"/>
        <w:pageBreakBefore w:val="0"/>
        <w:kinsoku/>
        <w:wordWrap/>
        <w:overflowPunct/>
        <w:topLinePunct w:val="0"/>
        <w:autoSpaceDE/>
        <w:autoSpaceDN/>
        <w:bidi w:val="0"/>
        <w:adjustRightInd/>
        <w:snapToGrid w:val="0"/>
        <w:spacing w:line="300" w:lineRule="exact"/>
        <w:ind w:firstLine="422" w:firstLineChars="200"/>
        <w:textAlignment w:val="auto"/>
        <w:rPr>
          <w:rFonts w:hint="eastAsia" w:ascii="宋体" w:hAnsi="宋体" w:cs="宋体"/>
          <w:b/>
          <w:szCs w:val="21"/>
          <w:highlight w:val="none"/>
        </w:rPr>
      </w:pPr>
      <w:r>
        <w:rPr>
          <w:rFonts w:hint="eastAsia" w:ascii="宋体" w:hAnsi="宋体" w:cs="宋体"/>
          <w:b/>
          <w:szCs w:val="21"/>
          <w:highlight w:val="none"/>
        </w:rPr>
        <w:t>3、工程获奖：</w:t>
      </w:r>
    </w:p>
    <w:p>
      <w:pPr>
        <w:keepNext w:val="0"/>
        <w:keepLines w:val="0"/>
        <w:pageBreakBefore w:val="0"/>
        <w:kinsoku/>
        <w:wordWrap/>
        <w:overflowPunct/>
        <w:topLinePunct w:val="0"/>
        <w:autoSpaceDE/>
        <w:autoSpaceDN/>
        <w:bidi w:val="0"/>
        <w:adjustRightInd/>
        <w:snapToGrid w:val="0"/>
        <w:spacing w:line="300" w:lineRule="exact"/>
        <w:ind w:firstLine="420" w:firstLineChars="200"/>
        <w:textAlignment w:val="auto"/>
        <w:rPr>
          <w:rFonts w:hint="eastAsia" w:ascii="宋体" w:hAnsi="宋体" w:cs="宋体"/>
          <w:bCs/>
          <w:szCs w:val="21"/>
          <w:highlight w:val="none"/>
        </w:rPr>
      </w:pPr>
      <w:r>
        <w:rPr>
          <w:rFonts w:hint="eastAsia" w:ascii="宋体" w:hAnsi="宋体" w:cs="宋体"/>
          <w:bCs/>
          <w:szCs w:val="21"/>
          <w:highlight w:val="none"/>
        </w:rPr>
        <w:t>需提供获奖证书扫描件，时间以获奖证书发证时间为准。国家级质量奖项是指鲁班奖、詹天佑奖、国家优质工程金质奖、国家优质工程银质奖、国家优质工程奖、市政金杯示范工程奖；省级质量奖项指省级工程优质奖或省级优良样板工程奖或省级市政金杯示范工程奖等各类工程实体奖项，不含技术类奖项；市级质量奖项指市级工程优质奖或市级优良样板工程奖或市级市政金杯示范工程奖等各类工程实体奖项，不含技术类奖项。同一项目获得多个奖项的，该项目获奖只按其中一个奖项所在最高级别计算一次分数，不得重复计算。</w:t>
      </w:r>
    </w:p>
    <w:p>
      <w:pPr>
        <w:keepNext w:val="0"/>
        <w:keepLines w:val="0"/>
        <w:pageBreakBefore w:val="0"/>
        <w:kinsoku/>
        <w:wordWrap/>
        <w:overflowPunct/>
        <w:topLinePunct w:val="0"/>
        <w:autoSpaceDE/>
        <w:autoSpaceDN/>
        <w:bidi w:val="0"/>
        <w:adjustRightInd/>
        <w:snapToGrid w:val="0"/>
        <w:spacing w:line="300" w:lineRule="exact"/>
        <w:ind w:firstLine="422" w:firstLineChars="200"/>
        <w:textAlignment w:val="auto"/>
        <w:rPr>
          <w:rFonts w:hint="eastAsia" w:ascii="宋体" w:hAnsi="宋体" w:cs="宋体"/>
          <w:b/>
          <w:szCs w:val="21"/>
          <w:highlight w:val="none"/>
        </w:rPr>
      </w:pPr>
      <w:r>
        <w:rPr>
          <w:rFonts w:hint="eastAsia" w:ascii="宋体" w:hAnsi="宋体" w:cs="宋体"/>
          <w:b/>
          <w:szCs w:val="21"/>
          <w:highlight w:val="none"/>
        </w:rPr>
        <w:t>4、工程研发能力：</w:t>
      </w:r>
    </w:p>
    <w:p>
      <w:pPr>
        <w:keepNext w:val="0"/>
        <w:keepLines w:val="0"/>
        <w:pageBreakBefore w:val="0"/>
        <w:kinsoku/>
        <w:wordWrap/>
        <w:overflowPunct/>
        <w:topLinePunct w:val="0"/>
        <w:autoSpaceDE/>
        <w:autoSpaceDN/>
        <w:bidi w:val="0"/>
        <w:adjustRightInd/>
        <w:snapToGrid w:val="0"/>
        <w:spacing w:line="300" w:lineRule="exact"/>
        <w:ind w:firstLine="420" w:firstLineChars="200"/>
        <w:textAlignment w:val="auto"/>
        <w:rPr>
          <w:rFonts w:hint="eastAsia"/>
          <w:highlight w:val="none"/>
          <w:lang w:bidi="ar"/>
        </w:rPr>
      </w:pPr>
      <w:r>
        <w:rPr>
          <w:rFonts w:hint="eastAsia"/>
          <w:highlight w:val="none"/>
          <w:lang w:bidi="ar"/>
        </w:rPr>
        <w:t>（1）标准（或规范或规程）时间以实施时间为准。国家（或行业）标准（或规范或规程）须提供在中华人民共和国住房和城乡建设部官网（https://www.mohurd.gov.cn/）查询到该标准发布公告的截图以及从该网下载的该标准的前面关键页（需能体现投标人为主编、参编、起草单位）的复印件。</w:t>
      </w:r>
    </w:p>
    <w:p>
      <w:pPr>
        <w:keepNext w:val="0"/>
        <w:keepLines w:val="0"/>
        <w:pageBreakBefore w:val="0"/>
        <w:kinsoku/>
        <w:wordWrap/>
        <w:overflowPunct/>
        <w:topLinePunct w:val="0"/>
        <w:autoSpaceDE/>
        <w:autoSpaceDN/>
        <w:bidi w:val="0"/>
        <w:adjustRightInd/>
        <w:snapToGrid w:val="0"/>
        <w:spacing w:line="300" w:lineRule="exact"/>
        <w:ind w:firstLine="420" w:firstLineChars="200"/>
        <w:textAlignment w:val="auto"/>
        <w:rPr>
          <w:rFonts w:hint="eastAsia"/>
          <w:highlight w:val="none"/>
          <w:lang w:bidi="ar"/>
        </w:rPr>
      </w:pPr>
      <w:r>
        <w:rPr>
          <w:rFonts w:hint="eastAsia"/>
          <w:highlight w:val="none"/>
          <w:lang w:bidi="ar"/>
        </w:rPr>
        <w:t>（2）国家级市政工程科学技术奖包含“国家科学技术进步奖”或“全国市政工程科学技术奖”，省级市政工程科学技术奖以省级（含副省级）人民政府或省级市政行业协会颁发的为准，市级市政工程科学技术奖以市级人民政府或市级市政行业协会颁发的为准，获奖时间以证书中载明的发证时间为准，须提供获奖证书扫描件，其中协会颁发的奖项，要求发证协会必须经民政部门依法登记成立，且需提供其在中国社会组织政务服务平台（https://chinanpo.mca.gov.cn/）查询结果的网页打印页，否则该项不得分。无提交上述资料不计分。同一项目获得多个奖项的，该项目获奖只按其中一个奖项所在最高级别计算一次分数，不得重复计算。</w:t>
      </w:r>
    </w:p>
    <w:p>
      <w:pPr>
        <w:keepNext w:val="0"/>
        <w:keepLines w:val="0"/>
        <w:pageBreakBefore w:val="0"/>
        <w:kinsoku/>
        <w:wordWrap/>
        <w:overflowPunct/>
        <w:topLinePunct w:val="0"/>
        <w:autoSpaceDE/>
        <w:autoSpaceDN/>
        <w:bidi w:val="0"/>
        <w:adjustRightInd/>
        <w:snapToGrid w:val="0"/>
        <w:spacing w:line="300" w:lineRule="exact"/>
        <w:ind w:firstLine="422" w:firstLineChars="200"/>
        <w:textAlignment w:val="auto"/>
        <w:rPr>
          <w:rFonts w:hint="eastAsia" w:ascii="宋体" w:hAnsi="宋体" w:cs="宋体"/>
          <w:b/>
          <w:bCs/>
          <w:szCs w:val="21"/>
          <w:highlight w:val="none"/>
        </w:rPr>
      </w:pPr>
      <w:r>
        <w:rPr>
          <w:rFonts w:hint="eastAsia" w:ascii="宋体" w:hAnsi="宋体" w:cs="宋体"/>
          <w:b/>
          <w:bCs/>
          <w:szCs w:val="21"/>
          <w:highlight w:val="none"/>
        </w:rPr>
        <w:t>5、第三方评价：</w:t>
      </w:r>
    </w:p>
    <w:p>
      <w:pPr>
        <w:keepNext w:val="0"/>
        <w:keepLines w:val="0"/>
        <w:pageBreakBefore w:val="0"/>
        <w:kinsoku/>
        <w:wordWrap/>
        <w:overflowPunct/>
        <w:topLinePunct w:val="0"/>
        <w:autoSpaceDE/>
        <w:autoSpaceDN/>
        <w:bidi w:val="0"/>
        <w:adjustRightInd/>
        <w:snapToGrid w:val="0"/>
        <w:spacing w:line="30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投标人须提供由省级或以上市政行业协会颁发的信用评价证书扫描件（证书需在有效期内），没有评价证书的或投标人分公司子公司名义获得的或者不满足要求的不得分。证书发证机构必须是在中国社会组织政务服务平台（https://chinanpo.mca.gov.cn/）查询到的组织方为有效（附网页打印页或网页信息截图）。</w:t>
      </w:r>
    </w:p>
    <w:p>
      <w:pPr>
        <w:keepNext w:val="0"/>
        <w:keepLines w:val="0"/>
        <w:pageBreakBefore w:val="0"/>
        <w:kinsoku/>
        <w:wordWrap/>
        <w:overflowPunct/>
        <w:topLinePunct w:val="0"/>
        <w:autoSpaceDE/>
        <w:autoSpaceDN/>
        <w:bidi w:val="0"/>
        <w:adjustRightInd/>
        <w:snapToGrid w:val="0"/>
        <w:spacing w:line="30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6、所有评委每个分项的分数汇总后去掉一个最高分和一个最低分的算术平均值为投标人的最终得分。分数出现小数点，保留小数点后二位小数，第三位小数四舍五入。</w:t>
      </w:r>
    </w:p>
    <w:p>
      <w:pPr>
        <w:keepNext w:val="0"/>
        <w:keepLines w:val="0"/>
        <w:pageBreakBefore w:val="0"/>
        <w:kinsoku/>
        <w:wordWrap/>
        <w:overflowPunct/>
        <w:topLinePunct w:val="0"/>
        <w:autoSpaceDE/>
        <w:autoSpaceDN/>
        <w:bidi w:val="0"/>
        <w:adjustRightInd/>
        <w:snapToGrid w:val="0"/>
        <w:spacing w:line="30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7、投标人如果同时满足多个评分档次的，按所满足的最高档得分。</w:t>
      </w:r>
    </w:p>
    <w:p>
      <w:pPr>
        <w:keepNext w:val="0"/>
        <w:keepLines w:val="0"/>
        <w:pageBreakBefore w:val="0"/>
        <w:kinsoku/>
        <w:wordWrap/>
        <w:overflowPunct/>
        <w:topLinePunct w:val="0"/>
        <w:autoSpaceDE/>
        <w:autoSpaceDN/>
        <w:bidi w:val="0"/>
        <w:adjustRightInd/>
        <w:spacing w:line="300" w:lineRule="exact"/>
        <w:ind w:firstLine="420" w:firstLineChars="200"/>
        <w:textAlignment w:val="auto"/>
        <w:rPr>
          <w:rFonts w:hint="eastAsia" w:ascii="宋体" w:hAnsi="宋体" w:cs="宋体"/>
          <w:szCs w:val="21"/>
          <w:highlight w:val="none"/>
        </w:rPr>
      </w:pPr>
    </w:p>
    <w:p>
      <w:pPr>
        <w:keepNext w:val="0"/>
        <w:keepLines w:val="0"/>
        <w:pageBreakBefore w:val="0"/>
        <w:kinsoku/>
        <w:wordWrap/>
        <w:overflowPunct/>
        <w:topLinePunct w:val="0"/>
        <w:autoSpaceDE/>
        <w:autoSpaceDN/>
        <w:bidi w:val="0"/>
        <w:adjustRightInd/>
        <w:spacing w:line="300" w:lineRule="exact"/>
        <w:ind w:firstLine="420" w:firstLineChars="200"/>
        <w:textAlignment w:val="auto"/>
        <w:rPr>
          <w:rFonts w:hint="eastAsia" w:ascii="宋体" w:hAnsi="宋体" w:cs="宋体"/>
          <w:strike w:val="0"/>
          <w:color w:val="auto"/>
          <w:szCs w:val="21"/>
          <w:highlight w:val="none"/>
        </w:rPr>
      </w:pPr>
      <w:r>
        <w:rPr>
          <w:rFonts w:hint="eastAsia" w:ascii="宋体" w:hAnsi="宋体" w:cs="宋体"/>
          <w:szCs w:val="21"/>
          <w:highlight w:val="none"/>
        </w:rPr>
        <w:t>评委签名：</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 xml:space="preserve">                                                                  </w:t>
      </w:r>
      <w:r>
        <w:rPr>
          <w:rFonts w:hint="eastAsia" w:ascii="宋体" w:hAnsi="宋体" w:cs="宋体"/>
          <w:szCs w:val="21"/>
          <w:highlight w:val="none"/>
        </w:rPr>
        <w:tab/>
      </w:r>
      <w:r>
        <w:rPr>
          <w:rFonts w:hint="eastAsia" w:ascii="宋体" w:hAnsi="宋体" w:cs="宋体"/>
          <w:szCs w:val="21"/>
          <w:highlight w:val="none"/>
        </w:rPr>
        <w:t>日期：</w:t>
      </w:r>
      <w:r>
        <w:rPr>
          <w:rFonts w:hint="eastAsia" w:ascii="宋体" w:hAnsi="宋体" w:cs="宋体"/>
          <w:strike w:val="0"/>
          <w:color w:val="auto"/>
          <w:szCs w:val="21"/>
          <w:highlight w:val="none"/>
        </w:rPr>
        <w:br w:type="page"/>
      </w:r>
      <w:r>
        <w:rPr>
          <w:rFonts w:hint="eastAsia" w:ascii="宋体" w:hAnsi="宋体" w:cs="宋体"/>
          <w:strike w:val="0"/>
          <w:color w:val="auto"/>
          <w:szCs w:val="21"/>
          <w:highlight w:val="none"/>
        </w:rPr>
        <w:t>附表五（适用于加权平均法）</w:t>
      </w:r>
    </w:p>
    <w:p>
      <w:pPr>
        <w:jc w:val="center"/>
        <w:rPr>
          <w:rFonts w:hint="eastAsia" w:ascii="宋体" w:hAnsi="宋体" w:cs="宋体"/>
          <w:b/>
          <w:strike w:val="0"/>
          <w:color w:val="auto"/>
          <w:sz w:val="36"/>
          <w:szCs w:val="36"/>
          <w:highlight w:val="none"/>
        </w:rPr>
      </w:pPr>
      <w:r>
        <w:rPr>
          <w:rFonts w:hint="eastAsia" w:ascii="宋体" w:hAnsi="宋体" w:cs="宋体"/>
          <w:b/>
          <w:strike w:val="0"/>
          <w:color w:val="auto"/>
          <w:sz w:val="36"/>
          <w:szCs w:val="36"/>
          <w:highlight w:val="none"/>
        </w:rPr>
        <w:t>经济标评分表</w:t>
      </w:r>
    </w:p>
    <w:p>
      <w:pPr>
        <w:rPr>
          <w:rFonts w:hint="eastAsia" w:ascii="宋体" w:hAnsi="宋体" w:cs="宋体"/>
          <w:strike w:val="0"/>
          <w:color w:val="auto"/>
          <w:szCs w:val="21"/>
          <w:highlight w:val="none"/>
        </w:rPr>
      </w:pPr>
      <w:r>
        <w:rPr>
          <w:rFonts w:hint="eastAsia" w:ascii="宋体" w:hAnsi="宋体" w:cs="宋体"/>
          <w:strike w:val="0"/>
          <w:color w:val="auto"/>
          <w:szCs w:val="21"/>
          <w:highlight w:val="none"/>
        </w:rPr>
        <w:t>工程名称：</w:t>
      </w:r>
    </w:p>
    <w:tbl>
      <w:tblPr>
        <w:tblStyle w:val="52"/>
        <w:tblW w:w="14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5"/>
        <w:gridCol w:w="895"/>
        <w:gridCol w:w="895"/>
        <w:gridCol w:w="895"/>
        <w:gridCol w:w="895"/>
        <w:gridCol w:w="895"/>
        <w:gridCol w:w="895"/>
        <w:gridCol w:w="895"/>
        <w:gridCol w:w="895"/>
        <w:gridCol w:w="895"/>
        <w:gridCol w:w="895"/>
        <w:gridCol w:w="895"/>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337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r>
              <w:rPr>
                <w:rFonts w:hint="eastAsia" w:ascii="宋体" w:hAnsi="宋体"/>
                <w:szCs w:val="21"/>
                <w:highlight w:val="none"/>
              </w:rPr>
              <w:t>投标人名称</w:t>
            </w: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337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r>
              <w:rPr>
                <w:rFonts w:hint="eastAsia" w:ascii="宋体" w:hAnsi="宋体"/>
                <w:szCs w:val="21"/>
                <w:highlight w:val="none"/>
              </w:rPr>
              <w:t>投标报价</w:t>
            </w:r>
            <w:r>
              <w:rPr>
                <w:rFonts w:ascii="宋体" w:hAnsi="宋体"/>
                <w:szCs w:val="21"/>
                <w:highlight w:val="none"/>
              </w:rPr>
              <w:t>PT</w:t>
            </w:r>
            <w:r>
              <w:rPr>
                <w:rFonts w:hint="eastAsia" w:ascii="宋体" w:hAnsi="宋体"/>
                <w:szCs w:val="21"/>
                <w:highlight w:val="none"/>
              </w:rPr>
              <w:t>（元）</w:t>
            </w: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37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r>
              <w:rPr>
                <w:rFonts w:hint="eastAsia" w:ascii="宋体" w:hAnsi="宋体"/>
                <w:szCs w:val="21"/>
                <w:highlight w:val="none"/>
              </w:rPr>
              <w:t>报价权重</w:t>
            </w: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37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r>
              <w:rPr>
                <w:rFonts w:hint="eastAsia" w:ascii="宋体" w:hAnsi="宋体"/>
                <w:szCs w:val="21"/>
                <w:highlight w:val="none"/>
              </w:rPr>
              <w:t>评标参考价PC（元）</w:t>
            </w:r>
          </w:p>
        </w:tc>
        <w:tc>
          <w:tcPr>
            <w:tcW w:w="10740" w:type="dxa"/>
            <w:gridSpan w:val="12"/>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37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r>
              <w:rPr>
                <w:rFonts w:hint="eastAsia" w:ascii="宋体" w:hAnsi="宋体"/>
                <w:szCs w:val="21"/>
                <w:highlight w:val="none"/>
              </w:rPr>
              <w:t>偏差（（</w:t>
            </w:r>
            <w:r>
              <w:rPr>
                <w:rFonts w:ascii="宋体" w:hAnsi="宋体"/>
                <w:szCs w:val="21"/>
                <w:highlight w:val="none"/>
              </w:rPr>
              <w:t>PT-PC</w:t>
            </w:r>
            <w:r>
              <w:rPr>
                <w:rFonts w:hint="eastAsia" w:ascii="宋体" w:hAnsi="宋体"/>
                <w:szCs w:val="21"/>
                <w:highlight w:val="none"/>
              </w:rPr>
              <w:t>）</w:t>
            </w:r>
            <w:r>
              <w:rPr>
                <w:rFonts w:ascii="宋体" w:hAnsi="宋体"/>
                <w:szCs w:val="21"/>
                <w:highlight w:val="none"/>
              </w:rPr>
              <w:t>/PC</w:t>
            </w:r>
            <w:r>
              <w:rPr>
                <w:rFonts w:hint="eastAsia" w:ascii="宋体" w:hAnsi="宋体"/>
                <w:szCs w:val="21"/>
                <w:highlight w:val="none"/>
              </w:rPr>
              <w:t>）（</w:t>
            </w:r>
            <w:r>
              <w:rPr>
                <w:rFonts w:ascii="宋体" w:hAnsi="宋体"/>
                <w:szCs w:val="21"/>
                <w:highlight w:val="none"/>
              </w:rPr>
              <w:t>%</w:t>
            </w:r>
            <w:r>
              <w:rPr>
                <w:rFonts w:hint="eastAsia" w:ascii="宋体" w:hAnsi="宋体"/>
                <w:szCs w:val="21"/>
                <w:highlight w:val="none"/>
              </w:rPr>
              <w:t>）</w:t>
            </w: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337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r>
              <w:rPr>
                <w:rFonts w:hint="eastAsia" w:ascii="宋体" w:hAnsi="宋体"/>
                <w:szCs w:val="21"/>
                <w:highlight w:val="none"/>
              </w:rPr>
              <w:t>减分（</w:t>
            </w:r>
            <w:r>
              <w:rPr>
                <w:rFonts w:ascii="宋体" w:hAnsi="宋体"/>
                <w:szCs w:val="21"/>
                <w:highlight w:val="none"/>
              </w:rPr>
              <w:t>A</w:t>
            </w:r>
            <w:r>
              <w:rPr>
                <w:rFonts w:hint="eastAsia" w:ascii="宋体" w:hAnsi="宋体"/>
                <w:szCs w:val="21"/>
                <w:highlight w:val="none"/>
              </w:rPr>
              <w:t>）</w:t>
            </w: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37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r>
              <w:rPr>
                <w:rFonts w:hint="eastAsia" w:ascii="宋体" w:hAnsi="宋体"/>
                <w:szCs w:val="21"/>
                <w:highlight w:val="none"/>
              </w:rPr>
              <w:t>得分</w:t>
            </w:r>
            <w:r>
              <w:rPr>
                <w:rFonts w:ascii="宋体" w:hAnsi="宋体"/>
                <w:szCs w:val="21"/>
                <w:highlight w:val="none"/>
              </w:rPr>
              <w:t>(I=100-A)</w:t>
            </w: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37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r>
              <w:rPr>
                <w:rFonts w:hint="eastAsia" w:ascii="宋体" w:hAnsi="宋体"/>
                <w:szCs w:val="21"/>
                <w:highlight w:val="none"/>
              </w:rPr>
              <w:t>得分排名次序</w:t>
            </w: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p>
        </w:tc>
      </w:tr>
    </w:tbl>
    <w:p>
      <w:pPr>
        <w:rPr>
          <w:rFonts w:hint="eastAsia" w:ascii="宋体" w:hAnsi="宋体" w:cs="宋体"/>
          <w:strike w:val="0"/>
          <w:color w:val="auto"/>
          <w:szCs w:val="21"/>
          <w:highlight w:val="none"/>
        </w:rPr>
      </w:pPr>
    </w:p>
    <w:p>
      <w:pPr>
        <w:rPr>
          <w:rFonts w:hint="eastAsia" w:ascii="宋体" w:hAnsi="宋体" w:cs="宋体"/>
          <w:strike w:val="0"/>
          <w:color w:val="auto"/>
          <w:szCs w:val="21"/>
          <w:highlight w:val="none"/>
        </w:rPr>
      </w:pPr>
      <w:r>
        <w:rPr>
          <w:rFonts w:hint="eastAsia" w:ascii="宋体" w:hAnsi="宋体" w:cs="宋体"/>
          <w:strike w:val="0"/>
          <w:color w:val="auto"/>
          <w:szCs w:val="21"/>
          <w:highlight w:val="none"/>
        </w:rPr>
        <w:t>评委签名：</w:t>
      </w:r>
    </w:p>
    <w:p>
      <w:pPr>
        <w:rPr>
          <w:rFonts w:hint="eastAsia" w:ascii="宋体" w:hAnsi="宋体" w:cs="宋体"/>
          <w:b/>
          <w:color w:val="auto"/>
          <w:szCs w:val="21"/>
          <w:highlight w:val="none"/>
        </w:rPr>
      </w:pPr>
      <w:r>
        <w:rPr>
          <w:rFonts w:hint="eastAsia" w:ascii="宋体" w:hAnsi="宋体" w:cs="宋体"/>
          <w:strike w:val="0"/>
          <w:color w:val="auto"/>
          <w:szCs w:val="21"/>
          <w:highlight w:val="none"/>
        </w:rPr>
        <w:br w:type="page"/>
      </w:r>
      <w:r>
        <w:rPr>
          <w:rFonts w:hint="eastAsia" w:ascii="宋体" w:hAnsi="宋体" w:cs="宋体"/>
          <w:color w:val="auto"/>
          <w:szCs w:val="21"/>
          <w:highlight w:val="none"/>
        </w:rPr>
        <w:t>附表六</w:t>
      </w:r>
    </w:p>
    <w:p>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算术复核表</w:t>
      </w:r>
    </w:p>
    <w:p>
      <w:pPr>
        <w:rPr>
          <w:rFonts w:hint="eastAsia" w:ascii="宋体" w:hAnsi="宋体" w:cs="宋体"/>
          <w:color w:val="auto"/>
          <w:kern w:val="0"/>
          <w:szCs w:val="21"/>
          <w:highlight w:val="none"/>
        </w:rPr>
      </w:pPr>
      <w:r>
        <w:rPr>
          <w:rFonts w:hint="eastAsia" w:ascii="宋体" w:hAnsi="宋体" w:cs="宋体"/>
          <w:color w:val="auto"/>
          <w:kern w:val="0"/>
          <w:szCs w:val="21"/>
          <w:highlight w:val="none"/>
        </w:rPr>
        <w:t>工程名称：                                           投标人:                                                  单位：元</w:t>
      </w:r>
    </w:p>
    <w:tbl>
      <w:tblPr>
        <w:tblStyle w:val="52"/>
        <w:tblW w:w="13704" w:type="dxa"/>
        <w:jc w:val="center"/>
        <w:tblLayout w:type="fixed"/>
        <w:tblCellMar>
          <w:top w:w="0" w:type="dxa"/>
          <w:left w:w="108" w:type="dxa"/>
          <w:bottom w:w="0" w:type="dxa"/>
          <w:right w:w="108" w:type="dxa"/>
        </w:tblCellMar>
      </w:tblPr>
      <w:tblGrid>
        <w:gridCol w:w="843"/>
        <w:gridCol w:w="2883"/>
        <w:gridCol w:w="1530"/>
        <w:gridCol w:w="1590"/>
        <w:gridCol w:w="1923"/>
        <w:gridCol w:w="1470"/>
        <w:gridCol w:w="3465"/>
      </w:tblGrid>
      <w:tr>
        <w:tblPrEx>
          <w:tblCellMar>
            <w:top w:w="0" w:type="dxa"/>
            <w:left w:w="108" w:type="dxa"/>
            <w:bottom w:w="0" w:type="dxa"/>
            <w:right w:w="108" w:type="dxa"/>
          </w:tblCellMar>
        </w:tblPrEx>
        <w:trPr>
          <w:trHeight w:val="705" w:hRule="atLeast"/>
          <w:jc w:val="center"/>
        </w:trPr>
        <w:tc>
          <w:tcPr>
            <w:tcW w:w="843" w:type="dxa"/>
            <w:tcBorders>
              <w:top w:val="single" w:color="auto" w:sz="4" w:space="0"/>
              <w:left w:val="single" w:color="auto" w:sz="4" w:space="0"/>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编号</w:t>
            </w:r>
          </w:p>
        </w:tc>
        <w:tc>
          <w:tcPr>
            <w:tcW w:w="2883" w:type="dxa"/>
            <w:tcBorders>
              <w:top w:val="single" w:color="auto" w:sz="4" w:space="0"/>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算术校核项目</w:t>
            </w:r>
          </w:p>
        </w:tc>
        <w:tc>
          <w:tcPr>
            <w:tcW w:w="1530" w:type="dxa"/>
            <w:tcBorders>
              <w:top w:val="single" w:color="auto" w:sz="4" w:space="0"/>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修正前投标</w:t>
            </w:r>
          </w:p>
          <w:p>
            <w:pPr>
              <w:rPr>
                <w:rFonts w:ascii="宋体"/>
                <w:kern w:val="0"/>
                <w:highlight w:val="none"/>
              </w:rPr>
            </w:pPr>
            <w:r>
              <w:rPr>
                <w:rFonts w:hint="eastAsia" w:ascii="宋体" w:hAnsi="宋体"/>
                <w:kern w:val="0"/>
                <w:highlight w:val="none"/>
              </w:rPr>
              <w:t>报价A</w:t>
            </w:r>
          </w:p>
        </w:tc>
        <w:tc>
          <w:tcPr>
            <w:tcW w:w="1590" w:type="dxa"/>
            <w:tcBorders>
              <w:top w:val="single" w:color="auto" w:sz="4" w:space="0"/>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修正后投标</w:t>
            </w:r>
          </w:p>
          <w:p>
            <w:pPr>
              <w:rPr>
                <w:rFonts w:ascii="宋体"/>
                <w:kern w:val="0"/>
                <w:highlight w:val="none"/>
              </w:rPr>
            </w:pPr>
            <w:r>
              <w:rPr>
                <w:rFonts w:hint="eastAsia" w:ascii="宋体" w:hAnsi="宋体"/>
                <w:kern w:val="0"/>
                <w:highlight w:val="none"/>
              </w:rPr>
              <w:t>报价B</w:t>
            </w:r>
          </w:p>
        </w:tc>
        <w:tc>
          <w:tcPr>
            <w:tcW w:w="1923" w:type="dxa"/>
            <w:tcBorders>
              <w:top w:val="single" w:color="auto" w:sz="4" w:space="0"/>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修正率</w:t>
            </w:r>
            <w:r>
              <w:rPr>
                <w:rFonts w:hint="eastAsia" w:ascii="宋体"/>
                <w:kern w:val="0"/>
                <w:highlight w:val="none"/>
              </w:rPr>
              <w:br w:type="textWrapping"/>
            </w:r>
            <w:r>
              <w:rPr>
                <w:rFonts w:hint="eastAsia" w:ascii="宋体" w:hAnsi="宋体"/>
                <w:kern w:val="0"/>
                <w:highlight w:val="none"/>
              </w:rPr>
              <w:t>r=|A-B|/A*100%</w:t>
            </w:r>
          </w:p>
        </w:tc>
        <w:tc>
          <w:tcPr>
            <w:tcW w:w="1470" w:type="dxa"/>
            <w:tcBorders>
              <w:top w:val="single" w:color="auto" w:sz="4" w:space="0"/>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经评审的最终投标报价</w:t>
            </w:r>
          </w:p>
        </w:tc>
        <w:tc>
          <w:tcPr>
            <w:tcW w:w="3465" w:type="dxa"/>
            <w:tcBorders>
              <w:top w:val="single" w:color="auto" w:sz="4" w:space="0"/>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当B&gt;A时，修正后报价与原报价的差额；当B≤A时,R=0</w:t>
            </w:r>
          </w:p>
        </w:tc>
      </w:tr>
      <w:tr>
        <w:tblPrEx>
          <w:tblCellMar>
            <w:top w:w="0" w:type="dxa"/>
            <w:left w:w="108" w:type="dxa"/>
            <w:bottom w:w="0" w:type="dxa"/>
            <w:right w:w="108" w:type="dxa"/>
          </w:tblCellMar>
        </w:tblPrEx>
        <w:trPr>
          <w:trHeight w:val="600" w:hRule="atLeast"/>
          <w:jc w:val="center"/>
        </w:trPr>
        <w:tc>
          <w:tcPr>
            <w:tcW w:w="843" w:type="dxa"/>
            <w:tcBorders>
              <w:top w:val="nil"/>
              <w:left w:val="single" w:color="auto" w:sz="4" w:space="0"/>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1</w:t>
            </w:r>
          </w:p>
        </w:tc>
        <w:tc>
          <w:tcPr>
            <w:tcW w:w="2883"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[单位工程1]</w:t>
            </w:r>
          </w:p>
        </w:tc>
        <w:tc>
          <w:tcPr>
            <w:tcW w:w="1530"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1590"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1923"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1470"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ascii="宋体"/>
                <w:kern w:val="0"/>
                <w:highlight w:val="none"/>
              </w:rPr>
            </w:pPr>
          </w:p>
        </w:tc>
      </w:tr>
      <w:tr>
        <w:tblPrEx>
          <w:tblCellMar>
            <w:top w:w="0" w:type="dxa"/>
            <w:left w:w="108" w:type="dxa"/>
            <w:bottom w:w="0" w:type="dxa"/>
            <w:right w:w="108" w:type="dxa"/>
          </w:tblCellMar>
        </w:tblPrEx>
        <w:trPr>
          <w:trHeight w:val="600" w:hRule="atLeast"/>
          <w:jc w:val="center"/>
        </w:trPr>
        <w:tc>
          <w:tcPr>
            <w:tcW w:w="843" w:type="dxa"/>
            <w:tcBorders>
              <w:top w:val="nil"/>
              <w:left w:val="single" w:color="auto" w:sz="4" w:space="0"/>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2</w:t>
            </w:r>
          </w:p>
        </w:tc>
        <w:tc>
          <w:tcPr>
            <w:tcW w:w="2883"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[单位工程2]</w:t>
            </w:r>
          </w:p>
        </w:tc>
        <w:tc>
          <w:tcPr>
            <w:tcW w:w="1530"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1590"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1923"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1470"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ascii="宋体"/>
                <w:kern w:val="0"/>
                <w:highlight w:val="none"/>
              </w:rPr>
            </w:pPr>
          </w:p>
        </w:tc>
      </w:tr>
      <w:tr>
        <w:tblPrEx>
          <w:tblCellMar>
            <w:top w:w="0" w:type="dxa"/>
            <w:left w:w="108" w:type="dxa"/>
            <w:bottom w:w="0" w:type="dxa"/>
            <w:right w:w="108" w:type="dxa"/>
          </w:tblCellMar>
        </w:tblPrEx>
        <w:trPr>
          <w:trHeight w:val="600" w:hRule="atLeast"/>
          <w:jc w:val="center"/>
        </w:trPr>
        <w:tc>
          <w:tcPr>
            <w:tcW w:w="843" w:type="dxa"/>
            <w:tcBorders>
              <w:top w:val="nil"/>
              <w:left w:val="single" w:color="auto" w:sz="4" w:space="0"/>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w:t>
            </w:r>
          </w:p>
        </w:tc>
        <w:tc>
          <w:tcPr>
            <w:tcW w:w="2883"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w:t>
            </w:r>
          </w:p>
        </w:tc>
        <w:tc>
          <w:tcPr>
            <w:tcW w:w="1530"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1590"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1923"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1470"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ascii="宋体"/>
                <w:kern w:val="0"/>
                <w:highlight w:val="none"/>
              </w:rPr>
            </w:pPr>
          </w:p>
        </w:tc>
      </w:tr>
      <w:tr>
        <w:tblPrEx>
          <w:tblCellMar>
            <w:top w:w="0" w:type="dxa"/>
            <w:left w:w="108" w:type="dxa"/>
            <w:bottom w:w="0" w:type="dxa"/>
            <w:right w:w="108" w:type="dxa"/>
          </w:tblCellMar>
        </w:tblPrEx>
        <w:trPr>
          <w:trHeight w:val="600" w:hRule="atLeast"/>
          <w:jc w:val="center"/>
        </w:trPr>
        <w:tc>
          <w:tcPr>
            <w:tcW w:w="843" w:type="dxa"/>
            <w:tcBorders>
              <w:top w:val="nil"/>
              <w:left w:val="single" w:color="auto" w:sz="4" w:space="0"/>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w:t>
            </w:r>
          </w:p>
        </w:tc>
        <w:tc>
          <w:tcPr>
            <w:tcW w:w="2883"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w:t>
            </w:r>
          </w:p>
        </w:tc>
        <w:tc>
          <w:tcPr>
            <w:tcW w:w="1530"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1590"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1923"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1470"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ascii="宋体"/>
                <w:kern w:val="0"/>
                <w:highlight w:val="none"/>
              </w:rPr>
            </w:pPr>
          </w:p>
        </w:tc>
      </w:tr>
      <w:tr>
        <w:tblPrEx>
          <w:tblCellMar>
            <w:top w:w="0" w:type="dxa"/>
            <w:left w:w="108" w:type="dxa"/>
            <w:bottom w:w="0" w:type="dxa"/>
            <w:right w:w="108" w:type="dxa"/>
          </w:tblCellMar>
        </w:tblPrEx>
        <w:trPr>
          <w:trHeight w:val="600" w:hRule="atLeast"/>
          <w:jc w:val="center"/>
        </w:trPr>
        <w:tc>
          <w:tcPr>
            <w:tcW w:w="843" w:type="dxa"/>
            <w:tcBorders>
              <w:top w:val="nil"/>
              <w:left w:val="single" w:color="auto" w:sz="4" w:space="0"/>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w:t>
            </w:r>
          </w:p>
        </w:tc>
        <w:tc>
          <w:tcPr>
            <w:tcW w:w="2883"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w:t>
            </w:r>
          </w:p>
        </w:tc>
        <w:tc>
          <w:tcPr>
            <w:tcW w:w="1530"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1590"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1923"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1470"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ascii="宋体"/>
                <w:kern w:val="0"/>
                <w:highlight w:val="none"/>
              </w:rPr>
            </w:pPr>
          </w:p>
        </w:tc>
      </w:tr>
      <w:tr>
        <w:tblPrEx>
          <w:tblCellMar>
            <w:top w:w="0" w:type="dxa"/>
            <w:left w:w="108" w:type="dxa"/>
            <w:bottom w:w="0" w:type="dxa"/>
            <w:right w:w="108" w:type="dxa"/>
          </w:tblCellMar>
        </w:tblPrEx>
        <w:trPr>
          <w:trHeight w:val="600" w:hRule="atLeast"/>
          <w:jc w:val="center"/>
        </w:trPr>
        <w:tc>
          <w:tcPr>
            <w:tcW w:w="843" w:type="dxa"/>
            <w:tcBorders>
              <w:top w:val="nil"/>
              <w:left w:val="single" w:color="auto" w:sz="4" w:space="0"/>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n</w:t>
            </w:r>
          </w:p>
        </w:tc>
        <w:tc>
          <w:tcPr>
            <w:tcW w:w="2883"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[单位工程n]</w:t>
            </w:r>
          </w:p>
        </w:tc>
        <w:tc>
          <w:tcPr>
            <w:tcW w:w="1530"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1590"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1923"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1470"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ascii="宋体"/>
                <w:kern w:val="0"/>
                <w:highlight w:val="none"/>
              </w:rPr>
            </w:pPr>
          </w:p>
        </w:tc>
      </w:tr>
      <w:tr>
        <w:tblPrEx>
          <w:tblCellMar>
            <w:top w:w="0" w:type="dxa"/>
            <w:left w:w="108" w:type="dxa"/>
            <w:bottom w:w="0" w:type="dxa"/>
            <w:right w:w="108" w:type="dxa"/>
          </w:tblCellMar>
        </w:tblPrEx>
        <w:trPr>
          <w:trHeight w:val="600" w:hRule="atLeast"/>
          <w:jc w:val="center"/>
        </w:trPr>
        <w:tc>
          <w:tcPr>
            <w:tcW w:w="843" w:type="dxa"/>
            <w:tcBorders>
              <w:top w:val="nil"/>
              <w:left w:val="single" w:color="auto" w:sz="4" w:space="0"/>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w:t>
            </w:r>
          </w:p>
        </w:tc>
        <w:tc>
          <w:tcPr>
            <w:tcW w:w="2883"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投标总报价</w:t>
            </w:r>
          </w:p>
        </w:tc>
        <w:tc>
          <w:tcPr>
            <w:tcW w:w="1530"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1590"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1923"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1470" w:type="dxa"/>
            <w:tcBorders>
              <w:top w:val="nil"/>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ascii="宋体"/>
                <w:kern w:val="0"/>
                <w:highlight w:val="none"/>
              </w:rPr>
            </w:pPr>
            <w:r>
              <w:rPr>
                <w:rFonts w:hint="eastAsia" w:ascii="宋体" w:hAnsi="宋体"/>
                <w:kern w:val="0"/>
                <w:highlight w:val="none"/>
              </w:rPr>
              <w:t>∑A=A</w:t>
            </w:r>
            <w:r>
              <w:rPr>
                <w:rFonts w:hint="eastAsia" w:ascii="宋体" w:hAnsi="宋体"/>
                <w:kern w:val="0"/>
                <w:highlight w:val="none"/>
                <w:vertAlign w:val="subscript"/>
              </w:rPr>
              <w:t>1</w:t>
            </w:r>
            <w:r>
              <w:rPr>
                <w:rFonts w:hint="eastAsia" w:ascii="宋体" w:hAnsi="宋体"/>
                <w:kern w:val="0"/>
                <w:highlight w:val="none"/>
              </w:rPr>
              <w:t>+A</w:t>
            </w:r>
            <w:r>
              <w:rPr>
                <w:rFonts w:hint="eastAsia" w:ascii="宋体" w:hAnsi="宋体"/>
                <w:kern w:val="0"/>
                <w:highlight w:val="none"/>
                <w:vertAlign w:val="subscript"/>
              </w:rPr>
              <w:t>2</w:t>
            </w:r>
            <w:r>
              <w:rPr>
                <w:rFonts w:hint="eastAsia" w:ascii="宋体" w:hAnsi="宋体"/>
                <w:kern w:val="0"/>
                <w:highlight w:val="none"/>
              </w:rPr>
              <w:t>+…An；∑B=B</w:t>
            </w:r>
            <w:r>
              <w:rPr>
                <w:rFonts w:hint="eastAsia" w:ascii="宋体" w:hAnsi="宋体"/>
                <w:kern w:val="0"/>
                <w:highlight w:val="none"/>
                <w:vertAlign w:val="subscript"/>
              </w:rPr>
              <w:t>1</w:t>
            </w:r>
            <w:r>
              <w:rPr>
                <w:rFonts w:hint="eastAsia" w:ascii="宋体" w:hAnsi="宋体"/>
                <w:kern w:val="0"/>
                <w:highlight w:val="none"/>
              </w:rPr>
              <w:t>+B</w:t>
            </w:r>
            <w:r>
              <w:rPr>
                <w:rFonts w:hint="eastAsia" w:ascii="宋体" w:hAnsi="宋体"/>
                <w:kern w:val="0"/>
                <w:highlight w:val="none"/>
                <w:vertAlign w:val="subscript"/>
              </w:rPr>
              <w:t>2</w:t>
            </w:r>
            <w:r>
              <w:rPr>
                <w:rFonts w:hint="eastAsia" w:ascii="宋体" w:hAnsi="宋体"/>
                <w:kern w:val="0"/>
                <w:highlight w:val="none"/>
              </w:rPr>
              <w:t>+…Bn</w:t>
            </w:r>
          </w:p>
        </w:tc>
      </w:tr>
    </w:tbl>
    <w:p>
      <w:pPr>
        <w:rPr>
          <w:rFonts w:hint="eastAsia" w:ascii="宋体" w:hAnsi="宋体" w:cs="宋体"/>
          <w:color w:val="auto"/>
          <w:kern w:val="0"/>
          <w:szCs w:val="21"/>
          <w:highlight w:val="none"/>
        </w:rPr>
      </w:pPr>
      <w:r>
        <w:rPr>
          <w:rFonts w:hint="eastAsia" w:ascii="宋体" w:hAnsi="宋体"/>
          <w:kern w:val="0"/>
          <w:highlight w:val="none"/>
        </w:rPr>
        <w:t>修正原则：</w:t>
      </w:r>
      <w:r>
        <w:rPr>
          <w:rFonts w:hint="eastAsia" w:ascii="宋体" w:hAnsi="宋体"/>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color w:val="auto"/>
          <w:kern w:val="0"/>
          <w:szCs w:val="21"/>
          <w:highlight w:val="none"/>
        </w:rPr>
        <w:tab/>
      </w:r>
    </w:p>
    <w:p>
      <w:pPr>
        <w:rPr>
          <w:rFonts w:hint="eastAsia" w:ascii="宋体" w:hAnsi="宋体" w:cs="宋体"/>
          <w:color w:val="auto"/>
          <w:kern w:val="0"/>
          <w:szCs w:val="21"/>
          <w:highlight w:val="none"/>
        </w:rPr>
      </w:pPr>
    </w:p>
    <w:p>
      <w:pPr>
        <w:rPr>
          <w:rFonts w:hint="eastAsia" w:ascii="宋体" w:hAnsi="宋体" w:cs="宋体"/>
          <w:color w:val="auto"/>
          <w:kern w:val="0"/>
          <w:szCs w:val="21"/>
          <w:highlight w:val="none"/>
        </w:rPr>
      </w:pPr>
      <w:r>
        <w:rPr>
          <w:rFonts w:hint="eastAsia" w:ascii="宋体" w:hAnsi="宋体" w:cs="宋体"/>
          <w:color w:val="auto"/>
          <w:kern w:val="0"/>
          <w:szCs w:val="21"/>
          <w:highlight w:val="none"/>
        </w:rPr>
        <w:t>评委签名：</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日期：</w:t>
      </w:r>
    </w:p>
    <w:p>
      <w:pPr>
        <w:rPr>
          <w:rFonts w:hint="eastAsia" w:ascii="宋体" w:hAnsi="宋体" w:cs="宋体"/>
          <w:color w:val="auto"/>
          <w:highlight w:val="none"/>
        </w:rPr>
      </w:pPr>
    </w:p>
    <w:p>
      <w:pPr>
        <w:rPr>
          <w:rFonts w:hint="eastAsia" w:ascii="宋体" w:hAnsi="宋体" w:cs="宋体"/>
          <w:color w:val="auto"/>
          <w:highlight w:val="none"/>
        </w:rPr>
      </w:pPr>
      <w:r>
        <w:rPr>
          <w:rFonts w:hint="eastAsia" w:ascii="宋体" w:hAnsi="宋体" w:cs="宋体"/>
          <w:color w:val="auto"/>
          <w:highlight w:val="none"/>
        </w:rPr>
        <w:br w:type="page"/>
      </w:r>
    </w:p>
    <w:p>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算术复核表</w:t>
      </w:r>
    </w:p>
    <w:p>
      <w:pPr>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52"/>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3581"/>
        <w:gridCol w:w="2595"/>
        <w:gridCol w:w="3552"/>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0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编号</w:t>
            </w:r>
          </w:p>
        </w:tc>
        <w:tc>
          <w:tcPr>
            <w:tcW w:w="35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投标人名称</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原投标报价（A）</w:t>
            </w:r>
          </w:p>
        </w:tc>
        <w:tc>
          <w:tcPr>
            <w:tcW w:w="35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算数复核后投标报价（B）</w:t>
            </w:r>
          </w:p>
        </w:tc>
        <w:tc>
          <w:tcPr>
            <w:tcW w:w="34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5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5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5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5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5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5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5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5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5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5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5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5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5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5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5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5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36"/>
                <w:szCs w:val="36"/>
                <w:highlight w:val="none"/>
              </w:rPr>
            </w:pPr>
          </w:p>
        </w:tc>
      </w:tr>
    </w:tbl>
    <w:p>
      <w:pPr>
        <w:rPr>
          <w:rFonts w:hint="eastAsia" w:ascii="宋体" w:hAnsi="宋体" w:cs="宋体"/>
          <w:color w:val="auto"/>
          <w:szCs w:val="21"/>
          <w:highlight w:val="none"/>
        </w:rPr>
      </w:pPr>
    </w:p>
    <w:p>
      <w:pPr>
        <w:rPr>
          <w:rFonts w:hint="eastAsia" w:ascii="宋体" w:hAnsi="宋体" w:cs="宋体"/>
          <w:color w:val="auto"/>
          <w:szCs w:val="21"/>
          <w:highlight w:val="none"/>
        </w:rPr>
      </w:pPr>
      <w:r>
        <w:rPr>
          <w:rFonts w:hint="eastAsia" w:ascii="宋体" w:hAnsi="宋体" w:cs="宋体"/>
          <w:color w:val="auto"/>
          <w:szCs w:val="21"/>
          <w:highlight w:val="none"/>
        </w:rPr>
        <w:t>评委签名：</w:t>
      </w:r>
    </w:p>
    <w:p>
      <w:pPr>
        <w:spacing w:line="360" w:lineRule="auto"/>
        <w:jc w:val="center"/>
        <w:rPr>
          <w:rFonts w:hint="eastAsia" w:ascii="宋体" w:hAnsi="宋体" w:cs="宋体"/>
          <w:color w:val="auto"/>
          <w:szCs w:val="21"/>
          <w:highlight w:val="none"/>
        </w:rPr>
        <w:sectPr>
          <w:headerReference r:id="rId21" w:type="first"/>
          <w:footerReference r:id="rId24" w:type="first"/>
          <w:headerReference r:id="rId19" w:type="default"/>
          <w:footerReference r:id="rId22" w:type="default"/>
          <w:headerReference r:id="rId20" w:type="even"/>
          <w:footerReference r:id="rId23" w:type="even"/>
          <w:endnotePr>
            <w:numFmt w:val="decimal"/>
          </w:endnotePr>
          <w:pgSz w:w="16838" w:h="11906" w:orient="landscape"/>
          <w:pgMar w:top="1304" w:right="1531" w:bottom="1304" w:left="1531" w:header="851" w:footer="907" w:gutter="0"/>
          <w:pgBorders>
            <w:top w:val="none" w:sz="0" w:space="0"/>
            <w:left w:val="none" w:sz="0" w:space="0"/>
            <w:bottom w:val="none" w:sz="0" w:space="0"/>
            <w:right w:val="none" w:sz="0" w:space="0"/>
          </w:pgBorders>
          <w:cols w:space="720" w:num="1"/>
          <w:titlePg/>
          <w:docGrid w:type="lines" w:linePitch="312" w:charSpace="0"/>
        </w:sectPr>
      </w:pPr>
    </w:p>
    <w:p>
      <w:pPr>
        <w:pStyle w:val="3"/>
        <w:jc w:val="center"/>
        <w:rPr>
          <w:rFonts w:hint="eastAsia" w:ascii="宋体" w:hAnsi="宋体" w:cs="宋体"/>
          <w:b/>
          <w:bCs/>
          <w:color w:val="auto"/>
          <w:highlight w:val="none"/>
        </w:rPr>
      </w:pPr>
      <w:bookmarkStart w:id="15" w:name="_Toc2672"/>
      <w:r>
        <w:rPr>
          <w:rFonts w:hint="eastAsia" w:ascii="宋体" w:hAnsi="宋体" w:cs="宋体"/>
          <w:b/>
          <w:bCs/>
          <w:color w:val="auto"/>
          <w:highlight w:val="none"/>
        </w:rPr>
        <w:t>第三章  合同条款</w:t>
      </w:r>
      <w:bookmarkEnd w:id="15"/>
    </w:p>
    <w:p>
      <w:pPr>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（另册）</w:t>
      </w:r>
    </w:p>
    <w:p>
      <w:pPr>
        <w:widowControl/>
        <w:spacing w:after="240" w:afterLines="100" w:line="360" w:lineRule="auto"/>
        <w:jc w:val="center"/>
        <w:rPr>
          <w:rFonts w:ascii="宋体" w:hAnsi="宋体" w:eastAsia="宋体"/>
          <w:bCs/>
          <w:color w:val="auto"/>
          <w:sz w:val="24"/>
          <w:szCs w:val="24"/>
          <w:highlight w:val="none"/>
        </w:rPr>
      </w:pPr>
    </w:p>
    <w:p>
      <w:pPr>
        <w:spacing w:line="360" w:lineRule="auto"/>
        <w:jc w:val="center"/>
        <w:outlineLvl w:val="0"/>
        <w:rPr>
          <w:rFonts w:hint="eastAsia" w:ascii="宋体" w:hAnsi="宋体" w:eastAsia="宋体" w:cs="宋体"/>
          <w:b/>
          <w:bCs/>
          <w:color w:val="auto"/>
          <w:highlight w:val="none"/>
        </w:rPr>
      </w:pPr>
      <w:r>
        <w:rPr>
          <w:rFonts w:hint="eastAsia" w:ascii="宋体" w:hAnsi="宋体" w:cs="宋体"/>
          <w:b/>
          <w:bCs/>
          <w:color w:val="auto"/>
          <w:sz w:val="32"/>
          <w:szCs w:val="32"/>
          <w:highlight w:val="none"/>
        </w:rPr>
        <w:br w:type="page"/>
      </w:r>
      <w:bookmarkStart w:id="16" w:name="_Toc22448"/>
      <w:r>
        <w:rPr>
          <w:rFonts w:hint="eastAsia" w:ascii="宋体" w:hAnsi="宋体" w:eastAsia="宋体" w:cs="宋体"/>
          <w:b/>
          <w:bCs/>
          <w:color w:val="auto"/>
          <w:kern w:val="44"/>
          <w:sz w:val="28"/>
          <w:szCs w:val="28"/>
          <w:highlight w:val="none"/>
          <w:lang w:val="en-US" w:eastAsia="zh-CN" w:bidi="ar-SA"/>
        </w:rPr>
        <w:t>第四章  投标文件格式</w:t>
      </w:r>
      <w:bookmarkEnd w:id="16"/>
    </w:p>
    <w:p>
      <w:pPr>
        <w:jc w:val="center"/>
        <w:rPr>
          <w:rFonts w:hint="eastAsia" w:ascii="宋体" w:hAnsi="宋体" w:cs="宋体"/>
          <w:b/>
          <w:color w:val="auto"/>
          <w:sz w:val="24"/>
          <w:szCs w:val="24"/>
          <w:highlight w:val="none"/>
        </w:rPr>
      </w:pPr>
      <w:r>
        <w:rPr>
          <w:rFonts w:hint="eastAsia" w:ascii="宋体" w:hAnsi="宋体" w:cs="宋体"/>
          <w:color w:val="auto"/>
          <w:sz w:val="24"/>
          <w:szCs w:val="24"/>
          <w:highlight w:val="none"/>
        </w:rPr>
        <w:t>注：本章由招标人自行制定</w:t>
      </w:r>
      <w:r>
        <w:rPr>
          <w:rFonts w:hint="eastAsia" w:ascii="宋体" w:hAnsi="宋体" w:cs="宋体"/>
          <w:color w:val="auto"/>
          <w:sz w:val="24"/>
          <w:szCs w:val="24"/>
          <w:highlight w:val="none"/>
          <w:u w:val="single"/>
        </w:rPr>
        <w:t>，如招标人无提供由投标人自行制定</w:t>
      </w:r>
      <w:r>
        <w:rPr>
          <w:rFonts w:hint="eastAsia" w:ascii="宋体" w:hAnsi="宋体" w:cs="宋体"/>
          <w:color w:val="auto"/>
          <w:sz w:val="24"/>
          <w:szCs w:val="24"/>
          <w:highlight w:val="none"/>
        </w:rPr>
        <w:t>。</w:t>
      </w:r>
    </w:p>
    <w:p>
      <w:pPr>
        <w:autoSpaceDE w:val="0"/>
        <w:autoSpaceDN w:val="0"/>
        <w:adjustRightInd w:val="0"/>
        <w:rPr>
          <w:rFonts w:hint="eastAsia" w:ascii="宋体" w:hAnsi="宋体" w:cs="宋体"/>
          <w:bCs/>
          <w:color w:val="auto"/>
          <w:szCs w:val="21"/>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附件一：</w:t>
      </w:r>
    </w:p>
    <w:p>
      <w:pPr>
        <w:autoSpaceDE w:val="0"/>
        <w:autoSpaceDN w:val="0"/>
        <w:adjustRightInd w:val="0"/>
        <w:rPr>
          <w:rFonts w:hint="eastAsia" w:ascii="宋体" w:hAnsi="宋体" w:cs="宋体"/>
          <w:b/>
          <w:bCs/>
          <w:color w:val="auto"/>
          <w:szCs w:val="21"/>
          <w:highlight w:val="none"/>
          <w:lang w:val="zh-CN"/>
        </w:rPr>
      </w:pPr>
      <w:r>
        <w:rPr>
          <w:rFonts w:hint="eastAsia" w:ascii="宋体" w:hAnsi="宋体" w:cs="宋体"/>
          <w:bCs/>
          <w:color w:val="auto"/>
          <w:szCs w:val="21"/>
          <w:highlight w:val="none"/>
        </w:rPr>
        <w:t>（适用于技术标与经济标同时开启）</w:t>
      </w:r>
    </w:p>
    <w:p>
      <w:pPr>
        <w:autoSpaceDE w:val="0"/>
        <w:autoSpaceDN w:val="0"/>
        <w:adjustRightInd w:val="0"/>
        <w:ind w:left="-540" w:leftChars="-257" w:firstLine="1135" w:firstLineChars="257"/>
        <w:jc w:val="center"/>
        <w:rPr>
          <w:rFonts w:hint="eastAsia" w:ascii="宋体" w:hAnsi="宋体" w:cs="宋体"/>
          <w:b/>
          <w:bCs/>
          <w:color w:val="auto"/>
          <w:sz w:val="44"/>
          <w:szCs w:val="44"/>
          <w:highlight w:val="none"/>
          <w:lang w:val="zh-CN"/>
        </w:rPr>
      </w:pPr>
    </w:p>
    <w:p>
      <w:pPr>
        <w:autoSpaceDE w:val="0"/>
        <w:autoSpaceDN w:val="0"/>
        <w:adjustRightInd w:val="0"/>
        <w:ind w:left="-540" w:leftChars="-257" w:firstLine="1135" w:firstLineChars="257"/>
        <w:jc w:val="center"/>
        <w:rPr>
          <w:rFonts w:hint="eastAsia" w:ascii="宋体" w:hAnsi="宋体" w:cs="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52"/>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0"/>
        <w:gridCol w:w="4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7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工 程 名 称</w:t>
            </w:r>
          </w:p>
        </w:tc>
        <w:tc>
          <w:tcPr>
            <w:tcW w:w="46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7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46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7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46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46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7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投 标 总 工 期</w:t>
            </w:r>
          </w:p>
        </w:tc>
        <w:tc>
          <w:tcPr>
            <w:tcW w:w="46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
                <w:bCs/>
                <w:color w:val="auto"/>
                <w:sz w:val="24"/>
                <w:szCs w:val="24"/>
                <w:highlight w:val="none"/>
                <w:u w:val="singl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7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val="zh-CN"/>
              </w:rPr>
              <w:t>工程质量标准</w:t>
            </w:r>
          </w:p>
        </w:tc>
        <w:tc>
          <w:tcPr>
            <w:tcW w:w="46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auto"/>
                <w:sz w:val="24"/>
                <w:szCs w:val="24"/>
                <w:highlight w:val="none"/>
                <w:u w:val="singl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7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保 修 期 限</w:t>
            </w:r>
          </w:p>
        </w:tc>
        <w:tc>
          <w:tcPr>
            <w:tcW w:w="46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
                <w:bCs/>
                <w:color w:val="auto"/>
                <w:sz w:val="24"/>
                <w:szCs w:val="24"/>
                <w:highlight w:val="none"/>
                <w:u w:val="single"/>
                <w:lang w:val="zh-CN"/>
              </w:rPr>
            </w:pPr>
          </w:p>
        </w:tc>
      </w:tr>
    </w:tbl>
    <w:p>
      <w:pPr>
        <w:tabs>
          <w:tab w:val="left" w:pos="720"/>
        </w:tabs>
        <w:snapToGrid w:val="0"/>
        <w:spacing w:line="360" w:lineRule="auto"/>
        <w:rPr>
          <w:rFonts w:hint="eastAsia" w:ascii="宋体" w:hAnsi="宋体" w:cs="宋体"/>
          <w:color w:val="auto"/>
          <w:sz w:val="24"/>
          <w:szCs w:val="24"/>
          <w:highlight w:val="none"/>
        </w:rPr>
      </w:pPr>
    </w:p>
    <w:p>
      <w:pPr>
        <w:autoSpaceDE w:val="0"/>
        <w:autoSpaceDN w:val="0"/>
        <w:adjustRightInd w:val="0"/>
        <w:rPr>
          <w:rFonts w:hint="eastAsia" w:ascii="宋体" w:hAnsi="宋体" w:cs="宋体"/>
          <w:color w:val="auto"/>
          <w:szCs w:val="21"/>
          <w:highlight w:val="none"/>
        </w:rPr>
      </w:pPr>
      <w:r>
        <w:rPr>
          <w:rFonts w:hint="eastAsia" w:ascii="宋体" w:hAnsi="宋体" w:cs="宋体"/>
          <w:strike/>
          <w:color w:val="auto"/>
          <w:sz w:val="24"/>
          <w:szCs w:val="24"/>
          <w:highlight w:val="none"/>
        </w:rPr>
        <w:br w:type="page"/>
      </w:r>
      <w:r>
        <w:rPr>
          <w:rFonts w:hint="eastAsia" w:ascii="宋体" w:hAnsi="宋体" w:cs="宋体"/>
          <w:color w:val="auto"/>
          <w:sz w:val="24"/>
          <w:szCs w:val="24"/>
          <w:highlight w:val="none"/>
        </w:rPr>
        <w:t>附件二：</w:t>
      </w:r>
    </w:p>
    <w:p>
      <w:pPr>
        <w:tabs>
          <w:tab w:val="left" w:pos="720"/>
        </w:tabs>
        <w:snapToGrid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投标文件编制人员名单</w:t>
      </w:r>
    </w:p>
    <w:p>
      <w:pPr>
        <w:tabs>
          <w:tab w:val="left" w:pos="720"/>
        </w:tabs>
        <w:snapToGrid w:val="0"/>
        <w:spacing w:line="360" w:lineRule="auto"/>
        <w:rPr>
          <w:rFonts w:hint="eastAsia" w:ascii="宋体" w:hAnsi="宋体" w:cs="宋体"/>
          <w:color w:val="auto"/>
          <w:sz w:val="24"/>
          <w:szCs w:val="24"/>
          <w:highlight w:val="none"/>
        </w:rPr>
      </w:pPr>
    </w:p>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一、参与编制技术标投标文件人员名单</w:t>
      </w:r>
    </w:p>
    <w:tbl>
      <w:tblPr>
        <w:tblStyle w:val="52"/>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495"/>
        <w:gridCol w:w="1800"/>
        <w:gridCol w:w="2323"/>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760"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49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所承担工作</w:t>
            </w:r>
          </w:p>
        </w:tc>
        <w:tc>
          <w:tcPr>
            <w:tcW w:w="232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5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5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5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5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5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5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5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5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bl>
    <w:p>
      <w:pPr>
        <w:tabs>
          <w:tab w:val="left" w:pos="720"/>
        </w:tabs>
        <w:snapToGrid w:val="0"/>
        <w:spacing w:line="360" w:lineRule="auto"/>
        <w:rPr>
          <w:rFonts w:hint="eastAsia" w:ascii="宋体" w:hAnsi="宋体" w:cs="宋体"/>
          <w:color w:val="auto"/>
          <w:sz w:val="24"/>
          <w:szCs w:val="24"/>
          <w:highlight w:val="none"/>
        </w:rPr>
      </w:pPr>
    </w:p>
    <w:p>
      <w:pPr>
        <w:tabs>
          <w:tab w:val="left" w:pos="720"/>
        </w:tabs>
        <w:snapToGrid w:val="0"/>
        <w:spacing w:line="360" w:lineRule="auto"/>
        <w:rPr>
          <w:rFonts w:hint="eastAsia" w:ascii="宋体" w:hAnsi="宋体" w:cs="宋体"/>
          <w:color w:val="auto"/>
          <w:sz w:val="24"/>
          <w:szCs w:val="24"/>
          <w:highlight w:val="none"/>
        </w:rPr>
      </w:pPr>
    </w:p>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二、参与编制经济标投标文件人员名单</w:t>
      </w:r>
    </w:p>
    <w:tbl>
      <w:tblPr>
        <w:tblStyle w:val="52"/>
        <w:tblW w:w="8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484"/>
        <w:gridCol w:w="1789"/>
        <w:gridCol w:w="2334"/>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749"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78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所承担工作</w:t>
            </w:r>
          </w:p>
        </w:tc>
        <w:tc>
          <w:tcPr>
            <w:tcW w:w="233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5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3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5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3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5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3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5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3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5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3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5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3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5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3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5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3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bl>
    <w:p>
      <w:pPr>
        <w:tabs>
          <w:tab w:val="left" w:pos="720"/>
        </w:tabs>
        <w:snapToGrid w:val="0"/>
        <w:spacing w:line="360" w:lineRule="auto"/>
        <w:rPr>
          <w:rFonts w:hint="eastAsia" w:ascii="宋体" w:hAnsi="宋体" w:cs="宋体"/>
          <w:color w:val="auto"/>
          <w:sz w:val="24"/>
          <w:szCs w:val="24"/>
          <w:highlight w:val="none"/>
        </w:rPr>
      </w:pPr>
    </w:p>
    <w:p>
      <w:pPr>
        <w:pStyle w:val="50"/>
        <w:spacing w:after="0" w:line="360" w:lineRule="auto"/>
        <w:ind w:left="-2" w:leftChars="-1" w:firstLine="350" w:firstLineChars="175"/>
        <w:jc w:val="left"/>
        <w:rPr>
          <w:rFonts w:hint="eastAsia" w:ascii="宋体" w:hAnsi="宋体" w:cs="宋体"/>
          <w:color w:val="auto"/>
          <w:sz w:val="24"/>
          <w:szCs w:val="24"/>
          <w:highlight w:val="none"/>
        </w:rPr>
      </w:pPr>
      <w:r>
        <w:rPr>
          <w:rFonts w:hint="eastAsia" w:ascii="宋体" w:hAnsi="宋体" w:cs="宋体"/>
          <w:color w:val="auto"/>
          <w:szCs w:val="21"/>
          <w:highlight w:val="none"/>
        </w:rPr>
        <w:t>注：参与编制投标文件所有人员名单应包括如编制技术投标方案、编制各种专业工程量清单投标报价、负责清样校对、负责打印及复印等所有人员在内的人员名单。</w:t>
      </w:r>
    </w:p>
    <w:p>
      <w:pPr>
        <w:tabs>
          <w:tab w:val="left" w:pos="720"/>
        </w:tabs>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附件三：</w:t>
      </w:r>
    </w:p>
    <w:p>
      <w:pPr>
        <w:pStyle w:val="50"/>
        <w:spacing w:after="0" w:line="360" w:lineRule="auto"/>
        <w:ind w:firstLine="0"/>
        <w:jc w:val="center"/>
        <w:rPr>
          <w:rFonts w:hint="eastAsia" w:ascii="宋体" w:hAnsi="宋体" w:cs="宋体"/>
          <w:color w:val="auto"/>
          <w:sz w:val="32"/>
          <w:szCs w:val="32"/>
          <w:highlight w:val="none"/>
        </w:rPr>
      </w:pPr>
      <w:r>
        <w:rPr>
          <w:rFonts w:hint="eastAsia" w:ascii="宋体" w:hAnsi="宋体" w:cs="宋体"/>
          <w:b/>
          <w:color w:val="auto"/>
          <w:sz w:val="32"/>
          <w:szCs w:val="32"/>
          <w:highlight w:val="none"/>
        </w:rPr>
        <w:t>对投标文件编制的承诺</w:t>
      </w:r>
    </w:p>
    <w:p>
      <w:pPr>
        <w:pStyle w:val="50"/>
        <w:spacing w:after="0" w:line="360" w:lineRule="auto"/>
        <w:ind w:left="-2" w:leftChars="-1"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本公司授权</w:t>
      </w:r>
      <w:r>
        <w:rPr>
          <w:rFonts w:hint="eastAsia" w:ascii="宋体" w:hAnsi="宋体" w:cs="宋体"/>
          <w:color w:val="auto"/>
          <w:sz w:val="24"/>
          <w:szCs w:val="24"/>
          <w:highlight w:val="none"/>
          <w:u w:val="single"/>
        </w:rPr>
        <w:t xml:space="preserve">         （身份证号：               ）</w:t>
      </w:r>
      <w:r>
        <w:rPr>
          <w:rFonts w:hint="eastAsia" w:ascii="宋体" w:hAnsi="宋体" w:cs="宋体"/>
          <w:color w:val="auto"/>
          <w:sz w:val="24"/>
          <w:szCs w:val="24"/>
          <w:highlight w:val="none"/>
        </w:rPr>
        <w:t>负责对投标文件的编制及内容进行解释、说明，并承诺以下事项：</w:t>
      </w:r>
    </w:p>
    <w:p>
      <w:pPr>
        <w:pStyle w:val="50"/>
        <w:spacing w:after="0" w:line="360" w:lineRule="auto"/>
        <w:ind w:left="-2" w:leftChars="-1"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1.被授权人清楚投标文件编制的具体情况，包括技术方案文件、工程量清单、以及投标文件的加密打包的理解；</w:t>
      </w:r>
    </w:p>
    <w:p>
      <w:pPr>
        <w:pStyle w:val="50"/>
        <w:spacing w:after="0" w:line="360" w:lineRule="auto"/>
        <w:ind w:left="-2" w:leftChars="-1"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2.在本项目开标至评标结束前，努力确保被授权人在项目评标所在地附近；</w:t>
      </w:r>
    </w:p>
    <w:p>
      <w:pPr>
        <w:pStyle w:val="50"/>
        <w:spacing w:after="0" w:line="360" w:lineRule="auto"/>
        <w:ind w:left="-2" w:leftChars="-1"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3.从评标委员会要求澄清起二小时内，被授权人应如实地书面澄清。</w:t>
      </w:r>
    </w:p>
    <w:p>
      <w:pPr>
        <w:pStyle w:val="50"/>
        <w:spacing w:after="0" w:line="360" w:lineRule="auto"/>
        <w:ind w:left="-2" w:leftChars="-1"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如由于未遵守上述承诺内容之一导致无法进行澄清的，我公司认可和接受评标委员会作出的评审结论。                                 </w:t>
      </w:r>
    </w:p>
    <w:p>
      <w:pPr>
        <w:pStyle w:val="50"/>
        <w:spacing w:after="0" w:line="360"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pStyle w:val="5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附件：《投标文件编制情况》</w:t>
      </w:r>
    </w:p>
    <w:p>
      <w:pPr>
        <w:spacing w:line="360" w:lineRule="auto"/>
        <w:ind w:right="90" w:firstLine="3240" w:firstLineChars="135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投标人名称（盖法人公章）：</w:t>
      </w:r>
      <w:r>
        <w:rPr>
          <w:rFonts w:hint="eastAsia" w:ascii="宋体" w:hAnsi="宋体" w:cs="宋体"/>
          <w:color w:val="auto"/>
          <w:sz w:val="24"/>
          <w:szCs w:val="24"/>
          <w:highlight w:val="none"/>
          <w:u w:val="single"/>
        </w:rPr>
        <w:t xml:space="preserve">                  </w:t>
      </w:r>
    </w:p>
    <w:p>
      <w:pPr>
        <w:spacing w:line="360" w:lineRule="auto"/>
        <w:ind w:firstLine="2160" w:firstLineChars="9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法定代表人或被授权人（签字或盖章）：</w:t>
      </w:r>
      <w:r>
        <w:rPr>
          <w:rFonts w:hint="eastAsia" w:ascii="宋体" w:hAnsi="宋体" w:cs="宋体"/>
          <w:color w:val="auto"/>
          <w:sz w:val="24"/>
          <w:szCs w:val="24"/>
          <w:highlight w:val="none"/>
          <w:u w:val="single"/>
        </w:rPr>
        <w:t xml:space="preserve">                  </w:t>
      </w:r>
    </w:p>
    <w:p>
      <w:pPr>
        <w:spacing w:line="360" w:lineRule="auto"/>
        <w:ind w:firstLine="4440" w:firstLineChars="185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日期：      年   月   日 </w:t>
      </w:r>
      <w:r>
        <w:rPr>
          <w:rFonts w:hint="eastAsia" w:ascii="宋体" w:hAnsi="宋体" w:cs="宋体"/>
          <w:color w:val="auto"/>
          <w:sz w:val="18"/>
          <w:szCs w:val="18"/>
          <w:highlight w:val="none"/>
        </w:rPr>
        <w:t xml:space="preserve"> </w:t>
      </w:r>
      <w:r>
        <w:rPr>
          <w:rFonts w:hint="eastAsia" w:ascii="宋体" w:hAnsi="宋体" w:cs="宋体"/>
          <w:color w:val="auto"/>
          <w:sz w:val="24"/>
          <w:szCs w:val="24"/>
          <w:highlight w:val="none"/>
        </w:rPr>
        <w:t xml:space="preserve">    </w:t>
      </w:r>
    </w:p>
    <w:p>
      <w:pPr>
        <w:pStyle w:val="50"/>
        <w:spacing w:after="0" w:line="360" w:lineRule="auto"/>
        <w:ind w:firstLine="643" w:firstLineChars="200"/>
        <w:jc w:val="center"/>
        <w:rPr>
          <w:rFonts w:hint="eastAsia" w:ascii="宋体" w:hAnsi="宋体" w:cs="宋体"/>
          <w:b/>
          <w:color w:val="auto"/>
          <w:sz w:val="32"/>
          <w:szCs w:val="32"/>
          <w:highlight w:val="none"/>
        </w:rPr>
      </w:pPr>
    </w:p>
    <w:p>
      <w:pPr>
        <w:pStyle w:val="50"/>
        <w:spacing w:after="0" w:line="360" w:lineRule="auto"/>
        <w:ind w:firstLine="643" w:firstLineChars="200"/>
        <w:jc w:val="center"/>
        <w:rPr>
          <w:rFonts w:hint="eastAsia" w:ascii="宋体" w:hAnsi="宋体" w:cs="宋体"/>
          <w:color w:val="auto"/>
          <w:sz w:val="18"/>
          <w:szCs w:val="18"/>
          <w:highlight w:val="none"/>
        </w:rPr>
      </w:pPr>
      <w:r>
        <w:rPr>
          <w:rFonts w:hint="eastAsia" w:ascii="宋体" w:hAnsi="宋体" w:cs="宋体"/>
          <w:b/>
          <w:color w:val="auto"/>
          <w:sz w:val="32"/>
          <w:szCs w:val="32"/>
          <w:highlight w:val="none"/>
        </w:rPr>
        <w:t>投标文件编制情况</w:t>
      </w:r>
    </w:p>
    <w:p>
      <w:pPr>
        <w:pStyle w:val="50"/>
        <w:spacing w:after="0"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1.投标文件报价编制方式: □自行编制的，编制的负责人：</w:t>
      </w:r>
      <w:r>
        <w:rPr>
          <w:rFonts w:hint="eastAsia" w:ascii="宋体" w:hAnsi="宋体" w:cs="宋体"/>
          <w:color w:val="auto"/>
          <w:sz w:val="24"/>
          <w:szCs w:val="24"/>
          <w:highlight w:val="none"/>
          <w:u w:val="single"/>
        </w:rPr>
        <w:t xml:space="preserve"> （盖造价工程师执业专用章或全国建设工程造价员章，执业单位应与投标人一致） </w:t>
      </w:r>
      <w:r>
        <w:rPr>
          <w:rFonts w:hint="eastAsia" w:ascii="宋体" w:hAnsi="宋体" w:cs="宋体"/>
          <w:color w:val="auto"/>
          <w:sz w:val="24"/>
          <w:szCs w:val="24"/>
          <w:highlight w:val="none"/>
        </w:rPr>
        <w:t>。□委托编制的，受委托单位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，编制的负责人：</w:t>
      </w:r>
      <w:r>
        <w:rPr>
          <w:rFonts w:hint="eastAsia" w:ascii="宋体" w:hAnsi="宋体" w:cs="宋体"/>
          <w:color w:val="auto"/>
          <w:sz w:val="24"/>
          <w:szCs w:val="24"/>
          <w:highlight w:val="none"/>
          <w:u w:val="single"/>
        </w:rPr>
        <w:t xml:space="preserve"> （盖造价工程师执业专用章或全国建设工程造价员章，执业单位应与受委托单位一致） </w:t>
      </w:r>
      <w:r>
        <w:rPr>
          <w:rFonts w:hint="eastAsia" w:ascii="宋体" w:hAnsi="宋体" w:cs="宋体"/>
          <w:color w:val="auto"/>
          <w:sz w:val="24"/>
          <w:szCs w:val="24"/>
          <w:highlight w:val="none"/>
        </w:rPr>
        <w:t>。</w:t>
      </w:r>
    </w:p>
    <w:p>
      <w:pPr>
        <w:pStyle w:val="5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2.投标文件加密打包的电脑情况</w:t>
      </w:r>
    </w:p>
    <w:tbl>
      <w:tblPr>
        <w:tblStyle w:val="52"/>
        <w:tblW w:w="0" w:type="auto"/>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noWrap w:val="0"/>
            <w:vAlign w:val="top"/>
          </w:tcPr>
          <w:p>
            <w:pPr>
              <w:pStyle w:val="50"/>
              <w:spacing w:after="0" w:line="360" w:lineRule="auto"/>
              <w:ind w:firstLine="0"/>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投标文件加密打包的电脑     自有    □      外包    □     其他    □</w:t>
            </w:r>
          </w:p>
          <w:p>
            <w:pPr>
              <w:pStyle w:val="50"/>
              <w:spacing w:after="0" w:line="360" w:lineRule="auto"/>
              <w:ind w:firstLine="0"/>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电脑类型</w:t>
            </w:r>
          </w:p>
          <w:p>
            <w:pPr>
              <w:pStyle w:val="50"/>
              <w:spacing w:after="0" w:line="360" w:lineRule="auto"/>
              <w:ind w:firstLine="0"/>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电脑所属单位</w:t>
            </w:r>
          </w:p>
          <w:p>
            <w:pPr>
              <w:pStyle w:val="50"/>
              <w:spacing w:after="0" w:line="360" w:lineRule="auto"/>
              <w:ind w:firstLine="0"/>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电脑所在地址        （如××市××区(县) ××街（路）××号××大厦××房）</w:t>
            </w:r>
          </w:p>
        </w:tc>
      </w:tr>
    </w:tbl>
    <w:p>
      <w:pPr>
        <w:tabs>
          <w:tab w:val="left" w:pos="720"/>
        </w:tabs>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附件四：</w:t>
      </w:r>
    </w:p>
    <w:p>
      <w:pPr>
        <w:tabs>
          <w:tab w:val="left" w:pos="720"/>
        </w:tabs>
        <w:snapToGrid w:val="0"/>
        <w:spacing w:line="360" w:lineRule="auto"/>
        <w:rPr>
          <w:rFonts w:hint="eastAsia" w:ascii="宋体" w:hAnsi="宋体" w:cs="宋体"/>
          <w:color w:val="auto"/>
          <w:sz w:val="24"/>
          <w:szCs w:val="24"/>
          <w:highlight w:val="none"/>
        </w:rPr>
      </w:pPr>
    </w:p>
    <w:p>
      <w:pPr>
        <w:autoSpaceDE w:val="0"/>
        <w:autoSpaceDN w:val="0"/>
        <w:adjustRightInd w:val="0"/>
        <w:spacing w:line="360" w:lineRule="auto"/>
        <w:jc w:val="center"/>
        <w:rPr>
          <w:rFonts w:ascii="宋体" w:hAnsi="宋体" w:cs="宋体"/>
          <w:b/>
          <w:bCs/>
          <w:sz w:val="36"/>
          <w:szCs w:val="36"/>
          <w:highlight w:val="none"/>
          <w:lang w:val="zh-CN"/>
        </w:rPr>
      </w:pPr>
      <w:r>
        <w:rPr>
          <w:rFonts w:hint="eastAsia" w:ascii="宋体" w:hAnsi="宋体" w:cs="宋体"/>
          <w:b/>
          <w:bCs/>
          <w:sz w:val="36"/>
          <w:szCs w:val="36"/>
          <w:highlight w:val="none"/>
        </w:rPr>
        <w:t>施工</w:t>
      </w:r>
      <w:r>
        <w:rPr>
          <w:rFonts w:ascii="宋体" w:hAnsi="宋体" w:cs="宋体"/>
          <w:b/>
          <w:bCs/>
          <w:sz w:val="36"/>
          <w:szCs w:val="36"/>
          <w:highlight w:val="none"/>
          <w:lang w:val="zh-CN"/>
        </w:rPr>
        <w:t>项目管理团队人员信息表</w:t>
      </w:r>
    </w:p>
    <w:p>
      <w:pPr>
        <w:pStyle w:val="19"/>
        <w:rPr>
          <w:rFonts w:hint="eastAsia" w:ascii="宋体" w:hAnsi="宋体" w:cs="宋体"/>
          <w:color w:val="auto"/>
          <w:highlight w:val="none"/>
        </w:rPr>
      </w:pPr>
    </w:p>
    <w:tbl>
      <w:tblPr>
        <w:tblStyle w:val="52"/>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358"/>
        <w:gridCol w:w="1376"/>
        <w:gridCol w:w="1462"/>
        <w:gridCol w:w="2783"/>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6" w:type="dxa"/>
            <w:noWrap w:val="0"/>
            <w:vAlign w:val="center"/>
          </w:tcPr>
          <w:p>
            <w:pPr>
              <w:adjustRightInd w:val="0"/>
              <w:snapToGrid w:val="0"/>
              <w:ind w:left="-63" w:leftChars="-30" w:right="-63" w:rightChars="-30"/>
              <w:jc w:val="center"/>
              <w:rPr>
                <w:rFonts w:ascii="宋体" w:hAnsi="宋体"/>
                <w:highlight w:val="none"/>
              </w:rPr>
            </w:pPr>
            <w:r>
              <w:rPr>
                <w:rFonts w:ascii="宋体" w:hAnsi="宋体"/>
                <w:highlight w:val="none"/>
              </w:rPr>
              <w:t>序号</w:t>
            </w:r>
          </w:p>
        </w:tc>
        <w:tc>
          <w:tcPr>
            <w:tcW w:w="1358" w:type="dxa"/>
            <w:noWrap w:val="0"/>
            <w:vAlign w:val="center"/>
          </w:tcPr>
          <w:p>
            <w:pPr>
              <w:adjustRightInd w:val="0"/>
              <w:snapToGrid w:val="0"/>
              <w:ind w:left="-63" w:leftChars="-30" w:right="-63" w:rightChars="-30"/>
              <w:jc w:val="center"/>
              <w:rPr>
                <w:rFonts w:ascii="宋体" w:hAnsi="宋体"/>
                <w:highlight w:val="none"/>
              </w:rPr>
            </w:pPr>
            <w:r>
              <w:rPr>
                <w:rFonts w:ascii="宋体" w:hAnsi="宋体"/>
                <w:highlight w:val="none"/>
              </w:rPr>
              <w:t>姓名</w:t>
            </w:r>
          </w:p>
        </w:tc>
        <w:tc>
          <w:tcPr>
            <w:tcW w:w="1376" w:type="dxa"/>
            <w:noWrap w:val="0"/>
            <w:vAlign w:val="center"/>
          </w:tcPr>
          <w:p>
            <w:pPr>
              <w:adjustRightInd w:val="0"/>
              <w:snapToGrid w:val="0"/>
              <w:ind w:left="-63" w:leftChars="-30" w:right="-63" w:rightChars="-30"/>
              <w:jc w:val="center"/>
              <w:rPr>
                <w:rFonts w:ascii="宋体" w:hAnsi="宋体"/>
                <w:highlight w:val="none"/>
              </w:rPr>
            </w:pPr>
            <w:r>
              <w:rPr>
                <w:rStyle w:val="145"/>
                <w:rFonts w:hint="default" w:ascii="宋体" w:hAnsi="宋体" w:eastAsia="宋体" w:cs="宋体"/>
                <w:color w:val="auto"/>
                <w:sz w:val="21"/>
                <w:szCs w:val="21"/>
                <w:highlight w:val="none"/>
                <w:lang w:bidi="ar"/>
              </w:rPr>
              <w:t>岗位</w:t>
            </w:r>
          </w:p>
        </w:tc>
        <w:tc>
          <w:tcPr>
            <w:tcW w:w="1462" w:type="dxa"/>
            <w:noWrap w:val="0"/>
            <w:vAlign w:val="center"/>
          </w:tcPr>
          <w:p>
            <w:pPr>
              <w:adjustRightInd w:val="0"/>
              <w:snapToGrid w:val="0"/>
              <w:ind w:left="-63" w:leftChars="-30" w:right="-63" w:rightChars="-30"/>
              <w:jc w:val="center"/>
              <w:rPr>
                <w:rStyle w:val="145"/>
                <w:rFonts w:hint="default" w:ascii="宋体" w:hAnsi="宋体" w:eastAsia="宋体" w:cs="宋体"/>
                <w:color w:val="auto"/>
                <w:sz w:val="21"/>
                <w:szCs w:val="21"/>
                <w:highlight w:val="none"/>
                <w:lang w:bidi="ar"/>
              </w:rPr>
            </w:pPr>
            <w:r>
              <w:rPr>
                <w:rStyle w:val="145"/>
                <w:rFonts w:hint="default" w:ascii="宋体" w:hAnsi="宋体" w:eastAsia="宋体" w:cs="宋体"/>
                <w:color w:val="auto"/>
                <w:sz w:val="21"/>
                <w:szCs w:val="21"/>
                <w:highlight w:val="none"/>
                <w:lang w:bidi="ar"/>
              </w:rPr>
              <w:t>职称</w:t>
            </w:r>
          </w:p>
        </w:tc>
        <w:tc>
          <w:tcPr>
            <w:tcW w:w="2783" w:type="dxa"/>
            <w:noWrap w:val="0"/>
            <w:vAlign w:val="center"/>
          </w:tcPr>
          <w:p>
            <w:pPr>
              <w:adjustRightInd w:val="0"/>
              <w:snapToGrid w:val="0"/>
              <w:ind w:left="-63" w:leftChars="-30" w:right="-63" w:rightChars="-30"/>
              <w:jc w:val="center"/>
              <w:rPr>
                <w:rStyle w:val="145"/>
                <w:rFonts w:hint="default" w:ascii="宋体" w:hAnsi="宋体" w:eastAsia="宋体" w:cs="宋体"/>
                <w:color w:val="auto"/>
                <w:sz w:val="21"/>
                <w:szCs w:val="21"/>
                <w:highlight w:val="none"/>
                <w:lang w:bidi="ar"/>
              </w:rPr>
            </w:pPr>
            <w:r>
              <w:rPr>
                <w:rStyle w:val="145"/>
                <w:rFonts w:hint="default" w:ascii="宋体" w:hAnsi="宋体" w:eastAsia="宋体" w:cs="宋体"/>
                <w:color w:val="auto"/>
                <w:sz w:val="21"/>
                <w:szCs w:val="21"/>
                <w:highlight w:val="none"/>
                <w:lang w:bidi="ar"/>
              </w:rPr>
              <w:t>职称证书或资格证书编号</w:t>
            </w:r>
          </w:p>
        </w:tc>
        <w:tc>
          <w:tcPr>
            <w:tcW w:w="858" w:type="dxa"/>
            <w:noWrap w:val="0"/>
            <w:vAlign w:val="center"/>
          </w:tcPr>
          <w:p>
            <w:pPr>
              <w:adjustRightInd w:val="0"/>
              <w:snapToGrid w:val="0"/>
              <w:ind w:left="-63" w:leftChars="-30" w:right="-63" w:rightChars="-30"/>
              <w:jc w:val="center"/>
              <w:rPr>
                <w:rStyle w:val="145"/>
                <w:rFonts w:hint="default" w:ascii="宋体" w:hAnsi="宋体" w:eastAsia="宋体" w:cs="宋体"/>
                <w:color w:val="auto"/>
                <w:sz w:val="21"/>
                <w:szCs w:val="21"/>
                <w:highlight w:val="none"/>
                <w:lang w:bidi="ar"/>
              </w:rPr>
            </w:pPr>
            <w:r>
              <w:rPr>
                <w:rStyle w:val="145"/>
                <w:rFonts w:hint="default" w:ascii="宋体" w:hAnsi="宋体" w:eastAsia="宋体" w:cs="宋体"/>
                <w:color w:val="auto"/>
                <w:sz w:val="21"/>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6" w:type="dxa"/>
            <w:noWrap w:val="0"/>
            <w:vAlign w:val="center"/>
          </w:tcPr>
          <w:p>
            <w:pPr>
              <w:adjustRightInd w:val="0"/>
              <w:snapToGrid w:val="0"/>
              <w:ind w:left="-63" w:leftChars="-30" w:right="-63" w:rightChars="-30"/>
              <w:jc w:val="center"/>
              <w:rPr>
                <w:rFonts w:ascii="宋体" w:hAnsi="宋体"/>
                <w:highlight w:val="none"/>
              </w:rPr>
            </w:pPr>
          </w:p>
        </w:tc>
        <w:tc>
          <w:tcPr>
            <w:tcW w:w="1358" w:type="dxa"/>
            <w:noWrap w:val="0"/>
            <w:vAlign w:val="center"/>
          </w:tcPr>
          <w:p>
            <w:pPr>
              <w:adjustRightInd w:val="0"/>
              <w:snapToGrid w:val="0"/>
              <w:ind w:left="-63" w:leftChars="-30" w:right="-63" w:rightChars="-30"/>
              <w:jc w:val="center"/>
              <w:rPr>
                <w:rFonts w:ascii="宋体" w:hAnsi="宋体"/>
                <w:highlight w:val="none"/>
              </w:rPr>
            </w:pPr>
          </w:p>
        </w:tc>
        <w:tc>
          <w:tcPr>
            <w:tcW w:w="1376" w:type="dxa"/>
            <w:noWrap w:val="0"/>
            <w:vAlign w:val="center"/>
          </w:tcPr>
          <w:p>
            <w:pPr>
              <w:adjustRightInd w:val="0"/>
              <w:snapToGrid w:val="0"/>
              <w:ind w:left="-63" w:leftChars="-30" w:right="-63" w:rightChars="-30"/>
              <w:jc w:val="center"/>
              <w:rPr>
                <w:rStyle w:val="145"/>
                <w:rFonts w:hint="default" w:ascii="宋体" w:hAnsi="宋体" w:eastAsia="宋体" w:cs="宋体"/>
                <w:color w:val="auto"/>
                <w:sz w:val="21"/>
                <w:szCs w:val="21"/>
                <w:highlight w:val="none"/>
                <w:lang w:bidi="ar"/>
              </w:rPr>
            </w:pPr>
            <w:r>
              <w:rPr>
                <w:rFonts w:hint="eastAsia" w:ascii="宋体" w:hAnsi="宋体"/>
                <w:szCs w:val="21"/>
                <w:highlight w:val="none"/>
              </w:rPr>
              <w:t>项目负责人</w:t>
            </w:r>
          </w:p>
        </w:tc>
        <w:tc>
          <w:tcPr>
            <w:tcW w:w="1462" w:type="dxa"/>
            <w:noWrap w:val="0"/>
            <w:vAlign w:val="center"/>
          </w:tcPr>
          <w:p>
            <w:pPr>
              <w:adjustRightInd w:val="0"/>
              <w:snapToGrid w:val="0"/>
              <w:ind w:left="-63" w:leftChars="-30" w:right="-63" w:rightChars="-30"/>
              <w:jc w:val="center"/>
              <w:rPr>
                <w:rStyle w:val="145"/>
                <w:rFonts w:hint="default" w:ascii="宋体" w:hAnsi="宋体" w:eastAsia="宋体" w:cs="宋体"/>
                <w:color w:val="auto"/>
                <w:sz w:val="21"/>
                <w:szCs w:val="21"/>
                <w:highlight w:val="none"/>
                <w:lang w:bidi="ar"/>
              </w:rPr>
            </w:pPr>
          </w:p>
        </w:tc>
        <w:tc>
          <w:tcPr>
            <w:tcW w:w="2783" w:type="dxa"/>
            <w:noWrap w:val="0"/>
            <w:vAlign w:val="center"/>
          </w:tcPr>
          <w:p>
            <w:pPr>
              <w:adjustRightInd w:val="0"/>
              <w:snapToGrid w:val="0"/>
              <w:ind w:left="-63" w:leftChars="-30" w:right="-63" w:rightChars="-30"/>
              <w:jc w:val="center"/>
              <w:rPr>
                <w:rStyle w:val="145"/>
                <w:rFonts w:hint="default" w:ascii="宋体" w:hAnsi="宋体" w:eastAsia="宋体" w:cs="宋体"/>
                <w:color w:val="auto"/>
                <w:sz w:val="21"/>
                <w:szCs w:val="21"/>
                <w:highlight w:val="none"/>
                <w:lang w:bidi="ar"/>
              </w:rPr>
            </w:pPr>
          </w:p>
        </w:tc>
        <w:tc>
          <w:tcPr>
            <w:tcW w:w="858" w:type="dxa"/>
            <w:noWrap w:val="0"/>
            <w:vAlign w:val="center"/>
          </w:tcPr>
          <w:p>
            <w:pPr>
              <w:adjustRightInd w:val="0"/>
              <w:snapToGrid w:val="0"/>
              <w:ind w:left="-63" w:leftChars="-30" w:right="-63" w:rightChars="-30"/>
              <w:jc w:val="center"/>
              <w:rPr>
                <w:rStyle w:val="145"/>
                <w:rFonts w:hint="default" w:ascii="宋体" w:hAnsi="宋体" w:eastAsia="宋体" w:cs="宋体"/>
                <w:color w:val="auto"/>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6" w:type="dxa"/>
            <w:noWrap w:val="0"/>
            <w:vAlign w:val="center"/>
          </w:tcPr>
          <w:p>
            <w:pPr>
              <w:adjustRightInd w:val="0"/>
              <w:snapToGrid w:val="0"/>
              <w:ind w:left="-63" w:leftChars="-30" w:right="-63" w:rightChars="-30"/>
              <w:jc w:val="center"/>
              <w:rPr>
                <w:rFonts w:ascii="宋体" w:hAnsi="宋体"/>
                <w:highlight w:val="none"/>
              </w:rPr>
            </w:pPr>
          </w:p>
        </w:tc>
        <w:tc>
          <w:tcPr>
            <w:tcW w:w="1358" w:type="dxa"/>
            <w:noWrap w:val="0"/>
            <w:vAlign w:val="center"/>
          </w:tcPr>
          <w:p>
            <w:pPr>
              <w:adjustRightInd w:val="0"/>
              <w:snapToGrid w:val="0"/>
              <w:ind w:left="-63" w:leftChars="-30" w:right="-63" w:rightChars="-30"/>
              <w:jc w:val="center"/>
              <w:rPr>
                <w:rFonts w:ascii="宋体" w:hAnsi="宋体"/>
                <w:highlight w:val="none"/>
              </w:rPr>
            </w:pPr>
          </w:p>
        </w:tc>
        <w:tc>
          <w:tcPr>
            <w:tcW w:w="1376" w:type="dxa"/>
            <w:noWrap w:val="0"/>
            <w:vAlign w:val="center"/>
          </w:tcPr>
          <w:p>
            <w:pPr>
              <w:adjustRightInd w:val="0"/>
              <w:snapToGrid w:val="0"/>
              <w:ind w:left="-63" w:leftChars="-30" w:right="-63" w:rightChars="-30"/>
              <w:jc w:val="center"/>
              <w:rPr>
                <w:rStyle w:val="145"/>
                <w:rFonts w:hint="default" w:ascii="宋体" w:hAnsi="宋体" w:eastAsia="宋体" w:cs="宋体"/>
                <w:color w:val="auto"/>
                <w:sz w:val="21"/>
                <w:szCs w:val="21"/>
                <w:highlight w:val="none"/>
                <w:lang w:bidi="ar"/>
              </w:rPr>
            </w:pPr>
            <w:r>
              <w:rPr>
                <w:rFonts w:hint="eastAsia" w:ascii="宋体" w:hAnsi="宋体"/>
                <w:szCs w:val="21"/>
                <w:highlight w:val="none"/>
              </w:rPr>
              <w:t>专职安全员</w:t>
            </w:r>
          </w:p>
        </w:tc>
        <w:tc>
          <w:tcPr>
            <w:tcW w:w="1462" w:type="dxa"/>
            <w:noWrap w:val="0"/>
            <w:vAlign w:val="center"/>
          </w:tcPr>
          <w:p>
            <w:pPr>
              <w:adjustRightInd w:val="0"/>
              <w:snapToGrid w:val="0"/>
              <w:ind w:left="-63" w:leftChars="-30" w:right="-63" w:rightChars="-30"/>
              <w:jc w:val="center"/>
              <w:rPr>
                <w:rStyle w:val="145"/>
                <w:rFonts w:hint="default" w:ascii="宋体" w:hAnsi="宋体" w:eastAsia="宋体" w:cs="宋体"/>
                <w:color w:val="auto"/>
                <w:sz w:val="21"/>
                <w:szCs w:val="21"/>
                <w:highlight w:val="none"/>
                <w:lang w:bidi="ar"/>
              </w:rPr>
            </w:pPr>
          </w:p>
        </w:tc>
        <w:tc>
          <w:tcPr>
            <w:tcW w:w="2783" w:type="dxa"/>
            <w:noWrap w:val="0"/>
            <w:vAlign w:val="center"/>
          </w:tcPr>
          <w:p>
            <w:pPr>
              <w:adjustRightInd w:val="0"/>
              <w:snapToGrid w:val="0"/>
              <w:ind w:left="-63" w:leftChars="-30" w:right="-63" w:rightChars="-30"/>
              <w:jc w:val="center"/>
              <w:rPr>
                <w:rStyle w:val="145"/>
                <w:rFonts w:hint="default" w:ascii="宋体" w:hAnsi="宋体" w:eastAsia="宋体" w:cs="宋体"/>
                <w:color w:val="auto"/>
                <w:sz w:val="21"/>
                <w:szCs w:val="21"/>
                <w:highlight w:val="none"/>
                <w:lang w:bidi="ar"/>
              </w:rPr>
            </w:pPr>
          </w:p>
        </w:tc>
        <w:tc>
          <w:tcPr>
            <w:tcW w:w="858" w:type="dxa"/>
            <w:noWrap w:val="0"/>
            <w:vAlign w:val="center"/>
          </w:tcPr>
          <w:p>
            <w:pPr>
              <w:adjustRightInd w:val="0"/>
              <w:snapToGrid w:val="0"/>
              <w:ind w:left="-63" w:leftChars="-30" w:right="-63" w:rightChars="-30"/>
              <w:jc w:val="center"/>
              <w:rPr>
                <w:rStyle w:val="145"/>
                <w:rFonts w:hint="default" w:ascii="宋体" w:hAnsi="宋体" w:eastAsia="宋体" w:cs="宋体"/>
                <w:color w:val="auto"/>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06" w:type="dxa"/>
            <w:noWrap w:val="0"/>
            <w:vAlign w:val="center"/>
          </w:tcPr>
          <w:p>
            <w:pPr>
              <w:adjustRightInd w:val="0"/>
              <w:snapToGrid w:val="0"/>
              <w:ind w:left="-63" w:leftChars="-30" w:right="-63" w:rightChars="-30"/>
              <w:jc w:val="center"/>
              <w:rPr>
                <w:rFonts w:hint="eastAsia" w:ascii="宋体" w:hAnsi="宋体"/>
                <w:highlight w:val="none"/>
              </w:rPr>
            </w:pPr>
          </w:p>
        </w:tc>
        <w:tc>
          <w:tcPr>
            <w:tcW w:w="1358" w:type="dxa"/>
            <w:noWrap w:val="0"/>
            <w:vAlign w:val="center"/>
          </w:tcPr>
          <w:p>
            <w:pPr>
              <w:adjustRightInd w:val="0"/>
              <w:snapToGrid w:val="0"/>
              <w:ind w:left="-63" w:leftChars="-30" w:right="-63" w:rightChars="-30"/>
              <w:jc w:val="center"/>
              <w:rPr>
                <w:rFonts w:hint="eastAsia" w:ascii="宋体" w:hAnsi="宋体" w:eastAsia="宋体"/>
                <w:highlight w:val="none"/>
              </w:rPr>
            </w:pPr>
          </w:p>
        </w:tc>
        <w:tc>
          <w:tcPr>
            <w:tcW w:w="1376" w:type="dxa"/>
            <w:noWrap w:val="0"/>
            <w:vAlign w:val="center"/>
          </w:tcPr>
          <w:p>
            <w:pPr>
              <w:adjustRightInd w:val="0"/>
              <w:snapToGrid w:val="0"/>
              <w:ind w:left="-63" w:leftChars="-30" w:right="-63" w:rightChars="-30"/>
              <w:jc w:val="center"/>
              <w:rPr>
                <w:rFonts w:ascii="宋体" w:hAnsi="宋体"/>
                <w:highlight w:val="none"/>
              </w:rPr>
            </w:pPr>
            <w:r>
              <w:rPr>
                <w:rStyle w:val="145"/>
                <w:rFonts w:hint="default" w:ascii="宋体" w:hAnsi="宋体" w:eastAsia="宋体" w:cs="宋体"/>
                <w:color w:val="auto"/>
                <w:sz w:val="21"/>
                <w:szCs w:val="21"/>
                <w:highlight w:val="none"/>
                <w:lang w:bidi="ar"/>
              </w:rPr>
              <w:t>技术负责人</w:t>
            </w:r>
          </w:p>
        </w:tc>
        <w:tc>
          <w:tcPr>
            <w:tcW w:w="1462" w:type="dxa"/>
            <w:noWrap w:val="0"/>
            <w:vAlign w:val="center"/>
          </w:tcPr>
          <w:p>
            <w:pPr>
              <w:adjustRightInd w:val="0"/>
              <w:snapToGrid w:val="0"/>
              <w:ind w:left="-63" w:leftChars="-30" w:right="-63" w:rightChars="-30"/>
              <w:jc w:val="center"/>
              <w:rPr>
                <w:rFonts w:ascii="宋体" w:hAnsi="宋体"/>
                <w:highlight w:val="none"/>
              </w:rPr>
            </w:pPr>
          </w:p>
        </w:tc>
        <w:tc>
          <w:tcPr>
            <w:tcW w:w="2783" w:type="dxa"/>
            <w:noWrap w:val="0"/>
            <w:vAlign w:val="center"/>
          </w:tcPr>
          <w:p>
            <w:pPr>
              <w:adjustRightInd w:val="0"/>
              <w:snapToGrid w:val="0"/>
              <w:ind w:left="-63" w:leftChars="-30" w:right="-63" w:rightChars="-30"/>
              <w:jc w:val="center"/>
              <w:rPr>
                <w:rFonts w:ascii="宋体" w:hAnsi="宋体"/>
                <w:highlight w:val="none"/>
              </w:rPr>
            </w:pPr>
          </w:p>
        </w:tc>
        <w:tc>
          <w:tcPr>
            <w:tcW w:w="858" w:type="dxa"/>
            <w:noWrap w:val="0"/>
            <w:vAlign w:val="center"/>
          </w:tcPr>
          <w:p>
            <w:pPr>
              <w:adjustRightInd w:val="0"/>
              <w:snapToGrid w:val="0"/>
              <w:ind w:left="-63" w:leftChars="-30" w:right="-63" w:rightChars="-30"/>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6" w:type="dxa"/>
            <w:noWrap w:val="0"/>
            <w:vAlign w:val="center"/>
          </w:tcPr>
          <w:p>
            <w:pPr>
              <w:adjustRightInd w:val="0"/>
              <w:snapToGrid w:val="0"/>
              <w:ind w:left="-63" w:leftChars="-30" w:right="-63" w:rightChars="-30"/>
              <w:jc w:val="center"/>
              <w:rPr>
                <w:rFonts w:ascii="宋体" w:hAnsi="宋体"/>
                <w:highlight w:val="none"/>
              </w:rPr>
            </w:pPr>
          </w:p>
        </w:tc>
        <w:tc>
          <w:tcPr>
            <w:tcW w:w="1358" w:type="dxa"/>
            <w:noWrap w:val="0"/>
            <w:vAlign w:val="center"/>
          </w:tcPr>
          <w:p>
            <w:pPr>
              <w:adjustRightInd w:val="0"/>
              <w:snapToGrid w:val="0"/>
              <w:ind w:left="-63" w:leftChars="-30" w:right="-63" w:rightChars="-30"/>
              <w:jc w:val="center"/>
              <w:rPr>
                <w:rFonts w:hint="eastAsia" w:ascii="宋体" w:hAnsi="宋体" w:eastAsia="宋体"/>
                <w:highlight w:val="none"/>
              </w:rPr>
            </w:pPr>
          </w:p>
        </w:tc>
        <w:tc>
          <w:tcPr>
            <w:tcW w:w="1376" w:type="dxa"/>
            <w:noWrap w:val="0"/>
            <w:vAlign w:val="center"/>
          </w:tcPr>
          <w:p>
            <w:pPr>
              <w:adjustRightInd w:val="0"/>
              <w:snapToGrid w:val="0"/>
              <w:ind w:left="-63" w:leftChars="-30" w:right="-63" w:rightChars="-30"/>
              <w:jc w:val="center"/>
              <w:rPr>
                <w:rFonts w:ascii="宋体" w:hAnsi="宋体"/>
                <w:highlight w:val="none"/>
              </w:rPr>
            </w:pPr>
            <w:r>
              <w:rPr>
                <w:rStyle w:val="145"/>
                <w:rFonts w:hint="default" w:ascii="宋体" w:hAnsi="宋体" w:eastAsia="宋体" w:cs="宋体"/>
                <w:color w:val="auto"/>
                <w:sz w:val="21"/>
                <w:szCs w:val="21"/>
                <w:highlight w:val="none"/>
                <w:lang w:bidi="ar"/>
              </w:rPr>
              <w:t>质量负责人</w:t>
            </w:r>
          </w:p>
        </w:tc>
        <w:tc>
          <w:tcPr>
            <w:tcW w:w="1462" w:type="dxa"/>
            <w:noWrap w:val="0"/>
            <w:vAlign w:val="center"/>
          </w:tcPr>
          <w:p>
            <w:pPr>
              <w:adjustRightInd w:val="0"/>
              <w:snapToGrid w:val="0"/>
              <w:ind w:left="-63" w:leftChars="-30" w:right="-63" w:rightChars="-30"/>
              <w:jc w:val="center"/>
              <w:rPr>
                <w:rFonts w:ascii="宋体" w:hAnsi="宋体"/>
                <w:highlight w:val="none"/>
              </w:rPr>
            </w:pPr>
          </w:p>
        </w:tc>
        <w:tc>
          <w:tcPr>
            <w:tcW w:w="2783" w:type="dxa"/>
            <w:noWrap w:val="0"/>
            <w:vAlign w:val="center"/>
          </w:tcPr>
          <w:p>
            <w:pPr>
              <w:adjustRightInd w:val="0"/>
              <w:snapToGrid w:val="0"/>
              <w:ind w:left="-63" w:leftChars="-30" w:right="-63" w:rightChars="-30"/>
              <w:jc w:val="center"/>
              <w:rPr>
                <w:rFonts w:ascii="宋体" w:hAnsi="宋体"/>
                <w:highlight w:val="none"/>
              </w:rPr>
            </w:pPr>
          </w:p>
        </w:tc>
        <w:tc>
          <w:tcPr>
            <w:tcW w:w="858" w:type="dxa"/>
            <w:noWrap w:val="0"/>
            <w:vAlign w:val="center"/>
          </w:tcPr>
          <w:p>
            <w:pPr>
              <w:adjustRightInd w:val="0"/>
              <w:snapToGrid w:val="0"/>
              <w:ind w:left="-63" w:leftChars="-30" w:right="-63" w:rightChars="-30"/>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06" w:type="dxa"/>
            <w:noWrap w:val="0"/>
            <w:vAlign w:val="center"/>
          </w:tcPr>
          <w:p>
            <w:pPr>
              <w:adjustRightInd w:val="0"/>
              <w:snapToGrid w:val="0"/>
              <w:ind w:left="-63" w:leftChars="-30" w:right="-63" w:rightChars="-30"/>
              <w:jc w:val="center"/>
              <w:rPr>
                <w:rFonts w:ascii="宋体" w:hAnsi="宋体"/>
                <w:highlight w:val="none"/>
              </w:rPr>
            </w:pPr>
          </w:p>
        </w:tc>
        <w:tc>
          <w:tcPr>
            <w:tcW w:w="1358" w:type="dxa"/>
            <w:noWrap w:val="0"/>
            <w:vAlign w:val="center"/>
          </w:tcPr>
          <w:p>
            <w:pPr>
              <w:adjustRightInd w:val="0"/>
              <w:snapToGrid w:val="0"/>
              <w:ind w:left="-63" w:leftChars="-30" w:right="-63" w:rightChars="-30"/>
              <w:jc w:val="center"/>
              <w:rPr>
                <w:rFonts w:hint="eastAsia" w:ascii="宋体" w:hAnsi="宋体" w:eastAsia="宋体"/>
                <w:highlight w:val="none"/>
              </w:rPr>
            </w:pPr>
          </w:p>
        </w:tc>
        <w:tc>
          <w:tcPr>
            <w:tcW w:w="1376" w:type="dxa"/>
            <w:noWrap w:val="0"/>
            <w:vAlign w:val="center"/>
          </w:tcPr>
          <w:p>
            <w:pPr>
              <w:adjustRightInd w:val="0"/>
              <w:snapToGrid w:val="0"/>
              <w:ind w:left="-63" w:leftChars="-30" w:right="-63" w:rightChars="-30"/>
              <w:jc w:val="center"/>
              <w:rPr>
                <w:rFonts w:ascii="宋体" w:hAnsi="宋体"/>
                <w:highlight w:val="none"/>
              </w:rPr>
            </w:pPr>
            <w:r>
              <w:rPr>
                <w:rStyle w:val="145"/>
                <w:rFonts w:hint="default" w:ascii="宋体" w:hAnsi="宋体" w:eastAsia="宋体" w:cs="宋体"/>
                <w:color w:val="auto"/>
                <w:sz w:val="21"/>
                <w:szCs w:val="21"/>
                <w:highlight w:val="none"/>
                <w:lang w:bidi="ar"/>
              </w:rPr>
              <w:t>安全负责人</w:t>
            </w:r>
          </w:p>
        </w:tc>
        <w:tc>
          <w:tcPr>
            <w:tcW w:w="1462" w:type="dxa"/>
            <w:noWrap w:val="0"/>
            <w:vAlign w:val="center"/>
          </w:tcPr>
          <w:p>
            <w:pPr>
              <w:adjustRightInd w:val="0"/>
              <w:snapToGrid w:val="0"/>
              <w:ind w:left="-63" w:leftChars="-30" w:right="-63" w:rightChars="-30"/>
              <w:jc w:val="center"/>
              <w:rPr>
                <w:rFonts w:ascii="宋体" w:hAnsi="宋体"/>
                <w:highlight w:val="none"/>
              </w:rPr>
            </w:pPr>
          </w:p>
        </w:tc>
        <w:tc>
          <w:tcPr>
            <w:tcW w:w="2783" w:type="dxa"/>
            <w:noWrap w:val="0"/>
            <w:vAlign w:val="center"/>
          </w:tcPr>
          <w:p>
            <w:pPr>
              <w:adjustRightInd w:val="0"/>
              <w:snapToGrid w:val="0"/>
              <w:ind w:left="-63" w:leftChars="-30" w:right="-63" w:rightChars="-30"/>
              <w:jc w:val="center"/>
              <w:rPr>
                <w:rFonts w:ascii="宋体" w:hAnsi="宋体"/>
                <w:highlight w:val="none"/>
              </w:rPr>
            </w:pPr>
          </w:p>
        </w:tc>
        <w:tc>
          <w:tcPr>
            <w:tcW w:w="858" w:type="dxa"/>
            <w:noWrap w:val="0"/>
            <w:vAlign w:val="center"/>
          </w:tcPr>
          <w:p>
            <w:pPr>
              <w:adjustRightInd w:val="0"/>
              <w:snapToGrid w:val="0"/>
              <w:ind w:left="-63" w:leftChars="-30" w:right="-63" w:rightChars="-30"/>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06" w:type="dxa"/>
            <w:noWrap w:val="0"/>
            <w:vAlign w:val="center"/>
          </w:tcPr>
          <w:p>
            <w:pPr>
              <w:adjustRightInd w:val="0"/>
              <w:snapToGrid w:val="0"/>
              <w:ind w:left="-63" w:leftChars="-30" w:right="-63" w:rightChars="-30"/>
              <w:jc w:val="center"/>
              <w:rPr>
                <w:rFonts w:ascii="宋体" w:hAnsi="宋体"/>
                <w:szCs w:val="24"/>
                <w:highlight w:val="none"/>
              </w:rPr>
            </w:pPr>
          </w:p>
        </w:tc>
        <w:tc>
          <w:tcPr>
            <w:tcW w:w="1358" w:type="dxa"/>
            <w:noWrap w:val="0"/>
            <w:vAlign w:val="center"/>
          </w:tcPr>
          <w:p>
            <w:pPr>
              <w:adjustRightInd w:val="0"/>
              <w:snapToGrid w:val="0"/>
              <w:ind w:left="-63" w:leftChars="-30" w:right="-63" w:rightChars="-30"/>
              <w:jc w:val="center"/>
              <w:rPr>
                <w:rFonts w:hint="eastAsia" w:ascii="宋体" w:hAnsi="宋体"/>
                <w:szCs w:val="24"/>
                <w:highlight w:val="none"/>
              </w:rPr>
            </w:pPr>
          </w:p>
        </w:tc>
        <w:tc>
          <w:tcPr>
            <w:tcW w:w="1376" w:type="dxa"/>
            <w:noWrap w:val="0"/>
            <w:vAlign w:val="center"/>
          </w:tcPr>
          <w:p>
            <w:pPr>
              <w:adjustRightInd w:val="0"/>
              <w:snapToGrid w:val="0"/>
              <w:ind w:left="-63" w:leftChars="-30" w:right="-63" w:rightChars="-30"/>
              <w:jc w:val="center"/>
              <w:rPr>
                <w:rFonts w:ascii="宋体" w:hAnsi="宋体"/>
                <w:szCs w:val="24"/>
                <w:highlight w:val="none"/>
              </w:rPr>
            </w:pPr>
            <w:r>
              <w:rPr>
                <w:rStyle w:val="145"/>
                <w:rFonts w:hint="default" w:ascii="宋体" w:hAnsi="宋体" w:eastAsia="宋体" w:cs="宋体"/>
                <w:color w:val="auto"/>
                <w:sz w:val="21"/>
                <w:szCs w:val="21"/>
                <w:highlight w:val="none"/>
                <w:lang w:bidi="ar"/>
              </w:rPr>
              <w:t>造价负责人</w:t>
            </w:r>
          </w:p>
        </w:tc>
        <w:tc>
          <w:tcPr>
            <w:tcW w:w="1462" w:type="dxa"/>
            <w:noWrap w:val="0"/>
            <w:vAlign w:val="center"/>
          </w:tcPr>
          <w:p>
            <w:pPr>
              <w:adjustRightInd w:val="0"/>
              <w:snapToGrid w:val="0"/>
              <w:ind w:left="-63" w:leftChars="-30" w:right="-63" w:rightChars="-30"/>
              <w:jc w:val="center"/>
              <w:rPr>
                <w:rFonts w:ascii="宋体" w:hAnsi="宋体"/>
                <w:szCs w:val="24"/>
                <w:highlight w:val="none"/>
              </w:rPr>
            </w:pPr>
          </w:p>
        </w:tc>
        <w:tc>
          <w:tcPr>
            <w:tcW w:w="2783" w:type="dxa"/>
            <w:noWrap w:val="0"/>
            <w:vAlign w:val="center"/>
          </w:tcPr>
          <w:p>
            <w:pPr>
              <w:adjustRightInd w:val="0"/>
              <w:snapToGrid w:val="0"/>
              <w:ind w:left="-63" w:leftChars="-30" w:right="-63" w:rightChars="-30"/>
              <w:jc w:val="center"/>
              <w:rPr>
                <w:rFonts w:ascii="宋体" w:hAnsi="宋体"/>
                <w:szCs w:val="24"/>
                <w:highlight w:val="none"/>
              </w:rPr>
            </w:pPr>
          </w:p>
        </w:tc>
        <w:tc>
          <w:tcPr>
            <w:tcW w:w="858" w:type="dxa"/>
            <w:noWrap w:val="0"/>
            <w:vAlign w:val="center"/>
          </w:tcPr>
          <w:p>
            <w:pPr>
              <w:adjustRightInd w:val="0"/>
              <w:snapToGrid w:val="0"/>
              <w:ind w:left="-63" w:leftChars="-30" w:right="-63" w:rightChars="-30"/>
              <w:jc w:val="center"/>
              <w:rPr>
                <w:rFonts w:ascii="宋体" w:hAnsi="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6" w:type="dxa"/>
            <w:noWrap w:val="0"/>
            <w:vAlign w:val="center"/>
          </w:tcPr>
          <w:p>
            <w:pPr>
              <w:adjustRightInd w:val="0"/>
              <w:snapToGrid w:val="0"/>
              <w:ind w:left="-63" w:leftChars="-30" w:right="-63" w:rightChars="-30"/>
              <w:jc w:val="center"/>
              <w:rPr>
                <w:rFonts w:ascii="宋体" w:hAnsi="宋体"/>
                <w:szCs w:val="24"/>
                <w:highlight w:val="none"/>
              </w:rPr>
            </w:pPr>
          </w:p>
        </w:tc>
        <w:tc>
          <w:tcPr>
            <w:tcW w:w="1358" w:type="dxa"/>
            <w:noWrap w:val="0"/>
            <w:vAlign w:val="center"/>
          </w:tcPr>
          <w:p>
            <w:pPr>
              <w:adjustRightInd w:val="0"/>
              <w:snapToGrid w:val="0"/>
              <w:ind w:left="-63" w:leftChars="-30" w:right="-63" w:rightChars="-30"/>
              <w:jc w:val="center"/>
              <w:rPr>
                <w:rFonts w:hint="eastAsia" w:ascii="宋体" w:hAnsi="宋体"/>
                <w:szCs w:val="24"/>
                <w:highlight w:val="none"/>
              </w:rPr>
            </w:pPr>
          </w:p>
        </w:tc>
        <w:tc>
          <w:tcPr>
            <w:tcW w:w="1376" w:type="dxa"/>
            <w:noWrap w:val="0"/>
            <w:vAlign w:val="center"/>
          </w:tcPr>
          <w:p>
            <w:pPr>
              <w:adjustRightInd w:val="0"/>
              <w:snapToGrid w:val="0"/>
              <w:ind w:left="-63" w:leftChars="-30" w:right="-63" w:rightChars="-30"/>
              <w:jc w:val="center"/>
              <w:rPr>
                <w:rFonts w:hint="default" w:ascii="宋体" w:hAnsi="宋体" w:eastAsia="宋体" w:cs="宋体"/>
                <w:color w:val="auto"/>
                <w:kern w:val="2"/>
                <w:sz w:val="21"/>
                <w:szCs w:val="21"/>
                <w:highlight w:val="none"/>
                <w:u w:val="none"/>
                <w:lang w:val="en-US" w:eastAsia="zh-CN" w:bidi="ar"/>
              </w:rPr>
            </w:pPr>
            <w:r>
              <w:rPr>
                <w:rFonts w:ascii="宋体" w:hAnsi="宋体" w:eastAsia="宋体" w:cs="宋体"/>
                <w:kern w:val="0"/>
                <w:szCs w:val="21"/>
                <w:highlight w:val="none"/>
                <w:lang w:bidi="ar"/>
              </w:rPr>
              <w:t>……</w:t>
            </w:r>
          </w:p>
        </w:tc>
        <w:tc>
          <w:tcPr>
            <w:tcW w:w="1462" w:type="dxa"/>
            <w:noWrap w:val="0"/>
            <w:vAlign w:val="center"/>
          </w:tcPr>
          <w:p>
            <w:pPr>
              <w:adjustRightInd w:val="0"/>
              <w:snapToGrid w:val="0"/>
              <w:ind w:left="-63" w:leftChars="-30" w:right="-63" w:rightChars="-30"/>
              <w:jc w:val="center"/>
              <w:rPr>
                <w:rFonts w:ascii="宋体" w:hAnsi="宋体"/>
                <w:szCs w:val="24"/>
                <w:highlight w:val="none"/>
              </w:rPr>
            </w:pPr>
          </w:p>
        </w:tc>
        <w:tc>
          <w:tcPr>
            <w:tcW w:w="2783" w:type="dxa"/>
            <w:noWrap w:val="0"/>
            <w:vAlign w:val="center"/>
          </w:tcPr>
          <w:p>
            <w:pPr>
              <w:adjustRightInd w:val="0"/>
              <w:snapToGrid w:val="0"/>
              <w:ind w:left="-63" w:leftChars="-30" w:right="-63" w:rightChars="-30"/>
              <w:jc w:val="center"/>
              <w:rPr>
                <w:rFonts w:ascii="宋体" w:hAnsi="宋体"/>
                <w:szCs w:val="24"/>
                <w:highlight w:val="none"/>
              </w:rPr>
            </w:pPr>
          </w:p>
        </w:tc>
        <w:tc>
          <w:tcPr>
            <w:tcW w:w="858" w:type="dxa"/>
            <w:noWrap w:val="0"/>
            <w:vAlign w:val="center"/>
          </w:tcPr>
          <w:p>
            <w:pPr>
              <w:adjustRightInd w:val="0"/>
              <w:snapToGrid w:val="0"/>
              <w:ind w:left="-63" w:leftChars="-30" w:right="-63" w:rightChars="-30"/>
              <w:jc w:val="center"/>
              <w:rPr>
                <w:rFonts w:ascii="宋体" w:hAnsi="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06" w:type="dxa"/>
            <w:noWrap w:val="0"/>
            <w:vAlign w:val="center"/>
          </w:tcPr>
          <w:p>
            <w:pPr>
              <w:adjustRightInd w:val="0"/>
              <w:snapToGrid w:val="0"/>
              <w:ind w:left="-63" w:leftChars="-30" w:right="-63" w:rightChars="-30"/>
              <w:jc w:val="center"/>
              <w:rPr>
                <w:rFonts w:ascii="宋体" w:hAnsi="宋体"/>
                <w:szCs w:val="24"/>
                <w:highlight w:val="none"/>
              </w:rPr>
            </w:pPr>
          </w:p>
        </w:tc>
        <w:tc>
          <w:tcPr>
            <w:tcW w:w="1358" w:type="dxa"/>
            <w:noWrap w:val="0"/>
            <w:vAlign w:val="center"/>
          </w:tcPr>
          <w:p>
            <w:pPr>
              <w:adjustRightInd w:val="0"/>
              <w:snapToGrid w:val="0"/>
              <w:ind w:left="-63" w:leftChars="-30" w:right="-63" w:rightChars="-30"/>
              <w:jc w:val="center"/>
              <w:rPr>
                <w:rFonts w:hint="eastAsia" w:ascii="宋体" w:hAnsi="宋体"/>
                <w:szCs w:val="24"/>
                <w:highlight w:val="none"/>
              </w:rPr>
            </w:pPr>
          </w:p>
        </w:tc>
        <w:tc>
          <w:tcPr>
            <w:tcW w:w="1376" w:type="dxa"/>
            <w:noWrap w:val="0"/>
            <w:vAlign w:val="center"/>
          </w:tcPr>
          <w:p>
            <w:pPr>
              <w:adjustRightInd w:val="0"/>
              <w:snapToGrid w:val="0"/>
              <w:ind w:left="-63" w:leftChars="-30" w:right="-63" w:rightChars="-30"/>
              <w:jc w:val="center"/>
              <w:rPr>
                <w:rFonts w:ascii="宋体" w:hAnsi="宋体"/>
                <w:szCs w:val="24"/>
                <w:highlight w:val="none"/>
              </w:rPr>
            </w:pPr>
          </w:p>
        </w:tc>
        <w:tc>
          <w:tcPr>
            <w:tcW w:w="1462" w:type="dxa"/>
            <w:noWrap w:val="0"/>
            <w:vAlign w:val="center"/>
          </w:tcPr>
          <w:p>
            <w:pPr>
              <w:adjustRightInd w:val="0"/>
              <w:snapToGrid w:val="0"/>
              <w:ind w:left="-63" w:leftChars="-30" w:right="-63" w:rightChars="-30"/>
              <w:jc w:val="center"/>
              <w:rPr>
                <w:rFonts w:ascii="宋体" w:hAnsi="宋体"/>
                <w:szCs w:val="24"/>
                <w:highlight w:val="none"/>
              </w:rPr>
            </w:pPr>
          </w:p>
        </w:tc>
        <w:tc>
          <w:tcPr>
            <w:tcW w:w="2783" w:type="dxa"/>
            <w:noWrap w:val="0"/>
            <w:vAlign w:val="center"/>
          </w:tcPr>
          <w:p>
            <w:pPr>
              <w:adjustRightInd w:val="0"/>
              <w:snapToGrid w:val="0"/>
              <w:ind w:left="-63" w:leftChars="-30" w:right="-63" w:rightChars="-30"/>
              <w:jc w:val="center"/>
              <w:rPr>
                <w:rFonts w:ascii="宋体" w:hAnsi="宋体"/>
                <w:szCs w:val="24"/>
                <w:highlight w:val="none"/>
              </w:rPr>
            </w:pPr>
          </w:p>
        </w:tc>
        <w:tc>
          <w:tcPr>
            <w:tcW w:w="858" w:type="dxa"/>
            <w:noWrap w:val="0"/>
            <w:vAlign w:val="center"/>
          </w:tcPr>
          <w:p>
            <w:pPr>
              <w:adjustRightInd w:val="0"/>
              <w:snapToGrid w:val="0"/>
              <w:ind w:left="-63" w:leftChars="-30" w:right="-63" w:rightChars="-30"/>
              <w:jc w:val="center"/>
              <w:rPr>
                <w:rFonts w:ascii="宋体" w:hAnsi="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6" w:type="dxa"/>
            <w:noWrap w:val="0"/>
            <w:vAlign w:val="center"/>
          </w:tcPr>
          <w:p>
            <w:pPr>
              <w:adjustRightInd w:val="0"/>
              <w:snapToGrid w:val="0"/>
              <w:ind w:left="-63" w:leftChars="-30" w:right="-63" w:rightChars="-30"/>
              <w:jc w:val="center"/>
              <w:rPr>
                <w:rFonts w:ascii="宋体" w:hAnsi="宋体"/>
                <w:szCs w:val="24"/>
                <w:highlight w:val="none"/>
              </w:rPr>
            </w:pPr>
          </w:p>
        </w:tc>
        <w:tc>
          <w:tcPr>
            <w:tcW w:w="1358" w:type="dxa"/>
            <w:noWrap w:val="0"/>
            <w:vAlign w:val="center"/>
          </w:tcPr>
          <w:p>
            <w:pPr>
              <w:adjustRightInd w:val="0"/>
              <w:snapToGrid w:val="0"/>
              <w:ind w:left="-63" w:leftChars="-30" w:right="-63" w:rightChars="-30"/>
              <w:jc w:val="center"/>
              <w:rPr>
                <w:rFonts w:hint="eastAsia" w:ascii="宋体" w:hAnsi="宋体"/>
                <w:szCs w:val="24"/>
                <w:highlight w:val="none"/>
              </w:rPr>
            </w:pPr>
          </w:p>
        </w:tc>
        <w:tc>
          <w:tcPr>
            <w:tcW w:w="1376" w:type="dxa"/>
            <w:noWrap w:val="0"/>
            <w:vAlign w:val="center"/>
          </w:tcPr>
          <w:p>
            <w:pPr>
              <w:adjustRightInd w:val="0"/>
              <w:snapToGrid w:val="0"/>
              <w:ind w:left="-63" w:leftChars="-30" w:right="-63" w:rightChars="-30"/>
              <w:jc w:val="center"/>
              <w:rPr>
                <w:rFonts w:ascii="宋体" w:hAnsi="宋体"/>
                <w:szCs w:val="24"/>
                <w:highlight w:val="none"/>
              </w:rPr>
            </w:pPr>
          </w:p>
        </w:tc>
        <w:tc>
          <w:tcPr>
            <w:tcW w:w="1462" w:type="dxa"/>
            <w:noWrap w:val="0"/>
            <w:vAlign w:val="center"/>
          </w:tcPr>
          <w:p>
            <w:pPr>
              <w:adjustRightInd w:val="0"/>
              <w:snapToGrid w:val="0"/>
              <w:ind w:left="-63" w:leftChars="-30" w:right="-63" w:rightChars="-30"/>
              <w:jc w:val="center"/>
              <w:rPr>
                <w:rFonts w:ascii="宋体" w:hAnsi="宋体"/>
                <w:szCs w:val="24"/>
                <w:highlight w:val="none"/>
              </w:rPr>
            </w:pPr>
          </w:p>
        </w:tc>
        <w:tc>
          <w:tcPr>
            <w:tcW w:w="2783" w:type="dxa"/>
            <w:noWrap w:val="0"/>
            <w:vAlign w:val="center"/>
          </w:tcPr>
          <w:p>
            <w:pPr>
              <w:adjustRightInd w:val="0"/>
              <w:snapToGrid w:val="0"/>
              <w:ind w:left="-63" w:leftChars="-30" w:right="-63" w:rightChars="-30"/>
              <w:jc w:val="center"/>
              <w:rPr>
                <w:rFonts w:ascii="宋体" w:hAnsi="宋体"/>
                <w:szCs w:val="24"/>
                <w:highlight w:val="none"/>
              </w:rPr>
            </w:pPr>
          </w:p>
        </w:tc>
        <w:tc>
          <w:tcPr>
            <w:tcW w:w="858" w:type="dxa"/>
            <w:noWrap w:val="0"/>
            <w:vAlign w:val="center"/>
          </w:tcPr>
          <w:p>
            <w:pPr>
              <w:adjustRightInd w:val="0"/>
              <w:snapToGrid w:val="0"/>
              <w:ind w:left="-63" w:leftChars="-30" w:right="-63" w:rightChars="-30"/>
              <w:jc w:val="center"/>
              <w:rPr>
                <w:rFonts w:ascii="宋体" w:hAnsi="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06" w:type="dxa"/>
            <w:noWrap w:val="0"/>
            <w:vAlign w:val="center"/>
          </w:tcPr>
          <w:p>
            <w:pPr>
              <w:adjustRightInd w:val="0"/>
              <w:snapToGrid w:val="0"/>
              <w:ind w:left="-63" w:leftChars="-30" w:right="-63" w:rightChars="-30"/>
              <w:jc w:val="center"/>
              <w:rPr>
                <w:rFonts w:ascii="宋体" w:hAnsi="宋体"/>
                <w:szCs w:val="24"/>
                <w:highlight w:val="none"/>
              </w:rPr>
            </w:pPr>
          </w:p>
        </w:tc>
        <w:tc>
          <w:tcPr>
            <w:tcW w:w="1358" w:type="dxa"/>
            <w:noWrap w:val="0"/>
            <w:vAlign w:val="center"/>
          </w:tcPr>
          <w:p>
            <w:pPr>
              <w:adjustRightInd w:val="0"/>
              <w:snapToGrid w:val="0"/>
              <w:ind w:left="-63" w:leftChars="-30" w:right="-63" w:rightChars="-30"/>
              <w:jc w:val="center"/>
              <w:rPr>
                <w:rFonts w:hint="eastAsia" w:ascii="宋体" w:hAnsi="宋体"/>
                <w:szCs w:val="24"/>
                <w:highlight w:val="none"/>
              </w:rPr>
            </w:pPr>
          </w:p>
        </w:tc>
        <w:tc>
          <w:tcPr>
            <w:tcW w:w="1376" w:type="dxa"/>
            <w:noWrap w:val="0"/>
            <w:vAlign w:val="center"/>
          </w:tcPr>
          <w:p>
            <w:pPr>
              <w:adjustRightInd w:val="0"/>
              <w:snapToGrid w:val="0"/>
              <w:ind w:left="-63" w:leftChars="-30" w:right="-63" w:rightChars="-30"/>
              <w:jc w:val="center"/>
              <w:rPr>
                <w:rFonts w:ascii="宋体" w:hAnsi="宋体"/>
                <w:szCs w:val="24"/>
                <w:highlight w:val="none"/>
              </w:rPr>
            </w:pPr>
          </w:p>
        </w:tc>
        <w:tc>
          <w:tcPr>
            <w:tcW w:w="1462" w:type="dxa"/>
            <w:noWrap w:val="0"/>
            <w:vAlign w:val="center"/>
          </w:tcPr>
          <w:p>
            <w:pPr>
              <w:adjustRightInd w:val="0"/>
              <w:snapToGrid w:val="0"/>
              <w:ind w:left="-63" w:leftChars="-30" w:right="-63" w:rightChars="-30"/>
              <w:jc w:val="center"/>
              <w:rPr>
                <w:rFonts w:ascii="宋体" w:hAnsi="宋体"/>
                <w:szCs w:val="24"/>
                <w:highlight w:val="none"/>
              </w:rPr>
            </w:pPr>
          </w:p>
        </w:tc>
        <w:tc>
          <w:tcPr>
            <w:tcW w:w="2783" w:type="dxa"/>
            <w:noWrap w:val="0"/>
            <w:vAlign w:val="center"/>
          </w:tcPr>
          <w:p>
            <w:pPr>
              <w:adjustRightInd w:val="0"/>
              <w:snapToGrid w:val="0"/>
              <w:ind w:left="-63" w:leftChars="-30" w:right="-63" w:rightChars="-30"/>
              <w:jc w:val="center"/>
              <w:rPr>
                <w:rFonts w:ascii="宋体" w:hAnsi="宋体"/>
                <w:szCs w:val="24"/>
                <w:highlight w:val="none"/>
              </w:rPr>
            </w:pPr>
          </w:p>
        </w:tc>
        <w:tc>
          <w:tcPr>
            <w:tcW w:w="858" w:type="dxa"/>
            <w:noWrap w:val="0"/>
            <w:vAlign w:val="center"/>
          </w:tcPr>
          <w:p>
            <w:pPr>
              <w:adjustRightInd w:val="0"/>
              <w:snapToGrid w:val="0"/>
              <w:ind w:left="-63" w:leftChars="-30" w:right="-63" w:rightChars="-30"/>
              <w:jc w:val="center"/>
              <w:rPr>
                <w:rFonts w:ascii="宋体" w:hAnsi="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06" w:type="dxa"/>
            <w:noWrap w:val="0"/>
            <w:vAlign w:val="center"/>
          </w:tcPr>
          <w:p>
            <w:pPr>
              <w:adjustRightInd w:val="0"/>
              <w:snapToGrid w:val="0"/>
              <w:ind w:left="-63" w:leftChars="-30" w:right="-63" w:rightChars="-30"/>
              <w:jc w:val="center"/>
              <w:rPr>
                <w:rFonts w:ascii="宋体" w:hAnsi="宋体"/>
                <w:highlight w:val="none"/>
              </w:rPr>
            </w:pPr>
          </w:p>
        </w:tc>
        <w:tc>
          <w:tcPr>
            <w:tcW w:w="1358" w:type="dxa"/>
            <w:noWrap w:val="0"/>
            <w:vAlign w:val="center"/>
          </w:tcPr>
          <w:p>
            <w:pPr>
              <w:adjustRightInd w:val="0"/>
              <w:snapToGrid w:val="0"/>
              <w:ind w:left="-63" w:leftChars="-30" w:right="-63" w:rightChars="-30"/>
              <w:jc w:val="center"/>
              <w:rPr>
                <w:rFonts w:ascii="宋体" w:hAnsi="宋体"/>
                <w:highlight w:val="none"/>
              </w:rPr>
            </w:pPr>
          </w:p>
        </w:tc>
        <w:tc>
          <w:tcPr>
            <w:tcW w:w="1376" w:type="dxa"/>
            <w:noWrap w:val="0"/>
            <w:vAlign w:val="center"/>
          </w:tcPr>
          <w:p>
            <w:pPr>
              <w:adjustRightInd w:val="0"/>
              <w:snapToGrid w:val="0"/>
              <w:ind w:left="-63" w:leftChars="-30" w:right="-63" w:rightChars="-30"/>
              <w:jc w:val="center"/>
              <w:rPr>
                <w:rFonts w:ascii="宋体" w:hAnsi="宋体"/>
                <w:highlight w:val="none"/>
              </w:rPr>
            </w:pPr>
          </w:p>
        </w:tc>
        <w:tc>
          <w:tcPr>
            <w:tcW w:w="1462" w:type="dxa"/>
            <w:noWrap w:val="0"/>
            <w:vAlign w:val="center"/>
          </w:tcPr>
          <w:p>
            <w:pPr>
              <w:adjustRightInd w:val="0"/>
              <w:snapToGrid w:val="0"/>
              <w:ind w:left="-63" w:leftChars="-30" w:right="-63" w:rightChars="-30"/>
              <w:jc w:val="center"/>
              <w:rPr>
                <w:rFonts w:ascii="宋体" w:hAnsi="宋体"/>
                <w:highlight w:val="none"/>
              </w:rPr>
            </w:pPr>
          </w:p>
        </w:tc>
        <w:tc>
          <w:tcPr>
            <w:tcW w:w="2783" w:type="dxa"/>
            <w:noWrap w:val="0"/>
            <w:vAlign w:val="center"/>
          </w:tcPr>
          <w:p>
            <w:pPr>
              <w:adjustRightInd w:val="0"/>
              <w:snapToGrid w:val="0"/>
              <w:ind w:left="-63" w:leftChars="-30" w:right="-63" w:rightChars="-30"/>
              <w:jc w:val="center"/>
              <w:rPr>
                <w:rFonts w:ascii="宋体" w:hAnsi="宋体"/>
                <w:highlight w:val="none"/>
              </w:rPr>
            </w:pPr>
          </w:p>
        </w:tc>
        <w:tc>
          <w:tcPr>
            <w:tcW w:w="858" w:type="dxa"/>
            <w:noWrap w:val="0"/>
            <w:vAlign w:val="center"/>
          </w:tcPr>
          <w:p>
            <w:pPr>
              <w:adjustRightInd w:val="0"/>
              <w:snapToGrid w:val="0"/>
              <w:ind w:left="-63" w:leftChars="-30" w:right="-63" w:rightChars="-30"/>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6" w:type="dxa"/>
            <w:noWrap w:val="0"/>
            <w:vAlign w:val="center"/>
          </w:tcPr>
          <w:p>
            <w:pPr>
              <w:adjustRightInd w:val="0"/>
              <w:snapToGrid w:val="0"/>
              <w:ind w:left="-63" w:leftChars="-30" w:right="-63" w:rightChars="-30"/>
              <w:jc w:val="center"/>
              <w:rPr>
                <w:rFonts w:ascii="宋体" w:hAnsi="宋体"/>
                <w:highlight w:val="none"/>
              </w:rPr>
            </w:pPr>
          </w:p>
        </w:tc>
        <w:tc>
          <w:tcPr>
            <w:tcW w:w="1358" w:type="dxa"/>
            <w:noWrap w:val="0"/>
            <w:vAlign w:val="center"/>
          </w:tcPr>
          <w:p>
            <w:pPr>
              <w:adjustRightInd w:val="0"/>
              <w:snapToGrid w:val="0"/>
              <w:ind w:left="-63" w:leftChars="-30" w:right="-63" w:rightChars="-30"/>
              <w:jc w:val="center"/>
              <w:rPr>
                <w:rFonts w:ascii="宋体" w:hAnsi="宋体"/>
                <w:highlight w:val="none"/>
              </w:rPr>
            </w:pPr>
          </w:p>
        </w:tc>
        <w:tc>
          <w:tcPr>
            <w:tcW w:w="1376" w:type="dxa"/>
            <w:noWrap w:val="0"/>
            <w:vAlign w:val="center"/>
          </w:tcPr>
          <w:p>
            <w:pPr>
              <w:adjustRightInd w:val="0"/>
              <w:snapToGrid w:val="0"/>
              <w:ind w:left="-63" w:leftChars="-30" w:right="-63" w:rightChars="-30"/>
              <w:jc w:val="center"/>
              <w:rPr>
                <w:rFonts w:ascii="宋体" w:hAnsi="宋体"/>
                <w:highlight w:val="none"/>
              </w:rPr>
            </w:pPr>
          </w:p>
        </w:tc>
        <w:tc>
          <w:tcPr>
            <w:tcW w:w="1462" w:type="dxa"/>
            <w:noWrap w:val="0"/>
            <w:vAlign w:val="center"/>
          </w:tcPr>
          <w:p>
            <w:pPr>
              <w:adjustRightInd w:val="0"/>
              <w:snapToGrid w:val="0"/>
              <w:ind w:left="-63" w:leftChars="-30" w:right="-63" w:rightChars="-30"/>
              <w:jc w:val="center"/>
              <w:rPr>
                <w:rFonts w:ascii="宋体" w:hAnsi="宋体"/>
                <w:highlight w:val="none"/>
              </w:rPr>
            </w:pPr>
          </w:p>
        </w:tc>
        <w:tc>
          <w:tcPr>
            <w:tcW w:w="2783" w:type="dxa"/>
            <w:noWrap w:val="0"/>
            <w:vAlign w:val="center"/>
          </w:tcPr>
          <w:p>
            <w:pPr>
              <w:adjustRightInd w:val="0"/>
              <w:snapToGrid w:val="0"/>
              <w:ind w:left="-63" w:leftChars="-30" w:right="-63" w:rightChars="-30"/>
              <w:jc w:val="center"/>
              <w:rPr>
                <w:rFonts w:ascii="宋体" w:hAnsi="宋体"/>
                <w:highlight w:val="none"/>
              </w:rPr>
            </w:pPr>
          </w:p>
        </w:tc>
        <w:tc>
          <w:tcPr>
            <w:tcW w:w="858" w:type="dxa"/>
            <w:noWrap w:val="0"/>
            <w:vAlign w:val="center"/>
          </w:tcPr>
          <w:p>
            <w:pPr>
              <w:adjustRightInd w:val="0"/>
              <w:snapToGrid w:val="0"/>
              <w:ind w:left="-63" w:leftChars="-30" w:right="-63" w:rightChars="-30"/>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06" w:type="dxa"/>
            <w:noWrap w:val="0"/>
            <w:vAlign w:val="center"/>
          </w:tcPr>
          <w:p>
            <w:pPr>
              <w:adjustRightInd w:val="0"/>
              <w:snapToGrid w:val="0"/>
              <w:ind w:left="-63" w:leftChars="-30" w:right="-63" w:rightChars="-30"/>
              <w:jc w:val="center"/>
              <w:rPr>
                <w:rFonts w:hint="eastAsia" w:ascii="宋体" w:hAnsi="宋体"/>
                <w:highlight w:val="none"/>
              </w:rPr>
            </w:pPr>
          </w:p>
        </w:tc>
        <w:tc>
          <w:tcPr>
            <w:tcW w:w="1358" w:type="dxa"/>
            <w:noWrap w:val="0"/>
            <w:vAlign w:val="center"/>
          </w:tcPr>
          <w:p>
            <w:pPr>
              <w:adjustRightInd w:val="0"/>
              <w:snapToGrid w:val="0"/>
              <w:ind w:left="-63" w:leftChars="-30" w:right="-63" w:rightChars="-30"/>
              <w:jc w:val="center"/>
              <w:rPr>
                <w:rFonts w:hint="eastAsia" w:ascii="宋体" w:hAnsi="宋体"/>
                <w:highlight w:val="none"/>
              </w:rPr>
            </w:pPr>
          </w:p>
        </w:tc>
        <w:tc>
          <w:tcPr>
            <w:tcW w:w="1376" w:type="dxa"/>
            <w:noWrap w:val="0"/>
            <w:vAlign w:val="center"/>
          </w:tcPr>
          <w:p>
            <w:pPr>
              <w:adjustRightInd w:val="0"/>
              <w:snapToGrid w:val="0"/>
              <w:ind w:left="-63" w:leftChars="-30" w:right="-63" w:rightChars="-30"/>
              <w:jc w:val="center"/>
              <w:rPr>
                <w:rStyle w:val="145"/>
                <w:rFonts w:hint="default" w:ascii="宋体" w:hAnsi="宋体" w:eastAsia="宋体" w:cs="宋体"/>
                <w:color w:val="auto"/>
                <w:sz w:val="21"/>
                <w:szCs w:val="21"/>
                <w:highlight w:val="none"/>
                <w:lang w:bidi="ar"/>
              </w:rPr>
            </w:pPr>
          </w:p>
        </w:tc>
        <w:tc>
          <w:tcPr>
            <w:tcW w:w="1462" w:type="dxa"/>
            <w:noWrap w:val="0"/>
            <w:vAlign w:val="center"/>
          </w:tcPr>
          <w:p>
            <w:pPr>
              <w:adjustRightInd w:val="0"/>
              <w:snapToGrid w:val="0"/>
              <w:ind w:left="-63" w:leftChars="-30" w:right="-63" w:rightChars="-30"/>
              <w:jc w:val="center"/>
              <w:rPr>
                <w:rFonts w:ascii="宋体" w:hAnsi="宋体"/>
                <w:highlight w:val="none"/>
              </w:rPr>
            </w:pPr>
          </w:p>
        </w:tc>
        <w:tc>
          <w:tcPr>
            <w:tcW w:w="2783" w:type="dxa"/>
            <w:noWrap w:val="0"/>
            <w:vAlign w:val="center"/>
          </w:tcPr>
          <w:p>
            <w:pPr>
              <w:adjustRightInd w:val="0"/>
              <w:snapToGrid w:val="0"/>
              <w:ind w:left="-63" w:leftChars="-30" w:right="-63" w:rightChars="-30"/>
              <w:jc w:val="center"/>
              <w:rPr>
                <w:rFonts w:ascii="宋体" w:hAnsi="宋体"/>
                <w:highlight w:val="none"/>
              </w:rPr>
            </w:pPr>
          </w:p>
        </w:tc>
        <w:tc>
          <w:tcPr>
            <w:tcW w:w="858" w:type="dxa"/>
            <w:noWrap w:val="0"/>
            <w:vAlign w:val="center"/>
          </w:tcPr>
          <w:p>
            <w:pPr>
              <w:adjustRightInd w:val="0"/>
              <w:snapToGrid w:val="0"/>
              <w:ind w:left="-63" w:leftChars="-30" w:right="-63" w:rightChars="-30"/>
              <w:jc w:val="center"/>
              <w:rPr>
                <w:rFonts w:ascii="宋体" w:hAnsi="宋体"/>
                <w:highlight w:val="none"/>
              </w:rPr>
            </w:pPr>
          </w:p>
        </w:tc>
      </w:tr>
    </w:tbl>
    <w:p>
      <w:pPr>
        <w:widowControl/>
        <w:jc w:val="left"/>
        <w:rPr>
          <w:rStyle w:val="145"/>
          <w:rFonts w:hint="default" w:ascii="宋体" w:hAnsi="宋体" w:eastAsia="宋体" w:cs="宋体"/>
          <w:color w:val="auto"/>
          <w:sz w:val="21"/>
          <w:szCs w:val="21"/>
          <w:highlight w:val="none"/>
          <w:lang w:bidi="ar"/>
        </w:rPr>
      </w:pPr>
      <w:r>
        <w:rPr>
          <w:rStyle w:val="145"/>
          <w:rFonts w:hint="default" w:ascii="宋体" w:hAnsi="宋体" w:eastAsia="宋体" w:cs="宋体"/>
          <w:color w:val="auto"/>
          <w:sz w:val="21"/>
          <w:szCs w:val="21"/>
          <w:highlight w:val="none"/>
          <w:lang w:bidi="ar"/>
        </w:rPr>
        <w:t>备注：</w:t>
      </w:r>
    </w:p>
    <w:p>
      <w:pPr>
        <w:widowControl/>
        <w:jc w:val="left"/>
        <w:rPr>
          <w:rStyle w:val="145"/>
          <w:rFonts w:hint="default" w:ascii="宋体" w:hAnsi="宋体" w:eastAsia="宋体" w:cs="宋体"/>
          <w:color w:val="auto"/>
          <w:sz w:val="21"/>
          <w:szCs w:val="21"/>
          <w:highlight w:val="none"/>
          <w:lang w:bidi="ar"/>
        </w:rPr>
      </w:pPr>
      <w:r>
        <w:rPr>
          <w:rStyle w:val="145"/>
          <w:rFonts w:hint="default" w:ascii="宋体" w:hAnsi="宋体" w:eastAsia="宋体" w:cs="宋体"/>
          <w:color w:val="auto"/>
          <w:sz w:val="21"/>
          <w:szCs w:val="21"/>
          <w:highlight w:val="none"/>
          <w:lang w:bidi="ar"/>
        </w:rPr>
        <w:t>1、“岗位”要求</w:t>
      </w:r>
      <w:r>
        <w:rPr>
          <w:rStyle w:val="145"/>
          <w:rFonts w:hint="default" w:ascii="宋体" w:hAnsi="宋体" w:eastAsia="宋体" w:cs="宋体"/>
          <w:strike/>
          <w:color w:val="auto"/>
          <w:sz w:val="21"/>
          <w:szCs w:val="21"/>
          <w:highlight w:val="none"/>
          <w:lang w:bidi="ar"/>
        </w:rPr>
        <w:t>（除项目负责人和专职安全员外）</w:t>
      </w:r>
      <w:r>
        <w:rPr>
          <w:rStyle w:val="145"/>
          <w:rFonts w:hint="default" w:ascii="宋体" w:hAnsi="宋体" w:eastAsia="宋体" w:cs="宋体"/>
          <w:color w:val="auto"/>
          <w:sz w:val="21"/>
          <w:szCs w:val="21"/>
          <w:highlight w:val="none"/>
          <w:lang w:bidi="ar"/>
        </w:rPr>
        <w:t>由招标人根据项目管理需要在本表备注中明确提出，如</w:t>
      </w:r>
      <w:r>
        <w:rPr>
          <w:rStyle w:val="145"/>
          <w:rFonts w:hint="default" w:ascii="宋体" w:hAnsi="宋体" w:eastAsia="宋体" w:cs="宋体"/>
          <w:color w:val="auto"/>
          <w:sz w:val="21"/>
          <w:szCs w:val="21"/>
          <w:highlight w:val="none"/>
          <w:u w:val="single"/>
          <w:lang w:bidi="ar"/>
        </w:rPr>
        <w:t>本表所要求人员</w:t>
      </w:r>
      <w:r>
        <w:rPr>
          <w:rStyle w:val="145"/>
          <w:rFonts w:hint="default" w:ascii="宋体" w:hAnsi="宋体" w:eastAsia="宋体" w:cs="宋体"/>
          <w:color w:val="auto"/>
          <w:sz w:val="21"/>
          <w:szCs w:val="21"/>
          <w:highlight w:val="none"/>
          <w:lang w:bidi="ar"/>
        </w:rPr>
        <w:t>等。以上项目管理团队人员信息将由交易系统提取后供各相关单位在履约时比对、查核。</w:t>
      </w:r>
    </w:p>
    <w:p>
      <w:pPr>
        <w:widowControl/>
        <w:jc w:val="left"/>
        <w:rPr>
          <w:rStyle w:val="145"/>
          <w:rFonts w:hint="default" w:ascii="宋体" w:hAnsi="宋体" w:eastAsia="宋体" w:cs="宋体"/>
          <w:color w:val="auto"/>
          <w:sz w:val="21"/>
          <w:szCs w:val="21"/>
          <w:highlight w:val="none"/>
          <w:lang w:bidi="ar"/>
        </w:rPr>
      </w:pPr>
      <w:r>
        <w:rPr>
          <w:rStyle w:val="145"/>
          <w:rFonts w:hint="default" w:ascii="宋体" w:hAnsi="宋体" w:eastAsia="宋体" w:cs="宋体"/>
          <w:color w:val="auto"/>
          <w:sz w:val="21"/>
          <w:szCs w:val="21"/>
          <w:highlight w:val="none"/>
          <w:lang w:bidi="ar"/>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rPr>
          <w:rStyle w:val="145"/>
          <w:rFonts w:hint="default" w:ascii="宋体" w:hAnsi="宋体" w:eastAsia="宋体" w:cs="宋体"/>
          <w:color w:val="auto"/>
          <w:sz w:val="21"/>
          <w:szCs w:val="21"/>
          <w:highlight w:val="none"/>
          <w:lang w:bidi="ar"/>
        </w:rPr>
      </w:pPr>
      <w:r>
        <w:rPr>
          <w:rStyle w:val="145"/>
          <w:rFonts w:hint="default" w:ascii="宋体" w:hAnsi="宋体" w:eastAsia="宋体" w:cs="宋体"/>
          <w:color w:val="auto"/>
          <w:sz w:val="21"/>
          <w:szCs w:val="21"/>
          <w:highlight w:val="none"/>
          <w:lang w:bidi="ar"/>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pPr>
        <w:widowControl/>
        <w:jc w:val="left"/>
        <w:rPr>
          <w:rStyle w:val="145"/>
          <w:rFonts w:hint="default" w:ascii="宋体" w:hAnsi="宋体" w:eastAsia="宋体" w:cs="宋体"/>
          <w:color w:val="auto"/>
          <w:sz w:val="21"/>
          <w:szCs w:val="21"/>
          <w:highlight w:val="none"/>
          <w:u w:val="single"/>
        </w:rPr>
      </w:pPr>
      <w:r>
        <w:rPr>
          <w:rStyle w:val="145"/>
          <w:rFonts w:hint="default" w:ascii="宋体" w:hAnsi="宋体" w:eastAsia="宋体" w:cs="宋体"/>
          <w:color w:val="auto"/>
          <w:sz w:val="21"/>
          <w:szCs w:val="21"/>
          <w:highlight w:val="none"/>
          <w:u w:val="single"/>
        </w:rPr>
        <w:t>4、如评标办法对投标人拟投入的项目管理团队进行评审的，投标人需按评审要求提供相关证明材料。</w:t>
      </w:r>
    </w:p>
    <w:p>
      <w:pPr>
        <w:widowControl/>
        <w:rPr>
          <w:rFonts w:hint="eastAsia" w:ascii="宋体" w:hAnsi="宋体" w:cs="宋体"/>
          <w:b/>
          <w:color w:val="auto"/>
          <w:kern w:val="0"/>
          <w:sz w:val="32"/>
          <w:szCs w:val="32"/>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附件</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rPr>
        <w:t>：</w:t>
      </w:r>
    </w:p>
    <w:p>
      <w:pPr>
        <w:jc w:val="center"/>
        <w:rPr>
          <w:rFonts w:hint="eastAsia" w:ascii="宋体" w:hAnsi="宋体" w:eastAsia="宋体" w:cs="宋体"/>
          <w:b/>
          <w:color w:val="auto"/>
          <w:sz w:val="36"/>
          <w:szCs w:val="36"/>
          <w:highlight w:val="none"/>
        </w:rPr>
      </w:pPr>
    </w:p>
    <w:p>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响应招标文件所附</w:t>
      </w:r>
      <w:r>
        <w:rPr>
          <w:rFonts w:hint="eastAsia" w:ascii="宋体" w:hAnsi="宋体" w:eastAsia="宋体" w:cs="宋体"/>
          <w:b/>
          <w:color w:val="auto"/>
          <w:sz w:val="36"/>
          <w:szCs w:val="36"/>
          <w:highlight w:val="none"/>
          <w:u w:val="single"/>
        </w:rPr>
        <w:t>施工组织设计要点</w:t>
      </w:r>
      <w:r>
        <w:rPr>
          <w:rFonts w:hint="eastAsia" w:ascii="宋体" w:hAnsi="宋体" w:eastAsia="宋体" w:cs="宋体"/>
          <w:b/>
          <w:color w:val="auto"/>
          <w:sz w:val="36"/>
          <w:szCs w:val="36"/>
          <w:highlight w:val="none"/>
        </w:rPr>
        <w:t>承诺书</w:t>
      </w: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（招标人）</w:t>
      </w:r>
      <w:r>
        <w:rPr>
          <w:rFonts w:hint="eastAsia" w:ascii="宋体" w:hAnsi="宋体" w:eastAsia="宋体" w:cs="宋体"/>
          <w:color w:val="auto"/>
          <w:sz w:val="24"/>
          <w:highlight w:val="none"/>
        </w:rPr>
        <w:t>：</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我方承诺，如中标承建</w:t>
      </w:r>
      <w:r>
        <w:rPr>
          <w:rFonts w:hint="eastAsia" w:ascii="宋体" w:hAnsi="宋体" w:eastAsia="宋体" w:cs="宋体"/>
          <w:color w:val="auto"/>
          <w:sz w:val="24"/>
          <w:highlight w:val="none"/>
          <w:u w:val="single"/>
        </w:rPr>
        <w:t xml:space="preserve">         (项目名称)</w:t>
      </w:r>
      <w:r>
        <w:rPr>
          <w:rFonts w:hint="eastAsia" w:ascii="宋体" w:hAnsi="宋体" w:eastAsia="宋体" w:cs="宋体"/>
          <w:color w:val="auto"/>
          <w:sz w:val="24"/>
          <w:highlight w:val="none"/>
        </w:rPr>
        <w:t>，将按招标文件所附的本工程</w:t>
      </w:r>
      <w:r>
        <w:rPr>
          <w:rFonts w:hint="eastAsia" w:ascii="宋体" w:hAnsi="宋体" w:eastAsia="宋体" w:cs="宋体"/>
          <w:color w:val="auto"/>
          <w:sz w:val="24"/>
          <w:highlight w:val="none"/>
          <w:u w:val="single"/>
        </w:rPr>
        <w:t>（施工组织设计要点）</w:t>
      </w:r>
      <w:r>
        <w:rPr>
          <w:rFonts w:hint="eastAsia" w:ascii="宋体" w:hAnsi="宋体" w:eastAsia="宋体" w:cs="宋体"/>
          <w:color w:val="auto"/>
          <w:sz w:val="24"/>
          <w:highlight w:val="none"/>
        </w:rPr>
        <w:t>进行响应的基础上自行组织施工。并承诺在中标后按招标文件所附的</w:t>
      </w:r>
      <w:r>
        <w:rPr>
          <w:rFonts w:hint="eastAsia" w:ascii="宋体" w:hAnsi="宋体" w:eastAsia="宋体" w:cs="宋体"/>
          <w:color w:val="auto"/>
          <w:sz w:val="24"/>
          <w:highlight w:val="none"/>
          <w:u w:val="single"/>
        </w:rPr>
        <w:t>（施工组织设计要点）</w:t>
      </w:r>
      <w:r>
        <w:rPr>
          <w:rFonts w:hint="eastAsia" w:ascii="宋体" w:hAnsi="宋体" w:eastAsia="宋体" w:cs="宋体"/>
          <w:color w:val="auto"/>
          <w:sz w:val="24"/>
          <w:highlight w:val="none"/>
        </w:rPr>
        <w:t>基础上编制详细的施工组织设计，并报经监理单位和建设单位审批后实施。</w:t>
      </w: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p>
    <w:p>
      <w:pPr>
        <w:spacing w:line="360" w:lineRule="auto"/>
        <w:ind w:firstLine="3000" w:firstLineChars="12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投标人名称（盖法人公章）：</w:t>
      </w:r>
      <w:r>
        <w:rPr>
          <w:rFonts w:hint="eastAsia" w:ascii="宋体" w:hAnsi="宋体" w:eastAsia="宋体" w:cs="宋体"/>
          <w:color w:val="auto"/>
          <w:sz w:val="24"/>
          <w:highlight w:val="none"/>
          <w:u w:val="single"/>
        </w:rPr>
        <w:t xml:space="preserve">                   </w:t>
      </w:r>
    </w:p>
    <w:p>
      <w:pPr>
        <w:spacing w:line="360" w:lineRule="auto"/>
        <w:ind w:firstLine="3000" w:firstLineChars="12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法定代表人或被授权人（签字或盖章）：</w:t>
      </w:r>
      <w:r>
        <w:rPr>
          <w:rFonts w:hint="eastAsia" w:ascii="宋体" w:hAnsi="宋体" w:eastAsia="宋体" w:cs="宋体"/>
          <w:color w:val="auto"/>
          <w:sz w:val="24"/>
          <w:highlight w:val="none"/>
          <w:u w:val="single"/>
        </w:rPr>
        <w:t xml:space="preserve">         </w:t>
      </w:r>
    </w:p>
    <w:p>
      <w:pPr>
        <w:spacing w:line="360" w:lineRule="auto"/>
        <w:ind w:firstLine="4440" w:firstLineChars="1850"/>
        <w:rPr>
          <w:rFonts w:hint="eastAsia" w:ascii="宋体" w:hAnsi="宋体" w:cs="宋体"/>
          <w:strike/>
          <w:color w:val="auto"/>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widowControl/>
        <w:rPr>
          <w:rFonts w:hint="eastAsia" w:ascii="宋体" w:hAnsi="宋体" w:cs="宋体"/>
          <w:b/>
          <w:color w:val="auto"/>
          <w:kern w:val="0"/>
          <w:sz w:val="32"/>
          <w:szCs w:val="32"/>
          <w:highlight w:val="none"/>
        </w:rPr>
      </w:pPr>
      <w:r>
        <w:rPr>
          <w:rFonts w:hint="eastAsia" w:ascii="宋体" w:hAnsi="宋体" w:cs="宋体"/>
          <w:color w:val="auto"/>
          <w:sz w:val="24"/>
          <w:szCs w:val="24"/>
          <w:highlight w:val="none"/>
        </w:rPr>
        <w:t>附件</w:t>
      </w:r>
      <w:r>
        <w:rPr>
          <w:rFonts w:hint="eastAsia" w:ascii="宋体" w:hAnsi="宋体" w:cs="宋体"/>
          <w:color w:val="auto"/>
          <w:sz w:val="24"/>
          <w:szCs w:val="24"/>
          <w:highlight w:val="none"/>
          <w:lang w:val="en-US" w:eastAsia="zh-CN"/>
        </w:rPr>
        <w:t>六</w:t>
      </w:r>
      <w:r>
        <w:rPr>
          <w:rFonts w:hint="eastAsia" w:ascii="宋体" w:hAnsi="宋体" w:cs="宋体"/>
          <w:color w:val="auto"/>
          <w:sz w:val="24"/>
          <w:szCs w:val="24"/>
          <w:highlight w:val="none"/>
        </w:rPr>
        <w:t>：</w:t>
      </w:r>
    </w:p>
    <w:p>
      <w:pPr>
        <w:widowControl/>
        <w:jc w:val="center"/>
        <w:rPr>
          <w:rFonts w:hint="eastAsia" w:ascii="宋体" w:hAnsi="宋体" w:cs="宋体"/>
          <w:b/>
          <w:color w:val="auto"/>
          <w:kern w:val="0"/>
          <w:sz w:val="32"/>
          <w:szCs w:val="32"/>
          <w:highlight w:val="none"/>
        </w:rPr>
      </w:pPr>
    </w:p>
    <w:p>
      <w:pPr>
        <w:widowControl/>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工程质量终身责任承诺书</w:t>
      </w:r>
    </w:p>
    <w:p>
      <w:pPr>
        <w:spacing w:after="120"/>
        <w:rPr>
          <w:rFonts w:ascii="宋体" w:hAnsi="宋体"/>
          <w:color w:val="auto"/>
          <w:kern w:val="1"/>
          <w:sz w:val="24"/>
          <w:highlight w:val="none"/>
        </w:rPr>
      </w:pPr>
    </w:p>
    <w:p>
      <w:pPr>
        <w:widowControl/>
        <w:spacing w:after="120" w:line="360" w:lineRule="auto"/>
        <w:ind w:firstLine="480" w:firstLineChars="200"/>
        <w:rPr>
          <w:rFonts w:hint="eastAsia" w:ascii="宋体" w:hAnsi="宋体"/>
          <w:color w:val="auto"/>
          <w:kern w:val="1"/>
          <w:sz w:val="24"/>
          <w:highlight w:val="none"/>
        </w:rPr>
      </w:pPr>
      <w:r>
        <w:rPr>
          <w:rFonts w:hint="eastAsia" w:ascii="宋体" w:hAnsi="宋体"/>
          <w:color w:val="auto"/>
          <w:kern w:val="1"/>
          <w:sz w:val="24"/>
          <w:szCs w:val="24"/>
          <w:highlight w:val="none"/>
        </w:rPr>
        <w:t>本人受</w:t>
      </w:r>
      <w:r>
        <w:rPr>
          <w:rFonts w:hint="eastAsia" w:ascii="宋体" w:hAnsi="宋体"/>
          <w:color w:val="auto"/>
          <w:kern w:val="1"/>
          <w:sz w:val="24"/>
          <w:szCs w:val="24"/>
          <w:highlight w:val="none"/>
          <w:u w:val="single"/>
        </w:rPr>
        <w:t xml:space="preserve">               </w:t>
      </w:r>
      <w:r>
        <w:rPr>
          <w:rFonts w:hint="eastAsia" w:ascii="宋体" w:hAnsi="宋体"/>
          <w:color w:val="auto"/>
          <w:kern w:val="1"/>
          <w:sz w:val="24"/>
          <w:szCs w:val="24"/>
          <w:highlight w:val="none"/>
        </w:rPr>
        <w:t xml:space="preserve"> 单位（法定代表人</w:t>
      </w:r>
      <w:r>
        <w:rPr>
          <w:rFonts w:hint="eastAsia" w:ascii="宋体" w:hAnsi="宋体"/>
          <w:color w:val="auto"/>
          <w:kern w:val="1"/>
          <w:sz w:val="24"/>
          <w:szCs w:val="24"/>
          <w:highlight w:val="none"/>
          <w:u w:val="single"/>
        </w:rPr>
        <w:t xml:space="preserve">             </w:t>
      </w:r>
      <w:r>
        <w:rPr>
          <w:rFonts w:hint="eastAsia" w:ascii="宋体" w:hAnsi="宋体"/>
          <w:color w:val="auto"/>
          <w:kern w:val="1"/>
          <w:sz w:val="24"/>
          <w:szCs w:val="24"/>
          <w:highlight w:val="none"/>
        </w:rPr>
        <w:t>）授权，担任</w:t>
      </w:r>
      <w:r>
        <w:rPr>
          <w:rFonts w:hint="eastAsia" w:ascii="宋体" w:hAnsi="宋体"/>
          <w:color w:val="auto"/>
          <w:kern w:val="1"/>
          <w:sz w:val="24"/>
          <w:szCs w:val="24"/>
          <w:highlight w:val="none"/>
          <w:u w:val="single"/>
        </w:rPr>
        <w:t xml:space="preserve">           </w:t>
      </w:r>
      <w:r>
        <w:rPr>
          <w:rFonts w:hint="eastAsia" w:ascii="宋体" w:hAnsi="宋体"/>
          <w:color w:val="auto"/>
          <w:kern w:val="1"/>
          <w:sz w:val="24"/>
          <w:szCs w:val="24"/>
          <w:highlight w:val="none"/>
        </w:rPr>
        <w:t>工程项目的（施工）项目负责人，对该工程项目的（施工）工作实施组织管理。本人承诺严格依旧国家有关法律法规及标准规范履行职责，并对设计使用年限内的工程质量承担相应终身责任。</w:t>
      </w:r>
    </w:p>
    <w:p>
      <w:pPr>
        <w:widowControl/>
        <w:spacing w:after="120" w:line="360" w:lineRule="auto"/>
        <w:ind w:firstLine="480" w:firstLineChars="200"/>
        <w:rPr>
          <w:rFonts w:ascii="宋体" w:hAnsi="宋体"/>
          <w:color w:val="auto"/>
          <w:kern w:val="1"/>
          <w:sz w:val="24"/>
          <w:highlight w:val="none"/>
        </w:rPr>
      </w:pPr>
    </w:p>
    <w:p>
      <w:pPr>
        <w:widowControl/>
        <w:wordWrap w:val="0"/>
        <w:spacing w:after="120" w:line="360" w:lineRule="auto"/>
        <w:ind w:firstLine="480" w:firstLineChars="200"/>
        <w:jc w:val="right"/>
        <w:rPr>
          <w:rFonts w:ascii="宋体" w:hAnsi="宋体"/>
          <w:color w:val="auto"/>
          <w:kern w:val="1"/>
          <w:sz w:val="24"/>
          <w:highlight w:val="none"/>
        </w:rPr>
      </w:pPr>
      <w:r>
        <w:rPr>
          <w:rFonts w:hint="eastAsia" w:ascii="宋体" w:hAnsi="宋体"/>
          <w:color w:val="auto"/>
          <w:kern w:val="1"/>
          <w:sz w:val="24"/>
          <w:szCs w:val="24"/>
          <w:highlight w:val="none"/>
        </w:rPr>
        <w:t>承诺人签字：</w:t>
      </w:r>
      <w:r>
        <w:rPr>
          <w:rFonts w:hint="eastAsia" w:ascii="宋体" w:hAnsi="宋体"/>
          <w:color w:val="auto"/>
          <w:kern w:val="1"/>
          <w:sz w:val="24"/>
          <w:szCs w:val="24"/>
          <w:highlight w:val="none"/>
          <w:u w:val="single"/>
        </w:rPr>
        <w:t xml:space="preserve">                 </w:t>
      </w:r>
    </w:p>
    <w:p>
      <w:pPr>
        <w:widowControl/>
        <w:wordWrap w:val="0"/>
        <w:spacing w:after="120" w:line="360" w:lineRule="auto"/>
        <w:ind w:firstLine="480" w:firstLineChars="200"/>
        <w:jc w:val="right"/>
        <w:rPr>
          <w:rFonts w:ascii="宋体" w:hAnsi="宋体"/>
          <w:color w:val="auto"/>
          <w:kern w:val="1"/>
          <w:sz w:val="24"/>
          <w:highlight w:val="none"/>
        </w:rPr>
      </w:pPr>
      <w:r>
        <w:rPr>
          <w:rFonts w:hint="eastAsia" w:ascii="宋体" w:hAnsi="宋体"/>
          <w:color w:val="auto"/>
          <w:kern w:val="1"/>
          <w:sz w:val="24"/>
          <w:szCs w:val="24"/>
          <w:highlight w:val="none"/>
        </w:rPr>
        <w:t>身份证号：</w:t>
      </w:r>
      <w:r>
        <w:rPr>
          <w:rFonts w:hint="eastAsia" w:ascii="宋体" w:hAnsi="宋体"/>
          <w:color w:val="auto"/>
          <w:kern w:val="1"/>
          <w:sz w:val="24"/>
          <w:szCs w:val="24"/>
          <w:highlight w:val="none"/>
          <w:u w:val="single"/>
        </w:rPr>
        <w:t xml:space="preserve">                 </w:t>
      </w:r>
    </w:p>
    <w:p>
      <w:pPr>
        <w:widowControl/>
        <w:wordWrap w:val="0"/>
        <w:spacing w:after="120" w:line="360" w:lineRule="auto"/>
        <w:ind w:firstLine="480" w:firstLineChars="200"/>
        <w:jc w:val="right"/>
        <w:rPr>
          <w:rFonts w:ascii="宋体" w:hAnsi="宋体"/>
          <w:color w:val="auto"/>
          <w:kern w:val="1"/>
          <w:sz w:val="24"/>
          <w:highlight w:val="none"/>
        </w:rPr>
      </w:pPr>
      <w:r>
        <w:rPr>
          <w:rFonts w:hint="eastAsia" w:ascii="宋体" w:hAnsi="宋体"/>
          <w:color w:val="auto"/>
          <w:kern w:val="1"/>
          <w:sz w:val="24"/>
          <w:szCs w:val="24"/>
          <w:highlight w:val="none"/>
        </w:rPr>
        <w:t>注册执业资格：</w:t>
      </w:r>
      <w:r>
        <w:rPr>
          <w:rFonts w:hint="eastAsia" w:ascii="宋体" w:hAnsi="宋体"/>
          <w:color w:val="auto"/>
          <w:kern w:val="1"/>
          <w:sz w:val="24"/>
          <w:szCs w:val="24"/>
          <w:highlight w:val="none"/>
          <w:u w:val="single"/>
        </w:rPr>
        <w:t xml:space="preserve">                 </w:t>
      </w:r>
    </w:p>
    <w:p>
      <w:pPr>
        <w:widowControl/>
        <w:wordWrap w:val="0"/>
        <w:spacing w:after="120" w:line="360" w:lineRule="auto"/>
        <w:ind w:firstLine="480" w:firstLineChars="200"/>
        <w:jc w:val="right"/>
        <w:rPr>
          <w:rFonts w:ascii="宋体" w:hAnsi="宋体"/>
          <w:color w:val="auto"/>
          <w:kern w:val="1"/>
          <w:sz w:val="24"/>
          <w:highlight w:val="none"/>
          <w:u w:val="single"/>
        </w:rPr>
      </w:pPr>
      <w:r>
        <w:rPr>
          <w:rFonts w:hint="eastAsia" w:ascii="宋体" w:hAnsi="宋体"/>
          <w:color w:val="auto"/>
          <w:kern w:val="1"/>
          <w:sz w:val="24"/>
          <w:szCs w:val="24"/>
          <w:highlight w:val="none"/>
        </w:rPr>
        <w:t>注册执业证号：</w:t>
      </w:r>
      <w:r>
        <w:rPr>
          <w:rFonts w:hint="eastAsia" w:ascii="宋体" w:hAnsi="宋体"/>
          <w:color w:val="auto"/>
          <w:kern w:val="1"/>
          <w:sz w:val="24"/>
          <w:szCs w:val="24"/>
          <w:highlight w:val="none"/>
          <w:u w:val="single"/>
        </w:rPr>
        <w:t xml:space="preserve">                 </w:t>
      </w:r>
    </w:p>
    <w:p>
      <w:pPr>
        <w:pStyle w:val="19"/>
        <w:ind w:firstLine="5520" w:firstLineChars="2300"/>
        <w:rPr>
          <w:rStyle w:val="64"/>
          <w:rFonts w:hint="eastAsia" w:ascii="宋体" w:hAnsi="宋体" w:cs="宋体"/>
          <w:color w:val="auto"/>
          <w:highlight w:val="none"/>
        </w:rPr>
        <w:sectPr>
          <w:footerReference r:id="rId25" w:type="default"/>
          <w:pgSz w:w="11906" w:h="16838"/>
          <w:pgMar w:top="1304" w:right="1531" w:bottom="1304" w:left="1531"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olor w:val="auto"/>
          <w:kern w:val="1"/>
          <w:sz w:val="24"/>
          <w:szCs w:val="24"/>
          <w:highlight w:val="none"/>
        </w:rPr>
        <w:t>签字日期：</w:t>
      </w:r>
      <w:r>
        <w:rPr>
          <w:rFonts w:hint="eastAsia" w:ascii="宋体" w:hAnsi="宋体"/>
          <w:color w:val="auto"/>
          <w:kern w:val="1"/>
          <w:sz w:val="24"/>
          <w:szCs w:val="24"/>
          <w:highlight w:val="none"/>
          <w:u w:val="single"/>
        </w:rPr>
        <w:t xml:space="preserve">     </w:t>
      </w:r>
      <w:r>
        <w:rPr>
          <w:rFonts w:hint="eastAsia" w:ascii="宋体" w:hAnsi="宋体"/>
          <w:color w:val="auto"/>
          <w:kern w:val="1"/>
          <w:sz w:val="24"/>
          <w:szCs w:val="24"/>
          <w:highlight w:val="none"/>
        </w:rPr>
        <w:t>年</w:t>
      </w:r>
      <w:r>
        <w:rPr>
          <w:rFonts w:hint="eastAsia" w:ascii="宋体" w:hAnsi="宋体"/>
          <w:color w:val="auto"/>
          <w:kern w:val="1"/>
          <w:sz w:val="24"/>
          <w:szCs w:val="24"/>
          <w:highlight w:val="none"/>
          <w:u w:val="single"/>
        </w:rPr>
        <w:t xml:space="preserve">   </w:t>
      </w:r>
      <w:r>
        <w:rPr>
          <w:rFonts w:hint="eastAsia" w:ascii="宋体" w:hAnsi="宋体"/>
          <w:color w:val="auto"/>
          <w:kern w:val="1"/>
          <w:sz w:val="24"/>
          <w:szCs w:val="24"/>
          <w:highlight w:val="none"/>
        </w:rPr>
        <w:t>月</w:t>
      </w:r>
      <w:r>
        <w:rPr>
          <w:rFonts w:hint="eastAsia" w:ascii="宋体" w:hAnsi="宋体"/>
          <w:color w:val="auto"/>
          <w:kern w:val="1"/>
          <w:sz w:val="24"/>
          <w:szCs w:val="24"/>
          <w:highlight w:val="none"/>
          <w:u w:val="single"/>
        </w:rPr>
        <w:t xml:space="preserve">   </w:t>
      </w:r>
      <w:r>
        <w:rPr>
          <w:rFonts w:hint="eastAsia" w:ascii="宋体" w:hAnsi="宋体"/>
          <w:color w:val="auto"/>
          <w:kern w:val="1"/>
          <w:sz w:val="24"/>
          <w:szCs w:val="24"/>
          <w:highlight w:val="none"/>
        </w:rPr>
        <w:t>日</w:t>
      </w:r>
    </w:p>
    <w:p>
      <w:pPr>
        <w:pStyle w:val="3"/>
        <w:jc w:val="center"/>
        <w:rPr>
          <w:rFonts w:hint="eastAsia" w:ascii="宋体" w:hAnsi="宋体" w:cs="宋体"/>
          <w:b/>
          <w:bCs/>
          <w:color w:val="auto"/>
          <w:sz w:val="24"/>
          <w:szCs w:val="24"/>
          <w:highlight w:val="none"/>
        </w:rPr>
      </w:pPr>
      <w:bookmarkStart w:id="17" w:name="_Toc14267"/>
      <w:r>
        <w:rPr>
          <w:rFonts w:hint="eastAsia" w:ascii="宋体" w:hAnsi="宋体" w:cs="宋体"/>
          <w:b/>
          <w:bCs/>
          <w:color w:val="auto"/>
          <w:highlight w:val="none"/>
        </w:rPr>
        <w:t>第五章  技术条件（工程建设标准）</w:t>
      </w:r>
      <w:bookmarkEnd w:id="17"/>
    </w:p>
    <w:p>
      <w:pPr>
        <w:jc w:val="center"/>
        <w:outlineLvl w:val="9"/>
        <w:rPr>
          <w:rFonts w:hint="eastAsia" w:ascii="宋体" w:hAnsi="宋体" w:cs="宋体"/>
          <w:b/>
          <w:bCs/>
          <w:color w:val="auto"/>
          <w:highlight w:val="none"/>
        </w:rPr>
      </w:pP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按国家省市现行相关规定执行</w:t>
      </w:r>
      <w:r>
        <w:rPr>
          <w:rFonts w:hint="eastAsia" w:ascii="宋体" w:hAnsi="宋体" w:cs="宋体"/>
          <w:b/>
          <w:bCs/>
          <w:color w:val="auto"/>
          <w:sz w:val="24"/>
          <w:szCs w:val="24"/>
          <w:highlight w:val="none"/>
        </w:rPr>
        <w:t>）</w:t>
      </w:r>
    </w:p>
    <w:p>
      <w:pPr>
        <w:bidi w:val="0"/>
        <w:rPr>
          <w:rFonts w:hint="eastAsia"/>
          <w:color w:val="auto"/>
          <w:highlight w:val="none"/>
        </w:rPr>
      </w:pPr>
    </w:p>
    <w:p>
      <w:pPr>
        <w:pStyle w:val="3"/>
        <w:jc w:val="center"/>
        <w:rPr>
          <w:rFonts w:hint="eastAsia" w:ascii="宋体" w:hAnsi="宋体" w:cs="宋体"/>
          <w:b/>
          <w:bCs/>
          <w:color w:val="auto"/>
          <w:highlight w:val="none"/>
        </w:rPr>
      </w:pPr>
      <w:r>
        <w:rPr>
          <w:rFonts w:hint="eastAsia" w:ascii="宋体" w:hAnsi="宋体" w:cs="宋体"/>
          <w:b/>
          <w:bCs/>
          <w:color w:val="auto"/>
          <w:highlight w:val="none"/>
        </w:rPr>
        <w:br w:type="page"/>
      </w:r>
      <w:bookmarkStart w:id="18" w:name="_Toc5991"/>
      <w:r>
        <w:rPr>
          <w:rFonts w:hint="eastAsia" w:ascii="宋体" w:hAnsi="宋体" w:cs="宋体"/>
          <w:b/>
          <w:bCs/>
          <w:color w:val="auto"/>
          <w:highlight w:val="none"/>
        </w:rPr>
        <w:t>第六章  图纸及勘察资料</w:t>
      </w:r>
      <w:bookmarkEnd w:id="18"/>
    </w:p>
    <w:p>
      <w:pPr>
        <w:jc w:val="center"/>
        <w:outlineLvl w:val="9"/>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（另册）</w:t>
      </w:r>
    </w:p>
    <w:p>
      <w:pPr>
        <w:bidi w:val="0"/>
        <w:rPr>
          <w:rFonts w:hint="eastAsia"/>
          <w:color w:val="auto"/>
          <w:highlight w:val="none"/>
        </w:rPr>
      </w:pPr>
    </w:p>
    <w:p>
      <w:pPr>
        <w:pStyle w:val="3"/>
        <w:jc w:val="center"/>
        <w:rPr>
          <w:rFonts w:hint="eastAsia" w:ascii="宋体" w:hAnsi="宋体" w:cs="宋体"/>
          <w:b/>
          <w:bCs/>
          <w:color w:val="auto"/>
          <w:highlight w:val="none"/>
        </w:rPr>
      </w:pPr>
      <w:r>
        <w:rPr>
          <w:rFonts w:hint="eastAsia" w:ascii="宋体" w:hAnsi="宋体" w:cs="宋体"/>
          <w:b/>
          <w:bCs/>
          <w:color w:val="auto"/>
          <w:highlight w:val="none"/>
        </w:rPr>
        <w:br w:type="page"/>
      </w:r>
      <w:bookmarkStart w:id="19" w:name="_Toc13166"/>
      <w:r>
        <w:rPr>
          <w:rFonts w:hint="eastAsia" w:ascii="宋体" w:hAnsi="宋体" w:cs="宋体"/>
          <w:b/>
          <w:bCs/>
          <w:color w:val="auto"/>
          <w:highlight w:val="none"/>
        </w:rPr>
        <w:t>第七章  工程量清单</w:t>
      </w:r>
      <w:bookmarkEnd w:id="19"/>
    </w:p>
    <w:p>
      <w:pPr>
        <w:jc w:val="center"/>
        <w:outlineLvl w:val="9"/>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（另册</w:t>
      </w:r>
      <w:r>
        <w:rPr>
          <w:rFonts w:hint="eastAsia" w:ascii="宋体" w:hAnsi="宋体" w:cs="宋体"/>
          <w:b/>
          <w:bCs/>
          <w:color w:val="auto"/>
          <w:sz w:val="24"/>
          <w:szCs w:val="24"/>
          <w:highlight w:val="none"/>
          <w:lang w:val="en-US" w:eastAsia="zh-CN"/>
        </w:rPr>
        <w:t>）</w:t>
      </w:r>
    </w:p>
    <w:p>
      <w:pPr>
        <w:bidi w:val="0"/>
        <w:rPr>
          <w:rFonts w:hint="eastAsia"/>
          <w:color w:val="auto"/>
          <w:highlight w:val="none"/>
        </w:rPr>
      </w:pPr>
    </w:p>
    <w:p>
      <w:pPr>
        <w:pStyle w:val="3"/>
        <w:jc w:val="center"/>
        <w:rPr>
          <w:rFonts w:hint="eastAsia" w:ascii="宋体" w:hAnsi="宋体" w:cs="宋体"/>
          <w:b/>
          <w:bCs/>
          <w:color w:val="auto"/>
          <w:highlight w:val="none"/>
        </w:rPr>
      </w:pPr>
      <w:r>
        <w:rPr>
          <w:rFonts w:hint="eastAsia" w:ascii="宋体" w:hAnsi="宋体" w:cs="宋体"/>
          <w:b/>
          <w:bCs/>
          <w:color w:val="auto"/>
          <w:highlight w:val="none"/>
        </w:rPr>
        <w:br w:type="page"/>
      </w:r>
      <w:bookmarkStart w:id="20" w:name="_Toc16101"/>
      <w:r>
        <w:rPr>
          <w:rFonts w:hint="eastAsia" w:ascii="宋体" w:hAnsi="宋体" w:cs="宋体"/>
          <w:b/>
          <w:bCs/>
          <w:color w:val="auto"/>
          <w:highlight w:val="none"/>
        </w:rPr>
        <w:t>第八章  最高投标限价</w:t>
      </w:r>
      <w:bookmarkEnd w:id="20"/>
    </w:p>
    <w:p>
      <w:pPr>
        <w:jc w:val="center"/>
        <w:outlineLvl w:val="9"/>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（另册</w:t>
      </w:r>
      <w:r>
        <w:rPr>
          <w:rFonts w:hint="eastAsia" w:ascii="宋体" w:hAnsi="宋体" w:cs="宋体"/>
          <w:b/>
          <w:bCs/>
          <w:color w:val="auto"/>
          <w:sz w:val="24"/>
          <w:szCs w:val="24"/>
          <w:highlight w:val="none"/>
          <w:lang w:val="en-US" w:eastAsia="zh-CN"/>
        </w:rPr>
        <w:t>）</w:t>
      </w:r>
    </w:p>
    <w:p>
      <w:pPr>
        <w:jc w:val="center"/>
        <w:rPr>
          <w:rFonts w:hint="eastAsia" w:ascii="宋体" w:hAnsi="宋体" w:cs="宋体"/>
          <w:color w:val="auto"/>
          <w:highlight w:val="none"/>
        </w:rPr>
      </w:pPr>
    </w:p>
    <w:sectPr>
      <w:pgSz w:w="11906" w:h="16838"/>
      <w:pgMar w:top="1304" w:right="1531" w:bottom="1304" w:left="1531"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Calisto MT">
    <w:panose1 w:val="02040603050505030304"/>
    <w:charset w:val="00"/>
    <w:family w:val="roman"/>
    <w:pitch w:val="default"/>
    <w:sig w:usb0="00000003" w:usb1="00000000" w:usb2="00000000" w:usb3="00000000" w:csb0="2000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DejaVu Sans">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92"/>
      <w:jc w:val="right"/>
      <w:rPr>
        <w:rStyle w:val="57"/>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92"/>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2"/>
                            <w:rPr>
                              <w:rFonts w:hint="eastAsia" w:eastAsia="等线"/>
                            </w:rPr>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4oo+cwBAACdAwAADgAAAGRycy9lMm9Eb2MueG1srVNLbtswEN0XyB0I&#10;7mPKWgSuYDloYaQIELQF0h6ApiiLAH/g0JZ8gfYGXXXTfc/lc3RISU6abrLohhrODN/MezNa3w5G&#10;k6MMoJyt6XJRUCKtcI2y+5p+/XJ3vaIEIrcN187Kmp4k0NvN1Zt17ytZus7pRgaCIBaq3te0i9FX&#10;jIHopOGwcF5aDLYuGB7xGvasCbxHdKNZWRQ3rHeh8cEJCYDe7RikE2J4DaBrWyXk1omDkTaOqEFq&#10;HpESdMoD3eRu21aK+KltQUaia4pMYz6xCNq7dLLNmlf7wH2nxNQCf00LLzgZriwWvUBteeTkENQ/&#10;UEaJ4MC1cSGcYSORrAiyWBYvtHnsuJeZC0oN/iI6/D9Y8fH4ORDV1LS8ocRygxM///h+/vn7/Osb&#10;WRbl2yRR76HCzEePuXF47wZcnNkP6EzMhzaY9EVOBOMo8OkisBwiEenRqlytCgwJjM0XxGdPz32A&#10;+EE6Q5JR04ATzMLy4wPEMXVOSdWsu1Na5ylq+5cDMZOHpd7HHpMVh90wEdq55oR8ehx+TS3uOiX6&#10;3qK2aU9mI8zGbjYOPqh9lxcp1QP/7hCxidxbqjDCToVxapndtGFpLZ7fc9bTX7X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Tiij5zAEAAJ0DAAAOAAAAAAAAAAEAIAAAAB4BAABkcnMvZTJv&#10;RG9jLnhtbFBLBQYAAAAABgAGAFkBAABcBQAAAAA=&#10;">
              <v:fill on="f" focussize="0,0"/>
              <v:stroke on="f"/>
              <v:imagedata o:title=""/>
              <o:lock v:ext="edit" aspectratio="f"/>
              <v:textbox inset="0mm,0mm,0mm,0mm" style="mso-fit-shape-to-text:t;">
                <w:txbxContent>
                  <w:p>
                    <w:pPr>
                      <w:pStyle w:val="32"/>
                      <w:rPr>
                        <w:rFonts w:hint="eastAsia" w:eastAsia="等线"/>
                      </w:rPr>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2"/>
                            <w:ind w:firstLine="392"/>
                          </w:pP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VvUYssBAACdAwAADgAAAGRycy9lMm9Eb2MueG1srVNLjtswDN0X6B0E&#10;7SdyMmgRGHEGLYIpChRtgekcQJHlWIB+EJXYuUB7g6666b7nyjlKyXYyn80sZiNTJPXI90ivbnqj&#10;yUEGUM5WdD4rKJFWuFrZXUXvf9xeLSmByG3NtbOyokcJ9Gb99s2q86VcuNbpWgaCIBbKzle0jdGX&#10;jIFopeEwc15aDDYuGB7xGnasDrxDdKPZoijes86F2gcnJAB6N0OQjojhJYCuaZSQGyf2Rto4oAap&#10;eURK0CoPdJ27bRop4remARmJrigyjfnEImhv08nWK17uAvetEmML/CUtPOFkuLJY9Ay14ZGTfVDP&#10;oIwSwYFr4kw4wwYiWRFkMS+eaHPXci8zF5Qa/Fl0eD1Y8fXwPRBVV3TxjhLLDU789PvX6c+/09+f&#10;ZF5cZ4k6DyVm3nnMjf1H1+PiJOmSH9CZmPdNMOmLnAjGUeDjWWDZRyLSo+ViuSwwJDA2XRCHXZ77&#10;APGTdIYko6IBJ5iF5YcvEIfUKSVVs+5WaZ2nqO0jB2ImD7v0mKzYb/ux8a2rj8inw+FX1OKuU6I/&#10;W9Q27clkhMnYTsbeB7Vr8yKleuA/7CM2kXtLFQbYsTBOLbMbNyytxcN7zrr8Ve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Vb1GLLAQAAnQMAAA4AAAAAAAAAAQAgAAAAHgEAAGRycy9lMm9E&#10;b2MueG1sUEsFBgAAAAAGAAYAWQEAAFsFAAAAAA==&#10;">
              <v:fill on="f" focussize="0,0"/>
              <v:stroke on="f"/>
              <v:imagedata o:title=""/>
              <o:lock v:ext="edit" aspectratio="f"/>
              <v:textbox inset="0mm,0mm,0mm,0mm" style="mso-fit-shape-to-text:t;">
                <w:txbxContent>
                  <w:p>
                    <w:pPr>
                      <w:pStyle w:val="32"/>
                      <w:ind w:firstLine="392"/>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360" w:firstLine="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2"/>
                            <w:jc w:val="center"/>
                            <w:rPr>
                              <w:rStyle w:val="57"/>
                            </w:rPr>
                          </w:pPr>
                          <w:r>
                            <w:fldChar w:fldCharType="begin"/>
                          </w:r>
                          <w:r>
                            <w:rPr>
                              <w:rStyle w:val="57"/>
                            </w:rPr>
                            <w:instrText xml:space="preserve">PAGE  </w:instrText>
                          </w:r>
                          <w:r>
                            <w:fldChar w:fldCharType="separate"/>
                          </w:r>
                          <w:r>
                            <w:rPr>
                              <w:rStyle w:val="57"/>
                            </w:rPr>
                            <w:t>34</w:t>
                          </w:r>
                          <w:r>
                            <w:fldChar w:fldCharType="end"/>
                          </w:r>
                        </w:p>
                        <w:p>
                          <w:pPr>
                            <w:pStyle w:val="32"/>
                            <w:ind w:left="-4410" w:leftChars="-2100" w:right="-4439" w:rightChars="-2114"/>
                            <w:rPr>
                              <w:rStyle w:val="57"/>
                            </w:rPr>
                          </w:pP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2TlcsBAACd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GpJieMWJ3758f3y8/fl1zey&#10;rG5uskR9gBoz7wPmpuGtH3BxZj+gMzMfVLT5i5wIxlHg81VgOSQi8qP1ar2uMCQwNl8Qnz08DxHS&#10;O+ktyUZDI06wCMtPHyCNqXNKrub8nTamTNG4vxyImT0s9z72mK007IeJ0N63Z+TT4/Ab6nDXKTHv&#10;HWqb92Q24mzsZ+MYoj50ZZFyPQhvjgmbKL3lCiPsVBinVthNG5bX4vG9ZD38Vd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m9k5XLAQAAnQMAAA4AAAAAAAAAAQAgAAAAHgEAAGRycy9lMm9E&#10;b2MueG1sUEsFBgAAAAAGAAYAWQEAAFsFAAAAAA==&#10;">
              <v:fill on="f" focussize="0,0"/>
              <v:stroke on="f"/>
              <v:imagedata o:title=""/>
              <o:lock v:ext="edit" aspectratio="f"/>
              <v:textbox inset="0mm,0mm,0mm,0mm" style="mso-fit-shape-to-text:t;">
                <w:txbxContent>
                  <w:p>
                    <w:pPr>
                      <w:pStyle w:val="32"/>
                      <w:jc w:val="center"/>
                      <w:rPr>
                        <w:rStyle w:val="57"/>
                      </w:rPr>
                    </w:pPr>
                    <w:r>
                      <w:fldChar w:fldCharType="begin"/>
                    </w:r>
                    <w:r>
                      <w:rPr>
                        <w:rStyle w:val="57"/>
                      </w:rPr>
                      <w:instrText xml:space="preserve">PAGE  </w:instrText>
                    </w:r>
                    <w:r>
                      <w:fldChar w:fldCharType="separate"/>
                    </w:r>
                    <w:r>
                      <w:rPr>
                        <w:rStyle w:val="57"/>
                      </w:rPr>
                      <w:t>34</w:t>
                    </w:r>
                    <w:r>
                      <w:fldChar w:fldCharType="end"/>
                    </w:r>
                  </w:p>
                  <w:p>
                    <w:pPr>
                      <w:pStyle w:val="32"/>
                      <w:ind w:left="-4410" w:leftChars="-2100" w:right="-4439" w:rightChars="-2114"/>
                      <w:rPr>
                        <w:rStyle w:val="57"/>
                      </w:rPr>
                    </w:pP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outside" w:y="1"/>
      <w:rPr>
        <w:rStyle w:val="57"/>
      </w:rPr>
    </w:pPr>
    <w:r>
      <w:fldChar w:fldCharType="begin"/>
    </w:r>
    <w:r>
      <w:rPr>
        <w:rStyle w:val="57"/>
      </w:rPr>
      <w:instrText xml:space="preserve">PAGE  </w:instrText>
    </w:r>
    <w:r>
      <w:fldChar w:fldCharType="separate"/>
    </w:r>
    <w:r>
      <w:rPr>
        <w:rStyle w:val="57"/>
        <w:rFonts w:hint="eastAsia"/>
      </w:rPr>
      <w:t>一</w:t>
    </w:r>
    <w:r>
      <w:rPr>
        <w:rStyle w:val="57"/>
      </w:rPr>
      <w:t>–2</w:t>
    </w:r>
    <w:r>
      <w:fldChar w:fldCharType="end"/>
    </w:r>
  </w:p>
  <w:p>
    <w:pPr>
      <w:pStyle w:val="32"/>
      <w:ind w:right="360" w:firstLine="360"/>
      <w:jc w:val="center"/>
    </w:pPr>
    <w:r>
      <w:rPr>
        <w:sz w:val="20"/>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2"/>
                            <w:jc w:val="center"/>
                          </w:pPr>
                          <w:r>
                            <w:fldChar w:fldCharType="begin"/>
                          </w:r>
                          <w:r>
                            <w:rPr>
                              <w:rStyle w:val="57"/>
                            </w:rPr>
                            <w:instrText xml:space="preserve"> PAGE </w:instrText>
                          </w:r>
                          <w:r>
                            <w:fldChar w:fldCharType="separate"/>
                          </w:r>
                          <w:r>
                            <w:rPr>
                              <w:rStyle w:val="57"/>
                            </w:rPr>
                            <w:t>32</w:t>
                          </w:r>
                          <w: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Cfpo8wBAACd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ZlSYnlBid+/v7t/OPX+edX&#10;sizelkmi3kOFmU8ec+Nw5wZcnNkP6EzMhzaY9EVOBOMo8OkisBwiEenRqlytCgwJjM0XxGfPz32A&#10;+F46Q5JR04ATzMLy4yPEMXVOSdWsu1da5ylq+5cDMZOHpd7HHpMVh90wEdq55oR8ehx+TS3uOiX6&#10;waK2aU9mI8zGbjYOPqh9lxcp1QN/e4jYRO4tVRhhp8I4tcxu2rC0Fn/ec9bzX7X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kJ+mjzAEAAJ0DAAAOAAAAAAAAAAEAIAAAAB4BAABkcnMvZTJv&#10;RG9jLnhtbFBLBQYAAAAABgAGAFkBAABcBQAAAAA=&#10;">
              <v:fill on="f" focussize="0,0"/>
              <v:stroke on="f"/>
              <v:imagedata o:title=""/>
              <o:lock v:ext="edit" aspectratio="f"/>
              <v:textbox inset="0mm,0mm,0mm,0mm" style="mso-fit-shape-to-text:t;">
                <w:txbxContent>
                  <w:p>
                    <w:pPr>
                      <w:pStyle w:val="32"/>
                      <w:jc w:val="center"/>
                    </w:pPr>
                    <w:r>
                      <w:fldChar w:fldCharType="begin"/>
                    </w:r>
                    <w:r>
                      <w:rPr>
                        <w:rStyle w:val="57"/>
                      </w:rPr>
                      <w:instrText xml:space="preserve"> PAGE </w:instrText>
                    </w:r>
                    <w:r>
                      <w:fldChar w:fldCharType="separate"/>
                    </w:r>
                    <w:r>
                      <w:rPr>
                        <w:rStyle w:val="57"/>
                      </w:rPr>
                      <w:t>32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2"/>
                            <w:rPr>
                              <w:rStyle w:val="57"/>
                            </w:rPr>
                          </w:pPr>
                          <w:r>
                            <w:fldChar w:fldCharType="begin"/>
                          </w:r>
                          <w:r>
                            <w:rPr>
                              <w:rStyle w:val="57"/>
                            </w:rPr>
                            <w:instrText xml:space="preserve">PAGE  </w:instrText>
                          </w:r>
                          <w:r>
                            <w:fldChar w:fldCharType="separate"/>
                          </w:r>
                          <w:r>
                            <w:rPr>
                              <w:rStyle w:val="57"/>
                            </w:rPr>
                            <w:t>56</w:t>
                          </w:r>
                          <w: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fHKVcsBAACdAwAADgAAAGRycy9lMm9Eb2MueG1srVPNjtMwEL4j8Q6W&#10;79RpF6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Xd1Q4rjFiV++f7v8+HX5+ZUs&#10;q5uXWaI+QI2Z9wFz0/DGD7g4sx/QmZkPKtr8RU4E4yjw+SqwHBIR+dF6tV5XGBIYmy+Izx6ehwjp&#10;rfSWZKOhESdYhOWn95DG1DklV3P+ThtTpmjcXw7EzB6Wex97zFYa9sNEaO/bM/LpcfgNdbjrlJh3&#10;DrXNezIbcTb2s3EMUR+6ski5HoTXx4RNlN5yhRF2KoxTK+ymDctr8ee9ZD38Vd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nxylXLAQAAnQMAAA4AAAAAAAAAAQAgAAAAHgEAAGRycy9lMm9E&#10;b2MueG1sUEsFBgAAAAAGAAYAWQEAAFsFAAAAAA==&#10;">
              <v:fill on="f" focussize="0,0"/>
              <v:stroke on="f"/>
              <v:imagedata o:title=""/>
              <o:lock v:ext="edit" aspectratio="f"/>
              <v:textbox inset="0mm,0mm,0mm,0mm" style="mso-fit-shape-to-text:t;">
                <w:txbxContent>
                  <w:p>
                    <w:pPr>
                      <w:pStyle w:val="32"/>
                      <w:rPr>
                        <w:rStyle w:val="57"/>
                      </w:rPr>
                    </w:pPr>
                    <w:r>
                      <w:fldChar w:fldCharType="begin"/>
                    </w:r>
                    <w:r>
                      <w:rPr>
                        <w:rStyle w:val="57"/>
                      </w:rPr>
                      <w:instrText xml:space="preserve">PAGE  </w:instrText>
                    </w:r>
                    <w:r>
                      <w:fldChar w:fldCharType="separate"/>
                    </w:r>
                    <w:r>
                      <w:rPr>
                        <w:rStyle w:val="57"/>
                      </w:rPr>
                      <w:t>56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92"/>
      <w:rPr>
        <w:rStyle w:val="57"/>
      </w:rPr>
    </w:pPr>
    <w:r>
      <w:fldChar w:fldCharType="begin"/>
    </w:r>
    <w:r>
      <w:rPr>
        <w:rStyle w:val="57"/>
      </w:rPr>
      <w:instrText xml:space="preserve">PAGE  </w:instrText>
    </w:r>
    <w:r>
      <w:fldChar w:fldCharType="separate"/>
    </w:r>
    <w:r>
      <w:rPr>
        <w:rStyle w:val="57"/>
        <w:rFonts w:hint="eastAsia"/>
      </w:rPr>
      <w:t>一</w:t>
    </w:r>
    <w:r>
      <w:rPr>
        <w:rStyle w:val="57"/>
      </w:rPr>
      <w:t>–2</w:t>
    </w:r>
    <w:r>
      <w:fldChar w:fldCharType="end"/>
    </w:r>
  </w:p>
  <w:p>
    <w:pPr>
      <w:pStyle w:val="32"/>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92"/>
      <w:jc w:val="right"/>
      <w:rPr>
        <w:rStyle w:val="57"/>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2"/>
                            <w:ind w:firstLine="392"/>
                            <w:jc w:val="right"/>
                          </w:pPr>
                          <w:r>
                            <w:fldChar w:fldCharType="begin"/>
                          </w:r>
                          <w:r>
                            <w:rPr>
                              <w:rStyle w:val="57"/>
                            </w:rPr>
                            <w:instrText xml:space="preserve">PAGE  </w:instrText>
                          </w:r>
                          <w:r>
                            <w:fldChar w:fldCharType="separate"/>
                          </w:r>
                          <w:r>
                            <w:rPr>
                              <w:rStyle w:val="57"/>
                            </w:rPr>
                            <w:t>1</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0Tu2soBAACdAwAADgAAAGRycy9lMm9Eb2MueG1srVPNjtMwEL4j8Q6W&#10;79RpD0sVNV2BqkVICJAWHsB17MaS/+Rxm/QF4A04ceHOc/U5GDtJd1kue+DijGfG38z3zWRzO1hD&#10;TjKC9q6hy0VFiXTCt9odGvr1y92rNSWQuGu58U429CyB3m5fvtj0oZYr33nTykgQxEHdh4Z2KYWa&#10;MRCdtBwWPkiHQeWj5Qmv8cDayHtEt4atquqG9T62IXohAdC7G4N0QozPAfRKaSF3XhytdGlEjdLw&#10;hJSg0wHotnSrlBTpk1IgEzENRaapnFgE7X0+2XbD60PkodNiaoE/p4UnnCzXDoteoXY8cXKM+h8o&#10;q0X04FVaCG/ZSKQogiyW1RNt7jseZOGCUkO4ig7/D1Z8PH2ORLe4Ca8pcdzixC8/vl9+/r78+kaW&#10;1eomS9QHqDHzPmBuGt76AdNnP6AzMx9UtPmLnAjGUeDzVWA5JCLyo/Vqva4wJDA2XxCfPTwPEdI7&#10;6S3JRkMjTrAIy08fII2pc0qu5vydNqZM0bi/HIiZPSz3PvaYrTTsh4nQ3rdn5NPj8BvqcNcpMe8d&#10;apv3ZDbibOxn4xiiPnRlkXI9CG+OCZsoveUKI+xUGKdW2E0bltfi8b1kPfxV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0Tu2soBAACdAwAADgAAAAAAAAABACAAAAAeAQAAZHJzL2Uyb0Rv&#10;Yy54bWxQSwUGAAAAAAYABgBZAQAAWgUAAAAA&#10;">
              <v:fill on="f" focussize="0,0"/>
              <v:stroke on="f"/>
              <v:imagedata o:title=""/>
              <o:lock v:ext="edit" aspectratio="f"/>
              <v:textbox inset="0mm,0mm,0mm,0mm" style="mso-fit-shape-to-text:t;">
                <w:txbxContent>
                  <w:p>
                    <w:pPr>
                      <w:pStyle w:val="32"/>
                      <w:ind w:firstLine="392"/>
                      <w:jc w:val="right"/>
                    </w:pPr>
                    <w:r>
                      <w:fldChar w:fldCharType="begin"/>
                    </w:r>
                    <w:r>
                      <w:rPr>
                        <w:rStyle w:val="57"/>
                      </w:rPr>
                      <w:instrText xml:space="preserve">PAGE  </w:instrText>
                    </w:r>
                    <w:r>
                      <w:fldChar w:fldCharType="separate"/>
                    </w:r>
                    <w:r>
                      <w:rPr>
                        <w:rStyle w:val="57"/>
                      </w:rP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9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2"/>
                            <w:ind w:firstLine="392"/>
                          </w:pP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Bdw8sBAACdAwAADgAAAGRycy9lMm9Eb2MueG1srVPNjtMwEL4j8Q6W&#10;79RpJ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lvchNeUOG5x4pfv3y4/fl1+fiXL&#10;avUyS9QHqDHzLmBuGt76AdNnP6AzMx9UtPmLnAjGUeDzVWA5JCLyo/Vqva4wJDA2XxCfPTwPEdI7&#10;6S3JRkMjTrAIy08fII2pc0qu5vytNqZM0bi/HIiZPSz3PvaYrTTsh4nQ3rdn5NPj8BvqcNcpMe8d&#10;apv3ZDbibOxn4xiiPnRlkXI9CG+OCZsoveUKI+xUGKdW2E0bltfiz3vJevir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NgXcPLAQAAnQMAAA4AAAAAAAAAAQAgAAAAHgEAAGRycy9lMm9E&#10;b2MueG1sUEsFBgAAAAAGAAYAWQEAAFsFAAAAAA==&#10;">
              <v:fill on="f" focussize="0,0"/>
              <v:stroke on="f"/>
              <v:imagedata o:title=""/>
              <o:lock v:ext="edit" aspectratio="f"/>
              <v:textbox inset="0mm,0mm,0mm,0mm" style="mso-fit-shape-to-text:t;">
                <w:txbxContent>
                  <w:p>
                    <w:pPr>
                      <w:pStyle w:val="32"/>
                      <w:ind w:firstLine="392"/>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360" w:firstLine="360"/>
      <w:jc w:val="center"/>
      <w:rPr>
        <w:rFonts w:eastAsia="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18"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pPr>
                            <w:pStyle w:val="32"/>
                            <w:rPr>
                              <w:rFonts w:hint="eastAsia"/>
                            </w:rPr>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GhQKzTAQAApgMAAA4AAABkcnMvZTJvRG9jLnhtbK1TS27bMBDdF+gd&#10;CO5rWYlTNILlIIWRokDRFkh6AJoiLQL8gUNb8gXaG3TVTfc9l8+RISU5TbLJIhtqODN8M+/NaHnV&#10;G032IoBytqblbE6JsNw1ym5r+uPu5t0HSiAy2zDtrKjpQQC9Wr19s+x8Jc5c63QjAkEQC1Xna9rG&#10;6KuiAN4Kw2DmvLAYlC4YFvEatkUTWIfoRhdn8/n7onOh8cFxAYDe9RCkI2J4CaCTUnGxdnxnhI0D&#10;ahCaRaQErfJAV7lbKQWP36QEEYmuKTKN+cQiaG/SWayWrNoG5lvFxxbYS1p4wskwZbHoCWrNIiO7&#10;oJ5BGcWDAyfjjDtTDESyIsiinD/R5rZlXmQuKDX4k+jwerD86/57IKrBTcC5W2Zw4sffv45//h3/&#10;/iSLpE/nocK0W4+Jsf/oesyd/IDORLuXwaQvEiIYR3UPJ3VFHwlPj8rF5fkFJRxD5Xm5WFwklOLh&#10;sQ8QPwlnSDJqGnB4WVO2/wJxSJ1SUi3rbpTWeYDaPnIg5uAReQPG14nH0G+yYr/pR3Ib1xyQW4db&#10;UFOLS0+J/mxR5LQwkxEmYzMZOx/Uts0blaqDv95FbCl3mioMsMgwXXB8meu4amk//r/nrIffa3U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V+SdAAAAADAQAADwAAAAAAAAABACAAAAAiAAAAZHJz&#10;L2Rvd25yZXYueG1sUEsBAhQAFAAAAAgAh07iQJGhQKzTAQAApgMAAA4AAAAAAAAAAQAgAAAAHwEA&#10;AGRycy9lMm9Eb2MueG1sUEsFBgAAAAAGAAYAWQEAAGQFAAAAAA==&#10;">
              <v:fill on="f" focussize="0,0"/>
              <v:stroke on="f"/>
              <v:imagedata o:title=""/>
              <o:lock v:ext="edit" aspectratio="f"/>
              <v:textbox inset="0mm,0mm,0mm,0mm" style="mso-fit-shape-to-text:t;">
                <w:txbxContent>
                  <w:p>
                    <w:pPr>
                      <w:pStyle w:val="32"/>
                      <w:rPr>
                        <w:rFonts w:hint="eastAsia"/>
                      </w:rPr>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7"/>
      </w:rPr>
    </w:pPr>
    <w:r>
      <w:fldChar w:fldCharType="begin"/>
    </w:r>
    <w:r>
      <w:rPr>
        <w:rStyle w:val="57"/>
        <w:rFonts w:hint="eastAsia"/>
      </w:rPr>
      <w:instrText xml:space="preserve">PAGE  </w:instrText>
    </w:r>
    <w:r>
      <w:fldChar w:fldCharType="separate"/>
    </w:r>
    <w:r>
      <w:rPr>
        <w:rStyle w:val="57"/>
        <w:rFonts w:hint="eastAsia"/>
      </w:rPr>
      <w:t>一–2</w:t>
    </w:r>
    <w:r>
      <w:fldChar w:fldCharType="end"/>
    </w:r>
  </w:p>
  <w:p>
    <w:pPr>
      <w:pStyle w:val="32"/>
      <w:ind w:right="360" w:firstLine="360"/>
      <w:jc w:val="center"/>
      <w:rPr>
        <w:rFonts w:eastAsia="Times New Roman"/>
      </w:rPr>
    </w:pPr>
    <w:r>
      <w:rPr>
        <w:sz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eastAsia="Times New Roman"/>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20"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pPr>
                            <w:pStyle w:val="32"/>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ry1Z3TAQAApgMAAA4AAABkcnMvZTJvRG9jLnhtbK1TS27bMBDdF8gd&#10;CO5jWY4TtILloIWRIEDRFkh7AJoiLQL8gUNb8gXaG3TVTfc9l8/RISU5bbrJohtqODN8M+/NaHXb&#10;G00OIoBytqblbE6JsNw1yu5q+uXz3eVrSiAy2zDtrKjpUQC9XV+8WnW+EgvXOt2IQBDEQtX5mrYx&#10;+qoogLfCMJg5LywGpQuGRbyGXdEE1iG60cViPr8pOhcaHxwXAOjdDEE6IoaXADopFRcbx/dG2Dig&#10;BqFZRErQKg90nbuVUvD4UUoQkeiaItOYTyyC9jadxXrFql1gvlV8bIG9pIVnnAxTFoueoTYsMrIP&#10;6h8oo3hw4GSccWeKgUhWBFmU82faPLbMi8wFpQZ/Fh3+Hyz/cPgUiGpqukBJLDM48dP3b6cfv04/&#10;v5KbpE/nocK0R4+JsX/netyayQ/oTLR7GUz6IiGCcYQ6ntUVfSQ8PSqXb66uKeEYKq/K5fI6oRRP&#10;j32AeC+cIcmoacDhZU3Z4T3EIXVKSbWsu1Na5wFq+5cDMQePyBswvk48hn6TFfttP5LbuuaI3Drc&#10;gppaXHpK9INFkdPCTEaYjO1k7H1QuzZvVKoO/u0+Yku501RhgEWG6YLjy1zHVUv78ec9Zz39Xu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V+SdAAAAADAQAADwAAAAAAAAABACAAAAAiAAAAZHJz&#10;L2Rvd25yZXYueG1sUEsBAhQAFAAAAAgAh07iQHry1Z3TAQAApgMAAA4AAAAAAAAAAQAgAAAAHwEA&#10;AGRycy9lMm9Eb2MueG1sUEsFBgAAAAAGAAYAWQEAAGQFAAAAAA==&#10;">
              <v:fill on="f" focussize="0,0"/>
              <v:stroke on="f"/>
              <v:imagedata o:title=""/>
              <o:lock v:ext="edit" aspectratio="f"/>
              <v:textbox inset="0mm,0mm,0mm,0mm" style="mso-fit-shape-to-text:t;">
                <w:txbxContent>
                  <w:p>
                    <w:pPr>
                      <w:pStyle w:val="32"/>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92"/>
      <w:jc w:val="right"/>
      <w:rPr>
        <w:rStyle w:val="57"/>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2"/>
                            <w:ind w:firstLine="392"/>
                            <w:jc w:val="right"/>
                          </w:pPr>
                          <w:r>
                            <w:fldChar w:fldCharType="begin"/>
                          </w:r>
                          <w:r>
                            <w:rPr>
                              <w:rStyle w:val="57"/>
                            </w:rPr>
                            <w:instrText xml:space="preserve">PAGE  </w:instrText>
                          </w:r>
                          <w:r>
                            <w:fldChar w:fldCharType="separate"/>
                          </w:r>
                          <w:r>
                            <w:rPr>
                              <w:rStyle w:val="57"/>
                            </w:rPr>
                            <w:t>31</w:t>
                          </w:r>
                          <w: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1ZP1MsBAACd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rl5R4rjFiV++f7v8+HX5+ZUs&#10;q5fLLFEfoMbMu4C5aXjrB1yc2Q/ozMwHFW3+IieCcRT4fBVYDomI/Gi9Wq8rDAmMzRfEZw/PQ4T0&#10;TnpLstHQiBMswvLTB0hj6pySqzl/q40pUzTuLwdiZg/LvY89ZisN+2EitPftGfn0OPyGOtx1Ssx7&#10;h9rmPZmNOBv72TiGqA9dWaRcD8KbY8ImSm+5wgg7FcapFXbThuW1+PNesh7+qu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9WT9TLAQAAnQMAAA4AAAAAAAAAAQAgAAAAHgEAAGRycy9lMm9E&#10;b2MueG1sUEsFBgAAAAAGAAYAWQEAAFsFAAAAAA==&#10;">
              <v:fill on="f" focussize="0,0"/>
              <v:stroke on="f"/>
              <v:imagedata o:title=""/>
              <o:lock v:ext="edit" aspectratio="f"/>
              <v:textbox inset="0mm,0mm,0mm,0mm" style="mso-fit-shape-to-text:t;">
                <w:txbxContent>
                  <w:p>
                    <w:pPr>
                      <w:pStyle w:val="32"/>
                      <w:ind w:firstLine="392"/>
                      <w:jc w:val="right"/>
                    </w:pPr>
                    <w:r>
                      <w:fldChar w:fldCharType="begin"/>
                    </w:r>
                    <w:r>
                      <w:rPr>
                        <w:rStyle w:val="57"/>
                      </w:rPr>
                      <w:instrText xml:space="preserve">PAGE  </w:instrText>
                    </w:r>
                    <w:r>
                      <w:fldChar w:fldCharType="separate"/>
                    </w:r>
                    <w:r>
                      <w:rPr>
                        <w:rStyle w:val="57"/>
                      </w:rP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jc w:val="right"/>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rFonts w:eastAsia="Times New Roman"/>
        <w:i/>
      </w:rPr>
    </w:pPr>
    <w:r>
      <w:rPr>
        <w:i/>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jc w:val="right"/>
      <w:rPr>
        <w:rFonts w:eastAsia="Times New Roman"/>
        <w:i/>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i/>
        <w:iCs/>
      </w:rPr>
    </w:pPr>
    <w:r>
      <w:rPr>
        <w:rFonts w:hint="eastAsia"/>
        <w:i/>
        <w:iCs/>
      </w:rPr>
      <w:t>横枝岗路道路排水改造工程招标文件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8B9B59"/>
    <w:multiLevelType w:val="singleLevel"/>
    <w:tmpl w:val="D58B9B59"/>
    <w:lvl w:ilvl="0" w:tentative="0">
      <w:start w:val="1"/>
      <w:numFmt w:val="chineseCounting"/>
      <w:suff w:val="nothing"/>
      <w:lvlText w:val="%1、"/>
      <w:lvlJc w:val="left"/>
      <w:rPr>
        <w:rFonts w:hint="eastAsia"/>
      </w:rPr>
    </w:lvl>
  </w:abstractNum>
  <w:abstractNum w:abstractNumId="1">
    <w:nsid w:val="259905B5"/>
    <w:multiLevelType w:val="multilevel"/>
    <w:tmpl w:val="259905B5"/>
    <w:lvl w:ilvl="0" w:tentative="0">
      <w:start w:val="1"/>
      <w:numFmt w:val="chineseCountingThousand"/>
      <w:pStyle w:val="257"/>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6"/>
      <w:suff w:val="space"/>
      <w:lvlText w:val="%2.%3.%4"/>
      <w:lvlJc w:val="left"/>
      <w:pPr>
        <w:ind w:left="284" w:hanging="284"/>
      </w:pPr>
      <w:rPr>
        <w:rFonts w:hint="eastAsia" w:ascii="宋体" w:eastAsia="宋体" w:cs="Times New Roman"/>
        <w:b/>
        <w:i w:val="0"/>
        <w:sz w:val="28"/>
      </w:rPr>
    </w:lvl>
    <w:lvl w:ilvl="4" w:tentative="0">
      <w:start w:val="1"/>
      <w:numFmt w:val="decimal"/>
      <w:pStyle w:val="8"/>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0"/>
      <w:suff w:val="nothing"/>
      <w:lvlText w:val=""/>
      <w:lvlJc w:val="left"/>
      <w:rPr>
        <w:rFonts w:hint="eastAsia" w:cs="Times New Roman"/>
      </w:rPr>
    </w:lvl>
    <w:lvl w:ilvl="7" w:tentative="0">
      <w:start w:val="1"/>
      <w:numFmt w:val="none"/>
      <w:pStyle w:val="11"/>
      <w:suff w:val="nothing"/>
      <w:lvlText w:val=""/>
      <w:lvlJc w:val="left"/>
      <w:rPr>
        <w:rFonts w:hint="eastAsia" w:cs="Times New Roman"/>
      </w:rPr>
    </w:lvl>
    <w:lvl w:ilvl="8" w:tentative="0">
      <w:start w:val="1"/>
      <w:numFmt w:val="none"/>
      <w:pStyle w:val="12"/>
      <w:suff w:val="nothing"/>
      <w:lvlText w:val=""/>
      <w:lvlJc w:val="left"/>
      <w:rPr>
        <w:rFonts w:hint="eastAsia" w:cs="Times New Roman"/>
      </w:rPr>
    </w:lvl>
  </w:abstractNum>
  <w:abstractNum w:abstractNumId="2">
    <w:nsid w:val="294D3AC6"/>
    <w:multiLevelType w:val="singleLevel"/>
    <w:tmpl w:val="294D3AC6"/>
    <w:lvl w:ilvl="0" w:tentative="0">
      <w:start w:val="1"/>
      <w:numFmt w:val="decimal"/>
      <w:pStyle w:val="241"/>
      <w:lvlText w:val="（%1）"/>
      <w:lvlJc w:val="left"/>
      <w:pPr>
        <w:tabs>
          <w:tab w:val="left" w:pos="957"/>
        </w:tabs>
        <w:ind w:left="957" w:hanging="525"/>
      </w:pPr>
      <w:rPr>
        <w:rFonts w:hint="eastAsia" w:cs="Times New Roman"/>
      </w:rPr>
    </w:lvl>
  </w:abstractNum>
  <w:abstractNum w:abstractNumId="3">
    <w:nsid w:val="45383389"/>
    <w:multiLevelType w:val="singleLevel"/>
    <w:tmpl w:val="45383389"/>
    <w:lvl w:ilvl="0" w:tentative="0">
      <w:start w:val="1"/>
      <w:numFmt w:val="decimal"/>
      <w:pStyle w:val="309"/>
      <w:lvlText w:val="%1．"/>
      <w:lvlJc w:val="left"/>
      <w:pPr>
        <w:tabs>
          <w:tab w:val="left" w:pos="750"/>
        </w:tabs>
        <w:ind w:left="750" w:hanging="330"/>
      </w:pPr>
      <w:rPr>
        <w:rFonts w:hint="eastAsia" w:cs="Times New Roman"/>
      </w:rPr>
    </w:lvl>
  </w:abstractNum>
  <w:abstractNum w:abstractNumId="4">
    <w:nsid w:val="460450C0"/>
    <w:multiLevelType w:val="singleLevel"/>
    <w:tmpl w:val="460450C0"/>
    <w:lvl w:ilvl="0" w:tentative="0">
      <w:start w:val="1"/>
      <w:numFmt w:val="decimal"/>
      <w:suff w:val="nothing"/>
      <w:lvlText w:val="%1、"/>
      <w:lvlJc w:val="left"/>
    </w:lvl>
  </w:abstractNum>
  <w:abstractNum w:abstractNumId="5">
    <w:nsid w:val="48151F4D"/>
    <w:multiLevelType w:val="singleLevel"/>
    <w:tmpl w:val="48151F4D"/>
    <w:lvl w:ilvl="0" w:tentative="0">
      <w:start w:val="1"/>
      <w:numFmt w:val="decimal"/>
      <w:lvlText w:val="（%1）"/>
      <w:lvlJc w:val="left"/>
      <w:pPr>
        <w:tabs>
          <w:tab w:val="left" w:pos="1053"/>
        </w:tabs>
        <w:ind w:left="1053" w:hanging="528"/>
      </w:pPr>
      <w:rPr>
        <w:rFonts w:hint="eastAsia" w:cs="Times New Roman"/>
      </w:rPr>
    </w:lvl>
  </w:abstractNum>
  <w:abstractNum w:abstractNumId="6">
    <w:nsid w:val="732B9AB6"/>
    <w:multiLevelType w:val="singleLevel"/>
    <w:tmpl w:val="732B9AB6"/>
    <w:lvl w:ilvl="0" w:tentative="0">
      <w:start w:val="1"/>
      <w:numFmt w:val="decimal"/>
      <w:suff w:val="nothing"/>
      <w:lvlText w:val="%1、"/>
      <w:lvlJc w:val="left"/>
    </w:lvl>
  </w:abstractNum>
  <w:abstractNum w:abstractNumId="7">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9"/>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1"/>
  </w:num>
  <w:num w:numId="2">
    <w:abstractNumId w:val="7"/>
  </w:num>
  <w:num w:numId="3">
    <w:abstractNumId w:val="3"/>
  </w:num>
  <w:num w:numId="4">
    <w:abstractNumId w:val="2"/>
  </w:num>
  <w:num w:numId="5">
    <w:abstractNumId w:val="5"/>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wNGRhN2ZhODU3ZmY4MGYwNDZjNGVjNDRkNDRhMzIifQ=="/>
  </w:docVars>
  <w:rsids>
    <w:rsidRoot w:val="00172A27"/>
    <w:rsid w:val="00006F1A"/>
    <w:rsid w:val="00015335"/>
    <w:rsid w:val="00020A10"/>
    <w:rsid w:val="00021215"/>
    <w:rsid w:val="000477E9"/>
    <w:rsid w:val="00057C27"/>
    <w:rsid w:val="00072A2B"/>
    <w:rsid w:val="0007439B"/>
    <w:rsid w:val="00075D0C"/>
    <w:rsid w:val="00075ED5"/>
    <w:rsid w:val="00076837"/>
    <w:rsid w:val="0008002C"/>
    <w:rsid w:val="00082DB5"/>
    <w:rsid w:val="0008329B"/>
    <w:rsid w:val="00087876"/>
    <w:rsid w:val="000905EE"/>
    <w:rsid w:val="000A2DE6"/>
    <w:rsid w:val="000A68CE"/>
    <w:rsid w:val="000B0301"/>
    <w:rsid w:val="000B2911"/>
    <w:rsid w:val="000C1B8F"/>
    <w:rsid w:val="000C6689"/>
    <w:rsid w:val="000D44DB"/>
    <w:rsid w:val="000D4AE2"/>
    <w:rsid w:val="000D640D"/>
    <w:rsid w:val="000E3D52"/>
    <w:rsid w:val="000E5601"/>
    <w:rsid w:val="000F0AF7"/>
    <w:rsid w:val="000F3157"/>
    <w:rsid w:val="000F3ED4"/>
    <w:rsid w:val="00102559"/>
    <w:rsid w:val="001043D3"/>
    <w:rsid w:val="001070F5"/>
    <w:rsid w:val="0011000F"/>
    <w:rsid w:val="00130415"/>
    <w:rsid w:val="00152CF2"/>
    <w:rsid w:val="0016302F"/>
    <w:rsid w:val="00175CD1"/>
    <w:rsid w:val="00177DE9"/>
    <w:rsid w:val="001815B5"/>
    <w:rsid w:val="001952AB"/>
    <w:rsid w:val="001962B9"/>
    <w:rsid w:val="001A06AD"/>
    <w:rsid w:val="001A5C87"/>
    <w:rsid w:val="001C51B2"/>
    <w:rsid w:val="001C78D8"/>
    <w:rsid w:val="001C7C5D"/>
    <w:rsid w:val="002115C4"/>
    <w:rsid w:val="00217AA1"/>
    <w:rsid w:val="00227398"/>
    <w:rsid w:val="002361A8"/>
    <w:rsid w:val="00237E28"/>
    <w:rsid w:val="00240E85"/>
    <w:rsid w:val="002428EE"/>
    <w:rsid w:val="00254D5D"/>
    <w:rsid w:val="002615BB"/>
    <w:rsid w:val="00264048"/>
    <w:rsid w:val="002641DB"/>
    <w:rsid w:val="00265159"/>
    <w:rsid w:val="002652A7"/>
    <w:rsid w:val="00285782"/>
    <w:rsid w:val="00291CE3"/>
    <w:rsid w:val="00296E5A"/>
    <w:rsid w:val="002A13CE"/>
    <w:rsid w:val="002A6C86"/>
    <w:rsid w:val="002A6D0D"/>
    <w:rsid w:val="002B0328"/>
    <w:rsid w:val="002C2022"/>
    <w:rsid w:val="002C61BA"/>
    <w:rsid w:val="002E0A9A"/>
    <w:rsid w:val="002E12E5"/>
    <w:rsid w:val="002F553C"/>
    <w:rsid w:val="003067A4"/>
    <w:rsid w:val="00313B2C"/>
    <w:rsid w:val="00315E5D"/>
    <w:rsid w:val="003174EE"/>
    <w:rsid w:val="00317804"/>
    <w:rsid w:val="0032461E"/>
    <w:rsid w:val="00327B69"/>
    <w:rsid w:val="00330DE6"/>
    <w:rsid w:val="00333F87"/>
    <w:rsid w:val="003348FD"/>
    <w:rsid w:val="00335354"/>
    <w:rsid w:val="003522D1"/>
    <w:rsid w:val="003526C3"/>
    <w:rsid w:val="00366167"/>
    <w:rsid w:val="00371C81"/>
    <w:rsid w:val="00371CB0"/>
    <w:rsid w:val="00382ADD"/>
    <w:rsid w:val="003879A7"/>
    <w:rsid w:val="00394F76"/>
    <w:rsid w:val="003A4B0A"/>
    <w:rsid w:val="003B306A"/>
    <w:rsid w:val="003C0E5C"/>
    <w:rsid w:val="003C3D3C"/>
    <w:rsid w:val="003C6584"/>
    <w:rsid w:val="003D7289"/>
    <w:rsid w:val="003E4322"/>
    <w:rsid w:val="003F0FC4"/>
    <w:rsid w:val="003F571F"/>
    <w:rsid w:val="0040471C"/>
    <w:rsid w:val="004102B2"/>
    <w:rsid w:val="00410BC4"/>
    <w:rsid w:val="00417D6F"/>
    <w:rsid w:val="00432E11"/>
    <w:rsid w:val="00442AB3"/>
    <w:rsid w:val="004518A2"/>
    <w:rsid w:val="00457E48"/>
    <w:rsid w:val="004650D9"/>
    <w:rsid w:val="0048402E"/>
    <w:rsid w:val="00484805"/>
    <w:rsid w:val="00495E52"/>
    <w:rsid w:val="00497010"/>
    <w:rsid w:val="00497050"/>
    <w:rsid w:val="004A1B03"/>
    <w:rsid w:val="004A5F83"/>
    <w:rsid w:val="004A617E"/>
    <w:rsid w:val="004A7340"/>
    <w:rsid w:val="004B5364"/>
    <w:rsid w:val="004C27EC"/>
    <w:rsid w:val="004C524F"/>
    <w:rsid w:val="004D2901"/>
    <w:rsid w:val="004E4052"/>
    <w:rsid w:val="00504DBA"/>
    <w:rsid w:val="00513598"/>
    <w:rsid w:val="00517341"/>
    <w:rsid w:val="00523A2D"/>
    <w:rsid w:val="00525C33"/>
    <w:rsid w:val="0053690D"/>
    <w:rsid w:val="005430F0"/>
    <w:rsid w:val="00563784"/>
    <w:rsid w:val="0056407F"/>
    <w:rsid w:val="005751CA"/>
    <w:rsid w:val="0057528F"/>
    <w:rsid w:val="0057670E"/>
    <w:rsid w:val="00587166"/>
    <w:rsid w:val="00594885"/>
    <w:rsid w:val="00595900"/>
    <w:rsid w:val="0059701B"/>
    <w:rsid w:val="005C56AB"/>
    <w:rsid w:val="005F00FE"/>
    <w:rsid w:val="005F1D1C"/>
    <w:rsid w:val="0060317D"/>
    <w:rsid w:val="006065AF"/>
    <w:rsid w:val="00624AA1"/>
    <w:rsid w:val="006333C6"/>
    <w:rsid w:val="006352BF"/>
    <w:rsid w:val="00635EA2"/>
    <w:rsid w:val="006422D2"/>
    <w:rsid w:val="00656123"/>
    <w:rsid w:val="006617EA"/>
    <w:rsid w:val="00664BC1"/>
    <w:rsid w:val="00667F0C"/>
    <w:rsid w:val="00676A9B"/>
    <w:rsid w:val="006B2956"/>
    <w:rsid w:val="006B6B0D"/>
    <w:rsid w:val="006D0462"/>
    <w:rsid w:val="006E53F2"/>
    <w:rsid w:val="007027A7"/>
    <w:rsid w:val="00704352"/>
    <w:rsid w:val="00722250"/>
    <w:rsid w:val="0073083A"/>
    <w:rsid w:val="00730CB0"/>
    <w:rsid w:val="00736852"/>
    <w:rsid w:val="00747747"/>
    <w:rsid w:val="00747DDB"/>
    <w:rsid w:val="0075408B"/>
    <w:rsid w:val="0076060A"/>
    <w:rsid w:val="0076340B"/>
    <w:rsid w:val="007667B4"/>
    <w:rsid w:val="007836E3"/>
    <w:rsid w:val="007B41BE"/>
    <w:rsid w:val="007C2DCD"/>
    <w:rsid w:val="007D5DB9"/>
    <w:rsid w:val="00805F18"/>
    <w:rsid w:val="008100A9"/>
    <w:rsid w:val="00815D5E"/>
    <w:rsid w:val="00821B8C"/>
    <w:rsid w:val="00826815"/>
    <w:rsid w:val="00826CA9"/>
    <w:rsid w:val="00831B79"/>
    <w:rsid w:val="008449D3"/>
    <w:rsid w:val="00847038"/>
    <w:rsid w:val="008523BA"/>
    <w:rsid w:val="00853529"/>
    <w:rsid w:val="00855DF8"/>
    <w:rsid w:val="0085741F"/>
    <w:rsid w:val="008610B7"/>
    <w:rsid w:val="008624DC"/>
    <w:rsid w:val="0086260D"/>
    <w:rsid w:val="00863329"/>
    <w:rsid w:val="0086516E"/>
    <w:rsid w:val="00875632"/>
    <w:rsid w:val="00880F8B"/>
    <w:rsid w:val="00881879"/>
    <w:rsid w:val="00883788"/>
    <w:rsid w:val="008863FA"/>
    <w:rsid w:val="00896624"/>
    <w:rsid w:val="00897EE5"/>
    <w:rsid w:val="008A0349"/>
    <w:rsid w:val="008A1536"/>
    <w:rsid w:val="008B1C37"/>
    <w:rsid w:val="008B7608"/>
    <w:rsid w:val="008D1573"/>
    <w:rsid w:val="008D6739"/>
    <w:rsid w:val="008F2FDF"/>
    <w:rsid w:val="008F35F8"/>
    <w:rsid w:val="00910925"/>
    <w:rsid w:val="009153D5"/>
    <w:rsid w:val="0092235B"/>
    <w:rsid w:val="009237A8"/>
    <w:rsid w:val="0092698F"/>
    <w:rsid w:val="00947FBF"/>
    <w:rsid w:val="00955AEF"/>
    <w:rsid w:val="009613F8"/>
    <w:rsid w:val="00964203"/>
    <w:rsid w:val="00970EB6"/>
    <w:rsid w:val="009865BE"/>
    <w:rsid w:val="00986F57"/>
    <w:rsid w:val="0099075E"/>
    <w:rsid w:val="00992626"/>
    <w:rsid w:val="00997757"/>
    <w:rsid w:val="009B1F09"/>
    <w:rsid w:val="009B6DEC"/>
    <w:rsid w:val="009D7CE3"/>
    <w:rsid w:val="009F3ED1"/>
    <w:rsid w:val="00A024F5"/>
    <w:rsid w:val="00A35622"/>
    <w:rsid w:val="00A456D5"/>
    <w:rsid w:val="00A610A0"/>
    <w:rsid w:val="00A61EAB"/>
    <w:rsid w:val="00A65B31"/>
    <w:rsid w:val="00A66B33"/>
    <w:rsid w:val="00A733EE"/>
    <w:rsid w:val="00A80E3F"/>
    <w:rsid w:val="00A92FB5"/>
    <w:rsid w:val="00A935F1"/>
    <w:rsid w:val="00AB134C"/>
    <w:rsid w:val="00AB6CD8"/>
    <w:rsid w:val="00AB7559"/>
    <w:rsid w:val="00AD2004"/>
    <w:rsid w:val="00AD2EC9"/>
    <w:rsid w:val="00B15F09"/>
    <w:rsid w:val="00B17F0C"/>
    <w:rsid w:val="00B339F9"/>
    <w:rsid w:val="00B377D8"/>
    <w:rsid w:val="00B5278F"/>
    <w:rsid w:val="00B55CB1"/>
    <w:rsid w:val="00B570F7"/>
    <w:rsid w:val="00B5718B"/>
    <w:rsid w:val="00B66ECB"/>
    <w:rsid w:val="00B81E28"/>
    <w:rsid w:val="00B93351"/>
    <w:rsid w:val="00B96A0C"/>
    <w:rsid w:val="00B977CB"/>
    <w:rsid w:val="00BA1175"/>
    <w:rsid w:val="00BA626F"/>
    <w:rsid w:val="00BB4AFB"/>
    <w:rsid w:val="00BC161C"/>
    <w:rsid w:val="00BD1CE9"/>
    <w:rsid w:val="00BD4E60"/>
    <w:rsid w:val="00BD55AC"/>
    <w:rsid w:val="00BE17C4"/>
    <w:rsid w:val="00BF06E8"/>
    <w:rsid w:val="00BF4609"/>
    <w:rsid w:val="00BF5537"/>
    <w:rsid w:val="00BF5FFE"/>
    <w:rsid w:val="00C06EBE"/>
    <w:rsid w:val="00C12A93"/>
    <w:rsid w:val="00C135F3"/>
    <w:rsid w:val="00C23657"/>
    <w:rsid w:val="00C31D71"/>
    <w:rsid w:val="00C3238B"/>
    <w:rsid w:val="00C32EE0"/>
    <w:rsid w:val="00C349B6"/>
    <w:rsid w:val="00C356CB"/>
    <w:rsid w:val="00C408D3"/>
    <w:rsid w:val="00C46D7B"/>
    <w:rsid w:val="00C51BE4"/>
    <w:rsid w:val="00C65559"/>
    <w:rsid w:val="00C6771C"/>
    <w:rsid w:val="00C834D4"/>
    <w:rsid w:val="00C86130"/>
    <w:rsid w:val="00C86A0D"/>
    <w:rsid w:val="00CA2D54"/>
    <w:rsid w:val="00CB0AB5"/>
    <w:rsid w:val="00CB3EAB"/>
    <w:rsid w:val="00CC2BD7"/>
    <w:rsid w:val="00CD0840"/>
    <w:rsid w:val="00CD09D7"/>
    <w:rsid w:val="00CE3BD3"/>
    <w:rsid w:val="00CE5523"/>
    <w:rsid w:val="00CF7247"/>
    <w:rsid w:val="00D052E8"/>
    <w:rsid w:val="00D1277A"/>
    <w:rsid w:val="00D13F94"/>
    <w:rsid w:val="00D27280"/>
    <w:rsid w:val="00D47795"/>
    <w:rsid w:val="00D501EA"/>
    <w:rsid w:val="00D56E6A"/>
    <w:rsid w:val="00D63F39"/>
    <w:rsid w:val="00D668BF"/>
    <w:rsid w:val="00D85019"/>
    <w:rsid w:val="00D87A48"/>
    <w:rsid w:val="00DA33DC"/>
    <w:rsid w:val="00DC726E"/>
    <w:rsid w:val="00DD087A"/>
    <w:rsid w:val="00DD15DA"/>
    <w:rsid w:val="00DD39F7"/>
    <w:rsid w:val="00DE2532"/>
    <w:rsid w:val="00DE7F75"/>
    <w:rsid w:val="00E0419C"/>
    <w:rsid w:val="00E05A58"/>
    <w:rsid w:val="00E111B7"/>
    <w:rsid w:val="00E1755F"/>
    <w:rsid w:val="00E21904"/>
    <w:rsid w:val="00E31316"/>
    <w:rsid w:val="00E417A7"/>
    <w:rsid w:val="00E42077"/>
    <w:rsid w:val="00E47EC6"/>
    <w:rsid w:val="00E56B1C"/>
    <w:rsid w:val="00E6607A"/>
    <w:rsid w:val="00E6701A"/>
    <w:rsid w:val="00E93861"/>
    <w:rsid w:val="00E97297"/>
    <w:rsid w:val="00EA3E65"/>
    <w:rsid w:val="00EB4D9C"/>
    <w:rsid w:val="00EC04CD"/>
    <w:rsid w:val="00ED21EA"/>
    <w:rsid w:val="00ED6676"/>
    <w:rsid w:val="00EE617E"/>
    <w:rsid w:val="00EF081F"/>
    <w:rsid w:val="00EF59DF"/>
    <w:rsid w:val="00EF67B9"/>
    <w:rsid w:val="00EF7292"/>
    <w:rsid w:val="00F023EF"/>
    <w:rsid w:val="00F0401B"/>
    <w:rsid w:val="00F04099"/>
    <w:rsid w:val="00F05B05"/>
    <w:rsid w:val="00F164CF"/>
    <w:rsid w:val="00F1692E"/>
    <w:rsid w:val="00F51D65"/>
    <w:rsid w:val="00F53525"/>
    <w:rsid w:val="00F60B9A"/>
    <w:rsid w:val="00F64547"/>
    <w:rsid w:val="00F703D9"/>
    <w:rsid w:val="00F811CE"/>
    <w:rsid w:val="00F842F3"/>
    <w:rsid w:val="00F867D6"/>
    <w:rsid w:val="00F93145"/>
    <w:rsid w:val="00F94EA3"/>
    <w:rsid w:val="00FA7B70"/>
    <w:rsid w:val="00FB755A"/>
    <w:rsid w:val="00FC0C2C"/>
    <w:rsid w:val="00FD273B"/>
    <w:rsid w:val="00FD711D"/>
    <w:rsid w:val="00FF1F0E"/>
    <w:rsid w:val="00FF6EB1"/>
    <w:rsid w:val="00FF70D3"/>
    <w:rsid w:val="0132288A"/>
    <w:rsid w:val="01340401"/>
    <w:rsid w:val="01384C43"/>
    <w:rsid w:val="01AB79F4"/>
    <w:rsid w:val="01AD16A8"/>
    <w:rsid w:val="01BA61B0"/>
    <w:rsid w:val="01D573BB"/>
    <w:rsid w:val="01D827B9"/>
    <w:rsid w:val="01E70B0E"/>
    <w:rsid w:val="0202604F"/>
    <w:rsid w:val="021756AB"/>
    <w:rsid w:val="023A0C1C"/>
    <w:rsid w:val="024208A6"/>
    <w:rsid w:val="024E60FF"/>
    <w:rsid w:val="025450F2"/>
    <w:rsid w:val="02547AA6"/>
    <w:rsid w:val="025E1490"/>
    <w:rsid w:val="026D01A7"/>
    <w:rsid w:val="02824B0D"/>
    <w:rsid w:val="0292705A"/>
    <w:rsid w:val="02BB2BB6"/>
    <w:rsid w:val="02D44769"/>
    <w:rsid w:val="02D4719A"/>
    <w:rsid w:val="03082A0B"/>
    <w:rsid w:val="03223D53"/>
    <w:rsid w:val="03305E1E"/>
    <w:rsid w:val="034B6F5E"/>
    <w:rsid w:val="035D366A"/>
    <w:rsid w:val="035E132E"/>
    <w:rsid w:val="03657BA6"/>
    <w:rsid w:val="0369677B"/>
    <w:rsid w:val="036E2876"/>
    <w:rsid w:val="038B55AE"/>
    <w:rsid w:val="038E6EF8"/>
    <w:rsid w:val="039F0589"/>
    <w:rsid w:val="03A01B6C"/>
    <w:rsid w:val="03AD02FF"/>
    <w:rsid w:val="03CF176F"/>
    <w:rsid w:val="03FB48B1"/>
    <w:rsid w:val="042C07EF"/>
    <w:rsid w:val="0440469B"/>
    <w:rsid w:val="0445039C"/>
    <w:rsid w:val="048B38BC"/>
    <w:rsid w:val="049D5F19"/>
    <w:rsid w:val="04C96D7C"/>
    <w:rsid w:val="04D42ADE"/>
    <w:rsid w:val="04E02384"/>
    <w:rsid w:val="052836FD"/>
    <w:rsid w:val="05345F66"/>
    <w:rsid w:val="053F5515"/>
    <w:rsid w:val="0548762F"/>
    <w:rsid w:val="056B4CBE"/>
    <w:rsid w:val="05CC574A"/>
    <w:rsid w:val="05F97374"/>
    <w:rsid w:val="06024098"/>
    <w:rsid w:val="06412E74"/>
    <w:rsid w:val="064514F9"/>
    <w:rsid w:val="06BE0E86"/>
    <w:rsid w:val="06BE4BFC"/>
    <w:rsid w:val="06EA00C5"/>
    <w:rsid w:val="075703F5"/>
    <w:rsid w:val="075A316D"/>
    <w:rsid w:val="07751A06"/>
    <w:rsid w:val="077D2716"/>
    <w:rsid w:val="078142A4"/>
    <w:rsid w:val="07834C9D"/>
    <w:rsid w:val="07924E0C"/>
    <w:rsid w:val="079F2E01"/>
    <w:rsid w:val="07AE57A4"/>
    <w:rsid w:val="07B86CFE"/>
    <w:rsid w:val="07BB4543"/>
    <w:rsid w:val="07C229D3"/>
    <w:rsid w:val="07D85C5A"/>
    <w:rsid w:val="081E2428"/>
    <w:rsid w:val="081F69D8"/>
    <w:rsid w:val="08312FC7"/>
    <w:rsid w:val="08434891"/>
    <w:rsid w:val="08665790"/>
    <w:rsid w:val="08A23B9F"/>
    <w:rsid w:val="08AC3ED3"/>
    <w:rsid w:val="08C2021F"/>
    <w:rsid w:val="08D265F0"/>
    <w:rsid w:val="08E143F1"/>
    <w:rsid w:val="090B0E8E"/>
    <w:rsid w:val="090F3097"/>
    <w:rsid w:val="09256B29"/>
    <w:rsid w:val="09290EAA"/>
    <w:rsid w:val="095B550B"/>
    <w:rsid w:val="095D5B9F"/>
    <w:rsid w:val="09676399"/>
    <w:rsid w:val="09B36ACF"/>
    <w:rsid w:val="09D662E7"/>
    <w:rsid w:val="09F539CD"/>
    <w:rsid w:val="0A242726"/>
    <w:rsid w:val="0A323426"/>
    <w:rsid w:val="0A3C6420"/>
    <w:rsid w:val="0A8A3523"/>
    <w:rsid w:val="0A912F86"/>
    <w:rsid w:val="0A9A5B5A"/>
    <w:rsid w:val="0ABF1AEC"/>
    <w:rsid w:val="0B17316E"/>
    <w:rsid w:val="0B7E5061"/>
    <w:rsid w:val="0B870F44"/>
    <w:rsid w:val="0B9B0808"/>
    <w:rsid w:val="0BB11083"/>
    <w:rsid w:val="0BE66A48"/>
    <w:rsid w:val="0BF819C0"/>
    <w:rsid w:val="0C1F15F1"/>
    <w:rsid w:val="0C5E598A"/>
    <w:rsid w:val="0C730A4A"/>
    <w:rsid w:val="0C7D5814"/>
    <w:rsid w:val="0C984991"/>
    <w:rsid w:val="0CAC4C0C"/>
    <w:rsid w:val="0CD51310"/>
    <w:rsid w:val="0D0175B1"/>
    <w:rsid w:val="0D215336"/>
    <w:rsid w:val="0D4E212A"/>
    <w:rsid w:val="0D5A7A00"/>
    <w:rsid w:val="0D6D7CC8"/>
    <w:rsid w:val="0D8F7FD4"/>
    <w:rsid w:val="0D9C7F7E"/>
    <w:rsid w:val="0DA26C14"/>
    <w:rsid w:val="0DA80C95"/>
    <w:rsid w:val="0DE71533"/>
    <w:rsid w:val="0E29306E"/>
    <w:rsid w:val="0E3B2427"/>
    <w:rsid w:val="0E676C43"/>
    <w:rsid w:val="0EC73CBB"/>
    <w:rsid w:val="0ED11111"/>
    <w:rsid w:val="0ED11617"/>
    <w:rsid w:val="0F2965B1"/>
    <w:rsid w:val="0F32428B"/>
    <w:rsid w:val="0F34709D"/>
    <w:rsid w:val="0F3970C7"/>
    <w:rsid w:val="0F9B09A8"/>
    <w:rsid w:val="0FFA68BF"/>
    <w:rsid w:val="10033074"/>
    <w:rsid w:val="1018426F"/>
    <w:rsid w:val="101A2C21"/>
    <w:rsid w:val="104F4CC6"/>
    <w:rsid w:val="10514053"/>
    <w:rsid w:val="107002C4"/>
    <w:rsid w:val="107A19FF"/>
    <w:rsid w:val="107A6A99"/>
    <w:rsid w:val="108B7D11"/>
    <w:rsid w:val="10E624D4"/>
    <w:rsid w:val="110132F2"/>
    <w:rsid w:val="112618E7"/>
    <w:rsid w:val="112F5DC6"/>
    <w:rsid w:val="114D4DFE"/>
    <w:rsid w:val="11800030"/>
    <w:rsid w:val="11A00F75"/>
    <w:rsid w:val="11E2703C"/>
    <w:rsid w:val="12404BF4"/>
    <w:rsid w:val="126D2B01"/>
    <w:rsid w:val="1275369F"/>
    <w:rsid w:val="129004AD"/>
    <w:rsid w:val="12A00582"/>
    <w:rsid w:val="13031917"/>
    <w:rsid w:val="138035BB"/>
    <w:rsid w:val="138358B3"/>
    <w:rsid w:val="139311CB"/>
    <w:rsid w:val="139A4730"/>
    <w:rsid w:val="13A8278C"/>
    <w:rsid w:val="13B876A8"/>
    <w:rsid w:val="13C5153D"/>
    <w:rsid w:val="13EA31F4"/>
    <w:rsid w:val="14494DDE"/>
    <w:rsid w:val="145C580D"/>
    <w:rsid w:val="14A42F04"/>
    <w:rsid w:val="14B95E37"/>
    <w:rsid w:val="14C70D08"/>
    <w:rsid w:val="14CF3EBF"/>
    <w:rsid w:val="14D10BF7"/>
    <w:rsid w:val="15435428"/>
    <w:rsid w:val="15522363"/>
    <w:rsid w:val="15A06877"/>
    <w:rsid w:val="15A4469B"/>
    <w:rsid w:val="15A9645B"/>
    <w:rsid w:val="15CB6F73"/>
    <w:rsid w:val="15E953D1"/>
    <w:rsid w:val="15FF3688"/>
    <w:rsid w:val="16044F47"/>
    <w:rsid w:val="16052814"/>
    <w:rsid w:val="163A5AA9"/>
    <w:rsid w:val="163B37AC"/>
    <w:rsid w:val="16436657"/>
    <w:rsid w:val="16E4148C"/>
    <w:rsid w:val="16EA1B61"/>
    <w:rsid w:val="172E636F"/>
    <w:rsid w:val="17327B00"/>
    <w:rsid w:val="1764543A"/>
    <w:rsid w:val="17746AC4"/>
    <w:rsid w:val="17804C87"/>
    <w:rsid w:val="178D730C"/>
    <w:rsid w:val="17CB0C57"/>
    <w:rsid w:val="17DE7202"/>
    <w:rsid w:val="17E648BC"/>
    <w:rsid w:val="1810761C"/>
    <w:rsid w:val="18536ECA"/>
    <w:rsid w:val="186616EC"/>
    <w:rsid w:val="18714989"/>
    <w:rsid w:val="18721531"/>
    <w:rsid w:val="18C158E2"/>
    <w:rsid w:val="193B7A16"/>
    <w:rsid w:val="19632666"/>
    <w:rsid w:val="19885448"/>
    <w:rsid w:val="19905A54"/>
    <w:rsid w:val="199E27FB"/>
    <w:rsid w:val="19A66011"/>
    <w:rsid w:val="1A27276A"/>
    <w:rsid w:val="1A501008"/>
    <w:rsid w:val="1A5F33D2"/>
    <w:rsid w:val="1A616B7D"/>
    <w:rsid w:val="1A6E6471"/>
    <w:rsid w:val="1A7276A4"/>
    <w:rsid w:val="1A801F49"/>
    <w:rsid w:val="1A91505B"/>
    <w:rsid w:val="1A9A1477"/>
    <w:rsid w:val="1AAB12B9"/>
    <w:rsid w:val="1AD40AB9"/>
    <w:rsid w:val="1B0510F1"/>
    <w:rsid w:val="1B0A4A84"/>
    <w:rsid w:val="1B0C138C"/>
    <w:rsid w:val="1B2B5A35"/>
    <w:rsid w:val="1B5C214D"/>
    <w:rsid w:val="1C400A08"/>
    <w:rsid w:val="1C7328CC"/>
    <w:rsid w:val="1C8C20A0"/>
    <w:rsid w:val="1C8D42DD"/>
    <w:rsid w:val="1C9B1DF2"/>
    <w:rsid w:val="1CA415FF"/>
    <w:rsid w:val="1CC54AB8"/>
    <w:rsid w:val="1CD87FC9"/>
    <w:rsid w:val="1CF00F4A"/>
    <w:rsid w:val="1D28080F"/>
    <w:rsid w:val="1D45127A"/>
    <w:rsid w:val="1D7C1969"/>
    <w:rsid w:val="1D7E5192"/>
    <w:rsid w:val="1DC7240D"/>
    <w:rsid w:val="1DC74FC1"/>
    <w:rsid w:val="1DCB7C76"/>
    <w:rsid w:val="1DD24998"/>
    <w:rsid w:val="1DF85FBF"/>
    <w:rsid w:val="1DFF7680"/>
    <w:rsid w:val="1E00393A"/>
    <w:rsid w:val="1E065FA4"/>
    <w:rsid w:val="1E2237AA"/>
    <w:rsid w:val="1E4E37C3"/>
    <w:rsid w:val="1E593C5F"/>
    <w:rsid w:val="1E714C4F"/>
    <w:rsid w:val="1EA12CF1"/>
    <w:rsid w:val="1EAB55A1"/>
    <w:rsid w:val="1EB72F9C"/>
    <w:rsid w:val="1ECA411D"/>
    <w:rsid w:val="1ECD362E"/>
    <w:rsid w:val="1EE30BE5"/>
    <w:rsid w:val="1EE81D26"/>
    <w:rsid w:val="1EF0287C"/>
    <w:rsid w:val="1F3B196F"/>
    <w:rsid w:val="1F6555FC"/>
    <w:rsid w:val="1F942CD5"/>
    <w:rsid w:val="1F961842"/>
    <w:rsid w:val="206016DD"/>
    <w:rsid w:val="206674AA"/>
    <w:rsid w:val="20963B34"/>
    <w:rsid w:val="20993A2F"/>
    <w:rsid w:val="20B35CD5"/>
    <w:rsid w:val="20B84C29"/>
    <w:rsid w:val="20BD010E"/>
    <w:rsid w:val="20E72C69"/>
    <w:rsid w:val="20E93171"/>
    <w:rsid w:val="211E2367"/>
    <w:rsid w:val="212075C0"/>
    <w:rsid w:val="21851CA3"/>
    <w:rsid w:val="21862086"/>
    <w:rsid w:val="21AA703D"/>
    <w:rsid w:val="21F637D0"/>
    <w:rsid w:val="22001FFA"/>
    <w:rsid w:val="22321F91"/>
    <w:rsid w:val="22420EB8"/>
    <w:rsid w:val="2244237F"/>
    <w:rsid w:val="224934A6"/>
    <w:rsid w:val="229039BD"/>
    <w:rsid w:val="22DE25CD"/>
    <w:rsid w:val="22F20700"/>
    <w:rsid w:val="23053CF4"/>
    <w:rsid w:val="23167ECF"/>
    <w:rsid w:val="23240186"/>
    <w:rsid w:val="23270169"/>
    <w:rsid w:val="233178A2"/>
    <w:rsid w:val="233305EF"/>
    <w:rsid w:val="23421931"/>
    <w:rsid w:val="23425AA8"/>
    <w:rsid w:val="234A0E32"/>
    <w:rsid w:val="234E425A"/>
    <w:rsid w:val="235C6235"/>
    <w:rsid w:val="236005E1"/>
    <w:rsid w:val="2362371F"/>
    <w:rsid w:val="23AB5944"/>
    <w:rsid w:val="23B17C4A"/>
    <w:rsid w:val="23B474C8"/>
    <w:rsid w:val="23BE270E"/>
    <w:rsid w:val="23ED3176"/>
    <w:rsid w:val="2403572C"/>
    <w:rsid w:val="240B6F5D"/>
    <w:rsid w:val="242541FF"/>
    <w:rsid w:val="24361C3B"/>
    <w:rsid w:val="2438010A"/>
    <w:rsid w:val="243B6686"/>
    <w:rsid w:val="243E4F46"/>
    <w:rsid w:val="24472B61"/>
    <w:rsid w:val="245143B6"/>
    <w:rsid w:val="24516D05"/>
    <w:rsid w:val="24617A1E"/>
    <w:rsid w:val="24BE26EE"/>
    <w:rsid w:val="24C40DD0"/>
    <w:rsid w:val="24EA22BC"/>
    <w:rsid w:val="24F715FE"/>
    <w:rsid w:val="24F80AD2"/>
    <w:rsid w:val="24F84EB4"/>
    <w:rsid w:val="25001582"/>
    <w:rsid w:val="250E7EB7"/>
    <w:rsid w:val="253B45B1"/>
    <w:rsid w:val="254D572E"/>
    <w:rsid w:val="255E5222"/>
    <w:rsid w:val="258306DF"/>
    <w:rsid w:val="258F42A0"/>
    <w:rsid w:val="25C04100"/>
    <w:rsid w:val="25C36084"/>
    <w:rsid w:val="25DA05B9"/>
    <w:rsid w:val="26194434"/>
    <w:rsid w:val="261E1C85"/>
    <w:rsid w:val="263943E5"/>
    <w:rsid w:val="26567156"/>
    <w:rsid w:val="267C2691"/>
    <w:rsid w:val="27311A73"/>
    <w:rsid w:val="2791306A"/>
    <w:rsid w:val="27950104"/>
    <w:rsid w:val="27C3339B"/>
    <w:rsid w:val="27C875B8"/>
    <w:rsid w:val="27DB54EF"/>
    <w:rsid w:val="27E66D4C"/>
    <w:rsid w:val="28562284"/>
    <w:rsid w:val="285D24C3"/>
    <w:rsid w:val="28893937"/>
    <w:rsid w:val="28A42644"/>
    <w:rsid w:val="28BF607D"/>
    <w:rsid w:val="28C90C22"/>
    <w:rsid w:val="28FE2AB2"/>
    <w:rsid w:val="29453241"/>
    <w:rsid w:val="295F5CB8"/>
    <w:rsid w:val="296B70D1"/>
    <w:rsid w:val="298E7153"/>
    <w:rsid w:val="298F35DB"/>
    <w:rsid w:val="29AC18AF"/>
    <w:rsid w:val="29D3586A"/>
    <w:rsid w:val="29E60EF5"/>
    <w:rsid w:val="2A1000A0"/>
    <w:rsid w:val="2A43702E"/>
    <w:rsid w:val="2A4B1B1C"/>
    <w:rsid w:val="2A4D7DD8"/>
    <w:rsid w:val="2A6F05B2"/>
    <w:rsid w:val="2A776515"/>
    <w:rsid w:val="2ACD64B2"/>
    <w:rsid w:val="2AEA4F6A"/>
    <w:rsid w:val="2B0347EF"/>
    <w:rsid w:val="2B164D17"/>
    <w:rsid w:val="2B29292B"/>
    <w:rsid w:val="2B4B4CCE"/>
    <w:rsid w:val="2B7428DF"/>
    <w:rsid w:val="2B9E5F83"/>
    <w:rsid w:val="2BFC3660"/>
    <w:rsid w:val="2BFF58A2"/>
    <w:rsid w:val="2C032498"/>
    <w:rsid w:val="2C341D16"/>
    <w:rsid w:val="2C3C29F1"/>
    <w:rsid w:val="2CD07DA8"/>
    <w:rsid w:val="2D0D3F93"/>
    <w:rsid w:val="2D1F42D5"/>
    <w:rsid w:val="2D583DDF"/>
    <w:rsid w:val="2D941E82"/>
    <w:rsid w:val="2DD974BA"/>
    <w:rsid w:val="2E1D6BA6"/>
    <w:rsid w:val="2ED131B1"/>
    <w:rsid w:val="2EDD394A"/>
    <w:rsid w:val="2EEF0413"/>
    <w:rsid w:val="2F181F4E"/>
    <w:rsid w:val="2F4C4C59"/>
    <w:rsid w:val="2F67730C"/>
    <w:rsid w:val="2F82110B"/>
    <w:rsid w:val="2F8B34F0"/>
    <w:rsid w:val="30114936"/>
    <w:rsid w:val="301A4C11"/>
    <w:rsid w:val="30676AFF"/>
    <w:rsid w:val="30707EAF"/>
    <w:rsid w:val="30C25DAA"/>
    <w:rsid w:val="30CA08D3"/>
    <w:rsid w:val="30E06760"/>
    <w:rsid w:val="30FB3191"/>
    <w:rsid w:val="31070CE5"/>
    <w:rsid w:val="31306C96"/>
    <w:rsid w:val="31351DB1"/>
    <w:rsid w:val="315A4B45"/>
    <w:rsid w:val="31726B5D"/>
    <w:rsid w:val="319005ED"/>
    <w:rsid w:val="31941523"/>
    <w:rsid w:val="319A581C"/>
    <w:rsid w:val="31A85FFD"/>
    <w:rsid w:val="31B233E3"/>
    <w:rsid w:val="31E86CA7"/>
    <w:rsid w:val="31FD6D03"/>
    <w:rsid w:val="324967E6"/>
    <w:rsid w:val="32626D6F"/>
    <w:rsid w:val="32862EB4"/>
    <w:rsid w:val="328A0EAF"/>
    <w:rsid w:val="328E477D"/>
    <w:rsid w:val="329A0A0D"/>
    <w:rsid w:val="32A2269E"/>
    <w:rsid w:val="32A61CCB"/>
    <w:rsid w:val="32A92DD7"/>
    <w:rsid w:val="32DC622C"/>
    <w:rsid w:val="33251A7F"/>
    <w:rsid w:val="332D1A35"/>
    <w:rsid w:val="33336F1A"/>
    <w:rsid w:val="334E4210"/>
    <w:rsid w:val="338D7359"/>
    <w:rsid w:val="33DF6B01"/>
    <w:rsid w:val="33F62E53"/>
    <w:rsid w:val="33F924A6"/>
    <w:rsid w:val="3415234E"/>
    <w:rsid w:val="348B02D6"/>
    <w:rsid w:val="34BF4CED"/>
    <w:rsid w:val="34C04E4B"/>
    <w:rsid w:val="34D65820"/>
    <w:rsid w:val="34DD1293"/>
    <w:rsid w:val="34E06B9F"/>
    <w:rsid w:val="3508011E"/>
    <w:rsid w:val="3514459B"/>
    <w:rsid w:val="356316EA"/>
    <w:rsid w:val="35A93E43"/>
    <w:rsid w:val="35AD57E7"/>
    <w:rsid w:val="35B12D05"/>
    <w:rsid w:val="35FF5C21"/>
    <w:rsid w:val="3613068B"/>
    <w:rsid w:val="36832E36"/>
    <w:rsid w:val="368376EA"/>
    <w:rsid w:val="368E7C55"/>
    <w:rsid w:val="36983CC8"/>
    <w:rsid w:val="36CE11B8"/>
    <w:rsid w:val="36D776BA"/>
    <w:rsid w:val="371203D6"/>
    <w:rsid w:val="37283E32"/>
    <w:rsid w:val="37297CA1"/>
    <w:rsid w:val="3731220A"/>
    <w:rsid w:val="3747162A"/>
    <w:rsid w:val="379C2032"/>
    <w:rsid w:val="37BE3BB1"/>
    <w:rsid w:val="380C136D"/>
    <w:rsid w:val="383A0F28"/>
    <w:rsid w:val="383E0C74"/>
    <w:rsid w:val="383F58ED"/>
    <w:rsid w:val="3893525C"/>
    <w:rsid w:val="38BF17B4"/>
    <w:rsid w:val="38DB34CE"/>
    <w:rsid w:val="39021142"/>
    <w:rsid w:val="392352E7"/>
    <w:rsid w:val="392E0EED"/>
    <w:rsid w:val="39A56CE9"/>
    <w:rsid w:val="39C90197"/>
    <w:rsid w:val="39CC3997"/>
    <w:rsid w:val="39CD484C"/>
    <w:rsid w:val="39EC31CE"/>
    <w:rsid w:val="39EF3796"/>
    <w:rsid w:val="39F465F0"/>
    <w:rsid w:val="3A0F61A5"/>
    <w:rsid w:val="3A107CC9"/>
    <w:rsid w:val="3AD71F81"/>
    <w:rsid w:val="3B4A5E15"/>
    <w:rsid w:val="3B7B3AE6"/>
    <w:rsid w:val="3BB11488"/>
    <w:rsid w:val="3BDF0FE9"/>
    <w:rsid w:val="3C0B160B"/>
    <w:rsid w:val="3C4A505B"/>
    <w:rsid w:val="3C4E4D54"/>
    <w:rsid w:val="3C621531"/>
    <w:rsid w:val="3C6748E0"/>
    <w:rsid w:val="3C746980"/>
    <w:rsid w:val="3C8111E3"/>
    <w:rsid w:val="3CB21BF2"/>
    <w:rsid w:val="3CC10C58"/>
    <w:rsid w:val="3CC51207"/>
    <w:rsid w:val="3CD1311A"/>
    <w:rsid w:val="3CDB29CF"/>
    <w:rsid w:val="3CFE0DE8"/>
    <w:rsid w:val="3D4604FF"/>
    <w:rsid w:val="3D8A5141"/>
    <w:rsid w:val="3DB11A96"/>
    <w:rsid w:val="3DE139D0"/>
    <w:rsid w:val="3E142466"/>
    <w:rsid w:val="3E4E645D"/>
    <w:rsid w:val="3E5A26EC"/>
    <w:rsid w:val="3E6542EA"/>
    <w:rsid w:val="3EB80B60"/>
    <w:rsid w:val="3EF42BDD"/>
    <w:rsid w:val="3EF671D6"/>
    <w:rsid w:val="3EF9295A"/>
    <w:rsid w:val="3F185670"/>
    <w:rsid w:val="3F636833"/>
    <w:rsid w:val="3F8A7432"/>
    <w:rsid w:val="3FB757BD"/>
    <w:rsid w:val="3FCA5204"/>
    <w:rsid w:val="3FD2735B"/>
    <w:rsid w:val="3FF554B7"/>
    <w:rsid w:val="4003283C"/>
    <w:rsid w:val="40684E5A"/>
    <w:rsid w:val="40793B50"/>
    <w:rsid w:val="40875FBF"/>
    <w:rsid w:val="40933050"/>
    <w:rsid w:val="40CE7C69"/>
    <w:rsid w:val="40EA5F75"/>
    <w:rsid w:val="411169EC"/>
    <w:rsid w:val="41177102"/>
    <w:rsid w:val="414F0D21"/>
    <w:rsid w:val="41950207"/>
    <w:rsid w:val="419E6AB5"/>
    <w:rsid w:val="41DF354F"/>
    <w:rsid w:val="42391EED"/>
    <w:rsid w:val="4298263D"/>
    <w:rsid w:val="42D52E1F"/>
    <w:rsid w:val="42E66D3C"/>
    <w:rsid w:val="42E72BF9"/>
    <w:rsid w:val="433E5304"/>
    <w:rsid w:val="43466A90"/>
    <w:rsid w:val="43A1090D"/>
    <w:rsid w:val="43BC787D"/>
    <w:rsid w:val="43DC3583"/>
    <w:rsid w:val="43E04AF5"/>
    <w:rsid w:val="43E73EDC"/>
    <w:rsid w:val="43EB2A7A"/>
    <w:rsid w:val="43FB2F59"/>
    <w:rsid w:val="44022C46"/>
    <w:rsid w:val="44044B33"/>
    <w:rsid w:val="44054EC0"/>
    <w:rsid w:val="440A2023"/>
    <w:rsid w:val="4430448B"/>
    <w:rsid w:val="444B7414"/>
    <w:rsid w:val="44681D85"/>
    <w:rsid w:val="446D459D"/>
    <w:rsid w:val="44797438"/>
    <w:rsid w:val="45103535"/>
    <w:rsid w:val="45222A6A"/>
    <w:rsid w:val="452C3927"/>
    <w:rsid w:val="453A2776"/>
    <w:rsid w:val="45416348"/>
    <w:rsid w:val="455F59F2"/>
    <w:rsid w:val="456670E8"/>
    <w:rsid w:val="45A70FC7"/>
    <w:rsid w:val="46096E2C"/>
    <w:rsid w:val="46306E30"/>
    <w:rsid w:val="465805B7"/>
    <w:rsid w:val="468A0016"/>
    <w:rsid w:val="46973645"/>
    <w:rsid w:val="46F24D18"/>
    <w:rsid w:val="46F9684D"/>
    <w:rsid w:val="47082F6C"/>
    <w:rsid w:val="471A6947"/>
    <w:rsid w:val="47535501"/>
    <w:rsid w:val="476237A3"/>
    <w:rsid w:val="47B80A73"/>
    <w:rsid w:val="47D054E1"/>
    <w:rsid w:val="48151DFA"/>
    <w:rsid w:val="48231A30"/>
    <w:rsid w:val="486940BF"/>
    <w:rsid w:val="487A768E"/>
    <w:rsid w:val="48814461"/>
    <w:rsid w:val="48913DBA"/>
    <w:rsid w:val="489B4E50"/>
    <w:rsid w:val="48B739C6"/>
    <w:rsid w:val="48C45B39"/>
    <w:rsid w:val="48C72F42"/>
    <w:rsid w:val="48F85A59"/>
    <w:rsid w:val="48FE2851"/>
    <w:rsid w:val="494320D3"/>
    <w:rsid w:val="495E6F98"/>
    <w:rsid w:val="497534B4"/>
    <w:rsid w:val="49B2797F"/>
    <w:rsid w:val="49DA38A0"/>
    <w:rsid w:val="4A01564A"/>
    <w:rsid w:val="4A225023"/>
    <w:rsid w:val="4A361A71"/>
    <w:rsid w:val="4A6B1714"/>
    <w:rsid w:val="4A6E2928"/>
    <w:rsid w:val="4AA27259"/>
    <w:rsid w:val="4AB848AD"/>
    <w:rsid w:val="4AB92DA8"/>
    <w:rsid w:val="4ABB5584"/>
    <w:rsid w:val="4AE46A56"/>
    <w:rsid w:val="4B124441"/>
    <w:rsid w:val="4B2A769A"/>
    <w:rsid w:val="4B31733A"/>
    <w:rsid w:val="4B423067"/>
    <w:rsid w:val="4B55120F"/>
    <w:rsid w:val="4B661614"/>
    <w:rsid w:val="4B6907A1"/>
    <w:rsid w:val="4B7A43D1"/>
    <w:rsid w:val="4B8B4546"/>
    <w:rsid w:val="4B946B9A"/>
    <w:rsid w:val="4BC36227"/>
    <w:rsid w:val="4BFB4BF6"/>
    <w:rsid w:val="4C3C1EB1"/>
    <w:rsid w:val="4C3F7799"/>
    <w:rsid w:val="4C912CFA"/>
    <w:rsid w:val="4C931577"/>
    <w:rsid w:val="4CA74C54"/>
    <w:rsid w:val="4CCA6F70"/>
    <w:rsid w:val="4CDD20F3"/>
    <w:rsid w:val="4CE62A1A"/>
    <w:rsid w:val="4CF460E9"/>
    <w:rsid w:val="4D4E263B"/>
    <w:rsid w:val="4D8C1B97"/>
    <w:rsid w:val="4DA578A0"/>
    <w:rsid w:val="4DA57C69"/>
    <w:rsid w:val="4DB4585C"/>
    <w:rsid w:val="4DB471C6"/>
    <w:rsid w:val="4DBC175A"/>
    <w:rsid w:val="4DC0329F"/>
    <w:rsid w:val="4DC87576"/>
    <w:rsid w:val="4DE73B54"/>
    <w:rsid w:val="4DED2DDA"/>
    <w:rsid w:val="4DF66BB7"/>
    <w:rsid w:val="4E901E9C"/>
    <w:rsid w:val="4EA94181"/>
    <w:rsid w:val="4EAF36D3"/>
    <w:rsid w:val="4EB82B45"/>
    <w:rsid w:val="4EC315CD"/>
    <w:rsid w:val="4ECE6320"/>
    <w:rsid w:val="4F0A2E63"/>
    <w:rsid w:val="4F102BB5"/>
    <w:rsid w:val="4F231210"/>
    <w:rsid w:val="4F251E2F"/>
    <w:rsid w:val="4F541A82"/>
    <w:rsid w:val="4F5D3ED4"/>
    <w:rsid w:val="4F9040CA"/>
    <w:rsid w:val="4F9E1131"/>
    <w:rsid w:val="4FB073E4"/>
    <w:rsid w:val="4FCB21FA"/>
    <w:rsid w:val="4FD4350A"/>
    <w:rsid w:val="4FEC1592"/>
    <w:rsid w:val="4FF2301A"/>
    <w:rsid w:val="5006114E"/>
    <w:rsid w:val="500B3969"/>
    <w:rsid w:val="501773AC"/>
    <w:rsid w:val="501D5AB1"/>
    <w:rsid w:val="50685559"/>
    <w:rsid w:val="506C11F9"/>
    <w:rsid w:val="50CC67E3"/>
    <w:rsid w:val="51051697"/>
    <w:rsid w:val="510D0EFD"/>
    <w:rsid w:val="510D475D"/>
    <w:rsid w:val="5139066E"/>
    <w:rsid w:val="517D7BEB"/>
    <w:rsid w:val="519A1E57"/>
    <w:rsid w:val="51A15B22"/>
    <w:rsid w:val="51AD32A1"/>
    <w:rsid w:val="51C536B3"/>
    <w:rsid w:val="51FA2841"/>
    <w:rsid w:val="52156C24"/>
    <w:rsid w:val="521B72A5"/>
    <w:rsid w:val="524D4853"/>
    <w:rsid w:val="52590390"/>
    <w:rsid w:val="52713F89"/>
    <w:rsid w:val="52805844"/>
    <w:rsid w:val="529A2D6C"/>
    <w:rsid w:val="52B256B5"/>
    <w:rsid w:val="52B730F6"/>
    <w:rsid w:val="52DA3B6A"/>
    <w:rsid w:val="52F326C6"/>
    <w:rsid w:val="53116184"/>
    <w:rsid w:val="532375F6"/>
    <w:rsid w:val="532A1F5C"/>
    <w:rsid w:val="53371361"/>
    <w:rsid w:val="53596D1B"/>
    <w:rsid w:val="538815F7"/>
    <w:rsid w:val="53A91191"/>
    <w:rsid w:val="53C032F2"/>
    <w:rsid w:val="542550E7"/>
    <w:rsid w:val="54B5325B"/>
    <w:rsid w:val="54B934D9"/>
    <w:rsid w:val="54CA39EB"/>
    <w:rsid w:val="54E35B7C"/>
    <w:rsid w:val="54E95EC9"/>
    <w:rsid w:val="550F5EEE"/>
    <w:rsid w:val="55166920"/>
    <w:rsid w:val="5523662D"/>
    <w:rsid w:val="552B5A4D"/>
    <w:rsid w:val="55387CCB"/>
    <w:rsid w:val="554964D1"/>
    <w:rsid w:val="55555F09"/>
    <w:rsid w:val="555C7E77"/>
    <w:rsid w:val="55626A08"/>
    <w:rsid w:val="55A105ED"/>
    <w:rsid w:val="55A131FC"/>
    <w:rsid w:val="55E62793"/>
    <w:rsid w:val="55F76D30"/>
    <w:rsid w:val="55F94CD6"/>
    <w:rsid w:val="560E354A"/>
    <w:rsid w:val="56260878"/>
    <w:rsid w:val="5639155A"/>
    <w:rsid w:val="569E7A85"/>
    <w:rsid w:val="56E26349"/>
    <w:rsid w:val="56F07953"/>
    <w:rsid w:val="56F57BAF"/>
    <w:rsid w:val="571B0FBA"/>
    <w:rsid w:val="57214138"/>
    <w:rsid w:val="573079FF"/>
    <w:rsid w:val="575C47AE"/>
    <w:rsid w:val="57940052"/>
    <w:rsid w:val="57A31A70"/>
    <w:rsid w:val="57AE464A"/>
    <w:rsid w:val="57D668D6"/>
    <w:rsid w:val="57E047E4"/>
    <w:rsid w:val="57E4116F"/>
    <w:rsid w:val="585D0E02"/>
    <w:rsid w:val="58716663"/>
    <w:rsid w:val="58755414"/>
    <w:rsid w:val="58856FCD"/>
    <w:rsid w:val="58967499"/>
    <w:rsid w:val="58EC0C26"/>
    <w:rsid w:val="5915212E"/>
    <w:rsid w:val="59482155"/>
    <w:rsid w:val="59823DFB"/>
    <w:rsid w:val="59A9006E"/>
    <w:rsid w:val="59B47B55"/>
    <w:rsid w:val="59F37FC5"/>
    <w:rsid w:val="5A2D70FA"/>
    <w:rsid w:val="5A78146B"/>
    <w:rsid w:val="5A7F266F"/>
    <w:rsid w:val="5A86336D"/>
    <w:rsid w:val="5A8871EF"/>
    <w:rsid w:val="5A937EAF"/>
    <w:rsid w:val="5AB137B8"/>
    <w:rsid w:val="5ABD4091"/>
    <w:rsid w:val="5AC60F27"/>
    <w:rsid w:val="5AEA288A"/>
    <w:rsid w:val="5B286A45"/>
    <w:rsid w:val="5B2E5A3C"/>
    <w:rsid w:val="5B3678AD"/>
    <w:rsid w:val="5B421E78"/>
    <w:rsid w:val="5B460D50"/>
    <w:rsid w:val="5B662DD9"/>
    <w:rsid w:val="5B7853A3"/>
    <w:rsid w:val="5B814437"/>
    <w:rsid w:val="5B8C6B22"/>
    <w:rsid w:val="5B8F03EB"/>
    <w:rsid w:val="5BA3149E"/>
    <w:rsid w:val="5BA45F9A"/>
    <w:rsid w:val="5BBB10E9"/>
    <w:rsid w:val="5BD82CA0"/>
    <w:rsid w:val="5BE7197D"/>
    <w:rsid w:val="5BF37A20"/>
    <w:rsid w:val="5C144168"/>
    <w:rsid w:val="5C1D6BE3"/>
    <w:rsid w:val="5C34329B"/>
    <w:rsid w:val="5C6B0AA1"/>
    <w:rsid w:val="5C9D7258"/>
    <w:rsid w:val="5CA15820"/>
    <w:rsid w:val="5CB66C54"/>
    <w:rsid w:val="5CFD0715"/>
    <w:rsid w:val="5D14050A"/>
    <w:rsid w:val="5D172CA4"/>
    <w:rsid w:val="5D2C603A"/>
    <w:rsid w:val="5D4162EC"/>
    <w:rsid w:val="5D431E2E"/>
    <w:rsid w:val="5D4B508E"/>
    <w:rsid w:val="5D564D6F"/>
    <w:rsid w:val="5DFB7ED7"/>
    <w:rsid w:val="5E08667B"/>
    <w:rsid w:val="5E0C7890"/>
    <w:rsid w:val="5E1B44AC"/>
    <w:rsid w:val="5E384ACE"/>
    <w:rsid w:val="5E6E4CBF"/>
    <w:rsid w:val="5E9C0882"/>
    <w:rsid w:val="5EC8269D"/>
    <w:rsid w:val="5ED5786C"/>
    <w:rsid w:val="5F251480"/>
    <w:rsid w:val="5F2A0C65"/>
    <w:rsid w:val="5F4953D8"/>
    <w:rsid w:val="5F856503"/>
    <w:rsid w:val="5F9C052F"/>
    <w:rsid w:val="5FAE4FD1"/>
    <w:rsid w:val="5FF02C6C"/>
    <w:rsid w:val="602844EF"/>
    <w:rsid w:val="60500FA8"/>
    <w:rsid w:val="606D5820"/>
    <w:rsid w:val="607D344D"/>
    <w:rsid w:val="608D00DF"/>
    <w:rsid w:val="60A26592"/>
    <w:rsid w:val="60C32C51"/>
    <w:rsid w:val="60C93644"/>
    <w:rsid w:val="60F50A86"/>
    <w:rsid w:val="60FB32DA"/>
    <w:rsid w:val="61064E33"/>
    <w:rsid w:val="611E4A5F"/>
    <w:rsid w:val="61217355"/>
    <w:rsid w:val="61412388"/>
    <w:rsid w:val="618A7364"/>
    <w:rsid w:val="619E6348"/>
    <w:rsid w:val="61B60BAE"/>
    <w:rsid w:val="61F700EF"/>
    <w:rsid w:val="625409B0"/>
    <w:rsid w:val="62847F3C"/>
    <w:rsid w:val="630E271A"/>
    <w:rsid w:val="63162CDE"/>
    <w:rsid w:val="63254DC7"/>
    <w:rsid w:val="632637D9"/>
    <w:rsid w:val="632744DE"/>
    <w:rsid w:val="63315D8B"/>
    <w:rsid w:val="63363A6F"/>
    <w:rsid w:val="63420A33"/>
    <w:rsid w:val="635E6959"/>
    <w:rsid w:val="637C517D"/>
    <w:rsid w:val="63814187"/>
    <w:rsid w:val="63CC1AEC"/>
    <w:rsid w:val="63FC310E"/>
    <w:rsid w:val="647E66F8"/>
    <w:rsid w:val="64B7332D"/>
    <w:rsid w:val="65087404"/>
    <w:rsid w:val="65226F3B"/>
    <w:rsid w:val="654A6F89"/>
    <w:rsid w:val="657C7C64"/>
    <w:rsid w:val="65821B82"/>
    <w:rsid w:val="6593698D"/>
    <w:rsid w:val="65A85F93"/>
    <w:rsid w:val="65CE3E56"/>
    <w:rsid w:val="65D6186D"/>
    <w:rsid w:val="65EA307F"/>
    <w:rsid w:val="65FD4A13"/>
    <w:rsid w:val="663401D0"/>
    <w:rsid w:val="66382EF7"/>
    <w:rsid w:val="663A6CF4"/>
    <w:rsid w:val="664D6053"/>
    <w:rsid w:val="664E6A7D"/>
    <w:rsid w:val="66806EE2"/>
    <w:rsid w:val="668332C9"/>
    <w:rsid w:val="66AE3579"/>
    <w:rsid w:val="66DC5157"/>
    <w:rsid w:val="67003C27"/>
    <w:rsid w:val="670850A7"/>
    <w:rsid w:val="67266236"/>
    <w:rsid w:val="676F2BA5"/>
    <w:rsid w:val="677A4468"/>
    <w:rsid w:val="67BE7D6F"/>
    <w:rsid w:val="67C031E7"/>
    <w:rsid w:val="67D143AA"/>
    <w:rsid w:val="67D345A3"/>
    <w:rsid w:val="67E47A65"/>
    <w:rsid w:val="68016A6B"/>
    <w:rsid w:val="68090B7B"/>
    <w:rsid w:val="680E4CDF"/>
    <w:rsid w:val="68623411"/>
    <w:rsid w:val="68646674"/>
    <w:rsid w:val="68962BCC"/>
    <w:rsid w:val="689A34AB"/>
    <w:rsid w:val="68B91C8F"/>
    <w:rsid w:val="68BC72C5"/>
    <w:rsid w:val="68DC48E0"/>
    <w:rsid w:val="68DD233E"/>
    <w:rsid w:val="69022C1A"/>
    <w:rsid w:val="69155734"/>
    <w:rsid w:val="694A731E"/>
    <w:rsid w:val="695B2C36"/>
    <w:rsid w:val="69774A45"/>
    <w:rsid w:val="69A81E0E"/>
    <w:rsid w:val="69AA5889"/>
    <w:rsid w:val="69B206E0"/>
    <w:rsid w:val="69ED1242"/>
    <w:rsid w:val="69F121DE"/>
    <w:rsid w:val="6A130CD7"/>
    <w:rsid w:val="6A22511A"/>
    <w:rsid w:val="6A294037"/>
    <w:rsid w:val="6A376AFB"/>
    <w:rsid w:val="6A390836"/>
    <w:rsid w:val="6A451CC2"/>
    <w:rsid w:val="6A5E4F9A"/>
    <w:rsid w:val="6A896BE5"/>
    <w:rsid w:val="6A900A08"/>
    <w:rsid w:val="6A9D3E38"/>
    <w:rsid w:val="6AF75B58"/>
    <w:rsid w:val="6AFA13E0"/>
    <w:rsid w:val="6AFA6FBB"/>
    <w:rsid w:val="6AFA7658"/>
    <w:rsid w:val="6B3168EC"/>
    <w:rsid w:val="6B89521A"/>
    <w:rsid w:val="6BCC6E33"/>
    <w:rsid w:val="6BE22125"/>
    <w:rsid w:val="6C1369AA"/>
    <w:rsid w:val="6C1A53FF"/>
    <w:rsid w:val="6C6F4D3D"/>
    <w:rsid w:val="6C950AE3"/>
    <w:rsid w:val="6C956C96"/>
    <w:rsid w:val="6CB730A4"/>
    <w:rsid w:val="6CD61291"/>
    <w:rsid w:val="6CD7114B"/>
    <w:rsid w:val="6CDB405E"/>
    <w:rsid w:val="6CE9060B"/>
    <w:rsid w:val="6D0268D6"/>
    <w:rsid w:val="6D2617EC"/>
    <w:rsid w:val="6D280C63"/>
    <w:rsid w:val="6D57712D"/>
    <w:rsid w:val="6DCD7F6B"/>
    <w:rsid w:val="6DF502B9"/>
    <w:rsid w:val="6DFA70C2"/>
    <w:rsid w:val="6DFB709A"/>
    <w:rsid w:val="6E3A32CE"/>
    <w:rsid w:val="6E3D0B6A"/>
    <w:rsid w:val="6E466662"/>
    <w:rsid w:val="6E6B71DB"/>
    <w:rsid w:val="6EA362F4"/>
    <w:rsid w:val="6EB0191A"/>
    <w:rsid w:val="6F2110D0"/>
    <w:rsid w:val="6F3F6F1C"/>
    <w:rsid w:val="6F5A6368"/>
    <w:rsid w:val="6F6824B9"/>
    <w:rsid w:val="6F6B6036"/>
    <w:rsid w:val="6F7576D0"/>
    <w:rsid w:val="6F764F7F"/>
    <w:rsid w:val="6FA21116"/>
    <w:rsid w:val="6FB91228"/>
    <w:rsid w:val="6FD45E95"/>
    <w:rsid w:val="70081199"/>
    <w:rsid w:val="700B0D0E"/>
    <w:rsid w:val="701557A9"/>
    <w:rsid w:val="709236FE"/>
    <w:rsid w:val="70AF29F5"/>
    <w:rsid w:val="70B0634F"/>
    <w:rsid w:val="70B80716"/>
    <w:rsid w:val="70BD7B8B"/>
    <w:rsid w:val="70C2541E"/>
    <w:rsid w:val="70D36B8C"/>
    <w:rsid w:val="7112397F"/>
    <w:rsid w:val="713676EA"/>
    <w:rsid w:val="713F279B"/>
    <w:rsid w:val="715B2C94"/>
    <w:rsid w:val="715C640D"/>
    <w:rsid w:val="717B7C74"/>
    <w:rsid w:val="71842260"/>
    <w:rsid w:val="71933B17"/>
    <w:rsid w:val="71962347"/>
    <w:rsid w:val="719A03AB"/>
    <w:rsid w:val="71B765A5"/>
    <w:rsid w:val="71B85AE2"/>
    <w:rsid w:val="71DE3CBC"/>
    <w:rsid w:val="721E3C48"/>
    <w:rsid w:val="722A0D19"/>
    <w:rsid w:val="722C7F38"/>
    <w:rsid w:val="723D4B43"/>
    <w:rsid w:val="72A008F2"/>
    <w:rsid w:val="72A87DF6"/>
    <w:rsid w:val="72DC74A1"/>
    <w:rsid w:val="72E516D6"/>
    <w:rsid w:val="72FA5912"/>
    <w:rsid w:val="734A53A3"/>
    <w:rsid w:val="73A9330E"/>
    <w:rsid w:val="73A96097"/>
    <w:rsid w:val="73CE5EEA"/>
    <w:rsid w:val="73D32E8F"/>
    <w:rsid w:val="73E06E92"/>
    <w:rsid w:val="73FD6586"/>
    <w:rsid w:val="740B66A0"/>
    <w:rsid w:val="7419563A"/>
    <w:rsid w:val="74705A35"/>
    <w:rsid w:val="747405C4"/>
    <w:rsid w:val="7476575A"/>
    <w:rsid w:val="74A416B3"/>
    <w:rsid w:val="74AF129E"/>
    <w:rsid w:val="74CE35BD"/>
    <w:rsid w:val="750C27EE"/>
    <w:rsid w:val="75447E53"/>
    <w:rsid w:val="756E5407"/>
    <w:rsid w:val="75F47043"/>
    <w:rsid w:val="76026D8D"/>
    <w:rsid w:val="761C736A"/>
    <w:rsid w:val="7704215A"/>
    <w:rsid w:val="7753414A"/>
    <w:rsid w:val="77644E3D"/>
    <w:rsid w:val="77764CBC"/>
    <w:rsid w:val="778D06EB"/>
    <w:rsid w:val="77CE6580"/>
    <w:rsid w:val="77FB4FB1"/>
    <w:rsid w:val="783A6203"/>
    <w:rsid w:val="78531AE7"/>
    <w:rsid w:val="78D200FA"/>
    <w:rsid w:val="78DC42FD"/>
    <w:rsid w:val="78F04373"/>
    <w:rsid w:val="790F36EE"/>
    <w:rsid w:val="791D5FBB"/>
    <w:rsid w:val="797E7DFC"/>
    <w:rsid w:val="79DA1E6F"/>
    <w:rsid w:val="79FA43CB"/>
    <w:rsid w:val="79FD1061"/>
    <w:rsid w:val="7A027F64"/>
    <w:rsid w:val="7A9101BF"/>
    <w:rsid w:val="7A982BC4"/>
    <w:rsid w:val="7AE86EFD"/>
    <w:rsid w:val="7AE961E6"/>
    <w:rsid w:val="7AEF684B"/>
    <w:rsid w:val="7B0253A3"/>
    <w:rsid w:val="7B240A9F"/>
    <w:rsid w:val="7B400F9B"/>
    <w:rsid w:val="7B715700"/>
    <w:rsid w:val="7B787442"/>
    <w:rsid w:val="7B8600CE"/>
    <w:rsid w:val="7B8955CC"/>
    <w:rsid w:val="7BAF116A"/>
    <w:rsid w:val="7BB62DAE"/>
    <w:rsid w:val="7BB66493"/>
    <w:rsid w:val="7BCF48E4"/>
    <w:rsid w:val="7BDA1655"/>
    <w:rsid w:val="7BF96742"/>
    <w:rsid w:val="7BFA71C1"/>
    <w:rsid w:val="7C210970"/>
    <w:rsid w:val="7C356FDB"/>
    <w:rsid w:val="7C362E0E"/>
    <w:rsid w:val="7C503141"/>
    <w:rsid w:val="7C900D2C"/>
    <w:rsid w:val="7C9761F6"/>
    <w:rsid w:val="7C9F542C"/>
    <w:rsid w:val="7CA76A3B"/>
    <w:rsid w:val="7CF35643"/>
    <w:rsid w:val="7D083865"/>
    <w:rsid w:val="7D21002C"/>
    <w:rsid w:val="7D3326A5"/>
    <w:rsid w:val="7D5753B4"/>
    <w:rsid w:val="7DA40CBD"/>
    <w:rsid w:val="7DB4432B"/>
    <w:rsid w:val="7DF7660D"/>
    <w:rsid w:val="7E4176AB"/>
    <w:rsid w:val="7E447767"/>
    <w:rsid w:val="7E6C1BD9"/>
    <w:rsid w:val="7EC11AD2"/>
    <w:rsid w:val="7EFA4763"/>
    <w:rsid w:val="7F15004C"/>
    <w:rsid w:val="7F5B2758"/>
    <w:rsid w:val="7F872E0C"/>
    <w:rsid w:val="7F8819A0"/>
    <w:rsid w:val="7FBD61A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4"/>
    <w:link w:val="64"/>
    <w:qFormat/>
    <w:uiPriority w:val="0"/>
    <w:pPr>
      <w:keepNext/>
      <w:keepLines/>
      <w:spacing w:after="120" w:line="360" w:lineRule="auto"/>
      <w:outlineLvl w:val="0"/>
    </w:pPr>
    <w:rPr>
      <w:kern w:val="44"/>
      <w:sz w:val="28"/>
      <w:szCs w:val="28"/>
    </w:rPr>
  </w:style>
  <w:style w:type="paragraph" w:styleId="4">
    <w:name w:val="heading 2"/>
    <w:basedOn w:val="1"/>
    <w:next w:val="1"/>
    <w:link w:val="65"/>
    <w:qFormat/>
    <w:uiPriority w:val="0"/>
    <w:pPr>
      <w:keepNext/>
      <w:keepLines/>
      <w:numPr>
        <w:ilvl w:val="1"/>
        <w:numId w:val="0"/>
      </w:numPr>
      <w:spacing w:before="120" w:after="120" w:line="415" w:lineRule="auto"/>
      <w:ind w:left="454"/>
      <w:jc w:val="center"/>
      <w:outlineLvl w:val="1"/>
    </w:pPr>
    <w:rPr>
      <w:rFonts w:ascii="Arial" w:hAnsi="Arial"/>
      <w:b/>
      <w:color w:val="000000"/>
      <w:kern w:val="0"/>
      <w:sz w:val="24"/>
      <w:szCs w:val="24"/>
    </w:rPr>
  </w:style>
  <w:style w:type="paragraph" w:styleId="5">
    <w:name w:val="heading 3"/>
    <w:basedOn w:val="1"/>
    <w:next w:val="1"/>
    <w:link w:val="66"/>
    <w:qFormat/>
    <w:uiPriority w:val="0"/>
    <w:pPr>
      <w:widowControl/>
      <w:spacing w:before="100" w:beforeAutospacing="1" w:after="100" w:afterAutospacing="1"/>
      <w:jc w:val="left"/>
      <w:outlineLvl w:val="2"/>
    </w:pPr>
    <w:rPr>
      <w:rFonts w:ascii="宋体" w:hAnsi="宋体"/>
      <w:kern w:val="0"/>
      <w:sz w:val="27"/>
      <w:szCs w:val="27"/>
    </w:rPr>
  </w:style>
  <w:style w:type="paragraph" w:styleId="6">
    <w:name w:val="heading 4"/>
    <w:basedOn w:val="5"/>
    <w:next w:val="7"/>
    <w:link w:val="67"/>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olor w:val="000000"/>
      <w:kern w:val="2"/>
      <w:sz w:val="21"/>
      <w:szCs w:val="21"/>
    </w:rPr>
  </w:style>
  <w:style w:type="paragraph" w:styleId="8">
    <w:name w:val="heading 5"/>
    <w:basedOn w:val="6"/>
    <w:next w:val="7"/>
    <w:link w:val="69"/>
    <w:qFormat/>
    <w:uiPriority w:val="0"/>
    <w:pPr>
      <w:numPr>
        <w:ilvl w:val="4"/>
        <w:numId w:val="1"/>
      </w:numPr>
      <w:spacing w:line="240" w:lineRule="exact"/>
      <w:outlineLvl w:val="4"/>
    </w:pPr>
  </w:style>
  <w:style w:type="paragraph" w:styleId="9">
    <w:name w:val="heading 6"/>
    <w:basedOn w:val="1"/>
    <w:next w:val="1"/>
    <w:link w:val="70"/>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0">
    <w:name w:val="heading 7"/>
    <w:basedOn w:val="1"/>
    <w:next w:val="7"/>
    <w:link w:val="71"/>
    <w:qFormat/>
    <w:uiPriority w:val="0"/>
    <w:pPr>
      <w:keepNext/>
      <w:keepLines/>
      <w:numPr>
        <w:ilvl w:val="6"/>
        <w:numId w:val="1"/>
      </w:numPr>
      <w:spacing w:before="240" w:after="64" w:line="320" w:lineRule="auto"/>
      <w:outlineLvl w:val="6"/>
    </w:pPr>
    <w:rPr>
      <w:b/>
      <w:sz w:val="24"/>
      <w:szCs w:val="20"/>
    </w:rPr>
  </w:style>
  <w:style w:type="paragraph" w:styleId="11">
    <w:name w:val="heading 8"/>
    <w:basedOn w:val="1"/>
    <w:next w:val="7"/>
    <w:link w:val="72"/>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7"/>
    <w:link w:val="73"/>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54">
    <w:name w:val="Default Paragraph Font"/>
    <w:unhideWhenUsed/>
    <w:qFormat/>
    <w:uiPriority w:val="1"/>
  </w:style>
  <w:style w:type="table" w:default="1" w:styleId="52">
    <w:name w:val="Normal Table"/>
    <w:unhideWhenUsed/>
    <w:qFormat/>
    <w:uiPriority w:val="99"/>
    <w:tblPr>
      <w:tblCellMar>
        <w:top w:w="0" w:type="dxa"/>
        <w:left w:w="108" w:type="dxa"/>
        <w:bottom w:w="0" w:type="dxa"/>
        <w:right w:w="108" w:type="dxa"/>
      </w:tblCellMar>
    </w:tblPr>
  </w:style>
  <w:style w:type="paragraph" w:styleId="2">
    <w:name w:val="Plain Text"/>
    <w:basedOn w:val="1"/>
    <w:next w:val="1"/>
    <w:link w:val="63"/>
    <w:qFormat/>
    <w:uiPriority w:val="0"/>
    <w:rPr>
      <w:rFonts w:ascii="宋体" w:hAnsi="Courier New"/>
      <w:kern w:val="0"/>
      <w:sz w:val="20"/>
      <w:szCs w:val="20"/>
    </w:rPr>
  </w:style>
  <w:style w:type="paragraph" w:styleId="7">
    <w:name w:val="Normal Indent"/>
    <w:basedOn w:val="1"/>
    <w:next w:val="1"/>
    <w:link w:val="68"/>
    <w:qFormat/>
    <w:uiPriority w:val="0"/>
    <w:pPr>
      <w:ind w:firstLine="420"/>
    </w:pPr>
    <w:rPr>
      <w:szCs w:val="20"/>
    </w:rPr>
  </w:style>
  <w:style w:type="paragraph" w:styleId="13">
    <w:name w:val="toc 7"/>
    <w:basedOn w:val="1"/>
    <w:next w:val="1"/>
    <w:qFormat/>
    <w:uiPriority w:val="0"/>
    <w:pPr>
      <w:ind w:left="2520" w:leftChars="1200"/>
    </w:pPr>
    <w:rPr>
      <w:rFonts w:ascii="Times New Roman" w:hAnsi="Times New Roman"/>
      <w:szCs w:val="24"/>
    </w:r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numPr>
        <w:ilvl w:val="0"/>
        <w:numId w:val="3"/>
      </w:numPr>
      <w:tabs>
        <w:tab w:val="left" w:pos="360"/>
      </w:tabs>
    </w:pPr>
    <w:rPr>
      <w:rFonts w:ascii="Times New Roman" w:hAnsi="Times New Roman"/>
      <w:szCs w:val="24"/>
    </w:rPr>
  </w:style>
  <w:style w:type="paragraph" w:styleId="16">
    <w:name w:val="Document Map"/>
    <w:basedOn w:val="1"/>
    <w:link w:val="74"/>
    <w:qFormat/>
    <w:uiPriority w:val="0"/>
    <w:pPr>
      <w:shd w:val="clear" w:color="auto" w:fill="000080"/>
    </w:pPr>
    <w:rPr>
      <w:kern w:val="0"/>
      <w:sz w:val="20"/>
      <w:szCs w:val="20"/>
    </w:rPr>
  </w:style>
  <w:style w:type="paragraph" w:styleId="17">
    <w:name w:val="annotation text"/>
    <w:basedOn w:val="1"/>
    <w:link w:val="75"/>
    <w:qFormat/>
    <w:uiPriority w:val="0"/>
    <w:pPr>
      <w:spacing w:line="360" w:lineRule="auto"/>
      <w:ind w:firstLine="523" w:firstLineChars="218"/>
      <w:jc w:val="left"/>
    </w:pPr>
    <w:rPr>
      <w:rFonts w:ascii="宋体" w:hAnsi="宋体"/>
      <w:kern w:val="0"/>
      <w:sz w:val="24"/>
      <w:szCs w:val="24"/>
    </w:rPr>
  </w:style>
  <w:style w:type="paragraph" w:styleId="18">
    <w:name w:val="Body Text 3"/>
    <w:basedOn w:val="1"/>
    <w:link w:val="76"/>
    <w:unhideWhenUsed/>
    <w:qFormat/>
    <w:uiPriority w:val="0"/>
    <w:rPr>
      <w:rFonts w:ascii="仿宋_GB2312"/>
      <w:kern w:val="0"/>
      <w:sz w:val="16"/>
      <w:szCs w:val="16"/>
    </w:rPr>
  </w:style>
  <w:style w:type="paragraph" w:styleId="19">
    <w:name w:val="Body Text"/>
    <w:basedOn w:val="1"/>
    <w:next w:val="1"/>
    <w:link w:val="77"/>
    <w:qFormat/>
    <w:uiPriority w:val="0"/>
    <w:pPr>
      <w:spacing w:after="120"/>
    </w:pPr>
    <w:rPr>
      <w:kern w:val="0"/>
      <w:sz w:val="20"/>
      <w:szCs w:val="20"/>
    </w:rPr>
  </w:style>
  <w:style w:type="paragraph" w:styleId="20">
    <w:name w:val="Body Text Indent"/>
    <w:basedOn w:val="1"/>
    <w:link w:val="78"/>
    <w:qFormat/>
    <w:uiPriority w:val="0"/>
    <w:pPr>
      <w:ind w:firstLine="570"/>
    </w:pPr>
    <w:rPr>
      <w:kern w:val="0"/>
      <w:sz w:val="28"/>
      <w:szCs w:val="20"/>
    </w:rPr>
  </w:style>
  <w:style w:type="paragraph" w:styleId="21">
    <w:name w:val="List 2"/>
    <w:basedOn w:val="1"/>
    <w:qFormat/>
    <w:uiPriority w:val="0"/>
    <w:pPr>
      <w:spacing w:line="500" w:lineRule="exact"/>
      <w:ind w:left="1" w:firstLine="539"/>
    </w:pPr>
    <w:rPr>
      <w:rFonts w:ascii="Times New Roman" w:hAnsi="Times New Roman"/>
      <w:sz w:val="28"/>
      <w:szCs w:val="20"/>
    </w:rPr>
  </w:style>
  <w:style w:type="paragraph" w:styleId="22">
    <w:name w:val="Block Text"/>
    <w:basedOn w:val="1"/>
    <w:qFormat/>
    <w:uiPriority w:val="0"/>
    <w:pPr>
      <w:tabs>
        <w:tab w:val="left" w:pos="720"/>
      </w:tabs>
      <w:snapToGrid w:val="0"/>
      <w:spacing w:line="360" w:lineRule="auto"/>
      <w:ind w:left="-178" w:leftChars="-85" w:rightChars="-159" w:firstLine="540" w:firstLineChars="225"/>
    </w:pPr>
    <w:rPr>
      <w:rFonts w:ascii="Times New Roman" w:hAnsi="Times New Roman"/>
      <w:sz w:val="24"/>
      <w:szCs w:val="20"/>
    </w:rPr>
  </w:style>
  <w:style w:type="paragraph" w:styleId="23">
    <w:name w:val="List Bullet 2"/>
    <w:basedOn w:val="15"/>
    <w:qFormat/>
    <w:uiPriority w:val="0"/>
    <w:pPr>
      <w:widowControl/>
      <w:numPr>
        <w:ilvl w:val="0"/>
        <w:numId w:val="4"/>
      </w:numPr>
      <w:tabs>
        <w:tab w:val="left" w:pos="432"/>
      </w:tabs>
      <w:spacing w:after="220" w:line="220" w:lineRule="atLeast"/>
      <w:ind w:left="2160" w:right="720" w:hanging="432"/>
      <w:jc w:val="left"/>
    </w:pPr>
    <w:rPr>
      <w:kern w:val="0"/>
      <w:szCs w:val="20"/>
    </w:rPr>
  </w:style>
  <w:style w:type="paragraph" w:styleId="24">
    <w:name w:val="index 4"/>
    <w:basedOn w:val="1"/>
    <w:next w:val="1"/>
    <w:qFormat/>
    <w:uiPriority w:val="0"/>
    <w:pPr>
      <w:ind w:left="600" w:leftChars="600"/>
    </w:pPr>
    <w:rPr>
      <w:rFonts w:ascii="Times New Roman" w:hAnsi="Times New Roman"/>
      <w:szCs w:val="24"/>
    </w:rPr>
  </w:style>
  <w:style w:type="paragraph" w:styleId="25">
    <w:name w:val="toc 5"/>
    <w:basedOn w:val="1"/>
    <w:next w:val="1"/>
    <w:qFormat/>
    <w:uiPriority w:val="0"/>
    <w:pPr>
      <w:ind w:left="1680" w:leftChars="800"/>
    </w:pPr>
    <w:rPr>
      <w:rFonts w:ascii="Times New Roman" w:hAnsi="Times New Roman"/>
      <w:szCs w:val="24"/>
    </w:rPr>
  </w:style>
  <w:style w:type="paragraph" w:styleId="26">
    <w:name w:val="toc 3"/>
    <w:basedOn w:val="1"/>
    <w:next w:val="1"/>
    <w:qFormat/>
    <w:uiPriority w:val="0"/>
    <w:pPr>
      <w:snapToGrid w:val="0"/>
      <w:spacing w:line="360" w:lineRule="auto"/>
      <w:ind w:left="400" w:leftChars="400"/>
      <w:jc w:val="left"/>
    </w:pPr>
    <w:rPr>
      <w:rFonts w:ascii="Times New Roman" w:hAnsi="Times New Roman"/>
      <w:sz w:val="24"/>
      <w:szCs w:val="20"/>
    </w:rPr>
  </w:style>
  <w:style w:type="paragraph" w:styleId="27">
    <w:name w:val="toc 8"/>
    <w:basedOn w:val="1"/>
    <w:next w:val="1"/>
    <w:qFormat/>
    <w:uiPriority w:val="0"/>
    <w:pPr>
      <w:ind w:left="2940" w:leftChars="1400"/>
    </w:pPr>
    <w:rPr>
      <w:rFonts w:ascii="Times New Roman" w:hAnsi="Times New Roman"/>
      <w:szCs w:val="24"/>
    </w:rPr>
  </w:style>
  <w:style w:type="paragraph" w:styleId="28">
    <w:name w:val="Date"/>
    <w:basedOn w:val="1"/>
    <w:next w:val="1"/>
    <w:link w:val="79"/>
    <w:qFormat/>
    <w:uiPriority w:val="0"/>
    <w:rPr>
      <w:kern w:val="0"/>
      <w:sz w:val="20"/>
      <w:szCs w:val="20"/>
    </w:rPr>
  </w:style>
  <w:style w:type="paragraph" w:styleId="29">
    <w:name w:val="Body Text Indent 2"/>
    <w:basedOn w:val="1"/>
    <w:link w:val="80"/>
    <w:qFormat/>
    <w:uiPriority w:val="0"/>
    <w:pPr>
      <w:spacing w:line="400" w:lineRule="exact"/>
      <w:ind w:left="425"/>
    </w:pPr>
    <w:rPr>
      <w:color w:val="000000"/>
      <w:kern w:val="0"/>
      <w:sz w:val="24"/>
      <w:szCs w:val="20"/>
    </w:rPr>
  </w:style>
  <w:style w:type="paragraph" w:styleId="30">
    <w:name w:val="endnote text"/>
    <w:basedOn w:val="1"/>
    <w:link w:val="81"/>
    <w:qFormat/>
    <w:uiPriority w:val="0"/>
    <w:pPr>
      <w:snapToGrid w:val="0"/>
      <w:jc w:val="left"/>
    </w:pPr>
    <w:rPr>
      <w:kern w:val="0"/>
      <w:sz w:val="20"/>
      <w:szCs w:val="20"/>
    </w:rPr>
  </w:style>
  <w:style w:type="paragraph" w:styleId="31">
    <w:name w:val="Balloon Text"/>
    <w:basedOn w:val="1"/>
    <w:link w:val="82"/>
    <w:qFormat/>
    <w:uiPriority w:val="0"/>
    <w:rPr>
      <w:kern w:val="0"/>
      <w:sz w:val="18"/>
      <w:szCs w:val="18"/>
    </w:rPr>
  </w:style>
  <w:style w:type="paragraph" w:styleId="32">
    <w:name w:val="footer"/>
    <w:basedOn w:val="1"/>
    <w:link w:val="83"/>
    <w:unhideWhenUsed/>
    <w:qFormat/>
    <w:uiPriority w:val="99"/>
    <w:pPr>
      <w:tabs>
        <w:tab w:val="center" w:pos="4153"/>
        <w:tab w:val="right" w:pos="8306"/>
      </w:tabs>
      <w:snapToGrid w:val="0"/>
      <w:jc w:val="left"/>
    </w:pPr>
    <w:rPr>
      <w:rFonts w:ascii="Calibri" w:hAnsi="Calibri"/>
      <w:kern w:val="0"/>
      <w:sz w:val="18"/>
      <w:szCs w:val="18"/>
    </w:rPr>
  </w:style>
  <w:style w:type="paragraph" w:styleId="33">
    <w:name w:val="envelope return"/>
    <w:basedOn w:val="1"/>
    <w:qFormat/>
    <w:uiPriority w:val="0"/>
    <w:pPr>
      <w:snapToGrid w:val="0"/>
    </w:pPr>
    <w:rPr>
      <w:rFonts w:ascii="Arial" w:hAnsi="Arial" w:eastAsia="宋体" w:cs="Times New Roman"/>
      <w:szCs w:val="24"/>
      <w:lang w:bidi="ar-SA"/>
    </w:rPr>
  </w:style>
  <w:style w:type="paragraph" w:styleId="34">
    <w:name w:val="header"/>
    <w:basedOn w:val="1"/>
    <w:link w:val="84"/>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35">
    <w:name w:val="toc 1"/>
    <w:basedOn w:val="1"/>
    <w:next w:val="1"/>
    <w:qFormat/>
    <w:uiPriority w:val="0"/>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36">
    <w:name w:val="toc 4"/>
    <w:basedOn w:val="1"/>
    <w:next w:val="1"/>
    <w:qFormat/>
    <w:uiPriority w:val="0"/>
    <w:pPr>
      <w:ind w:left="1260" w:leftChars="600"/>
    </w:pPr>
    <w:rPr>
      <w:rFonts w:ascii="Times New Roman" w:hAnsi="Times New Roman"/>
      <w:szCs w:val="24"/>
    </w:rPr>
  </w:style>
  <w:style w:type="paragraph" w:styleId="37">
    <w:name w:val="Subtitle"/>
    <w:basedOn w:val="1"/>
    <w:next w:val="1"/>
    <w:link w:val="85"/>
    <w:qFormat/>
    <w:uiPriority w:val="11"/>
    <w:pPr>
      <w:widowControl/>
      <w:spacing w:after="60"/>
      <w:jc w:val="center"/>
      <w:outlineLvl w:val="1"/>
    </w:pPr>
    <w:rPr>
      <w:rFonts w:ascii="Cambria" w:hAnsi="Cambria"/>
      <w:b/>
      <w:bCs/>
      <w:kern w:val="28"/>
      <w:sz w:val="32"/>
      <w:szCs w:val="32"/>
    </w:rPr>
  </w:style>
  <w:style w:type="paragraph" w:styleId="38">
    <w:name w:val="List"/>
    <w:basedOn w:val="1"/>
    <w:qFormat/>
    <w:uiPriority w:val="0"/>
    <w:pPr>
      <w:jc w:val="center"/>
    </w:pPr>
    <w:rPr>
      <w:rFonts w:ascii="Times New Roman" w:hAnsi="Times New Roman"/>
      <w:szCs w:val="20"/>
    </w:rPr>
  </w:style>
  <w:style w:type="paragraph" w:styleId="39">
    <w:name w:val="footnote text"/>
    <w:basedOn w:val="1"/>
    <w:link w:val="86"/>
    <w:qFormat/>
    <w:uiPriority w:val="0"/>
    <w:pPr>
      <w:snapToGrid w:val="0"/>
      <w:spacing w:line="360" w:lineRule="auto"/>
      <w:ind w:firstLine="523" w:firstLineChars="218"/>
      <w:jc w:val="left"/>
    </w:pPr>
    <w:rPr>
      <w:rFonts w:ascii="宋体" w:hAnsi="宋体"/>
      <w:kern w:val="0"/>
      <w:sz w:val="18"/>
      <w:szCs w:val="18"/>
    </w:rPr>
  </w:style>
  <w:style w:type="paragraph" w:styleId="40">
    <w:name w:val="toc 6"/>
    <w:basedOn w:val="1"/>
    <w:next w:val="1"/>
    <w:qFormat/>
    <w:uiPriority w:val="0"/>
    <w:pPr>
      <w:ind w:left="2100" w:leftChars="1000"/>
    </w:pPr>
    <w:rPr>
      <w:rFonts w:ascii="Times New Roman" w:hAnsi="Times New Roman"/>
      <w:szCs w:val="24"/>
    </w:rPr>
  </w:style>
  <w:style w:type="paragraph" w:styleId="41">
    <w:name w:val="Body Text Indent 3"/>
    <w:basedOn w:val="1"/>
    <w:link w:val="87"/>
    <w:qFormat/>
    <w:uiPriority w:val="0"/>
    <w:pPr>
      <w:numPr>
        <w:ilvl w:val="1"/>
        <w:numId w:val="0"/>
      </w:numPr>
      <w:tabs>
        <w:tab w:val="left" w:pos="0"/>
      </w:tabs>
      <w:spacing w:line="400" w:lineRule="exact"/>
      <w:ind w:left="563" w:leftChars="228" w:hanging="84" w:hangingChars="35"/>
    </w:pPr>
    <w:rPr>
      <w:color w:val="000000"/>
      <w:kern w:val="0"/>
      <w:sz w:val="24"/>
      <w:szCs w:val="20"/>
    </w:rPr>
  </w:style>
  <w:style w:type="paragraph" w:styleId="42">
    <w:name w:val="toc 2"/>
    <w:basedOn w:val="1"/>
    <w:next w:val="1"/>
    <w:qFormat/>
    <w:uiPriority w:val="0"/>
    <w:pPr>
      <w:tabs>
        <w:tab w:val="right" w:leader="dot" w:pos="9060"/>
      </w:tabs>
      <w:snapToGrid w:val="0"/>
      <w:spacing w:line="360" w:lineRule="auto"/>
      <w:ind w:left="420" w:leftChars="200"/>
      <w:jc w:val="left"/>
    </w:pPr>
    <w:rPr>
      <w:rFonts w:ascii="Times New Roman" w:hAnsi="Times New Roman"/>
      <w:sz w:val="24"/>
      <w:szCs w:val="24"/>
    </w:rPr>
  </w:style>
  <w:style w:type="paragraph" w:styleId="43">
    <w:name w:val="toc 9"/>
    <w:basedOn w:val="1"/>
    <w:next w:val="1"/>
    <w:qFormat/>
    <w:uiPriority w:val="0"/>
    <w:pPr>
      <w:ind w:left="3360" w:leftChars="1600"/>
    </w:pPr>
    <w:rPr>
      <w:rFonts w:ascii="Times New Roman" w:hAnsi="Times New Roman"/>
      <w:szCs w:val="24"/>
    </w:rPr>
  </w:style>
  <w:style w:type="paragraph" w:styleId="44">
    <w:name w:val="Body Text 2"/>
    <w:basedOn w:val="1"/>
    <w:link w:val="88"/>
    <w:qFormat/>
    <w:uiPriority w:val="0"/>
    <w:rPr>
      <w:rFonts w:ascii="宋体" w:hAnsi="宋体"/>
      <w:kern w:val="0"/>
      <w:sz w:val="20"/>
      <w:szCs w:val="24"/>
      <w:u w:val="single"/>
    </w:rPr>
  </w:style>
  <w:style w:type="paragraph" w:styleId="45">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46">
    <w:name w:val="Normal (Web)"/>
    <w:basedOn w:val="1"/>
    <w:qFormat/>
    <w:uiPriority w:val="99"/>
    <w:rPr>
      <w:sz w:val="24"/>
      <w:szCs w:val="20"/>
    </w:rPr>
  </w:style>
  <w:style w:type="paragraph" w:styleId="47">
    <w:name w:val="index 1"/>
    <w:basedOn w:val="1"/>
    <w:next w:val="1"/>
    <w:qFormat/>
    <w:uiPriority w:val="0"/>
    <w:rPr>
      <w:rFonts w:ascii="Times New Roman" w:hAnsi="Times New Roman" w:eastAsia="仿宋_GB2312"/>
      <w:sz w:val="28"/>
      <w:szCs w:val="20"/>
    </w:rPr>
  </w:style>
  <w:style w:type="paragraph" w:styleId="48">
    <w:name w:val="Title"/>
    <w:basedOn w:val="1"/>
    <w:link w:val="90"/>
    <w:qFormat/>
    <w:uiPriority w:val="0"/>
    <w:pPr>
      <w:spacing w:before="120" w:after="60"/>
      <w:jc w:val="center"/>
    </w:pPr>
    <w:rPr>
      <w:rFonts w:ascii="Arial" w:hAnsi="Arial"/>
      <w:b/>
      <w:kern w:val="0"/>
      <w:sz w:val="44"/>
      <w:szCs w:val="20"/>
    </w:rPr>
  </w:style>
  <w:style w:type="paragraph" w:styleId="49">
    <w:name w:val="annotation subject"/>
    <w:basedOn w:val="17"/>
    <w:next w:val="17"/>
    <w:link w:val="91"/>
    <w:qFormat/>
    <w:uiPriority w:val="0"/>
    <w:rPr>
      <w:b/>
      <w:bCs/>
    </w:rPr>
  </w:style>
  <w:style w:type="paragraph" w:styleId="50">
    <w:name w:val="Body Text First Indent"/>
    <w:basedOn w:val="19"/>
    <w:link w:val="92"/>
    <w:qFormat/>
    <w:uiPriority w:val="0"/>
    <w:pPr>
      <w:ind w:firstLine="420"/>
    </w:pPr>
  </w:style>
  <w:style w:type="paragraph" w:styleId="51">
    <w:name w:val="Body Text First Indent 2"/>
    <w:basedOn w:val="20"/>
    <w:qFormat/>
    <w:uiPriority w:val="0"/>
    <w:pPr>
      <w:spacing w:after="120"/>
      <w:ind w:left="420" w:leftChars="200" w:firstLine="420" w:firstLineChars="200"/>
    </w:pPr>
    <w:rPr>
      <w:kern w:val="2"/>
      <w:sz w:val="21"/>
      <w:szCs w:val="22"/>
    </w:rPr>
  </w:style>
  <w:style w:type="table" w:styleId="53">
    <w:name w:val="Table Grid"/>
    <w:basedOn w:val="5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rPr>
  </w:style>
  <w:style w:type="character" w:styleId="56">
    <w:name w:val="endnote reference"/>
    <w:qFormat/>
    <w:uiPriority w:val="0"/>
    <w:rPr>
      <w:vertAlign w:val="superscript"/>
    </w:rPr>
  </w:style>
  <w:style w:type="character" w:styleId="57">
    <w:name w:val="page number"/>
    <w:qFormat/>
    <w:uiPriority w:val="0"/>
    <w:rPr>
      <w:rFonts w:cs="Times New Roman"/>
    </w:rPr>
  </w:style>
  <w:style w:type="character" w:styleId="58">
    <w:name w:val="FollowedHyperlink"/>
    <w:unhideWhenUsed/>
    <w:qFormat/>
    <w:uiPriority w:val="0"/>
    <w:rPr>
      <w:color w:val="954F72"/>
      <w:u w:val="single"/>
    </w:rPr>
  </w:style>
  <w:style w:type="character" w:styleId="59">
    <w:name w:val="Emphasis"/>
    <w:qFormat/>
    <w:uiPriority w:val="0"/>
    <w:rPr>
      <w:i/>
      <w:iCs/>
    </w:rPr>
  </w:style>
  <w:style w:type="character" w:styleId="60">
    <w:name w:val="Hyperlink"/>
    <w:qFormat/>
    <w:uiPriority w:val="0"/>
    <w:rPr>
      <w:color w:val="0000FF"/>
      <w:u w:val="single"/>
    </w:rPr>
  </w:style>
  <w:style w:type="character" w:styleId="61">
    <w:name w:val="annotation reference"/>
    <w:qFormat/>
    <w:uiPriority w:val="0"/>
    <w:rPr>
      <w:sz w:val="21"/>
      <w:szCs w:val="21"/>
    </w:rPr>
  </w:style>
  <w:style w:type="character" w:styleId="62">
    <w:name w:val="footnote reference"/>
    <w:qFormat/>
    <w:uiPriority w:val="0"/>
    <w:rPr>
      <w:vertAlign w:val="superscript"/>
    </w:rPr>
  </w:style>
  <w:style w:type="character" w:customStyle="1" w:styleId="63">
    <w:name w:val="纯文本 Char"/>
    <w:link w:val="2"/>
    <w:qFormat/>
    <w:uiPriority w:val="0"/>
    <w:rPr>
      <w:rFonts w:ascii="宋体" w:hAnsi="Courier New" w:eastAsia="宋体" w:cs="Times New Roman"/>
      <w:szCs w:val="20"/>
    </w:rPr>
  </w:style>
  <w:style w:type="character" w:customStyle="1" w:styleId="64">
    <w:name w:val="标题 1 Char"/>
    <w:link w:val="3"/>
    <w:qFormat/>
    <w:uiPriority w:val="0"/>
    <w:rPr>
      <w:rFonts w:ascii="Arial" w:hAnsi="Arial" w:eastAsia="宋体"/>
      <w:b/>
      <w:kern w:val="44"/>
      <w:sz w:val="28"/>
      <w:szCs w:val="28"/>
    </w:rPr>
  </w:style>
  <w:style w:type="character" w:customStyle="1" w:styleId="65">
    <w:name w:val="标题 2 Char"/>
    <w:link w:val="4"/>
    <w:qFormat/>
    <w:uiPriority w:val="0"/>
    <w:rPr>
      <w:rFonts w:ascii="Arial" w:hAnsi="Arial" w:eastAsia="宋体" w:cs="Times New Roman"/>
      <w:b/>
      <w:color w:val="000000"/>
      <w:sz w:val="24"/>
      <w:szCs w:val="24"/>
    </w:rPr>
  </w:style>
  <w:style w:type="character" w:customStyle="1" w:styleId="66">
    <w:name w:val="标题 3 Char"/>
    <w:link w:val="5"/>
    <w:qFormat/>
    <w:uiPriority w:val="0"/>
    <w:rPr>
      <w:rFonts w:ascii="宋体" w:hAnsi="宋体" w:eastAsia="宋体" w:cs="宋体"/>
      <w:kern w:val="0"/>
      <w:sz w:val="27"/>
      <w:szCs w:val="27"/>
    </w:rPr>
  </w:style>
  <w:style w:type="character" w:customStyle="1" w:styleId="67">
    <w:name w:val="标题 4 Char"/>
    <w:link w:val="6"/>
    <w:qFormat/>
    <w:uiPriority w:val="0"/>
    <w:rPr>
      <w:rFonts w:ascii="Arial" w:hAnsi="Arial" w:eastAsia="宋体"/>
      <w:color w:val="000000"/>
      <w:kern w:val="2"/>
      <w:sz w:val="21"/>
      <w:szCs w:val="21"/>
    </w:rPr>
  </w:style>
  <w:style w:type="character" w:customStyle="1" w:styleId="68">
    <w:name w:val="正文缩进 Char"/>
    <w:link w:val="7"/>
    <w:qFormat/>
    <w:uiPriority w:val="0"/>
    <w:rPr>
      <w:rFonts w:ascii="Times New Roman" w:hAnsi="Times New Roman" w:eastAsia="宋体"/>
      <w:kern w:val="2"/>
      <w:sz w:val="21"/>
    </w:rPr>
  </w:style>
  <w:style w:type="character" w:customStyle="1" w:styleId="69">
    <w:name w:val="标题 5 Char"/>
    <w:link w:val="8"/>
    <w:qFormat/>
    <w:uiPriority w:val="0"/>
    <w:rPr>
      <w:rFonts w:ascii="Arial" w:hAnsi="Arial" w:eastAsia="宋体"/>
      <w:color w:val="000000"/>
      <w:kern w:val="2"/>
      <w:sz w:val="21"/>
      <w:szCs w:val="21"/>
    </w:rPr>
  </w:style>
  <w:style w:type="character" w:customStyle="1" w:styleId="70">
    <w:name w:val="标题 6 Char"/>
    <w:link w:val="9"/>
    <w:qFormat/>
    <w:uiPriority w:val="0"/>
    <w:rPr>
      <w:rFonts w:ascii="Arial" w:hAnsi="Arial" w:eastAsia="黑体"/>
      <w:b/>
      <w:bCs/>
      <w:kern w:val="2"/>
      <w:sz w:val="24"/>
      <w:szCs w:val="24"/>
    </w:rPr>
  </w:style>
  <w:style w:type="character" w:customStyle="1" w:styleId="71">
    <w:name w:val="标题 7 Char"/>
    <w:link w:val="10"/>
    <w:qFormat/>
    <w:uiPriority w:val="0"/>
    <w:rPr>
      <w:rFonts w:ascii="Times New Roman" w:hAnsi="Times New Roman" w:eastAsia="宋体"/>
      <w:b/>
      <w:kern w:val="2"/>
      <w:sz w:val="24"/>
    </w:rPr>
  </w:style>
  <w:style w:type="character" w:customStyle="1" w:styleId="72">
    <w:name w:val="标题 8 Char"/>
    <w:link w:val="11"/>
    <w:qFormat/>
    <w:uiPriority w:val="0"/>
    <w:rPr>
      <w:rFonts w:ascii="Arial" w:hAnsi="Arial" w:eastAsia="黑体"/>
      <w:kern w:val="2"/>
      <w:sz w:val="24"/>
    </w:rPr>
  </w:style>
  <w:style w:type="character" w:customStyle="1" w:styleId="73">
    <w:name w:val="标题 9 Char"/>
    <w:link w:val="12"/>
    <w:qFormat/>
    <w:uiPriority w:val="0"/>
    <w:rPr>
      <w:rFonts w:ascii="Arial" w:hAnsi="Arial" w:eastAsia="黑体"/>
      <w:kern w:val="2"/>
      <w:sz w:val="21"/>
    </w:rPr>
  </w:style>
  <w:style w:type="character" w:customStyle="1" w:styleId="74">
    <w:name w:val="文档结构图 Char"/>
    <w:link w:val="16"/>
    <w:qFormat/>
    <w:uiPriority w:val="0"/>
    <w:rPr>
      <w:rFonts w:ascii="Times New Roman" w:hAnsi="Times New Roman" w:eastAsia="宋体" w:cs="Times New Roman"/>
      <w:szCs w:val="20"/>
      <w:shd w:val="clear" w:color="auto" w:fill="000080"/>
    </w:rPr>
  </w:style>
  <w:style w:type="character" w:customStyle="1" w:styleId="75">
    <w:name w:val="批注文字 Char"/>
    <w:link w:val="17"/>
    <w:qFormat/>
    <w:uiPriority w:val="0"/>
    <w:rPr>
      <w:rFonts w:ascii="宋体" w:hAnsi="宋体" w:eastAsia="宋体" w:cs="Times New Roman"/>
      <w:sz w:val="24"/>
      <w:szCs w:val="24"/>
    </w:rPr>
  </w:style>
  <w:style w:type="character" w:customStyle="1" w:styleId="76">
    <w:name w:val="正文文本 3 Char1"/>
    <w:link w:val="18"/>
    <w:qFormat/>
    <w:uiPriority w:val="0"/>
    <w:rPr>
      <w:rFonts w:ascii="仿宋_GB2312" w:hAnsi="Times New Roman"/>
      <w:sz w:val="16"/>
      <w:szCs w:val="16"/>
    </w:rPr>
  </w:style>
  <w:style w:type="character" w:customStyle="1" w:styleId="77">
    <w:name w:val="正文文本 Char"/>
    <w:link w:val="19"/>
    <w:qFormat/>
    <w:uiPriority w:val="0"/>
    <w:rPr>
      <w:rFonts w:ascii="Times New Roman" w:hAnsi="Times New Roman" w:eastAsia="宋体" w:cs="Times New Roman"/>
      <w:szCs w:val="20"/>
    </w:rPr>
  </w:style>
  <w:style w:type="character" w:customStyle="1" w:styleId="78">
    <w:name w:val="正文文本缩进 Char"/>
    <w:link w:val="20"/>
    <w:qFormat/>
    <w:uiPriority w:val="0"/>
    <w:rPr>
      <w:rFonts w:ascii="Times New Roman" w:hAnsi="Times New Roman" w:eastAsia="宋体" w:cs="Times New Roman"/>
      <w:sz w:val="28"/>
      <w:szCs w:val="20"/>
    </w:rPr>
  </w:style>
  <w:style w:type="character" w:customStyle="1" w:styleId="79">
    <w:name w:val="日期 Char"/>
    <w:link w:val="28"/>
    <w:qFormat/>
    <w:uiPriority w:val="0"/>
    <w:rPr>
      <w:rFonts w:ascii="Times New Roman" w:hAnsi="Times New Roman" w:eastAsia="宋体" w:cs="Times New Roman"/>
      <w:szCs w:val="20"/>
    </w:rPr>
  </w:style>
  <w:style w:type="character" w:customStyle="1" w:styleId="80">
    <w:name w:val="正文文本缩进 2 Char"/>
    <w:link w:val="29"/>
    <w:qFormat/>
    <w:uiPriority w:val="0"/>
    <w:rPr>
      <w:rFonts w:ascii="Times New Roman" w:hAnsi="Times New Roman" w:eastAsia="宋体" w:cs="Times New Roman"/>
      <w:color w:val="000000"/>
      <w:sz w:val="24"/>
      <w:szCs w:val="20"/>
    </w:rPr>
  </w:style>
  <w:style w:type="character" w:customStyle="1" w:styleId="81">
    <w:name w:val="尾注文本 Char"/>
    <w:link w:val="30"/>
    <w:qFormat/>
    <w:uiPriority w:val="0"/>
    <w:rPr>
      <w:rFonts w:ascii="Times New Roman" w:hAnsi="Times New Roman" w:eastAsia="宋体" w:cs="Times New Roman"/>
      <w:szCs w:val="20"/>
    </w:rPr>
  </w:style>
  <w:style w:type="character" w:customStyle="1" w:styleId="82">
    <w:name w:val="批注框文本 Char"/>
    <w:link w:val="31"/>
    <w:qFormat/>
    <w:uiPriority w:val="0"/>
    <w:rPr>
      <w:rFonts w:ascii="Times New Roman" w:hAnsi="Times New Roman" w:eastAsia="宋体" w:cs="Times New Roman"/>
      <w:sz w:val="18"/>
      <w:szCs w:val="18"/>
    </w:rPr>
  </w:style>
  <w:style w:type="character" w:customStyle="1" w:styleId="83">
    <w:name w:val="页脚 Char"/>
    <w:link w:val="32"/>
    <w:qFormat/>
    <w:uiPriority w:val="99"/>
    <w:rPr>
      <w:rFonts w:ascii="Calibri" w:hAnsi="Calibri" w:eastAsia="宋体" w:cs="Times New Roman"/>
      <w:sz w:val="18"/>
      <w:szCs w:val="18"/>
    </w:rPr>
  </w:style>
  <w:style w:type="character" w:customStyle="1" w:styleId="84">
    <w:name w:val="页眉 Char"/>
    <w:link w:val="34"/>
    <w:qFormat/>
    <w:uiPriority w:val="0"/>
    <w:rPr>
      <w:rFonts w:ascii="Calibri" w:hAnsi="Calibri" w:eastAsia="宋体" w:cs="Times New Roman"/>
      <w:sz w:val="18"/>
      <w:szCs w:val="18"/>
    </w:rPr>
  </w:style>
  <w:style w:type="character" w:customStyle="1" w:styleId="85">
    <w:name w:val="副标题 Char1"/>
    <w:link w:val="37"/>
    <w:qFormat/>
    <w:uiPriority w:val="11"/>
    <w:rPr>
      <w:rFonts w:ascii="Cambria" w:hAnsi="Cambria"/>
      <w:b/>
      <w:bCs/>
      <w:kern w:val="28"/>
      <w:sz w:val="32"/>
      <w:szCs w:val="32"/>
    </w:rPr>
  </w:style>
  <w:style w:type="character" w:customStyle="1" w:styleId="86">
    <w:name w:val="脚注文本 Char"/>
    <w:link w:val="39"/>
    <w:qFormat/>
    <w:uiPriority w:val="0"/>
    <w:rPr>
      <w:rFonts w:ascii="宋体" w:hAnsi="宋体" w:eastAsia="宋体" w:cs="Times New Roman"/>
      <w:sz w:val="18"/>
      <w:szCs w:val="18"/>
    </w:rPr>
  </w:style>
  <w:style w:type="character" w:customStyle="1" w:styleId="87">
    <w:name w:val="正文文本缩进 3 Char"/>
    <w:link w:val="41"/>
    <w:qFormat/>
    <w:uiPriority w:val="0"/>
    <w:rPr>
      <w:rFonts w:ascii="Times New Roman" w:hAnsi="Times New Roman" w:eastAsia="宋体" w:cs="Times New Roman"/>
      <w:color w:val="000000"/>
      <w:sz w:val="24"/>
      <w:szCs w:val="20"/>
    </w:rPr>
  </w:style>
  <w:style w:type="character" w:customStyle="1" w:styleId="88">
    <w:name w:val="正文文本 2 Char"/>
    <w:link w:val="44"/>
    <w:qFormat/>
    <w:uiPriority w:val="0"/>
    <w:rPr>
      <w:rFonts w:ascii="宋体" w:hAnsi="宋体" w:eastAsia="宋体" w:cs="Times New Roman"/>
      <w:szCs w:val="24"/>
      <w:u w:val="single"/>
    </w:rPr>
  </w:style>
  <w:style w:type="character" w:customStyle="1" w:styleId="89">
    <w:name w:val="HTML 预设格式 Char1"/>
    <w:link w:val="45"/>
    <w:qFormat/>
    <w:uiPriority w:val="0"/>
    <w:rPr>
      <w:rFonts w:ascii="Courier New" w:hAnsi="Courier New" w:cs="Courier New"/>
    </w:rPr>
  </w:style>
  <w:style w:type="character" w:customStyle="1" w:styleId="90">
    <w:name w:val="标题 Char"/>
    <w:link w:val="48"/>
    <w:qFormat/>
    <w:uiPriority w:val="0"/>
    <w:rPr>
      <w:rFonts w:ascii="Arial" w:hAnsi="Arial" w:eastAsia="宋体" w:cs="Times New Roman"/>
      <w:b/>
      <w:sz w:val="44"/>
      <w:szCs w:val="20"/>
    </w:rPr>
  </w:style>
  <w:style w:type="character" w:customStyle="1" w:styleId="91">
    <w:name w:val="批注主题 Char"/>
    <w:link w:val="49"/>
    <w:qFormat/>
    <w:uiPriority w:val="0"/>
    <w:rPr>
      <w:rFonts w:ascii="宋体" w:hAnsi="宋体" w:eastAsia="宋体" w:cs="Times New Roman"/>
      <w:b/>
      <w:bCs/>
      <w:sz w:val="24"/>
      <w:szCs w:val="24"/>
    </w:rPr>
  </w:style>
  <w:style w:type="character" w:customStyle="1" w:styleId="92">
    <w:name w:val="正文首行缩进 Char"/>
    <w:link w:val="50"/>
    <w:qFormat/>
    <w:uiPriority w:val="0"/>
  </w:style>
  <w:style w:type="paragraph" w:customStyle="1" w:styleId="93">
    <w:name w:val="表格文字"/>
    <w:basedOn w:val="1"/>
    <w:qFormat/>
    <w:uiPriority w:val="0"/>
    <w:pPr>
      <w:spacing w:before="25" w:after="25"/>
    </w:pPr>
    <w:rPr>
      <w:bCs/>
      <w:spacing w:val="10"/>
      <w:kern w:val="0"/>
      <w:sz w:val="24"/>
      <w:szCs w:val="20"/>
    </w:rPr>
  </w:style>
  <w:style w:type="character" w:customStyle="1" w:styleId="94">
    <w:name w:val="Book Title"/>
    <w:qFormat/>
    <w:uiPriority w:val="0"/>
    <w:rPr>
      <w:b/>
      <w:bCs/>
      <w:smallCaps/>
      <w:spacing w:val="5"/>
    </w:rPr>
  </w:style>
  <w:style w:type="character" w:customStyle="1" w:styleId="95">
    <w:name w:val="标题 2 Char1"/>
    <w:qFormat/>
    <w:uiPriority w:val="0"/>
    <w:rPr>
      <w:rFonts w:ascii="仿宋_GB2312" w:hAnsi="宋体" w:eastAsia="仿宋_GB2312" w:cs="宋体"/>
      <w:b/>
      <w:kern w:val="2"/>
      <w:sz w:val="30"/>
      <w:szCs w:val="30"/>
    </w:rPr>
  </w:style>
  <w:style w:type="character" w:customStyle="1" w:styleId="96">
    <w:name w:val="正文文本 2 Char1"/>
    <w:semiHidden/>
    <w:qFormat/>
    <w:uiPriority w:val="99"/>
    <w:rPr>
      <w:rFonts w:ascii="仿宋_GB2312" w:hAnsi="Times New Roman" w:eastAsia="宋体" w:cs="Times New Roman"/>
      <w:szCs w:val="32"/>
    </w:rPr>
  </w:style>
  <w:style w:type="character" w:customStyle="1" w:styleId="97">
    <w:name w:val="font21"/>
    <w:basedOn w:val="54"/>
    <w:qFormat/>
    <w:uiPriority w:val="0"/>
    <w:rPr>
      <w:rFonts w:hint="eastAsia" w:ascii="仿宋" w:hAnsi="仿宋" w:eastAsia="仿宋" w:cs="仿宋"/>
      <w:b/>
      <w:color w:val="000000"/>
      <w:sz w:val="28"/>
      <w:szCs w:val="28"/>
      <w:u w:val="none"/>
    </w:rPr>
  </w:style>
  <w:style w:type="character" w:customStyle="1" w:styleId="98">
    <w:name w:val=" Char Char20"/>
    <w:qFormat/>
    <w:uiPriority w:val="0"/>
    <w:rPr>
      <w:rFonts w:ascii="宋体" w:hAnsi="Arial" w:eastAsia="宋体" w:cs="Times New Roman"/>
      <w:bCs/>
      <w:kern w:val="0"/>
      <w:sz w:val="28"/>
      <w:szCs w:val="32"/>
    </w:rPr>
  </w:style>
  <w:style w:type="character" w:customStyle="1" w:styleId="99">
    <w:name w:val="标题 4 Char1"/>
    <w:qFormat/>
    <w:uiPriority w:val="0"/>
    <w:rPr>
      <w:rFonts w:ascii="Arial" w:hAnsi="Arial" w:eastAsia="楷体_GB2312"/>
      <w:kern w:val="2"/>
      <w:sz w:val="32"/>
      <w:szCs w:val="32"/>
    </w:rPr>
  </w:style>
  <w:style w:type="character" w:customStyle="1" w:styleId="100">
    <w:name w:val="正文文本缩进 2 字符"/>
    <w:semiHidden/>
    <w:qFormat/>
    <w:uiPriority w:val="99"/>
    <w:rPr>
      <w:rFonts w:ascii="Calibri" w:hAnsi="Calibri" w:eastAsia="宋体" w:cs="Times New Roman"/>
    </w:rPr>
  </w:style>
  <w:style w:type="character" w:customStyle="1" w:styleId="101">
    <w:name w:val=" Char Char21"/>
    <w:qFormat/>
    <w:uiPriority w:val="0"/>
    <w:rPr>
      <w:rFonts w:ascii="宋体" w:hAnsi="Times New Roman" w:eastAsia="宋体" w:cs="Times New Roman"/>
      <w:bCs/>
      <w:snapToGrid/>
      <w:kern w:val="0"/>
      <w:sz w:val="28"/>
      <w:szCs w:val="44"/>
    </w:rPr>
  </w:style>
  <w:style w:type="character" w:customStyle="1" w:styleId="102">
    <w:name w:val="标题 2 字符"/>
    <w:semiHidden/>
    <w:qFormat/>
    <w:uiPriority w:val="9"/>
    <w:rPr>
      <w:rFonts w:ascii="等线 Light" w:hAnsi="等线 Light" w:eastAsia="等线 Light" w:cs="Times New Roman"/>
      <w:b/>
      <w:bCs/>
      <w:sz w:val="32"/>
      <w:szCs w:val="32"/>
    </w:rPr>
  </w:style>
  <w:style w:type="character" w:customStyle="1" w:styleId="103">
    <w:name w:val="标题 6 字符"/>
    <w:semiHidden/>
    <w:qFormat/>
    <w:uiPriority w:val="9"/>
    <w:rPr>
      <w:rFonts w:ascii="等线 Light" w:hAnsi="等线 Light" w:eastAsia="等线 Light" w:cs="Times New Roman"/>
      <w:b/>
      <w:bCs/>
      <w:sz w:val="24"/>
      <w:szCs w:val="24"/>
    </w:rPr>
  </w:style>
  <w:style w:type="character" w:customStyle="1" w:styleId="104">
    <w:name w:val="批注文字 Char1"/>
    <w:qFormat/>
    <w:uiPriority w:val="0"/>
    <w:rPr>
      <w:rFonts w:ascii="仿宋_GB2312" w:hAnsi="Times New Roman" w:eastAsia="宋体" w:cs="Times New Roman"/>
      <w:szCs w:val="32"/>
    </w:rPr>
  </w:style>
  <w:style w:type="character" w:customStyle="1" w:styleId="105">
    <w:name w:val="ggnr1"/>
    <w:qFormat/>
    <w:uiPriority w:val="0"/>
    <w:rPr>
      <w:sz w:val="26"/>
    </w:rPr>
  </w:style>
  <w:style w:type="character" w:customStyle="1" w:styleId="106">
    <w:name w:val="副标题 Char2"/>
    <w:qFormat/>
    <w:uiPriority w:val="0"/>
    <w:rPr>
      <w:rFonts w:ascii="Calibri Light" w:hAnsi="Calibri Light" w:eastAsia="宋体" w:cs="Times New Roman"/>
      <w:b/>
      <w:bCs/>
      <w:kern w:val="28"/>
      <w:sz w:val="32"/>
      <w:szCs w:val="32"/>
    </w:rPr>
  </w:style>
  <w:style w:type="character" w:customStyle="1" w:styleId="107">
    <w:name w:val="+标题3 Char"/>
    <w:link w:val="108"/>
    <w:qFormat/>
    <w:uiPriority w:val="0"/>
    <w:rPr>
      <w:b/>
      <w:bCs/>
      <w:sz w:val="24"/>
      <w:szCs w:val="28"/>
    </w:rPr>
  </w:style>
  <w:style w:type="paragraph" w:customStyle="1" w:styleId="108">
    <w:name w:val="+标题3"/>
    <w:basedOn w:val="5"/>
    <w:link w:val="107"/>
    <w:qFormat/>
    <w:uiPriority w:val="0"/>
    <w:pPr>
      <w:keepNext/>
      <w:keepLines/>
      <w:widowControl w:val="0"/>
      <w:numPr>
        <w:ilvl w:val="2"/>
        <w:numId w:val="5"/>
      </w:numPr>
      <w:tabs>
        <w:tab w:val="left" w:pos="1053"/>
        <w:tab w:val="left" w:pos="1900"/>
      </w:tabs>
      <w:spacing w:before="0" w:beforeAutospacing="0" w:after="0" w:afterAutospacing="0" w:line="360" w:lineRule="auto"/>
      <w:jc w:val="both"/>
    </w:pPr>
    <w:rPr>
      <w:rFonts w:ascii="Times New Roman" w:hAnsi="Times New Roman"/>
      <w:b/>
      <w:bCs/>
      <w:sz w:val="24"/>
      <w:szCs w:val="28"/>
    </w:rPr>
  </w:style>
  <w:style w:type="character" w:customStyle="1" w:styleId="109">
    <w:name w:val="标题5 Char Char"/>
    <w:qFormat/>
    <w:uiPriority w:val="0"/>
    <w:rPr>
      <w:rFonts w:ascii="Arial" w:hAnsi="Arial"/>
      <w:b/>
      <w:bCs/>
      <w:sz w:val="24"/>
      <w:szCs w:val="32"/>
      <w:lang w:bidi="ar-SA"/>
    </w:rPr>
  </w:style>
  <w:style w:type="character" w:customStyle="1" w:styleId="110">
    <w:name w:val="批注主题 Char1"/>
    <w:qFormat/>
    <w:uiPriority w:val="0"/>
    <w:rPr>
      <w:rFonts w:ascii="仿宋_GB2312" w:hAnsi="Times New Roman" w:eastAsia="宋体" w:cs="Times New Roman"/>
      <w:b/>
      <w:bCs/>
      <w:szCs w:val="32"/>
    </w:rPr>
  </w:style>
  <w:style w:type="character" w:customStyle="1" w:styleId="111">
    <w:name w:val="尾注文本 Char1"/>
    <w:qFormat/>
    <w:uiPriority w:val="0"/>
    <w:rPr>
      <w:rFonts w:ascii="仿宋_GB2312" w:hAnsi="Times New Roman" w:eastAsia="宋体" w:cs="Times New Roman"/>
      <w:szCs w:val="32"/>
    </w:rPr>
  </w:style>
  <w:style w:type="character" w:customStyle="1" w:styleId="112">
    <w:name w:val="批注框文本 字符"/>
    <w:semiHidden/>
    <w:qFormat/>
    <w:uiPriority w:val="99"/>
    <w:rPr>
      <w:rFonts w:ascii="Calibri" w:hAnsi="Calibri" w:eastAsia="宋体" w:cs="Times New Roman"/>
      <w:sz w:val="18"/>
      <w:szCs w:val="18"/>
    </w:rPr>
  </w:style>
  <w:style w:type="character" w:customStyle="1" w:styleId="113">
    <w:name w:val="Subtle Emphasis"/>
    <w:qFormat/>
    <w:uiPriority w:val="0"/>
    <w:rPr>
      <w:i/>
      <w:iCs/>
      <w:color w:val="808080"/>
    </w:rPr>
  </w:style>
  <w:style w:type="character" w:customStyle="1" w:styleId="114">
    <w:name w:val="标题 5 字符"/>
    <w:semiHidden/>
    <w:qFormat/>
    <w:uiPriority w:val="9"/>
    <w:rPr>
      <w:rFonts w:ascii="Calibri" w:hAnsi="Calibri" w:eastAsia="宋体" w:cs="Times New Roman"/>
      <w:b/>
      <w:bCs/>
      <w:sz w:val="28"/>
      <w:szCs w:val="28"/>
    </w:rPr>
  </w:style>
  <w:style w:type="character" w:customStyle="1" w:styleId="115">
    <w:name w:val="明显引用 Char1"/>
    <w:link w:val="116"/>
    <w:qFormat/>
    <w:uiPriority w:val="0"/>
    <w:rPr>
      <w:rFonts w:ascii="仿宋_GB2312" w:hAnsi="Times New Roman"/>
      <w:b/>
      <w:bCs/>
      <w:i/>
      <w:iCs/>
      <w:color w:val="4F81BD"/>
      <w:szCs w:val="32"/>
    </w:rPr>
  </w:style>
  <w:style w:type="paragraph" w:customStyle="1" w:styleId="116">
    <w:name w:val="Intense Quote"/>
    <w:basedOn w:val="1"/>
    <w:next w:val="1"/>
    <w:link w:val="115"/>
    <w:qFormat/>
    <w:uiPriority w:val="0"/>
    <w:pPr>
      <w:widowControl/>
      <w:ind w:left="720" w:right="720"/>
      <w:jc w:val="left"/>
    </w:pPr>
    <w:rPr>
      <w:rFonts w:ascii="仿宋_GB2312"/>
      <w:b/>
      <w:bCs/>
      <w:i/>
      <w:iCs/>
      <w:color w:val="4F81BD"/>
      <w:kern w:val="0"/>
      <w:sz w:val="20"/>
      <w:szCs w:val="32"/>
    </w:rPr>
  </w:style>
  <w:style w:type="character" w:customStyle="1" w:styleId="117">
    <w:name w:val="标题 9 字符"/>
    <w:semiHidden/>
    <w:qFormat/>
    <w:uiPriority w:val="9"/>
    <w:rPr>
      <w:rFonts w:ascii="等线 Light" w:hAnsi="等线 Light" w:eastAsia="等线 Light" w:cs="Times New Roman"/>
      <w:szCs w:val="21"/>
    </w:rPr>
  </w:style>
  <w:style w:type="character" w:customStyle="1" w:styleId="118">
    <w:name w:val="样式 标题 3h3section:3Level 3 HeadH3level_3PIM 33rd level3H... Char"/>
    <w:link w:val="119"/>
    <w:qFormat/>
    <w:locked/>
    <w:uiPriority w:val="0"/>
    <w:rPr>
      <w:rFonts w:ascii="Arial" w:hAnsi="Arial"/>
      <w:b/>
      <w:sz w:val="24"/>
      <w:szCs w:val="28"/>
    </w:rPr>
  </w:style>
  <w:style w:type="paragraph" w:customStyle="1" w:styleId="119">
    <w:name w:val="样式 标题 3h3section:3Level 3 HeadH3level_3PIM 33rd level3H..."/>
    <w:basedOn w:val="5"/>
    <w:link w:val="118"/>
    <w:qFormat/>
    <w:uiPriority w:val="0"/>
    <w:pPr>
      <w:keepNext/>
      <w:numPr>
        <w:ilvl w:val="3"/>
        <w:numId w:val="1"/>
      </w:numPr>
      <w:tabs>
        <w:tab w:val="left" w:pos="1680"/>
        <w:tab w:val="left" w:pos="2310"/>
      </w:tabs>
      <w:adjustRightInd w:val="0"/>
      <w:spacing w:before="0" w:beforeAutospacing="0" w:after="0" w:afterAutospacing="0" w:line="416" w:lineRule="atLeast"/>
    </w:pPr>
    <w:rPr>
      <w:rFonts w:ascii="Arial" w:hAnsi="Arial"/>
      <w:b/>
      <w:sz w:val="24"/>
      <w:szCs w:val="28"/>
    </w:rPr>
  </w:style>
  <w:style w:type="character" w:customStyle="1" w:styleId="120">
    <w:name w:val="Intense Emphasis"/>
    <w:qFormat/>
    <w:uiPriority w:val="0"/>
    <w:rPr>
      <w:b/>
      <w:bCs/>
      <w:i/>
      <w:iCs/>
      <w:color w:val="4F81BD"/>
    </w:rPr>
  </w:style>
  <w:style w:type="character" w:customStyle="1" w:styleId="121">
    <w:name w:val="标题 字符"/>
    <w:qFormat/>
    <w:uiPriority w:val="10"/>
    <w:rPr>
      <w:rFonts w:ascii="等线 Light" w:hAnsi="等线 Light" w:eastAsia="等线 Light" w:cs="Times New Roman"/>
      <w:b/>
      <w:bCs/>
      <w:sz w:val="32"/>
      <w:szCs w:val="32"/>
    </w:rPr>
  </w:style>
  <w:style w:type="character" w:customStyle="1" w:styleId="122">
    <w:name w:val="标题 Char1"/>
    <w:qFormat/>
    <w:uiPriority w:val="0"/>
    <w:rPr>
      <w:rFonts w:ascii="Cambria" w:hAnsi="Cambria" w:eastAsia="宋体" w:cs="Times New Roman"/>
      <w:b/>
      <w:bCs/>
      <w:sz w:val="32"/>
      <w:szCs w:val="32"/>
    </w:rPr>
  </w:style>
  <w:style w:type="character" w:customStyle="1" w:styleId="123">
    <w:name w:val="脚注文本 Char2"/>
    <w:qFormat/>
    <w:uiPriority w:val="0"/>
    <w:rPr>
      <w:rFonts w:eastAsia="楷体_GB2312"/>
      <w:kern w:val="2"/>
      <w:sz w:val="18"/>
      <w:szCs w:val="18"/>
    </w:rPr>
  </w:style>
  <w:style w:type="character" w:customStyle="1" w:styleId="124">
    <w:name w:val="正文文本 2 字符"/>
    <w:semiHidden/>
    <w:qFormat/>
    <w:uiPriority w:val="99"/>
    <w:rPr>
      <w:rFonts w:ascii="Calibri" w:hAnsi="Calibri" w:eastAsia="宋体" w:cs="Times New Roman"/>
    </w:rPr>
  </w:style>
  <w:style w:type="character" w:customStyle="1" w:styleId="125">
    <w:name w:val=" Char Char24"/>
    <w:qFormat/>
    <w:locked/>
    <w:uiPriority w:val="0"/>
    <w:rPr>
      <w:rFonts w:ascii="仿宋_GB2312" w:hAnsi="宋体" w:eastAsia="仿宋_GB2312" w:cs="宋体"/>
      <w:b/>
      <w:bCs/>
      <w:kern w:val="2"/>
      <w:sz w:val="30"/>
      <w:szCs w:val="30"/>
      <w:lang w:val="en-US" w:eastAsia="zh-CN" w:bidi="ar-SA"/>
    </w:rPr>
  </w:style>
  <w:style w:type="character" w:customStyle="1" w:styleId="126">
    <w:name w:val="脚注文本 字符"/>
    <w:semiHidden/>
    <w:qFormat/>
    <w:uiPriority w:val="99"/>
    <w:rPr>
      <w:rFonts w:ascii="Calibri" w:hAnsi="Calibri" w:eastAsia="宋体" w:cs="Times New Roman"/>
      <w:sz w:val="18"/>
      <w:szCs w:val="18"/>
    </w:rPr>
  </w:style>
  <w:style w:type="character" w:customStyle="1" w:styleId="127">
    <w:name w:val="标题6 Char"/>
    <w:link w:val="128"/>
    <w:qFormat/>
    <w:uiPriority w:val="0"/>
    <w:rPr>
      <w:rFonts w:ascii="宋体" w:hAnsi="宋体" w:eastAsia="黑体"/>
      <w:sz w:val="32"/>
      <w:szCs w:val="32"/>
    </w:rPr>
  </w:style>
  <w:style w:type="paragraph" w:customStyle="1" w:styleId="128">
    <w:name w:val="标题6"/>
    <w:basedOn w:val="1"/>
    <w:link w:val="127"/>
    <w:qFormat/>
    <w:uiPriority w:val="0"/>
    <w:pPr>
      <w:keepNext/>
      <w:keepLines/>
      <w:spacing w:line="400" w:lineRule="exact"/>
      <w:jc w:val="center"/>
      <w:outlineLvl w:val="2"/>
    </w:pPr>
    <w:rPr>
      <w:rFonts w:ascii="宋体" w:hAnsi="宋体" w:eastAsia="黑体"/>
      <w:kern w:val="0"/>
      <w:sz w:val="32"/>
      <w:szCs w:val="32"/>
    </w:rPr>
  </w:style>
  <w:style w:type="character" w:customStyle="1" w:styleId="129">
    <w:name w:val="正文文本缩进 2 Char2"/>
    <w:qFormat/>
    <w:uiPriority w:val="0"/>
    <w:rPr>
      <w:rFonts w:eastAsia="楷体_GB2312"/>
      <w:kern w:val="2"/>
      <w:sz w:val="21"/>
    </w:rPr>
  </w:style>
  <w:style w:type="character" w:customStyle="1" w:styleId="130">
    <w:name w:val="尾注文本 Char Char"/>
    <w:qFormat/>
    <w:uiPriority w:val="0"/>
    <w:rPr>
      <w:rFonts w:ascii="宋体" w:hAnsi="宋体" w:eastAsia="宋体"/>
      <w:kern w:val="2"/>
      <w:sz w:val="21"/>
      <w:lang w:val="en-US" w:eastAsia="zh-CN" w:bidi="ar-SA"/>
    </w:rPr>
  </w:style>
  <w:style w:type="character" w:customStyle="1" w:styleId="131">
    <w:name w:val="正文文本 3 Char"/>
    <w:qFormat/>
    <w:uiPriority w:val="0"/>
    <w:rPr>
      <w:rFonts w:ascii="宋体"/>
      <w:sz w:val="24"/>
    </w:rPr>
  </w:style>
  <w:style w:type="character" w:customStyle="1" w:styleId="132">
    <w:name w:val="标题 3 Char1"/>
    <w:qFormat/>
    <w:uiPriority w:val="0"/>
    <w:rPr>
      <w:rFonts w:ascii="楷体_GB2312" w:hAnsi="宋体" w:eastAsia="楷体_GB2312" w:cs="宋体"/>
      <w:b/>
      <w:kern w:val="2"/>
      <w:sz w:val="32"/>
      <w:szCs w:val="32"/>
    </w:rPr>
  </w:style>
  <w:style w:type="character" w:customStyle="1" w:styleId="133">
    <w:name w:val="正文文本缩进 3 Char1"/>
    <w:qFormat/>
    <w:uiPriority w:val="0"/>
    <w:rPr>
      <w:rFonts w:ascii="仿宋_GB2312" w:hAnsi="Times New Roman" w:eastAsia="宋体" w:cs="Times New Roman"/>
      <w:sz w:val="16"/>
      <w:szCs w:val="16"/>
    </w:rPr>
  </w:style>
  <w:style w:type="character" w:customStyle="1" w:styleId="134">
    <w:name w:val="apple-converted-space"/>
    <w:basedOn w:val="54"/>
    <w:qFormat/>
    <w:uiPriority w:val="0"/>
  </w:style>
  <w:style w:type="character" w:customStyle="1" w:styleId="135">
    <w:name w:val="页眉 字符"/>
    <w:semiHidden/>
    <w:qFormat/>
    <w:uiPriority w:val="99"/>
    <w:rPr>
      <w:rFonts w:ascii="Calibri" w:hAnsi="Calibri" w:eastAsia="宋体" w:cs="Times New Roman"/>
      <w:sz w:val="18"/>
      <w:szCs w:val="18"/>
    </w:rPr>
  </w:style>
  <w:style w:type="character" w:customStyle="1" w:styleId="136">
    <w:name w:val="正文文本缩进 3 Char2"/>
    <w:qFormat/>
    <w:uiPriority w:val="0"/>
    <w:rPr>
      <w:rFonts w:eastAsia="楷体_GB2312"/>
      <w:kern w:val="2"/>
      <w:sz w:val="16"/>
      <w:szCs w:val="16"/>
    </w:rPr>
  </w:style>
  <w:style w:type="character" w:customStyle="1" w:styleId="137">
    <w:name w:val="引用 Char"/>
    <w:qFormat/>
    <w:uiPriority w:val="0"/>
    <w:rPr>
      <w:i/>
      <w:sz w:val="24"/>
    </w:rPr>
  </w:style>
  <w:style w:type="character" w:customStyle="1" w:styleId="138">
    <w:name w:val="标题 Char Char"/>
    <w:qFormat/>
    <w:uiPriority w:val="0"/>
    <w:rPr>
      <w:rFonts w:ascii="Arial" w:hAnsi="Arial" w:eastAsia="楷体_GB2312"/>
      <w:b/>
      <w:kern w:val="2"/>
      <w:sz w:val="44"/>
      <w:lang w:val="en-US" w:eastAsia="zh-CN" w:bidi="ar-SA"/>
    </w:rPr>
  </w:style>
  <w:style w:type="character" w:customStyle="1" w:styleId="139">
    <w:name w:val="文一 Char"/>
    <w:link w:val="140"/>
    <w:qFormat/>
    <w:uiPriority w:val="0"/>
    <w:rPr>
      <w:spacing w:val="4"/>
      <w:sz w:val="24"/>
      <w:szCs w:val="24"/>
    </w:rPr>
  </w:style>
  <w:style w:type="paragraph" w:customStyle="1" w:styleId="140">
    <w:name w:val="文一"/>
    <w:basedOn w:val="1"/>
    <w:link w:val="139"/>
    <w:qFormat/>
    <w:uiPriority w:val="0"/>
    <w:pPr>
      <w:topLinePunct/>
      <w:adjustRightInd w:val="0"/>
      <w:snapToGrid w:val="0"/>
      <w:spacing w:line="360" w:lineRule="auto"/>
      <w:ind w:firstLine="200" w:firstLineChars="200"/>
    </w:pPr>
    <w:rPr>
      <w:spacing w:val="4"/>
      <w:kern w:val="0"/>
      <w:sz w:val="24"/>
      <w:szCs w:val="24"/>
    </w:rPr>
  </w:style>
  <w:style w:type="character" w:customStyle="1" w:styleId="141">
    <w:name w:val="样式 Char"/>
    <w:basedOn w:val="142"/>
    <w:link w:val="144"/>
    <w:qFormat/>
    <w:uiPriority w:val="0"/>
  </w:style>
  <w:style w:type="character" w:customStyle="1" w:styleId="142">
    <w:name w:val="标题5 Char"/>
    <w:link w:val="143"/>
    <w:qFormat/>
    <w:uiPriority w:val="0"/>
    <w:rPr>
      <w:rFonts w:ascii="Arial" w:hAnsi="Arial" w:eastAsia="黑体"/>
      <w:bCs/>
      <w:sz w:val="24"/>
      <w:szCs w:val="32"/>
    </w:rPr>
  </w:style>
  <w:style w:type="paragraph" w:customStyle="1" w:styleId="143">
    <w:name w:val="标题5"/>
    <w:basedOn w:val="8"/>
    <w:link w:val="142"/>
    <w:qFormat/>
    <w:uiPriority w:val="0"/>
    <w:pPr>
      <w:keepNext w:val="0"/>
      <w:keepLines w:val="0"/>
      <w:widowControl/>
      <w:numPr>
        <w:ilvl w:val="0"/>
        <w:numId w:val="0"/>
      </w:numPr>
      <w:tabs>
        <w:tab w:val="left" w:pos="2310"/>
        <w:tab w:val="left" w:pos="2730"/>
      </w:tabs>
      <w:spacing w:beforeLines="0" w:afterLines="0" w:line="240" w:lineRule="auto"/>
      <w:jc w:val="center"/>
    </w:pPr>
    <w:rPr>
      <w:rFonts w:eastAsia="黑体"/>
      <w:bCs/>
      <w:color w:val="auto"/>
      <w:kern w:val="0"/>
      <w:sz w:val="24"/>
      <w:szCs w:val="32"/>
    </w:rPr>
  </w:style>
  <w:style w:type="paragraph" w:customStyle="1" w:styleId="144">
    <w:name w:val="样式"/>
    <w:basedOn w:val="143"/>
    <w:link w:val="141"/>
    <w:qFormat/>
    <w:uiPriority w:val="0"/>
    <w:rPr>
      <w:lang w:val="en-US" w:eastAsia="zh-CN"/>
    </w:rPr>
  </w:style>
  <w:style w:type="character" w:customStyle="1" w:styleId="145">
    <w:name w:val="font11"/>
    <w:basedOn w:val="54"/>
    <w:qFormat/>
    <w:uiPriority w:val="0"/>
    <w:rPr>
      <w:rFonts w:hint="eastAsia" w:ascii="仿宋" w:hAnsi="仿宋" w:eastAsia="仿宋" w:cs="仿宋"/>
      <w:color w:val="000000"/>
      <w:sz w:val="28"/>
      <w:szCs w:val="28"/>
      <w:u w:val="none"/>
    </w:rPr>
  </w:style>
  <w:style w:type="character" w:customStyle="1" w:styleId="146">
    <w:name w:val="标题 5 Char1"/>
    <w:qFormat/>
    <w:uiPriority w:val="0"/>
    <w:rPr>
      <w:rFonts w:ascii="Arial" w:hAnsi="Arial" w:eastAsia="楷体_GB2312"/>
      <w:kern w:val="2"/>
      <w:sz w:val="32"/>
      <w:szCs w:val="32"/>
    </w:rPr>
  </w:style>
  <w:style w:type="character" w:customStyle="1" w:styleId="147">
    <w:name w:val="明显引用 Char"/>
    <w:qFormat/>
    <w:uiPriority w:val="0"/>
    <w:rPr>
      <w:b/>
      <w:i/>
      <w:sz w:val="24"/>
    </w:rPr>
  </w:style>
  <w:style w:type="character" w:customStyle="1" w:styleId="148">
    <w:name w:val="批注框文本 Char1"/>
    <w:qFormat/>
    <w:uiPriority w:val="0"/>
    <w:rPr>
      <w:rFonts w:ascii="仿宋_GB2312" w:hAnsi="Times New Roman" w:eastAsia="宋体" w:cs="Times New Roman"/>
      <w:sz w:val="18"/>
      <w:szCs w:val="18"/>
    </w:rPr>
  </w:style>
  <w:style w:type="character" w:customStyle="1" w:styleId="149">
    <w:name w:val="批注主题 字符"/>
    <w:semiHidden/>
    <w:qFormat/>
    <w:uiPriority w:val="99"/>
    <w:rPr>
      <w:rFonts w:ascii="Calibri" w:hAnsi="Calibri" w:eastAsia="宋体" w:cs="Times New Roman"/>
      <w:b/>
      <w:bCs/>
    </w:rPr>
  </w:style>
  <w:style w:type="character" w:customStyle="1" w:styleId="150">
    <w:name w:val=" Char Char22"/>
    <w:qFormat/>
    <w:uiPriority w:val="0"/>
    <w:rPr>
      <w:rFonts w:ascii="楷体_GB2312" w:hAnsi="宋体" w:eastAsia="楷体_GB2312" w:cs="宋体"/>
      <w:b/>
      <w:kern w:val="2"/>
      <w:sz w:val="32"/>
      <w:szCs w:val="32"/>
      <w:lang w:val="en-US" w:eastAsia="zh-CN" w:bidi="ar-SA"/>
    </w:rPr>
  </w:style>
  <w:style w:type="character" w:customStyle="1" w:styleId="151">
    <w:name w:val="正文文本 字符"/>
    <w:semiHidden/>
    <w:qFormat/>
    <w:uiPriority w:val="99"/>
    <w:rPr>
      <w:rFonts w:ascii="Calibri" w:hAnsi="Calibri" w:eastAsia="宋体" w:cs="Times New Roman"/>
    </w:rPr>
  </w:style>
  <w:style w:type="character" w:customStyle="1" w:styleId="152">
    <w:name w:val="普通文字 Char Char1"/>
    <w:qFormat/>
    <w:locked/>
    <w:uiPriority w:val="0"/>
    <w:rPr>
      <w:rFonts w:ascii="宋体" w:hAnsi="Courier New" w:eastAsia="楷体_GB2312"/>
      <w:kern w:val="2"/>
      <w:sz w:val="21"/>
      <w:szCs w:val="24"/>
      <w:lang w:val="en-US" w:eastAsia="zh-CN" w:bidi="ar-SA"/>
    </w:rPr>
  </w:style>
  <w:style w:type="character" w:customStyle="1" w:styleId="153">
    <w:name w:val="页脚 字符"/>
    <w:semiHidden/>
    <w:qFormat/>
    <w:uiPriority w:val="99"/>
    <w:rPr>
      <w:rFonts w:ascii="Calibri" w:hAnsi="Calibri" w:eastAsia="宋体" w:cs="Times New Roman"/>
      <w:sz w:val="18"/>
      <w:szCs w:val="18"/>
    </w:rPr>
  </w:style>
  <w:style w:type="character" w:customStyle="1" w:styleId="154">
    <w:name w:val="HTML 预设格式 Char2"/>
    <w:qFormat/>
    <w:uiPriority w:val="0"/>
    <w:rPr>
      <w:rFonts w:ascii="Courier New" w:hAnsi="Courier New" w:eastAsia="宋体" w:cs="Courier New"/>
      <w:kern w:val="2"/>
    </w:rPr>
  </w:style>
  <w:style w:type="character" w:customStyle="1" w:styleId="155">
    <w:name w:val="Endnote Text Char"/>
    <w:qFormat/>
    <w:locked/>
    <w:uiPriority w:val="0"/>
    <w:rPr>
      <w:rFonts w:cs="Times New Roman"/>
      <w:kern w:val="2"/>
      <w:sz w:val="21"/>
    </w:rPr>
  </w:style>
  <w:style w:type="character" w:customStyle="1" w:styleId="156">
    <w:name w:val=" Char Char19"/>
    <w:qFormat/>
    <w:uiPriority w:val="0"/>
    <w:rPr>
      <w:rFonts w:ascii="Arial" w:hAnsi="Arial" w:eastAsia="楷体_GB2312"/>
      <w:kern w:val="2"/>
      <w:sz w:val="32"/>
      <w:szCs w:val="32"/>
      <w:lang w:val="en-US" w:eastAsia="zh-CN" w:bidi="ar-SA"/>
    </w:rPr>
  </w:style>
  <w:style w:type="character" w:customStyle="1" w:styleId="157">
    <w:name w:val="文档结构图 字符"/>
    <w:semiHidden/>
    <w:qFormat/>
    <w:uiPriority w:val="99"/>
    <w:rPr>
      <w:rFonts w:ascii="Microsoft YaHei UI" w:hAnsi="Calibri" w:eastAsia="Microsoft YaHei UI" w:cs="Times New Roman"/>
      <w:sz w:val="18"/>
      <w:szCs w:val="18"/>
    </w:rPr>
  </w:style>
  <w:style w:type="character" w:customStyle="1" w:styleId="158">
    <w:name w:val="标题4 Char Char"/>
    <w:link w:val="159"/>
    <w:qFormat/>
    <w:uiPriority w:val="0"/>
    <w:rPr>
      <w:rFonts w:ascii="Arial" w:hAnsi="Arial"/>
      <w:b/>
      <w:bCs/>
      <w:sz w:val="24"/>
      <w:szCs w:val="32"/>
    </w:rPr>
  </w:style>
  <w:style w:type="paragraph" w:customStyle="1" w:styleId="159">
    <w:name w:val="标题4"/>
    <w:basedOn w:val="4"/>
    <w:next w:val="24"/>
    <w:link w:val="158"/>
    <w:qFormat/>
    <w:uiPriority w:val="0"/>
    <w:pPr>
      <w:numPr>
        <w:ilvl w:val="0"/>
        <w:numId w:val="0"/>
      </w:numPr>
      <w:spacing w:before="260" w:after="260" w:line="413" w:lineRule="auto"/>
      <w:jc w:val="both"/>
    </w:pPr>
    <w:rPr>
      <w:bCs/>
      <w:color w:val="auto"/>
      <w:szCs w:val="32"/>
    </w:rPr>
  </w:style>
  <w:style w:type="character" w:customStyle="1" w:styleId="160">
    <w:name w:val="页脚 Char1"/>
    <w:qFormat/>
    <w:uiPriority w:val="0"/>
    <w:rPr>
      <w:rFonts w:eastAsia="楷体_GB2312"/>
      <w:kern w:val="2"/>
      <w:sz w:val="18"/>
      <w:szCs w:val="18"/>
    </w:rPr>
  </w:style>
  <w:style w:type="character" w:customStyle="1" w:styleId="161">
    <w:name w:val="标题 8 字符"/>
    <w:semiHidden/>
    <w:qFormat/>
    <w:uiPriority w:val="9"/>
    <w:rPr>
      <w:rFonts w:ascii="等线 Light" w:hAnsi="等线 Light" w:eastAsia="等线 Light" w:cs="Times New Roman"/>
      <w:sz w:val="24"/>
      <w:szCs w:val="24"/>
    </w:rPr>
  </w:style>
  <w:style w:type="character" w:customStyle="1" w:styleId="162">
    <w:name w:val="标题 7 字符"/>
    <w:semiHidden/>
    <w:qFormat/>
    <w:uiPriority w:val="9"/>
    <w:rPr>
      <w:rFonts w:ascii="Calibri" w:hAnsi="Calibri" w:eastAsia="宋体" w:cs="Times New Roman"/>
      <w:b/>
      <w:bCs/>
      <w:sz w:val="24"/>
      <w:szCs w:val="24"/>
    </w:rPr>
  </w:style>
  <w:style w:type="character" w:customStyle="1" w:styleId="163">
    <w:name w:val="textcontents"/>
    <w:qFormat/>
    <w:uiPriority w:val="0"/>
    <w:rPr>
      <w:rFonts w:cs="Times New Roman"/>
    </w:rPr>
  </w:style>
  <w:style w:type="character" w:customStyle="1" w:styleId="164">
    <w:name w:val="HTML 预设格式 Char"/>
    <w:qFormat/>
    <w:uiPriority w:val="0"/>
    <w:rPr>
      <w:rFonts w:ascii="宋体" w:hAnsi="宋体" w:cs="宋体"/>
      <w:sz w:val="24"/>
      <w:szCs w:val="24"/>
    </w:rPr>
  </w:style>
  <w:style w:type="character" w:customStyle="1" w:styleId="165">
    <w:name w:val="纯文本 Char1"/>
    <w:semiHidden/>
    <w:qFormat/>
    <w:uiPriority w:val="99"/>
    <w:rPr>
      <w:rFonts w:ascii="宋体" w:hAnsi="Courier New" w:eastAsia="宋体" w:cs="Courier New"/>
      <w:szCs w:val="21"/>
    </w:rPr>
  </w:style>
  <w:style w:type="character" w:customStyle="1" w:styleId="166">
    <w:name w:val="正文首行缩进 Char2"/>
    <w:qFormat/>
    <w:uiPriority w:val="0"/>
    <w:rPr>
      <w:rFonts w:hint="eastAsia" w:ascii="楷体_GB2312" w:eastAsia="楷体_GB2312" w:cs="楷体_GB2312"/>
      <w:lang w:val="en-US" w:eastAsia="zh-CN" w:bidi="ar"/>
    </w:rPr>
  </w:style>
  <w:style w:type="character" w:customStyle="1" w:styleId="167">
    <w:name w:val="正文文本缩进 Char1"/>
    <w:qFormat/>
    <w:uiPriority w:val="0"/>
    <w:rPr>
      <w:rFonts w:ascii="仿宋_GB2312" w:hAnsi="Times New Roman" w:eastAsia="宋体" w:cs="Times New Roman"/>
      <w:szCs w:val="32"/>
    </w:rPr>
  </w:style>
  <w:style w:type="character" w:customStyle="1" w:styleId="168">
    <w:name w:val="普通文字 Char Char"/>
    <w:qFormat/>
    <w:uiPriority w:val="0"/>
    <w:rPr>
      <w:rFonts w:ascii="宋体" w:hAnsi="Courier New" w:eastAsia="楷体_GB2312"/>
      <w:kern w:val="2"/>
      <w:sz w:val="21"/>
      <w:lang w:val="en-US" w:eastAsia="zh-CN" w:bidi="ar-SA"/>
    </w:rPr>
  </w:style>
  <w:style w:type="character" w:customStyle="1" w:styleId="169">
    <w:name w:val="正文文本 Char1"/>
    <w:qFormat/>
    <w:uiPriority w:val="0"/>
    <w:rPr>
      <w:rFonts w:ascii="仿宋_GB2312" w:hAnsi="Times New Roman" w:eastAsia="宋体" w:cs="Times New Roman"/>
      <w:szCs w:val="32"/>
    </w:rPr>
  </w:style>
  <w:style w:type="character" w:customStyle="1" w:styleId="170">
    <w:name w:val="无间隔 Char"/>
    <w:link w:val="171"/>
    <w:qFormat/>
    <w:locked/>
    <w:uiPriority w:val="0"/>
    <w:rPr>
      <w:rFonts w:eastAsia="Times New Roman"/>
      <w:sz w:val="22"/>
      <w:lang w:val="en-US" w:eastAsia="zh-CN" w:bidi="ar-SA"/>
    </w:rPr>
  </w:style>
  <w:style w:type="paragraph" w:customStyle="1" w:styleId="171">
    <w:name w:val="No Spacing"/>
    <w:link w:val="170"/>
    <w:qFormat/>
    <w:uiPriority w:val="0"/>
    <w:rPr>
      <w:rFonts w:ascii="Times New Roman" w:hAnsi="Times New Roman" w:eastAsia="Times New Roman" w:cs="Times New Roman"/>
      <w:sz w:val="22"/>
      <w:lang w:val="en-US" w:eastAsia="zh-CN" w:bidi="ar-SA"/>
    </w:rPr>
  </w:style>
  <w:style w:type="character" w:customStyle="1" w:styleId="172">
    <w:name w:val="正文文本 3 Char2"/>
    <w:qFormat/>
    <w:uiPriority w:val="0"/>
    <w:rPr>
      <w:rFonts w:eastAsia="楷体_GB2312"/>
      <w:kern w:val="2"/>
      <w:sz w:val="16"/>
      <w:szCs w:val="16"/>
    </w:rPr>
  </w:style>
  <w:style w:type="character" w:customStyle="1" w:styleId="173">
    <w:name w:val="正文文本缩进 字符"/>
    <w:semiHidden/>
    <w:qFormat/>
    <w:uiPriority w:val="99"/>
    <w:rPr>
      <w:rFonts w:ascii="Calibri" w:hAnsi="Calibri" w:eastAsia="宋体" w:cs="Times New Roman"/>
    </w:rPr>
  </w:style>
  <w:style w:type="character" w:customStyle="1" w:styleId="174">
    <w:name w:val="UserStyle_52"/>
    <w:qFormat/>
    <w:uiPriority w:val="0"/>
  </w:style>
  <w:style w:type="character" w:customStyle="1" w:styleId="175">
    <w:name w:val="标题 1 Char1"/>
    <w:qFormat/>
    <w:locked/>
    <w:uiPriority w:val="0"/>
    <w:rPr>
      <w:rFonts w:ascii="宋体" w:hAnsi="宋体" w:eastAsia="楷体_GB2312" w:cs="宋体"/>
      <w:b/>
      <w:bCs/>
      <w:kern w:val="2"/>
      <w:sz w:val="32"/>
      <w:szCs w:val="32"/>
      <w:lang w:val="en-US" w:eastAsia="zh-CN" w:bidi="ar-SA"/>
    </w:rPr>
  </w:style>
  <w:style w:type="character" w:customStyle="1" w:styleId="176">
    <w:name w:val="日期 字符"/>
    <w:semiHidden/>
    <w:qFormat/>
    <w:uiPriority w:val="99"/>
    <w:rPr>
      <w:rFonts w:ascii="Calibri" w:hAnsi="Calibri" w:eastAsia="宋体" w:cs="Times New Roman"/>
    </w:rPr>
  </w:style>
  <w:style w:type="character" w:customStyle="1" w:styleId="177">
    <w:name w:val="正文文本缩进 2 Char1"/>
    <w:qFormat/>
    <w:uiPriority w:val="0"/>
    <w:rPr>
      <w:rFonts w:ascii="仿宋_GB2312" w:hAnsi="Times New Roman" w:eastAsia="宋体" w:cs="Times New Roman"/>
      <w:szCs w:val="32"/>
    </w:rPr>
  </w:style>
  <w:style w:type="character" w:customStyle="1" w:styleId="178">
    <w:name w:val="text_neiye_21"/>
    <w:qFormat/>
    <w:uiPriority w:val="0"/>
    <w:rPr>
      <w:rFonts w:hint="eastAsia" w:ascii="方正小标宋简体" w:eastAsia="方正小标宋简体"/>
      <w:color w:val="000000"/>
      <w:sz w:val="38"/>
      <w:szCs w:val="38"/>
    </w:rPr>
  </w:style>
  <w:style w:type="character" w:customStyle="1" w:styleId="179">
    <w:name w:val="NormalCharacter"/>
    <w:qFormat/>
    <w:uiPriority w:val="0"/>
  </w:style>
  <w:style w:type="character" w:customStyle="1" w:styleId="180">
    <w:name w:val="批注文字 字符"/>
    <w:semiHidden/>
    <w:qFormat/>
    <w:uiPriority w:val="99"/>
    <w:rPr>
      <w:rFonts w:ascii="Calibri" w:hAnsi="Calibri" w:eastAsia="宋体" w:cs="Times New Roman"/>
    </w:rPr>
  </w:style>
  <w:style w:type="character" w:customStyle="1" w:styleId="181">
    <w:name w:val="Subtle Reference"/>
    <w:qFormat/>
    <w:uiPriority w:val="0"/>
    <w:rPr>
      <w:smallCaps/>
      <w:color w:val="C0504D"/>
      <w:u w:val="single"/>
    </w:rPr>
  </w:style>
  <w:style w:type="character" w:customStyle="1" w:styleId="182">
    <w:name w:val="列出段落 Char"/>
    <w:link w:val="183"/>
    <w:qFormat/>
    <w:uiPriority w:val="0"/>
    <w:rPr>
      <w:sz w:val="24"/>
    </w:rPr>
  </w:style>
  <w:style w:type="paragraph" w:customStyle="1" w:styleId="183">
    <w:name w:val="List Paragraph2"/>
    <w:basedOn w:val="1"/>
    <w:link w:val="182"/>
    <w:qFormat/>
    <w:uiPriority w:val="0"/>
    <w:pPr>
      <w:spacing w:beforeLines="50" w:afterLines="50" w:line="288" w:lineRule="auto"/>
      <w:ind w:firstLine="420" w:firstLineChars="200"/>
    </w:pPr>
    <w:rPr>
      <w:kern w:val="0"/>
      <w:sz w:val="24"/>
      <w:szCs w:val="20"/>
    </w:rPr>
  </w:style>
  <w:style w:type="character" w:customStyle="1" w:styleId="184">
    <w:name w:val="正文首行缩进 字符"/>
    <w:basedOn w:val="151"/>
    <w:semiHidden/>
    <w:qFormat/>
    <w:uiPriority w:val="99"/>
  </w:style>
  <w:style w:type="character" w:customStyle="1" w:styleId="185">
    <w:name w:val="脚注文本 Char1"/>
    <w:qFormat/>
    <w:uiPriority w:val="0"/>
    <w:rPr>
      <w:rFonts w:ascii="仿宋_GB2312" w:hAnsi="Times New Roman" w:eastAsia="宋体" w:cs="Times New Roman"/>
      <w:sz w:val="18"/>
      <w:szCs w:val="18"/>
    </w:rPr>
  </w:style>
  <w:style w:type="character" w:customStyle="1" w:styleId="186">
    <w:name w:val="批注文字 Char Char"/>
    <w:qFormat/>
    <w:uiPriority w:val="0"/>
    <w:rPr>
      <w:rFonts w:ascii="宋体" w:hAnsi="Times New Roman" w:eastAsia="宋体" w:cs="Times New Roman"/>
      <w:sz w:val="28"/>
      <w:szCs w:val="20"/>
    </w:rPr>
  </w:style>
  <w:style w:type="character" w:customStyle="1" w:styleId="187">
    <w:name w:val="正文首行缩进 Char1"/>
    <w:qFormat/>
    <w:locked/>
    <w:uiPriority w:val="99"/>
    <w:rPr>
      <w:rFonts w:eastAsia="宋体"/>
      <w:kern w:val="2"/>
      <w:sz w:val="21"/>
      <w:lang w:val="en-US" w:eastAsia="zh-CN" w:bidi="ar-SA"/>
    </w:rPr>
  </w:style>
  <w:style w:type="character" w:customStyle="1" w:styleId="188">
    <w:name w:val="纯文本 字符"/>
    <w:semiHidden/>
    <w:qFormat/>
    <w:uiPriority w:val="99"/>
    <w:rPr>
      <w:rFonts w:ascii="等线" w:hAnsi="Courier New" w:cs="Courier New"/>
    </w:rPr>
  </w:style>
  <w:style w:type="character" w:customStyle="1" w:styleId="189">
    <w:name w:val=" Char Char18"/>
    <w:qFormat/>
    <w:uiPriority w:val="0"/>
    <w:rPr>
      <w:rFonts w:ascii="Arial" w:hAnsi="Arial" w:eastAsia="楷体_GB2312"/>
      <w:kern w:val="2"/>
      <w:sz w:val="32"/>
      <w:szCs w:val="32"/>
      <w:lang w:val="en-US" w:eastAsia="zh-CN" w:bidi="ar-SA"/>
    </w:rPr>
  </w:style>
  <w:style w:type="character" w:customStyle="1" w:styleId="190">
    <w:name w:val="Char Char4"/>
    <w:link w:val="191"/>
    <w:qFormat/>
    <w:locked/>
    <w:uiPriority w:val="0"/>
    <w:rPr>
      <w:rFonts w:ascii="Tahoma" w:hAnsi="Tahoma" w:eastAsia="宋体"/>
      <w:kern w:val="2"/>
      <w:sz w:val="24"/>
    </w:rPr>
  </w:style>
  <w:style w:type="paragraph" w:customStyle="1" w:styleId="191">
    <w:name w:val="Char"/>
    <w:basedOn w:val="1"/>
    <w:link w:val="190"/>
    <w:qFormat/>
    <w:uiPriority w:val="0"/>
    <w:rPr>
      <w:rFonts w:ascii="Tahoma" w:hAnsi="Tahoma"/>
      <w:sz w:val="24"/>
      <w:szCs w:val="20"/>
    </w:rPr>
  </w:style>
  <w:style w:type="character" w:customStyle="1" w:styleId="192">
    <w:name w:val="标题 4 字符"/>
    <w:semiHidden/>
    <w:qFormat/>
    <w:uiPriority w:val="9"/>
    <w:rPr>
      <w:rFonts w:ascii="等线 Light" w:hAnsi="等线 Light" w:eastAsia="等线 Light" w:cs="Times New Roman"/>
      <w:b/>
      <w:bCs/>
      <w:sz w:val="28"/>
      <w:szCs w:val="28"/>
    </w:rPr>
  </w:style>
  <w:style w:type="character" w:customStyle="1" w:styleId="193">
    <w:name w:val="页眉 Char1"/>
    <w:qFormat/>
    <w:uiPriority w:val="0"/>
    <w:rPr>
      <w:rFonts w:eastAsia="楷体_GB2312"/>
      <w:kern w:val="2"/>
      <w:sz w:val="18"/>
      <w:szCs w:val="18"/>
    </w:rPr>
  </w:style>
  <w:style w:type="character" w:customStyle="1" w:styleId="194">
    <w:name w:val="引用 Char1"/>
    <w:link w:val="195"/>
    <w:qFormat/>
    <w:uiPriority w:val="0"/>
    <w:rPr>
      <w:rFonts w:ascii="仿宋_GB2312" w:hAnsi="Times New Roman"/>
      <w:i/>
      <w:iCs/>
      <w:color w:val="000000"/>
      <w:szCs w:val="32"/>
    </w:rPr>
  </w:style>
  <w:style w:type="paragraph" w:customStyle="1" w:styleId="195">
    <w:name w:val="Quote"/>
    <w:basedOn w:val="1"/>
    <w:next w:val="1"/>
    <w:link w:val="194"/>
    <w:qFormat/>
    <w:uiPriority w:val="0"/>
    <w:pPr>
      <w:widowControl/>
      <w:jc w:val="left"/>
    </w:pPr>
    <w:rPr>
      <w:rFonts w:ascii="仿宋_GB2312"/>
      <w:i/>
      <w:iCs/>
      <w:color w:val="000000"/>
      <w:kern w:val="0"/>
      <w:sz w:val="20"/>
      <w:szCs w:val="32"/>
    </w:rPr>
  </w:style>
  <w:style w:type="character" w:customStyle="1" w:styleId="196">
    <w:name w:val="标题 3 字符"/>
    <w:semiHidden/>
    <w:qFormat/>
    <w:uiPriority w:val="9"/>
    <w:rPr>
      <w:rFonts w:ascii="Calibri" w:hAnsi="Calibri" w:eastAsia="宋体" w:cs="Times New Roman"/>
      <w:b/>
      <w:bCs/>
      <w:sz w:val="32"/>
      <w:szCs w:val="32"/>
    </w:rPr>
  </w:style>
  <w:style w:type="character" w:customStyle="1" w:styleId="197">
    <w:name w:val="text_neiye_31"/>
    <w:qFormat/>
    <w:uiPriority w:val="0"/>
    <w:rPr>
      <w:rFonts w:hint="eastAsia" w:ascii="仿宋_GB2312" w:eastAsia="仿宋_GB2312"/>
      <w:color w:val="000000"/>
      <w:sz w:val="30"/>
      <w:szCs w:val="30"/>
    </w:rPr>
  </w:style>
  <w:style w:type="character" w:customStyle="1" w:styleId="198">
    <w:name w:val="日期 Char1"/>
    <w:qFormat/>
    <w:uiPriority w:val="0"/>
    <w:rPr>
      <w:rFonts w:ascii="仿宋_GB2312" w:hAnsi="Times New Roman" w:eastAsia="宋体" w:cs="Times New Roman"/>
      <w:szCs w:val="32"/>
    </w:rPr>
  </w:style>
  <w:style w:type="character" w:customStyle="1" w:styleId="199">
    <w:name w:val=" Char Char23"/>
    <w:qFormat/>
    <w:uiPriority w:val="0"/>
    <w:rPr>
      <w:rFonts w:eastAsia="楷体_GB2312"/>
      <w:b/>
      <w:kern w:val="2"/>
      <w:sz w:val="36"/>
      <w:szCs w:val="36"/>
      <w:lang w:val="en-US" w:eastAsia="zh-CN" w:bidi="ar-SA"/>
    </w:rPr>
  </w:style>
  <w:style w:type="character" w:customStyle="1" w:styleId="200">
    <w:name w:val="正文文本缩进 3 字符"/>
    <w:semiHidden/>
    <w:qFormat/>
    <w:uiPriority w:val="99"/>
    <w:rPr>
      <w:rFonts w:ascii="Calibri" w:hAnsi="Calibri" w:eastAsia="宋体" w:cs="Times New Roman"/>
      <w:sz w:val="16"/>
      <w:szCs w:val="16"/>
    </w:rPr>
  </w:style>
  <w:style w:type="character" w:customStyle="1" w:styleId="201">
    <w:name w:val=" Char Char Char"/>
    <w:qFormat/>
    <w:uiPriority w:val="0"/>
    <w:rPr>
      <w:rFonts w:ascii="Arial" w:hAnsi="Arial" w:eastAsia="宋体"/>
      <w:kern w:val="44"/>
      <w:sz w:val="24"/>
      <w:lang w:val="en-US" w:eastAsia="zh-CN" w:bidi="ar-SA"/>
    </w:rPr>
  </w:style>
  <w:style w:type="character" w:customStyle="1" w:styleId="202">
    <w:name w:val="标题 1 Char Char"/>
    <w:qFormat/>
    <w:uiPriority w:val="0"/>
    <w:rPr>
      <w:rFonts w:ascii="仿宋_GB2312" w:hAnsi="宋体" w:eastAsia="仿宋_GB2312" w:cs="宋体"/>
      <w:b/>
      <w:bCs/>
      <w:kern w:val="2"/>
      <w:sz w:val="30"/>
      <w:szCs w:val="30"/>
      <w:lang w:val="en-US" w:eastAsia="zh-CN" w:bidi="ar-SA"/>
    </w:rPr>
  </w:style>
  <w:style w:type="character" w:customStyle="1" w:styleId="203">
    <w:name w:val="正文文本 3 Char3"/>
    <w:qFormat/>
    <w:uiPriority w:val="0"/>
    <w:rPr>
      <w:rFonts w:ascii="Calibri" w:hAnsi="Calibri" w:eastAsia="宋体"/>
      <w:kern w:val="2"/>
      <w:sz w:val="16"/>
      <w:szCs w:val="16"/>
    </w:rPr>
  </w:style>
  <w:style w:type="character" w:customStyle="1" w:styleId="204">
    <w:name w:val="Intense Reference"/>
    <w:qFormat/>
    <w:uiPriority w:val="0"/>
    <w:rPr>
      <w:b/>
      <w:bCs/>
      <w:smallCaps/>
      <w:color w:val="C0504D"/>
      <w:spacing w:val="5"/>
      <w:u w:val="single"/>
    </w:rPr>
  </w:style>
  <w:style w:type="character" w:customStyle="1" w:styleId="205">
    <w:name w:val="副标题 Char"/>
    <w:qFormat/>
    <w:uiPriority w:val="0"/>
    <w:rPr>
      <w:rFonts w:ascii="Arial" w:hAnsi="Arial" w:eastAsia="黑体"/>
      <w:b/>
      <w:bCs/>
      <w:sz w:val="32"/>
      <w:szCs w:val="32"/>
    </w:rPr>
  </w:style>
  <w:style w:type="character" w:customStyle="1" w:styleId="206">
    <w:name w:val=" Char Char11"/>
    <w:qFormat/>
    <w:uiPriority w:val="0"/>
    <w:rPr>
      <w:rFonts w:ascii="宋体" w:hAnsi="Courier New" w:eastAsia="宋体" w:cs="Times New Roman"/>
      <w:szCs w:val="20"/>
    </w:rPr>
  </w:style>
  <w:style w:type="character" w:customStyle="1" w:styleId="207">
    <w:name w:val="文档结构图 Char1"/>
    <w:qFormat/>
    <w:uiPriority w:val="0"/>
    <w:rPr>
      <w:rFonts w:ascii="宋体" w:hAnsi="Times New Roman" w:eastAsia="宋体" w:cs="Times New Roman"/>
      <w:sz w:val="18"/>
      <w:szCs w:val="18"/>
    </w:rPr>
  </w:style>
  <w:style w:type="character" w:customStyle="1" w:styleId="208">
    <w:name w:val="尾注文本 字符"/>
    <w:semiHidden/>
    <w:qFormat/>
    <w:uiPriority w:val="99"/>
    <w:rPr>
      <w:rFonts w:ascii="Calibri" w:hAnsi="Calibri" w:eastAsia="宋体" w:cs="Times New Roman"/>
    </w:rPr>
  </w:style>
  <w:style w:type="character" w:customStyle="1" w:styleId="209">
    <w:name w:val="标提1 Char"/>
    <w:link w:val="210"/>
    <w:qFormat/>
    <w:uiPriority w:val="0"/>
    <w:rPr>
      <w:rFonts w:eastAsia="黑体"/>
      <w:b/>
      <w:kern w:val="44"/>
      <w:sz w:val="24"/>
      <w:szCs w:val="24"/>
    </w:rPr>
  </w:style>
  <w:style w:type="paragraph" w:customStyle="1" w:styleId="210">
    <w:name w:val="标提1"/>
    <w:basedOn w:val="3"/>
    <w:next w:val="1"/>
    <w:link w:val="209"/>
    <w:qFormat/>
    <w:uiPriority w:val="0"/>
    <w:pPr>
      <w:spacing w:after="0" w:line="240" w:lineRule="auto"/>
      <w:jc w:val="both"/>
    </w:pPr>
    <w:rPr>
      <w:rFonts w:ascii="Times New Roman" w:hAnsi="Times New Roman" w:eastAsia="黑体"/>
      <w:sz w:val="24"/>
      <w:szCs w:val="24"/>
    </w:rPr>
  </w:style>
  <w:style w:type="character" w:customStyle="1" w:styleId="211">
    <w:name w:val="text_neiye_32"/>
    <w:qFormat/>
    <w:uiPriority w:val="0"/>
    <w:rPr>
      <w:rFonts w:hint="eastAsia" w:ascii="仿宋_GB2312" w:eastAsia="仿宋_GB2312"/>
      <w:color w:val="000000"/>
      <w:sz w:val="30"/>
      <w:szCs w:val="30"/>
    </w:rPr>
  </w:style>
  <w:style w:type="character" w:customStyle="1" w:styleId="212">
    <w:name w:val="标题 1 字符"/>
    <w:qFormat/>
    <w:uiPriority w:val="9"/>
    <w:rPr>
      <w:rFonts w:ascii="Calibri" w:hAnsi="Calibri" w:eastAsia="宋体" w:cs="Times New Roman"/>
      <w:b/>
      <w:bCs/>
      <w:kern w:val="44"/>
      <w:sz w:val="44"/>
      <w:szCs w:val="44"/>
    </w:rPr>
  </w:style>
  <w:style w:type="paragraph" w:customStyle="1" w:styleId="213">
    <w:name w:val="自正文2"/>
    <w:basedOn w:val="1"/>
    <w:qFormat/>
    <w:uiPriority w:val="0"/>
    <w:pPr>
      <w:ind w:firstLine="598" w:firstLineChars="249"/>
    </w:pPr>
    <w:rPr>
      <w:rFonts w:ascii="宋体" w:hAnsi="宋体"/>
      <w:snapToGrid w:val="0"/>
      <w:color w:val="000000"/>
      <w:sz w:val="24"/>
      <w:szCs w:val="20"/>
    </w:rPr>
  </w:style>
  <w:style w:type="paragraph" w:customStyle="1" w:styleId="214">
    <w:name w:val="+标题4"/>
    <w:basedOn w:val="6"/>
    <w:qFormat/>
    <w:uiPriority w:val="0"/>
    <w:pPr>
      <w:numPr>
        <w:ilvl w:val="3"/>
        <w:numId w:val="5"/>
      </w:numPr>
      <w:tabs>
        <w:tab w:val="left" w:pos="1053"/>
        <w:tab w:val="left" w:pos="1720"/>
        <w:tab w:val="left" w:pos="2310"/>
      </w:tabs>
      <w:spacing w:beforeLines="0" w:afterLines="0"/>
      <w:jc w:val="both"/>
    </w:pPr>
    <w:rPr>
      <w:rFonts w:ascii="Times New Roman" w:hAnsi="Times New Roman"/>
      <w:b/>
      <w:bCs/>
      <w:color w:val="auto"/>
      <w:sz w:val="24"/>
      <w:szCs w:val="28"/>
    </w:rPr>
  </w:style>
  <w:style w:type="paragraph" w:customStyle="1" w:styleId="215">
    <w:name w:val="B"/>
    <w:basedOn w:val="1"/>
    <w:qFormat/>
    <w:uiPriority w:val="0"/>
    <w:pPr>
      <w:widowControl/>
      <w:tabs>
        <w:tab w:val="left" w:pos="1200"/>
      </w:tabs>
      <w:spacing w:before="240" w:line="240" w:lineRule="atLeast"/>
    </w:pPr>
    <w:rPr>
      <w:rFonts w:ascii="Times New Roman" w:hAnsi="Times New Roman"/>
      <w:sz w:val="24"/>
      <w:szCs w:val="24"/>
    </w:rPr>
  </w:style>
  <w:style w:type="paragraph" w:customStyle="1" w:styleId="216">
    <w:name w:val="文档结构图1"/>
    <w:basedOn w:val="1"/>
    <w:qFormat/>
    <w:uiPriority w:val="0"/>
    <w:pPr>
      <w:shd w:val="clear" w:color="auto" w:fill="000080"/>
      <w:suppressAutoHyphens/>
    </w:pPr>
    <w:rPr>
      <w:rFonts w:ascii="Times New Roman" w:hAnsi="Times New Roman"/>
      <w:kern w:val="1"/>
      <w:szCs w:val="20"/>
      <w:lang w:eastAsia="ar-SA"/>
    </w:rPr>
  </w:style>
  <w:style w:type="paragraph" w:customStyle="1" w:styleId="217">
    <w:name w:val="普通(网站)1"/>
    <w:basedOn w:val="1"/>
    <w:qFormat/>
    <w:uiPriority w:val="0"/>
    <w:pPr>
      <w:widowControl/>
      <w:suppressAutoHyphens/>
      <w:spacing w:before="284" w:after="280" w:line="360" w:lineRule="auto"/>
      <w:jc w:val="left"/>
    </w:pPr>
    <w:rPr>
      <w:rFonts w:ascii="宋体" w:hAnsi="宋体"/>
      <w:kern w:val="1"/>
      <w:sz w:val="24"/>
      <w:szCs w:val="20"/>
      <w:lang w:eastAsia="ar-SA"/>
    </w:rPr>
  </w:style>
  <w:style w:type="paragraph" w:customStyle="1" w:styleId="218">
    <w:name w:val="表格内容"/>
    <w:basedOn w:val="1"/>
    <w:qFormat/>
    <w:uiPriority w:val="0"/>
    <w:pPr>
      <w:suppressLineNumbers/>
      <w:suppressAutoHyphens/>
    </w:pPr>
    <w:rPr>
      <w:rFonts w:ascii="Times New Roman" w:hAnsi="Times New Roman"/>
      <w:kern w:val="1"/>
      <w:szCs w:val="20"/>
      <w:lang w:eastAsia="ar-SA"/>
    </w:rPr>
  </w:style>
  <w:style w:type="paragraph" w:customStyle="1" w:styleId="219">
    <w:name w:val="自正文4"/>
    <w:basedOn w:val="1"/>
    <w:qFormat/>
    <w:uiPriority w:val="0"/>
    <w:pPr>
      <w:tabs>
        <w:tab w:val="left" w:pos="1440"/>
        <w:tab w:val="left" w:pos="2760"/>
        <w:tab w:val="left" w:pos="4200"/>
      </w:tabs>
      <w:spacing w:after="120" w:line="360" w:lineRule="auto"/>
      <w:ind w:left="480" w:firstLine="600"/>
      <w:jc w:val="left"/>
    </w:pPr>
    <w:rPr>
      <w:rFonts w:ascii="楷体_GB2312" w:hAnsi="华文仿宋" w:eastAsia="楷体_GB2312"/>
      <w:kern w:val="0"/>
      <w:szCs w:val="20"/>
    </w:rPr>
  </w:style>
  <w:style w:type="paragraph" w:customStyle="1" w:styleId="220">
    <w:name w:val="样式 标题 3 + (中文) 黑体 小四 非加粗 段前: 7.8 磅 段后: 0 磅 行距: 固定值 20 磅"/>
    <w:basedOn w:val="5"/>
    <w:qFormat/>
    <w:uiPriority w:val="0"/>
    <w:pPr>
      <w:keepNext/>
      <w:keepLines/>
      <w:widowControl w:val="0"/>
      <w:spacing w:before="0" w:beforeAutospacing="0" w:after="0" w:afterAutospacing="0" w:line="400" w:lineRule="exact"/>
      <w:jc w:val="both"/>
    </w:pPr>
    <w:rPr>
      <w:rFonts w:ascii="Times New Roman" w:hAnsi="Times New Roman" w:eastAsia="黑体"/>
      <w:kern w:val="2"/>
      <w:sz w:val="24"/>
      <w:szCs w:val="20"/>
    </w:rPr>
  </w:style>
  <w:style w:type="paragraph" w:customStyle="1" w:styleId="221">
    <w:name w:val="正题"/>
    <w:basedOn w:val="140"/>
    <w:next w:val="140"/>
    <w:qFormat/>
    <w:uiPriority w:val="0"/>
    <w:pPr>
      <w:ind w:firstLine="0" w:firstLineChars="0"/>
      <w:jc w:val="center"/>
    </w:pPr>
    <w:rPr>
      <w:rFonts w:eastAsia="黑体"/>
      <w:b/>
      <w:sz w:val="36"/>
      <w:szCs w:val="36"/>
    </w:rPr>
  </w:style>
  <w:style w:type="paragraph" w:customStyle="1" w:styleId="222">
    <w:name w:val="flNote"/>
    <w:basedOn w:val="1"/>
    <w:qFormat/>
    <w:uiPriority w:val="0"/>
    <w:pPr>
      <w:adjustRightInd w:val="0"/>
      <w:spacing w:before="320" w:after="160" w:line="360" w:lineRule="atLeast"/>
      <w:jc w:val="center"/>
      <w:textAlignment w:val="baseline"/>
    </w:pPr>
    <w:rPr>
      <w:rFonts w:ascii="Arial" w:hAnsi="Times New Roman" w:eastAsia="黑体"/>
      <w:kern w:val="0"/>
      <w:sz w:val="30"/>
      <w:szCs w:val="20"/>
    </w:rPr>
  </w:style>
  <w:style w:type="paragraph" w:customStyle="1" w:styleId="223">
    <w:name w:val="List Paragraph1"/>
    <w:basedOn w:val="1"/>
    <w:qFormat/>
    <w:uiPriority w:val="0"/>
    <w:pPr>
      <w:ind w:firstLine="420" w:firstLineChars="200"/>
    </w:pPr>
  </w:style>
  <w:style w:type="paragraph" w:customStyle="1" w:styleId="224">
    <w:name w:val="_Style 11"/>
    <w:basedOn w:val="1"/>
    <w:qFormat/>
    <w:uiPriority w:val="0"/>
    <w:rPr>
      <w:rFonts w:ascii="Times New Roman" w:hAnsi="Times New Roman"/>
      <w:sz w:val="30"/>
      <w:szCs w:val="24"/>
    </w:rPr>
  </w:style>
  <w:style w:type="paragraph" w:customStyle="1" w:styleId="225">
    <w:name w:val="默认段落字体 Para Char"/>
    <w:basedOn w:val="1"/>
    <w:qFormat/>
    <w:uiPriority w:val="0"/>
    <w:pPr>
      <w:spacing w:line="360" w:lineRule="auto"/>
      <w:jc w:val="left"/>
    </w:pPr>
    <w:rPr>
      <w:rFonts w:ascii="Times New Roman" w:hAnsi="Times New Roman" w:eastAsia="仿宋_GB2312"/>
      <w:b/>
      <w:sz w:val="32"/>
      <w:szCs w:val="20"/>
    </w:rPr>
  </w:style>
  <w:style w:type="paragraph" w:customStyle="1" w:styleId="226">
    <w:name w:val="cjk"/>
    <w:basedOn w:val="1"/>
    <w:qFormat/>
    <w:uiPriority w:val="0"/>
    <w:pPr>
      <w:widowControl/>
      <w:spacing w:before="284" w:after="100" w:afterAutospacing="1" w:line="360" w:lineRule="auto"/>
      <w:jc w:val="left"/>
    </w:pPr>
    <w:rPr>
      <w:rFonts w:ascii="宋体" w:hAnsi="宋体"/>
      <w:kern w:val="0"/>
      <w:sz w:val="22"/>
    </w:rPr>
  </w:style>
  <w:style w:type="paragraph" w:customStyle="1" w:styleId="227">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hint="eastAsia" w:ascii="仿宋_GB2312" w:hAnsi="宋体" w:eastAsia="仿宋_GB2312"/>
      <w:color w:val="000000"/>
      <w:kern w:val="0"/>
      <w:sz w:val="24"/>
      <w:szCs w:val="20"/>
    </w:rPr>
  </w:style>
  <w:style w:type="paragraph" w:customStyle="1" w:styleId="228">
    <w:name w:val="正文 New New"/>
    <w:qFormat/>
    <w:uiPriority w:val="0"/>
    <w:pPr>
      <w:widowControl w:val="0"/>
      <w:jc w:val="both"/>
    </w:pPr>
    <w:rPr>
      <w:rFonts w:ascii="Times New Roman" w:hAnsi="Times New Roman" w:eastAsia="楷体_GB2312" w:cs="Times New Roman"/>
      <w:lang w:val="en-US" w:eastAsia="zh-CN" w:bidi="ar-SA"/>
    </w:rPr>
  </w:style>
  <w:style w:type="paragraph" w:customStyle="1" w:styleId="229">
    <w:name w:val="样式 标题 2 + Times New Roman 四号 非加粗 段前: 5 磅 段后: 0 磅 行距: 固定值 20..."/>
    <w:basedOn w:val="4"/>
    <w:qFormat/>
    <w:uiPriority w:val="0"/>
    <w:pPr>
      <w:numPr>
        <w:ilvl w:val="0"/>
        <w:numId w:val="0"/>
      </w:numPr>
      <w:spacing w:before="100" w:after="0" w:line="400" w:lineRule="exact"/>
      <w:jc w:val="both"/>
    </w:pPr>
    <w:rPr>
      <w:rFonts w:ascii="Times New Roman" w:hAnsi="Times New Roman" w:eastAsia="黑体" w:cs="宋体"/>
      <w:b w:val="0"/>
      <w:color w:val="auto"/>
      <w:kern w:val="0"/>
      <w:sz w:val="28"/>
      <w:szCs w:val="20"/>
    </w:rPr>
  </w:style>
  <w:style w:type="paragraph" w:customStyle="1" w:styleId="230">
    <w:name w:val="正文正"/>
    <w:basedOn w:val="1"/>
    <w:qFormat/>
    <w:uiPriority w:val="0"/>
    <w:pPr>
      <w:spacing w:line="560" w:lineRule="exact"/>
      <w:ind w:firstLine="561"/>
    </w:pPr>
    <w:rPr>
      <w:rFonts w:eastAsia="仿宋_GB2312"/>
      <w:sz w:val="28"/>
      <w:szCs w:val="24"/>
    </w:rPr>
  </w:style>
  <w:style w:type="paragraph" w:customStyle="1" w:styleId="231">
    <w:name w:val="Plain Text"/>
    <w:basedOn w:val="1"/>
    <w:qFormat/>
    <w:uiPriority w:val="0"/>
    <w:pPr>
      <w:adjustRightInd w:val="0"/>
      <w:textAlignment w:val="baseline"/>
    </w:pPr>
    <w:rPr>
      <w:rFonts w:ascii="宋体" w:hAnsi="Times New Roman" w:eastAsia="楷体_GB2312"/>
      <w:kern w:val="0"/>
      <w:sz w:val="24"/>
      <w:szCs w:val="20"/>
    </w:rPr>
  </w:style>
  <w:style w:type="paragraph" w:customStyle="1" w:styleId="232">
    <w:name w:val="xl35"/>
    <w:basedOn w:val="1"/>
    <w:qFormat/>
    <w:uiPriority w:val="0"/>
    <w:pPr>
      <w:widowControl/>
      <w:pBdr>
        <w:top w:val="single" w:color="000000" w:sz="4" w:space="0"/>
        <w:left w:val="single" w:color="000000" w:sz="4" w:space="0"/>
      </w:pBdr>
      <w:spacing w:before="100" w:beforeAutospacing="1" w:after="100" w:afterAutospacing="1"/>
      <w:jc w:val="left"/>
      <w:textAlignment w:val="center"/>
    </w:pPr>
    <w:rPr>
      <w:rFonts w:ascii="宋体" w:hAnsi="宋体"/>
      <w:kern w:val="0"/>
      <w:sz w:val="24"/>
      <w:szCs w:val="20"/>
    </w:rPr>
  </w:style>
  <w:style w:type="paragraph" w:customStyle="1" w:styleId="233">
    <w:name w:val="批注文字1"/>
    <w:basedOn w:val="1"/>
    <w:qFormat/>
    <w:uiPriority w:val="0"/>
    <w:pPr>
      <w:suppressAutoHyphens/>
      <w:jc w:val="left"/>
    </w:pPr>
    <w:rPr>
      <w:rFonts w:ascii="Times New Roman" w:hAnsi="Times New Roman"/>
      <w:kern w:val="1"/>
      <w:szCs w:val="20"/>
      <w:lang w:eastAsia="ar-SA"/>
    </w:rPr>
  </w:style>
  <w:style w:type="paragraph" w:customStyle="1" w:styleId="234">
    <w:name w:val="xl34"/>
    <w:basedOn w:val="1"/>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hint="eastAsia" w:ascii="仿宋_GB2312" w:hAnsi="宋体" w:eastAsia="仿宋_GB2312"/>
      <w:color w:val="000000"/>
      <w:kern w:val="0"/>
      <w:sz w:val="24"/>
      <w:szCs w:val="20"/>
    </w:rPr>
  </w:style>
  <w:style w:type="paragraph" w:customStyle="1" w:styleId="235">
    <w:name w:val="Char1"/>
    <w:basedOn w:val="1"/>
    <w:qFormat/>
    <w:uiPriority w:val="0"/>
    <w:pPr>
      <w:numPr>
        <w:ilvl w:val="0"/>
        <w:numId w:val="1"/>
      </w:numPr>
    </w:pPr>
    <w:rPr>
      <w:rFonts w:ascii="Times New Roman" w:hAnsi="Times New Roman"/>
      <w:sz w:val="24"/>
      <w:szCs w:val="24"/>
    </w:rPr>
  </w:style>
  <w:style w:type="paragraph" w:customStyle="1" w:styleId="236">
    <w:name w:val="xl39"/>
    <w:basedOn w:val="1"/>
    <w:qFormat/>
    <w:uiPriority w:val="0"/>
    <w:pPr>
      <w:widowControl/>
      <w:pBdr>
        <w:bottom w:val="single" w:color="000000" w:sz="4" w:space="0"/>
      </w:pBdr>
      <w:spacing w:before="100" w:beforeAutospacing="1" w:after="100" w:afterAutospacing="1"/>
      <w:jc w:val="left"/>
    </w:pPr>
    <w:rPr>
      <w:rFonts w:ascii="宋体" w:hAnsi="宋体"/>
      <w:kern w:val="0"/>
      <w:sz w:val="24"/>
      <w:szCs w:val="20"/>
    </w:rPr>
  </w:style>
  <w:style w:type="paragraph" w:customStyle="1" w:styleId="237">
    <w:name w:val="正文文本缩进 21"/>
    <w:basedOn w:val="1"/>
    <w:qFormat/>
    <w:uiPriority w:val="0"/>
    <w:pPr>
      <w:suppressAutoHyphens/>
      <w:spacing w:after="120" w:line="480" w:lineRule="auto"/>
      <w:ind w:left="420"/>
    </w:pPr>
    <w:rPr>
      <w:rFonts w:ascii="Times New Roman" w:hAnsi="Times New Roman"/>
      <w:kern w:val="1"/>
      <w:szCs w:val="20"/>
      <w:lang w:eastAsia="ar-SA"/>
    </w:rPr>
  </w:style>
  <w:style w:type="paragraph" w:customStyle="1" w:styleId="238">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239">
    <w:name w:val=" Char"/>
    <w:basedOn w:val="1"/>
    <w:qFormat/>
    <w:uiPriority w:val="0"/>
    <w:pPr>
      <w:ind w:left="567" w:hanging="279"/>
    </w:pPr>
    <w:rPr>
      <w:rFonts w:ascii="Times New Roman" w:hAnsi="Times New Roman"/>
      <w:sz w:val="24"/>
      <w:szCs w:val="24"/>
    </w:rPr>
  </w:style>
  <w:style w:type="paragraph" w:customStyle="1" w:styleId="240">
    <w:name w:val="正文 + 行距: 最小值 26 磅"/>
    <w:basedOn w:val="1"/>
    <w:qFormat/>
    <w:uiPriority w:val="0"/>
    <w:pPr>
      <w:snapToGrid w:val="0"/>
      <w:spacing w:line="520" w:lineRule="atLeast"/>
    </w:pPr>
    <w:rPr>
      <w:rFonts w:ascii="Times New Roman" w:hAnsi="Times New Roman" w:eastAsia="楷体_GB2312"/>
      <w:sz w:val="24"/>
      <w:szCs w:val="20"/>
    </w:rPr>
  </w:style>
  <w:style w:type="paragraph" w:customStyle="1" w:styleId="241">
    <w:name w:val="+▲"/>
    <w:basedOn w:val="242"/>
    <w:qFormat/>
    <w:uiPriority w:val="0"/>
    <w:pPr>
      <w:numPr>
        <w:ilvl w:val="0"/>
        <w:numId w:val="4"/>
      </w:numPr>
      <w:tabs>
        <w:tab w:val="left" w:pos="900"/>
      </w:tabs>
      <w:ind w:firstLineChars="0"/>
    </w:pPr>
  </w:style>
  <w:style w:type="paragraph" w:customStyle="1" w:styleId="242">
    <w:name w:val="+正文"/>
    <w:basedOn w:val="1"/>
    <w:qFormat/>
    <w:uiPriority w:val="0"/>
    <w:pPr>
      <w:spacing w:line="360" w:lineRule="auto"/>
      <w:ind w:firstLine="200" w:firstLineChars="200"/>
    </w:pPr>
    <w:rPr>
      <w:rFonts w:ascii="Times New Roman" w:hAnsi="Times New Roman"/>
      <w:sz w:val="24"/>
      <w:szCs w:val="28"/>
    </w:rPr>
  </w:style>
  <w:style w:type="paragraph" w:customStyle="1" w:styleId="243">
    <w:name w:val="font5"/>
    <w:basedOn w:val="1"/>
    <w:qFormat/>
    <w:uiPriority w:val="0"/>
    <w:pPr>
      <w:widowControl/>
      <w:spacing w:before="100" w:beforeAutospacing="1" w:after="100" w:afterAutospacing="1"/>
      <w:jc w:val="left"/>
    </w:pPr>
    <w:rPr>
      <w:rFonts w:hint="eastAsia" w:ascii="宋体" w:hAnsi="宋体"/>
      <w:kern w:val="0"/>
      <w:sz w:val="18"/>
      <w:szCs w:val="20"/>
    </w:rPr>
  </w:style>
  <w:style w:type="paragraph" w:customStyle="1" w:styleId="244">
    <w:name w:val="p0"/>
    <w:basedOn w:val="1"/>
    <w:qFormat/>
    <w:uiPriority w:val="0"/>
    <w:pPr>
      <w:widowControl/>
    </w:pPr>
    <w:rPr>
      <w:rFonts w:ascii="Times New Roman" w:hAnsi="Times New Roman"/>
      <w:kern w:val="0"/>
      <w:szCs w:val="21"/>
    </w:rPr>
  </w:style>
  <w:style w:type="paragraph" w:customStyle="1" w:styleId="245">
    <w:name w:val="列表项目符号 21"/>
    <w:basedOn w:val="246"/>
    <w:qFormat/>
    <w:uiPriority w:val="0"/>
    <w:pPr>
      <w:widowControl/>
      <w:tabs>
        <w:tab w:val="left" w:pos="360"/>
      </w:tabs>
      <w:spacing w:after="220" w:line="220" w:lineRule="atLeast"/>
      <w:ind w:left="360" w:right="720"/>
      <w:jc w:val="left"/>
    </w:pPr>
  </w:style>
  <w:style w:type="paragraph" w:customStyle="1" w:styleId="246">
    <w:name w:val="列表项目符号1"/>
    <w:basedOn w:val="1"/>
    <w:qFormat/>
    <w:uiPriority w:val="0"/>
    <w:pPr>
      <w:tabs>
        <w:tab w:val="left" w:pos="360"/>
      </w:tabs>
      <w:suppressAutoHyphens/>
    </w:pPr>
    <w:rPr>
      <w:rFonts w:ascii="Times New Roman" w:hAnsi="Times New Roman"/>
      <w:kern w:val="1"/>
      <w:szCs w:val="20"/>
      <w:lang w:eastAsia="ar-SA"/>
    </w:rPr>
  </w:style>
  <w:style w:type="paragraph" w:customStyle="1" w:styleId="247">
    <w:name w:val="BodyText1I"/>
    <w:basedOn w:val="248"/>
    <w:qFormat/>
    <w:uiPriority w:val="0"/>
    <w:pPr>
      <w:ind w:firstLine="420"/>
    </w:pPr>
  </w:style>
  <w:style w:type="paragraph" w:customStyle="1" w:styleId="248">
    <w:name w:val="BodyText"/>
    <w:basedOn w:val="1"/>
    <w:qFormat/>
    <w:uiPriority w:val="0"/>
    <w:pPr>
      <w:spacing w:after="120"/>
    </w:pPr>
    <w:rPr>
      <w:rFonts w:ascii="Times New Roman" w:hAnsi="Times New Roman"/>
      <w:kern w:val="0"/>
      <w:sz w:val="20"/>
      <w:szCs w:val="20"/>
    </w:rPr>
  </w:style>
  <w:style w:type="paragraph" w:customStyle="1" w:styleId="249">
    <w:name w:val="内容目录 10"/>
    <w:basedOn w:val="250"/>
    <w:qFormat/>
    <w:uiPriority w:val="0"/>
    <w:pPr>
      <w:tabs>
        <w:tab w:val="right" w:leader="dot" w:pos="9637"/>
      </w:tabs>
      <w:ind w:left="2547"/>
    </w:pPr>
  </w:style>
  <w:style w:type="paragraph" w:customStyle="1" w:styleId="250">
    <w:name w:val="目录"/>
    <w:basedOn w:val="1"/>
    <w:qFormat/>
    <w:uiPriority w:val="0"/>
    <w:pPr>
      <w:suppressLineNumbers/>
      <w:suppressAutoHyphens/>
    </w:pPr>
    <w:rPr>
      <w:rFonts w:ascii="Times New Roman" w:hAnsi="Times New Roman"/>
      <w:kern w:val="1"/>
      <w:szCs w:val="20"/>
      <w:lang w:eastAsia="ar-SA"/>
    </w:rPr>
  </w:style>
  <w:style w:type="paragraph" w:customStyle="1" w:styleId="251">
    <w:name w:val="font8"/>
    <w:basedOn w:val="1"/>
    <w:qFormat/>
    <w:uiPriority w:val="0"/>
    <w:pPr>
      <w:widowControl/>
      <w:spacing w:before="100" w:beforeAutospacing="1" w:after="100" w:afterAutospacing="1"/>
      <w:jc w:val="left"/>
    </w:pPr>
    <w:rPr>
      <w:rFonts w:ascii="Times New Roman" w:hAnsi="Times New Roman"/>
      <w:kern w:val="0"/>
      <w:sz w:val="24"/>
      <w:szCs w:val="20"/>
    </w:rPr>
  </w:style>
  <w:style w:type="paragraph" w:customStyle="1" w:styleId="252">
    <w:name w:val="xl28"/>
    <w:basedOn w:val="1"/>
    <w:qFormat/>
    <w:uiPriority w:val="0"/>
    <w:pPr>
      <w:widowControl/>
      <w:pBdr>
        <w:bottom w:val="single" w:color="000000" w:sz="4" w:space="0"/>
      </w:pBdr>
      <w:spacing w:before="100" w:beforeAutospacing="1" w:after="100" w:afterAutospacing="1"/>
      <w:jc w:val="left"/>
      <w:textAlignment w:val="center"/>
    </w:pPr>
    <w:rPr>
      <w:rFonts w:hint="eastAsia" w:ascii="仿宋_GB2312" w:hAnsi="宋体" w:eastAsia="仿宋_GB2312"/>
      <w:kern w:val="0"/>
      <w:sz w:val="24"/>
      <w:szCs w:val="20"/>
    </w:rPr>
  </w:style>
  <w:style w:type="paragraph" w:customStyle="1" w:styleId="253">
    <w:name w:val="TOC Heading"/>
    <w:basedOn w:val="3"/>
    <w:next w:val="1"/>
    <w:qFormat/>
    <w:uiPriority w:val="0"/>
    <w:pPr>
      <w:widowControl/>
      <w:spacing w:before="480" w:after="0" w:line="276" w:lineRule="auto"/>
      <w:jc w:val="left"/>
      <w:outlineLvl w:val="9"/>
    </w:pPr>
    <w:rPr>
      <w:rFonts w:ascii="Cambria" w:hAnsi="Cambria"/>
      <w:bCs/>
      <w:color w:val="365F91"/>
      <w:kern w:val="0"/>
    </w:rPr>
  </w:style>
  <w:style w:type="paragraph" w:customStyle="1" w:styleId="254">
    <w:name w:val="自正文3"/>
    <w:basedOn w:val="1"/>
    <w:qFormat/>
    <w:uiPriority w:val="0"/>
    <w:pPr>
      <w:tabs>
        <w:tab w:val="left" w:pos="851"/>
      </w:tabs>
      <w:ind w:firstLine="454"/>
    </w:pPr>
    <w:rPr>
      <w:rFonts w:ascii="Times New Roman" w:hAnsi="Times New Roman"/>
      <w:szCs w:val="20"/>
    </w:rPr>
  </w:style>
  <w:style w:type="paragraph" w:customStyle="1" w:styleId="255">
    <w:name w:val="xl33"/>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hint="eastAsia" w:ascii="仿宋_GB2312" w:hAnsi="宋体" w:eastAsia="仿宋_GB2312"/>
      <w:color w:val="000000"/>
      <w:kern w:val="0"/>
      <w:sz w:val="24"/>
      <w:szCs w:val="20"/>
    </w:rPr>
  </w:style>
  <w:style w:type="paragraph" w:customStyle="1" w:styleId="256">
    <w:name w:val="Normal_0"/>
    <w:qFormat/>
    <w:uiPriority w:val="0"/>
    <w:rPr>
      <w:rFonts w:ascii="Times New Roman" w:hAnsi="Times New Roman" w:eastAsia="Times New Roman" w:cs="Times New Roman"/>
      <w:sz w:val="24"/>
      <w:szCs w:val="24"/>
      <w:lang w:val="en-US" w:eastAsia="zh-CN" w:bidi="ar-SA"/>
    </w:rPr>
  </w:style>
  <w:style w:type="paragraph" w:customStyle="1" w:styleId="257">
    <w:name w:val=" Char1 Char Char1 Char Char Char Char Char Char Char Char Char Char"/>
    <w:basedOn w:val="1"/>
    <w:qFormat/>
    <w:uiPriority w:val="0"/>
    <w:pPr>
      <w:numPr>
        <w:ilvl w:val="0"/>
        <w:numId w:val="1"/>
      </w:numPr>
      <w:tabs>
        <w:tab w:val="left" w:pos="1080"/>
        <w:tab w:val="left" w:pos="1350"/>
      </w:tabs>
    </w:pPr>
    <w:rPr>
      <w:rFonts w:ascii="Times New Roman" w:hAnsi="Times New Roman"/>
      <w:szCs w:val="20"/>
    </w:rPr>
  </w:style>
  <w:style w:type="paragraph" w:customStyle="1" w:styleId="258">
    <w:name w:val="样式 首行缩进:  2 字符"/>
    <w:basedOn w:val="1"/>
    <w:qFormat/>
    <w:uiPriority w:val="0"/>
    <w:pPr>
      <w:spacing w:line="360" w:lineRule="auto"/>
      <w:ind w:firstLine="420" w:firstLineChars="200"/>
    </w:pPr>
    <w:rPr>
      <w:rFonts w:ascii="仿宋_GB2312" w:hAnsi="Times New Roman"/>
      <w:sz w:val="30"/>
      <w:szCs w:val="32"/>
    </w:rPr>
  </w:style>
  <w:style w:type="paragraph" w:customStyle="1" w:styleId="259">
    <w:name w:val="+标题2"/>
    <w:basedOn w:val="4"/>
    <w:qFormat/>
    <w:uiPriority w:val="0"/>
    <w:pPr>
      <w:numPr>
        <w:ilvl w:val="1"/>
        <w:numId w:val="5"/>
      </w:numPr>
      <w:tabs>
        <w:tab w:val="left" w:pos="1053"/>
        <w:tab w:val="left" w:pos="1480"/>
      </w:tabs>
      <w:spacing w:line="360" w:lineRule="auto"/>
      <w:jc w:val="both"/>
    </w:pPr>
    <w:rPr>
      <w:rFonts w:ascii="Times New Roman" w:hAnsi="Times New Roman"/>
      <w:bCs/>
      <w:color w:val="auto"/>
      <w:szCs w:val="28"/>
    </w:rPr>
  </w:style>
  <w:style w:type="paragraph" w:customStyle="1" w:styleId="260">
    <w:name w:val="_Style 259"/>
    <w:semiHidden/>
    <w:qFormat/>
    <w:uiPriority w:val="99"/>
    <w:rPr>
      <w:rFonts w:ascii="Times New Roman" w:hAnsi="Times New Roman" w:eastAsia="宋体" w:cs="Times New Roman"/>
      <w:kern w:val="2"/>
      <w:sz w:val="21"/>
      <w:lang w:val="en-US" w:eastAsia="zh-CN" w:bidi="ar-SA"/>
    </w:rPr>
  </w:style>
  <w:style w:type="paragraph" w:customStyle="1" w:styleId="261">
    <w:name w:val="Char Char Char Char Char Char Char Char Char Char"/>
    <w:basedOn w:val="1"/>
    <w:qFormat/>
    <w:uiPriority w:val="0"/>
    <w:pPr>
      <w:widowControl/>
      <w:spacing w:after="160" w:line="240" w:lineRule="exact"/>
      <w:jc w:val="left"/>
    </w:pPr>
    <w:rPr>
      <w:rFonts w:ascii="Times New Roman" w:hAnsi="Times New Roman" w:eastAsia="楷体_GB2312"/>
      <w:szCs w:val="20"/>
    </w:rPr>
  </w:style>
  <w:style w:type="paragraph" w:customStyle="1" w:styleId="262">
    <w:name w:val="_Style 3"/>
    <w:basedOn w:val="1"/>
    <w:qFormat/>
    <w:uiPriority w:val="0"/>
    <w:pPr>
      <w:ind w:firstLine="420" w:firstLineChars="200"/>
    </w:pPr>
    <w:rPr>
      <w:sz w:val="20"/>
      <w:szCs w:val="24"/>
    </w:rPr>
  </w:style>
  <w:style w:type="paragraph" w:customStyle="1" w:styleId="26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64">
    <w:name w:val=" Char Char Char Char Char Char1 Char"/>
    <w:basedOn w:val="1"/>
    <w:qFormat/>
    <w:uiPriority w:val="0"/>
    <w:pPr>
      <w:widowControl/>
      <w:spacing w:after="160" w:line="240" w:lineRule="exact"/>
      <w:jc w:val="left"/>
    </w:pPr>
    <w:rPr>
      <w:rFonts w:ascii="Verdana" w:hAnsi="Verdana" w:eastAsia="仿宋_GB2312"/>
      <w:kern w:val="0"/>
      <w:sz w:val="24"/>
      <w:szCs w:val="32"/>
      <w:lang w:eastAsia="en-US"/>
    </w:rPr>
  </w:style>
  <w:style w:type="paragraph" w:customStyle="1" w:styleId="265">
    <w:name w:val="xl40"/>
    <w:basedOn w:val="1"/>
    <w:qFormat/>
    <w:uiPriority w:val="0"/>
    <w:pPr>
      <w:widowControl/>
      <w:pBdr>
        <w:bottom w:val="single" w:color="000000" w:sz="4" w:space="0"/>
        <w:right w:val="single" w:color="000000" w:sz="4" w:space="0"/>
      </w:pBdr>
      <w:spacing w:before="100" w:beforeAutospacing="1" w:after="100" w:afterAutospacing="1"/>
      <w:jc w:val="left"/>
    </w:pPr>
    <w:rPr>
      <w:rFonts w:ascii="宋体" w:hAnsi="宋体"/>
      <w:kern w:val="0"/>
      <w:sz w:val="24"/>
      <w:szCs w:val="20"/>
    </w:rPr>
  </w:style>
  <w:style w:type="paragraph" w:customStyle="1" w:styleId="266">
    <w:name w:val="xl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hint="eastAsia" w:ascii="仿宋_GB2312" w:hAnsi="宋体" w:eastAsia="仿宋_GB2312"/>
      <w:b/>
      <w:color w:val="000000"/>
      <w:kern w:val="0"/>
      <w:sz w:val="24"/>
      <w:szCs w:val="20"/>
    </w:rPr>
  </w:style>
  <w:style w:type="paragraph" w:customStyle="1" w:styleId="267">
    <w:name w:val="日期1"/>
    <w:basedOn w:val="1"/>
    <w:next w:val="1"/>
    <w:qFormat/>
    <w:uiPriority w:val="0"/>
    <w:pPr>
      <w:suppressAutoHyphens/>
      <w:ind w:left="100"/>
    </w:pPr>
    <w:rPr>
      <w:rFonts w:ascii="Times New Roman" w:hAnsi="Times New Roman"/>
      <w:kern w:val="1"/>
      <w:szCs w:val="20"/>
      <w:lang w:eastAsia="ar-SA"/>
    </w:rPr>
  </w:style>
  <w:style w:type="paragraph" w:customStyle="1" w:styleId="268">
    <w:name w:val="自标题2"/>
    <w:basedOn w:val="48"/>
    <w:qFormat/>
    <w:uiPriority w:val="0"/>
    <w:pPr>
      <w:spacing w:before="0" w:after="0"/>
      <w:jc w:val="both"/>
    </w:pPr>
    <w:rPr>
      <w:rFonts w:ascii="宋体" w:hAnsi="宋体"/>
      <w:b w:val="0"/>
      <w:sz w:val="24"/>
    </w:rPr>
  </w:style>
  <w:style w:type="paragraph" w:customStyle="1" w:styleId="269">
    <w:name w:val="文二"/>
    <w:basedOn w:val="1"/>
    <w:qFormat/>
    <w:uiPriority w:val="0"/>
    <w:pPr>
      <w:jc w:val="left"/>
    </w:pPr>
    <w:rPr>
      <w:rFonts w:ascii="宋体" w:hAnsi="宋体"/>
      <w:szCs w:val="21"/>
    </w:rPr>
  </w:style>
  <w:style w:type="paragraph" w:customStyle="1" w:styleId="270">
    <w:name w:val="xl38"/>
    <w:basedOn w:val="1"/>
    <w:qFormat/>
    <w:uiPriority w:val="0"/>
    <w:pPr>
      <w:widowControl/>
      <w:pBdr>
        <w:left w:val="single" w:color="000000" w:sz="4" w:space="0"/>
        <w:bottom w:val="single" w:color="000000" w:sz="4" w:space="0"/>
      </w:pBdr>
      <w:spacing w:before="100" w:beforeAutospacing="1" w:after="100" w:afterAutospacing="1"/>
      <w:jc w:val="left"/>
      <w:textAlignment w:val="center"/>
    </w:pPr>
    <w:rPr>
      <w:rFonts w:ascii="Times New Roman" w:hAnsi="Times New Roman"/>
      <w:kern w:val="0"/>
      <w:sz w:val="24"/>
      <w:szCs w:val="20"/>
    </w:rPr>
  </w:style>
  <w:style w:type="paragraph" w:customStyle="1" w:styleId="271">
    <w:name w:val="xl31"/>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hint="eastAsia" w:ascii="仿宋_GB2312" w:hAnsi="宋体" w:eastAsia="仿宋_GB2312"/>
      <w:color w:val="000000"/>
      <w:kern w:val="0"/>
      <w:sz w:val="24"/>
      <w:szCs w:val="20"/>
    </w:rPr>
  </w:style>
  <w:style w:type="paragraph" w:customStyle="1" w:styleId="272">
    <w:name w:val="公文标题"/>
    <w:basedOn w:val="5"/>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273">
    <w:name w:val="Char Char Char Char"/>
    <w:basedOn w:val="1"/>
    <w:qFormat/>
    <w:uiPriority w:val="0"/>
    <w:rPr>
      <w:rFonts w:ascii="Times New Roman" w:hAnsi="Times New Roman"/>
      <w:sz w:val="30"/>
      <w:szCs w:val="24"/>
    </w:rPr>
  </w:style>
  <w:style w:type="paragraph" w:customStyle="1" w:styleId="274">
    <w:name w:val="Char2 Char Char Char Char"/>
    <w:basedOn w:val="1"/>
    <w:qFormat/>
    <w:uiPriority w:val="0"/>
    <w:rPr>
      <w:rFonts w:ascii="Times New Roman" w:hAnsi="Times New Roman"/>
      <w:szCs w:val="24"/>
    </w:rPr>
  </w:style>
  <w:style w:type="paragraph" w:customStyle="1" w:styleId="275">
    <w:name w:val="正文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76">
    <w:name w:val="xl36"/>
    <w:basedOn w:val="1"/>
    <w:qFormat/>
    <w:uiPriority w:val="0"/>
    <w:pPr>
      <w:widowControl/>
      <w:pBdr>
        <w:top w:val="single" w:color="000000" w:sz="4" w:space="0"/>
      </w:pBdr>
      <w:spacing w:before="100" w:beforeAutospacing="1" w:after="100" w:afterAutospacing="1"/>
      <w:jc w:val="left"/>
      <w:textAlignment w:val="center"/>
    </w:pPr>
    <w:rPr>
      <w:rFonts w:ascii="宋体" w:hAnsi="宋体"/>
      <w:kern w:val="0"/>
      <w:sz w:val="24"/>
      <w:szCs w:val="20"/>
    </w:rPr>
  </w:style>
  <w:style w:type="paragraph" w:customStyle="1" w:styleId="277">
    <w:name w:val="自标题3"/>
    <w:basedOn w:val="1"/>
    <w:qFormat/>
    <w:uiPriority w:val="0"/>
    <w:rPr>
      <w:rFonts w:ascii="Times New Roman" w:hAnsi="Times New Roman"/>
      <w:szCs w:val="20"/>
    </w:rPr>
  </w:style>
  <w:style w:type="paragraph" w:customStyle="1" w:styleId="278">
    <w:name w:val="Default"/>
    <w:qFormat/>
    <w:uiPriority w:val="0"/>
    <w:pPr>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9">
    <w:name w:val="xl27"/>
    <w:basedOn w:val="1"/>
    <w:qFormat/>
    <w:uiPriority w:val="0"/>
    <w:pPr>
      <w:widowControl/>
      <w:pBdr>
        <w:bottom w:val="single" w:color="000000" w:sz="4" w:space="0"/>
      </w:pBdr>
      <w:spacing w:before="100" w:beforeAutospacing="1" w:after="100" w:afterAutospacing="1"/>
      <w:jc w:val="left"/>
      <w:textAlignment w:val="center"/>
    </w:pPr>
    <w:rPr>
      <w:rFonts w:hint="eastAsia" w:ascii="仿宋_GB2312" w:hAnsi="宋体" w:eastAsia="仿宋_GB2312"/>
      <w:color w:val="000000"/>
      <w:kern w:val="0"/>
      <w:sz w:val="24"/>
      <w:szCs w:val="20"/>
    </w:rPr>
  </w:style>
  <w:style w:type="paragraph" w:customStyle="1" w:styleId="280">
    <w:name w:val="正文首行缩进 New New"/>
    <w:basedOn w:val="19"/>
    <w:qFormat/>
    <w:uiPriority w:val="0"/>
    <w:pPr>
      <w:ind w:firstLine="420"/>
    </w:pPr>
    <w:rPr>
      <w:rFonts w:eastAsia="楷体_GB2312"/>
    </w:rPr>
  </w:style>
  <w:style w:type="paragraph" w:customStyle="1" w:styleId="281">
    <w:name w:val="xl37"/>
    <w:basedOn w:val="1"/>
    <w:qFormat/>
    <w:uiPriority w:val="0"/>
    <w:pPr>
      <w:widowControl/>
      <w:pBdr>
        <w:top w:val="single" w:color="000000" w:sz="4" w:space="0"/>
        <w:right w:val="single" w:color="000000" w:sz="4" w:space="0"/>
      </w:pBdr>
      <w:spacing w:before="100" w:beforeAutospacing="1" w:after="100" w:afterAutospacing="1"/>
      <w:jc w:val="left"/>
      <w:textAlignment w:val="center"/>
    </w:pPr>
    <w:rPr>
      <w:rFonts w:ascii="宋体" w:hAnsi="宋体"/>
      <w:kern w:val="0"/>
      <w:sz w:val="24"/>
      <w:szCs w:val="20"/>
    </w:rPr>
  </w:style>
  <w:style w:type="paragraph" w:customStyle="1" w:styleId="282">
    <w:name w:val="标签"/>
    <w:basedOn w:val="1"/>
    <w:qFormat/>
    <w:uiPriority w:val="0"/>
    <w:pPr>
      <w:suppressLineNumbers/>
      <w:suppressAutoHyphens/>
      <w:spacing w:before="120" w:after="120"/>
    </w:pPr>
    <w:rPr>
      <w:rFonts w:ascii="Times New Roman" w:hAnsi="Times New Roman"/>
      <w:i/>
      <w:iCs/>
      <w:kern w:val="1"/>
      <w:sz w:val="24"/>
      <w:szCs w:val="24"/>
      <w:lang w:eastAsia="ar-SA"/>
    </w:rPr>
  </w:style>
  <w:style w:type="paragraph" w:customStyle="1" w:styleId="283">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284">
    <w:name w:val="font7"/>
    <w:basedOn w:val="1"/>
    <w:qFormat/>
    <w:uiPriority w:val="0"/>
    <w:pPr>
      <w:widowControl/>
      <w:spacing w:before="100" w:beforeAutospacing="1" w:after="100" w:afterAutospacing="1"/>
      <w:jc w:val="left"/>
    </w:pPr>
    <w:rPr>
      <w:rFonts w:ascii="Times New Roman" w:hAnsi="Times New Roman"/>
      <w:color w:val="000000"/>
      <w:kern w:val="0"/>
      <w:sz w:val="40"/>
      <w:szCs w:val="20"/>
    </w:rPr>
  </w:style>
  <w:style w:type="paragraph" w:customStyle="1" w:styleId="285">
    <w:name w:val="_Style 25"/>
    <w:basedOn w:val="1"/>
    <w:next w:val="1"/>
    <w:qFormat/>
    <w:uiPriority w:val="0"/>
  </w:style>
  <w:style w:type="paragraph" w:customStyle="1" w:styleId="286">
    <w:name w:val="表格"/>
    <w:basedOn w:val="1"/>
    <w:qFormat/>
    <w:uiPriority w:val="0"/>
    <w:pPr>
      <w:jc w:val="center"/>
      <w:textAlignment w:val="center"/>
    </w:pPr>
    <w:rPr>
      <w:rFonts w:ascii="华文细黑" w:hAnsi="华文细黑"/>
      <w:kern w:val="0"/>
      <w:szCs w:val="20"/>
    </w:rPr>
  </w:style>
  <w:style w:type="paragraph" w:customStyle="1" w:styleId="287">
    <w:name w:val="空半行"/>
    <w:basedOn w:val="1"/>
    <w:qFormat/>
    <w:uiPriority w:val="0"/>
    <w:pPr>
      <w:adjustRightInd w:val="0"/>
      <w:spacing w:line="120" w:lineRule="exact"/>
      <w:textAlignment w:val="baseline"/>
    </w:pPr>
    <w:rPr>
      <w:rFonts w:ascii="Times New Roman" w:hAnsi="Times New Roman" w:eastAsia="仿宋_GB2312"/>
      <w:color w:val="FFFFFF"/>
      <w:kern w:val="0"/>
      <w:sz w:val="30"/>
      <w:szCs w:val="20"/>
    </w:rPr>
  </w:style>
  <w:style w:type="paragraph" w:styleId="288">
    <w:name w:val="List Paragraph"/>
    <w:basedOn w:val="1"/>
    <w:qFormat/>
    <w:uiPriority w:val="34"/>
    <w:pPr>
      <w:ind w:firstLine="420" w:firstLineChars="200"/>
    </w:pPr>
    <w:rPr>
      <w:rFonts w:ascii="Times New Roman" w:hAnsi="Times New Roman"/>
      <w:szCs w:val="20"/>
    </w:rPr>
  </w:style>
  <w:style w:type="paragraph" w:customStyle="1" w:styleId="289">
    <w:name w:val="font6"/>
    <w:basedOn w:val="1"/>
    <w:qFormat/>
    <w:uiPriority w:val="0"/>
    <w:pPr>
      <w:widowControl/>
      <w:spacing w:before="100" w:beforeAutospacing="1" w:after="100" w:afterAutospacing="1"/>
      <w:jc w:val="left"/>
    </w:pPr>
    <w:rPr>
      <w:rFonts w:hint="eastAsia" w:ascii="宋体" w:hAnsi="宋体"/>
      <w:color w:val="000000"/>
      <w:kern w:val="0"/>
      <w:sz w:val="40"/>
      <w:szCs w:val="20"/>
    </w:rPr>
  </w:style>
  <w:style w:type="paragraph" w:customStyle="1" w:styleId="290">
    <w:name w:val="3 Char Char Char Char Char Char Char"/>
    <w:basedOn w:val="1"/>
    <w:qFormat/>
    <w:uiPriority w:val="0"/>
    <w:pPr>
      <w:adjustRightInd w:val="0"/>
      <w:snapToGrid w:val="0"/>
      <w:spacing w:line="400" w:lineRule="exact"/>
      <w:ind w:firstLine="200" w:firstLineChars="200"/>
    </w:pPr>
    <w:rPr>
      <w:rFonts w:ascii="Times New Roman" w:hAnsi="Times New Roman"/>
      <w:sz w:val="24"/>
      <w:szCs w:val="20"/>
    </w:rPr>
  </w:style>
  <w:style w:type="paragraph" w:customStyle="1" w:styleId="291">
    <w:name w:val="发文落款"/>
    <w:basedOn w:val="263"/>
    <w:qFormat/>
    <w:uiPriority w:val="0"/>
    <w:pPr>
      <w:ind w:left="4094" w:right="607" w:firstLine="0"/>
      <w:jc w:val="center"/>
    </w:pPr>
  </w:style>
  <w:style w:type="paragraph" w:customStyle="1" w:styleId="292">
    <w:name w:val="章节二"/>
    <w:basedOn w:val="140"/>
    <w:next w:val="140"/>
    <w:qFormat/>
    <w:uiPriority w:val="0"/>
    <w:pPr>
      <w:spacing w:beforeLines="50" w:afterLines="50" w:line="240" w:lineRule="auto"/>
      <w:ind w:firstLine="0" w:firstLineChars="0"/>
      <w:jc w:val="center"/>
      <w:outlineLvl w:val="1"/>
    </w:pPr>
    <w:rPr>
      <w:rFonts w:eastAsia="黑体"/>
      <w:b/>
      <w:sz w:val="30"/>
      <w:szCs w:val="30"/>
    </w:rPr>
  </w:style>
  <w:style w:type="paragraph" w:customStyle="1" w:styleId="293">
    <w:name w:val="_Style 292"/>
    <w:basedOn w:val="3"/>
    <w:next w:val="1"/>
    <w:qFormat/>
    <w:uiPriority w:val="39"/>
    <w:pPr>
      <w:widowControl/>
      <w:spacing w:before="480" w:after="0" w:line="276" w:lineRule="auto"/>
      <w:outlineLvl w:val="9"/>
    </w:pPr>
    <w:rPr>
      <w:rFonts w:ascii="Cambria" w:hAnsi="Cambria"/>
      <w:color w:val="365F91"/>
      <w:kern w:val="0"/>
    </w:rPr>
  </w:style>
  <w:style w:type="paragraph" w:customStyle="1" w:styleId="294">
    <w:name w:val="章节三"/>
    <w:basedOn w:val="140"/>
    <w:next w:val="140"/>
    <w:qFormat/>
    <w:uiPriority w:val="0"/>
    <w:pPr>
      <w:spacing w:beforeLines="50" w:afterLines="50" w:line="240" w:lineRule="auto"/>
      <w:ind w:firstLine="0" w:firstLineChars="0"/>
      <w:jc w:val="left"/>
      <w:outlineLvl w:val="2"/>
    </w:pPr>
    <w:rPr>
      <w:rFonts w:ascii="黑体" w:hAnsi="宋体" w:eastAsia="黑体"/>
      <w:b/>
    </w:rPr>
  </w:style>
  <w:style w:type="paragraph" w:customStyle="1" w:styleId="295">
    <w:name w:val="正文文本缩进 31"/>
    <w:basedOn w:val="1"/>
    <w:qFormat/>
    <w:uiPriority w:val="0"/>
    <w:pPr>
      <w:suppressAutoHyphens/>
      <w:spacing w:after="120"/>
      <w:ind w:left="420"/>
    </w:pPr>
    <w:rPr>
      <w:rFonts w:ascii="Times New Roman" w:hAnsi="Times New Roman"/>
      <w:kern w:val="1"/>
      <w:sz w:val="16"/>
      <w:szCs w:val="20"/>
      <w:lang w:eastAsia="ar-SA"/>
    </w:rPr>
  </w:style>
  <w:style w:type="paragraph" w:customStyle="1" w:styleId="296">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7">
    <w:name w:val="xl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hint="eastAsia" w:ascii="仿宋_GB2312" w:hAnsi="宋体" w:eastAsia="仿宋_GB2312"/>
      <w:b/>
      <w:kern w:val="0"/>
      <w:sz w:val="24"/>
      <w:szCs w:val="20"/>
    </w:rPr>
  </w:style>
  <w:style w:type="paragraph" w:customStyle="1" w:styleId="298">
    <w:name w:val="正文 New"/>
    <w:qFormat/>
    <w:uiPriority w:val="0"/>
    <w:pPr>
      <w:widowControl w:val="0"/>
      <w:jc w:val="both"/>
    </w:pPr>
    <w:rPr>
      <w:rFonts w:ascii="Times New Roman" w:hAnsi="Times New Roman" w:eastAsia="楷体_GB2312" w:cs="Times New Roman"/>
      <w:kern w:val="2"/>
      <w:sz w:val="21"/>
      <w:szCs w:val="22"/>
      <w:lang w:val="en-US" w:eastAsia="zh-CN" w:bidi="ar-SA"/>
    </w:rPr>
  </w:style>
  <w:style w:type="paragraph" w:customStyle="1" w:styleId="299">
    <w:name w:val="xl29"/>
    <w:basedOn w:val="1"/>
    <w:qFormat/>
    <w:uiPriority w:val="0"/>
    <w:pPr>
      <w:widowControl/>
      <w:spacing w:before="100" w:beforeAutospacing="1" w:after="100" w:afterAutospacing="1"/>
      <w:jc w:val="center"/>
      <w:textAlignment w:val="center"/>
    </w:pPr>
    <w:rPr>
      <w:rFonts w:hint="eastAsia" w:ascii="仿宋_GB2312" w:hAnsi="宋体" w:eastAsia="仿宋_GB2312"/>
      <w:color w:val="000000"/>
      <w:kern w:val="0"/>
      <w:sz w:val="24"/>
      <w:szCs w:val="20"/>
    </w:rPr>
  </w:style>
  <w:style w:type="paragraph" w:customStyle="1" w:styleId="300">
    <w:name w:val=" Char Char Char1 Char"/>
    <w:basedOn w:val="16"/>
    <w:qFormat/>
    <w:uiPriority w:val="0"/>
    <w:rPr>
      <w:rFonts w:ascii="Tahoma" w:hAnsi="Tahoma"/>
      <w:sz w:val="24"/>
    </w:rPr>
  </w:style>
  <w:style w:type="paragraph" w:customStyle="1" w:styleId="301">
    <w:name w:val="正文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02">
    <w:name w:val="PlainText"/>
    <w:basedOn w:val="1"/>
    <w:qFormat/>
    <w:uiPriority w:val="0"/>
    <w:pPr>
      <w:textAlignment w:val="baseline"/>
    </w:pPr>
    <w:rPr>
      <w:rFonts w:ascii="宋体" w:hAnsi="Courier New" w:cs="Calibri"/>
      <w:color w:val="000000"/>
      <w:kern w:val="0"/>
      <w:sz w:val="20"/>
      <w:szCs w:val="20"/>
    </w:rPr>
  </w:style>
  <w:style w:type="paragraph" w:customStyle="1" w:styleId="303">
    <w:name w:val="正文文本 21"/>
    <w:basedOn w:val="1"/>
    <w:qFormat/>
    <w:uiPriority w:val="0"/>
    <w:pPr>
      <w:suppressAutoHyphens/>
    </w:pPr>
    <w:rPr>
      <w:rFonts w:ascii="Times New Roman" w:hAnsi="Times New Roman" w:eastAsia="楷体_GB2312"/>
      <w:b/>
      <w:kern w:val="1"/>
      <w:szCs w:val="20"/>
      <w:lang w:eastAsia="ar-SA"/>
    </w:rPr>
  </w:style>
  <w:style w:type="paragraph" w:customStyle="1" w:styleId="304">
    <w:name w:val="纯文本1"/>
    <w:basedOn w:val="1"/>
    <w:qFormat/>
    <w:uiPriority w:val="0"/>
    <w:pPr>
      <w:suppressAutoHyphens/>
    </w:pPr>
    <w:rPr>
      <w:rFonts w:ascii="宋体" w:hAnsi="宋体"/>
      <w:kern w:val="1"/>
      <w:szCs w:val="20"/>
      <w:lang w:eastAsia="ar-SA"/>
    </w:rPr>
  </w:style>
  <w:style w:type="paragraph" w:customStyle="1" w:styleId="305">
    <w:name w:val="正文首行缩进 New"/>
    <w:basedOn w:val="19"/>
    <w:qFormat/>
    <w:uiPriority w:val="0"/>
    <w:pPr>
      <w:ind w:firstLine="420"/>
    </w:pPr>
    <w:rPr>
      <w:rFonts w:eastAsia="楷体_GB2312"/>
    </w:rPr>
  </w:style>
  <w:style w:type="paragraph" w:customStyle="1" w:styleId="306">
    <w:name w:val="标题1"/>
    <w:basedOn w:val="1"/>
    <w:next w:val="19"/>
    <w:qFormat/>
    <w:uiPriority w:val="0"/>
    <w:pPr>
      <w:keepNext/>
      <w:suppressAutoHyphens/>
      <w:spacing w:before="240" w:after="120"/>
    </w:pPr>
    <w:rPr>
      <w:rFonts w:ascii="DejaVu Sans" w:hAnsi="DejaVu Sans" w:eastAsia="DejaVu Sans" w:cs="DejaVu Sans"/>
      <w:kern w:val="1"/>
      <w:sz w:val="28"/>
      <w:szCs w:val="28"/>
      <w:lang w:eastAsia="ar-SA"/>
    </w:rPr>
  </w:style>
  <w:style w:type="paragraph" w:customStyle="1" w:styleId="307">
    <w:name w:val="xl25"/>
    <w:basedOn w:val="1"/>
    <w:qFormat/>
    <w:uiPriority w:val="0"/>
    <w:pPr>
      <w:widowControl/>
      <w:spacing w:before="100" w:beforeAutospacing="1" w:after="100" w:afterAutospacing="1"/>
      <w:jc w:val="center"/>
      <w:textAlignment w:val="center"/>
    </w:pPr>
    <w:rPr>
      <w:rFonts w:ascii="宋体" w:hAnsi="宋体"/>
      <w:color w:val="000000"/>
      <w:kern w:val="0"/>
      <w:sz w:val="40"/>
      <w:szCs w:val="20"/>
    </w:rPr>
  </w:style>
  <w:style w:type="paragraph" w:customStyle="1" w:styleId="308">
    <w:name w:val="Char Char Char1 Char"/>
    <w:basedOn w:val="16"/>
    <w:qFormat/>
    <w:uiPriority w:val="0"/>
    <w:rPr>
      <w:rFonts w:ascii="Tahoma" w:hAnsi="Tahoma"/>
      <w:sz w:val="24"/>
      <w:szCs w:val="24"/>
    </w:rPr>
  </w:style>
  <w:style w:type="paragraph" w:customStyle="1" w:styleId="309">
    <w:name w:val="xl26"/>
    <w:basedOn w:val="1"/>
    <w:qFormat/>
    <w:uiPriority w:val="0"/>
    <w:pPr>
      <w:widowControl/>
      <w:numPr>
        <w:ilvl w:val="0"/>
        <w:numId w:val="3"/>
      </w:numPr>
      <w:pBdr>
        <w:left w:val="single" w:color="auto" w:sz="4" w:space="0"/>
        <w:bottom w:val="single" w:color="auto" w:sz="4" w:space="0"/>
        <w:right w:val="single" w:color="auto" w:sz="4" w:space="0"/>
      </w:pBdr>
      <w:tabs>
        <w:tab w:val="left" w:pos="360"/>
        <w:tab w:val="left" w:pos="840"/>
      </w:tabs>
      <w:spacing w:before="100" w:beforeAutospacing="1" w:after="100" w:afterAutospacing="1"/>
      <w:ind w:left="0" w:firstLine="0"/>
      <w:jc w:val="center"/>
    </w:pPr>
    <w:rPr>
      <w:rFonts w:ascii="宋体" w:hAnsi="宋体"/>
      <w:kern w:val="0"/>
      <w:sz w:val="24"/>
      <w:szCs w:val="24"/>
    </w:rPr>
  </w:style>
  <w:style w:type="paragraph" w:customStyle="1" w:styleId="310">
    <w:name w:val="xl32"/>
    <w:basedOn w:val="1"/>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hint="eastAsia" w:ascii="仿宋_GB2312" w:hAnsi="宋体" w:eastAsia="仿宋_GB2312"/>
      <w:color w:val="000000"/>
      <w:kern w:val="0"/>
      <w:sz w:val="24"/>
      <w:szCs w:val="20"/>
    </w:rPr>
  </w:style>
  <w:style w:type="paragraph" w:customStyle="1" w:styleId="311">
    <w:name w:val="xl2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hint="eastAsia" w:ascii="仿宋_GB2312" w:hAnsi="宋体" w:eastAsia="仿宋_GB2312"/>
      <w:color w:val="000000"/>
      <w:kern w:val="0"/>
      <w:sz w:val="24"/>
      <w:szCs w:val="20"/>
    </w:rPr>
  </w:style>
  <w:style w:type="paragraph" w:customStyle="1" w:styleId="312">
    <w:name w:val=" Char Char Char Char"/>
    <w:basedOn w:val="1"/>
    <w:qFormat/>
    <w:uiPriority w:val="0"/>
    <w:pPr>
      <w:spacing w:afterLines="50" w:line="520" w:lineRule="exact"/>
      <w:jc w:val="center"/>
    </w:pPr>
    <w:rPr>
      <w:rFonts w:ascii="Times New Roman" w:hAnsi="Times New Roman"/>
      <w:szCs w:val="24"/>
    </w:rPr>
  </w:style>
  <w:style w:type="paragraph" w:customStyle="1" w:styleId="313">
    <w:name w:val="公文抬头"/>
    <w:basedOn w:val="7"/>
    <w:qFormat/>
    <w:uiPriority w:val="0"/>
    <w:pPr>
      <w:ind w:firstLine="0"/>
    </w:pPr>
    <w:rPr>
      <w:rFonts w:ascii="仿宋_GB2312" w:eastAsia="仿宋_GB2312"/>
      <w:sz w:val="30"/>
      <w:szCs w:val="24"/>
    </w:rPr>
  </w:style>
  <w:style w:type="paragraph" w:customStyle="1" w:styleId="314">
    <w:name w:val="xl30"/>
    <w:basedOn w:val="1"/>
    <w:qFormat/>
    <w:uiPriority w:val="0"/>
    <w:pPr>
      <w:widowControl/>
      <w:spacing w:before="100" w:beforeAutospacing="1" w:after="100" w:afterAutospacing="1"/>
      <w:jc w:val="center"/>
      <w:textAlignment w:val="center"/>
    </w:pPr>
    <w:rPr>
      <w:rFonts w:hint="eastAsia" w:ascii="仿宋_GB2312" w:hAnsi="宋体" w:eastAsia="仿宋_GB2312"/>
      <w:kern w:val="0"/>
      <w:sz w:val="24"/>
      <w:szCs w:val="20"/>
    </w:rPr>
  </w:style>
  <w:style w:type="paragraph" w:customStyle="1" w:styleId="315">
    <w:name w:val="表头"/>
    <w:basedOn w:val="1"/>
    <w:qFormat/>
    <w:uiPriority w:val="0"/>
    <w:pPr>
      <w:spacing w:line="360" w:lineRule="auto"/>
      <w:jc w:val="center"/>
    </w:pPr>
    <w:rPr>
      <w:rFonts w:ascii="黑体" w:hAnsi="Times New Roman" w:eastAsia="黑体"/>
      <w:kern w:val="0"/>
      <w:sz w:val="24"/>
      <w:szCs w:val="20"/>
    </w:rPr>
  </w:style>
  <w:style w:type="paragraph" w:customStyle="1" w:styleId="316">
    <w:name w:val="自正文1"/>
    <w:basedOn w:val="1"/>
    <w:qFormat/>
    <w:uiPriority w:val="0"/>
    <w:pPr>
      <w:tabs>
        <w:tab w:val="left" w:pos="1395"/>
      </w:tabs>
      <w:ind w:left="315"/>
    </w:pPr>
    <w:rPr>
      <w:rFonts w:ascii="仿宋_GB2312" w:hAnsi="Times New Roman"/>
      <w:szCs w:val="32"/>
    </w:rPr>
  </w:style>
  <w:style w:type="paragraph" w:customStyle="1" w:styleId="317">
    <w:name w:val="xl2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hint="eastAsia" w:ascii="仿宋_GB2312" w:hAnsi="宋体" w:eastAsia="仿宋_GB2312"/>
      <w:color w:val="000000"/>
      <w:kern w:val="0"/>
      <w:sz w:val="24"/>
      <w:szCs w:val="20"/>
    </w:rPr>
  </w:style>
  <w:style w:type="paragraph" w:customStyle="1" w:styleId="318">
    <w:name w:val="表格标题"/>
    <w:basedOn w:val="218"/>
    <w:qFormat/>
    <w:uiPriority w:val="0"/>
    <w:pPr>
      <w:jc w:val="center"/>
    </w:pPr>
    <w:rPr>
      <w:b/>
      <w:bC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oleObject" Target="embeddings/oleObject2.bin"/><Relationship Id="rId31" Type="http://schemas.openxmlformats.org/officeDocument/2006/relationships/image" Target="media/image4.emf"/><Relationship Id="rId30" Type="http://schemas.openxmlformats.org/officeDocument/2006/relationships/oleObject" Target="embeddings/oleObject1.bin"/><Relationship Id="rId3" Type="http://schemas.openxmlformats.org/officeDocument/2006/relationships/header" Target="header1.xml"/><Relationship Id="rId29" Type="http://schemas.openxmlformats.org/officeDocument/2006/relationships/image" Target="media/image3.png"/><Relationship Id="rId28" Type="http://schemas.openxmlformats.org/officeDocument/2006/relationships/image" Target="media/image2.pn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4.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67</Pages>
  <Words>39569</Words>
  <Characters>42240</Characters>
  <Lines>238</Lines>
  <Paragraphs>67</Paragraphs>
  <TotalTime>108</TotalTime>
  <ScaleCrop>false</ScaleCrop>
  <LinksUpToDate>false</LinksUpToDate>
  <CharactersWithSpaces>44029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2021-12-30T07:39:00Z</dcterms:created>
  <dc:creator>Administrator</dc:creator>
  <cp:lastModifiedBy>半点心</cp:lastModifiedBy>
  <cp:lastPrinted>2023-05-04T07:52:42Z</cp:lastPrinted>
  <dcterms:modified xsi:type="dcterms:W3CDTF">2023-05-04T08:30:08Z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2EDCE168FF8F456EBDF77AD330ED7BA2_13</vt:lpwstr>
  </property>
  <property fmtid="{D5CDD505-2E9C-101B-9397-08002B2CF9AE}" pid="4" name="commondata">
    <vt:lpwstr>eyJoZGlkIjoiOGZhZmRjYjhhNTYxYzQ5ZTI4ODk1MTVkZGVhNmU2NWIifQ==</vt:lpwstr>
  </property>
</Properties>
</file>