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宋体" w:hAnsi="宋体"/>
          <w:b/>
          <w:bCs/>
          <w:color w:val="000000"/>
          <w:sz w:val="28"/>
          <w:szCs w:val="28"/>
          <w:highlight w:val="none"/>
        </w:rPr>
      </w:pPr>
    </w:p>
    <w:p>
      <w:pPr>
        <w:adjustRightInd w:val="0"/>
        <w:snapToGrid w:val="0"/>
        <w:spacing w:line="360" w:lineRule="auto"/>
        <w:rPr>
          <w:rFonts w:hint="eastAsia" w:ascii="宋体" w:hAnsi="宋体"/>
          <w:b/>
          <w:bCs/>
          <w:color w:val="000000"/>
          <w:sz w:val="28"/>
          <w:szCs w:val="28"/>
          <w:highlight w:val="none"/>
          <w:lang w:val="en-US" w:eastAsia="zh-CN"/>
        </w:rPr>
      </w:pPr>
      <w:r>
        <w:rPr>
          <w:rFonts w:hint="eastAsia" w:ascii="宋体" w:hAnsi="宋体"/>
          <w:b/>
          <w:bCs/>
          <w:color w:val="000000"/>
          <w:sz w:val="28"/>
          <w:szCs w:val="28"/>
          <w:highlight w:val="none"/>
        </w:rPr>
        <w:t>附件</w:t>
      </w:r>
      <w:r>
        <w:rPr>
          <w:rFonts w:hint="eastAsia" w:ascii="宋体" w:hAnsi="宋体"/>
          <w:b/>
          <w:bCs/>
          <w:color w:val="000000"/>
          <w:sz w:val="28"/>
          <w:szCs w:val="28"/>
          <w:highlight w:val="none"/>
          <w:lang w:val="en-US" w:eastAsia="zh-CN"/>
        </w:rPr>
        <w:t>1：项目概况</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b/>
          <w:color w:val="auto"/>
          <w:highlight w:val="none"/>
        </w:rPr>
      </w:pPr>
      <w:r>
        <w:rPr>
          <w:rFonts w:hint="eastAsia"/>
          <w:b/>
          <w:color w:val="auto"/>
          <w:highlight w:val="none"/>
        </w:rPr>
        <w:t xml:space="preserve"> 1.工程地点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color w:val="auto"/>
          <w:highlight w:val="none"/>
        </w:rPr>
      </w:pPr>
      <w:r>
        <w:rPr>
          <w:rFonts w:hint="eastAsia" w:ascii="宋体" w:hAnsi="宋体" w:cs="宋体"/>
          <w:color w:val="auto"/>
          <w:highlight w:val="none"/>
        </w:rPr>
        <w:t>广深高速公路共分三段：</w:t>
      </w:r>
      <w:r>
        <w:rPr>
          <w:rFonts w:ascii="宋体" w:hAnsi="宋体" w:cs="宋体"/>
          <w:color w:val="auto"/>
          <w:highlight w:val="none"/>
        </w:rPr>
        <w:t>S15沈海高速广州支线，从起点广氮至火村互通；G4/G15共线路段，从火村互通至鹤州互通；G4京港澳高速，从鹤州互通至皇岗收费站，全程约122公里</w:t>
      </w:r>
      <w:r>
        <w:rPr>
          <w:rFonts w:hint="eastAsia" w:ascii="宋体" w:hAnsi="宋体" w:cs="宋体"/>
          <w:color w:val="auto"/>
          <w:highlight w:val="none"/>
        </w:rPr>
        <w:t>，全线设置互通一般立交</w:t>
      </w:r>
      <w:r>
        <w:rPr>
          <w:rFonts w:ascii="宋体" w:hAnsi="宋体" w:cs="宋体"/>
          <w:color w:val="auto"/>
          <w:highlight w:val="none"/>
        </w:rPr>
        <w:t>19处，枢纽互通6处，路线与G1501在火村互通相接，与G9411在太平互通和五点梅互通相接。</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cs="宋体"/>
          <w:b/>
          <w:color w:val="auto"/>
          <w:highlight w:val="none"/>
        </w:rPr>
      </w:pPr>
      <w:r>
        <w:rPr>
          <w:rFonts w:ascii="宋体" w:hAnsi="宋体" w:cs="宋体"/>
          <w:b/>
          <w:color w:val="auto"/>
          <w:highlight w:val="none"/>
        </w:rPr>
        <w:t>2</w:t>
      </w:r>
      <w:r>
        <w:rPr>
          <w:rFonts w:ascii="宋体" w:cs="宋体"/>
          <w:b/>
          <w:color w:val="auto"/>
          <w:highlight w:val="none"/>
        </w:rPr>
        <w:t>.</w:t>
      </w:r>
      <w:r>
        <w:rPr>
          <w:rFonts w:hint="eastAsia" w:ascii="宋体" w:cs="宋体"/>
          <w:b/>
          <w:color w:val="auto"/>
          <w:highlight w:val="none"/>
          <w:lang w:val="en-US" w:eastAsia="zh-CN"/>
        </w:rPr>
        <w:t>1</w:t>
      </w:r>
      <w:r>
        <w:rPr>
          <w:rFonts w:hint="eastAsia" w:ascii="宋体" w:hAnsi="宋体" w:cs="宋体"/>
          <w:b/>
          <w:color w:val="auto"/>
          <w:highlight w:val="none"/>
        </w:rPr>
        <w:t>水文与气候条件</w:t>
      </w:r>
    </w:p>
    <w:p>
      <w:pPr>
        <w:adjustRightInd w:val="0"/>
        <w:snapToGrid w:val="0"/>
        <w:spacing w:line="360" w:lineRule="auto"/>
        <w:ind w:firstLine="420" w:firstLineChars="200"/>
        <w:outlineLvl w:val="9"/>
        <w:rPr>
          <w:rFonts w:ascii="宋体" w:hAnsi="宋体" w:cs="宋体"/>
          <w:color w:val="auto"/>
          <w:highlight w:val="none"/>
        </w:rPr>
      </w:pPr>
      <w:r>
        <w:rPr>
          <w:rFonts w:hint="eastAsia" w:ascii="宋体" w:hAnsi="宋体" w:cs="宋体"/>
          <w:color w:val="auto"/>
          <w:highlight w:val="none"/>
        </w:rPr>
        <w:t>本</w:t>
      </w:r>
      <w:r>
        <w:rPr>
          <w:rFonts w:hint="eastAsia" w:ascii="宋体" w:hAnsi="宋体" w:cs="宋体"/>
          <w:color w:val="auto"/>
          <w:highlight w:val="none"/>
          <w:lang w:val="en-US" w:eastAsia="zh-CN"/>
        </w:rPr>
        <w:t>项目区域</w:t>
      </w:r>
      <w:r>
        <w:rPr>
          <w:rFonts w:hint="eastAsia" w:ascii="宋体" w:hAnsi="宋体" w:cs="宋体"/>
          <w:color w:val="auto"/>
          <w:highlight w:val="none"/>
        </w:rPr>
        <w:t>属南亚热带海洋性季风气候，温暖潮湿，雨量充沛，年均气温21.9°C，1月平均温度13.1～13.3°C，7月平均温度28.7～29.0°C。年均降水量1600～1650mm，多集中在4～9月，占全年降水量80～83%，年蒸发量1400～1600mm，潮湿系数大于1。按《公路自然区域图》，本区属华南沿海台风区（Ⅳ7），夏秋两季常有强热带风暴侵袭本区，每年平均1～4次，风力常达7～9级，最大风力12级，风速最大可达34m/s。</w:t>
      </w:r>
    </w:p>
    <w:p>
      <w:pPr>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default" w:ascii="宋体" w:hAnsi="宋体" w:eastAsia="宋体" w:cs="宋体"/>
          <w:b/>
          <w:color w:val="auto"/>
          <w:sz w:val="21"/>
          <w:szCs w:val="24"/>
          <w:highlight w:val="none"/>
        </w:rPr>
      </w:pPr>
      <w:r>
        <w:rPr>
          <w:rFonts w:hint="eastAsia" w:ascii="宋体" w:hAnsi="宋体" w:cs="宋体"/>
          <w:b/>
          <w:color w:val="auto"/>
          <w:sz w:val="21"/>
          <w:szCs w:val="24"/>
          <w:highlight w:val="none"/>
          <w:lang w:val="en-US" w:eastAsia="zh-CN"/>
        </w:rPr>
        <w:t>2.2</w:t>
      </w:r>
      <w:r>
        <w:rPr>
          <w:rFonts w:hint="default" w:ascii="宋体" w:hAnsi="宋体" w:eastAsia="宋体" w:cs="宋体"/>
          <w:b/>
          <w:color w:val="auto"/>
          <w:sz w:val="21"/>
          <w:szCs w:val="24"/>
          <w:highlight w:val="none"/>
        </w:rPr>
        <w:t>工程地质与地震</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沿线地势较为平坦，地表以下25～60m深度内，均为第四系松散沉积层。</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cs="宋体"/>
          <w:b/>
          <w:color w:val="auto"/>
          <w:highlight w:val="none"/>
        </w:rPr>
      </w:pPr>
      <w:r>
        <w:rPr>
          <w:rFonts w:ascii="宋体" w:hAnsi="宋体" w:cs="宋体"/>
          <w:b/>
          <w:color w:val="auto"/>
          <w:highlight w:val="none"/>
        </w:rPr>
        <w:t>3.交通、动力供应及其它服务条件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cs="宋体"/>
          <w:color w:val="auto"/>
          <w:highlight w:val="none"/>
        </w:rPr>
      </w:pPr>
      <w:r>
        <w:rPr>
          <w:rFonts w:hint="eastAsia" w:ascii="宋体" w:hAnsi="宋体" w:cs="宋体"/>
          <w:color w:val="auto"/>
          <w:highlight w:val="none"/>
        </w:rPr>
        <w:t>本项目沿线有国、省道分布，镇、乡、村也基本通公路，运输条件好。能源、通信、医疗条件与服务设施齐全</w:t>
      </w:r>
      <w:r>
        <w:rPr>
          <w:rFonts w:ascii="宋体" w:cs="宋体"/>
          <w:color w:val="auto"/>
          <w:highlight w:val="none"/>
        </w:rPr>
        <w:t>,</w:t>
      </w:r>
      <w:r>
        <w:rPr>
          <w:rFonts w:hint="eastAsia" w:ascii="宋体" w:hAnsi="宋体" w:cs="宋体"/>
          <w:color w:val="auto"/>
          <w:highlight w:val="none"/>
        </w:rPr>
        <w:t>满足工程建设需要。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color w:val="auto"/>
          <w:highlight w:val="none"/>
        </w:rPr>
      </w:pPr>
      <w:r>
        <w:rPr>
          <w:rFonts w:hint="eastAsia" w:ascii="宋体" w:hAnsi="宋体" w:cs="宋体"/>
          <w:color w:val="auto"/>
          <w:highlight w:val="none"/>
        </w:rPr>
        <w:t>施工期间必须严格按照规定办理上路施工作业审批手续（办理施工公告、施工交通组织方案评审与施工许可审批费用等由</w:t>
      </w:r>
      <w:r>
        <w:rPr>
          <w:rFonts w:hint="eastAsia" w:ascii="宋体" w:hAnsi="宋体" w:cs="宋体"/>
          <w:color w:val="auto"/>
          <w:highlight w:val="none"/>
          <w:lang w:eastAsia="zh-CN"/>
        </w:rPr>
        <w:t>承包人</w:t>
      </w:r>
      <w:r>
        <w:rPr>
          <w:rFonts w:hint="eastAsia" w:ascii="宋体" w:hAnsi="宋体" w:cs="宋体"/>
          <w:color w:val="auto"/>
          <w:highlight w:val="none"/>
        </w:rPr>
        <w:t>自行负责），按照规范要求设置各类道路施工标志，配备专门人员维护施工作业区域安全秩序，加强路面维修专项工程实施期间安全管理，确保自身作业安全和过往车辆交通安全。</w:t>
      </w:r>
    </w:p>
    <w:p>
      <w:pPr>
        <w:spacing w:line="360" w:lineRule="auto"/>
        <w:ind w:firstLine="420" w:firstLine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各类施工车辆行驶道路所需缴纳的通行费用等由承包人自行承担。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default" w:ascii="宋体" w:hAnsi="宋体" w:cs="宋体"/>
          <w:b/>
          <w:color w:val="auto"/>
          <w:highlight w:val="none"/>
          <w:lang w:val="en-US" w:eastAsia="zh-CN"/>
        </w:rPr>
      </w:pPr>
      <w:r>
        <w:rPr>
          <w:rFonts w:hint="eastAsia" w:ascii="宋体" w:hAnsi="宋体" w:cs="宋体"/>
          <w:b/>
          <w:color w:val="auto"/>
          <w:highlight w:val="none"/>
          <w:lang w:val="en-US" w:eastAsia="zh-CN"/>
        </w:rPr>
        <w:t>4.工作内容及报价方式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b w:val="0"/>
          <w:bCs/>
          <w:color w:val="auto"/>
          <w:highlight w:val="none"/>
          <w:lang w:val="en-US" w:eastAsia="zh-CN"/>
        </w:rPr>
      </w:pPr>
      <w:r>
        <w:rPr>
          <w:rFonts w:hint="eastAsia" w:ascii="宋体" w:hAnsi="宋体" w:cs="宋体"/>
          <w:b w:val="0"/>
          <w:bCs/>
          <w:color w:val="auto"/>
          <w:highlight w:val="none"/>
          <w:lang w:val="en-US" w:eastAsia="zh-CN"/>
        </w:rPr>
        <w:t>（1）第一部分：空心板桥梁监测系统，在本合同中，需要进行空心板桥梁监测硬件系统建设，投标人需在工程量清单中对本部分进行报价。</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default" w:ascii="宋体" w:hAnsi="宋体" w:cs="宋体"/>
          <w:b w:val="0"/>
          <w:bCs/>
          <w:color w:val="auto"/>
          <w:highlight w:val="none"/>
          <w:lang w:val="en-US" w:eastAsia="zh-CN"/>
        </w:rPr>
      </w:pPr>
      <w:r>
        <w:rPr>
          <w:rFonts w:hint="eastAsia" w:ascii="宋体" w:hAnsi="宋体" w:cs="宋体"/>
          <w:b w:val="0"/>
          <w:bCs/>
          <w:color w:val="auto"/>
          <w:highlight w:val="none"/>
          <w:lang w:val="en-US" w:eastAsia="zh-CN"/>
        </w:rPr>
        <w:t>（2）第二部分：待第一部分空心板桥梁监测硬件系统建设完毕，结合我司目前现有的部分结构物监测系统，就组合成全线结构物监测系统，实现对全线结构物的监测。</w:t>
      </w:r>
      <w:r>
        <w:rPr>
          <w:rFonts w:hint="eastAsia" w:ascii="宋体" w:hAnsi="宋体" w:cs="宋体"/>
          <w:b/>
          <w:bCs w:val="0"/>
          <w:color w:val="auto"/>
          <w:highlight w:val="none"/>
          <w:lang w:val="en-US" w:eastAsia="zh-CN"/>
        </w:rPr>
        <w:t>投标人需承诺无条件统筹并接入本项目现有的监测系统，并保证现有的监测系统能正常运行，保证各监测点能正常运行及反馈数据。保证现有监测系统正常运行的费用已包含在工程量清单中，发包人不再另行计量。否则合同自动终止，承包人应无条件接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default"/>
          <w:b w:val="0"/>
          <w:bCs/>
          <w:highlight w:val="none"/>
          <w:lang w:val="en-US" w:eastAsia="zh-CN"/>
        </w:rPr>
      </w:pPr>
      <w:r>
        <w:rPr>
          <w:rFonts w:hint="eastAsia" w:ascii="宋体" w:hAnsi="宋体" w:cs="宋体"/>
          <w:b w:val="0"/>
          <w:bCs/>
          <w:color w:val="auto"/>
          <w:highlight w:val="none"/>
          <w:lang w:val="en-US" w:eastAsia="zh-CN"/>
        </w:rPr>
        <w:t>本部分以一年工程量为基础进行报价，投标人需在工程量清单中对本部分进行报价，每</w:t>
      </w:r>
      <w:r>
        <w:rPr>
          <w:rFonts w:hint="eastAsia" w:ascii="宋体" w:hAnsi="宋体" w:cs="宋体"/>
          <w:color w:val="auto"/>
          <w:highlight w:val="none"/>
          <w:lang w:val="en-US" w:eastAsia="zh-CN"/>
        </w:rPr>
        <w:t>年的结算金额</w:t>
      </w:r>
      <w:r>
        <w:rPr>
          <w:rFonts w:hint="eastAsia" w:ascii="宋体" w:hAnsi="宋体" w:cs="宋体"/>
          <w:color w:val="auto"/>
          <w:kern w:val="2"/>
          <w:sz w:val="21"/>
          <w:szCs w:val="24"/>
          <w:highlight w:val="none"/>
          <w:lang w:val="en-US" w:eastAsia="zh-CN" w:bidi="ar-SA"/>
        </w:rPr>
        <w:t>将根据承包人实际完成的工作量进行计量及支付</w:t>
      </w:r>
      <w:r>
        <w:rPr>
          <w:rFonts w:hint="eastAsia" w:ascii="宋体" w:hAnsi="宋体" w:cs="宋体"/>
          <w:b w:val="0"/>
          <w:bCs/>
          <w:color w:val="auto"/>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cs="宋体"/>
          <w:b/>
          <w:color w:val="auto"/>
          <w:highlight w:val="none"/>
          <w:lang w:val="en-US" w:eastAsia="zh-CN"/>
        </w:rPr>
      </w:pPr>
      <w:r>
        <w:rPr>
          <w:rFonts w:hint="eastAsia" w:ascii="宋体" w:hAnsi="宋体" w:cs="宋体"/>
          <w:b/>
          <w:color w:val="auto"/>
          <w:highlight w:val="none"/>
          <w:lang w:val="en-US" w:eastAsia="zh-CN"/>
        </w:rPr>
        <w:t>5.合同服务期</w:t>
      </w:r>
    </w:p>
    <w:p>
      <w:pPr>
        <w:spacing w:line="400" w:lineRule="exact"/>
        <w:ind w:firstLine="420" w:firstLineChars="200"/>
        <w:rPr>
          <w:rFonts w:hint="eastAsia" w:ascii="宋体" w:hAnsi="宋体"/>
          <w:color w:val="auto"/>
          <w:kern w:val="2"/>
          <w:sz w:val="21"/>
          <w:szCs w:val="21"/>
          <w:highlight w:val="none"/>
          <w:u w:val="none"/>
          <w:lang w:val="en-US" w:eastAsia="zh-CN" w:bidi="ar-SA"/>
        </w:rPr>
      </w:pPr>
      <w:r>
        <w:rPr>
          <w:rFonts w:hint="eastAsia" w:ascii="宋体" w:hAnsi="宋体" w:eastAsia="宋体" w:cs="Times New Roman"/>
          <w:color w:val="000000"/>
          <w:szCs w:val="21"/>
          <w:highlight w:val="none"/>
          <w:u w:val="none"/>
          <w:lang w:val="en-US" w:eastAsia="zh-CN"/>
        </w:rPr>
        <w:t>本项目合同服务期为2023至2025年度，发包人每年年终对承包人进行综合评价，承包人考核得分在85分及以上的，则自动延续下一年度的服务合同，否则合同终止，承包人应无条件接受。</w:t>
      </w:r>
      <w:r>
        <w:rPr>
          <w:rFonts w:hint="eastAsia" w:ascii="宋体" w:hAnsi="宋体"/>
          <w:color w:val="auto"/>
          <w:kern w:val="2"/>
          <w:sz w:val="21"/>
          <w:szCs w:val="21"/>
          <w:highlight w:val="none"/>
          <w:u w:val="none"/>
          <w:lang w:val="en-US" w:eastAsia="zh-CN" w:bidi="ar-SA"/>
        </w:rPr>
        <w:t>如由于广深高速改扩建原因，导致服务内容发生变化，招标人可无条件终止合同或就改变的服务内容与中标人进行协商确定，中标人不能向招标人进行索赔。</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cs="宋体"/>
          <w:b/>
          <w:color w:val="auto"/>
          <w:highlight w:val="none"/>
          <w:lang w:val="en-US" w:eastAsia="zh-CN"/>
        </w:rPr>
      </w:pPr>
      <w:r>
        <w:rPr>
          <w:rFonts w:hint="eastAsia" w:ascii="宋体" w:hAnsi="宋体" w:cs="宋体"/>
          <w:b/>
          <w:color w:val="auto"/>
          <w:highlight w:val="none"/>
          <w:lang w:val="en-US" w:eastAsia="zh-CN"/>
        </w:rPr>
        <w:t>6.其他情况</w:t>
      </w:r>
    </w:p>
    <w:p>
      <w:pPr>
        <w:pStyle w:val="3"/>
        <w:spacing w:line="360" w:lineRule="auto"/>
        <w:ind w:left="0" w:leftChars="0" w:firstLine="420" w:firstLineChars="200"/>
        <w:rPr>
          <w:rFonts w:hint="default" w:ascii="宋体" w:hAnsi="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合同执行期间，发包人若因改扩建或收费期满等因素造成的监测范围内容减少的情况，发包人将根据承包人实际完成的工作量进行计量及支付，承包人应</w:t>
      </w:r>
      <w:r>
        <w:rPr>
          <w:rFonts w:hint="eastAsia" w:ascii="宋体" w:hAnsi="宋体" w:cs="宋体"/>
          <w:color w:val="auto"/>
          <w:highlight w:val="none"/>
          <w:lang w:val="en-US" w:eastAsia="zh-CN"/>
        </w:rPr>
        <w:t>无条件接受。</w:t>
      </w:r>
    </w:p>
    <w:p>
      <w:pPr>
        <w:pStyle w:val="2"/>
        <w:rPr>
          <w:rFonts w:hint="eastAsia"/>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eastAsia="宋体"/>
          <w:b/>
          <w:bCs/>
          <w:color w:val="000000"/>
          <w:sz w:val="28"/>
          <w:szCs w:val="28"/>
          <w:highlight w:val="none"/>
          <w:lang w:eastAsia="zh-CN"/>
        </w:rPr>
      </w:pPr>
      <w:r>
        <w:rPr>
          <w:rFonts w:hint="eastAsia" w:ascii="宋体" w:hAnsi="宋体"/>
          <w:b/>
          <w:bCs/>
          <w:color w:val="000000"/>
          <w:sz w:val="28"/>
          <w:szCs w:val="28"/>
          <w:highlight w:val="none"/>
          <w:lang w:val="en-US" w:eastAsia="zh-CN"/>
        </w:rPr>
        <w:t>附件2</w:t>
      </w:r>
      <w:r>
        <w:rPr>
          <w:rFonts w:hint="eastAsia" w:ascii="宋体" w:hAnsi="宋体"/>
          <w:b/>
          <w:bCs/>
          <w:color w:val="000000"/>
          <w:sz w:val="28"/>
          <w:szCs w:val="28"/>
          <w:highlight w:val="none"/>
        </w:rPr>
        <w:t>：资格审查条件</w:t>
      </w:r>
    </w:p>
    <w:p>
      <w:pPr>
        <w:adjustRightInd w:val="0"/>
        <w:snapToGrid w:val="0"/>
        <w:spacing w:line="360" w:lineRule="auto"/>
        <w:jc w:val="center"/>
        <w:rPr>
          <w:rFonts w:hint="eastAsia" w:ascii="宋体" w:hAnsi="宋体"/>
          <w:color w:val="000000"/>
          <w:sz w:val="24"/>
          <w:highlight w:val="none"/>
        </w:rPr>
      </w:pPr>
      <w:r>
        <w:rPr>
          <w:rFonts w:ascii="宋体" w:hAnsi="宋体"/>
          <w:b/>
          <w:bCs/>
          <w:color w:val="000000"/>
          <w:sz w:val="28"/>
          <w:szCs w:val="28"/>
          <w:highlight w:val="none"/>
        </w:rPr>
        <w:t>附录1  资格审查条件(资质最低条件)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8977" w:type="dxa"/>
            <w:noWrap w:val="0"/>
            <w:vAlign w:val="center"/>
          </w:tcPr>
          <w:p>
            <w:pPr>
              <w:adjustRightInd w:val="0"/>
              <w:snapToGrid w:val="0"/>
              <w:spacing w:line="400" w:lineRule="atLeast"/>
              <w:jc w:val="center"/>
              <w:rPr>
                <w:rFonts w:ascii="宋体" w:hAnsi="宋体"/>
                <w:color w:val="000000"/>
                <w:sz w:val="21"/>
                <w:szCs w:val="21"/>
                <w:highlight w:val="none"/>
              </w:rPr>
            </w:pPr>
            <w:r>
              <w:rPr>
                <w:rFonts w:ascii="宋体" w:hAnsi="宋体"/>
                <w:color w:val="000000"/>
                <w:sz w:val="24"/>
                <w:szCs w:val="24"/>
                <w:highlight w:val="none"/>
              </w:rPr>
              <w:t>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7" w:hRule="atLeast"/>
          <w:jc w:val="center"/>
        </w:trPr>
        <w:tc>
          <w:tcPr>
            <w:tcW w:w="8977" w:type="dxa"/>
            <w:noWrap w:val="0"/>
            <w:vAlign w:val="center"/>
          </w:tcPr>
          <w:p>
            <w:pPr>
              <w:spacing w:line="360" w:lineRule="auto"/>
              <w:ind w:firstLine="420" w:firstLineChars="200"/>
              <w:rPr>
                <w:rFonts w:hint="eastAsia" w:ascii="宋体" w:hAnsi="宋体"/>
                <w:color w:val="000000"/>
                <w:sz w:val="24"/>
                <w:szCs w:val="24"/>
                <w:highlight w:val="none"/>
                <w:lang w:val="en-US" w:eastAsia="zh-CN"/>
              </w:rPr>
            </w:pPr>
            <w:r>
              <w:rPr>
                <w:rFonts w:hint="eastAsia" w:ascii="宋体" w:hAnsi="宋体"/>
                <w:szCs w:val="21"/>
              </w:rPr>
              <w:t>投标人（或其下属非独立法人机构）必须具有</w:t>
            </w:r>
            <w:r>
              <w:rPr>
                <w:rFonts w:hint="eastAsia" w:ascii="宋体" w:hAnsi="宋体"/>
                <w:b/>
                <w:szCs w:val="21"/>
                <w:u w:val="single"/>
              </w:rPr>
              <w:t>交通运输主管部门核发的公路水运工程试验检测机构公路工程综合甲级资质证书及公路工程桥梁隧道工程专项资质证书</w:t>
            </w:r>
            <w:r>
              <w:rPr>
                <w:rFonts w:hint="eastAsia" w:ascii="宋体" w:hAnsi="宋体"/>
                <w:szCs w:val="21"/>
              </w:rPr>
              <w:t>，且具备</w:t>
            </w:r>
            <w:r>
              <w:rPr>
                <w:rFonts w:hint="eastAsia" w:ascii="宋体" w:hAnsi="宋体"/>
                <w:b/>
                <w:szCs w:val="21"/>
                <w:u w:val="single"/>
              </w:rPr>
              <w:t>省级及以上质量技术监督主管部门颁发的计量认证证书</w:t>
            </w:r>
            <w:r>
              <w:rPr>
                <w:rFonts w:hint="eastAsia" w:ascii="宋体" w:hAnsi="宋体"/>
                <w:bCs/>
                <w:szCs w:val="21"/>
                <w:u w:val="single"/>
              </w:rPr>
              <w:t>，持有工商行政管理部门核发的企业法人营业执照或国家事业单位登记管理部门核发的事业单位法人证书。</w:t>
            </w:r>
          </w:p>
        </w:tc>
      </w:tr>
    </w:tbl>
    <w:p>
      <w:pPr>
        <w:adjustRightInd w:val="0"/>
        <w:snapToGrid w:val="0"/>
        <w:spacing w:line="300" w:lineRule="exact"/>
        <w:jc w:val="center"/>
        <w:rPr>
          <w:rFonts w:hint="eastAsia" w:ascii="宋体" w:hAnsi="宋体"/>
          <w:color w:val="000000"/>
          <w:sz w:val="24"/>
          <w:highlight w:val="none"/>
        </w:rPr>
      </w:pPr>
    </w:p>
    <w:p>
      <w:pPr>
        <w:adjustRightInd w:val="0"/>
        <w:snapToGrid w:val="0"/>
        <w:spacing w:line="360" w:lineRule="auto"/>
        <w:jc w:val="center"/>
        <w:rPr>
          <w:rFonts w:ascii="宋体" w:hAnsi="宋体"/>
          <w:b/>
          <w:bCs/>
          <w:color w:val="000000"/>
          <w:sz w:val="28"/>
          <w:szCs w:val="28"/>
          <w:highlight w:val="none"/>
        </w:rPr>
      </w:pPr>
      <w:r>
        <w:rPr>
          <w:rFonts w:ascii="宋体" w:hAnsi="宋体"/>
          <w:b/>
          <w:bCs/>
          <w:color w:val="000000"/>
          <w:sz w:val="28"/>
          <w:szCs w:val="28"/>
          <w:highlight w:val="none"/>
        </w:rPr>
        <w:t xml:space="preserve">附录2   资格审查条件(业绩最低要求)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877" w:type="dxa"/>
            <w:noWrap w:val="0"/>
            <w:vAlign w:val="center"/>
          </w:tcPr>
          <w:p>
            <w:pPr>
              <w:adjustRightInd w:val="0"/>
              <w:snapToGrid w:val="0"/>
              <w:spacing w:line="400" w:lineRule="atLeas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val="en-US" w:eastAsia="zh-CN"/>
              </w:rPr>
              <w:t>业绩</w:t>
            </w:r>
            <w:r>
              <w:rPr>
                <w:rFonts w:ascii="宋体" w:hAnsi="宋体"/>
                <w:color w:val="000000"/>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3" w:hRule="atLeast"/>
          <w:jc w:val="center"/>
        </w:trPr>
        <w:tc>
          <w:tcPr>
            <w:tcW w:w="8877" w:type="dxa"/>
            <w:noWrap w:val="0"/>
            <w:vAlign w:val="center"/>
          </w:tcPr>
          <w:p>
            <w:pPr>
              <w:adjustRightInd w:val="0"/>
              <w:snapToGrid w:val="0"/>
              <w:spacing w:line="360" w:lineRule="auto"/>
              <w:ind w:firstLine="420" w:firstLineChars="200"/>
              <w:rPr>
                <w:rFonts w:hint="eastAsia"/>
                <w:highlight w:val="none"/>
              </w:rPr>
            </w:pPr>
            <w:r>
              <w:rPr>
                <w:rFonts w:hint="eastAsia"/>
              </w:rPr>
              <w:t>自201</w:t>
            </w:r>
            <w:r>
              <w:rPr>
                <w:rFonts w:hint="eastAsia"/>
                <w:lang w:val="en-US" w:eastAsia="zh-CN"/>
              </w:rPr>
              <w:t>8</w:t>
            </w:r>
            <w:r>
              <w:rPr>
                <w:rFonts w:hint="eastAsia"/>
              </w:rPr>
              <w:t>年1月1日至投标文件递交之日止，投标人（或其下属非独立法人机构）至少独立完成2</w:t>
            </w:r>
            <w:r>
              <w:rPr>
                <w:rFonts w:hint="eastAsia"/>
                <w:lang w:val="en-US"/>
              </w:rPr>
              <w:t>座</w:t>
            </w:r>
            <w:r>
              <w:rPr>
                <w:rFonts w:hint="eastAsia"/>
                <w:highlight w:val="none"/>
              </w:rPr>
              <w:t>营运高速公路桥梁监测工作。</w:t>
            </w:r>
          </w:p>
          <w:p>
            <w:pPr>
              <w:adjustRightInd w:val="0"/>
              <w:snapToGrid w:val="0"/>
              <w:spacing w:line="360" w:lineRule="auto"/>
              <w:ind w:firstLine="36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注：1.业绩计算时间以合同协议书或委托书签订日期为准。</w:t>
            </w:r>
          </w:p>
          <w:p>
            <w:pPr>
              <w:adjustRightInd w:val="0"/>
              <w:snapToGrid w:val="0"/>
              <w:spacing w:line="360" w:lineRule="auto"/>
              <w:ind w:firstLine="36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所列业绩应提供中标通知书（如有）、合同协议书或委托书、业主证明材料作为业绩证明材料。所附材料确保能够清晰说明项目所属高速公路项目、合同签署时间、监测内容（含监测桥梁名称或监测桥梁数量等能证明业绩指标的内容）、合同金额等反映资格审查条件和评标办法要求的各项指标要求，否则业绩不予认可。</w:t>
            </w:r>
          </w:p>
          <w:p>
            <w:pPr>
              <w:adjustRightInd w:val="0"/>
              <w:snapToGrid w:val="0"/>
              <w:spacing w:line="360" w:lineRule="auto"/>
              <w:ind w:firstLine="36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本次招标所要求的业绩仅限中华人民共和国境内业绩，且不能为联合体业绩。</w:t>
            </w:r>
          </w:p>
          <w:p>
            <w:pPr>
              <w:adjustRightInd w:val="0"/>
              <w:snapToGrid w:val="0"/>
              <w:spacing w:line="360" w:lineRule="auto"/>
              <w:ind w:firstLine="36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3.如近年来，投标人法人机构发生合法变更或重组或法人名称变更时，应提供相关部门的合法批件或其他相关证明材料以证明其所附业绩的继承性。</w:t>
            </w:r>
          </w:p>
          <w:p>
            <w:pPr>
              <w:adjustRightInd w:val="0"/>
              <w:snapToGrid w:val="0"/>
              <w:spacing w:line="360" w:lineRule="auto"/>
              <w:ind w:firstLine="360" w:firstLineChars="200"/>
              <w:rPr>
                <w:rFonts w:hint="eastAsia" w:ascii="宋体" w:hAnsi="宋体"/>
                <w:sz w:val="18"/>
                <w:szCs w:val="18"/>
              </w:rPr>
            </w:pPr>
            <w:r>
              <w:rPr>
                <w:rFonts w:hint="eastAsia" w:ascii="宋体" w:hAnsi="宋体" w:eastAsia="宋体" w:cs="宋体"/>
                <w:sz w:val="18"/>
                <w:szCs w:val="18"/>
                <w:highlight w:val="none"/>
                <w:lang w:val="en-US" w:eastAsia="zh-CN"/>
              </w:rPr>
              <w:t>4．招标人如发现业绩有不实或做假，将导致资格审查不通过。</w:t>
            </w:r>
          </w:p>
        </w:tc>
      </w:tr>
    </w:tbl>
    <w:p>
      <w:pPr>
        <w:adjustRightInd w:val="0"/>
        <w:snapToGrid w:val="0"/>
        <w:spacing w:line="360" w:lineRule="auto"/>
        <w:jc w:val="center"/>
        <w:rPr>
          <w:rFonts w:ascii="宋体" w:hAnsi="宋体"/>
          <w:b/>
          <w:bCs/>
          <w:color w:val="000000"/>
          <w:sz w:val="28"/>
          <w:szCs w:val="28"/>
          <w:highlight w:val="none"/>
        </w:rPr>
      </w:pPr>
    </w:p>
    <w:p>
      <w:pPr>
        <w:adjustRightInd w:val="0"/>
        <w:snapToGrid w:val="0"/>
        <w:spacing w:line="360" w:lineRule="auto"/>
        <w:jc w:val="center"/>
        <w:rPr>
          <w:rFonts w:hint="eastAsia"/>
          <w:highlight w:val="none"/>
        </w:rPr>
      </w:pPr>
      <w:r>
        <w:rPr>
          <w:rFonts w:ascii="宋体" w:hAnsi="宋体"/>
          <w:b/>
          <w:bCs/>
          <w:color w:val="000000"/>
          <w:sz w:val="28"/>
          <w:szCs w:val="28"/>
          <w:highlight w:val="none"/>
        </w:rPr>
        <w:t>附录</w:t>
      </w:r>
      <w:r>
        <w:rPr>
          <w:rFonts w:hint="eastAsia" w:ascii="宋体" w:hAnsi="宋体"/>
          <w:b/>
          <w:bCs/>
          <w:color w:val="000000"/>
          <w:sz w:val="28"/>
          <w:szCs w:val="28"/>
          <w:highlight w:val="none"/>
          <w:lang w:val="en-US" w:eastAsia="zh-CN"/>
        </w:rPr>
        <w:t>3</w:t>
      </w:r>
      <w:r>
        <w:rPr>
          <w:rFonts w:ascii="宋体" w:hAnsi="宋体"/>
          <w:b/>
          <w:bCs/>
          <w:color w:val="000000"/>
          <w:sz w:val="28"/>
          <w:szCs w:val="28"/>
          <w:highlight w:val="none"/>
        </w:rPr>
        <w:t xml:space="preserve">  资格审查条件(信誉最低要求)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4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9" w:hRule="atLeast"/>
          <w:jc w:val="center"/>
        </w:trPr>
        <w:tc>
          <w:tcPr>
            <w:tcW w:w="8945" w:type="dxa"/>
            <w:noWrap w:val="0"/>
            <w:vAlign w:val="center"/>
          </w:tcPr>
          <w:p>
            <w:pPr>
              <w:adjustRightInd w:val="0"/>
              <w:snapToGrid w:val="0"/>
              <w:spacing w:line="240" w:lineRule="auto"/>
              <w:jc w:val="center"/>
              <w:rPr>
                <w:rFonts w:ascii="宋体" w:hAnsi="宋体"/>
                <w:color w:val="000000"/>
                <w:sz w:val="24"/>
                <w:szCs w:val="24"/>
                <w:highlight w:val="none"/>
              </w:rPr>
            </w:pPr>
            <w:r>
              <w:rPr>
                <w:rFonts w:ascii="宋体" w:hAnsi="宋体"/>
                <w:color w:val="000000"/>
                <w:sz w:val="24"/>
                <w:szCs w:val="24"/>
                <w:highlight w:val="none"/>
              </w:rPr>
              <w:t>信誉要求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009" w:hRule="atLeast"/>
          <w:jc w:val="center"/>
        </w:trPr>
        <w:tc>
          <w:tcPr>
            <w:tcW w:w="8945" w:type="dxa"/>
            <w:noWrap w:val="0"/>
            <w:vAlign w:val="center"/>
          </w:tcPr>
          <w:p>
            <w:pPr>
              <w:adjustRightInd w:val="0"/>
              <w:snapToGrid w:val="0"/>
              <w:spacing w:line="360" w:lineRule="auto"/>
              <w:ind w:firstLine="420" w:firstLineChars="200"/>
              <w:rPr>
                <w:rFonts w:hint="eastAsia"/>
              </w:rPr>
            </w:pPr>
            <w:r>
              <w:rPr>
                <w:rFonts w:hint="eastAsia"/>
              </w:rPr>
              <w:t>除了“投标人须知”第1.4.4项规定的内容外，投标人还需满足以下信誉要求：</w:t>
            </w:r>
          </w:p>
          <w:p>
            <w:pPr>
              <w:adjustRightInd w:val="0"/>
              <w:snapToGrid w:val="0"/>
              <w:spacing w:line="360" w:lineRule="auto"/>
              <w:ind w:firstLine="420" w:firstLineChars="200"/>
              <w:rPr>
                <w:rFonts w:hint="eastAsia"/>
              </w:rPr>
            </w:pPr>
            <w:r>
              <w:rPr>
                <w:rFonts w:hint="eastAsia"/>
                <w:lang w:val="en-US" w:eastAsia="zh-CN"/>
              </w:rPr>
              <w:t>1</w:t>
            </w:r>
            <w:r>
              <w:rPr>
                <w:rFonts w:hint="eastAsia"/>
                <w:lang w:val="zh-CN"/>
              </w:rPr>
              <w:t>、</w:t>
            </w:r>
            <w:r>
              <w:rPr>
                <w:rFonts w:hint="eastAsia"/>
              </w:rPr>
              <w:t>财务没有处于被接管、冻结、破产状态；</w:t>
            </w:r>
          </w:p>
          <w:p>
            <w:pPr>
              <w:adjustRightInd w:val="0"/>
              <w:snapToGrid w:val="0"/>
              <w:spacing w:line="360" w:lineRule="auto"/>
              <w:ind w:firstLine="420" w:firstLineChars="200"/>
              <w:rPr>
                <w:rFonts w:hint="eastAsia"/>
                <w:lang w:val="zh-CN"/>
              </w:rPr>
            </w:pPr>
            <w:r>
              <w:rPr>
                <w:rFonts w:hint="eastAsia"/>
                <w:lang w:val="en-US" w:eastAsia="zh-CN"/>
              </w:rPr>
              <w:t>2、</w:t>
            </w:r>
            <w:r>
              <w:rPr>
                <w:rFonts w:hint="eastAsia"/>
                <w:lang w:val="zh-CN"/>
              </w:rPr>
              <w:t>投标人没有涉及正在诉讼的案件，或虽涉及正在诉讼的案件但经评标委员会认定不会对承担本项目造成重大影响；</w:t>
            </w:r>
          </w:p>
          <w:p>
            <w:pPr>
              <w:adjustRightInd w:val="0"/>
              <w:snapToGrid w:val="0"/>
              <w:spacing w:line="360" w:lineRule="auto"/>
              <w:ind w:firstLine="420" w:firstLineChars="200"/>
              <w:rPr>
                <w:rFonts w:hint="eastAsia"/>
                <w:highlight w:val="none"/>
                <w:lang w:eastAsia="zh-CN"/>
              </w:rPr>
            </w:pPr>
            <w:r>
              <w:rPr>
                <w:rFonts w:hint="eastAsia"/>
                <w:highlight w:val="none"/>
                <w:lang w:val="en-US" w:eastAsia="zh-CN"/>
              </w:rPr>
              <w:t>3</w:t>
            </w:r>
            <w:r>
              <w:rPr>
                <w:rFonts w:hint="eastAsia"/>
                <w:highlight w:val="none"/>
              </w:rPr>
              <w:t>、</w:t>
            </w:r>
            <w:r>
              <w:rPr>
                <w:rFonts w:hint="eastAsia" w:ascii="宋体" w:hAnsi="宋体"/>
                <w:color w:val="000000"/>
                <w:szCs w:val="21"/>
                <w:highlight w:val="none"/>
                <w:lang w:val="en-US" w:eastAsia="zh-CN"/>
              </w:rPr>
              <w:t>交通运输部的公路水运工程质量试验检测管理信息系统中最新年度的公路水运工程甲级（专项）试验检测机构信用评价等级</w:t>
            </w:r>
            <w:r>
              <w:rPr>
                <w:rFonts w:hint="eastAsia"/>
                <w:highlight w:val="none"/>
              </w:rPr>
              <w:t>未被评为D级</w:t>
            </w:r>
            <w:r>
              <w:rPr>
                <w:rFonts w:hint="eastAsia"/>
                <w:highlight w:val="none"/>
                <w:lang w:eastAsia="zh-CN"/>
              </w:rPr>
              <w:t>。</w:t>
            </w:r>
          </w:p>
          <w:p>
            <w:pPr>
              <w:adjustRightInd w:val="0"/>
              <w:snapToGrid w:val="0"/>
              <w:spacing w:line="360" w:lineRule="auto"/>
              <w:ind w:firstLine="420" w:firstLineChars="200"/>
              <w:rPr>
                <w:rFonts w:hint="eastAsia"/>
                <w:highlight w:val="none"/>
                <w:lang w:val="en-US" w:eastAsia="zh-CN"/>
              </w:rPr>
            </w:pPr>
            <w:r>
              <w:rPr>
                <w:rFonts w:hint="eastAsia" w:ascii="宋体" w:hAnsi="宋体"/>
                <w:color w:val="000000"/>
                <w:szCs w:val="21"/>
                <w:highlight w:val="none"/>
                <w:lang w:val="en-US" w:eastAsia="zh-CN"/>
              </w:rPr>
              <w:t>（网站地址：https://www.ttiis.cn/PCWeb/PCHome/Index）</w:t>
            </w:r>
          </w:p>
        </w:tc>
      </w:tr>
    </w:tbl>
    <w:p>
      <w:pPr>
        <w:adjustRightInd w:val="0"/>
        <w:snapToGrid w:val="0"/>
        <w:spacing w:line="360" w:lineRule="auto"/>
        <w:jc w:val="center"/>
        <w:rPr>
          <w:rFonts w:ascii="宋体" w:hAnsi="宋体"/>
          <w:b/>
          <w:bCs/>
          <w:color w:val="000000"/>
          <w:sz w:val="28"/>
          <w:szCs w:val="28"/>
          <w:highlight w:val="none"/>
        </w:rPr>
      </w:pPr>
    </w:p>
    <w:p>
      <w:pPr>
        <w:adjustRightInd w:val="0"/>
        <w:snapToGrid w:val="0"/>
        <w:spacing w:line="360" w:lineRule="auto"/>
        <w:jc w:val="center"/>
        <w:rPr>
          <w:rFonts w:ascii="宋体" w:hAnsi="宋体"/>
          <w:b/>
          <w:bCs/>
          <w:color w:val="000000"/>
          <w:sz w:val="28"/>
          <w:szCs w:val="28"/>
          <w:highlight w:val="none"/>
        </w:rPr>
      </w:pPr>
    </w:p>
    <w:p>
      <w:pPr>
        <w:adjustRightInd w:val="0"/>
        <w:snapToGrid w:val="0"/>
        <w:spacing w:line="360" w:lineRule="auto"/>
        <w:jc w:val="center"/>
        <w:rPr>
          <w:rFonts w:hint="default" w:ascii="宋体" w:hAnsi="宋体"/>
          <w:b/>
          <w:bCs/>
          <w:color w:val="000000"/>
          <w:sz w:val="28"/>
          <w:szCs w:val="28"/>
          <w:highlight w:val="none"/>
        </w:rPr>
      </w:pPr>
      <w:r>
        <w:rPr>
          <w:rFonts w:ascii="宋体" w:hAnsi="宋体"/>
          <w:b/>
          <w:bCs/>
          <w:color w:val="000000"/>
          <w:sz w:val="28"/>
          <w:szCs w:val="28"/>
          <w:highlight w:val="none"/>
        </w:rPr>
        <w:t>附录</w:t>
      </w:r>
      <w:r>
        <w:rPr>
          <w:rFonts w:hint="eastAsia" w:ascii="宋体" w:hAnsi="宋体"/>
          <w:b/>
          <w:bCs/>
          <w:color w:val="000000"/>
          <w:sz w:val="28"/>
          <w:szCs w:val="28"/>
          <w:highlight w:val="none"/>
          <w:lang w:val="en-US" w:eastAsia="zh-CN"/>
        </w:rPr>
        <w:t>4</w:t>
      </w:r>
      <w:r>
        <w:rPr>
          <w:rFonts w:ascii="宋体" w:hAnsi="宋体"/>
          <w:b/>
          <w:bCs/>
          <w:color w:val="000000"/>
          <w:sz w:val="28"/>
          <w:szCs w:val="28"/>
          <w:highlight w:val="none"/>
        </w:rPr>
        <w:t xml:space="preserve">  资格审查条件(</w:t>
      </w:r>
      <w:r>
        <w:rPr>
          <w:rFonts w:hint="default" w:ascii="宋体" w:hAnsi="宋体"/>
          <w:b/>
          <w:bCs/>
          <w:color w:val="000000"/>
          <w:sz w:val="28"/>
          <w:szCs w:val="28"/>
          <w:highlight w:val="none"/>
        </w:rPr>
        <w:t>项</w:t>
      </w:r>
      <w:r>
        <w:rPr>
          <w:rFonts w:hint="default" w:ascii="宋体" w:hAnsi="宋体" w:eastAsia="宋体" w:cs="Times New Roman"/>
          <w:b/>
          <w:bCs/>
          <w:color w:val="000000"/>
          <w:sz w:val="28"/>
          <w:szCs w:val="28"/>
          <w:highlight w:val="none"/>
        </w:rPr>
        <w:t>目</w:t>
      </w:r>
      <w:r>
        <w:rPr>
          <w:rFonts w:hint="eastAsia" w:ascii="宋体" w:hAnsi="宋体" w:eastAsia="宋体" w:cs="Times New Roman"/>
          <w:b/>
          <w:bCs/>
          <w:color w:val="000000"/>
          <w:sz w:val="28"/>
          <w:szCs w:val="28"/>
          <w:highlight w:val="none"/>
        </w:rPr>
        <w:t>负责人</w:t>
      </w:r>
      <w:r>
        <w:rPr>
          <w:rFonts w:hint="default" w:ascii="宋体" w:hAnsi="宋体" w:eastAsia="宋体" w:cs="Times New Roman"/>
          <w:b/>
          <w:bCs/>
          <w:color w:val="000000"/>
          <w:sz w:val="28"/>
          <w:szCs w:val="28"/>
          <w:highlight w:val="none"/>
        </w:rPr>
        <w:t>和</w:t>
      </w:r>
      <w:r>
        <w:rPr>
          <w:rFonts w:hint="eastAsia" w:ascii="宋体" w:hAnsi="宋体"/>
          <w:b/>
          <w:bCs/>
          <w:color w:val="000000"/>
          <w:sz w:val="28"/>
          <w:szCs w:val="28"/>
          <w:highlight w:val="none"/>
          <w:lang w:val="en-US" w:eastAsia="zh-CN"/>
        </w:rPr>
        <w:t>技术负责人</w:t>
      </w:r>
      <w:r>
        <w:rPr>
          <w:rFonts w:ascii="宋体" w:hAnsi="宋体"/>
          <w:b/>
          <w:bCs/>
          <w:color w:val="000000"/>
          <w:sz w:val="28"/>
          <w:szCs w:val="28"/>
          <w:highlight w:val="none"/>
        </w:rPr>
        <w:t>最低要求)</w:t>
      </w:r>
      <w:r>
        <w:rPr>
          <w:rFonts w:hint="default" w:ascii="宋体" w:hAnsi="宋体"/>
          <w:b/>
          <w:bCs/>
          <w:color w:val="000000"/>
          <w:sz w:val="28"/>
          <w:szCs w:val="28"/>
          <w:highlight w:val="none"/>
        </w:rPr>
        <w:t xml:space="preserve"> </w:t>
      </w:r>
    </w:p>
    <w:tbl>
      <w:tblPr>
        <w:tblStyle w:val="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03"/>
        <w:gridCol w:w="1001"/>
        <w:gridCol w:w="5835"/>
        <w:gridCol w:w="136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7" w:hRule="atLeast"/>
          <w:jc w:val="center"/>
        </w:trPr>
        <w:tc>
          <w:tcPr>
            <w:tcW w:w="1103" w:type="dxa"/>
            <w:noWrap w:val="0"/>
            <w:vAlign w:val="center"/>
          </w:tcPr>
          <w:p>
            <w:pPr>
              <w:adjustRightInd w:val="0"/>
              <w:snapToGrid w:val="0"/>
              <w:spacing w:line="240" w:lineRule="auto"/>
              <w:jc w:val="center"/>
              <w:rPr>
                <w:rFonts w:ascii="宋体" w:hAnsi="宋体"/>
                <w:color w:val="000000"/>
                <w:szCs w:val="21"/>
                <w:highlight w:val="none"/>
              </w:rPr>
            </w:pPr>
            <w:r>
              <w:rPr>
                <w:rFonts w:hint="eastAsia" w:ascii="宋体" w:hAnsi="宋体"/>
                <w:color w:val="000000"/>
                <w:szCs w:val="21"/>
                <w:highlight w:val="none"/>
              </w:rPr>
              <w:t>人员</w:t>
            </w:r>
          </w:p>
        </w:tc>
        <w:tc>
          <w:tcPr>
            <w:tcW w:w="1001" w:type="dxa"/>
            <w:noWrap w:val="0"/>
            <w:vAlign w:val="center"/>
          </w:tcPr>
          <w:p>
            <w:pPr>
              <w:adjustRightInd w:val="0"/>
              <w:snapToGrid w:val="0"/>
              <w:spacing w:line="240" w:lineRule="auto"/>
              <w:jc w:val="center"/>
              <w:rPr>
                <w:rFonts w:ascii="宋体" w:hAnsi="宋体"/>
                <w:color w:val="000000"/>
                <w:szCs w:val="21"/>
                <w:highlight w:val="none"/>
              </w:rPr>
            </w:pPr>
            <w:r>
              <w:rPr>
                <w:rFonts w:hint="eastAsia" w:ascii="宋体" w:hAnsi="宋体"/>
                <w:color w:val="000000"/>
                <w:szCs w:val="21"/>
                <w:highlight w:val="none"/>
              </w:rPr>
              <w:t>数量</w:t>
            </w:r>
          </w:p>
        </w:tc>
        <w:tc>
          <w:tcPr>
            <w:tcW w:w="5835" w:type="dxa"/>
            <w:noWrap w:val="0"/>
            <w:vAlign w:val="center"/>
          </w:tcPr>
          <w:p>
            <w:pPr>
              <w:adjustRightInd w:val="0"/>
              <w:snapToGrid w:val="0"/>
              <w:spacing w:line="240" w:lineRule="auto"/>
              <w:jc w:val="center"/>
              <w:rPr>
                <w:rFonts w:ascii="宋体" w:hAnsi="宋体"/>
                <w:color w:val="000000"/>
                <w:szCs w:val="21"/>
                <w:highlight w:val="none"/>
              </w:rPr>
            </w:pPr>
            <w:r>
              <w:rPr>
                <w:rFonts w:hint="eastAsia" w:ascii="宋体" w:hAnsi="宋体"/>
                <w:color w:val="000000"/>
                <w:szCs w:val="21"/>
                <w:highlight w:val="none"/>
              </w:rPr>
              <w:t>资质要求</w:t>
            </w:r>
          </w:p>
        </w:tc>
        <w:tc>
          <w:tcPr>
            <w:tcW w:w="1361" w:type="dxa"/>
            <w:noWrap w:val="0"/>
            <w:vAlign w:val="center"/>
          </w:tcPr>
          <w:p>
            <w:pPr>
              <w:adjustRightInd w:val="0"/>
              <w:snapToGrid w:val="0"/>
              <w:spacing w:line="240" w:lineRule="auto"/>
              <w:jc w:val="center"/>
              <w:rPr>
                <w:rFonts w:hint="eastAsia" w:ascii="宋体" w:hAnsi="宋体"/>
                <w:color w:val="000000"/>
                <w:szCs w:val="21"/>
                <w:highlight w:val="none"/>
              </w:rPr>
            </w:pPr>
            <w:r>
              <w:rPr>
                <w:rFonts w:hint="eastAsia" w:ascii="宋体" w:hAnsi="宋体"/>
                <w:color w:val="000000"/>
                <w:szCs w:val="21"/>
                <w:highlight w:val="none"/>
              </w:rPr>
              <w:t>在岗要求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019" w:hRule="atLeast"/>
          <w:jc w:val="center"/>
        </w:trPr>
        <w:tc>
          <w:tcPr>
            <w:tcW w:w="1103" w:type="dxa"/>
            <w:noWrap w:val="0"/>
            <w:vAlign w:val="center"/>
          </w:tcPr>
          <w:p>
            <w:pPr>
              <w:adjustRightInd w:val="0"/>
              <w:snapToGrid w:val="0"/>
              <w:spacing w:line="240" w:lineRule="auto"/>
              <w:jc w:val="center"/>
              <w:rPr>
                <w:rFonts w:ascii="宋体" w:hAnsi="宋体"/>
                <w:color w:val="000000"/>
                <w:szCs w:val="21"/>
                <w:highlight w:val="none"/>
              </w:rPr>
            </w:pPr>
            <w:r>
              <w:rPr>
                <w:rFonts w:hint="eastAsia" w:ascii="宋体" w:hAnsi="宋体" w:eastAsia="宋体" w:cs="宋体"/>
                <w:color w:val="000000"/>
                <w:szCs w:val="21"/>
                <w:highlight w:val="none"/>
              </w:rPr>
              <w:t>项目负责人</w:t>
            </w:r>
          </w:p>
        </w:tc>
        <w:tc>
          <w:tcPr>
            <w:tcW w:w="1001" w:type="dxa"/>
            <w:noWrap w:val="0"/>
            <w:vAlign w:val="center"/>
          </w:tcPr>
          <w:p>
            <w:pPr>
              <w:adjustRightInd w:val="0"/>
              <w:snapToGrid w:val="0"/>
              <w:spacing w:line="240" w:lineRule="auto"/>
              <w:jc w:val="center"/>
              <w:rPr>
                <w:rFonts w:ascii="宋体" w:hAnsi="宋体"/>
                <w:color w:val="000000"/>
                <w:szCs w:val="21"/>
                <w:highlight w:val="none"/>
              </w:rPr>
            </w:pPr>
            <w:r>
              <w:rPr>
                <w:rFonts w:hint="eastAsia" w:ascii="宋体" w:hAnsi="宋体" w:eastAsia="宋体" w:cs="宋体"/>
                <w:color w:val="000000"/>
                <w:szCs w:val="21"/>
                <w:highlight w:val="none"/>
              </w:rPr>
              <w:t>1</w:t>
            </w:r>
          </w:p>
        </w:tc>
        <w:tc>
          <w:tcPr>
            <w:tcW w:w="5835" w:type="dxa"/>
            <w:noWrap w:val="0"/>
            <w:vAlign w:val="center"/>
          </w:tcPr>
          <w:p>
            <w:pPr>
              <w:tabs>
                <w:tab w:val="left" w:pos="1778"/>
              </w:tabs>
              <w:spacing w:line="360" w:lineRule="auto"/>
              <w:jc w:val="left"/>
              <w:rPr>
                <w:rFonts w:hint="eastAsia" w:ascii="宋体" w:hAnsi="宋体" w:eastAsia="宋体" w:cs="宋体"/>
                <w:highlight w:val="none"/>
                <w:lang w:val="zh-CN"/>
              </w:rPr>
            </w:pPr>
            <w:r>
              <w:rPr>
                <w:rFonts w:hint="eastAsia" w:ascii="宋体" w:hAnsi="宋体" w:eastAsia="宋体" w:cs="宋体"/>
                <w:highlight w:val="none"/>
                <w:lang w:val="zh-CN"/>
              </w:rPr>
              <w:t>（1）</w:t>
            </w:r>
            <w:r>
              <w:rPr>
                <w:rFonts w:hint="eastAsia" w:ascii="宋体" w:hAnsi="宋体" w:eastAsia="宋体" w:cs="宋体"/>
                <w:highlight w:val="none"/>
                <w:lang w:val="en-US" w:eastAsia="zh-CN"/>
              </w:rPr>
              <w:t>具有</w:t>
            </w:r>
            <w:r>
              <w:rPr>
                <w:rFonts w:hint="eastAsia" w:ascii="宋体" w:hAnsi="宋体" w:cs="黑体"/>
                <w:bCs/>
                <w:color w:val="auto"/>
                <w:kern w:val="0"/>
                <w:sz w:val="21"/>
                <w:szCs w:val="21"/>
                <w:highlight w:val="none"/>
                <w:lang w:val="zh-CN"/>
              </w:rPr>
              <w:t>高级工程师（</w:t>
            </w:r>
            <w:r>
              <w:rPr>
                <w:rFonts w:hint="eastAsia" w:ascii="宋体" w:hAnsi="宋体" w:cs="黑体"/>
                <w:bCs/>
                <w:color w:val="auto"/>
                <w:kern w:val="0"/>
                <w:sz w:val="21"/>
                <w:szCs w:val="21"/>
                <w:highlight w:val="none"/>
                <w:lang w:val="en-US" w:eastAsia="zh-CN"/>
              </w:rPr>
              <w:t>或副研究员</w:t>
            </w:r>
            <w:r>
              <w:rPr>
                <w:rFonts w:hint="eastAsia" w:ascii="宋体" w:hAnsi="宋体" w:cs="黑体"/>
                <w:bCs/>
                <w:color w:val="auto"/>
                <w:kern w:val="0"/>
                <w:sz w:val="21"/>
                <w:szCs w:val="21"/>
                <w:highlight w:val="none"/>
                <w:lang w:val="zh-CN"/>
              </w:rPr>
              <w:t>）</w:t>
            </w:r>
            <w:r>
              <w:rPr>
                <w:rFonts w:hint="eastAsia" w:ascii="宋体" w:hAnsi="宋体" w:cs="黑体"/>
                <w:bCs/>
                <w:color w:val="auto"/>
                <w:kern w:val="0"/>
                <w:sz w:val="21"/>
                <w:szCs w:val="21"/>
                <w:highlight w:val="none"/>
                <w:lang w:val="en-US" w:eastAsia="zh-CN"/>
              </w:rPr>
              <w:t>或</w:t>
            </w:r>
            <w:r>
              <w:rPr>
                <w:rFonts w:hint="eastAsia" w:ascii="宋体" w:hAnsi="宋体" w:cs="黑体"/>
                <w:bCs/>
                <w:color w:val="auto"/>
                <w:kern w:val="0"/>
                <w:sz w:val="21"/>
                <w:szCs w:val="21"/>
                <w:highlight w:val="none"/>
                <w:lang w:val="zh-CN"/>
              </w:rPr>
              <w:t>以上职称，</w:t>
            </w:r>
            <w:r>
              <w:rPr>
                <w:rFonts w:hint="eastAsia" w:ascii="宋体" w:hAnsi="宋体" w:cs="黑体"/>
                <w:bCs/>
                <w:color w:val="auto"/>
                <w:kern w:val="0"/>
                <w:sz w:val="21"/>
                <w:szCs w:val="21"/>
                <w:highlight w:val="none"/>
                <w:lang w:val="zh-CN" w:eastAsia="zh-CN"/>
              </w:rPr>
              <w:t>持</w:t>
            </w:r>
            <w:r>
              <w:rPr>
                <w:rFonts w:hint="eastAsia" w:ascii="宋体" w:hAnsi="宋体" w:cs="黑体"/>
                <w:bCs/>
                <w:color w:val="auto"/>
                <w:kern w:val="0"/>
                <w:sz w:val="21"/>
                <w:szCs w:val="21"/>
                <w:highlight w:val="none"/>
                <w:lang w:val="zh-CN"/>
              </w:rPr>
              <w:t>有</w:t>
            </w:r>
            <w:r>
              <w:rPr>
                <w:rFonts w:hint="eastAsia" w:ascii="宋体" w:hAnsi="宋体" w:cs="黑体"/>
                <w:bCs/>
                <w:color w:val="auto"/>
                <w:kern w:val="0"/>
                <w:sz w:val="21"/>
                <w:szCs w:val="21"/>
                <w:highlight w:val="none"/>
                <w:lang w:val="en-US" w:eastAsia="zh-CN"/>
              </w:rPr>
              <w:t>行政主管部门核发</w:t>
            </w:r>
            <w:r>
              <w:rPr>
                <w:rFonts w:hint="eastAsia" w:ascii="宋体" w:hAnsi="宋体" w:cs="黑体"/>
                <w:bCs/>
                <w:color w:val="auto"/>
                <w:kern w:val="0"/>
                <w:sz w:val="21"/>
                <w:szCs w:val="21"/>
                <w:highlight w:val="none"/>
                <w:lang w:val="zh-CN"/>
              </w:rPr>
              <w:t>的公路</w:t>
            </w:r>
            <w:r>
              <w:rPr>
                <w:rFonts w:hint="eastAsia" w:ascii="宋体" w:hAnsi="宋体" w:cs="黑体"/>
                <w:bCs/>
                <w:color w:val="auto"/>
                <w:kern w:val="0"/>
                <w:sz w:val="21"/>
                <w:szCs w:val="21"/>
                <w:highlight w:val="none"/>
                <w:lang w:val="en-US" w:eastAsia="zh-CN"/>
              </w:rPr>
              <w:t>工程</w:t>
            </w:r>
            <w:r>
              <w:rPr>
                <w:rFonts w:hint="eastAsia" w:ascii="宋体" w:hAnsi="宋体" w:cs="黑体"/>
                <w:bCs/>
                <w:color w:val="auto"/>
                <w:kern w:val="0"/>
                <w:sz w:val="21"/>
                <w:szCs w:val="21"/>
                <w:highlight w:val="none"/>
                <w:lang w:val="zh-CN"/>
              </w:rPr>
              <w:t>试验检测师</w:t>
            </w:r>
            <w:r>
              <w:rPr>
                <w:rFonts w:hint="eastAsia" w:ascii="宋体" w:hAnsi="宋体" w:cs="黑体"/>
                <w:bCs/>
                <w:color w:val="auto"/>
                <w:kern w:val="0"/>
                <w:sz w:val="21"/>
                <w:szCs w:val="21"/>
                <w:highlight w:val="none"/>
                <w:lang w:val="en-US" w:eastAsia="zh-CN"/>
              </w:rPr>
              <w:t>资格证书或试验检测工程师</w:t>
            </w:r>
            <w:r>
              <w:rPr>
                <w:rFonts w:hint="eastAsia" w:ascii="宋体" w:hAnsi="宋体" w:cs="黑体"/>
                <w:bCs/>
                <w:color w:val="auto"/>
                <w:kern w:val="0"/>
                <w:sz w:val="21"/>
                <w:szCs w:val="21"/>
                <w:highlight w:val="none"/>
                <w:lang w:val="zh-CN"/>
              </w:rPr>
              <w:t>（</w:t>
            </w:r>
            <w:r>
              <w:rPr>
                <w:rFonts w:hint="eastAsia" w:ascii="宋体" w:hAnsi="宋体" w:cs="黑体"/>
                <w:bCs/>
                <w:color w:val="auto"/>
                <w:kern w:val="0"/>
                <w:sz w:val="21"/>
                <w:szCs w:val="21"/>
                <w:highlight w:val="none"/>
                <w:lang w:val="en-US" w:eastAsia="zh-CN"/>
              </w:rPr>
              <w:t>检测专业类别为公路或桥梁或隧道</w:t>
            </w:r>
            <w:r>
              <w:rPr>
                <w:rFonts w:hint="eastAsia" w:ascii="宋体" w:hAnsi="宋体" w:cs="黑体"/>
                <w:bCs/>
                <w:color w:val="auto"/>
                <w:kern w:val="0"/>
                <w:sz w:val="21"/>
                <w:szCs w:val="21"/>
                <w:highlight w:val="none"/>
                <w:lang w:val="zh-CN"/>
              </w:rPr>
              <w:t>）证书；</w:t>
            </w:r>
          </w:p>
          <w:p>
            <w:pPr>
              <w:tabs>
                <w:tab w:val="left" w:pos="1778"/>
              </w:tabs>
              <w:spacing w:line="360" w:lineRule="auto"/>
              <w:jc w:val="left"/>
              <w:rPr>
                <w:rFonts w:hint="eastAsia"/>
                <w:highlight w:val="none"/>
              </w:rPr>
            </w:pPr>
            <w:r>
              <w:rPr>
                <w:rFonts w:hint="eastAsia" w:ascii="宋体" w:hAnsi="宋体" w:eastAsia="宋体" w:cs="宋体"/>
                <w:highlight w:val="none"/>
                <w:lang w:val="zh-CN"/>
              </w:rPr>
              <w:t>（2）</w:t>
            </w:r>
            <w:r>
              <w:rPr>
                <w:rFonts w:hint="eastAsia" w:ascii="宋体" w:hAnsi="宋体" w:eastAsia="宋体" w:cs="宋体"/>
                <w:highlight w:val="none"/>
              </w:rPr>
              <w:t>担任过</w:t>
            </w:r>
            <w:r>
              <w:rPr>
                <w:rFonts w:hint="eastAsia" w:ascii="宋体" w:hAnsi="宋体" w:eastAsia="宋体" w:cs="宋体"/>
                <w:highlight w:val="none"/>
                <w:lang w:val="zh-CN"/>
              </w:rPr>
              <w:t>2个及以上营运高速公路桥梁监测（或检测）</w:t>
            </w:r>
            <w:r>
              <w:rPr>
                <w:rFonts w:hint="eastAsia" w:ascii="宋体" w:hAnsi="宋体" w:eastAsia="宋体" w:cs="宋体"/>
                <w:highlight w:val="none"/>
              </w:rPr>
              <w:t>项目负责人（或项目</w:t>
            </w:r>
            <w:r>
              <w:rPr>
                <w:rFonts w:hint="eastAsia" w:ascii="宋体" w:hAnsi="宋体" w:eastAsia="宋体" w:cs="宋体"/>
                <w:highlight w:val="none"/>
                <w:lang w:val="en-US" w:eastAsia="zh-CN"/>
              </w:rPr>
              <w:t>总</w:t>
            </w:r>
            <w:r>
              <w:rPr>
                <w:rFonts w:hint="eastAsia" w:ascii="宋体" w:hAnsi="宋体" w:eastAsia="宋体" w:cs="宋体"/>
                <w:highlight w:val="none"/>
              </w:rPr>
              <w:t>负责人或项目</w:t>
            </w:r>
            <w:r>
              <w:rPr>
                <w:rFonts w:hint="eastAsia" w:ascii="宋体" w:hAnsi="宋体" w:eastAsia="宋体" w:cs="宋体"/>
                <w:highlight w:val="none"/>
                <w:lang w:val="en-US" w:eastAsia="zh-CN"/>
              </w:rPr>
              <w:t>总</w:t>
            </w:r>
            <w:r>
              <w:rPr>
                <w:rFonts w:hint="eastAsia" w:ascii="宋体" w:hAnsi="宋体" w:eastAsia="宋体" w:cs="宋体"/>
                <w:highlight w:val="none"/>
              </w:rPr>
              <w:t>技术负责人或项目技术负责人）</w:t>
            </w:r>
            <w:r>
              <w:rPr>
                <w:rFonts w:hint="eastAsia" w:ascii="宋体" w:hAnsi="宋体" w:eastAsia="宋体" w:cs="宋体"/>
                <w:highlight w:val="none"/>
                <w:lang w:val="zh-CN"/>
              </w:rPr>
              <w:t>。</w:t>
            </w:r>
          </w:p>
        </w:tc>
        <w:tc>
          <w:tcPr>
            <w:tcW w:w="1361" w:type="dxa"/>
            <w:vMerge w:val="restart"/>
            <w:noWrap w:val="0"/>
            <w:vAlign w:val="center"/>
          </w:tcPr>
          <w:p>
            <w:pPr>
              <w:adjustRightInd w:val="0"/>
              <w:snapToGrid w:val="0"/>
              <w:spacing w:line="240" w:lineRule="auto"/>
              <w:rPr>
                <w:rFonts w:hint="eastAsia" w:ascii="宋体" w:hAnsi="宋体"/>
                <w:color w:val="000000"/>
                <w:szCs w:val="21"/>
                <w:highlight w:val="none"/>
              </w:rPr>
            </w:pPr>
            <w:r>
              <w:rPr>
                <w:rFonts w:hint="eastAsia" w:ascii="宋体" w:hAnsi="宋体" w:eastAsia="宋体" w:cs="黑体"/>
                <w:bCs/>
                <w:kern w:val="0"/>
                <w:szCs w:val="21"/>
                <w:highlight w:val="none"/>
                <w:lang w:val="zh-CN"/>
              </w:rPr>
              <w:t>无在岗项目（指目前未在其他项目上任职，或虽在其他项目上任职但本项目中标后能够从该项目撤离）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64" w:hRule="atLeast"/>
          <w:jc w:val="center"/>
        </w:trPr>
        <w:tc>
          <w:tcPr>
            <w:tcW w:w="1103" w:type="dxa"/>
            <w:noWrap w:val="0"/>
            <w:vAlign w:val="center"/>
          </w:tcPr>
          <w:p>
            <w:pPr>
              <w:spacing w:line="240" w:lineRule="auto"/>
              <w:jc w:val="center"/>
              <w:rPr>
                <w:rFonts w:hint="default" w:ascii="宋体" w:hAnsi="宋体" w:eastAsia="宋体"/>
                <w:color w:val="000000"/>
                <w:szCs w:val="21"/>
                <w:highlight w:val="none"/>
                <w:lang w:val="en-US" w:eastAsia="zh-CN"/>
              </w:rPr>
            </w:pPr>
            <w:r>
              <w:rPr>
                <w:rFonts w:hint="eastAsia" w:ascii="宋体" w:hAnsi="宋体" w:eastAsia="宋体" w:cs="宋体"/>
                <w:szCs w:val="21"/>
                <w:highlight w:val="none"/>
                <w:lang w:val="en-US" w:eastAsia="zh-CN"/>
              </w:rPr>
              <w:t>项目技术负责人</w:t>
            </w:r>
          </w:p>
        </w:tc>
        <w:tc>
          <w:tcPr>
            <w:tcW w:w="1001" w:type="dxa"/>
            <w:noWrap w:val="0"/>
            <w:vAlign w:val="center"/>
          </w:tcPr>
          <w:p>
            <w:pPr>
              <w:adjustRightInd w:val="0"/>
              <w:snapToGrid w:val="0"/>
              <w:spacing w:line="240" w:lineRule="auto"/>
              <w:jc w:val="center"/>
              <w:rPr>
                <w:rFonts w:hint="eastAsia" w:ascii="宋体" w:hAnsi="宋体"/>
                <w:color w:val="000000"/>
                <w:szCs w:val="21"/>
                <w:highlight w:val="none"/>
              </w:rPr>
            </w:pPr>
            <w:r>
              <w:rPr>
                <w:rFonts w:hint="eastAsia" w:ascii="宋体" w:hAnsi="宋体" w:eastAsia="宋体" w:cs="宋体"/>
                <w:szCs w:val="21"/>
                <w:highlight w:val="none"/>
              </w:rPr>
              <w:t>1</w:t>
            </w:r>
          </w:p>
        </w:tc>
        <w:tc>
          <w:tcPr>
            <w:tcW w:w="5835" w:type="dxa"/>
            <w:noWrap w:val="0"/>
            <w:vAlign w:val="center"/>
          </w:tcPr>
          <w:p>
            <w:pPr>
              <w:tabs>
                <w:tab w:val="left" w:pos="1778"/>
              </w:tabs>
              <w:spacing w:line="360" w:lineRule="auto"/>
              <w:jc w:val="left"/>
              <w:rPr>
                <w:rFonts w:hint="eastAsia" w:ascii="宋体" w:hAnsi="宋体" w:eastAsia="宋体" w:cs="宋体"/>
                <w:bCs/>
                <w:kern w:val="0"/>
                <w:szCs w:val="21"/>
                <w:highlight w:val="none"/>
                <w:lang w:val="zh-CN"/>
              </w:rPr>
            </w:pPr>
            <w:r>
              <w:rPr>
                <w:rFonts w:hint="eastAsia" w:ascii="宋体" w:hAnsi="宋体" w:eastAsia="宋体" w:cs="宋体"/>
                <w:highlight w:val="none"/>
                <w:lang w:val="zh-CN"/>
              </w:rPr>
              <w:t>（1）</w:t>
            </w:r>
            <w:r>
              <w:rPr>
                <w:rFonts w:hint="eastAsia" w:ascii="宋体" w:hAnsi="宋体" w:eastAsia="宋体" w:cs="宋体"/>
                <w:highlight w:val="none"/>
                <w:lang w:val="en-US" w:eastAsia="zh-CN"/>
              </w:rPr>
              <w:t>具有</w:t>
            </w:r>
            <w:r>
              <w:rPr>
                <w:rFonts w:hint="eastAsia" w:ascii="宋体" w:hAnsi="宋体" w:cs="黑体"/>
                <w:bCs/>
                <w:color w:val="auto"/>
                <w:kern w:val="0"/>
                <w:sz w:val="21"/>
                <w:szCs w:val="21"/>
                <w:highlight w:val="none"/>
                <w:lang w:val="zh-CN"/>
              </w:rPr>
              <w:t>高级工程师（</w:t>
            </w:r>
            <w:r>
              <w:rPr>
                <w:rFonts w:hint="eastAsia" w:ascii="宋体" w:hAnsi="宋体" w:cs="黑体"/>
                <w:bCs/>
                <w:color w:val="auto"/>
                <w:kern w:val="0"/>
                <w:sz w:val="21"/>
                <w:szCs w:val="21"/>
                <w:highlight w:val="none"/>
                <w:lang w:val="en-US" w:eastAsia="zh-CN"/>
              </w:rPr>
              <w:t>或副研究员</w:t>
            </w:r>
            <w:r>
              <w:rPr>
                <w:rFonts w:hint="eastAsia" w:ascii="宋体" w:hAnsi="宋体" w:cs="黑体"/>
                <w:bCs/>
                <w:color w:val="auto"/>
                <w:kern w:val="0"/>
                <w:sz w:val="21"/>
                <w:szCs w:val="21"/>
                <w:highlight w:val="none"/>
                <w:lang w:val="zh-CN"/>
              </w:rPr>
              <w:t>）</w:t>
            </w:r>
            <w:r>
              <w:rPr>
                <w:rFonts w:hint="eastAsia" w:ascii="宋体" w:hAnsi="宋体" w:cs="黑体"/>
                <w:bCs/>
                <w:color w:val="auto"/>
                <w:kern w:val="0"/>
                <w:sz w:val="21"/>
                <w:szCs w:val="21"/>
                <w:highlight w:val="none"/>
                <w:lang w:val="en-US" w:eastAsia="zh-CN"/>
              </w:rPr>
              <w:t>或</w:t>
            </w:r>
            <w:r>
              <w:rPr>
                <w:rFonts w:hint="eastAsia" w:ascii="宋体" w:hAnsi="宋体" w:cs="黑体"/>
                <w:bCs/>
                <w:color w:val="auto"/>
                <w:kern w:val="0"/>
                <w:sz w:val="21"/>
                <w:szCs w:val="21"/>
                <w:highlight w:val="none"/>
                <w:lang w:val="zh-CN"/>
              </w:rPr>
              <w:t>以上职称，</w:t>
            </w:r>
            <w:r>
              <w:rPr>
                <w:rFonts w:hint="eastAsia" w:ascii="宋体" w:hAnsi="宋体" w:cs="黑体"/>
                <w:bCs/>
                <w:color w:val="auto"/>
                <w:kern w:val="0"/>
                <w:sz w:val="21"/>
                <w:szCs w:val="21"/>
                <w:highlight w:val="none"/>
                <w:lang w:val="zh-CN" w:eastAsia="zh-CN"/>
              </w:rPr>
              <w:t>持</w:t>
            </w:r>
            <w:r>
              <w:rPr>
                <w:rFonts w:hint="eastAsia" w:ascii="宋体" w:hAnsi="宋体" w:cs="黑体"/>
                <w:bCs/>
                <w:color w:val="auto"/>
                <w:kern w:val="0"/>
                <w:sz w:val="21"/>
                <w:szCs w:val="21"/>
                <w:highlight w:val="none"/>
                <w:lang w:val="zh-CN"/>
              </w:rPr>
              <w:t>有</w:t>
            </w:r>
            <w:r>
              <w:rPr>
                <w:rFonts w:hint="eastAsia" w:ascii="宋体" w:hAnsi="宋体" w:cs="黑体"/>
                <w:bCs/>
                <w:color w:val="auto"/>
                <w:kern w:val="0"/>
                <w:sz w:val="21"/>
                <w:szCs w:val="21"/>
                <w:highlight w:val="none"/>
                <w:lang w:val="en-US" w:eastAsia="zh-CN"/>
              </w:rPr>
              <w:t>行政主管部门核发</w:t>
            </w:r>
            <w:r>
              <w:rPr>
                <w:rFonts w:hint="eastAsia" w:ascii="宋体" w:hAnsi="宋体" w:cs="黑体"/>
                <w:bCs/>
                <w:color w:val="auto"/>
                <w:kern w:val="0"/>
                <w:sz w:val="21"/>
                <w:szCs w:val="21"/>
                <w:highlight w:val="none"/>
                <w:lang w:val="zh-CN"/>
              </w:rPr>
              <w:t>的公路</w:t>
            </w:r>
            <w:r>
              <w:rPr>
                <w:rFonts w:hint="eastAsia" w:ascii="宋体" w:hAnsi="宋体" w:cs="黑体"/>
                <w:bCs/>
                <w:color w:val="auto"/>
                <w:kern w:val="0"/>
                <w:sz w:val="21"/>
                <w:szCs w:val="21"/>
                <w:highlight w:val="none"/>
                <w:lang w:val="en-US" w:eastAsia="zh-CN"/>
              </w:rPr>
              <w:t>工程</w:t>
            </w:r>
            <w:r>
              <w:rPr>
                <w:rFonts w:hint="eastAsia" w:ascii="宋体" w:hAnsi="宋体" w:cs="黑体"/>
                <w:bCs/>
                <w:color w:val="auto"/>
                <w:kern w:val="0"/>
                <w:sz w:val="21"/>
                <w:szCs w:val="21"/>
                <w:highlight w:val="none"/>
                <w:lang w:val="zh-CN"/>
              </w:rPr>
              <w:t>试验检测师</w:t>
            </w:r>
            <w:r>
              <w:rPr>
                <w:rFonts w:hint="eastAsia" w:ascii="宋体" w:hAnsi="宋体" w:cs="黑体"/>
                <w:bCs/>
                <w:color w:val="auto"/>
                <w:kern w:val="0"/>
                <w:sz w:val="21"/>
                <w:szCs w:val="21"/>
                <w:highlight w:val="none"/>
                <w:lang w:val="en-US" w:eastAsia="zh-CN"/>
              </w:rPr>
              <w:t>资格证书或试验检测工程师</w:t>
            </w:r>
            <w:r>
              <w:rPr>
                <w:rFonts w:hint="eastAsia" w:ascii="宋体" w:hAnsi="宋体" w:cs="黑体"/>
                <w:bCs/>
                <w:color w:val="auto"/>
                <w:kern w:val="0"/>
                <w:sz w:val="21"/>
                <w:szCs w:val="21"/>
                <w:highlight w:val="none"/>
                <w:lang w:val="zh-CN"/>
              </w:rPr>
              <w:t>（</w:t>
            </w:r>
            <w:r>
              <w:rPr>
                <w:rFonts w:hint="eastAsia" w:ascii="宋体" w:hAnsi="宋体" w:cs="黑体"/>
                <w:bCs/>
                <w:color w:val="auto"/>
                <w:kern w:val="0"/>
                <w:sz w:val="21"/>
                <w:szCs w:val="21"/>
                <w:highlight w:val="none"/>
                <w:lang w:val="en-US" w:eastAsia="zh-CN"/>
              </w:rPr>
              <w:t>检测专业类别为公路或桥梁或隧道</w:t>
            </w:r>
            <w:r>
              <w:rPr>
                <w:rFonts w:hint="eastAsia" w:ascii="宋体" w:hAnsi="宋体" w:cs="黑体"/>
                <w:bCs/>
                <w:color w:val="auto"/>
                <w:kern w:val="0"/>
                <w:sz w:val="21"/>
                <w:szCs w:val="21"/>
                <w:highlight w:val="none"/>
                <w:lang w:val="zh-CN"/>
              </w:rPr>
              <w:t>）证书；</w:t>
            </w:r>
          </w:p>
          <w:p>
            <w:pPr>
              <w:tabs>
                <w:tab w:val="left" w:pos="1778"/>
              </w:tabs>
              <w:spacing w:line="360" w:lineRule="auto"/>
              <w:jc w:val="left"/>
              <w:rPr>
                <w:rFonts w:hint="eastAsia" w:ascii="宋体" w:hAnsi="宋体"/>
                <w:color w:val="000000"/>
                <w:szCs w:val="21"/>
                <w:highlight w:val="none"/>
              </w:rPr>
            </w:pPr>
            <w:r>
              <w:rPr>
                <w:rFonts w:hint="eastAsia" w:ascii="宋体" w:hAnsi="宋体" w:eastAsia="宋体" w:cs="宋体"/>
                <w:bCs/>
                <w:kern w:val="0"/>
                <w:szCs w:val="21"/>
                <w:highlight w:val="none"/>
                <w:lang w:val="zh-CN"/>
              </w:rPr>
              <w:t>（2）</w:t>
            </w:r>
            <w:r>
              <w:rPr>
                <w:rFonts w:hint="eastAsia" w:ascii="宋体" w:hAnsi="宋体" w:eastAsia="宋体" w:cs="宋体"/>
                <w:bCs/>
                <w:kern w:val="0"/>
                <w:szCs w:val="21"/>
                <w:highlight w:val="none"/>
              </w:rPr>
              <w:t>担任过</w:t>
            </w:r>
            <w:r>
              <w:rPr>
                <w:rFonts w:hint="eastAsia" w:ascii="宋体" w:hAnsi="宋体" w:eastAsia="宋体" w:cs="宋体"/>
                <w:bCs/>
                <w:kern w:val="0"/>
                <w:szCs w:val="21"/>
                <w:highlight w:val="none"/>
                <w:lang w:val="zh-CN"/>
              </w:rPr>
              <w:t>2个及以上营运高速公路桥梁监测（或检测）</w:t>
            </w:r>
            <w:r>
              <w:rPr>
                <w:rFonts w:hint="eastAsia" w:ascii="宋体" w:hAnsi="宋体" w:eastAsia="宋体" w:cs="宋体"/>
                <w:szCs w:val="21"/>
                <w:highlight w:val="none"/>
              </w:rPr>
              <w:t>项目技术负责人</w:t>
            </w:r>
            <w:r>
              <w:rPr>
                <w:rFonts w:hint="eastAsia" w:ascii="宋体" w:hAnsi="宋体" w:eastAsia="宋体" w:cs="宋体"/>
                <w:szCs w:val="21"/>
                <w:highlight w:val="none"/>
                <w:lang w:eastAsia="zh-CN"/>
              </w:rPr>
              <w:t>（</w:t>
            </w:r>
            <w:r>
              <w:rPr>
                <w:rFonts w:hint="eastAsia" w:ascii="宋体" w:hAnsi="宋体" w:eastAsia="宋体" w:cs="宋体"/>
                <w:highlight w:val="none"/>
              </w:rPr>
              <w:t>或项目</w:t>
            </w:r>
            <w:r>
              <w:rPr>
                <w:rFonts w:hint="eastAsia" w:ascii="宋体" w:hAnsi="宋体" w:eastAsia="宋体" w:cs="宋体"/>
                <w:highlight w:val="none"/>
                <w:lang w:val="en-US" w:eastAsia="zh-CN"/>
              </w:rPr>
              <w:t>总</w:t>
            </w:r>
            <w:r>
              <w:rPr>
                <w:rFonts w:hint="eastAsia" w:ascii="宋体" w:hAnsi="宋体" w:eastAsia="宋体" w:cs="宋体"/>
                <w:highlight w:val="none"/>
              </w:rPr>
              <w:t>技术负责人或项目</w:t>
            </w:r>
            <w:r>
              <w:rPr>
                <w:rFonts w:hint="eastAsia" w:ascii="宋体" w:hAnsi="宋体" w:eastAsia="宋体" w:cs="宋体"/>
                <w:highlight w:val="none"/>
                <w:lang w:val="en-US" w:eastAsia="zh-CN"/>
              </w:rPr>
              <w:t>总</w:t>
            </w:r>
            <w:r>
              <w:rPr>
                <w:rFonts w:hint="eastAsia" w:ascii="宋体" w:hAnsi="宋体" w:eastAsia="宋体" w:cs="宋体"/>
                <w:highlight w:val="none"/>
              </w:rPr>
              <w:t>负责人</w:t>
            </w:r>
            <w:r>
              <w:rPr>
                <w:rFonts w:hint="eastAsia" w:ascii="宋体" w:hAnsi="宋体" w:eastAsia="宋体" w:cs="宋体"/>
                <w:szCs w:val="21"/>
                <w:highlight w:val="none"/>
                <w:lang w:val="en-US" w:eastAsia="zh-CN"/>
              </w:rPr>
              <w:t>或</w:t>
            </w:r>
            <w:r>
              <w:rPr>
                <w:rFonts w:hint="eastAsia" w:ascii="宋体" w:hAnsi="宋体" w:eastAsia="宋体" w:cs="宋体"/>
                <w:highlight w:val="none"/>
              </w:rPr>
              <w:t>项目负责人</w:t>
            </w:r>
            <w:r>
              <w:rPr>
                <w:rFonts w:hint="eastAsia" w:ascii="宋体" w:hAnsi="宋体" w:eastAsia="宋体" w:cs="宋体"/>
                <w:szCs w:val="21"/>
                <w:highlight w:val="none"/>
                <w:lang w:eastAsia="zh-CN"/>
              </w:rPr>
              <w:t>）</w:t>
            </w:r>
            <w:r>
              <w:rPr>
                <w:rFonts w:hint="eastAsia" w:ascii="宋体" w:hAnsi="宋体" w:eastAsia="宋体" w:cs="宋体"/>
                <w:bCs/>
                <w:kern w:val="0"/>
                <w:szCs w:val="21"/>
                <w:highlight w:val="none"/>
                <w:lang w:val="zh-CN"/>
              </w:rPr>
              <w:t>。</w:t>
            </w:r>
          </w:p>
        </w:tc>
        <w:tc>
          <w:tcPr>
            <w:tcW w:w="1361" w:type="dxa"/>
            <w:vMerge w:val="continue"/>
            <w:noWrap w:val="0"/>
            <w:vAlign w:val="center"/>
          </w:tcPr>
          <w:p>
            <w:pPr>
              <w:adjustRightInd w:val="0"/>
              <w:snapToGrid w:val="0"/>
              <w:spacing w:line="240" w:lineRule="auto"/>
              <w:rPr>
                <w:rFonts w:hint="eastAsia" w:ascii="宋体" w:hAnsi="宋体"/>
                <w:color w:val="00000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76" w:hRule="atLeast"/>
          <w:jc w:val="center"/>
        </w:trPr>
        <w:tc>
          <w:tcPr>
            <w:tcW w:w="930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360" w:firstLineChars="200"/>
              <w:textAlignment w:val="auto"/>
              <w:outlineLvl w:val="9"/>
              <w:rPr>
                <w:rFonts w:hint="eastAsia" w:ascii="Times New Roman" w:hAnsi="Times New Roman" w:eastAsia="宋体" w:cs="Times New Roman"/>
                <w:sz w:val="18"/>
                <w:szCs w:val="18"/>
                <w:highlight w:val="none"/>
                <w:lang w:val="en-US" w:eastAsia="zh-CN"/>
              </w:rPr>
            </w:pPr>
          </w:p>
          <w:p>
            <w:pPr>
              <w:widowControl/>
              <w:autoSpaceDE/>
              <w:autoSpaceDN/>
              <w:spacing w:line="360" w:lineRule="auto"/>
              <w:ind w:firstLine="360" w:firstLineChars="200"/>
              <w:textAlignment w:val="auto"/>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注</w:t>
            </w:r>
            <w:r>
              <w:rPr>
                <w:rFonts w:hint="eastAsia" w:ascii="Times New Roman" w:hAnsi="Times New Roman" w:eastAsia="宋体" w:cs="Times New Roman"/>
                <w:color w:val="auto"/>
                <w:sz w:val="18"/>
                <w:szCs w:val="18"/>
                <w:highlight w:val="none"/>
              </w:rPr>
              <w:t>：</w:t>
            </w:r>
          </w:p>
          <w:p>
            <w:pPr>
              <w:widowControl/>
              <w:autoSpaceDE/>
              <w:autoSpaceDN/>
              <w:spacing w:line="360" w:lineRule="auto"/>
              <w:ind w:firstLine="360" w:firstLineChars="200"/>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1、应附身份证、毕业证书、职称资格证书、职业资格证书的复印件。</w:t>
            </w:r>
            <w:r>
              <w:rPr>
                <w:rFonts w:hint="eastAsia" w:ascii="Times New Roman" w:hAnsi="Times New Roman" w:eastAsia="宋体" w:cs="Times New Roman"/>
                <w:b/>
                <w:bCs/>
                <w:sz w:val="18"/>
                <w:szCs w:val="18"/>
                <w:highlight w:val="none"/>
                <w:lang w:val="en-US" w:eastAsia="zh-CN"/>
              </w:rPr>
              <w:t>检测工程师还需提供</w:t>
            </w:r>
            <w:r>
              <w:rPr>
                <w:rFonts w:hint="eastAsia" w:ascii="Times New Roman" w:hAnsi="Times New Roman" w:eastAsia="宋体" w:cs="Times New Roman"/>
                <w:color w:val="auto"/>
                <w:sz w:val="18"/>
                <w:szCs w:val="18"/>
                <w:highlight w:val="none"/>
                <w:lang w:val="en-US" w:eastAsia="zh-CN"/>
              </w:rPr>
              <w:t>在</w:t>
            </w:r>
            <w:r>
              <w:rPr>
                <w:rFonts w:hint="eastAsia" w:ascii="Times New Roman" w:hAnsi="Times New Roman" w:eastAsia="宋体" w:cs="Times New Roman"/>
                <w:sz w:val="18"/>
                <w:szCs w:val="18"/>
                <w:highlight w:val="none"/>
                <w:lang w:val="en-US" w:eastAsia="zh-CN"/>
              </w:rPr>
              <w:t>公路水运工程质量试验检测管理信息系统中查询到的企业“录入人员”相关网页截图复印件或网页打印件作为证明材料，即包括人员的“姓名”、“性别”、“学历”、“职称”、“检测证书编号”等栏目在内的网页截图复印件或网页打印件。</w:t>
            </w:r>
          </w:p>
          <w:p>
            <w:pPr>
              <w:keepNext w:val="0"/>
              <w:keepLines w:val="0"/>
              <w:pageBreakBefore w:val="0"/>
              <w:widowControl/>
              <w:kinsoku/>
              <w:wordWrap/>
              <w:overflowPunct/>
              <w:topLinePunct w:val="0"/>
              <w:bidi w:val="0"/>
              <w:adjustRightInd/>
              <w:snapToGrid/>
              <w:spacing w:line="360" w:lineRule="auto"/>
              <w:ind w:left="0" w:leftChars="0" w:right="0" w:rightChars="0" w:firstLine="360" w:firstLineChars="200"/>
              <w:jc w:val="both"/>
              <w:outlineLvl w:val="9"/>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2、相关业绩证明材料应附中标通知书（如有）、合同协议书，若中标通知书或合同协议书均无法确认项目负责人、技术负责人以及检测内容等信息的，投标人须提供业主开具的相关证明材料。如投标人提供的上述资料无法证实投标人满足招标文件规定的资格审查条件（项目负责人、技术负责人最低要求）或评标办法评分标准，则该业绩不予认定。</w:t>
            </w:r>
          </w:p>
          <w:p>
            <w:pPr>
              <w:widowControl/>
              <w:spacing w:line="360" w:lineRule="auto"/>
              <w:ind w:firstLine="360" w:firstLineChars="200"/>
              <w:rPr>
                <w:rFonts w:hint="eastAsia" w:ascii="宋体" w:hAnsi="宋体"/>
                <w:color w:val="000000"/>
                <w:szCs w:val="21"/>
                <w:highlight w:val="none"/>
              </w:rPr>
            </w:pPr>
            <w:r>
              <w:rPr>
                <w:rFonts w:hint="eastAsia"/>
                <w:color w:val="auto"/>
                <w:sz w:val="18"/>
                <w:szCs w:val="18"/>
                <w:highlight w:val="none"/>
                <w:lang w:val="en-US" w:eastAsia="zh-CN"/>
              </w:rPr>
              <w:t>3、</w:t>
            </w:r>
            <w:r>
              <w:rPr>
                <w:rFonts w:hint="eastAsia"/>
                <w:color w:val="auto"/>
                <w:sz w:val="18"/>
                <w:szCs w:val="18"/>
                <w:highlight w:val="none"/>
              </w:rPr>
              <w:t>投标人所属社保机构出具的拟委任的</w:t>
            </w:r>
            <w:r>
              <w:rPr>
                <w:rFonts w:hint="eastAsia" w:ascii="Times New Roman" w:hAnsi="Times New Roman" w:eastAsia="宋体" w:cs="Times New Roman"/>
                <w:color w:val="auto"/>
                <w:sz w:val="18"/>
                <w:szCs w:val="18"/>
                <w:highlight w:val="none"/>
                <w:lang w:val="en-US" w:eastAsia="zh-CN"/>
              </w:rPr>
              <w:t>项目负责人、技术负责人</w:t>
            </w:r>
            <w:r>
              <w:rPr>
                <w:rFonts w:hint="eastAsia"/>
                <w:color w:val="auto"/>
                <w:sz w:val="18"/>
                <w:szCs w:val="18"/>
                <w:highlight w:val="none"/>
              </w:rPr>
              <w:t>的社保缴费证明或其他能够证明拟委任的</w:t>
            </w:r>
            <w:r>
              <w:rPr>
                <w:rFonts w:hint="eastAsia" w:ascii="Times New Roman" w:hAnsi="Times New Roman" w:eastAsia="宋体" w:cs="Times New Roman"/>
                <w:color w:val="auto"/>
                <w:sz w:val="18"/>
                <w:szCs w:val="18"/>
                <w:highlight w:val="none"/>
                <w:lang w:val="en-US" w:eastAsia="zh-CN"/>
              </w:rPr>
              <w:t>项目负责人、技术负责人在本单位</w:t>
            </w:r>
            <w:r>
              <w:rPr>
                <w:rFonts w:hint="eastAsia"/>
                <w:color w:val="auto"/>
                <w:sz w:val="18"/>
                <w:szCs w:val="18"/>
                <w:highlight w:val="none"/>
              </w:rPr>
              <w:t>参加社保的有效证明材料复印件。社保证明应含</w:t>
            </w:r>
            <w:r>
              <w:rPr>
                <w:rFonts w:hint="eastAsia"/>
                <w:b/>
                <w:bCs/>
                <w:color w:val="auto"/>
                <w:sz w:val="18"/>
                <w:szCs w:val="18"/>
                <w:highlight w:val="none"/>
              </w:rPr>
              <w:t>（</w:t>
            </w:r>
            <w:r>
              <w:rPr>
                <w:rFonts w:hint="eastAsia"/>
                <w:b/>
                <w:bCs/>
                <w:color w:val="auto"/>
                <w:sz w:val="18"/>
                <w:szCs w:val="18"/>
                <w:highlight w:val="none"/>
                <w:lang w:eastAsia="zh-CN"/>
              </w:rPr>
              <w:t>202</w:t>
            </w:r>
            <w:r>
              <w:rPr>
                <w:rFonts w:hint="eastAsia"/>
                <w:b/>
                <w:bCs/>
                <w:color w:val="auto"/>
                <w:sz w:val="18"/>
                <w:szCs w:val="18"/>
                <w:highlight w:val="none"/>
                <w:lang w:val="en-US" w:eastAsia="zh-CN"/>
              </w:rPr>
              <w:t>2</w:t>
            </w:r>
            <w:r>
              <w:rPr>
                <w:rFonts w:hint="eastAsia"/>
                <w:b/>
                <w:bCs/>
                <w:color w:val="auto"/>
                <w:sz w:val="18"/>
                <w:szCs w:val="18"/>
                <w:highlight w:val="none"/>
              </w:rPr>
              <w:t>年</w:t>
            </w:r>
            <w:r>
              <w:rPr>
                <w:rFonts w:hint="eastAsia"/>
                <w:b/>
                <w:bCs/>
                <w:color w:val="auto"/>
                <w:sz w:val="18"/>
                <w:szCs w:val="18"/>
                <w:highlight w:val="none"/>
                <w:lang w:val="en-US" w:eastAsia="zh-CN"/>
              </w:rPr>
              <w:t>11</w:t>
            </w:r>
            <w:r>
              <w:rPr>
                <w:rFonts w:hint="eastAsia"/>
                <w:b/>
                <w:bCs/>
                <w:color w:val="auto"/>
                <w:sz w:val="18"/>
                <w:szCs w:val="18"/>
                <w:highlight w:val="none"/>
              </w:rPr>
              <w:t>月至</w:t>
            </w:r>
            <w:r>
              <w:rPr>
                <w:rFonts w:hint="eastAsia"/>
                <w:b/>
                <w:bCs/>
                <w:color w:val="auto"/>
                <w:sz w:val="18"/>
                <w:szCs w:val="18"/>
                <w:highlight w:val="none"/>
                <w:lang w:eastAsia="zh-CN"/>
              </w:rPr>
              <w:t>202</w:t>
            </w:r>
            <w:r>
              <w:rPr>
                <w:rFonts w:hint="eastAsia"/>
                <w:b/>
                <w:bCs/>
                <w:color w:val="auto"/>
                <w:sz w:val="18"/>
                <w:szCs w:val="18"/>
                <w:highlight w:val="none"/>
                <w:lang w:val="en-US" w:eastAsia="zh-CN"/>
              </w:rPr>
              <w:t>3</w:t>
            </w:r>
            <w:r>
              <w:rPr>
                <w:rFonts w:hint="eastAsia"/>
                <w:b/>
                <w:bCs/>
                <w:color w:val="auto"/>
                <w:sz w:val="18"/>
                <w:szCs w:val="18"/>
                <w:highlight w:val="none"/>
              </w:rPr>
              <w:t>年</w:t>
            </w:r>
            <w:r>
              <w:rPr>
                <w:rFonts w:hint="eastAsia"/>
                <w:b/>
                <w:bCs/>
                <w:color w:val="auto"/>
                <w:sz w:val="18"/>
                <w:szCs w:val="18"/>
                <w:highlight w:val="none"/>
                <w:lang w:val="en-US" w:eastAsia="zh-CN"/>
              </w:rPr>
              <w:t>4</w:t>
            </w:r>
            <w:r>
              <w:rPr>
                <w:rFonts w:hint="eastAsia"/>
                <w:b/>
                <w:bCs/>
                <w:color w:val="auto"/>
                <w:sz w:val="18"/>
                <w:szCs w:val="18"/>
                <w:highlight w:val="none"/>
              </w:rPr>
              <w:t>月）</w:t>
            </w:r>
            <w:r>
              <w:rPr>
                <w:rFonts w:hint="eastAsia"/>
                <w:color w:val="auto"/>
                <w:sz w:val="18"/>
                <w:szCs w:val="18"/>
                <w:highlight w:val="none"/>
              </w:rPr>
              <w:t>时间的社保，且应清晰反映参保时间。</w:t>
            </w:r>
          </w:p>
        </w:tc>
      </w:tr>
    </w:tbl>
    <w:p>
      <w:pPr>
        <w:adjustRightInd w:val="0"/>
        <w:snapToGrid w:val="0"/>
        <w:spacing w:line="360" w:lineRule="auto"/>
        <w:jc w:val="both"/>
        <w:rPr>
          <w:rFonts w:hint="default" w:ascii="宋体" w:hAnsi="宋体"/>
          <w:b/>
          <w:bCs/>
          <w:color w:val="000000"/>
          <w:sz w:val="28"/>
          <w:szCs w:val="28"/>
          <w:highlight w:val="none"/>
        </w:rPr>
      </w:pPr>
    </w:p>
    <w:p>
      <w:pPr>
        <w:pStyle w:val="2"/>
        <w:rPr>
          <w:rFonts w:hint="default" w:ascii="宋体" w:hAnsi="宋体"/>
          <w:b/>
          <w:bCs/>
          <w:color w:val="000000"/>
          <w:sz w:val="28"/>
          <w:szCs w:val="28"/>
          <w:highlight w:val="none"/>
        </w:rPr>
      </w:pPr>
    </w:p>
    <w:p>
      <w:pPr>
        <w:rPr>
          <w:rFonts w:hint="default" w:ascii="宋体" w:hAnsi="宋体"/>
          <w:b/>
          <w:bCs/>
          <w:color w:val="000000"/>
          <w:sz w:val="28"/>
          <w:szCs w:val="28"/>
          <w:highlight w:val="none"/>
        </w:rPr>
      </w:pPr>
    </w:p>
    <w:p>
      <w:pPr>
        <w:pStyle w:val="2"/>
        <w:rPr>
          <w:rFonts w:hint="default" w:ascii="宋体" w:hAnsi="宋体"/>
          <w:b/>
          <w:bCs/>
          <w:color w:val="000000"/>
          <w:sz w:val="28"/>
          <w:szCs w:val="28"/>
          <w:highlight w:val="none"/>
        </w:rPr>
      </w:pPr>
    </w:p>
    <w:p>
      <w:pPr>
        <w:rPr>
          <w:rFonts w:hint="default" w:ascii="宋体" w:hAnsi="宋体"/>
          <w:b/>
          <w:bCs/>
          <w:color w:val="000000"/>
          <w:sz w:val="28"/>
          <w:szCs w:val="28"/>
          <w:highlight w:val="none"/>
        </w:rPr>
      </w:pPr>
    </w:p>
    <w:p>
      <w:pPr>
        <w:pStyle w:val="2"/>
        <w:rPr>
          <w:rFonts w:hint="default" w:ascii="宋体" w:hAnsi="宋体"/>
          <w:b/>
          <w:bCs/>
          <w:color w:val="000000"/>
          <w:sz w:val="28"/>
          <w:szCs w:val="28"/>
          <w:highlight w:val="none"/>
        </w:rPr>
      </w:pPr>
    </w:p>
    <w:p>
      <w:pPr>
        <w:rPr>
          <w:rFonts w:hint="default"/>
        </w:rPr>
      </w:pPr>
    </w:p>
    <w:p>
      <w:pPr>
        <w:rPr>
          <w:rFonts w:hint="default"/>
        </w:rPr>
      </w:pPr>
    </w:p>
    <w:p>
      <w:pPr>
        <w:adjustRightInd w:val="0"/>
        <w:snapToGrid w:val="0"/>
        <w:spacing w:line="360" w:lineRule="auto"/>
        <w:jc w:val="center"/>
        <w:rPr>
          <w:rFonts w:hint="eastAsia" w:ascii="宋体" w:hAnsi="宋体"/>
          <w:b/>
          <w:bCs/>
          <w:color w:val="000000"/>
          <w:sz w:val="28"/>
          <w:szCs w:val="28"/>
          <w:highlight w:val="none"/>
        </w:rPr>
      </w:pPr>
      <w:bookmarkStart w:id="0" w:name="_Toc465783934"/>
      <w:bookmarkStart w:id="1" w:name="_Toc467743962"/>
      <w:bookmarkStart w:id="2" w:name="_Toc346891122"/>
      <w:bookmarkStart w:id="3" w:name="_Toc467702454"/>
      <w:bookmarkStart w:id="4" w:name="_Toc467744166"/>
      <w:bookmarkStart w:id="5" w:name="_Toc343507780"/>
      <w:bookmarkStart w:id="6" w:name="_Toc467701909"/>
    </w:p>
    <w:p>
      <w:pPr>
        <w:adjustRightInd w:val="0"/>
        <w:snapToGrid w:val="0"/>
        <w:spacing w:line="360" w:lineRule="auto"/>
        <w:jc w:val="center"/>
        <w:rPr>
          <w:rFonts w:hint="eastAsia" w:ascii="宋体" w:hAnsi="宋体"/>
          <w:b/>
          <w:bCs/>
          <w:color w:val="000000"/>
          <w:sz w:val="28"/>
          <w:szCs w:val="28"/>
          <w:highlight w:val="none"/>
        </w:rPr>
      </w:pPr>
      <w:r>
        <w:rPr>
          <w:rFonts w:hint="eastAsia" w:ascii="宋体" w:hAnsi="宋体"/>
          <w:b/>
          <w:bCs/>
          <w:color w:val="000000"/>
          <w:sz w:val="28"/>
          <w:szCs w:val="28"/>
          <w:highlight w:val="none"/>
        </w:rPr>
        <w:t>附录</w:t>
      </w:r>
      <w:r>
        <w:rPr>
          <w:rFonts w:hint="eastAsia" w:ascii="宋体" w:hAnsi="宋体"/>
          <w:b/>
          <w:bCs/>
          <w:color w:val="000000"/>
          <w:sz w:val="28"/>
          <w:szCs w:val="28"/>
          <w:highlight w:val="none"/>
          <w:lang w:val="en-US" w:eastAsia="zh-CN"/>
        </w:rPr>
        <w:t xml:space="preserve">5 </w:t>
      </w:r>
      <w:r>
        <w:rPr>
          <w:rFonts w:hint="eastAsia" w:ascii="宋体" w:hAnsi="宋体"/>
          <w:b/>
          <w:bCs/>
          <w:color w:val="000000"/>
          <w:sz w:val="28"/>
          <w:szCs w:val="28"/>
          <w:highlight w:val="none"/>
        </w:rPr>
        <w:t xml:space="preserve"> 资格审查条件(其他主要管理人员和技术人员最低要求)</w:t>
      </w:r>
      <w:bookmarkEnd w:id="0"/>
      <w:bookmarkEnd w:id="1"/>
      <w:bookmarkEnd w:id="2"/>
      <w:bookmarkEnd w:id="3"/>
      <w:bookmarkEnd w:id="4"/>
      <w:bookmarkEnd w:id="5"/>
      <w:bookmarkEnd w:id="6"/>
      <w:r>
        <w:rPr>
          <w:rFonts w:hint="eastAsia" w:ascii="宋体" w:hAnsi="宋体"/>
          <w:b/>
          <w:bCs/>
          <w:color w:val="000000"/>
          <w:sz w:val="28"/>
          <w:szCs w:val="28"/>
          <w:highlight w:val="none"/>
        </w:rPr>
        <w:t xml:space="preserve"> </w:t>
      </w:r>
    </w:p>
    <w:tbl>
      <w:tblPr>
        <w:tblStyle w:val="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49"/>
        <w:gridCol w:w="980"/>
        <w:gridCol w:w="685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44" w:hRule="atLeast"/>
          <w:jc w:val="center"/>
        </w:trPr>
        <w:tc>
          <w:tcPr>
            <w:tcW w:w="1149" w:type="dxa"/>
            <w:noWrap w:val="0"/>
            <w:vAlign w:val="center"/>
          </w:tcPr>
          <w:p>
            <w:pPr>
              <w:adjustRightInd w:val="0"/>
              <w:snapToGrid w:val="0"/>
              <w:spacing w:line="360" w:lineRule="exact"/>
              <w:jc w:val="center"/>
              <w:rPr>
                <w:rFonts w:ascii="宋体" w:hAnsi="宋体"/>
                <w:color w:val="000000"/>
                <w:szCs w:val="21"/>
                <w:highlight w:val="none"/>
              </w:rPr>
            </w:pPr>
            <w:r>
              <w:rPr>
                <w:rFonts w:hint="eastAsia" w:ascii="宋体" w:hAnsi="宋体"/>
                <w:color w:val="000000"/>
                <w:szCs w:val="21"/>
                <w:highlight w:val="none"/>
              </w:rPr>
              <w:t>人员</w:t>
            </w:r>
          </w:p>
        </w:tc>
        <w:tc>
          <w:tcPr>
            <w:tcW w:w="980" w:type="dxa"/>
            <w:noWrap w:val="0"/>
            <w:vAlign w:val="center"/>
          </w:tcPr>
          <w:p>
            <w:pPr>
              <w:adjustRightInd w:val="0"/>
              <w:snapToGrid w:val="0"/>
              <w:spacing w:line="360" w:lineRule="exact"/>
              <w:jc w:val="center"/>
              <w:rPr>
                <w:rFonts w:ascii="宋体" w:hAnsi="宋体"/>
                <w:color w:val="000000"/>
                <w:szCs w:val="21"/>
                <w:highlight w:val="none"/>
              </w:rPr>
            </w:pPr>
            <w:r>
              <w:rPr>
                <w:rFonts w:hint="eastAsia" w:ascii="宋体" w:hAnsi="宋体"/>
                <w:color w:val="000000"/>
                <w:szCs w:val="21"/>
                <w:highlight w:val="none"/>
              </w:rPr>
              <w:t>数量</w:t>
            </w:r>
          </w:p>
        </w:tc>
        <w:tc>
          <w:tcPr>
            <w:tcW w:w="6851" w:type="dxa"/>
            <w:noWrap w:val="0"/>
            <w:vAlign w:val="center"/>
          </w:tcPr>
          <w:p>
            <w:pPr>
              <w:adjustRightInd w:val="0"/>
              <w:snapToGrid w:val="0"/>
              <w:spacing w:line="360" w:lineRule="exact"/>
              <w:jc w:val="center"/>
              <w:rPr>
                <w:rFonts w:ascii="宋体" w:hAnsi="宋体"/>
                <w:color w:val="000000"/>
                <w:szCs w:val="21"/>
                <w:highlight w:val="none"/>
              </w:rPr>
            </w:pPr>
            <w:r>
              <w:rPr>
                <w:rFonts w:hint="eastAsia" w:ascii="宋体" w:hAnsi="宋体"/>
                <w:color w:val="000000"/>
                <w:szCs w:val="21"/>
                <w:highlight w:val="none"/>
              </w:rPr>
              <w:t>资质要求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698" w:hRule="atLeast"/>
          <w:jc w:val="center"/>
        </w:trPr>
        <w:tc>
          <w:tcPr>
            <w:tcW w:w="1149" w:type="dxa"/>
            <w:noWrap w:val="0"/>
            <w:vAlign w:val="center"/>
          </w:tcPr>
          <w:p>
            <w:pPr>
              <w:spacing w:line="360" w:lineRule="auto"/>
              <w:jc w:val="center"/>
              <w:rPr>
                <w:rFonts w:ascii="宋体" w:hAnsi="宋体"/>
                <w:color w:val="000000"/>
                <w:szCs w:val="21"/>
                <w:highlight w:val="none"/>
              </w:rPr>
            </w:pPr>
            <w:r>
              <w:rPr>
                <w:rFonts w:hint="eastAsia" w:ascii="宋体" w:hAnsi="宋体"/>
                <w:szCs w:val="21"/>
              </w:rPr>
              <w:t>桥梁检测工程师</w:t>
            </w:r>
          </w:p>
        </w:tc>
        <w:tc>
          <w:tcPr>
            <w:tcW w:w="980" w:type="dxa"/>
            <w:noWrap w:val="0"/>
            <w:vAlign w:val="center"/>
          </w:tcPr>
          <w:p>
            <w:pPr>
              <w:spacing w:line="360" w:lineRule="auto"/>
              <w:jc w:val="center"/>
              <w:rPr>
                <w:rFonts w:ascii="宋体" w:hAnsi="宋体"/>
                <w:color w:val="000000"/>
                <w:szCs w:val="21"/>
                <w:highlight w:val="none"/>
              </w:rPr>
            </w:pPr>
            <w:r>
              <w:rPr>
                <w:rFonts w:hint="eastAsia" w:ascii="宋体" w:hAnsi="宋体"/>
                <w:szCs w:val="21"/>
              </w:rPr>
              <w:t>2</w:t>
            </w:r>
          </w:p>
        </w:tc>
        <w:tc>
          <w:tcPr>
            <w:tcW w:w="6851" w:type="dxa"/>
            <w:noWrap w:val="0"/>
            <w:vAlign w:val="center"/>
          </w:tcPr>
          <w:p>
            <w:pPr>
              <w:adjustRightInd w:val="0"/>
              <w:snapToGrid w:val="0"/>
              <w:spacing w:line="360" w:lineRule="auto"/>
              <w:jc w:val="both"/>
              <w:rPr>
                <w:rFonts w:hint="eastAsia" w:ascii="宋体" w:hAnsi="宋体"/>
                <w:szCs w:val="21"/>
              </w:rPr>
            </w:pPr>
            <w:r>
              <w:rPr>
                <w:rFonts w:hint="eastAsia" w:ascii="宋体" w:hAnsi="宋体"/>
                <w:szCs w:val="21"/>
              </w:rPr>
              <w:t>（1）</w:t>
            </w:r>
            <w:r>
              <w:rPr>
                <w:rFonts w:hint="eastAsia" w:ascii="宋体" w:hAnsi="宋体"/>
                <w:szCs w:val="21"/>
                <w:lang w:val="en-US" w:eastAsia="zh-CN"/>
              </w:rPr>
              <w:t>具有</w:t>
            </w:r>
            <w:r>
              <w:rPr>
                <w:rFonts w:hint="eastAsia" w:ascii="宋体" w:hAnsi="宋体"/>
                <w:szCs w:val="21"/>
              </w:rPr>
              <w:t>工程师</w:t>
            </w:r>
            <w:r>
              <w:rPr>
                <w:rFonts w:hint="eastAsia" w:ascii="宋体" w:hAnsi="宋体"/>
                <w:szCs w:val="21"/>
                <w:lang w:val="en-US" w:eastAsia="zh-CN"/>
              </w:rPr>
              <w:t>或</w:t>
            </w:r>
            <w:r>
              <w:rPr>
                <w:rFonts w:hint="eastAsia" w:ascii="宋体" w:hAnsi="宋体"/>
                <w:szCs w:val="21"/>
              </w:rPr>
              <w:t>以上职称，具有</w:t>
            </w:r>
            <w:r>
              <w:rPr>
                <w:rFonts w:hint="eastAsia" w:ascii="宋体" w:hAnsi="宋体" w:cs="Times New Roman"/>
                <w:bCs w:val="0"/>
                <w:kern w:val="2"/>
                <w:szCs w:val="21"/>
                <w:lang w:val="zh-CN"/>
              </w:rPr>
              <w:t>行政主管部门核发的公路工程试验检测师资格证书或试验检测工程师</w:t>
            </w:r>
            <w:r>
              <w:rPr>
                <w:rFonts w:hint="eastAsia" w:ascii="宋体" w:hAnsi="宋体"/>
                <w:szCs w:val="21"/>
              </w:rPr>
              <w:t>（检测专业类别包含桥梁）资格证书；</w:t>
            </w:r>
          </w:p>
          <w:p>
            <w:pPr>
              <w:adjustRightInd w:val="0"/>
              <w:snapToGrid w:val="0"/>
              <w:spacing w:line="360" w:lineRule="auto"/>
              <w:jc w:val="both"/>
              <w:rPr>
                <w:rFonts w:hint="eastAsia" w:ascii="宋体" w:hAnsi="宋体"/>
                <w:szCs w:val="21"/>
              </w:rPr>
            </w:pPr>
            <w:r>
              <w:rPr>
                <w:rFonts w:hint="eastAsia" w:ascii="宋体" w:hAnsi="宋体"/>
                <w:szCs w:val="21"/>
              </w:rPr>
              <w:t>（2）</w:t>
            </w:r>
            <w:r>
              <w:rPr>
                <w:rFonts w:hint="eastAsia" w:ascii="宋体" w:hAnsi="宋体"/>
                <w:szCs w:val="21"/>
                <w:lang w:val="en-US" w:eastAsia="zh-CN"/>
              </w:rPr>
              <w:t>具有</w:t>
            </w:r>
            <w:r>
              <w:rPr>
                <w:rFonts w:hint="eastAsia" w:ascii="宋体" w:hAnsi="宋体" w:cs="Times New Roman"/>
                <w:szCs w:val="21"/>
              </w:rPr>
              <w:t>3年以上</w:t>
            </w:r>
            <w:r>
              <w:rPr>
                <w:rFonts w:hint="eastAsia" w:ascii="宋体" w:hAnsi="宋体"/>
                <w:szCs w:val="21"/>
              </w:rPr>
              <w:t>营运高速公路试验检测项目桥梁定期检测</w:t>
            </w:r>
            <w:r>
              <w:rPr>
                <w:rFonts w:hint="eastAsia" w:ascii="宋体" w:hAnsi="宋体" w:cs="Times New Roman"/>
                <w:szCs w:val="21"/>
              </w:rPr>
              <w:t>工作经验。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698" w:hRule="atLeast"/>
          <w:jc w:val="center"/>
        </w:trPr>
        <w:tc>
          <w:tcPr>
            <w:tcW w:w="1149" w:type="dxa"/>
            <w:noWrap w:val="0"/>
            <w:vAlign w:val="center"/>
          </w:tcPr>
          <w:p>
            <w:pPr>
              <w:adjustRightInd w:val="0"/>
              <w:snapToGrid w:val="0"/>
              <w:spacing w:line="360" w:lineRule="auto"/>
              <w:jc w:val="center"/>
              <w:rPr>
                <w:rFonts w:hint="eastAsia" w:ascii="宋体" w:hAnsi="宋体"/>
                <w:color w:val="000000"/>
                <w:szCs w:val="21"/>
                <w:highlight w:val="none"/>
              </w:rPr>
            </w:pPr>
            <w:r>
              <w:rPr>
                <w:rFonts w:hint="eastAsia" w:ascii="宋体" w:hAnsi="宋体"/>
                <w:szCs w:val="21"/>
              </w:rPr>
              <w:t>检测员</w:t>
            </w:r>
          </w:p>
        </w:tc>
        <w:tc>
          <w:tcPr>
            <w:tcW w:w="980" w:type="dxa"/>
            <w:noWrap w:val="0"/>
            <w:vAlign w:val="center"/>
          </w:tcPr>
          <w:p>
            <w:pPr>
              <w:spacing w:line="360" w:lineRule="auto"/>
              <w:jc w:val="center"/>
              <w:rPr>
                <w:rFonts w:hint="eastAsia" w:ascii="宋体" w:hAnsi="宋体"/>
                <w:color w:val="000000"/>
                <w:szCs w:val="21"/>
                <w:highlight w:val="none"/>
              </w:rPr>
            </w:pPr>
            <w:r>
              <w:rPr>
                <w:rFonts w:hint="eastAsia" w:ascii="宋体" w:hAnsi="宋体"/>
                <w:szCs w:val="21"/>
              </w:rPr>
              <w:t>4</w:t>
            </w:r>
          </w:p>
        </w:tc>
        <w:tc>
          <w:tcPr>
            <w:tcW w:w="6851" w:type="dxa"/>
            <w:noWrap w:val="0"/>
            <w:vAlign w:val="center"/>
          </w:tcPr>
          <w:p>
            <w:pPr>
              <w:adjustRightInd w:val="0"/>
              <w:snapToGrid w:val="0"/>
              <w:spacing w:line="360" w:lineRule="auto"/>
              <w:jc w:val="both"/>
              <w:rPr>
                <w:rFonts w:hint="eastAsia" w:ascii="宋体" w:hAnsi="宋体"/>
                <w:szCs w:val="21"/>
              </w:rPr>
            </w:pPr>
            <w:r>
              <w:rPr>
                <w:rFonts w:hint="eastAsia" w:ascii="宋体" w:hAnsi="宋体"/>
                <w:szCs w:val="21"/>
              </w:rPr>
              <w:t>（1）</w:t>
            </w:r>
            <w:r>
              <w:rPr>
                <w:rFonts w:hint="eastAsia" w:ascii="宋体" w:hAnsi="宋体"/>
                <w:szCs w:val="21"/>
                <w:lang w:val="en-US" w:eastAsia="zh-CN"/>
              </w:rPr>
              <w:t>具有</w:t>
            </w:r>
            <w:r>
              <w:rPr>
                <w:rFonts w:hint="eastAsia" w:ascii="宋体" w:hAnsi="宋体"/>
                <w:szCs w:val="21"/>
              </w:rPr>
              <w:t>助理工程师</w:t>
            </w:r>
            <w:r>
              <w:rPr>
                <w:rFonts w:hint="eastAsia" w:ascii="宋体" w:hAnsi="宋体"/>
                <w:szCs w:val="21"/>
                <w:lang w:val="en-US" w:eastAsia="zh-CN"/>
              </w:rPr>
              <w:t>或</w:t>
            </w:r>
            <w:r>
              <w:rPr>
                <w:rFonts w:hint="eastAsia" w:ascii="宋体" w:hAnsi="宋体"/>
                <w:szCs w:val="21"/>
              </w:rPr>
              <w:t>以上职称，具有行政主管部门核发的公路工程助理试验检测师资格证书或检测员（检测专业类别包含桥梁）资格证书；</w:t>
            </w:r>
          </w:p>
          <w:p>
            <w:pPr>
              <w:adjustRightInd w:val="0"/>
              <w:snapToGrid w:val="0"/>
              <w:spacing w:line="360" w:lineRule="auto"/>
              <w:jc w:val="both"/>
              <w:rPr>
                <w:rFonts w:hint="eastAsia" w:ascii="宋体" w:hAnsi="宋体"/>
                <w:szCs w:val="21"/>
              </w:rPr>
            </w:pPr>
            <w:r>
              <w:rPr>
                <w:rFonts w:hint="eastAsia" w:ascii="宋体" w:hAnsi="宋体"/>
                <w:szCs w:val="21"/>
              </w:rPr>
              <w:t>（2）</w:t>
            </w:r>
            <w:r>
              <w:rPr>
                <w:rFonts w:hint="eastAsia" w:ascii="宋体" w:hAnsi="宋体"/>
                <w:szCs w:val="21"/>
                <w:lang w:val="en-US" w:eastAsia="zh-CN"/>
              </w:rPr>
              <w:t>具有</w:t>
            </w:r>
            <w:r>
              <w:rPr>
                <w:rFonts w:hint="eastAsia" w:ascii="宋体" w:hAnsi="宋体"/>
                <w:szCs w:val="21"/>
              </w:rPr>
              <w:t>1</w:t>
            </w:r>
            <w:r>
              <w:rPr>
                <w:rFonts w:hint="eastAsia" w:ascii="宋体" w:hAnsi="宋体" w:cs="Times New Roman"/>
                <w:szCs w:val="21"/>
              </w:rPr>
              <w:t>年以上</w:t>
            </w:r>
            <w:r>
              <w:rPr>
                <w:rFonts w:hint="eastAsia" w:ascii="宋体" w:hAnsi="宋体"/>
                <w:szCs w:val="21"/>
              </w:rPr>
              <w:t>营运高速公路试验检测项目</w:t>
            </w:r>
            <w:r>
              <w:rPr>
                <w:rFonts w:hint="eastAsia" w:ascii="宋体" w:hAnsi="宋体" w:cs="Times New Roman"/>
                <w:szCs w:val="21"/>
              </w:rPr>
              <w:t>工作经验。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134" w:hRule="atLeast"/>
          <w:jc w:val="center"/>
        </w:trPr>
        <w:tc>
          <w:tcPr>
            <w:tcW w:w="1149" w:type="dxa"/>
            <w:noWrap w:val="0"/>
            <w:vAlign w:val="center"/>
          </w:tcPr>
          <w:p>
            <w:pPr>
              <w:adjustRightInd w:val="0"/>
              <w:snapToGrid w:val="0"/>
              <w:spacing w:line="360" w:lineRule="auto"/>
              <w:jc w:val="center"/>
              <w:rPr>
                <w:rFonts w:hint="eastAsia" w:ascii="宋体" w:hAnsi="宋体" w:cs="宋体"/>
                <w:szCs w:val="21"/>
                <w:highlight w:val="none"/>
              </w:rPr>
            </w:pPr>
            <w:r>
              <w:rPr>
                <w:rFonts w:hint="eastAsia" w:ascii="宋体" w:hAnsi="宋体" w:cs="宋体"/>
                <w:szCs w:val="21"/>
              </w:rPr>
              <w:t>专职安全管理员</w:t>
            </w:r>
          </w:p>
        </w:tc>
        <w:tc>
          <w:tcPr>
            <w:tcW w:w="980"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rPr>
              <w:t>2</w:t>
            </w:r>
          </w:p>
        </w:tc>
        <w:tc>
          <w:tcPr>
            <w:tcW w:w="6851" w:type="dxa"/>
            <w:noWrap w:val="0"/>
            <w:vAlign w:val="center"/>
          </w:tcPr>
          <w:p>
            <w:pPr>
              <w:adjustRightInd w:val="0"/>
              <w:snapToGrid w:val="0"/>
              <w:spacing w:line="360" w:lineRule="auto"/>
              <w:jc w:val="both"/>
              <w:rPr>
                <w:rFonts w:hint="eastAsia" w:ascii="宋体" w:hAnsi="宋体" w:cs="宋体"/>
                <w:szCs w:val="21"/>
                <w:highlight w:val="none"/>
              </w:rPr>
            </w:pPr>
            <w:r>
              <w:rPr>
                <w:rFonts w:hint="eastAsia" w:ascii="宋体" w:hAnsi="宋体"/>
                <w:szCs w:val="21"/>
                <w:lang w:val="en-US" w:eastAsia="zh-CN"/>
              </w:rPr>
              <w:t>具有</w:t>
            </w:r>
            <w:r>
              <w:rPr>
                <w:rFonts w:hint="eastAsia" w:ascii="宋体" w:hAnsi="宋体"/>
                <w:szCs w:val="21"/>
              </w:rPr>
              <w:t>安全管理工作经验3年及及以上。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079" w:hRule="atLeast"/>
          <w:jc w:val="center"/>
        </w:trPr>
        <w:tc>
          <w:tcPr>
            <w:tcW w:w="8980" w:type="dxa"/>
            <w:gridSpan w:val="3"/>
            <w:noWrap w:val="0"/>
            <w:vAlign w:val="center"/>
          </w:tcPr>
          <w:p>
            <w:pPr>
              <w:tabs>
                <w:tab w:val="left" w:pos="900"/>
              </w:tabs>
              <w:spacing w:line="360" w:lineRule="auto"/>
              <w:jc w:val="center"/>
              <w:rPr>
                <w:rFonts w:hint="eastAsia" w:ascii="宋体" w:hAnsi="宋体"/>
                <w:szCs w:val="21"/>
              </w:rPr>
            </w:pPr>
            <w:r>
              <w:rPr>
                <w:rFonts w:hint="eastAsia" w:ascii="Times New Roman" w:hAnsi="Times New Roman" w:eastAsia="宋体" w:cs="Times New Roman"/>
                <w:sz w:val="18"/>
                <w:szCs w:val="18"/>
                <w:lang w:val="en-US" w:eastAsia="zh-CN"/>
              </w:rPr>
              <w:t>注：投标人不需要在投标文件中提供此表人员证件等资料，但必须在投标文件里做出承诺。以上人员为本项目的最低要求，合同履行期间承包人应根据发包人要求和实际进展情况增加人员以满足工程需要，并不因此增加费用。</w:t>
            </w:r>
          </w:p>
        </w:tc>
      </w:tr>
    </w:tbl>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spacing w:line="440" w:lineRule="exact"/>
        <w:ind w:firstLine="600" w:firstLineChars="200"/>
        <w:jc w:val="center"/>
        <w:rPr>
          <w:rFonts w:hint="eastAsia" w:eastAsia="黑体"/>
          <w:color w:val="000000"/>
          <w:sz w:val="30"/>
          <w:szCs w:val="30"/>
          <w:highlight w:val="none"/>
        </w:rPr>
      </w:pPr>
      <w:r>
        <w:rPr>
          <w:rFonts w:eastAsia="黑体"/>
          <w:color w:val="000000"/>
          <w:sz w:val="30"/>
          <w:szCs w:val="30"/>
          <w:highlight w:val="none"/>
        </w:rPr>
        <w:t>第三章  评标办法(</w:t>
      </w:r>
      <w:r>
        <w:rPr>
          <w:rFonts w:hint="eastAsia" w:eastAsia="黑体"/>
          <w:color w:val="000000"/>
          <w:sz w:val="30"/>
          <w:szCs w:val="30"/>
          <w:highlight w:val="none"/>
        </w:rPr>
        <w:t>双信封的</w:t>
      </w:r>
      <w:r>
        <w:rPr>
          <w:rFonts w:hint="eastAsia" w:eastAsia="黑体"/>
          <w:color w:val="000000"/>
          <w:sz w:val="30"/>
          <w:szCs w:val="30"/>
          <w:highlight w:val="none"/>
          <w:lang w:val="en-US" w:eastAsia="zh-CN"/>
        </w:rPr>
        <w:t>综合评估法</w:t>
      </w:r>
      <w:r>
        <w:rPr>
          <w:rFonts w:eastAsia="黑体"/>
          <w:color w:val="000000"/>
          <w:sz w:val="30"/>
          <w:szCs w:val="30"/>
          <w:highlight w:val="none"/>
        </w:rPr>
        <w:t>)</w:t>
      </w:r>
    </w:p>
    <w:p>
      <w:pPr>
        <w:spacing w:line="440" w:lineRule="exact"/>
        <w:jc w:val="center"/>
        <w:rPr>
          <w:rFonts w:hint="eastAsia" w:eastAsia="黑体"/>
          <w:color w:val="000000"/>
          <w:sz w:val="32"/>
          <w:szCs w:val="32"/>
          <w:highlight w:val="none"/>
        </w:rPr>
      </w:pPr>
      <w:r>
        <w:rPr>
          <w:rFonts w:eastAsia="黑体"/>
          <w:color w:val="000000"/>
          <w:sz w:val="32"/>
          <w:szCs w:val="32"/>
          <w:highlight w:val="none"/>
        </w:rPr>
        <w:t>评标办法前附表</w:t>
      </w: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1"/>
        <w:gridCol w:w="891"/>
        <w:gridCol w:w="78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tblHeader/>
          <w:jc w:val="center"/>
        </w:trPr>
        <w:tc>
          <w:tcPr>
            <w:tcW w:w="1632" w:type="dxa"/>
            <w:gridSpan w:val="2"/>
            <w:tcBorders>
              <w:top w:val="single" w:color="auto" w:sz="4" w:space="0"/>
              <w:bottom w:val="single" w:color="auto" w:sz="4" w:space="0"/>
              <w:right w:val="single" w:color="auto" w:sz="4" w:space="0"/>
            </w:tcBorders>
            <w:noWrap w:val="0"/>
            <w:vAlign w:val="center"/>
          </w:tcPr>
          <w:p>
            <w:pPr>
              <w:spacing w:line="360" w:lineRule="exact"/>
              <w:jc w:val="center"/>
              <w:rPr>
                <w:rFonts w:ascii="宋体" w:hAnsi="宋体"/>
                <w:b/>
                <w:color w:val="000000"/>
                <w:szCs w:val="21"/>
                <w:highlight w:val="none"/>
              </w:rPr>
            </w:pPr>
            <w:r>
              <w:rPr>
                <w:rFonts w:ascii="宋体" w:hAnsi="宋体"/>
                <w:b/>
                <w:color w:val="000000"/>
                <w:szCs w:val="21"/>
                <w:highlight w:val="none"/>
              </w:rPr>
              <w:t>条款号</w:t>
            </w:r>
          </w:p>
        </w:tc>
        <w:tc>
          <w:tcPr>
            <w:tcW w:w="782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b/>
                <w:color w:val="000000"/>
                <w:szCs w:val="21"/>
                <w:highlight w:val="none"/>
              </w:rPr>
            </w:pPr>
            <w:r>
              <w:rPr>
                <w:rFonts w:ascii="宋体" w:hAnsi="宋体"/>
                <w:b/>
                <w:color w:val="000000"/>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 w:hRule="atLeast"/>
          <w:jc w:val="center"/>
        </w:trPr>
        <w:tc>
          <w:tcPr>
            <w:tcW w:w="741"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000000"/>
                <w:szCs w:val="21"/>
                <w:highlight w:val="none"/>
              </w:rPr>
            </w:pPr>
            <w:r>
              <w:rPr>
                <w:rFonts w:hint="eastAsia" w:ascii="宋体" w:hAnsi="宋体"/>
                <w:color w:val="000000"/>
                <w:szCs w:val="21"/>
                <w:highlight w:val="none"/>
              </w:rPr>
              <w:t>1</w:t>
            </w:r>
          </w:p>
        </w:tc>
        <w:tc>
          <w:tcPr>
            <w:tcW w:w="891"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000000"/>
                <w:szCs w:val="21"/>
                <w:highlight w:val="none"/>
              </w:rPr>
            </w:pPr>
            <w:r>
              <w:rPr>
                <w:rFonts w:hint="eastAsia" w:ascii="宋体" w:hAnsi="宋体"/>
                <w:color w:val="000000"/>
                <w:szCs w:val="21"/>
                <w:highlight w:val="none"/>
              </w:rPr>
              <w:t>评标办法</w:t>
            </w:r>
          </w:p>
        </w:tc>
        <w:tc>
          <w:tcPr>
            <w:tcW w:w="7829" w:type="dxa"/>
            <w:tcBorders>
              <w:top w:val="single" w:color="auto" w:sz="4" w:space="0"/>
              <w:left w:val="single" w:color="auto" w:sz="4" w:space="0"/>
              <w:right w:val="single" w:color="auto" w:sz="4" w:space="0"/>
            </w:tcBorders>
            <w:noWrap w:val="0"/>
            <w:vAlign w:val="center"/>
          </w:tcPr>
          <w:p>
            <w:pPr>
              <w:pStyle w:val="4"/>
              <w:adjustRightInd w:val="0"/>
              <w:snapToGrid w:val="0"/>
              <w:spacing w:line="360" w:lineRule="exact"/>
              <w:rPr>
                <w:rFonts w:hint="eastAsia" w:hAnsi="宋体"/>
                <w:color w:val="000000"/>
                <w:szCs w:val="21"/>
                <w:highlight w:val="none"/>
              </w:rPr>
            </w:pPr>
            <w:r>
              <w:rPr>
                <w:rFonts w:hint="eastAsia" w:hAnsi="宋体"/>
                <w:color w:val="000000"/>
                <w:szCs w:val="21"/>
                <w:highlight w:val="none"/>
              </w:rPr>
              <w:t>综合评分相等时，评标委员会依次按照以下优先顺序推荐中标候选人：</w:t>
            </w:r>
          </w:p>
          <w:p>
            <w:pPr>
              <w:pStyle w:val="4"/>
              <w:adjustRightInd w:val="0"/>
              <w:snapToGrid w:val="0"/>
              <w:spacing w:line="360" w:lineRule="exact"/>
              <w:ind w:firstLine="315" w:firstLineChars="150"/>
              <w:rPr>
                <w:rFonts w:hint="eastAsia" w:hAnsi="宋体"/>
                <w:color w:val="000000"/>
                <w:szCs w:val="21"/>
                <w:highlight w:val="none"/>
              </w:rPr>
            </w:pPr>
            <w:r>
              <w:rPr>
                <w:rFonts w:hint="eastAsia" w:hAnsi="宋体"/>
                <w:color w:val="000000"/>
                <w:szCs w:val="21"/>
                <w:highlight w:val="none"/>
              </w:rPr>
              <w:t>（1）评标价低的</w:t>
            </w:r>
            <w:r>
              <w:rPr>
                <w:rFonts w:hint="eastAsia" w:hAnsi="宋体"/>
                <w:color w:val="000000"/>
                <w:szCs w:val="21"/>
                <w:highlight w:val="none"/>
                <w:lang w:val="en-US" w:eastAsia="zh-CN"/>
              </w:rPr>
              <w:t>投标人</w:t>
            </w:r>
            <w:r>
              <w:rPr>
                <w:rFonts w:hint="eastAsia" w:hAnsi="宋体"/>
                <w:color w:val="000000"/>
                <w:szCs w:val="21"/>
                <w:highlight w:val="none"/>
              </w:rPr>
              <w:t>优先</w:t>
            </w:r>
            <w:r>
              <w:rPr>
                <w:rFonts w:hint="eastAsia" w:hAnsi="宋体"/>
                <w:strike w:val="0"/>
                <w:dstrike w:val="0"/>
                <w:color w:val="000000"/>
                <w:szCs w:val="21"/>
                <w:highlight w:val="none"/>
              </w:rPr>
              <w:t>，当一家以上投标人综合得分相等且评标价也相等时，若各投标人工程量清单细目单价也相同，视为串标（一个合同段仅一工作细目报价的除外），应否决其投</w:t>
            </w:r>
            <w:r>
              <w:rPr>
                <w:rFonts w:hint="eastAsia" w:hAnsi="宋体"/>
                <w:strike w:val="0"/>
                <w:color w:val="000000"/>
                <w:szCs w:val="21"/>
                <w:highlight w:val="none"/>
              </w:rPr>
              <w:t>标</w:t>
            </w:r>
            <w:r>
              <w:rPr>
                <w:rFonts w:hint="eastAsia" w:hAnsi="宋体"/>
                <w:color w:val="000000"/>
                <w:szCs w:val="21"/>
                <w:highlight w:val="none"/>
              </w:rPr>
              <w:t>；</w:t>
            </w:r>
          </w:p>
          <w:p>
            <w:pPr>
              <w:snapToGrid w:val="0"/>
              <w:spacing w:line="360" w:lineRule="exact"/>
              <w:ind w:firstLine="420" w:firstLineChars="200"/>
              <w:rPr>
                <w:rFonts w:hint="eastAsia" w:hAnsi="宋体"/>
                <w:color w:val="000000"/>
                <w:szCs w:val="21"/>
                <w:highlight w:val="none"/>
              </w:rPr>
            </w:pPr>
            <w:r>
              <w:rPr>
                <w:rFonts w:hint="eastAsia" w:hAnsi="宋体"/>
                <w:color w:val="000000"/>
                <w:szCs w:val="21"/>
                <w:highlight w:val="none"/>
              </w:rPr>
              <w:t>（2）按招标文件规定</w:t>
            </w:r>
            <w:r>
              <w:rPr>
                <w:rFonts w:hint="eastAsia" w:hAnsi="宋体"/>
                <w:color w:val="000000"/>
                <w:szCs w:val="21"/>
                <w:highlight w:val="none"/>
                <w:lang w:val="en-US" w:eastAsia="zh-CN"/>
              </w:rPr>
              <w:t>投标人</w:t>
            </w:r>
            <w:r>
              <w:rPr>
                <w:rFonts w:hint="eastAsia" w:hAnsi="宋体"/>
                <w:color w:val="000000"/>
                <w:szCs w:val="21"/>
                <w:highlight w:val="none"/>
              </w:rPr>
              <w:t>在</w:t>
            </w:r>
            <w:r>
              <w:rPr>
                <w:rFonts w:hint="eastAsia" w:ascii="宋体" w:hAnsi="宋体"/>
                <w:color w:val="000000"/>
                <w:szCs w:val="21"/>
                <w:highlight w:val="none"/>
                <w:lang w:val="en-US" w:eastAsia="zh-CN"/>
              </w:rPr>
              <w:t>交通运输部的公路水运工程质量试验检测管理信息系统中最新年度的公路水运工程甲级（专项）试验检测机构信用评价等级</w:t>
            </w:r>
            <w:r>
              <w:rPr>
                <w:rFonts w:hint="eastAsia" w:hAnsi="宋体"/>
                <w:color w:val="000000"/>
                <w:szCs w:val="21"/>
                <w:highlight w:val="none"/>
              </w:rPr>
              <w:t>较高的投标人优先</w:t>
            </w:r>
            <w:r>
              <w:rPr>
                <w:rFonts w:hint="eastAsia" w:hAnsi="宋体"/>
                <w:color w:val="000000"/>
                <w:szCs w:val="21"/>
                <w:highlight w:val="none"/>
                <w:lang w:val="zh-CN"/>
              </w:rPr>
              <w:t>（采用如下的优先顺序：AA级投标人、A级投标人、B级投标人）</w:t>
            </w:r>
            <w:r>
              <w:rPr>
                <w:rFonts w:hint="eastAsia" w:ascii="宋体" w:hAnsi="宋体"/>
                <w:color w:val="000000"/>
                <w:szCs w:val="21"/>
                <w:highlight w:val="none"/>
                <w:lang w:val="en-US" w:eastAsia="zh-CN"/>
              </w:rPr>
              <w:t>；</w:t>
            </w:r>
          </w:p>
          <w:p>
            <w:pPr>
              <w:pStyle w:val="4"/>
              <w:adjustRightInd w:val="0"/>
              <w:snapToGrid w:val="0"/>
              <w:spacing w:line="360" w:lineRule="exact"/>
              <w:ind w:firstLine="315" w:firstLineChars="150"/>
              <w:rPr>
                <w:rFonts w:hint="eastAsia" w:hAnsi="宋体"/>
                <w:color w:val="000000"/>
                <w:szCs w:val="21"/>
                <w:highlight w:val="none"/>
              </w:rPr>
            </w:pPr>
            <w:r>
              <w:rPr>
                <w:rFonts w:hint="eastAsia" w:hAnsi="宋体"/>
                <w:color w:val="000000"/>
                <w:szCs w:val="21"/>
                <w:highlight w:val="none"/>
              </w:rPr>
              <w:t>（3）商务和技术得分较高的投标人优先；</w:t>
            </w:r>
          </w:p>
          <w:p>
            <w:pPr>
              <w:pStyle w:val="4"/>
              <w:adjustRightInd w:val="0"/>
              <w:snapToGrid w:val="0"/>
              <w:spacing w:line="360" w:lineRule="exact"/>
              <w:ind w:firstLine="315" w:firstLineChars="150"/>
              <w:rPr>
                <w:rFonts w:hint="eastAsia" w:ascii="宋体" w:hAnsi="宋体"/>
                <w:color w:val="000000"/>
                <w:szCs w:val="21"/>
                <w:highlight w:val="none"/>
              </w:rPr>
            </w:pPr>
            <w:r>
              <w:rPr>
                <w:rFonts w:hint="eastAsia" w:hAnsi="宋体"/>
                <w:color w:val="000000"/>
                <w:szCs w:val="21"/>
                <w:highlight w:val="none"/>
              </w:rPr>
              <w:t>（4）评标委员会</w:t>
            </w:r>
            <w:r>
              <w:rPr>
                <w:rFonts w:hint="eastAsia" w:hAnsi="宋体"/>
                <w:color w:val="000000"/>
                <w:szCs w:val="21"/>
                <w:highlight w:val="none"/>
                <w:lang w:val="en-US" w:eastAsia="zh-CN"/>
              </w:rPr>
              <w:t>视投标人情况综合比较，</w:t>
            </w:r>
            <w:r>
              <w:rPr>
                <w:rFonts w:hint="eastAsia" w:hAnsi="宋体"/>
                <w:color w:val="000000"/>
                <w:szCs w:val="21"/>
                <w:highlight w:val="none"/>
              </w:rPr>
              <w:t>投票确定</w:t>
            </w:r>
            <w:r>
              <w:rPr>
                <w:rFonts w:hint="eastAsia" w:hAnsi="宋体"/>
                <w:color w:val="000000"/>
                <w:szCs w:val="21"/>
                <w:highlight w:val="none"/>
                <w:lang w:val="en-US" w:eastAsia="zh-CN"/>
              </w:rPr>
              <w:t>其名次</w:t>
            </w:r>
            <w:r>
              <w:rPr>
                <w:rFonts w:hint="eastAsia" w:hAnsi="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0" w:hRule="atLeast"/>
          <w:jc w:val="center"/>
        </w:trPr>
        <w:tc>
          <w:tcPr>
            <w:tcW w:w="741" w:type="dxa"/>
            <w:tcBorders>
              <w:top w:val="single" w:color="auto" w:sz="4" w:space="0"/>
              <w:bottom w:val="single" w:color="auto" w:sz="4" w:space="0"/>
              <w:right w:val="single" w:color="auto" w:sz="4" w:space="0"/>
            </w:tcBorders>
            <w:noWrap w:val="0"/>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2.1.1</w:t>
            </w:r>
          </w:p>
          <w:p>
            <w:pPr>
              <w:spacing w:line="360" w:lineRule="exact"/>
              <w:jc w:val="center"/>
              <w:rPr>
                <w:rFonts w:ascii="宋体" w:hAnsi="宋体"/>
                <w:color w:val="000000"/>
                <w:szCs w:val="21"/>
                <w:highlight w:val="none"/>
              </w:rPr>
            </w:pPr>
            <w:r>
              <w:rPr>
                <w:rFonts w:ascii="宋体" w:hAnsi="宋体"/>
                <w:color w:val="000000"/>
                <w:szCs w:val="21"/>
                <w:highlight w:val="none"/>
              </w:rPr>
              <w:t>2.1.3</w:t>
            </w:r>
          </w:p>
        </w:tc>
        <w:tc>
          <w:tcPr>
            <w:tcW w:w="891" w:type="dxa"/>
            <w:tcBorders>
              <w:top w:val="single" w:color="auto" w:sz="4" w:space="0"/>
              <w:bottom w:val="single" w:color="auto" w:sz="4" w:space="0"/>
              <w:right w:val="single" w:color="auto" w:sz="4" w:space="0"/>
            </w:tcBorders>
            <w:noWrap w:val="0"/>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形式评审与响应性评审标准</w:t>
            </w:r>
          </w:p>
        </w:tc>
        <w:tc>
          <w:tcPr>
            <w:tcW w:w="7829" w:type="dxa"/>
            <w:tcBorders>
              <w:top w:val="single" w:color="auto" w:sz="4" w:space="0"/>
              <w:left w:val="single" w:color="auto" w:sz="4" w:space="0"/>
              <w:right w:val="single" w:color="auto" w:sz="4" w:space="0"/>
            </w:tcBorders>
            <w:noWrap w:val="0"/>
            <w:vAlign w:val="center"/>
          </w:tcPr>
          <w:p>
            <w:pPr>
              <w:spacing w:line="360" w:lineRule="exact"/>
              <w:rPr>
                <w:rFonts w:hint="eastAsia" w:ascii="宋体" w:hAnsi="宋体" w:eastAsia="宋体"/>
                <w:b/>
                <w:color w:val="000000"/>
                <w:szCs w:val="21"/>
                <w:highlight w:val="none"/>
                <w:lang w:eastAsia="zh-CN"/>
              </w:rPr>
            </w:pPr>
            <w:r>
              <w:rPr>
                <w:rFonts w:hint="eastAsia" w:ascii="宋体" w:hAnsi="宋体"/>
                <w:b/>
                <w:color w:val="000000"/>
                <w:szCs w:val="21"/>
                <w:highlight w:val="none"/>
              </w:rPr>
              <w:t>第一个信封（商务及技术文件）评审标准</w:t>
            </w:r>
            <w:r>
              <w:rPr>
                <w:rFonts w:hint="eastAsia" w:ascii="宋体" w:hAnsi="宋体"/>
                <w:b/>
                <w:color w:val="000000"/>
                <w:szCs w:val="21"/>
                <w:highlight w:val="none"/>
                <w:lang w:eastAsia="zh-CN"/>
              </w:rPr>
              <w:t>：</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(1)投标文件按照招标文件规定的格式、内容填写，字迹清晰可辨：</w:t>
            </w:r>
          </w:p>
          <w:p>
            <w:pPr>
              <w:spacing w:line="360" w:lineRule="exact"/>
              <w:ind w:firstLine="390"/>
              <w:rPr>
                <w:rFonts w:ascii="宋体" w:hAnsi="宋体"/>
                <w:color w:val="000000"/>
                <w:szCs w:val="21"/>
                <w:highlight w:val="none"/>
              </w:rPr>
            </w:pPr>
            <w:r>
              <w:rPr>
                <w:rFonts w:ascii="宋体" w:hAnsi="宋体"/>
                <w:color w:val="000000"/>
                <w:szCs w:val="21"/>
                <w:highlight w:val="none"/>
              </w:rPr>
              <w:t>a.投标函按招标文件规定填报了</w:t>
            </w:r>
            <w:r>
              <w:rPr>
                <w:rFonts w:hint="eastAsia" w:ascii="宋体" w:hAnsi="宋体"/>
                <w:color w:val="000000"/>
                <w:szCs w:val="21"/>
                <w:highlight w:val="none"/>
              </w:rPr>
              <w:t>项目名称、标段号、补遗书编号（如有）、</w:t>
            </w:r>
            <w:r>
              <w:rPr>
                <w:rFonts w:hint="eastAsia" w:ascii="宋体" w:hAnsi="宋体"/>
                <w:color w:val="000000"/>
                <w:szCs w:val="21"/>
                <w:highlight w:val="none"/>
                <w:lang w:val="en-US" w:eastAsia="zh-CN"/>
              </w:rPr>
              <w:t>服务期限</w:t>
            </w:r>
            <w:r>
              <w:rPr>
                <w:rFonts w:ascii="宋体" w:hAnsi="宋体"/>
                <w:color w:val="000000"/>
                <w:szCs w:val="21"/>
                <w:highlight w:val="none"/>
              </w:rPr>
              <w:t>；</w:t>
            </w:r>
          </w:p>
          <w:p>
            <w:pPr>
              <w:spacing w:line="360" w:lineRule="exact"/>
              <w:ind w:firstLine="390"/>
              <w:rPr>
                <w:rFonts w:hint="eastAsia" w:ascii="宋体" w:hAnsi="宋体"/>
                <w:color w:val="000000"/>
                <w:szCs w:val="21"/>
                <w:highlight w:val="none"/>
              </w:rPr>
            </w:pPr>
            <w:r>
              <w:rPr>
                <w:rFonts w:ascii="宋体" w:hAnsi="宋体"/>
                <w:color w:val="000000"/>
                <w:szCs w:val="21"/>
                <w:highlight w:val="none"/>
              </w:rPr>
              <w:t>b.</w:t>
            </w:r>
            <w:r>
              <w:rPr>
                <w:rFonts w:hint="eastAsia" w:ascii="宋体" w:hAnsi="宋体"/>
                <w:color w:val="000000"/>
                <w:szCs w:val="21"/>
                <w:highlight w:val="none"/>
              </w:rPr>
              <w:t>投标文件组成齐全完整，内容均按规定填写。</w:t>
            </w:r>
          </w:p>
          <w:p>
            <w:pPr>
              <w:spacing w:line="360" w:lineRule="exact"/>
              <w:ind w:left="-2" w:leftChars="-1" w:firstLine="420" w:firstLineChars="200"/>
              <w:rPr>
                <w:rFonts w:hint="eastAsia" w:ascii="宋体" w:hAnsi="宋体"/>
                <w:color w:val="000000"/>
                <w:szCs w:val="21"/>
                <w:highlight w:val="none"/>
              </w:rPr>
            </w:pPr>
            <w:r>
              <w:rPr>
                <w:rFonts w:ascii="宋体" w:hAnsi="宋体"/>
                <w:color w:val="000000"/>
                <w:szCs w:val="21"/>
                <w:highlight w:val="none"/>
              </w:rPr>
              <w:t>(2) 投标文件上法定代表人或其</w:t>
            </w:r>
            <w:r>
              <w:rPr>
                <w:rFonts w:hint="eastAsia" w:ascii="宋体" w:hAnsi="宋体"/>
                <w:color w:val="000000"/>
                <w:szCs w:val="21"/>
                <w:highlight w:val="none"/>
                <w:lang w:val="en-US" w:eastAsia="zh-CN"/>
              </w:rPr>
              <w:t>委托</w:t>
            </w:r>
            <w:r>
              <w:rPr>
                <w:rFonts w:ascii="宋体" w:hAnsi="宋体"/>
                <w:color w:val="000000"/>
                <w:szCs w:val="21"/>
                <w:highlight w:val="none"/>
              </w:rPr>
              <w:t>代理人的签字、投标人的单位章盖章齐全，符合招标文件</w:t>
            </w:r>
            <w:r>
              <w:rPr>
                <w:rFonts w:hint="eastAsia" w:ascii="宋体" w:hAnsi="宋体"/>
                <w:color w:val="000000"/>
                <w:szCs w:val="21"/>
                <w:highlight w:val="none"/>
              </w:rPr>
              <w:t>的</w:t>
            </w:r>
            <w:r>
              <w:rPr>
                <w:rFonts w:ascii="宋体" w:hAnsi="宋体"/>
                <w:color w:val="000000"/>
                <w:szCs w:val="21"/>
                <w:highlight w:val="none"/>
              </w:rPr>
              <w:t>规定。</w:t>
            </w:r>
          </w:p>
          <w:p>
            <w:pPr>
              <w:spacing w:line="360" w:lineRule="exact"/>
              <w:rPr>
                <w:rFonts w:ascii="宋体" w:hAnsi="宋体"/>
                <w:color w:val="000000"/>
                <w:szCs w:val="21"/>
                <w:highlight w:val="none"/>
              </w:rPr>
            </w:pPr>
            <w:r>
              <w:rPr>
                <w:rFonts w:hint="eastAsia" w:ascii="宋体" w:hAnsi="宋体"/>
                <w:color w:val="000000"/>
                <w:szCs w:val="21"/>
                <w:highlight w:val="none"/>
              </w:rPr>
              <w:t xml:space="preserve">    </w:t>
            </w:r>
            <w:r>
              <w:rPr>
                <w:rFonts w:ascii="宋体" w:hAnsi="宋体"/>
                <w:color w:val="000000"/>
                <w:szCs w:val="21"/>
                <w:highlight w:val="none"/>
              </w:rPr>
              <w:t>(</w:t>
            </w:r>
            <w:r>
              <w:rPr>
                <w:rFonts w:hint="eastAsia" w:ascii="宋体" w:hAnsi="宋体"/>
                <w:color w:val="000000"/>
                <w:szCs w:val="21"/>
                <w:highlight w:val="none"/>
                <w:lang w:val="en-US" w:eastAsia="zh-CN"/>
              </w:rPr>
              <w:t>3</w:t>
            </w:r>
            <w:r>
              <w:rPr>
                <w:rFonts w:ascii="宋体" w:hAnsi="宋体"/>
                <w:color w:val="000000"/>
                <w:szCs w:val="21"/>
                <w:highlight w:val="none"/>
              </w:rPr>
              <w:t>)投标人按照招标文件的规定提供了投标担保：</w:t>
            </w:r>
          </w:p>
          <w:p>
            <w:pPr>
              <w:spacing w:line="360" w:lineRule="exact"/>
              <w:ind w:firstLine="445" w:firstLineChars="212"/>
              <w:rPr>
                <w:rFonts w:ascii="宋体" w:hAnsi="宋体"/>
                <w:color w:val="000000"/>
                <w:szCs w:val="21"/>
                <w:highlight w:val="none"/>
              </w:rPr>
            </w:pPr>
            <w:r>
              <w:rPr>
                <w:rFonts w:ascii="宋体" w:hAnsi="宋体"/>
                <w:color w:val="000000"/>
                <w:szCs w:val="21"/>
                <w:highlight w:val="none"/>
              </w:rPr>
              <w:t>a.投标担保金额符合招标文件规定的金额</w:t>
            </w:r>
            <w:r>
              <w:rPr>
                <w:rFonts w:hint="eastAsia" w:ascii="宋体" w:hAnsi="宋体"/>
                <w:color w:val="000000"/>
                <w:szCs w:val="21"/>
                <w:highlight w:val="none"/>
              </w:rPr>
              <w:t>,且投标保证金有效期不少于投标有效期</w:t>
            </w:r>
            <w:r>
              <w:rPr>
                <w:rFonts w:ascii="宋体" w:hAnsi="宋体"/>
                <w:color w:val="000000"/>
                <w:szCs w:val="21"/>
                <w:highlight w:val="none"/>
              </w:rPr>
              <w:t>；</w:t>
            </w:r>
          </w:p>
          <w:p>
            <w:pPr>
              <w:spacing w:line="360" w:lineRule="exact"/>
              <w:ind w:firstLine="445" w:firstLineChars="212"/>
              <w:rPr>
                <w:rFonts w:hint="eastAsia" w:ascii="宋体" w:hAnsi="宋体"/>
                <w:color w:val="000000"/>
                <w:szCs w:val="21"/>
                <w:highlight w:val="none"/>
              </w:rPr>
            </w:pPr>
            <w:r>
              <w:rPr>
                <w:rFonts w:ascii="宋体" w:hAnsi="宋体"/>
                <w:color w:val="000000"/>
                <w:szCs w:val="21"/>
                <w:highlight w:val="none"/>
              </w:rPr>
              <w:t>b.</w:t>
            </w:r>
            <w:r>
              <w:rPr>
                <w:rFonts w:hint="eastAsia" w:ascii="宋体" w:hAnsi="宋体" w:cs="宋体"/>
                <w:color w:val="000000"/>
                <w:kern w:val="0"/>
                <w:szCs w:val="21"/>
                <w:highlight w:val="none"/>
              </w:rPr>
              <w:t xml:space="preserve"> </w:t>
            </w:r>
            <w:r>
              <w:rPr>
                <w:rFonts w:hint="eastAsia" w:ascii="宋体" w:hAnsi="宋体"/>
                <w:color w:val="000000"/>
                <w:szCs w:val="21"/>
                <w:highlight w:val="none"/>
              </w:rPr>
              <w:t>若</w:t>
            </w:r>
            <w:r>
              <w:rPr>
                <w:rFonts w:ascii="宋体" w:hAnsi="宋体"/>
                <w:color w:val="000000"/>
                <w:szCs w:val="21"/>
                <w:highlight w:val="none"/>
              </w:rPr>
              <w:t>投标担保金</w:t>
            </w:r>
            <w:r>
              <w:rPr>
                <w:rFonts w:hint="eastAsia" w:ascii="宋体" w:hAnsi="宋体"/>
                <w:color w:val="000000"/>
                <w:szCs w:val="21"/>
                <w:highlight w:val="none"/>
              </w:rPr>
              <w:t>采用现金或支票形式提交，投标人应在</w:t>
            </w:r>
            <w:r>
              <w:rPr>
                <w:rFonts w:hint="eastAsia" w:ascii="宋体" w:hAnsi="宋体"/>
                <w:color w:val="000000"/>
                <w:szCs w:val="21"/>
                <w:highlight w:val="none"/>
                <w:lang w:val="en-US" w:eastAsia="zh-CN"/>
              </w:rPr>
              <w:t>招标文件</w:t>
            </w:r>
            <w:r>
              <w:rPr>
                <w:rFonts w:hint="eastAsia" w:ascii="宋体" w:hAnsi="宋体"/>
                <w:color w:val="000000"/>
                <w:szCs w:val="21"/>
                <w:highlight w:val="none"/>
              </w:rPr>
              <w:t>规定的</w:t>
            </w:r>
            <w:r>
              <w:rPr>
                <w:rFonts w:hint="eastAsia" w:ascii="宋体" w:hAnsi="宋体"/>
                <w:color w:val="000000"/>
                <w:szCs w:val="21"/>
                <w:highlight w:val="none"/>
                <w:lang w:val="en-US" w:eastAsia="zh-CN"/>
              </w:rPr>
              <w:t>投标保证金递交截止</w:t>
            </w:r>
            <w:r>
              <w:rPr>
                <w:rFonts w:hint="eastAsia" w:ascii="宋体" w:hAnsi="宋体"/>
                <w:color w:val="000000"/>
                <w:szCs w:val="21"/>
                <w:highlight w:val="none"/>
              </w:rPr>
              <w:t>时间</w:t>
            </w:r>
            <w:r>
              <w:rPr>
                <w:rFonts w:hint="eastAsia" w:ascii="宋体" w:hAnsi="宋体"/>
                <w:color w:val="000000"/>
                <w:szCs w:val="21"/>
                <w:highlight w:val="none"/>
                <w:lang w:val="en-US" w:eastAsia="zh-CN"/>
              </w:rPr>
              <w:t>之前</w:t>
            </w:r>
            <w:r>
              <w:rPr>
                <w:rFonts w:hint="eastAsia" w:ascii="宋体" w:hAnsi="宋体"/>
                <w:color w:val="000000"/>
                <w:szCs w:val="21"/>
                <w:highlight w:val="none"/>
              </w:rPr>
              <w:t>，将投标保证金由投标人的基本账户一次性</w:t>
            </w:r>
            <w:r>
              <w:rPr>
                <w:rFonts w:hint="eastAsia" w:ascii="宋体" w:hAnsi="宋体"/>
                <w:color w:val="000000"/>
                <w:szCs w:val="21"/>
                <w:highlight w:val="none"/>
                <w:lang w:val="en-US" w:eastAsia="zh-CN"/>
              </w:rPr>
              <w:t>转入</w:t>
            </w:r>
            <w:r>
              <w:rPr>
                <w:rFonts w:hint="eastAsia" w:ascii="宋体" w:hAnsi="宋体"/>
                <w:color w:val="000000"/>
                <w:szCs w:val="21"/>
                <w:highlight w:val="none"/>
              </w:rPr>
              <w:t>招标人指定账户；</w:t>
            </w:r>
          </w:p>
          <w:p>
            <w:pPr>
              <w:spacing w:line="360" w:lineRule="exact"/>
              <w:ind w:firstLine="445" w:firstLineChars="212"/>
              <w:rPr>
                <w:rFonts w:ascii="宋体" w:hAnsi="宋体"/>
                <w:b/>
                <w:strike w:val="0"/>
                <w:dstrike w:val="0"/>
                <w:color w:val="000000"/>
                <w:szCs w:val="21"/>
                <w:highlight w:val="none"/>
              </w:rPr>
            </w:pPr>
            <w:r>
              <w:rPr>
                <w:rFonts w:ascii="宋体" w:hAnsi="宋体"/>
                <w:color w:val="000000"/>
                <w:szCs w:val="21"/>
                <w:highlight w:val="none"/>
              </w:rPr>
              <w:t>c.若投标担保金采用银行保函</w:t>
            </w:r>
            <w:r>
              <w:rPr>
                <w:rFonts w:hint="eastAsia" w:ascii="宋体" w:hAnsi="宋体"/>
                <w:color w:val="000000"/>
                <w:szCs w:val="21"/>
                <w:highlight w:val="none"/>
              </w:rPr>
              <w:t>形式提交</w:t>
            </w:r>
            <w:r>
              <w:rPr>
                <w:rFonts w:ascii="宋体" w:hAnsi="宋体"/>
                <w:color w:val="000000"/>
                <w:szCs w:val="21"/>
                <w:highlight w:val="none"/>
              </w:rPr>
              <w:t>，银行保函的格式、开具保函的银行均</w:t>
            </w:r>
            <w:r>
              <w:rPr>
                <w:rFonts w:ascii="宋体" w:hAnsi="宋体"/>
                <w:strike w:val="0"/>
                <w:dstrike w:val="0"/>
                <w:color w:val="000000"/>
                <w:szCs w:val="21"/>
                <w:highlight w:val="none"/>
              </w:rPr>
              <w:t>满足招标文件要求，</w:t>
            </w:r>
            <w:r>
              <w:rPr>
                <w:rFonts w:ascii="宋体" w:hAnsi="宋体"/>
                <w:b/>
                <w:strike w:val="0"/>
                <w:dstrike w:val="0"/>
                <w:color w:val="000000"/>
                <w:szCs w:val="21"/>
                <w:highlight w:val="none"/>
              </w:rPr>
              <w:t>且银行保函原件在</w:t>
            </w:r>
            <w:r>
              <w:rPr>
                <w:rFonts w:hint="eastAsia" w:ascii="宋体" w:hAnsi="宋体"/>
                <w:b/>
                <w:strike w:val="0"/>
                <w:dstrike w:val="0"/>
                <w:color w:val="000000"/>
                <w:szCs w:val="21"/>
                <w:highlight w:val="none"/>
              </w:rPr>
              <w:t>递交</w:t>
            </w:r>
            <w:r>
              <w:rPr>
                <w:rFonts w:ascii="宋体" w:hAnsi="宋体"/>
                <w:b/>
                <w:strike w:val="0"/>
                <w:dstrike w:val="0"/>
                <w:color w:val="000000"/>
                <w:szCs w:val="21"/>
                <w:highlight w:val="none"/>
              </w:rPr>
              <w:t>投标文件</w:t>
            </w:r>
            <w:r>
              <w:rPr>
                <w:rFonts w:hint="eastAsia" w:ascii="宋体" w:hAnsi="宋体"/>
                <w:b/>
                <w:strike w:val="0"/>
                <w:dstrike w:val="0"/>
                <w:color w:val="000000"/>
                <w:szCs w:val="21"/>
                <w:highlight w:val="none"/>
              </w:rPr>
              <w:t>时单独密封递交，其复印件装订在投标文件中</w:t>
            </w:r>
            <w:r>
              <w:rPr>
                <w:rFonts w:ascii="宋体" w:hAnsi="宋体"/>
                <w:b/>
                <w:strike w:val="0"/>
                <w:dstrike w:val="0"/>
                <w:color w:val="000000"/>
                <w:szCs w:val="21"/>
                <w:highlight w:val="none"/>
              </w:rPr>
              <w:t>。</w:t>
            </w:r>
          </w:p>
          <w:p>
            <w:pPr>
              <w:spacing w:line="360" w:lineRule="exact"/>
              <w:ind w:firstLine="420" w:firstLineChars="200"/>
              <w:rPr>
                <w:rFonts w:hint="eastAsia" w:ascii="宋体" w:hAnsi="宋体"/>
                <w:strike w:val="0"/>
                <w:dstrike w:val="0"/>
                <w:color w:val="000000"/>
                <w:szCs w:val="21"/>
                <w:highlight w:val="none"/>
              </w:rPr>
            </w:pPr>
            <w:r>
              <w:rPr>
                <w:rFonts w:hint="eastAsia" w:ascii="宋体" w:hAnsi="宋体"/>
                <w:strike w:val="0"/>
                <w:dstrike w:val="0"/>
                <w:color w:val="000000"/>
                <w:szCs w:val="21"/>
                <w:highlight w:val="none"/>
              </w:rPr>
              <w:t>(</w:t>
            </w:r>
            <w:r>
              <w:rPr>
                <w:rFonts w:hint="eastAsia" w:ascii="宋体" w:hAnsi="宋体"/>
                <w:strike w:val="0"/>
                <w:dstrike w:val="0"/>
                <w:color w:val="000000"/>
                <w:szCs w:val="21"/>
                <w:highlight w:val="none"/>
                <w:lang w:val="en-US" w:eastAsia="zh-CN"/>
              </w:rPr>
              <w:t>4</w:t>
            </w:r>
            <w:r>
              <w:rPr>
                <w:rFonts w:hint="eastAsia" w:ascii="宋体" w:hAnsi="宋体"/>
                <w:strike w:val="0"/>
                <w:dstrike w:val="0"/>
                <w:color w:val="000000"/>
                <w:szCs w:val="21"/>
                <w:highlight w:val="none"/>
              </w:rPr>
              <w:t>)投标人法定代表人授权委托代理人签署投标文件的，须提交授权委托书，且授权人和被授权人均在授权委托书上签名，未使用印章、签名章或其他电子制版签名。</w:t>
            </w:r>
          </w:p>
          <w:p>
            <w:pPr>
              <w:spacing w:line="360" w:lineRule="exact"/>
              <w:ind w:firstLine="420" w:firstLineChars="200"/>
              <w:rPr>
                <w:rFonts w:hint="eastAsia" w:ascii="宋体" w:hAnsi="宋体"/>
                <w:strike w:val="0"/>
                <w:dstrike w:val="0"/>
                <w:color w:val="000000"/>
                <w:szCs w:val="21"/>
                <w:highlight w:val="none"/>
              </w:rPr>
            </w:pPr>
            <w:r>
              <w:rPr>
                <w:rFonts w:hint="eastAsia" w:ascii="宋体" w:hAnsi="宋体"/>
                <w:strike w:val="0"/>
                <w:dstrike w:val="0"/>
                <w:color w:val="000000"/>
                <w:szCs w:val="21"/>
                <w:highlight w:val="none"/>
              </w:rPr>
              <w:t>(</w:t>
            </w:r>
            <w:r>
              <w:rPr>
                <w:rFonts w:hint="eastAsia" w:ascii="宋体" w:hAnsi="宋体"/>
                <w:strike w:val="0"/>
                <w:dstrike w:val="0"/>
                <w:color w:val="000000"/>
                <w:szCs w:val="21"/>
                <w:highlight w:val="none"/>
                <w:lang w:val="en-US" w:eastAsia="zh-CN"/>
              </w:rPr>
              <w:t>5</w:t>
            </w:r>
            <w:r>
              <w:rPr>
                <w:rFonts w:hint="eastAsia" w:ascii="宋体" w:hAnsi="宋体"/>
                <w:strike w:val="0"/>
                <w:dstrike w:val="0"/>
                <w:color w:val="000000"/>
                <w:szCs w:val="21"/>
                <w:highlight w:val="none"/>
              </w:rPr>
              <w:t>)投标人法定代表人若亲自签署投标文件的，提供了法定代表人身份证明，且法定代表人在法定代表人身份证明上签名，未使用印章、签名章或其他电子制版签名。</w:t>
            </w:r>
          </w:p>
          <w:p>
            <w:pPr>
              <w:spacing w:line="360" w:lineRule="exact"/>
              <w:ind w:firstLine="420" w:firstLineChars="200"/>
              <w:rPr>
                <w:rFonts w:ascii="宋体" w:hAnsi="宋体"/>
                <w:strike w:val="0"/>
                <w:dstrike w:val="0"/>
                <w:color w:val="000000"/>
                <w:szCs w:val="21"/>
                <w:highlight w:val="none"/>
              </w:rPr>
            </w:pPr>
            <w:r>
              <w:rPr>
                <w:rFonts w:ascii="宋体" w:hAnsi="宋体"/>
                <w:strike w:val="0"/>
                <w:dstrike w:val="0"/>
                <w:color w:val="000000"/>
                <w:szCs w:val="21"/>
                <w:highlight w:val="none"/>
              </w:rPr>
              <w:t>(</w:t>
            </w:r>
            <w:r>
              <w:rPr>
                <w:rFonts w:hint="eastAsia" w:ascii="宋体" w:hAnsi="宋体"/>
                <w:strike w:val="0"/>
                <w:dstrike w:val="0"/>
                <w:color w:val="000000"/>
                <w:szCs w:val="21"/>
                <w:highlight w:val="none"/>
                <w:lang w:val="en-US" w:eastAsia="zh-CN"/>
              </w:rPr>
              <w:t>6</w:t>
            </w:r>
            <w:r>
              <w:rPr>
                <w:rFonts w:ascii="宋体" w:hAnsi="宋体"/>
                <w:strike w:val="0"/>
                <w:dstrike w:val="0"/>
                <w:color w:val="000000"/>
                <w:szCs w:val="21"/>
                <w:highlight w:val="none"/>
              </w:rPr>
              <w:t>)</w:t>
            </w:r>
            <w:r>
              <w:rPr>
                <w:rFonts w:hint="eastAsia" w:ascii="宋体" w:hAnsi="宋体"/>
                <w:strike w:val="0"/>
                <w:dstrike w:val="0"/>
                <w:color w:val="000000"/>
                <w:szCs w:val="21"/>
                <w:highlight w:val="none"/>
              </w:rPr>
              <w:t>本项目不允许</w:t>
            </w:r>
            <w:r>
              <w:rPr>
                <w:rFonts w:ascii="宋体" w:hAnsi="宋体"/>
                <w:strike w:val="0"/>
                <w:dstrike w:val="0"/>
                <w:color w:val="000000"/>
                <w:szCs w:val="21"/>
                <w:highlight w:val="none"/>
              </w:rPr>
              <w:t>分包</w:t>
            </w:r>
            <w:r>
              <w:rPr>
                <w:rFonts w:hint="eastAsia" w:ascii="宋体" w:hAnsi="宋体"/>
                <w:strike w:val="0"/>
                <w:dstrike w:val="0"/>
                <w:color w:val="000000"/>
                <w:szCs w:val="21"/>
                <w:highlight w:val="none"/>
              </w:rPr>
              <w:t>。</w:t>
            </w:r>
          </w:p>
          <w:p>
            <w:pPr>
              <w:spacing w:line="360" w:lineRule="exact"/>
              <w:ind w:firstLine="420" w:firstLineChars="200"/>
              <w:rPr>
                <w:rFonts w:hint="eastAsia" w:ascii="宋体" w:hAnsi="宋体"/>
                <w:color w:val="000000"/>
                <w:szCs w:val="21"/>
                <w:highlight w:val="none"/>
              </w:rPr>
            </w:pPr>
            <w:r>
              <w:rPr>
                <w:rFonts w:ascii="宋体" w:hAnsi="宋体"/>
                <w:color w:val="000000"/>
                <w:szCs w:val="21"/>
                <w:highlight w:val="none"/>
              </w:rPr>
              <w:t>(</w:t>
            </w:r>
            <w:r>
              <w:rPr>
                <w:rFonts w:hint="eastAsia" w:ascii="宋体" w:hAnsi="宋体"/>
                <w:color w:val="000000"/>
                <w:szCs w:val="21"/>
                <w:highlight w:val="none"/>
                <w:lang w:val="en-US" w:eastAsia="zh-CN"/>
              </w:rPr>
              <w:t>7</w:t>
            </w:r>
            <w:r>
              <w:rPr>
                <w:rFonts w:ascii="宋体" w:hAnsi="宋体"/>
                <w:color w:val="000000"/>
                <w:szCs w:val="21"/>
                <w:highlight w:val="none"/>
              </w:rPr>
              <w:t>)</w:t>
            </w:r>
            <w:r>
              <w:rPr>
                <w:rFonts w:hint="eastAsia" w:ascii="宋体" w:hAnsi="宋体"/>
                <w:color w:val="000000"/>
                <w:szCs w:val="21"/>
                <w:highlight w:val="none"/>
              </w:rPr>
              <w:t>同一投标人</w:t>
            </w:r>
            <w:r>
              <w:rPr>
                <w:rFonts w:hint="eastAsia" w:ascii="宋体" w:hAnsi="宋体"/>
                <w:color w:val="000000"/>
                <w:szCs w:val="21"/>
                <w:highlight w:val="none"/>
                <w:lang w:val="en-US" w:eastAsia="zh-CN"/>
              </w:rPr>
              <w:t>未</w:t>
            </w:r>
            <w:r>
              <w:rPr>
                <w:rFonts w:hint="eastAsia" w:ascii="宋体" w:hAnsi="宋体"/>
                <w:color w:val="000000"/>
                <w:szCs w:val="21"/>
                <w:highlight w:val="none"/>
              </w:rPr>
              <w:t>提交两个以上不同的投标文件，但招标文件要求提交备选投标的除外。</w:t>
            </w:r>
          </w:p>
          <w:p>
            <w:pPr>
              <w:spacing w:line="360" w:lineRule="exact"/>
              <w:ind w:firstLine="315" w:firstLineChars="150"/>
              <w:rPr>
                <w:rFonts w:hint="eastAsia"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8</w:t>
            </w:r>
            <w:r>
              <w:rPr>
                <w:rFonts w:hint="eastAsia" w:ascii="宋体" w:hAnsi="宋体"/>
                <w:color w:val="000000"/>
                <w:szCs w:val="21"/>
                <w:highlight w:val="none"/>
              </w:rPr>
              <w:t>）投标文件</w:t>
            </w:r>
            <w:r>
              <w:rPr>
                <w:rFonts w:hint="eastAsia" w:ascii="宋体" w:hAnsi="宋体"/>
                <w:color w:val="000000"/>
                <w:szCs w:val="21"/>
                <w:highlight w:val="none"/>
                <w:lang w:val="en-US" w:eastAsia="zh-CN"/>
              </w:rPr>
              <w:t>中未</w:t>
            </w:r>
            <w:r>
              <w:rPr>
                <w:rFonts w:hint="eastAsia" w:ascii="宋体" w:hAnsi="宋体"/>
                <w:color w:val="000000"/>
                <w:szCs w:val="21"/>
                <w:highlight w:val="none"/>
              </w:rPr>
              <w:t>出现有关投标报价的内容。</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w:t>
            </w:r>
            <w:r>
              <w:rPr>
                <w:rFonts w:hint="eastAsia" w:ascii="宋体" w:hAnsi="宋体"/>
                <w:color w:val="000000"/>
                <w:szCs w:val="21"/>
                <w:highlight w:val="none"/>
                <w:lang w:val="en-US" w:eastAsia="zh-CN"/>
              </w:rPr>
              <w:t>9</w:t>
            </w:r>
            <w:r>
              <w:rPr>
                <w:rFonts w:ascii="宋体" w:hAnsi="宋体"/>
                <w:color w:val="000000"/>
                <w:szCs w:val="21"/>
                <w:highlight w:val="none"/>
              </w:rPr>
              <w:t>)投标文件载明的招标项目完成期限未超过招标文件规定的时限</w:t>
            </w:r>
            <w:r>
              <w:rPr>
                <w:rFonts w:hint="eastAsia" w:ascii="宋体" w:hAnsi="宋体"/>
                <w:color w:val="000000"/>
                <w:szCs w:val="21"/>
                <w:highlight w:val="none"/>
              </w:rPr>
              <w:t>。</w:t>
            </w:r>
          </w:p>
          <w:p>
            <w:pPr>
              <w:spacing w:line="360" w:lineRule="exact"/>
              <w:ind w:firstLine="420" w:firstLineChars="200"/>
              <w:rPr>
                <w:rFonts w:hint="eastAsia" w:ascii="宋体" w:hAnsi="宋体"/>
                <w:color w:val="000000"/>
                <w:szCs w:val="21"/>
                <w:highlight w:val="none"/>
              </w:rPr>
            </w:pPr>
            <w:r>
              <w:rPr>
                <w:rFonts w:ascii="宋体" w:hAnsi="宋体"/>
                <w:color w:val="000000"/>
                <w:szCs w:val="21"/>
                <w:highlight w:val="none"/>
              </w:rPr>
              <w:t>(</w:t>
            </w:r>
            <w:r>
              <w:rPr>
                <w:rFonts w:hint="eastAsia" w:ascii="宋体" w:hAnsi="宋体"/>
                <w:color w:val="000000"/>
                <w:szCs w:val="21"/>
                <w:highlight w:val="none"/>
              </w:rPr>
              <w:t>1</w:t>
            </w:r>
            <w:r>
              <w:rPr>
                <w:rFonts w:hint="eastAsia" w:ascii="宋体" w:hAnsi="宋体"/>
                <w:color w:val="000000"/>
                <w:szCs w:val="21"/>
                <w:highlight w:val="none"/>
                <w:lang w:val="en-US" w:eastAsia="zh-CN"/>
              </w:rPr>
              <w:t>0</w:t>
            </w:r>
            <w:r>
              <w:rPr>
                <w:rFonts w:ascii="宋体" w:hAnsi="宋体"/>
                <w:color w:val="000000"/>
                <w:szCs w:val="21"/>
                <w:highlight w:val="none"/>
              </w:rPr>
              <w:t>)</w:t>
            </w:r>
            <w:r>
              <w:rPr>
                <w:rFonts w:hint="eastAsia" w:ascii="宋体" w:hAnsi="宋体"/>
                <w:color w:val="000000"/>
                <w:szCs w:val="21"/>
                <w:highlight w:val="none"/>
              </w:rPr>
              <w:t>投标文件对招标文件的实质性要求和条件作出响应。</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lang w:val="en-US" w:eastAsia="zh-CN"/>
              </w:rPr>
              <w:t>1</w:t>
            </w:r>
            <w:r>
              <w:rPr>
                <w:rFonts w:ascii="宋体" w:hAnsi="宋体"/>
                <w:color w:val="000000"/>
                <w:szCs w:val="21"/>
                <w:highlight w:val="none"/>
              </w:rPr>
              <w:t>)权利义务符合招标文件规定：</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a.投标人应接受招标文件规定的风险划分原则，未提出新的风险划分办法；</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b.投标人未增加</w:t>
            </w:r>
            <w:r>
              <w:rPr>
                <w:rFonts w:hint="eastAsia" w:ascii="宋体" w:hAnsi="宋体"/>
                <w:color w:val="000000"/>
                <w:szCs w:val="21"/>
                <w:highlight w:val="none"/>
                <w:lang w:val="en-US" w:eastAsia="zh-CN"/>
              </w:rPr>
              <w:t>委托</w:t>
            </w:r>
            <w:r>
              <w:rPr>
                <w:rFonts w:ascii="宋体" w:hAnsi="宋体"/>
                <w:color w:val="000000"/>
                <w:szCs w:val="21"/>
                <w:highlight w:val="none"/>
              </w:rPr>
              <w:t>人的责任范围，或减少投标人义务；</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c.投标人未提出不同的支付办法；</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d.投标人对合同纠纷、事故处理办法未提出异议；</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e.投标人在投标活动中无欺诈行为；</w:t>
            </w:r>
          </w:p>
          <w:p>
            <w:pPr>
              <w:spacing w:line="360" w:lineRule="exact"/>
              <w:ind w:firstLine="420" w:firstLineChars="200"/>
              <w:rPr>
                <w:rFonts w:hint="eastAsia" w:ascii="宋体" w:hAnsi="宋体"/>
                <w:color w:val="000000"/>
                <w:szCs w:val="21"/>
                <w:highlight w:val="none"/>
              </w:rPr>
            </w:pPr>
            <w:r>
              <w:rPr>
                <w:rFonts w:ascii="宋体" w:hAnsi="宋体"/>
                <w:color w:val="000000"/>
                <w:szCs w:val="21"/>
                <w:highlight w:val="none"/>
              </w:rPr>
              <w:t>f.投标人未对合同条款有重要保留。</w:t>
            </w:r>
          </w:p>
          <w:p>
            <w:pPr>
              <w:spacing w:line="360" w:lineRule="exact"/>
              <w:ind w:firstLine="420" w:firstLineChars="200"/>
              <w:rPr>
                <w:rFonts w:hint="default" w:ascii="宋体" w:hAnsi="宋体" w:eastAsia="宋体"/>
                <w:color w:val="000000"/>
                <w:highlight w:val="none"/>
                <w:lang w:val="en-US" w:eastAsia="zh-CN"/>
              </w:rPr>
            </w:pPr>
            <w:r>
              <w:rPr>
                <w:rFonts w:hint="eastAsia" w:ascii="宋体" w:hAnsi="宋体"/>
                <w:color w:val="000000"/>
                <w:highlight w:val="none"/>
              </w:rPr>
              <w:t>（1</w:t>
            </w:r>
            <w:r>
              <w:rPr>
                <w:rFonts w:hint="eastAsia" w:ascii="宋体" w:hAnsi="宋体"/>
                <w:color w:val="000000"/>
                <w:highlight w:val="none"/>
                <w:lang w:val="en-US" w:eastAsia="zh-CN"/>
              </w:rPr>
              <w:t>2</w:t>
            </w:r>
            <w:r>
              <w:rPr>
                <w:rFonts w:hint="eastAsia" w:ascii="宋体" w:hAnsi="宋体"/>
                <w:color w:val="000000"/>
                <w:highlight w:val="none"/>
              </w:rPr>
              <w:t>）</w:t>
            </w:r>
            <w:r>
              <w:rPr>
                <w:rFonts w:hint="eastAsia" w:ascii="宋体" w:hAnsi="宋体"/>
                <w:color w:val="000000"/>
                <w:highlight w:val="none"/>
                <w:lang w:val="en-US" w:eastAsia="zh-CN"/>
              </w:rPr>
              <w:t>投标文件正、副本份数符合招标文件第二章“投标人须知”第3.7.4项规定。</w:t>
            </w:r>
          </w:p>
          <w:p>
            <w:pPr>
              <w:spacing w:line="360" w:lineRule="exact"/>
              <w:ind w:firstLine="420" w:firstLineChars="200"/>
              <w:rPr>
                <w:rFonts w:hint="eastAsia" w:ascii="宋体" w:hAnsi="宋体"/>
                <w:color w:val="000000"/>
                <w:szCs w:val="21"/>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13</w:t>
            </w:r>
            <w:r>
              <w:rPr>
                <w:rFonts w:hint="eastAsia" w:ascii="宋体" w:hAnsi="宋体"/>
                <w:color w:val="000000"/>
                <w:highlight w:val="none"/>
                <w:lang w:eastAsia="zh-CN"/>
              </w:rPr>
              <w:t>）</w:t>
            </w:r>
            <w:r>
              <w:rPr>
                <w:rFonts w:hint="eastAsia" w:ascii="宋体" w:hAnsi="宋体"/>
                <w:color w:val="000000"/>
                <w:szCs w:val="21"/>
                <w:highlight w:val="none"/>
              </w:rPr>
              <w:t>投标文件未附有招标人不能接受的条件。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50" w:hRule="atLeast"/>
          <w:jc w:val="center"/>
        </w:trPr>
        <w:tc>
          <w:tcPr>
            <w:tcW w:w="741" w:type="dxa"/>
            <w:tcBorders>
              <w:top w:val="single" w:color="auto" w:sz="4" w:space="0"/>
              <w:bottom w:val="single" w:color="auto" w:sz="4" w:space="0"/>
              <w:right w:val="single" w:color="auto" w:sz="4" w:space="0"/>
            </w:tcBorders>
            <w:noWrap w:val="0"/>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2.1.1</w:t>
            </w:r>
          </w:p>
          <w:p>
            <w:pPr>
              <w:spacing w:line="360" w:lineRule="exact"/>
              <w:jc w:val="center"/>
              <w:rPr>
                <w:rFonts w:ascii="宋体" w:hAnsi="宋体"/>
                <w:color w:val="000000"/>
                <w:szCs w:val="21"/>
                <w:highlight w:val="none"/>
              </w:rPr>
            </w:pPr>
            <w:r>
              <w:rPr>
                <w:rFonts w:ascii="宋体" w:hAnsi="宋体"/>
                <w:color w:val="000000"/>
                <w:szCs w:val="21"/>
                <w:highlight w:val="none"/>
              </w:rPr>
              <w:t>2.1.3</w:t>
            </w:r>
          </w:p>
        </w:tc>
        <w:tc>
          <w:tcPr>
            <w:tcW w:w="891" w:type="dxa"/>
            <w:tcBorders>
              <w:top w:val="single" w:color="auto" w:sz="4" w:space="0"/>
              <w:bottom w:val="single" w:color="auto" w:sz="4" w:space="0"/>
              <w:right w:val="single" w:color="auto" w:sz="4" w:space="0"/>
            </w:tcBorders>
            <w:noWrap w:val="0"/>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形式评审与响应性评审标准</w:t>
            </w:r>
          </w:p>
        </w:tc>
        <w:tc>
          <w:tcPr>
            <w:tcW w:w="7829" w:type="dxa"/>
            <w:tcBorders>
              <w:top w:val="single" w:color="auto" w:sz="4" w:space="0"/>
              <w:left w:val="single" w:color="auto" w:sz="4" w:space="0"/>
              <w:right w:val="single" w:color="auto" w:sz="4" w:space="0"/>
            </w:tcBorders>
            <w:noWrap w:val="0"/>
            <w:vAlign w:val="center"/>
          </w:tcPr>
          <w:p>
            <w:pPr>
              <w:spacing w:line="360" w:lineRule="exact"/>
              <w:rPr>
                <w:rFonts w:hint="eastAsia" w:ascii="宋体" w:hAnsi="宋体" w:eastAsia="宋体" w:cs="Times New Roman"/>
                <w:b/>
                <w:color w:val="000000"/>
                <w:szCs w:val="21"/>
                <w:highlight w:val="none"/>
              </w:rPr>
            </w:pPr>
            <w:r>
              <w:rPr>
                <w:rFonts w:hint="eastAsia" w:ascii="宋体" w:hAnsi="宋体" w:eastAsia="宋体" w:cs="Times New Roman"/>
                <w:b/>
                <w:color w:val="000000"/>
                <w:szCs w:val="21"/>
                <w:highlight w:val="none"/>
              </w:rPr>
              <w:t>第二</w:t>
            </w:r>
            <w:r>
              <w:rPr>
                <w:rFonts w:hint="eastAsia" w:ascii="宋体" w:hAnsi="宋体" w:eastAsia="宋体" w:cs="Times New Roman"/>
                <w:b/>
                <w:color w:val="000000"/>
                <w:szCs w:val="21"/>
                <w:highlight w:val="none"/>
                <w:lang w:val="en-US" w:eastAsia="zh-CN"/>
              </w:rPr>
              <w:t>个</w:t>
            </w:r>
            <w:r>
              <w:rPr>
                <w:rFonts w:hint="eastAsia" w:ascii="宋体" w:hAnsi="宋体" w:eastAsia="宋体" w:cs="Times New Roman"/>
                <w:b/>
                <w:color w:val="000000"/>
                <w:szCs w:val="21"/>
                <w:highlight w:val="none"/>
              </w:rPr>
              <w:t>信封（报价文件）评审标准：</w:t>
            </w:r>
          </w:p>
          <w:p>
            <w:pPr>
              <w:spacing w:line="360" w:lineRule="exact"/>
              <w:ind w:firstLine="390"/>
              <w:rPr>
                <w:rFonts w:hint="eastAsia"/>
                <w:highlight w:val="none"/>
              </w:rPr>
            </w:pPr>
            <w:r>
              <w:rPr>
                <w:rFonts w:hint="eastAsia"/>
                <w:highlight w:val="none"/>
              </w:rPr>
              <w:t>（1）</w:t>
            </w:r>
            <w:r>
              <w:rPr>
                <w:highlight w:val="none"/>
              </w:rPr>
              <w:t>投标文件按照招标文件规定的格式、内容填写，字迹清晰可辨：</w:t>
            </w:r>
          </w:p>
          <w:p>
            <w:pPr>
              <w:spacing w:line="360" w:lineRule="exact"/>
              <w:ind w:firstLine="390"/>
              <w:rPr>
                <w:highlight w:val="none"/>
              </w:rPr>
            </w:pPr>
            <w:r>
              <w:rPr>
                <w:highlight w:val="none"/>
              </w:rPr>
              <w:t>a.投标函按招标文件规定填报了</w:t>
            </w:r>
            <w:r>
              <w:rPr>
                <w:rFonts w:hint="eastAsia"/>
                <w:highlight w:val="none"/>
              </w:rPr>
              <w:t>项目名称、标段号、补遗书编号（如有）、</w:t>
            </w:r>
            <w:r>
              <w:rPr>
                <w:rFonts w:hint="eastAsia" w:ascii="宋体" w:hAnsi="宋体"/>
                <w:color w:val="000000"/>
                <w:szCs w:val="21"/>
                <w:highlight w:val="none"/>
              </w:rPr>
              <w:t>投标价（包括大写金额和小写金额）</w:t>
            </w:r>
            <w:r>
              <w:rPr>
                <w:highlight w:val="none"/>
              </w:rPr>
              <w:t>；</w:t>
            </w:r>
          </w:p>
          <w:p>
            <w:pPr>
              <w:spacing w:line="360" w:lineRule="exact"/>
              <w:ind w:firstLine="390"/>
              <w:rPr>
                <w:rFonts w:hint="eastAsia" w:ascii="宋体" w:hAnsi="宋体"/>
                <w:color w:val="000000"/>
                <w:szCs w:val="21"/>
                <w:highlight w:val="none"/>
              </w:rPr>
            </w:pPr>
            <w:r>
              <w:rPr>
                <w:rFonts w:hint="eastAsia" w:ascii="宋体" w:hAnsi="宋体"/>
                <w:color w:val="000000"/>
                <w:szCs w:val="21"/>
                <w:highlight w:val="none"/>
                <w:lang w:val="en-US" w:eastAsia="zh-CN"/>
              </w:rPr>
              <w:t>b</w:t>
            </w:r>
            <w:r>
              <w:rPr>
                <w:highlight w:val="none"/>
              </w:rPr>
              <w:t>.</w:t>
            </w:r>
            <w:r>
              <w:rPr>
                <w:rFonts w:ascii="宋体" w:hAnsi="宋体"/>
                <w:color w:val="000000"/>
                <w:szCs w:val="21"/>
                <w:highlight w:val="none"/>
              </w:rPr>
              <w:t>已标价</w:t>
            </w:r>
            <w:r>
              <w:rPr>
                <w:rFonts w:hint="eastAsia" w:ascii="宋体" w:hAnsi="宋体"/>
                <w:color w:val="000000"/>
                <w:szCs w:val="21"/>
                <w:highlight w:val="none"/>
                <w:lang w:val="en-US" w:eastAsia="zh-CN"/>
              </w:rPr>
              <w:t>报价</w:t>
            </w:r>
            <w:r>
              <w:rPr>
                <w:rFonts w:ascii="宋体" w:hAnsi="宋体"/>
                <w:color w:val="000000"/>
                <w:szCs w:val="21"/>
                <w:highlight w:val="none"/>
              </w:rPr>
              <w:t>清单</w:t>
            </w:r>
            <w:r>
              <w:rPr>
                <w:rFonts w:hint="eastAsia" w:ascii="宋体" w:hAnsi="宋体"/>
                <w:color w:val="000000"/>
                <w:szCs w:val="21"/>
                <w:highlight w:val="none"/>
              </w:rPr>
              <w:t>及清单</w:t>
            </w:r>
            <w:r>
              <w:rPr>
                <w:rFonts w:ascii="宋体" w:hAnsi="宋体"/>
                <w:color w:val="000000"/>
                <w:szCs w:val="21"/>
                <w:highlight w:val="none"/>
              </w:rPr>
              <w:t>说明文字与招标文件规定一致，</w:t>
            </w:r>
            <w:r>
              <w:rPr>
                <w:rFonts w:hint="eastAsia" w:ascii="宋体" w:hAnsi="宋体"/>
                <w:color w:val="000000"/>
                <w:szCs w:val="21"/>
                <w:highlight w:val="none"/>
              </w:rPr>
              <w:t>未</w:t>
            </w:r>
            <w:r>
              <w:rPr>
                <w:rFonts w:ascii="宋体" w:hAnsi="宋体"/>
                <w:color w:val="000000"/>
                <w:szCs w:val="21"/>
                <w:highlight w:val="none"/>
              </w:rPr>
              <w:t>进行</w:t>
            </w:r>
            <w:r>
              <w:rPr>
                <w:rFonts w:hint="eastAsia" w:ascii="宋体" w:hAnsi="宋体"/>
                <w:color w:val="000000"/>
                <w:szCs w:val="21"/>
                <w:highlight w:val="none"/>
                <w:lang w:val="en-US" w:eastAsia="zh-CN"/>
              </w:rPr>
              <w:t>实质性</w:t>
            </w:r>
            <w:r>
              <w:rPr>
                <w:rFonts w:ascii="宋体" w:hAnsi="宋体"/>
                <w:color w:val="000000"/>
                <w:szCs w:val="21"/>
                <w:highlight w:val="none"/>
              </w:rPr>
              <w:t>修改和删减；</w:t>
            </w:r>
          </w:p>
          <w:p>
            <w:pPr>
              <w:spacing w:line="360" w:lineRule="exact"/>
              <w:ind w:firstLine="0"/>
              <w:rPr>
                <w:rFonts w:hint="eastAsia"/>
                <w:highlight w:val="none"/>
              </w:rPr>
            </w:pPr>
            <w:r>
              <w:rPr>
                <w:rFonts w:hint="eastAsia"/>
                <w:highlight w:val="none"/>
                <w:lang w:val="en-US" w:eastAsia="zh-CN"/>
              </w:rPr>
              <w:t xml:space="preserve">    c</w:t>
            </w:r>
            <w:r>
              <w:rPr>
                <w:highlight w:val="none"/>
              </w:rPr>
              <w:t>.</w:t>
            </w:r>
            <w:r>
              <w:rPr>
                <w:rFonts w:hint="eastAsia"/>
                <w:highlight w:val="none"/>
              </w:rPr>
              <w:t>投标文件组成齐全完整，内容均按规定填写。</w:t>
            </w:r>
          </w:p>
          <w:p>
            <w:pPr>
              <w:spacing w:line="360" w:lineRule="exact"/>
              <w:ind w:firstLine="390"/>
              <w:rPr>
                <w:rFonts w:hint="eastAsia"/>
                <w:highlight w:val="none"/>
              </w:rPr>
            </w:pPr>
            <w:r>
              <w:rPr>
                <w:rFonts w:hint="eastAsia"/>
                <w:highlight w:val="none"/>
              </w:rPr>
              <w:t>（2）</w:t>
            </w:r>
            <w:r>
              <w:rPr>
                <w:highlight w:val="none"/>
              </w:rPr>
              <w:t>投标文件上法定代表人或其</w:t>
            </w:r>
            <w:r>
              <w:rPr>
                <w:rFonts w:hint="eastAsia"/>
                <w:highlight w:val="none"/>
                <w:lang w:val="en-US" w:eastAsia="zh-CN"/>
              </w:rPr>
              <w:t>委托</w:t>
            </w:r>
            <w:r>
              <w:rPr>
                <w:highlight w:val="none"/>
              </w:rPr>
              <w:t>代理人的签字、投标人的单位章盖章齐全，符合招标文件</w:t>
            </w:r>
            <w:r>
              <w:rPr>
                <w:rFonts w:hint="eastAsia"/>
                <w:highlight w:val="none"/>
              </w:rPr>
              <w:t>的</w:t>
            </w:r>
            <w:r>
              <w:rPr>
                <w:highlight w:val="none"/>
              </w:rPr>
              <w:t>规定</w:t>
            </w:r>
            <w:r>
              <w:rPr>
                <w:rFonts w:hint="eastAsia"/>
                <w:highlight w:val="none"/>
              </w:rPr>
              <w:t>；</w:t>
            </w:r>
          </w:p>
          <w:p>
            <w:pPr>
              <w:spacing w:line="360" w:lineRule="exact"/>
              <w:ind w:firstLine="390"/>
              <w:rPr>
                <w:rFonts w:hint="eastAsia"/>
                <w:highlight w:val="none"/>
              </w:rPr>
            </w:pPr>
            <w:r>
              <w:rPr>
                <w:rFonts w:hint="eastAsia"/>
                <w:highlight w:val="none"/>
              </w:rPr>
              <w:t>（3）</w:t>
            </w:r>
            <w:r>
              <w:rPr>
                <w:rFonts w:hint="default" w:ascii="Times New Roman" w:hAnsi="Times New Roman"/>
                <w:color w:val="000000"/>
                <w:szCs w:val="24"/>
                <w:highlight w:val="none"/>
              </w:rPr>
              <w:t>投标报价中的报价未超过招标文件设定的</w:t>
            </w:r>
            <w:r>
              <w:rPr>
                <w:rFonts w:hint="default" w:ascii="Times New Roman" w:hAnsi="Times New Roman"/>
                <w:b w:val="0"/>
                <w:bCs w:val="0"/>
                <w:color w:val="000000"/>
                <w:szCs w:val="24"/>
                <w:highlight w:val="none"/>
              </w:rPr>
              <w:t>最</w:t>
            </w:r>
            <w:r>
              <w:rPr>
                <w:rFonts w:hint="default" w:ascii="Times New Roman" w:hAnsi="Times New Roman"/>
                <w:b w:val="0"/>
                <w:color w:val="000000"/>
                <w:szCs w:val="24"/>
                <w:highlight w:val="none"/>
              </w:rPr>
              <w:t>高投标限价</w:t>
            </w:r>
            <w:r>
              <w:rPr>
                <w:rFonts w:hint="default" w:ascii="Times New Roman" w:hAnsi="Times New Roman"/>
                <w:color w:val="000000"/>
                <w:szCs w:val="24"/>
                <w:highlight w:val="none"/>
              </w:rPr>
              <w:t>。</w:t>
            </w:r>
          </w:p>
          <w:p>
            <w:pPr>
              <w:spacing w:line="360" w:lineRule="exact"/>
              <w:ind w:firstLine="390"/>
              <w:rPr>
                <w:rFonts w:hint="default" w:eastAsia="宋体"/>
                <w:highlight w:val="none"/>
                <w:lang w:eastAsia="zh-CN"/>
              </w:rPr>
            </w:pPr>
            <w:r>
              <w:rPr>
                <w:rFonts w:hint="default" w:eastAsia="宋体"/>
                <w:highlight w:val="none"/>
                <w:lang w:eastAsia="zh-CN"/>
              </w:rPr>
              <w:t>（4）投标报价的大写金额能够确定具体数值。</w:t>
            </w:r>
          </w:p>
          <w:p>
            <w:pPr>
              <w:spacing w:line="360" w:lineRule="exact"/>
              <w:ind w:firstLine="390"/>
              <w:rPr>
                <w:rFonts w:hint="default" w:eastAsia="宋体"/>
                <w:highlight w:val="none"/>
                <w:lang w:eastAsia="zh-CN"/>
              </w:rPr>
            </w:pPr>
            <w:r>
              <w:rPr>
                <w:rFonts w:hint="default" w:eastAsia="宋体"/>
                <w:highlight w:val="none"/>
                <w:lang w:eastAsia="zh-CN"/>
              </w:rPr>
              <w:t>（5）同一投标人</w:t>
            </w:r>
            <w:r>
              <w:rPr>
                <w:rFonts w:hint="eastAsia" w:eastAsia="宋体"/>
                <w:highlight w:val="none"/>
                <w:lang w:val="en-US" w:eastAsia="zh-CN"/>
              </w:rPr>
              <w:t>未</w:t>
            </w:r>
            <w:r>
              <w:rPr>
                <w:rFonts w:hint="default" w:eastAsia="宋体"/>
                <w:highlight w:val="none"/>
                <w:lang w:eastAsia="zh-CN"/>
              </w:rPr>
              <w:t>提交</w:t>
            </w:r>
            <w:r>
              <w:rPr>
                <w:rFonts w:hint="eastAsia" w:eastAsia="宋体"/>
                <w:highlight w:val="none"/>
                <w:lang w:val="en-US" w:eastAsia="zh-CN"/>
              </w:rPr>
              <w:t>两个以上不同的投标报价，</w:t>
            </w:r>
            <w:r>
              <w:rPr>
                <w:rFonts w:hint="default" w:eastAsia="宋体"/>
                <w:highlight w:val="none"/>
                <w:lang w:eastAsia="zh-CN"/>
              </w:rPr>
              <w:t>但招标文件要求提交备选投标的除外。</w:t>
            </w:r>
          </w:p>
          <w:p>
            <w:pPr>
              <w:spacing w:line="360" w:lineRule="exact"/>
              <w:ind w:firstLine="390"/>
              <w:rPr>
                <w:rFonts w:hint="default" w:eastAsia="宋体"/>
                <w:strike w:val="0"/>
                <w:dstrike w:val="0"/>
                <w:highlight w:val="none"/>
                <w:lang w:eastAsia="zh-CN"/>
              </w:rPr>
            </w:pPr>
            <w:r>
              <w:rPr>
                <w:rFonts w:hint="eastAsia" w:eastAsia="宋体"/>
                <w:strike w:val="0"/>
                <w:dstrike w:val="0"/>
                <w:highlight w:val="none"/>
                <w:lang w:eastAsia="zh-CN"/>
              </w:rPr>
              <w:t>（</w:t>
            </w:r>
            <w:r>
              <w:rPr>
                <w:rFonts w:hint="eastAsia" w:eastAsia="宋体"/>
                <w:strike w:val="0"/>
                <w:dstrike w:val="0"/>
                <w:highlight w:val="none"/>
                <w:lang w:val="en-US" w:eastAsia="zh-CN"/>
              </w:rPr>
              <w:t>6</w:t>
            </w:r>
            <w:r>
              <w:rPr>
                <w:rFonts w:hint="eastAsia" w:eastAsia="宋体"/>
                <w:strike w:val="0"/>
                <w:dstrike w:val="0"/>
                <w:highlight w:val="none"/>
                <w:lang w:eastAsia="zh-CN"/>
              </w:rPr>
              <w:t>）</w:t>
            </w:r>
            <w:r>
              <w:rPr>
                <w:rFonts w:hint="default" w:eastAsia="宋体"/>
                <w:strike w:val="0"/>
                <w:dstrike w:val="0"/>
                <w:highlight w:val="none"/>
                <w:lang w:eastAsia="zh-CN"/>
              </w:rPr>
              <w:t>投标人必须严格按照工程量固化清单填写，填写完毕的工程量固化清单未对工程量固化清单电子文件中的数据、格式和运算定义进行修改；工程量固化清单中的投标报价和投标函大写金额报价一致。</w:t>
            </w:r>
          </w:p>
          <w:p>
            <w:pPr>
              <w:spacing w:line="360" w:lineRule="exact"/>
              <w:ind w:firstLine="390"/>
              <w:rPr>
                <w:rFonts w:hint="default"/>
                <w:strike w:val="0"/>
                <w:dstrike w:val="0"/>
                <w:highlight w:val="none"/>
                <w:lang w:eastAsia="zh-CN"/>
              </w:rPr>
            </w:pPr>
            <w:r>
              <w:rPr>
                <w:rFonts w:hint="default" w:eastAsia="宋体"/>
                <w:strike w:val="0"/>
                <w:dstrike w:val="0"/>
                <w:highlight w:val="none"/>
                <w:lang w:eastAsia="zh-CN"/>
              </w:rPr>
              <w:t xml:space="preserve">（7）投标人必须按招标人提供的具有防伪水印的固化工程量清单打印并装订在投标文件中。 </w:t>
            </w:r>
          </w:p>
          <w:p>
            <w:pPr>
              <w:spacing w:line="360" w:lineRule="exact"/>
              <w:ind w:firstLine="390"/>
              <w:rPr>
                <w:rFonts w:hint="eastAsia" w:eastAsia="宋体"/>
                <w:highlight w:val="none"/>
                <w:lang w:eastAsia="zh-CN"/>
              </w:rPr>
            </w:pPr>
            <w:r>
              <w:rPr>
                <w:rFonts w:hint="default" w:eastAsia="宋体"/>
                <w:highlight w:val="none"/>
                <w:lang w:eastAsia="zh-CN"/>
              </w:rPr>
              <w:t>（</w:t>
            </w:r>
            <w:r>
              <w:rPr>
                <w:rFonts w:hint="eastAsia" w:eastAsia="宋体"/>
                <w:highlight w:val="none"/>
                <w:lang w:val="en-US" w:eastAsia="zh-CN"/>
              </w:rPr>
              <w:t>8</w:t>
            </w:r>
            <w:r>
              <w:rPr>
                <w:rFonts w:hint="default" w:eastAsia="宋体"/>
                <w:highlight w:val="none"/>
                <w:lang w:eastAsia="zh-CN"/>
              </w:rPr>
              <w:t>）</w:t>
            </w:r>
            <w:r>
              <w:rPr>
                <w:rFonts w:hint="eastAsia" w:eastAsia="宋体"/>
                <w:highlight w:val="none"/>
                <w:lang w:val="en-US" w:eastAsia="zh-CN"/>
              </w:rPr>
              <w:t>投标文件正、副本份数符合招标文件第二章“投标人须知”</w:t>
            </w:r>
            <w:r>
              <w:rPr>
                <w:rFonts w:hint="eastAsia" w:ascii="宋体" w:hAnsi="宋体"/>
                <w:color w:val="000000"/>
                <w:highlight w:val="none"/>
                <w:lang w:val="en-US" w:eastAsia="zh-CN"/>
              </w:rPr>
              <w:t>第3.7.4项规定。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80" w:hRule="atLeast"/>
          <w:jc w:val="center"/>
        </w:trPr>
        <w:tc>
          <w:tcPr>
            <w:tcW w:w="741" w:type="dxa"/>
            <w:tcBorders>
              <w:top w:val="single" w:color="auto" w:sz="4" w:space="0"/>
              <w:bottom w:val="single" w:color="auto" w:sz="4" w:space="0"/>
              <w:right w:val="single" w:color="auto" w:sz="4" w:space="0"/>
            </w:tcBorders>
            <w:noWrap w:val="0"/>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2.1.2</w:t>
            </w:r>
          </w:p>
        </w:tc>
        <w:tc>
          <w:tcPr>
            <w:tcW w:w="891" w:type="dxa"/>
            <w:tcBorders>
              <w:top w:val="single" w:color="auto" w:sz="4" w:space="0"/>
              <w:bottom w:val="single" w:color="auto" w:sz="4" w:space="0"/>
              <w:right w:val="single" w:color="auto" w:sz="4" w:space="0"/>
            </w:tcBorders>
            <w:noWrap w:val="0"/>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资格评审标准</w:t>
            </w:r>
          </w:p>
        </w:tc>
        <w:tc>
          <w:tcPr>
            <w:tcW w:w="7829" w:type="dxa"/>
            <w:tcBorders>
              <w:top w:val="single" w:color="auto" w:sz="4" w:space="0"/>
              <w:left w:val="single" w:color="auto" w:sz="4" w:space="0"/>
              <w:right w:val="single" w:color="auto" w:sz="4" w:space="0"/>
            </w:tcBorders>
            <w:noWrap w:val="0"/>
            <w:vAlign w:val="center"/>
          </w:tcPr>
          <w:p>
            <w:pPr>
              <w:spacing w:line="360" w:lineRule="exact"/>
              <w:ind w:firstLine="390"/>
              <w:rPr>
                <w:rFonts w:ascii="宋体" w:hAnsi="宋体"/>
                <w:color w:val="000000"/>
                <w:szCs w:val="21"/>
                <w:highlight w:val="none"/>
              </w:rPr>
            </w:pPr>
            <w:r>
              <w:rPr>
                <w:rFonts w:hint="eastAsia" w:ascii="宋体" w:hAnsi="宋体"/>
                <w:color w:val="000000"/>
                <w:szCs w:val="21"/>
                <w:highlight w:val="none"/>
              </w:rPr>
              <w:t>（1）</w:t>
            </w:r>
            <w:r>
              <w:rPr>
                <w:rFonts w:hint="default" w:ascii="宋体" w:hAnsi="宋体"/>
                <w:color w:val="000000"/>
                <w:szCs w:val="21"/>
                <w:highlight w:val="none"/>
              </w:rPr>
              <w:t>投标人具备有效的</w:t>
            </w:r>
            <w:r>
              <w:rPr>
                <w:rFonts w:ascii="宋体" w:hAnsi="宋体"/>
                <w:color w:val="000000"/>
                <w:szCs w:val="21"/>
                <w:highlight w:val="none"/>
              </w:rPr>
              <w:t>营业执照</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或事业单位法人证书</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资质证书</w:t>
            </w:r>
            <w:r>
              <w:rPr>
                <w:rFonts w:hint="default" w:ascii="宋体" w:hAnsi="宋体"/>
                <w:color w:val="000000"/>
                <w:szCs w:val="21"/>
                <w:highlight w:val="none"/>
              </w:rPr>
              <w:t>和</w:t>
            </w:r>
            <w:r>
              <w:rPr>
                <w:rFonts w:ascii="宋体" w:hAnsi="宋体"/>
                <w:color w:val="000000"/>
                <w:szCs w:val="21"/>
                <w:highlight w:val="none"/>
                <w:lang w:val="en-US"/>
              </w:rPr>
              <w:t>基本账户开户许可证</w:t>
            </w:r>
            <w:r>
              <w:rPr>
                <w:rFonts w:hint="eastAsia" w:ascii="宋体" w:hAnsi="宋体"/>
                <w:color w:val="000000"/>
                <w:szCs w:val="21"/>
                <w:highlight w:val="none"/>
                <w:lang w:val="en-US" w:eastAsia="zh-CN"/>
              </w:rPr>
              <w:t>（或基本账户证明）。</w:t>
            </w:r>
          </w:p>
          <w:p>
            <w:pPr>
              <w:spacing w:line="360" w:lineRule="exact"/>
              <w:ind w:firstLine="390"/>
              <w:rPr>
                <w:rFonts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投标人的资质等级符合招标文件规定；</w:t>
            </w:r>
          </w:p>
          <w:p>
            <w:pPr>
              <w:spacing w:line="360" w:lineRule="exact"/>
              <w:ind w:firstLine="39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（3）投标人的类似项目业绩符合招标文件规定；</w:t>
            </w:r>
          </w:p>
          <w:p>
            <w:pPr>
              <w:spacing w:line="360" w:lineRule="exact"/>
              <w:ind w:firstLine="39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（4）投标人的信誉符合招标文件规定；</w:t>
            </w:r>
          </w:p>
          <w:p>
            <w:pPr>
              <w:spacing w:line="360" w:lineRule="exact"/>
              <w:ind w:firstLine="39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（5）</w:t>
            </w:r>
            <w:r>
              <w:rPr>
                <w:rFonts w:hint="eastAsia" w:ascii="宋体" w:hAnsi="宋体" w:eastAsia="宋体" w:cs="Times New Roman"/>
                <w:color w:val="000000"/>
                <w:szCs w:val="21"/>
                <w:highlight w:val="none"/>
                <w:lang w:val="en-US" w:eastAsia="zh-CN"/>
              </w:rPr>
              <w:t>投标人的项目负责人和项目技术负责人资格符合招标文件规定</w:t>
            </w:r>
            <w:r>
              <w:rPr>
                <w:rFonts w:hint="eastAsia" w:ascii="宋体" w:hAnsi="宋体"/>
                <w:color w:val="000000"/>
                <w:szCs w:val="21"/>
                <w:highlight w:val="none"/>
              </w:rPr>
              <w:t>，且按规定在投标文件中进行签字确认</w:t>
            </w:r>
            <w:r>
              <w:rPr>
                <w:rFonts w:ascii="宋体" w:hAnsi="宋体"/>
                <w:color w:val="000000"/>
                <w:szCs w:val="21"/>
                <w:highlight w:val="none"/>
              </w:rPr>
              <w:t>；</w:t>
            </w:r>
            <w:r>
              <w:rPr>
                <w:rFonts w:hint="eastAsia" w:ascii="宋体" w:hAnsi="宋体" w:eastAsia="宋体" w:cs="Times New Roman"/>
                <w:color w:val="000000"/>
                <w:szCs w:val="21"/>
                <w:highlight w:val="none"/>
                <w:lang w:val="en-US" w:eastAsia="zh-CN"/>
              </w:rPr>
              <w:t xml:space="preserve"> </w:t>
            </w:r>
          </w:p>
          <w:p>
            <w:pPr>
              <w:spacing w:line="360" w:lineRule="exact"/>
              <w:ind w:firstLine="390"/>
              <w:rPr>
                <w:rFonts w:hint="eastAsia" w:ascii="宋体" w:hAnsi="宋体"/>
                <w:color w:val="000000"/>
                <w:szCs w:val="21"/>
                <w:highlight w:val="none"/>
              </w:rPr>
            </w:pPr>
            <w:r>
              <w:rPr>
                <w:rFonts w:hint="eastAsia" w:ascii="宋体" w:hAnsi="宋体"/>
                <w:color w:val="000000"/>
                <w:szCs w:val="21"/>
                <w:highlight w:val="none"/>
              </w:rPr>
              <w:t>（6）</w:t>
            </w:r>
            <w:r>
              <w:rPr>
                <w:rFonts w:hint="eastAsia" w:ascii="宋体" w:hAnsi="宋体"/>
                <w:color w:val="000000"/>
                <w:szCs w:val="21"/>
                <w:highlight w:val="none"/>
                <w:lang w:val="en-US" w:eastAsia="zh-CN"/>
              </w:rPr>
              <w:t>投标人不存在</w:t>
            </w:r>
            <w:r>
              <w:rPr>
                <w:rFonts w:ascii="宋体" w:hAnsi="宋体"/>
                <w:color w:val="000000"/>
                <w:szCs w:val="21"/>
                <w:highlight w:val="none"/>
              </w:rPr>
              <w:t>第二章“投标人须知”第1.4.3项</w:t>
            </w:r>
            <w:r>
              <w:rPr>
                <w:rFonts w:hint="eastAsia" w:ascii="宋体" w:hAnsi="宋体"/>
                <w:color w:val="000000"/>
                <w:szCs w:val="21"/>
                <w:highlight w:val="none"/>
              </w:rPr>
              <w:t>或第1.4.4项</w:t>
            </w:r>
            <w:r>
              <w:rPr>
                <w:rFonts w:ascii="宋体" w:hAnsi="宋体"/>
                <w:color w:val="000000"/>
                <w:szCs w:val="21"/>
                <w:highlight w:val="none"/>
              </w:rPr>
              <w:t>规定的任何一种情形</w:t>
            </w:r>
            <w:r>
              <w:rPr>
                <w:rFonts w:hint="eastAsia" w:ascii="宋体" w:hAnsi="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41" w:type="dxa"/>
            <w:tcBorders>
              <w:top w:val="single" w:color="auto" w:sz="4" w:space="0"/>
              <w:right w:val="single" w:color="auto" w:sz="4" w:space="0"/>
            </w:tcBorders>
            <w:noWrap w:val="0"/>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2.2.1</w:t>
            </w:r>
          </w:p>
        </w:tc>
        <w:tc>
          <w:tcPr>
            <w:tcW w:w="891" w:type="dxa"/>
            <w:tcBorders>
              <w:top w:val="single" w:color="auto" w:sz="4" w:space="0"/>
              <w:right w:val="single" w:color="auto" w:sz="4" w:space="0"/>
            </w:tcBorders>
            <w:noWrap w:val="0"/>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分值构成(总分100分)</w:t>
            </w:r>
          </w:p>
        </w:tc>
        <w:tc>
          <w:tcPr>
            <w:tcW w:w="782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b/>
                <w:color w:val="000000"/>
                <w:szCs w:val="21"/>
                <w:highlight w:val="none"/>
                <w:lang w:val="en-US" w:eastAsia="zh-CN"/>
              </w:rPr>
            </w:pPr>
            <w:r>
              <w:rPr>
                <w:rFonts w:hint="eastAsia" w:ascii="宋体" w:hAnsi="宋体" w:eastAsia="宋体" w:cs="Times New Roman"/>
                <w:b/>
                <w:color w:val="000000"/>
                <w:szCs w:val="21"/>
                <w:highlight w:val="none"/>
                <w:lang w:val="en-US" w:eastAsia="zh-CN"/>
              </w:rPr>
              <w:t>第一信封（商务及技术文件）评分分值构成：</w:t>
            </w:r>
          </w:p>
          <w:p>
            <w:pPr>
              <w:spacing w:line="360" w:lineRule="exact"/>
              <w:jc w:val="left"/>
              <w:rPr>
                <w:rFonts w:hint="eastAsia" w:ascii="宋体" w:hAnsi="宋体" w:eastAsia="宋体" w:cs="Times New Roman"/>
                <w:color w:val="000000"/>
                <w:kern w:val="0"/>
                <w:szCs w:val="21"/>
                <w:highlight w:val="none"/>
                <w:lang w:val="en-US" w:eastAsia="zh-CN"/>
              </w:rPr>
            </w:pPr>
            <w:r>
              <w:rPr>
                <w:rFonts w:hint="eastAsia" w:ascii="宋体" w:hAnsi="宋体" w:eastAsia="宋体" w:cs="Times New Roman"/>
                <w:color w:val="000000"/>
                <w:kern w:val="0"/>
                <w:szCs w:val="21"/>
                <w:highlight w:val="none"/>
                <w:lang w:val="en-US" w:eastAsia="zh-CN"/>
              </w:rPr>
              <w:t>技术建议书：</w:t>
            </w:r>
            <w:r>
              <w:rPr>
                <w:rFonts w:hint="eastAsia" w:ascii="宋体" w:hAnsi="宋体" w:eastAsia="宋体" w:cs="Times New Roman"/>
                <w:color w:val="000000"/>
                <w:kern w:val="0"/>
                <w:szCs w:val="21"/>
                <w:highlight w:val="none"/>
                <w:u w:val="single"/>
                <w:lang w:val="en-US" w:eastAsia="zh-CN"/>
              </w:rPr>
              <w:t xml:space="preserve"> 30 分</w:t>
            </w:r>
          </w:p>
          <w:p>
            <w:pPr>
              <w:spacing w:line="360" w:lineRule="exact"/>
              <w:jc w:val="left"/>
              <w:rPr>
                <w:rFonts w:hint="eastAsia" w:ascii="宋体" w:hAnsi="宋体" w:eastAsia="宋体" w:cs="Times New Roman"/>
                <w:color w:val="000000"/>
                <w:kern w:val="0"/>
                <w:szCs w:val="21"/>
                <w:highlight w:val="none"/>
                <w:lang w:val="en-US" w:eastAsia="zh-CN"/>
              </w:rPr>
            </w:pPr>
            <w:r>
              <w:rPr>
                <w:rFonts w:hint="eastAsia" w:ascii="宋体" w:hAnsi="宋体" w:eastAsia="宋体" w:cs="Times New Roman"/>
                <w:color w:val="000000"/>
                <w:kern w:val="0"/>
                <w:szCs w:val="21"/>
                <w:highlight w:val="none"/>
                <w:lang w:val="en-US" w:eastAsia="zh-CN"/>
              </w:rPr>
              <w:t>主要人员：</w:t>
            </w:r>
            <w:r>
              <w:rPr>
                <w:rFonts w:hint="eastAsia" w:ascii="宋体" w:hAnsi="宋体" w:eastAsia="宋体" w:cs="Times New Roman"/>
                <w:color w:val="000000"/>
                <w:kern w:val="0"/>
                <w:szCs w:val="21"/>
                <w:highlight w:val="none"/>
                <w:u w:val="single"/>
                <w:lang w:val="en-US" w:eastAsia="zh-CN"/>
              </w:rPr>
              <w:t xml:space="preserve"> 20 分</w:t>
            </w:r>
          </w:p>
          <w:p>
            <w:pPr>
              <w:spacing w:line="360" w:lineRule="exact"/>
              <w:jc w:val="left"/>
              <w:rPr>
                <w:rFonts w:hint="eastAsia" w:ascii="宋体" w:hAnsi="宋体" w:eastAsia="宋体" w:cs="Times New Roman"/>
                <w:color w:val="000000"/>
                <w:kern w:val="0"/>
                <w:szCs w:val="21"/>
                <w:highlight w:val="none"/>
                <w:lang w:val="en-US" w:eastAsia="zh-CN"/>
              </w:rPr>
            </w:pPr>
            <w:r>
              <w:rPr>
                <w:rFonts w:hint="eastAsia" w:ascii="宋体" w:hAnsi="宋体" w:eastAsia="宋体" w:cs="Times New Roman"/>
                <w:color w:val="000000"/>
                <w:kern w:val="0"/>
                <w:szCs w:val="21"/>
                <w:highlight w:val="none"/>
                <w:lang w:val="en-US" w:eastAsia="zh-CN"/>
              </w:rPr>
              <w:t>业绩：</w:t>
            </w:r>
            <w:r>
              <w:rPr>
                <w:rFonts w:hint="eastAsia" w:ascii="宋体" w:hAnsi="宋体" w:eastAsia="宋体" w:cs="Times New Roman"/>
                <w:color w:val="000000"/>
                <w:kern w:val="0"/>
                <w:szCs w:val="21"/>
                <w:highlight w:val="none"/>
                <w:u w:val="single"/>
                <w:lang w:val="en-US" w:eastAsia="zh-CN"/>
              </w:rPr>
              <w:t xml:space="preserve"> 30 分</w:t>
            </w:r>
          </w:p>
          <w:p>
            <w:pPr>
              <w:spacing w:line="360" w:lineRule="exact"/>
              <w:jc w:val="left"/>
              <w:rPr>
                <w:rFonts w:hint="eastAsia" w:ascii="宋体" w:hAnsi="宋体" w:eastAsia="宋体" w:cs="Times New Roman"/>
                <w:color w:val="000000"/>
                <w:kern w:val="0"/>
                <w:szCs w:val="21"/>
                <w:highlight w:val="none"/>
                <w:lang w:val="en-US" w:eastAsia="zh-CN"/>
              </w:rPr>
            </w:pPr>
            <w:r>
              <w:rPr>
                <w:rFonts w:hint="eastAsia" w:ascii="宋体" w:hAnsi="宋体" w:eastAsia="宋体" w:cs="Times New Roman"/>
                <w:color w:val="000000"/>
                <w:kern w:val="0"/>
                <w:szCs w:val="21"/>
                <w:highlight w:val="none"/>
                <w:lang w:val="en-US" w:eastAsia="zh-CN"/>
              </w:rPr>
              <w:t>履约信誉：</w:t>
            </w:r>
            <w:r>
              <w:rPr>
                <w:rFonts w:hint="eastAsia" w:ascii="宋体" w:hAnsi="宋体" w:eastAsia="宋体" w:cs="Times New Roman"/>
                <w:color w:val="000000"/>
                <w:kern w:val="0"/>
                <w:szCs w:val="21"/>
                <w:highlight w:val="none"/>
                <w:u w:val="single"/>
                <w:lang w:val="en-US" w:eastAsia="zh-CN"/>
              </w:rPr>
              <w:t xml:space="preserve"> 10 </w:t>
            </w:r>
            <w:r>
              <w:rPr>
                <w:rFonts w:hint="eastAsia" w:ascii="宋体" w:hAnsi="宋体" w:eastAsia="宋体" w:cs="Times New Roman"/>
                <w:color w:val="000000"/>
                <w:kern w:val="0"/>
                <w:szCs w:val="21"/>
                <w:highlight w:val="none"/>
                <w:lang w:val="en-US" w:eastAsia="zh-CN"/>
              </w:rPr>
              <w:t>分</w:t>
            </w:r>
          </w:p>
          <w:p>
            <w:pPr>
              <w:spacing w:line="360" w:lineRule="exact"/>
              <w:rPr>
                <w:rFonts w:hint="eastAsia" w:ascii="宋体" w:hAnsi="宋体" w:eastAsia="宋体" w:cs="Times New Roman"/>
                <w:b/>
                <w:color w:val="000000"/>
                <w:szCs w:val="21"/>
                <w:highlight w:val="none"/>
                <w:lang w:val="en-US" w:eastAsia="zh-CN"/>
              </w:rPr>
            </w:pPr>
            <w:r>
              <w:rPr>
                <w:rFonts w:hint="eastAsia" w:ascii="宋体" w:hAnsi="宋体" w:eastAsia="宋体" w:cs="Times New Roman"/>
                <w:b/>
                <w:color w:val="000000"/>
                <w:szCs w:val="21"/>
                <w:highlight w:val="none"/>
                <w:lang w:val="en-US" w:eastAsia="zh-CN"/>
              </w:rPr>
              <w:t>第二信封（报价文件）评分分值构成：</w:t>
            </w:r>
          </w:p>
          <w:p>
            <w:pPr>
              <w:spacing w:line="360" w:lineRule="exact"/>
              <w:rPr>
                <w:rFonts w:hint="default"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Cs w:val="21"/>
                <w:highlight w:val="none"/>
                <w:lang w:val="en-US" w:eastAsia="zh-CN"/>
              </w:rPr>
              <w:t>评标价：</w:t>
            </w:r>
            <w:r>
              <w:rPr>
                <w:rFonts w:hint="eastAsia" w:ascii="宋体" w:hAnsi="宋体" w:eastAsia="宋体" w:cs="Times New Roman"/>
                <w:color w:val="000000"/>
                <w:kern w:val="0"/>
                <w:szCs w:val="21"/>
                <w:highlight w:val="none"/>
                <w:u w:val="single"/>
                <w:lang w:val="en-US" w:eastAsia="zh-CN"/>
              </w:rPr>
              <w:t xml:space="preserve"> 10 </w:t>
            </w:r>
            <w:r>
              <w:rPr>
                <w:rFonts w:hint="eastAsia" w:ascii="宋体" w:hAnsi="宋体" w:eastAsia="宋体" w:cs="Times New Roman"/>
                <w:color w:val="000000"/>
                <w:kern w:val="0"/>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4" w:hRule="atLeast"/>
          <w:jc w:val="center"/>
        </w:trPr>
        <w:tc>
          <w:tcPr>
            <w:tcW w:w="741" w:type="dxa"/>
            <w:tcBorders>
              <w:top w:val="single" w:color="auto" w:sz="4" w:space="0"/>
              <w:right w:val="single" w:color="auto" w:sz="4" w:space="0"/>
            </w:tcBorders>
            <w:noWrap w:val="0"/>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2.2.2</w:t>
            </w:r>
          </w:p>
        </w:tc>
        <w:tc>
          <w:tcPr>
            <w:tcW w:w="891" w:type="dxa"/>
            <w:tcBorders>
              <w:top w:val="single" w:color="auto" w:sz="4" w:space="0"/>
              <w:right w:val="single" w:color="auto" w:sz="4" w:space="0"/>
            </w:tcBorders>
            <w:noWrap w:val="0"/>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评标基准价计算方法</w:t>
            </w:r>
          </w:p>
        </w:tc>
        <w:tc>
          <w:tcPr>
            <w:tcW w:w="782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b/>
                <w:color w:val="000000"/>
                <w:szCs w:val="21"/>
                <w:highlight w:val="none"/>
              </w:rPr>
            </w:pPr>
            <w:r>
              <w:rPr>
                <w:rFonts w:hint="eastAsia" w:ascii="宋体" w:hAnsi="宋体"/>
                <w:b/>
                <w:color w:val="000000"/>
                <w:szCs w:val="21"/>
                <w:highlight w:val="none"/>
              </w:rPr>
              <w:t>评标基准价的计算：</w:t>
            </w:r>
          </w:p>
          <w:p>
            <w:pPr>
              <w:spacing w:line="360" w:lineRule="exact"/>
              <w:ind w:firstLine="413" w:firstLineChars="196"/>
              <w:rPr>
                <w:rFonts w:hint="eastAsia" w:ascii="宋体" w:hAnsi="宋体"/>
                <w:b/>
                <w:color w:val="000000"/>
                <w:szCs w:val="21"/>
                <w:highlight w:val="none"/>
              </w:rPr>
            </w:pPr>
            <w:r>
              <w:rPr>
                <w:rFonts w:hint="eastAsia" w:ascii="宋体" w:hAnsi="宋体"/>
                <w:b/>
                <w:color w:val="000000"/>
                <w:szCs w:val="21"/>
                <w:highlight w:val="none"/>
              </w:rPr>
              <w:t>在开标现场，招标人将当场计算并宣布评标基准价。</w:t>
            </w:r>
          </w:p>
          <w:p>
            <w:pPr>
              <w:spacing w:line="360" w:lineRule="exact"/>
              <w:rPr>
                <w:rFonts w:hint="eastAsia" w:ascii="宋体" w:hAnsi="宋体"/>
                <w:b/>
                <w:color w:val="000000"/>
                <w:szCs w:val="21"/>
                <w:highlight w:val="none"/>
              </w:rPr>
            </w:pPr>
            <w:r>
              <w:rPr>
                <w:rFonts w:hint="eastAsia" w:ascii="宋体" w:hAnsi="宋体"/>
                <w:b/>
                <w:color w:val="000000"/>
                <w:szCs w:val="21"/>
                <w:highlight w:val="none"/>
              </w:rPr>
              <w:t>(1) 评标价的确定：</w:t>
            </w:r>
          </w:p>
          <w:p>
            <w:pPr>
              <w:spacing w:line="3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评标价＝报价函文字报价</w:t>
            </w:r>
          </w:p>
          <w:p>
            <w:pPr>
              <w:numPr>
                <w:ilvl w:val="0"/>
                <w:numId w:val="1"/>
              </w:numPr>
              <w:spacing w:line="360" w:lineRule="exact"/>
              <w:rPr>
                <w:rFonts w:hint="eastAsia" w:ascii="宋体" w:hAnsi="宋体" w:eastAsia="宋体" w:cs="Times New Roman"/>
                <w:b/>
                <w:color w:val="000000"/>
                <w:szCs w:val="21"/>
                <w:highlight w:val="none"/>
                <w:lang w:val="en-US" w:eastAsia="zh-CN"/>
              </w:rPr>
            </w:pPr>
            <w:r>
              <w:rPr>
                <w:rFonts w:hint="eastAsia" w:ascii="宋体" w:hAnsi="宋体" w:eastAsia="宋体" w:cs="Times New Roman"/>
                <w:b/>
                <w:color w:val="000000"/>
                <w:szCs w:val="21"/>
                <w:highlight w:val="none"/>
                <w:lang w:val="en-US" w:eastAsia="zh-CN"/>
              </w:rPr>
              <w:t>最高投标限价的确定</w:t>
            </w:r>
          </w:p>
          <w:p>
            <w:pPr>
              <w:spacing w:line="360" w:lineRule="exact"/>
              <w:ind w:firstLine="430" w:firstLineChars="205"/>
              <w:rPr>
                <w:rFonts w:hint="eastAsia" w:ascii="宋体" w:hAnsi="宋体"/>
                <w:color w:val="000000"/>
                <w:kern w:val="0"/>
                <w:szCs w:val="21"/>
                <w:highlight w:val="none"/>
              </w:rPr>
            </w:pPr>
            <w:r>
              <w:rPr>
                <w:rFonts w:hint="eastAsia" w:ascii="宋体" w:hAnsi="宋体"/>
                <w:color w:val="000000"/>
                <w:kern w:val="0"/>
                <w:szCs w:val="21"/>
                <w:highlight w:val="none"/>
              </w:rPr>
              <w:t>招标人根据本招标文件规定的条件和标准，自行编制或委托有相应资质单位编制预算价，经主管部门审核后确定的预算价为最高投标限价。</w:t>
            </w:r>
          </w:p>
          <w:p>
            <w:pPr>
              <w:pStyle w:val="2"/>
              <w:rPr>
                <w:rFonts w:hint="eastAsia"/>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010"/>
              <w:gridCol w:w="735"/>
              <w:gridCol w:w="3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42" w:type="dxa"/>
                  <w:gridSpan w:val="2"/>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总的最高投标限价（元）</w:t>
                  </w:r>
                </w:p>
              </w:tc>
              <w:tc>
                <w:tcPr>
                  <w:tcW w:w="73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大写</w:t>
                  </w:r>
                </w:p>
              </w:tc>
              <w:tc>
                <w:tcPr>
                  <w:tcW w:w="3682"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fldChar w:fldCharType="begin"/>
                  </w:r>
                  <w:r>
                    <w:rPr>
                      <w:rFonts w:hint="eastAsia" w:ascii="宋体" w:hAnsi="宋体" w:eastAsia="宋体" w:cs="宋体"/>
                      <w:b/>
                      <w:bCs/>
                      <w:i w:val="0"/>
                      <w:iCs w:val="0"/>
                      <w:color w:val="000000"/>
                      <w:kern w:val="0"/>
                      <w:sz w:val="21"/>
                      <w:szCs w:val="21"/>
                      <w:highlight w:val="none"/>
                      <w:u w:val="none"/>
                      <w:lang w:val="en-US" w:eastAsia="zh-CN" w:bidi="ar"/>
                    </w:rPr>
                    <w:instrText xml:space="preserve"> = 8091196 \* CHINESENUM2 \* MERGEFORMAT </w:instrText>
                  </w:r>
                  <w:r>
                    <w:rPr>
                      <w:rFonts w:hint="eastAsia" w:ascii="宋体" w:hAnsi="宋体" w:eastAsia="宋体" w:cs="宋体"/>
                      <w:b/>
                      <w:bCs/>
                      <w:i w:val="0"/>
                      <w:iCs w:val="0"/>
                      <w:color w:val="000000"/>
                      <w:kern w:val="0"/>
                      <w:sz w:val="21"/>
                      <w:szCs w:val="21"/>
                      <w:highlight w:val="none"/>
                      <w:u w:val="none"/>
                      <w:lang w:val="en-US" w:eastAsia="zh-CN" w:bidi="ar"/>
                    </w:rPr>
                    <w:fldChar w:fldCharType="separate"/>
                  </w:r>
                  <w:r>
                    <w:rPr>
                      <w:rFonts w:hint="eastAsia" w:ascii="宋体" w:hAnsi="宋体" w:eastAsia="宋体" w:cs="宋体"/>
                      <w:b/>
                      <w:bCs/>
                      <w:i w:val="0"/>
                      <w:iCs w:val="0"/>
                      <w:color w:val="000000"/>
                      <w:kern w:val="0"/>
                      <w:sz w:val="21"/>
                      <w:szCs w:val="21"/>
                      <w:highlight w:val="none"/>
                      <w:u w:val="none"/>
                      <w:lang w:val="en-US" w:eastAsia="zh-CN" w:bidi="ar"/>
                    </w:rPr>
                    <w:t>捌佰零玖万壹仟壹佰玖拾陆</w:t>
                  </w:r>
                  <w:r>
                    <w:rPr>
                      <w:rFonts w:hint="eastAsia" w:ascii="宋体" w:hAnsi="宋体" w:eastAsia="宋体" w:cs="宋体"/>
                      <w:b/>
                      <w:bCs/>
                      <w:i w:val="0"/>
                      <w:iCs w:val="0"/>
                      <w:color w:val="000000"/>
                      <w:kern w:val="0"/>
                      <w:sz w:val="21"/>
                      <w:szCs w:val="21"/>
                      <w:highlight w:val="none"/>
                      <w:u w:val="none"/>
                      <w:lang w:val="en-US" w:eastAsia="zh-CN" w:bidi="ar"/>
                    </w:rPr>
                    <w:fldChar w:fldCharType="end"/>
                  </w:r>
                  <w:r>
                    <w:rPr>
                      <w:rFonts w:hint="eastAsia" w:ascii="宋体" w:hAnsi="宋体" w:eastAsia="宋体" w:cs="宋体"/>
                      <w:b/>
                      <w:bCs/>
                      <w:i w:val="0"/>
                      <w:iCs w:val="0"/>
                      <w:color w:val="000000"/>
                      <w:kern w:val="0"/>
                      <w:sz w:val="21"/>
                      <w:szCs w:val="21"/>
                      <w:highlight w:val="none"/>
                      <w:u w:val="none"/>
                      <w:lang w:val="en-US" w:eastAsia="zh-CN" w:bidi="ar"/>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42" w:type="dxa"/>
                  <w:gridSpan w:val="2"/>
                  <w:vMerge w:val="continue"/>
                  <w:noWrap w:val="0"/>
                  <w:vAlign w:val="center"/>
                </w:tcPr>
                <w:p>
                  <w:pPr>
                    <w:jc w:val="center"/>
                    <w:rPr>
                      <w:rFonts w:hint="eastAsia" w:ascii="宋体" w:hAnsi="宋体" w:eastAsia="宋体" w:cs="宋体"/>
                      <w:b/>
                      <w:bCs/>
                      <w:i w:val="0"/>
                      <w:iCs w:val="0"/>
                      <w:color w:val="000000"/>
                      <w:sz w:val="21"/>
                      <w:szCs w:val="21"/>
                      <w:highlight w:val="none"/>
                      <w:u w:val="none"/>
                    </w:rPr>
                  </w:pPr>
                </w:p>
              </w:tc>
              <w:tc>
                <w:tcPr>
                  <w:tcW w:w="73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小写</w:t>
                  </w:r>
                </w:p>
              </w:tc>
              <w:tc>
                <w:tcPr>
                  <w:tcW w:w="3682"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default" w:ascii="宋体" w:hAnsi="宋体" w:eastAsia="宋体" w:cs="宋体"/>
                      <w:b/>
                      <w:bCs/>
                      <w:i w:val="0"/>
                      <w:iCs w:val="0"/>
                      <w:color w:val="000000"/>
                      <w:kern w:val="0"/>
                      <w:sz w:val="21"/>
                      <w:szCs w:val="21"/>
                      <w:highlight w:val="none"/>
                      <w:u w:val="none"/>
                      <w:lang w:val="en-US" w:eastAsia="zh-CN" w:bidi="ar"/>
                    </w:rPr>
                    <w:t>8091196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2"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第一部分</w:t>
                  </w:r>
                </w:p>
              </w:tc>
              <w:tc>
                <w:tcPr>
                  <w:tcW w:w="2010"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空心板桥梁硬件系统建设费用（元）</w:t>
                  </w:r>
                </w:p>
              </w:tc>
              <w:tc>
                <w:tcPr>
                  <w:tcW w:w="73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大写</w:t>
                  </w:r>
                </w:p>
              </w:tc>
              <w:tc>
                <w:tcPr>
                  <w:tcW w:w="368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bidi="ar"/>
                    </w:rPr>
                  </w:pPr>
                  <w:r>
                    <w:rPr>
                      <w:rFonts w:hint="eastAsia" w:ascii="宋体" w:hAnsi="宋体" w:eastAsia="宋体" w:cs="宋体"/>
                      <w:b w:val="0"/>
                      <w:bCs w:val="0"/>
                      <w:i w:val="0"/>
                      <w:iCs w:val="0"/>
                      <w:color w:val="000000"/>
                      <w:kern w:val="0"/>
                      <w:sz w:val="21"/>
                      <w:szCs w:val="21"/>
                      <w:highlight w:val="none"/>
                      <w:u w:val="none"/>
                      <w:lang w:bidi="ar"/>
                    </w:rPr>
                    <w:fldChar w:fldCharType="begin"/>
                  </w:r>
                  <w:r>
                    <w:rPr>
                      <w:rFonts w:hint="eastAsia" w:ascii="宋体" w:hAnsi="宋体" w:eastAsia="宋体" w:cs="宋体"/>
                      <w:b w:val="0"/>
                      <w:bCs w:val="0"/>
                      <w:i w:val="0"/>
                      <w:iCs w:val="0"/>
                      <w:color w:val="000000"/>
                      <w:kern w:val="0"/>
                      <w:sz w:val="21"/>
                      <w:szCs w:val="21"/>
                      <w:highlight w:val="none"/>
                      <w:u w:val="none"/>
                      <w:lang w:bidi="ar"/>
                    </w:rPr>
                    <w:instrText xml:space="preserve"> = 431179 \* CHINESENUM4 \* MERGEFORMAT </w:instrText>
                  </w:r>
                  <w:r>
                    <w:rPr>
                      <w:rFonts w:hint="eastAsia" w:ascii="宋体" w:hAnsi="宋体" w:eastAsia="宋体" w:cs="宋体"/>
                      <w:b w:val="0"/>
                      <w:bCs w:val="0"/>
                      <w:i w:val="0"/>
                      <w:iCs w:val="0"/>
                      <w:color w:val="000000"/>
                      <w:kern w:val="0"/>
                      <w:sz w:val="21"/>
                      <w:szCs w:val="21"/>
                      <w:highlight w:val="none"/>
                      <w:u w:val="none"/>
                      <w:lang w:bidi="ar"/>
                    </w:rPr>
                    <w:fldChar w:fldCharType="separate"/>
                  </w:r>
                  <w:r>
                    <w:rPr>
                      <w:highlight w:val="none"/>
                    </w:rPr>
                    <w:t>肆拾叁万壹仟壹佰柒拾玖元整</w:t>
                  </w:r>
                  <w:r>
                    <w:rPr>
                      <w:rFonts w:hint="eastAsia" w:ascii="宋体" w:hAnsi="宋体" w:eastAsia="宋体" w:cs="宋体"/>
                      <w:b w:val="0"/>
                      <w:bCs w:val="0"/>
                      <w:i w:val="0"/>
                      <w:iCs w:val="0"/>
                      <w:color w:val="000000"/>
                      <w:kern w:val="0"/>
                      <w:sz w:val="21"/>
                      <w:szCs w:val="21"/>
                      <w:highlight w:val="none"/>
                      <w:u w:val="none"/>
                      <w:lang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2" w:type="dxa"/>
                  <w:vMerge w:val="continue"/>
                  <w:noWrap w:val="0"/>
                  <w:vAlign w:val="center"/>
                </w:tcPr>
                <w:p>
                  <w:pPr>
                    <w:jc w:val="center"/>
                    <w:rPr>
                      <w:rFonts w:hint="eastAsia" w:ascii="宋体" w:hAnsi="宋体" w:eastAsia="宋体" w:cs="宋体"/>
                      <w:b w:val="0"/>
                      <w:bCs w:val="0"/>
                      <w:i w:val="0"/>
                      <w:iCs w:val="0"/>
                      <w:color w:val="000000"/>
                      <w:sz w:val="21"/>
                      <w:szCs w:val="21"/>
                      <w:highlight w:val="none"/>
                      <w:u w:val="none"/>
                    </w:rPr>
                  </w:pPr>
                </w:p>
              </w:tc>
              <w:tc>
                <w:tcPr>
                  <w:tcW w:w="2010" w:type="dxa"/>
                  <w:vMerge w:val="continue"/>
                  <w:noWrap w:val="0"/>
                  <w:vAlign w:val="center"/>
                </w:tcPr>
                <w:p>
                  <w:pPr>
                    <w:jc w:val="center"/>
                    <w:rPr>
                      <w:rFonts w:hint="eastAsia" w:ascii="宋体" w:hAnsi="宋体" w:eastAsia="宋体" w:cs="宋体"/>
                      <w:b w:val="0"/>
                      <w:bCs w:val="0"/>
                      <w:i w:val="0"/>
                      <w:iCs w:val="0"/>
                      <w:color w:val="000000"/>
                      <w:sz w:val="21"/>
                      <w:szCs w:val="21"/>
                      <w:highlight w:val="none"/>
                      <w:u w:val="none"/>
                    </w:rPr>
                  </w:pPr>
                </w:p>
              </w:tc>
              <w:tc>
                <w:tcPr>
                  <w:tcW w:w="73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小写</w:t>
                  </w:r>
                </w:p>
              </w:tc>
              <w:tc>
                <w:tcPr>
                  <w:tcW w:w="368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431179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2"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第二部分</w:t>
                  </w:r>
                </w:p>
              </w:tc>
              <w:tc>
                <w:tcPr>
                  <w:tcW w:w="2010"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2023-2025年全线结构物监测费用（元）</w:t>
                  </w:r>
                </w:p>
              </w:tc>
              <w:tc>
                <w:tcPr>
                  <w:tcW w:w="73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大写</w:t>
                  </w:r>
                </w:p>
              </w:tc>
              <w:tc>
                <w:tcPr>
                  <w:tcW w:w="3682"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fldChar w:fldCharType="begin"/>
                  </w:r>
                  <w:r>
                    <w:rPr>
                      <w:rFonts w:hint="eastAsia" w:ascii="宋体" w:hAnsi="宋体" w:eastAsia="宋体" w:cs="宋体"/>
                      <w:b w:val="0"/>
                      <w:bCs w:val="0"/>
                      <w:i w:val="0"/>
                      <w:iCs w:val="0"/>
                      <w:color w:val="000000"/>
                      <w:kern w:val="0"/>
                      <w:sz w:val="21"/>
                      <w:szCs w:val="21"/>
                      <w:highlight w:val="none"/>
                      <w:u w:val="none"/>
                      <w:lang w:val="en-US" w:eastAsia="zh-CN" w:bidi="ar"/>
                    </w:rPr>
                    <w:instrText xml:space="preserve"> = 7660017 \* CHINESENUM2 \* MERGEFORMAT </w:instrText>
                  </w:r>
                  <w:r>
                    <w:rPr>
                      <w:rFonts w:hint="eastAsia" w:ascii="宋体" w:hAnsi="宋体" w:eastAsia="宋体" w:cs="宋体"/>
                      <w:b w:val="0"/>
                      <w:bCs w:val="0"/>
                      <w:i w:val="0"/>
                      <w:iCs w:val="0"/>
                      <w:color w:val="000000"/>
                      <w:kern w:val="0"/>
                      <w:sz w:val="21"/>
                      <w:szCs w:val="21"/>
                      <w:highlight w:val="none"/>
                      <w:u w:val="none"/>
                      <w:lang w:val="en-US" w:eastAsia="zh-CN" w:bidi="ar"/>
                    </w:rPr>
                    <w:fldChar w:fldCharType="separate"/>
                  </w:r>
                  <w:r>
                    <w:t>柒佰陆拾陆万零壹拾柒</w:t>
                  </w:r>
                  <w:r>
                    <w:rPr>
                      <w:rFonts w:hint="eastAsia" w:ascii="宋体" w:hAnsi="宋体" w:eastAsia="宋体" w:cs="宋体"/>
                      <w:b w:val="0"/>
                      <w:bCs w:val="0"/>
                      <w:i w:val="0"/>
                      <w:iCs w:val="0"/>
                      <w:color w:val="000000"/>
                      <w:kern w:val="0"/>
                      <w:sz w:val="21"/>
                      <w:szCs w:val="21"/>
                      <w:highlight w:val="none"/>
                      <w:u w:val="none"/>
                      <w:lang w:val="en-US" w:eastAsia="zh-CN" w:bidi="ar"/>
                    </w:rPr>
                    <w:fldChar w:fldCharType="end"/>
                  </w:r>
                  <w:r>
                    <w:rPr>
                      <w:rFonts w:hint="eastAsia" w:ascii="宋体" w:hAnsi="宋体" w:eastAsia="宋体" w:cs="宋体"/>
                      <w:b w:val="0"/>
                      <w:bCs w:val="0"/>
                      <w:i w:val="0"/>
                      <w:iCs w:val="0"/>
                      <w:color w:val="000000"/>
                      <w:kern w:val="0"/>
                      <w:sz w:val="21"/>
                      <w:szCs w:val="21"/>
                      <w:highlight w:val="none"/>
                      <w:u w:val="none"/>
                      <w:lang w:val="en-US" w:eastAsia="zh-CN" w:bidi="ar"/>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2" w:type="dxa"/>
                  <w:vMerge w:val="continue"/>
                  <w:noWrap w:val="0"/>
                  <w:vAlign w:val="center"/>
                </w:tcPr>
                <w:p>
                  <w:pPr>
                    <w:jc w:val="center"/>
                    <w:rPr>
                      <w:rFonts w:hint="eastAsia" w:ascii="宋体" w:hAnsi="宋体" w:eastAsia="宋体" w:cs="宋体"/>
                      <w:b w:val="0"/>
                      <w:bCs w:val="0"/>
                      <w:i w:val="0"/>
                      <w:iCs w:val="0"/>
                      <w:color w:val="000000"/>
                      <w:sz w:val="21"/>
                      <w:szCs w:val="21"/>
                      <w:highlight w:val="none"/>
                      <w:u w:val="none"/>
                    </w:rPr>
                  </w:pPr>
                </w:p>
              </w:tc>
              <w:tc>
                <w:tcPr>
                  <w:tcW w:w="2010" w:type="dxa"/>
                  <w:vMerge w:val="continue"/>
                  <w:noWrap w:val="0"/>
                  <w:vAlign w:val="center"/>
                </w:tcPr>
                <w:p>
                  <w:pPr>
                    <w:jc w:val="center"/>
                    <w:rPr>
                      <w:rFonts w:hint="eastAsia" w:ascii="宋体" w:hAnsi="宋体" w:eastAsia="宋体" w:cs="宋体"/>
                      <w:b w:val="0"/>
                      <w:bCs w:val="0"/>
                      <w:i w:val="0"/>
                      <w:iCs w:val="0"/>
                      <w:color w:val="000000"/>
                      <w:sz w:val="21"/>
                      <w:szCs w:val="21"/>
                      <w:highlight w:val="none"/>
                      <w:u w:val="none"/>
                    </w:rPr>
                  </w:pPr>
                </w:p>
              </w:tc>
              <w:tc>
                <w:tcPr>
                  <w:tcW w:w="73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小写</w:t>
                  </w:r>
                </w:p>
              </w:tc>
              <w:tc>
                <w:tcPr>
                  <w:tcW w:w="368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7660017</w:t>
                  </w:r>
                </w:p>
              </w:tc>
            </w:tr>
          </w:tbl>
          <w:p>
            <w:pPr>
              <w:snapToGrid w:val="0"/>
              <w:spacing w:line="360" w:lineRule="exact"/>
              <w:ind w:firstLine="422" w:firstLineChars="200"/>
              <w:rPr>
                <w:rFonts w:hint="eastAsia" w:ascii="宋体" w:hAnsi="宋体"/>
                <w:b/>
                <w:snapToGrid w:val="0"/>
                <w:color w:val="000000"/>
                <w:szCs w:val="21"/>
                <w:highlight w:val="none"/>
              </w:rPr>
            </w:pPr>
          </w:p>
          <w:p>
            <w:pPr>
              <w:snapToGrid w:val="0"/>
              <w:spacing w:line="360" w:lineRule="exact"/>
              <w:ind w:firstLine="422" w:firstLineChars="200"/>
              <w:rPr>
                <w:rFonts w:hint="default" w:ascii="宋体" w:hAnsi="宋体" w:eastAsia="宋体"/>
                <w:b/>
                <w:snapToGrid w:val="0"/>
                <w:color w:val="000000"/>
                <w:szCs w:val="21"/>
                <w:highlight w:val="none"/>
                <w:lang w:val="en-US" w:eastAsia="zh-CN"/>
              </w:rPr>
            </w:pPr>
            <w:r>
              <w:rPr>
                <w:rFonts w:hint="eastAsia" w:ascii="宋体" w:hAnsi="宋体"/>
                <w:b/>
                <w:snapToGrid w:val="0"/>
                <w:color w:val="000000"/>
                <w:szCs w:val="21"/>
                <w:highlight w:val="none"/>
              </w:rPr>
              <w:t>投标人报价不能超过</w:t>
            </w:r>
            <w:r>
              <w:rPr>
                <w:rFonts w:hint="eastAsia" w:ascii="宋体" w:hAnsi="宋体"/>
                <w:b/>
                <w:snapToGrid w:val="0"/>
                <w:color w:val="000000"/>
                <w:szCs w:val="21"/>
                <w:highlight w:val="none"/>
                <w:lang w:val="en-US" w:eastAsia="zh-CN"/>
              </w:rPr>
              <w:t>总的</w:t>
            </w:r>
            <w:r>
              <w:rPr>
                <w:rFonts w:hint="eastAsia" w:ascii="宋体" w:hAnsi="宋体"/>
                <w:b/>
                <w:color w:val="000000"/>
                <w:kern w:val="0"/>
                <w:szCs w:val="21"/>
                <w:highlight w:val="none"/>
              </w:rPr>
              <w:t>最高投标限价，</w:t>
            </w:r>
            <w:r>
              <w:rPr>
                <w:rFonts w:hint="eastAsia" w:ascii="宋体" w:hAnsi="宋体"/>
                <w:b/>
                <w:color w:val="000000"/>
                <w:kern w:val="0"/>
                <w:szCs w:val="21"/>
                <w:highlight w:val="none"/>
                <w:lang w:val="en-US" w:eastAsia="zh-CN"/>
              </w:rPr>
              <w:t>也不能超过各单项的费用，</w:t>
            </w:r>
            <w:r>
              <w:rPr>
                <w:rFonts w:hint="eastAsia" w:ascii="宋体" w:hAnsi="宋体"/>
                <w:b/>
                <w:snapToGrid w:val="0"/>
                <w:color w:val="000000"/>
                <w:szCs w:val="21"/>
                <w:highlight w:val="none"/>
              </w:rPr>
              <w:t>否则按否决其投标处理。</w:t>
            </w:r>
            <w:r>
              <w:rPr>
                <w:rFonts w:hint="eastAsia" w:ascii="宋体" w:hAnsi="宋体"/>
                <w:b/>
                <w:snapToGrid w:val="0"/>
                <w:color w:val="000000"/>
                <w:szCs w:val="21"/>
                <w:highlight w:val="none"/>
                <w:lang w:val="en-US" w:eastAsia="zh-CN"/>
              </w:rPr>
              <w:t>仅总投标报价参与后续得分计算。</w:t>
            </w:r>
          </w:p>
          <w:p>
            <w:pPr>
              <w:spacing w:line="360" w:lineRule="exact"/>
              <w:rPr>
                <w:rFonts w:hint="eastAsia" w:ascii="宋体" w:hAnsi="宋体" w:eastAsia="宋体" w:cs="Times New Roman"/>
                <w:color w:val="000000"/>
                <w:kern w:val="0"/>
                <w:szCs w:val="21"/>
                <w:highlight w:val="none"/>
                <w:lang w:val="en-US" w:eastAsia="zh-CN"/>
              </w:rPr>
            </w:pPr>
            <w:r>
              <w:rPr>
                <w:rFonts w:hint="eastAsia" w:ascii="宋体" w:hAnsi="宋体" w:eastAsia="宋体" w:cs="Times New Roman"/>
                <w:b/>
                <w:color w:val="000000"/>
                <w:szCs w:val="21"/>
                <w:highlight w:val="none"/>
                <w:lang w:val="en-US" w:eastAsia="zh-CN"/>
              </w:rPr>
              <w:t>（3）评标基准价的确定</w:t>
            </w:r>
          </w:p>
          <w:p>
            <w:pPr>
              <w:spacing w:line="360" w:lineRule="exact"/>
              <w:ind w:firstLine="432" w:firstLineChars="205"/>
              <w:rPr>
                <w:rFonts w:hint="default" w:ascii="宋体" w:hAnsi="宋体" w:eastAsia="宋体" w:cs="Times New Roman"/>
                <w:b/>
                <w:bCs/>
                <w:color w:val="000000"/>
                <w:kern w:val="0"/>
                <w:szCs w:val="21"/>
                <w:highlight w:val="none"/>
                <w:lang w:val="en-US" w:eastAsia="zh-CN"/>
              </w:rPr>
            </w:pPr>
            <w:r>
              <w:rPr>
                <w:rFonts w:hint="eastAsia" w:ascii="宋体" w:hAnsi="宋体" w:eastAsia="宋体" w:cs="宋体"/>
                <w:b/>
                <w:bCs/>
                <w:color w:val="000000"/>
                <w:kern w:val="0"/>
                <w:szCs w:val="21"/>
                <w:highlight w:val="none"/>
              </w:rPr>
              <w:t>①</w:t>
            </w:r>
            <w:r>
              <w:rPr>
                <w:rFonts w:hint="eastAsia" w:ascii="宋体" w:hAnsi="宋体" w:eastAsia="宋体" w:cs="Times New Roman"/>
                <w:b/>
                <w:bCs/>
                <w:color w:val="000000"/>
                <w:kern w:val="0"/>
                <w:szCs w:val="21"/>
                <w:highlight w:val="none"/>
              </w:rPr>
              <w:t>最高投标限价下浮率</w:t>
            </w:r>
            <w:r>
              <w:rPr>
                <w:rFonts w:hint="eastAsia" w:ascii="宋体" w:hAnsi="宋体" w:eastAsia="宋体" w:cs="Times New Roman"/>
                <w:b/>
                <w:bCs/>
                <w:color w:val="000000"/>
                <w:kern w:val="0"/>
                <w:szCs w:val="21"/>
                <w:highlight w:val="none"/>
                <w:lang w:val="en-US" w:eastAsia="zh-CN"/>
              </w:rPr>
              <w:t>的确定</w:t>
            </w:r>
          </w:p>
          <w:p>
            <w:pPr>
              <w:spacing w:line="360" w:lineRule="exact"/>
              <w:ind w:firstLine="411" w:firstLineChars="196"/>
              <w:rPr>
                <w:rFonts w:hint="eastAsia" w:ascii="宋体" w:hAnsi="宋体" w:eastAsia="宋体"/>
                <w:snapToGrid w:val="0"/>
                <w:color w:val="000000"/>
                <w:szCs w:val="21"/>
                <w:highlight w:val="none"/>
                <w:lang w:eastAsia="zh-CN"/>
              </w:rPr>
            </w:pPr>
            <w:r>
              <w:rPr>
                <w:rFonts w:hint="eastAsia" w:ascii="宋体" w:hAnsi="宋体"/>
                <w:color w:val="000000"/>
                <w:kern w:val="0"/>
                <w:szCs w:val="21"/>
                <w:highlight w:val="none"/>
              </w:rPr>
              <w:t>下浮率在开标前在开标现场采取摇珠方式确定。</w:t>
            </w:r>
            <w:r>
              <w:rPr>
                <w:rFonts w:hint="eastAsia" w:ascii="宋体" w:hAnsi="宋体"/>
                <w:snapToGrid w:val="0"/>
                <w:color w:val="000000"/>
                <w:szCs w:val="21"/>
                <w:highlight w:val="none"/>
              </w:rPr>
              <w:t>摇珠操作办法如下：在下浮率</w:t>
            </w:r>
            <w:r>
              <w:rPr>
                <w:rFonts w:hint="eastAsia" w:ascii="宋体" w:hAnsi="宋体"/>
                <w:snapToGrid w:val="0"/>
                <w:color w:val="000000"/>
                <w:szCs w:val="21"/>
                <w:highlight w:val="none"/>
                <w:lang w:val="en-US" w:eastAsia="zh-CN"/>
              </w:rPr>
              <w:t>摇珠</w:t>
            </w:r>
            <w:r>
              <w:rPr>
                <w:rFonts w:hint="eastAsia" w:ascii="宋体" w:hAnsi="宋体"/>
                <w:snapToGrid w:val="0"/>
                <w:color w:val="000000"/>
                <w:szCs w:val="21"/>
                <w:highlight w:val="none"/>
              </w:rPr>
              <w:t>范围内</w:t>
            </w:r>
            <w:r>
              <w:rPr>
                <w:rFonts w:hint="eastAsia" w:ascii="宋体" w:hAnsi="宋体"/>
                <w:snapToGrid w:val="0"/>
                <w:color w:val="000000"/>
                <w:szCs w:val="21"/>
                <w:highlight w:val="none"/>
                <w:lang w:eastAsia="zh-CN"/>
              </w:rPr>
              <w:t>（</w:t>
            </w:r>
            <w:r>
              <w:rPr>
                <w:rFonts w:hint="eastAsia" w:ascii="宋体" w:hAnsi="宋体"/>
                <w:snapToGrid w:val="0"/>
                <w:color w:val="000000"/>
                <w:szCs w:val="21"/>
                <w:highlight w:val="none"/>
                <w:lang w:val="en-US" w:eastAsia="zh-CN"/>
              </w:rPr>
              <w:t>3%-6%</w:t>
            </w:r>
            <w:r>
              <w:rPr>
                <w:rFonts w:hint="eastAsia" w:ascii="宋体" w:hAnsi="宋体"/>
                <w:snapToGrid w:val="0"/>
                <w:color w:val="000000"/>
                <w:szCs w:val="21"/>
                <w:highlight w:val="none"/>
                <w:lang w:eastAsia="zh-CN"/>
              </w:rPr>
              <w:t>）</w:t>
            </w:r>
            <w:r>
              <w:rPr>
                <w:rFonts w:hint="eastAsia" w:ascii="宋体" w:hAnsi="宋体"/>
                <w:snapToGrid w:val="0"/>
                <w:color w:val="000000"/>
                <w:szCs w:val="21"/>
                <w:highlight w:val="none"/>
              </w:rPr>
              <w:t>，以0.1%为一档次增序确定摇珠号码，一共31个球</w:t>
            </w:r>
            <w:r>
              <w:rPr>
                <w:rFonts w:hint="eastAsia" w:ascii="宋体" w:hAnsi="宋体"/>
                <w:b/>
                <w:bCs/>
                <w:snapToGrid w:val="0"/>
                <w:color w:val="000000"/>
                <w:szCs w:val="21"/>
                <w:highlight w:val="none"/>
              </w:rPr>
              <w:t>，</w:t>
            </w:r>
            <w:r>
              <w:rPr>
                <w:rFonts w:hint="eastAsia" w:ascii="宋体" w:hAnsi="宋体"/>
                <w:snapToGrid w:val="0"/>
                <w:color w:val="000000"/>
                <w:szCs w:val="21"/>
                <w:highlight w:val="none"/>
              </w:rPr>
              <w:t>连续依次摇取三个球</w:t>
            </w:r>
            <w:r>
              <w:rPr>
                <w:rFonts w:hint="eastAsia" w:ascii="宋体" w:hAnsi="宋体"/>
                <w:snapToGrid w:val="0"/>
                <w:color w:val="000000"/>
                <w:szCs w:val="21"/>
                <w:highlight w:val="none"/>
                <w:lang w:eastAsia="zh-CN"/>
              </w:rPr>
              <w:t>（</w:t>
            </w:r>
            <w:r>
              <w:rPr>
                <w:rFonts w:hint="eastAsia" w:ascii="宋体" w:hAnsi="宋体"/>
                <w:snapToGrid w:val="0"/>
                <w:color w:val="000000"/>
                <w:szCs w:val="21"/>
                <w:highlight w:val="none"/>
                <w:lang w:val="en-US" w:eastAsia="zh-CN"/>
              </w:rPr>
              <w:t>摇出的球不放回</w:t>
            </w:r>
            <w:r>
              <w:rPr>
                <w:rFonts w:hint="eastAsia" w:ascii="宋体" w:hAnsi="宋体"/>
                <w:snapToGrid w:val="0"/>
                <w:color w:val="000000"/>
                <w:szCs w:val="21"/>
                <w:highlight w:val="none"/>
                <w:lang w:eastAsia="zh-CN"/>
              </w:rPr>
              <w:t>）</w:t>
            </w:r>
            <w:r>
              <w:rPr>
                <w:rFonts w:hint="eastAsia" w:ascii="宋体" w:hAnsi="宋体"/>
                <w:snapToGrid w:val="0"/>
                <w:color w:val="000000"/>
                <w:szCs w:val="21"/>
                <w:highlight w:val="none"/>
              </w:rPr>
              <w:t>，摇出</w:t>
            </w:r>
            <w:r>
              <w:rPr>
                <w:rFonts w:hint="eastAsia" w:ascii="宋体" w:hAnsi="宋体"/>
                <w:snapToGrid w:val="0"/>
                <w:color w:val="000000"/>
                <w:szCs w:val="21"/>
                <w:highlight w:val="none"/>
                <w:lang w:val="en-US" w:eastAsia="zh-CN"/>
              </w:rPr>
              <w:t>3个球</w:t>
            </w:r>
            <w:r>
              <w:rPr>
                <w:rFonts w:hint="eastAsia" w:ascii="宋体" w:hAnsi="宋体"/>
                <w:snapToGrid w:val="0"/>
                <w:color w:val="000000"/>
                <w:szCs w:val="21"/>
                <w:highlight w:val="none"/>
              </w:rPr>
              <w:t>对应的下浮率</w:t>
            </w:r>
            <w:r>
              <w:rPr>
                <w:rFonts w:hint="eastAsia" w:ascii="宋体" w:hAnsi="宋体"/>
                <w:snapToGrid w:val="0"/>
                <w:color w:val="000000"/>
                <w:szCs w:val="21"/>
                <w:highlight w:val="none"/>
                <w:lang w:val="en-US" w:eastAsia="zh-CN"/>
              </w:rPr>
              <w:t>的</w:t>
            </w:r>
            <w:r>
              <w:rPr>
                <w:rFonts w:hint="eastAsia" w:ascii="宋体" w:hAnsi="宋体"/>
                <w:snapToGrid w:val="0"/>
                <w:color w:val="000000"/>
                <w:szCs w:val="21"/>
                <w:highlight w:val="none"/>
              </w:rPr>
              <w:t>平均值即为本</w:t>
            </w:r>
            <w:r>
              <w:rPr>
                <w:rFonts w:hint="eastAsia" w:ascii="宋体" w:hAnsi="宋体"/>
                <w:snapToGrid w:val="0"/>
                <w:color w:val="000000"/>
                <w:szCs w:val="21"/>
                <w:highlight w:val="none"/>
                <w:lang w:val="en-US" w:eastAsia="zh-CN"/>
              </w:rPr>
              <w:t>标段招标</w:t>
            </w:r>
            <w:r>
              <w:rPr>
                <w:rFonts w:hint="eastAsia" w:ascii="宋体" w:hAnsi="宋体"/>
                <w:snapToGrid w:val="0"/>
                <w:color w:val="000000"/>
                <w:szCs w:val="21"/>
                <w:highlight w:val="none"/>
              </w:rPr>
              <w:t>的下浮率。</w:t>
            </w:r>
            <w:r>
              <w:rPr>
                <w:rFonts w:hint="eastAsia" w:ascii="宋体" w:hAnsi="宋体"/>
                <w:snapToGrid w:val="0"/>
                <w:color w:val="000000"/>
                <w:szCs w:val="21"/>
                <w:highlight w:val="none"/>
                <w:lang w:eastAsia="zh-CN"/>
              </w:rPr>
              <w:t>（</w:t>
            </w:r>
            <w:r>
              <w:rPr>
                <w:rFonts w:hint="eastAsia" w:ascii="宋体" w:hAnsi="宋体"/>
                <w:b w:val="0"/>
                <w:bCs/>
                <w:snapToGrid w:val="0"/>
                <w:color w:val="000000"/>
                <w:sz w:val="21"/>
                <w:szCs w:val="21"/>
                <w:highlight w:val="none"/>
              </w:rPr>
              <w:t>摇出三个下浮率的平均值四舍五入精确到</w:t>
            </w:r>
            <w:r>
              <w:rPr>
                <w:rFonts w:ascii="宋体" w:hAnsi="宋体"/>
                <w:b w:val="0"/>
                <w:bCs/>
                <w:snapToGrid w:val="0"/>
                <w:color w:val="000000"/>
                <w:sz w:val="21"/>
                <w:szCs w:val="21"/>
                <w:highlight w:val="none"/>
              </w:rPr>
              <w:t>0.001</w:t>
            </w:r>
            <w:r>
              <w:rPr>
                <w:rFonts w:hint="eastAsia" w:ascii="宋体" w:hAnsi="宋体"/>
                <w:b w:val="0"/>
                <w:bCs/>
                <w:snapToGrid w:val="0"/>
                <w:color w:val="000000"/>
                <w:sz w:val="21"/>
                <w:szCs w:val="21"/>
                <w:highlight w:val="none"/>
              </w:rPr>
              <w:t>％</w:t>
            </w:r>
            <w:r>
              <w:rPr>
                <w:rFonts w:hint="eastAsia" w:ascii="宋体" w:hAnsi="宋体"/>
                <w:snapToGrid w:val="0"/>
                <w:color w:val="000000"/>
                <w:szCs w:val="21"/>
                <w:highlight w:val="none"/>
                <w:lang w:eastAsia="zh-CN"/>
              </w:rPr>
              <w:t>）</w:t>
            </w:r>
          </w:p>
          <w:p>
            <w:pPr>
              <w:spacing w:line="360" w:lineRule="exact"/>
              <w:ind w:firstLine="432" w:firstLineChars="205"/>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最高评标限价＝最高投标限价×（1-下浮率）</w:t>
            </w:r>
          </w:p>
          <w:p>
            <w:pPr>
              <w:spacing w:line="360" w:lineRule="exact"/>
              <w:ind w:firstLine="432" w:firstLineChars="205"/>
              <w:rPr>
                <w:rFonts w:hint="eastAsia" w:ascii="宋体" w:hAnsi="宋体" w:eastAsia="宋体" w:cs="宋体"/>
                <w:b/>
                <w:bCs/>
                <w:color w:val="000000"/>
                <w:kern w:val="0"/>
                <w:szCs w:val="21"/>
                <w:highlight w:val="none"/>
                <w:lang w:val="en-US" w:eastAsia="zh-CN"/>
              </w:rPr>
            </w:pPr>
            <w:r>
              <w:rPr>
                <w:rFonts w:hint="eastAsia" w:ascii="宋体" w:hAnsi="宋体" w:eastAsia="宋体" w:cs="宋体"/>
                <w:b/>
                <w:bCs/>
                <w:color w:val="000000"/>
                <w:kern w:val="0"/>
                <w:szCs w:val="21"/>
                <w:highlight w:val="none"/>
              </w:rPr>
              <w:t>②有效评标价的范围</w:t>
            </w:r>
          </w:p>
          <w:p>
            <w:pPr>
              <w:snapToGrid w:val="0"/>
              <w:spacing w:line="360" w:lineRule="exact"/>
              <w:ind w:firstLine="420" w:firstLineChars="200"/>
              <w:rPr>
                <w:rFonts w:hint="eastAsia" w:ascii="宋体" w:hAnsi="宋体"/>
                <w:snapToGrid w:val="0"/>
                <w:color w:val="000000"/>
                <w:szCs w:val="21"/>
                <w:highlight w:val="none"/>
              </w:rPr>
            </w:pPr>
            <w:r>
              <w:rPr>
                <w:rFonts w:hint="eastAsia" w:ascii="宋体" w:hAnsi="宋体"/>
                <w:snapToGrid w:val="0"/>
                <w:color w:val="000000"/>
                <w:szCs w:val="21"/>
                <w:highlight w:val="none"/>
              </w:rPr>
              <w:t>有效评标价的范围：不大于最高评标限价的评标价为有效评标价。</w:t>
            </w:r>
          </w:p>
          <w:p>
            <w:pPr>
              <w:snapToGrid w:val="0"/>
              <w:spacing w:line="360" w:lineRule="exact"/>
              <w:ind w:firstLine="420" w:firstLineChars="200"/>
              <w:rPr>
                <w:rFonts w:hint="eastAsia" w:ascii="宋体" w:hAnsi="宋体"/>
                <w:snapToGrid w:val="0"/>
                <w:color w:val="000000"/>
                <w:szCs w:val="21"/>
                <w:highlight w:val="none"/>
              </w:rPr>
            </w:pPr>
            <w:r>
              <w:rPr>
                <w:rFonts w:hint="eastAsia" w:ascii="宋体" w:hAnsi="宋体"/>
                <w:snapToGrid w:val="0"/>
                <w:color w:val="000000"/>
                <w:szCs w:val="21"/>
                <w:highlight w:val="none"/>
              </w:rPr>
              <w:t>若大于最高评标限价的评标价，将否决其投标。</w:t>
            </w:r>
          </w:p>
          <w:p>
            <w:pPr>
              <w:spacing w:line="360" w:lineRule="exact"/>
              <w:ind w:firstLine="432" w:firstLineChars="205"/>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③评标基准价的确定：</w:t>
            </w:r>
          </w:p>
          <w:p>
            <w:pPr>
              <w:spacing w:line="360" w:lineRule="exact"/>
              <w:ind w:firstLine="432" w:firstLineChars="205"/>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评标基准价=最高评标限价×0.98。</w:t>
            </w:r>
          </w:p>
          <w:p>
            <w:pPr>
              <w:spacing w:line="360" w:lineRule="exact"/>
              <w:ind w:firstLine="420" w:firstLineChars="200"/>
              <w:rPr>
                <w:rFonts w:hint="eastAsia" w:ascii="宋体" w:hAnsi="宋体"/>
                <w:color w:val="000000"/>
                <w:szCs w:val="21"/>
                <w:highlight w:val="none"/>
              </w:rPr>
            </w:pPr>
            <w:r>
              <w:rPr>
                <w:rFonts w:hint="eastAsia" w:ascii="宋体" w:hAnsi="宋体"/>
                <w:snapToGrid w:val="0"/>
                <w:color w:val="000000"/>
                <w:szCs w:val="21"/>
                <w:highlight w:val="none"/>
              </w:rPr>
              <w:t>备注：</w:t>
            </w:r>
            <w:r>
              <w:rPr>
                <w:rFonts w:hint="eastAsia" w:ascii="宋体" w:hAnsi="宋体"/>
                <w:color w:val="000000"/>
                <w:kern w:val="0"/>
                <w:szCs w:val="21"/>
                <w:highlight w:val="none"/>
              </w:rPr>
              <w:t>最高评标限价</w:t>
            </w:r>
            <w:r>
              <w:rPr>
                <w:rFonts w:hint="eastAsia" w:ascii="宋体" w:hAnsi="宋体"/>
                <w:color w:val="000000"/>
                <w:szCs w:val="21"/>
                <w:highlight w:val="none"/>
              </w:rPr>
              <w:t>、评标基准价D四舍五入精确至个位整数元。</w:t>
            </w:r>
          </w:p>
          <w:p>
            <w:pPr>
              <w:spacing w:line="360" w:lineRule="exact"/>
              <w:ind w:firstLine="413" w:firstLineChars="196"/>
              <w:rPr>
                <w:rFonts w:hint="eastAsia" w:ascii="宋体" w:hAnsi="宋体"/>
                <w:b/>
                <w:color w:val="000000"/>
                <w:szCs w:val="21"/>
                <w:highlight w:val="none"/>
              </w:rPr>
            </w:pPr>
          </w:p>
          <w:p>
            <w:pPr>
              <w:spacing w:line="360" w:lineRule="exact"/>
              <w:ind w:firstLine="413" w:firstLineChars="196"/>
              <w:rPr>
                <w:rFonts w:hint="eastAsia" w:ascii="宋体" w:hAnsi="宋体"/>
                <w:b/>
                <w:color w:val="000000"/>
                <w:szCs w:val="21"/>
                <w:highlight w:val="none"/>
              </w:rPr>
            </w:pPr>
            <w:r>
              <w:rPr>
                <w:rFonts w:hint="eastAsia" w:ascii="宋体" w:hAnsi="宋体"/>
                <w:b/>
                <w:color w:val="000000"/>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pPr>
              <w:spacing w:line="360" w:lineRule="exact"/>
              <w:ind w:firstLine="551" w:firstLineChars="196"/>
              <w:rPr>
                <w:rFonts w:hint="eastAsia"/>
                <w:b/>
                <w:bCs/>
                <w:i w:val="0"/>
                <w:iCs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2" w:hRule="atLeast"/>
          <w:jc w:val="center"/>
        </w:trPr>
        <w:tc>
          <w:tcPr>
            <w:tcW w:w="741" w:type="dxa"/>
            <w:tcBorders>
              <w:top w:val="single" w:color="auto" w:sz="4" w:space="0"/>
              <w:bottom w:val="single" w:color="auto" w:sz="4" w:space="0"/>
              <w:right w:val="single" w:color="auto" w:sz="4" w:space="0"/>
            </w:tcBorders>
            <w:noWrap w:val="0"/>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2.2.3</w:t>
            </w:r>
          </w:p>
        </w:tc>
        <w:tc>
          <w:tcPr>
            <w:tcW w:w="891" w:type="dxa"/>
            <w:tcBorders>
              <w:top w:val="single" w:color="auto" w:sz="4" w:space="0"/>
              <w:bottom w:val="single" w:color="auto" w:sz="4" w:space="0"/>
              <w:right w:val="single" w:color="auto" w:sz="4" w:space="0"/>
            </w:tcBorders>
            <w:noWrap w:val="0"/>
            <w:vAlign w:val="center"/>
          </w:tcPr>
          <w:p>
            <w:pPr>
              <w:spacing w:line="360" w:lineRule="exact"/>
              <w:jc w:val="center"/>
              <w:rPr>
                <w:rFonts w:ascii="宋体" w:hAnsi="宋体"/>
                <w:color w:val="000000"/>
                <w:szCs w:val="21"/>
                <w:highlight w:val="none"/>
              </w:rPr>
            </w:pPr>
            <w:r>
              <w:rPr>
                <w:highlight w:val="none"/>
              </w:rPr>
              <w:t>偏差率计算公式</w:t>
            </w:r>
          </w:p>
        </w:tc>
        <w:tc>
          <w:tcPr>
            <w:tcW w:w="782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b/>
                <w:szCs w:val="21"/>
                <w:highlight w:val="none"/>
              </w:rPr>
            </w:pPr>
            <w:r>
              <w:rPr>
                <w:rFonts w:ascii="宋体" w:hAnsi="宋体"/>
                <w:color w:val="000000"/>
                <w:szCs w:val="21"/>
                <w:highlight w:val="none"/>
              </w:rPr>
              <w:t>偏差率=100% ×(投标人评标价－评标基准价)/评标基准价</w:t>
            </w:r>
          </w:p>
        </w:tc>
      </w:tr>
    </w:tbl>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ind w:left="0" w:leftChars="0" w:firstLine="0" w:firstLineChars="0"/>
      </w:pPr>
    </w:p>
    <w:p>
      <w:pPr>
        <w:pStyle w:val="3"/>
        <w:ind w:left="420" w:leftChars="200" w:firstLine="420" w:firstLineChars="0"/>
        <w:sectPr>
          <w:headerReference r:id="rId3" w:type="default"/>
          <w:footerReference r:id="rId4" w:type="default"/>
          <w:footnotePr>
            <w:numFmt w:val="decimalEnclosedCircleChinese"/>
            <w:numRestart w:val="eachPage"/>
          </w:footnotePr>
          <w:pgSz w:w="11906" w:h="16838"/>
          <w:pgMar w:top="1134" w:right="1457" w:bottom="1440" w:left="1457" w:header="851" w:footer="851" w:gutter="0"/>
          <w:pgNumType w:fmt="numberInDash" w:start="1"/>
          <w:cols w:space="720" w:num="1"/>
          <w:docGrid w:linePitch="312" w:charSpace="0"/>
        </w:sectPr>
      </w:pPr>
    </w:p>
    <w:p>
      <w:pPr>
        <w:pStyle w:val="3"/>
        <w:ind w:left="1260" w:leftChars="600" w:firstLine="420" w:firstLineChars="0"/>
        <w:jc w:val="right"/>
        <w:rPr>
          <w:rFonts w:hint="eastAsia" w:eastAsia="宋体"/>
          <w:lang w:val="en-US" w:eastAsia="zh-CN"/>
        </w:rPr>
      </w:pPr>
      <w:r>
        <w:rPr>
          <w:rFonts w:hint="eastAsia"/>
          <w:lang w:val="en-US" w:eastAsia="zh-CN"/>
        </w:rPr>
        <w:t>续上表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095"/>
        <w:gridCol w:w="1215"/>
        <w:gridCol w:w="1305"/>
        <w:gridCol w:w="900"/>
        <w:gridCol w:w="9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387" w:type="dxa"/>
            <w:gridSpan w:val="5"/>
            <w:tcBorders>
              <w:tl2br w:val="nil"/>
              <w:tr2bl w:val="nil"/>
            </w:tcBorders>
            <w:noWrap w:val="0"/>
            <w:vAlign w:val="center"/>
          </w:tcPr>
          <w:p>
            <w:pPr>
              <w:spacing w:line="400" w:lineRule="exact"/>
              <w:jc w:val="center"/>
              <w:rPr>
                <w:rFonts w:hint="eastAsia" w:ascii="宋体" w:hAnsi="宋体" w:cs="宋体"/>
                <w:b/>
                <w:bCs/>
                <w:color w:val="000000"/>
                <w:highlight w:val="none"/>
              </w:rPr>
            </w:pPr>
            <w:r>
              <w:rPr>
                <w:rFonts w:hint="eastAsia" w:ascii="宋体" w:hAnsi="宋体" w:cs="宋体"/>
                <w:b/>
                <w:bCs/>
                <w:color w:val="000000"/>
                <w:highlight w:val="none"/>
              </w:rPr>
              <w:t>评分因素与权重分值</w:t>
            </w:r>
          </w:p>
        </w:tc>
        <w:tc>
          <w:tcPr>
            <w:tcW w:w="9017" w:type="dxa"/>
            <w:vMerge w:val="restart"/>
            <w:tcBorders>
              <w:tl2br w:val="nil"/>
              <w:tr2bl w:val="nil"/>
            </w:tcBorders>
            <w:noWrap w:val="0"/>
            <w:vAlign w:val="center"/>
          </w:tcPr>
          <w:p>
            <w:pPr>
              <w:spacing w:line="400" w:lineRule="exact"/>
              <w:jc w:val="center"/>
              <w:rPr>
                <w:rFonts w:hint="eastAsia" w:ascii="宋体" w:hAnsi="宋体" w:cs="宋体"/>
                <w:b/>
                <w:bCs/>
                <w:color w:val="000000"/>
                <w:highlight w:val="none"/>
              </w:rPr>
            </w:pPr>
            <w:r>
              <w:rPr>
                <w:rFonts w:hint="eastAsia" w:ascii="宋体" w:hAnsi="宋体" w:cs="宋体"/>
                <w:b/>
                <w:bCs/>
                <w:color w:val="000000"/>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72" w:type="dxa"/>
            <w:tcBorders>
              <w:tl2br w:val="nil"/>
              <w:tr2bl w:val="nil"/>
            </w:tcBorders>
            <w:noWrap w:val="0"/>
            <w:vAlign w:val="center"/>
          </w:tcPr>
          <w:p>
            <w:pPr>
              <w:spacing w:line="400" w:lineRule="exact"/>
              <w:jc w:val="center"/>
              <w:rPr>
                <w:rFonts w:hint="eastAsia" w:ascii="宋体" w:hAnsi="宋体" w:cs="宋体"/>
                <w:b/>
                <w:bCs/>
                <w:color w:val="000000"/>
                <w:highlight w:val="none"/>
              </w:rPr>
            </w:pPr>
            <w:r>
              <w:rPr>
                <w:rFonts w:hint="eastAsia" w:ascii="宋体" w:hAnsi="宋体" w:cs="宋体"/>
                <w:b/>
                <w:bCs/>
                <w:color w:val="000000"/>
                <w:highlight w:val="none"/>
              </w:rPr>
              <w:t>条款号</w:t>
            </w:r>
          </w:p>
        </w:tc>
        <w:tc>
          <w:tcPr>
            <w:tcW w:w="1095" w:type="dxa"/>
            <w:tcBorders>
              <w:tl2br w:val="nil"/>
              <w:tr2bl w:val="nil"/>
            </w:tcBorders>
            <w:noWrap w:val="0"/>
            <w:vAlign w:val="center"/>
          </w:tcPr>
          <w:p>
            <w:pPr>
              <w:spacing w:line="400" w:lineRule="exact"/>
              <w:jc w:val="center"/>
              <w:rPr>
                <w:rFonts w:hint="eastAsia" w:ascii="宋体" w:hAnsi="宋体" w:cs="宋体"/>
                <w:b/>
                <w:bCs/>
                <w:color w:val="000000"/>
                <w:highlight w:val="none"/>
              </w:rPr>
            </w:pPr>
            <w:r>
              <w:rPr>
                <w:rFonts w:hint="eastAsia" w:ascii="宋体" w:hAnsi="宋体" w:cs="宋体"/>
                <w:b/>
                <w:bCs/>
                <w:color w:val="000000"/>
                <w:highlight w:val="none"/>
              </w:rPr>
              <w:t>评分因素</w:t>
            </w:r>
          </w:p>
        </w:tc>
        <w:tc>
          <w:tcPr>
            <w:tcW w:w="1215" w:type="dxa"/>
            <w:tcBorders>
              <w:tl2br w:val="nil"/>
              <w:tr2bl w:val="nil"/>
            </w:tcBorders>
            <w:noWrap w:val="0"/>
            <w:vAlign w:val="center"/>
          </w:tcPr>
          <w:p>
            <w:pPr>
              <w:spacing w:line="400" w:lineRule="exact"/>
              <w:jc w:val="center"/>
              <w:rPr>
                <w:rFonts w:hint="eastAsia" w:ascii="宋体" w:hAnsi="宋体" w:cs="宋体"/>
                <w:b/>
                <w:bCs/>
                <w:color w:val="000000"/>
                <w:highlight w:val="none"/>
              </w:rPr>
            </w:pPr>
            <w:r>
              <w:rPr>
                <w:rFonts w:hint="eastAsia" w:ascii="宋体" w:hAnsi="宋体" w:cs="宋体"/>
                <w:b/>
                <w:bCs/>
                <w:color w:val="000000"/>
                <w:highlight w:val="none"/>
              </w:rPr>
              <w:t>评分因素权重分值</w:t>
            </w:r>
          </w:p>
        </w:tc>
        <w:tc>
          <w:tcPr>
            <w:tcW w:w="1305" w:type="dxa"/>
            <w:tcBorders>
              <w:tl2br w:val="nil"/>
              <w:tr2bl w:val="nil"/>
            </w:tcBorders>
            <w:noWrap w:val="0"/>
            <w:vAlign w:val="center"/>
          </w:tcPr>
          <w:p>
            <w:pPr>
              <w:spacing w:line="400" w:lineRule="exact"/>
              <w:jc w:val="center"/>
              <w:rPr>
                <w:rFonts w:hint="eastAsia" w:ascii="宋体" w:hAnsi="宋体" w:cs="宋体"/>
                <w:b/>
                <w:bCs/>
                <w:color w:val="000000"/>
                <w:highlight w:val="none"/>
              </w:rPr>
            </w:pPr>
            <w:r>
              <w:rPr>
                <w:rFonts w:hint="eastAsia" w:ascii="宋体" w:hAnsi="宋体" w:cs="宋体"/>
                <w:b/>
                <w:bCs/>
                <w:color w:val="000000"/>
                <w:highlight w:val="none"/>
              </w:rPr>
              <w:t>各评分因素细分项</w:t>
            </w:r>
          </w:p>
        </w:tc>
        <w:tc>
          <w:tcPr>
            <w:tcW w:w="900" w:type="dxa"/>
            <w:tcBorders>
              <w:tl2br w:val="nil"/>
              <w:tr2bl w:val="nil"/>
            </w:tcBorders>
            <w:noWrap w:val="0"/>
            <w:vAlign w:val="center"/>
          </w:tcPr>
          <w:p>
            <w:pPr>
              <w:spacing w:line="400" w:lineRule="exact"/>
              <w:jc w:val="center"/>
              <w:rPr>
                <w:rFonts w:hint="eastAsia" w:ascii="宋体" w:hAnsi="宋体" w:cs="宋体"/>
                <w:b/>
                <w:bCs/>
                <w:color w:val="000000"/>
                <w:highlight w:val="none"/>
              </w:rPr>
            </w:pPr>
            <w:r>
              <w:rPr>
                <w:rFonts w:hint="eastAsia" w:ascii="宋体" w:hAnsi="宋体" w:cs="宋体"/>
                <w:b/>
                <w:bCs/>
                <w:color w:val="000000"/>
                <w:highlight w:val="none"/>
              </w:rPr>
              <w:t>分值</w:t>
            </w:r>
          </w:p>
        </w:tc>
        <w:tc>
          <w:tcPr>
            <w:tcW w:w="9017" w:type="dxa"/>
            <w:vMerge w:val="continue"/>
            <w:tcBorders>
              <w:tl2br w:val="nil"/>
              <w:tr2bl w:val="nil"/>
            </w:tcBorders>
            <w:noWrap w:val="0"/>
            <w:vAlign w:val="center"/>
          </w:tcPr>
          <w:p>
            <w:pPr>
              <w:spacing w:line="400" w:lineRule="exact"/>
              <w:jc w:val="center"/>
              <w:rPr>
                <w:rFonts w:hint="eastAsia" w:ascii="宋体" w:hAnsi="宋体" w:cs="宋体"/>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72" w:type="dxa"/>
            <w:vMerge w:val="restart"/>
            <w:tcBorders>
              <w:tl2br w:val="nil"/>
              <w:tr2bl w:val="nil"/>
            </w:tcBorders>
            <w:noWrap w:val="0"/>
            <w:vAlign w:val="center"/>
          </w:tcPr>
          <w:p>
            <w:pPr>
              <w:spacing w:line="400" w:lineRule="exact"/>
              <w:jc w:val="center"/>
              <w:rPr>
                <w:rFonts w:hint="eastAsia" w:ascii="宋体" w:hAnsi="宋体" w:cs="宋体"/>
                <w:color w:val="000000"/>
                <w:highlight w:val="none"/>
              </w:rPr>
            </w:pPr>
            <w:r>
              <w:rPr>
                <w:rFonts w:hint="eastAsia" w:ascii="宋体" w:hAnsi="宋体" w:cs="宋体"/>
                <w:color w:val="000000"/>
                <w:highlight w:val="none"/>
              </w:rPr>
              <w:t>2.2.4（1）</w:t>
            </w:r>
          </w:p>
        </w:tc>
        <w:tc>
          <w:tcPr>
            <w:tcW w:w="1095" w:type="dxa"/>
            <w:vMerge w:val="restart"/>
            <w:tcBorders>
              <w:tl2br w:val="nil"/>
              <w:tr2bl w:val="nil"/>
            </w:tcBorders>
            <w:noWrap w:val="0"/>
            <w:vAlign w:val="center"/>
          </w:tcPr>
          <w:p>
            <w:pPr>
              <w:spacing w:line="400" w:lineRule="exact"/>
              <w:jc w:val="center"/>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技术建议书</w:t>
            </w:r>
          </w:p>
        </w:tc>
        <w:tc>
          <w:tcPr>
            <w:tcW w:w="1215" w:type="dxa"/>
            <w:vMerge w:val="restart"/>
            <w:tcBorders>
              <w:tl2br w:val="nil"/>
              <w:tr2bl w:val="nil"/>
            </w:tcBorders>
            <w:noWrap w:val="0"/>
            <w:vAlign w:val="center"/>
          </w:tcPr>
          <w:p>
            <w:pPr>
              <w:spacing w:line="400" w:lineRule="exact"/>
              <w:jc w:val="center"/>
              <w:rPr>
                <w:rFonts w:hint="eastAsia" w:ascii="宋体" w:hAnsi="宋体" w:cs="宋体"/>
                <w:color w:val="000000"/>
                <w:highlight w:val="none"/>
              </w:rPr>
            </w:pPr>
            <w:r>
              <w:rPr>
                <w:rFonts w:hint="eastAsia" w:ascii="宋体" w:hAnsi="宋体" w:cs="宋体"/>
                <w:color w:val="000000"/>
                <w:highlight w:val="none"/>
                <w:lang w:val="en-US" w:eastAsia="zh-CN"/>
              </w:rPr>
              <w:t>30</w:t>
            </w:r>
            <w:r>
              <w:rPr>
                <w:rFonts w:hint="eastAsia" w:ascii="宋体" w:hAnsi="宋体" w:cs="宋体"/>
                <w:color w:val="000000"/>
                <w:highlight w:val="none"/>
              </w:rPr>
              <w:t>分</w:t>
            </w:r>
          </w:p>
        </w:tc>
        <w:tc>
          <w:tcPr>
            <w:tcW w:w="1305"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eastAsia="宋体" w:cs="Times New Roman"/>
                <w:b w:val="0"/>
                <w:bCs/>
                <w:color w:val="000000"/>
                <w:highlight w:val="none"/>
                <w:lang w:val="en-US" w:eastAsia="zh-CN"/>
              </w:rPr>
            </w:pPr>
            <w:r>
              <w:rPr>
                <w:rFonts w:hint="default" w:ascii="Times New Roman" w:hAnsi="Times New Roman" w:eastAsia="宋体" w:cs="Times New Roman"/>
                <w:b w:val="0"/>
                <w:bCs/>
                <w:color w:val="000000"/>
                <w:highlight w:val="none"/>
                <w:lang w:val="en-US" w:eastAsia="zh-CN"/>
              </w:rPr>
              <w:t>方案总体思路</w:t>
            </w:r>
          </w:p>
        </w:tc>
        <w:tc>
          <w:tcPr>
            <w:tcW w:w="900"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6分</w:t>
            </w:r>
          </w:p>
        </w:tc>
        <w:tc>
          <w:tcPr>
            <w:tcW w:w="9017" w:type="dxa"/>
            <w:tcBorders>
              <w:tl2br w:val="nil"/>
              <w:tr2bl w:val="nil"/>
            </w:tcBorders>
            <w:noWrap w:val="0"/>
            <w:vAlign w:val="center"/>
          </w:tcPr>
          <w:p>
            <w:pPr>
              <w:autoSpaceDE w:val="0"/>
              <w:autoSpaceDN w:val="0"/>
              <w:adjustRightInd w:val="0"/>
              <w:spacing w:line="360" w:lineRule="exact"/>
              <w:jc w:val="left"/>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（1）方案总体思路很好，内容完善，具有较强的可实施性，得4.8-6分；</w:t>
            </w:r>
          </w:p>
          <w:p>
            <w:pPr>
              <w:autoSpaceDE w:val="0"/>
              <w:autoSpaceDN w:val="0"/>
              <w:adjustRightInd w:val="0"/>
              <w:spacing w:line="360" w:lineRule="exact"/>
              <w:jc w:val="left"/>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（2）方案总体思路清晰，内容全面，具有一定的可实施性，得3.6-4.8分；</w:t>
            </w:r>
          </w:p>
          <w:p>
            <w:pPr>
              <w:autoSpaceDE w:val="0"/>
              <w:autoSpaceDN w:val="0"/>
              <w:adjustRightInd w:val="0"/>
              <w:spacing w:line="360" w:lineRule="exact"/>
              <w:jc w:val="left"/>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（3）方案总体思路一般，内容较全面，得起评分3.6分。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72" w:type="dxa"/>
            <w:vMerge w:val="continue"/>
            <w:tcBorders>
              <w:tl2br w:val="nil"/>
              <w:tr2bl w:val="nil"/>
            </w:tcBorders>
            <w:noWrap w:val="0"/>
            <w:vAlign w:val="top"/>
          </w:tcPr>
          <w:p>
            <w:pPr>
              <w:spacing w:line="400" w:lineRule="exact"/>
              <w:jc w:val="center"/>
              <w:rPr>
                <w:rFonts w:hint="eastAsia" w:ascii="宋体" w:hAnsi="宋体" w:cs="宋体"/>
                <w:color w:val="000000"/>
                <w:highlight w:val="none"/>
              </w:rPr>
            </w:pPr>
          </w:p>
        </w:tc>
        <w:tc>
          <w:tcPr>
            <w:tcW w:w="1095" w:type="dxa"/>
            <w:vMerge w:val="continue"/>
            <w:tcBorders>
              <w:tl2br w:val="nil"/>
              <w:tr2bl w:val="nil"/>
            </w:tcBorders>
            <w:noWrap w:val="0"/>
            <w:vAlign w:val="top"/>
          </w:tcPr>
          <w:p>
            <w:pPr>
              <w:spacing w:line="400" w:lineRule="exact"/>
              <w:jc w:val="center"/>
              <w:rPr>
                <w:rFonts w:hint="eastAsia" w:ascii="宋体" w:hAnsi="宋体" w:cs="宋体"/>
                <w:color w:val="000000"/>
                <w:highlight w:val="none"/>
              </w:rPr>
            </w:pPr>
          </w:p>
        </w:tc>
        <w:tc>
          <w:tcPr>
            <w:tcW w:w="1215" w:type="dxa"/>
            <w:vMerge w:val="continue"/>
            <w:tcBorders>
              <w:tl2br w:val="nil"/>
              <w:tr2bl w:val="nil"/>
            </w:tcBorders>
            <w:noWrap w:val="0"/>
            <w:vAlign w:val="top"/>
          </w:tcPr>
          <w:p>
            <w:pPr>
              <w:spacing w:line="400" w:lineRule="exact"/>
              <w:jc w:val="center"/>
              <w:rPr>
                <w:rFonts w:hint="eastAsia" w:ascii="宋体" w:hAnsi="宋体" w:cs="宋体"/>
                <w:color w:val="000000"/>
                <w:highlight w:val="none"/>
              </w:rPr>
            </w:pPr>
          </w:p>
        </w:tc>
        <w:tc>
          <w:tcPr>
            <w:tcW w:w="1305"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监测技术方案</w:t>
            </w:r>
          </w:p>
        </w:tc>
        <w:tc>
          <w:tcPr>
            <w:tcW w:w="900" w:type="dxa"/>
            <w:tcBorders>
              <w:tl2br w:val="nil"/>
              <w:tr2bl w:val="nil"/>
            </w:tcBorders>
            <w:noWrap w:val="0"/>
            <w:vAlign w:val="center"/>
          </w:tcPr>
          <w:p>
            <w:pPr>
              <w:autoSpaceDE w:val="0"/>
              <w:autoSpaceDN w:val="0"/>
              <w:adjustRightInd w:val="0"/>
              <w:spacing w:line="360" w:lineRule="exact"/>
              <w:jc w:val="center"/>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6分</w:t>
            </w:r>
          </w:p>
        </w:tc>
        <w:tc>
          <w:tcPr>
            <w:tcW w:w="9017" w:type="dxa"/>
            <w:tcBorders>
              <w:tl2br w:val="nil"/>
              <w:tr2bl w:val="nil"/>
            </w:tcBorders>
            <w:noWrap w:val="0"/>
            <w:vAlign w:val="center"/>
          </w:tcPr>
          <w:p>
            <w:pPr>
              <w:autoSpaceDE w:val="0"/>
              <w:autoSpaceDN w:val="0"/>
              <w:adjustRightInd w:val="0"/>
              <w:spacing w:line="360" w:lineRule="exact"/>
              <w:jc w:val="left"/>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（1）监测方法内容全面、准确，监测技术方案很好，具有较强针对性，得4.8-6分；</w:t>
            </w:r>
          </w:p>
          <w:p>
            <w:pPr>
              <w:autoSpaceDE w:val="0"/>
              <w:autoSpaceDN w:val="0"/>
              <w:adjustRightInd w:val="0"/>
              <w:spacing w:line="360" w:lineRule="exact"/>
              <w:jc w:val="left"/>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（2）监测方法内容全面、准确，监测技术方案总体较好，得3.6-4.8分；</w:t>
            </w:r>
          </w:p>
          <w:p>
            <w:pPr>
              <w:autoSpaceDE w:val="0"/>
              <w:autoSpaceDN w:val="0"/>
              <w:adjustRightInd w:val="0"/>
              <w:spacing w:line="360" w:lineRule="exact"/>
              <w:jc w:val="left"/>
              <w:rPr>
                <w:rFonts w:hint="default"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（3）监测方法和监测技术方案套用标准准确，内容全面，得起评分3.6分。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72" w:type="dxa"/>
            <w:vMerge w:val="continue"/>
            <w:tcBorders>
              <w:tl2br w:val="nil"/>
              <w:tr2bl w:val="nil"/>
            </w:tcBorders>
            <w:noWrap w:val="0"/>
            <w:vAlign w:val="top"/>
          </w:tcPr>
          <w:p>
            <w:pPr>
              <w:spacing w:line="400" w:lineRule="exact"/>
              <w:jc w:val="center"/>
              <w:rPr>
                <w:rFonts w:hint="eastAsia" w:ascii="宋体" w:hAnsi="宋体" w:cs="宋体"/>
                <w:color w:val="000000"/>
                <w:highlight w:val="none"/>
              </w:rPr>
            </w:pPr>
          </w:p>
        </w:tc>
        <w:tc>
          <w:tcPr>
            <w:tcW w:w="1095" w:type="dxa"/>
            <w:vMerge w:val="continue"/>
            <w:tcBorders>
              <w:tl2br w:val="nil"/>
              <w:tr2bl w:val="nil"/>
            </w:tcBorders>
            <w:noWrap w:val="0"/>
            <w:vAlign w:val="top"/>
          </w:tcPr>
          <w:p>
            <w:pPr>
              <w:spacing w:line="400" w:lineRule="exact"/>
              <w:jc w:val="center"/>
              <w:rPr>
                <w:rFonts w:hint="eastAsia" w:ascii="宋体" w:hAnsi="宋体" w:cs="宋体"/>
                <w:color w:val="000000"/>
                <w:highlight w:val="none"/>
              </w:rPr>
            </w:pPr>
          </w:p>
        </w:tc>
        <w:tc>
          <w:tcPr>
            <w:tcW w:w="1215" w:type="dxa"/>
            <w:vMerge w:val="continue"/>
            <w:tcBorders>
              <w:tl2br w:val="nil"/>
              <w:tr2bl w:val="nil"/>
            </w:tcBorders>
            <w:noWrap w:val="0"/>
            <w:vAlign w:val="top"/>
          </w:tcPr>
          <w:p>
            <w:pPr>
              <w:spacing w:line="400" w:lineRule="exact"/>
              <w:jc w:val="center"/>
              <w:rPr>
                <w:rFonts w:hint="eastAsia" w:ascii="宋体" w:hAnsi="宋体" w:cs="宋体"/>
                <w:color w:val="000000"/>
                <w:highlight w:val="none"/>
              </w:rPr>
            </w:pPr>
          </w:p>
        </w:tc>
        <w:tc>
          <w:tcPr>
            <w:tcW w:w="1305" w:type="dxa"/>
            <w:tcBorders>
              <w:tl2br w:val="nil"/>
              <w:tr2bl w:val="nil"/>
            </w:tcBorders>
            <w:noWrap w:val="0"/>
            <w:vAlign w:val="center"/>
          </w:tcPr>
          <w:p>
            <w:pPr>
              <w:autoSpaceDE w:val="0"/>
              <w:autoSpaceDN w:val="0"/>
              <w:adjustRightInd w:val="0"/>
              <w:spacing w:line="360" w:lineRule="exact"/>
              <w:jc w:val="center"/>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质量和进度保证措施</w:t>
            </w:r>
          </w:p>
        </w:tc>
        <w:tc>
          <w:tcPr>
            <w:tcW w:w="900" w:type="dxa"/>
            <w:tcBorders>
              <w:tl2br w:val="nil"/>
              <w:tr2bl w:val="nil"/>
            </w:tcBorders>
            <w:noWrap w:val="0"/>
            <w:vAlign w:val="center"/>
          </w:tcPr>
          <w:p>
            <w:pPr>
              <w:autoSpaceDE w:val="0"/>
              <w:autoSpaceDN w:val="0"/>
              <w:adjustRightInd w:val="0"/>
              <w:spacing w:line="360" w:lineRule="exact"/>
              <w:jc w:val="center"/>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6分</w:t>
            </w:r>
          </w:p>
        </w:tc>
        <w:tc>
          <w:tcPr>
            <w:tcW w:w="9017" w:type="dxa"/>
            <w:tcBorders>
              <w:tl2br w:val="nil"/>
              <w:tr2bl w:val="nil"/>
            </w:tcBorders>
            <w:noWrap w:val="0"/>
            <w:vAlign w:val="center"/>
          </w:tcPr>
          <w:p>
            <w:pPr>
              <w:autoSpaceDE w:val="0"/>
              <w:autoSpaceDN w:val="0"/>
              <w:adjustRightInd w:val="0"/>
              <w:spacing w:line="360" w:lineRule="exact"/>
              <w:jc w:val="left"/>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（1）质量和进度保证措施很好，考虑问题周密、完善，科学合理，得4.8-6分；</w:t>
            </w:r>
          </w:p>
          <w:p>
            <w:pPr>
              <w:autoSpaceDE w:val="0"/>
              <w:autoSpaceDN w:val="0"/>
              <w:adjustRightInd w:val="0"/>
              <w:spacing w:line="360" w:lineRule="exact"/>
              <w:jc w:val="left"/>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（2）质量和进度保证措施较好，措施到位、计划科学合理，得3.6-4.8分；</w:t>
            </w:r>
          </w:p>
          <w:p>
            <w:pPr>
              <w:autoSpaceDE w:val="0"/>
              <w:autoSpaceDN w:val="0"/>
              <w:adjustRightInd w:val="0"/>
              <w:spacing w:line="360" w:lineRule="exact"/>
              <w:jc w:val="left"/>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（3）质量和进度保证措施内容一般，基本可行，得起评分3.6分。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72" w:type="dxa"/>
            <w:vMerge w:val="continue"/>
            <w:tcBorders>
              <w:tl2br w:val="nil"/>
              <w:tr2bl w:val="nil"/>
            </w:tcBorders>
            <w:noWrap w:val="0"/>
            <w:vAlign w:val="top"/>
          </w:tcPr>
          <w:p>
            <w:pPr>
              <w:spacing w:line="400" w:lineRule="exact"/>
              <w:jc w:val="center"/>
              <w:rPr>
                <w:rFonts w:hint="eastAsia" w:ascii="宋体" w:hAnsi="宋体" w:cs="宋体"/>
                <w:color w:val="000000"/>
                <w:highlight w:val="none"/>
              </w:rPr>
            </w:pPr>
          </w:p>
        </w:tc>
        <w:tc>
          <w:tcPr>
            <w:tcW w:w="1095" w:type="dxa"/>
            <w:vMerge w:val="continue"/>
            <w:tcBorders>
              <w:tl2br w:val="nil"/>
              <w:tr2bl w:val="nil"/>
            </w:tcBorders>
            <w:noWrap w:val="0"/>
            <w:vAlign w:val="top"/>
          </w:tcPr>
          <w:p>
            <w:pPr>
              <w:spacing w:line="400" w:lineRule="exact"/>
              <w:jc w:val="center"/>
              <w:rPr>
                <w:rFonts w:hint="eastAsia" w:ascii="宋体" w:hAnsi="宋体" w:cs="宋体"/>
                <w:color w:val="000000"/>
                <w:highlight w:val="none"/>
              </w:rPr>
            </w:pPr>
          </w:p>
        </w:tc>
        <w:tc>
          <w:tcPr>
            <w:tcW w:w="1215" w:type="dxa"/>
            <w:vMerge w:val="continue"/>
            <w:tcBorders>
              <w:tl2br w:val="nil"/>
              <w:tr2bl w:val="nil"/>
            </w:tcBorders>
            <w:noWrap w:val="0"/>
            <w:vAlign w:val="top"/>
          </w:tcPr>
          <w:p>
            <w:pPr>
              <w:spacing w:line="400" w:lineRule="exact"/>
              <w:jc w:val="center"/>
              <w:rPr>
                <w:rFonts w:hint="eastAsia" w:ascii="宋体" w:hAnsi="宋体" w:cs="宋体"/>
                <w:color w:val="000000"/>
                <w:highlight w:val="none"/>
              </w:rPr>
            </w:pPr>
          </w:p>
        </w:tc>
        <w:tc>
          <w:tcPr>
            <w:tcW w:w="1305" w:type="dxa"/>
            <w:tcBorders>
              <w:tl2br w:val="nil"/>
              <w:tr2bl w:val="nil"/>
            </w:tcBorders>
            <w:noWrap w:val="0"/>
            <w:vAlign w:val="center"/>
          </w:tcPr>
          <w:p>
            <w:pPr>
              <w:autoSpaceDE w:val="0"/>
              <w:autoSpaceDN w:val="0"/>
              <w:adjustRightInd w:val="0"/>
              <w:spacing w:line="360" w:lineRule="exact"/>
              <w:jc w:val="center"/>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交通维护方案及安全保证措施</w:t>
            </w:r>
          </w:p>
        </w:tc>
        <w:tc>
          <w:tcPr>
            <w:tcW w:w="900" w:type="dxa"/>
            <w:tcBorders>
              <w:tl2br w:val="nil"/>
              <w:tr2bl w:val="nil"/>
            </w:tcBorders>
            <w:noWrap w:val="0"/>
            <w:vAlign w:val="center"/>
          </w:tcPr>
          <w:p>
            <w:pPr>
              <w:autoSpaceDE w:val="0"/>
              <w:autoSpaceDN w:val="0"/>
              <w:adjustRightInd w:val="0"/>
              <w:spacing w:line="360" w:lineRule="exact"/>
              <w:jc w:val="center"/>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6分</w:t>
            </w:r>
          </w:p>
        </w:tc>
        <w:tc>
          <w:tcPr>
            <w:tcW w:w="9017" w:type="dxa"/>
            <w:tcBorders>
              <w:tl2br w:val="nil"/>
              <w:tr2bl w:val="nil"/>
            </w:tcBorders>
            <w:noWrap w:val="0"/>
            <w:vAlign w:val="center"/>
          </w:tcPr>
          <w:p>
            <w:pPr>
              <w:autoSpaceDE w:val="0"/>
              <w:autoSpaceDN w:val="0"/>
              <w:adjustRightInd w:val="0"/>
              <w:spacing w:line="360" w:lineRule="exact"/>
              <w:jc w:val="left"/>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（1）交通维护方案及安全保证措施很好，得4.8-6分；</w:t>
            </w:r>
          </w:p>
          <w:p>
            <w:pPr>
              <w:autoSpaceDE w:val="0"/>
              <w:autoSpaceDN w:val="0"/>
              <w:adjustRightInd w:val="0"/>
              <w:spacing w:line="360" w:lineRule="exact"/>
              <w:jc w:val="left"/>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（2）交通维护方案及安全保证措施较好，得3.6-4.8分；</w:t>
            </w:r>
          </w:p>
          <w:p>
            <w:pPr>
              <w:autoSpaceDE w:val="0"/>
              <w:autoSpaceDN w:val="0"/>
              <w:adjustRightInd w:val="0"/>
              <w:spacing w:line="360" w:lineRule="exact"/>
              <w:jc w:val="left"/>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（3）交通维护方案及安全保证措施一般，得起评分3.6分。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72" w:type="dxa"/>
            <w:vMerge w:val="continue"/>
            <w:tcBorders>
              <w:tl2br w:val="nil"/>
              <w:tr2bl w:val="nil"/>
            </w:tcBorders>
            <w:noWrap w:val="0"/>
            <w:vAlign w:val="top"/>
          </w:tcPr>
          <w:p>
            <w:pPr>
              <w:spacing w:line="400" w:lineRule="exact"/>
              <w:jc w:val="center"/>
              <w:rPr>
                <w:rFonts w:hint="eastAsia" w:ascii="宋体" w:hAnsi="宋体" w:cs="宋体"/>
                <w:color w:val="000000"/>
                <w:highlight w:val="none"/>
              </w:rPr>
            </w:pPr>
          </w:p>
        </w:tc>
        <w:tc>
          <w:tcPr>
            <w:tcW w:w="1095" w:type="dxa"/>
            <w:vMerge w:val="continue"/>
            <w:tcBorders>
              <w:tl2br w:val="nil"/>
              <w:tr2bl w:val="nil"/>
            </w:tcBorders>
            <w:noWrap w:val="0"/>
            <w:vAlign w:val="top"/>
          </w:tcPr>
          <w:p>
            <w:pPr>
              <w:spacing w:line="400" w:lineRule="exact"/>
              <w:jc w:val="center"/>
              <w:rPr>
                <w:rFonts w:hint="eastAsia" w:ascii="宋体" w:hAnsi="宋体" w:cs="宋体"/>
                <w:color w:val="000000"/>
                <w:highlight w:val="none"/>
              </w:rPr>
            </w:pPr>
          </w:p>
        </w:tc>
        <w:tc>
          <w:tcPr>
            <w:tcW w:w="1215" w:type="dxa"/>
            <w:vMerge w:val="continue"/>
            <w:tcBorders>
              <w:tl2br w:val="nil"/>
              <w:tr2bl w:val="nil"/>
            </w:tcBorders>
            <w:noWrap w:val="0"/>
            <w:vAlign w:val="top"/>
          </w:tcPr>
          <w:p>
            <w:pPr>
              <w:spacing w:line="400" w:lineRule="exact"/>
              <w:jc w:val="center"/>
              <w:rPr>
                <w:rFonts w:hint="eastAsia" w:ascii="宋体" w:hAnsi="宋体" w:cs="宋体"/>
                <w:color w:val="000000"/>
                <w:highlight w:val="none"/>
              </w:rPr>
            </w:pPr>
          </w:p>
        </w:tc>
        <w:tc>
          <w:tcPr>
            <w:tcW w:w="1305"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后续服务及建议</w:t>
            </w:r>
          </w:p>
        </w:tc>
        <w:tc>
          <w:tcPr>
            <w:tcW w:w="900" w:type="dxa"/>
            <w:tcBorders>
              <w:tl2br w:val="nil"/>
              <w:tr2bl w:val="nil"/>
            </w:tcBorders>
            <w:noWrap w:val="0"/>
            <w:vAlign w:val="center"/>
          </w:tcPr>
          <w:p>
            <w:pPr>
              <w:autoSpaceDE w:val="0"/>
              <w:autoSpaceDN w:val="0"/>
              <w:adjustRightInd w:val="0"/>
              <w:spacing w:line="360" w:lineRule="exact"/>
              <w:jc w:val="center"/>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6分</w:t>
            </w:r>
          </w:p>
        </w:tc>
        <w:tc>
          <w:tcPr>
            <w:tcW w:w="9017" w:type="dxa"/>
            <w:tcBorders>
              <w:tl2br w:val="nil"/>
              <w:tr2bl w:val="nil"/>
            </w:tcBorders>
            <w:noWrap w:val="0"/>
            <w:vAlign w:val="center"/>
          </w:tcPr>
          <w:p>
            <w:pPr>
              <w:autoSpaceDE w:val="0"/>
              <w:autoSpaceDN w:val="0"/>
              <w:adjustRightInd w:val="0"/>
              <w:spacing w:line="360" w:lineRule="exact"/>
              <w:jc w:val="left"/>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（1）后续服务及建议很好，对项目重点难点分析到位，建议具有较强的实用性，得4.8-6分；</w:t>
            </w:r>
          </w:p>
          <w:p>
            <w:pPr>
              <w:autoSpaceDE w:val="0"/>
              <w:autoSpaceDN w:val="0"/>
              <w:adjustRightInd w:val="0"/>
              <w:spacing w:line="360" w:lineRule="exact"/>
              <w:jc w:val="left"/>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（2）后续服务及建议具有较强的针对性，对项目重点难点了解较清楚，建议可行，得3.6-4.8分；</w:t>
            </w:r>
          </w:p>
          <w:p>
            <w:pPr>
              <w:autoSpaceDE w:val="0"/>
              <w:autoSpaceDN w:val="0"/>
              <w:adjustRightInd w:val="0"/>
              <w:spacing w:line="360" w:lineRule="exact"/>
              <w:jc w:val="left"/>
              <w:rPr>
                <w:rFonts w:hint="default"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（3）后续服务及建议一般，对项目有一定了解，但针对性不够强，得起评分3.6分。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72" w:type="dxa"/>
            <w:vMerge w:val="restart"/>
            <w:tcBorders>
              <w:tl2br w:val="nil"/>
              <w:tr2bl w:val="nil"/>
            </w:tcBorders>
            <w:noWrap w:val="0"/>
            <w:vAlign w:val="center"/>
          </w:tcPr>
          <w:p>
            <w:pPr>
              <w:spacing w:line="400" w:lineRule="exact"/>
              <w:jc w:val="center"/>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2.2.4（2）</w:t>
            </w:r>
          </w:p>
        </w:tc>
        <w:tc>
          <w:tcPr>
            <w:tcW w:w="1095" w:type="dxa"/>
            <w:vMerge w:val="restart"/>
            <w:tcBorders>
              <w:tl2br w:val="nil"/>
              <w:tr2bl w:val="nil"/>
            </w:tcBorders>
            <w:noWrap w:val="0"/>
            <w:vAlign w:val="center"/>
          </w:tcPr>
          <w:p>
            <w:pPr>
              <w:spacing w:line="400" w:lineRule="exact"/>
              <w:jc w:val="center"/>
              <w:rPr>
                <w:rFonts w:hint="default" w:hAnsi="宋体" w:eastAsia="宋体"/>
                <w:color w:val="auto"/>
                <w:sz w:val="21"/>
                <w:szCs w:val="18"/>
                <w:lang w:val="en-US" w:eastAsia="zh-CN"/>
              </w:rPr>
            </w:pPr>
            <w:r>
              <w:rPr>
                <w:rFonts w:hint="eastAsia" w:hAnsi="宋体" w:eastAsia="宋体"/>
                <w:color w:val="auto"/>
                <w:sz w:val="21"/>
                <w:szCs w:val="18"/>
                <w:lang w:val="en-US" w:eastAsia="zh-CN"/>
              </w:rPr>
              <w:t>主要人员</w:t>
            </w:r>
          </w:p>
        </w:tc>
        <w:tc>
          <w:tcPr>
            <w:tcW w:w="1215" w:type="dxa"/>
            <w:vMerge w:val="restart"/>
            <w:tcBorders>
              <w:tl2br w:val="nil"/>
              <w:tr2bl w:val="nil"/>
            </w:tcBorders>
            <w:noWrap w:val="0"/>
            <w:vAlign w:val="center"/>
          </w:tcPr>
          <w:p>
            <w:pPr>
              <w:spacing w:line="400" w:lineRule="exact"/>
              <w:jc w:val="center"/>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20分</w:t>
            </w:r>
          </w:p>
        </w:tc>
        <w:tc>
          <w:tcPr>
            <w:tcW w:w="1305"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项目负责人</w:t>
            </w:r>
          </w:p>
        </w:tc>
        <w:tc>
          <w:tcPr>
            <w:tcW w:w="900"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10分</w:t>
            </w:r>
          </w:p>
        </w:tc>
        <w:tc>
          <w:tcPr>
            <w:tcW w:w="9017" w:type="dxa"/>
            <w:tcBorders>
              <w:tl2br w:val="nil"/>
              <w:tr2bl w:val="nil"/>
            </w:tcBorders>
            <w:noWrap w:val="0"/>
            <w:vAlign w:val="center"/>
          </w:tcPr>
          <w:p>
            <w:pPr>
              <w:autoSpaceDE w:val="0"/>
              <w:autoSpaceDN w:val="0"/>
              <w:adjustRightInd w:val="0"/>
              <w:spacing w:line="360" w:lineRule="exact"/>
              <w:jc w:val="left"/>
              <w:rPr>
                <w:rFonts w:hint="eastAsia"/>
                <w:highlight w:val="none"/>
                <w:lang w:val="en-US" w:eastAsia="zh-CN"/>
              </w:rPr>
            </w:pPr>
            <w:r>
              <w:rPr>
                <w:rFonts w:hint="eastAsia"/>
                <w:highlight w:val="none"/>
                <w:lang w:val="en-US" w:eastAsia="zh-CN"/>
              </w:rPr>
              <w:t>满足资格审查条件，得基本分6分；此外，在满足资格审查最低条件基础上：</w:t>
            </w:r>
          </w:p>
          <w:p>
            <w:pPr>
              <w:autoSpaceDE w:val="0"/>
              <w:autoSpaceDN w:val="0"/>
              <w:adjustRightInd w:val="0"/>
              <w:spacing w:line="360" w:lineRule="exact"/>
              <w:jc w:val="left"/>
              <w:rPr>
                <w:rFonts w:hint="eastAsia"/>
                <w:highlight w:val="none"/>
                <w:lang w:val="en-US" w:eastAsia="zh-CN"/>
              </w:rPr>
            </w:pPr>
            <w:r>
              <w:rPr>
                <w:rFonts w:hint="eastAsia"/>
                <w:highlight w:val="none"/>
                <w:lang w:val="en-US" w:eastAsia="zh-CN"/>
              </w:rPr>
              <w:t>（1）项目负责人每增加一个营运高速公路桥梁监测项目负责人（或项目总负责人</w:t>
            </w:r>
            <w:r>
              <w:rPr>
                <w:rFonts w:hint="eastAsia" w:ascii="宋体" w:hAnsi="宋体" w:eastAsia="宋体" w:cs="宋体"/>
                <w:highlight w:val="none"/>
              </w:rPr>
              <w:t>或项目</w:t>
            </w:r>
            <w:r>
              <w:rPr>
                <w:rFonts w:hint="eastAsia" w:ascii="宋体" w:hAnsi="宋体" w:eastAsia="宋体" w:cs="宋体"/>
                <w:highlight w:val="none"/>
                <w:lang w:val="en-US" w:eastAsia="zh-CN"/>
              </w:rPr>
              <w:t>总</w:t>
            </w:r>
            <w:r>
              <w:rPr>
                <w:rFonts w:hint="eastAsia" w:ascii="宋体" w:hAnsi="宋体" w:eastAsia="宋体" w:cs="宋体"/>
                <w:highlight w:val="none"/>
              </w:rPr>
              <w:t>技术负责人或项目技术负责人</w:t>
            </w:r>
            <w:r>
              <w:rPr>
                <w:rFonts w:hint="eastAsia"/>
                <w:highlight w:val="none"/>
                <w:lang w:val="en-US" w:eastAsia="zh-CN"/>
              </w:rPr>
              <w:t>）业绩的加1分，最高加2分；</w:t>
            </w:r>
          </w:p>
          <w:p>
            <w:pPr>
              <w:autoSpaceDE w:val="0"/>
              <w:autoSpaceDN w:val="0"/>
              <w:adjustRightInd w:val="0"/>
              <w:spacing w:line="360" w:lineRule="exact"/>
              <w:jc w:val="left"/>
              <w:rPr>
                <w:rFonts w:hint="eastAsia"/>
                <w:highlight w:val="none"/>
                <w:lang w:val="en-US" w:eastAsia="zh-CN"/>
              </w:rPr>
            </w:pPr>
            <w:r>
              <w:rPr>
                <w:rFonts w:hint="eastAsia"/>
                <w:highlight w:val="none"/>
                <w:lang w:val="en-US" w:eastAsia="zh-CN"/>
              </w:rPr>
              <w:t>（2）项目负责人具有注册一级结构工程师及注册土木工程师（道路工程）执业资格的，或有参与编制交通运输部颁布的现行道路桥梁检测评定标准或规程（适用营运类）的，加2分，最高加2分。</w:t>
            </w:r>
          </w:p>
          <w:p>
            <w:pPr>
              <w:pStyle w:val="3"/>
              <w:ind w:left="0" w:leftChars="0" w:firstLine="360" w:firstLineChars="200"/>
              <w:rPr>
                <w:rFonts w:hint="default"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sz w:val="18"/>
                <w:szCs w:val="18"/>
                <w:highlight w:val="none"/>
                <w:lang w:val="en-US" w:eastAsia="zh-CN"/>
              </w:rPr>
              <w:t>注：应提供相关的证明材料。业绩及执业资格加分证明材料参照“附件：资格审查条件- -附录4资格审查条件（项目负责人和技术负责人最低要求）”的规定提交。参与编制交通运输部颁布的现行道路桥梁检测评定标准或规程（适用营运类）的，须提供“评定标准或规程”的封面及编写人员等能够证明的页面作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72" w:type="dxa"/>
            <w:vMerge w:val="continue"/>
            <w:tcBorders>
              <w:tl2br w:val="nil"/>
              <w:tr2bl w:val="nil"/>
            </w:tcBorders>
            <w:noWrap w:val="0"/>
            <w:vAlign w:val="center"/>
          </w:tcPr>
          <w:p>
            <w:pPr>
              <w:spacing w:line="400" w:lineRule="exact"/>
              <w:jc w:val="center"/>
              <w:rPr>
                <w:rFonts w:hint="eastAsia" w:ascii="宋体" w:hAnsi="宋体" w:eastAsia="宋体" w:cs="宋体"/>
                <w:color w:val="000000"/>
                <w:highlight w:val="none"/>
                <w:lang w:val="en-US" w:eastAsia="zh-CN"/>
              </w:rPr>
            </w:pPr>
          </w:p>
        </w:tc>
        <w:tc>
          <w:tcPr>
            <w:tcW w:w="1095" w:type="dxa"/>
            <w:vMerge w:val="continue"/>
            <w:tcBorders>
              <w:tl2br w:val="nil"/>
              <w:tr2bl w:val="nil"/>
            </w:tcBorders>
            <w:noWrap w:val="0"/>
            <w:vAlign w:val="center"/>
          </w:tcPr>
          <w:p>
            <w:pPr>
              <w:spacing w:line="400" w:lineRule="exact"/>
              <w:jc w:val="center"/>
              <w:rPr>
                <w:rFonts w:hint="eastAsia" w:hAnsi="宋体" w:eastAsia="宋体"/>
                <w:color w:val="auto"/>
                <w:sz w:val="21"/>
                <w:szCs w:val="18"/>
                <w:lang w:val="en-US" w:eastAsia="zh-CN"/>
              </w:rPr>
            </w:pPr>
          </w:p>
        </w:tc>
        <w:tc>
          <w:tcPr>
            <w:tcW w:w="1215" w:type="dxa"/>
            <w:vMerge w:val="continue"/>
            <w:tcBorders>
              <w:tl2br w:val="nil"/>
              <w:tr2bl w:val="nil"/>
            </w:tcBorders>
            <w:noWrap w:val="0"/>
            <w:vAlign w:val="center"/>
          </w:tcPr>
          <w:p>
            <w:pPr>
              <w:spacing w:line="400" w:lineRule="exact"/>
              <w:jc w:val="center"/>
              <w:rPr>
                <w:rFonts w:hint="eastAsia" w:ascii="宋体" w:hAnsi="宋体" w:eastAsia="宋体" w:cs="宋体"/>
                <w:color w:val="000000"/>
                <w:highlight w:val="none"/>
                <w:lang w:val="en-US" w:eastAsia="zh-CN"/>
              </w:rPr>
            </w:pPr>
          </w:p>
        </w:tc>
        <w:tc>
          <w:tcPr>
            <w:tcW w:w="1305"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项目技术负责人</w:t>
            </w:r>
          </w:p>
        </w:tc>
        <w:tc>
          <w:tcPr>
            <w:tcW w:w="900"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10分</w:t>
            </w:r>
          </w:p>
        </w:tc>
        <w:tc>
          <w:tcPr>
            <w:tcW w:w="9017" w:type="dxa"/>
            <w:tcBorders>
              <w:tl2br w:val="nil"/>
              <w:tr2bl w:val="nil"/>
            </w:tcBorders>
            <w:noWrap w:val="0"/>
            <w:vAlign w:val="center"/>
          </w:tcPr>
          <w:p>
            <w:pPr>
              <w:autoSpaceDE w:val="0"/>
              <w:autoSpaceDN w:val="0"/>
              <w:adjustRightInd w:val="0"/>
              <w:spacing w:line="360" w:lineRule="exact"/>
              <w:jc w:val="left"/>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满足资格审查条件，得基本分6分；此外，在满足资格审查最低条件基础上：技术负责人每增加一个营运高速公路桥梁监测项目技术负责人（或项目总技术负责人</w:t>
            </w:r>
            <w:r>
              <w:rPr>
                <w:rFonts w:hint="eastAsia" w:ascii="宋体" w:hAnsi="宋体" w:eastAsia="宋体" w:cs="宋体"/>
                <w:highlight w:val="none"/>
              </w:rPr>
              <w:t>或项目</w:t>
            </w:r>
            <w:r>
              <w:rPr>
                <w:rFonts w:hint="eastAsia" w:ascii="宋体" w:hAnsi="宋体" w:eastAsia="宋体" w:cs="宋体"/>
                <w:highlight w:val="none"/>
                <w:lang w:val="en-US" w:eastAsia="zh-CN"/>
              </w:rPr>
              <w:t>总</w:t>
            </w:r>
            <w:r>
              <w:rPr>
                <w:rFonts w:hint="eastAsia" w:ascii="宋体" w:hAnsi="宋体" w:eastAsia="宋体" w:cs="宋体"/>
                <w:highlight w:val="none"/>
              </w:rPr>
              <w:t>负责人</w:t>
            </w:r>
            <w:r>
              <w:rPr>
                <w:rFonts w:hint="eastAsia" w:ascii="宋体" w:hAnsi="宋体" w:eastAsia="宋体" w:cs="宋体"/>
                <w:szCs w:val="21"/>
                <w:highlight w:val="none"/>
                <w:lang w:val="en-US" w:eastAsia="zh-CN"/>
              </w:rPr>
              <w:t>或</w:t>
            </w:r>
            <w:r>
              <w:rPr>
                <w:rFonts w:hint="eastAsia" w:ascii="宋体" w:hAnsi="宋体" w:eastAsia="宋体" w:cs="宋体"/>
                <w:highlight w:val="none"/>
              </w:rPr>
              <w:t>项目负责人</w:t>
            </w:r>
            <w:r>
              <w:rPr>
                <w:rFonts w:hint="eastAsia" w:ascii="Times New Roman" w:hAnsi="Times New Roman" w:eastAsia="宋体" w:cs="Times New Roman"/>
                <w:b w:val="0"/>
                <w:bCs/>
                <w:color w:val="000000"/>
                <w:highlight w:val="none"/>
                <w:lang w:val="en-US" w:eastAsia="zh-CN"/>
              </w:rPr>
              <w:t>）业绩的加1分，最高加4分。</w:t>
            </w:r>
          </w:p>
          <w:p>
            <w:pPr>
              <w:autoSpaceDE w:val="0"/>
              <w:autoSpaceDN w:val="0"/>
              <w:adjustRightInd w:val="0"/>
              <w:spacing w:line="360" w:lineRule="exact"/>
              <w:ind w:firstLine="360" w:firstLineChars="200"/>
              <w:jc w:val="left"/>
              <w:rPr>
                <w:rFonts w:hint="default"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sz w:val="18"/>
                <w:szCs w:val="18"/>
                <w:highlight w:val="none"/>
                <w:lang w:val="en-US" w:eastAsia="zh-CN"/>
              </w:rPr>
              <w:t>注：加分证明材料参照“附件：资格审查条件- -附录4资格审查条件（项目负责人和技术负责人最低要求）”的规定提交。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0" w:hRule="atLeast"/>
          <w:jc w:val="center"/>
        </w:trPr>
        <w:tc>
          <w:tcPr>
            <w:tcW w:w="872" w:type="dxa"/>
            <w:tcBorders>
              <w:tl2br w:val="nil"/>
              <w:tr2bl w:val="nil"/>
            </w:tcBorders>
            <w:noWrap w:val="0"/>
            <w:vAlign w:val="center"/>
          </w:tcPr>
          <w:p>
            <w:pPr>
              <w:spacing w:line="400" w:lineRule="exact"/>
              <w:jc w:val="center"/>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2.2.4（3）</w:t>
            </w:r>
          </w:p>
        </w:tc>
        <w:tc>
          <w:tcPr>
            <w:tcW w:w="1095" w:type="dxa"/>
            <w:tcBorders>
              <w:tl2br w:val="nil"/>
              <w:tr2bl w:val="nil"/>
            </w:tcBorders>
            <w:noWrap w:val="0"/>
            <w:vAlign w:val="center"/>
          </w:tcPr>
          <w:p>
            <w:pPr>
              <w:spacing w:line="400" w:lineRule="exact"/>
              <w:jc w:val="center"/>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评标价</w:t>
            </w:r>
          </w:p>
        </w:tc>
        <w:tc>
          <w:tcPr>
            <w:tcW w:w="1215" w:type="dxa"/>
            <w:tcBorders>
              <w:tl2br w:val="nil"/>
              <w:tr2bl w:val="nil"/>
            </w:tcBorders>
            <w:noWrap w:val="0"/>
            <w:vAlign w:val="center"/>
          </w:tcPr>
          <w:p>
            <w:pPr>
              <w:spacing w:line="400" w:lineRule="exact"/>
              <w:jc w:val="center"/>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10分</w:t>
            </w:r>
          </w:p>
        </w:tc>
        <w:tc>
          <w:tcPr>
            <w:tcW w:w="11222" w:type="dxa"/>
            <w:gridSpan w:val="3"/>
            <w:tcBorders>
              <w:tl2br w:val="nil"/>
              <w:tr2bl w:val="nil"/>
            </w:tcBorders>
            <w:noWrap w:val="0"/>
            <w:vAlign w:val="center"/>
          </w:tcPr>
          <w:p>
            <w:pPr>
              <w:spacing w:line="360" w:lineRule="exact"/>
              <w:jc w:val="left"/>
              <w:rPr>
                <w:rFonts w:hint="eastAsia" w:ascii="宋体" w:hAnsi="宋体"/>
                <w:b/>
                <w:highlight w:val="none"/>
              </w:rPr>
            </w:pPr>
            <w:r>
              <w:rPr>
                <w:rFonts w:hint="eastAsia" w:ascii="宋体" w:hAnsi="宋体"/>
                <w:b/>
                <w:highlight w:val="none"/>
              </w:rPr>
              <w:t>评标</w:t>
            </w:r>
            <w:r>
              <w:rPr>
                <w:rFonts w:hint="eastAsia" w:ascii="宋体" w:hAnsi="宋体"/>
                <w:b/>
                <w:highlight w:val="none"/>
                <w:lang w:val="en-US" w:eastAsia="zh-CN"/>
              </w:rPr>
              <w:t>价</w:t>
            </w:r>
            <w:r>
              <w:rPr>
                <w:rFonts w:hint="eastAsia" w:ascii="宋体" w:hAnsi="宋体"/>
                <w:b/>
                <w:highlight w:val="none"/>
              </w:rPr>
              <w:t>得分计算公式示例：</w:t>
            </w:r>
          </w:p>
          <w:p>
            <w:pPr>
              <w:pStyle w:val="9"/>
              <w:spacing w:line="360" w:lineRule="exact"/>
              <w:ind w:right="105"/>
              <w:rPr>
                <w:rFonts w:hint="eastAsia" w:ascii="宋体" w:hAnsi="宋体" w:cs="宋体"/>
                <w:color w:val="auto"/>
                <w:sz w:val="21"/>
                <w:szCs w:val="21"/>
                <w:highlight w:val="none"/>
              </w:rPr>
            </w:pPr>
            <w:r>
              <w:rPr>
                <w:rFonts w:hint="eastAsia" w:ascii="宋体" w:hAnsi="宋体" w:cs="宋体"/>
                <w:color w:val="auto"/>
                <w:sz w:val="21"/>
                <w:szCs w:val="21"/>
                <w:highlight w:val="none"/>
              </w:rPr>
              <w:t>当投标人投标</w:t>
            </w:r>
            <w:r>
              <w:rPr>
                <w:rFonts w:hint="eastAsia" w:hAnsi="宋体" w:cs="宋体"/>
                <w:color w:val="auto"/>
                <w:sz w:val="21"/>
                <w:szCs w:val="21"/>
                <w:highlight w:val="none"/>
                <w:lang w:val="en-US" w:eastAsia="zh-CN"/>
              </w:rPr>
              <w:t>价</w:t>
            </w:r>
            <w:r>
              <w:rPr>
                <w:rFonts w:hint="eastAsia" w:ascii="宋体" w:hAnsi="宋体" w:cs="宋体"/>
                <w:color w:val="auto"/>
                <w:sz w:val="21"/>
                <w:szCs w:val="21"/>
                <w:highlight w:val="none"/>
              </w:rPr>
              <w:t>等于评标基准</w:t>
            </w:r>
            <w:r>
              <w:rPr>
                <w:rFonts w:hint="eastAsia" w:hAnsi="宋体" w:cs="宋体"/>
                <w:color w:val="auto"/>
                <w:sz w:val="21"/>
                <w:szCs w:val="21"/>
                <w:highlight w:val="none"/>
                <w:lang w:val="en-US" w:eastAsia="zh-CN"/>
              </w:rPr>
              <w:t>价</w:t>
            </w:r>
            <w:r>
              <w:rPr>
                <w:rFonts w:hint="eastAsia" w:ascii="宋体" w:hAnsi="宋体" w:cs="宋体"/>
                <w:color w:val="auto"/>
                <w:sz w:val="21"/>
                <w:szCs w:val="21"/>
                <w:highlight w:val="none"/>
              </w:rPr>
              <w:t>时得满分，每高于评标基准</w:t>
            </w:r>
            <w:r>
              <w:rPr>
                <w:rFonts w:hint="eastAsia" w:hAnsi="宋体" w:cs="宋体"/>
                <w:color w:val="auto"/>
                <w:sz w:val="21"/>
                <w:szCs w:val="21"/>
                <w:highlight w:val="none"/>
                <w:lang w:val="en-US" w:eastAsia="zh-CN"/>
              </w:rPr>
              <w:t>价</w:t>
            </w:r>
            <w:r>
              <w:rPr>
                <w:rFonts w:hint="eastAsia" w:ascii="宋体" w:hAnsi="宋体" w:cs="宋体"/>
                <w:color w:val="auto"/>
                <w:sz w:val="21"/>
                <w:szCs w:val="21"/>
                <w:highlight w:val="none"/>
              </w:rPr>
              <w:t>一个百分点扣</w:t>
            </w:r>
            <w:r>
              <w:rPr>
                <w:rFonts w:hint="eastAsia" w:hAnsi="宋体" w:cs="宋体"/>
                <w:color w:val="auto"/>
                <w:sz w:val="21"/>
                <w:szCs w:val="21"/>
                <w:highlight w:val="none"/>
                <w:lang w:val="en-US" w:eastAsia="zh-CN"/>
              </w:rPr>
              <w:t>1</w:t>
            </w:r>
            <w:r>
              <w:rPr>
                <w:rFonts w:hint="eastAsia" w:ascii="宋体" w:hAnsi="宋体" w:cs="宋体"/>
                <w:color w:val="auto"/>
                <w:sz w:val="21"/>
                <w:szCs w:val="21"/>
                <w:highlight w:val="none"/>
              </w:rPr>
              <w:t>分，每低于评标基准</w:t>
            </w:r>
            <w:r>
              <w:rPr>
                <w:rFonts w:hint="eastAsia" w:hAnsi="宋体" w:cs="宋体"/>
                <w:color w:val="auto"/>
                <w:sz w:val="21"/>
                <w:szCs w:val="21"/>
                <w:highlight w:val="none"/>
                <w:lang w:val="en-US" w:eastAsia="zh-CN"/>
              </w:rPr>
              <w:t>价</w:t>
            </w:r>
            <w:r>
              <w:rPr>
                <w:rFonts w:hint="eastAsia" w:ascii="宋体" w:hAnsi="宋体" w:cs="宋体"/>
                <w:color w:val="auto"/>
                <w:sz w:val="21"/>
                <w:szCs w:val="21"/>
                <w:highlight w:val="none"/>
              </w:rPr>
              <w:t>一个百分点扣0.</w:t>
            </w:r>
            <w:r>
              <w:rPr>
                <w:rFonts w:hint="eastAsia" w:hAnsi="宋体" w:cs="宋体"/>
                <w:color w:val="auto"/>
                <w:sz w:val="21"/>
                <w:szCs w:val="21"/>
                <w:highlight w:val="none"/>
                <w:lang w:val="en-US" w:eastAsia="zh-CN"/>
              </w:rPr>
              <w:t>5</w:t>
            </w:r>
            <w:r>
              <w:rPr>
                <w:rFonts w:hint="eastAsia" w:ascii="宋体" w:hAnsi="宋体" w:cs="宋体"/>
                <w:color w:val="auto"/>
                <w:sz w:val="21"/>
                <w:szCs w:val="21"/>
                <w:highlight w:val="none"/>
              </w:rPr>
              <w:t>分，中间值按比例内插，四舍五入，保留三位小数。</w:t>
            </w:r>
          </w:p>
          <w:p>
            <w:pPr>
              <w:pStyle w:val="9"/>
              <w:spacing w:line="360" w:lineRule="exact"/>
              <w:ind w:left="425" w:right="105"/>
              <w:rPr>
                <w:rFonts w:hint="eastAsia" w:ascii="宋体" w:hAnsi="宋体" w:cs="宋体"/>
                <w:color w:val="auto"/>
                <w:sz w:val="21"/>
                <w:szCs w:val="21"/>
                <w:highlight w:val="none"/>
              </w:rPr>
            </w:pPr>
            <w:r>
              <w:rPr>
                <w:rFonts w:hint="eastAsia" w:ascii="宋体" w:hAnsi="宋体" w:cs="宋体"/>
                <w:color w:val="auto"/>
                <w:sz w:val="21"/>
                <w:szCs w:val="21"/>
                <w:highlight w:val="none"/>
              </w:rPr>
              <w:t>用公式表示如下：</w:t>
            </w:r>
          </w:p>
          <w:p>
            <w:pPr>
              <w:pStyle w:val="9"/>
              <w:spacing w:line="360" w:lineRule="auto"/>
              <w:ind w:left="668" w:leftChars="318" w:firstLine="1116" w:firstLineChars="564"/>
              <w:rPr>
                <w:rFonts w:hint="eastAsia" w:ascii="宋体" w:hAnsi="宋体" w:cs="宋体"/>
                <w:color w:val="auto"/>
                <w:spacing w:val="-6"/>
                <w:sz w:val="21"/>
                <w:szCs w:val="21"/>
                <w:highlight w:val="none"/>
              </w:rPr>
            </w:pPr>
            <w:r>
              <w:rPr>
                <w:rFonts w:hint="eastAsia" w:ascii="宋体" w:hAnsi="宋体" w:cs="宋体"/>
                <w:color w:val="auto"/>
                <w:spacing w:val="-6"/>
                <w:sz w:val="21"/>
                <w:szCs w:val="21"/>
                <w:highlight w:val="none"/>
              </w:rPr>
              <w:drawing>
                <wp:inline distT="0" distB="0" distL="114300" distR="114300">
                  <wp:extent cx="1765300" cy="405765"/>
                  <wp:effectExtent l="0" t="0" r="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765300" cy="405765"/>
                          </a:xfrm>
                          <a:prstGeom prst="rect">
                            <a:avLst/>
                          </a:prstGeom>
                          <a:noFill/>
                          <a:ln>
                            <a:noFill/>
                          </a:ln>
                        </pic:spPr>
                      </pic:pic>
                    </a:graphicData>
                  </a:graphic>
                </wp:inline>
              </w:drawing>
            </w:r>
          </w:p>
          <w:p>
            <w:pPr>
              <w:pStyle w:val="9"/>
              <w:spacing w:line="360" w:lineRule="exact"/>
              <w:ind w:left="630" w:leftChars="100" w:hanging="420" w:hangingChars="200"/>
              <w:rPr>
                <w:rFonts w:ascii="宋体" w:hAnsi="宋体" w:cs="宋体"/>
                <w:color w:val="auto"/>
                <w:sz w:val="21"/>
                <w:szCs w:val="21"/>
                <w:highlight w:val="none"/>
              </w:rPr>
            </w:pPr>
            <w:r>
              <w:rPr>
                <w:rFonts w:hint="eastAsia" w:ascii="宋体" w:hAnsi="宋体" w:cs="宋体"/>
                <w:color w:val="auto"/>
                <w:sz w:val="21"/>
                <w:szCs w:val="21"/>
                <w:highlight w:val="none"/>
              </w:rPr>
              <w:t xml:space="preserve">式中：  </w:t>
            </w:r>
          </w:p>
          <w:p>
            <w:pPr>
              <w:pStyle w:val="9"/>
              <w:spacing w:line="360" w:lineRule="exact"/>
              <w:ind w:left="630" w:leftChars="100" w:hanging="420" w:hangingChars="200"/>
              <w:rPr>
                <w:rFonts w:hint="eastAsia" w:ascii="宋体" w:hAnsi="宋体" w:cs="宋体"/>
                <w:color w:val="auto"/>
                <w:sz w:val="21"/>
                <w:szCs w:val="21"/>
                <w:highlight w:val="none"/>
              </w:rPr>
            </w:pPr>
            <w:r>
              <w:rPr>
                <w:rFonts w:hint="eastAsia" w:ascii="宋体" w:hAnsi="宋体" w:cs="宋体"/>
                <w:color w:val="auto"/>
                <w:sz w:val="21"/>
                <w:szCs w:val="21"/>
                <w:highlight w:val="none"/>
              </w:rPr>
              <w:t>F</w:t>
            </w:r>
            <w:r>
              <w:rPr>
                <w:rFonts w:hint="eastAsia" w:ascii="宋体" w:hAnsi="宋体" w:cs="宋体"/>
                <w:color w:val="auto"/>
                <w:sz w:val="21"/>
                <w:szCs w:val="21"/>
                <w:highlight w:val="none"/>
                <w:vertAlign w:val="subscript"/>
              </w:rPr>
              <w:t>1</w:t>
            </w:r>
            <w:r>
              <w:rPr>
                <w:rFonts w:hint="eastAsia" w:ascii="宋体" w:hAnsi="宋体" w:cs="宋体"/>
                <w:color w:val="auto"/>
                <w:sz w:val="21"/>
                <w:szCs w:val="21"/>
                <w:highlight w:val="none"/>
              </w:rPr>
              <w:t xml:space="preserve">— 投标人报价得分； </w:t>
            </w:r>
          </w:p>
          <w:p>
            <w:pPr>
              <w:pStyle w:val="9"/>
              <w:spacing w:line="360" w:lineRule="exact"/>
              <w:ind w:left="630" w:leftChars="100" w:hanging="420" w:hanging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F— 投标报价所占权重的分值，F＝10 </w:t>
            </w:r>
          </w:p>
          <w:p>
            <w:pPr>
              <w:pStyle w:val="9"/>
              <w:spacing w:line="360" w:lineRule="exact"/>
              <w:ind w:left="630" w:leftChars="100" w:hanging="420" w:hangingChars="200"/>
              <w:rPr>
                <w:rFonts w:hint="eastAsia" w:ascii="宋体" w:hAnsi="宋体" w:cs="宋体"/>
                <w:color w:val="auto"/>
                <w:sz w:val="21"/>
                <w:szCs w:val="21"/>
                <w:highlight w:val="none"/>
              </w:rPr>
            </w:pPr>
            <w:r>
              <w:rPr>
                <w:rFonts w:hint="eastAsia" w:ascii="宋体" w:hAnsi="宋体" w:cs="宋体"/>
                <w:color w:val="auto"/>
                <w:sz w:val="21"/>
                <w:szCs w:val="21"/>
                <w:highlight w:val="none"/>
              </w:rPr>
              <w:t>D</w:t>
            </w:r>
            <w:r>
              <w:rPr>
                <w:rFonts w:hint="eastAsia" w:ascii="宋体" w:hAnsi="宋体" w:cs="宋体"/>
                <w:color w:val="auto"/>
                <w:sz w:val="21"/>
                <w:szCs w:val="21"/>
                <w:highlight w:val="none"/>
                <w:vertAlign w:val="subscript"/>
              </w:rPr>
              <w:t>1</w:t>
            </w:r>
            <w:r>
              <w:rPr>
                <w:rFonts w:hint="eastAsia" w:ascii="宋体" w:hAnsi="宋体" w:cs="宋体"/>
                <w:color w:val="auto"/>
                <w:sz w:val="21"/>
                <w:szCs w:val="21"/>
                <w:highlight w:val="none"/>
              </w:rPr>
              <w:t xml:space="preserve">— 投标人的投标报价； </w:t>
            </w:r>
          </w:p>
          <w:p>
            <w:pPr>
              <w:pStyle w:val="9"/>
              <w:spacing w:line="360" w:lineRule="exact"/>
              <w:ind w:left="630" w:leftChars="100" w:hanging="420" w:hangingChars="200"/>
              <w:rPr>
                <w:rFonts w:hint="eastAsia" w:ascii="宋体" w:hAnsi="宋体" w:cs="宋体"/>
                <w:color w:val="auto"/>
                <w:sz w:val="21"/>
                <w:szCs w:val="21"/>
                <w:highlight w:val="none"/>
              </w:rPr>
            </w:pPr>
            <w:r>
              <w:rPr>
                <w:rFonts w:hint="eastAsia" w:ascii="宋体" w:hAnsi="宋体" w:cs="宋体"/>
                <w:color w:val="auto"/>
                <w:sz w:val="21"/>
                <w:szCs w:val="21"/>
                <w:highlight w:val="none"/>
              </w:rPr>
              <w:t>D— 评标基准价。</w:t>
            </w:r>
          </w:p>
          <w:p>
            <w:pPr>
              <w:pStyle w:val="9"/>
              <w:spacing w:line="360" w:lineRule="exact"/>
              <w:ind w:left="690" w:leftChars="100" w:hanging="480" w:hangingChars="200"/>
              <w:rPr>
                <w:rFonts w:hint="eastAsia" w:ascii="Times New Roman" w:hAnsi="Times New Roman" w:eastAsia="宋体" w:cs="Times New Roman"/>
                <w:b w:val="0"/>
                <w:bCs/>
                <w:color w:val="000000"/>
                <w:highlight w:val="none"/>
                <w:lang w:val="en-US" w:eastAsia="zh-CN"/>
              </w:rPr>
            </w:pPr>
            <w:r>
              <w:rPr>
                <w:rFonts w:hint="eastAsia" w:ascii="宋体" w:hAnsi="宋体" w:cs="宋体"/>
                <w:szCs w:val="21"/>
                <w:highlight w:val="none"/>
              </w:rPr>
              <w:t>若D</w:t>
            </w:r>
            <w:r>
              <w:rPr>
                <w:rFonts w:hint="eastAsia" w:ascii="宋体" w:hAnsi="宋体" w:cs="宋体"/>
                <w:szCs w:val="21"/>
                <w:highlight w:val="none"/>
                <w:vertAlign w:val="subscript"/>
              </w:rPr>
              <w:t>1</w:t>
            </w:r>
            <w:r>
              <w:rPr>
                <w:rFonts w:hint="eastAsia" w:ascii="宋体" w:hAnsi="宋体" w:cs="宋体"/>
                <w:szCs w:val="21"/>
                <w:highlight w:val="none"/>
              </w:rPr>
              <w:t>≥D，则E=</w:t>
            </w:r>
            <w:r>
              <w:rPr>
                <w:rFonts w:hint="eastAsia" w:hAnsi="宋体" w:cs="宋体"/>
                <w:szCs w:val="21"/>
                <w:highlight w:val="none"/>
                <w:lang w:val="en-US" w:eastAsia="zh-CN"/>
              </w:rPr>
              <w:t>1</w:t>
            </w:r>
            <w:r>
              <w:rPr>
                <w:rFonts w:hint="eastAsia" w:ascii="宋体" w:hAnsi="宋体" w:cs="宋体"/>
                <w:szCs w:val="21"/>
                <w:highlight w:val="none"/>
              </w:rPr>
              <w:t xml:space="preserve"> ；若D</w:t>
            </w:r>
            <w:r>
              <w:rPr>
                <w:rFonts w:hint="eastAsia" w:ascii="宋体" w:hAnsi="宋体" w:cs="宋体"/>
                <w:szCs w:val="21"/>
                <w:highlight w:val="none"/>
                <w:vertAlign w:val="subscript"/>
              </w:rPr>
              <w:t>1</w:t>
            </w:r>
            <w:r>
              <w:rPr>
                <w:rFonts w:hint="eastAsia" w:ascii="宋体" w:hAnsi="宋体" w:cs="宋体"/>
                <w:szCs w:val="21"/>
                <w:highlight w:val="none"/>
              </w:rPr>
              <w:t>&lt;D，则E=0.</w:t>
            </w:r>
            <w:r>
              <w:rPr>
                <w:rFonts w:hint="eastAsia" w:hAnsi="宋体" w:cs="宋体"/>
                <w:szCs w:val="21"/>
                <w:highlight w:val="none"/>
                <w:lang w:val="en-US" w:eastAsia="zh-CN"/>
              </w:rPr>
              <w:t>5</w:t>
            </w:r>
            <w:r>
              <w:rPr>
                <w:rFonts w:hint="eastAsia" w:ascii="宋体" w:hAnsi="宋体" w:cs="宋体"/>
                <w:szCs w:val="21"/>
                <w:highlight w:val="none"/>
              </w:rPr>
              <w:t>。报价得分最低为0分。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872" w:type="dxa"/>
            <w:vMerge w:val="restart"/>
            <w:tcBorders>
              <w:tl2br w:val="nil"/>
              <w:tr2bl w:val="nil"/>
            </w:tcBorders>
            <w:noWrap w:val="0"/>
            <w:vAlign w:val="center"/>
          </w:tcPr>
          <w:p>
            <w:pPr>
              <w:spacing w:line="400" w:lineRule="exact"/>
              <w:jc w:val="center"/>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2.2.4（4）其他因素</w:t>
            </w:r>
          </w:p>
        </w:tc>
        <w:tc>
          <w:tcPr>
            <w:tcW w:w="1095" w:type="dxa"/>
            <w:vMerge w:val="restart"/>
            <w:tcBorders>
              <w:tl2br w:val="nil"/>
              <w:tr2bl w:val="nil"/>
            </w:tcBorders>
            <w:noWrap w:val="0"/>
            <w:vAlign w:val="center"/>
          </w:tcPr>
          <w:p>
            <w:pPr>
              <w:spacing w:line="400" w:lineRule="exact"/>
              <w:jc w:val="center"/>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业绩</w:t>
            </w:r>
          </w:p>
        </w:tc>
        <w:tc>
          <w:tcPr>
            <w:tcW w:w="1215" w:type="dxa"/>
            <w:vMerge w:val="restart"/>
            <w:tcBorders>
              <w:tl2br w:val="nil"/>
              <w:tr2bl w:val="nil"/>
            </w:tcBorders>
            <w:noWrap w:val="0"/>
            <w:vAlign w:val="center"/>
          </w:tcPr>
          <w:p>
            <w:pPr>
              <w:autoSpaceDE w:val="0"/>
              <w:autoSpaceDN w:val="0"/>
              <w:adjustRightInd w:val="0"/>
              <w:spacing w:line="360" w:lineRule="exact"/>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30分</w:t>
            </w:r>
          </w:p>
        </w:tc>
        <w:tc>
          <w:tcPr>
            <w:tcW w:w="1305"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eastAsia="宋体" w:cs="Times New Roman"/>
                <w:b w:val="0"/>
                <w:bCs/>
                <w:color w:val="000000"/>
                <w:kern w:val="2"/>
                <w:sz w:val="21"/>
                <w:szCs w:val="24"/>
                <w:highlight w:val="none"/>
                <w:lang w:val="en-US" w:eastAsia="zh-CN" w:bidi="ar-SA"/>
              </w:rPr>
            </w:pPr>
            <w:r>
              <w:rPr>
                <w:rFonts w:hint="eastAsia" w:ascii="宋体" w:hAnsi="宋体" w:eastAsia="宋体" w:cs="宋体"/>
                <w:szCs w:val="21"/>
                <w:highlight w:val="none"/>
                <w:lang w:val="en-US" w:eastAsia="zh-CN"/>
              </w:rPr>
              <w:t>监测业绩</w:t>
            </w:r>
          </w:p>
        </w:tc>
        <w:tc>
          <w:tcPr>
            <w:tcW w:w="900" w:type="dxa"/>
            <w:tcBorders>
              <w:tl2br w:val="nil"/>
              <w:tr2bl w:val="nil"/>
            </w:tcBorders>
            <w:noWrap w:val="0"/>
            <w:vAlign w:val="center"/>
          </w:tcPr>
          <w:p>
            <w:pPr>
              <w:autoSpaceDE w:val="0"/>
              <w:autoSpaceDN w:val="0"/>
              <w:adjustRightInd w:val="0"/>
              <w:spacing w:line="360" w:lineRule="exact"/>
              <w:jc w:val="center"/>
              <w:rPr>
                <w:rFonts w:hint="eastAsia" w:ascii="Times New Roman" w:hAnsi="Times New Roman" w:eastAsia="宋体" w:cs="Times New Roman"/>
                <w:b w:val="0"/>
                <w:bCs/>
                <w:color w:val="000000"/>
                <w:kern w:val="2"/>
                <w:sz w:val="21"/>
                <w:szCs w:val="24"/>
                <w:highlight w:val="none"/>
                <w:lang w:val="en-US" w:eastAsia="zh-CN" w:bidi="ar-SA"/>
              </w:rPr>
            </w:pPr>
            <w:r>
              <w:rPr>
                <w:rFonts w:hint="eastAsia" w:ascii="Times New Roman" w:hAnsi="Times New Roman" w:eastAsia="宋体" w:cs="Times New Roman"/>
                <w:bCs/>
                <w:color w:val="000000"/>
                <w:szCs w:val="24"/>
                <w:highlight w:val="none"/>
                <w:lang w:val="en-US" w:eastAsia="zh-CN"/>
              </w:rPr>
              <w:t>20分</w:t>
            </w:r>
          </w:p>
        </w:tc>
        <w:tc>
          <w:tcPr>
            <w:tcW w:w="9017" w:type="dxa"/>
            <w:tcBorders>
              <w:tl2br w:val="nil"/>
              <w:tr2bl w:val="nil"/>
            </w:tcBorders>
            <w:noWrap w:val="0"/>
            <w:vAlign w:val="center"/>
          </w:tcPr>
          <w:p>
            <w:pPr>
              <w:autoSpaceDE w:val="0"/>
              <w:autoSpaceDN w:val="0"/>
              <w:adjustRightInd w:val="0"/>
              <w:spacing w:line="360" w:lineRule="exact"/>
              <w:jc w:val="both"/>
              <w:rPr>
                <w:rFonts w:hint="eastAsia" w:ascii="Times New Roman" w:hAnsi="Times New Roman" w:eastAsia="宋体" w:cs="Times New Roman"/>
                <w:bCs/>
                <w:color w:val="000000"/>
                <w:highlight w:val="none"/>
                <w:lang w:val="en-US" w:eastAsia="zh-CN"/>
              </w:rPr>
            </w:pPr>
            <w:r>
              <w:rPr>
                <w:rFonts w:hint="eastAsia" w:ascii="Times New Roman" w:hAnsi="Times New Roman" w:eastAsia="宋体" w:cs="Times New Roman"/>
                <w:bCs/>
                <w:color w:val="000000"/>
                <w:highlight w:val="none"/>
                <w:lang w:val="en-US" w:eastAsia="zh-CN"/>
              </w:rPr>
              <w:t>满足资格审查条件，得基本分12分；此外，在满足资格审查最低条件基础上：</w:t>
            </w:r>
          </w:p>
          <w:p>
            <w:pPr>
              <w:autoSpaceDE w:val="0"/>
              <w:autoSpaceDN w:val="0"/>
              <w:adjustRightInd w:val="0"/>
              <w:spacing w:line="360" w:lineRule="exact"/>
              <w:jc w:val="both"/>
              <w:rPr>
                <w:rFonts w:hint="eastAsia" w:ascii="Times New Roman" w:hAnsi="Times New Roman" w:eastAsia="宋体" w:cs="Times New Roman"/>
                <w:bCs/>
                <w:color w:val="000000"/>
                <w:highlight w:val="none"/>
                <w:lang w:val="en-US" w:eastAsia="zh-CN"/>
              </w:rPr>
            </w:pPr>
            <w:r>
              <w:rPr>
                <w:rFonts w:hint="eastAsia" w:ascii="Times New Roman" w:hAnsi="Times New Roman" w:eastAsia="宋体" w:cs="Times New Roman"/>
                <w:bCs/>
                <w:color w:val="000000"/>
                <w:highlight w:val="none"/>
                <w:lang w:val="en-US" w:eastAsia="zh-CN"/>
              </w:rPr>
              <w:t>自2018年1月1日至投标文件递交之日止，独立完成营运高速公路桥梁应力应变监测业绩，每增加1座加1分，最高加8分。（同一座桥业绩只认定一次）</w:t>
            </w:r>
          </w:p>
          <w:p>
            <w:pPr>
              <w:autoSpaceDE w:val="0"/>
              <w:autoSpaceDN w:val="0"/>
              <w:adjustRightInd w:val="0"/>
              <w:spacing w:line="360" w:lineRule="exact"/>
              <w:jc w:val="both"/>
              <w:rPr>
                <w:rFonts w:hint="eastAsia" w:ascii="Times New Roman" w:hAnsi="Times New Roman" w:eastAsia="宋体" w:cs="Times New Roman"/>
                <w:bCs/>
                <w:color w:val="000000"/>
                <w:highlight w:val="none"/>
                <w:lang w:val="en-US" w:eastAsia="zh-CN"/>
              </w:rPr>
            </w:pPr>
            <w:r>
              <w:rPr>
                <w:rFonts w:hint="eastAsia" w:ascii="Times New Roman" w:hAnsi="Times New Roman" w:eastAsia="宋体" w:cs="Times New Roman"/>
                <w:b w:val="0"/>
                <w:bCs/>
                <w:color w:val="000000"/>
                <w:sz w:val="18"/>
                <w:szCs w:val="18"/>
                <w:highlight w:val="none"/>
                <w:lang w:val="en-US" w:eastAsia="zh-CN"/>
              </w:rPr>
              <w:t>注：加分证明材料参照“附件：资格审查条件- -附录2资格审查条件业绩最低要求）”的规定提交。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872" w:type="dxa"/>
            <w:vMerge w:val="continue"/>
            <w:tcBorders>
              <w:tl2br w:val="nil"/>
              <w:tr2bl w:val="nil"/>
            </w:tcBorders>
            <w:noWrap w:val="0"/>
            <w:vAlign w:val="center"/>
          </w:tcPr>
          <w:p>
            <w:pPr>
              <w:autoSpaceDE w:val="0"/>
              <w:autoSpaceDN w:val="0"/>
              <w:adjustRightInd w:val="0"/>
              <w:spacing w:line="360" w:lineRule="exact"/>
              <w:jc w:val="center"/>
            </w:pPr>
          </w:p>
        </w:tc>
        <w:tc>
          <w:tcPr>
            <w:tcW w:w="1095" w:type="dxa"/>
            <w:vMerge w:val="continue"/>
            <w:tcBorders>
              <w:tl2br w:val="nil"/>
              <w:tr2bl w:val="nil"/>
            </w:tcBorders>
            <w:noWrap w:val="0"/>
            <w:vAlign w:val="center"/>
          </w:tcPr>
          <w:p>
            <w:pPr>
              <w:autoSpaceDE w:val="0"/>
              <w:autoSpaceDN w:val="0"/>
              <w:adjustRightInd w:val="0"/>
              <w:spacing w:line="360" w:lineRule="exact"/>
              <w:jc w:val="center"/>
            </w:pPr>
          </w:p>
        </w:tc>
        <w:tc>
          <w:tcPr>
            <w:tcW w:w="1215" w:type="dxa"/>
            <w:vMerge w:val="continue"/>
            <w:tcBorders>
              <w:tl2br w:val="nil"/>
              <w:tr2bl w:val="nil"/>
            </w:tcBorders>
            <w:noWrap w:val="0"/>
            <w:vAlign w:val="center"/>
          </w:tcPr>
          <w:p>
            <w:pPr>
              <w:autoSpaceDE w:val="0"/>
              <w:autoSpaceDN w:val="0"/>
              <w:adjustRightInd w:val="0"/>
              <w:spacing w:line="360" w:lineRule="exact"/>
              <w:jc w:val="center"/>
              <w:rPr>
                <w:rFonts w:hint="default" w:ascii="宋体" w:hAnsi="宋体" w:eastAsia="宋体" w:cs="宋体"/>
                <w:szCs w:val="21"/>
                <w:highlight w:val="none"/>
                <w:lang w:val="en-US" w:eastAsia="zh-CN"/>
              </w:rPr>
            </w:pPr>
          </w:p>
        </w:tc>
        <w:tc>
          <w:tcPr>
            <w:tcW w:w="1305" w:type="dxa"/>
            <w:tcBorders>
              <w:tl2br w:val="nil"/>
              <w:tr2bl w:val="nil"/>
            </w:tcBorders>
            <w:noWrap w:val="0"/>
            <w:vAlign w:val="center"/>
          </w:tcPr>
          <w:p>
            <w:pPr>
              <w:autoSpaceDE w:val="0"/>
              <w:autoSpaceDN w:val="0"/>
              <w:adjustRightInd w:val="0"/>
              <w:spacing w:line="36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服务连续性</w:t>
            </w:r>
          </w:p>
        </w:tc>
        <w:tc>
          <w:tcPr>
            <w:tcW w:w="900" w:type="dxa"/>
            <w:tcBorders>
              <w:tl2br w:val="nil"/>
              <w:tr2bl w:val="nil"/>
            </w:tcBorders>
            <w:noWrap w:val="0"/>
            <w:vAlign w:val="center"/>
          </w:tcPr>
          <w:p>
            <w:pPr>
              <w:autoSpaceDE w:val="0"/>
              <w:autoSpaceDN w:val="0"/>
              <w:adjustRightInd w:val="0"/>
              <w:spacing w:line="360" w:lineRule="exact"/>
              <w:jc w:val="center"/>
              <w:rPr>
                <w:rFonts w:hint="eastAsia" w:ascii="Times New Roman" w:hAnsi="Times New Roman" w:eastAsia="宋体" w:cs="Times New Roman"/>
                <w:b w:val="0"/>
                <w:bCs/>
                <w:color w:val="000000"/>
                <w:kern w:val="2"/>
                <w:sz w:val="21"/>
                <w:szCs w:val="24"/>
                <w:highlight w:val="none"/>
                <w:lang w:val="en-US" w:eastAsia="zh-CN" w:bidi="ar-SA"/>
              </w:rPr>
            </w:pPr>
            <w:r>
              <w:rPr>
                <w:rFonts w:hint="eastAsia" w:ascii="Times New Roman" w:hAnsi="Times New Roman" w:eastAsia="宋体" w:cs="Times New Roman"/>
                <w:b w:val="0"/>
                <w:bCs/>
                <w:color w:val="000000"/>
                <w:kern w:val="2"/>
                <w:sz w:val="21"/>
                <w:szCs w:val="24"/>
                <w:highlight w:val="none"/>
                <w:lang w:val="en-US" w:eastAsia="zh-CN" w:bidi="ar-SA"/>
              </w:rPr>
              <w:t>5分</w:t>
            </w:r>
          </w:p>
        </w:tc>
        <w:tc>
          <w:tcPr>
            <w:tcW w:w="9017" w:type="dxa"/>
            <w:tcBorders>
              <w:tl2br w:val="nil"/>
              <w:tr2bl w:val="nil"/>
            </w:tcBorders>
            <w:noWrap w:val="0"/>
            <w:vAlign w:val="center"/>
          </w:tcPr>
          <w:p>
            <w:pPr>
              <w:autoSpaceDE w:val="0"/>
              <w:autoSpaceDN w:val="0"/>
              <w:adjustRightInd w:val="0"/>
              <w:spacing w:line="360" w:lineRule="exact"/>
              <w:rPr>
                <w:rFonts w:hint="eastAsia"/>
                <w:highlight w:val="none"/>
                <w:lang w:val="en-US" w:eastAsia="zh-CN"/>
              </w:rPr>
            </w:pPr>
            <w:r>
              <w:rPr>
                <w:rFonts w:hint="eastAsia"/>
                <w:highlight w:val="none"/>
                <w:lang w:val="en-US" w:eastAsia="zh-CN"/>
              </w:rPr>
              <w:t>自2014年开始，投标人（或其下属非独立法人机构）在同一条营运高速公路：</w:t>
            </w:r>
          </w:p>
          <w:p>
            <w:pPr>
              <w:autoSpaceDE w:val="0"/>
              <w:autoSpaceDN w:val="0"/>
              <w:adjustRightInd w:val="0"/>
              <w:spacing w:line="360" w:lineRule="exact"/>
              <w:rPr>
                <w:rFonts w:hint="eastAsia"/>
                <w:highlight w:val="none"/>
                <w:lang w:val="en-US" w:eastAsia="zh-CN"/>
              </w:rPr>
            </w:pPr>
            <w:r>
              <w:rPr>
                <w:rFonts w:hint="eastAsia"/>
                <w:highlight w:val="none"/>
                <w:lang w:val="en-US" w:eastAsia="zh-CN"/>
              </w:rPr>
              <w:t>（1）连续3年及以上（不足5年）每年均有完成桥梁监测业绩的得3分。</w:t>
            </w:r>
          </w:p>
          <w:p>
            <w:pPr>
              <w:autoSpaceDE w:val="0"/>
              <w:autoSpaceDN w:val="0"/>
              <w:adjustRightInd w:val="0"/>
              <w:spacing w:line="360" w:lineRule="exact"/>
              <w:rPr>
                <w:rFonts w:hint="eastAsia"/>
                <w:highlight w:val="none"/>
                <w:lang w:val="en-US" w:eastAsia="zh-CN"/>
              </w:rPr>
            </w:pPr>
            <w:r>
              <w:rPr>
                <w:rFonts w:hint="eastAsia"/>
                <w:highlight w:val="none"/>
                <w:lang w:val="en-US" w:eastAsia="zh-CN"/>
              </w:rPr>
              <w:t>（2）连续5年及以上（不足8年）每年均有完成桥梁监测业绩的得4分。</w:t>
            </w:r>
          </w:p>
          <w:p>
            <w:pPr>
              <w:autoSpaceDE w:val="0"/>
              <w:autoSpaceDN w:val="0"/>
              <w:adjustRightInd w:val="0"/>
              <w:spacing w:line="360" w:lineRule="exact"/>
              <w:rPr>
                <w:rFonts w:hint="eastAsia"/>
                <w:highlight w:val="none"/>
                <w:lang w:val="en-US" w:eastAsia="zh-CN"/>
              </w:rPr>
            </w:pPr>
            <w:r>
              <w:rPr>
                <w:rFonts w:hint="eastAsia"/>
                <w:highlight w:val="none"/>
                <w:lang w:val="en-US" w:eastAsia="zh-CN"/>
              </w:rPr>
              <w:t>（3）连续8年及以上每年均有完成桥梁监测业绩的得5分。</w:t>
            </w:r>
          </w:p>
          <w:p>
            <w:pPr>
              <w:autoSpaceDE w:val="0"/>
              <w:autoSpaceDN w:val="0"/>
              <w:adjustRightInd w:val="0"/>
              <w:spacing w:line="360" w:lineRule="exact"/>
              <w:rPr>
                <w:rFonts w:hint="eastAsia"/>
                <w:highlight w:val="none"/>
                <w:lang w:val="en-US" w:eastAsia="zh-CN"/>
              </w:rPr>
            </w:pPr>
            <w:r>
              <w:rPr>
                <w:rFonts w:hint="eastAsia" w:ascii="Times New Roman" w:hAnsi="Times New Roman" w:eastAsia="宋体" w:cs="Times New Roman"/>
                <w:b w:val="0"/>
                <w:bCs w:val="0"/>
                <w:sz w:val="18"/>
                <w:szCs w:val="18"/>
                <w:highlight w:val="none"/>
                <w:lang w:val="en-US" w:eastAsia="zh-CN"/>
              </w:rPr>
              <w:t>注：证</w:t>
            </w:r>
            <w:r>
              <w:rPr>
                <w:rFonts w:hint="eastAsia" w:ascii="Times New Roman" w:hAnsi="Times New Roman" w:eastAsia="宋体" w:cs="Times New Roman"/>
                <w:b w:val="0"/>
                <w:bCs/>
                <w:color w:val="000000"/>
                <w:sz w:val="18"/>
                <w:szCs w:val="18"/>
                <w:highlight w:val="none"/>
                <w:lang w:val="en-US" w:eastAsia="zh-CN"/>
              </w:rPr>
              <w:t>明材料参照“附件：资格审查条件- -附录2资格审查条件业绩最低要求）”的规定提交。</w:t>
            </w:r>
            <w:r>
              <w:rPr>
                <w:rFonts w:hint="eastAsia" w:cs="Times New Roman"/>
                <w:b w:val="0"/>
                <w:bCs w:val="0"/>
                <w:sz w:val="18"/>
                <w:szCs w:val="18"/>
                <w:highlight w:val="none"/>
                <w:lang w:val="en-US" w:eastAsia="zh-CN"/>
              </w:rPr>
              <w:t>监测业绩若为横跨2个或以上年度合同的，按自然年度来认定业绩，例如合同工期为2021年7月至2022年6月，认定业绩为2021年及2022年连续两年</w:t>
            </w:r>
            <w:r>
              <w:rPr>
                <w:rFonts w:hint="eastAsia" w:ascii="Times New Roman" w:hAnsi="Times New Roman" w:eastAsia="宋体" w:cs="Times New Roman"/>
                <w:b w:val="0"/>
                <w:bCs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872" w:type="dxa"/>
            <w:vMerge w:val="continue"/>
            <w:tcBorders>
              <w:tl2br w:val="nil"/>
              <w:tr2bl w:val="nil"/>
            </w:tcBorders>
            <w:noWrap w:val="0"/>
            <w:vAlign w:val="center"/>
          </w:tcPr>
          <w:p>
            <w:pPr>
              <w:autoSpaceDE w:val="0"/>
              <w:autoSpaceDN w:val="0"/>
              <w:adjustRightInd w:val="0"/>
              <w:spacing w:line="360" w:lineRule="exact"/>
              <w:jc w:val="center"/>
            </w:pPr>
          </w:p>
        </w:tc>
        <w:tc>
          <w:tcPr>
            <w:tcW w:w="1095" w:type="dxa"/>
            <w:vMerge w:val="continue"/>
            <w:tcBorders>
              <w:tl2br w:val="nil"/>
              <w:tr2bl w:val="nil"/>
            </w:tcBorders>
            <w:noWrap w:val="0"/>
            <w:vAlign w:val="center"/>
          </w:tcPr>
          <w:p>
            <w:pPr>
              <w:autoSpaceDE w:val="0"/>
              <w:autoSpaceDN w:val="0"/>
              <w:adjustRightInd w:val="0"/>
              <w:spacing w:line="360" w:lineRule="exact"/>
              <w:jc w:val="center"/>
            </w:pPr>
          </w:p>
        </w:tc>
        <w:tc>
          <w:tcPr>
            <w:tcW w:w="1215" w:type="dxa"/>
            <w:vMerge w:val="continue"/>
            <w:tcBorders>
              <w:tl2br w:val="nil"/>
              <w:tr2bl w:val="nil"/>
            </w:tcBorders>
            <w:noWrap w:val="0"/>
            <w:vAlign w:val="center"/>
          </w:tcPr>
          <w:p>
            <w:pPr>
              <w:autoSpaceDE w:val="0"/>
              <w:autoSpaceDN w:val="0"/>
              <w:adjustRightInd w:val="0"/>
              <w:spacing w:line="360" w:lineRule="exact"/>
              <w:jc w:val="center"/>
              <w:rPr>
                <w:rFonts w:hint="default" w:ascii="宋体" w:hAnsi="宋体" w:eastAsia="宋体" w:cs="宋体"/>
                <w:szCs w:val="21"/>
                <w:highlight w:val="none"/>
                <w:lang w:val="en-US" w:eastAsia="zh-CN"/>
              </w:rPr>
            </w:pPr>
          </w:p>
        </w:tc>
        <w:tc>
          <w:tcPr>
            <w:tcW w:w="1305" w:type="dxa"/>
            <w:tcBorders>
              <w:tl2br w:val="nil"/>
              <w:tr2bl w:val="nil"/>
            </w:tcBorders>
            <w:noWrap w:val="0"/>
            <w:vAlign w:val="center"/>
          </w:tcPr>
          <w:p>
            <w:pPr>
              <w:autoSpaceDE w:val="0"/>
              <w:autoSpaceDN w:val="0"/>
              <w:adjustRightInd w:val="0"/>
              <w:spacing w:line="360" w:lineRule="exact"/>
              <w:jc w:val="center"/>
              <w:rPr>
                <w:rFonts w:hint="eastAsia" w:ascii="Times New Roman" w:hAnsi="Times New Roman" w:eastAsia="宋体" w:cs="Times New Roman"/>
                <w:b w:val="0"/>
                <w:bCs/>
                <w:color w:val="000000"/>
                <w:kern w:val="2"/>
                <w:sz w:val="21"/>
                <w:szCs w:val="24"/>
                <w:highlight w:val="none"/>
                <w:lang w:val="en-US" w:eastAsia="zh-CN" w:bidi="ar-SA"/>
              </w:rPr>
            </w:pPr>
            <w:r>
              <w:rPr>
                <w:rFonts w:hint="eastAsia" w:ascii="宋体" w:hAnsi="宋体" w:eastAsia="宋体" w:cs="宋体"/>
                <w:szCs w:val="21"/>
                <w:highlight w:val="none"/>
                <w:lang w:val="en-US" w:eastAsia="zh-CN"/>
              </w:rPr>
              <w:t>比对试验业绩</w:t>
            </w:r>
          </w:p>
        </w:tc>
        <w:tc>
          <w:tcPr>
            <w:tcW w:w="900"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eastAsia="宋体" w:cs="Times New Roman"/>
                <w:b w:val="0"/>
                <w:bCs/>
                <w:color w:val="000000"/>
                <w:kern w:val="2"/>
                <w:sz w:val="21"/>
                <w:szCs w:val="24"/>
                <w:highlight w:val="none"/>
                <w:lang w:val="en-US" w:eastAsia="zh-CN" w:bidi="ar-SA"/>
              </w:rPr>
            </w:pPr>
            <w:r>
              <w:rPr>
                <w:rFonts w:hint="eastAsia" w:ascii="Times New Roman" w:hAnsi="Times New Roman" w:eastAsia="宋体" w:cs="Times New Roman"/>
                <w:b w:val="0"/>
                <w:bCs/>
                <w:color w:val="000000"/>
                <w:kern w:val="2"/>
                <w:sz w:val="21"/>
                <w:szCs w:val="24"/>
                <w:highlight w:val="none"/>
                <w:lang w:val="en-US" w:eastAsia="zh-CN" w:bidi="ar-SA"/>
              </w:rPr>
              <w:t>5分</w:t>
            </w:r>
          </w:p>
        </w:tc>
        <w:tc>
          <w:tcPr>
            <w:tcW w:w="9017" w:type="dxa"/>
            <w:tcBorders>
              <w:tl2br w:val="nil"/>
              <w:tr2bl w:val="nil"/>
            </w:tcBorders>
            <w:noWrap w:val="0"/>
            <w:vAlign w:val="center"/>
          </w:tcPr>
          <w:p>
            <w:pPr>
              <w:autoSpaceDE w:val="0"/>
              <w:autoSpaceDN w:val="0"/>
              <w:adjustRightInd w:val="0"/>
              <w:spacing w:line="360" w:lineRule="exact"/>
              <w:jc w:val="both"/>
              <w:rPr>
                <w:rFonts w:hint="eastAsia" w:ascii="宋体" w:hAnsi="宋体" w:eastAsia="宋体" w:cs="宋体"/>
                <w:b w:val="0"/>
                <w:bCs/>
                <w:color w:val="000000"/>
                <w:kern w:val="2"/>
                <w:sz w:val="21"/>
                <w:szCs w:val="24"/>
                <w:highlight w:val="none"/>
                <w:lang w:val="en-US" w:eastAsia="zh-CN" w:bidi="ar-SA"/>
              </w:rPr>
            </w:pPr>
            <w:r>
              <w:rPr>
                <w:rFonts w:hint="eastAsia" w:ascii="宋体" w:hAnsi="宋体" w:eastAsia="宋体" w:cs="宋体"/>
                <w:b w:val="0"/>
                <w:bCs/>
                <w:color w:val="000000"/>
                <w:kern w:val="2"/>
                <w:sz w:val="21"/>
                <w:szCs w:val="24"/>
                <w:highlight w:val="none"/>
                <w:lang w:val="en-US" w:eastAsia="zh-CN" w:bidi="ar-SA"/>
              </w:rPr>
              <w:t>在</w:t>
            </w:r>
            <w:r>
              <w:rPr>
                <w:rFonts w:hint="eastAsia" w:ascii="宋体" w:hAnsi="宋体" w:eastAsia="宋体" w:cs="宋体"/>
                <w:color w:val="000000"/>
                <w:szCs w:val="21"/>
                <w:highlight w:val="none"/>
                <w:lang w:val="en-US" w:eastAsia="zh-CN"/>
              </w:rPr>
              <w:t>交通运输部公路水运工程质量试验检测管理信息系统（https://www.ttiis.cn/PCWeb/PCHome/Index）中，</w:t>
            </w:r>
            <w:r>
              <w:rPr>
                <w:rFonts w:hint="eastAsia" w:ascii="宋体" w:hAnsi="宋体" w:eastAsia="宋体" w:cs="宋体"/>
                <w:b w:val="0"/>
                <w:bCs/>
                <w:color w:val="000000"/>
                <w:kern w:val="2"/>
                <w:sz w:val="21"/>
                <w:szCs w:val="24"/>
                <w:highlight w:val="none"/>
                <w:lang w:val="en-US" w:eastAsia="zh-CN" w:bidi="ar-SA"/>
              </w:rPr>
              <w:t>截至投标文件递交截止之日，试验检测机构查询的投标人的“比对试验”中，有以下评价情况的，得相应分数：</w:t>
            </w:r>
          </w:p>
          <w:p>
            <w:pPr>
              <w:autoSpaceDE w:val="0"/>
              <w:autoSpaceDN w:val="0"/>
              <w:adjustRightInd w:val="0"/>
              <w:spacing w:line="360" w:lineRule="exact"/>
              <w:jc w:val="both"/>
              <w:rPr>
                <w:rFonts w:hint="eastAsia" w:ascii="宋体" w:hAnsi="宋体" w:eastAsia="宋体" w:cs="宋体"/>
                <w:b w:val="0"/>
                <w:bCs/>
                <w:color w:val="000000"/>
                <w:kern w:val="2"/>
                <w:sz w:val="21"/>
                <w:szCs w:val="24"/>
                <w:highlight w:val="none"/>
                <w:lang w:val="en-US" w:eastAsia="zh-CN" w:bidi="ar-SA"/>
              </w:rPr>
            </w:pPr>
            <w:r>
              <w:rPr>
                <w:rFonts w:hint="eastAsia" w:ascii="宋体" w:hAnsi="宋体" w:eastAsia="宋体" w:cs="宋体"/>
                <w:b w:val="0"/>
                <w:bCs/>
                <w:color w:val="000000"/>
                <w:kern w:val="2"/>
                <w:sz w:val="21"/>
                <w:szCs w:val="24"/>
                <w:highlight w:val="none"/>
                <w:lang w:val="en-US" w:eastAsia="zh-CN" w:bidi="ar-SA"/>
              </w:rPr>
              <w:t>（1）获得“满意”评价的次数≥10次，且未获得过“不满意”、“基本满意”评价的，得5分；</w:t>
            </w:r>
            <w:r>
              <w:rPr>
                <w:rFonts w:hint="eastAsia" w:ascii="宋体" w:hAnsi="宋体" w:eastAsia="宋体" w:cs="宋体"/>
                <w:b w:val="0"/>
                <w:bCs/>
                <w:color w:val="000000"/>
                <w:kern w:val="2"/>
                <w:sz w:val="21"/>
                <w:szCs w:val="24"/>
                <w:highlight w:val="none"/>
                <w:lang w:val="en-US" w:eastAsia="zh-CN" w:bidi="ar-SA"/>
              </w:rPr>
              <w:br w:type="textWrapping"/>
            </w:r>
            <w:r>
              <w:rPr>
                <w:rFonts w:hint="eastAsia" w:ascii="宋体" w:hAnsi="宋体" w:eastAsia="宋体" w:cs="宋体"/>
                <w:b w:val="0"/>
                <w:bCs/>
                <w:color w:val="000000"/>
                <w:kern w:val="2"/>
                <w:sz w:val="21"/>
                <w:szCs w:val="24"/>
                <w:highlight w:val="none"/>
                <w:lang w:val="en-US" w:eastAsia="zh-CN" w:bidi="ar-SA"/>
              </w:rPr>
              <w:t>（2）获得“满意”评价的次数≥5次且&lt;10次，且未获得过“不满意”、“基本满意”评价的，得4分；</w:t>
            </w:r>
            <w:r>
              <w:rPr>
                <w:rFonts w:hint="eastAsia" w:ascii="宋体" w:hAnsi="宋体" w:eastAsia="宋体" w:cs="宋体"/>
                <w:b w:val="0"/>
                <w:bCs/>
                <w:color w:val="000000"/>
                <w:kern w:val="2"/>
                <w:sz w:val="21"/>
                <w:szCs w:val="24"/>
                <w:highlight w:val="none"/>
                <w:lang w:val="en-US" w:eastAsia="zh-CN" w:bidi="ar-SA"/>
              </w:rPr>
              <w:br w:type="textWrapping"/>
            </w:r>
            <w:r>
              <w:rPr>
                <w:rFonts w:hint="eastAsia" w:ascii="宋体" w:hAnsi="宋体" w:eastAsia="宋体" w:cs="宋体"/>
                <w:b w:val="0"/>
                <w:bCs/>
                <w:color w:val="000000"/>
                <w:kern w:val="2"/>
                <w:sz w:val="21"/>
                <w:szCs w:val="24"/>
                <w:highlight w:val="none"/>
                <w:lang w:val="en-US" w:eastAsia="zh-CN" w:bidi="ar-SA"/>
              </w:rPr>
              <w:t>（3）其他情况的，得3分。</w:t>
            </w:r>
          </w:p>
          <w:p>
            <w:pPr>
              <w:autoSpaceDE w:val="0"/>
              <w:autoSpaceDN w:val="0"/>
              <w:adjustRightInd w:val="0"/>
              <w:spacing w:line="360" w:lineRule="exact"/>
              <w:rPr>
                <w:rFonts w:hint="eastAsia" w:ascii="宋体" w:hAnsi="宋体" w:eastAsia="宋体" w:cs="宋体"/>
                <w:szCs w:val="21"/>
                <w:highlight w:val="none"/>
                <w:lang w:val="en-US" w:eastAsia="zh-CN"/>
              </w:rPr>
            </w:pPr>
            <w:r>
              <w:rPr>
                <w:rFonts w:hint="eastAsia" w:ascii="宋体" w:hAnsi="宋体" w:eastAsia="宋体" w:cs="宋体"/>
                <w:b w:val="0"/>
                <w:bCs/>
                <w:color w:val="000000"/>
                <w:kern w:val="2"/>
                <w:sz w:val="18"/>
                <w:szCs w:val="18"/>
                <w:highlight w:val="none"/>
                <w:lang w:val="en-US" w:eastAsia="zh-CN" w:bidi="ar-SA"/>
              </w:rPr>
              <w:t>注:本项内容须提供</w:t>
            </w:r>
            <w:r>
              <w:rPr>
                <w:rFonts w:hint="eastAsia" w:ascii="宋体" w:hAnsi="宋体" w:eastAsia="宋体" w:cs="宋体"/>
                <w:color w:val="000000"/>
                <w:sz w:val="18"/>
                <w:szCs w:val="18"/>
                <w:highlight w:val="none"/>
                <w:lang w:val="en-US" w:eastAsia="zh-CN"/>
              </w:rPr>
              <w:t>交通运输部公路水运工程质量试验检测管理信息系统中</w:t>
            </w:r>
            <w:r>
              <w:rPr>
                <w:rFonts w:hint="eastAsia" w:ascii="宋体" w:hAnsi="宋体" w:eastAsia="宋体" w:cs="宋体"/>
                <w:b w:val="0"/>
                <w:bCs/>
                <w:color w:val="000000"/>
                <w:kern w:val="2"/>
                <w:sz w:val="18"/>
                <w:szCs w:val="18"/>
                <w:highlight w:val="none"/>
                <w:lang w:val="en-US" w:eastAsia="zh-CN" w:bidi="ar-SA"/>
              </w:rPr>
              <w:t>试验检测机构查询的投标人的全部“比对试验”相关网页截图复印件或网页打印件。只计算评价结果为 “不满意”、“基本满意”、“满意”的比对试验项目，其他评价结果的比对试验项目不参与计算。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jc w:val="center"/>
        </w:trPr>
        <w:tc>
          <w:tcPr>
            <w:tcW w:w="872" w:type="dxa"/>
            <w:vMerge w:val="continue"/>
            <w:tcBorders>
              <w:tl2br w:val="nil"/>
              <w:tr2bl w:val="nil"/>
            </w:tcBorders>
            <w:noWrap w:val="0"/>
            <w:vAlign w:val="center"/>
          </w:tcPr>
          <w:p>
            <w:pPr>
              <w:spacing w:line="400" w:lineRule="exact"/>
              <w:jc w:val="center"/>
              <w:rPr>
                <w:rFonts w:hint="eastAsia" w:ascii="宋体" w:hAnsi="宋体" w:eastAsia="宋体" w:cs="宋体"/>
                <w:color w:val="000000"/>
                <w:highlight w:val="none"/>
                <w:lang w:val="en-US" w:eastAsia="zh-CN"/>
              </w:rPr>
            </w:pPr>
          </w:p>
        </w:tc>
        <w:tc>
          <w:tcPr>
            <w:tcW w:w="1095" w:type="dxa"/>
            <w:vMerge w:val="restart"/>
            <w:tcBorders>
              <w:tl2br w:val="nil"/>
              <w:tr2bl w:val="nil"/>
            </w:tcBorders>
            <w:noWrap w:val="0"/>
            <w:vAlign w:val="center"/>
          </w:tcPr>
          <w:p>
            <w:pPr>
              <w:spacing w:line="400" w:lineRule="exact"/>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履约信誉</w:t>
            </w:r>
          </w:p>
        </w:tc>
        <w:tc>
          <w:tcPr>
            <w:tcW w:w="1215" w:type="dxa"/>
            <w:vMerge w:val="restart"/>
            <w:tcBorders>
              <w:tl2br w:val="nil"/>
              <w:tr2bl w:val="nil"/>
            </w:tcBorders>
            <w:noWrap w:val="0"/>
            <w:vAlign w:val="center"/>
          </w:tcPr>
          <w:p>
            <w:pPr>
              <w:spacing w:line="40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10分</w:t>
            </w:r>
          </w:p>
        </w:tc>
        <w:tc>
          <w:tcPr>
            <w:tcW w:w="1305" w:type="dxa"/>
            <w:tcBorders>
              <w:tl2br w:val="nil"/>
              <w:tr2bl w:val="nil"/>
            </w:tcBorders>
            <w:noWrap w:val="0"/>
            <w:vAlign w:val="center"/>
          </w:tcPr>
          <w:p>
            <w:pPr>
              <w:autoSpaceDE w:val="0"/>
              <w:autoSpaceDN w:val="0"/>
              <w:adjustRightInd w:val="0"/>
              <w:spacing w:line="360" w:lineRule="exact"/>
              <w:jc w:val="center"/>
              <w:rPr>
                <w:rFonts w:hint="eastAsia" w:ascii="宋体" w:hAnsi="宋体"/>
                <w:b/>
                <w:bCs/>
                <w:color w:val="000000"/>
                <w:szCs w:val="21"/>
                <w:highlight w:val="none"/>
                <w:lang w:val="en-US" w:eastAsia="zh-CN"/>
              </w:rPr>
            </w:pPr>
            <w:r>
              <w:rPr>
                <w:rFonts w:hint="eastAsia" w:ascii="宋体" w:hAnsi="宋体"/>
                <w:bCs/>
                <w:szCs w:val="21"/>
                <w:highlight w:val="none"/>
              </w:rPr>
              <w:t>履约情况</w:t>
            </w:r>
          </w:p>
        </w:tc>
        <w:tc>
          <w:tcPr>
            <w:tcW w:w="900" w:type="dxa"/>
            <w:tcBorders>
              <w:tl2br w:val="nil"/>
              <w:tr2bl w:val="nil"/>
            </w:tcBorders>
            <w:noWrap w:val="0"/>
            <w:vAlign w:val="center"/>
          </w:tcPr>
          <w:p>
            <w:pPr>
              <w:autoSpaceDE w:val="0"/>
              <w:autoSpaceDN w:val="0"/>
              <w:adjustRightInd w:val="0"/>
              <w:spacing w:line="360" w:lineRule="exact"/>
              <w:jc w:val="center"/>
              <w:rPr>
                <w:rFonts w:hint="eastAsia" w:ascii="宋体" w:hAnsi="宋体" w:eastAsia="宋体" w:cs="宋体"/>
                <w:bCs/>
                <w:sz w:val="21"/>
                <w:szCs w:val="21"/>
                <w:highlight w:val="none"/>
              </w:rPr>
            </w:pPr>
            <w:r>
              <w:rPr>
                <w:rFonts w:hint="eastAsia" w:ascii="宋体" w:hAnsi="宋体"/>
                <w:highlight w:val="none"/>
              </w:rPr>
              <w:t>5分</w:t>
            </w:r>
          </w:p>
        </w:tc>
        <w:tc>
          <w:tcPr>
            <w:tcW w:w="9017" w:type="dxa"/>
            <w:tcBorders>
              <w:tl2br w:val="nil"/>
              <w:tr2bl w:val="nil"/>
            </w:tcBorders>
            <w:noWrap w:val="0"/>
            <w:vAlign w:val="center"/>
          </w:tcPr>
          <w:p>
            <w:pPr>
              <w:autoSpaceDE w:val="0"/>
              <w:autoSpaceDN w:val="0"/>
              <w:adjustRightInd w:val="0"/>
              <w:spacing w:line="360" w:lineRule="exact"/>
              <w:rPr>
                <w:rFonts w:hint="eastAsia" w:ascii="宋体" w:hAnsi="宋体" w:cs="宋体"/>
                <w:szCs w:val="21"/>
                <w:highlight w:val="none"/>
              </w:rPr>
            </w:pPr>
            <w:r>
              <w:rPr>
                <w:rFonts w:hint="eastAsia" w:ascii="宋体" w:hAnsi="宋体" w:cs="宋体"/>
                <w:szCs w:val="21"/>
                <w:highlight w:val="none"/>
              </w:rPr>
              <w:t>自20</w:t>
            </w:r>
            <w:r>
              <w:rPr>
                <w:rFonts w:hint="eastAsia" w:ascii="宋体" w:hAnsi="宋体" w:cs="宋体"/>
                <w:szCs w:val="21"/>
                <w:highlight w:val="none"/>
                <w:lang w:val="en-US" w:eastAsia="zh-CN"/>
              </w:rPr>
              <w:t>22</w:t>
            </w:r>
            <w:r>
              <w:rPr>
                <w:rFonts w:hint="eastAsia" w:ascii="宋体" w:hAnsi="宋体" w:cs="宋体"/>
                <w:szCs w:val="21"/>
                <w:highlight w:val="none"/>
              </w:rPr>
              <w:t>年1月1日至投标文件递交截止日，投标人因公路工程</w:t>
            </w:r>
            <w:r>
              <w:rPr>
                <w:rFonts w:hint="eastAsia" w:ascii="宋体" w:hAnsi="宋体" w:cs="宋体"/>
                <w:szCs w:val="21"/>
                <w:highlight w:val="none"/>
                <w:lang w:val="en-US" w:eastAsia="zh-CN"/>
              </w:rPr>
              <w:t>检测或监测</w:t>
            </w:r>
            <w:r>
              <w:rPr>
                <w:rFonts w:hint="eastAsia" w:ascii="宋体" w:hAnsi="宋体" w:cs="宋体"/>
                <w:szCs w:val="21"/>
                <w:highlight w:val="none"/>
              </w:rPr>
              <w:t>原因、履约或招标投标问题等原因被：</w:t>
            </w:r>
          </w:p>
          <w:p>
            <w:pPr>
              <w:autoSpaceDE w:val="0"/>
              <w:autoSpaceDN w:val="0"/>
              <w:adjustRightInd w:val="0"/>
              <w:spacing w:line="360" w:lineRule="exact"/>
              <w:rPr>
                <w:rFonts w:hint="eastAsia" w:ascii="宋体" w:hAnsi="宋体" w:cs="宋体"/>
                <w:szCs w:val="21"/>
                <w:highlight w:val="none"/>
              </w:rPr>
            </w:pPr>
            <w:r>
              <w:rPr>
                <w:rFonts w:hint="eastAsia" w:ascii="宋体" w:hAnsi="宋体" w:cs="宋体"/>
                <w:szCs w:val="21"/>
                <w:highlight w:val="none"/>
              </w:rPr>
              <w:t>（1）交通运输部通报批评的，扣5分/次；</w:t>
            </w:r>
          </w:p>
          <w:p>
            <w:pPr>
              <w:autoSpaceDE w:val="0"/>
              <w:autoSpaceDN w:val="0"/>
              <w:adjustRightInd w:val="0"/>
              <w:spacing w:line="360" w:lineRule="exact"/>
              <w:rPr>
                <w:rFonts w:hint="eastAsia" w:ascii="宋体" w:hAnsi="宋体" w:cs="宋体"/>
                <w:szCs w:val="21"/>
                <w:highlight w:val="none"/>
              </w:rPr>
            </w:pPr>
            <w:r>
              <w:rPr>
                <w:rFonts w:hint="eastAsia" w:ascii="宋体" w:hAnsi="宋体" w:cs="宋体"/>
                <w:szCs w:val="21"/>
                <w:highlight w:val="none"/>
              </w:rPr>
              <w:t>（2）广东省交通运输厅通报批评的，扣4分/次。</w:t>
            </w:r>
          </w:p>
          <w:p>
            <w:pPr>
              <w:autoSpaceDE w:val="0"/>
              <w:autoSpaceDN w:val="0"/>
              <w:adjustRightIn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同一事项同时被多个部门通报批评只按照最高的扣分计算1次，如果扣完本项分值，可以从总分中扣。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9" w:hRule="atLeast"/>
          <w:jc w:val="center"/>
        </w:trPr>
        <w:tc>
          <w:tcPr>
            <w:tcW w:w="872" w:type="dxa"/>
            <w:vMerge w:val="continue"/>
            <w:tcBorders>
              <w:tl2br w:val="nil"/>
              <w:tr2bl w:val="nil"/>
            </w:tcBorders>
            <w:noWrap w:val="0"/>
            <w:vAlign w:val="center"/>
          </w:tcPr>
          <w:p>
            <w:pPr>
              <w:spacing w:line="400" w:lineRule="exact"/>
              <w:jc w:val="center"/>
              <w:rPr>
                <w:rFonts w:hint="eastAsia" w:ascii="宋体" w:hAnsi="宋体" w:eastAsia="宋体" w:cs="宋体"/>
                <w:color w:val="000000"/>
                <w:highlight w:val="none"/>
                <w:lang w:val="en-US" w:eastAsia="zh-CN"/>
              </w:rPr>
            </w:pPr>
          </w:p>
        </w:tc>
        <w:tc>
          <w:tcPr>
            <w:tcW w:w="1095" w:type="dxa"/>
            <w:vMerge w:val="continue"/>
            <w:tcBorders>
              <w:tl2br w:val="nil"/>
              <w:tr2bl w:val="nil"/>
            </w:tcBorders>
            <w:noWrap w:val="0"/>
            <w:vAlign w:val="center"/>
          </w:tcPr>
          <w:p>
            <w:pPr>
              <w:spacing w:line="400" w:lineRule="exact"/>
              <w:jc w:val="center"/>
              <w:rPr>
                <w:rFonts w:hint="eastAsia" w:ascii="宋体" w:hAnsi="宋体" w:eastAsia="宋体" w:cs="宋体"/>
                <w:color w:val="000000"/>
                <w:highlight w:val="none"/>
                <w:lang w:val="en-US" w:eastAsia="zh-CN"/>
              </w:rPr>
            </w:pPr>
          </w:p>
        </w:tc>
        <w:tc>
          <w:tcPr>
            <w:tcW w:w="1215" w:type="dxa"/>
            <w:vMerge w:val="continue"/>
            <w:tcBorders>
              <w:tl2br w:val="nil"/>
              <w:tr2bl w:val="nil"/>
            </w:tcBorders>
            <w:noWrap w:val="0"/>
            <w:vAlign w:val="center"/>
          </w:tcPr>
          <w:p>
            <w:pPr>
              <w:spacing w:line="400" w:lineRule="exact"/>
              <w:jc w:val="center"/>
              <w:rPr>
                <w:rFonts w:hint="eastAsia" w:ascii="宋体" w:hAnsi="宋体" w:eastAsia="宋体" w:cs="宋体"/>
                <w:color w:val="000000"/>
                <w:highlight w:val="none"/>
              </w:rPr>
            </w:pPr>
          </w:p>
        </w:tc>
        <w:tc>
          <w:tcPr>
            <w:tcW w:w="1305" w:type="dxa"/>
            <w:tcBorders>
              <w:tl2br w:val="nil"/>
              <w:tr2bl w:val="nil"/>
            </w:tcBorders>
            <w:noWrap w:val="0"/>
            <w:vAlign w:val="center"/>
          </w:tcPr>
          <w:p>
            <w:pPr>
              <w:autoSpaceDE w:val="0"/>
              <w:autoSpaceDN w:val="0"/>
              <w:adjustRightInd w:val="0"/>
              <w:spacing w:line="360" w:lineRule="exact"/>
              <w:jc w:val="center"/>
              <w:rPr>
                <w:rFonts w:hint="eastAsia" w:ascii="宋体" w:hAnsi="宋体"/>
                <w:b/>
                <w:bCs/>
                <w:color w:val="000000"/>
                <w:szCs w:val="21"/>
                <w:highlight w:val="none"/>
                <w:lang w:val="en-US" w:eastAsia="zh-CN"/>
              </w:rPr>
            </w:pPr>
            <w:r>
              <w:rPr>
                <w:rFonts w:hint="eastAsia" w:ascii="宋体" w:hAnsi="宋体"/>
                <w:b/>
                <w:bCs/>
                <w:color w:val="000000"/>
                <w:szCs w:val="21"/>
                <w:highlight w:val="none"/>
                <w:lang w:val="en-US" w:eastAsia="zh-CN"/>
              </w:rPr>
              <w:t>交通运输部的</w:t>
            </w:r>
            <w:r>
              <w:rPr>
                <w:rFonts w:hint="eastAsia" w:ascii="宋体" w:hAnsi="宋体"/>
                <w:b/>
                <w:bCs/>
                <w:color w:val="000000"/>
                <w:szCs w:val="21"/>
                <w:highlight w:val="none"/>
              </w:rPr>
              <w:t>信用等级</w:t>
            </w:r>
          </w:p>
        </w:tc>
        <w:tc>
          <w:tcPr>
            <w:tcW w:w="900" w:type="dxa"/>
            <w:tcBorders>
              <w:tl2br w:val="nil"/>
              <w:tr2bl w:val="nil"/>
            </w:tcBorders>
            <w:noWrap w:val="0"/>
            <w:vAlign w:val="center"/>
          </w:tcPr>
          <w:p>
            <w:pPr>
              <w:autoSpaceDE w:val="0"/>
              <w:autoSpaceDN w:val="0"/>
              <w:adjustRightInd w:val="0"/>
              <w:spacing w:line="36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5分</w:t>
            </w:r>
          </w:p>
        </w:tc>
        <w:tc>
          <w:tcPr>
            <w:tcW w:w="9017" w:type="dxa"/>
            <w:tcBorders>
              <w:tl2br w:val="nil"/>
              <w:tr2bl w:val="nil"/>
            </w:tcBorders>
            <w:noWrap w:val="0"/>
            <w:vAlign w:val="center"/>
          </w:tcPr>
          <w:p>
            <w:pPr>
              <w:pStyle w:val="10"/>
              <w:snapToGrid w:val="0"/>
              <w:spacing w:line="360" w:lineRule="auto"/>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交通运输部公路水运工程质量试验检测管理信息系统中最新年度的公路水运工程甲级（专项）试验检测机构信用评价等级，被评为AA级的，</w:t>
            </w:r>
            <w:r>
              <w:rPr>
                <w:rFonts w:hint="eastAsia" w:ascii="宋体" w:hAnsi="宋体" w:eastAsia="宋体" w:cs="宋体"/>
                <w:color w:val="000000"/>
                <w:sz w:val="21"/>
                <w:szCs w:val="21"/>
                <w:highlight w:val="none"/>
                <w:lang w:val="en-US" w:eastAsia="zh-CN" w:bidi="ar"/>
              </w:rPr>
              <w:t>得5分；其他情况不得分。</w:t>
            </w:r>
          </w:p>
          <w:p>
            <w:pPr>
              <w:pStyle w:val="10"/>
              <w:snapToGrid w:val="0"/>
              <w:spacing w:line="360" w:lineRule="auto"/>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（网站地址：https://www.ttiis.cn/PCWeb/PCHome/Index）</w:t>
            </w:r>
          </w:p>
          <w:p>
            <w:pPr>
              <w:pStyle w:val="10"/>
              <w:snapToGrid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18"/>
                <w:szCs w:val="18"/>
                <w:highlight w:val="none"/>
              </w:rPr>
              <w:t>注：须提供</w:t>
            </w:r>
            <w:r>
              <w:rPr>
                <w:rFonts w:hint="eastAsia" w:ascii="宋体" w:hAnsi="宋体"/>
                <w:color w:val="000000"/>
                <w:sz w:val="18"/>
                <w:szCs w:val="18"/>
                <w:highlight w:val="none"/>
                <w:lang w:val="en-US" w:eastAsia="zh-CN"/>
              </w:rPr>
              <w:t>交通运输部的公路水运工程质量试验检测管理信息系统</w:t>
            </w:r>
            <w:r>
              <w:rPr>
                <w:rFonts w:hint="eastAsia" w:ascii="宋体" w:hAnsi="宋体" w:eastAsia="宋体" w:cs="宋体"/>
                <w:sz w:val="18"/>
                <w:szCs w:val="18"/>
                <w:highlight w:val="none"/>
              </w:rPr>
              <w:t>相关网页截图。上述信用等级的确定原则见投标人须知10.2条款。</w:t>
            </w:r>
          </w:p>
        </w:tc>
      </w:tr>
    </w:tbl>
    <w:p>
      <w:pPr>
        <w:jc w:val="right"/>
        <w:rPr>
          <w:rFonts w:hint="eastAsia" w:ascii="宋体" w:hAnsi="宋体"/>
          <w:color w:val="000000"/>
          <w:szCs w:val="21"/>
          <w:highlight w:val="none"/>
        </w:rPr>
      </w:pPr>
    </w:p>
    <w:p>
      <w:pPr>
        <w:pStyle w:val="3"/>
        <w:rPr>
          <w:rFonts w:hint="eastAsia" w:ascii="宋体" w:hAnsi="宋体"/>
          <w:color w:val="000000"/>
          <w:szCs w:val="21"/>
          <w:highlight w:val="none"/>
        </w:rPr>
      </w:pPr>
    </w:p>
    <w:p>
      <w:pPr>
        <w:pStyle w:val="3"/>
        <w:rPr>
          <w:rFonts w:hint="eastAsia" w:ascii="宋体" w:hAnsi="宋体"/>
          <w:color w:val="000000"/>
          <w:szCs w:val="21"/>
          <w:highlight w:val="none"/>
        </w:rPr>
        <w:sectPr>
          <w:footnotePr>
            <w:numFmt w:val="decimalEnclosedCircleChinese"/>
            <w:numRestart w:val="eachPage"/>
          </w:footnotePr>
          <w:pgSz w:w="16838" w:h="11906" w:orient="landscape"/>
          <w:pgMar w:top="1457" w:right="1134" w:bottom="1457" w:left="1440" w:header="851" w:footer="850" w:gutter="0"/>
          <w:pgNumType w:fmt="numberInDash"/>
          <w:cols w:space="720" w:num="1"/>
          <w:rtlGutter w:val="0"/>
          <w:docGrid w:linePitch="312" w:charSpace="0"/>
        </w:sectPr>
      </w:pPr>
    </w:p>
    <w:p>
      <w:pPr>
        <w:jc w:val="right"/>
        <w:rPr>
          <w:rFonts w:hint="eastAsia" w:ascii="宋体" w:hAnsi="宋体"/>
          <w:color w:val="000000"/>
          <w:szCs w:val="21"/>
          <w:highlight w:val="none"/>
        </w:rPr>
      </w:pPr>
      <w:r>
        <w:rPr>
          <w:rFonts w:hint="eastAsia" w:ascii="宋体" w:hAnsi="宋体"/>
          <w:color w:val="000000"/>
          <w:szCs w:val="21"/>
          <w:highlight w:val="none"/>
        </w:rPr>
        <w:t>续上表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8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27" w:type="dxa"/>
            <w:gridSpan w:val="2"/>
            <w:noWrap w:val="0"/>
            <w:vAlign w:val="center"/>
          </w:tcPr>
          <w:p>
            <w:pPr>
              <w:spacing w:line="360" w:lineRule="exact"/>
              <w:jc w:val="center"/>
              <w:rPr>
                <w:rFonts w:hint="eastAsia" w:ascii="宋体" w:hAnsi="宋体"/>
                <w:b/>
                <w:color w:val="000000"/>
                <w:sz w:val="32"/>
                <w:szCs w:val="32"/>
                <w:highlight w:val="none"/>
              </w:rPr>
            </w:pPr>
            <w:r>
              <w:rPr>
                <w:rFonts w:ascii="宋体" w:hAnsi="宋体"/>
                <w:b/>
                <w:color w:val="000000"/>
                <w:sz w:val="32"/>
                <w:szCs w:val="32"/>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29" w:type="dxa"/>
            <w:noWrap w:val="0"/>
            <w:vAlign w:val="center"/>
          </w:tcPr>
          <w:p>
            <w:pPr>
              <w:spacing w:line="360" w:lineRule="exact"/>
              <w:jc w:val="center"/>
              <w:rPr>
                <w:rFonts w:hint="eastAsia" w:ascii="宋体" w:hAnsi="宋体"/>
                <w:b/>
                <w:color w:val="000000"/>
                <w:szCs w:val="21"/>
                <w:highlight w:val="none"/>
              </w:rPr>
            </w:pPr>
            <w:r>
              <w:rPr>
                <w:rFonts w:hint="eastAsia" w:ascii="宋体" w:hAnsi="宋体"/>
                <w:b/>
                <w:color w:val="000000"/>
                <w:szCs w:val="21"/>
                <w:highlight w:val="none"/>
              </w:rPr>
              <w:t>条款号</w:t>
            </w:r>
          </w:p>
        </w:tc>
        <w:tc>
          <w:tcPr>
            <w:tcW w:w="8398" w:type="dxa"/>
            <w:noWrap w:val="0"/>
            <w:vAlign w:val="center"/>
          </w:tcPr>
          <w:p>
            <w:pPr>
              <w:spacing w:line="360" w:lineRule="exact"/>
              <w:jc w:val="center"/>
              <w:rPr>
                <w:rFonts w:hint="eastAsia" w:ascii="宋体" w:hAnsi="宋体"/>
                <w:b/>
                <w:color w:val="000000"/>
                <w:szCs w:val="21"/>
                <w:highlight w:val="none"/>
              </w:rPr>
            </w:pPr>
            <w:r>
              <w:rPr>
                <w:rFonts w:hint="eastAsia" w:ascii="宋体" w:hAnsi="宋体"/>
                <w:b/>
                <w:color w:val="000000"/>
                <w:szCs w:val="21"/>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1029" w:type="dxa"/>
            <w:noWrap w:val="0"/>
            <w:vAlign w:val="center"/>
          </w:tcPr>
          <w:p>
            <w:pPr>
              <w:spacing w:line="360" w:lineRule="exact"/>
              <w:jc w:val="center"/>
              <w:rPr>
                <w:rFonts w:hint="eastAsia" w:ascii="宋体" w:hAnsi="宋体"/>
                <w:b/>
                <w:color w:val="000000"/>
                <w:szCs w:val="21"/>
                <w:highlight w:val="none"/>
              </w:rPr>
            </w:pPr>
            <w:r>
              <w:rPr>
                <w:rFonts w:hint="eastAsia" w:ascii="宋体" w:hAnsi="宋体"/>
                <w:b/>
                <w:color w:val="000000"/>
                <w:szCs w:val="21"/>
                <w:highlight w:val="none"/>
              </w:rPr>
              <w:t>1</w:t>
            </w:r>
          </w:p>
        </w:tc>
        <w:tc>
          <w:tcPr>
            <w:tcW w:w="8398" w:type="dxa"/>
            <w:noWrap w:val="0"/>
            <w:vAlign w:val="center"/>
          </w:tcPr>
          <w:p>
            <w:pPr>
              <w:spacing w:line="360" w:lineRule="exact"/>
              <w:ind w:firstLine="422" w:firstLineChars="200"/>
              <w:rPr>
                <w:rFonts w:hint="eastAsia" w:ascii="宋体" w:hAnsi="宋体"/>
                <w:b/>
                <w:color w:val="000000"/>
                <w:szCs w:val="21"/>
                <w:highlight w:val="none"/>
              </w:rPr>
            </w:pPr>
            <w:r>
              <w:rPr>
                <w:rFonts w:hint="eastAsia" w:ascii="宋体" w:hAnsi="宋体"/>
                <w:b/>
                <w:color w:val="000000"/>
                <w:szCs w:val="21"/>
                <w:highlight w:val="none"/>
              </w:rPr>
              <w:t>将评标办法范本原文第1条“评标方法”改为“评标方法及评标组织”，并且原文内容修改如下：</w:t>
            </w:r>
          </w:p>
          <w:p>
            <w:pPr>
              <w:spacing w:line="360" w:lineRule="exact"/>
              <w:rPr>
                <w:rFonts w:hint="eastAsia" w:ascii="宋体" w:hAnsi="宋体"/>
                <w:b/>
                <w:color w:val="000000"/>
                <w:szCs w:val="21"/>
                <w:highlight w:val="none"/>
              </w:rPr>
            </w:pPr>
            <w:r>
              <w:rPr>
                <w:rFonts w:hint="eastAsia" w:ascii="宋体" w:hAnsi="宋体"/>
                <w:b/>
                <w:color w:val="000000"/>
                <w:szCs w:val="21"/>
                <w:highlight w:val="none"/>
              </w:rPr>
              <w:t>1.1评标方法</w:t>
            </w:r>
          </w:p>
          <w:p>
            <w:pPr>
              <w:spacing w:line="340" w:lineRule="exact"/>
              <w:ind w:firstLine="420" w:firstLineChars="200"/>
              <w:rPr>
                <w:rFonts w:hint="eastAsia" w:ascii="宋体" w:hAnsi="宋体"/>
                <w:szCs w:val="21"/>
              </w:rPr>
            </w:pPr>
            <w:r>
              <w:rPr>
                <w:rFonts w:hint="eastAsia" w:ascii="宋体" w:hAnsi="宋体"/>
                <w:szCs w:val="21"/>
              </w:rPr>
              <w:t>本次评标采用</w:t>
            </w:r>
            <w:r>
              <w:rPr>
                <w:rFonts w:hint="eastAsia" w:ascii="宋体" w:hAnsi="宋体"/>
                <w:szCs w:val="21"/>
                <w:lang w:val="en-US" w:eastAsia="zh-CN"/>
              </w:rPr>
              <w:t>双信封的</w:t>
            </w:r>
            <w:r>
              <w:rPr>
                <w:rFonts w:hint="eastAsia" w:ascii="宋体" w:hAnsi="宋体"/>
                <w:szCs w:val="21"/>
              </w:rPr>
              <w:t>综合评估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w:t>
            </w:r>
          </w:p>
          <w:p>
            <w:pPr>
              <w:spacing w:line="340" w:lineRule="exact"/>
              <w:rPr>
                <w:rFonts w:hint="eastAsia" w:ascii="宋体" w:hAnsi="宋体"/>
                <w:b/>
                <w:szCs w:val="21"/>
              </w:rPr>
            </w:pPr>
            <w:r>
              <w:rPr>
                <w:rFonts w:hint="eastAsia" w:ascii="宋体" w:hAnsi="宋体"/>
                <w:b/>
                <w:szCs w:val="21"/>
              </w:rPr>
              <w:t>1.2评标组织</w:t>
            </w:r>
          </w:p>
          <w:p>
            <w:pPr>
              <w:spacing w:line="340" w:lineRule="exact"/>
              <w:rPr>
                <w:rFonts w:hint="eastAsia" w:ascii="宋体" w:hAnsi="宋体"/>
                <w:b/>
                <w:szCs w:val="21"/>
              </w:rPr>
            </w:pPr>
            <w:r>
              <w:rPr>
                <w:rFonts w:hint="eastAsia" w:ascii="宋体" w:hAnsi="宋体"/>
                <w:b/>
                <w:szCs w:val="21"/>
              </w:rPr>
              <w:t>1.2.1协助工作组</w:t>
            </w:r>
          </w:p>
          <w:p>
            <w:pPr>
              <w:spacing w:line="340" w:lineRule="exact"/>
              <w:ind w:firstLine="420" w:firstLineChars="200"/>
              <w:rPr>
                <w:rFonts w:hint="eastAsia" w:ascii="宋体" w:hAnsi="宋体"/>
                <w:szCs w:val="21"/>
              </w:rPr>
            </w:pPr>
            <w:r>
              <w:rPr>
                <w:rFonts w:hint="eastAsia" w:ascii="宋体" w:hAnsi="宋体"/>
                <w:szCs w:val="21"/>
              </w:rPr>
              <w:t>招标人可在评标工作开始前成立协助工作组，选派熟悉招标工作、政治素质高的人员组成，协助评标委员会工作。协助工作组人员的具体数量由招标人视评标工作量确定。</w:t>
            </w:r>
          </w:p>
          <w:p>
            <w:pPr>
              <w:spacing w:line="340" w:lineRule="exact"/>
              <w:ind w:firstLine="420" w:firstLineChars="200"/>
              <w:rPr>
                <w:rFonts w:hint="eastAsia" w:ascii="宋体" w:hAnsi="宋体" w:cs="宋体"/>
                <w:kern w:val="0"/>
                <w:szCs w:val="21"/>
              </w:rPr>
            </w:pPr>
            <w:r>
              <w:rPr>
                <w:rFonts w:hint="eastAsia" w:ascii="宋体" w:hAnsi="宋体" w:cs="宋体"/>
                <w:kern w:val="0"/>
                <w:szCs w:val="21"/>
              </w:rPr>
              <w:t>招标人可以协助评标委员会开展下列工作并提供相关信息：</w:t>
            </w:r>
          </w:p>
          <w:p>
            <w:pPr>
              <w:spacing w:line="340" w:lineRule="exact"/>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）根据招标文件，编制评标使用的相应表格；</w:t>
            </w:r>
          </w:p>
          <w:p>
            <w:pPr>
              <w:spacing w:line="340" w:lineRule="exact"/>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）对投标报价进行算术性校核</w:t>
            </w:r>
            <w:r>
              <w:rPr>
                <w:rFonts w:hint="eastAsia" w:ascii="宋体" w:hAnsi="宋体"/>
                <w:strike w:val="0"/>
                <w:dstrike w:val="0"/>
                <w:szCs w:val="21"/>
                <w:highlight w:val="none"/>
              </w:rPr>
              <w:t>（如采用固化工程量清单，本步骤省略）</w:t>
            </w:r>
            <w:r>
              <w:rPr>
                <w:rFonts w:hint="eastAsia" w:ascii="宋体" w:hAnsi="宋体"/>
                <w:strike w:val="0"/>
                <w:szCs w:val="21"/>
                <w:highlight w:val="none"/>
              </w:rPr>
              <w:t>；</w:t>
            </w:r>
          </w:p>
          <w:p>
            <w:pPr>
              <w:spacing w:line="340" w:lineRule="exact"/>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）以评标标准和方法为依据，列出投标文件相对于招标文件的所有偏差，并进行归类汇总；</w:t>
            </w:r>
          </w:p>
          <w:p>
            <w:pPr>
              <w:spacing w:line="340" w:lineRule="exact"/>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rPr>
              <w:t>（4）对投标人的资质、业绩、主要人</w:t>
            </w:r>
            <w:r>
              <w:rPr>
                <w:rFonts w:hint="eastAsia" w:ascii="宋体" w:hAnsi="宋体" w:eastAsia="宋体" w:cs="Times New Roman"/>
                <w:szCs w:val="21"/>
                <w:lang w:val="en-US" w:eastAsia="zh-CN"/>
              </w:rPr>
              <w:t>员资历和目前在岗情况、信用等级进行核实（如有）</w:t>
            </w:r>
          </w:p>
          <w:p>
            <w:pPr>
              <w:spacing w:line="340" w:lineRule="exact"/>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招标人不得对投标文件作出任何评价，不得故意遗漏或者片面摘录，不得在评标委员会对所有偏差定性之前透露存有偏差的投标人名称</w:t>
            </w:r>
            <w:r>
              <w:rPr>
                <w:rFonts w:hint="eastAsia" w:ascii="宋体" w:hAnsi="宋体" w:eastAsia="宋体" w:cs="Times New Roman"/>
                <w:szCs w:val="21"/>
                <w:lang w:eastAsia="zh-CN"/>
              </w:rPr>
              <w:t>。</w:t>
            </w:r>
          </w:p>
          <w:p>
            <w:pPr>
              <w:spacing w:line="340" w:lineRule="exact"/>
              <w:rPr>
                <w:rFonts w:hint="eastAsia" w:ascii="宋体" w:hAnsi="宋体"/>
                <w:b/>
                <w:szCs w:val="21"/>
              </w:rPr>
            </w:pPr>
            <w:r>
              <w:rPr>
                <w:rFonts w:hint="eastAsia" w:ascii="宋体" w:hAnsi="宋体"/>
                <w:b/>
                <w:szCs w:val="21"/>
              </w:rPr>
              <w:t>1.2.2评标委员会</w:t>
            </w:r>
          </w:p>
          <w:p>
            <w:pPr>
              <w:spacing w:line="3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评标委员会由招标人按国家、广东省等的有关规定依法组建。评标委员人数为五人及以上单数。评标委员会的主要工作内容包括:</w:t>
            </w:r>
          </w:p>
          <w:p>
            <w:pPr>
              <w:spacing w:line="340" w:lineRule="exact"/>
              <w:ind w:firstLine="323" w:firstLineChars="154"/>
              <w:rPr>
                <w:rFonts w:hint="eastAsia" w:ascii="宋体" w:hAnsi="宋体"/>
                <w:szCs w:val="21"/>
              </w:rPr>
            </w:pPr>
            <w:r>
              <w:rPr>
                <w:rFonts w:hint="eastAsia" w:ascii="宋体" w:hAnsi="宋体"/>
                <w:szCs w:val="21"/>
              </w:rPr>
              <w:t>（1）评标委员会开始评标工作之前，首先听取招标人、协助工作组关于工程情况和辅助工作的说明，并认真研读招标文件，获取评标所需的重要信息和数据；</w:t>
            </w:r>
          </w:p>
          <w:p>
            <w:pPr>
              <w:spacing w:line="340" w:lineRule="exact"/>
              <w:ind w:firstLine="323" w:firstLineChars="154"/>
              <w:rPr>
                <w:rFonts w:hint="eastAsia" w:ascii="宋体" w:hAnsi="宋体"/>
                <w:szCs w:val="21"/>
              </w:rPr>
            </w:pPr>
            <w:r>
              <w:rPr>
                <w:rFonts w:hint="eastAsia" w:ascii="宋体" w:hAnsi="宋体"/>
                <w:szCs w:val="21"/>
              </w:rPr>
              <w:t>（2）对协助工作组提供的评标工作用表和评标内容进行认真核对；</w:t>
            </w:r>
          </w:p>
          <w:p>
            <w:pPr>
              <w:spacing w:line="340" w:lineRule="exact"/>
              <w:ind w:firstLine="323" w:firstLineChars="154"/>
              <w:rPr>
                <w:rFonts w:hint="eastAsia" w:ascii="宋体" w:hAnsi="宋体"/>
                <w:szCs w:val="21"/>
              </w:rPr>
            </w:pPr>
            <w:r>
              <w:rPr>
                <w:rFonts w:hint="eastAsia" w:ascii="宋体" w:hAnsi="宋体"/>
                <w:szCs w:val="21"/>
              </w:rPr>
              <w:t>（3）按照</w:t>
            </w:r>
            <w:r>
              <w:rPr>
                <w:rFonts w:hint="eastAsia" w:ascii="宋体" w:hAnsi="宋体"/>
                <w:szCs w:val="21"/>
                <w:lang w:val="en-US" w:eastAsia="zh-CN"/>
              </w:rPr>
              <w:t>以下1.3款</w:t>
            </w:r>
            <w:r>
              <w:rPr>
                <w:rFonts w:hint="eastAsia" w:ascii="宋体" w:hAnsi="宋体"/>
                <w:szCs w:val="21"/>
              </w:rPr>
              <w:t>程序进行各项评审工作。</w:t>
            </w:r>
          </w:p>
          <w:p>
            <w:pPr>
              <w:spacing w:line="360" w:lineRule="exact"/>
              <w:rPr>
                <w:rFonts w:hint="eastAsia" w:ascii="宋体" w:hAnsi="宋体"/>
                <w:b/>
                <w:color w:val="000000"/>
                <w:szCs w:val="21"/>
                <w:highlight w:val="none"/>
              </w:rPr>
            </w:pPr>
            <w:r>
              <w:rPr>
                <w:rFonts w:hint="eastAsia" w:ascii="宋体" w:hAnsi="宋体"/>
                <w:b/>
                <w:color w:val="000000"/>
                <w:szCs w:val="21"/>
                <w:highlight w:val="none"/>
              </w:rPr>
              <w:t>1.3评审工作程序</w:t>
            </w:r>
          </w:p>
          <w:p>
            <w:pPr>
              <w:spacing w:line="360" w:lineRule="exact"/>
              <w:rPr>
                <w:rFonts w:hint="eastAsia" w:ascii="宋体" w:hAnsi="宋体"/>
                <w:color w:val="000000"/>
                <w:szCs w:val="21"/>
                <w:highlight w:val="none"/>
              </w:rPr>
            </w:pPr>
            <w:r>
              <w:rPr>
                <w:rFonts w:hint="eastAsia" w:ascii="宋体" w:hAnsi="宋体"/>
                <w:color w:val="000000"/>
                <w:szCs w:val="21"/>
                <w:highlight w:val="none"/>
              </w:rPr>
              <w:t>（一）第一信封（商务文件和技术文件）：</w:t>
            </w:r>
          </w:p>
          <w:p>
            <w:pPr>
              <w:spacing w:line="360" w:lineRule="exact"/>
              <w:ind w:firstLine="323" w:firstLineChars="154"/>
              <w:rPr>
                <w:rFonts w:hint="eastAsia" w:ascii="宋体" w:hAnsi="宋体"/>
                <w:color w:val="000000"/>
                <w:szCs w:val="21"/>
                <w:highlight w:val="none"/>
              </w:rPr>
            </w:pPr>
            <w:r>
              <w:rPr>
                <w:rFonts w:hint="eastAsia" w:ascii="宋体" w:hAnsi="宋体"/>
                <w:color w:val="000000"/>
                <w:szCs w:val="21"/>
                <w:highlight w:val="none"/>
              </w:rPr>
              <w:t>（1）初步评审，包括形式评审与响应性评审、资格评审；</w:t>
            </w:r>
          </w:p>
          <w:p>
            <w:pPr>
              <w:spacing w:line="360" w:lineRule="exact"/>
              <w:ind w:firstLine="323" w:firstLineChars="154"/>
              <w:rPr>
                <w:rFonts w:hint="eastAsia" w:ascii="宋体" w:hAnsi="宋体"/>
                <w:color w:val="000000"/>
                <w:szCs w:val="21"/>
                <w:highlight w:val="none"/>
              </w:rPr>
            </w:pPr>
            <w:r>
              <w:rPr>
                <w:rFonts w:hint="eastAsia" w:ascii="宋体" w:hAnsi="宋体"/>
                <w:color w:val="000000"/>
                <w:szCs w:val="21"/>
                <w:highlight w:val="none"/>
              </w:rPr>
              <w:t>（2）详细评审（评审打分）：评标委员会首先对通过初步评审的投标文件第一个信封（商务及技术文件）进行详细评审，</w:t>
            </w:r>
            <w:r>
              <w:rPr>
                <w:rFonts w:hint="eastAsia" w:ascii="宋体" w:cs="宋体"/>
                <w:kern w:val="0"/>
                <w:sz w:val="22"/>
                <w:szCs w:val="22"/>
                <w:highlight w:val="none"/>
              </w:rPr>
              <w:t>对投标人的</w:t>
            </w:r>
            <w:r>
              <w:rPr>
                <w:rFonts w:hint="eastAsia" w:ascii="宋体" w:cs="宋体"/>
                <w:kern w:val="0"/>
                <w:sz w:val="22"/>
                <w:szCs w:val="22"/>
                <w:highlight w:val="none"/>
                <w:lang w:val="en-US" w:eastAsia="zh-CN"/>
              </w:rPr>
              <w:t>技术建议书、主要人员、</w:t>
            </w:r>
            <w:r>
              <w:rPr>
                <w:rFonts w:hint="eastAsia" w:ascii="宋体" w:cs="宋体"/>
                <w:kern w:val="0"/>
                <w:sz w:val="22"/>
                <w:szCs w:val="22"/>
                <w:highlight w:val="none"/>
              </w:rPr>
              <w:t>其他因素</w:t>
            </w:r>
            <w:r>
              <w:rPr>
                <w:rFonts w:hint="eastAsia" w:ascii="宋体" w:cs="宋体"/>
                <w:kern w:val="0"/>
                <w:sz w:val="22"/>
                <w:szCs w:val="22"/>
                <w:highlight w:val="none"/>
                <w:lang w:val="en-US" w:eastAsia="zh-CN"/>
              </w:rPr>
              <w:t>等分别评审打分</w:t>
            </w:r>
            <w:r>
              <w:rPr>
                <w:rFonts w:hint="eastAsia" w:ascii="宋体" w:hAnsi="宋体"/>
                <w:color w:val="000000"/>
                <w:szCs w:val="21"/>
                <w:highlight w:val="none"/>
              </w:rPr>
              <w:t>。</w:t>
            </w:r>
          </w:p>
          <w:p>
            <w:pPr>
              <w:spacing w:line="360" w:lineRule="exact"/>
              <w:rPr>
                <w:rFonts w:hint="eastAsia" w:ascii="宋体" w:hAnsi="宋体"/>
                <w:color w:val="000000"/>
                <w:szCs w:val="21"/>
                <w:highlight w:val="none"/>
              </w:rPr>
            </w:pPr>
            <w:r>
              <w:rPr>
                <w:rFonts w:hint="eastAsia" w:ascii="宋体" w:hAnsi="宋体"/>
                <w:color w:val="000000"/>
                <w:szCs w:val="21"/>
                <w:highlight w:val="none"/>
              </w:rPr>
              <w:t>（二）第二信封（报价文件）：</w:t>
            </w:r>
          </w:p>
          <w:p>
            <w:pPr>
              <w:spacing w:line="400" w:lineRule="exact"/>
              <w:ind w:firstLine="210" w:firstLineChars="100"/>
              <w:rPr>
                <w:rFonts w:hint="eastAsia" w:ascii="宋体" w:hAnsi="宋体"/>
                <w:color w:val="000000"/>
                <w:szCs w:val="21"/>
                <w:highlight w:val="none"/>
              </w:rPr>
            </w:pPr>
            <w:r>
              <w:rPr>
                <w:rFonts w:hint="eastAsia" w:ascii="宋体" w:hAnsi="宋体"/>
                <w:color w:val="000000"/>
                <w:szCs w:val="21"/>
                <w:highlight w:val="none"/>
              </w:rPr>
              <w:t>1、初步评审：</w:t>
            </w:r>
          </w:p>
          <w:p>
            <w:pPr>
              <w:spacing w:line="400" w:lineRule="exact"/>
              <w:ind w:firstLine="210" w:firstLineChars="100"/>
              <w:rPr>
                <w:rFonts w:hint="eastAsia" w:ascii="宋体" w:hAnsi="宋体"/>
                <w:color w:val="000000"/>
                <w:szCs w:val="21"/>
                <w:highlight w:val="none"/>
              </w:rPr>
            </w:pPr>
            <w:r>
              <w:rPr>
                <w:rFonts w:hint="eastAsia" w:ascii="宋体" w:hAnsi="宋体"/>
                <w:color w:val="000000"/>
                <w:szCs w:val="21"/>
                <w:highlight w:val="none"/>
              </w:rPr>
              <w:t>（1）只有投标文件第一个信封通过详细评审的投标人才能继续参加第二信封报价文件的形式评审与响应性评审。</w:t>
            </w:r>
          </w:p>
          <w:p>
            <w:pPr>
              <w:spacing w:line="400" w:lineRule="exact"/>
              <w:ind w:firstLine="210" w:firstLineChars="100"/>
              <w:rPr>
                <w:rFonts w:hint="eastAsia" w:ascii="宋体" w:hAnsi="宋体"/>
                <w:color w:val="000000"/>
                <w:szCs w:val="21"/>
                <w:highlight w:val="none"/>
              </w:rPr>
            </w:pPr>
            <w:r>
              <w:rPr>
                <w:rFonts w:hint="eastAsia" w:ascii="宋体" w:hAnsi="宋体"/>
                <w:color w:val="000000"/>
                <w:szCs w:val="21"/>
                <w:highlight w:val="none"/>
              </w:rPr>
              <w:t>（2）报价算术性修正（如采用固化工程量清单，本步骤省略）；</w:t>
            </w:r>
          </w:p>
          <w:p>
            <w:pPr>
              <w:spacing w:line="400" w:lineRule="exact"/>
              <w:ind w:firstLine="210" w:firstLineChars="100"/>
              <w:rPr>
                <w:rFonts w:hint="eastAsia" w:ascii="宋体" w:hAnsi="宋体"/>
                <w:color w:val="000000"/>
                <w:szCs w:val="21"/>
                <w:highlight w:val="none"/>
              </w:rPr>
            </w:pPr>
            <w:r>
              <w:rPr>
                <w:rFonts w:hint="eastAsia" w:ascii="宋体" w:hAnsi="宋体"/>
                <w:color w:val="000000"/>
                <w:szCs w:val="21"/>
                <w:highlight w:val="none"/>
              </w:rPr>
              <w:t>2、详细评审：计算评标基准价、评标价得分及综合得分；</w:t>
            </w:r>
          </w:p>
          <w:p>
            <w:pPr>
              <w:spacing w:line="360" w:lineRule="exact"/>
              <w:ind w:firstLine="220" w:firstLineChars="105"/>
              <w:rPr>
                <w:rFonts w:ascii="宋体" w:hAnsi="宋体"/>
                <w:color w:val="000000"/>
                <w:szCs w:val="21"/>
                <w:highlight w:val="none"/>
              </w:rPr>
            </w:pPr>
            <w:r>
              <w:rPr>
                <w:rFonts w:hint="eastAsia" w:ascii="宋体" w:hAnsi="宋体"/>
                <w:color w:val="000000"/>
                <w:szCs w:val="21"/>
                <w:highlight w:val="none"/>
              </w:rPr>
              <w:t>（三）投标文件相关信息的核查。</w:t>
            </w:r>
          </w:p>
          <w:p>
            <w:pPr>
              <w:spacing w:line="360" w:lineRule="exact"/>
              <w:ind w:firstLine="220" w:firstLineChars="105"/>
              <w:rPr>
                <w:rFonts w:ascii="宋体" w:hAnsi="宋体"/>
                <w:color w:val="000000"/>
                <w:szCs w:val="21"/>
                <w:highlight w:val="none"/>
              </w:rPr>
            </w:pPr>
            <w:r>
              <w:rPr>
                <w:rFonts w:hint="eastAsia" w:ascii="宋体" w:hAnsi="宋体"/>
                <w:color w:val="000000"/>
                <w:szCs w:val="21"/>
                <w:highlight w:val="none"/>
              </w:rPr>
              <w:t>（四）投标文件的澄清和说明</w:t>
            </w:r>
            <w:r>
              <w:rPr>
                <w:rFonts w:ascii="宋体" w:hAnsi="宋体"/>
                <w:color w:val="000000"/>
                <w:szCs w:val="21"/>
                <w:highlight w:val="none"/>
              </w:rPr>
              <w:t>(</w:t>
            </w:r>
            <w:r>
              <w:rPr>
                <w:rFonts w:hint="eastAsia" w:ascii="宋体" w:hAnsi="宋体"/>
                <w:color w:val="000000"/>
                <w:szCs w:val="21"/>
                <w:highlight w:val="none"/>
              </w:rPr>
              <w:t>如有</w:t>
            </w:r>
            <w:r>
              <w:rPr>
                <w:rFonts w:ascii="宋体" w:hAnsi="宋体"/>
                <w:color w:val="000000"/>
                <w:szCs w:val="21"/>
                <w:highlight w:val="none"/>
              </w:rPr>
              <w:t>)</w:t>
            </w:r>
          </w:p>
          <w:p>
            <w:pPr>
              <w:spacing w:line="360" w:lineRule="exact"/>
              <w:ind w:firstLine="210" w:firstLineChars="100"/>
              <w:rPr>
                <w:rFonts w:hint="eastAsia" w:ascii="宋体" w:hAnsi="宋体"/>
                <w:b/>
                <w:color w:val="000000"/>
                <w:szCs w:val="21"/>
                <w:highlight w:val="none"/>
              </w:rPr>
            </w:pPr>
            <w:r>
              <w:rPr>
                <w:rFonts w:hint="eastAsia" w:ascii="宋体" w:hAnsi="宋体"/>
                <w:color w:val="000000"/>
                <w:szCs w:val="21"/>
                <w:highlight w:val="none"/>
              </w:rPr>
              <w:t>（五）按评标办法规定推荐中标候选人，编写评标报告。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9" w:type="dxa"/>
            <w:noWrap w:val="0"/>
            <w:vAlign w:val="center"/>
          </w:tcPr>
          <w:p>
            <w:pPr>
              <w:spacing w:line="360" w:lineRule="exact"/>
              <w:jc w:val="center"/>
              <w:rPr>
                <w:rFonts w:hint="default" w:ascii="宋体" w:hAnsi="宋体" w:eastAsia="宋体"/>
                <w:b/>
                <w:color w:val="000000"/>
                <w:szCs w:val="21"/>
                <w:highlight w:val="none"/>
                <w:lang w:val="en-US" w:eastAsia="zh-CN"/>
              </w:rPr>
            </w:pPr>
            <w:r>
              <w:rPr>
                <w:rFonts w:hint="eastAsia" w:ascii="宋体" w:hAnsi="宋体"/>
                <w:b/>
                <w:color w:val="000000"/>
                <w:szCs w:val="21"/>
                <w:highlight w:val="none"/>
              </w:rPr>
              <w:t>3.2</w:t>
            </w:r>
            <w:r>
              <w:rPr>
                <w:rFonts w:hint="eastAsia" w:ascii="宋体" w:hAnsi="宋体"/>
                <w:b/>
                <w:color w:val="000000"/>
                <w:szCs w:val="21"/>
                <w:highlight w:val="none"/>
                <w:lang w:val="en-US" w:eastAsia="zh-CN"/>
              </w:rPr>
              <w:t>.3</w:t>
            </w:r>
          </w:p>
        </w:tc>
        <w:tc>
          <w:tcPr>
            <w:tcW w:w="8398" w:type="dxa"/>
            <w:noWrap w:val="0"/>
            <w:vAlign w:val="top"/>
          </w:tcPr>
          <w:p>
            <w:pPr>
              <w:spacing w:line="360" w:lineRule="exact"/>
              <w:rPr>
                <w:rFonts w:hint="eastAsia"/>
                <w:highlight w:val="none"/>
              </w:rPr>
            </w:pPr>
            <w:r>
              <w:rPr>
                <w:rFonts w:hint="eastAsia"/>
                <w:highlight w:val="none"/>
              </w:rPr>
              <w:t>将评标办法范本原文第3.2.3 款细化如下：</w:t>
            </w:r>
          </w:p>
          <w:p>
            <w:pPr>
              <w:spacing w:line="360" w:lineRule="exact"/>
              <w:ind w:firstLine="420" w:firstLineChars="200"/>
              <w:rPr>
                <w:rFonts w:hint="eastAsia"/>
                <w:highlight w:val="none"/>
              </w:rPr>
            </w:pPr>
            <w:r>
              <w:rPr>
                <w:rFonts w:hint="eastAsia"/>
                <w:highlight w:val="none"/>
              </w:rPr>
              <w:t>投标人的商务和技术得分=A+B+D。</w:t>
            </w:r>
          </w:p>
          <w:p>
            <w:pPr>
              <w:spacing w:line="360" w:lineRule="exact"/>
              <w:ind w:firstLine="420" w:firstLineChars="200"/>
              <w:rPr>
                <w:rFonts w:hint="eastAsia"/>
                <w:highlight w:val="none"/>
              </w:rPr>
            </w:pPr>
            <w:r>
              <w:rPr>
                <w:rFonts w:hint="eastAsia"/>
                <w:highlight w:val="none"/>
              </w:rPr>
              <w:t>除履约信誉得分外，投标文件各单项得分均不应低于其权重分的60%，评分低于权重分值60%的，评标委员会成员应当在评标报告中作出说明。</w:t>
            </w:r>
          </w:p>
          <w:p>
            <w:pPr>
              <w:spacing w:line="360" w:lineRule="exact"/>
              <w:ind w:firstLine="420" w:firstLineChars="200"/>
              <w:rPr>
                <w:highlight w:val="none"/>
              </w:rPr>
            </w:pPr>
            <w:r>
              <w:rPr>
                <w:rFonts w:hint="eastAsia"/>
                <w:highlight w:val="none"/>
              </w:rPr>
              <w:t>计算投标人技术建议书得分时</w:t>
            </w:r>
            <w:r>
              <w:rPr>
                <w:rFonts w:hint="eastAsia"/>
                <w:highlight w:val="none"/>
                <w:lang w:eastAsia="zh-CN"/>
              </w:rPr>
              <w:t>：</w:t>
            </w:r>
            <w:r>
              <w:rPr>
                <w:rFonts w:hint="eastAsia"/>
                <w:highlight w:val="none"/>
              </w:rPr>
              <w:t>对各评分因素细分项</w:t>
            </w:r>
            <w:r>
              <w:rPr>
                <w:rFonts w:hint="eastAsia"/>
                <w:highlight w:val="none"/>
                <w:lang w:val="en-US" w:eastAsia="zh-CN"/>
              </w:rPr>
              <w:t>中</w:t>
            </w:r>
            <w:r>
              <w:rPr>
                <w:rFonts w:hint="eastAsia"/>
                <w:highlight w:val="none"/>
                <w:lang w:eastAsia="zh-CN"/>
              </w:rPr>
              <w:t>，</w:t>
            </w:r>
            <w:r>
              <w:rPr>
                <w:rFonts w:hint="eastAsia"/>
                <w:highlight w:val="none"/>
              </w:rPr>
              <w:t>取消一个最高、一个最低分后计算算术平均值的和为投标人的最终技术建议书得分。平均值计算四舍五入保留小数点后三位</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029" w:type="dxa"/>
            <w:noWrap w:val="0"/>
            <w:vAlign w:val="center"/>
          </w:tcPr>
          <w:p>
            <w:pPr>
              <w:spacing w:line="360" w:lineRule="exact"/>
              <w:jc w:val="center"/>
              <w:rPr>
                <w:rFonts w:hint="eastAsia" w:ascii="宋体" w:hAnsi="宋体" w:eastAsia="宋体"/>
                <w:b/>
                <w:color w:val="000000"/>
                <w:szCs w:val="21"/>
                <w:highlight w:val="none"/>
                <w:lang w:val="en-US" w:eastAsia="zh-CN"/>
              </w:rPr>
            </w:pPr>
            <w:r>
              <w:rPr>
                <w:rFonts w:hint="eastAsia" w:ascii="宋体" w:hAnsi="宋体"/>
                <w:b/>
                <w:color w:val="000000"/>
                <w:szCs w:val="21"/>
                <w:highlight w:val="none"/>
              </w:rPr>
              <w:t>3.</w:t>
            </w:r>
            <w:r>
              <w:rPr>
                <w:rFonts w:hint="eastAsia" w:ascii="宋体" w:hAnsi="宋体"/>
                <w:b/>
                <w:color w:val="000000"/>
                <w:szCs w:val="21"/>
                <w:highlight w:val="none"/>
                <w:lang w:val="en-US" w:eastAsia="zh-CN"/>
              </w:rPr>
              <w:t>4</w:t>
            </w:r>
          </w:p>
        </w:tc>
        <w:tc>
          <w:tcPr>
            <w:tcW w:w="8398" w:type="dxa"/>
            <w:noWrap w:val="0"/>
            <w:vAlign w:val="top"/>
          </w:tcPr>
          <w:p>
            <w:pPr>
              <w:spacing w:line="3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本项目招标采用第二章“投标人须知”第3.2.1项（1）目规定的投标人按照招标人提供的工程量固化清单电子文件填写工程量清单，无须按照本章第 3.</w:t>
            </w:r>
            <w:r>
              <w:rPr>
                <w:rFonts w:hint="eastAsia" w:ascii="宋体" w:hAnsi="宋体"/>
                <w:color w:val="000000"/>
                <w:szCs w:val="21"/>
                <w:highlight w:val="none"/>
                <w:lang w:eastAsia="zh-CN"/>
              </w:rPr>
              <w:t>4</w:t>
            </w:r>
            <w:r>
              <w:rPr>
                <w:rFonts w:hint="eastAsia" w:ascii="宋体" w:hAnsi="宋体"/>
                <w:color w:val="000000"/>
                <w:szCs w:val="21"/>
                <w:highlight w:val="none"/>
              </w:rPr>
              <w:t>.2 项的规定对投标报价进行修正，第 3.</w:t>
            </w:r>
            <w:r>
              <w:rPr>
                <w:rFonts w:hint="eastAsia" w:ascii="宋体" w:hAnsi="宋体"/>
                <w:color w:val="000000"/>
                <w:szCs w:val="21"/>
                <w:highlight w:val="none"/>
                <w:lang w:val="en-US" w:eastAsia="zh-CN"/>
              </w:rPr>
              <w:t>4</w:t>
            </w:r>
            <w:r>
              <w:rPr>
                <w:rFonts w:hint="eastAsia" w:ascii="宋体" w:hAnsi="宋体"/>
                <w:color w:val="000000"/>
                <w:szCs w:val="21"/>
                <w:highlight w:val="none"/>
              </w:rPr>
              <w:t>.2 项内容不适用。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029" w:type="dxa"/>
            <w:noWrap w:val="0"/>
            <w:vAlign w:val="center"/>
          </w:tcPr>
          <w:p>
            <w:pPr>
              <w:spacing w:line="360" w:lineRule="exact"/>
              <w:jc w:val="center"/>
              <w:rPr>
                <w:rFonts w:hint="default" w:ascii="宋体" w:hAnsi="宋体" w:eastAsia="宋体"/>
                <w:b/>
                <w:strike w:val="0"/>
                <w:dstrike w:val="0"/>
                <w:color w:val="000000"/>
                <w:szCs w:val="21"/>
                <w:highlight w:val="none"/>
                <w:lang w:val="en-US" w:eastAsia="zh-CN"/>
              </w:rPr>
            </w:pPr>
            <w:r>
              <w:rPr>
                <w:rFonts w:hint="eastAsia" w:ascii="宋体" w:hAnsi="宋体"/>
                <w:b/>
                <w:strike w:val="0"/>
                <w:dstrike w:val="0"/>
                <w:color w:val="000000"/>
                <w:szCs w:val="21"/>
                <w:highlight w:val="none"/>
                <w:lang w:val="en-US" w:eastAsia="zh-CN"/>
              </w:rPr>
              <w:t>3.6.1</w:t>
            </w:r>
          </w:p>
        </w:tc>
        <w:tc>
          <w:tcPr>
            <w:tcW w:w="8398" w:type="dxa"/>
            <w:noWrap w:val="0"/>
            <w:vAlign w:val="top"/>
          </w:tcPr>
          <w:p>
            <w:pPr>
              <w:spacing w:line="340" w:lineRule="exact"/>
              <w:rPr>
                <w:rFonts w:hint="eastAsia" w:ascii="宋体" w:hAnsi="宋体"/>
                <w:b/>
                <w:strike w:val="0"/>
                <w:szCs w:val="21"/>
                <w:highlight w:val="none"/>
              </w:rPr>
            </w:pPr>
            <w:r>
              <w:rPr>
                <w:rFonts w:hint="eastAsia" w:ascii="宋体" w:hAnsi="宋体"/>
                <w:b/>
                <w:strike w:val="0"/>
                <w:szCs w:val="21"/>
                <w:highlight w:val="none"/>
              </w:rPr>
              <w:t>将评标办法范本原文第3.6.1款修改为：</w:t>
            </w:r>
          </w:p>
          <w:p>
            <w:pPr>
              <w:spacing w:line="360" w:lineRule="exact"/>
              <w:ind w:firstLine="420" w:firstLineChars="200"/>
              <w:rPr>
                <w:rFonts w:ascii="宋体" w:hAnsi="宋体"/>
                <w:strike w:val="0"/>
                <w:dstrike w:val="0"/>
                <w:color w:val="000000"/>
                <w:szCs w:val="21"/>
                <w:highlight w:val="none"/>
              </w:rPr>
            </w:pPr>
            <w:r>
              <w:rPr>
                <w:rFonts w:ascii="宋体" w:hAnsi="宋体" w:cs="Calibri"/>
                <w:strike w:val="0"/>
                <w:kern w:val="0"/>
                <w:szCs w:val="21"/>
                <w:highlight w:val="none"/>
              </w:rPr>
              <w:t xml:space="preserve">3.6.1 </w:t>
            </w:r>
            <w:r>
              <w:rPr>
                <w:rFonts w:hint="eastAsia" w:ascii="宋体" w:hAnsi="宋体" w:cs="宋体"/>
                <w:strike w:val="0"/>
                <w:kern w:val="0"/>
                <w:szCs w:val="21"/>
                <w:highlight w:val="none"/>
              </w:rPr>
              <w:t>在评标过程中，评标委员会应对投标人的资质、业绩、主要人员资历和目前在岗情况、信用等级等信息进行核实。若投标文件载明的信息使得投标人的资格条件不符合招标文件规定的，评标委员会应否决其投标。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029" w:type="dxa"/>
            <w:noWrap w:val="0"/>
            <w:vAlign w:val="center"/>
          </w:tcPr>
          <w:p>
            <w:pPr>
              <w:spacing w:line="360" w:lineRule="exact"/>
              <w:jc w:val="center"/>
              <w:rPr>
                <w:rFonts w:hint="eastAsia" w:ascii="宋体" w:hAnsi="宋体" w:eastAsia="宋体"/>
                <w:b/>
                <w:color w:val="000000"/>
                <w:szCs w:val="21"/>
                <w:highlight w:val="none"/>
                <w:lang w:val="en-US" w:eastAsia="zh-CN"/>
              </w:rPr>
            </w:pPr>
            <w:r>
              <w:rPr>
                <w:rFonts w:hint="eastAsia" w:ascii="宋体" w:hAnsi="宋体"/>
                <w:b/>
                <w:color w:val="000000"/>
                <w:szCs w:val="21"/>
                <w:highlight w:val="none"/>
              </w:rPr>
              <w:t>3.6.</w:t>
            </w:r>
            <w:r>
              <w:rPr>
                <w:rFonts w:hint="eastAsia" w:ascii="宋体" w:hAnsi="宋体"/>
                <w:b/>
                <w:color w:val="000000"/>
                <w:szCs w:val="21"/>
                <w:highlight w:val="none"/>
                <w:lang w:val="en-US" w:eastAsia="zh-CN"/>
              </w:rPr>
              <w:t>3</w:t>
            </w:r>
          </w:p>
        </w:tc>
        <w:tc>
          <w:tcPr>
            <w:tcW w:w="8398" w:type="dxa"/>
            <w:noWrap w:val="0"/>
            <w:vAlign w:val="top"/>
          </w:tcPr>
          <w:p>
            <w:pPr>
              <w:spacing w:line="340" w:lineRule="exact"/>
              <w:rPr>
                <w:rFonts w:ascii="宋体" w:hAnsi="宋体"/>
                <w:b/>
                <w:szCs w:val="21"/>
                <w:highlight w:val="none"/>
              </w:rPr>
            </w:pPr>
            <w:r>
              <w:rPr>
                <w:rFonts w:hint="eastAsia" w:ascii="宋体" w:hAnsi="宋体"/>
                <w:b/>
                <w:szCs w:val="21"/>
                <w:highlight w:val="none"/>
              </w:rPr>
              <w:t>增加</w:t>
            </w:r>
            <w:r>
              <w:rPr>
                <w:rFonts w:ascii="宋体" w:hAnsi="宋体"/>
                <w:b/>
                <w:szCs w:val="21"/>
                <w:highlight w:val="none"/>
              </w:rPr>
              <w:t xml:space="preserve">3.6.3 </w:t>
            </w:r>
            <w:r>
              <w:rPr>
                <w:rFonts w:hint="eastAsia" w:ascii="宋体" w:hAnsi="宋体"/>
                <w:b/>
                <w:szCs w:val="21"/>
                <w:highlight w:val="none"/>
              </w:rPr>
              <w:t>款：</w:t>
            </w:r>
          </w:p>
          <w:p>
            <w:pPr>
              <w:overflowPunct w:val="0"/>
              <w:spacing w:line="360" w:lineRule="exact"/>
              <w:ind w:firstLine="420" w:firstLineChars="200"/>
              <w:rPr>
                <w:rFonts w:hint="eastAsia" w:ascii="宋体" w:hAnsi="宋体"/>
                <w:b/>
                <w:color w:val="000000"/>
                <w:szCs w:val="21"/>
                <w:highlight w:val="none"/>
              </w:rPr>
            </w:pPr>
            <w:r>
              <w:rPr>
                <w:rFonts w:ascii="宋体" w:hAnsi="宋体"/>
                <w:szCs w:val="21"/>
                <w:highlight w:val="none"/>
              </w:rPr>
              <w:t xml:space="preserve">3.6.3 </w:t>
            </w:r>
            <w:r>
              <w:rPr>
                <w:rFonts w:hint="eastAsia" w:ascii="宋体" w:hAnsi="宋体"/>
                <w:szCs w:val="21"/>
                <w:highlight w:val="none"/>
              </w:rPr>
              <w:t>依法必须进行招标的项目，除第一中标候选人或者</w:t>
            </w:r>
            <w:r>
              <w:rPr>
                <w:rFonts w:hint="eastAsia" w:ascii="宋体" w:hAnsi="宋体"/>
                <w:szCs w:val="21"/>
                <w:highlight w:val="none"/>
                <w:lang w:eastAsia="zh-CN"/>
              </w:rPr>
              <w:t>承包人</w:t>
            </w:r>
            <w:r>
              <w:rPr>
                <w:rFonts w:hint="eastAsia" w:ascii="宋体" w:hAnsi="宋体"/>
                <w:szCs w:val="21"/>
                <w:highlight w:val="none"/>
              </w:rPr>
              <w:t>以外的其他投标人存在串通投标、弄虚作假、行贿情形且在评标过程中未被发现的，视为对中标结果没有造成实质性影响，招标人可以依法继续开展招标活动。投标人的违法行为由行政监督部门依法处理。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29" w:type="dxa"/>
            <w:noWrap w:val="0"/>
            <w:vAlign w:val="center"/>
          </w:tcPr>
          <w:p>
            <w:pPr>
              <w:spacing w:line="360" w:lineRule="exact"/>
              <w:jc w:val="center"/>
              <w:rPr>
                <w:rFonts w:hint="eastAsia" w:ascii="宋体" w:hAnsi="宋体" w:eastAsia="宋体"/>
                <w:b/>
                <w:color w:val="000000"/>
                <w:szCs w:val="21"/>
                <w:highlight w:val="none"/>
                <w:lang w:val="en-US" w:eastAsia="zh-CN"/>
              </w:rPr>
            </w:pPr>
            <w:r>
              <w:rPr>
                <w:rFonts w:hint="eastAsia" w:ascii="宋体" w:hAnsi="宋体"/>
                <w:b/>
                <w:color w:val="000000"/>
                <w:szCs w:val="21"/>
                <w:highlight w:val="none"/>
              </w:rPr>
              <w:t>3.</w:t>
            </w:r>
            <w:r>
              <w:rPr>
                <w:rFonts w:hint="eastAsia" w:ascii="宋体" w:hAnsi="宋体"/>
                <w:b/>
                <w:color w:val="000000"/>
                <w:szCs w:val="21"/>
                <w:highlight w:val="none"/>
                <w:lang w:val="en-US" w:eastAsia="zh-CN"/>
              </w:rPr>
              <w:t>9</w:t>
            </w:r>
          </w:p>
        </w:tc>
        <w:tc>
          <w:tcPr>
            <w:tcW w:w="8398" w:type="dxa"/>
            <w:noWrap w:val="0"/>
            <w:vAlign w:val="top"/>
          </w:tcPr>
          <w:p>
            <w:pPr>
              <w:pStyle w:val="4"/>
              <w:adjustRightInd w:val="0"/>
              <w:snapToGrid w:val="0"/>
              <w:spacing w:line="360" w:lineRule="exact"/>
              <w:ind w:left="44" w:leftChars="21" w:firstLine="432" w:firstLineChars="206"/>
              <w:rPr>
                <w:rFonts w:hint="eastAsia"/>
                <w:highlight w:val="none"/>
              </w:rPr>
            </w:pPr>
            <w:r>
              <w:rPr>
                <w:rFonts w:hint="eastAsia"/>
                <w:highlight w:val="none"/>
              </w:rPr>
              <w:t>增加</w:t>
            </w:r>
            <w:r>
              <w:rPr>
                <w:highlight w:val="none"/>
              </w:rPr>
              <w:t>3.</w:t>
            </w:r>
            <w:r>
              <w:rPr>
                <w:rFonts w:hint="eastAsia"/>
                <w:highlight w:val="none"/>
                <w:lang w:val="en-US" w:eastAsia="zh-CN"/>
              </w:rPr>
              <w:t>9</w:t>
            </w:r>
            <w:r>
              <w:rPr>
                <w:highlight w:val="none"/>
              </w:rPr>
              <w:t xml:space="preserve">.3 </w:t>
            </w:r>
            <w:r>
              <w:rPr>
                <w:rFonts w:hint="eastAsia"/>
                <w:highlight w:val="none"/>
              </w:rPr>
              <w:t>-3.</w:t>
            </w:r>
            <w:r>
              <w:rPr>
                <w:rFonts w:hint="eastAsia"/>
                <w:highlight w:val="none"/>
                <w:lang w:val="en-US" w:eastAsia="zh-CN"/>
              </w:rPr>
              <w:t>9</w:t>
            </w:r>
            <w:r>
              <w:rPr>
                <w:rFonts w:hint="eastAsia"/>
                <w:highlight w:val="none"/>
              </w:rPr>
              <w:t>.</w:t>
            </w:r>
            <w:r>
              <w:rPr>
                <w:rFonts w:hint="eastAsia"/>
                <w:highlight w:val="none"/>
                <w:lang w:val="en-US" w:eastAsia="zh-CN"/>
              </w:rPr>
              <w:t>6</w:t>
            </w:r>
            <w:r>
              <w:rPr>
                <w:rFonts w:hint="eastAsia"/>
                <w:highlight w:val="none"/>
              </w:rPr>
              <w:t>款：</w:t>
            </w:r>
          </w:p>
          <w:p>
            <w:pPr>
              <w:spacing w:line="340" w:lineRule="exact"/>
              <w:ind w:firstLine="420" w:firstLineChars="200"/>
              <w:jc w:val="left"/>
              <w:rPr>
                <w:rFonts w:hint="eastAsia" w:hAnsi="宋体"/>
                <w:szCs w:val="21"/>
              </w:rPr>
            </w:pPr>
            <w:r>
              <w:rPr>
                <w:rFonts w:ascii="宋体" w:hAnsi="宋体"/>
                <w:bCs/>
                <w:szCs w:val="21"/>
              </w:rPr>
              <w:t>3.9.3</w:t>
            </w:r>
            <w:r>
              <w:rPr>
                <w:rFonts w:hint="eastAsia" w:hAnsi="宋体"/>
                <w:szCs w:val="21"/>
              </w:rPr>
              <w:t>通过第一信封商务文件和技术文件评审的投标人少于</w:t>
            </w:r>
            <w:r>
              <w:rPr>
                <w:rFonts w:hAnsi="宋体"/>
                <w:szCs w:val="21"/>
              </w:rPr>
              <w:t xml:space="preserve">3 </w:t>
            </w:r>
            <w:r>
              <w:rPr>
                <w:rFonts w:hint="eastAsia" w:hAnsi="宋体"/>
                <w:szCs w:val="21"/>
              </w:rPr>
              <w:t>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pPr>
              <w:spacing w:line="340" w:lineRule="exact"/>
              <w:ind w:firstLine="420" w:firstLineChars="200"/>
              <w:jc w:val="left"/>
              <w:rPr>
                <w:rFonts w:hint="eastAsia" w:hAnsi="宋体"/>
                <w:szCs w:val="21"/>
              </w:rPr>
            </w:pPr>
            <w:r>
              <w:rPr>
                <w:rFonts w:hint="eastAsia" w:ascii="宋体" w:hAnsi="宋体"/>
                <w:szCs w:val="21"/>
              </w:rPr>
              <w:t xml:space="preserve">3.9.4 </w:t>
            </w:r>
            <w:r>
              <w:rPr>
                <w:rFonts w:hint="eastAsia" w:hAnsi="宋体"/>
                <w:szCs w:val="21"/>
              </w:rPr>
              <w:t>通过第一信封商务文件和技术文件评审的投标人在</w:t>
            </w:r>
            <w:r>
              <w:rPr>
                <w:rFonts w:hAnsi="宋体"/>
                <w:szCs w:val="21"/>
              </w:rPr>
              <w:t xml:space="preserve">3 </w:t>
            </w:r>
            <w:r>
              <w:rPr>
                <w:rFonts w:hint="eastAsia" w:hAnsi="宋体"/>
                <w:szCs w:val="21"/>
              </w:rPr>
              <w:t>个及以上的，招标人应当按照招标文件规定的程序进行第二信封报价文件开标；在对报价文件进行评审后，有效投标不足</w:t>
            </w:r>
            <w:r>
              <w:rPr>
                <w:rFonts w:hAnsi="宋体"/>
                <w:szCs w:val="21"/>
              </w:rPr>
              <w:t xml:space="preserve">3 </w:t>
            </w:r>
            <w:r>
              <w:rPr>
                <w:rFonts w:hint="eastAsia" w:hAnsi="宋体"/>
                <w:szCs w:val="21"/>
              </w:rPr>
              <w:t xml:space="preserve">个的，评标委员会可以否决全部投标。未否决全部投标的，评标委员会应当在评标报告中阐明理由并推荐中标候选人。 </w:t>
            </w:r>
          </w:p>
          <w:p>
            <w:pPr>
              <w:pStyle w:val="4"/>
              <w:adjustRightInd w:val="0"/>
              <w:snapToGrid w:val="0"/>
              <w:spacing w:line="340" w:lineRule="exact"/>
              <w:ind w:left="44" w:leftChars="21" w:firstLine="432" w:firstLineChars="206"/>
              <w:rPr>
                <w:rFonts w:hint="eastAsia" w:hAnsi="宋体"/>
                <w:szCs w:val="21"/>
              </w:rPr>
            </w:pPr>
            <w:r>
              <w:rPr>
                <w:rFonts w:hint="eastAsia" w:hAnsi="宋体"/>
                <w:szCs w:val="21"/>
              </w:rPr>
              <w:t>3.9.5 如果发生无法确定推荐中标候选人的其它意外情况，由评标委员会研究处理，评标委员会有权决定本次招标无效，有权建议招标人重新招标。</w:t>
            </w:r>
          </w:p>
          <w:p>
            <w:pPr>
              <w:pStyle w:val="4"/>
              <w:adjustRightInd w:val="0"/>
              <w:snapToGrid w:val="0"/>
              <w:spacing w:line="340" w:lineRule="exact"/>
              <w:ind w:left="44" w:leftChars="21" w:firstLine="432" w:firstLineChars="206"/>
              <w:rPr>
                <w:rFonts w:hint="eastAsia" w:hAnsi="宋体"/>
                <w:szCs w:val="21"/>
              </w:rPr>
            </w:pPr>
            <w:r>
              <w:rPr>
                <w:rFonts w:hint="eastAsia" w:hAnsi="宋体"/>
                <w:szCs w:val="21"/>
              </w:rPr>
              <w:t>发生以上情况时，招标人按推荐中标候选人排名顺序依次确定</w:t>
            </w:r>
            <w:r>
              <w:rPr>
                <w:rFonts w:hint="eastAsia" w:hAnsi="宋体"/>
                <w:szCs w:val="21"/>
                <w:lang w:eastAsia="zh-CN"/>
              </w:rPr>
              <w:t>承包人</w:t>
            </w:r>
            <w:r>
              <w:rPr>
                <w:rFonts w:hint="eastAsia" w:hAnsi="宋体"/>
                <w:szCs w:val="21"/>
              </w:rPr>
              <w:t>，或重新组织招标。</w:t>
            </w:r>
          </w:p>
          <w:p>
            <w:pPr>
              <w:pStyle w:val="4"/>
              <w:adjustRightInd w:val="0"/>
              <w:snapToGrid w:val="0"/>
              <w:spacing w:line="340" w:lineRule="exact"/>
              <w:ind w:left="44" w:leftChars="21" w:firstLine="432" w:firstLineChars="206"/>
              <w:rPr>
                <w:rFonts w:hAnsi="宋体"/>
                <w:szCs w:val="21"/>
              </w:rPr>
            </w:pPr>
            <w:r>
              <w:rPr>
                <w:rFonts w:hint="eastAsia" w:hAnsi="宋体"/>
                <w:szCs w:val="21"/>
              </w:rPr>
              <w:t xml:space="preserve">3.9.6 </w:t>
            </w:r>
            <w:r>
              <w:rPr>
                <w:rFonts w:hAnsi="宋体"/>
                <w:szCs w:val="21"/>
              </w:rPr>
              <w:t xml:space="preserve"> 本招标文件规定的否决投标条款包含在以下条款：</w:t>
            </w:r>
          </w:p>
          <w:p>
            <w:pPr>
              <w:pStyle w:val="4"/>
              <w:snapToGrid w:val="0"/>
              <w:spacing w:line="340" w:lineRule="exact"/>
              <w:ind w:left="44" w:leftChars="21" w:firstLine="432" w:firstLineChars="206"/>
              <w:rPr>
                <w:rFonts w:hAnsi="宋体"/>
                <w:szCs w:val="21"/>
              </w:rPr>
            </w:pPr>
            <w:r>
              <w:rPr>
                <w:rFonts w:hAnsi="宋体"/>
                <w:szCs w:val="21"/>
              </w:rPr>
              <w:t>（1）招标公告第3点 投标人资格要求；</w:t>
            </w:r>
          </w:p>
          <w:p>
            <w:pPr>
              <w:pStyle w:val="4"/>
              <w:snapToGrid w:val="0"/>
              <w:spacing w:line="340" w:lineRule="exact"/>
              <w:ind w:left="44" w:leftChars="21" w:firstLine="432" w:firstLineChars="206"/>
              <w:rPr>
                <w:rFonts w:hAnsi="宋体"/>
                <w:szCs w:val="21"/>
              </w:rPr>
            </w:pPr>
            <w:r>
              <w:rPr>
                <w:rFonts w:hAnsi="宋体"/>
                <w:szCs w:val="21"/>
              </w:rPr>
              <w:t>（2）投标人须知1.4.3款、1.4.4款</w:t>
            </w:r>
            <w:r>
              <w:rPr>
                <w:rFonts w:hint="eastAsia" w:hAnsi="宋体"/>
                <w:szCs w:val="21"/>
              </w:rPr>
              <w:t>、</w:t>
            </w:r>
            <w:r>
              <w:rPr>
                <w:rFonts w:hAnsi="宋体"/>
                <w:szCs w:val="21"/>
              </w:rPr>
              <w:t>1.12款、3.2款、3.4款、3.5款、3.6款</w:t>
            </w:r>
            <w:r>
              <w:rPr>
                <w:rFonts w:hint="eastAsia" w:hAnsi="宋体"/>
                <w:szCs w:val="21"/>
              </w:rPr>
              <w:t>、10.4款</w:t>
            </w:r>
            <w:r>
              <w:rPr>
                <w:rFonts w:hAnsi="宋体"/>
                <w:szCs w:val="21"/>
              </w:rPr>
              <w:t>；</w:t>
            </w:r>
          </w:p>
          <w:p>
            <w:pPr>
              <w:pStyle w:val="3"/>
              <w:rPr>
                <w:rFonts w:hint="eastAsia" w:ascii="宋体" w:hAnsi="宋体"/>
                <w:color w:val="000000"/>
                <w:szCs w:val="21"/>
                <w:highlight w:val="none"/>
              </w:rPr>
            </w:pPr>
            <w:r>
              <w:rPr>
                <w:rFonts w:hAnsi="宋体"/>
                <w:szCs w:val="21"/>
              </w:rPr>
              <w:t>（3）本评标办法否决条款。</w:t>
            </w:r>
          </w:p>
        </w:tc>
      </w:tr>
    </w:tbl>
    <w:p>
      <w:pPr>
        <w:spacing w:before="300" w:after="300" w:line="360" w:lineRule="exact"/>
        <w:outlineLvl w:val="0"/>
        <w:rPr>
          <w:rFonts w:hint="eastAsia" w:ascii="宋体" w:hAnsi="宋体"/>
          <w:b/>
          <w:kern w:val="44"/>
          <w:sz w:val="28"/>
          <w:szCs w:val="28"/>
          <w:highlight w:val="none"/>
        </w:rPr>
      </w:pPr>
    </w:p>
    <w:p>
      <w:pPr>
        <w:spacing w:before="300" w:after="300" w:line="360" w:lineRule="exact"/>
        <w:outlineLvl w:val="0"/>
        <w:rPr>
          <w:rFonts w:hint="eastAsia" w:ascii="宋体" w:hAnsi="宋体"/>
          <w:b/>
          <w:kern w:val="44"/>
          <w:sz w:val="28"/>
          <w:szCs w:val="28"/>
          <w:highlight w:val="none"/>
        </w:rPr>
      </w:pPr>
      <w:r>
        <w:rPr>
          <w:rFonts w:hint="eastAsia" w:ascii="宋体" w:hAnsi="宋体"/>
          <w:b/>
          <w:kern w:val="44"/>
          <w:sz w:val="28"/>
          <w:szCs w:val="28"/>
          <w:highlight w:val="none"/>
        </w:rPr>
        <w:t>1. 评标方法</w:t>
      </w:r>
    </w:p>
    <w:p>
      <w:pPr>
        <w:overflowPunct w:val="0"/>
        <w:spacing w:line="36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本次评标采用</w:t>
      </w:r>
      <w:r>
        <w:rPr>
          <w:rFonts w:hint="eastAsia" w:ascii="宋体" w:hAnsi="宋体" w:eastAsia="宋体" w:cs="Times New Roman"/>
          <w:szCs w:val="21"/>
          <w:highlight w:val="none"/>
          <w:lang w:val="en-US" w:eastAsia="zh-CN"/>
        </w:rPr>
        <w:t>综合评估法</w:t>
      </w:r>
      <w:r>
        <w:rPr>
          <w:rFonts w:hint="eastAsia" w:ascii="宋体" w:hAnsi="宋体" w:eastAsia="宋体" w:cs="Times New Roman"/>
          <w:szCs w:val="21"/>
          <w:highlight w:val="none"/>
        </w:rPr>
        <w:t>。评标委员会对满足招标文件实质性要求的投标文件，按照本章第 2.2 款规定的评分标准进行打分，并按得分由高到低顺序推荐中标候选人，或根据招标人授权直接确定</w:t>
      </w:r>
      <w:r>
        <w:rPr>
          <w:rFonts w:hint="eastAsia" w:ascii="宋体" w:hAnsi="宋体" w:eastAsia="宋体" w:cs="Times New Roman"/>
          <w:szCs w:val="21"/>
          <w:highlight w:val="none"/>
          <w:lang w:eastAsia="zh-CN"/>
        </w:rPr>
        <w:t>承包人</w:t>
      </w:r>
      <w:r>
        <w:rPr>
          <w:rFonts w:hint="eastAsia" w:ascii="宋体" w:hAnsi="宋体" w:eastAsia="宋体" w:cs="Times New Roman"/>
          <w:szCs w:val="21"/>
          <w:highlight w:val="none"/>
        </w:rPr>
        <w:t>，但投标报价低于其成本的除外。综合评分相等时，评标委员会应按照评标办法前附表规定的优先次序推荐中标候选人或确定</w:t>
      </w:r>
      <w:r>
        <w:rPr>
          <w:rFonts w:hint="eastAsia" w:ascii="宋体" w:hAnsi="宋体" w:eastAsia="宋体" w:cs="Times New Roman"/>
          <w:szCs w:val="21"/>
          <w:highlight w:val="none"/>
          <w:lang w:eastAsia="zh-CN"/>
        </w:rPr>
        <w:t>承包人</w:t>
      </w:r>
      <w:r>
        <w:rPr>
          <w:rFonts w:hint="eastAsia" w:ascii="宋体" w:hAnsi="宋体" w:eastAsia="宋体" w:cs="Times New Roman"/>
          <w:szCs w:val="21"/>
          <w:highlight w:val="none"/>
        </w:rPr>
        <w:t>。</w:t>
      </w:r>
    </w:p>
    <w:p>
      <w:pPr>
        <w:spacing w:before="300" w:after="300" w:line="360" w:lineRule="exact"/>
        <w:outlineLvl w:val="0"/>
        <w:rPr>
          <w:rFonts w:hint="eastAsia" w:ascii="宋体" w:hAnsi="宋体" w:eastAsia="宋体" w:cs="Times New Roman"/>
          <w:szCs w:val="21"/>
          <w:highlight w:val="none"/>
        </w:rPr>
      </w:pPr>
      <w:r>
        <w:rPr>
          <w:rFonts w:ascii="宋体" w:hAnsi="宋体"/>
          <w:b/>
          <w:kern w:val="44"/>
          <w:sz w:val="28"/>
          <w:szCs w:val="28"/>
          <w:highlight w:val="none"/>
        </w:rPr>
        <w:t>2. 评审标准</w:t>
      </w:r>
    </w:p>
    <w:p>
      <w:pPr>
        <w:autoSpaceDE w:val="0"/>
        <w:autoSpaceDN w:val="0"/>
        <w:adjustRightInd w:val="0"/>
        <w:spacing w:line="360" w:lineRule="auto"/>
        <w:jc w:val="left"/>
        <w:rPr>
          <w:rFonts w:ascii="宋体" w:hAnsi="宋体" w:eastAsia="宋体" w:cs="黑体"/>
          <w:b/>
          <w:kern w:val="0"/>
          <w:sz w:val="24"/>
        </w:rPr>
      </w:pPr>
      <w:r>
        <w:rPr>
          <w:rFonts w:ascii="宋体" w:hAnsi="宋体" w:eastAsia="宋体" w:cs="黑体"/>
          <w:b/>
          <w:kern w:val="0"/>
          <w:sz w:val="24"/>
        </w:rPr>
        <w:t>2.1 初步评审标准</w:t>
      </w:r>
    </w:p>
    <w:p>
      <w:pPr>
        <w:overflowPunct w:val="0"/>
        <w:spacing w:line="360" w:lineRule="exact"/>
        <w:ind w:firstLine="420" w:firstLineChars="200"/>
        <w:rPr>
          <w:rFonts w:ascii="宋体" w:hAnsi="宋体"/>
          <w:color w:val="auto"/>
          <w:szCs w:val="21"/>
          <w:highlight w:val="none"/>
        </w:rPr>
      </w:pPr>
      <w:r>
        <w:rPr>
          <w:rFonts w:ascii="宋体" w:hAnsi="宋体"/>
          <w:color w:val="auto"/>
          <w:szCs w:val="21"/>
          <w:highlight w:val="none"/>
        </w:rPr>
        <w:t>2.1.1 形式评审标准：见评标办法前附表。</w:t>
      </w:r>
    </w:p>
    <w:p>
      <w:pPr>
        <w:overflowPunct w:val="0"/>
        <w:spacing w:line="360" w:lineRule="exact"/>
        <w:ind w:firstLine="420" w:firstLineChars="200"/>
        <w:rPr>
          <w:rFonts w:ascii="宋体" w:hAnsi="宋体"/>
          <w:szCs w:val="21"/>
          <w:highlight w:val="none"/>
        </w:rPr>
      </w:pPr>
      <w:r>
        <w:rPr>
          <w:rFonts w:ascii="宋体" w:hAnsi="宋体"/>
          <w:szCs w:val="21"/>
          <w:highlight w:val="none"/>
        </w:rPr>
        <w:t>2.1.2 资格评审标准：见评标办法前附表</w:t>
      </w:r>
      <w:r>
        <w:rPr>
          <w:rFonts w:hint="eastAsia" w:ascii="宋体" w:hAnsi="宋体"/>
          <w:szCs w:val="21"/>
          <w:highlight w:val="none"/>
        </w:rPr>
        <w:t>及</w:t>
      </w:r>
      <w:r>
        <w:rPr>
          <w:rFonts w:ascii="宋体" w:hAnsi="宋体"/>
          <w:szCs w:val="21"/>
          <w:highlight w:val="none"/>
        </w:rPr>
        <w:t>第</w:t>
      </w:r>
      <w:r>
        <w:rPr>
          <w:rFonts w:hint="eastAsia" w:ascii="宋体" w:hAnsi="宋体"/>
          <w:szCs w:val="21"/>
          <w:highlight w:val="none"/>
        </w:rPr>
        <w:t>二</w:t>
      </w:r>
      <w:r>
        <w:rPr>
          <w:rFonts w:ascii="宋体" w:hAnsi="宋体"/>
          <w:szCs w:val="21"/>
          <w:highlight w:val="none"/>
        </w:rPr>
        <w:t>章“</w:t>
      </w:r>
      <w:r>
        <w:rPr>
          <w:rFonts w:hint="eastAsia" w:ascii="宋体" w:hAnsi="宋体"/>
          <w:szCs w:val="21"/>
          <w:highlight w:val="none"/>
        </w:rPr>
        <w:t>投标人须知</w:t>
      </w:r>
      <w:r>
        <w:rPr>
          <w:rFonts w:ascii="宋体" w:hAnsi="宋体"/>
          <w:szCs w:val="21"/>
          <w:highlight w:val="none"/>
        </w:rPr>
        <w:t>”</w:t>
      </w:r>
      <w:r>
        <w:rPr>
          <w:rFonts w:hint="eastAsia" w:ascii="宋体" w:hAnsi="宋体"/>
          <w:szCs w:val="21"/>
          <w:highlight w:val="none"/>
        </w:rPr>
        <w:t>附录的资格</w:t>
      </w:r>
      <w:r>
        <w:rPr>
          <w:rFonts w:ascii="宋体" w:hAnsi="宋体"/>
          <w:szCs w:val="21"/>
          <w:highlight w:val="none"/>
        </w:rPr>
        <w:t>审查</w:t>
      </w:r>
      <w:r>
        <w:rPr>
          <w:rFonts w:hint="eastAsia" w:ascii="宋体" w:hAnsi="宋体"/>
          <w:szCs w:val="21"/>
          <w:highlight w:val="none"/>
        </w:rPr>
        <w:t>条件</w:t>
      </w:r>
      <w:r>
        <w:rPr>
          <w:rFonts w:ascii="宋体" w:hAnsi="宋体"/>
          <w:szCs w:val="21"/>
          <w:highlight w:val="none"/>
        </w:rPr>
        <w:t>标准。</w:t>
      </w:r>
    </w:p>
    <w:p>
      <w:pPr>
        <w:overflowPunct w:val="0"/>
        <w:spacing w:line="360" w:lineRule="exact"/>
        <w:ind w:firstLine="420" w:firstLineChars="200"/>
        <w:rPr>
          <w:rFonts w:ascii="宋体" w:hAnsi="宋体"/>
          <w:szCs w:val="21"/>
          <w:highlight w:val="none"/>
        </w:rPr>
      </w:pPr>
      <w:r>
        <w:rPr>
          <w:rFonts w:ascii="宋体" w:hAnsi="宋体"/>
          <w:szCs w:val="21"/>
          <w:highlight w:val="none"/>
        </w:rPr>
        <w:t>2.1.3 响应性评审标准：见评标办法前附表。</w:t>
      </w:r>
    </w:p>
    <w:p>
      <w:pPr>
        <w:autoSpaceDE w:val="0"/>
        <w:autoSpaceDN w:val="0"/>
        <w:adjustRightInd w:val="0"/>
        <w:spacing w:line="360" w:lineRule="auto"/>
        <w:jc w:val="left"/>
        <w:rPr>
          <w:rFonts w:ascii="宋体" w:hAnsi="宋体" w:eastAsia="宋体" w:cs="黑体"/>
          <w:b/>
          <w:kern w:val="0"/>
          <w:sz w:val="24"/>
        </w:rPr>
      </w:pPr>
      <w:r>
        <w:rPr>
          <w:rFonts w:ascii="宋体" w:hAnsi="宋体" w:eastAsia="宋体" w:cs="黑体"/>
          <w:b/>
          <w:kern w:val="0"/>
          <w:sz w:val="24"/>
        </w:rPr>
        <w:t>2.2 分值构成与评分标准</w:t>
      </w:r>
    </w:p>
    <w:p>
      <w:pPr>
        <w:autoSpaceDE w:val="0"/>
        <w:autoSpaceDN w:val="0"/>
        <w:adjustRightInd w:val="0"/>
        <w:spacing w:line="360" w:lineRule="auto"/>
        <w:ind w:firstLine="422" w:firstLineChars="200"/>
        <w:jc w:val="left"/>
        <w:rPr>
          <w:rFonts w:ascii="宋体" w:hAnsi="宋体" w:cs="黑体"/>
          <w:b/>
          <w:bCs/>
          <w:kern w:val="0"/>
          <w:szCs w:val="21"/>
        </w:rPr>
      </w:pPr>
      <w:r>
        <w:rPr>
          <w:rFonts w:ascii="宋体" w:hAnsi="宋体" w:cs="Calibri"/>
          <w:b/>
          <w:bCs/>
          <w:kern w:val="0"/>
          <w:szCs w:val="21"/>
        </w:rPr>
        <w:t xml:space="preserve">2.2.1 </w:t>
      </w:r>
      <w:r>
        <w:rPr>
          <w:rFonts w:hint="eastAsia" w:ascii="宋体" w:hAnsi="宋体" w:cs="黑体"/>
          <w:b/>
          <w:bCs/>
          <w:kern w:val="0"/>
          <w:szCs w:val="21"/>
        </w:rPr>
        <w:t>分值构成</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Calibri"/>
          <w:kern w:val="0"/>
          <w:szCs w:val="21"/>
        </w:rPr>
        <w:t>1</w:t>
      </w:r>
      <w:r>
        <w:rPr>
          <w:rFonts w:hint="eastAsia" w:ascii="宋体" w:hAnsi="宋体" w:cs="宋体"/>
          <w:kern w:val="0"/>
          <w:szCs w:val="21"/>
        </w:rPr>
        <w:t>）技术建议书：见评标办法前附表；</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Calibri"/>
          <w:kern w:val="0"/>
          <w:szCs w:val="21"/>
        </w:rPr>
        <w:t>2</w:t>
      </w:r>
      <w:r>
        <w:rPr>
          <w:rFonts w:hint="eastAsia" w:ascii="宋体" w:hAnsi="宋体" w:cs="宋体"/>
          <w:kern w:val="0"/>
          <w:szCs w:val="21"/>
        </w:rPr>
        <w:t>）主要人员：见评标办法前附表；</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Calibri"/>
          <w:kern w:val="0"/>
          <w:szCs w:val="21"/>
        </w:rPr>
        <w:t>3</w:t>
      </w:r>
      <w:r>
        <w:rPr>
          <w:rFonts w:hint="eastAsia" w:ascii="宋体" w:hAnsi="宋体" w:cs="宋体"/>
          <w:kern w:val="0"/>
          <w:szCs w:val="21"/>
        </w:rPr>
        <w:t>）评标价：见评标办法前附表；</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Calibri"/>
          <w:kern w:val="0"/>
          <w:szCs w:val="21"/>
        </w:rPr>
        <w:t>4</w:t>
      </w:r>
      <w:r>
        <w:rPr>
          <w:rFonts w:hint="eastAsia" w:ascii="宋体" w:hAnsi="宋体" w:cs="宋体"/>
          <w:kern w:val="0"/>
          <w:szCs w:val="21"/>
        </w:rPr>
        <w:t>）其他评分因素：见评标办法前附表。</w:t>
      </w:r>
    </w:p>
    <w:p>
      <w:pPr>
        <w:autoSpaceDE w:val="0"/>
        <w:autoSpaceDN w:val="0"/>
        <w:adjustRightInd w:val="0"/>
        <w:spacing w:line="360" w:lineRule="auto"/>
        <w:ind w:firstLine="422" w:firstLineChars="200"/>
        <w:jc w:val="left"/>
        <w:rPr>
          <w:rFonts w:ascii="宋体" w:hAnsi="宋体" w:eastAsia="宋体" w:cs="Calibri"/>
          <w:b/>
          <w:bCs/>
          <w:kern w:val="0"/>
          <w:szCs w:val="21"/>
        </w:rPr>
      </w:pPr>
      <w:r>
        <w:rPr>
          <w:rFonts w:ascii="宋体" w:hAnsi="宋体" w:eastAsia="宋体" w:cs="Calibri"/>
          <w:b/>
          <w:bCs/>
          <w:kern w:val="0"/>
          <w:szCs w:val="21"/>
        </w:rPr>
        <w:t xml:space="preserve">2.2.2 </w:t>
      </w:r>
      <w:r>
        <w:rPr>
          <w:rFonts w:hint="eastAsia" w:ascii="宋体" w:hAnsi="宋体" w:eastAsia="宋体" w:cs="Calibri"/>
          <w:b/>
          <w:bCs/>
          <w:kern w:val="0"/>
          <w:szCs w:val="21"/>
        </w:rPr>
        <w:t>评标基准价计算</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评标基准价计算方法：见评标办法前附表。</w:t>
      </w:r>
    </w:p>
    <w:p>
      <w:pPr>
        <w:autoSpaceDE w:val="0"/>
        <w:autoSpaceDN w:val="0"/>
        <w:adjustRightInd w:val="0"/>
        <w:spacing w:line="360" w:lineRule="auto"/>
        <w:ind w:firstLine="422" w:firstLineChars="200"/>
        <w:jc w:val="left"/>
        <w:rPr>
          <w:rFonts w:ascii="宋体" w:hAnsi="宋体" w:eastAsia="宋体" w:cs="Calibri"/>
          <w:b/>
          <w:bCs/>
          <w:kern w:val="0"/>
          <w:szCs w:val="21"/>
        </w:rPr>
      </w:pPr>
      <w:r>
        <w:rPr>
          <w:rFonts w:ascii="宋体" w:hAnsi="宋体" w:eastAsia="宋体" w:cs="Calibri"/>
          <w:b/>
          <w:bCs/>
          <w:kern w:val="0"/>
          <w:szCs w:val="21"/>
        </w:rPr>
        <w:t xml:space="preserve">2.2.3 </w:t>
      </w:r>
      <w:r>
        <w:rPr>
          <w:rFonts w:hint="eastAsia" w:ascii="宋体" w:hAnsi="宋体" w:eastAsia="宋体" w:cs="Calibri"/>
          <w:b/>
          <w:bCs/>
          <w:kern w:val="0"/>
          <w:szCs w:val="21"/>
        </w:rPr>
        <w:t>评标价的偏差率计算</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评标价的偏差率计算公式：见评标办法前附表。</w:t>
      </w:r>
    </w:p>
    <w:p>
      <w:pPr>
        <w:autoSpaceDE w:val="0"/>
        <w:autoSpaceDN w:val="0"/>
        <w:adjustRightInd w:val="0"/>
        <w:spacing w:line="360" w:lineRule="auto"/>
        <w:ind w:firstLine="422" w:firstLineChars="200"/>
        <w:jc w:val="left"/>
        <w:rPr>
          <w:rFonts w:ascii="宋体" w:hAnsi="宋体" w:eastAsia="宋体" w:cs="Calibri"/>
          <w:b/>
          <w:bCs/>
          <w:kern w:val="0"/>
          <w:szCs w:val="21"/>
        </w:rPr>
      </w:pPr>
      <w:r>
        <w:rPr>
          <w:rFonts w:ascii="宋体" w:hAnsi="宋体" w:eastAsia="宋体" w:cs="Calibri"/>
          <w:b/>
          <w:bCs/>
          <w:kern w:val="0"/>
          <w:szCs w:val="21"/>
        </w:rPr>
        <w:t xml:space="preserve">2.2.4 </w:t>
      </w:r>
      <w:r>
        <w:rPr>
          <w:rFonts w:hint="eastAsia" w:ascii="宋体" w:hAnsi="宋体" w:eastAsia="宋体" w:cs="Calibri"/>
          <w:b/>
          <w:bCs/>
          <w:kern w:val="0"/>
          <w:szCs w:val="21"/>
        </w:rPr>
        <w:t>评分标准</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（1）技术建议书评分标准：见评标办法前附表；</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（2）主要人员评分标准：见评标办法前附表；</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（3）评标价评分标准：见评标办法前附表；</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（4）其他因素评分标准：见评标办法前附表。</w:t>
      </w:r>
    </w:p>
    <w:p>
      <w:pPr>
        <w:spacing w:before="300" w:after="300" w:line="360" w:lineRule="exact"/>
        <w:outlineLvl w:val="0"/>
        <w:rPr>
          <w:rFonts w:ascii="宋体" w:hAnsi="宋体" w:eastAsia="宋体" w:cs="Times New Roman"/>
          <w:b/>
          <w:kern w:val="44"/>
          <w:sz w:val="28"/>
          <w:szCs w:val="28"/>
          <w:highlight w:val="none"/>
        </w:rPr>
      </w:pPr>
      <w:r>
        <w:rPr>
          <w:rFonts w:ascii="宋体" w:hAnsi="宋体" w:eastAsia="宋体" w:cs="Times New Roman"/>
          <w:b/>
          <w:kern w:val="44"/>
          <w:sz w:val="28"/>
          <w:szCs w:val="28"/>
          <w:highlight w:val="none"/>
        </w:rPr>
        <w:t>3. 评标程序</w:t>
      </w:r>
    </w:p>
    <w:p>
      <w:pPr>
        <w:autoSpaceDE w:val="0"/>
        <w:autoSpaceDN w:val="0"/>
        <w:adjustRightInd w:val="0"/>
        <w:spacing w:line="360" w:lineRule="auto"/>
        <w:jc w:val="left"/>
        <w:rPr>
          <w:rFonts w:ascii="宋体" w:hAnsi="宋体" w:eastAsia="宋体" w:cs="黑体"/>
          <w:b/>
          <w:kern w:val="0"/>
          <w:sz w:val="24"/>
        </w:rPr>
      </w:pPr>
      <w:r>
        <w:rPr>
          <w:rFonts w:ascii="宋体" w:hAnsi="宋体" w:eastAsia="宋体" w:cs="黑体"/>
          <w:b/>
          <w:kern w:val="0"/>
          <w:sz w:val="24"/>
        </w:rPr>
        <w:t xml:space="preserve">3.1 </w:t>
      </w:r>
      <w:r>
        <w:rPr>
          <w:rFonts w:hint="eastAsia" w:ascii="宋体" w:hAnsi="宋体" w:eastAsia="宋体" w:cs="黑体"/>
          <w:b/>
          <w:kern w:val="0"/>
          <w:sz w:val="24"/>
        </w:rPr>
        <w:t>第一个信封初步评审</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3.1.1 评标委员会可以要求投标人提交第二章“投标人须知”第3.5.1 项至第3.5.5 项规定的有关证明和证件的原件，以便核验。评标委员会依据本章第2.1款规定的标准对投标文件第一个信封（商务及技术文件）进行初步评审。有一项不符合评审标准的，评标委员会应否决其投标。</w:t>
      </w:r>
    </w:p>
    <w:p>
      <w:pPr>
        <w:autoSpaceDE w:val="0"/>
        <w:autoSpaceDN w:val="0"/>
        <w:adjustRightInd w:val="0"/>
        <w:spacing w:line="360" w:lineRule="auto"/>
        <w:jc w:val="left"/>
        <w:rPr>
          <w:rFonts w:ascii="宋体" w:hAnsi="宋体" w:eastAsia="宋体" w:cs="黑体"/>
          <w:b/>
          <w:kern w:val="0"/>
          <w:sz w:val="24"/>
        </w:rPr>
      </w:pPr>
      <w:r>
        <w:rPr>
          <w:rFonts w:ascii="宋体" w:hAnsi="宋体" w:eastAsia="宋体" w:cs="黑体"/>
          <w:b/>
          <w:kern w:val="0"/>
          <w:sz w:val="24"/>
        </w:rPr>
        <w:t xml:space="preserve">3.2 </w:t>
      </w:r>
      <w:r>
        <w:rPr>
          <w:rFonts w:hint="eastAsia" w:ascii="宋体" w:hAnsi="宋体" w:eastAsia="宋体" w:cs="黑体"/>
          <w:b/>
          <w:kern w:val="0"/>
          <w:sz w:val="24"/>
        </w:rPr>
        <w:t>第一个信封详细评审</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3.2.1 评标委员会按本章第2.2 款规定的量化因素和分值进行打分，并计算出各投标人的商务和技术得分。</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（1）按本章第2.2.4 项（1）目规定的评审因素和分值对技术建议书部分计算出得分A；</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（2）按本章第2.2.4 项（2）目规定的评审因素和分值对主要人员部分计算出得分B；</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（3）按本章第2.2.4 项（4）目规定的评审因素和分值对其他部分计算出得分D。</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3.2.2 投标人的商务和技术得分分值计算保留小数点后两位，小数点后第三位“四舍五入”。</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3.2.3 投标人的商务和技术得分=A+B+D。</w:t>
      </w:r>
    </w:p>
    <w:p>
      <w:pPr>
        <w:autoSpaceDE w:val="0"/>
        <w:autoSpaceDN w:val="0"/>
        <w:adjustRightInd w:val="0"/>
        <w:spacing w:line="360" w:lineRule="auto"/>
        <w:jc w:val="left"/>
        <w:rPr>
          <w:rFonts w:ascii="宋体" w:hAnsi="宋体" w:cs="黑体"/>
          <w:b/>
          <w:kern w:val="0"/>
          <w:sz w:val="24"/>
        </w:rPr>
      </w:pPr>
      <w:r>
        <w:rPr>
          <w:rFonts w:ascii="宋体" w:hAnsi="宋体" w:cs="黑体"/>
          <w:b/>
          <w:kern w:val="0"/>
          <w:sz w:val="24"/>
        </w:rPr>
        <w:t xml:space="preserve">3.3 </w:t>
      </w:r>
      <w:r>
        <w:rPr>
          <w:rFonts w:hint="eastAsia" w:ascii="宋体" w:hAnsi="宋体" w:cs="黑体"/>
          <w:b/>
          <w:kern w:val="0"/>
          <w:sz w:val="24"/>
        </w:rPr>
        <w:t>第二个信封开标</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第一个信封（商务及技术文件）评审结束后，招标人将按照第二章“投标人须知”第5.1 款规定的时间和地点对通过投标文件第一个信封（商务及技术文件）评审的投标文件第二个信封（报价文件）进行开标。</w:t>
      </w:r>
    </w:p>
    <w:p>
      <w:pPr>
        <w:autoSpaceDE w:val="0"/>
        <w:autoSpaceDN w:val="0"/>
        <w:adjustRightInd w:val="0"/>
        <w:spacing w:line="360" w:lineRule="auto"/>
        <w:jc w:val="left"/>
        <w:rPr>
          <w:rFonts w:ascii="宋体" w:hAnsi="宋体" w:eastAsia="宋体" w:cs="黑体"/>
          <w:b/>
          <w:kern w:val="0"/>
          <w:sz w:val="24"/>
        </w:rPr>
      </w:pPr>
      <w:r>
        <w:rPr>
          <w:rFonts w:ascii="宋体" w:hAnsi="宋体" w:eastAsia="宋体" w:cs="黑体"/>
          <w:b/>
          <w:kern w:val="0"/>
          <w:sz w:val="24"/>
        </w:rPr>
        <w:t xml:space="preserve">3.4 </w:t>
      </w:r>
      <w:r>
        <w:rPr>
          <w:rFonts w:hint="eastAsia" w:ascii="宋体" w:hAnsi="宋体" w:eastAsia="宋体" w:cs="黑体"/>
          <w:b/>
          <w:kern w:val="0"/>
          <w:sz w:val="24"/>
        </w:rPr>
        <w:t>第二个信封初步评审</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3.4.1 评标委员会依据本章第2.1.1 项、第2.1.3 项规定的评审标准对投标文件第二个信封（报价文件）进行初步评审。有一项不符合评审标准的，评标委员会应否决其投标。</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3.4.2 投标报价有算术错误的，评标委员会按以下原则对投标报价进行修正，修正的价格经投标人书面确认后具有约束力。投标人不接受修正价格的，评标委员会应否决其投标。</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（1）投标文件中的大写金额与小写金额不一致的，以大写金额为准；</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（2）总价金额与依据单价计算出的结果不一致的，以单价金额为准修正总价，但单价金额小数点有明显错误的除外；</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（3）当单价与数量相乘不等于合价时，以单价计算为准，如果单价有明显的小数点位置差错，应以标出的合价为准，同时对单价予以修正；</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（4）当各子目的合价累计不等于总价时，应以各子目合价累计数为准，修正总价。</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3.4.3 修正后的最终投标报价若超过最高投标限价（如有），评标委员会应否决其投标。</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3.4.4 修正后的最终投标报价仅作为签订合同的一个依据，不参与评标价得分的计算。</w:t>
      </w:r>
    </w:p>
    <w:p>
      <w:pPr>
        <w:autoSpaceDE w:val="0"/>
        <w:autoSpaceDN w:val="0"/>
        <w:adjustRightInd w:val="0"/>
        <w:spacing w:line="360" w:lineRule="auto"/>
        <w:jc w:val="left"/>
        <w:rPr>
          <w:rFonts w:ascii="宋体" w:hAnsi="宋体" w:cs="黑体"/>
          <w:b/>
          <w:kern w:val="0"/>
          <w:sz w:val="24"/>
        </w:rPr>
      </w:pPr>
      <w:r>
        <w:rPr>
          <w:rFonts w:ascii="宋体" w:hAnsi="宋体" w:cs="黑体"/>
          <w:b/>
          <w:kern w:val="0"/>
          <w:sz w:val="24"/>
        </w:rPr>
        <w:t xml:space="preserve">3.5 </w:t>
      </w:r>
      <w:r>
        <w:rPr>
          <w:rFonts w:hint="eastAsia" w:ascii="宋体" w:hAnsi="宋体" w:cs="黑体"/>
          <w:b/>
          <w:kern w:val="0"/>
          <w:sz w:val="24"/>
        </w:rPr>
        <w:t>第二个信封详细评审</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3.5.1 评标委员会按本章第2.2.4 项（3）目规定的评审因素和分值对评标价计算出得分C。评标价得分分值计算保留小数点后两位，小数点后第三位“四舍五入”。</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3.5.2 投标人综合得分=投标人的商务和技术得分+C。</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autoSpaceDE w:val="0"/>
        <w:autoSpaceDN w:val="0"/>
        <w:adjustRightInd w:val="0"/>
        <w:spacing w:line="360" w:lineRule="auto"/>
        <w:jc w:val="left"/>
        <w:rPr>
          <w:rFonts w:ascii="宋体" w:hAnsi="宋体" w:cs="黑体"/>
          <w:b/>
          <w:kern w:val="0"/>
          <w:sz w:val="24"/>
        </w:rPr>
      </w:pPr>
      <w:r>
        <w:rPr>
          <w:rFonts w:ascii="宋体" w:hAnsi="宋体" w:cs="黑体"/>
          <w:b/>
          <w:kern w:val="0"/>
          <w:sz w:val="24"/>
        </w:rPr>
        <w:t xml:space="preserve">3.6 </w:t>
      </w:r>
      <w:r>
        <w:rPr>
          <w:rFonts w:hint="eastAsia" w:ascii="宋体" w:hAnsi="宋体" w:cs="黑体"/>
          <w:b/>
          <w:kern w:val="0"/>
          <w:sz w:val="24"/>
        </w:rPr>
        <w:t>投标文件相关信息的核查</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3.6.1 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3.6.2 评标委员会应对在评标过程中发现的投标人与投标人之间、投标人与招标人之间存在的串通投标的情形进行评审和认定。投标人存在串通投标、弄虚作假、行贿等违法行为的，评标委员会应否决其投标。</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（1）有下列情形之一的，属于投标人相互串通投标：</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a.投标人之间协商投标报价等投标文件的实质性内容；</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b.投标人之间约定</w:t>
      </w:r>
      <w:r>
        <w:rPr>
          <w:rFonts w:hint="eastAsia" w:ascii="宋体" w:hAnsi="宋体" w:eastAsia="宋体" w:cs="宋体"/>
          <w:kern w:val="0"/>
          <w:szCs w:val="21"/>
          <w:lang w:eastAsia="zh-CN"/>
        </w:rPr>
        <w:t>承包人</w:t>
      </w:r>
      <w:r>
        <w:rPr>
          <w:rFonts w:hint="eastAsia" w:ascii="宋体" w:hAnsi="宋体" w:eastAsia="宋体" w:cs="宋体"/>
          <w:kern w:val="0"/>
          <w:szCs w:val="21"/>
        </w:rPr>
        <w:t>；</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c.投标人之间约定部分投标人放弃投标或中标；</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d.属于同一集团、协会、商会等组织成员的投标人按照该组织要求协同投标；</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e.投标人之间为谋取中标或排斥特定投标人而采取的其他联合行动。</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（2）有下列情形之一的，视为投标人相互串通投标：</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a.不同投标人的投标文件由同一单位或个人编制；</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b.不同投标人委托同一单位或个人办理投标事宜；</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c.不同投标人的投标文件载明的项目管理成员为同一人；</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d.不同投标人的投标文件异常一致或投标报价呈规律性差异；</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e.不同投标人的投标文件相互混装；</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f.不同投标人的投标保证金从同一单位或个人的账户转出。</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（3）有下列情形之一的，属于招标人与投标人串通投标：</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a.招标人在开标前开启投标文件并将有关信息泄露给其他投标人;</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b.招标人直接或间接向投标人泄露标底、评标委员会成员等信息；</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c.招标人明示或暗示投标人压低或抬高投标报价；</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d.招标人授意投标人撤换、修改投标文件；</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e.招标人明示或暗示投标人为特定投标人中标提供方便；</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f.招标人与投标人为谋求特定投标人中标而采取的其他串通行为。</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（4）投标人有下列情形之一的，属于弄虚作假的行为：</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a.使用通过受让或租借等方式获取的资格、资质证书投标；</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b.使用伪造、变造的许可证件；</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c.提供虚假的业绩；</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d.提供虚假的项目负责人或主要技术人员简历、劳动关系证明；</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e.提供虚假的信用状况；</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f.其他弄虚作假的行为。</w:t>
      </w:r>
    </w:p>
    <w:p>
      <w:pPr>
        <w:autoSpaceDE w:val="0"/>
        <w:autoSpaceDN w:val="0"/>
        <w:adjustRightInd w:val="0"/>
        <w:spacing w:line="360" w:lineRule="auto"/>
        <w:jc w:val="left"/>
        <w:rPr>
          <w:rFonts w:ascii="宋体" w:hAnsi="宋体" w:cs="黑体"/>
          <w:b/>
          <w:kern w:val="0"/>
          <w:sz w:val="24"/>
        </w:rPr>
      </w:pPr>
      <w:r>
        <w:rPr>
          <w:rFonts w:ascii="宋体" w:hAnsi="宋体" w:cs="黑体"/>
          <w:b/>
          <w:kern w:val="0"/>
          <w:sz w:val="24"/>
        </w:rPr>
        <w:t xml:space="preserve">3.7 </w:t>
      </w:r>
      <w:r>
        <w:rPr>
          <w:rFonts w:hint="eastAsia" w:ascii="宋体" w:hAnsi="宋体" w:cs="黑体"/>
          <w:b/>
          <w:kern w:val="0"/>
          <w:sz w:val="24"/>
        </w:rPr>
        <w:t>投标文件的澄清和说明</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3.7.2 澄清和说明不得超出投标文件的范围或改变投标文件的实质性内容（算术性错误的修正除外）。投标人的书面澄清、说明属于投标文件的组成部分。</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3.7.3 评标委员会不得暗示或诱导投标人作出澄清、说明，对投标人提交的澄清、说明有疑问的，可以要求投标人进一步澄清或说明，直至满足评标委员会的要求。</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3.7.4 凡超出招标文件规定的或给发包人带来未曾要求的利益的变化、偏差或其他因素在评标时不予考虑。</w:t>
      </w:r>
    </w:p>
    <w:p>
      <w:pPr>
        <w:autoSpaceDE w:val="0"/>
        <w:autoSpaceDN w:val="0"/>
        <w:adjustRightInd w:val="0"/>
        <w:spacing w:line="360" w:lineRule="auto"/>
        <w:jc w:val="left"/>
        <w:rPr>
          <w:rFonts w:ascii="宋体" w:hAnsi="宋体" w:cs="黑体"/>
          <w:b/>
          <w:kern w:val="0"/>
          <w:sz w:val="24"/>
        </w:rPr>
      </w:pPr>
      <w:r>
        <w:rPr>
          <w:rFonts w:ascii="宋体" w:hAnsi="宋体" w:cs="黑体"/>
          <w:b/>
          <w:kern w:val="0"/>
          <w:sz w:val="24"/>
        </w:rPr>
        <w:t xml:space="preserve">3.8 </w:t>
      </w:r>
      <w:r>
        <w:rPr>
          <w:rFonts w:hint="eastAsia" w:ascii="宋体" w:hAnsi="宋体" w:cs="黑体"/>
          <w:b/>
          <w:kern w:val="0"/>
          <w:sz w:val="24"/>
        </w:rPr>
        <w:t>不得否决投标的情形</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投标文件存在第二章“投标人须知”第1.12.3 项所列情形的，均视为细微偏差，评标委员会不得否决投标人的投标，应按照第二章“投标人须知”第1.12.4项规定的原则处理。</w:t>
      </w:r>
    </w:p>
    <w:p>
      <w:pPr>
        <w:autoSpaceDE w:val="0"/>
        <w:autoSpaceDN w:val="0"/>
        <w:adjustRightInd w:val="0"/>
        <w:spacing w:line="360" w:lineRule="auto"/>
        <w:jc w:val="left"/>
        <w:rPr>
          <w:rFonts w:ascii="宋体" w:hAnsi="宋体" w:cs="黑体"/>
          <w:b/>
          <w:kern w:val="0"/>
          <w:sz w:val="24"/>
        </w:rPr>
      </w:pPr>
      <w:r>
        <w:rPr>
          <w:rFonts w:ascii="宋体" w:hAnsi="宋体" w:cs="黑体"/>
          <w:b/>
          <w:kern w:val="0"/>
          <w:sz w:val="24"/>
        </w:rPr>
        <w:t xml:space="preserve">3.9 </w:t>
      </w:r>
      <w:r>
        <w:rPr>
          <w:rFonts w:hint="eastAsia" w:ascii="宋体" w:hAnsi="宋体" w:cs="黑体"/>
          <w:b/>
          <w:kern w:val="0"/>
          <w:sz w:val="24"/>
        </w:rPr>
        <w:t>评标结果</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3.9.1 除第二章“投标人须知”前附表授权直接确定</w:t>
      </w:r>
      <w:r>
        <w:rPr>
          <w:rFonts w:hint="eastAsia" w:ascii="宋体" w:hAnsi="宋体" w:eastAsia="宋体" w:cs="宋体"/>
          <w:kern w:val="0"/>
          <w:szCs w:val="21"/>
          <w:lang w:eastAsia="zh-CN"/>
        </w:rPr>
        <w:t>承包人</w:t>
      </w:r>
      <w:r>
        <w:rPr>
          <w:rFonts w:hint="eastAsia" w:ascii="宋体" w:hAnsi="宋体" w:eastAsia="宋体" w:cs="宋体"/>
          <w:kern w:val="0"/>
          <w:szCs w:val="21"/>
        </w:rPr>
        <w:t>外，评标委员会按照得分由高到低的顺序推荐中标候选人，并标明排序。</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3.9.2 评标委员会完成评标后，应向招标人提交书面评标报告。</w:t>
      </w:r>
    </w:p>
    <w:p>
      <w:bookmarkStart w:id="7" w:name="_GoBack"/>
      <w:bookmarkEnd w:id="7"/>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746E4"/>
    <w:multiLevelType w:val="singleLevel"/>
    <w:tmpl w:val="B94746E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ZDRiODBiOWMwMWNjMjMzZGVlYTBmZDExMDgwOWIifQ=="/>
  </w:docVars>
  <w:rsids>
    <w:rsidRoot w:val="272231DB"/>
    <w:rsid w:val="1D136B0B"/>
    <w:rsid w:val="272231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Indent"/>
    <w:basedOn w:val="1"/>
    <w:uiPriority w:val="0"/>
    <w:pPr>
      <w:spacing w:after="120"/>
      <w:ind w:left="420" w:leftChars="200"/>
    </w:p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customStyle="1" w:styleId="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0">
    <w:name w:val="表格文字"/>
    <w:basedOn w:val="1"/>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12797</Words>
  <Characters>13606</Characters>
  <Lines>0</Lines>
  <Paragraphs>0</Paragraphs>
  <TotalTime>0</TotalTime>
  <ScaleCrop>false</ScaleCrop>
  <LinksUpToDate>false</LinksUpToDate>
  <CharactersWithSpaces>13733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2023-05-06T00:57:00Z</dcterms:created>
  <dc:creator>邱玲玲</dc:creator>
  <cp:lastModifiedBy>邱玲玲</cp:lastModifiedBy>
  <dcterms:modified xsi:type="dcterms:W3CDTF">2023-05-06T06:47:15Z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99CE7CB72A7A4A56B5B66440E2356664_11</vt:lpwstr>
  </property>
</Properties>
</file>