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b/>
          <w:bCs/>
          <w:sz w:val="30"/>
          <w:szCs w:val="30"/>
        </w:rPr>
      </w:pPr>
      <w:r>
        <w:rPr>
          <w:b/>
          <w:bCs/>
          <w:sz w:val="28"/>
          <w:szCs w:val="28"/>
        </w:rPr>
        <w:t xml:space="preserve">                               </w:t>
      </w:r>
    </w:p>
    <w:p>
      <w:pPr>
        <w:spacing w:line="360" w:lineRule="auto"/>
        <w:rPr>
          <w:b/>
          <w:bCs/>
          <w:sz w:val="28"/>
          <w:szCs w:val="28"/>
        </w:rPr>
      </w:pPr>
    </w:p>
    <w:p>
      <w:pPr>
        <w:spacing w:line="360" w:lineRule="auto"/>
        <w:rPr>
          <w:b/>
          <w:bCs/>
        </w:rPr>
      </w:pPr>
    </w:p>
    <w:p>
      <w:pPr>
        <w:spacing w:line="360" w:lineRule="auto"/>
        <w:rPr>
          <w:b/>
          <w:bCs/>
        </w:rPr>
      </w:pPr>
    </w:p>
    <w:p>
      <w:pPr>
        <w:spacing w:line="360" w:lineRule="auto"/>
        <w:ind w:firstLine="240"/>
        <w:jc w:val="center"/>
        <w:rPr>
          <w:b/>
          <w:bCs/>
        </w:rPr>
      </w:pPr>
      <w:r>
        <w:rPr>
          <w:rFonts w:hint="eastAsia"/>
          <w:b/>
          <w:sz w:val="48"/>
          <w:szCs w:val="44"/>
        </w:rPr>
        <w:t>花都区中轴线学校建设项目</w:t>
      </w:r>
    </w:p>
    <w:p>
      <w:pPr>
        <w:spacing w:line="360" w:lineRule="auto"/>
        <w:ind w:firstLine="567"/>
        <w:jc w:val="center"/>
        <w:rPr>
          <w:b/>
          <w:bCs/>
          <w:sz w:val="52"/>
          <w:szCs w:val="52"/>
        </w:rPr>
      </w:pPr>
    </w:p>
    <w:p>
      <w:pPr>
        <w:spacing w:line="360" w:lineRule="auto"/>
        <w:jc w:val="center"/>
        <w:rPr>
          <w:b/>
          <w:bCs/>
          <w:sz w:val="72"/>
          <w:szCs w:val="52"/>
        </w:rPr>
      </w:pPr>
      <w:r>
        <w:rPr>
          <w:rFonts w:hint="eastAsia"/>
          <w:b/>
          <w:bCs/>
          <w:sz w:val="72"/>
          <w:szCs w:val="52"/>
        </w:rPr>
        <w:t>委托</w:t>
      </w:r>
      <w:r>
        <w:rPr>
          <w:b/>
          <w:bCs/>
          <w:sz w:val="72"/>
          <w:szCs w:val="52"/>
        </w:rPr>
        <w:t>监理合同</w:t>
      </w:r>
    </w:p>
    <w:p>
      <w:pPr>
        <w:spacing w:line="360" w:lineRule="auto"/>
        <w:ind w:firstLine="567"/>
        <w:rPr>
          <w:b/>
          <w:bCs/>
          <w:sz w:val="32"/>
        </w:rPr>
      </w:pPr>
    </w:p>
    <w:p>
      <w:pPr>
        <w:spacing w:line="360" w:lineRule="auto"/>
        <w:ind w:firstLine="567"/>
        <w:rPr>
          <w:b/>
          <w:bCs/>
          <w:sz w:val="32"/>
        </w:rPr>
      </w:pPr>
    </w:p>
    <w:p>
      <w:pPr>
        <w:spacing w:line="360" w:lineRule="auto"/>
        <w:ind w:firstLine="567"/>
        <w:rPr>
          <w:b/>
          <w:bCs/>
          <w:sz w:val="32"/>
        </w:rPr>
      </w:pPr>
    </w:p>
    <w:p>
      <w:pPr>
        <w:spacing w:line="360" w:lineRule="auto"/>
        <w:ind w:firstLine="567"/>
        <w:rPr>
          <w:b/>
          <w:bCs/>
          <w:sz w:val="32"/>
        </w:rPr>
      </w:pPr>
    </w:p>
    <w:p>
      <w:pPr>
        <w:spacing w:line="360" w:lineRule="auto"/>
        <w:ind w:firstLine="567"/>
        <w:rPr>
          <w:b/>
          <w:bCs/>
          <w:sz w:val="32"/>
        </w:rPr>
      </w:pPr>
    </w:p>
    <w:p>
      <w:pPr>
        <w:spacing w:line="360" w:lineRule="auto"/>
        <w:ind w:firstLine="567"/>
        <w:rPr>
          <w:b/>
          <w:bCs/>
          <w:sz w:val="32"/>
        </w:rPr>
      </w:pPr>
    </w:p>
    <w:p>
      <w:pPr>
        <w:spacing w:line="360" w:lineRule="auto"/>
        <w:ind w:firstLine="567"/>
        <w:rPr>
          <w:b/>
          <w:bCs/>
          <w:sz w:val="32"/>
        </w:rPr>
      </w:pPr>
    </w:p>
    <w:p>
      <w:pPr>
        <w:spacing w:line="360" w:lineRule="auto"/>
        <w:ind w:firstLine="567"/>
        <w:rPr>
          <w:b/>
          <w:bCs/>
          <w:sz w:val="32"/>
        </w:rPr>
      </w:pPr>
    </w:p>
    <w:p>
      <w:pPr>
        <w:spacing w:line="360" w:lineRule="auto"/>
        <w:ind w:firstLine="567"/>
        <w:rPr>
          <w:b/>
          <w:bCs/>
          <w:sz w:val="32"/>
        </w:rPr>
      </w:pPr>
    </w:p>
    <w:p>
      <w:pPr>
        <w:adjustRightInd w:val="0"/>
        <w:snapToGrid w:val="0"/>
        <w:spacing w:line="360" w:lineRule="auto"/>
        <w:ind w:left="867" w:leftChars="413"/>
        <w:rPr>
          <w:b/>
          <w:sz w:val="28"/>
          <w:szCs w:val="28"/>
        </w:rPr>
      </w:pPr>
      <w:r>
        <w:rPr>
          <w:b/>
          <w:sz w:val="28"/>
          <w:szCs w:val="28"/>
        </w:rPr>
        <w:t>发 包 人（甲方）：</w:t>
      </w:r>
      <w:r>
        <w:rPr>
          <w:b/>
          <w:sz w:val="28"/>
          <w:szCs w:val="28"/>
          <w:u w:val="single"/>
        </w:rPr>
        <w:t>广州市花都区公共建设项目管理中心</w:t>
      </w:r>
    </w:p>
    <w:p>
      <w:pPr>
        <w:adjustRightInd w:val="0"/>
        <w:snapToGrid w:val="0"/>
        <w:spacing w:line="360" w:lineRule="auto"/>
        <w:ind w:left="867" w:leftChars="413"/>
        <w:rPr>
          <w:b/>
          <w:sz w:val="28"/>
          <w:szCs w:val="28"/>
        </w:rPr>
      </w:pPr>
      <w:r>
        <w:rPr>
          <w:b/>
          <w:sz w:val="28"/>
          <w:szCs w:val="28"/>
        </w:rPr>
        <w:t>承 包 人（乙方）：</w:t>
      </w:r>
      <w:r>
        <w:rPr>
          <w:rFonts w:ascii="宋体" w:hAnsi="宋体"/>
          <w:b/>
          <w:sz w:val="28"/>
          <w:szCs w:val="28"/>
          <w:u w:val="single"/>
        </w:rPr>
        <w:t xml:space="preserve">                                </w:t>
      </w:r>
    </w:p>
    <w:p>
      <w:pPr>
        <w:spacing w:line="360" w:lineRule="auto"/>
        <w:ind w:left="1943" w:leftChars="256" w:hanging="1405" w:hangingChars="500"/>
        <w:jc w:val="center"/>
        <w:rPr>
          <w:b/>
          <w:sz w:val="28"/>
        </w:rPr>
      </w:pPr>
    </w:p>
    <w:tbl>
      <w:tblPr>
        <w:tblStyle w:val="12"/>
        <w:tblpPr w:leftFromText="180" w:rightFromText="180" w:vertAnchor="text" w:horzAnchor="margin" w:tblpXSpec="center" w:tblpY="3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5"/>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55"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center"/>
              <w:rPr>
                <w:b/>
                <w:sz w:val="28"/>
              </w:rPr>
            </w:pPr>
            <w:r>
              <w:rPr>
                <w:b/>
                <w:sz w:val="28"/>
              </w:rPr>
              <w:t>中华人民共和国建设部</w:t>
            </w:r>
          </w:p>
        </w:tc>
        <w:tc>
          <w:tcPr>
            <w:tcW w:w="1302" w:type="dxa"/>
            <w:vMerge w:val="restart"/>
            <w:tcBorders>
              <w:top w:val="single" w:color="FFFFFF" w:sz="4" w:space="0"/>
              <w:left w:val="single" w:color="FFFFFF" w:sz="4" w:space="0"/>
              <w:right w:val="single" w:color="FFFFFF" w:sz="4" w:space="0"/>
            </w:tcBorders>
            <w:shd w:val="clear" w:color="auto" w:fill="auto"/>
            <w:vAlign w:val="center"/>
          </w:tcPr>
          <w:p>
            <w:pPr>
              <w:tabs>
                <w:tab w:val="left" w:pos="3015"/>
                <w:tab w:val="center" w:pos="4944"/>
              </w:tabs>
              <w:ind w:left="-567" w:leftChars="-270" w:firstLine="1"/>
              <w:jc w:val="center"/>
              <w:rPr>
                <w:b/>
                <w:sz w:val="28"/>
              </w:rPr>
            </w:pPr>
            <w:r>
              <w:rPr>
                <w:b/>
                <w:sz w:val="28"/>
              </w:rPr>
              <w:t>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55"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center"/>
              <w:rPr>
                <w:b/>
                <w:sz w:val="28"/>
              </w:rPr>
            </w:pPr>
            <w:r>
              <w:rPr>
                <w:b/>
                <w:sz w:val="28"/>
              </w:rPr>
              <w:t>国家工商行政管理总局</w:t>
            </w:r>
          </w:p>
        </w:tc>
        <w:tc>
          <w:tcPr>
            <w:tcW w:w="1302" w:type="dxa"/>
            <w:vMerge w:val="continue"/>
            <w:tcBorders>
              <w:left w:val="single" w:color="FFFFFF" w:sz="4" w:space="0"/>
              <w:bottom w:val="single" w:color="FFFFFF" w:sz="4" w:space="0"/>
              <w:right w:val="single" w:color="FFFFFF" w:sz="4" w:space="0"/>
            </w:tcBorders>
            <w:shd w:val="clear" w:color="auto" w:fill="auto"/>
            <w:vAlign w:val="center"/>
          </w:tcPr>
          <w:p>
            <w:pPr>
              <w:spacing w:line="360" w:lineRule="auto"/>
              <w:jc w:val="center"/>
              <w:rPr>
                <w:b/>
                <w:sz w:val="28"/>
              </w:rPr>
            </w:pPr>
          </w:p>
        </w:tc>
      </w:tr>
    </w:tbl>
    <w:p>
      <w:pPr>
        <w:spacing w:line="360" w:lineRule="auto"/>
        <w:ind w:left="1943" w:leftChars="256" w:hanging="1405" w:hangingChars="500"/>
        <w:jc w:val="center"/>
        <w:rPr>
          <w:b/>
          <w:sz w:val="28"/>
        </w:rPr>
      </w:pPr>
    </w:p>
    <w:p>
      <w:pPr>
        <w:spacing w:line="360" w:lineRule="auto"/>
        <w:ind w:left="1771" w:leftChars="827" w:hanging="34" w:hangingChars="12"/>
        <w:rPr>
          <w:b/>
          <w:sz w:val="28"/>
        </w:rPr>
      </w:pPr>
    </w:p>
    <w:p>
      <w:pPr>
        <w:spacing w:line="360" w:lineRule="auto"/>
        <w:ind w:left="1771" w:leftChars="827" w:hanging="34" w:hangingChars="12"/>
        <w:rPr>
          <w:b/>
          <w:sz w:val="28"/>
        </w:rPr>
      </w:pPr>
    </w:p>
    <w:p>
      <w:pPr>
        <w:spacing w:line="360" w:lineRule="auto"/>
        <w:ind w:left="1771" w:leftChars="827" w:hanging="34" w:hangingChars="12"/>
        <w:rPr>
          <w:b/>
          <w:sz w:val="28"/>
        </w:rPr>
      </w:pPr>
    </w:p>
    <w:p>
      <w:pPr>
        <w:spacing w:line="360" w:lineRule="auto"/>
        <w:ind w:left="1771" w:leftChars="827" w:hanging="34" w:hangingChars="12"/>
        <w:rPr>
          <w:b/>
          <w:sz w:val="28"/>
        </w:rPr>
      </w:pPr>
    </w:p>
    <w:p>
      <w:pPr>
        <w:widowControl/>
        <w:spacing w:line="345" w:lineRule="atLeast"/>
        <w:jc w:val="left"/>
        <w:rPr>
          <w:b/>
          <w:bCs/>
          <w:sz w:val="44"/>
          <w:szCs w:val="44"/>
        </w:rPr>
      </w:pPr>
    </w:p>
    <w:p>
      <w:pPr>
        <w:rPr>
          <w:snapToGrid w:val="0"/>
        </w:rPr>
      </w:pPr>
    </w:p>
    <w:p>
      <w:pPr>
        <w:jc w:val="center"/>
        <w:rPr>
          <w:b/>
          <w:bCs/>
          <w:snapToGrid w:val="0"/>
          <w:sz w:val="48"/>
          <w:szCs w:val="48"/>
        </w:rPr>
      </w:pPr>
    </w:p>
    <w:p>
      <w:pPr>
        <w:jc w:val="center"/>
        <w:rPr>
          <w:b/>
          <w:bCs/>
          <w:snapToGrid w:val="0"/>
          <w:sz w:val="48"/>
          <w:szCs w:val="48"/>
        </w:rPr>
      </w:pPr>
      <w:r>
        <w:rPr>
          <w:b/>
          <w:bCs/>
          <w:snapToGrid w:val="0"/>
          <w:sz w:val="48"/>
          <w:szCs w:val="48"/>
        </w:rPr>
        <w:t>重要提示</w:t>
      </w:r>
    </w:p>
    <w:p>
      <w:pPr>
        <w:topLinePunct/>
        <w:adjustRightInd w:val="0"/>
        <w:snapToGrid w:val="0"/>
        <w:spacing w:line="360" w:lineRule="auto"/>
        <w:ind w:firstLine="498" w:firstLineChars="200"/>
        <w:rPr>
          <w:b/>
          <w:snapToGrid w:val="0"/>
          <w:spacing w:val="4"/>
          <w:kern w:val="0"/>
          <w:sz w:val="24"/>
        </w:rPr>
      </w:pPr>
    </w:p>
    <w:p>
      <w:pPr>
        <w:topLinePunct/>
        <w:adjustRightInd w:val="0"/>
        <w:snapToGrid w:val="0"/>
        <w:spacing w:line="360" w:lineRule="auto"/>
        <w:ind w:firstLine="578" w:firstLineChars="200"/>
        <w:rPr>
          <w:snapToGrid w:val="0"/>
          <w:spacing w:val="4"/>
          <w:kern w:val="0"/>
          <w:sz w:val="44"/>
          <w:szCs w:val="44"/>
        </w:rPr>
      </w:pPr>
      <w:r>
        <w:rPr>
          <w:b/>
          <w:snapToGrid w:val="0"/>
          <w:spacing w:val="4"/>
          <w:kern w:val="0"/>
          <w:sz w:val="28"/>
          <w:szCs w:val="28"/>
        </w:rPr>
        <w:t>本合同由“委托监理协议书”、“专用条件”、“标准条件”和“合同附件”四大部分组成。对“委托监理协议书”、“专用条件”和“合同附件”中的部分内容设选项按标准化模式设置，采用“</w:t>
      </w:r>
      <w:r>
        <w:rPr>
          <w:b/>
          <w:bCs/>
          <w:snapToGrid w:val="0"/>
          <w:spacing w:val="4"/>
          <w:kern w:val="0"/>
          <w:sz w:val="28"/>
          <w:szCs w:val="28"/>
          <w:bdr w:val="single" w:color="auto" w:sz="4" w:space="0"/>
        </w:rPr>
        <w:t>√</w:t>
      </w:r>
      <w:r>
        <w:rPr>
          <w:b/>
          <w:snapToGrid w:val="0"/>
          <w:spacing w:val="4"/>
          <w:kern w:val="0"/>
          <w:sz w:val="28"/>
          <w:szCs w:val="28"/>
        </w:rPr>
        <w:t>”或“</w:t>
      </w:r>
      <w:r>
        <w:rPr>
          <w:b/>
          <w:bCs/>
          <w:snapToGrid w:val="0"/>
          <w:spacing w:val="4"/>
          <w:kern w:val="0"/>
          <w:sz w:val="28"/>
          <w:szCs w:val="28"/>
          <w:bdr w:val="single" w:color="auto" w:sz="4" w:space="0"/>
        </w:rPr>
        <w:t>×</w:t>
      </w:r>
      <w:r>
        <w:rPr>
          <w:b/>
          <w:snapToGrid w:val="0"/>
          <w:spacing w:val="4"/>
          <w:kern w:val="0"/>
          <w:sz w:val="28"/>
          <w:szCs w:val="28"/>
        </w:rPr>
        <w:t>”予以选择。对于合同中的此部分内容，标注“</w:t>
      </w:r>
      <w:r>
        <w:rPr>
          <w:b/>
          <w:bCs/>
          <w:snapToGrid w:val="0"/>
          <w:spacing w:val="4"/>
          <w:kern w:val="0"/>
          <w:sz w:val="28"/>
          <w:szCs w:val="28"/>
          <w:bdr w:val="single" w:color="auto" w:sz="4" w:space="0"/>
        </w:rPr>
        <w:t>√</w:t>
      </w:r>
      <w:r>
        <w:rPr>
          <w:b/>
          <w:snapToGrid w:val="0"/>
          <w:spacing w:val="4"/>
          <w:kern w:val="0"/>
          <w:sz w:val="28"/>
          <w:szCs w:val="28"/>
        </w:rPr>
        <w:t>”的选项即为本合同所采用，标注“</w:t>
      </w:r>
      <w:r>
        <w:rPr>
          <w:b/>
          <w:snapToGrid w:val="0"/>
          <w:spacing w:val="4"/>
          <w:kern w:val="0"/>
          <w:sz w:val="28"/>
          <w:szCs w:val="28"/>
          <w:bdr w:val="single" w:color="auto" w:sz="4" w:space="0"/>
        </w:rPr>
        <w:t>×</w:t>
      </w:r>
      <w:r>
        <w:rPr>
          <w:b/>
          <w:bCs/>
          <w:snapToGrid w:val="0"/>
          <w:spacing w:val="4"/>
          <w:kern w:val="0"/>
          <w:sz w:val="28"/>
          <w:szCs w:val="28"/>
        </w:rPr>
        <w:t>”</w:t>
      </w:r>
      <w:r>
        <w:rPr>
          <w:b/>
          <w:snapToGrid w:val="0"/>
          <w:spacing w:val="4"/>
          <w:kern w:val="0"/>
          <w:sz w:val="28"/>
          <w:szCs w:val="28"/>
        </w:rPr>
        <w:t>的选项则不为本合同采用。</w:t>
      </w:r>
    </w:p>
    <w:p>
      <w:pPr>
        <w:topLinePunct/>
        <w:adjustRightInd w:val="0"/>
        <w:snapToGrid w:val="0"/>
        <w:spacing w:line="360" w:lineRule="auto"/>
        <w:jc w:val="center"/>
        <w:rPr>
          <w:b/>
          <w:snapToGrid w:val="0"/>
          <w:spacing w:val="4"/>
          <w:kern w:val="0"/>
          <w:sz w:val="36"/>
          <w:szCs w:val="36"/>
        </w:rPr>
      </w:pPr>
      <w:r>
        <w:rPr>
          <w:b/>
          <w:snapToGrid w:val="0"/>
          <w:spacing w:val="4"/>
          <w:kern w:val="0"/>
          <w:sz w:val="36"/>
          <w:szCs w:val="36"/>
        </w:rPr>
        <w:br w:type="page"/>
      </w:r>
      <w:r>
        <w:rPr>
          <w:b/>
          <w:snapToGrid w:val="0"/>
          <w:spacing w:val="4"/>
          <w:kern w:val="0"/>
          <w:sz w:val="36"/>
          <w:szCs w:val="36"/>
        </w:rPr>
        <w:t>目  录</w:t>
      </w:r>
    </w:p>
    <w:p>
      <w:pPr>
        <w:numPr>
          <w:ilvl w:val="0"/>
          <w:numId w:val="2"/>
        </w:numPr>
        <w:topLinePunct/>
        <w:adjustRightInd w:val="0"/>
        <w:snapToGrid w:val="0"/>
        <w:spacing w:line="420" w:lineRule="exact"/>
        <w:ind w:left="0" w:firstLine="284"/>
        <w:rPr>
          <w:b/>
          <w:bCs/>
          <w:snapToGrid w:val="0"/>
          <w:spacing w:val="4"/>
          <w:kern w:val="0"/>
          <w:sz w:val="24"/>
        </w:rPr>
      </w:pPr>
      <w:r>
        <w:rPr>
          <w:b/>
          <w:bCs/>
          <w:snapToGrid w:val="0"/>
          <w:spacing w:val="4"/>
          <w:kern w:val="0"/>
          <w:sz w:val="24"/>
        </w:rPr>
        <w:t>委托监理协议书</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第一条  监理工程概况</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第二条  监理服务范围</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第三条  监理酬金及其支付方式</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第四条  协议书中的词语定义</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第五条  合同文件的解释顺序</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第六条  主要人员信息提供</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第七条  承包人资料变更</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第八条  人员变更通知</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第九条  信息管理要求</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第十条  综合考评的要求</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第十一条  合同的生效与终止</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第十二条  合同文本的份数</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第十三条  其它约定事项</w:t>
      </w:r>
    </w:p>
    <w:p>
      <w:pPr>
        <w:numPr>
          <w:ilvl w:val="0"/>
          <w:numId w:val="2"/>
        </w:numPr>
        <w:topLinePunct/>
        <w:adjustRightInd w:val="0"/>
        <w:snapToGrid w:val="0"/>
        <w:spacing w:line="420" w:lineRule="exact"/>
        <w:ind w:left="0" w:firstLine="284"/>
        <w:rPr>
          <w:b/>
          <w:bCs/>
          <w:snapToGrid w:val="0"/>
          <w:spacing w:val="4"/>
          <w:kern w:val="0"/>
          <w:sz w:val="24"/>
        </w:rPr>
      </w:pPr>
      <w:r>
        <w:rPr>
          <w:b/>
          <w:bCs/>
          <w:snapToGrid w:val="0"/>
          <w:spacing w:val="4"/>
          <w:kern w:val="0"/>
          <w:sz w:val="24"/>
        </w:rPr>
        <w:t>专用条件</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总则</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第一条  词语定义</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第二条  本合同适用的法律法规及监理依据</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第三条  监理工作内容、项目监理机构及监理人员</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第四条  承包人义务</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第五条  外部关系的协调</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第六条  发包人向承包人提供的文件、资料</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第七条  发包人书面答复的时间</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第八条  发包人代表及发包人监理代表</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第九条  发包人提供的设备设施</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第十条  承包人的服务、工作人员</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第十一条  承包人的权利</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第十二条  监理服务的期限</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第十三条  承包人的违约责任（一）</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第十四条  承包人的违约责任（二）</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第十五条  发包人的违约责任</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第十六条  监理工作时间的延长</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第十七条  承包人无法履约或部分履约</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第十八条  工程保修期间的监理责任</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第十九条  合同的解除及合同的修改</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第二十条  标准条件第三十五条不适用</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第二十一条  标准条件第三十六条不适用</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第二十二条  承包人未履行监理义务的约定</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第二十三条  监理酬金的计算方法、支付时间与金额的约定</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第二十四条  合同款项支付的币种</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第二十五条  付款相关票据</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第二十六条  监理人员外出考察、监造等的费用</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第二十七条  监理范围、监理内容调整的约定</w:t>
      </w:r>
    </w:p>
    <w:p>
      <w:pPr>
        <w:topLinePunct/>
        <w:adjustRightInd w:val="0"/>
        <w:snapToGrid w:val="0"/>
        <w:spacing w:line="420" w:lineRule="exact"/>
        <w:ind w:firstLine="280" w:firstLineChars="117"/>
        <w:rPr>
          <w:bCs/>
          <w:snapToGrid w:val="0"/>
          <w:kern w:val="0"/>
          <w:sz w:val="24"/>
          <w:szCs w:val="20"/>
        </w:rPr>
      </w:pPr>
      <w:r>
        <w:rPr>
          <w:bCs/>
          <w:snapToGrid w:val="0"/>
          <w:kern w:val="0"/>
          <w:sz w:val="24"/>
          <w:szCs w:val="20"/>
        </w:rPr>
        <w:t>第二十八条  争议的解决方式</w:t>
      </w:r>
    </w:p>
    <w:p>
      <w:pPr>
        <w:topLinePunct/>
        <w:adjustRightInd w:val="0"/>
        <w:snapToGrid w:val="0"/>
        <w:spacing w:line="420" w:lineRule="exact"/>
        <w:ind w:firstLine="284" w:firstLineChars="114"/>
        <w:rPr>
          <w:b/>
          <w:bCs/>
          <w:snapToGrid w:val="0"/>
          <w:spacing w:val="4"/>
          <w:kern w:val="0"/>
          <w:sz w:val="24"/>
        </w:rPr>
      </w:pPr>
      <w:r>
        <w:rPr>
          <w:b/>
          <w:bCs/>
          <w:snapToGrid w:val="0"/>
          <w:spacing w:val="4"/>
          <w:kern w:val="0"/>
          <w:sz w:val="24"/>
        </w:rPr>
        <w:t>第三篇  标准条件</w:t>
      </w:r>
    </w:p>
    <w:p>
      <w:pPr>
        <w:topLinePunct/>
        <w:adjustRightInd w:val="0"/>
        <w:snapToGrid w:val="0"/>
        <w:spacing w:line="420" w:lineRule="exact"/>
        <w:ind w:firstLine="284" w:firstLineChars="114"/>
        <w:rPr>
          <w:b/>
          <w:bCs/>
          <w:snapToGrid w:val="0"/>
          <w:spacing w:val="4"/>
          <w:kern w:val="0"/>
          <w:sz w:val="24"/>
        </w:rPr>
      </w:pPr>
      <w:r>
        <w:rPr>
          <w:b/>
          <w:bCs/>
          <w:snapToGrid w:val="0"/>
          <w:spacing w:val="4"/>
          <w:kern w:val="0"/>
          <w:sz w:val="24"/>
        </w:rPr>
        <w:t>第四篇  合同附件</w:t>
      </w:r>
    </w:p>
    <w:p>
      <w:pPr>
        <w:topLinePunct/>
        <w:adjustRightInd w:val="0"/>
        <w:snapToGrid w:val="0"/>
        <w:spacing w:line="420" w:lineRule="exact"/>
        <w:ind w:firstLine="565" w:firstLineChars="228"/>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附件1：工程建设廉洁协议书</w:t>
      </w:r>
    </w:p>
    <w:p>
      <w:pPr>
        <w:topLinePunct/>
        <w:adjustRightInd w:val="0"/>
        <w:snapToGrid w:val="0"/>
        <w:spacing w:line="420" w:lineRule="exact"/>
        <w:ind w:firstLine="565" w:firstLineChars="228"/>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附件2：监理服务工作及成果质量量化考核支付方式表</w:t>
      </w:r>
    </w:p>
    <w:p>
      <w:pPr>
        <w:topLinePunct/>
        <w:adjustRightInd w:val="0"/>
        <w:snapToGrid w:val="0"/>
        <w:spacing w:line="420" w:lineRule="exact"/>
        <w:ind w:firstLine="565" w:firstLineChars="228"/>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附件3：项目监理机构及监理人员</w:t>
      </w:r>
    </w:p>
    <w:p>
      <w:pPr>
        <w:topLinePunct/>
        <w:adjustRightInd w:val="0"/>
        <w:snapToGrid w:val="0"/>
        <w:spacing w:line="420" w:lineRule="exact"/>
        <w:ind w:firstLine="565" w:firstLineChars="228"/>
        <w:rPr>
          <w:bCs/>
          <w:snapToGrid w:val="0"/>
          <w:spacing w:val="4"/>
          <w:kern w:val="0"/>
          <w:sz w:val="24"/>
        </w:rPr>
      </w:pPr>
      <w:r>
        <w:rPr>
          <w:bCs/>
          <w:snapToGrid w:val="0"/>
          <w:spacing w:val="4"/>
          <w:kern w:val="0"/>
          <w:sz w:val="24"/>
        </w:rPr>
        <w:t>（1）项目监理机构图</w:t>
      </w:r>
    </w:p>
    <w:p>
      <w:pPr>
        <w:topLinePunct/>
        <w:adjustRightInd w:val="0"/>
        <w:snapToGrid w:val="0"/>
        <w:spacing w:line="420" w:lineRule="exact"/>
        <w:ind w:firstLine="565" w:firstLineChars="228"/>
        <w:rPr>
          <w:snapToGrid w:val="0"/>
          <w:spacing w:val="4"/>
          <w:kern w:val="0"/>
          <w:sz w:val="24"/>
        </w:rPr>
      </w:pPr>
      <w:r>
        <w:rPr>
          <w:bCs/>
          <w:snapToGrid w:val="0"/>
          <w:spacing w:val="4"/>
          <w:kern w:val="0"/>
          <w:sz w:val="24"/>
        </w:rPr>
        <w:t>（2）施工准备阶段</w:t>
      </w:r>
      <w:r>
        <w:rPr>
          <w:rFonts w:hint="eastAsia"/>
          <w:snapToGrid w:val="0"/>
          <w:spacing w:val="4"/>
          <w:kern w:val="0"/>
          <w:sz w:val="24"/>
        </w:rPr>
        <w:t>监理</w:t>
      </w:r>
      <w:r>
        <w:rPr>
          <w:snapToGrid w:val="0"/>
          <w:spacing w:val="4"/>
          <w:kern w:val="0"/>
          <w:sz w:val="24"/>
        </w:rPr>
        <w:t>人员一览表</w:t>
      </w:r>
    </w:p>
    <w:p>
      <w:pPr>
        <w:topLinePunct/>
        <w:adjustRightInd w:val="0"/>
        <w:snapToGrid w:val="0"/>
        <w:spacing w:line="420" w:lineRule="exact"/>
        <w:ind w:firstLine="565" w:firstLineChars="228"/>
        <w:rPr>
          <w:snapToGrid w:val="0"/>
          <w:spacing w:val="4"/>
          <w:kern w:val="0"/>
          <w:sz w:val="24"/>
        </w:rPr>
      </w:pPr>
      <w:r>
        <w:rPr>
          <w:snapToGrid w:val="0"/>
          <w:spacing w:val="4"/>
          <w:kern w:val="0"/>
          <w:sz w:val="24"/>
        </w:rPr>
        <w:t>（3）施工阶段</w:t>
      </w:r>
      <w:r>
        <w:rPr>
          <w:rFonts w:hint="eastAsia"/>
          <w:snapToGrid w:val="0"/>
          <w:spacing w:val="4"/>
          <w:kern w:val="0"/>
          <w:sz w:val="24"/>
        </w:rPr>
        <w:t>监理</w:t>
      </w:r>
      <w:r>
        <w:rPr>
          <w:snapToGrid w:val="0"/>
          <w:spacing w:val="4"/>
          <w:kern w:val="0"/>
          <w:sz w:val="24"/>
        </w:rPr>
        <w:t>人员一览表</w:t>
      </w:r>
    </w:p>
    <w:p>
      <w:pPr>
        <w:topLinePunct/>
        <w:adjustRightInd w:val="0"/>
        <w:snapToGrid w:val="0"/>
        <w:spacing w:line="420" w:lineRule="exact"/>
        <w:ind w:firstLine="565" w:firstLineChars="228"/>
        <w:rPr>
          <w:bCs/>
          <w:snapToGrid w:val="0"/>
          <w:spacing w:val="4"/>
          <w:kern w:val="0"/>
          <w:sz w:val="24"/>
        </w:rPr>
      </w:pPr>
      <w:r>
        <w:rPr>
          <w:snapToGrid w:val="0"/>
          <w:spacing w:val="4"/>
          <w:kern w:val="0"/>
          <w:sz w:val="24"/>
        </w:rPr>
        <w:t>（4）工程收尾阶段监理人员一览表</w:t>
      </w:r>
    </w:p>
    <w:p>
      <w:pPr>
        <w:topLinePunct/>
        <w:adjustRightInd w:val="0"/>
        <w:snapToGrid w:val="0"/>
        <w:spacing w:line="420" w:lineRule="exact"/>
        <w:ind w:firstLine="565" w:firstLineChars="228"/>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附件4：</w:t>
      </w:r>
      <w:r>
        <w:rPr>
          <w:snapToGrid w:val="0"/>
          <w:spacing w:val="4"/>
          <w:kern w:val="0"/>
          <w:sz w:val="24"/>
        </w:rPr>
        <w:t>（</w:t>
      </w:r>
      <w:r>
        <w:rPr>
          <w:bCs/>
          <w:snapToGrid w:val="0"/>
          <w:spacing w:val="4"/>
          <w:kern w:val="0"/>
          <w:sz w:val="24"/>
        </w:rPr>
        <w:t>承包人）</w:t>
      </w:r>
      <w:r>
        <w:rPr>
          <w:snapToGrid w:val="0"/>
          <w:spacing w:val="4"/>
          <w:kern w:val="0"/>
          <w:sz w:val="24"/>
        </w:rPr>
        <w:t>拟用于本工程的通讯、办公、检测设备清单</w:t>
      </w:r>
    </w:p>
    <w:p>
      <w:pPr>
        <w:topLinePunct/>
        <w:adjustRightInd w:val="0"/>
        <w:snapToGrid w:val="0"/>
        <w:spacing w:line="420" w:lineRule="exact"/>
        <w:ind w:firstLine="565" w:firstLineChars="228"/>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附件5：监理服务承诺书</w:t>
      </w:r>
    </w:p>
    <w:p>
      <w:pPr>
        <w:topLinePunct/>
        <w:adjustRightInd w:val="0"/>
        <w:snapToGrid w:val="0"/>
        <w:spacing w:line="420" w:lineRule="exact"/>
        <w:ind w:firstLine="565" w:firstLineChars="228"/>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附件6：承包人履约银行保函</w:t>
      </w:r>
      <w:r>
        <w:rPr>
          <w:bCs/>
          <w:snapToGrid w:val="0"/>
          <w:spacing w:val="-4"/>
          <w:kern w:val="0"/>
          <w:sz w:val="24"/>
        </w:rPr>
        <w:t>（另册）</w:t>
      </w:r>
    </w:p>
    <w:p>
      <w:pPr>
        <w:topLinePunct/>
        <w:adjustRightInd w:val="0"/>
        <w:snapToGrid w:val="0"/>
        <w:spacing w:line="420" w:lineRule="exact"/>
        <w:ind w:firstLine="562" w:firstLineChars="227"/>
        <w:rPr>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附件7：监理单位安全生产管理目标责任书</w:t>
      </w:r>
    </w:p>
    <w:p>
      <w:pPr>
        <w:topLinePunct/>
        <w:adjustRightInd w:val="0"/>
        <w:snapToGrid w:val="0"/>
        <w:spacing w:line="420" w:lineRule="exact"/>
        <w:ind w:left="850" w:leftChars="269" w:hanging="285" w:hangingChars="115"/>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w:t>
      </w:r>
      <w:r>
        <w:rPr>
          <w:bCs/>
          <w:snapToGrid w:val="0"/>
          <w:spacing w:val="-4"/>
          <w:kern w:val="0"/>
          <w:sz w:val="24"/>
        </w:rPr>
        <w:t>附件8：承包人法定代表人、项目总监理工程师、项目监理员的姓名、身份证复印件、职务、职称、联系方式</w:t>
      </w:r>
    </w:p>
    <w:p>
      <w:pPr>
        <w:topLinePunct/>
        <w:adjustRightInd w:val="0"/>
        <w:snapToGrid w:val="0"/>
        <w:spacing w:line="420" w:lineRule="exact"/>
        <w:ind w:firstLine="565" w:firstLineChars="228"/>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附件9：中标通知书</w:t>
      </w:r>
    </w:p>
    <w:p>
      <w:pPr>
        <w:topLinePunct/>
        <w:adjustRightInd w:val="0"/>
        <w:snapToGrid w:val="0"/>
        <w:spacing w:line="360" w:lineRule="auto"/>
        <w:jc w:val="center"/>
        <w:rPr>
          <w:b/>
          <w:snapToGrid w:val="0"/>
          <w:spacing w:val="4"/>
          <w:kern w:val="0"/>
          <w:sz w:val="30"/>
          <w:szCs w:val="30"/>
        </w:rPr>
        <w:sectPr>
          <w:footerReference r:id="rId3" w:type="default"/>
          <w:pgSz w:w="11907" w:h="16840"/>
          <w:pgMar w:top="1134" w:right="1134" w:bottom="1134" w:left="1134" w:header="851" w:footer="851" w:gutter="340"/>
          <w:cols w:space="720" w:num="1"/>
          <w:titlePg/>
        </w:sectPr>
      </w:pPr>
    </w:p>
    <w:p>
      <w:pPr>
        <w:topLinePunct/>
        <w:adjustRightInd w:val="0"/>
        <w:snapToGrid w:val="0"/>
        <w:spacing w:line="360" w:lineRule="auto"/>
        <w:jc w:val="center"/>
        <w:rPr>
          <w:b/>
          <w:snapToGrid w:val="0"/>
          <w:spacing w:val="4"/>
          <w:kern w:val="0"/>
          <w:sz w:val="30"/>
          <w:szCs w:val="30"/>
        </w:rPr>
      </w:pPr>
      <w:r>
        <w:rPr>
          <w:b/>
          <w:snapToGrid w:val="0"/>
          <w:spacing w:val="4"/>
          <w:kern w:val="0"/>
          <w:sz w:val="30"/>
          <w:szCs w:val="30"/>
        </w:rPr>
        <w:t>第一篇  委托监理协议书</w:t>
      </w:r>
    </w:p>
    <w:p>
      <w:pPr>
        <w:topLinePunct/>
        <w:adjustRightInd w:val="0"/>
        <w:snapToGrid w:val="0"/>
        <w:spacing w:before="120" w:beforeLines="50" w:line="348" w:lineRule="auto"/>
        <w:ind w:firstLine="496" w:firstLineChars="200"/>
        <w:rPr>
          <w:snapToGrid w:val="0"/>
          <w:spacing w:val="4"/>
          <w:kern w:val="0"/>
          <w:sz w:val="24"/>
        </w:rPr>
      </w:pPr>
    </w:p>
    <w:p>
      <w:pPr>
        <w:adjustRightInd w:val="0"/>
        <w:snapToGrid w:val="0"/>
        <w:spacing w:line="360" w:lineRule="auto"/>
        <w:ind w:firstLine="592" w:firstLineChars="268"/>
        <w:rPr>
          <w:b/>
          <w:sz w:val="22"/>
        </w:rPr>
      </w:pPr>
      <w:r>
        <w:rPr>
          <w:rFonts w:hint="eastAsia"/>
          <w:b/>
          <w:sz w:val="22"/>
        </w:rPr>
        <w:t>发</w:t>
      </w:r>
      <w:r>
        <w:rPr>
          <w:b/>
          <w:sz w:val="22"/>
        </w:rPr>
        <w:t xml:space="preserve"> </w:t>
      </w:r>
      <w:r>
        <w:rPr>
          <w:rFonts w:hint="eastAsia"/>
          <w:b/>
          <w:sz w:val="22"/>
        </w:rPr>
        <w:t>包</w:t>
      </w:r>
      <w:r>
        <w:rPr>
          <w:b/>
          <w:sz w:val="22"/>
        </w:rPr>
        <w:t xml:space="preserve"> 人（甲方）：</w:t>
      </w:r>
      <w:r>
        <w:rPr>
          <w:b/>
          <w:sz w:val="22"/>
          <w:u w:val="single"/>
        </w:rPr>
        <w:t>广州市花都区公共建设项目管理中心</w:t>
      </w:r>
    </w:p>
    <w:p>
      <w:pPr>
        <w:adjustRightInd w:val="0"/>
        <w:snapToGrid w:val="0"/>
        <w:spacing w:line="360" w:lineRule="auto"/>
        <w:ind w:firstLine="592" w:firstLineChars="268"/>
        <w:rPr>
          <w:b/>
          <w:sz w:val="22"/>
        </w:rPr>
      </w:pPr>
      <w:r>
        <w:rPr>
          <w:rFonts w:hint="eastAsia"/>
          <w:b/>
          <w:sz w:val="22"/>
        </w:rPr>
        <w:t>承</w:t>
      </w:r>
      <w:r>
        <w:rPr>
          <w:b/>
          <w:sz w:val="22"/>
        </w:rPr>
        <w:t xml:space="preserve"> </w:t>
      </w:r>
      <w:r>
        <w:rPr>
          <w:rFonts w:hint="eastAsia"/>
          <w:b/>
          <w:sz w:val="22"/>
        </w:rPr>
        <w:t xml:space="preserve">包 </w:t>
      </w:r>
      <w:r>
        <w:rPr>
          <w:b/>
          <w:sz w:val="22"/>
        </w:rPr>
        <w:t>人（乙方）：</w:t>
      </w:r>
      <w:r>
        <w:rPr>
          <w:rFonts w:hint="eastAsia" w:ascii="等线" w:hAnsi="等线" w:eastAsia="等线"/>
          <w:b/>
          <w:sz w:val="22"/>
          <w:u w:val="single"/>
        </w:rPr>
        <w:t xml:space="preserve"> </w:t>
      </w:r>
      <w:r>
        <w:rPr>
          <w:rFonts w:ascii="等线" w:hAnsi="等线" w:eastAsia="等线"/>
          <w:b/>
          <w:sz w:val="22"/>
          <w:u w:val="single"/>
        </w:rPr>
        <w:t xml:space="preserve">                               </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依照《中华人民共和国</w:t>
      </w:r>
      <w:r>
        <w:rPr>
          <w:rFonts w:hint="eastAsia"/>
          <w:snapToGrid w:val="0"/>
          <w:spacing w:val="4"/>
          <w:kern w:val="0"/>
          <w:sz w:val="24"/>
        </w:rPr>
        <w:t>民法典</w:t>
      </w:r>
      <w:r>
        <w:rPr>
          <w:snapToGrid w:val="0"/>
          <w:spacing w:val="4"/>
          <w:kern w:val="0"/>
          <w:sz w:val="24"/>
        </w:rPr>
        <w:t>》、《中华人民共和国建筑法》及其他有关法律、行政法规、部门规章、地方性法规和规章，以及政府关于建设项目的有关文件，遵循平等、自愿、公平和诚实信用的原则，</w:t>
      </w:r>
      <w:r>
        <w:rPr>
          <w:rFonts w:hint="eastAsia"/>
          <w:snapToGrid w:val="0"/>
          <w:spacing w:val="4"/>
          <w:kern w:val="0"/>
          <w:sz w:val="24"/>
        </w:rPr>
        <w:t>甲乙双</w:t>
      </w:r>
      <w:r>
        <w:rPr>
          <w:snapToGrid w:val="0"/>
          <w:spacing w:val="4"/>
          <w:kern w:val="0"/>
          <w:sz w:val="24"/>
        </w:rPr>
        <w:t>方就本工程委托监理事宜协商一致，订立本合同。</w:t>
      </w:r>
    </w:p>
    <w:p>
      <w:pPr>
        <w:topLinePunct/>
        <w:adjustRightInd w:val="0"/>
        <w:snapToGrid w:val="0"/>
        <w:spacing w:before="120" w:beforeLines="50" w:line="420" w:lineRule="exact"/>
        <w:ind w:firstLine="498" w:firstLineChars="200"/>
        <w:rPr>
          <w:b/>
          <w:snapToGrid w:val="0"/>
          <w:spacing w:val="4"/>
          <w:kern w:val="0"/>
          <w:sz w:val="24"/>
        </w:rPr>
      </w:pPr>
      <w:r>
        <w:rPr>
          <w:b/>
          <w:snapToGrid w:val="0"/>
          <w:spacing w:val="4"/>
          <w:kern w:val="0"/>
          <w:sz w:val="24"/>
        </w:rPr>
        <w:t>第一条  监理工程概况</w:t>
      </w:r>
    </w:p>
    <w:p>
      <w:pPr>
        <w:spacing w:line="420" w:lineRule="exact"/>
        <w:ind w:right="-53" w:rightChars="-25" w:firstLine="498" w:firstLineChars="200"/>
        <w:rPr>
          <w:u w:val="single"/>
        </w:rPr>
      </w:pPr>
      <w:r>
        <w:rPr>
          <w:b/>
          <w:bCs/>
          <w:snapToGrid w:val="0"/>
          <w:spacing w:val="4"/>
          <w:kern w:val="0"/>
          <w:sz w:val="24"/>
        </w:rPr>
        <w:t>1.1工程名称：</w:t>
      </w:r>
      <w:r>
        <w:rPr>
          <w:rFonts w:hint="eastAsia"/>
          <w:sz w:val="24"/>
          <w:u w:val="single"/>
        </w:rPr>
        <w:t>花都区中轴线学校建设项目监理服务</w:t>
      </w:r>
    </w:p>
    <w:p>
      <w:pPr>
        <w:topLinePunct/>
        <w:adjustRightInd w:val="0"/>
        <w:snapToGrid w:val="0"/>
        <w:spacing w:line="420" w:lineRule="exact"/>
        <w:ind w:firstLine="498" w:firstLineChars="200"/>
        <w:rPr>
          <w:sz w:val="24"/>
          <w:u w:val="single"/>
        </w:rPr>
      </w:pPr>
      <w:r>
        <w:rPr>
          <w:b/>
          <w:bCs/>
          <w:snapToGrid w:val="0"/>
          <w:spacing w:val="4"/>
          <w:kern w:val="0"/>
          <w:sz w:val="24"/>
        </w:rPr>
        <w:t>1.2工程地点：</w:t>
      </w:r>
      <w:r>
        <w:rPr>
          <w:rFonts w:ascii="Calibri" w:hAnsi="Calibri"/>
          <w:sz w:val="24"/>
          <w:u w:val="single"/>
          <w:lang w:bidi="ar"/>
        </w:rPr>
        <w:t>广州市花都区</w:t>
      </w:r>
      <w:r>
        <w:rPr>
          <w:rFonts w:hint="eastAsia" w:ascii="Calibri" w:hAnsi="Calibri"/>
          <w:sz w:val="24"/>
          <w:u w:val="single"/>
          <w:lang w:bidi="ar"/>
        </w:rPr>
        <w:t>百寿北路（罗仙新村东侧地块）</w:t>
      </w:r>
    </w:p>
    <w:p>
      <w:pPr>
        <w:topLinePunct/>
        <w:adjustRightInd w:val="0"/>
        <w:snapToGrid w:val="0"/>
        <w:spacing w:line="420" w:lineRule="exact"/>
        <w:ind w:firstLine="498" w:firstLineChars="200"/>
        <w:rPr>
          <w:snapToGrid w:val="0"/>
          <w:spacing w:val="4"/>
          <w:kern w:val="0"/>
          <w:sz w:val="24"/>
          <w:u w:val="single"/>
        </w:rPr>
      </w:pPr>
      <w:r>
        <w:rPr>
          <w:b/>
          <w:bCs/>
          <w:snapToGrid w:val="0"/>
          <w:spacing w:val="4"/>
          <w:kern w:val="0"/>
          <w:sz w:val="24"/>
        </w:rPr>
        <w:t>1.3工程规模：</w:t>
      </w:r>
      <w:r>
        <w:rPr>
          <w:rFonts w:hint="eastAsia"/>
          <w:snapToGrid w:val="0"/>
          <w:spacing w:val="4"/>
          <w:kern w:val="0"/>
          <w:sz w:val="24"/>
          <w:u w:val="single"/>
        </w:rPr>
        <w:t>本项目为花都区中轴线学校新建工程，项目建设规模和内容：项目建筑用地面积约66500平方米（约100亩），新建总建筑面积约53000平方米（最大单体建筑面积约9000平方米，</w:t>
      </w:r>
      <w:r>
        <w:rPr>
          <w:rFonts w:hint="eastAsia" w:ascii="宋体" w:hAnsi="宋体" w:cs="宋体"/>
          <w:sz w:val="24"/>
          <w:u w:val="single"/>
        </w:rPr>
        <w:t>最</w:t>
      </w:r>
      <w:r>
        <w:rPr>
          <w:rFonts w:hint="eastAsia"/>
          <w:snapToGrid w:val="0"/>
          <w:spacing w:val="4"/>
          <w:kern w:val="0"/>
          <w:sz w:val="24"/>
          <w:u w:val="single"/>
        </w:rPr>
        <w:t>高约38米,最大跨度约34米）。建设内容包括：教学楼一（小学），教学楼二（初中），行政综合楼，校门，食堂，体育馆，冰雪馆，宿舍，400米跑道标准运动场，人防地下室、园林、辅助用房及周边配套设施。项目设计满足小学36个班、初中36个班规模，满足约3500名学生的学习和生活。</w:t>
      </w:r>
    </w:p>
    <w:p>
      <w:pPr>
        <w:topLinePunct/>
        <w:adjustRightInd w:val="0"/>
        <w:snapToGrid w:val="0"/>
        <w:spacing w:line="420" w:lineRule="exact"/>
        <w:ind w:firstLine="498" w:firstLineChars="200"/>
        <w:rPr>
          <w:b/>
          <w:sz w:val="24"/>
          <w:u w:val="single"/>
        </w:rPr>
      </w:pPr>
      <w:r>
        <w:rPr>
          <w:b/>
          <w:bCs/>
          <w:snapToGrid w:val="0"/>
          <w:spacing w:val="4"/>
          <w:kern w:val="0"/>
          <w:sz w:val="24"/>
        </w:rPr>
        <w:t>1.4工程总投资：</w:t>
      </w:r>
      <w:r>
        <w:rPr>
          <w:rFonts w:hint="eastAsia"/>
          <w:sz w:val="24"/>
          <w:u w:val="single"/>
          <w:lang w:bidi="ar"/>
        </w:rPr>
        <w:t>估算建安工程费约32558.4万元。</w:t>
      </w:r>
    </w:p>
    <w:p>
      <w:pPr>
        <w:topLinePunct/>
        <w:adjustRightInd w:val="0"/>
        <w:snapToGrid w:val="0"/>
        <w:spacing w:line="420" w:lineRule="exact"/>
        <w:rPr>
          <w:snapToGrid w:val="0"/>
          <w:spacing w:val="4"/>
          <w:kern w:val="0"/>
          <w:sz w:val="24"/>
        </w:rPr>
      </w:pPr>
      <w:r>
        <w:rPr>
          <w:snapToGrid w:val="0"/>
          <w:spacing w:val="4"/>
          <w:kern w:val="0"/>
          <w:sz w:val="24"/>
        </w:rPr>
        <w:t xml:space="preserve">    </w:t>
      </w:r>
      <w:r>
        <w:rPr>
          <w:b/>
          <w:bCs/>
          <w:snapToGrid w:val="0"/>
          <w:spacing w:val="4"/>
          <w:kern w:val="0"/>
          <w:sz w:val="24"/>
        </w:rPr>
        <w:t>1.5质量目标</w:t>
      </w:r>
      <w:r>
        <w:rPr>
          <w:snapToGrid w:val="0"/>
          <w:spacing w:val="4"/>
          <w:kern w:val="0"/>
          <w:sz w:val="24"/>
        </w:rPr>
        <w:t>：合格工程，达到</w:t>
      </w:r>
      <w:r>
        <w:rPr>
          <w:rFonts w:hint="eastAsia"/>
          <w:snapToGrid w:val="0"/>
          <w:spacing w:val="4"/>
          <w:kern w:val="0"/>
          <w:sz w:val="24"/>
        </w:rPr>
        <w:t>《建筑工程施工质量评价标准》（GB/T 50375-2016）</w:t>
      </w:r>
      <w:r>
        <w:rPr>
          <w:snapToGrid w:val="0"/>
          <w:spacing w:val="4"/>
          <w:kern w:val="0"/>
          <w:sz w:val="24"/>
        </w:rPr>
        <w:t>。</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1.6职业健康安全管理目标：</w:t>
      </w:r>
      <w:r>
        <w:rPr>
          <w:snapToGrid w:val="0"/>
          <w:spacing w:val="4"/>
          <w:kern w:val="0"/>
          <w:sz w:val="24"/>
        </w:rPr>
        <w:t>无人员伤亡、无设备损坏、无火灾爆炸、无环境污染、无职业病等事故发生，杜绝一般事故等级以上的伤亡事故且工伤责任事故死亡人数为零，确保广州市安全文明施工样板工地。</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1.7环境管理目标：</w:t>
      </w:r>
      <w:r>
        <w:rPr>
          <w:snapToGrid w:val="0"/>
          <w:spacing w:val="4"/>
          <w:kern w:val="0"/>
          <w:sz w:val="24"/>
        </w:rPr>
        <w:t>严格执行《广州市建设工程现场文明施工管理办法》（穗建质〔2008〕937号）、《关于进一步规范建设工程施工现场围蔽的通知》（穗建质〔2008〕1008号）。</w:t>
      </w:r>
    </w:p>
    <w:p>
      <w:pPr>
        <w:topLinePunct/>
        <w:adjustRightInd w:val="0"/>
        <w:snapToGrid w:val="0"/>
        <w:spacing w:before="120" w:beforeLines="50" w:line="420" w:lineRule="exact"/>
        <w:ind w:firstLine="498" w:firstLineChars="200"/>
        <w:rPr>
          <w:b/>
          <w:snapToGrid w:val="0"/>
          <w:spacing w:val="4"/>
          <w:kern w:val="0"/>
          <w:sz w:val="24"/>
        </w:rPr>
      </w:pPr>
      <w:r>
        <w:rPr>
          <w:b/>
          <w:snapToGrid w:val="0"/>
          <w:spacing w:val="4"/>
          <w:kern w:val="0"/>
          <w:sz w:val="24"/>
        </w:rPr>
        <w:t>第二条  监理服务范围</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2.1  监理范围</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2.1.1</w:t>
      </w:r>
      <w:r>
        <w:rPr>
          <w:snapToGrid w:val="0"/>
          <w:sz w:val="24"/>
        </w:rPr>
        <w:t>前期准备阶段、</w:t>
      </w:r>
      <w:r>
        <w:rPr>
          <w:snapToGrid w:val="0"/>
          <w:spacing w:val="4"/>
          <w:kern w:val="0"/>
          <w:sz w:val="24"/>
        </w:rPr>
        <w:t>施工准备阶段、施工阶段、竣工结算阶段、保修阶段等全部监理服务工作；包括但不限于质量控制、投资控制、进度控制、组织协调、安全文明、结算管理；监督、管理建设工程合同的履行，协调建设单位和工程建设有关各方的工作关系，以及配合项目移交等监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2.1.2除上述工作范围外，承包人还须按发包人的要求提前进场参与开工前期的准备和筹划工作，协助发包人制定工程管理办法、各参建方职责及有关事务性工作等。</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bdr w:val="single" w:color="auto" w:sz="4" w:space="0"/>
        </w:rPr>
        <w:t>×</w:t>
      </w:r>
      <w:r>
        <w:rPr>
          <w:snapToGrid w:val="0"/>
          <w:spacing w:val="4"/>
          <w:kern w:val="0"/>
          <w:sz w:val="24"/>
        </w:rPr>
        <w:t>2.1.3设备监造工作。</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2.2  监理内容(</w:t>
      </w:r>
      <w:r>
        <w:rPr>
          <w:snapToGrid w:val="0"/>
          <w:spacing w:val="4"/>
          <w:kern w:val="0"/>
          <w:sz w:val="24"/>
        </w:rPr>
        <w:t>包括但不限于)</w:t>
      </w:r>
    </w:p>
    <w:p>
      <w:pPr>
        <w:topLinePunct/>
        <w:adjustRightInd w:val="0"/>
        <w:snapToGrid w:val="0"/>
        <w:spacing w:line="420" w:lineRule="exact"/>
        <w:ind w:firstLine="480" w:firstLineChars="200"/>
        <w:rPr>
          <w:sz w:val="24"/>
          <w:u w:val="single"/>
        </w:rPr>
      </w:pPr>
      <w:r>
        <w:rPr>
          <w:sz w:val="24"/>
          <w:u w:val="single"/>
        </w:rPr>
        <w:t>按现行的建设施工监理规范的规定，包括但不限于以下内容：工程项目前期准备阶段（包括勘察设计报审、勘察、设计监理等）以及本项目施工准备阶段、施工阶段、缺陷责任期阶段、工程竣工验收等全过程监理及造价咨询服务（含单独完成概算审核、预算编制、预算审核、招标工程量清单对照（清标工作）、进度款审核、变更签证造价审核、追加合同价款审核、结算审核等造价咨询服务）等相关工作，包括但不限于本工程项目的质量控制、安全生产、投资控制、进度控制、设计变更管理、合同管理、信息管理、组织协调等监理工作，此外承包人还须按发包人的要求提前进场参与开工前期的准备和筹划工作，协助发包人制定各参建方职责及有关事务性工作等。</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2.3</w:t>
      </w:r>
      <w:r>
        <w:rPr>
          <w:bCs/>
          <w:snapToGrid w:val="0"/>
          <w:spacing w:val="4"/>
          <w:kern w:val="0"/>
          <w:sz w:val="24"/>
        </w:rPr>
        <w:t xml:space="preserve">  </w:t>
      </w:r>
      <w:r>
        <w:rPr>
          <w:b/>
          <w:bCs/>
          <w:snapToGrid w:val="0"/>
          <w:spacing w:val="4"/>
          <w:kern w:val="0"/>
          <w:sz w:val="24"/>
        </w:rPr>
        <w:t>监理服务期</w:t>
      </w:r>
    </w:p>
    <w:p>
      <w:pPr>
        <w:topLinePunct/>
        <w:adjustRightInd w:val="0"/>
        <w:snapToGrid w:val="0"/>
        <w:spacing w:line="420" w:lineRule="exact"/>
        <w:ind w:firstLine="480" w:firstLineChars="200"/>
        <w:rPr>
          <w:bCs/>
          <w:snapToGrid w:val="0"/>
          <w:kern w:val="0"/>
          <w:sz w:val="24"/>
          <w:szCs w:val="20"/>
        </w:rPr>
      </w:pPr>
      <w:r>
        <w:rPr>
          <w:bCs/>
          <w:snapToGrid w:val="0"/>
          <w:kern w:val="0"/>
          <w:sz w:val="24"/>
          <w:szCs w:val="20"/>
        </w:rPr>
        <w:t>监理服务期自承包人收到中标通知书或参加由发包人组织的第一次进场动员会之日起算，至本项目工程保修期结束且本合同工程结算金额经政府结算终审部门审定之日止。监理服务期包括项目的</w:t>
      </w:r>
      <w:r>
        <w:rPr>
          <w:snapToGrid w:val="0"/>
          <w:sz w:val="24"/>
        </w:rPr>
        <w:t>前期准备阶段、</w:t>
      </w:r>
      <w:r>
        <w:rPr>
          <w:bCs/>
          <w:snapToGrid w:val="0"/>
          <w:kern w:val="0"/>
          <w:sz w:val="24"/>
          <w:szCs w:val="20"/>
        </w:rPr>
        <w:t>施工准备阶段、施工阶段、工程收尾阶段和质量保修阶段，承包人须实行全过程监理服务。</w:t>
      </w:r>
    </w:p>
    <w:p>
      <w:pPr>
        <w:shd w:val="clear" w:color="auto" w:fill="FFFFFF"/>
        <w:spacing w:line="420" w:lineRule="exact"/>
        <w:ind w:firstLine="600" w:firstLineChars="250"/>
        <w:rPr>
          <w:sz w:val="24"/>
          <w:u w:val="single"/>
        </w:rPr>
      </w:pPr>
      <w:r>
        <w:rPr>
          <w:snapToGrid w:val="0"/>
          <w:sz w:val="24"/>
          <w:u w:val="single"/>
        </w:rPr>
        <w:t>2.3.1项目前期准备阶段（包括项目策划（含配合征拆）、勘察设计报审、勘察、设计监理、概预算编审、检测方案编审等）；</w:t>
      </w:r>
    </w:p>
    <w:p>
      <w:pPr>
        <w:shd w:val="clear" w:color="auto" w:fill="FFFFFF"/>
        <w:spacing w:line="420" w:lineRule="exact"/>
        <w:ind w:firstLine="600" w:firstLineChars="250"/>
        <w:rPr>
          <w:sz w:val="24"/>
          <w:u w:val="single"/>
        </w:rPr>
      </w:pPr>
      <w:r>
        <w:rPr>
          <w:sz w:val="24"/>
          <w:u w:val="single"/>
        </w:rPr>
        <w:t>2.3.2施工准备阶段监理工期：从中标通知书发放之日起至业主下达开工令或开工报告审批之日为止；</w:t>
      </w:r>
    </w:p>
    <w:p>
      <w:pPr>
        <w:shd w:val="clear" w:color="auto" w:fill="FFFFFF"/>
        <w:spacing w:line="420" w:lineRule="exact"/>
        <w:ind w:firstLine="600" w:firstLineChars="250"/>
        <w:rPr>
          <w:sz w:val="24"/>
          <w:u w:val="single"/>
        </w:rPr>
      </w:pPr>
      <w:r>
        <w:rPr>
          <w:sz w:val="24"/>
          <w:u w:val="single"/>
        </w:rPr>
        <w:t>2.3.3施工阶段监理工期：从业主下达开工令或开工报告审批之日起至施工项目全部完工并办理竣工验收、竣工结算、备案管理为止；</w:t>
      </w:r>
    </w:p>
    <w:p>
      <w:pPr>
        <w:shd w:val="clear" w:color="auto" w:fill="FFFFFF"/>
        <w:spacing w:line="420" w:lineRule="exact"/>
        <w:ind w:firstLine="600" w:firstLineChars="250"/>
        <w:rPr>
          <w:sz w:val="24"/>
          <w:u w:val="single"/>
        </w:rPr>
      </w:pPr>
      <w:r>
        <w:rPr>
          <w:sz w:val="24"/>
          <w:u w:val="single"/>
        </w:rPr>
        <w:t>2.3.4竣工结算期：从竣工验收完成开始至竣工结算完成为止。</w:t>
      </w:r>
    </w:p>
    <w:p>
      <w:pPr>
        <w:shd w:val="clear" w:color="auto" w:fill="FFFFFF"/>
        <w:spacing w:line="420" w:lineRule="exact"/>
        <w:ind w:firstLine="600" w:firstLineChars="250"/>
        <w:rPr>
          <w:sz w:val="24"/>
          <w:u w:val="single"/>
        </w:rPr>
      </w:pPr>
      <w:r>
        <w:rPr>
          <w:sz w:val="24"/>
          <w:u w:val="single"/>
        </w:rPr>
        <w:t>2.3.5保修阶段监理工期：从工程竣工验收合格、备案管理完成之日起计，按对应施工合同的有关规定，至保修期满无质量缺陷为止；</w:t>
      </w:r>
    </w:p>
    <w:p>
      <w:pPr>
        <w:topLinePunct/>
        <w:adjustRightInd w:val="0"/>
        <w:snapToGrid w:val="0"/>
        <w:spacing w:line="420" w:lineRule="exact"/>
        <w:ind w:firstLine="480" w:firstLineChars="200"/>
        <w:rPr>
          <w:bCs/>
          <w:snapToGrid w:val="0"/>
          <w:kern w:val="0"/>
          <w:sz w:val="24"/>
          <w:szCs w:val="20"/>
        </w:rPr>
      </w:pPr>
      <w:r>
        <w:rPr>
          <w:bCs/>
          <w:snapToGrid w:val="0"/>
          <w:kern w:val="0"/>
          <w:sz w:val="24"/>
          <w:szCs w:val="20"/>
        </w:rPr>
        <w:t>监理服务期内，工程施工阶段承包人的项目总监、专业监理工程师、监理员、造价人员、资料员须在工程现场开展监理服务工作；工程收尾阶段造价人员、资料员须在工程现场或发包人指定场所开展为期6个月的工程收尾相关监理服务工作。</w:t>
      </w:r>
    </w:p>
    <w:p>
      <w:pPr>
        <w:topLinePunct/>
        <w:adjustRightInd w:val="0"/>
        <w:snapToGrid w:val="0"/>
        <w:spacing w:before="120" w:beforeLines="50" w:line="420" w:lineRule="exact"/>
        <w:ind w:firstLine="498" w:firstLineChars="200"/>
        <w:rPr>
          <w:b/>
          <w:snapToGrid w:val="0"/>
          <w:spacing w:val="4"/>
          <w:kern w:val="0"/>
          <w:sz w:val="24"/>
        </w:rPr>
      </w:pPr>
      <w:r>
        <w:rPr>
          <w:b/>
          <w:snapToGrid w:val="0"/>
          <w:spacing w:val="4"/>
          <w:kern w:val="0"/>
          <w:sz w:val="24"/>
        </w:rPr>
        <w:t>第三条  监理酬金及其支付方式</w:t>
      </w:r>
    </w:p>
    <w:p>
      <w:pPr>
        <w:topLinePunct/>
        <w:adjustRightInd w:val="0"/>
        <w:snapToGrid w:val="0"/>
        <w:spacing w:line="420" w:lineRule="exact"/>
        <w:ind w:firstLine="498" w:firstLineChars="200"/>
        <w:rPr>
          <w:b/>
          <w:bCs/>
          <w:snapToGrid w:val="0"/>
          <w:spacing w:val="4"/>
          <w:kern w:val="0"/>
          <w:sz w:val="24"/>
        </w:rPr>
      </w:pPr>
      <w:r>
        <w:rPr>
          <w:b/>
          <w:bCs/>
          <w:snapToGrid w:val="0"/>
          <w:spacing w:val="4"/>
          <w:kern w:val="0"/>
          <w:sz w:val="24"/>
        </w:rPr>
        <w:t xml:space="preserve">3.1  </w:t>
      </w:r>
      <w:r>
        <w:rPr>
          <w:b/>
          <w:snapToGrid w:val="0"/>
          <w:spacing w:val="4"/>
          <w:kern w:val="0"/>
          <w:sz w:val="24"/>
        </w:rPr>
        <w:t>监理酬金</w:t>
      </w:r>
      <w:r>
        <w:rPr>
          <w:b/>
          <w:bCs/>
          <w:snapToGrid w:val="0"/>
          <w:spacing w:val="4"/>
          <w:kern w:val="0"/>
          <w:sz w:val="24"/>
        </w:rPr>
        <w:t>的计取</w:t>
      </w:r>
    </w:p>
    <w:p>
      <w:pPr>
        <w:topLinePunct/>
        <w:adjustRightInd w:val="0"/>
        <w:snapToGrid w:val="0"/>
        <w:spacing w:line="420" w:lineRule="exact"/>
        <w:ind w:firstLine="498" w:firstLineChars="200"/>
        <w:rPr>
          <w:bCs/>
          <w:snapToGrid w:val="0"/>
          <w:spacing w:val="4"/>
          <w:kern w:val="0"/>
          <w:sz w:val="24"/>
        </w:rPr>
      </w:pPr>
      <w:r>
        <w:rPr>
          <w:b/>
          <w:snapToGrid w:val="0"/>
          <w:spacing w:val="4"/>
          <w:kern w:val="0"/>
          <w:sz w:val="24"/>
        </w:rPr>
        <w:t>3.1.1</w:t>
      </w:r>
      <w:r>
        <w:rPr>
          <w:snapToGrid w:val="0"/>
          <w:spacing w:val="4"/>
          <w:kern w:val="0"/>
          <w:sz w:val="24"/>
        </w:rPr>
        <w:t xml:space="preserve">  </w:t>
      </w:r>
      <w:r>
        <w:rPr>
          <w:bCs/>
          <w:snapToGrid w:val="0"/>
          <w:spacing w:val="4"/>
          <w:kern w:val="0"/>
          <w:sz w:val="24"/>
        </w:rPr>
        <w:t>结合本合同工程的特点，发包人、承包人一致同意按如下约定计取监理酬金：</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bdr w:val="single" w:color="auto" w:sz="4" w:space="0"/>
        </w:rPr>
        <w:t>×</w:t>
      </w:r>
      <w:r>
        <w:rPr>
          <w:snapToGrid w:val="0"/>
          <w:spacing w:val="4"/>
          <w:kern w:val="0"/>
          <w:sz w:val="24"/>
        </w:rPr>
        <w:t>（1）参照国家发展改革委、建设部《关于印发&lt;建设工程监理与相关服务收费管理规定&gt;的通知》（发改价格〔2007〕670号）的有关规定，具体按以下约定计算：</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监理酬金</w:t>
      </w:r>
      <w:r>
        <w:rPr>
          <w:b/>
          <w:bCs/>
          <w:snapToGrid w:val="0"/>
          <w:spacing w:val="4"/>
          <w:kern w:val="0"/>
          <w:sz w:val="24"/>
        </w:rPr>
        <w:t>=</w:t>
      </w:r>
      <w:r>
        <w:rPr>
          <w:snapToGrid w:val="0"/>
          <w:spacing w:val="4"/>
          <w:kern w:val="0"/>
          <w:sz w:val="24"/>
        </w:rPr>
        <w:t>施工监理服务收费基准价</w:t>
      </w:r>
      <w:r>
        <w:rPr>
          <w:b/>
          <w:bCs/>
          <w:snapToGrid w:val="0"/>
          <w:spacing w:val="4"/>
          <w:kern w:val="0"/>
          <w:sz w:val="24"/>
        </w:rPr>
        <w:t>×</w:t>
      </w:r>
      <w:r>
        <w:rPr>
          <w:snapToGrid w:val="0"/>
          <w:spacing w:val="4"/>
          <w:kern w:val="0"/>
          <w:sz w:val="24"/>
        </w:rPr>
        <w:t>（</w:t>
      </w:r>
      <w:r>
        <w:rPr>
          <w:bCs/>
          <w:snapToGrid w:val="0"/>
          <w:spacing w:val="4"/>
          <w:kern w:val="0"/>
          <w:sz w:val="24"/>
        </w:rPr>
        <w:t>1+</w:t>
      </w:r>
      <w:r>
        <w:rPr>
          <w:snapToGrid w:val="0"/>
          <w:spacing w:val="4"/>
          <w:kern w:val="0"/>
          <w:sz w:val="24"/>
        </w:rPr>
        <w:t>浮动幅度值）。</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施工监理服务收费基准价=施工监理服务收费基价</w:t>
      </w:r>
      <w:r>
        <w:rPr>
          <w:b/>
          <w:bCs/>
          <w:snapToGrid w:val="0"/>
          <w:spacing w:val="4"/>
          <w:kern w:val="0"/>
          <w:sz w:val="24"/>
        </w:rPr>
        <w:t>×</w:t>
      </w:r>
      <w:r>
        <w:rPr>
          <w:snapToGrid w:val="0"/>
          <w:spacing w:val="4"/>
          <w:kern w:val="0"/>
          <w:sz w:val="24"/>
        </w:rPr>
        <w:t>专业调整系数</w:t>
      </w:r>
      <w:r>
        <w:rPr>
          <w:b/>
          <w:bCs/>
          <w:snapToGrid w:val="0"/>
          <w:spacing w:val="4"/>
          <w:kern w:val="0"/>
          <w:sz w:val="24"/>
        </w:rPr>
        <w:t>×</w:t>
      </w:r>
      <w:r>
        <w:rPr>
          <w:snapToGrid w:val="0"/>
          <w:spacing w:val="4"/>
          <w:kern w:val="0"/>
          <w:sz w:val="24"/>
        </w:rPr>
        <w:t>工程复杂程度调整系数×高程调整系数。</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其中：</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A） 专业调整系数为</w:t>
      </w:r>
      <w:r>
        <w:rPr>
          <w:snapToGrid w:val="0"/>
          <w:spacing w:val="4"/>
          <w:kern w:val="0"/>
          <w:sz w:val="24"/>
          <w:u w:val="single"/>
        </w:rPr>
        <w:t xml:space="preserve">  /  </w:t>
      </w:r>
      <w:r>
        <w:rPr>
          <w:snapToGrid w:val="0"/>
          <w:spacing w:val="4"/>
          <w:kern w:val="0"/>
          <w:sz w:val="24"/>
        </w:rPr>
        <w:t>、工程复杂程度调整系数</w:t>
      </w:r>
      <w:r>
        <w:rPr>
          <w:snapToGrid w:val="0"/>
          <w:spacing w:val="4"/>
          <w:kern w:val="0"/>
          <w:sz w:val="24"/>
          <w:u w:val="single"/>
        </w:rPr>
        <w:t xml:space="preserve">  /  </w:t>
      </w:r>
      <w:r>
        <w:rPr>
          <w:snapToGrid w:val="0"/>
          <w:spacing w:val="4"/>
          <w:kern w:val="0"/>
          <w:sz w:val="24"/>
        </w:rPr>
        <w:t xml:space="preserve"> 、高程调整系数为</w:t>
      </w:r>
      <w:r>
        <w:rPr>
          <w:rFonts w:ascii="宋体" w:hAnsi="宋体"/>
          <w:b/>
          <w:bCs/>
          <w:snapToGrid w:val="0"/>
          <w:spacing w:val="4"/>
          <w:kern w:val="0"/>
          <w:sz w:val="24"/>
          <w:u w:val="single"/>
        </w:rPr>
        <w:t xml:space="preserve"> </w:t>
      </w:r>
      <w:r>
        <w:rPr>
          <w:rFonts w:ascii="宋体" w:hAnsi="宋体"/>
          <w:bCs/>
          <w:snapToGrid w:val="0"/>
          <w:spacing w:val="4"/>
          <w:kern w:val="0"/>
          <w:sz w:val="24"/>
          <w:u w:val="single"/>
        </w:rPr>
        <w:t xml:space="preserve"> /</w:t>
      </w:r>
      <w:r>
        <w:rPr>
          <w:rFonts w:ascii="宋体" w:hAnsi="宋体"/>
          <w:b/>
          <w:bCs/>
          <w:snapToGrid w:val="0"/>
          <w:spacing w:val="4"/>
          <w:kern w:val="0"/>
          <w:sz w:val="24"/>
          <w:u w:val="single"/>
        </w:rPr>
        <w:t xml:space="preserve">  </w:t>
      </w:r>
      <w:r>
        <w:rPr>
          <w:snapToGrid w:val="0"/>
          <w:spacing w:val="4"/>
          <w:kern w:val="0"/>
          <w:sz w:val="24"/>
        </w:rPr>
        <w:t>；</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B） 施工监理服务收费基价按《施工监理服务收费基价表》（见上述“发改价格〔2007〕670号”文附表二）确定，计费额处于两个数值区间的，采用直线内插法确定。计费额为有权审核部门审定的本合同承包人实际监理范围内所有单位工程概算中的建筑安装工程费之和。</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本合同浮动幅度值为</w:t>
      </w:r>
      <w:r>
        <w:rPr>
          <w:rFonts w:ascii="宋体" w:hAnsi="宋体"/>
          <w:b/>
          <w:bCs/>
          <w:snapToGrid w:val="0"/>
          <w:spacing w:val="4"/>
          <w:kern w:val="0"/>
          <w:sz w:val="24"/>
          <w:u w:val="single"/>
        </w:rPr>
        <w:t xml:space="preserve">  </w:t>
      </w:r>
      <w:r>
        <w:rPr>
          <w:rFonts w:ascii="宋体" w:hAnsi="宋体"/>
          <w:bCs/>
          <w:snapToGrid w:val="0"/>
          <w:spacing w:val="4"/>
          <w:kern w:val="0"/>
          <w:sz w:val="24"/>
          <w:u w:val="single"/>
        </w:rPr>
        <w:t>/</w:t>
      </w:r>
      <w:r>
        <w:rPr>
          <w:rFonts w:ascii="宋体" w:hAnsi="宋体"/>
          <w:b/>
          <w:bCs/>
          <w:snapToGrid w:val="0"/>
          <w:spacing w:val="4"/>
          <w:kern w:val="0"/>
          <w:sz w:val="24"/>
          <w:u w:val="single"/>
        </w:rPr>
        <w:t xml:space="preserve">  </w:t>
      </w:r>
      <w:r>
        <w:rPr>
          <w:snapToGrid w:val="0"/>
          <w:spacing w:val="4"/>
          <w:kern w:val="0"/>
          <w:sz w:val="24"/>
        </w:rPr>
        <w:t>（按投标文件中承包人自报值，如下浮</w:t>
      </w:r>
      <w:r>
        <w:rPr>
          <w:bCs/>
          <w:snapToGrid w:val="0"/>
          <w:spacing w:val="4"/>
          <w:kern w:val="0"/>
          <w:sz w:val="24"/>
        </w:rPr>
        <w:t>20%</w:t>
      </w:r>
      <w:r>
        <w:rPr>
          <w:snapToGrid w:val="0"/>
          <w:spacing w:val="4"/>
          <w:kern w:val="0"/>
          <w:sz w:val="24"/>
        </w:rPr>
        <w:t>，则浮动幅度值为</w:t>
      </w:r>
      <w:r>
        <w:rPr>
          <w:b/>
          <w:bCs/>
          <w:snapToGrid w:val="0"/>
          <w:spacing w:val="4"/>
          <w:kern w:val="0"/>
          <w:sz w:val="24"/>
        </w:rPr>
        <w:t>-</w:t>
      </w:r>
      <w:r>
        <w:rPr>
          <w:bCs/>
          <w:snapToGrid w:val="0"/>
          <w:spacing w:val="4"/>
          <w:kern w:val="0"/>
          <w:sz w:val="24"/>
        </w:rPr>
        <w:t>20%</w:t>
      </w:r>
      <w:r>
        <w:rPr>
          <w:snapToGrid w:val="0"/>
          <w:spacing w:val="4"/>
          <w:kern w:val="0"/>
          <w:sz w:val="24"/>
        </w:rPr>
        <w:t>）。</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④</w:t>
      </w:r>
      <w:r>
        <w:rPr>
          <w:snapToGrid w:val="0"/>
          <w:spacing w:val="4"/>
          <w:kern w:val="0"/>
          <w:sz w:val="24"/>
        </w:rPr>
        <w:t xml:space="preserve"> 本合同施工监理服务计费额暂定为：</w:t>
      </w:r>
      <w:r>
        <w:rPr>
          <w:bCs/>
          <w:sz w:val="24"/>
          <w:u w:val="single"/>
        </w:rPr>
        <w:t xml:space="preserve">  /  </w:t>
      </w:r>
      <w:r>
        <w:rPr>
          <w:snapToGrid w:val="0"/>
          <w:spacing w:val="4"/>
          <w:kern w:val="0"/>
          <w:sz w:val="24"/>
        </w:rPr>
        <w:t>万元（人民币），收费基准价暂定为</w:t>
      </w:r>
      <w:r>
        <w:rPr>
          <w:snapToGrid w:val="0"/>
          <w:spacing w:val="4"/>
          <w:kern w:val="0"/>
          <w:sz w:val="24"/>
          <w:u w:val="single"/>
        </w:rPr>
        <w:t xml:space="preserve"> </w:t>
      </w:r>
      <w:r>
        <w:rPr>
          <w:bCs/>
          <w:sz w:val="24"/>
          <w:u w:val="single"/>
        </w:rPr>
        <w:t xml:space="preserve"> /  </w:t>
      </w:r>
      <w:r>
        <w:rPr>
          <w:snapToGrid w:val="0"/>
          <w:spacing w:val="4"/>
          <w:kern w:val="0"/>
          <w:sz w:val="24"/>
        </w:rPr>
        <w:t>万元，监理酬金暂定为</w:t>
      </w:r>
      <w:r>
        <w:rPr>
          <w:bCs/>
          <w:sz w:val="24"/>
          <w:u w:val="single"/>
        </w:rPr>
        <w:t xml:space="preserve">   /  </w:t>
      </w:r>
      <w:r>
        <w:rPr>
          <w:snapToGrid w:val="0"/>
          <w:spacing w:val="4"/>
          <w:kern w:val="0"/>
          <w:sz w:val="24"/>
        </w:rPr>
        <w:t>（中标价）。监理酬金结算时按有权审核部门审定的本合同承包人实际监理范围内所有工程概算中的建筑安装工程费之和的</w:t>
      </w:r>
      <w:r>
        <w:rPr>
          <w:bCs/>
          <w:snapToGrid w:val="0"/>
          <w:spacing w:val="4"/>
          <w:kern w:val="0"/>
          <w:sz w:val="24"/>
        </w:rPr>
        <w:t>95%</w:t>
      </w:r>
      <w:r>
        <w:rPr>
          <w:snapToGrid w:val="0"/>
          <w:spacing w:val="4"/>
          <w:kern w:val="0"/>
          <w:sz w:val="24"/>
        </w:rPr>
        <w:t>及本合同的有关约定进行调整。</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bdr w:val="single" w:color="auto" w:sz="4" w:space="0"/>
        </w:rPr>
        <w:t>×</w:t>
      </w:r>
      <w:r>
        <w:rPr>
          <w:snapToGrid w:val="0"/>
          <w:spacing w:val="4"/>
          <w:kern w:val="0"/>
          <w:sz w:val="24"/>
        </w:rPr>
        <w:t>（2）由承包人按中标价实行合同总价包干，监理酬金结算价即为合同包干总价，合同包干总价不论任何情况的变化均不调整。</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bdr w:val="single" w:color="auto" w:sz="4" w:space="0"/>
        </w:rPr>
        <w:t>×</w:t>
      </w:r>
      <w:r>
        <w:rPr>
          <w:snapToGrid w:val="0"/>
          <w:spacing w:val="4"/>
          <w:kern w:val="0"/>
          <w:sz w:val="24"/>
        </w:rPr>
        <w:t>（3）由承包人按中标价实行合同总价包干。当合同监理范围没有发生变化的，监理酬金结算价即为合同包干价；当合同监理范围发生变化的，监理酬金结算价=合同包干价×经有权审核部门审定的本合同承包人实际监理范围内所有单位工程概算中的建筑安装工程费之和/经有权审核部门审定的本合同约定监理范围内所有单位工程概算中的建筑安装工程费之和。</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bdr w:val="single" w:color="auto" w:sz="4" w:space="0"/>
        </w:rPr>
        <w:t>√</w:t>
      </w:r>
      <w:r>
        <w:rPr>
          <w:snapToGrid w:val="0"/>
          <w:spacing w:val="4"/>
          <w:kern w:val="0"/>
          <w:sz w:val="24"/>
        </w:rPr>
        <w:t>（4）</w:t>
      </w:r>
      <w:r>
        <w:rPr>
          <w:rFonts w:hint="eastAsia"/>
          <w:snapToGrid w:val="0"/>
          <w:spacing w:val="4"/>
          <w:kern w:val="0"/>
          <w:sz w:val="24"/>
        </w:rPr>
        <w:t>按政府有权审核部门审定的本合同监理人实际监理范围内所有单位工程概算评审（如无概算评审的，则以预算评审价为准，如无预算评审的，则以结算评审价为准）中的工程概算投资额（指建筑安装工程费、设备购置费和联合试运转费之和，对设备购置费和联合试运转费占工程概算投资额40%以上的工程项目，其建筑安装工程费全部计入计费额，设备购置费和联合试运转费按40%的比例计入计费额。但其计费额不应小于建筑安装工程费与其相同且设备购置费和联合试运转费等于工程概算投资额40%的工程项目的计费额）乘以</w:t>
      </w:r>
      <w:r>
        <w:rPr>
          <w:snapToGrid w:val="0"/>
          <w:spacing w:val="4"/>
          <w:kern w:val="0"/>
          <w:sz w:val="24"/>
          <w:u w:val="single"/>
        </w:rPr>
        <w:t xml:space="preserve">    </w:t>
      </w:r>
      <w:r>
        <w:rPr>
          <w:rFonts w:hint="eastAsia"/>
          <w:snapToGrid w:val="0"/>
          <w:spacing w:val="4"/>
          <w:kern w:val="0"/>
          <w:sz w:val="24"/>
        </w:rPr>
        <w:t>％的中标费率（中标费率=监理费中标价/工程估算投资额</w:t>
      </w:r>
      <w:r>
        <w:rPr>
          <w:rFonts w:hint="eastAsia"/>
          <w:snapToGrid w:val="0"/>
          <w:color w:val="auto"/>
          <w:spacing w:val="4"/>
          <w:kern w:val="0"/>
          <w:sz w:val="24"/>
          <w:u w:val="single"/>
        </w:rPr>
        <w:t xml:space="preserve">     </w:t>
      </w:r>
      <w:r>
        <w:rPr>
          <w:rFonts w:hint="eastAsia"/>
          <w:snapToGrid w:val="0"/>
          <w:color w:val="auto"/>
          <w:spacing w:val="4"/>
          <w:kern w:val="0"/>
          <w:sz w:val="24"/>
        </w:rPr>
        <w:t>万</w:t>
      </w:r>
      <w:r>
        <w:rPr>
          <w:rFonts w:hint="eastAsia"/>
          <w:snapToGrid w:val="0"/>
          <w:spacing w:val="4"/>
          <w:kern w:val="0"/>
          <w:sz w:val="24"/>
        </w:rPr>
        <w:t>元）计取。</w:t>
      </w:r>
    </w:p>
    <w:p>
      <w:pPr>
        <w:topLinePunct/>
        <w:adjustRightInd w:val="0"/>
        <w:snapToGrid w:val="0"/>
        <w:spacing w:line="420" w:lineRule="exact"/>
        <w:ind w:firstLine="496" w:firstLineChars="200"/>
        <w:rPr>
          <w:snapToGrid w:val="0"/>
          <w:spacing w:val="4"/>
          <w:kern w:val="0"/>
          <w:sz w:val="24"/>
        </w:rPr>
      </w:pPr>
      <w:r>
        <w:rPr>
          <w:rFonts w:hint="eastAsia"/>
          <w:snapToGrid w:val="0"/>
          <w:spacing w:val="4"/>
          <w:kern w:val="0"/>
          <w:sz w:val="24"/>
        </w:rPr>
        <w:t>项目实施过程中，如发生规模变化、重大设计变更的，经甲方审批同意后，可据实调整监理费计费基数，费率仍按中标费率。</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bdr w:val="single" w:color="auto" w:sz="4" w:space="0"/>
        </w:rPr>
        <w:t>×</w:t>
      </w:r>
      <w:r>
        <w:rPr>
          <w:snapToGrid w:val="0"/>
          <w:spacing w:val="4"/>
          <w:kern w:val="0"/>
          <w:sz w:val="24"/>
        </w:rPr>
        <w:t>（5）在本合同工程实施过程中，对于智能化、舞台机械、舞台灯光、声学等有特殊技术要求而承包人又没有足够技术力量完成的项目，发包人有权另行聘请技术督导单位，聘请了技术督导单位部分的工程监理酬金按该部分工程监理酬金（该部分工程监理酬金按其概算中的建安工程费占总概算中建安工程费的比例与监理酬金总额的乘积计算）的___％计取，发包人据此相应扣减承包人的监理酬金总额，但不因此豁免承包人的任何义务和责任。承包人与技术督导单位之间的关系、工作界面和职责分工以本合同专用条件第四十四条和相关合同的约定以及发包人的书面决定为准。</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bdr w:val="single" w:color="auto" w:sz="4" w:space="0"/>
        </w:rPr>
        <w:t>√</w:t>
      </w:r>
      <w:r>
        <w:rPr>
          <w:snapToGrid w:val="0"/>
          <w:spacing w:val="4"/>
          <w:kern w:val="0"/>
          <w:sz w:val="24"/>
        </w:rPr>
        <w:t>（6）其他</w:t>
      </w:r>
      <w:r>
        <w:rPr>
          <w:snapToGrid w:val="0"/>
          <w:spacing w:val="4"/>
          <w:kern w:val="0"/>
          <w:sz w:val="24"/>
          <w:lang w:val="zh-CN"/>
        </w:rPr>
        <w:t>：</w:t>
      </w:r>
      <w:r>
        <w:rPr>
          <w:b/>
          <w:snapToGrid w:val="0"/>
          <w:spacing w:val="4"/>
          <w:kern w:val="0"/>
          <w:sz w:val="24"/>
          <w:u w:val="single"/>
        </w:rPr>
        <w:t>监理费最终结算价以</w:t>
      </w:r>
      <w:r>
        <w:rPr>
          <w:rFonts w:hint="eastAsia"/>
          <w:b/>
          <w:snapToGrid w:val="0"/>
          <w:spacing w:val="4"/>
          <w:kern w:val="0"/>
          <w:sz w:val="24"/>
          <w:u w:val="single"/>
        </w:rPr>
        <w:t>甲方委托的结算终</w:t>
      </w:r>
      <w:r>
        <w:rPr>
          <w:b/>
          <w:snapToGrid w:val="0"/>
          <w:spacing w:val="4"/>
          <w:kern w:val="0"/>
          <w:sz w:val="24"/>
          <w:u w:val="single"/>
        </w:rPr>
        <w:t>审</w:t>
      </w:r>
      <w:r>
        <w:rPr>
          <w:rFonts w:hint="eastAsia"/>
          <w:b/>
          <w:snapToGrid w:val="0"/>
          <w:spacing w:val="4"/>
          <w:kern w:val="0"/>
          <w:sz w:val="24"/>
          <w:u w:val="single"/>
        </w:rPr>
        <w:t>单位的</w:t>
      </w:r>
      <w:r>
        <w:rPr>
          <w:b/>
          <w:snapToGrid w:val="0"/>
          <w:spacing w:val="4"/>
          <w:kern w:val="0"/>
          <w:sz w:val="24"/>
          <w:u w:val="single"/>
        </w:rPr>
        <w:t>审核</w:t>
      </w:r>
      <w:r>
        <w:rPr>
          <w:rFonts w:hint="eastAsia"/>
          <w:b/>
          <w:snapToGrid w:val="0"/>
          <w:spacing w:val="4"/>
          <w:kern w:val="0"/>
          <w:sz w:val="24"/>
          <w:u w:val="single"/>
        </w:rPr>
        <w:t>价</w:t>
      </w:r>
      <w:r>
        <w:rPr>
          <w:b/>
          <w:snapToGrid w:val="0"/>
          <w:spacing w:val="4"/>
          <w:kern w:val="0"/>
          <w:sz w:val="24"/>
          <w:u w:val="single"/>
        </w:rPr>
        <w:t>为准。</w:t>
      </w:r>
    </w:p>
    <w:p>
      <w:pPr>
        <w:topLinePunct/>
        <w:adjustRightInd w:val="0"/>
        <w:snapToGrid w:val="0"/>
        <w:spacing w:line="420" w:lineRule="exact"/>
        <w:ind w:firstLine="498" w:firstLineChars="200"/>
        <w:rPr>
          <w:b/>
          <w:bCs/>
          <w:snapToGrid w:val="0"/>
          <w:spacing w:val="4"/>
          <w:kern w:val="0"/>
          <w:sz w:val="24"/>
        </w:rPr>
      </w:pPr>
      <w:r>
        <w:rPr>
          <w:b/>
          <w:snapToGrid w:val="0"/>
          <w:spacing w:val="4"/>
          <w:kern w:val="0"/>
          <w:sz w:val="24"/>
        </w:rPr>
        <w:t>3.1.2</w:t>
      </w:r>
      <w:r>
        <w:rPr>
          <w:snapToGrid w:val="0"/>
          <w:spacing w:val="4"/>
          <w:kern w:val="0"/>
          <w:sz w:val="24"/>
        </w:rPr>
        <w:t xml:space="preserve">  </w:t>
      </w:r>
      <w:r>
        <w:rPr>
          <w:bCs/>
          <w:snapToGrid w:val="0"/>
          <w:spacing w:val="4"/>
          <w:kern w:val="0"/>
          <w:sz w:val="24"/>
        </w:rPr>
        <w:t>按上述原则计算，本合同的监理酬金总额暂定为</w:t>
      </w:r>
      <w:r>
        <w:rPr>
          <w:rFonts w:hint="eastAsia"/>
          <w:b/>
          <w:bCs/>
          <w:snapToGrid w:val="0"/>
          <w:spacing w:val="4"/>
          <w:kern w:val="0"/>
          <w:sz w:val="24"/>
        </w:rPr>
        <w:t>：人民币</w:t>
      </w:r>
      <w:r>
        <w:rPr>
          <w:rFonts w:ascii="宋体" w:hAnsi="宋体"/>
          <w:b/>
          <w:bCs/>
          <w:snapToGrid w:val="0"/>
          <w:spacing w:val="4"/>
          <w:kern w:val="0"/>
          <w:sz w:val="24"/>
          <w:u w:val="single"/>
        </w:rPr>
        <w:t xml:space="preserve">     </w:t>
      </w:r>
      <w:r>
        <w:rPr>
          <w:rFonts w:hint="eastAsia"/>
          <w:b/>
          <w:bCs/>
          <w:snapToGrid w:val="0"/>
          <w:spacing w:val="4"/>
          <w:kern w:val="0"/>
          <w:sz w:val="24"/>
        </w:rPr>
        <w:t>万元（大写：</w:t>
      </w:r>
      <w:r>
        <w:rPr>
          <w:rFonts w:hint="eastAsia" w:ascii="宋体" w:hAnsi="宋体"/>
          <w:b/>
          <w:bCs/>
          <w:snapToGrid w:val="0"/>
          <w:spacing w:val="4"/>
          <w:kern w:val="0"/>
          <w:sz w:val="24"/>
          <w:u w:val="single"/>
        </w:rPr>
        <w:t xml:space="preserve"> </w:t>
      </w:r>
      <w:r>
        <w:rPr>
          <w:rFonts w:ascii="宋体" w:hAnsi="宋体"/>
          <w:b/>
          <w:bCs/>
          <w:snapToGrid w:val="0"/>
          <w:spacing w:val="4"/>
          <w:kern w:val="0"/>
          <w:sz w:val="24"/>
          <w:u w:val="single"/>
        </w:rPr>
        <w:t xml:space="preserve">      </w:t>
      </w:r>
      <w:r>
        <w:rPr>
          <w:rFonts w:hint="eastAsia" w:ascii="宋体" w:hAnsi="宋体"/>
          <w:b/>
          <w:bCs/>
          <w:snapToGrid w:val="0"/>
          <w:spacing w:val="4"/>
          <w:kern w:val="0"/>
          <w:sz w:val="24"/>
          <w:u w:val="single"/>
        </w:rPr>
        <w:t xml:space="preserve"> </w:t>
      </w:r>
      <w:r>
        <w:rPr>
          <w:rFonts w:hint="eastAsia"/>
          <w:b/>
          <w:bCs/>
          <w:snapToGrid w:val="0"/>
          <w:spacing w:val="4"/>
          <w:kern w:val="0"/>
          <w:sz w:val="24"/>
        </w:rPr>
        <w:t>）。</w:t>
      </w:r>
    </w:p>
    <w:p>
      <w:pPr>
        <w:tabs>
          <w:tab w:val="left" w:pos="4680"/>
        </w:tabs>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3.1.3</w:t>
      </w:r>
      <w:r>
        <w:rPr>
          <w:bCs/>
          <w:snapToGrid w:val="0"/>
          <w:spacing w:val="4"/>
          <w:kern w:val="0"/>
          <w:sz w:val="24"/>
        </w:rPr>
        <w:t xml:space="preserve">  在本合同约定的监理范围内，承包人不得以任何理由要求对附加工作和额外工作计取监理酬金。</w:t>
      </w:r>
      <w:r>
        <w:rPr>
          <w:snapToGrid w:val="0"/>
          <w:spacing w:val="4"/>
          <w:kern w:val="0"/>
          <w:sz w:val="24"/>
        </w:rPr>
        <w:t>但对于设备监造的酬金，本合同另有约定的，从其约定。</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 xml:space="preserve">3.1.4 </w:t>
      </w:r>
      <w:r>
        <w:rPr>
          <w:bCs/>
          <w:snapToGrid w:val="0"/>
          <w:spacing w:val="4"/>
          <w:kern w:val="0"/>
          <w:sz w:val="24"/>
        </w:rPr>
        <w:t xml:space="preserve"> 在本合同约定的监理范围内，当工程量增加、或设计变更、或设计规模变化时，按3.1.1（4）条款约定执行。</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3.1.5</w:t>
      </w:r>
      <w:r>
        <w:rPr>
          <w:bCs/>
          <w:snapToGrid w:val="0"/>
          <w:spacing w:val="4"/>
          <w:kern w:val="0"/>
          <w:sz w:val="24"/>
        </w:rPr>
        <w:t xml:space="preserve">  本合同约定的服务期间，其各种费率和费用不因物价变动导致监理酬金的增减而给予弥补或调整，双方另有约定的除外。</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3.1.6</w:t>
      </w:r>
      <w:r>
        <w:rPr>
          <w:bCs/>
          <w:snapToGrid w:val="0"/>
          <w:spacing w:val="4"/>
          <w:kern w:val="0"/>
          <w:sz w:val="24"/>
        </w:rPr>
        <w:t xml:space="preserve">  在本合同约定的监理范围内，非因承包人原因造成工程延期，致使监理服务期出现延长，承包人的责任期也应相应延长，本合同监理酬金总额不作调整，双方另有约定的除外。</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3.1.7</w:t>
      </w:r>
      <w:r>
        <w:rPr>
          <w:bCs/>
          <w:snapToGrid w:val="0"/>
          <w:spacing w:val="4"/>
          <w:kern w:val="0"/>
          <w:sz w:val="24"/>
        </w:rPr>
        <w:t xml:space="preserve">  如在工程实施期间，由于国家政策变化、政府对本合同工程的计划调整或不可抗力等非发包人主观原因造成本合同工程停建的，则承包人必须接受终止服务并积极配合发包人做好善后工作，按已实际完成的监理服务内容和本合同的相关约定结清监理酬金，承包人不得要求额外的费用及任何形式的补偿。</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3.1.8</w:t>
      </w:r>
      <w:r>
        <w:rPr>
          <w:bCs/>
          <w:snapToGrid w:val="0"/>
          <w:spacing w:val="4"/>
          <w:kern w:val="0"/>
          <w:sz w:val="24"/>
        </w:rPr>
        <w:t xml:space="preserve">  如在工程实施期间，无论任何原因造成本合同工程中间停工而导致承包人必须二次或多次进出场，监理酬金总额将不会因此而有所调整，相关费用亦已包含在本合同监理酬金之中。因工程中间停工而不退场的，承包人可与发包人协商减少驻场监理人员的数量，但本合同监理酬金总额不作调整。</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 xml:space="preserve"> </w:t>
      </w:r>
      <w:r>
        <w:rPr>
          <w:b/>
          <w:bCs/>
          <w:snapToGrid w:val="0"/>
          <w:spacing w:val="4"/>
          <w:kern w:val="0"/>
          <w:sz w:val="24"/>
        </w:rPr>
        <w:t>3.1.9</w:t>
      </w:r>
      <w:r>
        <w:rPr>
          <w:bCs/>
          <w:snapToGrid w:val="0"/>
          <w:spacing w:val="4"/>
          <w:kern w:val="0"/>
          <w:sz w:val="24"/>
        </w:rPr>
        <w:t xml:space="preserve">  发包人可根据工作需要从承包人的项目部直接抽调造价人员，于工程现场或发包人指定场所协助发包人工作；相关费用已含于监理费用中,不作另行支付。</w:t>
      </w:r>
    </w:p>
    <w:p>
      <w:pPr>
        <w:topLinePunct/>
        <w:adjustRightInd w:val="0"/>
        <w:snapToGrid w:val="0"/>
        <w:spacing w:line="420" w:lineRule="exact"/>
        <w:ind w:firstLine="642" w:firstLineChars="258"/>
        <w:rPr>
          <w:bCs/>
          <w:snapToGrid w:val="0"/>
          <w:spacing w:val="4"/>
          <w:kern w:val="0"/>
          <w:sz w:val="24"/>
        </w:rPr>
      </w:pPr>
      <w:r>
        <w:rPr>
          <w:rFonts w:hint="eastAsia"/>
          <w:b/>
          <w:bCs/>
          <w:snapToGrid w:val="0"/>
          <w:spacing w:val="4"/>
          <w:kern w:val="0"/>
          <w:sz w:val="24"/>
        </w:rPr>
        <w:t xml:space="preserve">3.1.10 </w:t>
      </w:r>
      <w:r>
        <w:rPr>
          <w:rFonts w:hint="eastAsia"/>
          <w:bCs/>
          <w:snapToGrid w:val="0"/>
          <w:spacing w:val="4"/>
          <w:kern w:val="0"/>
          <w:sz w:val="24"/>
        </w:rPr>
        <w:t>承包人需承诺保证服从发包人管理和工作分配。各阶段按要求驻场，其中驻场人员发包人有权根据工作需要，安排不少于1人至甲方办公室协助配合开展相关工作，甲方将对该人员的出勤、工作落实情况进行考核，若不能按要求开展工作的，甲方有权进行相应处罚）。</w:t>
      </w:r>
    </w:p>
    <w:p>
      <w:pPr>
        <w:topLinePunct/>
        <w:adjustRightInd w:val="0"/>
        <w:snapToGrid w:val="0"/>
        <w:spacing w:line="420" w:lineRule="exact"/>
        <w:ind w:firstLine="498" w:firstLineChars="200"/>
        <w:rPr>
          <w:b/>
          <w:bCs/>
          <w:snapToGrid w:val="0"/>
          <w:spacing w:val="4"/>
          <w:kern w:val="0"/>
          <w:sz w:val="24"/>
        </w:rPr>
      </w:pPr>
      <w:r>
        <w:rPr>
          <w:b/>
          <w:bCs/>
          <w:snapToGrid w:val="0"/>
          <w:spacing w:val="4"/>
          <w:kern w:val="0"/>
          <w:sz w:val="24"/>
        </w:rPr>
        <w:t xml:space="preserve">3.2  </w:t>
      </w:r>
      <w:r>
        <w:rPr>
          <w:b/>
          <w:snapToGrid w:val="0"/>
          <w:spacing w:val="4"/>
          <w:kern w:val="0"/>
          <w:sz w:val="24"/>
        </w:rPr>
        <w:t>监理酬金</w:t>
      </w:r>
      <w:r>
        <w:rPr>
          <w:b/>
          <w:bCs/>
          <w:snapToGrid w:val="0"/>
          <w:spacing w:val="4"/>
          <w:kern w:val="0"/>
          <w:sz w:val="24"/>
        </w:rPr>
        <w:t>的支付</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3.2.1</w:t>
      </w:r>
      <w:r>
        <w:rPr>
          <w:bCs/>
          <w:snapToGrid w:val="0"/>
          <w:spacing w:val="4"/>
          <w:kern w:val="0"/>
          <w:sz w:val="24"/>
        </w:rPr>
        <w:t xml:space="preserve">  </w:t>
      </w:r>
      <w:r>
        <w:rPr>
          <w:snapToGrid w:val="0"/>
          <w:spacing w:val="4"/>
          <w:kern w:val="0"/>
          <w:sz w:val="24"/>
        </w:rPr>
        <w:t>承包人应在收到中标通知书后十五天内，按招标文件载明的格式向发包人提交</w:t>
      </w:r>
      <w:r>
        <w:rPr>
          <w:bCs/>
          <w:snapToGrid w:val="0"/>
          <w:spacing w:val="4"/>
          <w:kern w:val="0"/>
          <w:sz w:val="24"/>
        </w:rPr>
        <w:t>履约担保，方可根据完成本合同约定的相关监理工作的情况办理监理酬金支付申请手续</w:t>
      </w:r>
      <w:r>
        <w:rPr>
          <w:snapToGrid w:val="0"/>
          <w:spacing w:val="4"/>
          <w:kern w:val="0"/>
          <w:sz w:val="24"/>
        </w:rPr>
        <w:t>。</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3.2.2</w:t>
      </w:r>
      <w:r>
        <w:rPr>
          <w:snapToGrid w:val="0"/>
          <w:spacing w:val="4"/>
          <w:kern w:val="0"/>
          <w:sz w:val="24"/>
        </w:rPr>
        <w:t xml:space="preserve">  </w:t>
      </w:r>
      <w:r>
        <w:rPr>
          <w:b/>
          <w:snapToGrid w:val="0"/>
          <w:spacing w:val="4"/>
          <w:kern w:val="0"/>
          <w:sz w:val="24"/>
        </w:rPr>
        <w:t>本合同价款的拨付按照花财支付</w:t>
      </w:r>
      <w:r>
        <w:rPr>
          <w:rFonts w:hint="eastAsia"/>
          <w:b/>
          <w:snapToGrid w:val="0"/>
          <w:spacing w:val="4"/>
          <w:kern w:val="0"/>
          <w:sz w:val="24"/>
        </w:rPr>
        <w:t>〔2013〕1号及〔2016〕4</w:t>
      </w:r>
      <w:r>
        <w:rPr>
          <w:b/>
          <w:snapToGrid w:val="0"/>
          <w:spacing w:val="4"/>
          <w:kern w:val="0"/>
          <w:sz w:val="24"/>
        </w:rPr>
        <w:t xml:space="preserve">号的有关规定执行，若花都区政府职能管理部门的预结算、支付管理有新规定的，则按新规定执行。 </w:t>
      </w:r>
    </w:p>
    <w:p>
      <w:pPr>
        <w:topLinePunct/>
        <w:adjustRightInd w:val="0"/>
        <w:snapToGrid w:val="0"/>
        <w:spacing w:line="420" w:lineRule="exact"/>
        <w:ind w:firstLine="284" w:firstLineChars="114"/>
        <w:rPr>
          <w:b/>
          <w:snapToGrid w:val="0"/>
          <w:spacing w:val="4"/>
          <w:kern w:val="0"/>
          <w:sz w:val="24"/>
        </w:rPr>
      </w:pPr>
      <w:r>
        <w:rPr>
          <w:b/>
          <w:snapToGrid w:val="0"/>
          <w:spacing w:val="4"/>
          <w:kern w:val="0"/>
          <w:sz w:val="24"/>
        </w:rPr>
        <w:t xml:space="preserve">  3.2.3</w:t>
      </w:r>
      <w:r>
        <w:rPr>
          <w:snapToGrid w:val="0"/>
          <w:spacing w:val="4"/>
          <w:kern w:val="0"/>
          <w:sz w:val="24"/>
        </w:rPr>
        <w:t xml:space="preserve">  </w:t>
      </w:r>
      <w:r>
        <w:rPr>
          <w:rFonts w:hint="eastAsia"/>
          <w:snapToGrid w:val="0"/>
          <w:spacing w:val="4"/>
          <w:kern w:val="0"/>
          <w:sz w:val="24"/>
        </w:rPr>
        <w:t>承包人</w:t>
      </w:r>
      <w:r>
        <w:rPr>
          <w:snapToGrid w:val="0"/>
          <w:spacing w:val="4"/>
          <w:kern w:val="0"/>
          <w:sz w:val="24"/>
        </w:rPr>
        <w:t>照本合同的约定完成本合同监理服务的工作内容且相关的监理服务须达到令发包人满意的程度。承包人如未能</w:t>
      </w:r>
      <w:r>
        <w:rPr>
          <w:bCs/>
          <w:snapToGrid w:val="0"/>
          <w:spacing w:val="4"/>
          <w:kern w:val="0"/>
          <w:sz w:val="24"/>
        </w:rPr>
        <w:t>按《监理</w:t>
      </w:r>
      <w:r>
        <w:rPr>
          <w:snapToGrid w:val="0"/>
          <w:spacing w:val="4"/>
          <w:kern w:val="0"/>
          <w:sz w:val="24"/>
        </w:rPr>
        <w:t>服务工作及成果质量</w:t>
      </w:r>
      <w:r>
        <w:rPr>
          <w:bCs/>
          <w:snapToGrid w:val="0"/>
          <w:spacing w:val="4"/>
          <w:kern w:val="0"/>
          <w:sz w:val="24"/>
        </w:rPr>
        <w:t>量化考核表》（合同附件2）的约定完成相关工作内容的工作成果，或完成的工作成果未能达到约定的支付审核标准，或发包人对监理工作情况的检查结果未能达到约定的令人满意的程度，均视为承包人对该承诺的违反，发包人将在合同监理酬金总额中扣减相关监理服务项目的酬金。承包人对于履行监理职责方面的违约责任按照本合同</w:t>
      </w:r>
      <w:r>
        <w:rPr>
          <w:b/>
          <w:snapToGrid w:val="0"/>
          <w:spacing w:val="4"/>
          <w:kern w:val="0"/>
          <w:sz w:val="24"/>
          <w:u w:val="single"/>
        </w:rPr>
        <w:t>专用条件第十三、十四条</w:t>
      </w:r>
      <w:r>
        <w:rPr>
          <w:bCs/>
          <w:snapToGrid w:val="0"/>
          <w:spacing w:val="4"/>
          <w:kern w:val="0"/>
          <w:sz w:val="24"/>
        </w:rPr>
        <w:t>的相关约定执行。</w:t>
      </w:r>
      <w:r>
        <w:rPr>
          <w:b/>
          <w:snapToGrid w:val="0"/>
          <w:spacing w:val="4"/>
          <w:kern w:val="0"/>
          <w:sz w:val="24"/>
        </w:rPr>
        <w:t>如《监理服务工作及成果质量量化考核表》（合同附件2）中的内容不在本次监理服务范围内，则不在本合同考核范围。</w:t>
      </w:r>
    </w:p>
    <w:p>
      <w:pPr>
        <w:topLinePunct/>
        <w:adjustRightInd w:val="0"/>
        <w:snapToGrid w:val="0"/>
        <w:spacing w:line="420" w:lineRule="exact"/>
        <w:ind w:firstLine="496" w:firstLineChars="200"/>
        <w:rPr>
          <w:snapToGrid w:val="0"/>
          <w:spacing w:val="4"/>
          <w:kern w:val="0"/>
          <w:sz w:val="24"/>
        </w:rPr>
      </w:pPr>
      <w:r>
        <w:rPr>
          <w:rFonts w:hint="eastAsia"/>
          <w:snapToGrid w:val="0"/>
          <w:spacing w:val="4"/>
          <w:kern w:val="0"/>
          <w:sz w:val="24"/>
        </w:rPr>
        <w:t>因资金管理的需要，发包人有权根据资金来源不同对合同价款的结算审核、支付流程及支付方式等进行调整，承包人须配合。</w:t>
      </w:r>
    </w:p>
    <w:p>
      <w:pPr>
        <w:topLinePunct/>
        <w:adjustRightInd w:val="0"/>
        <w:snapToGrid w:val="0"/>
        <w:spacing w:line="420" w:lineRule="exact"/>
        <w:ind w:firstLine="498" w:firstLineChars="200"/>
        <w:rPr>
          <w:b/>
          <w:bCs/>
          <w:snapToGrid w:val="0"/>
          <w:spacing w:val="4"/>
          <w:kern w:val="0"/>
          <w:sz w:val="24"/>
        </w:rPr>
      </w:pPr>
      <w:r>
        <w:rPr>
          <w:b/>
          <w:bCs/>
          <w:snapToGrid w:val="0"/>
          <w:spacing w:val="4"/>
          <w:kern w:val="0"/>
          <w:sz w:val="24"/>
        </w:rPr>
        <w:t>3.2.4  各阶段监理酬金的支付</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承包人应按合同约定履行应由其完成的各阶段的各项监理服务工作。发包人将根据</w:t>
      </w:r>
      <w:r>
        <w:rPr>
          <w:snapToGrid w:val="0"/>
          <w:spacing w:val="4"/>
          <w:kern w:val="0"/>
          <w:sz w:val="24"/>
        </w:rPr>
        <w:t>《监理服务工作及成果质量量化考核支付方式表》</w:t>
      </w:r>
      <w:r>
        <w:rPr>
          <w:bCs/>
          <w:snapToGrid w:val="0"/>
          <w:spacing w:val="4"/>
          <w:kern w:val="0"/>
          <w:sz w:val="24"/>
        </w:rPr>
        <w:t>（合同附件2）对本合同中约定由承包人完成的监理服务进行量化考核后支付相应的监理酬金。</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监理费结算前的支付按合同价与</w:t>
      </w:r>
      <w:r>
        <w:rPr>
          <w:rFonts w:hint="eastAsia"/>
          <w:b/>
          <w:snapToGrid w:val="0"/>
          <w:spacing w:val="4"/>
          <w:kern w:val="0"/>
          <w:sz w:val="24"/>
        </w:rPr>
        <w:t>甲方委托的审核单位</w:t>
      </w:r>
      <w:r>
        <w:rPr>
          <w:b/>
          <w:snapToGrid w:val="0"/>
          <w:spacing w:val="4"/>
          <w:kern w:val="0"/>
          <w:sz w:val="24"/>
        </w:rPr>
        <w:t>的审核价中的低者作为支付依据，结算时</w:t>
      </w:r>
      <w:r>
        <w:rPr>
          <w:rFonts w:hint="eastAsia"/>
          <w:b/>
          <w:snapToGrid w:val="0"/>
          <w:spacing w:val="4"/>
          <w:kern w:val="0"/>
          <w:sz w:val="24"/>
        </w:rPr>
        <w:t>以甲方委托的结算终审单位的审核价为准。</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（1）合同签订后且正式生效后十五个工作日内，承包人提交监理预付款申请书，监理预付款为本合同金额的20%；</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（2）工程施工阶段的监理费支付</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工程施工阶段的监理费支付进度按当前工程施工进度的80%计取，且累计不得超过合同金额的80%；</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施工阶段的监理服务期自本工程开工之日起开始计算，至承包人收到本监理工程竣工之日时止，施工总工期暂定约</w:t>
      </w:r>
      <w:r>
        <w:rPr>
          <w:rFonts w:hint="eastAsia"/>
          <w:b/>
          <w:bCs/>
          <w:snapToGrid w:val="0"/>
          <w:spacing w:val="4"/>
          <w:kern w:val="0"/>
          <w:sz w:val="24"/>
          <w:u w:val="single"/>
        </w:rPr>
        <w:t xml:space="preserve">   </w:t>
      </w:r>
      <w:r>
        <w:rPr>
          <w:bCs/>
          <w:snapToGrid w:val="0"/>
          <w:spacing w:val="4"/>
          <w:kern w:val="0"/>
          <w:sz w:val="24"/>
          <w:u w:val="single"/>
        </w:rPr>
        <w:t>个月</w:t>
      </w:r>
      <w:r>
        <w:rPr>
          <w:bCs/>
          <w:snapToGrid w:val="0"/>
          <w:spacing w:val="4"/>
          <w:kern w:val="0"/>
          <w:sz w:val="24"/>
        </w:rPr>
        <w:t xml:space="preserve"> 。其中，施工阶段项目总监、专业监理工程师、</w:t>
      </w:r>
      <w:r>
        <w:rPr>
          <w:bCs/>
          <w:snapToGrid w:val="0"/>
          <w:kern w:val="0"/>
          <w:sz w:val="24"/>
          <w:szCs w:val="20"/>
        </w:rPr>
        <w:t>监理员</w:t>
      </w:r>
      <w:r>
        <w:rPr>
          <w:bCs/>
          <w:snapToGrid w:val="0"/>
          <w:spacing w:val="4"/>
          <w:kern w:val="0"/>
          <w:sz w:val="24"/>
        </w:rPr>
        <w:t>、造价人员、资料员5类人员的现场监理服务费按实考勤，计量支付。计量原则如下：</w:t>
      </w:r>
    </w:p>
    <w:p>
      <w:pPr>
        <w:topLinePunct/>
        <w:adjustRightInd w:val="0"/>
        <w:snapToGrid w:val="0"/>
        <w:spacing w:line="420" w:lineRule="exact"/>
        <w:ind w:firstLine="496" w:firstLineChars="200"/>
        <w:rPr>
          <w:bCs/>
          <w:snapToGrid w:val="0"/>
          <w:spacing w:val="4"/>
          <w:kern w:val="0"/>
          <w:sz w:val="24"/>
        </w:rPr>
      </w:pPr>
      <w:r>
        <w:rPr>
          <w:rFonts w:hint="eastAsia" w:ascii="宋体" w:hAnsi="宋体" w:cs="宋体"/>
          <w:bCs/>
          <w:snapToGrid w:val="0"/>
          <w:spacing w:val="4"/>
          <w:kern w:val="0"/>
          <w:sz w:val="24"/>
        </w:rPr>
        <w:t>①</w:t>
      </w:r>
      <w:r>
        <w:rPr>
          <w:bCs/>
          <w:snapToGrid w:val="0"/>
          <w:spacing w:val="4"/>
          <w:kern w:val="0"/>
          <w:sz w:val="24"/>
        </w:rPr>
        <w:t xml:space="preserve"> 施工阶段的造价控制分为招标清单对照（清标工作）、过程控制及结算审核：监理单位需按要求完成各项工作；</w:t>
      </w:r>
    </w:p>
    <w:p>
      <w:pPr>
        <w:topLinePunct/>
        <w:adjustRightInd w:val="0"/>
        <w:snapToGrid w:val="0"/>
        <w:spacing w:line="420" w:lineRule="exact"/>
        <w:ind w:firstLine="496" w:firstLineChars="200"/>
        <w:rPr>
          <w:bCs/>
          <w:snapToGrid w:val="0"/>
          <w:spacing w:val="4"/>
          <w:kern w:val="0"/>
          <w:sz w:val="24"/>
        </w:rPr>
      </w:pPr>
      <w:r>
        <w:rPr>
          <w:rFonts w:hint="eastAsia" w:ascii="宋体" w:hAnsi="宋体" w:cs="宋体"/>
          <w:bCs/>
          <w:snapToGrid w:val="0"/>
          <w:spacing w:val="4"/>
          <w:kern w:val="0"/>
          <w:sz w:val="24"/>
        </w:rPr>
        <w:t>②</w:t>
      </w:r>
      <w:r>
        <w:rPr>
          <w:bCs/>
          <w:snapToGrid w:val="0"/>
          <w:spacing w:val="4"/>
          <w:kern w:val="0"/>
          <w:sz w:val="24"/>
        </w:rPr>
        <w:t xml:space="preserve"> 在施工阶段，如承包人的上述相关人员在每一个月内经发包人书面确认的现场办公管理天数不低于20日历天时，则相应人员在该月的现场监理服务费予以全额支付；如低于20日历天时，则相应人员在该月的现场监理服务费不予以支付，结算时相应扣除；</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承包人在完成本合同专用条件第3.1款所约定的当月相关监理工作后按《监理服务工作及成果质量量化考核表》（合同附件2）的相关项目及说明于每月25日前向发包人申请支付工程施工阶段的监理酬金。发包人依照本条第3.2.2款、第3.2.3款、本款及《监理服务工作及成果质量量化考核表》（合同附件2）中的“完成情况”按项进行审核，确定施工阶段的监理酬金金额后支付。</w:t>
      </w:r>
    </w:p>
    <w:p>
      <w:pPr>
        <w:topLinePunct/>
        <w:adjustRightInd w:val="0"/>
        <w:snapToGrid w:val="0"/>
        <w:spacing w:line="420" w:lineRule="exact"/>
        <w:ind w:firstLine="496" w:firstLineChars="200"/>
        <w:rPr>
          <w:bCs/>
          <w:snapToGrid w:val="0"/>
          <w:spacing w:val="4"/>
          <w:kern w:val="0"/>
          <w:sz w:val="24"/>
        </w:rPr>
      </w:pPr>
      <w:r>
        <w:rPr>
          <w:rFonts w:hint="eastAsia" w:ascii="宋体" w:hAnsi="宋体" w:cs="宋体"/>
          <w:bCs/>
          <w:snapToGrid w:val="0"/>
          <w:spacing w:val="4"/>
          <w:kern w:val="0"/>
          <w:sz w:val="24"/>
        </w:rPr>
        <w:t>④</w:t>
      </w:r>
      <w:r>
        <w:rPr>
          <w:bCs/>
          <w:snapToGrid w:val="0"/>
          <w:spacing w:val="4"/>
          <w:kern w:val="0"/>
          <w:sz w:val="24"/>
        </w:rPr>
        <w:t xml:space="preserve"> 因工程出现延期导致施工阶段的监理服务期延长的，按本条第3.1.6款的约定执行，同时发包人将依照重新调整的工期调整尚未支付的监理酬金的支付次数及比例。如工程停工，则在此期间，发包人不再审核承包人提出的监理酬金支付申请，但承包人在此期间内仍应履行按合同约定的应由其完成的工作内容。</w:t>
      </w:r>
    </w:p>
    <w:p>
      <w:pPr>
        <w:topLinePunct/>
        <w:adjustRightInd w:val="0"/>
        <w:snapToGrid w:val="0"/>
        <w:spacing w:line="420" w:lineRule="exact"/>
        <w:ind w:firstLine="496" w:firstLineChars="200"/>
        <w:rPr>
          <w:bCs/>
          <w:snapToGrid w:val="0"/>
          <w:spacing w:val="4"/>
          <w:kern w:val="0"/>
          <w:sz w:val="24"/>
        </w:rPr>
      </w:pPr>
      <w:r>
        <w:rPr>
          <w:rFonts w:hint="eastAsia" w:ascii="宋体" w:hAnsi="宋体" w:cs="宋体"/>
          <w:bCs/>
          <w:snapToGrid w:val="0"/>
          <w:spacing w:val="4"/>
          <w:kern w:val="0"/>
          <w:sz w:val="24"/>
        </w:rPr>
        <w:t>⑤</w:t>
      </w:r>
      <w:r>
        <w:rPr>
          <w:bCs/>
          <w:snapToGrid w:val="0"/>
          <w:spacing w:val="4"/>
          <w:kern w:val="0"/>
          <w:sz w:val="24"/>
        </w:rPr>
        <w:t xml:space="preserve"> 如施工阶段承包人在工程现场除项目总监、专业监理工程师、</w:t>
      </w:r>
      <w:r>
        <w:rPr>
          <w:bCs/>
          <w:snapToGrid w:val="0"/>
          <w:kern w:val="0"/>
          <w:sz w:val="24"/>
          <w:szCs w:val="20"/>
        </w:rPr>
        <w:t>监理员</w:t>
      </w:r>
      <w:r>
        <w:rPr>
          <w:bCs/>
          <w:snapToGrid w:val="0"/>
          <w:spacing w:val="4"/>
          <w:kern w:val="0"/>
          <w:sz w:val="24"/>
        </w:rPr>
        <w:t>、造价人员、资料员外的其他人员到位情况未能达到合同约定的标准时，出现1人次不到位的，发包人除按合同</w:t>
      </w:r>
      <w:r>
        <w:rPr>
          <w:rFonts w:hint="eastAsia"/>
          <w:bCs/>
          <w:snapToGrid w:val="0"/>
          <w:spacing w:val="4"/>
          <w:kern w:val="0"/>
          <w:sz w:val="24"/>
          <w:u w:val="single"/>
        </w:rPr>
        <w:t>标准</w:t>
      </w:r>
      <w:r>
        <w:rPr>
          <w:bCs/>
          <w:snapToGrid w:val="0"/>
          <w:spacing w:val="4"/>
          <w:kern w:val="0"/>
          <w:sz w:val="24"/>
          <w:u w:val="single"/>
        </w:rPr>
        <w:t>条件第二十六条</w:t>
      </w:r>
      <w:r>
        <w:rPr>
          <w:bCs/>
          <w:snapToGrid w:val="0"/>
          <w:spacing w:val="4"/>
          <w:kern w:val="0"/>
          <w:sz w:val="24"/>
        </w:rPr>
        <w:t>的约定向承包人追究违约责任外，同时扣减承包人当期酬金金额的</w:t>
      </w:r>
      <w:r>
        <w:rPr>
          <w:snapToGrid w:val="0"/>
          <w:spacing w:val="4"/>
          <w:kern w:val="0"/>
          <w:sz w:val="24"/>
        </w:rPr>
        <w:t>20%</w:t>
      </w:r>
      <w:r>
        <w:rPr>
          <w:bCs/>
          <w:snapToGrid w:val="0"/>
          <w:spacing w:val="4"/>
          <w:kern w:val="0"/>
          <w:sz w:val="24"/>
        </w:rPr>
        <w:t>；2人次及2人次以上的人员不到位的，按每人次扣减承包人当期酬金金额的</w:t>
      </w:r>
      <w:r>
        <w:rPr>
          <w:snapToGrid w:val="0"/>
          <w:spacing w:val="4"/>
          <w:kern w:val="0"/>
          <w:sz w:val="24"/>
        </w:rPr>
        <w:t>20%</w:t>
      </w:r>
      <w:r>
        <w:rPr>
          <w:bCs/>
          <w:snapToGrid w:val="0"/>
          <w:spacing w:val="4"/>
          <w:kern w:val="0"/>
          <w:sz w:val="24"/>
        </w:rPr>
        <w:t>的比例进行累计扣减（最高不超过当期酬金金额的</w:t>
      </w:r>
      <w:r>
        <w:rPr>
          <w:snapToGrid w:val="0"/>
          <w:spacing w:val="4"/>
          <w:kern w:val="0"/>
          <w:sz w:val="24"/>
        </w:rPr>
        <w:t>60%</w:t>
      </w:r>
      <w:r>
        <w:rPr>
          <w:bCs/>
          <w:snapToGrid w:val="0"/>
          <w:spacing w:val="4"/>
          <w:kern w:val="0"/>
          <w:sz w:val="24"/>
        </w:rPr>
        <w:t>）。扣减的酬金于竣工验收证书发出后一次性（无息）返还承包人。</w:t>
      </w:r>
    </w:p>
    <w:p>
      <w:pPr>
        <w:topLinePunct/>
        <w:adjustRightInd w:val="0"/>
        <w:snapToGrid w:val="0"/>
        <w:spacing w:line="420" w:lineRule="exact"/>
        <w:ind w:firstLine="496" w:firstLineChars="200"/>
        <w:rPr>
          <w:bCs/>
          <w:snapToGrid w:val="0"/>
          <w:spacing w:val="4"/>
          <w:kern w:val="0"/>
          <w:sz w:val="24"/>
        </w:rPr>
      </w:pPr>
      <w:r>
        <w:rPr>
          <w:rFonts w:hint="eastAsia" w:ascii="宋体" w:hAnsi="宋体" w:cs="宋体"/>
          <w:bCs/>
          <w:snapToGrid w:val="0"/>
          <w:spacing w:val="4"/>
          <w:kern w:val="0"/>
          <w:sz w:val="24"/>
        </w:rPr>
        <w:t>⑥</w:t>
      </w:r>
      <w:r>
        <w:rPr>
          <w:bCs/>
          <w:snapToGrid w:val="0"/>
          <w:spacing w:val="4"/>
          <w:kern w:val="0"/>
          <w:sz w:val="24"/>
        </w:rPr>
        <w:t xml:space="preserve"> 本合同监理范围内所有工程项目竣工验收（含专项竣工验收）合格后，</w:t>
      </w:r>
      <w:r>
        <w:rPr>
          <w:snapToGrid w:val="0"/>
          <w:spacing w:val="4"/>
          <w:kern w:val="0"/>
          <w:sz w:val="24"/>
          <w:lang w:val="zh-CN"/>
        </w:rPr>
        <w:t>并取得批复的竣工验收意见且实体移交后，</w:t>
      </w:r>
      <w:r>
        <w:rPr>
          <w:snapToGrid w:val="0"/>
          <w:spacing w:val="4"/>
          <w:kern w:val="0"/>
          <w:sz w:val="24"/>
        </w:rPr>
        <w:t>发包人可累计支付至</w:t>
      </w:r>
      <w:r>
        <w:rPr>
          <w:bCs/>
          <w:snapToGrid w:val="0"/>
          <w:spacing w:val="4"/>
          <w:kern w:val="0"/>
          <w:sz w:val="24"/>
        </w:rPr>
        <w:t>监理费的80%；</w:t>
      </w:r>
    </w:p>
    <w:p>
      <w:pPr>
        <w:topLinePunct/>
        <w:adjustRightInd w:val="0"/>
        <w:snapToGrid w:val="0"/>
        <w:spacing w:line="420" w:lineRule="exact"/>
        <w:ind w:firstLine="498" w:firstLineChars="200"/>
        <w:rPr>
          <w:b/>
          <w:bCs/>
          <w:snapToGrid w:val="0"/>
          <w:spacing w:val="4"/>
          <w:kern w:val="0"/>
          <w:sz w:val="24"/>
        </w:rPr>
      </w:pPr>
      <w:r>
        <w:rPr>
          <w:b/>
          <w:snapToGrid w:val="0"/>
          <w:spacing w:val="4"/>
          <w:kern w:val="0"/>
          <w:sz w:val="24"/>
        </w:rPr>
        <w:t>（3）工程收尾阶段</w:t>
      </w:r>
      <w:r>
        <w:rPr>
          <w:b/>
          <w:bCs/>
          <w:snapToGrid w:val="0"/>
          <w:spacing w:val="4"/>
          <w:kern w:val="0"/>
          <w:sz w:val="24"/>
        </w:rPr>
        <w:t>监理酬金的支付</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工程收尾阶段的监理服务期自承包人收到本合同工程（含分项、分部工程）竣工验收申请之日起，至本合同工程的竣工结算获得有权审核部门最终确认且竣工验收备案证书发出之日止。</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 xml:space="preserve">工程收尾阶段造价人员、资料员2类人员的现场监理服务费按实考勤，计量支付。计量原则如下： </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在工程收尾阶段，如承包人的上述相关人员在每一个月内经发包人书面确认的现场办公管理天数不低于20日历天时，则相应人员在该月的现场监理服务费予以全额支付；如低于20日历天时，则相应人员在该月的现场监理服务费不予以支付，结算时相应扣除。</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承包人申报工程收尾阶段监理酬金时同时申报当期的现场监理服务费，发包人根据上述第（1）点的计量原则核实后予以支付。</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bCs/>
          <w:snapToGrid w:val="0"/>
          <w:spacing w:val="4"/>
          <w:kern w:val="0"/>
          <w:sz w:val="24"/>
        </w:rPr>
        <w:t>③</w:t>
      </w:r>
      <w:r>
        <w:rPr>
          <w:bCs/>
          <w:snapToGrid w:val="0"/>
          <w:spacing w:val="4"/>
          <w:kern w:val="0"/>
          <w:sz w:val="24"/>
        </w:rPr>
        <w:t xml:space="preserve"> 承包人完成本合同约定的全部监理工作（包括但不限于督促承包人按时完整移交工程竣工档案、</w:t>
      </w:r>
      <w:r>
        <w:rPr>
          <w:snapToGrid w:val="0"/>
          <w:spacing w:val="4"/>
          <w:kern w:val="0"/>
          <w:sz w:val="24"/>
        </w:rPr>
        <w:t>完整移交工程）</w:t>
      </w:r>
      <w:r>
        <w:rPr>
          <w:bCs/>
          <w:snapToGrid w:val="0"/>
          <w:spacing w:val="4"/>
          <w:kern w:val="0"/>
          <w:sz w:val="24"/>
        </w:rPr>
        <w:t>，监理范围内所有工程项目整体结算（含本合同结算）</w:t>
      </w:r>
      <w:r>
        <w:rPr>
          <w:snapToGrid w:val="0"/>
          <w:spacing w:val="4"/>
          <w:kern w:val="0"/>
          <w:sz w:val="24"/>
        </w:rPr>
        <w:t>经有权审核部门结算终审部门定审后，</w:t>
      </w:r>
      <w:r>
        <w:rPr>
          <w:bCs/>
          <w:snapToGrid w:val="0"/>
          <w:spacing w:val="4"/>
          <w:kern w:val="0"/>
          <w:sz w:val="24"/>
        </w:rPr>
        <w:t>发包人累计支付至本合同结算总价的</w:t>
      </w:r>
      <w:r>
        <w:rPr>
          <w:snapToGrid w:val="0"/>
          <w:spacing w:val="4"/>
          <w:kern w:val="0"/>
          <w:sz w:val="24"/>
        </w:rPr>
        <w:t>95%。</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（4）工程保修阶段</w:t>
      </w:r>
      <w:r>
        <w:rPr>
          <w:b/>
          <w:bCs/>
          <w:snapToGrid w:val="0"/>
          <w:spacing w:val="4"/>
          <w:kern w:val="0"/>
          <w:sz w:val="24"/>
        </w:rPr>
        <w:t>监理酬金的支付</w:t>
      </w:r>
    </w:p>
    <w:p>
      <w:pPr>
        <w:topLinePunct/>
        <w:adjustRightInd w:val="0"/>
        <w:snapToGrid w:val="0"/>
        <w:spacing w:line="420" w:lineRule="exact"/>
        <w:ind w:firstLine="496" w:firstLineChars="200"/>
        <w:rPr>
          <w:bCs/>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w:t>
      </w:r>
      <w:r>
        <w:rPr>
          <w:bCs/>
          <w:snapToGrid w:val="0"/>
          <w:spacing w:val="4"/>
          <w:kern w:val="0"/>
          <w:sz w:val="24"/>
        </w:rPr>
        <w:t>本合同结算总价的</w:t>
      </w:r>
      <w:r>
        <w:rPr>
          <w:snapToGrid w:val="0"/>
          <w:spacing w:val="4"/>
          <w:kern w:val="0"/>
          <w:sz w:val="24"/>
        </w:rPr>
        <w:t>5%</w:t>
      </w:r>
      <w:r>
        <w:rPr>
          <w:bCs/>
          <w:snapToGrid w:val="0"/>
          <w:spacing w:val="4"/>
          <w:kern w:val="0"/>
          <w:sz w:val="24"/>
        </w:rPr>
        <w:t>作为质量保修阶段的酬金。在工程竣工验收合格后满两年且本合同监理范围内所有工程项目整体竣工结算被确认后，若承包人未出现违约情形，</w:t>
      </w:r>
      <w:r>
        <w:rPr>
          <w:snapToGrid w:val="0"/>
          <w:spacing w:val="4"/>
          <w:kern w:val="0"/>
          <w:sz w:val="24"/>
        </w:rPr>
        <w:t>发包人的合法继承人应在收到承包人的款项申请手续后三十天内将质量保修阶段的酬金一次性（无息）支付给承包人</w:t>
      </w:r>
      <w:r>
        <w:rPr>
          <w:bCs/>
          <w:snapToGrid w:val="0"/>
          <w:spacing w:val="4"/>
          <w:kern w:val="0"/>
          <w:sz w:val="24"/>
        </w:rPr>
        <w:t>。</w:t>
      </w:r>
    </w:p>
    <w:p>
      <w:pPr>
        <w:topLinePunct/>
        <w:adjustRightInd w:val="0"/>
        <w:snapToGrid w:val="0"/>
        <w:spacing w:line="420" w:lineRule="exact"/>
        <w:ind w:firstLine="496" w:firstLineChars="200"/>
        <w:rPr>
          <w:bCs/>
          <w:snapToGrid w:val="0"/>
          <w:spacing w:val="4"/>
          <w:kern w:val="0"/>
          <w:sz w:val="24"/>
        </w:rPr>
      </w:pPr>
      <w:r>
        <w:rPr>
          <w:rFonts w:hint="eastAsia" w:ascii="宋体" w:hAnsi="宋体" w:cs="宋体"/>
          <w:snapToGrid w:val="0"/>
          <w:spacing w:val="4"/>
          <w:kern w:val="0"/>
          <w:sz w:val="24"/>
        </w:rPr>
        <w:t>②</w:t>
      </w:r>
      <w:r>
        <w:rPr>
          <w:b/>
          <w:bCs/>
          <w:snapToGrid w:val="0"/>
          <w:spacing w:val="4"/>
          <w:kern w:val="0"/>
          <w:sz w:val="24"/>
        </w:rPr>
        <w:t xml:space="preserve"> </w:t>
      </w:r>
      <w:r>
        <w:rPr>
          <w:bCs/>
          <w:snapToGrid w:val="0"/>
          <w:spacing w:val="4"/>
          <w:kern w:val="0"/>
          <w:sz w:val="24"/>
        </w:rPr>
        <w:t>本合同结算监理酬金审定后，如监理酬金</w:t>
      </w:r>
      <w:r>
        <w:rPr>
          <w:snapToGrid w:val="0"/>
          <w:kern w:val="0"/>
          <w:sz w:val="24"/>
        </w:rPr>
        <w:t>的支付已超过本条第</w:t>
      </w:r>
      <w:r>
        <w:rPr>
          <w:b/>
          <w:snapToGrid w:val="0"/>
          <w:kern w:val="0"/>
          <w:sz w:val="24"/>
        </w:rPr>
        <w:t>3.2.4（3）</w:t>
      </w:r>
      <w:r>
        <w:rPr>
          <w:snapToGrid w:val="0"/>
          <w:kern w:val="0"/>
          <w:sz w:val="24"/>
        </w:rPr>
        <w:t>款约定</w:t>
      </w:r>
      <w:r>
        <w:rPr>
          <w:bCs/>
          <w:snapToGrid w:val="0"/>
          <w:kern w:val="0"/>
          <w:sz w:val="24"/>
        </w:rPr>
        <w:t>的比例</w:t>
      </w:r>
      <w:r>
        <w:rPr>
          <w:bCs/>
          <w:snapToGrid w:val="0"/>
          <w:spacing w:val="4"/>
          <w:kern w:val="0"/>
          <w:sz w:val="24"/>
        </w:rPr>
        <w:t>，则承包人必须在收到本合同结算监理酬金审定通知之日起14日内无条件退还发包人；若承包人迟延退还超付的监理酬金，除须继续向发包人退还超付的监理酬金外，还应每天向发包人支付该超付监理酬金</w:t>
      </w:r>
      <w:r>
        <w:rPr>
          <w:b/>
          <w:snapToGrid w:val="0"/>
          <w:spacing w:val="4"/>
          <w:kern w:val="0"/>
          <w:sz w:val="24"/>
        </w:rPr>
        <w:t>2‰</w:t>
      </w:r>
      <w:r>
        <w:rPr>
          <w:bCs/>
          <w:snapToGrid w:val="0"/>
          <w:spacing w:val="4"/>
          <w:kern w:val="0"/>
          <w:sz w:val="24"/>
        </w:rPr>
        <w:t>的违约金。</w:t>
      </w:r>
    </w:p>
    <w:p>
      <w:pPr>
        <w:topLinePunct/>
        <w:adjustRightInd w:val="0"/>
        <w:snapToGrid w:val="0"/>
        <w:spacing w:line="420" w:lineRule="exact"/>
        <w:ind w:firstLine="496" w:firstLineChars="200"/>
        <w:rPr>
          <w:bCs/>
          <w:snapToGrid w:val="0"/>
          <w:spacing w:val="4"/>
          <w:kern w:val="0"/>
          <w:sz w:val="24"/>
        </w:rPr>
      </w:pPr>
      <w:r>
        <w:rPr>
          <w:rFonts w:hint="eastAsia"/>
          <w:bCs/>
          <w:snapToGrid w:val="0"/>
          <w:spacing w:val="4"/>
          <w:kern w:val="0"/>
          <w:sz w:val="24"/>
        </w:rPr>
        <w:t>③ 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pPr>
        <w:topLinePunct/>
        <w:adjustRightInd w:val="0"/>
        <w:snapToGrid w:val="0"/>
        <w:spacing w:before="120" w:beforeLines="50" w:line="420" w:lineRule="exact"/>
        <w:ind w:firstLine="498" w:firstLineChars="200"/>
        <w:rPr>
          <w:b/>
          <w:snapToGrid w:val="0"/>
          <w:spacing w:val="4"/>
          <w:kern w:val="0"/>
          <w:sz w:val="24"/>
        </w:rPr>
      </w:pPr>
      <w:r>
        <w:rPr>
          <w:b/>
          <w:snapToGrid w:val="0"/>
          <w:spacing w:val="4"/>
          <w:kern w:val="0"/>
          <w:sz w:val="24"/>
        </w:rPr>
        <w:t>第四条  协议书中的词语定义</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本协议书中的有关词语含义与本合同专用条件、标准条件中赋予它们的定义相同。</w:t>
      </w:r>
    </w:p>
    <w:p>
      <w:pPr>
        <w:topLinePunct/>
        <w:adjustRightInd w:val="0"/>
        <w:snapToGrid w:val="0"/>
        <w:spacing w:before="120" w:beforeLines="50" w:line="420" w:lineRule="exact"/>
        <w:ind w:firstLine="498" w:firstLineChars="200"/>
        <w:rPr>
          <w:b/>
          <w:bCs/>
          <w:snapToGrid w:val="0"/>
          <w:spacing w:val="4"/>
          <w:kern w:val="0"/>
          <w:sz w:val="24"/>
        </w:rPr>
      </w:pPr>
      <w:r>
        <w:rPr>
          <w:b/>
          <w:bCs/>
          <w:snapToGrid w:val="0"/>
          <w:spacing w:val="4"/>
          <w:kern w:val="0"/>
          <w:sz w:val="24"/>
        </w:rPr>
        <w:t>第五条  合同文件的解释顺序</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下列文件应被认为是组成本合同的一部分，并互为补充和解释，如各文件存在冲突之处，以如下排列次序在前者优先适用：</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（1）政府部门关于本工程的有关文件；</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（2）本合同履行期间发包人与承包人双方签订的补充合同（协议）或修正文件；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（3）本协议书；</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（4）中标通知书；</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（5）本合同专用条件；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（6）发包人建设项目管理的各项制度、规定；</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（7）本合同附件</w:t>
      </w:r>
      <w:r>
        <w:rPr>
          <w:bCs/>
          <w:snapToGrid w:val="0"/>
          <w:spacing w:val="4"/>
          <w:kern w:val="0"/>
          <w:sz w:val="24"/>
        </w:rPr>
        <w:t>[属本条第（1）、（6）项内容的除外]</w:t>
      </w:r>
      <w:r>
        <w:rPr>
          <w:snapToGrid w:val="0"/>
          <w:spacing w:val="4"/>
          <w:kern w:val="0"/>
          <w:sz w:val="24"/>
        </w:rPr>
        <w:t>；</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（8）本合同标准条件；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（9）本合同工程监理招标文件</w:t>
      </w:r>
      <w:r>
        <w:rPr>
          <w:bCs/>
          <w:snapToGrid w:val="0"/>
          <w:spacing w:val="4"/>
          <w:kern w:val="0"/>
          <w:sz w:val="24"/>
        </w:rPr>
        <w:t>[含招标文件补充文件、澄清文件、答疑文件等，属本条第（7）项内容的除外]</w:t>
      </w:r>
      <w:r>
        <w:rPr>
          <w:snapToGrid w:val="0"/>
          <w:spacing w:val="4"/>
          <w:kern w:val="0"/>
          <w:sz w:val="24"/>
        </w:rPr>
        <w:t>；</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（10）承包人据此中标的本合同工程监理投标文件</w:t>
      </w:r>
      <w:r>
        <w:rPr>
          <w:bCs/>
          <w:snapToGrid w:val="0"/>
          <w:spacing w:val="4"/>
          <w:kern w:val="0"/>
          <w:sz w:val="24"/>
        </w:rPr>
        <w:t>[含投标文件澄清等，属本条第（7）项内容的除外]</w:t>
      </w:r>
      <w:r>
        <w:rPr>
          <w:snapToGrid w:val="0"/>
          <w:spacing w:val="4"/>
          <w:kern w:val="0"/>
          <w:sz w:val="24"/>
        </w:rPr>
        <w:t>；</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（11）组成本合同的其他文件。</w:t>
      </w:r>
    </w:p>
    <w:p>
      <w:pPr>
        <w:topLinePunct/>
        <w:adjustRightInd w:val="0"/>
        <w:snapToGrid w:val="0"/>
        <w:spacing w:line="420" w:lineRule="exact"/>
        <w:ind w:firstLine="480" w:firstLineChars="200"/>
        <w:rPr>
          <w:snapToGrid w:val="0"/>
          <w:kern w:val="0"/>
          <w:sz w:val="24"/>
        </w:rPr>
      </w:pPr>
      <w:r>
        <w:rPr>
          <w:snapToGrid w:val="0"/>
          <w:kern w:val="0"/>
          <w:sz w:val="24"/>
        </w:rPr>
        <w:t>通过上述顺序解释仍无法明确的事项，由发包人与承包人协商解决；如协商不成，由发包人按照公平合理和有利于本合同工程建设的原则作出决定，如承包人对此决定不服的，应在接到发包人决定之日起三日内提出书面异议。如期满不提出书面异议的，视为同意发包人的决定。发包人收到承包人的书面异议后应作出进一步的决定。如承包人仍有异议的，可按</w:t>
      </w:r>
      <w:r>
        <w:rPr>
          <w:bCs/>
          <w:snapToGrid w:val="0"/>
          <w:kern w:val="0"/>
          <w:sz w:val="24"/>
        </w:rPr>
        <w:t>本合同专用条件第四十九条</w:t>
      </w:r>
      <w:r>
        <w:rPr>
          <w:snapToGrid w:val="0"/>
          <w:kern w:val="0"/>
          <w:sz w:val="24"/>
        </w:rPr>
        <w:t>的约定处理，但在有关部门没有作出正式裁决之前，承包人必须无条件先行执行发包人的决定。</w:t>
      </w:r>
    </w:p>
    <w:p>
      <w:pPr>
        <w:topLinePunct/>
        <w:adjustRightInd w:val="0"/>
        <w:snapToGrid w:val="0"/>
        <w:spacing w:before="120" w:beforeLines="50" w:line="420" w:lineRule="exact"/>
        <w:ind w:firstLine="488" w:firstLineChars="196"/>
        <w:rPr>
          <w:bCs/>
          <w:snapToGrid w:val="0"/>
          <w:kern w:val="0"/>
          <w:sz w:val="24"/>
          <w:szCs w:val="20"/>
        </w:rPr>
      </w:pPr>
      <w:r>
        <w:rPr>
          <w:b/>
          <w:bCs/>
          <w:snapToGrid w:val="0"/>
          <w:spacing w:val="4"/>
          <w:kern w:val="0"/>
          <w:sz w:val="24"/>
        </w:rPr>
        <w:t>第六条</w:t>
      </w:r>
      <w:r>
        <w:rPr>
          <w:bCs/>
          <w:snapToGrid w:val="0"/>
          <w:spacing w:val="4"/>
          <w:kern w:val="0"/>
          <w:sz w:val="24"/>
        </w:rPr>
        <w:t xml:space="preserve">  </w:t>
      </w:r>
      <w:r>
        <w:rPr>
          <w:b/>
          <w:bCs/>
          <w:snapToGrid w:val="0"/>
          <w:kern w:val="0"/>
          <w:sz w:val="24"/>
          <w:szCs w:val="20"/>
        </w:rPr>
        <w:t>主要人员信息提供</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承包人应在收到中标通知书之日起5日内以书面形式向发包人提交其法定代表人、项目总监理工程师、专业监理工程师、监理员的姓名、身份证复印件、职务、职称、联系方式（包括办公电话、手机、传真号码）、通信地址等信息作为合同附件。</w:t>
      </w:r>
    </w:p>
    <w:p>
      <w:pPr>
        <w:topLinePunct/>
        <w:adjustRightInd w:val="0"/>
        <w:snapToGrid w:val="0"/>
        <w:spacing w:before="120" w:beforeLines="50" w:line="420" w:lineRule="exact"/>
        <w:ind w:firstLine="498" w:firstLineChars="200"/>
        <w:rPr>
          <w:b/>
          <w:bCs/>
          <w:snapToGrid w:val="0"/>
          <w:spacing w:val="4"/>
          <w:kern w:val="0"/>
          <w:sz w:val="24"/>
        </w:rPr>
      </w:pPr>
      <w:r>
        <w:rPr>
          <w:b/>
          <w:bCs/>
          <w:snapToGrid w:val="0"/>
          <w:spacing w:val="4"/>
          <w:kern w:val="0"/>
          <w:sz w:val="24"/>
        </w:rPr>
        <w:t xml:space="preserve">第七条  </w:t>
      </w:r>
      <w:r>
        <w:rPr>
          <w:b/>
          <w:bCs/>
          <w:snapToGrid w:val="0"/>
          <w:kern w:val="0"/>
          <w:sz w:val="24"/>
          <w:szCs w:val="20"/>
        </w:rPr>
        <w:t>承包人资料变更</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在本合同有效期内，承包人的单位名称变更的，应及时以书面形式通知发包人并附上变更登记资料；承包人法定代表人变更的，应在变更后15日内向发包人提交新法定代表人的姓名、身份证复印件、职务、职称、联系电话、通信地址等信息。</w:t>
      </w:r>
    </w:p>
    <w:p>
      <w:pPr>
        <w:topLinePunct/>
        <w:adjustRightInd w:val="0"/>
        <w:snapToGrid w:val="0"/>
        <w:spacing w:before="120" w:beforeLines="50" w:line="420" w:lineRule="exact"/>
        <w:ind w:firstLine="488" w:firstLineChars="196"/>
        <w:rPr>
          <w:bCs/>
          <w:snapToGrid w:val="0"/>
          <w:kern w:val="0"/>
          <w:sz w:val="24"/>
          <w:szCs w:val="20"/>
        </w:rPr>
      </w:pPr>
      <w:r>
        <w:rPr>
          <w:b/>
          <w:bCs/>
          <w:snapToGrid w:val="0"/>
          <w:spacing w:val="4"/>
          <w:kern w:val="0"/>
          <w:sz w:val="24"/>
        </w:rPr>
        <w:t>第八条</w:t>
      </w:r>
      <w:r>
        <w:rPr>
          <w:bCs/>
          <w:snapToGrid w:val="0"/>
          <w:spacing w:val="4"/>
          <w:kern w:val="0"/>
          <w:sz w:val="24"/>
        </w:rPr>
        <w:t xml:space="preserve">  </w:t>
      </w:r>
      <w:r>
        <w:rPr>
          <w:b/>
          <w:bCs/>
          <w:snapToGrid w:val="0"/>
          <w:kern w:val="0"/>
          <w:sz w:val="24"/>
          <w:szCs w:val="20"/>
        </w:rPr>
        <w:t>人员变更通知</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在本合同有效期内，承包人更换项目总监理工程师、专业监理工程师的，应在更换后7日内将新项目总监理工程师、新项目专业监理工程师的姓名、职务、职称、联系电话、通信地址等信息提交给发包人。</w:t>
      </w:r>
    </w:p>
    <w:p>
      <w:pPr>
        <w:topLinePunct/>
        <w:adjustRightInd w:val="0"/>
        <w:snapToGrid w:val="0"/>
        <w:spacing w:before="120" w:beforeLines="50" w:line="420" w:lineRule="exact"/>
        <w:ind w:firstLine="498" w:firstLineChars="200"/>
        <w:rPr>
          <w:b/>
          <w:snapToGrid w:val="0"/>
          <w:spacing w:val="4"/>
          <w:kern w:val="0"/>
          <w:sz w:val="24"/>
        </w:rPr>
      </w:pPr>
      <w:r>
        <w:rPr>
          <w:b/>
          <w:snapToGrid w:val="0"/>
          <w:spacing w:val="4"/>
          <w:kern w:val="0"/>
          <w:sz w:val="24"/>
        </w:rPr>
        <w:t>第九条  信息管理要求</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承包人应投入足够的人员并配备足够的设备，确保及时准确地按发包人要求进行信息沟通及管理。</w:t>
      </w:r>
    </w:p>
    <w:p>
      <w:pPr>
        <w:topLinePunct/>
        <w:adjustRightInd w:val="0"/>
        <w:snapToGrid w:val="0"/>
        <w:spacing w:before="120" w:beforeLines="50" w:line="420" w:lineRule="exact"/>
        <w:ind w:firstLine="498" w:firstLineChars="200"/>
        <w:rPr>
          <w:b/>
          <w:snapToGrid w:val="0"/>
          <w:spacing w:val="4"/>
          <w:kern w:val="0"/>
          <w:sz w:val="24"/>
        </w:rPr>
      </w:pPr>
      <w:r>
        <w:rPr>
          <w:b/>
          <w:snapToGrid w:val="0"/>
          <w:spacing w:val="4"/>
          <w:kern w:val="0"/>
          <w:sz w:val="24"/>
        </w:rPr>
        <w:t>第十条  综合考评的要求</w:t>
      </w:r>
    </w:p>
    <w:p>
      <w:pPr>
        <w:topLinePunct/>
        <w:adjustRightInd w:val="0"/>
        <w:snapToGrid w:val="0"/>
        <w:spacing w:line="420" w:lineRule="exact"/>
        <w:ind w:firstLine="496" w:firstLineChars="200"/>
        <w:rPr>
          <w:bCs/>
          <w:snapToGrid w:val="0"/>
          <w:spacing w:val="4"/>
          <w:kern w:val="0"/>
          <w:sz w:val="24"/>
        </w:rPr>
      </w:pPr>
      <w:r>
        <w:rPr>
          <w:snapToGrid w:val="0"/>
          <w:spacing w:val="4"/>
          <w:kern w:val="0"/>
          <w:sz w:val="24"/>
        </w:rPr>
        <w:t>鉴于本合同工程的重要性，为确保本合同工程质量，发包人将对参与本合同项目建设的勘察设计、施工、监理等单位进行综合考评，并根据综合考评的结果按照相关规定执行</w:t>
      </w:r>
      <w:r>
        <w:rPr>
          <w:bCs/>
          <w:snapToGrid w:val="0"/>
          <w:spacing w:val="4"/>
          <w:kern w:val="0"/>
          <w:sz w:val="24"/>
        </w:rPr>
        <w:t>。</w:t>
      </w:r>
    </w:p>
    <w:p>
      <w:pPr>
        <w:topLinePunct/>
        <w:adjustRightInd w:val="0"/>
        <w:snapToGrid w:val="0"/>
        <w:spacing w:before="120" w:beforeLines="50" w:line="420" w:lineRule="exact"/>
        <w:ind w:firstLine="498" w:firstLineChars="200"/>
        <w:rPr>
          <w:b/>
          <w:bCs/>
          <w:snapToGrid w:val="0"/>
          <w:spacing w:val="4"/>
          <w:kern w:val="0"/>
          <w:sz w:val="24"/>
        </w:rPr>
      </w:pPr>
      <w:r>
        <w:rPr>
          <w:b/>
          <w:bCs/>
          <w:snapToGrid w:val="0"/>
          <w:spacing w:val="4"/>
          <w:kern w:val="0"/>
          <w:sz w:val="24"/>
        </w:rPr>
        <w:t>第十</w:t>
      </w:r>
      <w:r>
        <w:rPr>
          <w:b/>
          <w:snapToGrid w:val="0"/>
          <w:spacing w:val="4"/>
          <w:kern w:val="0"/>
          <w:sz w:val="24"/>
        </w:rPr>
        <w:t>一</w:t>
      </w:r>
      <w:r>
        <w:rPr>
          <w:b/>
          <w:bCs/>
          <w:snapToGrid w:val="0"/>
          <w:spacing w:val="4"/>
          <w:kern w:val="0"/>
          <w:sz w:val="24"/>
        </w:rPr>
        <w:t>条  合同的生效与终止</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本合同自</w:t>
      </w:r>
      <w:r>
        <w:rPr>
          <w:snapToGrid w:val="0"/>
          <w:spacing w:val="4"/>
          <w:kern w:val="0"/>
          <w:sz w:val="24"/>
        </w:rPr>
        <w:t>发包人</w:t>
      </w:r>
      <w:r>
        <w:rPr>
          <w:bCs/>
          <w:snapToGrid w:val="0"/>
          <w:spacing w:val="4"/>
          <w:kern w:val="0"/>
          <w:sz w:val="24"/>
        </w:rPr>
        <w:t>、</w:t>
      </w:r>
      <w:r>
        <w:rPr>
          <w:snapToGrid w:val="0"/>
          <w:spacing w:val="4"/>
          <w:kern w:val="0"/>
          <w:sz w:val="24"/>
        </w:rPr>
        <w:t>承包人</w:t>
      </w:r>
      <w:r>
        <w:rPr>
          <w:bCs/>
          <w:snapToGrid w:val="0"/>
          <w:spacing w:val="4"/>
          <w:kern w:val="0"/>
          <w:sz w:val="24"/>
        </w:rPr>
        <w:t>双方盖章，且法定代表人签字或者盖章后生效。以下三个条件均满足后，双方终止本合同的执行：</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（1）本合同工程质量保修期届满；</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（2）本合同工程竣工结算经政府终审部门审定之日起届满60日；</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（3）双方在本合同项下的责任承担、义务履行均告完毕。</w:t>
      </w:r>
    </w:p>
    <w:p>
      <w:pPr>
        <w:topLinePunct/>
        <w:adjustRightInd w:val="0"/>
        <w:snapToGrid w:val="0"/>
        <w:spacing w:before="120" w:beforeLines="50" w:line="420" w:lineRule="exact"/>
        <w:ind w:firstLine="498" w:firstLineChars="200"/>
        <w:rPr>
          <w:b/>
          <w:snapToGrid w:val="0"/>
          <w:spacing w:val="4"/>
          <w:kern w:val="0"/>
          <w:sz w:val="24"/>
        </w:rPr>
      </w:pPr>
      <w:r>
        <w:rPr>
          <w:b/>
          <w:snapToGrid w:val="0"/>
          <w:spacing w:val="4"/>
          <w:kern w:val="0"/>
          <w:sz w:val="24"/>
        </w:rPr>
        <w:t>第十二条  合同文本的份数</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本合同正本一式</w:t>
      </w:r>
      <w:r>
        <w:rPr>
          <w:bCs/>
          <w:snapToGrid w:val="0"/>
          <w:spacing w:val="4"/>
          <w:kern w:val="0"/>
          <w:sz w:val="24"/>
          <w:u w:val="single"/>
        </w:rPr>
        <w:t xml:space="preserve"> </w:t>
      </w:r>
      <w:r>
        <w:rPr>
          <w:rFonts w:hint="eastAsia"/>
          <w:bCs/>
          <w:snapToGrid w:val="0"/>
          <w:spacing w:val="4"/>
          <w:kern w:val="0"/>
          <w:sz w:val="24"/>
          <w:u w:val="single"/>
        </w:rPr>
        <w:t xml:space="preserve"> </w:t>
      </w:r>
      <w:r>
        <w:rPr>
          <w:bCs/>
          <w:snapToGrid w:val="0"/>
          <w:spacing w:val="4"/>
          <w:kern w:val="0"/>
          <w:sz w:val="24"/>
          <w:u w:val="single"/>
        </w:rPr>
        <w:t xml:space="preserve"> </w:t>
      </w:r>
      <w:r>
        <w:rPr>
          <w:bCs/>
          <w:snapToGrid w:val="0"/>
          <w:spacing w:val="4"/>
          <w:kern w:val="0"/>
          <w:sz w:val="24"/>
        </w:rPr>
        <w:t>份，</w:t>
      </w:r>
      <w:r>
        <w:rPr>
          <w:rFonts w:hint="eastAsia"/>
          <w:snapToGrid w:val="0"/>
          <w:spacing w:val="4"/>
          <w:kern w:val="0"/>
          <w:sz w:val="24"/>
        </w:rPr>
        <w:t>各方</w:t>
      </w:r>
      <w:r>
        <w:rPr>
          <w:bCs/>
          <w:snapToGrid w:val="0"/>
          <w:spacing w:val="4"/>
          <w:kern w:val="0"/>
          <w:sz w:val="24"/>
        </w:rPr>
        <w:t>各执</w:t>
      </w:r>
      <w:r>
        <w:rPr>
          <w:rFonts w:hint="eastAsia"/>
          <w:bCs/>
          <w:snapToGrid w:val="0"/>
          <w:spacing w:val="4"/>
          <w:kern w:val="0"/>
          <w:sz w:val="24"/>
          <w:u w:val="single"/>
        </w:rPr>
        <w:t xml:space="preserve"> </w:t>
      </w:r>
      <w:r>
        <w:rPr>
          <w:bCs/>
          <w:snapToGrid w:val="0"/>
          <w:spacing w:val="4"/>
          <w:kern w:val="0"/>
          <w:sz w:val="24"/>
          <w:u w:val="single"/>
        </w:rPr>
        <w:t xml:space="preserve">  </w:t>
      </w:r>
      <w:r>
        <w:rPr>
          <w:bCs/>
          <w:snapToGrid w:val="0"/>
          <w:spacing w:val="4"/>
          <w:kern w:val="0"/>
          <w:sz w:val="24"/>
        </w:rPr>
        <w:t>份；副本一式</w:t>
      </w:r>
      <w:r>
        <w:rPr>
          <w:bCs/>
          <w:snapToGrid w:val="0"/>
          <w:spacing w:val="4"/>
          <w:kern w:val="0"/>
          <w:sz w:val="24"/>
          <w:u w:val="single"/>
        </w:rPr>
        <w:t xml:space="preserve"> </w:t>
      </w:r>
      <w:r>
        <w:rPr>
          <w:rFonts w:hint="eastAsia"/>
          <w:bCs/>
          <w:snapToGrid w:val="0"/>
          <w:spacing w:val="4"/>
          <w:kern w:val="0"/>
          <w:sz w:val="24"/>
          <w:u w:val="single"/>
        </w:rPr>
        <w:t xml:space="preserve"> </w:t>
      </w:r>
      <w:r>
        <w:rPr>
          <w:bCs/>
          <w:snapToGrid w:val="0"/>
          <w:spacing w:val="4"/>
          <w:kern w:val="0"/>
          <w:sz w:val="24"/>
          <w:u w:val="single"/>
        </w:rPr>
        <w:t xml:space="preserve"> </w:t>
      </w:r>
      <w:r>
        <w:rPr>
          <w:bCs/>
          <w:snapToGrid w:val="0"/>
          <w:spacing w:val="4"/>
          <w:kern w:val="0"/>
          <w:sz w:val="24"/>
        </w:rPr>
        <w:t>份，</w:t>
      </w:r>
      <w:r>
        <w:rPr>
          <w:rFonts w:hint="eastAsia"/>
          <w:snapToGrid w:val="0"/>
          <w:spacing w:val="4"/>
          <w:kern w:val="0"/>
          <w:sz w:val="24"/>
        </w:rPr>
        <w:t>各方</w:t>
      </w:r>
      <w:r>
        <w:rPr>
          <w:bCs/>
          <w:snapToGrid w:val="0"/>
          <w:spacing w:val="4"/>
          <w:kern w:val="0"/>
          <w:sz w:val="24"/>
        </w:rPr>
        <w:t>各执</w:t>
      </w:r>
      <w:r>
        <w:rPr>
          <w:rFonts w:hint="eastAsia"/>
          <w:bCs/>
          <w:snapToGrid w:val="0"/>
          <w:spacing w:val="4"/>
          <w:kern w:val="0"/>
          <w:sz w:val="24"/>
          <w:u w:val="single"/>
        </w:rPr>
        <w:t xml:space="preserve"> </w:t>
      </w:r>
      <w:r>
        <w:rPr>
          <w:bCs/>
          <w:snapToGrid w:val="0"/>
          <w:spacing w:val="4"/>
          <w:kern w:val="0"/>
          <w:sz w:val="24"/>
          <w:u w:val="single"/>
        </w:rPr>
        <w:t xml:space="preserve">  </w:t>
      </w:r>
      <w:r>
        <w:rPr>
          <w:bCs/>
          <w:snapToGrid w:val="0"/>
          <w:spacing w:val="4"/>
          <w:kern w:val="0"/>
          <w:sz w:val="24"/>
        </w:rPr>
        <w:t>份。</w:t>
      </w:r>
      <w:r>
        <w:rPr>
          <w:snapToGrid w:val="0"/>
          <w:spacing w:val="4"/>
          <w:kern w:val="0"/>
          <w:sz w:val="24"/>
        </w:rPr>
        <w:t>合同正、副本具有同等效力，但当合同副本与正本的表述不一致时，以合同正本为准。</w:t>
      </w:r>
    </w:p>
    <w:p>
      <w:pPr>
        <w:topLinePunct/>
        <w:adjustRightInd w:val="0"/>
        <w:snapToGrid w:val="0"/>
        <w:spacing w:before="120" w:beforeLines="50" w:line="360" w:lineRule="auto"/>
        <w:ind w:firstLine="498" w:firstLineChars="200"/>
        <w:rPr>
          <w:b/>
          <w:snapToGrid w:val="0"/>
          <w:spacing w:val="4"/>
          <w:kern w:val="0"/>
          <w:sz w:val="24"/>
        </w:rPr>
      </w:pPr>
      <w:r>
        <w:rPr>
          <w:b/>
          <w:snapToGrid w:val="0"/>
          <w:spacing w:val="4"/>
          <w:kern w:val="0"/>
          <w:sz w:val="24"/>
        </w:rPr>
        <w:t>第十三条  其它约定事项</w:t>
      </w:r>
    </w:p>
    <w:p>
      <w:pPr>
        <w:pStyle w:val="27"/>
        <w:ind w:firstLine="496"/>
        <w:rPr>
          <w:spacing w:val="-20"/>
        </w:rPr>
      </w:pPr>
      <w:r>
        <w:t>本工程总监理工程师姓名：</w:t>
      </w:r>
      <w:r>
        <w:rPr>
          <w:rFonts w:ascii="宋体" w:hAnsi="宋体"/>
          <w:u w:val="single"/>
        </w:rPr>
        <w:t xml:space="preserve"> </w:t>
      </w:r>
      <w:r>
        <w:rPr>
          <w:rFonts w:ascii="宋体" w:hAnsi="宋体"/>
          <w:b/>
          <w:bCs/>
          <w:u w:val="single"/>
        </w:rPr>
        <w:t xml:space="preserve">       </w:t>
      </w:r>
      <w:r>
        <w:rPr>
          <w:rFonts w:ascii="宋体" w:hAnsi="宋体"/>
          <w:u w:val="single"/>
        </w:rPr>
        <w:t xml:space="preserve"> </w:t>
      </w:r>
      <w:r>
        <w:rPr>
          <w:rFonts w:ascii="宋体" w:hAnsi="宋体"/>
        </w:rPr>
        <w:t>，职务（职称）：</w:t>
      </w:r>
      <w:r>
        <w:rPr>
          <w:rFonts w:ascii="宋体" w:hAnsi="宋体"/>
          <w:u w:val="single"/>
        </w:rPr>
        <w:t xml:space="preserve"> </w:t>
      </w:r>
      <w:r>
        <w:rPr>
          <w:rFonts w:ascii="宋体" w:hAnsi="宋体"/>
          <w:b/>
          <w:bCs/>
          <w:u w:val="single"/>
        </w:rPr>
        <w:t xml:space="preserve">      </w:t>
      </w:r>
      <w:r>
        <w:rPr>
          <w:rFonts w:ascii="宋体" w:hAnsi="宋体"/>
          <w:u w:val="single"/>
        </w:rPr>
        <w:t xml:space="preserve">  </w:t>
      </w:r>
      <w:r>
        <w:rPr>
          <w:rFonts w:ascii="宋体" w:hAnsi="宋体"/>
        </w:rPr>
        <w:t>。</w:t>
      </w:r>
    </w:p>
    <w:p>
      <w:pPr>
        <w:tabs>
          <w:tab w:val="left" w:pos="142"/>
          <w:tab w:val="left" w:pos="4820"/>
          <w:tab w:val="left" w:pos="4962"/>
        </w:tabs>
        <w:spacing w:line="480" w:lineRule="exact"/>
        <w:ind w:left="1841" w:hanging="1840" w:hangingChars="767"/>
      </w:pPr>
      <w:r>
        <w:rPr>
          <w:sz w:val="24"/>
        </w:rPr>
        <w:br w:type="page"/>
      </w:r>
      <w:r>
        <w:t>（本页无正文）</w:t>
      </w:r>
    </w:p>
    <w:p>
      <w:pPr>
        <w:tabs>
          <w:tab w:val="left" w:pos="142"/>
          <w:tab w:val="left" w:pos="4820"/>
          <w:tab w:val="left" w:pos="4962"/>
        </w:tabs>
        <w:spacing w:line="480" w:lineRule="exact"/>
        <w:ind w:left="1611" w:hanging="1610" w:hangingChars="767"/>
      </w:pPr>
    </w:p>
    <w:tbl>
      <w:tblPr>
        <w:tblStyle w:val="12"/>
        <w:tblW w:w="9640" w:type="dxa"/>
        <w:tblInd w:w="-147" w:type="dxa"/>
        <w:tblLayout w:type="autofit"/>
        <w:tblCellMar>
          <w:top w:w="0" w:type="dxa"/>
          <w:left w:w="108" w:type="dxa"/>
          <w:bottom w:w="0" w:type="dxa"/>
          <w:right w:w="108" w:type="dxa"/>
        </w:tblCellMar>
      </w:tblPr>
      <w:tblGrid>
        <w:gridCol w:w="4678"/>
        <w:gridCol w:w="284"/>
        <w:gridCol w:w="4678"/>
      </w:tblGrid>
      <w:tr>
        <w:tblPrEx>
          <w:tblCellMar>
            <w:top w:w="0" w:type="dxa"/>
            <w:left w:w="108" w:type="dxa"/>
            <w:bottom w:w="0" w:type="dxa"/>
            <w:right w:w="108" w:type="dxa"/>
          </w:tblCellMar>
        </w:tblPrEx>
        <w:trPr>
          <w:trHeight w:val="567" w:hRule="atLeast"/>
        </w:trPr>
        <w:tc>
          <w:tcPr>
            <w:tcW w:w="4678" w:type="dxa"/>
            <w:shd w:val="clear" w:color="auto" w:fill="auto"/>
            <w:vAlign w:val="center"/>
          </w:tcPr>
          <w:p>
            <w:pPr>
              <w:pStyle w:val="3"/>
              <w:ind w:firstLine="0" w:firstLineChars="0"/>
              <w:rPr>
                <w:rFonts w:hAnsi="Times New Roman"/>
                <w:lang w:val="zh-CN"/>
              </w:rPr>
            </w:pPr>
            <w:r>
              <w:rPr>
                <w:rFonts w:hint="eastAsia" w:hAnsi="Times New Roman"/>
                <w:snapToGrid w:val="0"/>
              </w:rPr>
              <w:t>发包</w:t>
            </w:r>
            <w:r>
              <w:rPr>
                <w:rFonts w:hAnsi="Times New Roman"/>
                <w:snapToGrid w:val="0"/>
              </w:rPr>
              <w:t>人（甲方）：</w:t>
            </w:r>
          </w:p>
        </w:tc>
        <w:tc>
          <w:tcPr>
            <w:tcW w:w="284" w:type="dxa"/>
            <w:shd w:val="clear" w:color="auto" w:fill="auto"/>
            <w:vAlign w:val="center"/>
          </w:tcPr>
          <w:p>
            <w:pPr>
              <w:pStyle w:val="3"/>
              <w:ind w:firstLine="0" w:firstLineChars="0"/>
              <w:jc w:val="center"/>
              <w:rPr>
                <w:rFonts w:hAnsi="Times New Roman"/>
                <w:snapToGrid w:val="0"/>
              </w:rPr>
            </w:pPr>
          </w:p>
        </w:tc>
        <w:tc>
          <w:tcPr>
            <w:tcW w:w="4678" w:type="dxa"/>
            <w:shd w:val="clear" w:color="auto" w:fill="auto"/>
            <w:vAlign w:val="center"/>
          </w:tcPr>
          <w:p>
            <w:pPr>
              <w:pStyle w:val="3"/>
              <w:ind w:firstLine="0" w:firstLineChars="0"/>
              <w:rPr>
                <w:rFonts w:hAnsi="Times New Roman"/>
                <w:lang w:val="zh-CN"/>
              </w:rPr>
            </w:pPr>
            <w:r>
              <w:rPr>
                <w:rFonts w:hint="eastAsia" w:hAnsi="Times New Roman"/>
                <w:snapToGrid w:val="0"/>
              </w:rPr>
              <w:t>承包人</w:t>
            </w:r>
            <w:r>
              <w:rPr>
                <w:rFonts w:hAnsi="Times New Roman"/>
                <w:snapToGrid w:val="0"/>
              </w:rPr>
              <w:t>（</w:t>
            </w:r>
            <w:r>
              <w:rPr>
                <w:rFonts w:hint="eastAsia" w:hAnsi="Times New Roman"/>
                <w:snapToGrid w:val="0"/>
              </w:rPr>
              <w:t>乙</w:t>
            </w:r>
            <w:r>
              <w:rPr>
                <w:rFonts w:hAnsi="Times New Roman"/>
                <w:snapToGrid w:val="0"/>
              </w:rPr>
              <w:t>方）：</w:t>
            </w:r>
          </w:p>
        </w:tc>
      </w:tr>
      <w:tr>
        <w:tblPrEx>
          <w:tblCellMar>
            <w:top w:w="0" w:type="dxa"/>
            <w:left w:w="108" w:type="dxa"/>
            <w:bottom w:w="0" w:type="dxa"/>
            <w:right w:w="108" w:type="dxa"/>
          </w:tblCellMar>
        </w:tblPrEx>
        <w:trPr>
          <w:trHeight w:val="530" w:hRule="atLeast"/>
        </w:trPr>
        <w:tc>
          <w:tcPr>
            <w:tcW w:w="4678" w:type="dxa"/>
            <w:shd w:val="clear" w:color="auto" w:fill="auto"/>
            <w:vAlign w:val="center"/>
          </w:tcPr>
          <w:p>
            <w:pPr>
              <w:pStyle w:val="3"/>
              <w:ind w:firstLine="0" w:firstLineChars="0"/>
              <w:rPr>
                <w:rFonts w:hAnsi="Times New Roman"/>
                <w:lang w:val="zh-CN"/>
              </w:rPr>
            </w:pPr>
            <w:r>
              <w:rPr>
                <w:rFonts w:hAnsi="Times New Roman"/>
                <w:b/>
                <w:snapToGrid w:val="0"/>
                <w:u w:val="single"/>
              </w:rPr>
              <w:t>广州市花都区公共建设项目管理中心</w:t>
            </w:r>
          </w:p>
        </w:tc>
        <w:tc>
          <w:tcPr>
            <w:tcW w:w="284" w:type="dxa"/>
            <w:shd w:val="clear" w:color="auto" w:fill="auto"/>
            <w:vAlign w:val="center"/>
          </w:tcPr>
          <w:p>
            <w:pPr>
              <w:pStyle w:val="3"/>
              <w:ind w:firstLine="0" w:firstLineChars="0"/>
              <w:jc w:val="center"/>
              <w:rPr>
                <w:rFonts w:hAnsi="Times New Roman"/>
                <w:b/>
                <w:snapToGrid w:val="0"/>
                <w:u w:val="single"/>
              </w:rPr>
            </w:pPr>
          </w:p>
        </w:tc>
        <w:tc>
          <w:tcPr>
            <w:tcW w:w="4678" w:type="dxa"/>
            <w:shd w:val="clear" w:color="auto" w:fill="auto"/>
            <w:vAlign w:val="center"/>
          </w:tcPr>
          <w:p>
            <w:pPr>
              <w:pStyle w:val="3"/>
              <w:ind w:firstLine="0" w:firstLineChars="0"/>
              <w:rPr>
                <w:rFonts w:ascii="等线" w:hAnsi="等线" w:eastAsia="等线"/>
                <w:lang w:val="zh-CN"/>
              </w:rPr>
            </w:pPr>
            <w:r>
              <w:rPr>
                <w:rFonts w:hAnsi="Times New Roman"/>
                <w:b/>
                <w:snapToGrid w:val="0"/>
                <w:u w:val="single"/>
              </w:rPr>
              <w:t xml:space="preserve"> </w:t>
            </w:r>
            <w:r>
              <w:rPr>
                <w:rFonts w:ascii="等线" w:hAnsi="等线" w:eastAsia="等线"/>
                <w:b/>
                <w:snapToGrid w:val="0"/>
                <w:u w:val="single"/>
              </w:rPr>
              <w:t xml:space="preserve">                               </w:t>
            </w:r>
          </w:p>
        </w:tc>
      </w:tr>
      <w:tr>
        <w:tblPrEx>
          <w:tblCellMar>
            <w:top w:w="0" w:type="dxa"/>
            <w:left w:w="108" w:type="dxa"/>
            <w:bottom w:w="0" w:type="dxa"/>
            <w:right w:w="108" w:type="dxa"/>
          </w:tblCellMar>
        </w:tblPrEx>
        <w:trPr>
          <w:trHeight w:val="1006" w:hRule="atLeast"/>
        </w:trPr>
        <w:tc>
          <w:tcPr>
            <w:tcW w:w="4678" w:type="dxa"/>
            <w:shd w:val="clear" w:color="auto" w:fill="auto"/>
            <w:vAlign w:val="center"/>
          </w:tcPr>
          <w:p>
            <w:pPr>
              <w:pStyle w:val="3"/>
              <w:ind w:firstLine="0" w:firstLineChars="0"/>
              <w:rPr>
                <w:rFonts w:hAnsi="Times New Roman"/>
                <w:lang w:val="zh-CN"/>
              </w:rPr>
            </w:pPr>
          </w:p>
          <w:p>
            <w:pPr>
              <w:pStyle w:val="3"/>
              <w:ind w:firstLine="0" w:firstLineChars="0"/>
              <w:rPr>
                <w:rFonts w:hAnsi="Times New Roman"/>
                <w:lang w:val="zh-CN"/>
              </w:rPr>
            </w:pPr>
            <w:r>
              <w:rPr>
                <w:rFonts w:hAnsi="Times New Roman"/>
                <w:lang w:val="zh-CN"/>
              </w:rPr>
              <w:t>法定代表人：</w:t>
            </w:r>
          </w:p>
          <w:p>
            <w:pPr>
              <w:pStyle w:val="3"/>
              <w:ind w:firstLine="0" w:firstLineChars="0"/>
              <w:rPr>
                <w:rFonts w:hAnsi="Times New Roman"/>
                <w:lang w:val="zh-CN"/>
              </w:rPr>
            </w:pPr>
            <w:r>
              <w:rPr>
                <w:rFonts w:hAnsi="Times New Roman"/>
                <w:lang w:val="zh-CN"/>
              </w:rPr>
              <w:t>或委托代理人：</w:t>
            </w:r>
          </w:p>
        </w:tc>
        <w:tc>
          <w:tcPr>
            <w:tcW w:w="284" w:type="dxa"/>
            <w:shd w:val="clear" w:color="auto" w:fill="auto"/>
            <w:vAlign w:val="center"/>
          </w:tcPr>
          <w:p>
            <w:pPr>
              <w:pStyle w:val="3"/>
              <w:ind w:firstLine="0" w:firstLineChars="0"/>
              <w:jc w:val="center"/>
              <w:rPr>
                <w:rFonts w:hAnsi="Times New Roman"/>
                <w:lang w:val="zh-CN"/>
              </w:rPr>
            </w:pPr>
          </w:p>
        </w:tc>
        <w:tc>
          <w:tcPr>
            <w:tcW w:w="4678" w:type="dxa"/>
            <w:shd w:val="clear" w:color="auto" w:fill="auto"/>
            <w:vAlign w:val="center"/>
          </w:tcPr>
          <w:p>
            <w:pPr>
              <w:pStyle w:val="3"/>
              <w:ind w:firstLine="0" w:firstLineChars="0"/>
              <w:rPr>
                <w:rFonts w:hAnsi="Times New Roman"/>
                <w:lang w:val="zh-CN"/>
              </w:rPr>
            </w:pPr>
          </w:p>
          <w:p>
            <w:pPr>
              <w:pStyle w:val="3"/>
              <w:ind w:firstLine="0" w:firstLineChars="0"/>
              <w:rPr>
                <w:rFonts w:hAnsi="Times New Roman"/>
                <w:lang w:val="zh-CN"/>
              </w:rPr>
            </w:pPr>
            <w:r>
              <w:rPr>
                <w:rFonts w:hAnsi="Times New Roman"/>
                <w:lang w:val="zh-CN"/>
              </w:rPr>
              <w:t>法定代表人：</w:t>
            </w:r>
          </w:p>
          <w:p>
            <w:pPr>
              <w:pStyle w:val="3"/>
              <w:ind w:firstLine="0" w:firstLineChars="0"/>
              <w:rPr>
                <w:rFonts w:hAnsi="Times New Roman"/>
                <w:lang w:val="zh-CN"/>
              </w:rPr>
            </w:pPr>
            <w:r>
              <w:rPr>
                <w:rFonts w:hAnsi="Times New Roman"/>
                <w:lang w:val="zh-CN"/>
              </w:rPr>
              <w:t>或委托代理人：</w:t>
            </w:r>
          </w:p>
        </w:tc>
      </w:tr>
      <w:tr>
        <w:tblPrEx>
          <w:tblCellMar>
            <w:top w:w="0" w:type="dxa"/>
            <w:left w:w="108" w:type="dxa"/>
            <w:bottom w:w="0" w:type="dxa"/>
            <w:right w:w="108" w:type="dxa"/>
          </w:tblCellMar>
        </w:tblPrEx>
        <w:trPr>
          <w:trHeight w:val="838" w:hRule="atLeast"/>
        </w:trPr>
        <w:tc>
          <w:tcPr>
            <w:tcW w:w="4678" w:type="dxa"/>
            <w:shd w:val="clear" w:color="auto" w:fill="auto"/>
            <w:vAlign w:val="center"/>
          </w:tcPr>
          <w:p>
            <w:pPr>
              <w:pStyle w:val="3"/>
              <w:ind w:firstLine="0" w:firstLineChars="0"/>
              <w:rPr>
                <w:rFonts w:hAnsi="Times New Roman"/>
                <w:snapToGrid w:val="0"/>
              </w:rPr>
            </w:pPr>
            <w:r>
              <w:rPr>
                <w:rFonts w:hAnsi="Times New Roman"/>
                <w:snapToGrid w:val="0"/>
              </w:rPr>
              <w:t>地址：</w:t>
            </w:r>
          </w:p>
        </w:tc>
        <w:tc>
          <w:tcPr>
            <w:tcW w:w="284" w:type="dxa"/>
            <w:shd w:val="clear" w:color="auto" w:fill="auto"/>
            <w:vAlign w:val="center"/>
          </w:tcPr>
          <w:p>
            <w:pPr>
              <w:pStyle w:val="3"/>
              <w:ind w:firstLine="0" w:firstLineChars="0"/>
              <w:jc w:val="center"/>
              <w:rPr>
                <w:rFonts w:hAnsi="Times New Roman"/>
                <w:snapToGrid w:val="0"/>
              </w:rPr>
            </w:pPr>
          </w:p>
        </w:tc>
        <w:tc>
          <w:tcPr>
            <w:tcW w:w="4678" w:type="dxa"/>
            <w:shd w:val="clear" w:color="auto" w:fill="auto"/>
            <w:vAlign w:val="center"/>
          </w:tcPr>
          <w:p>
            <w:pPr>
              <w:pStyle w:val="3"/>
              <w:ind w:left="720" w:hanging="720" w:hangingChars="300"/>
              <w:rPr>
                <w:rFonts w:hAnsi="Times New Roman"/>
                <w:snapToGrid w:val="0"/>
              </w:rPr>
            </w:pPr>
            <w:r>
              <w:rPr>
                <w:rFonts w:hAnsi="Times New Roman"/>
                <w:snapToGrid w:val="0"/>
              </w:rPr>
              <w:t xml:space="preserve">地址： </w:t>
            </w:r>
          </w:p>
        </w:tc>
      </w:tr>
      <w:tr>
        <w:tblPrEx>
          <w:tblCellMar>
            <w:top w:w="0" w:type="dxa"/>
            <w:left w:w="108" w:type="dxa"/>
            <w:bottom w:w="0" w:type="dxa"/>
            <w:right w:w="108" w:type="dxa"/>
          </w:tblCellMar>
        </w:tblPrEx>
        <w:trPr>
          <w:trHeight w:val="530" w:hRule="atLeast"/>
        </w:trPr>
        <w:tc>
          <w:tcPr>
            <w:tcW w:w="4678" w:type="dxa"/>
            <w:shd w:val="clear" w:color="auto" w:fill="auto"/>
            <w:vAlign w:val="center"/>
          </w:tcPr>
          <w:p>
            <w:pPr>
              <w:pStyle w:val="3"/>
              <w:ind w:firstLine="0" w:firstLineChars="0"/>
              <w:rPr>
                <w:rFonts w:hAnsi="Times New Roman"/>
                <w:lang w:val="zh-CN"/>
              </w:rPr>
            </w:pPr>
            <w:r>
              <w:rPr>
                <w:rFonts w:hAnsi="Times New Roman"/>
                <w:snapToGrid w:val="0"/>
              </w:rPr>
              <w:t>邮政编码：</w:t>
            </w:r>
          </w:p>
        </w:tc>
        <w:tc>
          <w:tcPr>
            <w:tcW w:w="284" w:type="dxa"/>
            <w:shd w:val="clear" w:color="auto" w:fill="auto"/>
            <w:vAlign w:val="center"/>
          </w:tcPr>
          <w:p>
            <w:pPr>
              <w:pStyle w:val="3"/>
              <w:ind w:firstLine="0" w:firstLineChars="0"/>
              <w:jc w:val="center"/>
              <w:rPr>
                <w:rFonts w:hAnsi="Times New Roman"/>
                <w:snapToGrid w:val="0"/>
              </w:rPr>
            </w:pPr>
          </w:p>
        </w:tc>
        <w:tc>
          <w:tcPr>
            <w:tcW w:w="4678" w:type="dxa"/>
            <w:shd w:val="clear" w:color="auto" w:fill="auto"/>
            <w:vAlign w:val="center"/>
          </w:tcPr>
          <w:p>
            <w:pPr>
              <w:pStyle w:val="3"/>
              <w:ind w:firstLine="0" w:firstLineChars="0"/>
              <w:rPr>
                <w:rFonts w:hAnsi="Times New Roman"/>
                <w:lang w:val="zh-CN"/>
              </w:rPr>
            </w:pPr>
            <w:r>
              <w:rPr>
                <w:rFonts w:hAnsi="Times New Roman"/>
                <w:snapToGrid w:val="0"/>
              </w:rPr>
              <w:t>邮政编码：</w:t>
            </w:r>
          </w:p>
        </w:tc>
      </w:tr>
      <w:tr>
        <w:tblPrEx>
          <w:tblCellMar>
            <w:top w:w="0" w:type="dxa"/>
            <w:left w:w="108" w:type="dxa"/>
            <w:bottom w:w="0" w:type="dxa"/>
            <w:right w:w="108" w:type="dxa"/>
          </w:tblCellMar>
        </w:tblPrEx>
        <w:trPr>
          <w:trHeight w:val="530" w:hRule="atLeast"/>
        </w:trPr>
        <w:tc>
          <w:tcPr>
            <w:tcW w:w="4678" w:type="dxa"/>
            <w:shd w:val="clear" w:color="auto" w:fill="auto"/>
            <w:vAlign w:val="center"/>
          </w:tcPr>
          <w:p>
            <w:pPr>
              <w:pStyle w:val="3"/>
              <w:ind w:firstLine="0" w:firstLineChars="0"/>
              <w:rPr>
                <w:rFonts w:hAnsi="Times New Roman"/>
                <w:lang w:val="zh-CN"/>
              </w:rPr>
            </w:pPr>
            <w:r>
              <w:rPr>
                <w:rFonts w:hAnsi="Times New Roman"/>
                <w:snapToGrid w:val="0"/>
              </w:rPr>
              <w:t>电话：</w:t>
            </w:r>
          </w:p>
        </w:tc>
        <w:tc>
          <w:tcPr>
            <w:tcW w:w="284" w:type="dxa"/>
            <w:shd w:val="clear" w:color="auto" w:fill="auto"/>
            <w:vAlign w:val="center"/>
          </w:tcPr>
          <w:p>
            <w:pPr>
              <w:pStyle w:val="3"/>
              <w:ind w:firstLine="0" w:firstLineChars="0"/>
              <w:jc w:val="center"/>
              <w:rPr>
                <w:rFonts w:hAnsi="Times New Roman"/>
                <w:lang w:val="zh-CN"/>
              </w:rPr>
            </w:pPr>
          </w:p>
        </w:tc>
        <w:tc>
          <w:tcPr>
            <w:tcW w:w="4678" w:type="dxa"/>
            <w:shd w:val="clear" w:color="auto" w:fill="auto"/>
            <w:vAlign w:val="center"/>
          </w:tcPr>
          <w:p>
            <w:pPr>
              <w:pStyle w:val="3"/>
              <w:ind w:firstLine="0" w:firstLineChars="0"/>
              <w:rPr>
                <w:rFonts w:hAnsi="Times New Roman"/>
                <w:lang w:val="zh-CN"/>
              </w:rPr>
            </w:pPr>
            <w:r>
              <w:rPr>
                <w:rFonts w:hAnsi="Times New Roman"/>
                <w:snapToGrid w:val="0"/>
              </w:rPr>
              <w:t>电话：</w:t>
            </w:r>
          </w:p>
        </w:tc>
      </w:tr>
      <w:tr>
        <w:tblPrEx>
          <w:tblCellMar>
            <w:top w:w="0" w:type="dxa"/>
            <w:left w:w="108" w:type="dxa"/>
            <w:bottom w:w="0" w:type="dxa"/>
            <w:right w:w="108" w:type="dxa"/>
          </w:tblCellMar>
        </w:tblPrEx>
        <w:trPr>
          <w:trHeight w:val="530" w:hRule="atLeast"/>
        </w:trPr>
        <w:tc>
          <w:tcPr>
            <w:tcW w:w="4678" w:type="dxa"/>
            <w:shd w:val="clear" w:color="auto" w:fill="auto"/>
            <w:vAlign w:val="center"/>
          </w:tcPr>
          <w:p>
            <w:pPr>
              <w:pStyle w:val="3"/>
              <w:ind w:firstLine="0" w:firstLineChars="0"/>
              <w:rPr>
                <w:rFonts w:hAnsi="Times New Roman"/>
                <w:snapToGrid w:val="0"/>
              </w:rPr>
            </w:pPr>
            <w:r>
              <w:rPr>
                <w:rFonts w:hAnsi="Times New Roman"/>
                <w:snapToGrid w:val="0"/>
              </w:rPr>
              <w:t>开户银行：</w:t>
            </w:r>
          </w:p>
        </w:tc>
        <w:tc>
          <w:tcPr>
            <w:tcW w:w="284" w:type="dxa"/>
            <w:shd w:val="clear" w:color="auto" w:fill="auto"/>
            <w:vAlign w:val="center"/>
          </w:tcPr>
          <w:p>
            <w:pPr>
              <w:pStyle w:val="3"/>
              <w:ind w:firstLine="0" w:firstLineChars="0"/>
              <w:jc w:val="center"/>
              <w:rPr>
                <w:rFonts w:hAnsi="Times New Roman"/>
                <w:lang w:val="zh-CN"/>
              </w:rPr>
            </w:pPr>
          </w:p>
        </w:tc>
        <w:tc>
          <w:tcPr>
            <w:tcW w:w="4678" w:type="dxa"/>
            <w:shd w:val="clear" w:color="auto" w:fill="auto"/>
            <w:vAlign w:val="center"/>
          </w:tcPr>
          <w:p>
            <w:pPr>
              <w:pStyle w:val="3"/>
              <w:ind w:left="1200" w:hanging="1200" w:hangingChars="500"/>
              <w:rPr>
                <w:rFonts w:hAnsi="Times New Roman"/>
                <w:snapToGrid w:val="0"/>
              </w:rPr>
            </w:pPr>
            <w:r>
              <w:rPr>
                <w:rFonts w:hAnsi="Times New Roman"/>
                <w:snapToGrid w:val="0"/>
              </w:rPr>
              <w:t>开户银行：</w:t>
            </w:r>
          </w:p>
        </w:tc>
      </w:tr>
      <w:tr>
        <w:tblPrEx>
          <w:tblCellMar>
            <w:top w:w="0" w:type="dxa"/>
            <w:left w:w="108" w:type="dxa"/>
            <w:bottom w:w="0" w:type="dxa"/>
            <w:right w:w="108" w:type="dxa"/>
          </w:tblCellMar>
        </w:tblPrEx>
        <w:trPr>
          <w:trHeight w:val="530" w:hRule="atLeast"/>
        </w:trPr>
        <w:tc>
          <w:tcPr>
            <w:tcW w:w="4678" w:type="dxa"/>
            <w:shd w:val="clear" w:color="auto" w:fill="auto"/>
            <w:vAlign w:val="center"/>
          </w:tcPr>
          <w:p>
            <w:pPr>
              <w:pStyle w:val="3"/>
              <w:ind w:firstLine="0" w:firstLineChars="0"/>
              <w:rPr>
                <w:rFonts w:hAnsi="Times New Roman"/>
                <w:snapToGrid w:val="0"/>
              </w:rPr>
            </w:pPr>
            <w:r>
              <w:rPr>
                <w:rFonts w:hAnsi="Times New Roman"/>
                <w:snapToGrid w:val="0"/>
              </w:rPr>
              <w:t>账号：</w:t>
            </w:r>
          </w:p>
        </w:tc>
        <w:tc>
          <w:tcPr>
            <w:tcW w:w="284" w:type="dxa"/>
            <w:shd w:val="clear" w:color="auto" w:fill="auto"/>
            <w:vAlign w:val="center"/>
          </w:tcPr>
          <w:p>
            <w:pPr>
              <w:pStyle w:val="3"/>
              <w:ind w:firstLine="0" w:firstLineChars="0"/>
              <w:jc w:val="center"/>
              <w:rPr>
                <w:rFonts w:hAnsi="Times New Roman"/>
                <w:lang w:val="zh-CN"/>
              </w:rPr>
            </w:pPr>
          </w:p>
        </w:tc>
        <w:tc>
          <w:tcPr>
            <w:tcW w:w="4678" w:type="dxa"/>
            <w:shd w:val="clear" w:color="auto" w:fill="auto"/>
            <w:vAlign w:val="center"/>
          </w:tcPr>
          <w:p>
            <w:pPr>
              <w:pStyle w:val="3"/>
              <w:ind w:left="1200" w:hanging="1200" w:hangingChars="500"/>
              <w:rPr>
                <w:rFonts w:hAnsi="Times New Roman"/>
                <w:snapToGrid w:val="0"/>
              </w:rPr>
            </w:pPr>
            <w:r>
              <w:rPr>
                <w:rFonts w:hAnsi="Times New Roman"/>
                <w:snapToGrid w:val="0"/>
              </w:rPr>
              <w:t>账号：</w:t>
            </w:r>
          </w:p>
        </w:tc>
      </w:tr>
      <w:tr>
        <w:tblPrEx>
          <w:tblCellMar>
            <w:top w:w="0" w:type="dxa"/>
            <w:left w:w="108" w:type="dxa"/>
            <w:bottom w:w="0" w:type="dxa"/>
            <w:right w:w="108" w:type="dxa"/>
          </w:tblCellMar>
        </w:tblPrEx>
        <w:trPr>
          <w:trHeight w:val="530" w:hRule="atLeast"/>
        </w:trPr>
        <w:tc>
          <w:tcPr>
            <w:tcW w:w="4678" w:type="dxa"/>
            <w:shd w:val="clear" w:color="auto" w:fill="auto"/>
            <w:vAlign w:val="center"/>
          </w:tcPr>
          <w:p>
            <w:pPr>
              <w:pStyle w:val="3"/>
              <w:ind w:firstLine="0" w:firstLineChars="0"/>
              <w:rPr>
                <w:rFonts w:hAnsi="Times New Roman"/>
                <w:snapToGrid w:val="0"/>
              </w:rPr>
            </w:pPr>
            <w:r>
              <w:rPr>
                <w:rFonts w:hAnsi="Times New Roman"/>
                <w:snapToGrid w:val="0"/>
              </w:rPr>
              <w:t xml:space="preserve">签订时间： </w:t>
            </w:r>
            <w:r>
              <w:rPr>
                <w:rFonts w:hint="eastAsia" w:hAnsi="Times New Roman"/>
                <w:snapToGrid w:val="0"/>
              </w:rPr>
              <w:t>2023年    月     日</w:t>
            </w:r>
          </w:p>
        </w:tc>
        <w:tc>
          <w:tcPr>
            <w:tcW w:w="284" w:type="dxa"/>
            <w:shd w:val="clear" w:color="auto" w:fill="auto"/>
            <w:vAlign w:val="center"/>
          </w:tcPr>
          <w:p>
            <w:pPr>
              <w:pStyle w:val="3"/>
              <w:ind w:firstLine="0" w:firstLineChars="0"/>
              <w:jc w:val="center"/>
              <w:rPr>
                <w:rFonts w:hAnsi="Times New Roman"/>
                <w:lang w:val="zh-CN"/>
              </w:rPr>
            </w:pPr>
          </w:p>
        </w:tc>
        <w:tc>
          <w:tcPr>
            <w:tcW w:w="4678" w:type="dxa"/>
            <w:shd w:val="clear" w:color="auto" w:fill="auto"/>
            <w:vAlign w:val="center"/>
          </w:tcPr>
          <w:p>
            <w:pPr>
              <w:pStyle w:val="3"/>
              <w:ind w:left="1200" w:hanging="1200" w:hangingChars="500"/>
              <w:rPr>
                <w:rFonts w:hAnsi="Times New Roman"/>
                <w:snapToGrid w:val="0"/>
              </w:rPr>
            </w:pPr>
            <w:r>
              <w:rPr>
                <w:rFonts w:hAnsi="Times New Roman"/>
                <w:snapToGrid w:val="0"/>
              </w:rPr>
              <w:t>签订时间：</w:t>
            </w:r>
            <w:r>
              <w:rPr>
                <w:rFonts w:hint="eastAsia" w:hAnsi="Times New Roman"/>
                <w:snapToGrid w:val="0"/>
              </w:rPr>
              <w:t>2023年    月     日</w:t>
            </w:r>
          </w:p>
        </w:tc>
      </w:tr>
    </w:tbl>
    <w:p>
      <w:pPr>
        <w:adjustRightInd w:val="0"/>
        <w:snapToGrid w:val="0"/>
        <w:spacing w:line="400" w:lineRule="exact"/>
        <w:ind w:left="-178" w:leftChars="-85" w:right="-178" w:rightChars="-85" w:firstLine="480" w:firstLineChars="200"/>
        <w:rPr>
          <w:sz w:val="24"/>
        </w:rPr>
      </w:pPr>
    </w:p>
    <w:p>
      <w:pPr>
        <w:shd w:val="clear" w:color="auto" w:fill="FFFFFF"/>
        <w:adjustRightInd w:val="0"/>
        <w:spacing w:line="420" w:lineRule="exact"/>
        <w:rPr>
          <w:sz w:val="24"/>
          <w:lang w:val="zh-CN"/>
        </w:rPr>
      </w:pPr>
      <w:r>
        <w:rPr>
          <w:sz w:val="24"/>
          <w:lang w:val="zh-CN"/>
        </w:rPr>
        <w:br w:type="page"/>
      </w:r>
    </w:p>
    <w:p>
      <w:pPr>
        <w:jc w:val="center"/>
        <w:rPr>
          <w:b/>
          <w:bCs/>
          <w:snapToGrid w:val="0"/>
          <w:sz w:val="36"/>
          <w:szCs w:val="36"/>
        </w:rPr>
      </w:pPr>
      <w:r>
        <w:rPr>
          <w:b/>
          <w:bCs/>
          <w:snapToGrid w:val="0"/>
          <w:sz w:val="36"/>
          <w:szCs w:val="36"/>
        </w:rPr>
        <w:t>第二篇  专用条件</w:t>
      </w:r>
    </w:p>
    <w:p>
      <w:pPr>
        <w:rPr>
          <w:snapToGrid w:val="0"/>
        </w:rPr>
      </w:pP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本部分条款的编号与标准条件的编号相对应，是根据本合同工程的实际情况对标准条件中相对应条款进行的修改、补充或否定，其适用顺序优先于标准条件。本部分条款未阐明的内容，则按本合同其他部分的有关约定执行）</w:t>
      </w:r>
    </w:p>
    <w:p>
      <w:pPr>
        <w:topLinePunct/>
        <w:adjustRightInd w:val="0"/>
        <w:snapToGrid w:val="0"/>
        <w:spacing w:line="420" w:lineRule="exact"/>
        <w:ind w:firstLine="496" w:firstLineChars="200"/>
        <w:rPr>
          <w:bCs/>
          <w:snapToGrid w:val="0"/>
          <w:spacing w:val="4"/>
          <w:kern w:val="0"/>
          <w:sz w:val="24"/>
        </w:rPr>
      </w:pPr>
    </w:p>
    <w:p>
      <w:pPr>
        <w:topLinePunct/>
        <w:adjustRightInd w:val="0"/>
        <w:snapToGrid w:val="0"/>
        <w:spacing w:line="420" w:lineRule="exact"/>
        <w:ind w:firstLine="200"/>
        <w:jc w:val="center"/>
        <w:rPr>
          <w:b/>
          <w:bCs/>
          <w:snapToGrid w:val="0"/>
          <w:spacing w:val="4"/>
          <w:kern w:val="0"/>
          <w:sz w:val="24"/>
        </w:rPr>
      </w:pPr>
      <w:r>
        <w:rPr>
          <w:b/>
          <w:bCs/>
          <w:snapToGrid w:val="0"/>
          <w:spacing w:val="4"/>
          <w:kern w:val="0"/>
          <w:sz w:val="24"/>
        </w:rPr>
        <w:t>总  则</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1．</w:t>
      </w:r>
      <w:r>
        <w:rPr>
          <w:bCs/>
          <w:snapToGrid w:val="0"/>
          <w:spacing w:val="4"/>
          <w:kern w:val="0"/>
          <w:sz w:val="24"/>
        </w:rPr>
        <w:t>根据监理规范和建设项目管理实际，本项目将实行社会化、专业化、系统化的管理模式。发包人将授权承包人，依据有关法律、法规、政策及标准，充分行使其严格控制工程进度、质量、安全和投资的权力，充分行使工程合同、工程信息管理和协调处理现场有关工程问题的权力。</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2．</w:t>
      </w:r>
      <w:r>
        <w:rPr>
          <w:bCs/>
          <w:snapToGrid w:val="0"/>
          <w:spacing w:val="4"/>
          <w:kern w:val="0"/>
          <w:sz w:val="24"/>
        </w:rPr>
        <w:t>发包人通过承包人下达指令，监督承包人履约行为，承包人所有请求事项由承包人协调并在</w:t>
      </w:r>
      <w:r>
        <w:rPr>
          <w:snapToGrid w:val="0"/>
          <w:spacing w:val="4"/>
          <w:kern w:val="0"/>
          <w:sz w:val="24"/>
        </w:rPr>
        <w:t>一般情况下均通过承包人接受或提出处理意见</w:t>
      </w:r>
      <w:r>
        <w:rPr>
          <w:bCs/>
          <w:snapToGrid w:val="0"/>
          <w:spacing w:val="4"/>
          <w:kern w:val="0"/>
          <w:sz w:val="24"/>
        </w:rPr>
        <w:t>（发包人有特别要求和规定的除外）。</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3．</w:t>
      </w:r>
      <w:r>
        <w:rPr>
          <w:bCs/>
          <w:snapToGrid w:val="0"/>
          <w:spacing w:val="4"/>
          <w:kern w:val="0"/>
          <w:sz w:val="24"/>
        </w:rPr>
        <w:t>考虑到本项目时间相对紧张，发包人将采取较为严密的组织管理形式，承包人需投入有别于其他项目的人力、物力进行集中现场管理服务。</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4．</w:t>
      </w:r>
      <w:r>
        <w:rPr>
          <w:bCs/>
          <w:snapToGrid w:val="0"/>
          <w:spacing w:val="4"/>
          <w:kern w:val="0"/>
          <w:sz w:val="24"/>
        </w:rPr>
        <w:t>全员培训是工程管理的重要组成部分，承包人承诺按照工程推进的情况，不间断地对监理人员进行培训。</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5．</w:t>
      </w:r>
      <w:r>
        <w:rPr>
          <w:bCs/>
          <w:snapToGrid w:val="0"/>
          <w:spacing w:val="4"/>
          <w:kern w:val="0"/>
          <w:sz w:val="24"/>
        </w:rPr>
        <w:t>为保证建设项目有序、规范和顺利进行，承包人必须主动支持发包人工作，对发包人的指令和书面通知，若无正当理由又未提前报告、得到认可，而公开或变相拒不执行，由承包人按本合同</w:t>
      </w:r>
      <w:r>
        <w:rPr>
          <w:rFonts w:hint="eastAsia"/>
          <w:bCs/>
          <w:snapToGrid w:val="0"/>
          <w:spacing w:val="4"/>
          <w:kern w:val="0"/>
          <w:sz w:val="24"/>
          <w:u w:val="single"/>
        </w:rPr>
        <w:t>标准</w:t>
      </w:r>
      <w:r>
        <w:rPr>
          <w:bCs/>
          <w:snapToGrid w:val="0"/>
          <w:spacing w:val="4"/>
          <w:kern w:val="0"/>
          <w:sz w:val="24"/>
          <w:u w:val="single"/>
        </w:rPr>
        <w:t>条件第二十六条</w:t>
      </w:r>
      <w:r>
        <w:rPr>
          <w:bCs/>
          <w:snapToGrid w:val="0"/>
          <w:spacing w:val="4"/>
          <w:kern w:val="0"/>
          <w:sz w:val="24"/>
        </w:rPr>
        <w:t>的有关约定承担违约责任并赔偿由此给发包人所造成的一切损失。</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6．</w:t>
      </w:r>
      <w:r>
        <w:rPr>
          <w:bCs/>
          <w:snapToGrid w:val="0"/>
          <w:spacing w:val="4"/>
          <w:kern w:val="0"/>
          <w:sz w:val="24"/>
        </w:rPr>
        <w:t>承包人承诺遵守发包人所制订的针对本合同工程建设管理的各项制度、规定，这些管理制度、规定必须符合下列原则：</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（1）符合国家、广东省、广州市的有关法律、法规、政策和标准；</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（2）符合对本合同工程进行有效管理的基本精神和要求；</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（3）为确保工程质量、进度、安全文明及职业健康管理所必须；</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（4）不是针对某一特定的</w:t>
      </w:r>
      <w:r>
        <w:rPr>
          <w:rFonts w:hint="eastAsia"/>
          <w:bCs/>
          <w:snapToGrid w:val="0"/>
          <w:spacing w:val="4"/>
          <w:kern w:val="0"/>
          <w:sz w:val="24"/>
        </w:rPr>
        <w:t>监理</w:t>
      </w:r>
      <w:r>
        <w:rPr>
          <w:bCs/>
          <w:snapToGrid w:val="0"/>
          <w:spacing w:val="4"/>
          <w:kern w:val="0"/>
          <w:sz w:val="24"/>
        </w:rPr>
        <w:t>人或承包人。</w:t>
      </w:r>
    </w:p>
    <w:p>
      <w:pPr>
        <w:topLinePunct/>
        <w:adjustRightInd w:val="0"/>
        <w:snapToGrid w:val="0"/>
        <w:spacing w:line="480" w:lineRule="exact"/>
        <w:ind w:firstLine="498" w:firstLineChars="200"/>
        <w:rPr>
          <w:snapToGrid w:val="0"/>
          <w:spacing w:val="4"/>
          <w:kern w:val="0"/>
          <w:sz w:val="24"/>
        </w:rPr>
      </w:pPr>
      <w:r>
        <w:rPr>
          <w:b/>
          <w:bCs/>
          <w:snapToGrid w:val="0"/>
          <w:spacing w:val="4"/>
          <w:kern w:val="0"/>
          <w:sz w:val="24"/>
        </w:rPr>
        <w:t>第一条</w:t>
      </w:r>
      <w:r>
        <w:rPr>
          <w:snapToGrid w:val="0"/>
          <w:spacing w:val="4"/>
          <w:kern w:val="0"/>
          <w:sz w:val="24"/>
        </w:rPr>
        <w:t>　</w:t>
      </w:r>
      <w:r>
        <w:rPr>
          <w:b/>
          <w:bCs/>
          <w:snapToGrid w:val="0"/>
          <w:spacing w:val="4"/>
          <w:kern w:val="0"/>
          <w:sz w:val="24"/>
        </w:rPr>
        <w:t>词语定义</w:t>
      </w:r>
    </w:p>
    <w:p>
      <w:pPr>
        <w:topLinePunct/>
        <w:adjustRightInd w:val="0"/>
        <w:snapToGrid w:val="0"/>
        <w:spacing w:line="480" w:lineRule="exact"/>
        <w:ind w:firstLine="496" w:firstLineChars="200"/>
        <w:rPr>
          <w:snapToGrid w:val="0"/>
          <w:spacing w:val="4"/>
          <w:kern w:val="0"/>
          <w:sz w:val="24"/>
        </w:rPr>
      </w:pPr>
      <w:r>
        <w:rPr>
          <w:snapToGrid w:val="0"/>
          <w:spacing w:val="4"/>
          <w:kern w:val="0"/>
          <w:sz w:val="24"/>
        </w:rPr>
        <w:t>（1）“本合同工程”指发包人委托承包人监理的工程。</w:t>
      </w:r>
    </w:p>
    <w:p>
      <w:pPr>
        <w:topLinePunct/>
        <w:adjustRightInd w:val="0"/>
        <w:snapToGrid w:val="0"/>
        <w:spacing w:line="480" w:lineRule="exact"/>
        <w:ind w:firstLine="496" w:firstLineChars="200"/>
        <w:rPr>
          <w:snapToGrid w:val="0"/>
          <w:spacing w:val="4"/>
          <w:kern w:val="0"/>
          <w:sz w:val="24"/>
        </w:rPr>
      </w:pPr>
      <w:r>
        <w:rPr>
          <w:snapToGrid w:val="0"/>
          <w:spacing w:val="4"/>
          <w:kern w:val="0"/>
          <w:sz w:val="24"/>
        </w:rPr>
        <w:t>（2）“发包人”</w:t>
      </w:r>
    </w:p>
    <w:p>
      <w:pPr>
        <w:topLinePunct/>
        <w:adjustRightInd w:val="0"/>
        <w:snapToGrid w:val="0"/>
        <w:spacing w:line="480" w:lineRule="exact"/>
        <w:ind w:firstLine="496" w:firstLineChars="200"/>
        <w:rPr>
          <w:snapToGrid w:val="0"/>
          <w:spacing w:val="4"/>
          <w:kern w:val="0"/>
          <w:sz w:val="24"/>
        </w:rPr>
      </w:pPr>
      <w:r>
        <w:rPr>
          <w:bCs/>
          <w:snapToGrid w:val="0"/>
          <w:spacing w:val="4"/>
          <w:kern w:val="0"/>
          <w:sz w:val="24"/>
        </w:rPr>
        <w:t>1）</w:t>
      </w:r>
      <w:r>
        <w:rPr>
          <w:snapToGrid w:val="0"/>
          <w:spacing w:val="4"/>
          <w:kern w:val="0"/>
          <w:sz w:val="24"/>
        </w:rPr>
        <w:t>“发包人”在本合同中特指</w:t>
      </w:r>
      <w:r>
        <w:rPr>
          <w:b/>
          <w:sz w:val="24"/>
          <w:u w:val="single"/>
        </w:rPr>
        <w:t>广州市花都区公共建设项目管理中心</w:t>
      </w:r>
      <w:r>
        <w:rPr>
          <w:snapToGrid w:val="0"/>
          <w:spacing w:val="4"/>
          <w:kern w:val="0"/>
          <w:sz w:val="24"/>
        </w:rPr>
        <w:t>。</w:t>
      </w:r>
    </w:p>
    <w:p>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合法继承人”指工程竣工验收合格后，发包人依据</w:t>
      </w:r>
      <w:r>
        <w:rPr>
          <w:snapToGrid w:val="0"/>
          <w:spacing w:val="4"/>
          <w:kern w:val="0"/>
          <w:sz w:val="24"/>
          <w:u w:val="single"/>
        </w:rPr>
        <w:t xml:space="preserve">  广州市花都区  </w:t>
      </w:r>
      <w:r>
        <w:rPr>
          <w:snapToGrid w:val="0"/>
          <w:spacing w:val="4"/>
          <w:kern w:val="0"/>
          <w:sz w:val="24"/>
        </w:rPr>
        <w:t>政府的规定，将工程移交给其承接使用的产权管理单位。在继承生效后，合法继承人享有发包人在本合同中的一切权利及承担相应的义务。</w:t>
      </w:r>
    </w:p>
    <w:p>
      <w:pPr>
        <w:topLinePunct/>
        <w:adjustRightInd w:val="0"/>
        <w:snapToGrid w:val="0"/>
        <w:spacing w:line="480" w:lineRule="exact"/>
        <w:ind w:firstLine="496" w:firstLineChars="200"/>
        <w:rPr>
          <w:snapToGrid w:val="0"/>
          <w:spacing w:val="4"/>
          <w:kern w:val="0"/>
          <w:sz w:val="24"/>
        </w:rPr>
      </w:pPr>
      <w:r>
        <w:rPr>
          <w:snapToGrid w:val="0"/>
          <w:spacing w:val="4"/>
          <w:kern w:val="0"/>
          <w:sz w:val="24"/>
        </w:rPr>
        <w:t>（6）“承包人”是指除</w:t>
      </w:r>
      <w:r>
        <w:rPr>
          <w:rFonts w:hint="eastAsia"/>
          <w:snapToGrid w:val="0"/>
          <w:spacing w:val="4"/>
          <w:kern w:val="0"/>
          <w:sz w:val="24"/>
        </w:rPr>
        <w:t>监理</w:t>
      </w:r>
      <w:r>
        <w:rPr>
          <w:snapToGrid w:val="0"/>
          <w:spacing w:val="4"/>
          <w:kern w:val="0"/>
          <w:sz w:val="24"/>
        </w:rPr>
        <w:t>人以外，与发包人就工程建设有关事宜签订合同的当事人。</w:t>
      </w:r>
    </w:p>
    <w:p>
      <w:pPr>
        <w:topLinePunct/>
        <w:adjustRightInd w:val="0"/>
        <w:snapToGrid w:val="0"/>
        <w:spacing w:line="480" w:lineRule="exact"/>
        <w:ind w:firstLine="496" w:firstLineChars="200"/>
        <w:rPr>
          <w:snapToGrid w:val="0"/>
          <w:spacing w:val="4"/>
          <w:kern w:val="0"/>
          <w:sz w:val="24"/>
        </w:rPr>
      </w:pPr>
      <w:r>
        <w:rPr>
          <w:snapToGrid w:val="0"/>
          <w:spacing w:val="4"/>
          <w:kern w:val="0"/>
          <w:sz w:val="24"/>
        </w:rPr>
        <w:t>（12）“监理工程师”指取得国家监理工程师执业资格证书并经注册的监理人员。</w:t>
      </w:r>
    </w:p>
    <w:p>
      <w:pPr>
        <w:topLinePunct/>
        <w:adjustRightInd w:val="0"/>
        <w:snapToGrid w:val="0"/>
        <w:spacing w:line="480" w:lineRule="exact"/>
        <w:ind w:firstLine="496" w:firstLineChars="200"/>
        <w:rPr>
          <w:snapToGrid w:val="0"/>
          <w:spacing w:val="4"/>
          <w:kern w:val="0"/>
          <w:sz w:val="24"/>
        </w:rPr>
      </w:pPr>
      <w:r>
        <w:rPr>
          <w:snapToGrid w:val="0"/>
          <w:spacing w:val="4"/>
          <w:kern w:val="0"/>
          <w:sz w:val="24"/>
        </w:rPr>
        <w:t>（13）“专业监理工程师” 指取得国家各专业监理工程师执业资格证书并经注册的监理人员，如：土建专业监理工程师、机电专业监理工程师、道路专业监理工程师、桥梁专业监理工程师等，负责实施某一专业监理工作，具有相应监理文件签发权的专业监理工程师。</w:t>
      </w:r>
    </w:p>
    <w:p>
      <w:pPr>
        <w:topLinePunct/>
        <w:adjustRightInd w:val="0"/>
        <w:snapToGrid w:val="0"/>
        <w:spacing w:line="480" w:lineRule="exact"/>
        <w:ind w:firstLine="496" w:firstLineChars="200"/>
        <w:rPr>
          <w:snapToGrid w:val="0"/>
          <w:spacing w:val="4"/>
          <w:kern w:val="0"/>
          <w:sz w:val="24"/>
        </w:rPr>
      </w:pPr>
      <w:r>
        <w:rPr>
          <w:snapToGrid w:val="0"/>
          <w:spacing w:val="4"/>
          <w:kern w:val="0"/>
          <w:sz w:val="24"/>
        </w:rPr>
        <w:t>（14）“监理员”指经过监理业务培训，具有同类工程相关专业知识，从事具体监理工作的监理人员。</w:t>
      </w:r>
    </w:p>
    <w:p>
      <w:pPr>
        <w:topLinePunct/>
        <w:adjustRightInd w:val="0"/>
        <w:snapToGrid w:val="0"/>
        <w:spacing w:line="480" w:lineRule="exact"/>
        <w:ind w:firstLine="496" w:firstLineChars="200"/>
        <w:rPr>
          <w:snapToGrid w:val="0"/>
          <w:spacing w:val="4"/>
          <w:kern w:val="0"/>
          <w:sz w:val="24"/>
        </w:rPr>
      </w:pPr>
      <w:r>
        <w:rPr>
          <w:snapToGrid w:val="0"/>
          <w:spacing w:val="4"/>
          <w:kern w:val="0"/>
          <w:sz w:val="24"/>
        </w:rPr>
        <w:t>（15）“监理规划”指在总监理工程师的主持下编制、经承包人技术负责人批准，用来指导项目监理机构全面开展监理工作的指导性文件。</w:t>
      </w:r>
    </w:p>
    <w:p>
      <w:pPr>
        <w:topLinePunct/>
        <w:adjustRightInd w:val="0"/>
        <w:snapToGrid w:val="0"/>
        <w:spacing w:line="480" w:lineRule="exact"/>
        <w:rPr>
          <w:snapToGrid w:val="0"/>
          <w:spacing w:val="4"/>
          <w:kern w:val="0"/>
          <w:sz w:val="24"/>
        </w:rPr>
      </w:pPr>
      <w:r>
        <w:rPr>
          <w:snapToGrid w:val="0"/>
          <w:spacing w:val="4"/>
          <w:kern w:val="0"/>
          <w:sz w:val="24"/>
        </w:rPr>
        <w:t xml:space="preserve">   （16）“监理实施细则”指根据监理规划，由专业监理工程师编写，并经总监理工程师批准，针对工程项目中某一专业或某一方面监理工作的操作性文件。</w:t>
      </w:r>
    </w:p>
    <w:p>
      <w:pPr>
        <w:topLinePunct/>
        <w:adjustRightInd w:val="0"/>
        <w:snapToGrid w:val="0"/>
        <w:spacing w:line="480" w:lineRule="exact"/>
        <w:ind w:firstLine="496" w:firstLineChars="200"/>
        <w:rPr>
          <w:snapToGrid w:val="0"/>
          <w:spacing w:val="4"/>
          <w:kern w:val="0"/>
          <w:sz w:val="24"/>
        </w:rPr>
      </w:pPr>
      <w:r>
        <w:rPr>
          <w:snapToGrid w:val="0"/>
          <w:spacing w:val="4"/>
          <w:kern w:val="0"/>
          <w:sz w:val="24"/>
        </w:rPr>
        <w:t>（17）“工地例会”指由项目监理机构主持的，在工程实施过程中针对工程质量、造价、进度、合同管理等事宜定期召开的，由有关单位参加的会议。</w:t>
      </w:r>
    </w:p>
    <w:p>
      <w:pPr>
        <w:topLinePunct/>
        <w:adjustRightInd w:val="0"/>
        <w:snapToGrid w:val="0"/>
        <w:spacing w:line="480" w:lineRule="exact"/>
        <w:rPr>
          <w:snapToGrid w:val="0"/>
          <w:spacing w:val="4"/>
          <w:kern w:val="0"/>
          <w:sz w:val="24"/>
        </w:rPr>
      </w:pPr>
      <w:r>
        <w:rPr>
          <w:snapToGrid w:val="0"/>
          <w:spacing w:val="4"/>
          <w:kern w:val="0"/>
          <w:sz w:val="24"/>
        </w:rPr>
        <w:t xml:space="preserve">   （18）“工程变更”指在工程项目实施过程中，按照合同约定的程序对部分或全部工程在材料、工艺、功能、构造、尺寸、技术指标、工程数量及施工方法等方面做出的改变。</w:t>
      </w:r>
    </w:p>
    <w:p>
      <w:pPr>
        <w:topLinePunct/>
        <w:adjustRightInd w:val="0"/>
        <w:snapToGrid w:val="0"/>
        <w:spacing w:line="480" w:lineRule="exact"/>
        <w:rPr>
          <w:snapToGrid w:val="0"/>
          <w:spacing w:val="4"/>
          <w:kern w:val="0"/>
          <w:sz w:val="24"/>
        </w:rPr>
      </w:pPr>
      <w:r>
        <w:rPr>
          <w:snapToGrid w:val="0"/>
          <w:spacing w:val="4"/>
          <w:kern w:val="0"/>
          <w:sz w:val="24"/>
        </w:rPr>
        <w:t xml:space="preserve">   （19）“工程计量”指根据设计文件及承包合同中关于工程量计算的规定，项目监理机构对承包人申报的已完成工程的工程量进行的核验。</w:t>
      </w:r>
    </w:p>
    <w:p>
      <w:pPr>
        <w:topLinePunct/>
        <w:adjustRightInd w:val="0"/>
        <w:snapToGrid w:val="0"/>
        <w:spacing w:line="480" w:lineRule="exact"/>
        <w:rPr>
          <w:snapToGrid w:val="0"/>
          <w:spacing w:val="4"/>
          <w:kern w:val="0"/>
          <w:sz w:val="24"/>
        </w:rPr>
      </w:pPr>
      <w:r>
        <w:rPr>
          <w:snapToGrid w:val="0"/>
          <w:spacing w:val="4"/>
          <w:kern w:val="0"/>
          <w:sz w:val="24"/>
        </w:rPr>
        <w:t xml:space="preserve">   （20）“见证”指由监理人员现场监督某工序全过程完成情况的活动。</w:t>
      </w:r>
    </w:p>
    <w:p>
      <w:pPr>
        <w:topLinePunct/>
        <w:adjustRightInd w:val="0"/>
        <w:snapToGrid w:val="0"/>
        <w:spacing w:line="480" w:lineRule="exact"/>
        <w:rPr>
          <w:snapToGrid w:val="0"/>
          <w:spacing w:val="4"/>
          <w:kern w:val="0"/>
          <w:sz w:val="24"/>
        </w:rPr>
      </w:pPr>
      <w:r>
        <w:rPr>
          <w:snapToGrid w:val="0"/>
          <w:spacing w:val="4"/>
          <w:kern w:val="0"/>
          <w:sz w:val="24"/>
        </w:rPr>
        <w:t xml:space="preserve">   （21）“旁站”指在关键部位或关键工序施工过程中，由监理人员在现场进行的监督活动。</w:t>
      </w:r>
    </w:p>
    <w:p>
      <w:pPr>
        <w:topLinePunct/>
        <w:adjustRightInd w:val="0"/>
        <w:snapToGrid w:val="0"/>
        <w:spacing w:line="480" w:lineRule="exact"/>
        <w:rPr>
          <w:snapToGrid w:val="0"/>
          <w:spacing w:val="4"/>
          <w:kern w:val="0"/>
          <w:sz w:val="24"/>
        </w:rPr>
      </w:pPr>
      <w:r>
        <w:rPr>
          <w:snapToGrid w:val="0"/>
          <w:spacing w:val="4"/>
          <w:kern w:val="0"/>
          <w:sz w:val="24"/>
        </w:rPr>
        <w:t xml:space="preserve">   （22）“巡视”指对正在施工的部位或工序在现场进行的定期或不定期的监督活动。</w:t>
      </w:r>
    </w:p>
    <w:p>
      <w:pPr>
        <w:topLinePunct/>
        <w:adjustRightInd w:val="0"/>
        <w:snapToGrid w:val="0"/>
        <w:spacing w:line="480" w:lineRule="exact"/>
        <w:rPr>
          <w:snapToGrid w:val="0"/>
          <w:spacing w:val="4"/>
          <w:kern w:val="0"/>
          <w:sz w:val="24"/>
        </w:rPr>
      </w:pPr>
      <w:r>
        <w:rPr>
          <w:snapToGrid w:val="0"/>
          <w:spacing w:val="4"/>
          <w:kern w:val="0"/>
          <w:sz w:val="24"/>
        </w:rPr>
        <w:t xml:space="preserve">   （23）“平行检验”指项目监理机构利用一定的检查或检测手段，在承包人自检的基础上，按照一定的比例独立进行检查或检测的活动。</w:t>
      </w:r>
    </w:p>
    <w:p>
      <w:pPr>
        <w:topLinePunct/>
        <w:adjustRightInd w:val="0"/>
        <w:snapToGrid w:val="0"/>
        <w:spacing w:line="480" w:lineRule="exact"/>
        <w:rPr>
          <w:snapToGrid w:val="0"/>
          <w:spacing w:val="4"/>
          <w:kern w:val="0"/>
          <w:sz w:val="24"/>
        </w:rPr>
      </w:pPr>
      <w:r>
        <w:rPr>
          <w:snapToGrid w:val="0"/>
          <w:spacing w:val="4"/>
          <w:kern w:val="0"/>
          <w:sz w:val="24"/>
        </w:rPr>
        <w:t xml:space="preserve">   （24）“设备监造”指承包人依据委托监理合同和设备订货合同对设备制造过程进行的监督活动。</w:t>
      </w:r>
    </w:p>
    <w:p>
      <w:pPr>
        <w:topLinePunct/>
        <w:adjustRightInd w:val="0"/>
        <w:snapToGrid w:val="0"/>
        <w:spacing w:line="480" w:lineRule="exact"/>
        <w:rPr>
          <w:snapToGrid w:val="0"/>
          <w:spacing w:val="4"/>
          <w:kern w:val="0"/>
          <w:sz w:val="24"/>
        </w:rPr>
      </w:pPr>
      <w:r>
        <w:rPr>
          <w:snapToGrid w:val="0"/>
          <w:spacing w:val="4"/>
          <w:kern w:val="0"/>
          <w:sz w:val="24"/>
        </w:rPr>
        <w:t xml:space="preserve">   （25）“费用索赔”指根据承包合同的约定，合同一方因另一方原因造成本方经济损失，通过监理工程师向对方索取费用的活动。</w:t>
      </w:r>
    </w:p>
    <w:p>
      <w:pPr>
        <w:topLinePunct/>
        <w:adjustRightInd w:val="0"/>
        <w:snapToGrid w:val="0"/>
        <w:spacing w:line="480" w:lineRule="exact"/>
        <w:ind w:firstLine="496" w:firstLineChars="200"/>
        <w:rPr>
          <w:snapToGrid w:val="0"/>
          <w:spacing w:val="4"/>
          <w:kern w:val="0"/>
          <w:sz w:val="24"/>
        </w:rPr>
      </w:pPr>
      <w:r>
        <w:rPr>
          <w:snapToGrid w:val="0"/>
          <w:spacing w:val="4"/>
          <w:kern w:val="0"/>
          <w:sz w:val="24"/>
        </w:rPr>
        <w:t>（26）“临时延期批准”是指当发生非承包人原因造成的持续性影响工期的事件，总监理工程师所作出暂时延长合同工期的批准。</w:t>
      </w:r>
    </w:p>
    <w:p>
      <w:pPr>
        <w:topLinePunct/>
        <w:adjustRightInd w:val="0"/>
        <w:snapToGrid w:val="0"/>
        <w:spacing w:line="480" w:lineRule="exact"/>
        <w:rPr>
          <w:snapToGrid w:val="0"/>
          <w:spacing w:val="4"/>
          <w:kern w:val="0"/>
          <w:sz w:val="24"/>
        </w:rPr>
      </w:pPr>
      <w:r>
        <w:rPr>
          <w:snapToGrid w:val="0"/>
          <w:spacing w:val="4"/>
          <w:kern w:val="0"/>
          <w:sz w:val="24"/>
        </w:rPr>
        <w:t xml:space="preserve">   （27）“延期批准”指当发生非承包人原因造成的持续性影响工期事件，总监理工程师所作出的最终延长合同工期的批准。</w:t>
      </w:r>
    </w:p>
    <w:p>
      <w:pPr>
        <w:topLinePunct/>
        <w:adjustRightInd w:val="0"/>
        <w:snapToGrid w:val="0"/>
        <w:spacing w:line="480" w:lineRule="exact"/>
        <w:rPr>
          <w:snapToGrid w:val="0"/>
          <w:spacing w:val="4"/>
          <w:kern w:val="0"/>
          <w:sz w:val="24"/>
        </w:rPr>
      </w:pPr>
      <w:r>
        <w:rPr>
          <w:snapToGrid w:val="0"/>
          <w:spacing w:val="4"/>
          <w:kern w:val="0"/>
          <w:sz w:val="24"/>
        </w:rPr>
        <w:t xml:space="preserve">   （28）“节点工期”指在经发包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pPr>
        <w:topLinePunct/>
        <w:adjustRightInd w:val="0"/>
        <w:snapToGrid w:val="0"/>
        <w:spacing w:line="480" w:lineRule="exact"/>
        <w:rPr>
          <w:snapToGrid w:val="0"/>
          <w:spacing w:val="4"/>
          <w:kern w:val="0"/>
          <w:sz w:val="24"/>
        </w:rPr>
      </w:pPr>
      <w:r>
        <w:rPr>
          <w:snapToGrid w:val="0"/>
          <w:spacing w:val="4"/>
          <w:kern w:val="0"/>
          <w:sz w:val="24"/>
        </w:rPr>
        <w:t xml:space="preserve">   （29）“通知”指合同中所提及的各方之间传达意思表示的方式，包括但不限于申请、报告、同意、答复、批准、指令、证书、决定，等等。除本合同专用条件有特别约定外，只有采用书面形式的通知才有效。</w:t>
      </w:r>
    </w:p>
    <w:p>
      <w:pPr>
        <w:topLinePunct/>
        <w:adjustRightInd w:val="0"/>
        <w:snapToGrid w:val="0"/>
        <w:spacing w:line="480" w:lineRule="exact"/>
        <w:ind w:firstLine="496" w:firstLineChars="200"/>
        <w:rPr>
          <w:snapToGrid w:val="0"/>
          <w:spacing w:val="4"/>
          <w:kern w:val="0"/>
          <w:sz w:val="24"/>
        </w:rPr>
      </w:pPr>
      <w:r>
        <w:rPr>
          <w:snapToGrid w:val="0"/>
          <w:spacing w:val="4"/>
          <w:kern w:val="0"/>
          <w:sz w:val="24"/>
        </w:rPr>
        <w:t>（30）“</w:t>
      </w:r>
      <w:r>
        <w:rPr>
          <w:snapToGrid w:val="0"/>
          <w:spacing w:val="4"/>
          <w:kern w:val="0"/>
          <w:sz w:val="23"/>
          <w:szCs w:val="23"/>
        </w:rPr>
        <w:t>生产安全事故</w:t>
      </w:r>
      <w:r>
        <w:rPr>
          <w:snapToGrid w:val="0"/>
          <w:spacing w:val="4"/>
          <w:kern w:val="0"/>
          <w:sz w:val="24"/>
        </w:rPr>
        <w:t>”指在工程建设过程中由于责任过失造成工程倒塌或报废、机械设备毁坏和安全设施失当等原因造成人身伤亡或者重大经济损失的事故。分为：</w:t>
      </w:r>
    </w:p>
    <w:p>
      <w:pPr>
        <w:topLinePunct/>
        <w:adjustRightInd w:val="0"/>
        <w:snapToGrid w:val="0"/>
        <w:spacing w:line="480" w:lineRule="exact"/>
        <w:ind w:firstLine="496" w:firstLineChars="200"/>
        <w:rPr>
          <w:snapToGrid w:val="0"/>
          <w:spacing w:val="4"/>
          <w:kern w:val="0"/>
          <w:sz w:val="24"/>
        </w:rPr>
      </w:pPr>
      <w:r>
        <w:rPr>
          <w:snapToGrid w:val="0"/>
          <w:spacing w:val="4"/>
          <w:kern w:val="0"/>
          <w:sz w:val="24"/>
        </w:rPr>
        <w:t>1）特别重大事故，是指造成30人以上死亡，或者100人以上重伤（包括急性工业中毒，下同），或者1亿元以上直接经济损失的事故；</w:t>
      </w:r>
    </w:p>
    <w:p>
      <w:pPr>
        <w:topLinePunct/>
        <w:adjustRightInd w:val="0"/>
        <w:snapToGrid w:val="0"/>
        <w:spacing w:line="480" w:lineRule="exact"/>
        <w:ind w:firstLine="496" w:firstLineChars="200"/>
        <w:rPr>
          <w:snapToGrid w:val="0"/>
          <w:spacing w:val="4"/>
          <w:kern w:val="0"/>
          <w:sz w:val="24"/>
        </w:rPr>
      </w:pPr>
      <w:r>
        <w:rPr>
          <w:snapToGrid w:val="0"/>
          <w:spacing w:val="4"/>
          <w:kern w:val="0"/>
          <w:sz w:val="24"/>
        </w:rPr>
        <w:t>2）重大事故，是指造成10人以上30人以下死亡，或者50人以上100人以下重伤，或者5000万元以上1亿元以下直接经济损失的事故；</w:t>
      </w:r>
    </w:p>
    <w:p>
      <w:pPr>
        <w:topLinePunct/>
        <w:adjustRightInd w:val="0"/>
        <w:snapToGrid w:val="0"/>
        <w:spacing w:line="480" w:lineRule="exact"/>
        <w:ind w:firstLine="496" w:firstLineChars="200"/>
        <w:rPr>
          <w:snapToGrid w:val="0"/>
          <w:spacing w:val="4"/>
          <w:kern w:val="0"/>
          <w:sz w:val="24"/>
        </w:rPr>
      </w:pPr>
      <w:r>
        <w:rPr>
          <w:snapToGrid w:val="0"/>
          <w:spacing w:val="4"/>
          <w:kern w:val="0"/>
          <w:sz w:val="24"/>
        </w:rPr>
        <w:t>3）较大事故，是指造成3人以上10人以下死亡，或者10人以上50人以下重伤，或者1000万元以上5000万元以下直接经济损失的事故；</w:t>
      </w:r>
    </w:p>
    <w:p>
      <w:pPr>
        <w:topLinePunct/>
        <w:adjustRightInd w:val="0"/>
        <w:snapToGrid w:val="0"/>
        <w:spacing w:line="480" w:lineRule="exact"/>
        <w:ind w:firstLine="496" w:firstLineChars="200"/>
        <w:rPr>
          <w:snapToGrid w:val="0"/>
          <w:spacing w:val="4"/>
          <w:kern w:val="0"/>
          <w:sz w:val="24"/>
        </w:rPr>
      </w:pPr>
      <w:r>
        <w:rPr>
          <w:snapToGrid w:val="0"/>
          <w:spacing w:val="4"/>
          <w:kern w:val="0"/>
          <w:sz w:val="24"/>
        </w:rPr>
        <w:t>4）一般事故，是指造成3人以下死亡，或者10人以下重伤，或者1000万元以下直接经济损失的事故。</w:t>
      </w:r>
    </w:p>
    <w:p>
      <w:pPr>
        <w:topLinePunct/>
        <w:adjustRightInd w:val="0"/>
        <w:snapToGrid w:val="0"/>
        <w:spacing w:line="480" w:lineRule="exact"/>
        <w:ind w:firstLine="496" w:firstLineChars="200"/>
        <w:rPr>
          <w:bCs/>
          <w:snapToGrid w:val="0"/>
          <w:spacing w:val="4"/>
          <w:kern w:val="0"/>
          <w:sz w:val="24"/>
        </w:rPr>
      </w:pPr>
      <w:r>
        <w:rPr>
          <w:snapToGrid w:val="0"/>
          <w:spacing w:val="4"/>
          <w:kern w:val="0"/>
          <w:sz w:val="24"/>
        </w:rPr>
        <w:t>本项所称的“以上”包括本数，所称的“以下”不包括本数。</w:t>
      </w:r>
    </w:p>
    <w:p>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（31）“质量事故”指因质量原因导致损失或造成人身伤亡的事故。</w:t>
      </w:r>
    </w:p>
    <w:p>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（32）“元”指人民币元。</w:t>
      </w:r>
    </w:p>
    <w:p>
      <w:pPr>
        <w:topLinePunct/>
        <w:adjustRightInd w:val="0"/>
        <w:snapToGrid w:val="0"/>
        <w:spacing w:line="480" w:lineRule="exact"/>
        <w:rPr>
          <w:bCs/>
          <w:snapToGrid w:val="0"/>
          <w:spacing w:val="4"/>
          <w:kern w:val="0"/>
          <w:sz w:val="24"/>
        </w:rPr>
      </w:pPr>
      <w:r>
        <w:rPr>
          <w:bCs/>
          <w:snapToGrid w:val="0"/>
          <w:spacing w:val="4"/>
          <w:kern w:val="0"/>
          <w:sz w:val="24"/>
        </w:rPr>
        <w:t xml:space="preserve">   （33）“委托管理单位”指受发包人委托对本合同工程建设进行管理的单位，包括承包人和技术督导单位、</w:t>
      </w:r>
      <w:r>
        <w:rPr>
          <w:snapToGrid w:val="0"/>
          <w:spacing w:val="4"/>
          <w:kern w:val="0"/>
          <w:sz w:val="24"/>
        </w:rPr>
        <w:t>材料设备管理服务单位</w:t>
      </w:r>
      <w:r>
        <w:rPr>
          <w:bCs/>
          <w:snapToGrid w:val="0"/>
          <w:spacing w:val="4"/>
          <w:kern w:val="0"/>
          <w:sz w:val="24"/>
        </w:rPr>
        <w:t>等。</w:t>
      </w:r>
    </w:p>
    <w:p>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（34）“保证人”指按本合同专用条件第4.11款约定向发包人提交承包人履约银行保函的机构。</w:t>
      </w:r>
    </w:p>
    <w:p>
      <w:pPr>
        <w:topLinePunct/>
        <w:adjustRightInd w:val="0"/>
        <w:snapToGrid w:val="0"/>
        <w:spacing w:line="480" w:lineRule="exact"/>
        <w:rPr>
          <w:snapToGrid w:val="0"/>
          <w:spacing w:val="4"/>
          <w:kern w:val="0"/>
          <w:sz w:val="24"/>
        </w:rPr>
      </w:pPr>
      <w:r>
        <w:rPr>
          <w:bCs/>
          <w:snapToGrid w:val="0"/>
          <w:spacing w:val="4"/>
          <w:kern w:val="0"/>
          <w:sz w:val="24"/>
        </w:rPr>
        <w:t xml:space="preserve">   （35）“发包人监理代表”指按本合同专用条件第3.2.1-（16）项的约定，</w:t>
      </w:r>
      <w:r>
        <w:rPr>
          <w:snapToGrid w:val="0"/>
          <w:spacing w:val="4"/>
          <w:kern w:val="0"/>
          <w:sz w:val="24"/>
        </w:rPr>
        <w:t>为加强发包人与承包人的沟通与协调，由发包人另行指定的，常驻项目监理机构、监督并协助项目监理机构工作的一名专业工程师。</w:t>
      </w:r>
    </w:p>
    <w:p>
      <w:pPr>
        <w:topLinePunct/>
        <w:adjustRightInd w:val="0"/>
        <w:snapToGrid w:val="0"/>
        <w:spacing w:line="480" w:lineRule="exact"/>
        <w:rPr>
          <w:bCs/>
          <w:snapToGrid w:val="0"/>
          <w:spacing w:val="4"/>
          <w:kern w:val="0"/>
          <w:sz w:val="24"/>
        </w:rPr>
      </w:pPr>
      <w:r>
        <w:rPr>
          <w:bCs/>
          <w:snapToGrid w:val="0"/>
          <w:spacing w:val="4"/>
          <w:kern w:val="0"/>
          <w:sz w:val="24"/>
        </w:rPr>
        <w:t xml:space="preserve">   （36）“施工准备阶段”指自承包人接到入场通知开始，至本合同工程正式开工止，承包人在此期间应完成熟悉设计文件、参加设计技术交底、参加图纸会审、提交监理规划等监理工作。</w:t>
      </w:r>
    </w:p>
    <w:p>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（37）“施工阶段”指自本合同工程主体工程正式开工开始，至本合同工程具备竣工条件后止，承包人在此期间应负责实施本合同工程的工程质量控制、工程造价控制、工程职业健康安全控制、</w:t>
      </w:r>
      <w:r>
        <w:rPr>
          <w:sz w:val="24"/>
          <w:lang w:bidi="ar"/>
        </w:rPr>
        <w:t>设计变更管理、</w:t>
      </w:r>
      <w:r>
        <w:rPr>
          <w:bCs/>
          <w:snapToGrid w:val="0"/>
          <w:spacing w:val="4"/>
          <w:kern w:val="0"/>
          <w:sz w:val="24"/>
        </w:rPr>
        <w:t>工程合同管理、工程信息管理等监理工作。</w:t>
      </w:r>
    </w:p>
    <w:p>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（38）“工程收尾阶段”指自本项目工程具备竣工条件直至本合同工程结算工作全部完成结束，承包人在此期间组织实施本合同工程的竣工验收、工程项目整改、工程移交、工程结算等监理工作。</w:t>
      </w:r>
    </w:p>
    <w:p>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（39）“工程质量保修阶段”指自本工程项目质量保修期开始，直至本工程项目质量保修期结束，承包人在此期间应负责本合同工程质量保修相关的监理工作。</w:t>
      </w:r>
    </w:p>
    <w:p>
      <w:pPr>
        <w:topLinePunct/>
        <w:adjustRightInd w:val="0"/>
        <w:snapToGrid w:val="0"/>
        <w:spacing w:line="420" w:lineRule="exact"/>
        <w:ind w:firstLine="498" w:firstLineChars="200"/>
        <w:rPr>
          <w:b/>
          <w:snapToGrid w:val="0"/>
          <w:spacing w:val="4"/>
          <w:kern w:val="0"/>
          <w:sz w:val="24"/>
        </w:rPr>
      </w:pPr>
      <w:r>
        <w:rPr>
          <w:b/>
          <w:bCs/>
          <w:snapToGrid w:val="0"/>
          <w:spacing w:val="4"/>
          <w:kern w:val="0"/>
          <w:sz w:val="24"/>
        </w:rPr>
        <w:t>第二条</w:t>
      </w:r>
      <w:r>
        <w:rPr>
          <w:b/>
          <w:snapToGrid w:val="0"/>
          <w:spacing w:val="4"/>
          <w:kern w:val="0"/>
          <w:sz w:val="24"/>
        </w:rPr>
        <w:t>　本合同适用的法律法规及监理依据</w:t>
      </w:r>
    </w:p>
    <w:p>
      <w:pPr>
        <w:topLinePunct/>
        <w:adjustRightInd w:val="0"/>
        <w:snapToGrid w:val="0"/>
        <w:spacing w:line="420" w:lineRule="exact"/>
        <w:ind w:firstLine="496" w:firstLineChars="200"/>
        <w:rPr>
          <w:bCs/>
          <w:snapToGrid w:val="0"/>
          <w:spacing w:val="4"/>
          <w:kern w:val="0"/>
          <w:sz w:val="24"/>
        </w:rPr>
      </w:pPr>
      <w:r>
        <w:rPr>
          <w:snapToGrid w:val="0"/>
          <w:spacing w:val="4"/>
          <w:kern w:val="0"/>
          <w:sz w:val="24"/>
        </w:rPr>
        <w:t>（1）中华人民共和国的法律、法规、本合同约定的部门规章及工程所在地的地方法规和规章；</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（2）《建设工程监理规范》（GB/T50319—2013）；</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（3）国家和地方现行的建设工程质量评定标准、设计及施工验收规范；</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（4）经批准的施工图纸及说明，以及经图纸会审确定的修改设计通知书；</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（5）本合同工程的设计、施工、安装、招投标文件及合同；</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（6）发包人发出的有关本合同工程建设的指令；</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（7）发包人制定的有关本合同工程建设的管理制度。</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第三条　监理工作内容、项目监理机构及监理人员</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  监理服务工作内容</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3.1.1  建设工程监理一般规定</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（1）实行总监理工程师负责制。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（2）承包人应公正、独立、自主地开展监理工作，维护发包人和承包人的合法权益。</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（3）建设工程监理除应符合《建设工程监理规范》（GB/T50319—2013）外，还应符合国家现行的有关强制性标准、规范的规定。</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3.1.2  项目前期策划及征拆配合的监理工作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（1）前期策划阶段监理编制前期策划书。</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（2）承包人安排专人配合发包人配合征拆工作，并提供交通工具。</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（3）承包人安排专人配合发包人报建工作。</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3.1.3  勘察设计阶段的监理工作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（1）在勘察阶段中，承包人审核勘察方案的经济性、合理性是否满足勘察任务书上深度和合同工期的要求。定期检查</w:t>
      </w:r>
      <w:r>
        <w:rPr>
          <w:sz w:val="24"/>
          <w:lang w:val="zh-CN"/>
        </w:rPr>
        <w:t>勘察工作的实施，控制勘察实施方案的程序和深度</w:t>
      </w:r>
      <w:r>
        <w:rPr>
          <w:snapToGrid w:val="0"/>
          <w:spacing w:val="4"/>
          <w:kern w:val="0"/>
          <w:sz w:val="24"/>
        </w:rPr>
        <w:t>进行，并确保勘察阶段不发生安全事故。按规范有关文件要求检查勘察报告内容和成果，进行验收，提出书面验收报告。</w:t>
      </w:r>
    </w:p>
    <w:p>
      <w:pPr>
        <w:shd w:val="clear" w:color="auto" w:fill="FFFFFF"/>
        <w:adjustRightInd w:val="0"/>
        <w:spacing w:line="420" w:lineRule="exact"/>
        <w:ind w:firstLine="200"/>
        <w:rPr>
          <w:snapToGrid w:val="0"/>
          <w:spacing w:val="4"/>
          <w:kern w:val="0"/>
          <w:sz w:val="24"/>
        </w:rPr>
      </w:pPr>
      <w:r>
        <w:rPr>
          <w:snapToGrid w:val="0"/>
          <w:spacing w:val="4"/>
          <w:kern w:val="0"/>
          <w:sz w:val="24"/>
        </w:rPr>
        <w:t xml:space="preserve">   （2）在设计阶段，承包人应使设计成果最佳的体现发包人的意图和要求，重点是设计审核和技术经济分析。</w:t>
      </w:r>
    </w:p>
    <w:p>
      <w:pPr>
        <w:shd w:val="clear" w:color="auto" w:fill="FFFFFF"/>
        <w:adjustRightInd w:val="0"/>
        <w:spacing w:line="420" w:lineRule="exact"/>
        <w:ind w:firstLine="496" w:firstLineChars="200"/>
        <w:rPr>
          <w:snapToGrid w:val="0"/>
          <w:spacing w:val="4"/>
          <w:kern w:val="0"/>
          <w:sz w:val="24"/>
        </w:rPr>
      </w:pPr>
      <w:r>
        <w:rPr>
          <w:snapToGrid w:val="0"/>
          <w:spacing w:val="4"/>
          <w:kern w:val="0"/>
          <w:sz w:val="24"/>
        </w:rPr>
        <w:t>1）分阶段（初步设计、施工图设计等）对图纸进行审核，审核设计单位编制的概算，以发包人的投资匡算为依据，与发包人、设计人协商，使总投资合理。</w:t>
      </w:r>
    </w:p>
    <w:p>
      <w:pPr>
        <w:shd w:val="clear" w:color="auto" w:fill="FFFFFF"/>
        <w:adjustRightInd w:val="0"/>
        <w:spacing w:line="420" w:lineRule="exact"/>
        <w:ind w:firstLine="496" w:firstLineChars="200"/>
        <w:rPr>
          <w:snapToGrid w:val="0"/>
          <w:spacing w:val="4"/>
          <w:kern w:val="0"/>
          <w:sz w:val="24"/>
        </w:rPr>
      </w:pPr>
      <w:r>
        <w:rPr>
          <w:snapToGrid w:val="0"/>
          <w:spacing w:val="4"/>
          <w:kern w:val="0"/>
          <w:sz w:val="24"/>
        </w:rPr>
        <w:t>2）依项目总进度安排，参与设计进度的安排。</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3）协调好设计单位与外部有关单位（消防、人防、环保、市政工程、供水、供电及燃气等）的配合关系。</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4）按发包人意图和要求，依据国家和地方性法规、规范，审查设计文件的规范性、工艺的先进性和科学性、结构的安全性、施工的可行性以及设计标准的适宜性等。</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3.1.4  概、预算编审的监理工作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（1）在项目前期阶段，根据初步设计编制概算工作及概算审核工作。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（2）项目施工图设计阶段，编制施工图预算及预算审核工作。</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3.1.5  检测方案的监理工作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（1）项目前期阶段，承包人负责编制全过程材料检测计划。</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（2）专项第三方材料检测方案的编制。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（3）实体检测方案的编制。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（4）桩基础专项检测方案的编制。</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3.1.6  施工准备阶段的监理工作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施工准备阶段的监理工作包括但不限于以下内容：</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（1）在设计交底前，总监理工程师应组织监理人员熟悉设计文件，并对图纸中存在的问题通过发包人向设计单位提出书面意见和建议。</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（2）项目监理人员应参加由发包人组织的设计技术交底会，总监理工程师应组织人员编写设计技术交底会议纪要并提交给发包人。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（3）图纸会审由发包人组织，总监理工程师应组织人员做好图纸会审记录并提交给发包人。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（4）工程项目开工前，总监理工程师应组织专业监理工程师审查承包人报送的施工组织设计（方案）报审表，提出审查意见，并经总监理工程师审核、签认后报发包人。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1）质量管理体系、环境管理体系和安全管理体系的组织及职责；</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2）质量管理体系、环境管理体系和安全管理体系各过程的识别与管理；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3）质量管理体系、环境管理体系和安全管理体系的持续改进措施。</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（6）分包工程开工前，专业监理工程师应审查承包人报送的分包单位资格报审表和分包单位有关资质资料，符合有关规定后，由总监理工程师予以签认。对分包单位资格应审核以下内容：</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1）分包单位的营业执照、企业资质等级证书、特殊行业施工许可证、国外（境外）企业在国内承包工程许可证；</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2）分包单位的业绩，尤其是类似工程施工的经验；</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3）拟分包工程的内容和范围；</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4）专职管理人员和特种作业人员的资格证、上岗证。</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（7）专业监理工程师应按以下要求对承包人报送的测量放线控制方案成果及保护措施进行检查，符合要求时，专业监理工程师对承包人报送的施工测量资料予以签认：</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1）检查承包人专职测量人员的岗位证书及测量设备检定证书；</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2）审核承包人提交的控制测量方案；</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3）复核控制桩的校核成果、控制桩的保护措施以及平面控制网、高程控制网和临时水准点的测量成果。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（8）专业监理工程师应审查承包人报送的工程开工报审表及相关资料，具备以下开工条件时，由总监理工程师签发，并报发包人：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1）施工许可证已获政府主管部门批准；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2）征地拆迁工作能满足工程进度的需要；</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3）施工组织设计已获总监理工程师批准；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4）承包人现场管理人员已到位，机具、施工人员已进场，主要工程材料已落实；</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5）进场道路及水、电、通讯等已满足开工要求；</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6）施工测量、技术交底、作业指导书等各项技术准备工作已经完成。</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（9）工程项目开工前，监理人员应参加由发包人主持召开的第一次工地会议。工地会议应包括以下主要内容：</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1）发包人、承包人和承包人分别介绍各自派驻现场的组织机构、人员及其分工；</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2）发包人根据委托监理合同宣布对总监理工程师的授权；</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3）发包人介绍工程开工准备情况；</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4）承包人介绍施工准备情况；</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5）发包人和总监理工程师对施工准备情况提出意见和要求；</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6）总监理工程师介绍监理规划的主要内容；</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7）研究确定各方在施工过程中参加工地例会的主要人员，召开工地例会周期、地点及主要议题。</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第一次工地会议纪要应由项目监理机构负责起草，并经与会各方代表会签。</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（10）制定监理规划</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1）监理规划的编制应针对项目的实际情况，明确项目监理机构的工作目标，确定具体的监理工作制度、程序、方法和措施，并应具有可操作性。</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2）监理规划编制的程序与依据应符合下列规定：</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监理规划应在签订委托监理合同及收到设计文件后开始编制，完成后必须经承包人技术负责人审核批准，并应在召开第一次工地会议前报送发包人；</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监理规划应由总监理工程师主持、专业监理工程师参加编制；</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编制监理规划应依据为以下各项：</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a. 建设工程的相关法律、法规及项目审批文件；</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b. 与建设工程项目有关的标准、设计文件、技术资料；</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c. 监理大纲、委托监理合同文件以及与建设工程项目相关的合同文件；</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d. 发包人制定的有关本合同工程建设的管理制度。</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3）监理规划应包括以下主要内容：</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工程项目概况；</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监理工作范围；</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监理工作内容；</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监理工作目标；</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监理工作依据；</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项目监理机构的组织形式；</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项目监理机构的人员配备计划；</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项目监理机构的人员岗位职责；</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监理工作程序；</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监理工作方法及措施；</w:t>
      </w:r>
    </w:p>
    <w:p>
      <w:pPr>
        <w:topLinePunct/>
        <w:adjustRightInd w:val="0"/>
        <w:snapToGrid w:val="0"/>
        <w:spacing w:line="42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,11)</w:instrText>
      </w:r>
      <w:r>
        <w:rPr>
          <w:rFonts w:ascii="宋体" w:hAnsi="宋体"/>
          <w:snapToGrid w:val="0"/>
          <w:spacing w:val="4"/>
          <w:kern w:val="0"/>
          <w:sz w:val="24"/>
        </w:rPr>
        <w:fldChar w:fldCharType="end"/>
      </w:r>
      <w:r>
        <w:rPr>
          <w:snapToGrid w:val="0"/>
          <w:spacing w:val="4"/>
          <w:kern w:val="0"/>
          <w:sz w:val="24"/>
        </w:rPr>
        <w:t xml:space="preserve"> 监理工作制度；</w:t>
      </w:r>
    </w:p>
    <w:p>
      <w:pPr>
        <w:topLinePunct/>
        <w:adjustRightInd w:val="0"/>
        <w:snapToGrid w:val="0"/>
        <w:spacing w:line="42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,12)</w:instrText>
      </w:r>
      <w:r>
        <w:rPr>
          <w:rFonts w:ascii="宋体" w:hAnsi="宋体"/>
          <w:snapToGrid w:val="0"/>
          <w:spacing w:val="4"/>
          <w:kern w:val="0"/>
          <w:sz w:val="24"/>
        </w:rPr>
        <w:fldChar w:fldCharType="end"/>
      </w:r>
      <w:r>
        <w:rPr>
          <w:snapToGrid w:val="0"/>
          <w:spacing w:val="4"/>
          <w:kern w:val="0"/>
          <w:sz w:val="24"/>
        </w:rPr>
        <w:t xml:space="preserve"> 监理设施。</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4）在监理工作实施过程中，如实际情况或条件发生重大变化而需要调整监理规划时，应由总监理工程师组织专业监理工程师研究修改，按原报审程序经过批准后报发包人。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（11）制定监理实施细则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1）项目监理机构应编制监理实施细则。监理实施细则应符合监理规划的要求，并应结合工程项目的专业特点，做到详细具体、具有可操作性。</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2）监理实施细则的编制程序与依据应符合下列规定：</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监理实施细则应在相应工程施工开始前编制完成，并必须经总监理工程师批准；</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监理实施细则应由专业监理工程师编制；</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编制监理实施细则的依据为以下各项：</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a. 已批准的监理规划；</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b. 与专业工程相关的标准、设计文件和技术资料；</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c. 施工组织设计；</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d. 本合同工程的设计、施工、安装招投标文件及合同；</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e. 发包人制定的有关本合同工程建设的管理制度。</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3）监理实施细则应包括下列主要内容：</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专业工程的特点；</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监理工作的流程；</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监理工作的控制要点及目标值；</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监理工作的方法及措施。</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4）在监理工作实施过程中，监理实施细则应根据实际情况进行补充、修改和完善。</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（12）</w:t>
      </w:r>
      <w:r>
        <w:rPr>
          <w:snapToGrid w:val="0"/>
          <w:spacing w:val="4"/>
          <w:kern w:val="0"/>
          <w:sz w:val="24"/>
        </w:rPr>
        <w:t>对合同管理实施控制工作程序化、规范化，建立定期和不定期的协商会办制度，根据合同文件的约定及发包人要求的图纸批准程序、工程变更程序、承包人索赔程序、承包人的账单审查程序、进度付款账单的审查批准程序、工程问题的请示报告程序等制定相关表格。</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3.1.7  施工阶段的监理工作（包括但不限于以下内容）</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3.1.7.1  工程质量控制工作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（1）在施工过程中，当承包人对已批准的施工组织设计进行调整、补充或变动时，应经专业监理工程师审查，并应由总监理工程师签认。</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（2）专业监理工程师应要求承包人报送重点部位、关键工序的施工方案或作业指导和确保工程质量的措施，审核同意后予以签认。</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（3）当承包人采用新材料、新工艺、新技术、新设备时，专业监理工程师应要求承包人报送相应的施工工艺措施和证明材料，组织专题论证，经审定后予以签认。</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（4）项目监理机构应对承包人在施工过程中报送的施工测量放线成果进行复验和确认。</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承包人应对材料、设备的进场验收负主要责任。专业监理工程师应对承包人报送的拟进场工程材料、构配件和设备的工程材料/构配件/设备报审表及其质量证明资料进行审核，并对进场的实物按照委托监理合同约定或有关工程质量管理文件规定的比例采用平行检验或见证取样方式进行抽检。</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对未经监理人员验收或验收不合格的工程材料、构配件、设备，监理人员应拒绝签认，并应签发监理工程师通知单，书面通知承包人限期将不合格的工程材料、构配件、设备撤出现场。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（6）项目监理机构应定期检查承包人的直接影响工程质量的计量设备的技术状况。</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总监理工程师应安排监理人员对建筑材料设备的进场检验的全过程进行见证，对施工过程进行巡视和检查（包括重点检查、抽查及专项检查）。对基础工程中土方回填，混凝土灌注桩浇筑，地下连续墙、土钉墙、后浇带及其他结构混凝土、防水混凝土浇筑，卷材防水层细部构造处理，钢结构安装和主体结构工程中梁柱节点钢筋隐蔽过程，混凝土浇筑，预应力张拉，装配式结构安装，钢结构安装，网架结构安装，索膜安装及发包人要求的其它旁站工作等，专业监理工程师应安排监理员进行旁站，主要职责是：</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1）检查施工企业现场质检人员到岗、特殊工种人员持证上岗以及施工机械、建筑材料准备情况；</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2）在现场跟班监督关键部位、关键工序的施工执行施工方案以及工程建设强制性标准情况；</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3）核查进场建筑材料、建筑构配件、设备和商品混凝土的质量检验报告等，并可在现场监督施工企业进行检验或者委托具有资格的第三方进行复验；</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4）做好旁站监理记录和监理日记，保存旁站监理原始资料。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（8）专业监理工程师应根据承包人报送的隐蔽工程报验申请表和自检结果进行现场检查，符合要求后予以签认。</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对未经监理人员验收或验收不合格的工序，监理人员应拒绝签认，并要求承包人严禁进行下一道工序的施工。</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9）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（10）质量网络视频监控管理内容</w:t>
      </w:r>
    </w:p>
    <w:p>
      <w:pPr>
        <w:topLinePunct/>
        <w:adjustRightInd w:val="0"/>
        <w:snapToGrid w:val="0"/>
        <w:spacing w:line="420" w:lineRule="exact"/>
        <w:ind w:firstLine="496" w:firstLineChars="200"/>
        <w:rPr>
          <w:dstrike/>
          <w:spacing w:val="4"/>
          <w:kern w:val="0"/>
          <w:sz w:val="24"/>
        </w:rPr>
      </w:pPr>
      <w:r>
        <w:rPr>
          <w:snapToGrid w:val="0"/>
          <w:spacing w:val="4"/>
          <w:kern w:val="0"/>
          <w:sz w:val="24"/>
        </w:rPr>
        <w:t>1）监理单位组织监督施工单位必须遵照《关于广州市建筑工地安装视频监控装置的通知》（穗建筑[2006]551号）和《关于全面启动广州市社会治安视频监控系统建设有关问题的通知》（穗视频建字〔2006〕1号）文件的要求，满足隐蔽工程、关键工序</w:t>
      </w:r>
      <w:r>
        <w:rPr>
          <w:spacing w:val="4"/>
          <w:kern w:val="0"/>
          <w:sz w:val="24"/>
        </w:rPr>
        <w:t>、重点部位的质量监控、隐蔽工程可视化验收的需要。</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2）监理单位对视频监控系统反馈信息的分析、上报、决策、实施，严格按照质量控制流程及相关规定进行处理。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3）监理单位建立专门的视频监控系统资料收集、查阅、检索、档案系统，并设置专人专职负责。</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（11）监理单位按照基建程序从工程建设前期法定建设程序资料、施工过程质量控制技术资料、工程验收及备案资料按照与工程同步的原则进行及时收集，保证保管一套完整的工程技术资料。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（12）施工阶段的工程质量控制中的其他监理工作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1）对施工过程中出现的质量缺陷，专业监理工程师应及时下达监理工程师通知，要求承包人整改，并检查整改结果。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承包人应在本合同工程的施工阶段开始之前向发包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发包人报告。</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3）对需要返工处理或加固补强的质量事故，总监理工程师应责令承包人报送质量事故调查报告和经设计单位等相关单位认可的处理方案，项目监理机构应对质量事故的处理过程和处理结果进行跟踪检查和验收。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4）总监理工程师应及时向发包人及本监理单位提交有关质量事故的书面报告，并应将完整的质量事故处理记录整理归档。</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5）对承包人的试验室进行考核（若有）</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对承包人的试验室，专业监理工程师应从以下五个方面进行考核：</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试验室的资质等级及其试验范围；</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法定计量部门对试验设备出具的计量检定证明；</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试验室的管理制度；</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试验人员的资格证书；</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本工程的试验项目及其要求。</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3.1.7.2  工程造价控制工作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承包人负责的投资控制工作为项目施工阶段全过程造价控制，包括但不限于：主材单价、综合单价、签证费用、工程预算审核、结算审核、工程量（含钢筋抽料）审核、费用索赔、招标清单对照等。</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（1）项目监理机构应按下列程序进行工程计量和工程款支付工作：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1）承包人应每日统计承包人实际完成的工程量，并记录于监理日志中；</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2）专业监理工程师进行现场计量，复核当期验收合格的工程量，按施工合同的约定审核承包人提交的工程量清单和工程款支付申请表，并报总监理工程师审定；</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3）总监理工程师对工程量清单和工程款支付申请表进行复核，并报发包人；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4）提交月度分包工程支付建议书给发包人。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（2）项目监理机构应依据施工合同有关条款、施工图，对工程项目造价目标进行风险分析，并应制定防范性对策。</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（3）项目监理机构应按施工合同约定的工程量计算规则和支付条款进行工程量计量和工程款支付。</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（4）专业监理工程师应及时建立月完成工程量和工作量统计表，对实际完成量与计划完成量进行比较、分析，制定调整措施，并应在监理月报中向发包人报告。</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（5）未经监理人员质量验收合格的工程量，或不符合施工合同规定的工程量，监理人员应拒绝计量和该部分的工程款支付申请。</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（6）工程变更的管理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总监理工程师应从造价、项目的功能要求、质量和工期等方面审查工程变更的方案，并在工程变更实施前与发包人、承包人协商确定工程变更的价款。</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1）项目监理机构应按下列程序处理工程变更：</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对承包人提出的工程变更，应提交总监理工程师，由总监理工程师组织专业监理工程师审查。审查同意后，应由发包人转交原设计单位编制设计变更文件。当工程变更涉及安全、环保等内容时，应按规定经有关部门审定。</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项目监理机构应了解实际情况和收集与工程变更有关的资料。</w:t>
      </w:r>
    </w:p>
    <w:p>
      <w:pPr>
        <w:spacing w:line="420" w:lineRule="exact"/>
        <w:ind w:firstLine="560" w:firstLineChars="200"/>
        <w:rPr>
          <w:sz w:val="24"/>
          <w:szCs w:val="20"/>
        </w:rPr>
      </w:pPr>
      <w:r>
        <w:rPr>
          <w:rFonts w:hint="eastAsia" w:ascii="宋体" w:hAnsi="宋体" w:cs="宋体"/>
          <w:sz w:val="28"/>
          <w:szCs w:val="28"/>
        </w:rPr>
        <w:t>③</w:t>
      </w:r>
      <w:r>
        <w:rPr>
          <w:sz w:val="24"/>
          <w:szCs w:val="20"/>
        </w:rPr>
        <w:t xml:space="preserve"> 总监理工程师必须根据实际情况、设计变更文件和其他有关资料，按照施工合同的有关条款，在指定专业监理工程师完成下列各项工作后，对工程变更的费用和工期作出评估：</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a. 审核工程变更项目与原工程项目之间的类似程度和难易程度；</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b. 审核工程变更项目的工程量；</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c. 审核工程变更的单价和总价；</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d. 审核工程变更所引起的工期变化。</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总监理工程师应就工程变更费用及工期的评估情况与承包人和发包人进行协调。</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总监理工程师签发工程变更单。工程变更单应包括工程变更要求、工程变更说明、工程变更费用和工期、必要的附件等内容，有设计变更文件的工程变更应附设计变更文件。</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项目监理机构应根据工程变更单监督承包人实施。</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2）项目监理机构处理工程变更应符合下列要求：</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在工程变更的质量、费用和工期方面取得发包人授权后，应按施工合同规定与承包人进行协商，经协商达成一致后，总监理工程师应将协商结果向发包人通报，并由发包人与承包人在变更文件上签字；</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在项目监理机构未能就工程变更的质量、费用和工期方面取得发包人授权时，总监理工程师应协助发包人和承包人进行协商，并达成一致；</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3）在总监理工程师签发工程变更单之前，承包人不得实施工程变更。</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4）未经总监理工程师审查同意而实施的工程变更，项目监理机构不得予以计量。</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 承包人必须按月度提交项目造价变更统计表给发包人。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（7）工程签证的管理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按发包人工程签证管理的相关规定对工程的现场签证进行管理，因承包人把关不严，致使该部分工程签证所发生的费用超过合理费用的（以政府结算终审部门审定价对照为准），由承包人按本合同</w:t>
      </w:r>
      <w:r>
        <w:rPr>
          <w:rFonts w:hint="eastAsia"/>
          <w:snapToGrid w:val="0"/>
          <w:spacing w:val="4"/>
          <w:kern w:val="0"/>
          <w:sz w:val="24"/>
          <w:u w:val="single"/>
        </w:rPr>
        <w:t>标准条件</w:t>
      </w:r>
      <w:r>
        <w:rPr>
          <w:snapToGrid w:val="0"/>
          <w:spacing w:val="4"/>
          <w:kern w:val="0"/>
          <w:sz w:val="24"/>
          <w:u w:val="single"/>
        </w:rPr>
        <w:t>第二十六条</w:t>
      </w:r>
      <w:r>
        <w:rPr>
          <w:snapToGrid w:val="0"/>
          <w:spacing w:val="4"/>
          <w:kern w:val="0"/>
          <w:sz w:val="24"/>
        </w:rPr>
        <w:t>的有关约定承担违约责任。</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（8）分段结算工作的管理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为确保本合同工程结算的顺利进行，甲方可能对本合同工程按分部分项或单位工程进行分段结算（单位工程、分部工程或分项工程），乙方在接到甲方关于分段结算配合工作的指令后7天内向甲方提交相关的分段结算配合服务工作计划，乙方应根据经过甲方批准的分段结算配合服务工作计划积极配合相关的分段结算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承包人应在承包人提交所完成的分部工程的结算文件（包括相关的结算资料）后15天内完成分段结算的审核工作并将向发包人提交审核报告。如承包人未能在施工合同规定的期限内提交相关结算文件，承包人应立即报告发包人裁处。</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如在施工过程中发生设计变更、新增工程等情况导致已经审定的分段结算的单位工程（分部或分项工程）发生变化的，承包人应在原审定的分段结算的基础上对变更、新增部分按本条约定的程序和要求进行结算审核，形成分段结算补充报告报送发包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4）分段结算涉及到的资料（但不限于以下）：</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结算书；</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工程量计算书（即计算底稿）；</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钢筋抽料表（建筑、市政、园林景观等工程适用）；</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图纸会审记录；</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设计变更单；</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工程洽商记录；</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总监理工程师通知或发包人施工指令；</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会议纪要；</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工程签证；</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材料设备单价呈批审核单；</w:t>
      </w:r>
    </w:p>
    <w:p>
      <w:pPr>
        <w:topLinePunct/>
        <w:adjustRightInd w:val="0"/>
        <w:snapToGrid w:val="0"/>
        <w:spacing w:line="42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11</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snapToGrid w:val="0"/>
          <w:spacing w:val="4"/>
          <w:kern w:val="0"/>
          <w:sz w:val="24"/>
        </w:rPr>
        <w:t xml:space="preserve"> 综合单价呈批审核单；</w:t>
      </w:r>
    </w:p>
    <w:p>
      <w:pPr>
        <w:topLinePunct/>
        <w:adjustRightInd w:val="0"/>
        <w:snapToGrid w:val="0"/>
        <w:spacing w:line="42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12</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snapToGrid w:val="0"/>
          <w:spacing w:val="4"/>
          <w:kern w:val="0"/>
          <w:sz w:val="24"/>
        </w:rPr>
        <w:t>发包人供应材料收货验收签收单；</w:t>
      </w:r>
    </w:p>
    <w:p>
      <w:pPr>
        <w:topLinePunct/>
        <w:adjustRightInd w:val="0"/>
        <w:snapToGrid w:val="0"/>
        <w:spacing w:line="420" w:lineRule="exact"/>
        <w:ind w:firstLine="558" w:firstLineChars="225"/>
        <w:rPr>
          <w:rFonts w:ascii="宋体" w:hAnsi="宋体"/>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13</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rFonts w:ascii="宋体" w:hAnsi="宋体"/>
          <w:snapToGrid w:val="0"/>
          <w:spacing w:val="4"/>
          <w:kern w:val="0"/>
          <w:sz w:val="24"/>
        </w:rPr>
        <w:t xml:space="preserve"> 验收记录或验收报告；</w:t>
      </w:r>
    </w:p>
    <w:p>
      <w:pPr>
        <w:topLinePunct/>
        <w:adjustRightInd w:val="0"/>
        <w:snapToGrid w:val="0"/>
        <w:spacing w:line="420" w:lineRule="exact"/>
        <w:ind w:firstLine="558" w:firstLineChars="225"/>
        <w:rPr>
          <w:rFonts w:ascii="宋体" w:hAnsi="宋体"/>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14</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rFonts w:ascii="宋体" w:hAnsi="宋体"/>
          <w:snapToGrid w:val="0"/>
          <w:spacing w:val="4"/>
          <w:kern w:val="0"/>
          <w:sz w:val="24"/>
        </w:rPr>
        <w:t xml:space="preserve"> 其他分段结算资料；</w:t>
      </w:r>
    </w:p>
    <w:p>
      <w:pPr>
        <w:topLinePunct/>
        <w:adjustRightInd w:val="0"/>
        <w:snapToGrid w:val="0"/>
        <w:spacing w:line="420" w:lineRule="exact"/>
        <w:ind w:firstLine="558" w:firstLineChars="225"/>
        <w:rPr>
          <w:rFonts w:ascii="宋体" w:hAnsi="宋体"/>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15</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rFonts w:ascii="宋体" w:hAnsi="宋体"/>
          <w:snapToGrid w:val="0"/>
          <w:spacing w:val="4"/>
          <w:kern w:val="0"/>
          <w:sz w:val="24"/>
        </w:rPr>
        <w:t xml:space="preserve"> 移交资料签收表。</w:t>
      </w:r>
    </w:p>
    <w:p>
      <w:pPr>
        <w:topLinePunct/>
        <w:adjustRightInd w:val="0"/>
        <w:snapToGrid w:val="0"/>
        <w:spacing w:line="420" w:lineRule="exact"/>
        <w:ind w:firstLine="558" w:firstLineChars="225"/>
        <w:rPr>
          <w:snapToGrid w:val="0"/>
          <w:spacing w:val="4"/>
          <w:kern w:val="0"/>
          <w:sz w:val="24"/>
        </w:rPr>
      </w:pPr>
      <w:r>
        <w:rPr>
          <w:snapToGrid w:val="0"/>
          <w:spacing w:val="4"/>
          <w:kern w:val="0"/>
          <w:sz w:val="24"/>
        </w:rPr>
        <w:t>（9）招标工程量清单对照</w:t>
      </w:r>
    </w:p>
    <w:p>
      <w:pPr>
        <w:topLinePunct/>
        <w:adjustRightInd w:val="0"/>
        <w:snapToGrid w:val="0"/>
        <w:spacing w:line="420" w:lineRule="exact"/>
        <w:ind w:firstLine="558" w:firstLineChars="225"/>
        <w:rPr>
          <w:snapToGrid w:val="0"/>
          <w:spacing w:val="4"/>
          <w:kern w:val="0"/>
          <w:sz w:val="24"/>
        </w:rPr>
      </w:pPr>
      <w:r>
        <w:rPr>
          <w:snapToGrid w:val="0"/>
          <w:spacing w:val="4"/>
          <w:kern w:val="0"/>
          <w:sz w:val="24"/>
        </w:rPr>
        <w:t>1）施工合同签订后，监理单位需及时组织并开展清标工作，原则上要求在签订施工合同后的60天内完成清单漏项核对工作并编制清标报告，否则发包人有权追究监理单位的违约责任。</w:t>
      </w:r>
    </w:p>
    <w:p>
      <w:pPr>
        <w:topLinePunct/>
        <w:adjustRightInd w:val="0"/>
        <w:snapToGrid w:val="0"/>
        <w:spacing w:line="420" w:lineRule="exact"/>
        <w:ind w:firstLine="558" w:firstLineChars="225"/>
        <w:rPr>
          <w:snapToGrid w:val="0"/>
          <w:spacing w:val="4"/>
          <w:kern w:val="0"/>
          <w:sz w:val="24"/>
        </w:rPr>
      </w:pPr>
      <w:r>
        <w:rPr>
          <w:snapToGrid w:val="0"/>
          <w:spacing w:val="4"/>
          <w:kern w:val="0"/>
          <w:sz w:val="24"/>
        </w:rPr>
        <w:t>2）招标工程量清单对照，对于因前期专项方案不完善、概（预）算审核不严谨造成的费用增加，增加费用总和大于招标控制价的5%时，按增加费用的5%扣减监理费；</w:t>
      </w:r>
    </w:p>
    <w:p>
      <w:pPr>
        <w:topLinePunct/>
        <w:adjustRightInd w:val="0"/>
        <w:snapToGrid w:val="0"/>
        <w:spacing w:line="420" w:lineRule="exact"/>
        <w:ind w:firstLine="558" w:firstLineChars="225"/>
        <w:rPr>
          <w:snapToGrid w:val="0"/>
          <w:spacing w:val="4"/>
          <w:kern w:val="0"/>
          <w:sz w:val="24"/>
        </w:rPr>
      </w:pPr>
      <w:r>
        <w:rPr>
          <w:snapToGrid w:val="0"/>
          <w:spacing w:val="4"/>
          <w:kern w:val="0"/>
          <w:sz w:val="24"/>
        </w:rPr>
        <w:t>3）以上费用的核减总计不超过监理费合同价的5%。</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3.1.7.3  工程进度控制工作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（1）项目监理机构应按下列程序进行工程进度控制：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1）总监理工程师审批承包人报送的施工总进度计划；</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2）总监理工程师审批承包人编制的年、季、月度施工进度计划；</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3）专业监理工程师对进度计划实施情况检查、分析；</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4）当实际进度符合计划进度时，应要求承包人编制下一期进度计划；当实际进度滞后于计划进度时，专业监理工程师应书面通知承包人采取纠偏措施并监督实施。</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（2）专业监理工程师应依据施工合同有关条款、施工图及经过批准的施工组织设计制定进度控制方案，对进度目标进行风险分析，制定防范性对策，经总监理工程师审定后报送发包人。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（3）专业监理工程师应检查进度计划的实施，并记录实际进度及其相关情况。</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（4）施工阶段的工程进度控制中的其他监理工作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当发现实际进度滞后于计划进度时，应签发监理工程师通知单指令承包人采取调整措施。当实际进度严重滞后于计划进度时应及时报总监理工程师，由总监理工程师与发包人商定采取进一步措施。</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总监理工程师应在监理月报中向发包人报告工程进度和所采取进度控制措施的执行情况，并提出合理预防由于发包人原因导致的工程延期及其相关费用索赔的建议。</w:t>
      </w:r>
    </w:p>
    <w:p>
      <w:pPr>
        <w:topLinePunct/>
        <w:adjustRightInd w:val="0"/>
        <w:snapToGrid w:val="0"/>
        <w:spacing w:line="420" w:lineRule="exact"/>
        <w:ind w:firstLine="498" w:firstLineChars="200"/>
        <w:rPr>
          <w:b/>
          <w:bCs/>
          <w:snapToGrid w:val="0"/>
          <w:spacing w:val="4"/>
          <w:kern w:val="0"/>
          <w:sz w:val="24"/>
        </w:rPr>
      </w:pPr>
      <w:r>
        <w:rPr>
          <w:b/>
          <w:snapToGrid w:val="0"/>
          <w:spacing w:val="4"/>
          <w:kern w:val="0"/>
          <w:sz w:val="24"/>
        </w:rPr>
        <w:t>3.1.7.4 工程职业健康安全控制工作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（1）工程职业健康安全控制应遵循下列程序：</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1）确定施工职业健康安全目标；</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2）编制工程职业健康安全保证计划；</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3）实施工程职业健康安全计划；</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4）工程职业健康安全保证计划验证；</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5）持续改进。</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（2）编制安全监理实施细则，对施工中人的不安全行为、物的不安全状态、作业环境的不安全因素和管理缺陷进行相应的安全控制。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（3）检查项目施工安全目标的要求配置的资源是否满足需要。</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（4）要求承包人对结构复杂、施工难度大、专业性强的项目和达到一定规模的危险性较大的分部分项工程编制专项施工方案，必要时，组织专家进行论证、审查：</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1）基坑支护及降水工程；</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2）土方开挖工程；</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3）模板工程；</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4）起重吊装工程；</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5）脚手架工程；</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6）拆除、爆破工程；</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7）其他危险性较大的工程。</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（5）定期组织安全控制计划的执行情况并进行检查考核和评价，对施工中存在的不安全行为和隐患，分析原因并制定相应整改防范措施。</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（6）采取随机抽样、现场观察、实地检测相结合的方法进行安全检查，并记录检测结果。对现场管理人员的违章指挥和操作人员的违章作业行为应进行纠正。</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（7）对检查结果进行分析，找出安全隐患部位，确定危险程度。</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（8）对检查出的隐患立即发出安全隐患整改通知单。受检单位应对安全隐患原因进行分析，制定和落实纠正和预防措施。</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（9）对纠正预防措施的实施过程和实施效果应进行跟踪检查，保存验证记录。</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（10）安全网络视频监控管理内容</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监理单位监督施工单位必须遵照《关于广州市建筑工地安装视频监控装置的通知》（穗建筑[2006]551号）和《关于全面启动广州市社会治安视频监控系统建设有关问题的通知》（穗视频建字〔2006〕1号）文件的要求，满足安全文明监控的需要。</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2）监理单位对视频监控系统反馈信息的分析、上报、决策、实施，严格按照安全控制流程及相关规定进行处理。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3）监理单位建立专门的视频监控系统资料收集、查阅、检索、档案系统，并设置专人专职负责。</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（11）职业健康安全质量事故的处理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对于发生的安全质量事故，承包人及时的向发包人及政府相关部门报告，同时应积极保护事故现场，收集相关的原始资料。承包人在调查事故情况并分析原因、责任后，并将事故调查分析报告提交发包人及政府相关部门。承包人同时应提交相应的防范措施建议书以防止同类事故再次发生。</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3.1.7.5  工程材料设备控制工作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施工单位的材料的管理，包括：</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1）审核工程总体材料设备使用计划和月度材料设备分批使用计划；</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2）审核施工单位选定的材料设备合格供货商并对样品进行封存；</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3）督促并审核施工单位签订材料设备供货合同；</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4）组织施工单位拟定准确的材料设备进场计划，及时进行材料设备的采购及供货；</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5）组织施工单位认真清点到货材料设备，在安装材料设备过程中及安装后应进行监督、检验，把好质量关；</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6）对施工单位所定材料设备规格、型号、数量、质量必须严格把关，发现货不对板情况应及时向发包人汇报；</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7）负责材料设备安装、调试、验收过程中的投资、质量、进度控制；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8）审核施工单位提供的材料设备的结算资料；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9）检查质量保证期工作。</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3.1.7.6  施工阶段设计管理工作</w:t>
      </w:r>
    </w:p>
    <w:p>
      <w:pPr>
        <w:topLinePunct/>
        <w:adjustRightInd w:val="0"/>
        <w:snapToGrid w:val="0"/>
        <w:spacing w:line="420" w:lineRule="exact"/>
        <w:ind w:firstLine="496" w:firstLineChars="200"/>
        <w:rPr>
          <w:b/>
          <w:snapToGrid w:val="0"/>
          <w:spacing w:val="4"/>
          <w:kern w:val="0"/>
          <w:sz w:val="24"/>
        </w:rPr>
      </w:pPr>
      <w:r>
        <w:rPr>
          <w:snapToGrid w:val="0"/>
          <w:spacing w:val="4"/>
          <w:kern w:val="0"/>
          <w:sz w:val="24"/>
        </w:rPr>
        <w:t>承包人需作为施工阶段中发生设计变更的主要跟进协调单位，需派1~2位专人负责设计变更的管理工作，代表业主协调好设计单位与业主单位、施工单位的配合关系，提出合理化建议，配合业主单位完善设计变更手续。</w:t>
      </w:r>
    </w:p>
    <w:p>
      <w:pPr>
        <w:topLinePunct/>
        <w:adjustRightInd w:val="0"/>
        <w:snapToGrid w:val="0"/>
        <w:spacing w:line="420" w:lineRule="exact"/>
        <w:ind w:firstLine="498" w:firstLineChars="200"/>
        <w:rPr>
          <w:b/>
          <w:bCs/>
          <w:snapToGrid w:val="0"/>
          <w:spacing w:val="4"/>
          <w:kern w:val="0"/>
          <w:sz w:val="24"/>
        </w:rPr>
      </w:pPr>
      <w:r>
        <w:rPr>
          <w:b/>
          <w:snapToGrid w:val="0"/>
          <w:spacing w:val="4"/>
          <w:kern w:val="0"/>
          <w:sz w:val="24"/>
        </w:rPr>
        <w:t>3.1.7.7  工程</w:t>
      </w:r>
      <w:r>
        <w:rPr>
          <w:b/>
          <w:bCs/>
          <w:snapToGrid w:val="0"/>
          <w:spacing w:val="4"/>
          <w:kern w:val="0"/>
          <w:sz w:val="24"/>
        </w:rPr>
        <w:t>合同管理工作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（1）建立合同实施的保证体系，使工程项目的全部合同事件处于控制中，保证合同目标的实现。</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建立合同管理文档系统。应建立与相适应的编码系统和文档系统，便于各种合同资料的保存与查询。</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建立合同文件沟通方式。承包人和发包人、监理工程师、分包人之间的有关合同的文件沟通都应以书面形式进行。</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合同实施监督。包括：监督总承包人、分包人严格执行合同，并做好各分包人的协调和管理工作。同时也应督促发包人执行其合同责任，以保证工程顺利进行。</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合同跟踪和诊断。包括：</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1）全面收集并分析合同实施的信息与工程资料，将合同实施情况与合同分析资料进行对比分析，找出其中的偏离。</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2）对合同履行情况做出诊断。合同诊断包括：合同执行差异的原因分析、合同差异责任分析、合同实施趋向预测。及时通报合同实施情况及问题，提出合同实施方面的意见、建议、甚至警告。</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3）对于发现的问题，及时采取对应的管理措施，防止问题的扩大和重复发生。</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（6）严格合同变更管理。包括：变更谈判、变更的处理程序，落实变更的措施，修改变更相关的资料，检查变更措施的落实情况。</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（7）</w:t>
      </w:r>
      <w:r>
        <w:rPr>
          <w:snapToGrid w:val="0"/>
          <w:spacing w:val="4"/>
          <w:kern w:val="0"/>
          <w:sz w:val="24"/>
        </w:rPr>
        <w:t>承包人应按发包人的要求参与本合同工程施工、采购等招投标文件（含招投标修改、澄清等文件）的审查工作，对相关合同及施工组织设计等文件进行审核，确定可能引起争议的合同条款等内容，向发包人提交关于合同执行过程的可能存在的索赔风险的报告。对收到的承包人的索赔报告应进行审查分析，收集反驳理由和证据，复核索赔值；如具备反索赔条件，应及时提出反索赔报告并附上相关证据。</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（8）</w:t>
      </w:r>
      <w:r>
        <w:rPr>
          <w:snapToGrid w:val="0"/>
          <w:spacing w:val="4"/>
          <w:kern w:val="0"/>
          <w:sz w:val="24"/>
        </w:rPr>
        <w:t>合同终止和后评价工作，包括：合同按约定履行结束后，合同即告终止。承包人应及时进行合同后评价，总结合同签订和执行过程中的利弊得失、经验教训，作为改进以后工程合同管理工作的借鉴。</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（9）</w:t>
      </w:r>
      <w:r>
        <w:rPr>
          <w:snapToGrid w:val="0"/>
          <w:spacing w:val="4"/>
          <w:kern w:val="0"/>
          <w:sz w:val="24"/>
        </w:rPr>
        <w:t>合同后评估应包括如下内容：</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1）合同签订情况评价；</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2）合同执行情况评价；</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3）合同管理工作评价；</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4）对本项目有重大影响的合同条款的评价。</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（10）合同管理中的其他监理工作，包括：</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1）费用索赔的处理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专业监理工程师应及时收集、整理有关的施工和监理资料，为处理可能发生的费用索赔提供证据。</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项目监理机构处理费用索赔应依据下列内容：</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a. 国家有关的法律、法规和工程项目所在地的地方法规；</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b. 本工程的施工合同文件；</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c. 国家、部门和地方有关的标准、规范和定额；</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d. 施工合同履行过程中与索赔事件有关的凭证。</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当承包人提出费用索赔的理由同时满足以下条件时，项目监理机构应予以受理：</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a. 索赔事件造成了承包人直接经济损失；</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b. 索赔事件是由于非承包人的责任发生的；</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c. 承包人已按照施工合同规定的期限和程序提出费用索赔申请表，并附有索赔凭证材料。</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承包人向发包人提出费用索赔，项目监理机构应按下列程序处理：</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a. 承包人在施工合同规定的期限内向项目监理机构提交对发包人的费用索赔意向通知书；</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b. 总监理工程师指定专业监理工程师收集与索赔有关的资料；</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c. 承包人在承包合同规定的期限内向项目监理机构提交对发包人的费用索赔申请表；</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d. 总监理工程师初步审查费用索赔申请表，符合</w:t>
      </w:r>
      <w:r>
        <w:rPr>
          <w:snapToGrid w:val="0"/>
          <w:spacing w:val="4"/>
          <w:kern w:val="0"/>
          <w:sz w:val="24"/>
          <w:u w:val="wave"/>
        </w:rPr>
        <w:t>上述</w:t>
      </w:r>
      <w:r>
        <w:rPr>
          <w:rFonts w:hint="eastAsia" w:ascii="宋体" w:hAnsi="宋体" w:cs="宋体"/>
          <w:snapToGrid w:val="0"/>
          <w:spacing w:val="4"/>
          <w:kern w:val="0"/>
          <w:sz w:val="24"/>
          <w:u w:val="wave"/>
        </w:rPr>
        <w:t>②</w:t>
      </w:r>
      <w:r>
        <w:rPr>
          <w:snapToGrid w:val="0"/>
          <w:spacing w:val="4"/>
          <w:kern w:val="0"/>
          <w:sz w:val="24"/>
          <w:u w:val="wave"/>
        </w:rPr>
        <w:t>款</w:t>
      </w:r>
      <w:r>
        <w:rPr>
          <w:snapToGrid w:val="0"/>
          <w:spacing w:val="4"/>
          <w:kern w:val="0"/>
          <w:sz w:val="24"/>
        </w:rPr>
        <w:t>规定的条件时予以受理；</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e. 总监理工程师进行费用索赔审查，并在初步确定一个额度后，与承包人和发包人进行协商；</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f. 总监理工程师应在施工合同规定的期限内签署费用索赔审批表，或在施工合同规定的期限内发出要求承包人提交有关索赔报告的进一步详细资料的通知，待收到承包人提交的详细资料后，按</w:t>
      </w:r>
      <w:r>
        <w:rPr>
          <w:snapToGrid w:val="0"/>
          <w:spacing w:val="4"/>
          <w:kern w:val="0"/>
          <w:sz w:val="24"/>
          <w:u w:val="wave"/>
        </w:rPr>
        <w:t>上述的第d、e项</w:t>
      </w:r>
      <w:r>
        <w:rPr>
          <w:snapToGrid w:val="0"/>
          <w:spacing w:val="4"/>
          <w:kern w:val="0"/>
          <w:sz w:val="24"/>
        </w:rPr>
        <w:t>的程序进行。</w:t>
      </w:r>
    </w:p>
    <w:p>
      <w:pPr>
        <w:topLinePunct/>
        <w:adjustRightInd w:val="0"/>
        <w:snapToGrid w:val="0"/>
        <w:spacing w:line="420" w:lineRule="exact"/>
        <w:ind w:firstLine="720" w:firstLineChars="25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当承包人的费用索赔要求与工程延期要求相关联时，总监理工程师在作出费用索赔的批准决定时，应与工程延期的批准联系起来，综合作出费用索赔和工程延期的决定。</w:t>
      </w:r>
    </w:p>
    <w:p>
      <w:pPr>
        <w:topLinePunct/>
        <w:adjustRightInd w:val="0"/>
        <w:snapToGrid w:val="0"/>
        <w:spacing w:line="420" w:lineRule="exact"/>
        <w:ind w:firstLine="720" w:firstLineChars="25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由于承包人的原因造成发包人的额外损失，发包人向承包人提出费用索赔时，总监理工程师在审查索赔报告后，应公正地与发包人和承包人进行协商，并及时作出答复。</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2）合同争议的调解</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项目监理机构接到合同争议的调解要求后应进行以下工作：</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a. 及时了解合同争议的全部情况，包括进行调查和取证；</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b. 及时与合同争议的双方进行磋商；</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c. 在项目监理机构提出调解方案后，由总监理工程师进行争议调解；</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d. 当调解未能达成一致时，总监理工程师应在施工合同规定的期限内提出处理该合同争议的意见；</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e. 在争议调解过程中，除已达到了施工合同规定的暂停履行合同的条件之外，项目监理机构应要求施工合同的双方继续履行施工合同。</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在总监理工程师签发合同争议处理意见后，发包人或承包人在施工合同规定的期限内未对合同争议处理决定提出异议，在符合施工合同的前提下，此意见应成为最后的决定，双方必须执行。</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在合同争议的仲裁或诉讼过程中，项目监理机构接到仲裁机关或法院要求提供有关证据的通知后，应公正地向仲裁机关或法院提供与争议有关的证据。</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3）合同解除的相关工作</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施工合同的解除必须符合法律程序。</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当发包人违约导致施工合同最终解除时，项目监理机构应就承包人按施工合同规定应得到的款项与发包人和承包人进行协商，并应按施工合同的规定从下列应得的款项中确定承包人应得到的全部款项，并书面通知发包人和承包人：</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a. 承包人已完成的工程量表中所列的各项工作所应得的款项；</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b. 按批准的采购计划订购工程材料、设备、构配件的款项；</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c. 承包人撤离施工设备至原基地或其他目的地的合理费用；</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d. 承包人所有人员的合理遣返费用；</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e. 合理的利润补偿；</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f. 施工合同规定的发包人应支付的违约金。</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由于承包人违约导致施工合同终止后，项目监理机构应按下列程序清理承包人的应得款项，或偿还发包人的相关款项，并书面通知发包人和承包人：</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a. 施工合同终止时，清理承包人已按施工合同规定实际完成的工作所应得的款项和已经得到支付的款项；</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b. 施工现场余留的材料、设备及临时工程的价值；</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c. 检查和验收已完工工程，移交工程资料和对该部分工程的清理、质量缺陷修复等所需的费用；</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d. 施工合同规定的承包人应支付的违约金；</w:t>
      </w:r>
    </w:p>
    <w:p>
      <w:pPr>
        <w:topLinePunct/>
        <w:adjustRightInd w:val="0"/>
        <w:snapToGrid w:val="0"/>
        <w:spacing w:line="420" w:lineRule="exact"/>
        <w:ind w:firstLine="620" w:firstLineChars="250"/>
        <w:rPr>
          <w:snapToGrid w:val="0"/>
          <w:spacing w:val="4"/>
          <w:kern w:val="0"/>
          <w:sz w:val="24"/>
        </w:rPr>
      </w:pPr>
      <w:r>
        <w:rPr>
          <w:snapToGrid w:val="0"/>
          <w:spacing w:val="4"/>
          <w:kern w:val="0"/>
          <w:sz w:val="24"/>
        </w:rPr>
        <w:t>e. 总监理工程师按照施工合同的规定，在与发包人和承包人协商后，书面提交承包人应得款项或偿还发包人款项的证明。</w:t>
      </w:r>
    </w:p>
    <w:p>
      <w:pPr>
        <w:topLinePunct/>
        <w:adjustRightInd w:val="0"/>
        <w:snapToGrid w:val="0"/>
        <w:spacing w:line="42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由于不可抗力或非发包人、承包人原因导致施工合同终止时，项目监理机构应按施工合同规定处理合同解除后的有关事宜。</w:t>
      </w:r>
    </w:p>
    <w:p>
      <w:pPr>
        <w:topLinePunct/>
        <w:adjustRightInd w:val="0"/>
        <w:snapToGrid w:val="0"/>
        <w:spacing w:line="420" w:lineRule="exact"/>
        <w:ind w:firstLine="498" w:firstLineChars="200"/>
        <w:rPr>
          <w:b/>
          <w:bCs/>
          <w:snapToGrid w:val="0"/>
          <w:spacing w:val="4"/>
          <w:kern w:val="0"/>
          <w:sz w:val="24"/>
        </w:rPr>
      </w:pPr>
      <w:r>
        <w:rPr>
          <w:b/>
          <w:snapToGrid w:val="0"/>
          <w:spacing w:val="4"/>
          <w:kern w:val="0"/>
          <w:sz w:val="24"/>
        </w:rPr>
        <w:t>3.1.7.8  工程</w:t>
      </w:r>
      <w:r>
        <w:rPr>
          <w:b/>
          <w:bCs/>
          <w:snapToGrid w:val="0"/>
          <w:spacing w:val="4"/>
          <w:kern w:val="0"/>
          <w:sz w:val="24"/>
        </w:rPr>
        <w:t>信息管理工作</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（1）</w:t>
      </w:r>
      <w:r>
        <w:rPr>
          <w:snapToGrid w:val="0"/>
          <w:spacing w:val="4"/>
          <w:kern w:val="0"/>
          <w:sz w:val="24"/>
        </w:rPr>
        <w:t>项目信息是预测项目未来、决策项目实施方案以及追溯项目实施过程的依据，是项目管理的重要基础资源，承包人要全面掌握信息源，灵活运用信息处理工具，收集相关信息资料。承包人必须进行管理的工程信息资料包括但不限于：</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1）有关政策文件、法规、技术规范、质量标准等；</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2）设计及有关批准文件、图纸会审记录、设计变更设计文件等；</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3）招投标文件、工程建设合同、协议、补充协议等；</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4）与发包人、承包人及工程有关单位之间的往来文件；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5）承包人施工组织设计、临时工程设计、方案等资料；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6）各种材料报验、材料、构配件、机械设备的技术资料、检测、试验报告等资料；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7）各种报验、验收、报告、报表、计量、支付、施工记录、现场签证、质量、进度状况记录等资料；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8）监理日记、巡查、旁站记录、工程照片、事故处理资料、关键的检查资料；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9）监理通知、会议记要、备忘录、合同执行情况、监理月报、监理报告、总结、评估等；</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10）工序验收、检验批验收、分项验收、分部（或子分部）验收、中间验收、竣工验收资料；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11）建设工程规划验收、建筑工程消防验收、环境保护验收、室内环境验收、卫生防疫验收、电梯安装工程质量验收、人防工程验收、燃气验收、建设工程竣工档案验收、防雷验收、建筑节能验收等专项验收资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12）监理制度、规定与管理办法等内部文件；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13）安全、文明生产控制资料等。</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建立信息管理制度，严格信息采集、编排、查阅、归档保存的管理办法，由专人实施。监理资料的管理必须满足以下要求：</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1）监理资料必须及时整理、真实完整、分类有序。</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2）监理资料的管理应由总监理工程师负责，并指定专人具体实施。</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3）监理资料应在各阶段监理工作结束后及时整理归档。</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4）监理档案的编制及保存应按有关规定执行。</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（3）计算机信息管理</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1）计算机信息管理的内容和基本要求</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承包人应运用计算机技术对合同项目进行科学管理，全面提高合同工程施工管理水平。发包人工程计算机管理信息系统，承包人是该系统最基础的信息源之一，承包人应配置和运用该系统进行项目施工管理，包括进度、质量、安全、投资、资源、合同、结算、文档等管理系统。</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承包人的计算机系统规划、配置和人员培训与技术指导等工作，由发包人批准或指定的分包人按合同规定项目费用提供服务，以正确运用发包人的计算机工程信息管理系统，具体要求应按照发包人的有关文件。</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2）计算机网络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承包人须以宽带形式接入发包人网站以保证信息传输速度要求。</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3）计算机硬件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承包人应配置满足的计算机和工作站来支持日常的合同项目施工管理工作。计算机最低配置为：CPU主频2</w:t>
      </w:r>
      <w:r>
        <w:rPr>
          <w:rFonts w:hint="eastAsia"/>
          <w:snapToGrid w:val="0"/>
          <w:spacing w:val="4"/>
          <w:kern w:val="0"/>
          <w:sz w:val="24"/>
        </w:rPr>
        <w:t>.</w:t>
      </w:r>
      <w:r>
        <w:rPr>
          <w:snapToGrid w:val="0"/>
          <w:spacing w:val="4"/>
          <w:kern w:val="0"/>
          <w:sz w:val="24"/>
        </w:rPr>
        <w:t>5GHz以上、内存4G</w:t>
      </w:r>
      <w:r>
        <w:rPr>
          <w:rFonts w:hint="eastAsia"/>
          <w:snapToGrid w:val="0"/>
          <w:spacing w:val="4"/>
          <w:kern w:val="0"/>
          <w:sz w:val="24"/>
        </w:rPr>
        <w:t>B</w:t>
      </w:r>
      <w:r>
        <w:rPr>
          <w:snapToGrid w:val="0"/>
          <w:spacing w:val="4"/>
          <w:kern w:val="0"/>
          <w:sz w:val="24"/>
        </w:rPr>
        <w:t>以上、硬盘1000G</w:t>
      </w:r>
      <w:r>
        <w:rPr>
          <w:rFonts w:hint="eastAsia"/>
          <w:snapToGrid w:val="0"/>
          <w:spacing w:val="4"/>
          <w:kern w:val="0"/>
          <w:sz w:val="24"/>
        </w:rPr>
        <w:t>B</w:t>
      </w:r>
      <w:r>
        <w:rPr>
          <w:snapToGrid w:val="0"/>
          <w:spacing w:val="4"/>
          <w:kern w:val="0"/>
          <w:sz w:val="24"/>
        </w:rPr>
        <w:t>以上。</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4）计算机软件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计算机工程信息管理系统运行在Windows7或更高版本的操作系统上，这部分软件由承包人自己负责。计算机工程信息管理系统应用软件和进度计划管理软件由发包人统一免费配置。</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5）人员配备及培训</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承包人应配备一定数量的专门人员负责支持和维护计算机工程信息管理系统，并报发包人备案。承包人至少应有如下人员：</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计算机系统专门人员。要求熟悉计算机软硬件技术，能进行计算机工程信息管理系统，相关部分的日常维护，负责与发包人计算机系统人员协调解决计算机工程信息管理系统，应用中出现的问题。</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数据管理和录入人员2～3名。负责采集、录入、核对发包人和监理工程师要求提供的信息，并保证数据的及时准确。</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以上人员须参加岗位培训，经一定形式的考核后方能上岗。</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6）信息内容、格式及信息传递要求</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承包人应及时准确地按发包人和监理工程师所要求的时限、内容和格式将相关工程信息录入并传递给发包人和监理工程师。承包人如未能按发包人的规定将信息录入或传递给发包人，可以成为发包人缓付或停付工程进度款的理由。</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7）信息安全</w:t>
      </w:r>
    </w:p>
    <w:p>
      <w:pPr>
        <w:topLinePunct/>
        <w:adjustRightInd w:val="0"/>
        <w:snapToGrid w:val="0"/>
        <w:spacing w:line="420" w:lineRule="exact"/>
        <w:ind w:firstLine="496" w:firstLineChars="200"/>
        <w:rPr>
          <w:snapToGrid w:val="0"/>
          <w:spacing w:val="4"/>
          <w:kern w:val="0"/>
          <w:sz w:val="24"/>
          <w:u w:val="single"/>
        </w:rPr>
      </w:pPr>
      <w:r>
        <w:rPr>
          <w:snapToGrid w:val="0"/>
          <w:spacing w:val="4"/>
          <w:kern w:val="0"/>
          <w:sz w:val="24"/>
        </w:rPr>
        <w:t>计算机工程信息管理系统采用授权用户及密码验证以保证合法用户使用。承包人在使用计算机工程信息管理系统过程中，应采取必要的措施，以确保信息的完整、准确和安全。计算机工程信息管理系统中的信息资源所有权属于发包人，在本合同履行过程中，承包人可以访问使用与本合同相关的信息。</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（4）对所收集的信息必须进行分析，确保其准确、全面、来源可靠，且要求为正式资料。</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及时将采集到的信息进行筛选分类，分别通报给有关领导、职能部门和有关人员审阅和签署意见。</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（6）</w:t>
      </w:r>
      <w:r>
        <w:rPr>
          <w:snapToGrid w:val="0"/>
          <w:spacing w:val="4"/>
          <w:kern w:val="0"/>
          <w:sz w:val="24"/>
        </w:rPr>
        <w:t>建立主体数据库系统结构，及时对信息分类保存、要求列名事件、题目、来源、概要、经办人或其他基本情况。</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（7）</w:t>
      </w:r>
      <w:r>
        <w:rPr>
          <w:snapToGrid w:val="0"/>
          <w:spacing w:val="4"/>
          <w:kern w:val="0"/>
          <w:sz w:val="24"/>
        </w:rPr>
        <w:t>对信息资料收集和反馈进行跟踪，对信息进行动态管理。</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（8）</w:t>
      </w:r>
      <w:r>
        <w:rPr>
          <w:snapToGrid w:val="0"/>
          <w:spacing w:val="4"/>
          <w:kern w:val="0"/>
          <w:sz w:val="24"/>
        </w:rPr>
        <w:t>涉及国家机密或各单位商业秘密的信息资料保管工作应制订保密管理细则，防止机密泄漏，避免造成经济损失和政治影响。</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（9）</w:t>
      </w:r>
      <w:r>
        <w:rPr>
          <w:snapToGrid w:val="0"/>
          <w:spacing w:val="4"/>
          <w:kern w:val="0"/>
          <w:sz w:val="24"/>
        </w:rPr>
        <w:t>有保留价值的信息，经请示有关领导后可以消除，但应做好登记。</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（10）</w:t>
      </w:r>
      <w:r>
        <w:rPr>
          <w:snapToGrid w:val="0"/>
          <w:spacing w:val="4"/>
          <w:kern w:val="0"/>
          <w:sz w:val="24"/>
        </w:rPr>
        <w:t>工程结束后，按有关规定进行信息整理存档、移交，并办理好移交签收手续。</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（11）承包人在提交相关信息的纸质文件的同时，须根据发包人的要求提交（</w:t>
      </w:r>
      <w:r>
        <w:rPr>
          <w:b/>
          <w:snapToGrid w:val="0"/>
          <w:spacing w:val="4"/>
          <w:kern w:val="0"/>
          <w:sz w:val="24"/>
          <w:bdr w:val="single" w:color="auto" w:sz="4" w:space="0"/>
        </w:rPr>
        <w:t>√</w:t>
      </w:r>
      <w:r>
        <w:rPr>
          <w:snapToGrid w:val="0"/>
          <w:spacing w:val="4"/>
          <w:kern w:val="0"/>
          <w:sz w:val="24"/>
        </w:rPr>
        <w:t xml:space="preserve"> 电子原版，</w:t>
      </w:r>
      <w:r>
        <w:rPr>
          <w:b/>
          <w:snapToGrid w:val="0"/>
          <w:spacing w:val="4"/>
          <w:kern w:val="0"/>
          <w:sz w:val="24"/>
          <w:bdr w:val="single" w:color="auto" w:sz="4" w:space="0"/>
        </w:rPr>
        <w:t>√</w:t>
      </w:r>
      <w:r>
        <w:rPr>
          <w:snapToGrid w:val="0"/>
          <w:spacing w:val="4"/>
          <w:kern w:val="0"/>
          <w:sz w:val="24"/>
        </w:rPr>
        <w:t>纸质文件扫描版）。</w:t>
      </w:r>
    </w:p>
    <w:p>
      <w:pPr>
        <w:topLinePunct/>
        <w:adjustRightInd w:val="0"/>
        <w:snapToGrid w:val="0"/>
        <w:spacing w:line="420" w:lineRule="exact"/>
        <w:ind w:firstLine="498" w:firstLineChars="200"/>
        <w:rPr>
          <w:b/>
          <w:bCs/>
          <w:snapToGrid w:val="0"/>
          <w:spacing w:val="4"/>
          <w:kern w:val="0"/>
          <w:sz w:val="24"/>
        </w:rPr>
      </w:pPr>
      <w:r>
        <w:rPr>
          <w:b/>
          <w:snapToGrid w:val="0"/>
          <w:spacing w:val="4"/>
          <w:kern w:val="0"/>
          <w:sz w:val="24"/>
        </w:rPr>
        <w:t>3.1.7.9工程</w:t>
      </w:r>
      <w:r>
        <w:rPr>
          <w:b/>
          <w:bCs/>
          <w:snapToGrid w:val="0"/>
          <w:spacing w:val="4"/>
          <w:kern w:val="0"/>
          <w:sz w:val="24"/>
        </w:rPr>
        <w:t>项目沟通与协调</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（1）</w:t>
      </w:r>
      <w:r>
        <w:rPr>
          <w:snapToGrid w:val="0"/>
          <w:spacing w:val="4"/>
          <w:kern w:val="0"/>
          <w:sz w:val="24"/>
        </w:rPr>
        <w:t>建立项目沟通与协调管理系统，健全各项制度，并本着“严格守法、遵守公德”的原则，以维护各相关方的利益为前提，应用先进、实用的方法和手段，有效解决项目实施过程中的问题。</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项目沟通管理计划明确沟通的具体内容、对象、方式、目标、责任人、完成时间、奖罚措施等，并定期或不定期地进行检查、考核和评价，确保沟通计划落到实处。</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（6）</w:t>
      </w:r>
      <w:r>
        <w:rPr>
          <w:snapToGrid w:val="0"/>
          <w:spacing w:val="4"/>
          <w:kern w:val="0"/>
          <w:sz w:val="24"/>
        </w:rPr>
        <w:t>妥善处理各分项工程之间的施工配合，要求各承包人提出需要配合的问题，如施工场地的要求、施工用水、用电、交叉作业的相互影响，施工收口处理、建筑成品保护要求及需要采取的配合措施等。</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3.1.7.10  环境管理工作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承包人应对施工过程中影响环境的活动进行监督管理，以满足相关的法律法规对环境保护的要求。承包人环境管理工作的主要工作内容如下：</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（1）制定相关的监督检查工作的程序及制度提交发包人及政府相关部门核准；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（2）根据相关的法律、法规、制度及程序等，对工程建设过程中污染环境、破坏生态的行为进行监督管理，如噪声、废气、污水等污染物排放应达标、粉尘控制达标、减少水土流失和生态环境破坏；</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（3）对配套的环保工程进行施工监理，如对水处理设施、声屏障、绿化工程、水源保护区的保护等进行监理。</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3.1.7.11 提交监理月报</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监理月报应包括以下内容：</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（1）本月工程概况；</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（2）本月工程形象进度；</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（3）工程进度，包括：</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1）本月实际完成情况与计划进度比较；</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2）对进度完成情况及采取措施效果的分析。</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（4）工程质量，包括：</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1）本月工程质量情况分析；</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2）本月采取的工程质量措施及效果。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（5）工程计量与工程款支付，包括：</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1）工程量审核情况；</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2）工程款审批情况及月支付情况；</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3）工程款支付情况分析；</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4）本月采取的措施及效果。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（6）合同其他事项的处理情况，包括：</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1）工程变更；</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2）工程延期；</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3）费用索赔。</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（7）本月职业健康安全及环境等情况的综合评价及相关意见或建议。</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（8）本月监理工作小结，包括：</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1）对本月进度、质量、工程款支付、安全文明施工等方面情况的综合评价；</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2）本月监理工作情况；</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3）有关本工程的意见和建议；</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4）下月监理工作的重点。</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监理月报应由总监理工程师组织编制及签认，签认后报发包人和本承包人总部。</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3.1.7.12  施工阶段的其他监理工作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（1）工地例会</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1）在施工过程中，总监理工程师应定期主持召开工地例会。工地例会应按发包人提供的例会细则执行。会议纪要应由项目监理机构负责起草，并经与会各方代表会签。</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2）工地例会应包括以下主要内容：</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检查上次例会议定事项的落实情况，分析未完事项原因；</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检查分析工程项目进度计划完成情况，提出下一阶段进度目标及其落实措施；</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检查分析工程项目质量状况，针对存在的质量问题提出改进措施；</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④</w:t>
      </w:r>
      <w:r>
        <w:rPr>
          <w:snapToGrid w:val="0"/>
          <w:spacing w:val="4"/>
          <w:kern w:val="0"/>
          <w:sz w:val="24"/>
        </w:rPr>
        <w:t xml:space="preserve"> 检查工程量核定及工程款支付情况；</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⑤</w:t>
      </w:r>
      <w:r>
        <w:rPr>
          <w:snapToGrid w:val="0"/>
          <w:spacing w:val="4"/>
          <w:kern w:val="0"/>
          <w:sz w:val="24"/>
        </w:rPr>
        <w:t xml:space="preserve"> 检讨工作联系单的相关内容的执行情况，解决需要协调的有关事项；</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⑥</w:t>
      </w:r>
      <w:r>
        <w:rPr>
          <w:snapToGrid w:val="0"/>
          <w:spacing w:val="4"/>
          <w:kern w:val="0"/>
          <w:sz w:val="24"/>
        </w:rPr>
        <w:t xml:space="preserve"> 本月职业健康安全及环境、文明施工等方面的综合情况，解决需要协调的有关事项。</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⑦</w:t>
      </w:r>
      <w:r>
        <w:rPr>
          <w:snapToGrid w:val="0"/>
          <w:spacing w:val="4"/>
          <w:kern w:val="0"/>
          <w:sz w:val="24"/>
        </w:rPr>
        <w:t xml:space="preserve"> 其他有关事宜。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3）总监理工程师或专业监理工程师应根据需要及时组织专题会议，解决施工过程中的各种专项问题。</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4）对于工地例会上提出的有关设计问题，承包人应积极把关控制，不应随意对相关问题做出定论。工地例会上的相关结论必须以设计变更的方式确定后方可实施。</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5）承包人需参加由发包人组织的设计例会，提出合理化建议和配合完善设计变更手续等工作。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（2）工程暂停及复工的相关工作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1）总监理工程师在签发工程暂停令时，应根据暂停工程的影响范围和影响程度，按照施工合同和委托监理合同的约定签发。</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2）在发生下列情况之一时，总监理工程师可签发工程暂停令：</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发包人要求暂停施工且工程需要暂停施工；</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为了保证工程质量而需要进行停工处理；</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施工出现了安全隐患，总监理工程师认为有必要停工以消除隐患；</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④</w:t>
      </w:r>
      <w:r>
        <w:rPr>
          <w:snapToGrid w:val="0"/>
          <w:spacing w:val="4"/>
          <w:kern w:val="0"/>
          <w:sz w:val="24"/>
        </w:rPr>
        <w:t xml:space="preserve"> 发生了必须暂时停止施工的紧急事件；</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⑤</w:t>
      </w:r>
      <w:r>
        <w:rPr>
          <w:snapToGrid w:val="0"/>
          <w:spacing w:val="4"/>
          <w:kern w:val="0"/>
          <w:sz w:val="24"/>
        </w:rPr>
        <w:t xml:space="preserve"> 承包人未经许可擅自施工或拒绝项目监理机构管理。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3）总监理工程师在签发工程暂停令时，应根据停工原因的影响范围和影响程度，确定工程项目停工范围。</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4）由于非承包人且非上述第2）-</w:t>
      </w:r>
      <w:r>
        <w:rPr>
          <w:rFonts w:hint="eastAsia" w:ascii="宋体" w:hAnsi="宋体" w:cs="宋体"/>
          <w:snapToGrid w:val="0"/>
          <w:spacing w:val="4"/>
          <w:kern w:val="0"/>
          <w:sz w:val="24"/>
        </w:rPr>
        <w:t>②</w:t>
      </w:r>
      <w:r>
        <w:rPr>
          <w:snapToGrid w:val="0"/>
          <w:spacing w:val="4"/>
          <w:kern w:val="0"/>
          <w:sz w:val="24"/>
        </w:rPr>
        <w:t>、</w:t>
      </w:r>
      <w:r>
        <w:rPr>
          <w:rFonts w:hint="eastAsia" w:ascii="宋体" w:hAnsi="宋体" w:cs="宋体"/>
          <w:snapToGrid w:val="0"/>
          <w:spacing w:val="4"/>
          <w:kern w:val="0"/>
          <w:sz w:val="24"/>
        </w:rPr>
        <w:t>③</w:t>
      </w:r>
      <w:r>
        <w:rPr>
          <w:snapToGrid w:val="0"/>
          <w:spacing w:val="4"/>
          <w:kern w:val="0"/>
          <w:sz w:val="24"/>
        </w:rPr>
        <w:t>、</w:t>
      </w:r>
      <w:r>
        <w:rPr>
          <w:rFonts w:hint="eastAsia" w:ascii="宋体" w:hAnsi="宋体" w:cs="宋体"/>
          <w:snapToGrid w:val="0"/>
          <w:spacing w:val="4"/>
          <w:kern w:val="0"/>
          <w:sz w:val="24"/>
        </w:rPr>
        <w:t>④</w:t>
      </w:r>
      <w:r>
        <w:rPr>
          <w:snapToGrid w:val="0"/>
          <w:spacing w:val="4"/>
          <w:kern w:val="0"/>
          <w:sz w:val="24"/>
        </w:rPr>
        <w:t>、</w:t>
      </w:r>
      <w:r>
        <w:rPr>
          <w:rFonts w:hint="eastAsia" w:ascii="宋体" w:hAnsi="宋体" w:cs="宋体"/>
          <w:snapToGrid w:val="0"/>
          <w:spacing w:val="4"/>
          <w:kern w:val="0"/>
          <w:sz w:val="24"/>
        </w:rPr>
        <w:t>⑤</w:t>
      </w:r>
      <w:r>
        <w:rPr>
          <w:snapToGrid w:val="0"/>
          <w:spacing w:val="4"/>
          <w:kern w:val="0"/>
          <w:sz w:val="24"/>
        </w:rPr>
        <w:t>项原因时，总监理工程师在签发工程暂停令之前，应就有关工期和费用等事宜与承包人进行协商。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5）由于发包人原因或其他非承包人原因导致工程暂停时，项目监理机构应如实记录所发生的实际情况。总监理工程师应在施工暂停原因消失、具备复工条件时，及时签署工程复工报审表，指令承包人继续施工。</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6）由于承包人原因导致工程暂停，在具备恢复施工条件时，项目监理机构应审查承包人报送的复工申请及有关材料，同意后由总监理工程师签署工程复工报审表，指令承包人继续施工。</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7）总监理工程师在签发工程暂停令到签发工程复工报审表之间的时间内，应会同有关各方按照施工合同的约定，处理因工程暂停引起的与工期、费用等有关的问题。</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（3）工程延期及工程延误的处理工作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1）当承包人提出工程延期要求符合施工合同文件的规定条件时，项目监理机构应予以受理。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当影响工期事件具有持续性时，项目监理机构可在收到承包人提交的阶段性工程延期申请表并经过审查后，先由总监理工程师签署工程临时延期审批表并通报发包人。当承包人提交最终的工程延期申请表后，项目监理机构应复查工程延期及临时延期情况，并由总监理工程师签署工程最终延期审批表。</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3）项目监理机构在作出临时工程延期批准或最终的工程延期批准之前，均应与发包人和承包人进行协商。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4）项目监理机构在审查工程延期时，应依下列情况确定批准工程延期的时间：</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施工合同中有关工程延期的约定；</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工期拖延和影响工期事件的事实和程度；</w:t>
      </w:r>
    </w:p>
    <w:p>
      <w:pPr>
        <w:topLinePunct/>
        <w:adjustRightInd w:val="0"/>
        <w:snapToGrid w:val="0"/>
        <w:spacing w:line="42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影响工期事件对工期影响的量化程度。</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5）工程延期造成承包人提出费用索赔时，项目监理机构应按</w:t>
      </w:r>
      <w:r>
        <w:rPr>
          <w:snapToGrid w:val="0"/>
          <w:spacing w:val="4"/>
          <w:kern w:val="0"/>
          <w:sz w:val="24"/>
          <w:u w:val="single"/>
        </w:rPr>
        <w:t>本条</w:t>
      </w:r>
      <w:r>
        <w:rPr>
          <w:rFonts w:hint="eastAsia"/>
          <w:snapToGrid w:val="0"/>
          <w:spacing w:val="4"/>
          <w:kern w:val="0"/>
          <w:sz w:val="24"/>
          <w:u w:val="single"/>
        </w:rPr>
        <w:t>件</w:t>
      </w:r>
      <w:r>
        <w:rPr>
          <w:snapToGrid w:val="0"/>
          <w:spacing w:val="4"/>
          <w:kern w:val="0"/>
          <w:sz w:val="24"/>
          <w:u w:val="single"/>
        </w:rPr>
        <w:t>第3.1.7.7-（10）项</w:t>
      </w:r>
      <w:r>
        <w:rPr>
          <w:snapToGrid w:val="0"/>
          <w:spacing w:val="4"/>
          <w:kern w:val="0"/>
          <w:sz w:val="24"/>
        </w:rPr>
        <w:t>的约定处理。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6）当承包人未能按照施工合同要求的工期竣工交付造成工期延误时，项目监理机构应按施工合同规定从承包人应得款项中扣除误期损害赔偿费。</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3.1.8 工程收尾阶段的监理工作（包括但不限于以下内容）</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3.1.8.1</w:t>
      </w:r>
      <w:r>
        <w:rPr>
          <w:snapToGrid w:val="0"/>
          <w:spacing w:val="4"/>
          <w:kern w:val="0"/>
          <w:sz w:val="24"/>
        </w:rPr>
        <w:t xml:space="preserve">  工程收尾阶段包括竣工扫尾、验收、整改、移交、结算、考核评价等方面的管理。承包人应制定工作计划，提出各项管理要求。工程收尾阶段管理应包括以下内容：</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（1）</w:t>
      </w:r>
      <w:r>
        <w:rPr>
          <w:snapToGrid w:val="0"/>
          <w:spacing w:val="4"/>
          <w:kern w:val="0"/>
          <w:sz w:val="24"/>
        </w:rPr>
        <w:t>项目的竣工扫尾；</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项目的竣工验收、整改及移交；</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项目的竣工结算；</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项目的回访维护；</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项目的考核评价。</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3.1.8.2  竣工验收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承包人技术负责人审核签字。</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承包人应负责组织系统联动调试、试运行及各专项验收及检测。项目监理机构应参加由发包人组织的竣工验收，并提供相关监理资料。对验收中提出的整改问题，项目监理机构应要求承包人进行整改。工程质量符合要求，由总监理工程师会同参加验收的各方签署竣工验收报告。</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（3）组织或协助发包人、承包人和产权管理单位对项目进行移交。</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（4）根据现场的实际竣工情况对承包人提交的竣工图纸（包括设备移交资料等）进行复核确认。</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3.1.8.3  审核竣工结算</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（1）结算的总体要求</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承包人应根据有关合同约定及工程进展的实际情况，于竣工后2周内编制工程竣工结算计划报发包人批准后实施。承包人负责组织有关单位按核准的结算计划中的时间要求提交竣工结算书及竣工结算资料。承包人须根据发包人的要求审核承包人提交的工程结算书，确保工程结算资料的完整性，并对其提交给发包人的结算审核结果负责。工程结算以单个施工合同为结算对象，承包人应在完成全部合同结算的审核后形成结算汇总。总监理工程师应对承包人提交的《竣工结算审核意见书》进行签认并对由其审核的结算金额的准确性负责。</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（2）工程结算资料必须实事求是、完整、真实准确，工程资料的主要内容包括：</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1）合同（组成包括：协议书、中标通知书或委托书、投标文件澄清纪要、投标文件及其附件、合同专用条件、合同标准条件、招标文件及补遗书、本合同履行期间合同各方间签订的补充合同（协议）、其它）；</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2）结算书及电子文档；</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3）招标图纸及竣工图纸；</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4）图纸会审（交底）的会议纪要；</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5）工程量计算书（或钢筋抽料表）及电子文档；</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6）工程变更图纸、变更指令及工程变更申报审批表；</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7）施工现场变更签证及工程变更申报审批表；</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8）工程竣工验收证明；</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9）开、竣工报告；</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10）中间计量资料；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11）其它竣工结算资料。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（3）政府有权审核部门结算审核过程中的相关工作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1）承包人应积极组织并督促承包人配合政府主管部门对本合同工程结算书（结算资料）的审核工作，以推动结算工作的顺利进行。</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2）承包人应按发包人要求，派出相关人员参加政府主管部门组织的针对本合同工程结算审核工作的相关会议（如结算工作会议、结算工程量核对会议等）。</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3）承包人应根据政府主管部门对本合同工程结算提出的意见，向发包人提出解决本合同工程结算争议的合理建议。</w:t>
      </w:r>
    </w:p>
    <w:p>
      <w:pPr>
        <w:topLinePunct/>
        <w:adjustRightInd w:val="0"/>
        <w:snapToGrid w:val="0"/>
        <w:spacing w:line="420" w:lineRule="exact"/>
        <w:ind w:firstLine="480" w:firstLineChars="200"/>
        <w:rPr>
          <w:snapToGrid w:val="0"/>
          <w:spacing w:val="4"/>
          <w:kern w:val="0"/>
          <w:sz w:val="24"/>
        </w:rPr>
      </w:pPr>
      <w:r>
        <w:rPr>
          <w:snapToGrid w:val="0"/>
          <w:kern w:val="0"/>
          <w:sz w:val="24"/>
        </w:rPr>
        <w:t>4) 本项目作为政府投资项目已纳入年度审计项目计划，审计机关出具的审计结果应当作为该政府项目价款结算的依据。</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3.1.8.4  提交监理工作总结</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监理工作结束时，承包人应向发包人提交监理工作总结。监理工作总结包括但不限于以下内容：</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（1）工程概况；</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（2）监理组织机构、监理人员和投入的监理设施；</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（3）监理合同履行情况；</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（4）监理工作成效；</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（5）施工过程中出现的问题及其处理情况和建议；</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（6）工程照片（有必要时）。</w:t>
      </w:r>
    </w:p>
    <w:p>
      <w:pPr>
        <w:adjustRightInd w:val="0"/>
        <w:snapToGrid w:val="0"/>
        <w:spacing w:line="420" w:lineRule="exact"/>
        <w:ind w:firstLine="482" w:firstLineChars="200"/>
        <w:rPr>
          <w:b/>
          <w:snapToGrid w:val="0"/>
          <w:kern w:val="0"/>
          <w:sz w:val="24"/>
          <w:szCs w:val="20"/>
        </w:rPr>
      </w:pPr>
      <w:r>
        <w:rPr>
          <w:b/>
          <w:snapToGrid w:val="0"/>
          <w:kern w:val="0"/>
          <w:sz w:val="24"/>
          <w:szCs w:val="20"/>
        </w:rPr>
        <w:t>3.1.9  工程质量保修期的监理工作</w:t>
      </w:r>
    </w:p>
    <w:p>
      <w:pPr>
        <w:adjustRightInd w:val="0"/>
        <w:snapToGrid w:val="0"/>
        <w:spacing w:line="420" w:lineRule="exact"/>
        <w:ind w:firstLine="480" w:firstLineChars="200"/>
        <w:rPr>
          <w:snapToGrid w:val="0"/>
          <w:kern w:val="0"/>
          <w:sz w:val="24"/>
          <w:szCs w:val="20"/>
        </w:rPr>
      </w:pPr>
      <w:r>
        <w:rPr>
          <w:snapToGrid w:val="0"/>
          <w:kern w:val="0"/>
          <w:sz w:val="24"/>
          <w:szCs w:val="20"/>
        </w:rPr>
        <w:t>（1）承包人应依据委托监理合同约定的工程质量保修期监理工作的时间、范围和内容开展工作。</w:t>
      </w:r>
    </w:p>
    <w:p>
      <w:pPr>
        <w:adjustRightInd w:val="0"/>
        <w:snapToGrid w:val="0"/>
        <w:spacing w:line="420" w:lineRule="exact"/>
        <w:ind w:firstLine="480" w:firstLineChars="200"/>
        <w:rPr>
          <w:snapToGrid w:val="0"/>
          <w:kern w:val="0"/>
          <w:sz w:val="24"/>
          <w:szCs w:val="20"/>
        </w:rPr>
      </w:pPr>
      <w:r>
        <w:rPr>
          <w:snapToGrid w:val="0"/>
          <w:kern w:val="0"/>
          <w:sz w:val="24"/>
          <w:szCs w:val="20"/>
        </w:rPr>
        <w:t>（2）承担质量保修期监理工作时，承包人应安排监理人员对发包人提出的工程质量缺陷进行检查和记录，对承包人进行修复的工程质量进行验收，合格后予以签认。</w:t>
      </w:r>
    </w:p>
    <w:p>
      <w:pPr>
        <w:adjustRightInd w:val="0"/>
        <w:snapToGrid w:val="0"/>
        <w:spacing w:line="420" w:lineRule="exact"/>
        <w:ind w:firstLine="480" w:firstLineChars="200"/>
        <w:rPr>
          <w:snapToGrid w:val="0"/>
          <w:kern w:val="0"/>
          <w:sz w:val="24"/>
          <w:szCs w:val="20"/>
        </w:rPr>
      </w:pPr>
      <w:r>
        <w:rPr>
          <w:snapToGrid w:val="0"/>
          <w:kern w:val="0"/>
          <w:sz w:val="24"/>
          <w:szCs w:val="20"/>
        </w:rPr>
        <w:t>（3）监理人员应对工程质量缺陷原因进行调查分析并确定责任归属，对非承包人原因造成的工程质量缺陷，监理人员应核实修复工程的费用和签署工程款支付证书，并报发包人。</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3.2  项目监理机构</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3.2.1  项目监理机构</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（1）承包人必须在施工现场建立项目监理机构。项目监理机构在完成委托监理合同约定的监理工作后可撤离施工现场。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（2）承包人必须在发包人发出进场通知后，按发包人具体的要求进场，并立即开始履行本合同约定的服务。承包人必须按照其投标文件和监理规划的承诺，足额、按时派驻监理人员和投入设备（见</w:t>
      </w:r>
      <w:r>
        <w:rPr>
          <w:snapToGrid w:val="0"/>
          <w:spacing w:val="4"/>
          <w:kern w:val="0"/>
          <w:sz w:val="24"/>
          <w:u w:val="wave"/>
        </w:rPr>
        <w:t>合同附件3、附件4</w:t>
      </w:r>
      <w:r>
        <w:rPr>
          <w:snapToGrid w:val="0"/>
          <w:spacing w:val="4"/>
          <w:kern w:val="0"/>
          <w:sz w:val="24"/>
        </w:rPr>
        <w:t>）。</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（3）监理人员应包括总监理工程师、专业监理工程师和监理员，必要时可配备总监理工程师代表。</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总监理工程师应具备工民建或土木工程类专业，学历本科，具有十五年以上同类工程监理工作经验的人员担任，</w:t>
      </w:r>
      <w:r>
        <w:rPr>
          <w:snapToGrid w:val="0"/>
          <w:spacing w:val="4"/>
          <w:kern w:val="0"/>
          <w:sz w:val="24"/>
          <w:szCs w:val="21"/>
        </w:rPr>
        <w:t>必须具有建设部2006年4月1日后颁发的中华人民共和国注册监理工程师注册执业证书，且其注册专业为</w:t>
      </w:r>
      <w:r>
        <w:rPr>
          <w:snapToGrid w:val="0"/>
          <w:spacing w:val="4"/>
          <w:kern w:val="0"/>
          <w:sz w:val="24"/>
          <w:szCs w:val="21"/>
          <w:u w:val="single"/>
        </w:rPr>
        <w:t>房屋建筑工程</w:t>
      </w:r>
      <w:r>
        <w:rPr>
          <w:snapToGrid w:val="0"/>
          <w:spacing w:val="4"/>
          <w:kern w:val="0"/>
          <w:sz w:val="24"/>
          <w:szCs w:val="21"/>
        </w:rPr>
        <w:t>，注册执业单位为本公司</w:t>
      </w:r>
      <w:r>
        <w:rPr>
          <w:snapToGrid w:val="0"/>
          <w:spacing w:val="4"/>
          <w:kern w:val="0"/>
          <w:sz w:val="24"/>
        </w:rPr>
        <w:t>；专业监理工程师应由具有十年以上同类工程监理工作经验的人员担任，</w:t>
      </w:r>
      <w:r>
        <w:rPr>
          <w:snapToGrid w:val="0"/>
          <w:spacing w:val="4"/>
          <w:kern w:val="0"/>
          <w:sz w:val="24"/>
          <w:szCs w:val="21"/>
        </w:rPr>
        <w:t>必须</w:t>
      </w:r>
      <w:r>
        <w:rPr>
          <w:snapToGrid w:val="0"/>
          <w:spacing w:val="4"/>
          <w:kern w:val="0"/>
          <w:sz w:val="24"/>
        </w:rPr>
        <w:t>具备高级工程师职称或注册监理工程师或注册造价师（造价）的</w:t>
      </w:r>
      <w:r>
        <w:rPr>
          <w:snapToGrid w:val="0"/>
          <w:spacing w:val="4"/>
          <w:kern w:val="0"/>
          <w:sz w:val="24"/>
          <w:szCs w:val="21"/>
        </w:rPr>
        <w:t>证书</w:t>
      </w:r>
      <w:r>
        <w:rPr>
          <w:snapToGrid w:val="0"/>
          <w:spacing w:val="4"/>
          <w:kern w:val="0"/>
          <w:sz w:val="24"/>
        </w:rPr>
        <w:t>；负责检测送检的监理人员必须由持有《见证员证书》的技术人员担任。</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（5）承包人按（</w:t>
      </w:r>
      <w:r>
        <w:rPr>
          <w:snapToGrid w:val="0"/>
          <w:spacing w:val="4"/>
          <w:kern w:val="0"/>
          <w:sz w:val="24"/>
          <w:u w:val="wave"/>
        </w:rPr>
        <w:t>合同附件3）</w:t>
      </w:r>
      <w:r>
        <w:rPr>
          <w:snapToGrid w:val="0"/>
          <w:spacing w:val="4"/>
          <w:kern w:val="0"/>
          <w:sz w:val="24"/>
        </w:rPr>
        <w:t>派驻到项目所在地履行监理服务的项目总监、专业监理工程师、监理员，必须常驻现场。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考虑到本合同项目的重要性、特殊性、复杂性，发包人将承包人的人员落实、驻场人员的到位作为监理管理工作考核的内容之一。如承包人的人员投入、驻场工作的安排、落实，未能达到合同要求，发包人将严格按本合同的相关约定作出处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承包人必须保证参与本项目监理人员的稳定性，未征得发包人同意不可撤换，否则必须承担相应责任。承包人因工作安排或其他原因，需要更换派驻到项目所在地履行监理服务的主要监理人员的，应事先得到发包人的同意。</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（8）发包人有权以书面形式要求承包人更换不能按照本合同约定履行监理服务的派驻人员。</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（9）即使是发包人要求或同意更换的监理人员，其替代人员的资质仍应得到发包人的认可。由于更换人员引起的费用由承包人承担。</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（10）监理工程师在本监理合同授权范围内行使合同规定的权利，履行相应的职责。</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12）如发包人认为监理人员的数量、监理人员的业务水平、监理人员的专业配置不能满足监理工作所需时，发包人有权另行聘请符合工作需要的监理人员；所聘请监理人员的工资已包括在本合同监理酬金内，此费用由承包人向所聘监理人员支付。必要时发包人有权从本合同监理酬金中直接支付。</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（13）发包人根据工程推进实际情况，有权要求承包人的项目负责人必须调用其资源保证落实本项目监理工作。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（14）承包人应对其驻地监理人员的人身安全承担责任。</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15）承包人应于委托监理合同签订后十天内将项目监理机构的组织形式、人员构成及对总监理工程师的任命书面通知发包人。当总监理工程师需要调整时，承包人应征事先书面征得发包人的同意；当专业监理工程师需要调整时，总监理工程师应书面通知发包人和承包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（16）为了加强发包人与承包人的沟通与协调，发包人指定一名专业工程师常驻施工现场，监督并协助项目监理机构工作。该名代表的主要职责是：</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1）监督承包人的日常监理工作；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2）负责每天对承包人人员及仪器设备的投入进行考勤考核；</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3）检查承包人的旁站计划及旁站工作记录；</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4）检查承包人的监理日志及隐蔽工程验收记录；</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5）检查承包人编制的承包人人、材、机投入及实物工程量统计报表；</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6）如发生安全质量事故，应立即向发包人工程部门领导汇报；</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7）审核签认监理酬金支付申请表；</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8）每天填写工作日志，不定期接受发包人工程部门检查；</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9）发包人要求其履行的其他职责。</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（17）承包人应按照广州市建委的要求为监理人员办理平安卡。</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3.2.2  总监理工程师的委派和指令</w:t>
      </w:r>
    </w:p>
    <w:p>
      <w:pPr>
        <w:topLinePunct/>
        <w:adjustRightInd w:val="0"/>
        <w:snapToGrid w:val="0"/>
        <w:spacing w:line="420" w:lineRule="exact"/>
        <w:ind w:firstLine="496" w:firstLineChars="200"/>
        <w:rPr>
          <w:bCs/>
          <w:snapToGrid w:val="0"/>
          <w:spacing w:val="4"/>
          <w:kern w:val="0"/>
          <w:sz w:val="24"/>
        </w:rPr>
      </w:pPr>
      <w:r>
        <w:rPr>
          <w:snapToGrid w:val="0"/>
          <w:spacing w:val="4"/>
          <w:kern w:val="0"/>
          <w:sz w:val="24"/>
        </w:rPr>
        <w:t>（1）</w:t>
      </w:r>
      <w:r>
        <w:rPr>
          <w:bCs/>
          <w:snapToGrid w:val="0"/>
          <w:spacing w:val="4"/>
          <w:kern w:val="0"/>
          <w:sz w:val="24"/>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pPr>
        <w:topLinePunct/>
        <w:adjustRightInd w:val="0"/>
        <w:snapToGrid w:val="0"/>
        <w:spacing w:line="420" w:lineRule="exact"/>
        <w:ind w:firstLine="496" w:firstLineChars="200"/>
        <w:rPr>
          <w:bCs/>
          <w:snapToGrid w:val="0"/>
          <w:spacing w:val="4"/>
          <w:kern w:val="0"/>
          <w:sz w:val="24"/>
        </w:rPr>
      </w:pPr>
      <w:r>
        <w:rPr>
          <w:snapToGrid w:val="0"/>
          <w:spacing w:val="4"/>
          <w:kern w:val="0"/>
          <w:sz w:val="24"/>
        </w:rPr>
        <w:t>（2）</w:t>
      </w:r>
      <w:r>
        <w:rPr>
          <w:bCs/>
          <w:snapToGrid w:val="0"/>
          <w:spacing w:val="4"/>
          <w:kern w:val="0"/>
          <w:sz w:val="24"/>
        </w:rPr>
        <w:t>除特别指明外，监理人员对承包人的任何工作、工程或其采用的材料和工程设备未提出否定意见的，不应视为已获批准，也不影响总监理工程师或监理人员在以后拒绝该项工作、工程、材料或工程设备的权利。</w:t>
      </w:r>
    </w:p>
    <w:p>
      <w:pPr>
        <w:topLinePunct/>
        <w:adjustRightInd w:val="0"/>
        <w:snapToGrid w:val="0"/>
        <w:spacing w:line="420" w:lineRule="exact"/>
        <w:ind w:firstLine="496" w:firstLineChars="200"/>
        <w:rPr>
          <w:bCs/>
          <w:snapToGrid w:val="0"/>
          <w:spacing w:val="4"/>
          <w:kern w:val="0"/>
          <w:sz w:val="24"/>
        </w:rPr>
      </w:pPr>
      <w:r>
        <w:rPr>
          <w:snapToGrid w:val="0"/>
          <w:spacing w:val="4"/>
          <w:kern w:val="0"/>
          <w:sz w:val="24"/>
        </w:rPr>
        <w:t>（3）</w:t>
      </w:r>
      <w:r>
        <w:rPr>
          <w:bCs/>
          <w:snapToGrid w:val="0"/>
          <w:spacing w:val="4"/>
          <w:kern w:val="0"/>
          <w:sz w:val="24"/>
        </w:rPr>
        <w:t>总监理工程师应按相关合同的约定向承包人发出指令，总监理工程师的指令应盖有承包人授权的施工场地机构章，并由总监理工程师或总监理工程师按上述（1）项约定授权的监理人员签字。</w:t>
      </w:r>
    </w:p>
    <w:p>
      <w:pPr>
        <w:topLinePunct/>
        <w:adjustRightInd w:val="0"/>
        <w:snapToGrid w:val="0"/>
        <w:spacing w:line="420" w:lineRule="exact"/>
        <w:ind w:firstLine="496" w:firstLineChars="200"/>
        <w:rPr>
          <w:bCs/>
          <w:strike/>
          <w:snapToGrid w:val="0"/>
          <w:spacing w:val="4"/>
          <w:kern w:val="0"/>
          <w:sz w:val="24"/>
        </w:rPr>
      </w:pPr>
      <w:r>
        <w:rPr>
          <w:snapToGrid w:val="0"/>
          <w:spacing w:val="4"/>
          <w:kern w:val="0"/>
          <w:sz w:val="24"/>
        </w:rPr>
        <w:t>（4）</w:t>
      </w:r>
      <w:r>
        <w:rPr>
          <w:bCs/>
          <w:snapToGrid w:val="0"/>
          <w:spacing w:val="4"/>
          <w:kern w:val="0"/>
          <w:sz w:val="24"/>
        </w:rPr>
        <w:t>承包人收到总监理工程师按上述（3）项约定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发包人裁决。</w:t>
      </w:r>
    </w:p>
    <w:p>
      <w:pPr>
        <w:topLinePunct/>
        <w:adjustRightInd w:val="0"/>
        <w:snapToGrid w:val="0"/>
        <w:spacing w:line="420" w:lineRule="exact"/>
        <w:ind w:firstLine="496" w:firstLineChars="200"/>
        <w:rPr>
          <w:bCs/>
          <w:snapToGrid w:val="0"/>
          <w:spacing w:val="4"/>
          <w:kern w:val="0"/>
          <w:sz w:val="24"/>
        </w:rPr>
      </w:pPr>
      <w:r>
        <w:rPr>
          <w:snapToGrid w:val="0"/>
          <w:spacing w:val="4"/>
          <w:kern w:val="0"/>
          <w:sz w:val="24"/>
        </w:rPr>
        <w:t>（5）</w:t>
      </w:r>
      <w:r>
        <w:rPr>
          <w:bCs/>
          <w:snapToGrid w:val="0"/>
          <w:spacing w:val="4"/>
          <w:kern w:val="0"/>
          <w:sz w:val="24"/>
        </w:rPr>
        <w:t>在紧急情况下，总监理工程师或被授权的监理人员可以当场发出口头指令，承包人应遵照执行。承包人应在发出口头指令后24小时内发出书面指令予以确认。</w:t>
      </w:r>
    </w:p>
    <w:p>
      <w:pPr>
        <w:topLinePunct/>
        <w:adjustRightInd w:val="0"/>
        <w:snapToGrid w:val="0"/>
        <w:spacing w:line="420" w:lineRule="exact"/>
        <w:ind w:firstLine="496" w:firstLineChars="200"/>
        <w:rPr>
          <w:bCs/>
          <w:snapToGrid w:val="0"/>
          <w:spacing w:val="4"/>
          <w:kern w:val="0"/>
          <w:sz w:val="24"/>
        </w:rPr>
      </w:pPr>
      <w:r>
        <w:rPr>
          <w:snapToGrid w:val="0"/>
          <w:spacing w:val="4"/>
          <w:kern w:val="0"/>
          <w:sz w:val="24"/>
        </w:rPr>
        <w:t>（6）</w:t>
      </w:r>
      <w:r>
        <w:rPr>
          <w:bCs/>
          <w:snapToGrid w:val="0"/>
          <w:spacing w:val="4"/>
          <w:kern w:val="0"/>
          <w:sz w:val="24"/>
        </w:rPr>
        <w:t>除合同另有约定外，承包人只从总监理工程师或按上述（1）项被授权的监理人员处取得指令。</w:t>
      </w:r>
    </w:p>
    <w:p>
      <w:pPr>
        <w:topLinePunct/>
        <w:adjustRightInd w:val="0"/>
        <w:snapToGrid w:val="0"/>
        <w:spacing w:line="420" w:lineRule="exact"/>
        <w:ind w:firstLine="496" w:firstLineChars="200"/>
        <w:rPr>
          <w:bCs/>
          <w:snapToGrid w:val="0"/>
          <w:spacing w:val="4"/>
          <w:kern w:val="0"/>
          <w:sz w:val="24"/>
        </w:rPr>
      </w:pPr>
      <w:r>
        <w:rPr>
          <w:snapToGrid w:val="0"/>
          <w:spacing w:val="4"/>
          <w:kern w:val="0"/>
          <w:sz w:val="24"/>
        </w:rPr>
        <w:t>（7）</w:t>
      </w:r>
      <w:r>
        <w:rPr>
          <w:bCs/>
          <w:snapToGrid w:val="0"/>
          <w:spacing w:val="4"/>
          <w:kern w:val="0"/>
          <w:sz w:val="24"/>
        </w:rPr>
        <w:t>由于总监理工程师未能按合同约定履行职责或总监理工程师指令错误而延误工期的，工期顺延情形只适用于一般节点工期。</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第四条　承包人义务</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4.1</w:t>
      </w:r>
      <w:r>
        <w:rPr>
          <w:snapToGrid w:val="0"/>
          <w:spacing w:val="4"/>
          <w:kern w:val="0"/>
          <w:sz w:val="24"/>
        </w:rPr>
        <w:t xml:space="preserve">  承包人应对其派驻的项目监理机构在监理业务范围内的工作全面负责，并提供一切必要的支持。</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4.2</w:t>
      </w:r>
      <w:r>
        <w:rPr>
          <w:snapToGrid w:val="0"/>
          <w:spacing w:val="4"/>
          <w:kern w:val="0"/>
          <w:sz w:val="24"/>
        </w:rPr>
        <w:t xml:space="preserve">  承包人在本合同履行期内必须接受发包人有关项目管理机构职权规定的约束，承包人应对提供给本项目服务的人员经常进行检查、指导、管理及后方支持，对他们完成的服务承担责任。</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4.3</w:t>
      </w:r>
      <w:r>
        <w:rPr>
          <w:snapToGrid w:val="0"/>
          <w:spacing w:val="4"/>
          <w:kern w:val="0"/>
          <w:sz w:val="24"/>
        </w:rPr>
        <w:t xml:space="preserve">  承包人必须在收到图纸、勘察资料等技术文件后</w:t>
      </w:r>
      <w:r>
        <w:rPr>
          <w:b/>
          <w:bCs/>
          <w:snapToGrid w:val="0"/>
          <w:spacing w:val="4"/>
          <w:kern w:val="0"/>
          <w:sz w:val="24"/>
        </w:rPr>
        <w:t>14日</w:t>
      </w:r>
      <w:r>
        <w:rPr>
          <w:snapToGrid w:val="0"/>
          <w:spacing w:val="4"/>
          <w:kern w:val="0"/>
          <w:sz w:val="24"/>
        </w:rPr>
        <w:t>内向发包人提供针对本合同工程特点、重点、难点的《监理规划》、相应的《监理实施细则》，经发包人审核批准后执行，发包人以此具体考核承包人的监理工作。如发包人要求承包人对《监理规划》等进行调整，承包人必须在</w:t>
      </w:r>
      <w:r>
        <w:rPr>
          <w:b/>
          <w:bCs/>
          <w:snapToGrid w:val="0"/>
          <w:spacing w:val="4"/>
          <w:kern w:val="0"/>
          <w:sz w:val="24"/>
        </w:rPr>
        <w:t>3日</w:t>
      </w:r>
      <w:r>
        <w:rPr>
          <w:snapToGrid w:val="0"/>
          <w:spacing w:val="4"/>
          <w:kern w:val="0"/>
          <w:sz w:val="24"/>
        </w:rPr>
        <w:t>内完成调整并报发包人审批。</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4.4</w:t>
      </w:r>
      <w:r>
        <w:rPr>
          <w:snapToGrid w:val="0"/>
          <w:spacing w:val="4"/>
          <w:kern w:val="0"/>
          <w:sz w:val="24"/>
        </w:rPr>
        <w:t xml:space="preserve">  发包人委托承包人代表发包人组织施工前期手续的办理工作，直至具备施工条件。发包人委托承包人承担本合同工程范围内的协调管理工作，包括工程施工的进场、设计、退场、质量、进度及其他相关工作。</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4.5</w:t>
      </w:r>
      <w:r>
        <w:rPr>
          <w:snapToGrid w:val="0"/>
          <w:spacing w:val="4"/>
          <w:kern w:val="0"/>
          <w:sz w:val="24"/>
        </w:rPr>
        <w:t xml:space="preserve">  监理工程师在本合同工程中，对工程质量、投资与进度进行控制，办理合同约定的各项手续。监理工程师在办理各种手续时，不得扣压和延误。</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4.6</w:t>
      </w:r>
      <w:r>
        <w:rPr>
          <w:snapToGrid w:val="0"/>
          <w:spacing w:val="4"/>
          <w:kern w:val="0"/>
          <w:sz w:val="24"/>
        </w:rPr>
        <w:t xml:space="preserve">  在任何情况下（包括合同另有约定的情况），凡涉及工程变更、工程量增减、议价、索赔、处理事故、改变工期、改变技术标准、改变重大施工方案等及一切有关费用的问题，均需与发包人共同商定，报发包人批准。</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4.7</w:t>
      </w:r>
      <w:r>
        <w:rPr>
          <w:snapToGrid w:val="0"/>
          <w:spacing w:val="4"/>
          <w:kern w:val="0"/>
          <w:sz w:val="24"/>
        </w:rPr>
        <w:t xml:space="preserve">  本合同工程质量实行承包人自检、承包人、发包人和政府监督的多级管理体制。对工程质量出现问题返工而造成的一切经济和工期损失，由承包人承担，并按合同约定承担相应的违约责任。承包人根据本合同约定承担相应的责任。承包人对某一分部或分项工程的认可不影响政府监督机构或发包人在事后的否定。</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4.8</w:t>
      </w:r>
      <w:r>
        <w:rPr>
          <w:snapToGrid w:val="0"/>
          <w:spacing w:val="4"/>
          <w:kern w:val="0"/>
          <w:sz w:val="24"/>
        </w:rPr>
        <w:t xml:space="preserve">  承包人应尽一切努力，高效又经济地按照合同约定及行业通常接受的技术和惯例履行服务，遵守正确的管理和工程惯例，使用适当的先进技术和安全有效的设备、仪器、材料和方法，就与施工合同中服务有关的事宜，承包人始终作为发包人的忠实顾问，认真、充分履行其监理职责。在与承包人的交往中维护发包人的合法利益，力争使其服务达到发包人满意。</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4.9</w:t>
      </w:r>
      <w:r>
        <w:rPr>
          <w:snapToGrid w:val="0"/>
          <w:spacing w:val="4"/>
          <w:kern w:val="0"/>
          <w:sz w:val="24"/>
        </w:rPr>
        <w:t xml:space="preserve">  承包人必须不折不扣地履行其工作职责，不得推托或耽误，不能有不履行或不完全履行职务的行为，否则，必须承担相应的违约责任。</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4.10</w:t>
      </w:r>
      <w:r>
        <w:rPr>
          <w:snapToGrid w:val="0"/>
          <w:spacing w:val="4"/>
          <w:kern w:val="0"/>
          <w:sz w:val="24"/>
        </w:rPr>
        <w:t xml:space="preserve">  对于发包人及承包人书面提交并要求作出决定的事宜，承包人应在3日内作出书面答复，对影响施工现场进度的事项应在其发生后的24小时内作出具有明确处理意见的书面答复。</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4.11</w:t>
      </w:r>
      <w:r>
        <w:rPr>
          <w:snapToGrid w:val="0"/>
          <w:spacing w:val="4"/>
          <w:kern w:val="0"/>
          <w:sz w:val="24"/>
        </w:rPr>
        <w:t xml:space="preserve">  </w:t>
      </w:r>
      <w:r>
        <w:rPr>
          <w:bCs/>
          <w:snapToGrid w:val="0"/>
          <w:kern w:val="0"/>
          <w:sz w:val="24"/>
        </w:rPr>
        <w:t>双方约定，承包人按照如下约定向发包人提供履约担保文件：</w:t>
      </w:r>
    </w:p>
    <w:p>
      <w:pPr>
        <w:adjustRightInd w:val="0"/>
        <w:snapToGrid w:val="0"/>
        <w:spacing w:line="420" w:lineRule="exact"/>
        <w:ind w:right="11" w:firstLine="200"/>
        <w:rPr>
          <w:snapToGrid w:val="0"/>
          <w:kern w:val="0"/>
          <w:sz w:val="24"/>
        </w:rPr>
      </w:pPr>
      <w:r>
        <w:rPr>
          <w:snapToGrid w:val="0"/>
          <w:kern w:val="0"/>
          <w:sz w:val="24"/>
        </w:rPr>
        <w:t xml:space="preserve">    （一）承包人提供履约担保</w:t>
      </w:r>
    </w:p>
    <w:p>
      <w:pPr>
        <w:adjustRightInd w:val="0"/>
        <w:snapToGrid w:val="0"/>
        <w:spacing w:line="420" w:lineRule="exact"/>
        <w:ind w:right="11" w:firstLine="480" w:firstLineChars="200"/>
        <w:rPr>
          <w:snapToGrid w:val="0"/>
          <w:kern w:val="0"/>
          <w:sz w:val="24"/>
        </w:rPr>
      </w:pPr>
      <w:r>
        <w:rPr>
          <w:snapToGrid w:val="0"/>
          <w:kern w:val="0"/>
          <w:sz w:val="24"/>
        </w:rPr>
        <w:t>1、履约担保的金额：本协议暂定价款合同金额的10%。</w:t>
      </w:r>
    </w:p>
    <w:p>
      <w:pPr>
        <w:adjustRightInd w:val="0"/>
        <w:snapToGrid w:val="0"/>
        <w:spacing w:line="420" w:lineRule="exact"/>
        <w:ind w:right="11" w:firstLine="480" w:firstLineChars="200"/>
        <w:rPr>
          <w:snapToGrid w:val="0"/>
          <w:kern w:val="0"/>
          <w:sz w:val="24"/>
        </w:rPr>
      </w:pPr>
      <w:r>
        <w:rPr>
          <w:snapToGrid w:val="0"/>
          <w:kern w:val="0"/>
          <w:sz w:val="24"/>
        </w:rPr>
        <w:t>2、担保形式：以银行保函的形式提交。</w:t>
      </w:r>
    </w:p>
    <w:p>
      <w:pPr>
        <w:adjustRightInd w:val="0"/>
        <w:snapToGrid w:val="0"/>
        <w:spacing w:line="420" w:lineRule="exact"/>
        <w:ind w:right="11" w:firstLine="480" w:firstLineChars="200"/>
        <w:rPr>
          <w:snapToGrid w:val="0"/>
          <w:kern w:val="0"/>
          <w:sz w:val="24"/>
        </w:rPr>
      </w:pPr>
      <w:r>
        <w:rPr>
          <w:snapToGrid w:val="0"/>
          <w:kern w:val="0"/>
          <w:sz w:val="24"/>
        </w:rPr>
        <w:t>3、履约担保的提交时间：发包人发出中标通知书后15日内。</w:t>
      </w:r>
    </w:p>
    <w:p>
      <w:pPr>
        <w:adjustRightInd w:val="0"/>
        <w:snapToGrid w:val="0"/>
        <w:spacing w:line="420" w:lineRule="exact"/>
        <w:ind w:right="11" w:firstLine="480" w:firstLineChars="200"/>
        <w:rPr>
          <w:snapToGrid w:val="0"/>
          <w:kern w:val="0"/>
          <w:sz w:val="24"/>
        </w:rPr>
      </w:pPr>
      <w:r>
        <w:rPr>
          <w:snapToGrid w:val="0"/>
          <w:kern w:val="0"/>
          <w:sz w:val="24"/>
        </w:rPr>
        <w:t>4、出具履约银行保函的银行：应为在中国注册且营业地点在广州行政辖区内的分行或以上级别的银行。</w:t>
      </w:r>
    </w:p>
    <w:p>
      <w:pPr>
        <w:adjustRightInd w:val="0"/>
        <w:snapToGrid w:val="0"/>
        <w:spacing w:line="420" w:lineRule="exact"/>
        <w:ind w:right="11" w:firstLine="496" w:firstLineChars="200"/>
        <w:rPr>
          <w:snapToGrid w:val="0"/>
          <w:kern w:val="0"/>
          <w:sz w:val="24"/>
        </w:rPr>
      </w:pPr>
      <w:r>
        <w:rPr>
          <w:bCs/>
          <w:snapToGrid w:val="0"/>
          <w:spacing w:val="4"/>
          <w:kern w:val="0"/>
          <w:sz w:val="24"/>
          <w:bdr w:val="single" w:color="auto" w:sz="4" w:space="0"/>
        </w:rPr>
        <w:t>×</w:t>
      </w:r>
      <w:r>
        <w:rPr>
          <w:snapToGrid w:val="0"/>
          <w:kern w:val="0"/>
          <w:sz w:val="24"/>
        </w:rPr>
        <w:t>（二）现金保证金的缴交、置换及退还</w:t>
      </w:r>
    </w:p>
    <w:p>
      <w:pPr>
        <w:adjustRightInd w:val="0"/>
        <w:snapToGrid w:val="0"/>
        <w:spacing w:line="420" w:lineRule="exact"/>
        <w:ind w:right="11" w:firstLine="480" w:firstLineChars="200"/>
        <w:rPr>
          <w:snapToGrid w:val="0"/>
          <w:kern w:val="0"/>
          <w:sz w:val="24"/>
        </w:rPr>
      </w:pPr>
      <w:r>
        <w:rPr>
          <w:snapToGrid w:val="0"/>
          <w:kern w:val="0"/>
          <w:sz w:val="24"/>
        </w:rPr>
        <w:t>现金保证金可根据工程进展及承包人的履约诚信情况，由承包人提出申请，经发包人批准后可用银行保函分阶段等额无息置换。</w:t>
      </w:r>
    </w:p>
    <w:p>
      <w:pPr>
        <w:adjustRightInd w:val="0"/>
        <w:snapToGrid w:val="0"/>
        <w:spacing w:line="420" w:lineRule="exact"/>
        <w:ind w:right="11" w:firstLine="480" w:firstLineChars="200"/>
        <w:rPr>
          <w:snapToGrid w:val="0"/>
          <w:kern w:val="0"/>
          <w:sz w:val="24"/>
        </w:rPr>
      </w:pPr>
      <w:r>
        <w:rPr>
          <w:snapToGrid w:val="0"/>
          <w:kern w:val="0"/>
          <w:sz w:val="24"/>
        </w:rPr>
        <w:t>现金保证金的缴交、置换及退还的管理按相关规定、区政府的相关会议纪要执行。</w:t>
      </w:r>
    </w:p>
    <w:p>
      <w:pPr>
        <w:adjustRightInd w:val="0"/>
        <w:snapToGrid w:val="0"/>
        <w:spacing w:line="420" w:lineRule="exact"/>
        <w:ind w:right="11" w:firstLine="480" w:firstLineChars="200"/>
        <w:rPr>
          <w:snapToGrid w:val="0"/>
          <w:kern w:val="0"/>
          <w:sz w:val="24"/>
        </w:rPr>
      </w:pPr>
      <w:r>
        <w:rPr>
          <w:snapToGrid w:val="0"/>
          <w:kern w:val="0"/>
          <w:sz w:val="24"/>
        </w:rPr>
        <w:t>（三）履约银行保函使用流程</w:t>
      </w:r>
    </w:p>
    <w:p>
      <w:pPr>
        <w:adjustRightInd w:val="0"/>
        <w:snapToGrid w:val="0"/>
        <w:spacing w:line="420" w:lineRule="exact"/>
        <w:ind w:right="11" w:firstLine="480" w:firstLineChars="200"/>
        <w:rPr>
          <w:snapToGrid w:val="0"/>
          <w:kern w:val="0"/>
          <w:sz w:val="24"/>
        </w:rPr>
      </w:pPr>
      <w:r>
        <w:rPr>
          <w:snapToGrid w:val="0"/>
          <w:kern w:val="0"/>
          <w:sz w:val="24"/>
        </w:rPr>
        <w:t>1、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pPr>
        <w:adjustRightInd w:val="0"/>
        <w:snapToGrid w:val="0"/>
        <w:spacing w:line="420" w:lineRule="exact"/>
        <w:ind w:right="11" w:firstLine="480" w:firstLineChars="200"/>
        <w:rPr>
          <w:snapToGrid w:val="0"/>
          <w:kern w:val="0"/>
          <w:sz w:val="24"/>
        </w:rPr>
      </w:pPr>
      <w:r>
        <w:rPr>
          <w:snapToGrid w:val="0"/>
          <w:kern w:val="0"/>
          <w:sz w:val="24"/>
        </w:rPr>
        <w:t>2、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本合同约定的</w:t>
      </w:r>
      <w:r>
        <w:rPr>
          <w:rFonts w:hint="eastAsia"/>
          <w:snapToGrid w:val="0"/>
          <w:kern w:val="0"/>
          <w:sz w:val="24"/>
        </w:rPr>
        <w:t>监理</w:t>
      </w:r>
      <w:r>
        <w:rPr>
          <w:snapToGrid w:val="0"/>
          <w:kern w:val="0"/>
          <w:sz w:val="24"/>
        </w:rPr>
        <w:t>费的余额。</w:t>
      </w:r>
    </w:p>
    <w:p>
      <w:pPr>
        <w:adjustRightInd w:val="0"/>
        <w:snapToGrid w:val="0"/>
        <w:spacing w:line="420" w:lineRule="exact"/>
        <w:ind w:right="11" w:firstLine="480" w:firstLineChars="200"/>
        <w:rPr>
          <w:snapToGrid w:val="0"/>
          <w:kern w:val="0"/>
          <w:sz w:val="24"/>
        </w:rPr>
      </w:pPr>
      <w:r>
        <w:rPr>
          <w:snapToGrid w:val="0"/>
          <w:kern w:val="0"/>
          <w:sz w:val="24"/>
        </w:rPr>
        <w:t>3、履约担保的启用条件</w:t>
      </w:r>
    </w:p>
    <w:p>
      <w:pPr>
        <w:adjustRightInd w:val="0"/>
        <w:snapToGrid w:val="0"/>
        <w:spacing w:line="420" w:lineRule="exact"/>
        <w:ind w:right="11" w:firstLine="480" w:firstLineChars="200"/>
        <w:rPr>
          <w:snapToGrid w:val="0"/>
          <w:kern w:val="0"/>
          <w:sz w:val="24"/>
        </w:rPr>
      </w:pPr>
      <w:r>
        <w:rPr>
          <w:snapToGrid w:val="0"/>
          <w:kern w:val="0"/>
          <w:sz w:val="24"/>
        </w:rPr>
        <w:t>当出现下列情形时，发包人有权启用履约担保：</w:t>
      </w:r>
    </w:p>
    <w:p>
      <w:pPr>
        <w:adjustRightInd w:val="0"/>
        <w:snapToGrid w:val="0"/>
        <w:spacing w:line="420" w:lineRule="exact"/>
        <w:ind w:right="11" w:firstLine="480" w:firstLineChars="200"/>
        <w:rPr>
          <w:snapToGrid w:val="0"/>
          <w:kern w:val="0"/>
          <w:sz w:val="24"/>
        </w:rPr>
      </w:pPr>
      <w:r>
        <w:rPr>
          <w:snapToGrid w:val="0"/>
          <w:kern w:val="0"/>
          <w:sz w:val="24"/>
        </w:rPr>
        <w:t>（1）如果承包人不能保证项目资金的投入导致本项目进度比约定的节点工期滞后30天以上或因承包人原因解除本协议，则发包人有权启用履约担保，用于项目</w:t>
      </w:r>
      <w:r>
        <w:rPr>
          <w:b/>
          <w:bCs/>
          <w:snapToGrid w:val="0"/>
          <w:kern w:val="0"/>
          <w:sz w:val="24"/>
        </w:rPr>
        <w:t>违约金</w:t>
      </w:r>
      <w:r>
        <w:rPr>
          <w:snapToGrid w:val="0"/>
          <w:kern w:val="0"/>
          <w:sz w:val="24"/>
        </w:rPr>
        <w:t>；</w:t>
      </w:r>
    </w:p>
    <w:p>
      <w:pPr>
        <w:adjustRightInd w:val="0"/>
        <w:snapToGrid w:val="0"/>
        <w:spacing w:line="420" w:lineRule="exact"/>
        <w:ind w:right="11" w:firstLine="480" w:firstLineChars="200"/>
        <w:rPr>
          <w:snapToGrid w:val="0"/>
          <w:kern w:val="0"/>
          <w:sz w:val="24"/>
        </w:rPr>
      </w:pPr>
      <w:r>
        <w:rPr>
          <w:snapToGrid w:val="0"/>
          <w:kern w:val="0"/>
          <w:sz w:val="24"/>
        </w:rPr>
        <w:t>（2）因承包人原因（包括但不限于未按期向专业分包设计单位支付相关款项等引发与第三方的纠纷，导致本项目或发包人受到影响或损失；</w:t>
      </w:r>
    </w:p>
    <w:p>
      <w:pPr>
        <w:adjustRightInd w:val="0"/>
        <w:snapToGrid w:val="0"/>
        <w:spacing w:line="420" w:lineRule="exact"/>
        <w:ind w:right="11" w:firstLine="480" w:firstLineChars="200"/>
        <w:rPr>
          <w:snapToGrid w:val="0"/>
          <w:kern w:val="0"/>
          <w:sz w:val="24"/>
        </w:rPr>
      </w:pPr>
      <w:r>
        <w:rPr>
          <w:snapToGrid w:val="0"/>
          <w:kern w:val="0"/>
          <w:sz w:val="24"/>
        </w:rPr>
        <w:t>（3）因承包人违约计扣的违约金或赔偿金累计超过应付服务费用总额；</w:t>
      </w:r>
    </w:p>
    <w:p>
      <w:pPr>
        <w:adjustRightInd w:val="0"/>
        <w:snapToGrid w:val="0"/>
        <w:spacing w:line="420" w:lineRule="exact"/>
        <w:ind w:right="11" w:firstLine="480" w:firstLineChars="200"/>
        <w:rPr>
          <w:snapToGrid w:val="0"/>
          <w:kern w:val="0"/>
          <w:sz w:val="24"/>
        </w:rPr>
      </w:pPr>
      <w:r>
        <w:rPr>
          <w:snapToGrid w:val="0"/>
          <w:kern w:val="0"/>
          <w:sz w:val="24"/>
        </w:rPr>
        <w:t>（4）本协议（含本协议附件）约定的其他部分或全部需要启动履约担保的情形。</w:t>
      </w:r>
    </w:p>
    <w:p>
      <w:pPr>
        <w:adjustRightInd w:val="0"/>
        <w:snapToGrid w:val="0"/>
        <w:spacing w:line="420" w:lineRule="exact"/>
        <w:ind w:right="11" w:firstLine="480" w:firstLineChars="200"/>
        <w:rPr>
          <w:snapToGrid w:val="0"/>
          <w:kern w:val="0"/>
          <w:sz w:val="24"/>
        </w:rPr>
      </w:pPr>
      <w:r>
        <w:rPr>
          <w:snapToGrid w:val="0"/>
          <w:kern w:val="0"/>
          <w:sz w:val="24"/>
        </w:rPr>
        <w:t>（5）承包人在履行合同过程中，由于以上且不仅限于以上的违约行为，发包人进行违约处罚，并根据承包人的投标承诺书动用履约担保（含现金保证金），承包人及承包人的履约担保方须无条件执行，且不挑剔、不争辩、不迟延，也不要求发包人出具任何证明或说明背景、理由。</w:t>
      </w:r>
    </w:p>
    <w:p>
      <w:pPr>
        <w:adjustRightInd w:val="0"/>
        <w:snapToGrid w:val="0"/>
        <w:spacing w:line="420" w:lineRule="exact"/>
        <w:ind w:right="11" w:firstLine="482" w:firstLineChars="200"/>
        <w:rPr>
          <w:snapToGrid w:val="0"/>
          <w:kern w:val="0"/>
          <w:sz w:val="24"/>
        </w:rPr>
      </w:pPr>
      <w:r>
        <w:rPr>
          <w:b/>
          <w:snapToGrid w:val="0"/>
          <w:kern w:val="0"/>
          <w:sz w:val="24"/>
        </w:rPr>
        <w:t>4.12</w:t>
      </w:r>
      <w:r>
        <w:rPr>
          <w:snapToGrid w:val="0"/>
          <w:kern w:val="0"/>
          <w:sz w:val="24"/>
        </w:rPr>
        <w:t>如果承包人不按发包人的要求提交提交保险单、履约保函的，视为违约，则发包人有权部分解除或解除本合同，</w:t>
      </w:r>
      <w:r>
        <w:rPr>
          <w:snapToGrid w:val="0"/>
          <w:spacing w:val="4"/>
          <w:kern w:val="0"/>
          <w:sz w:val="24"/>
        </w:rPr>
        <w:t>其所提交的投标保证金不予退还。</w:t>
      </w:r>
    </w:p>
    <w:p>
      <w:pPr>
        <w:adjustRightInd w:val="0"/>
        <w:snapToGrid w:val="0"/>
        <w:spacing w:line="420" w:lineRule="exact"/>
        <w:ind w:right="11" w:firstLine="482" w:firstLineChars="200"/>
        <w:rPr>
          <w:snapToGrid w:val="0"/>
          <w:kern w:val="0"/>
          <w:sz w:val="24"/>
        </w:rPr>
      </w:pPr>
      <w:r>
        <w:rPr>
          <w:b/>
          <w:snapToGrid w:val="0"/>
          <w:kern w:val="0"/>
          <w:sz w:val="24"/>
        </w:rPr>
        <w:t>4.13</w:t>
      </w:r>
      <w:r>
        <w:rPr>
          <w:snapToGrid w:val="0"/>
          <w:kern w:val="0"/>
          <w:sz w:val="24"/>
        </w:rPr>
        <w:t>履约担保到期后，承包人应当续期，发生承包人违约，发包人有权在发包人当期应支付服务费中扣除相应违约款项。</w:t>
      </w:r>
    </w:p>
    <w:p>
      <w:pPr>
        <w:adjustRightInd w:val="0"/>
        <w:snapToGrid w:val="0"/>
        <w:spacing w:line="420" w:lineRule="exact"/>
        <w:ind w:right="11" w:firstLine="482" w:firstLineChars="200"/>
        <w:rPr>
          <w:snapToGrid w:val="0"/>
          <w:kern w:val="0"/>
          <w:sz w:val="24"/>
        </w:rPr>
      </w:pPr>
      <w:r>
        <w:rPr>
          <w:b/>
          <w:snapToGrid w:val="0"/>
          <w:kern w:val="0"/>
          <w:sz w:val="24"/>
        </w:rPr>
        <w:t xml:space="preserve">4.14 </w:t>
      </w:r>
      <w:r>
        <w:rPr>
          <w:snapToGrid w:val="0"/>
          <w:spacing w:val="-4"/>
          <w:kern w:val="0"/>
          <w:sz w:val="24"/>
          <w:lang w:val="zh-CN"/>
        </w:rPr>
        <w:t>承包人全部履行完本合同约定的义务时，</w:t>
      </w:r>
      <w:r>
        <w:rPr>
          <w:snapToGrid w:val="0"/>
          <w:kern w:val="0"/>
          <w:sz w:val="24"/>
        </w:rPr>
        <w:t>发包人通过承包人将履约保函退还给银行。</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4.15</w:t>
      </w:r>
      <w:r>
        <w:rPr>
          <w:snapToGrid w:val="0"/>
          <w:spacing w:val="4"/>
          <w:kern w:val="0"/>
          <w:sz w:val="24"/>
        </w:rPr>
        <w:t xml:space="preserve"> 如果承包人不按发包人的要求及时补充提交履约银行保函，则发包人有权单方面部分解除或解除本合同，并按合同</w:t>
      </w:r>
      <w:r>
        <w:rPr>
          <w:snapToGrid w:val="0"/>
          <w:spacing w:val="4"/>
          <w:kern w:val="0"/>
          <w:sz w:val="24"/>
          <w:u w:val="single"/>
        </w:rPr>
        <w:t>专用条件第13.1（4）、（5）款</w:t>
      </w:r>
      <w:r>
        <w:rPr>
          <w:snapToGrid w:val="0"/>
          <w:spacing w:val="4"/>
          <w:kern w:val="0"/>
          <w:sz w:val="24"/>
        </w:rPr>
        <w:t>的有关约定执行。</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4.16</w:t>
      </w:r>
      <w:r>
        <w:rPr>
          <w:snapToGrid w:val="0"/>
          <w:spacing w:val="4"/>
          <w:kern w:val="0"/>
          <w:sz w:val="24"/>
        </w:rPr>
        <w:t xml:space="preserve"> 工程结算最终定审后，承包人可以向发包人申请退还履约银行保函。</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 xml:space="preserve">4.17 </w:t>
      </w:r>
      <w:r>
        <w:rPr>
          <w:snapToGrid w:val="0"/>
          <w:spacing w:val="4"/>
          <w:kern w:val="0"/>
          <w:sz w:val="24"/>
        </w:rPr>
        <w:t>承包人应在监理服务期内，办理派驻到项目所在地人员人身和自备财产的有关保险，保险时间应随服务时间的延长而顺延，并在出险后自行办理索赔。如果承包人不办理上述保险，则应对有关风险及后果自负其责。同时，承包人应该尽一切合理的努力，按发包人可接受的条件对承包人的责任、第三方的责任以及发包人为监理服务提供的财产等进行保险。上述有关费用由承包人承担。</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 xml:space="preserve">4.18 </w:t>
      </w:r>
      <w:r>
        <w:rPr>
          <w:snapToGrid w:val="0"/>
          <w:spacing w:val="4"/>
          <w:kern w:val="0"/>
          <w:sz w:val="24"/>
        </w:rPr>
        <w:t>承包人不按上述约定购买保险所产生的后果，由承包人自行承担。</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第五条　外部关系的协调</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发包人根据需要有权指令承包人协调部分外部关系，发包人对此无需支付任何酬金。</w:t>
      </w:r>
    </w:p>
    <w:p>
      <w:pPr>
        <w:topLinePunct/>
        <w:adjustRightInd w:val="0"/>
        <w:snapToGrid w:val="0"/>
        <w:spacing w:line="420" w:lineRule="exact"/>
        <w:ind w:firstLine="498" w:firstLineChars="200"/>
        <w:rPr>
          <w:b/>
          <w:snapToGrid w:val="0"/>
          <w:spacing w:val="4"/>
          <w:kern w:val="0"/>
          <w:sz w:val="24"/>
        </w:rPr>
      </w:pPr>
      <w:r>
        <w:rPr>
          <w:b/>
          <w:bCs/>
          <w:snapToGrid w:val="0"/>
          <w:spacing w:val="4"/>
          <w:kern w:val="0"/>
          <w:sz w:val="24"/>
        </w:rPr>
        <w:t>第六条</w:t>
      </w:r>
      <w:r>
        <w:rPr>
          <w:b/>
          <w:snapToGrid w:val="0"/>
          <w:spacing w:val="4"/>
          <w:kern w:val="0"/>
          <w:sz w:val="24"/>
        </w:rPr>
        <w:t>　发包人向承包人提供的文件、资料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发包人在本合同生效后3日内向承包人免费提供下述文件、资料：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（1）发包人与承包人签订的合同文件1份；</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（2）合同图纸和相关的标准图纸及说明2套；</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（3）施工图纸及说明2套；</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（4）承包人完成本合同监理工作所必须的其他文件和资料。</w:t>
      </w:r>
    </w:p>
    <w:p>
      <w:pPr>
        <w:topLinePunct/>
        <w:adjustRightInd w:val="0"/>
        <w:snapToGrid w:val="0"/>
        <w:spacing w:line="420" w:lineRule="exact"/>
        <w:ind w:firstLine="498" w:firstLineChars="200"/>
        <w:rPr>
          <w:b/>
          <w:snapToGrid w:val="0"/>
          <w:spacing w:val="4"/>
          <w:kern w:val="0"/>
          <w:sz w:val="24"/>
        </w:rPr>
      </w:pPr>
      <w:r>
        <w:rPr>
          <w:b/>
          <w:bCs/>
          <w:snapToGrid w:val="0"/>
          <w:spacing w:val="4"/>
          <w:kern w:val="0"/>
          <w:sz w:val="24"/>
        </w:rPr>
        <w:t>第七条</w:t>
      </w:r>
      <w:r>
        <w:rPr>
          <w:b/>
          <w:snapToGrid w:val="0"/>
          <w:spacing w:val="4"/>
          <w:kern w:val="0"/>
          <w:sz w:val="24"/>
        </w:rPr>
        <w:t>　发包人书面答复的时间</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发包人应在3日内对承包人书面提交并要求作出决定的事宜作出书面答复。</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第八条  发包人代表及发包人监理代表</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发包人代表由发包人现场项目部委派；由发包人指定并对发包人现场项目部报告，其工作职责按本合同</w:t>
      </w:r>
      <w:r>
        <w:rPr>
          <w:snapToGrid w:val="0"/>
          <w:spacing w:val="4"/>
          <w:kern w:val="0"/>
          <w:sz w:val="24"/>
          <w:u w:val="single"/>
        </w:rPr>
        <w:t>专用条件部分第3.2.1-（16）项</w:t>
      </w:r>
      <w:r>
        <w:rPr>
          <w:snapToGrid w:val="0"/>
          <w:spacing w:val="4"/>
          <w:kern w:val="0"/>
          <w:sz w:val="24"/>
        </w:rPr>
        <w:t>所述。</w:t>
      </w:r>
    </w:p>
    <w:p>
      <w:pPr>
        <w:topLinePunct/>
        <w:adjustRightInd w:val="0"/>
        <w:snapToGrid w:val="0"/>
        <w:spacing w:line="420" w:lineRule="exact"/>
        <w:ind w:firstLine="498" w:firstLineChars="200"/>
        <w:rPr>
          <w:b/>
          <w:snapToGrid w:val="0"/>
          <w:spacing w:val="4"/>
          <w:kern w:val="0"/>
          <w:sz w:val="24"/>
        </w:rPr>
      </w:pPr>
      <w:r>
        <w:rPr>
          <w:b/>
          <w:bCs/>
          <w:snapToGrid w:val="0"/>
          <w:spacing w:val="4"/>
          <w:kern w:val="0"/>
          <w:sz w:val="24"/>
        </w:rPr>
        <w:t>第九条  发包人提供的设备设施</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发包人仅向承包人提供项目监理机构办公用房（不包括房内的办公设施）及接通水电，其他满足本合同约定监理工作需要的办公、交通、通讯、生活等设施全部由承包人自行解决，其费用已包含在监理酬金中。承包人应自行解决食宿，不得与承包人同食同住。</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对承包人自备的设施，双方一致同意不适用本合同标准条件第十五条的约定，承包人不得向发包人索取任何经济补偿。</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项目监理机构应根据工程项目类别、规模、技术复杂程度、工程项目所在地的环境条件，按委托监理合同的约定，配备满足监理工作需要的常规检测设备和工具。</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项目监理机构应配备足够实施监理工作的计算机辅助管理。</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第十条  承包人的服务、工作人员</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在监理服务期间，发包人不免费向承包人提供工作人员和服务人员。</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第十一条  承包人的权利</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除选择工程分包单位的认可权由发包人行使外，承包人可以行使本合同</w:t>
      </w:r>
      <w:r>
        <w:rPr>
          <w:snapToGrid w:val="0"/>
          <w:spacing w:val="4"/>
          <w:kern w:val="0"/>
          <w:sz w:val="24"/>
          <w:u w:val="single"/>
        </w:rPr>
        <w:t>标准条件第十七条</w:t>
      </w:r>
      <w:r>
        <w:rPr>
          <w:snapToGrid w:val="0"/>
          <w:spacing w:val="4"/>
          <w:kern w:val="0"/>
          <w:sz w:val="24"/>
        </w:rPr>
        <w:t>约定的其他权利及下列权利：</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（1）工程质量与分项分部工程（含隐蔽工程）质量的检验权。未经监理工程师现场检验确认质量的工程，发包人有权拒绝支付工程款。</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（2）对完工的分项分部工程的计量权。承包人已完工且要求支付工程款的项目，应首先由监理工程师与承包人共同到现场进行计量。未经监理工程师计量的工程，发包人不予支付工程款。</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（3）工程质量事故的调查权和处理建议权。当工程出现质量事故时，监理工程师应组织质量听证会，结合现场调查的结果，提出调查报告和处理建议。</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承包人依据本合同约定的权限对承包人在施工质量、建设工期和建设资金使用等方面实施监管。承包人在行使合同约定的职权时不必事前征得发包人的批准，但承包人行使职权时下列事项必须取得发包人的书面批准（包括但不限于）：</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1）同意本合同工程任何部分的分包合同；</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2）工程款、材料款以及其他费用的支付；</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3）施工进度更改或对工程延期的决定；</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4）发布变更指令及签发现场签证；</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5）确定变更工程和新增工程的单价、费率、价格；</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6）承包人提出合理化建议或提出采用新工艺、新材料、新技术，涉及重大设计变更或施工方案调整的（这些变更或调整将改变原设计的基本功能或工期或投资等）；</w:t>
      </w:r>
    </w:p>
    <w:p>
      <w:pPr>
        <w:topLinePunct/>
        <w:adjustRightInd w:val="0"/>
        <w:snapToGrid w:val="0"/>
        <w:spacing w:line="420" w:lineRule="exact"/>
        <w:ind w:firstLine="496" w:firstLineChars="200"/>
        <w:rPr>
          <w:bCs/>
          <w:snapToGrid w:val="0"/>
          <w:spacing w:val="4"/>
          <w:kern w:val="0"/>
          <w:sz w:val="24"/>
        </w:rPr>
      </w:pPr>
      <w:r>
        <w:rPr>
          <w:snapToGrid w:val="0"/>
          <w:spacing w:val="4"/>
          <w:kern w:val="0"/>
          <w:sz w:val="24"/>
        </w:rPr>
        <w:t>（5）承包人根据发包人的相关规定（制度、实施细则等）对所本合同工程范围内的技术督导单位、材料设备管理服务单位进行协调管理。</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（6）发包人授权承包人行使的其他职权。</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承包人对工程款支付的审核必须在承包人申报计量后2日内完成。</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本合同中约定的承包人的权利应当理解为发包人赋予承包人的职权，承包人必须履行，发包人另有要求的除外。</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承包人对发包人有关人员（包括发包人授权代表）违规干扰其正常监理工作和吃拿卡要等行为，有权向发包人纪检监察部门投诉或举报。</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第十二条  监理服务的期限</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监理服务期自承包人收到中标通知书或</w:t>
      </w:r>
      <w:r>
        <w:rPr>
          <w:bCs/>
          <w:snapToGrid w:val="0"/>
          <w:spacing w:val="4"/>
          <w:kern w:val="0"/>
          <w:sz w:val="24"/>
        </w:rPr>
        <w:t>参加由发包人组织的第一次进场动员会之日</w:t>
      </w:r>
      <w:r>
        <w:rPr>
          <w:snapToGrid w:val="0"/>
          <w:spacing w:val="4"/>
          <w:kern w:val="0"/>
          <w:sz w:val="24"/>
        </w:rPr>
        <w:t>起算，至本项目工程保修期结束且本合同工程结算金额经政府结算终审部门审定之日止。监理服务期包括项目的施工准备阶段、施工阶段、工程收尾阶段和质量保修阶段，承包人须实行全过程监理服务。</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第十三条</w:t>
      </w:r>
      <w:r>
        <w:rPr>
          <w:snapToGrid w:val="0"/>
          <w:spacing w:val="4"/>
          <w:kern w:val="0"/>
          <w:sz w:val="24"/>
        </w:rPr>
        <w:t>　</w:t>
      </w:r>
      <w:r>
        <w:rPr>
          <w:b/>
          <w:snapToGrid w:val="0"/>
          <w:spacing w:val="4"/>
          <w:kern w:val="0"/>
          <w:sz w:val="24"/>
        </w:rPr>
        <w:t>承包人的违约责任（一）</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 xml:space="preserve">13.1  </w:t>
      </w:r>
      <w:r>
        <w:rPr>
          <w:bCs/>
          <w:snapToGrid w:val="0"/>
          <w:spacing w:val="4"/>
          <w:kern w:val="0"/>
          <w:sz w:val="24"/>
        </w:rPr>
        <w:t>承包人违反本合同的约定，应当按约定向发包人承担相应的违约责任，承担违约责任方式包括但不限于：</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书面警告。承包人未履行或未按时履行或未按质履行义务或不执行发包人（含主管人员）的指令时，发包人有权向承包人发出书面警告。承包人必须在书面警告限定的时间内履行义务，否则应承担1次一般违约责任。</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（2）一般违约责任。承包人按本合同约定应当承担一般违约责任时，第一次必须向发包人交纳违约金</w:t>
      </w:r>
      <w:r>
        <w:rPr>
          <w:snapToGrid w:val="0"/>
          <w:spacing w:val="4"/>
          <w:kern w:val="0"/>
          <w:sz w:val="24"/>
        </w:rPr>
        <w:t>（</w:t>
      </w:r>
      <w:r>
        <w:rPr>
          <w:b/>
          <w:snapToGrid w:val="0"/>
          <w:spacing w:val="4"/>
          <w:kern w:val="0"/>
          <w:sz w:val="28"/>
          <w:szCs w:val="28"/>
        </w:rPr>
        <w:t>□</w:t>
      </w:r>
      <w:r>
        <w:rPr>
          <w:snapToGrid w:val="0"/>
          <w:spacing w:val="4"/>
          <w:kern w:val="0"/>
          <w:sz w:val="24"/>
        </w:rPr>
        <w:t>1000元、</w:t>
      </w:r>
      <w:r>
        <w:rPr>
          <w:b/>
          <w:snapToGrid w:val="0"/>
          <w:spacing w:val="4"/>
          <w:kern w:val="0"/>
          <w:sz w:val="24"/>
          <w:bdr w:val="single" w:color="auto" w:sz="4" w:space="0"/>
        </w:rPr>
        <w:t>√</w:t>
      </w:r>
      <w:r>
        <w:rPr>
          <w:snapToGrid w:val="0"/>
          <w:spacing w:val="4"/>
          <w:kern w:val="0"/>
          <w:sz w:val="24"/>
        </w:rPr>
        <w:t>2000元、</w:t>
      </w:r>
      <w:r>
        <w:rPr>
          <w:b/>
          <w:bCs/>
          <w:snapToGrid w:val="0"/>
          <w:spacing w:val="4"/>
          <w:kern w:val="0"/>
          <w:sz w:val="28"/>
          <w:szCs w:val="28"/>
        </w:rPr>
        <w:t>□</w:t>
      </w:r>
      <w:r>
        <w:rPr>
          <w:snapToGrid w:val="0"/>
          <w:spacing w:val="4"/>
          <w:kern w:val="0"/>
          <w:sz w:val="24"/>
        </w:rPr>
        <w:t>5000元）</w:t>
      </w:r>
      <w:r>
        <w:rPr>
          <w:bCs/>
          <w:snapToGrid w:val="0"/>
          <w:spacing w:val="4"/>
          <w:kern w:val="0"/>
          <w:sz w:val="24"/>
        </w:rPr>
        <w:t>/次；第二次承担同一违约性质的一般违约责任时，承包人应向发包人交纳的违约金为第一次交纳金额的2倍；第三次承担同一违约性质的一般违约责任时，承包人应向发包人交纳的违约金为第一次交纳金额的3倍；以此类推，但每次交纳的金额最高不超过第一次交纳金额的5倍。</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（3）严重违约责任。承包人按本合同约定应当承担严重违约责任时，必须向发包人交纳违约金</w:t>
      </w:r>
      <w:r>
        <w:rPr>
          <w:snapToGrid w:val="0"/>
          <w:spacing w:val="4"/>
          <w:kern w:val="0"/>
          <w:sz w:val="24"/>
        </w:rPr>
        <w:t>（</w:t>
      </w:r>
      <w:r>
        <w:rPr>
          <w:b/>
          <w:snapToGrid w:val="0"/>
          <w:spacing w:val="4"/>
          <w:kern w:val="0"/>
          <w:sz w:val="28"/>
          <w:szCs w:val="28"/>
        </w:rPr>
        <w:t>□</w:t>
      </w:r>
      <w:r>
        <w:rPr>
          <w:snapToGrid w:val="0"/>
          <w:spacing w:val="4"/>
          <w:kern w:val="0"/>
          <w:sz w:val="24"/>
        </w:rPr>
        <w:t>5000元、</w:t>
      </w:r>
      <w:r>
        <w:rPr>
          <w:b/>
          <w:snapToGrid w:val="0"/>
          <w:spacing w:val="4"/>
          <w:kern w:val="0"/>
          <w:sz w:val="24"/>
          <w:bdr w:val="single" w:color="auto" w:sz="4" w:space="0"/>
        </w:rPr>
        <w:t>√</w:t>
      </w:r>
      <w:r>
        <w:rPr>
          <w:snapToGrid w:val="0"/>
          <w:spacing w:val="4"/>
          <w:kern w:val="0"/>
          <w:sz w:val="24"/>
        </w:rPr>
        <w:t>10000元、</w:t>
      </w:r>
      <w:r>
        <w:rPr>
          <w:b/>
          <w:snapToGrid w:val="0"/>
          <w:spacing w:val="4"/>
          <w:kern w:val="0"/>
          <w:sz w:val="28"/>
          <w:szCs w:val="28"/>
        </w:rPr>
        <w:t>□</w:t>
      </w:r>
      <w:r>
        <w:rPr>
          <w:snapToGrid w:val="0"/>
          <w:spacing w:val="4"/>
          <w:kern w:val="0"/>
          <w:sz w:val="24"/>
        </w:rPr>
        <w:t>15000元）</w:t>
      </w:r>
      <w:r>
        <w:rPr>
          <w:bCs/>
          <w:snapToGrid w:val="0"/>
          <w:spacing w:val="4"/>
          <w:kern w:val="0"/>
          <w:sz w:val="24"/>
        </w:rPr>
        <w:t>/次。</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4）部分解除合同。发包人依本合同约定向承包人发出部分解除合同的通知后，本合同部分解除即生效。于此情形下，承包人必须在收到发包人部分解除合同通知之日起3日内停止被解除部分的工作，5日内配合发包人完成现场工作和有关资料的移交，所交接资料必须完整。承包人无特殊原因未在要求期限内完成移交和撤出，或交接资料不完整的，发包人有权处理其留在现场的材料、设备和其他物件，处理费用由承包人承担，且发包人有权视情况全部解除合同。因承包人拒交或延误交接现场工作和有关资料而引致发包人工期延误及其他方面的损失，发包人有权要求承包人赔偿有关损失。发包人在发出部分解除合同的通知后，发包人即可委托新的承包人承接该部分工程，承包人不得影响或阻碍新的承包人办理进场手续和相关工作。</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5）解除合同。发包人依本合同约定向承包人发出解除合同的通知后，本合同即宣告解除。于此情形下，承包人必须在收到发包人解除合同通知之日起3日内停止全部工作，5日内配合发包人完成现场工作和有关资料的移交，并于完成交接工作当日内离场。承包人应保证所移交的资料齐全完整，承包人无特殊原因未在要求期限内完成移交和离场或所移交的资料不完整的，发包人有权处理其留在现场的材料、设备和其他物件，处理费用由承包人承担，如果引致发包人工期延误和其他方面的损失，发包人将要求承包人赔偿有关损失。发包人在发出解除合同的通知后，发包人即可委托新的承包人承接该工程，承包人不得影响或阻碍新的承包人办理进场手续和相关工作。</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6）赔偿损失。因承包人违约或工作失误给发包人造成损失的，承包人应向发包人赔偿经济损失。如果损失是由于承包人故意或严重渎职造成的，承包人应承担全部赔偿责任。这里的“阶段”是指本合同双方约定划分的施工准备阶段、施工阶段、施工收尾阶段和质量保修阶段。</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13.2</w:t>
      </w:r>
      <w:r>
        <w:rPr>
          <w:bCs/>
          <w:snapToGrid w:val="0"/>
          <w:spacing w:val="4"/>
          <w:kern w:val="0"/>
          <w:sz w:val="24"/>
        </w:rPr>
        <w:t xml:space="preserve">  承包人累计承担书面警告达3次的，则另行追加一般违约责任1次；承包人累计承担一般违约责任达3次的，则另行追加严重违约责任1次；承包人累计承担严重违约责任达3次或者工程进度严重滞后的，发包人有权要求承包人的法定代表人驻场办公，代行项目总监职责，直至发包人满意其监理工作时方可离场。</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13.3</w:t>
      </w:r>
      <w:r>
        <w:rPr>
          <w:bCs/>
          <w:snapToGrid w:val="0"/>
          <w:spacing w:val="4"/>
          <w:kern w:val="0"/>
          <w:sz w:val="24"/>
        </w:rPr>
        <w:t xml:space="preserve">  当承包人违约需向发包人支付违约金或赔偿金时，发包人将书面通知其保证人交纳，其保证人拒绝交纳的，发包人将从应支付给承包人的监理酬金中直接扣除，扣除款项计入累计监理酬金进度款，结算时不予退还，承包人不得有异议。同时，发包人保留进一步依法追究承包人及其保证人有关责任的权利。</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13.4</w:t>
      </w:r>
      <w:r>
        <w:rPr>
          <w:bCs/>
          <w:snapToGrid w:val="0"/>
          <w:spacing w:val="4"/>
          <w:kern w:val="0"/>
          <w:sz w:val="24"/>
        </w:rPr>
        <w:t xml:space="preserve">  当承包人无正当理由而不履行或没有全面且适当履行其相关承诺及监理义务时，发包人有权书面通知承包人，指明其未能履约的内容和发包人要求其承担违约责任的等级。</w:t>
      </w:r>
    </w:p>
    <w:p>
      <w:pPr>
        <w:topLinePunct/>
        <w:adjustRightInd w:val="0"/>
        <w:snapToGrid w:val="0"/>
        <w:spacing w:line="420" w:lineRule="exact"/>
        <w:ind w:firstLine="498" w:firstLineChars="200"/>
        <w:rPr>
          <w:b/>
          <w:bCs/>
          <w:snapToGrid w:val="0"/>
          <w:spacing w:val="4"/>
          <w:kern w:val="0"/>
          <w:sz w:val="24"/>
        </w:rPr>
      </w:pPr>
      <w:r>
        <w:rPr>
          <w:b/>
          <w:bCs/>
          <w:snapToGrid w:val="0"/>
          <w:spacing w:val="4"/>
          <w:kern w:val="0"/>
          <w:sz w:val="24"/>
        </w:rPr>
        <w:t>13.4.1  监理组织管理方面的违约责任</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承包人承诺主动支持发包人的工作。若无正当理由又未提前向发包人报告且未得到发包人同意的，而对发包人的指令和书面通知，公开或变相拒不执行的，属于违约，承包人承担一般违约1次；承包人因此而再次违约的，每违约一次，承包人承担严重违约责任1次；情节特别严重的，发包人有权单方面部分解除合同或解除合同。同时，承包人还须承担由此造成的一切经济损失。</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2）承包人不遵守发包人依据本合同专用条件总则第6款约定所制订的各项制度、规定的，由承包人按所违反制度、规定的有关规定承担违约责任。相应制度、规定没有明确规定的，由发包人参照本条第13.4.1-（1）项的约定处理。</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（3）承包人未按承诺建立组织架构、派驻监理人员和投入设备，承包人必须按发包人要求限期整改，并承担相应违约责任。具体约定为：</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在发包人书面通知承包人进场后3日内，承包人在投标文件中承诺的除项目总监、专业监理工程师、监理员、造价人员、资料员5类人员以外的主要监理人员（指专业监理工程师等同等级别以上的监理人员）未能足额到位，或到位后又离开，造成该岗位空缺，或未按承诺依时、足额投入有关设备的，承包人应向发包人书面解释并保证人员、设备如期到位；如果承包人拒不配合，未在发包人提出限期改正的期限内进行整改的，承包人承担严重违约责任1次，于此情形下，发包人有权单方面解除合同，并要求承包人承担由此造成的损失。</w:t>
      </w:r>
    </w:p>
    <w:p>
      <w:pPr>
        <w:numPr>
          <w:ilvl w:val="0"/>
          <w:numId w:val="3"/>
        </w:numPr>
        <w:adjustRightInd w:val="0"/>
        <w:snapToGrid w:val="0"/>
        <w:spacing w:line="420" w:lineRule="exact"/>
        <w:ind w:firstLine="200"/>
        <w:rPr>
          <w:snapToGrid w:val="0"/>
          <w:kern w:val="0"/>
          <w:sz w:val="24"/>
          <w:szCs w:val="20"/>
        </w:rPr>
      </w:pPr>
      <w:r>
        <w:rPr>
          <w:bCs/>
          <w:sz w:val="24"/>
          <w:szCs w:val="20"/>
        </w:rPr>
        <w:t>承包人</w:t>
      </w:r>
      <w:r>
        <w:rPr>
          <w:snapToGrid w:val="0"/>
          <w:kern w:val="0"/>
          <w:sz w:val="24"/>
          <w:szCs w:val="20"/>
        </w:rPr>
        <w:t>现场管理机构各部主要监理人员应与投标文件保持一致，发包人不要求更换时不得更换。因特殊情况需要更换的，</w:t>
      </w:r>
      <w:r>
        <w:rPr>
          <w:bCs/>
          <w:sz w:val="24"/>
          <w:szCs w:val="20"/>
        </w:rPr>
        <w:t>承包人</w:t>
      </w:r>
      <w:r>
        <w:rPr>
          <w:snapToGrid w:val="0"/>
          <w:kern w:val="0"/>
          <w:sz w:val="24"/>
          <w:szCs w:val="20"/>
        </w:rPr>
        <w:t>应以书面形式向发包人提出意向（附前任和后任人员的详细履历资料），征得发包人工程师同意后方可更换。</w:t>
      </w:r>
      <w:r>
        <w:rPr>
          <w:bCs/>
          <w:sz w:val="24"/>
          <w:szCs w:val="20"/>
        </w:rPr>
        <w:t>承包人</w:t>
      </w:r>
      <w:r>
        <w:rPr>
          <w:snapToGrid w:val="0"/>
          <w:kern w:val="0"/>
          <w:sz w:val="24"/>
          <w:szCs w:val="20"/>
        </w:rPr>
        <w:t>必须保证后任人员的资质、资历、业绩、实际工作能力不低于前任人员的素质。即使征得发包人工程师同意更换的，</w:t>
      </w:r>
      <w:r>
        <w:rPr>
          <w:bCs/>
          <w:sz w:val="24"/>
          <w:szCs w:val="20"/>
        </w:rPr>
        <w:t>承包人按下表的约定承担违约金并</w:t>
      </w:r>
      <w:r>
        <w:rPr>
          <w:snapToGrid w:val="0"/>
          <w:kern w:val="0"/>
          <w:sz w:val="24"/>
          <w:szCs w:val="20"/>
        </w:rPr>
        <w:t>承担严重违约责任1次。更换人员必须履行建设行政主管部门规定的人员变更手续，后任人员继续行使前任的职权，履行前任的义务。</w:t>
      </w:r>
    </w:p>
    <w:p>
      <w:pPr>
        <w:adjustRightInd w:val="0"/>
        <w:snapToGrid w:val="0"/>
        <w:spacing w:line="420" w:lineRule="exact"/>
        <w:ind w:firstLine="480" w:firstLineChars="200"/>
        <w:rPr>
          <w:snapToGrid w:val="0"/>
          <w:kern w:val="0"/>
          <w:sz w:val="24"/>
          <w:szCs w:val="20"/>
        </w:rPr>
      </w:pPr>
      <w:r>
        <w:rPr>
          <w:bCs/>
          <w:sz w:val="24"/>
          <w:szCs w:val="20"/>
        </w:rPr>
        <w:t>承包人</w:t>
      </w:r>
      <w:r>
        <w:rPr>
          <w:snapToGrid w:val="0"/>
          <w:kern w:val="0"/>
          <w:sz w:val="24"/>
          <w:szCs w:val="20"/>
        </w:rPr>
        <w:t>现场管理机构管理人员的</w:t>
      </w:r>
      <w:r>
        <w:rPr>
          <w:iCs/>
          <w:snapToGrid w:val="0"/>
          <w:kern w:val="0"/>
          <w:sz w:val="24"/>
          <w:szCs w:val="20"/>
        </w:rPr>
        <w:t>实际工作能力和工作效果达不到招标文件的明确要求</w:t>
      </w:r>
      <w:r>
        <w:rPr>
          <w:snapToGrid w:val="0"/>
          <w:kern w:val="0"/>
          <w:sz w:val="24"/>
          <w:szCs w:val="20"/>
        </w:rPr>
        <w:t>或投标文件的承诺或工作态度存在严重不足，不适应现场工作需要的，发包人有权向</w:t>
      </w:r>
      <w:r>
        <w:rPr>
          <w:bCs/>
          <w:sz w:val="24"/>
          <w:szCs w:val="20"/>
        </w:rPr>
        <w:t>承包人</w:t>
      </w:r>
      <w:r>
        <w:rPr>
          <w:snapToGrid w:val="0"/>
          <w:kern w:val="0"/>
          <w:sz w:val="24"/>
          <w:szCs w:val="20"/>
        </w:rPr>
        <w:t>提出撤换。</w:t>
      </w:r>
      <w:r>
        <w:rPr>
          <w:bCs/>
          <w:sz w:val="24"/>
          <w:szCs w:val="20"/>
        </w:rPr>
        <w:t>承包人</w:t>
      </w:r>
      <w:r>
        <w:rPr>
          <w:snapToGrid w:val="0"/>
          <w:kern w:val="0"/>
          <w:sz w:val="24"/>
          <w:szCs w:val="20"/>
        </w:rPr>
        <w:t>可以提出整改意见，如发包人不予接受或认为整改效果不明显的，则</w:t>
      </w:r>
      <w:r>
        <w:rPr>
          <w:bCs/>
          <w:sz w:val="24"/>
          <w:szCs w:val="20"/>
        </w:rPr>
        <w:t>承包人</w:t>
      </w:r>
      <w:r>
        <w:rPr>
          <w:snapToGrid w:val="0"/>
          <w:kern w:val="0"/>
          <w:sz w:val="24"/>
          <w:szCs w:val="20"/>
        </w:rPr>
        <w:t>必须在3天内无条件撤换，并</w:t>
      </w:r>
      <w:r>
        <w:rPr>
          <w:bCs/>
          <w:sz w:val="24"/>
          <w:szCs w:val="20"/>
        </w:rPr>
        <w:t>按下表的约定承担违约金并</w:t>
      </w:r>
      <w:r>
        <w:rPr>
          <w:snapToGrid w:val="0"/>
          <w:kern w:val="0"/>
          <w:sz w:val="24"/>
          <w:szCs w:val="20"/>
        </w:rPr>
        <w:t>承担严重违约责任1次。所调换来人员的资质、资历、学历、职称、业绩、实际工作能力不低于投标文件中所承诺人员的素质，否则，按</w:t>
      </w:r>
      <w:r>
        <w:rPr>
          <w:bCs/>
          <w:sz w:val="24"/>
          <w:szCs w:val="20"/>
        </w:rPr>
        <w:t>承包人更换人员1次处理，继续按下表的约定承担违约金并</w:t>
      </w:r>
      <w:r>
        <w:rPr>
          <w:snapToGrid w:val="0"/>
          <w:kern w:val="0"/>
          <w:sz w:val="24"/>
          <w:szCs w:val="20"/>
        </w:rPr>
        <w:t>承担严重违约责任1次。</w:t>
      </w:r>
    </w:p>
    <w:p>
      <w:pPr>
        <w:adjustRightInd w:val="0"/>
        <w:snapToGrid w:val="0"/>
        <w:spacing w:line="420" w:lineRule="exact"/>
        <w:ind w:firstLine="480" w:firstLineChars="200"/>
        <w:rPr>
          <w:snapToGrid w:val="0"/>
          <w:kern w:val="0"/>
          <w:sz w:val="24"/>
          <w:szCs w:val="20"/>
        </w:rPr>
      </w:pPr>
      <w:r>
        <w:rPr>
          <w:snapToGrid w:val="0"/>
          <w:kern w:val="0"/>
          <w:sz w:val="24"/>
          <w:szCs w:val="20"/>
        </w:rPr>
        <w:t>发包人要求</w:t>
      </w:r>
      <w:r>
        <w:rPr>
          <w:bCs/>
          <w:sz w:val="24"/>
          <w:szCs w:val="20"/>
        </w:rPr>
        <w:t>承包人</w:t>
      </w:r>
      <w:r>
        <w:rPr>
          <w:snapToGrid w:val="0"/>
          <w:kern w:val="0"/>
          <w:sz w:val="24"/>
          <w:szCs w:val="20"/>
        </w:rPr>
        <w:t>撤换不合格人员，如</w:t>
      </w:r>
      <w:r>
        <w:rPr>
          <w:bCs/>
          <w:sz w:val="24"/>
          <w:szCs w:val="20"/>
        </w:rPr>
        <w:t>承包人</w:t>
      </w:r>
      <w:r>
        <w:rPr>
          <w:snapToGrid w:val="0"/>
          <w:kern w:val="0"/>
          <w:sz w:val="24"/>
          <w:szCs w:val="20"/>
        </w:rPr>
        <w:t>既不立即撤换，也不及时提出整改意见，则视同拒绝执行发包人的指令，</w:t>
      </w:r>
      <w:r>
        <w:rPr>
          <w:bCs/>
          <w:sz w:val="24"/>
          <w:szCs w:val="20"/>
        </w:rPr>
        <w:t>承包人</w:t>
      </w:r>
      <w:r>
        <w:rPr>
          <w:snapToGrid w:val="0"/>
          <w:kern w:val="0"/>
          <w:sz w:val="24"/>
          <w:szCs w:val="20"/>
        </w:rPr>
        <w:t>需按合同专用条款第13.4.1（1）款的约定承担违约责任。发包人要求</w:t>
      </w:r>
      <w:r>
        <w:rPr>
          <w:bCs/>
          <w:sz w:val="24"/>
          <w:szCs w:val="20"/>
        </w:rPr>
        <w:t>承包人</w:t>
      </w:r>
      <w:r>
        <w:rPr>
          <w:snapToGrid w:val="0"/>
          <w:kern w:val="0"/>
          <w:sz w:val="24"/>
          <w:szCs w:val="20"/>
        </w:rPr>
        <w:t>以实际工作能力较高的人员调换实际工作能力较低的现场人员、或者</w:t>
      </w:r>
      <w:r>
        <w:rPr>
          <w:bCs/>
          <w:sz w:val="24"/>
          <w:szCs w:val="20"/>
        </w:rPr>
        <w:t>承包人</w:t>
      </w:r>
      <w:r>
        <w:rPr>
          <w:snapToGrid w:val="0"/>
          <w:kern w:val="0"/>
          <w:sz w:val="24"/>
          <w:szCs w:val="20"/>
        </w:rPr>
        <w:t>主动要求以实际工作能力较高的人员调换实际工作能力较低的现场人员并经发包人批准且经实践检验证实。</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发包人要求承包人更换监理人员时，承包人在接到发包人通知后三天内安排更换到位，否则，发包人将有权延期支付监理酬金，并由发包人直接聘请，聘请人员所需费用按本合同</w:t>
      </w:r>
      <w:r>
        <w:rPr>
          <w:bCs/>
          <w:snapToGrid w:val="0"/>
          <w:spacing w:val="4"/>
          <w:kern w:val="0"/>
          <w:sz w:val="24"/>
          <w:u w:val="single"/>
        </w:rPr>
        <w:t>专用条件第3.2.1-（12）项</w:t>
      </w:r>
      <w:r>
        <w:rPr>
          <w:bCs/>
          <w:snapToGrid w:val="0"/>
          <w:spacing w:val="4"/>
          <w:kern w:val="0"/>
          <w:sz w:val="24"/>
        </w:rPr>
        <w:t>的约定执行。同时，承包人按下表的约定承担违约责任；情节严重的，发包人有权单方面解除合同。</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086"/>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34" w:type="dxa"/>
            <w:vAlign w:val="center"/>
          </w:tcPr>
          <w:p>
            <w:pPr>
              <w:adjustRightInd w:val="0"/>
              <w:snapToGrid w:val="0"/>
              <w:ind w:firstLine="198"/>
              <w:rPr>
                <w:szCs w:val="21"/>
              </w:rPr>
            </w:pPr>
            <w:r>
              <w:rPr>
                <w:szCs w:val="21"/>
              </w:rPr>
              <w:t>序号</w:t>
            </w:r>
          </w:p>
        </w:tc>
        <w:tc>
          <w:tcPr>
            <w:tcW w:w="4086" w:type="dxa"/>
            <w:vAlign w:val="center"/>
          </w:tcPr>
          <w:p>
            <w:pPr>
              <w:adjustRightInd w:val="0"/>
              <w:snapToGrid w:val="0"/>
              <w:ind w:firstLine="198"/>
              <w:rPr>
                <w:szCs w:val="21"/>
              </w:rPr>
            </w:pPr>
            <w:r>
              <w:rPr>
                <w:szCs w:val="21"/>
              </w:rPr>
              <w:t>违约项目</w:t>
            </w:r>
          </w:p>
        </w:tc>
        <w:tc>
          <w:tcPr>
            <w:tcW w:w="4073" w:type="dxa"/>
            <w:vAlign w:val="center"/>
          </w:tcPr>
          <w:p>
            <w:pPr>
              <w:adjustRightInd w:val="0"/>
              <w:snapToGrid w:val="0"/>
              <w:ind w:firstLine="198"/>
              <w:rPr>
                <w:szCs w:val="21"/>
              </w:rPr>
            </w:pPr>
            <w:r>
              <w:rPr>
                <w:szCs w:val="21"/>
              </w:rPr>
              <w:t>违约金（元/人·次）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34" w:type="dxa"/>
            <w:vAlign w:val="center"/>
          </w:tcPr>
          <w:p>
            <w:pPr>
              <w:adjustRightInd w:val="0"/>
              <w:snapToGrid w:val="0"/>
              <w:ind w:firstLine="198"/>
              <w:rPr>
                <w:szCs w:val="21"/>
              </w:rPr>
            </w:pPr>
            <w:r>
              <w:rPr>
                <w:szCs w:val="21"/>
              </w:rPr>
              <w:t>1</w:t>
            </w:r>
          </w:p>
        </w:tc>
        <w:tc>
          <w:tcPr>
            <w:tcW w:w="4086" w:type="dxa"/>
            <w:vAlign w:val="center"/>
          </w:tcPr>
          <w:p>
            <w:pPr>
              <w:adjustRightInd w:val="0"/>
              <w:snapToGrid w:val="0"/>
              <w:ind w:firstLine="198"/>
              <w:rPr>
                <w:szCs w:val="21"/>
              </w:rPr>
            </w:pPr>
            <w:r>
              <w:rPr>
                <w:szCs w:val="21"/>
              </w:rPr>
              <w:t>更换项目总监</w:t>
            </w:r>
          </w:p>
        </w:tc>
        <w:tc>
          <w:tcPr>
            <w:tcW w:w="4073" w:type="dxa"/>
            <w:vAlign w:val="center"/>
          </w:tcPr>
          <w:p>
            <w:pPr>
              <w:adjustRightInd w:val="0"/>
              <w:snapToGrid w:val="0"/>
              <w:ind w:firstLine="198"/>
              <w:rPr>
                <w:szCs w:val="21"/>
              </w:rPr>
            </w:pPr>
            <w:r>
              <w:rPr>
                <w:bCs/>
                <w:szCs w:val="21"/>
              </w:rPr>
              <w:t>本合同监理酬金总额的2%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34" w:type="dxa"/>
            <w:vAlign w:val="center"/>
          </w:tcPr>
          <w:p>
            <w:pPr>
              <w:adjustRightInd w:val="0"/>
              <w:snapToGrid w:val="0"/>
              <w:ind w:firstLine="198"/>
              <w:rPr>
                <w:szCs w:val="21"/>
              </w:rPr>
            </w:pPr>
            <w:r>
              <w:rPr>
                <w:szCs w:val="21"/>
              </w:rPr>
              <w:t>2</w:t>
            </w:r>
          </w:p>
        </w:tc>
        <w:tc>
          <w:tcPr>
            <w:tcW w:w="4086" w:type="dxa"/>
            <w:vAlign w:val="center"/>
          </w:tcPr>
          <w:p>
            <w:pPr>
              <w:adjustRightInd w:val="0"/>
              <w:snapToGrid w:val="0"/>
              <w:ind w:firstLine="198"/>
              <w:rPr>
                <w:szCs w:val="21"/>
              </w:rPr>
            </w:pPr>
            <w:r>
              <w:rPr>
                <w:szCs w:val="21"/>
              </w:rPr>
              <w:t>更换专业监理工程师</w:t>
            </w:r>
          </w:p>
        </w:tc>
        <w:tc>
          <w:tcPr>
            <w:tcW w:w="4073" w:type="dxa"/>
            <w:vAlign w:val="center"/>
          </w:tcPr>
          <w:p>
            <w:pPr>
              <w:adjustRightInd w:val="0"/>
              <w:snapToGrid w:val="0"/>
              <w:ind w:firstLine="198"/>
              <w:rPr>
                <w:szCs w:val="21"/>
              </w:rPr>
            </w:pPr>
            <w:r>
              <w:rPr>
                <w:bCs/>
                <w:szCs w:val="21"/>
              </w:rPr>
              <w:t>本合同监理酬金总额的1%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34" w:type="dxa"/>
            <w:vAlign w:val="center"/>
          </w:tcPr>
          <w:p>
            <w:pPr>
              <w:adjustRightInd w:val="0"/>
              <w:snapToGrid w:val="0"/>
              <w:ind w:firstLine="198"/>
              <w:rPr>
                <w:szCs w:val="21"/>
              </w:rPr>
            </w:pPr>
            <w:r>
              <w:rPr>
                <w:szCs w:val="21"/>
              </w:rPr>
              <w:t>3</w:t>
            </w:r>
          </w:p>
        </w:tc>
        <w:tc>
          <w:tcPr>
            <w:tcW w:w="4086" w:type="dxa"/>
            <w:vAlign w:val="center"/>
          </w:tcPr>
          <w:p>
            <w:pPr>
              <w:adjustRightInd w:val="0"/>
              <w:snapToGrid w:val="0"/>
              <w:ind w:firstLine="198"/>
              <w:rPr>
                <w:szCs w:val="21"/>
              </w:rPr>
            </w:pPr>
            <w:r>
              <w:rPr>
                <w:szCs w:val="21"/>
              </w:rPr>
              <w:t>更换监理员</w:t>
            </w:r>
          </w:p>
        </w:tc>
        <w:tc>
          <w:tcPr>
            <w:tcW w:w="4073" w:type="dxa"/>
            <w:vAlign w:val="center"/>
          </w:tcPr>
          <w:p>
            <w:pPr>
              <w:adjustRightInd w:val="0"/>
              <w:snapToGrid w:val="0"/>
              <w:ind w:firstLine="198"/>
              <w:rPr>
                <w:szCs w:val="21"/>
              </w:rPr>
            </w:pPr>
            <w:r>
              <w:rPr>
                <w:bCs/>
                <w:szCs w:val="21"/>
              </w:rPr>
              <w:t>本合同监理酬金总额的0.5%</w:t>
            </w:r>
          </w:p>
        </w:tc>
      </w:tr>
    </w:tbl>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5）项目总监若需离开施工现场需报发包人批准，在其请假离开的时间段内应书面委托其他驻场监理工程师（需具有相应资质和能力）全权代表其行使职权；否则视为违约，每违约一次，承包人承担一般违约责任1次。</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（6）其他监理人员需离开施工现场1日以上需报发包人批准，在其请假离开的时间段内应书面委托其他驻场监理代表全权代表其行使相应职权；否则视为违约，每违约一次，承包人承担一般违约责任1次。</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7）发包人将对驻场监理人员进行考勤。除项目总监、专业监理工程师、监理员、造价人员、资料员5类人员以外的其他监理人员每月请假日数累计超过6日，且请假总人数全月累计超过承包人数的10%，视为违约，承包人承担一般违约责任1次。</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8）对于发包人通知承包人参加的会议（包括但不限于进场会、现场问题处理会议、工程验收会议、结算问题处理会议、质保期工作的相关会议等），被通知人员（包括但不限于承包人的法定代表人、经报发包人批准同意的承包人法定代表人授权人、项目总监、项目副总监等）未经发包人书面同意自行缺席的，每缺席一人次乙方承担1次一般违约责任。</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（9）承包人应该定期或不定期组织、主持召开工地例会及各种技术专题会，以及监理大纲、监理规划、监理实施细则和发包人要求必须召开的会议，否则视为违约，每违约一次，承包人承担一般违约责任1次。</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（10）如承包人违反本委托监理协议书第七条、第八条的约定，未在相关信息发生变化时及时将变更情况书面报告发包人的，每确认1次，承包人承担1次一般违约责任。</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13.4.2</w:t>
      </w:r>
      <w:r>
        <w:rPr>
          <w:bCs/>
          <w:snapToGrid w:val="0"/>
          <w:spacing w:val="4"/>
          <w:kern w:val="0"/>
          <w:sz w:val="24"/>
        </w:rPr>
        <w:t xml:space="preserve">  </w:t>
      </w:r>
      <w:r>
        <w:rPr>
          <w:b/>
          <w:bCs/>
          <w:snapToGrid w:val="0"/>
          <w:spacing w:val="4"/>
          <w:kern w:val="0"/>
          <w:sz w:val="24"/>
        </w:rPr>
        <w:t>履行监理职责方面的违约责任</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承包人在自己职责范围内对应当作出决定的事项故意拖延或者不作出明确的处理意见，在发包人书面警告后承包人在整改期限内仍不加以改正的，视为违约，承包人承担一般违约责任1次；因此造成损失的，承包人承担赔偿责任。</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2）承包人对于承包人现场的管理机构人员不到位、擅自离场，管理人员工作能力存在严重不足等存在的问题不进行有效检查、督促、处理，且不向发包人报告的，在发包人书面警告并要求限期改正后，拒不限期改正的，承担1次一般违约责任。</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3）承包人对于承包人未按投标文件所作的承诺投入机械、设备、材料等存在的问题不进行有效检查、督促、处理，且不向发包人报告的，在发包人书面警告并要求限期改正后，拒不限期改正的，承担1次一般违约责任。</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4）承包人对于承包人每次进场材料不进行检查和登记，或者对已进场的材料不按有关规定及时进行抽查、送检的，承担一般违约责任1次；如因此出现不合格材料使用于工程建设并造成质量缺陷的，承包人承担一般违约责任1次；如因此出现质量事故或经济损失达10万元/次以上的，承包人承担严重违约责任1次；如因此造成重大质量安全事故（按国家规定界定）的，发包人有权视情况的严重程度部分解除合同或解除合同，同时，发包人保留追究承包人的其他法律责任的权利。</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5）承包人在编制项目实施细则中，应按监理规范列明需承包人旁站的工序，并应得到发包人的批准。工程施工过程中，需要承包人进行旁站监督的，承包人没有到场，或者到场后没有进行监督，或发现质量问题后没有及时处理，且没有向发包人报告，在发包人书面警告并要求限期改正后，拒不限期改正的，承担一般违约责任1次。</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（6）承包人不按本合同专用条件第</w:t>
      </w:r>
      <w:r>
        <w:rPr>
          <w:snapToGrid w:val="0"/>
          <w:spacing w:val="4"/>
          <w:kern w:val="0"/>
          <w:sz w:val="24"/>
        </w:rPr>
        <w:t>5.12</w:t>
      </w:r>
      <w:r>
        <w:rPr>
          <w:bCs/>
          <w:snapToGrid w:val="0"/>
          <w:spacing w:val="4"/>
          <w:kern w:val="0"/>
          <w:sz w:val="24"/>
        </w:rPr>
        <w:t>款的约定办理有关保险事宜的，在发包人书面警告并要求限期改正后，承包人拒不限期改正的，承担严重违约责任1次，并承担由此产生的一切后果。</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7）承包人对承包人的施工质量应每月定期或不定期组织大检查并同时定期组织召开质量会议，将质量检查的情况报告发包人。承包人的施工质量经承包人检验为合格，但经发包人或工程质量监督机构抽查，发现存在质量不合格或未按设计要求和有关规范进行施工情形的，承包人承担一般违约1次；情节严重的，承包人承担严重违约责任1次。同时，承包人应赔偿发包人的经济损失。</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8）由于承包人应当预见而未能及时预见，或已经预见但未及时向发包人报告，或未及时提出有效的整改措施，或未及时向承包人发出整改通知并积极督促承包人实施整改而对整个工程的按期完工不能起到有效监管作用，致使工程施工的关键线路工期比计划滞后3日（含3日）以上的，承包人承担一般违约责任1次；出现关键工期滞后5日（含5日）以上的，承包人承担严重违约责任1次；出现关键线路工期滞后10日（含10日）以上的，发包人有权部分解除合同或解除合同。</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9）对于承包人提交的现场签证资料，承包人没有准确、真实的现场原始记录或不进行现场复核即予签认，致使签认的文件有错误的，承包人应立即纠正，并承担一般违约责任1次；由于该签证错误因此可能给发包人造成10万元（含10万元）以上的经济损失的，承包人承担严重违约责任1次，如果这种经济损失是由于承包人故意造成的，则按本合同专用条件第13.1-（6）项处理。</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对于现场签证（含工程数量、单价等）未经过注册造价工程师审核即报送发包人，或者虽经过注册造价工程师审核但未在规定时间内报送发包人的，承包人应限期改正；以上情形累计出现2次的，承包人承担一般违约责任1次。</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10）承包人对承包人提交的施工方案、设计变更等技术文件中明显不符合现场实际的部分，或者与招投标文件不符，会引起发包人投资增加和工期延误的部分，不进行认真审核、不进行优化就给予同意的，应限期改正，并承担一般违约责任1次；情节严重的，承担严重违约责任1次。</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承包人对承包人提交的施工方案、设计变更等技术文件，应当在3日内予以批复；须转报发包人审批的，承包人应在3日内出具审核意见报发包人。由于承包人未及时批复而影响工程进度或者工程质量的，承包人承担严重违约责任1次；须转报发包人审批的，承包人未在3日内报发包人或未出具审核意见的，应限期改正，承担一般违约责任1次。</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承包人提交给承包人审核的资料或文件存在错误须承包人改正的，承包人应将所有错误一次性要求承包人改正。承包人要求承包人反复修改拖延时间的，在发包人书面警告并要求限期改正后，承包人拒不限期改正的，承担一般违约责任1次。</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（11）承包人应当按时对承包人的申请计量事项予以审批，申请计量事项在正常情况下应在</w:t>
      </w:r>
      <w:r>
        <w:rPr>
          <w:b/>
          <w:snapToGrid w:val="0"/>
          <w:spacing w:val="4"/>
          <w:kern w:val="0"/>
          <w:sz w:val="24"/>
          <w:u w:val="single"/>
        </w:rPr>
        <w:t xml:space="preserve"> 2 </w:t>
      </w:r>
      <w:r>
        <w:rPr>
          <w:bCs/>
          <w:snapToGrid w:val="0"/>
          <w:spacing w:val="4"/>
          <w:kern w:val="0"/>
          <w:sz w:val="24"/>
        </w:rPr>
        <w:t>个工作日内完成审批；承包人对申请计量事项的真实性、准确性负责；承包人派驻的专业工程师应对承包人提交的计量报表认真审核并予以确认。承包人对不合格工程却同意计量，或者计量数量严重不实、资料不齐全却同意计量的，应立即改正，承担一般违约责任1次；情节严重的，承担严重违约责任1次；给发包人造成损失的，应当赔偿损失。</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12）承包人对于承包人提交的请款报告，不按实际完成的工作量进行审核，或不按本合同要求签署拨款意见的，应限期改正；累计出现达2次的，承担一般违约责任1次；如造成发包人超形象进度、超合同支付工程款达10万元（含10万元）以上，或承包人审核的当期支付金额与经过发包人复核的实际应付金额存在正负10％以上误差的，承担一般违约责任1次，情节严重的，承担严重违约责任1次；若由此给发包人造成10万元（含10万元）以上损失的，承包人应当赔偿发包人的损失，发包人将视情况部分解除合同或解除合同。</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13）承包人同时发生本合同专用条件第13.4.2-（9）、（10）、（11）、（12）项约定的违约行为且情节严重的，视为承包人和承包人串通作假，发包人有权单方解除合同；因此造成发包人损失的，发包人有权按本合同专用条件第13.1-（6）项的约定要求承包人承担赔偿责任。</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14）承包人应设立专职的职业健康安全与环境管理人员，督促承包人建立安全生产保障体系，并要求各施工标段设立专职安全员，将安全责任制度落实到人；承包人应每月定期或不定期组织安全文明施工大检查，并将检查结果向发包人报告。对于承包人没有按投标承诺做好安全文明施工措施，或没有按有关规定进行安全生产，或存在安全隐患等问题，承包人未及时发现，或发现后不督促承包人进行整改，不作及时处理并及时向发包人报告，在发包人书面警告并要求限期改正后，承包人拒不限期改正的，承担一般违约责任1次；因此而发生安全生产事故，或被上级主管部门通报批评，或被新闻媒体曝光的，承包人承担严重违约责任1次；情节严重的，发包人有权部分解除合同或解除合同；因此而发生重大安全质量事故（按国家及本合同有关规定界定）的，承包人承担赔偿责任，赔偿金为本合同监理酬金的</w:t>
      </w:r>
      <w:r>
        <w:rPr>
          <w:b/>
          <w:snapToGrid w:val="0"/>
          <w:spacing w:val="4"/>
          <w:kern w:val="0"/>
          <w:sz w:val="24"/>
        </w:rPr>
        <w:t>1%～5%</w:t>
      </w:r>
      <w:r>
        <w:rPr>
          <w:bCs/>
          <w:snapToGrid w:val="0"/>
          <w:spacing w:val="4"/>
          <w:kern w:val="0"/>
          <w:sz w:val="24"/>
        </w:rPr>
        <w:t>。</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（15）由于下列原因，使本合同工程在投资、工期、质量等方面给发包人造成损失的，承包人承担赔偿责任：</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1）在施工过程中，承包人发出错误指令；</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2）承包人越权审批设计变更；</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3）其他因承包人自身失误或失职。</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具体约定为：</w:t>
      </w:r>
    </w:p>
    <w:p>
      <w:pPr>
        <w:topLinePunct/>
        <w:adjustRightInd w:val="0"/>
        <w:snapToGrid w:val="0"/>
        <w:spacing w:line="420" w:lineRule="exact"/>
        <w:ind w:firstLine="496" w:firstLineChars="200"/>
        <w:rPr>
          <w:bCs/>
          <w:snapToGrid w:val="0"/>
          <w:spacing w:val="4"/>
          <w:kern w:val="0"/>
          <w:sz w:val="24"/>
        </w:rPr>
      </w:pPr>
      <w:r>
        <w:rPr>
          <w:rFonts w:hint="eastAsia" w:ascii="宋体" w:hAnsi="宋体" w:cs="宋体"/>
          <w:bCs/>
          <w:snapToGrid w:val="0"/>
          <w:spacing w:val="4"/>
          <w:kern w:val="0"/>
          <w:sz w:val="24"/>
        </w:rPr>
        <w:t>①</w:t>
      </w:r>
      <w:r>
        <w:rPr>
          <w:bCs/>
          <w:snapToGrid w:val="0"/>
          <w:spacing w:val="4"/>
          <w:kern w:val="0"/>
          <w:sz w:val="24"/>
        </w:rPr>
        <w:t xml:space="preserve"> 由于承包人上述原因致使工程投资额较原计划投资额增加的，发包人将根据该增加额双倍扣减与之相应比例的监理酬金；若增加工程投资比例超过原计划投资额的20%时，发包人有权单方解除本合同，并要求承包人赔偿发包人由此遭受的实际损失中的50%。</w:t>
      </w:r>
    </w:p>
    <w:p>
      <w:pPr>
        <w:topLinePunct/>
        <w:adjustRightInd w:val="0"/>
        <w:snapToGrid w:val="0"/>
        <w:spacing w:line="420" w:lineRule="exact"/>
        <w:ind w:firstLine="496" w:firstLineChars="200"/>
        <w:rPr>
          <w:bCs/>
          <w:snapToGrid w:val="0"/>
          <w:spacing w:val="4"/>
          <w:kern w:val="0"/>
          <w:sz w:val="24"/>
        </w:rPr>
      </w:pPr>
      <w:r>
        <w:rPr>
          <w:rFonts w:hint="eastAsia" w:ascii="宋体" w:hAnsi="宋体" w:cs="宋体"/>
          <w:bCs/>
          <w:snapToGrid w:val="0"/>
          <w:spacing w:val="4"/>
          <w:kern w:val="0"/>
          <w:sz w:val="24"/>
        </w:rPr>
        <w:t>②</w:t>
      </w:r>
      <w:r>
        <w:rPr>
          <w:bCs/>
          <w:snapToGrid w:val="0"/>
          <w:spacing w:val="4"/>
          <w:kern w:val="0"/>
          <w:sz w:val="24"/>
        </w:rPr>
        <w:t xml:space="preserve"> 因承包人责任导致工期延误，其中分段工期延误日数占该段总工期的30%时，则发包人有权扣除该分段工程监理酬金的60%；分段工期延误日数达到该段总工期的50%时，则发包人有权单方解除本合同。因承包人责任导致工程竣工拖延的，依据拖延的日数，承包人应每日按监理酬金总额的1%向发包人支付违约金。由于承包人责任导致工期延误，致使发包人要承担赔偿第三方责任的，承包人承担赔偿发包人由此遭受的实际损失中的50%。</w:t>
      </w:r>
    </w:p>
    <w:p>
      <w:pPr>
        <w:topLinePunct/>
        <w:adjustRightInd w:val="0"/>
        <w:snapToGrid w:val="0"/>
        <w:spacing w:line="420" w:lineRule="exact"/>
        <w:ind w:firstLine="496" w:firstLineChars="200"/>
        <w:rPr>
          <w:bCs/>
          <w:snapToGrid w:val="0"/>
          <w:spacing w:val="4"/>
          <w:kern w:val="0"/>
          <w:sz w:val="24"/>
        </w:rPr>
      </w:pPr>
      <w:r>
        <w:rPr>
          <w:rFonts w:hint="eastAsia" w:ascii="宋体" w:hAnsi="宋体" w:cs="宋体"/>
          <w:bCs/>
          <w:snapToGrid w:val="0"/>
          <w:spacing w:val="4"/>
          <w:kern w:val="0"/>
          <w:sz w:val="24"/>
        </w:rPr>
        <w:t>③</w:t>
      </w:r>
      <w:r>
        <w:rPr>
          <w:bCs/>
          <w:snapToGrid w:val="0"/>
          <w:spacing w:val="4"/>
          <w:kern w:val="0"/>
          <w:sz w:val="24"/>
        </w:rPr>
        <w:t xml:space="preserve"> 因承包人责任造成质量事故，需要返工的，承包人承担严重违约责任1次，由发包人双倍扣减该部分的监理酬金，同时承包人应赔偿发包人的实际损失；情节严重的，发包人有权单方面解除合同，并有权要求承包人赔偿发包人由此遭受的经济损失。</w:t>
      </w:r>
    </w:p>
    <w:p>
      <w:pPr>
        <w:topLinePunct/>
        <w:adjustRightInd w:val="0"/>
        <w:snapToGrid w:val="0"/>
        <w:spacing w:line="420" w:lineRule="exact"/>
        <w:ind w:firstLine="496" w:firstLineChars="200"/>
        <w:rPr>
          <w:bCs/>
          <w:snapToGrid w:val="0"/>
          <w:spacing w:val="4"/>
          <w:kern w:val="0"/>
          <w:sz w:val="24"/>
        </w:rPr>
      </w:pPr>
      <w:r>
        <w:rPr>
          <w:rFonts w:hint="eastAsia" w:ascii="宋体" w:hAnsi="宋体" w:cs="宋体"/>
          <w:bCs/>
          <w:snapToGrid w:val="0"/>
          <w:spacing w:val="4"/>
          <w:kern w:val="0"/>
          <w:sz w:val="24"/>
        </w:rPr>
        <w:t>④</w:t>
      </w:r>
      <w:r>
        <w:rPr>
          <w:bCs/>
          <w:snapToGrid w:val="0"/>
          <w:spacing w:val="4"/>
          <w:kern w:val="0"/>
          <w:sz w:val="24"/>
        </w:rPr>
        <w:t xml:space="preserve"> 因承包人责任导致工程（含各分部、单位及整体工程，下同）质量一次性验收不符合质量目标的，发包人按相应工程占总工程的比例扣除承包人监理酬金；若导致工程质量一次性验收不合格而造成发包人的直接损失达100万元以上时，发包人有权单方解除本合同并要求承包人赔偿相应经济损失。</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16）承包人提供的《监理规划》和相应的《监理实施细则》，经发包人审核认为未能针对本合同工程特点、难点和重点，需要退回修改的，若连续两次修改后仍未能达到发包人要求的，承包人应承担一般违约责任1次。</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（17）如果承包人在服务期内未能按要求提供本合同约定的监理服务（包括监理人员缺额、监理深度不足及监理资料不齐等）的，发包人有权酌情扣减监理酬金。</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18）对于工程施工过程中出现的工程变更，如当月由发包人确定的工程变更的单价较承包人审定的单价的差值大于正负10%以上的情况累计出现8宗以上，或由发包人确定的工程变更的总价较承包人审定的总价的差值大于正负10%以上的情况累计出现3宗以上，承包人承担一般违约责任1次。</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19）因承包人原因，造成竣工图纸（包括设备移交资料等）与竣工时现场的实际情况不符，导致相关的工程结算出现偏差的，承包人承担一般违约责任1次；如由此可能给发包人造成经济损失10万元（含10万元）以上的，承包人承担严重违约责任1次；如该经济损失是承包人故意造成的，则按本合同专用条件第13.1-（6）</w:t>
      </w:r>
      <w:r>
        <w:rPr>
          <w:bCs/>
          <w:snapToGrid w:val="0"/>
          <w:spacing w:val="4"/>
          <w:kern w:val="0"/>
          <w:sz w:val="24"/>
          <w:u w:val="wave"/>
        </w:rPr>
        <w:t>项</w:t>
      </w:r>
      <w:r>
        <w:rPr>
          <w:bCs/>
          <w:snapToGrid w:val="0"/>
          <w:spacing w:val="4"/>
          <w:kern w:val="0"/>
          <w:sz w:val="24"/>
        </w:rPr>
        <w:t>执行。</w:t>
      </w:r>
    </w:p>
    <w:p>
      <w:pPr>
        <w:topLinePunct/>
        <w:adjustRightInd w:val="0"/>
        <w:snapToGrid w:val="0"/>
        <w:spacing w:line="420" w:lineRule="exact"/>
        <w:ind w:firstLine="496" w:firstLineChars="200"/>
        <w:rPr>
          <w:snapToGrid w:val="0"/>
          <w:spacing w:val="4"/>
          <w:kern w:val="0"/>
          <w:sz w:val="24"/>
        </w:rPr>
      </w:pPr>
      <w:r>
        <w:rPr>
          <w:bCs/>
          <w:snapToGrid w:val="0"/>
          <w:spacing w:val="4"/>
          <w:kern w:val="0"/>
          <w:sz w:val="24"/>
        </w:rPr>
        <w:t>（20）对于承包人不按合同约定</w:t>
      </w:r>
      <w:r>
        <w:rPr>
          <w:snapToGrid w:val="0"/>
          <w:spacing w:val="4"/>
          <w:kern w:val="0"/>
          <w:sz w:val="24"/>
        </w:rPr>
        <w:t>提交分项工程的结算文件，承包人不按合同约定采取有效措施或未及时向发包人报告的，承包人承担一般违约责任1次。</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21）承包人根据合同约定对承包人提交的工程结算书（结算资料）进行审核，如最终由政府终审部门审定的结算金额较由承包人审定的结算金额的差值大于正负8%，则由承包人按下列计算方法向发包人支付违约金，最多不超过本合同监理酬金总额的10%：</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违约金=[〔（A－B）/B〕-8%]×C</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其中：A-承包人审定的工程结算金额；</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B-政府结算终审部门审定的工程结算金额；</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C-监理合同酬金总额。</w:t>
      </w:r>
    </w:p>
    <w:p>
      <w:pPr>
        <w:topLinePunct/>
        <w:adjustRightInd w:val="0"/>
        <w:snapToGrid w:val="0"/>
        <w:spacing w:line="420" w:lineRule="exact"/>
        <w:ind w:firstLine="498" w:firstLineChars="200"/>
        <w:rPr>
          <w:bCs/>
          <w:snapToGrid w:val="0"/>
          <w:spacing w:val="4"/>
          <w:kern w:val="0"/>
          <w:sz w:val="24"/>
        </w:rPr>
      </w:pPr>
      <w:r>
        <w:rPr>
          <w:b/>
          <w:bCs/>
          <w:snapToGrid w:val="0"/>
          <w:spacing w:val="4"/>
          <w:kern w:val="0"/>
          <w:sz w:val="24"/>
        </w:rPr>
        <w:t>13.4.3</w:t>
      </w:r>
      <w:r>
        <w:rPr>
          <w:bCs/>
          <w:snapToGrid w:val="0"/>
          <w:spacing w:val="4"/>
          <w:kern w:val="0"/>
          <w:sz w:val="24"/>
        </w:rPr>
        <w:t xml:space="preserve">  </w:t>
      </w:r>
      <w:r>
        <w:rPr>
          <w:b/>
          <w:bCs/>
          <w:snapToGrid w:val="0"/>
          <w:spacing w:val="4"/>
          <w:kern w:val="0"/>
          <w:sz w:val="24"/>
        </w:rPr>
        <w:t>其他方面的违约责任</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（1）承包人必须加强对监理人员职业操守、廉政建设的培训和教育，本项目监理人员需共同遵守监理人员职业道德守则，并严格遵守以下规定：</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1）禁止向发包人及承包人推销材料、设备，或以倾向性、排他性变相推销；</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2）禁止与承包人串通，对不合格材料、产品、工程进行包庇及验收；</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3）禁止与承包人串通，对材料用量、工程量进行虚假签认；</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4）禁止与承包人串通，不合理提高施工难度及增加材料用量，以增大施工费用，获取不正当收益。</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5）禁止接受承包人的请吃送礼或变相受礼；</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6）禁止向承包人介绍分包或推销材料、设备等；</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7）禁止故意刁难承包人以谋取私利，损害发包人的合法利益。</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凡违反以上任一项约定者，一经查实，承包人应立即清退该监理人员，承担严重违约责任 1次；情节严重的，发包人有权部分解除合同或解除合同，向有关部门反映情况，追究承包人及有关责任人相关责任，要求赔偿相应损失，同时将上述违反职业道德的行为通过新闻媒体公诸于众，甚至移交司法机关处理。</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2）承包人违约行为的直接责任人，其行为致使承包人承担严重违约责任（或相当于严重违约责任）1次，或主管人员因其下属的行为致使承包人承担严重违约责任（或相当于严重违约责任）累计次数达到3次，发包人认为该直接责任人或主管人员已不适于继续担任本合同工程的监理工作的，有权要求承包人限期更换该人员。于此情形下，承包人应无条件接受，并承担由此引起的后果及费用；如承包人拒不执行，则自向承包人发出更换要求的第八日起算，发包人可认为该岗位已空缺，并按本合同专用条件第13.4.1-（3）项的约定处理。</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3）除上述约定之外，承包人违反合同约定的其他义务的，均构成违约，发包人有权视具体情况给予承包人书面警告并要求限期改正。于此情形下，若承包人拒不限期改正的，承担一般违约责任1次；情节严重的，承担严重违约责任1次。</w:t>
      </w:r>
    </w:p>
    <w:p>
      <w:pPr>
        <w:topLinePunct/>
        <w:adjustRightInd w:val="0"/>
        <w:snapToGrid w:val="0"/>
        <w:spacing w:line="420" w:lineRule="exact"/>
        <w:ind w:firstLine="498" w:firstLineChars="200"/>
        <w:rPr>
          <w:b/>
          <w:snapToGrid w:val="0"/>
          <w:spacing w:val="4"/>
          <w:kern w:val="0"/>
          <w:sz w:val="24"/>
        </w:rPr>
      </w:pPr>
      <w:r>
        <w:rPr>
          <w:b/>
          <w:snapToGrid w:val="0"/>
          <w:spacing w:val="4"/>
          <w:kern w:val="0"/>
          <w:sz w:val="24"/>
        </w:rPr>
        <w:t>13.5  承包人违约责任的认定方式及送达程序</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13.5.1</w:t>
      </w:r>
      <w:r>
        <w:rPr>
          <w:snapToGrid w:val="0"/>
          <w:spacing w:val="4"/>
          <w:kern w:val="0"/>
          <w:sz w:val="24"/>
        </w:rPr>
        <w:t xml:space="preserve">  认定方式：以发包人发出的通知、通报、会议纪要等书面文件确定的内容为准。</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13.5.2</w:t>
      </w:r>
      <w:r>
        <w:rPr>
          <w:snapToGrid w:val="0"/>
          <w:spacing w:val="4"/>
          <w:kern w:val="0"/>
          <w:sz w:val="24"/>
        </w:rPr>
        <w:t xml:space="preserve">  送达程序：发包人通过下列方式之一将书面违约处理决定送达承包人：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（1）承包人现场管理机构工作人员签收；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（2）承包人其他工作人员签收；</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（3）发包人邮寄送达。</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13.5.3</w:t>
      </w:r>
      <w:r>
        <w:rPr>
          <w:snapToGrid w:val="0"/>
          <w:spacing w:val="4"/>
          <w:kern w:val="0"/>
          <w:sz w:val="24"/>
        </w:rPr>
        <w:t xml:space="preserve">  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作出书面决定并通知承包人。</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13.5.4</w:t>
      </w:r>
      <w:r>
        <w:rPr>
          <w:snapToGrid w:val="0"/>
          <w:spacing w:val="4"/>
          <w:kern w:val="0"/>
          <w:sz w:val="24"/>
        </w:rPr>
        <w:t xml:space="preserve">  承包人承诺严格按照合同和招投标文件规定履行义务，并同意发包人将其执行国家强制性规范、标准和履行合同、招投标文件义务的情况（包括但不限于由发包人组织的考核、考评通报、违约责任处理决定等）在发包人网站或建设项目合法继承人网站或其他媒体上公开披露。</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第十四条  承包人的违约责任（二）</w:t>
      </w:r>
    </w:p>
    <w:p>
      <w:pPr>
        <w:topLinePunct/>
        <w:adjustRightInd w:val="0"/>
        <w:snapToGrid w:val="0"/>
        <w:spacing w:line="420" w:lineRule="exact"/>
        <w:ind w:firstLine="496" w:firstLineChars="200"/>
        <w:rPr>
          <w:b/>
          <w:snapToGrid w:val="0"/>
          <w:spacing w:val="4"/>
          <w:kern w:val="0"/>
          <w:sz w:val="24"/>
        </w:rPr>
      </w:pPr>
      <w:r>
        <w:rPr>
          <w:snapToGrid w:val="0"/>
          <w:spacing w:val="4"/>
          <w:kern w:val="0"/>
          <w:sz w:val="24"/>
        </w:rPr>
        <w:t>双方一致同意不适用本合同标准条件第二十七条的约定。承包人对承包人违反合同约定的质量、安全、文明施工等方面的要求时，承包人应按照本合同专用条件第13.4.2-（7）、（14）款的有关约定承担违约责任，除非有充分的证据证明承包人严格履行了本合同的责任和义务且上述问题的发生仅为承包人自身原因所致。</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第十五条</w:t>
      </w:r>
      <w:r>
        <w:rPr>
          <w:snapToGrid w:val="0"/>
          <w:spacing w:val="4"/>
          <w:kern w:val="0"/>
          <w:sz w:val="24"/>
        </w:rPr>
        <w:t>　</w:t>
      </w:r>
      <w:r>
        <w:rPr>
          <w:b/>
          <w:snapToGrid w:val="0"/>
          <w:spacing w:val="4"/>
          <w:kern w:val="0"/>
          <w:sz w:val="24"/>
        </w:rPr>
        <w:t>发包人的违约责任</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因发包人原因给承包人造成损失的，在承包人能够提交足够证据并经查证属实的情况下，发包人应赔偿其直接经济损失。</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第十六条  监理工作时间的延长</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双方一致同意不适用本合同标准条件第三十一条的约定。由于发包人或承包人的原因使监理工作受到阻碍或延误，则承包人应当将此情况与可能产生的影响及时通知发包人，完成监理业务的时间相应延长，承包人的酬金不变。</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第十七条  承包人无法履约或部分履约</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双方一致同意不适用本合同标准条件第三十二条的约定。在实际情况发生变化，使得承包人不能全部或部分执行监理业务时，承包人应当立即通知发包人，该监理业务的完成时间应予延长。当恢复执行监理业务时，承包人应当立即恢复执行监理业务，承包人的酬金不变。</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第十八条  工程保修期间的监理责任</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双方一致同意不适用本合同标准条件第三十三条的约定。本合同的有效期一直至本合同工程收尾期间届满且竣工结算完成并同时双方的责任、义务履行完毕时才终止。本合同工程维护期间，承包人仍须承担监理责任。</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第十九条  合同的解释及合同的修改</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双方一致同意不适用本合同标准条件第三十四条的约定。本合同未经双方协商一致，不得变更或解除。发包人根据本合同的约定单方面部分或全部解除本合同的，自发包人书面通知承包人时起部分或全部解除本合同即生效。</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本合同的修改（包括服务范围的修改），只能以双方书面同意的方式进行。但由于建设项目施工过程的特殊性，发包人有调整局部服务范围的权利，即部分解除或部分增加服务范围。部分解除的，按减少部分的工程造价的监理计费原则按比例扣减监理酬金；部分增加的，如不超过原监理部分工程造价10%的，不增加监理酬金。</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第二十条  标准条件第三十五条不适用</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双方一致同意不适用本合同标准条件第三十五条的约定。</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第二十一条  标准条件第三十六条不适用</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双方一致同意不适用本合同标准条件第三十六条的约定。</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第二十二条  承包人未履行监理义务的约定</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双方一致同意不适用本合同标准条件第三十七条的约定。当发包人认为承包人无正当理由而又未履行监理义务时，按本合同专用条件第二十六条的约定处理。</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第二十三条  监理酬金的计算方法、支付时间与金额的约定</w:t>
      </w:r>
    </w:p>
    <w:p>
      <w:pPr>
        <w:topLinePunct/>
        <w:adjustRightInd w:val="0"/>
        <w:snapToGrid w:val="0"/>
        <w:spacing w:line="420" w:lineRule="exact"/>
        <w:ind w:firstLine="496" w:firstLineChars="200"/>
        <w:rPr>
          <w:bCs/>
          <w:snapToGrid w:val="0"/>
          <w:spacing w:val="4"/>
          <w:kern w:val="0"/>
          <w:sz w:val="24"/>
        </w:rPr>
      </w:pPr>
      <w:r>
        <w:rPr>
          <w:bCs/>
          <w:snapToGrid w:val="0"/>
          <w:spacing w:val="4"/>
          <w:kern w:val="0"/>
          <w:sz w:val="24"/>
        </w:rPr>
        <w:t>双方一致同意不适用本合同标准条件第三十九条的约定。监理酬金的计算方法、支付时间与金额按委托监理协议书第三条的约定执行。</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第二十四条  标准条件第四十条不适用</w:t>
      </w:r>
    </w:p>
    <w:p>
      <w:pPr>
        <w:topLinePunct/>
        <w:adjustRightInd w:val="0"/>
        <w:snapToGrid w:val="0"/>
        <w:spacing w:line="420" w:lineRule="exact"/>
        <w:ind w:firstLine="496" w:firstLineChars="200"/>
        <w:rPr>
          <w:bCs/>
          <w:snapToGrid w:val="0"/>
          <w:spacing w:val="4"/>
          <w:kern w:val="0"/>
          <w:sz w:val="24"/>
        </w:rPr>
      </w:pPr>
      <w:r>
        <w:rPr>
          <w:snapToGrid w:val="0"/>
          <w:spacing w:val="4"/>
          <w:kern w:val="0"/>
          <w:sz w:val="24"/>
        </w:rPr>
        <w:t>双方一致同意不适用本合同标准条件第四十条的约定。</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第二十五条  合同款项支付的币种</w:t>
      </w:r>
    </w:p>
    <w:p>
      <w:pPr>
        <w:topLinePunct/>
        <w:adjustRightInd w:val="0"/>
        <w:snapToGrid w:val="0"/>
        <w:spacing w:line="420" w:lineRule="exact"/>
        <w:ind w:firstLine="464" w:firstLineChars="200"/>
        <w:rPr>
          <w:b/>
          <w:bCs/>
          <w:snapToGrid w:val="0"/>
          <w:spacing w:val="4"/>
          <w:kern w:val="0"/>
          <w:sz w:val="24"/>
        </w:rPr>
      </w:pPr>
      <w:r>
        <w:rPr>
          <w:bCs/>
          <w:snapToGrid w:val="0"/>
          <w:spacing w:val="-4"/>
          <w:kern w:val="0"/>
          <w:sz w:val="24"/>
        </w:rPr>
        <w:t>发包人与承包人双方同意用人民币支付本合同涉及的相关款项。</w:t>
      </w:r>
    </w:p>
    <w:p>
      <w:pPr>
        <w:topLinePunct/>
        <w:adjustRightInd w:val="0"/>
        <w:snapToGrid w:val="0"/>
        <w:spacing w:line="420" w:lineRule="exact"/>
        <w:ind w:firstLine="498" w:firstLineChars="200"/>
        <w:rPr>
          <w:snapToGrid w:val="0"/>
          <w:spacing w:val="4"/>
          <w:kern w:val="0"/>
          <w:sz w:val="24"/>
        </w:rPr>
      </w:pPr>
      <w:r>
        <w:rPr>
          <w:b/>
          <w:snapToGrid w:val="0"/>
          <w:spacing w:val="4"/>
          <w:kern w:val="0"/>
          <w:sz w:val="24"/>
        </w:rPr>
        <w:t>第二十六条  付款相关票据</w:t>
      </w:r>
    </w:p>
    <w:p>
      <w:pPr>
        <w:topLinePunct/>
        <w:adjustRightInd w:val="0"/>
        <w:snapToGrid w:val="0"/>
        <w:spacing w:line="420" w:lineRule="exact"/>
        <w:ind w:firstLine="496" w:firstLineChars="200"/>
        <w:rPr>
          <w:b/>
          <w:bCs/>
          <w:snapToGrid w:val="0"/>
          <w:spacing w:val="4"/>
          <w:kern w:val="0"/>
          <w:sz w:val="24"/>
        </w:rPr>
      </w:pPr>
      <w:r>
        <w:rPr>
          <w:snapToGrid w:val="0"/>
          <w:spacing w:val="4"/>
          <w:kern w:val="0"/>
          <w:sz w:val="24"/>
        </w:rPr>
        <w:t>双方一致同意不适用本合同标准条件第四十二条的约定。承包人申请发包人付款应向发包人提交正副本四份本次付款申请以及发票、收据和其他合适的证明材料。发包人在收到承包人附有证明材料的付款申请并经发包人审核确认后30日内进行支付。</w:t>
      </w:r>
    </w:p>
    <w:p>
      <w:pPr>
        <w:topLinePunct/>
        <w:adjustRightInd w:val="0"/>
        <w:snapToGrid w:val="0"/>
        <w:spacing w:line="420" w:lineRule="exact"/>
        <w:ind w:firstLine="498" w:firstLineChars="200"/>
        <w:rPr>
          <w:snapToGrid w:val="0"/>
          <w:spacing w:val="4"/>
          <w:kern w:val="0"/>
          <w:sz w:val="24"/>
        </w:rPr>
      </w:pPr>
      <w:r>
        <w:rPr>
          <w:b/>
          <w:bCs/>
          <w:smallCaps/>
          <w:snapToGrid w:val="0"/>
          <w:spacing w:val="4"/>
          <w:kern w:val="0"/>
          <w:sz w:val="24"/>
        </w:rPr>
        <w:t>第二十七条  监理人员外出考察、监造等的费用</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双方一致同意不适用本合同标准条件第四十三条的约定。委托的建设工程监理所必要的监理人员出外考察、材料设备复试、监造，其费用支出由承包人负责解决。但对于设备监造酬金，如本合同另有约定的，从其约定。</w:t>
      </w:r>
    </w:p>
    <w:p>
      <w:pPr>
        <w:topLinePunct/>
        <w:adjustRightInd w:val="0"/>
        <w:snapToGrid w:val="0"/>
        <w:spacing w:line="420" w:lineRule="exact"/>
        <w:ind w:firstLine="498" w:firstLineChars="200"/>
        <w:rPr>
          <w:snapToGrid w:val="0"/>
          <w:spacing w:val="4"/>
          <w:kern w:val="0"/>
          <w:sz w:val="24"/>
        </w:rPr>
      </w:pPr>
      <w:r>
        <w:rPr>
          <w:b/>
          <w:bCs/>
          <w:smallCaps/>
          <w:snapToGrid w:val="0"/>
          <w:spacing w:val="4"/>
          <w:kern w:val="0"/>
          <w:sz w:val="24"/>
        </w:rPr>
        <w:t>第二十八条  监理范围、监理内容调整的约定</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为了使建设项目施工监理工作更合理、有序地进行，发包人有权</w:t>
      </w:r>
      <w:r>
        <w:rPr>
          <w:bCs/>
          <w:snapToGrid w:val="0"/>
          <w:spacing w:val="4"/>
          <w:kern w:val="0"/>
          <w:sz w:val="24"/>
        </w:rPr>
        <w:t>对本合同约定的监理范围、监理内容作适当的调整，特别是对本合同监理范围内专业性较强的、有特殊要求的施工内容，发包人将视承包人能力、水平等实际情况，保留另行选择专业技术管理服务队伍的权利，但不因此免除本合同承包人应有的义务和责任。</w:t>
      </w:r>
      <w:r>
        <w:rPr>
          <w:snapToGrid w:val="0"/>
          <w:spacing w:val="4"/>
          <w:kern w:val="0"/>
          <w:sz w:val="24"/>
        </w:rPr>
        <w:t>承包人必须不折不扣地按照《建设工程监理规范》（GB/T50319—2013）的规定</w:t>
      </w:r>
      <w:r>
        <w:rPr>
          <w:bCs/>
          <w:snapToGrid w:val="0"/>
          <w:spacing w:val="4"/>
          <w:kern w:val="0"/>
          <w:sz w:val="24"/>
        </w:rPr>
        <w:t>对本合同工程实施全过程监理，不因发包人另行委托了</w:t>
      </w:r>
      <w:r>
        <w:rPr>
          <w:snapToGrid w:val="0"/>
          <w:spacing w:val="4"/>
          <w:kern w:val="0"/>
          <w:sz w:val="24"/>
        </w:rPr>
        <w:t>技术督导等技术管理服务单位而减轻或免除承包人的任何责任及义务，并由其负责技术督导等技术管理服务单位的协调管理工作。</w:t>
      </w:r>
    </w:p>
    <w:p>
      <w:pPr>
        <w:topLinePunct/>
        <w:adjustRightInd w:val="0"/>
        <w:snapToGrid w:val="0"/>
        <w:spacing w:line="420" w:lineRule="exact"/>
        <w:ind w:firstLine="498" w:firstLineChars="200"/>
        <w:rPr>
          <w:snapToGrid w:val="0"/>
          <w:spacing w:val="4"/>
          <w:kern w:val="0"/>
          <w:sz w:val="24"/>
        </w:rPr>
      </w:pPr>
      <w:r>
        <w:rPr>
          <w:b/>
          <w:bCs/>
          <w:smallCaps/>
          <w:snapToGrid w:val="0"/>
          <w:spacing w:val="4"/>
          <w:kern w:val="0"/>
          <w:sz w:val="24"/>
        </w:rPr>
        <w:t>第二十九条  争议的解决方式</w:t>
      </w:r>
    </w:p>
    <w:p>
      <w:pPr>
        <w:topLinePunct/>
        <w:adjustRightInd w:val="0"/>
        <w:snapToGrid w:val="0"/>
        <w:spacing w:line="420" w:lineRule="exact"/>
        <w:ind w:firstLine="496" w:firstLineChars="200"/>
        <w:rPr>
          <w:b/>
          <w:smallCaps/>
          <w:snapToGrid w:val="0"/>
          <w:spacing w:val="4"/>
          <w:kern w:val="0"/>
          <w:sz w:val="24"/>
        </w:rPr>
      </w:pPr>
      <w:r>
        <w:rPr>
          <w:bCs/>
          <w:smallCaps/>
          <w:snapToGrid w:val="0"/>
          <w:spacing w:val="4"/>
          <w:kern w:val="0"/>
          <w:sz w:val="24"/>
        </w:rPr>
        <w:t>因履行本合同发生或与本合同有关的争议，双方当事人应友好协商解决。如在一周内未能解决，发包人可先行单方面作出处理决定，任何一方均可向</w:t>
      </w:r>
      <w:r>
        <w:rPr>
          <w:bCs/>
          <w:smallCaps/>
          <w:snapToGrid w:val="0"/>
          <w:spacing w:val="4"/>
          <w:kern w:val="0"/>
          <w:sz w:val="24"/>
          <w:u w:val="single"/>
        </w:rPr>
        <w:t xml:space="preserve"> </w:t>
      </w:r>
      <w:r>
        <w:rPr>
          <w:b/>
          <w:smallCaps/>
          <w:snapToGrid w:val="0"/>
          <w:spacing w:val="4"/>
          <w:kern w:val="0"/>
          <w:sz w:val="24"/>
          <w:u w:val="single"/>
        </w:rPr>
        <w:t xml:space="preserve">广州花都区 </w:t>
      </w:r>
      <w:r>
        <w:rPr>
          <w:b/>
          <w:smallCaps/>
          <w:snapToGrid w:val="0"/>
          <w:spacing w:val="4"/>
          <w:kern w:val="0"/>
          <w:sz w:val="24"/>
        </w:rPr>
        <w:t>人民法院提起诉讼，但诉讼过程不影响发包人同其他监理单位另行签订监理合同。</w:t>
      </w:r>
    </w:p>
    <w:p>
      <w:pPr>
        <w:topLinePunct/>
        <w:adjustRightInd w:val="0"/>
        <w:snapToGrid w:val="0"/>
        <w:spacing w:line="420" w:lineRule="exact"/>
        <w:ind w:firstLine="496" w:firstLineChars="200"/>
        <w:rPr>
          <w:smallCaps/>
          <w:snapToGrid w:val="0"/>
          <w:spacing w:val="4"/>
          <w:kern w:val="0"/>
          <w:sz w:val="24"/>
        </w:rPr>
      </w:pPr>
      <w:r>
        <w:rPr>
          <w:rFonts w:hint="eastAsia"/>
          <w:smallCaps/>
          <w:snapToGrid w:val="0"/>
          <w:spacing w:val="4"/>
          <w:kern w:val="0"/>
          <w:sz w:val="24"/>
        </w:rPr>
        <w:t>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topLinePunct/>
        <w:adjustRightInd w:val="0"/>
        <w:snapToGrid w:val="0"/>
        <w:spacing w:line="420" w:lineRule="exact"/>
        <w:jc w:val="center"/>
        <w:rPr>
          <w:b/>
          <w:snapToGrid w:val="0"/>
          <w:spacing w:val="4"/>
          <w:kern w:val="0"/>
          <w:sz w:val="30"/>
          <w:szCs w:val="30"/>
        </w:rPr>
      </w:pPr>
      <w:bookmarkStart w:id="18" w:name="_GoBack"/>
      <w:bookmarkEnd w:id="18"/>
      <w:r>
        <w:rPr>
          <w:b/>
          <w:smallCaps/>
          <w:snapToGrid w:val="0"/>
          <w:spacing w:val="4"/>
          <w:kern w:val="0"/>
          <w:sz w:val="24"/>
        </w:rPr>
        <w:br w:type="page"/>
      </w:r>
      <w:r>
        <w:rPr>
          <w:b/>
          <w:snapToGrid w:val="0"/>
          <w:spacing w:val="4"/>
          <w:kern w:val="0"/>
          <w:sz w:val="30"/>
          <w:szCs w:val="30"/>
        </w:rPr>
        <w:t>第三篇  标准条件</w:t>
      </w:r>
    </w:p>
    <w:p>
      <w:pPr>
        <w:topLinePunct/>
        <w:adjustRightInd w:val="0"/>
        <w:snapToGrid w:val="0"/>
        <w:spacing w:line="360" w:lineRule="auto"/>
        <w:ind w:firstLine="496" w:firstLineChars="200"/>
        <w:rPr>
          <w:snapToGrid w:val="0"/>
          <w:spacing w:val="4"/>
          <w:kern w:val="0"/>
          <w:sz w:val="24"/>
        </w:rPr>
      </w:pPr>
    </w:p>
    <w:p>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词语定义、适用范围和法规</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第一条</w:t>
      </w:r>
      <w:r>
        <w:rPr>
          <w:snapToGrid w:val="0"/>
          <w:spacing w:val="4"/>
          <w:kern w:val="0"/>
          <w:sz w:val="24"/>
        </w:rPr>
        <w:t>　下列名词和用语，除上下文另有规定外，有如下含义：</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（1）“工程”是指发包人委托实施监理的工程。</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（2）“发包人”是指承担直接投资责任和委托监理业务的一方以及其合法继承人。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（3）“承包人”是指承担监理业务和监理责任的一方以及其合法继承人。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（4）“项目监理机构”是指承包人派驻本合同工程现场实施监理业务的组织。</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（5）“总监理工程师”是指经发包人同意，承包人派到项目监理机构全面履行本合同的全权负责人。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（6）“承包人”是指除</w:t>
      </w:r>
      <w:r>
        <w:rPr>
          <w:rFonts w:hint="eastAsia"/>
          <w:snapToGrid w:val="0"/>
          <w:spacing w:val="4"/>
          <w:kern w:val="0"/>
          <w:sz w:val="24"/>
        </w:rPr>
        <w:t>监理</w:t>
      </w:r>
      <w:r>
        <w:rPr>
          <w:snapToGrid w:val="0"/>
          <w:spacing w:val="4"/>
          <w:kern w:val="0"/>
          <w:sz w:val="24"/>
        </w:rPr>
        <w:t>人以外，与发包人就工程建设有关事宜签订合同的当事人。</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（7）“工程监理的正常工作”是指双方在专用条件中约定，发包人委托的监理工作范围和内容。</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（8）“工程监理的附加工作”是指：</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1）发包人委托监理范围以外，通过双方书面协议另外增加的工作内容；</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2）由于发包人或承包人原因，使监理工作受到阻碍或延误，因增加工作量或持续时间而增加的工作。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（9）“工程监理的额外工作”是指正常工作和附加工作以外，根据第三十八条规定承包人必须完成的工作，或非承包人自己的原因而暂停或终止监理业务，其善后工作及恢复监理业务的工作。</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（10）“日”是指任何一日零时至第二日零时的时间段。</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（11）“月”是指根据公历从一个月份中任何一日开始到下一个月相应日期的前一日的时间段。</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第二条</w:t>
      </w:r>
      <w:r>
        <w:rPr>
          <w:snapToGrid w:val="0"/>
          <w:spacing w:val="4"/>
          <w:kern w:val="0"/>
          <w:sz w:val="24"/>
        </w:rPr>
        <w:t>　建设工程施工监理合同适用的法律是指国家的法律、行政法规，以及专用条件中议定的部门规章或工程所在地的地方法规、地方规章。</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第三条</w:t>
      </w:r>
      <w:r>
        <w:rPr>
          <w:snapToGrid w:val="0"/>
          <w:spacing w:val="4"/>
          <w:kern w:val="0"/>
          <w:sz w:val="24"/>
        </w:rPr>
        <w:t>　本合同文件使用汉语语言文字书写、解释和说明。如专用条件约定使用两种以上（含两种）语言文字时，汉语应为解释和说明本合同的标准语言文字。</w:t>
      </w:r>
    </w:p>
    <w:p>
      <w:pPr>
        <w:topLinePunct/>
        <w:adjustRightInd w:val="0"/>
        <w:snapToGrid w:val="0"/>
        <w:spacing w:line="360" w:lineRule="auto"/>
        <w:ind w:firstLine="496" w:firstLineChars="200"/>
        <w:rPr>
          <w:snapToGrid w:val="0"/>
          <w:spacing w:val="4"/>
          <w:kern w:val="0"/>
          <w:sz w:val="24"/>
        </w:rPr>
      </w:pPr>
    </w:p>
    <w:p>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承包人义务</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第四条</w:t>
      </w:r>
      <w:r>
        <w:rPr>
          <w:snapToGrid w:val="0"/>
          <w:spacing w:val="4"/>
          <w:kern w:val="0"/>
          <w:sz w:val="24"/>
        </w:rPr>
        <w:t>　承包人按合同约定派出监理工作需要的项目监理机构及监理人员，向发包人报送委派的总监理工程师及其项目监理机构主要成员名单、监理规划，完成监理合同专用条件中约定的监理工程范围内的监理业务。在履行合同义务期间，应按合同约定定期向发包人报告监理工作。</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第五条</w:t>
      </w:r>
      <w:r>
        <w:rPr>
          <w:snapToGrid w:val="0"/>
          <w:spacing w:val="4"/>
          <w:kern w:val="0"/>
          <w:sz w:val="24"/>
        </w:rPr>
        <w:t>　承包人在履行本合同的义务期间，应认真、勤奋地工作，为发包人提供与其水平相适应的咨询意见，公正维护各方面的合法权益。</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第六条</w:t>
      </w:r>
      <w:r>
        <w:rPr>
          <w:snapToGrid w:val="0"/>
          <w:spacing w:val="4"/>
          <w:kern w:val="0"/>
          <w:sz w:val="24"/>
        </w:rPr>
        <w:t>　承包人使用发包人提供的设施和物品属发包人的财产。在监理工作完成或中止时，应将其设施和剩余的物品按合同约定的时间和方式移交给发包人。</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第七条</w:t>
      </w:r>
      <w:r>
        <w:rPr>
          <w:snapToGrid w:val="0"/>
          <w:spacing w:val="4"/>
          <w:kern w:val="0"/>
          <w:sz w:val="24"/>
        </w:rPr>
        <w:t>　在合同期内或合同终止后，未征得有关方同意，不得泄露与本合同工程、本合同业务有关的保密资料。</w:t>
      </w:r>
    </w:p>
    <w:p>
      <w:pPr>
        <w:topLinePunct/>
        <w:adjustRightInd w:val="0"/>
        <w:snapToGrid w:val="0"/>
        <w:spacing w:line="360" w:lineRule="auto"/>
        <w:ind w:firstLine="498" w:firstLineChars="200"/>
        <w:rPr>
          <w:b/>
          <w:bCs/>
          <w:snapToGrid w:val="0"/>
          <w:spacing w:val="4"/>
          <w:kern w:val="0"/>
          <w:sz w:val="24"/>
        </w:rPr>
      </w:pPr>
    </w:p>
    <w:p>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发包人义务</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第八条</w:t>
      </w:r>
      <w:r>
        <w:rPr>
          <w:snapToGrid w:val="0"/>
          <w:spacing w:val="4"/>
          <w:kern w:val="0"/>
          <w:sz w:val="24"/>
        </w:rPr>
        <w:t>　发包人在承包人开展监理业务之前应向承包人支付预付款。</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第九条</w:t>
      </w:r>
      <w:r>
        <w:rPr>
          <w:snapToGrid w:val="0"/>
          <w:spacing w:val="4"/>
          <w:kern w:val="0"/>
          <w:sz w:val="24"/>
        </w:rPr>
        <w:t>　发包人应当负责工程建设的所有外部关系的协调，为监理工作提供外部条件。根据需要，如将部分或全部协调工作委托承包人承担，则应在专用条件中明确委托的工作和相应的酬金。</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第十条</w:t>
      </w:r>
      <w:r>
        <w:rPr>
          <w:snapToGrid w:val="0"/>
          <w:spacing w:val="4"/>
          <w:kern w:val="0"/>
          <w:sz w:val="24"/>
        </w:rPr>
        <w:t>　发包人应当在双方约定的时间内免费向承包人提供与工程有关的为监理工作所需要的工程资料。</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第十一条</w:t>
      </w:r>
      <w:r>
        <w:rPr>
          <w:snapToGrid w:val="0"/>
          <w:spacing w:val="4"/>
          <w:kern w:val="0"/>
          <w:sz w:val="24"/>
        </w:rPr>
        <w:t>　发包人应当在专用条件约定的时间内就承包人书面提交并要求做出决定的一切事宜作出书面决定。</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第十二条</w:t>
      </w:r>
      <w:r>
        <w:rPr>
          <w:snapToGrid w:val="0"/>
          <w:spacing w:val="4"/>
          <w:kern w:val="0"/>
          <w:sz w:val="24"/>
        </w:rPr>
        <w:t>　发包人应当授权一名熟悉工程情况、能在规定时间内做出决定的常驻代表（在专用条件中约定），负责与承包人联系。更换常驻代表，要提前通知承包人。</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第十三条</w:t>
      </w:r>
      <w:r>
        <w:rPr>
          <w:snapToGrid w:val="0"/>
          <w:spacing w:val="4"/>
          <w:kern w:val="0"/>
          <w:sz w:val="24"/>
        </w:rPr>
        <w:t>　发包人应当将授予承包人的监理权利，以及承包人主要成员的职能分工、监理权限及时书面通知已选定的承包合同的承包人，并在与第三人签订的合同中予以明确。</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第十四条</w:t>
      </w:r>
      <w:r>
        <w:rPr>
          <w:snapToGrid w:val="0"/>
          <w:spacing w:val="4"/>
          <w:kern w:val="0"/>
          <w:sz w:val="24"/>
        </w:rPr>
        <w:t>　发包人应在不影响承包人开展监理工作的时间内提供如下资料：</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（1）与本合同工程合作的原材料、构配件、设备等生产厂家名录。</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（2）提供与本合同工程有关的协作单位、配合单位的名录。</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第十五条</w:t>
      </w:r>
      <w:r>
        <w:rPr>
          <w:snapToGrid w:val="0"/>
          <w:spacing w:val="4"/>
          <w:kern w:val="0"/>
          <w:sz w:val="24"/>
        </w:rPr>
        <w:t>　发包人免费向承包人提供办公用房、通讯设施、监理人员工地住房及合同专用条件约定的设施，对承包人自备的设施给予合理的经济补偿（补偿金额=设施在工程使用时间占折旧年限的比例×设施原值+管理费）。</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第十六条</w:t>
      </w:r>
      <w:r>
        <w:rPr>
          <w:snapToGrid w:val="0"/>
          <w:spacing w:val="4"/>
          <w:kern w:val="0"/>
          <w:sz w:val="24"/>
        </w:rPr>
        <w:t>　根据情况需要，如果双方约定，由发包人免费向承包人提供其他人员，应在监理合同专用条件中予以明确。</w:t>
      </w:r>
    </w:p>
    <w:p>
      <w:pPr>
        <w:topLinePunct/>
        <w:adjustRightInd w:val="0"/>
        <w:snapToGrid w:val="0"/>
        <w:spacing w:line="420" w:lineRule="exact"/>
        <w:ind w:firstLine="498" w:firstLineChars="200"/>
        <w:rPr>
          <w:b/>
          <w:bCs/>
          <w:snapToGrid w:val="0"/>
          <w:spacing w:val="4"/>
          <w:kern w:val="0"/>
          <w:sz w:val="24"/>
        </w:rPr>
      </w:pPr>
    </w:p>
    <w:p>
      <w:pPr>
        <w:topLinePunct/>
        <w:adjustRightInd w:val="0"/>
        <w:snapToGrid w:val="0"/>
        <w:spacing w:line="420" w:lineRule="exact"/>
        <w:ind w:firstLine="578" w:firstLineChars="200"/>
        <w:rPr>
          <w:b/>
          <w:bCs/>
          <w:snapToGrid w:val="0"/>
          <w:spacing w:val="4"/>
          <w:kern w:val="0"/>
          <w:sz w:val="28"/>
          <w:szCs w:val="28"/>
        </w:rPr>
      </w:pPr>
      <w:r>
        <w:rPr>
          <w:b/>
          <w:bCs/>
          <w:snapToGrid w:val="0"/>
          <w:spacing w:val="4"/>
          <w:kern w:val="0"/>
          <w:sz w:val="28"/>
          <w:szCs w:val="28"/>
        </w:rPr>
        <w:t>承包人权利</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第十七条</w:t>
      </w:r>
      <w:r>
        <w:rPr>
          <w:snapToGrid w:val="0"/>
          <w:spacing w:val="4"/>
          <w:kern w:val="0"/>
          <w:sz w:val="24"/>
        </w:rPr>
        <w:t>　承包人在发包人委托的工程范围内，享有以下权利：</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（1）选择工程总承包人的建议权。</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（2）选择工程分包人的认可权。</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（3）对工程建设有关事项包括工程规模、设计标准、规划设计、生产工艺设计和使用功能要求，向发包人的建议权。</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4）对工程设计中的技术问题，按照安全和优化的原则，向发包人提出建议；如果拟提出的建议可能会提高工程造价，或延长工期，应当事先征得发包人的同意。当发现工程设计不符合国家颁布的建设工程质量标准或设计合同约定的质量标准时，承包人应当书面报告发包人并要求设计人更正。</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（5）审批工程施工组织设计和技术方案，按照保质量、保工期和降低成本的原则，向承包人提出建议，并向发包人提出书面报告。</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（6）主持工程建设有关协作单位的组织协调，重要协调事项应当事先向发包人报告。</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（7）征得发包人同意，承包人有权发布开工令、停工令、复工令，但应当事先向发包人报告。如在紧急情况下未能事先报告时，则应在24小时内向发包人做出书面报告。</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（9）工程施工进度的检查、监督权，以及工程实际竣工日期提前或超过工程施工合同规定的竣工期限的签认权。</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（10）在工程施工合同约定的工程价格范围内，工程款支付的审核和签认权，以及工程结算的复核确认权与否决权。未经总监理工程师签字确认，发包人不支付工程款。</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第十八条</w:t>
      </w:r>
      <w:r>
        <w:rPr>
          <w:snapToGrid w:val="0"/>
          <w:spacing w:val="4"/>
          <w:kern w:val="0"/>
          <w:sz w:val="24"/>
        </w:rPr>
        <w:t>　承包人在发包人授权下，可对任何承包人合同规定的义务提出变更。如果由此严重影响了工程费用或质量或进度，则这种变更须经发包人事先批准。在紧急情况下未能事先报发包人批准时，承包人所做的变更也应尽快通知发包人。在监理过程中如发现承包人人员工作不力，项目监理机构可要求承包人调换有关人员。</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第十九条</w:t>
      </w:r>
      <w:r>
        <w:rPr>
          <w:snapToGrid w:val="0"/>
          <w:spacing w:val="4"/>
          <w:kern w:val="0"/>
          <w:sz w:val="24"/>
        </w:rPr>
        <w:t>　在委托的工程范围内，发包人或承包人对对方的任何意见和要求（包括索赔要求），均必须首先向项目监理机构提出，由项目监理机构研究处置意见，再同双方协商确定。当发包人和承包人发生争议时，项目监理机构应根据自己的职能，以独立的身份判断，公正地进行调解。当双方的争议由政府建设行政主管部门调解或仲裁机关仲裁时，承包人应当提供作证的事实材料。</w:t>
      </w:r>
    </w:p>
    <w:p>
      <w:pPr>
        <w:topLinePunct/>
        <w:adjustRightInd w:val="0"/>
        <w:snapToGrid w:val="0"/>
        <w:spacing w:line="420" w:lineRule="exact"/>
        <w:ind w:firstLine="498" w:firstLineChars="200"/>
        <w:rPr>
          <w:b/>
          <w:bCs/>
          <w:snapToGrid w:val="0"/>
          <w:spacing w:val="4"/>
          <w:kern w:val="0"/>
          <w:sz w:val="24"/>
        </w:rPr>
      </w:pPr>
    </w:p>
    <w:p>
      <w:pPr>
        <w:topLinePunct/>
        <w:adjustRightInd w:val="0"/>
        <w:snapToGrid w:val="0"/>
        <w:spacing w:line="420" w:lineRule="exact"/>
        <w:ind w:firstLine="578" w:firstLineChars="200"/>
        <w:rPr>
          <w:b/>
          <w:bCs/>
          <w:snapToGrid w:val="0"/>
          <w:spacing w:val="4"/>
          <w:kern w:val="0"/>
          <w:sz w:val="28"/>
          <w:szCs w:val="28"/>
        </w:rPr>
      </w:pPr>
      <w:r>
        <w:rPr>
          <w:b/>
          <w:bCs/>
          <w:snapToGrid w:val="0"/>
          <w:spacing w:val="4"/>
          <w:kern w:val="0"/>
          <w:sz w:val="28"/>
          <w:szCs w:val="28"/>
        </w:rPr>
        <w:t>发包人权利</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第二十条</w:t>
      </w:r>
      <w:r>
        <w:rPr>
          <w:snapToGrid w:val="0"/>
          <w:spacing w:val="4"/>
          <w:kern w:val="0"/>
          <w:sz w:val="24"/>
        </w:rPr>
        <w:t>　发包人有选定工程总承包人，以及与其订立合同的权利。</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第二十一条</w:t>
      </w:r>
      <w:r>
        <w:rPr>
          <w:snapToGrid w:val="0"/>
          <w:spacing w:val="4"/>
          <w:kern w:val="0"/>
          <w:sz w:val="24"/>
        </w:rPr>
        <w:t>　发包人有对工程规模、设计标准、规划设计、生产工艺设计和设计使用功能要求的认定权，以及对工程设计变更的审批权。</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第二十二条</w:t>
      </w:r>
      <w:r>
        <w:rPr>
          <w:snapToGrid w:val="0"/>
          <w:spacing w:val="4"/>
          <w:kern w:val="0"/>
          <w:sz w:val="24"/>
        </w:rPr>
        <w:t>　承包人调换总监理工程师须事先经发包人同意。</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第二十三条</w:t>
      </w:r>
      <w:r>
        <w:rPr>
          <w:snapToGrid w:val="0"/>
          <w:spacing w:val="4"/>
          <w:kern w:val="0"/>
          <w:sz w:val="24"/>
        </w:rPr>
        <w:t>　发包人有权要求承包人提交监理工作月报及监理业务范围内的专项报告。</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第二十四条</w:t>
      </w:r>
      <w:r>
        <w:rPr>
          <w:snapToGrid w:val="0"/>
          <w:spacing w:val="4"/>
          <w:kern w:val="0"/>
          <w:sz w:val="24"/>
        </w:rPr>
        <w:t>　当发包人发现监理人员不按监理合同履行监理职责，或与承包人串通给发包人或工程造成损失的，发包人有权要求承包人更换监理人员，直到终止合同并要求承包人承担相应的赔偿责任或连带赔偿责任。</w:t>
      </w:r>
    </w:p>
    <w:p>
      <w:pPr>
        <w:topLinePunct/>
        <w:adjustRightInd w:val="0"/>
        <w:snapToGrid w:val="0"/>
        <w:spacing w:line="420" w:lineRule="exact"/>
        <w:ind w:firstLine="498" w:firstLineChars="200"/>
        <w:rPr>
          <w:b/>
          <w:bCs/>
          <w:snapToGrid w:val="0"/>
          <w:spacing w:val="4"/>
          <w:kern w:val="0"/>
          <w:sz w:val="24"/>
        </w:rPr>
      </w:pPr>
    </w:p>
    <w:p>
      <w:pPr>
        <w:topLinePunct/>
        <w:adjustRightInd w:val="0"/>
        <w:snapToGrid w:val="0"/>
        <w:spacing w:line="420" w:lineRule="exact"/>
        <w:ind w:firstLine="578" w:firstLineChars="200"/>
        <w:rPr>
          <w:b/>
          <w:bCs/>
          <w:snapToGrid w:val="0"/>
          <w:spacing w:val="4"/>
          <w:kern w:val="0"/>
          <w:sz w:val="28"/>
          <w:szCs w:val="28"/>
        </w:rPr>
      </w:pPr>
      <w:r>
        <w:rPr>
          <w:b/>
          <w:bCs/>
          <w:snapToGrid w:val="0"/>
          <w:spacing w:val="4"/>
          <w:kern w:val="0"/>
          <w:sz w:val="28"/>
          <w:szCs w:val="28"/>
        </w:rPr>
        <w:t>承包人责任</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第二十五条</w:t>
      </w:r>
      <w:r>
        <w:rPr>
          <w:snapToGrid w:val="0"/>
          <w:spacing w:val="4"/>
          <w:kern w:val="0"/>
          <w:sz w:val="24"/>
        </w:rPr>
        <w:t>　承包人的责任期即本施工监理合同有效期。在监理过程中，如果因工程建设进度的推迟或延误而超过书面约定的日期，双方应进一步约定相应延长的合同期。</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第二十六条</w:t>
      </w:r>
      <w:r>
        <w:rPr>
          <w:snapToGrid w:val="0"/>
          <w:spacing w:val="4"/>
          <w:kern w:val="0"/>
          <w:sz w:val="24"/>
        </w:rPr>
        <w:t>　承包人在责任期内，应当履行约定的义务，如果因承包人过失而造成了发包人的经济损失，应当向发包人赔偿。</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第二十七条</w:t>
      </w:r>
      <w:r>
        <w:rPr>
          <w:snapToGrid w:val="0"/>
          <w:spacing w:val="4"/>
          <w:kern w:val="0"/>
          <w:sz w:val="24"/>
        </w:rPr>
        <w:t>　承包人对承包人违反合同规定的质量要求和完工（交图、交货）时限，不承担责任。因不可抗力导致施工监理合同不能全部或部分履行，承包人不承担责任。但对违反第五条规定引起的与之有关的事宜，向发包人承担赔偿责任。</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第二十八条</w:t>
      </w:r>
      <w:r>
        <w:rPr>
          <w:snapToGrid w:val="0"/>
          <w:spacing w:val="4"/>
          <w:kern w:val="0"/>
          <w:sz w:val="24"/>
        </w:rPr>
        <w:t>　承包人向发包人提出赔偿要求不能成立时，承包人应当补偿由于该索赔所导致发包人的各种费用支出。</w:t>
      </w:r>
    </w:p>
    <w:p>
      <w:pPr>
        <w:topLinePunct/>
        <w:adjustRightInd w:val="0"/>
        <w:snapToGrid w:val="0"/>
        <w:spacing w:line="420" w:lineRule="exact"/>
        <w:ind w:firstLine="498" w:firstLineChars="200"/>
        <w:rPr>
          <w:b/>
          <w:bCs/>
          <w:snapToGrid w:val="0"/>
          <w:spacing w:val="4"/>
          <w:kern w:val="0"/>
          <w:sz w:val="24"/>
        </w:rPr>
      </w:pPr>
    </w:p>
    <w:p>
      <w:pPr>
        <w:topLinePunct/>
        <w:adjustRightInd w:val="0"/>
        <w:snapToGrid w:val="0"/>
        <w:spacing w:line="420" w:lineRule="exact"/>
        <w:ind w:firstLine="578" w:firstLineChars="200"/>
        <w:rPr>
          <w:b/>
          <w:bCs/>
          <w:snapToGrid w:val="0"/>
          <w:spacing w:val="4"/>
          <w:kern w:val="0"/>
          <w:sz w:val="28"/>
          <w:szCs w:val="28"/>
        </w:rPr>
      </w:pPr>
      <w:r>
        <w:rPr>
          <w:b/>
          <w:bCs/>
          <w:snapToGrid w:val="0"/>
          <w:spacing w:val="4"/>
          <w:kern w:val="0"/>
          <w:sz w:val="28"/>
          <w:szCs w:val="28"/>
        </w:rPr>
        <w:t>发包人责任</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第二十九条</w:t>
      </w:r>
      <w:r>
        <w:rPr>
          <w:snapToGrid w:val="0"/>
          <w:spacing w:val="4"/>
          <w:kern w:val="0"/>
          <w:sz w:val="24"/>
        </w:rPr>
        <w:t>　发包人应当履行本合同约定的义务，如有违反则应当承担违约责任，赔偿给承包人造成的经济损失。</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第三十条</w:t>
      </w:r>
      <w:r>
        <w:rPr>
          <w:snapToGrid w:val="0"/>
          <w:spacing w:val="4"/>
          <w:kern w:val="0"/>
          <w:sz w:val="24"/>
        </w:rPr>
        <w:t>　发包人如果向承包人提出赔偿的要求不能成立，则应当补偿由该索赔所引起的承包人的各种费用支出。</w:t>
      </w:r>
    </w:p>
    <w:p>
      <w:pPr>
        <w:topLinePunct/>
        <w:adjustRightInd w:val="0"/>
        <w:snapToGrid w:val="0"/>
        <w:spacing w:line="420" w:lineRule="exact"/>
        <w:ind w:firstLine="498" w:firstLineChars="200"/>
        <w:rPr>
          <w:b/>
          <w:bCs/>
          <w:snapToGrid w:val="0"/>
          <w:spacing w:val="4"/>
          <w:kern w:val="0"/>
          <w:sz w:val="24"/>
        </w:rPr>
      </w:pPr>
    </w:p>
    <w:p>
      <w:pPr>
        <w:topLinePunct/>
        <w:adjustRightInd w:val="0"/>
        <w:snapToGrid w:val="0"/>
        <w:spacing w:before="120" w:beforeLines="50" w:line="420" w:lineRule="exact"/>
        <w:ind w:firstLine="578" w:firstLineChars="200"/>
        <w:rPr>
          <w:b/>
          <w:bCs/>
          <w:snapToGrid w:val="0"/>
          <w:spacing w:val="4"/>
          <w:kern w:val="0"/>
          <w:sz w:val="28"/>
          <w:szCs w:val="28"/>
        </w:rPr>
      </w:pPr>
      <w:r>
        <w:rPr>
          <w:b/>
          <w:bCs/>
          <w:snapToGrid w:val="0"/>
          <w:spacing w:val="4"/>
          <w:kern w:val="0"/>
          <w:sz w:val="28"/>
          <w:szCs w:val="28"/>
        </w:rPr>
        <w:t>合同生效、变更与终止</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第三十一条</w:t>
      </w:r>
      <w:r>
        <w:rPr>
          <w:snapToGrid w:val="0"/>
          <w:spacing w:val="4"/>
          <w:kern w:val="0"/>
          <w:sz w:val="24"/>
        </w:rPr>
        <w:t>　由于发包人或承包人的原因使监理工作受到阻碍或延误，以致发生了附加工作或延长了持续时间，则承包人应当将此情况与可能产生的影响及时通知发包人。完成监理业务的时间相应延长，并得到附加工作的酬金。</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第三十二条</w:t>
      </w:r>
      <w:r>
        <w:rPr>
          <w:snapToGrid w:val="0"/>
          <w:spacing w:val="4"/>
          <w:kern w:val="0"/>
          <w:sz w:val="24"/>
        </w:rPr>
        <w:t>　在本合同签订后，实际情况发生变化，使得承包人不能全部或部分执行监理业务时，承包人应当立即通知发包人。该监理业务的完成时间应予延长。当恢复执行监理业务时，应当增加不超过42日的时间用于恢复执行监理业务，并按双方约定的数量支付监理酬金。</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第三十三条</w:t>
      </w:r>
      <w:r>
        <w:rPr>
          <w:snapToGrid w:val="0"/>
          <w:spacing w:val="4"/>
          <w:kern w:val="0"/>
          <w:sz w:val="24"/>
        </w:rPr>
        <w:t>　承包人向发包人办理完竣工验收或工程移交手续，承包人和发包人已签订工程维护责任书，承包人收到监理酬金尾款，本合同即终止。维护期间的责任，双方在专用条件中约定。</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第三十四条</w:t>
      </w:r>
      <w:r>
        <w:rPr>
          <w:snapToGrid w:val="0"/>
          <w:spacing w:val="4"/>
          <w:kern w:val="0"/>
          <w:sz w:val="24"/>
        </w:rPr>
        <w:t>　当事人一方要求变更或解除合同时，应当在42日前通知对方，因解除合同使一方遭受损失的，除依法可以免除责任的外，应由责任方负责赔偿。</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变更或解除合同的通知或协议必须采取书面形式，协议未达成之前，原合同仍然有效。</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第三十五条</w:t>
      </w:r>
      <w:r>
        <w:rPr>
          <w:snapToGrid w:val="0"/>
          <w:spacing w:val="4"/>
          <w:kern w:val="0"/>
          <w:sz w:val="24"/>
        </w:rPr>
        <w:t>　承包人在应当获得监理酬金之日起30日内仍未收到支付单据，而发包人又未对承包人提出任何书面解释时，或根据第三十三条及第三十四条已暂停执行监理业务时限超过六个月的，承包人可向发包人发出终止合同的通知，发出通知后14日内仍未得到发包人答复，可进一步发出终止合同的通知，如果第二份通知发出后42日内仍未得到发包人答复，可终止合同或自行暂停或继续暂停执行全部或部分监理业务。</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第三十六条</w:t>
      </w:r>
      <w:r>
        <w:rPr>
          <w:snapToGrid w:val="0"/>
          <w:spacing w:val="4"/>
          <w:kern w:val="0"/>
          <w:sz w:val="24"/>
        </w:rPr>
        <w:t>　承包人由于非自己的原因而暂停或终止执行监理业务，其善后工作以及恢复执行监理业务的工作，应当视为额外工作，有权得到额外的酬金。</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第三十七条</w:t>
      </w:r>
      <w:r>
        <w:rPr>
          <w:snapToGrid w:val="0"/>
          <w:spacing w:val="4"/>
          <w:kern w:val="0"/>
          <w:sz w:val="24"/>
        </w:rPr>
        <w:t>　当发包人认为承包人无正当理由而又未履行监理义务时，可向承包人发出指明其未履行义务的通知。若发包人发出通知后21日内没有收到答复，可在第一个通知发出后35日内发出终止委托监理合同的通知，合同即行终止。承包人承担违约责任。</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第三十八条</w:t>
      </w:r>
      <w:r>
        <w:rPr>
          <w:snapToGrid w:val="0"/>
          <w:spacing w:val="4"/>
          <w:kern w:val="0"/>
          <w:sz w:val="24"/>
        </w:rPr>
        <w:t>　合同协议的终止并不影响各方应有的权利和应当承担的责任。</w:t>
      </w:r>
    </w:p>
    <w:p>
      <w:pPr>
        <w:topLinePunct/>
        <w:adjustRightInd w:val="0"/>
        <w:snapToGrid w:val="0"/>
        <w:spacing w:line="420" w:lineRule="exact"/>
        <w:ind w:firstLine="496" w:firstLineChars="200"/>
        <w:rPr>
          <w:snapToGrid w:val="0"/>
          <w:spacing w:val="4"/>
          <w:kern w:val="0"/>
          <w:sz w:val="24"/>
        </w:rPr>
      </w:pPr>
    </w:p>
    <w:p>
      <w:pPr>
        <w:topLinePunct/>
        <w:adjustRightInd w:val="0"/>
        <w:snapToGrid w:val="0"/>
        <w:spacing w:line="420" w:lineRule="exact"/>
        <w:ind w:firstLine="578" w:firstLineChars="200"/>
        <w:rPr>
          <w:b/>
          <w:bCs/>
          <w:snapToGrid w:val="0"/>
          <w:spacing w:val="4"/>
          <w:kern w:val="0"/>
          <w:sz w:val="28"/>
          <w:szCs w:val="28"/>
        </w:rPr>
      </w:pPr>
      <w:r>
        <w:rPr>
          <w:b/>
          <w:bCs/>
          <w:snapToGrid w:val="0"/>
          <w:spacing w:val="4"/>
          <w:kern w:val="0"/>
          <w:sz w:val="28"/>
          <w:szCs w:val="28"/>
        </w:rPr>
        <w:t>监理酬金</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第三十九条</w:t>
      </w:r>
      <w:r>
        <w:rPr>
          <w:snapToGrid w:val="0"/>
          <w:spacing w:val="4"/>
          <w:kern w:val="0"/>
          <w:sz w:val="24"/>
        </w:rPr>
        <w:t>　正常的监理工作、附加工作和额外工作的酬金，按照监理合同专用条件中第三十九条的方法计算，并按约定的时间和数额支付。</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第四十条</w:t>
      </w:r>
      <w:r>
        <w:rPr>
          <w:snapToGrid w:val="0"/>
          <w:spacing w:val="4"/>
          <w:kern w:val="0"/>
          <w:sz w:val="24"/>
        </w:rPr>
        <w:t>　如果发包人在规定的支付期限内未支付监理酬金，自规定之日起，还应向承包人支付滞纳金。滞纳金从规定支付期限最后一日起计算。</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第四十一条</w:t>
      </w:r>
      <w:r>
        <w:rPr>
          <w:snapToGrid w:val="0"/>
          <w:spacing w:val="4"/>
          <w:kern w:val="0"/>
          <w:sz w:val="24"/>
        </w:rPr>
        <w:t>　支付监理酬金所采取的货币币种、汇率由合同专用条件约定。</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第四十二条</w:t>
      </w:r>
      <w:r>
        <w:rPr>
          <w:snapToGrid w:val="0"/>
          <w:spacing w:val="4"/>
          <w:kern w:val="0"/>
          <w:sz w:val="24"/>
        </w:rPr>
        <w:t>　如果发包人对承包人提交的支付通知中酬金或部分酬金项目提出异议，应当在收到支付通知书</w:t>
      </w:r>
      <w:r>
        <w:rPr>
          <w:b/>
          <w:bCs/>
          <w:snapToGrid w:val="0"/>
          <w:spacing w:val="4"/>
          <w:kern w:val="0"/>
          <w:sz w:val="24"/>
        </w:rPr>
        <w:t>72</w:t>
      </w:r>
      <w:r>
        <w:rPr>
          <w:snapToGrid w:val="0"/>
          <w:spacing w:val="4"/>
          <w:kern w:val="0"/>
          <w:sz w:val="24"/>
        </w:rPr>
        <w:t>小时内向承包人发出表示异议的通知，但发包人不得拖延其他无异议酬金项目的支付。</w:t>
      </w:r>
    </w:p>
    <w:p>
      <w:pPr>
        <w:topLinePunct/>
        <w:adjustRightInd w:val="0"/>
        <w:snapToGrid w:val="0"/>
        <w:spacing w:line="420" w:lineRule="exact"/>
        <w:ind w:firstLine="496" w:firstLineChars="200"/>
        <w:rPr>
          <w:snapToGrid w:val="0"/>
          <w:spacing w:val="4"/>
          <w:kern w:val="0"/>
          <w:sz w:val="24"/>
        </w:rPr>
      </w:pPr>
    </w:p>
    <w:p>
      <w:pPr>
        <w:topLinePunct/>
        <w:adjustRightInd w:val="0"/>
        <w:snapToGrid w:val="0"/>
        <w:spacing w:before="120" w:beforeLines="50" w:line="420" w:lineRule="exact"/>
        <w:ind w:firstLine="578" w:firstLineChars="200"/>
        <w:rPr>
          <w:b/>
          <w:bCs/>
          <w:snapToGrid w:val="0"/>
          <w:spacing w:val="4"/>
          <w:kern w:val="0"/>
          <w:sz w:val="28"/>
          <w:szCs w:val="28"/>
        </w:rPr>
      </w:pPr>
      <w:r>
        <w:rPr>
          <w:b/>
          <w:bCs/>
          <w:snapToGrid w:val="0"/>
          <w:spacing w:val="4"/>
          <w:kern w:val="0"/>
          <w:sz w:val="28"/>
          <w:szCs w:val="28"/>
        </w:rPr>
        <w:t>其他</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第四十三条</w:t>
      </w:r>
      <w:r>
        <w:rPr>
          <w:snapToGrid w:val="0"/>
          <w:spacing w:val="4"/>
          <w:kern w:val="0"/>
          <w:sz w:val="24"/>
        </w:rPr>
        <w:t>　委托的建设工程监理所必要的监理人员出外考察、材料设备复试，其费用支出经发包人同意的，在预算范围内向发包人实报实销。</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第四十四条</w:t>
      </w:r>
      <w:r>
        <w:rPr>
          <w:snapToGrid w:val="0"/>
          <w:spacing w:val="4"/>
          <w:kern w:val="0"/>
          <w:sz w:val="24"/>
        </w:rPr>
        <w:t>　在监理业务范围内，如需聘用专家咨询或协助，由承包人聘用的，其费用由承包人承担；由发包人聘用的，其费用由发包人承担。</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第四十五条</w:t>
      </w:r>
      <w:r>
        <w:rPr>
          <w:snapToGrid w:val="0"/>
          <w:spacing w:val="4"/>
          <w:kern w:val="0"/>
          <w:sz w:val="24"/>
        </w:rPr>
        <w:t>　承包人在监理工作过程中提出的合理化建议，使发包人得到了经济效益，发包人应按专用条件中的约定给予经济奖励。</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第四十六条</w:t>
      </w:r>
      <w:r>
        <w:rPr>
          <w:snapToGrid w:val="0"/>
          <w:spacing w:val="4"/>
          <w:kern w:val="0"/>
          <w:sz w:val="24"/>
        </w:rPr>
        <w:t>　承包人驻地项目监理机构及其职员不得接受监理工程项目承包人的任何酬金或者经济利益。</w:t>
      </w:r>
    </w:p>
    <w:p>
      <w:pPr>
        <w:topLinePunct/>
        <w:adjustRightInd w:val="0"/>
        <w:snapToGrid w:val="0"/>
        <w:spacing w:line="420" w:lineRule="exact"/>
        <w:ind w:firstLine="496" w:firstLineChars="200"/>
        <w:rPr>
          <w:snapToGrid w:val="0"/>
          <w:spacing w:val="4"/>
          <w:kern w:val="0"/>
          <w:sz w:val="24"/>
        </w:rPr>
      </w:pPr>
      <w:r>
        <w:rPr>
          <w:snapToGrid w:val="0"/>
          <w:spacing w:val="4"/>
          <w:kern w:val="0"/>
          <w:sz w:val="24"/>
        </w:rPr>
        <w:t>承包人不得参与可能与合同规定的与发包人的利益相冲突的任何活动。</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第四十七条</w:t>
      </w:r>
      <w:r>
        <w:rPr>
          <w:snapToGrid w:val="0"/>
          <w:spacing w:val="4"/>
          <w:kern w:val="0"/>
          <w:sz w:val="24"/>
        </w:rPr>
        <w:t>　承包人在监理过程中，不得泄露发包人申明的秘密，承包人亦不得泄露设计人、承包人等提供并申明的秘密。</w:t>
      </w:r>
    </w:p>
    <w:p>
      <w:pPr>
        <w:topLinePunct/>
        <w:adjustRightInd w:val="0"/>
        <w:snapToGrid w:val="0"/>
        <w:spacing w:line="420" w:lineRule="exact"/>
        <w:ind w:firstLine="498" w:firstLineChars="200"/>
        <w:rPr>
          <w:b/>
          <w:bCs/>
          <w:snapToGrid w:val="0"/>
          <w:spacing w:val="4"/>
          <w:kern w:val="0"/>
          <w:sz w:val="24"/>
        </w:rPr>
      </w:pPr>
      <w:r>
        <w:rPr>
          <w:b/>
          <w:bCs/>
          <w:snapToGrid w:val="0"/>
          <w:spacing w:val="4"/>
          <w:kern w:val="0"/>
          <w:sz w:val="24"/>
        </w:rPr>
        <w:t>第四十八条</w:t>
      </w:r>
      <w:r>
        <w:rPr>
          <w:snapToGrid w:val="0"/>
          <w:spacing w:val="4"/>
          <w:kern w:val="0"/>
          <w:sz w:val="24"/>
        </w:rPr>
        <w:t>　承包人对于由其编制的所有文件拥有版权，发包人仅有权为本合同工程使用或复制此类文件。</w:t>
      </w:r>
    </w:p>
    <w:p>
      <w:pPr>
        <w:topLinePunct/>
        <w:adjustRightInd w:val="0"/>
        <w:snapToGrid w:val="0"/>
        <w:spacing w:before="240" w:beforeLines="100" w:line="420" w:lineRule="exact"/>
        <w:ind w:firstLine="578" w:firstLineChars="200"/>
        <w:rPr>
          <w:b/>
          <w:bCs/>
          <w:snapToGrid w:val="0"/>
          <w:spacing w:val="4"/>
          <w:kern w:val="0"/>
          <w:sz w:val="28"/>
          <w:szCs w:val="28"/>
        </w:rPr>
      </w:pPr>
      <w:r>
        <w:rPr>
          <w:b/>
          <w:bCs/>
          <w:snapToGrid w:val="0"/>
          <w:spacing w:val="4"/>
          <w:kern w:val="0"/>
          <w:sz w:val="28"/>
          <w:szCs w:val="28"/>
        </w:rPr>
        <w:t>争议的解决</w:t>
      </w:r>
    </w:p>
    <w:p>
      <w:pPr>
        <w:topLinePunct/>
        <w:adjustRightInd w:val="0"/>
        <w:snapToGrid w:val="0"/>
        <w:spacing w:line="420" w:lineRule="exact"/>
        <w:ind w:firstLine="498" w:firstLineChars="200"/>
        <w:rPr>
          <w:snapToGrid w:val="0"/>
          <w:spacing w:val="4"/>
          <w:kern w:val="0"/>
          <w:sz w:val="24"/>
        </w:rPr>
      </w:pPr>
      <w:r>
        <w:rPr>
          <w:b/>
          <w:bCs/>
          <w:snapToGrid w:val="0"/>
          <w:spacing w:val="4"/>
          <w:kern w:val="0"/>
          <w:sz w:val="24"/>
        </w:rPr>
        <w:t xml:space="preserve">第四十九条  </w:t>
      </w:r>
      <w:r>
        <w:rPr>
          <w:snapToGrid w:val="0"/>
          <w:spacing w:val="4"/>
          <w:kern w:val="0"/>
          <w:sz w:val="24"/>
        </w:rPr>
        <w:t>因违反或终止合同而引起的对对方损失和损害的赔偿，双方应当协商解决，如未能达成一致，可提交主管部门协调，如仍未能达成一致时，根据双方约定向</w:t>
      </w:r>
      <w:r>
        <w:rPr>
          <w:snapToGrid w:val="0"/>
          <w:spacing w:val="4"/>
          <w:kern w:val="0"/>
          <w:sz w:val="24"/>
          <w:u w:val="single"/>
        </w:rPr>
        <w:t xml:space="preserve"> </w:t>
      </w:r>
      <w:r>
        <w:rPr>
          <w:b/>
          <w:bCs/>
          <w:snapToGrid w:val="0"/>
          <w:spacing w:val="4"/>
          <w:kern w:val="0"/>
          <w:sz w:val="24"/>
          <w:u w:val="single"/>
        </w:rPr>
        <w:t xml:space="preserve">广州市花都区人民法院 </w:t>
      </w:r>
      <w:r>
        <w:rPr>
          <w:snapToGrid w:val="0"/>
          <w:spacing w:val="4"/>
          <w:kern w:val="0"/>
          <w:sz w:val="24"/>
        </w:rPr>
        <w:t>起诉。</w:t>
      </w:r>
    </w:p>
    <w:p>
      <w:pPr>
        <w:topLinePunct/>
        <w:adjustRightInd w:val="0"/>
        <w:snapToGrid w:val="0"/>
        <w:spacing w:before="120" w:after="120" w:line="420" w:lineRule="exact"/>
        <w:jc w:val="center"/>
        <w:rPr>
          <w:b/>
          <w:snapToGrid w:val="0"/>
          <w:spacing w:val="4"/>
          <w:kern w:val="0"/>
          <w:sz w:val="30"/>
          <w:szCs w:val="30"/>
        </w:rPr>
      </w:pPr>
      <w:r>
        <w:rPr>
          <w:b/>
          <w:snapToGrid w:val="0"/>
          <w:spacing w:val="4"/>
          <w:kern w:val="0"/>
          <w:sz w:val="30"/>
          <w:szCs w:val="30"/>
        </w:rPr>
        <w:br w:type="page"/>
      </w:r>
      <w:r>
        <w:rPr>
          <w:b/>
          <w:snapToGrid w:val="0"/>
          <w:spacing w:val="4"/>
          <w:kern w:val="0"/>
          <w:sz w:val="30"/>
          <w:szCs w:val="30"/>
        </w:rPr>
        <w:t>第四篇  合同附件</w:t>
      </w:r>
    </w:p>
    <w:p>
      <w:pPr>
        <w:topLinePunct/>
        <w:adjustRightInd w:val="0"/>
        <w:snapToGrid w:val="0"/>
        <w:spacing w:line="420" w:lineRule="exact"/>
        <w:ind w:firstLine="426" w:firstLineChars="171"/>
        <w:rPr>
          <w:b/>
          <w:snapToGrid w:val="0"/>
          <w:spacing w:val="4"/>
          <w:kern w:val="0"/>
          <w:sz w:val="24"/>
        </w:rPr>
      </w:pPr>
    </w:p>
    <w:p>
      <w:pPr>
        <w:topLinePunct/>
        <w:adjustRightInd w:val="0"/>
        <w:snapToGrid w:val="0"/>
        <w:spacing w:line="420" w:lineRule="exact"/>
        <w:ind w:firstLine="424" w:firstLineChars="171"/>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附件1：工程建设廉洁协议书</w:t>
      </w:r>
    </w:p>
    <w:p>
      <w:pPr>
        <w:topLinePunct/>
        <w:adjustRightInd w:val="0"/>
        <w:snapToGrid w:val="0"/>
        <w:spacing w:line="420" w:lineRule="exact"/>
        <w:ind w:firstLine="424" w:firstLineChars="171"/>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附件2：监理</w:t>
      </w:r>
      <w:r>
        <w:rPr>
          <w:snapToGrid w:val="0"/>
          <w:spacing w:val="4"/>
          <w:kern w:val="0"/>
          <w:sz w:val="24"/>
        </w:rPr>
        <w:t>服务工作及成果质量</w:t>
      </w:r>
      <w:r>
        <w:rPr>
          <w:bCs/>
          <w:snapToGrid w:val="0"/>
          <w:spacing w:val="4"/>
          <w:kern w:val="0"/>
          <w:sz w:val="24"/>
        </w:rPr>
        <w:t>量化考核支付方式表</w:t>
      </w:r>
    </w:p>
    <w:p>
      <w:pPr>
        <w:topLinePunct/>
        <w:adjustRightInd w:val="0"/>
        <w:snapToGrid w:val="0"/>
        <w:spacing w:line="420" w:lineRule="exact"/>
        <w:ind w:firstLine="424" w:firstLineChars="171"/>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附件3：项目监理机构及监理人员</w:t>
      </w:r>
    </w:p>
    <w:p>
      <w:pPr>
        <w:topLinePunct/>
        <w:adjustRightInd w:val="0"/>
        <w:snapToGrid w:val="0"/>
        <w:spacing w:line="420" w:lineRule="exact"/>
        <w:ind w:firstLine="424" w:firstLineChars="171"/>
        <w:rPr>
          <w:bCs/>
          <w:snapToGrid w:val="0"/>
          <w:spacing w:val="4"/>
          <w:kern w:val="0"/>
          <w:sz w:val="24"/>
        </w:rPr>
      </w:pPr>
      <w:r>
        <w:rPr>
          <w:bCs/>
          <w:snapToGrid w:val="0"/>
          <w:spacing w:val="4"/>
          <w:kern w:val="0"/>
          <w:sz w:val="24"/>
        </w:rPr>
        <w:t>（1）项目监理机构图</w:t>
      </w:r>
    </w:p>
    <w:p>
      <w:pPr>
        <w:topLinePunct/>
        <w:adjustRightInd w:val="0"/>
        <w:snapToGrid w:val="0"/>
        <w:spacing w:line="420" w:lineRule="exact"/>
        <w:ind w:firstLine="424" w:firstLineChars="171"/>
        <w:rPr>
          <w:snapToGrid w:val="0"/>
          <w:spacing w:val="4"/>
          <w:kern w:val="0"/>
          <w:sz w:val="24"/>
        </w:rPr>
      </w:pPr>
      <w:r>
        <w:rPr>
          <w:bCs/>
          <w:snapToGrid w:val="0"/>
          <w:spacing w:val="4"/>
          <w:kern w:val="0"/>
          <w:sz w:val="24"/>
        </w:rPr>
        <w:t>（2）施工准备阶段</w:t>
      </w:r>
      <w:r>
        <w:rPr>
          <w:snapToGrid w:val="0"/>
          <w:spacing w:val="4"/>
          <w:kern w:val="0"/>
          <w:sz w:val="24"/>
        </w:rPr>
        <w:t>监理人员一览表</w:t>
      </w:r>
    </w:p>
    <w:p>
      <w:pPr>
        <w:topLinePunct/>
        <w:adjustRightInd w:val="0"/>
        <w:snapToGrid w:val="0"/>
        <w:spacing w:line="420" w:lineRule="exact"/>
        <w:ind w:firstLine="424" w:firstLineChars="171"/>
        <w:rPr>
          <w:snapToGrid w:val="0"/>
          <w:spacing w:val="4"/>
          <w:kern w:val="0"/>
          <w:sz w:val="24"/>
        </w:rPr>
      </w:pPr>
      <w:r>
        <w:rPr>
          <w:snapToGrid w:val="0"/>
          <w:spacing w:val="4"/>
          <w:kern w:val="0"/>
          <w:sz w:val="24"/>
        </w:rPr>
        <w:t>（3）施工阶段监理人员一览表</w:t>
      </w:r>
    </w:p>
    <w:p>
      <w:pPr>
        <w:topLinePunct/>
        <w:adjustRightInd w:val="0"/>
        <w:snapToGrid w:val="0"/>
        <w:spacing w:line="420" w:lineRule="exact"/>
        <w:ind w:firstLine="424" w:firstLineChars="171"/>
        <w:rPr>
          <w:bCs/>
          <w:snapToGrid w:val="0"/>
          <w:spacing w:val="4"/>
          <w:kern w:val="0"/>
          <w:sz w:val="24"/>
        </w:rPr>
      </w:pPr>
      <w:r>
        <w:rPr>
          <w:snapToGrid w:val="0"/>
          <w:spacing w:val="4"/>
          <w:kern w:val="0"/>
          <w:sz w:val="24"/>
        </w:rPr>
        <w:t>（4）工程收尾阶段监理人员一览表</w:t>
      </w:r>
    </w:p>
    <w:p>
      <w:pPr>
        <w:topLinePunct/>
        <w:adjustRightInd w:val="0"/>
        <w:snapToGrid w:val="0"/>
        <w:spacing w:line="420" w:lineRule="exact"/>
        <w:ind w:firstLine="424" w:firstLineChars="171"/>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附件4：</w:t>
      </w:r>
      <w:r>
        <w:rPr>
          <w:snapToGrid w:val="0"/>
          <w:spacing w:val="4"/>
          <w:kern w:val="0"/>
          <w:sz w:val="24"/>
        </w:rPr>
        <w:t>（</w:t>
      </w:r>
      <w:r>
        <w:rPr>
          <w:bCs/>
          <w:snapToGrid w:val="0"/>
          <w:spacing w:val="4"/>
          <w:kern w:val="0"/>
          <w:sz w:val="24"/>
        </w:rPr>
        <w:t>承包人）</w:t>
      </w:r>
      <w:r>
        <w:rPr>
          <w:snapToGrid w:val="0"/>
          <w:spacing w:val="4"/>
          <w:kern w:val="0"/>
          <w:sz w:val="24"/>
        </w:rPr>
        <w:t>拟用于本工程的通讯、办公、检测设备清单</w:t>
      </w:r>
    </w:p>
    <w:p>
      <w:pPr>
        <w:topLinePunct/>
        <w:adjustRightInd w:val="0"/>
        <w:snapToGrid w:val="0"/>
        <w:spacing w:line="420" w:lineRule="exact"/>
        <w:ind w:firstLine="424" w:firstLineChars="171"/>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附件5：监理服务承诺书</w:t>
      </w:r>
    </w:p>
    <w:p>
      <w:pPr>
        <w:topLinePunct/>
        <w:adjustRightInd w:val="0"/>
        <w:snapToGrid w:val="0"/>
        <w:spacing w:line="420" w:lineRule="exact"/>
        <w:ind w:firstLine="424" w:firstLineChars="171"/>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附件6：承包人履约银行保函及其承诺书</w:t>
      </w:r>
    </w:p>
    <w:p>
      <w:pPr>
        <w:topLinePunct/>
        <w:adjustRightInd w:val="0"/>
        <w:snapToGrid w:val="0"/>
        <w:spacing w:line="420" w:lineRule="exact"/>
        <w:ind w:firstLine="424" w:firstLineChars="171"/>
        <w:rPr>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附件7：监理单位安全生产管理目标责任书</w:t>
      </w:r>
    </w:p>
    <w:p>
      <w:pPr>
        <w:topLinePunct/>
        <w:adjustRightInd w:val="0"/>
        <w:snapToGrid w:val="0"/>
        <w:spacing w:line="420" w:lineRule="exact"/>
        <w:ind w:left="1698" w:leftChars="202" w:hanging="1274" w:hangingChars="514"/>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w:t>
      </w:r>
      <w:r>
        <w:rPr>
          <w:bCs/>
          <w:snapToGrid w:val="0"/>
          <w:spacing w:val="-4"/>
          <w:kern w:val="0"/>
          <w:sz w:val="24"/>
        </w:rPr>
        <w:t>附件8：承包人法定代表人、项目总监理工程师、项目监理员的姓名、身份证复印件、职务、职称、联系方式</w:t>
      </w:r>
    </w:p>
    <w:p>
      <w:pPr>
        <w:topLinePunct/>
        <w:adjustRightInd w:val="0"/>
        <w:snapToGrid w:val="0"/>
        <w:spacing w:line="420" w:lineRule="exact"/>
        <w:ind w:firstLine="424" w:firstLineChars="171"/>
        <w:rPr>
          <w:bCs/>
          <w:snapToGrid w:val="0"/>
          <w:spacing w:val="-4"/>
          <w:kern w:val="0"/>
          <w:sz w:val="24"/>
        </w:rPr>
      </w:pPr>
      <w:r>
        <w:rPr>
          <w:bCs/>
          <w:snapToGrid w:val="0"/>
          <w:spacing w:val="4"/>
          <w:kern w:val="0"/>
          <w:sz w:val="24"/>
          <w:bdr w:val="single" w:color="auto" w:sz="4" w:space="0"/>
        </w:rPr>
        <w:t>√</w:t>
      </w:r>
      <w:r>
        <w:rPr>
          <w:bCs/>
          <w:snapToGrid w:val="0"/>
          <w:spacing w:val="-4"/>
          <w:kern w:val="0"/>
          <w:sz w:val="24"/>
        </w:rPr>
        <w:t xml:space="preserve">  附件9：中标通知书</w:t>
      </w:r>
    </w:p>
    <w:p>
      <w:pPr>
        <w:topLinePunct/>
        <w:adjustRightInd w:val="0"/>
        <w:snapToGrid w:val="0"/>
        <w:spacing w:line="360" w:lineRule="auto"/>
        <w:ind w:firstLine="744" w:firstLineChars="300"/>
        <w:rPr>
          <w:bCs/>
          <w:snapToGrid w:val="0"/>
          <w:spacing w:val="4"/>
          <w:kern w:val="0"/>
          <w:sz w:val="24"/>
        </w:rPr>
      </w:pPr>
    </w:p>
    <w:p>
      <w:pPr>
        <w:topLinePunct/>
        <w:adjustRightInd w:val="0"/>
        <w:snapToGrid w:val="0"/>
        <w:spacing w:line="360" w:lineRule="auto"/>
        <w:rPr>
          <w:b/>
          <w:snapToGrid w:val="0"/>
          <w:spacing w:val="4"/>
          <w:kern w:val="0"/>
          <w:sz w:val="24"/>
        </w:rPr>
      </w:pPr>
    </w:p>
    <w:p>
      <w:pPr>
        <w:topLinePunct/>
        <w:adjustRightInd w:val="0"/>
        <w:snapToGrid w:val="0"/>
        <w:spacing w:line="360" w:lineRule="auto"/>
        <w:rPr>
          <w:b/>
          <w:snapToGrid w:val="0"/>
          <w:spacing w:val="4"/>
          <w:kern w:val="0"/>
          <w:sz w:val="24"/>
        </w:rPr>
      </w:pPr>
    </w:p>
    <w:p>
      <w:pPr>
        <w:topLinePunct/>
        <w:adjustRightInd w:val="0"/>
        <w:snapToGrid w:val="0"/>
        <w:spacing w:line="360" w:lineRule="auto"/>
        <w:rPr>
          <w:b/>
          <w:snapToGrid w:val="0"/>
          <w:spacing w:val="4"/>
          <w:kern w:val="0"/>
          <w:sz w:val="24"/>
        </w:rPr>
      </w:pPr>
    </w:p>
    <w:p>
      <w:pPr>
        <w:spacing w:line="360" w:lineRule="auto"/>
        <w:rPr>
          <w:rFonts w:ascii="宋体" w:hAnsi="宋体"/>
          <w:szCs w:val="21"/>
        </w:rPr>
      </w:pPr>
      <w:r>
        <w:rPr>
          <w:b/>
          <w:szCs w:val="20"/>
        </w:rPr>
        <w:br w:type="page"/>
      </w:r>
      <w:r>
        <w:rPr>
          <w:rFonts w:ascii="宋体" w:hAnsi="宋体"/>
          <w:b/>
          <w:szCs w:val="21"/>
        </w:rPr>
        <w:t>附件1：工程建设廉洁协议书</w:t>
      </w:r>
    </w:p>
    <w:p>
      <w:pPr>
        <w:adjustRightInd w:val="0"/>
        <w:snapToGrid w:val="0"/>
        <w:spacing w:line="360" w:lineRule="auto"/>
        <w:jc w:val="center"/>
        <w:rPr>
          <w:snapToGrid w:val="0"/>
          <w:kern w:val="0"/>
          <w:sz w:val="24"/>
        </w:rPr>
      </w:pPr>
    </w:p>
    <w:p>
      <w:pPr>
        <w:adjustRightInd w:val="0"/>
        <w:snapToGrid w:val="0"/>
        <w:spacing w:line="360" w:lineRule="auto"/>
        <w:jc w:val="center"/>
        <w:rPr>
          <w:snapToGrid w:val="0"/>
          <w:kern w:val="0"/>
          <w:sz w:val="44"/>
          <w:szCs w:val="44"/>
        </w:rPr>
      </w:pPr>
      <w:r>
        <w:rPr>
          <w:snapToGrid w:val="0"/>
          <w:kern w:val="0"/>
          <w:sz w:val="44"/>
          <w:szCs w:val="44"/>
        </w:rPr>
        <w:t>工程建设廉洁协议书</w:t>
      </w:r>
    </w:p>
    <w:p>
      <w:pPr>
        <w:adjustRightInd w:val="0"/>
        <w:snapToGrid w:val="0"/>
        <w:spacing w:line="360" w:lineRule="auto"/>
        <w:rPr>
          <w:b/>
          <w:bCs/>
          <w:snapToGrid w:val="0"/>
          <w:kern w:val="0"/>
          <w:sz w:val="24"/>
        </w:rPr>
      </w:pPr>
    </w:p>
    <w:p>
      <w:pPr>
        <w:adjustRightInd w:val="0"/>
        <w:snapToGrid w:val="0"/>
        <w:spacing w:line="360" w:lineRule="auto"/>
        <w:rPr>
          <w:b/>
        </w:rPr>
      </w:pPr>
      <w:r>
        <w:rPr>
          <w:rFonts w:hint="eastAsia"/>
          <w:b/>
        </w:rPr>
        <w:t>发</w:t>
      </w:r>
      <w:r>
        <w:rPr>
          <w:b/>
        </w:rPr>
        <w:t xml:space="preserve"> </w:t>
      </w:r>
      <w:r>
        <w:rPr>
          <w:rFonts w:hint="eastAsia"/>
          <w:b/>
        </w:rPr>
        <w:t>包</w:t>
      </w:r>
      <w:r>
        <w:rPr>
          <w:b/>
        </w:rPr>
        <w:t xml:space="preserve"> 人（甲方）：</w:t>
      </w:r>
      <w:r>
        <w:rPr>
          <w:b/>
          <w:u w:val="single"/>
        </w:rPr>
        <w:t>广州市花都区公共建设项目管理中心</w:t>
      </w:r>
    </w:p>
    <w:p>
      <w:pPr>
        <w:adjustRightInd w:val="0"/>
        <w:snapToGrid w:val="0"/>
        <w:spacing w:line="360" w:lineRule="auto"/>
        <w:rPr>
          <w:b/>
        </w:rPr>
      </w:pPr>
      <w:r>
        <w:rPr>
          <w:rFonts w:hint="eastAsia"/>
          <w:b/>
        </w:rPr>
        <w:t>承</w:t>
      </w:r>
      <w:r>
        <w:rPr>
          <w:b/>
        </w:rPr>
        <w:t xml:space="preserve"> </w:t>
      </w:r>
      <w:r>
        <w:rPr>
          <w:rFonts w:hint="eastAsia"/>
          <w:b/>
        </w:rPr>
        <w:t xml:space="preserve">包 </w:t>
      </w:r>
      <w:r>
        <w:rPr>
          <w:b/>
        </w:rPr>
        <w:t>人（乙方）：</w:t>
      </w:r>
      <w:r>
        <w:rPr>
          <w:rFonts w:hint="eastAsia" w:ascii="等线" w:hAnsi="等线" w:eastAsia="等线"/>
          <w:b/>
          <w:u w:val="single"/>
        </w:rPr>
        <w:t xml:space="preserve"> </w:t>
      </w:r>
      <w:r>
        <w:rPr>
          <w:rFonts w:ascii="等线" w:hAnsi="等线" w:eastAsia="等线"/>
          <w:b/>
          <w:u w:val="single"/>
        </w:rPr>
        <w:t xml:space="preserve">                               </w:t>
      </w:r>
    </w:p>
    <w:p>
      <w:pPr>
        <w:adjustRightInd w:val="0"/>
        <w:snapToGrid w:val="0"/>
        <w:spacing w:line="360" w:lineRule="auto"/>
        <w:ind w:firstLine="480" w:firstLineChars="200"/>
        <w:rPr>
          <w:snapToGrid w:val="0"/>
          <w:kern w:val="0"/>
          <w:sz w:val="24"/>
        </w:rPr>
      </w:pPr>
    </w:p>
    <w:p>
      <w:pPr>
        <w:adjustRightInd w:val="0"/>
        <w:snapToGrid w:val="0"/>
        <w:spacing w:line="460" w:lineRule="exact"/>
        <w:ind w:firstLine="480" w:firstLineChars="200"/>
        <w:rPr>
          <w:snapToGrid w:val="0"/>
          <w:kern w:val="0"/>
          <w:sz w:val="24"/>
        </w:rPr>
      </w:pPr>
      <w:r>
        <w:rPr>
          <w:snapToGrid w:val="0"/>
          <w:kern w:val="0"/>
          <w:sz w:val="24"/>
        </w:rPr>
        <w:t>为切实规范甲乙双方的各项建筑活动，预防本工程违法违纪等腐败现象的发生，保障工程建设优质、安全和廉洁，根据《广州市建筑市场廉洁准入规定》及相关法律法规的规定，特订立本协议书。</w:t>
      </w:r>
    </w:p>
    <w:p>
      <w:pPr>
        <w:adjustRightInd w:val="0"/>
        <w:snapToGrid w:val="0"/>
        <w:spacing w:line="460" w:lineRule="exact"/>
        <w:ind w:firstLine="472" w:firstLineChars="196"/>
        <w:rPr>
          <w:b/>
          <w:bCs/>
          <w:snapToGrid w:val="0"/>
          <w:kern w:val="0"/>
          <w:sz w:val="24"/>
        </w:rPr>
      </w:pPr>
      <w:r>
        <w:rPr>
          <w:b/>
          <w:bCs/>
          <w:snapToGrid w:val="0"/>
          <w:kern w:val="0"/>
          <w:sz w:val="24"/>
        </w:rPr>
        <w:t>第一条 甲乙双方责任</w:t>
      </w:r>
    </w:p>
    <w:p>
      <w:pPr>
        <w:adjustRightInd w:val="0"/>
        <w:snapToGrid w:val="0"/>
        <w:spacing w:line="460" w:lineRule="exact"/>
        <w:ind w:firstLine="470" w:firstLineChars="196"/>
        <w:rPr>
          <w:snapToGrid w:val="0"/>
          <w:kern w:val="0"/>
          <w:sz w:val="24"/>
        </w:rPr>
      </w:pPr>
      <w:r>
        <w:rPr>
          <w:snapToGrid w:val="0"/>
          <w:kern w:val="0"/>
          <w:sz w:val="24"/>
        </w:rPr>
        <w:t>（一）严格遵守国家和省、市关于市场准入、项目招标投标、工程施工、工程验收、结算和市场活动等有关法律、法规，相关政策，以及廉政建设的各项约定。</w:t>
      </w:r>
    </w:p>
    <w:p>
      <w:pPr>
        <w:adjustRightInd w:val="0"/>
        <w:snapToGrid w:val="0"/>
        <w:spacing w:line="460" w:lineRule="exact"/>
        <w:ind w:firstLine="470" w:firstLineChars="196"/>
        <w:rPr>
          <w:snapToGrid w:val="0"/>
          <w:kern w:val="0"/>
          <w:sz w:val="24"/>
        </w:rPr>
      </w:pPr>
      <w:r>
        <w:rPr>
          <w:snapToGrid w:val="0"/>
          <w:kern w:val="0"/>
          <w:sz w:val="24"/>
        </w:rPr>
        <w:t>（二）严格执行建设工程项目承发包合同文件，自觉按合同办事。</w:t>
      </w:r>
    </w:p>
    <w:p>
      <w:pPr>
        <w:adjustRightInd w:val="0"/>
        <w:snapToGrid w:val="0"/>
        <w:spacing w:line="460" w:lineRule="exact"/>
        <w:ind w:firstLine="470" w:firstLineChars="196"/>
        <w:rPr>
          <w:snapToGrid w:val="0"/>
          <w:kern w:val="0"/>
          <w:sz w:val="24"/>
        </w:rPr>
      </w:pPr>
      <w:r>
        <w:rPr>
          <w:snapToGrid w:val="0"/>
          <w:kern w:val="0"/>
          <w:sz w:val="24"/>
        </w:rPr>
        <w:t>（三）建筑活动必须坚持公开、公平、公正、诚信、透明的原则（除法律法规另有规定者外），不得为获取不正当的利益，损害国家、集体和对方利益，不得违反国家、省、市和甲方有关工程建设管理的规章制度。</w:t>
      </w:r>
    </w:p>
    <w:p>
      <w:pPr>
        <w:adjustRightInd w:val="0"/>
        <w:snapToGrid w:val="0"/>
        <w:spacing w:line="460" w:lineRule="exact"/>
        <w:ind w:firstLine="470" w:firstLineChars="196"/>
        <w:rPr>
          <w:snapToGrid w:val="0"/>
          <w:kern w:val="0"/>
          <w:sz w:val="24"/>
        </w:rPr>
      </w:pPr>
      <w:r>
        <w:rPr>
          <w:snapToGrid w:val="0"/>
          <w:kern w:val="0"/>
          <w:sz w:val="24"/>
        </w:rPr>
        <w:t>（四）发现对方在建筑活动中存在违规、违纪、违法行为的，有权向其上级主管部门或纪检监察、检察等有关机关举报。</w:t>
      </w:r>
    </w:p>
    <w:p>
      <w:pPr>
        <w:adjustRightInd w:val="0"/>
        <w:snapToGrid w:val="0"/>
        <w:spacing w:line="460" w:lineRule="exact"/>
        <w:ind w:firstLine="480" w:firstLineChars="200"/>
        <w:rPr>
          <w:snapToGrid w:val="0"/>
          <w:kern w:val="0"/>
          <w:sz w:val="24"/>
        </w:rPr>
      </w:pPr>
      <w:r>
        <w:rPr>
          <w:snapToGrid w:val="0"/>
          <w:kern w:val="0"/>
          <w:sz w:val="24"/>
        </w:rPr>
        <w:t>（五）甲乙双方单位监督部门应充分发挥各自职能作用，积极互动形成纵向监督合力，依照本协议书规定，对本工程廉洁从业情况实施监督，及时制止不廉洁行为的发生。</w:t>
      </w:r>
    </w:p>
    <w:p>
      <w:pPr>
        <w:adjustRightInd w:val="0"/>
        <w:snapToGrid w:val="0"/>
        <w:spacing w:line="460" w:lineRule="exact"/>
        <w:ind w:firstLine="472" w:firstLineChars="196"/>
        <w:rPr>
          <w:b/>
          <w:bCs/>
          <w:snapToGrid w:val="0"/>
          <w:kern w:val="0"/>
          <w:sz w:val="24"/>
        </w:rPr>
      </w:pPr>
      <w:r>
        <w:rPr>
          <w:b/>
          <w:bCs/>
          <w:snapToGrid w:val="0"/>
          <w:kern w:val="0"/>
          <w:sz w:val="24"/>
        </w:rPr>
        <w:t>第二条 甲方责任</w:t>
      </w:r>
    </w:p>
    <w:p>
      <w:pPr>
        <w:adjustRightInd w:val="0"/>
        <w:snapToGrid w:val="0"/>
        <w:spacing w:line="460" w:lineRule="exact"/>
        <w:ind w:firstLine="480" w:firstLineChars="200"/>
        <w:rPr>
          <w:snapToGrid w:val="0"/>
          <w:kern w:val="0"/>
          <w:sz w:val="24"/>
        </w:rPr>
      </w:pPr>
      <w:r>
        <w:rPr>
          <w:snapToGrid w:val="0"/>
          <w:kern w:val="0"/>
          <w:sz w:val="24"/>
        </w:rPr>
        <w:t>（一）甲方领导干部和从事该工程建设的管理人员，在建筑活动中须严格遵守以下廉洁从业规定：</w:t>
      </w:r>
    </w:p>
    <w:p>
      <w:pPr>
        <w:adjustRightInd w:val="0"/>
        <w:snapToGrid w:val="0"/>
        <w:spacing w:line="460" w:lineRule="exact"/>
        <w:ind w:firstLine="480" w:firstLineChars="200"/>
        <w:rPr>
          <w:snapToGrid w:val="0"/>
          <w:kern w:val="0"/>
          <w:sz w:val="24"/>
        </w:rPr>
      </w:pPr>
      <w:r>
        <w:rPr>
          <w:snapToGrid w:val="0"/>
          <w:kern w:val="0"/>
          <w:sz w:val="24"/>
        </w:rPr>
        <w:t>1.不准向乙方和相关单位或个人索取钱物或接受回扣、礼金、各种有价证券、信用卡和好处费、感谢费以及其它支付凭证等。</w:t>
      </w:r>
    </w:p>
    <w:p>
      <w:pPr>
        <w:adjustRightInd w:val="0"/>
        <w:snapToGrid w:val="0"/>
        <w:spacing w:line="460" w:lineRule="exact"/>
        <w:ind w:firstLine="480" w:firstLineChars="200"/>
        <w:rPr>
          <w:snapToGrid w:val="0"/>
          <w:kern w:val="0"/>
          <w:sz w:val="24"/>
        </w:rPr>
      </w:pPr>
      <w:r>
        <w:rPr>
          <w:snapToGrid w:val="0"/>
          <w:kern w:val="0"/>
          <w:sz w:val="24"/>
        </w:rPr>
        <w:t>2.不准接受可能影响公正执行公务的乙方和相关单位或个人的礼物馈赠、宴请、各种形式俱乐部会员资格、高消费娱乐活动。</w:t>
      </w:r>
    </w:p>
    <w:p>
      <w:pPr>
        <w:adjustRightInd w:val="0"/>
        <w:snapToGrid w:val="0"/>
        <w:spacing w:line="460" w:lineRule="exact"/>
        <w:ind w:firstLine="480" w:firstLineChars="200"/>
        <w:rPr>
          <w:snapToGrid w:val="0"/>
          <w:kern w:val="0"/>
          <w:sz w:val="24"/>
        </w:rPr>
      </w:pPr>
      <w:r>
        <w:rPr>
          <w:snapToGrid w:val="0"/>
          <w:kern w:val="0"/>
          <w:sz w:val="24"/>
        </w:rPr>
        <w:t>3.不准在乙方和相关单位报销任何应由甲方或个人负担的费用。</w:t>
      </w:r>
    </w:p>
    <w:p>
      <w:pPr>
        <w:adjustRightInd w:val="0"/>
        <w:snapToGrid w:val="0"/>
        <w:spacing w:line="460" w:lineRule="exact"/>
        <w:ind w:firstLine="480" w:firstLineChars="200"/>
        <w:rPr>
          <w:snapToGrid w:val="0"/>
          <w:kern w:val="0"/>
          <w:sz w:val="24"/>
        </w:rPr>
      </w:pPr>
      <w:r>
        <w:rPr>
          <w:snapToGrid w:val="0"/>
          <w:kern w:val="0"/>
          <w:sz w:val="24"/>
        </w:rPr>
        <w:t>4.不准要求、暗示或接受乙方和相关单位或个人为自己、配偶、子女、其他亲属朋友及身边工作人员的装修住房、婚丧嫁娶、工作安排、学习培训、经商办企业以及出国（境）、旅游、度假等支付费用。</w:t>
      </w:r>
    </w:p>
    <w:p>
      <w:pPr>
        <w:adjustRightInd w:val="0"/>
        <w:snapToGrid w:val="0"/>
        <w:spacing w:line="460" w:lineRule="exact"/>
        <w:ind w:firstLine="480" w:firstLineChars="200"/>
        <w:rPr>
          <w:snapToGrid w:val="0"/>
          <w:kern w:val="0"/>
          <w:sz w:val="24"/>
        </w:rPr>
      </w:pPr>
      <w:r>
        <w:rPr>
          <w:snapToGrid w:val="0"/>
          <w:kern w:val="0"/>
          <w:sz w:val="24"/>
        </w:rPr>
        <w:t>5.不准向乙方介绍配偶、子女、其他亲属朋友及身边工作人员参与同甲方项目工程合同有关的设备、材料、工程分包、劳务等经济活动。</w:t>
      </w:r>
    </w:p>
    <w:p>
      <w:pPr>
        <w:adjustRightInd w:val="0"/>
        <w:snapToGrid w:val="0"/>
        <w:spacing w:line="460" w:lineRule="exact"/>
        <w:ind w:firstLine="480" w:firstLineChars="200"/>
        <w:rPr>
          <w:snapToGrid w:val="0"/>
          <w:kern w:val="0"/>
          <w:sz w:val="24"/>
        </w:rPr>
      </w:pPr>
      <w:r>
        <w:rPr>
          <w:snapToGrid w:val="0"/>
          <w:kern w:val="0"/>
          <w:sz w:val="24"/>
        </w:rPr>
        <w:t>6.不得以任何理由向乙方和相关单位推荐分包单位和要求或暗示乙方购买项目工程合同规定外的材料、设备等。</w:t>
      </w:r>
    </w:p>
    <w:p>
      <w:pPr>
        <w:adjustRightInd w:val="0"/>
        <w:snapToGrid w:val="0"/>
        <w:spacing w:line="460" w:lineRule="exact"/>
        <w:ind w:firstLine="480" w:firstLineChars="200"/>
        <w:rPr>
          <w:snapToGrid w:val="0"/>
          <w:kern w:val="0"/>
          <w:sz w:val="24"/>
        </w:rPr>
      </w:pPr>
      <w:r>
        <w:rPr>
          <w:snapToGrid w:val="0"/>
          <w:kern w:val="0"/>
          <w:sz w:val="24"/>
        </w:rPr>
        <w:t>（二）正式开工前组织与乙方廉洁责任人见面会，进行廉洁工程建设交底，明确廉洁工程建设责任和目标任务、举报方式。</w:t>
      </w:r>
    </w:p>
    <w:p>
      <w:pPr>
        <w:adjustRightInd w:val="0"/>
        <w:snapToGrid w:val="0"/>
        <w:spacing w:line="460" w:lineRule="exact"/>
        <w:ind w:firstLine="480" w:firstLineChars="200"/>
        <w:rPr>
          <w:snapToGrid w:val="0"/>
          <w:kern w:val="0"/>
          <w:sz w:val="24"/>
        </w:rPr>
      </w:pPr>
      <w:r>
        <w:rPr>
          <w:snapToGrid w:val="0"/>
          <w:kern w:val="0"/>
          <w:sz w:val="24"/>
        </w:rPr>
        <w:t>（三）加强对质量安全、计量支付、工程变更以及工程结算等建设管理环节的监督管理，特别是各业务审批效能方面的监察检查，提高建设管理服务水平。</w:t>
      </w:r>
    </w:p>
    <w:p>
      <w:pPr>
        <w:adjustRightInd w:val="0"/>
        <w:snapToGrid w:val="0"/>
        <w:spacing w:line="460" w:lineRule="exact"/>
        <w:ind w:firstLine="480" w:firstLineChars="200"/>
        <w:rPr>
          <w:snapToGrid w:val="0"/>
          <w:kern w:val="0"/>
          <w:sz w:val="24"/>
        </w:rPr>
      </w:pPr>
      <w:r>
        <w:rPr>
          <w:snapToGrid w:val="0"/>
          <w:kern w:val="0"/>
          <w:sz w:val="24"/>
        </w:rPr>
        <w:t>（四）在工地现场设置反腐倡廉举报箱和公开举报电话，并组织开展廉政座谈、法制讲座、参观监狱等活动，加强廉洁自律教育，营造廉洁工地文化氛围，筑牢文化防腐第一道防线。</w:t>
      </w:r>
    </w:p>
    <w:p>
      <w:pPr>
        <w:adjustRightInd w:val="0"/>
        <w:snapToGrid w:val="0"/>
        <w:spacing w:line="460" w:lineRule="exact"/>
        <w:ind w:firstLine="480" w:firstLineChars="200"/>
        <w:rPr>
          <w:snapToGrid w:val="0"/>
          <w:kern w:val="0"/>
          <w:sz w:val="24"/>
        </w:rPr>
      </w:pPr>
      <w:r>
        <w:rPr>
          <w:snapToGrid w:val="0"/>
          <w:kern w:val="0"/>
          <w:sz w:val="24"/>
        </w:rPr>
        <w:t>（五）成立现场监督工作机构，不定期对工地建设管理及监督工作情况开展巡查，对发现的有关问题，及时协调给予现场解决。</w:t>
      </w:r>
    </w:p>
    <w:p>
      <w:pPr>
        <w:adjustRightInd w:val="0"/>
        <w:snapToGrid w:val="0"/>
        <w:spacing w:line="460" w:lineRule="exact"/>
        <w:ind w:firstLine="482" w:firstLineChars="200"/>
        <w:rPr>
          <w:b/>
          <w:bCs/>
          <w:snapToGrid w:val="0"/>
          <w:kern w:val="0"/>
          <w:sz w:val="24"/>
        </w:rPr>
      </w:pPr>
      <w:r>
        <w:rPr>
          <w:b/>
          <w:bCs/>
          <w:snapToGrid w:val="0"/>
          <w:kern w:val="0"/>
          <w:sz w:val="24"/>
        </w:rPr>
        <w:t>第三条 乙方责任</w:t>
      </w:r>
    </w:p>
    <w:p>
      <w:pPr>
        <w:adjustRightInd w:val="0"/>
        <w:snapToGrid w:val="0"/>
        <w:spacing w:line="460" w:lineRule="exact"/>
        <w:ind w:firstLine="480" w:firstLineChars="200"/>
        <w:rPr>
          <w:snapToGrid w:val="0"/>
          <w:kern w:val="0"/>
          <w:sz w:val="24"/>
        </w:rPr>
      </w:pPr>
      <w:r>
        <w:rPr>
          <w:snapToGrid w:val="0"/>
          <w:kern w:val="0"/>
          <w:sz w:val="24"/>
        </w:rPr>
        <w:t>（一）与甲方保持正常的业务交往，遵守以下规定：</w:t>
      </w:r>
    </w:p>
    <w:p>
      <w:pPr>
        <w:adjustRightInd w:val="0"/>
        <w:snapToGrid w:val="0"/>
        <w:spacing w:line="460" w:lineRule="exact"/>
        <w:ind w:firstLine="480" w:firstLineChars="200"/>
        <w:rPr>
          <w:snapToGrid w:val="0"/>
          <w:kern w:val="0"/>
          <w:sz w:val="24"/>
        </w:rPr>
      </w:pPr>
      <w:r>
        <w:rPr>
          <w:snapToGrid w:val="0"/>
          <w:kern w:val="0"/>
          <w:sz w:val="24"/>
        </w:rPr>
        <w:t>1.不准以任何理由向甲方人员行贿或赠送回扣、礼金、各种有价证券、信用卡和好处费、感谢费及其它支付凭证等。</w:t>
      </w:r>
    </w:p>
    <w:p>
      <w:pPr>
        <w:adjustRightInd w:val="0"/>
        <w:snapToGrid w:val="0"/>
        <w:spacing w:line="460" w:lineRule="exact"/>
        <w:ind w:firstLine="480" w:firstLineChars="200"/>
        <w:rPr>
          <w:snapToGrid w:val="0"/>
          <w:kern w:val="0"/>
          <w:sz w:val="24"/>
        </w:rPr>
      </w:pPr>
      <w:r>
        <w:rPr>
          <w:snapToGrid w:val="0"/>
          <w:kern w:val="0"/>
          <w:sz w:val="24"/>
        </w:rPr>
        <w:t>2.不准以任何理由为甲方人员组织有可能影响公正执行公务的宴请、各种形式俱乐部及高消费娱乐等活动。</w:t>
      </w:r>
    </w:p>
    <w:p>
      <w:pPr>
        <w:adjustRightInd w:val="0"/>
        <w:snapToGrid w:val="0"/>
        <w:spacing w:line="460" w:lineRule="exact"/>
        <w:ind w:firstLine="480" w:firstLineChars="200"/>
        <w:rPr>
          <w:snapToGrid w:val="0"/>
          <w:kern w:val="0"/>
          <w:sz w:val="24"/>
        </w:rPr>
      </w:pPr>
      <w:r>
        <w:rPr>
          <w:snapToGrid w:val="0"/>
          <w:kern w:val="0"/>
          <w:sz w:val="24"/>
        </w:rPr>
        <w:t>3.不准以任何理由为甲方或个人报销应由对方或个人支付的费用。</w:t>
      </w:r>
    </w:p>
    <w:p>
      <w:pPr>
        <w:adjustRightInd w:val="0"/>
        <w:snapToGrid w:val="0"/>
        <w:spacing w:line="460" w:lineRule="exact"/>
        <w:ind w:firstLine="480" w:firstLineChars="200"/>
        <w:rPr>
          <w:snapToGrid w:val="0"/>
          <w:kern w:val="0"/>
          <w:sz w:val="24"/>
        </w:rPr>
      </w:pPr>
      <w:r>
        <w:rPr>
          <w:snapToGrid w:val="0"/>
          <w:kern w:val="0"/>
          <w:sz w:val="24"/>
        </w:rPr>
        <w:t>4.不准暗示或要求为甲方人员及其配偶、子女、其他亲属朋友及身边工作人员的装修住房、婚丧嫁娶、工作安排、学习培训、经商办企业以及出国（境）、旅游、度假提供方便和支付费用。</w:t>
      </w:r>
    </w:p>
    <w:p>
      <w:pPr>
        <w:adjustRightInd w:val="0"/>
        <w:snapToGrid w:val="0"/>
        <w:spacing w:line="460" w:lineRule="exact"/>
        <w:ind w:firstLine="480" w:firstLineChars="200"/>
        <w:rPr>
          <w:snapToGrid w:val="0"/>
          <w:kern w:val="0"/>
          <w:sz w:val="24"/>
        </w:rPr>
      </w:pPr>
      <w:r>
        <w:rPr>
          <w:snapToGrid w:val="0"/>
          <w:kern w:val="0"/>
          <w:sz w:val="24"/>
        </w:rPr>
        <w:t>5.不准介绍和安排甲方人员及其配偶、子女、其他亲属朋友及身边工作人员参与同甲方工程项目有关的设备、材料、工程分包、劳务等经济活动。</w:t>
      </w:r>
    </w:p>
    <w:p>
      <w:pPr>
        <w:adjustRightInd w:val="0"/>
        <w:snapToGrid w:val="0"/>
        <w:spacing w:line="460" w:lineRule="exact"/>
        <w:ind w:firstLine="480" w:firstLineChars="200"/>
        <w:rPr>
          <w:snapToGrid w:val="0"/>
          <w:kern w:val="0"/>
          <w:sz w:val="24"/>
        </w:rPr>
      </w:pPr>
      <w:r>
        <w:rPr>
          <w:snapToGrid w:val="0"/>
          <w:kern w:val="0"/>
          <w:sz w:val="24"/>
        </w:rPr>
        <w:t>（二）细化内部廉洁工程建设任务，分解责任，明确落实到项目部管理人员，层层签订廉洁从业责任状，形成有效的管理机制。</w:t>
      </w:r>
    </w:p>
    <w:p>
      <w:pPr>
        <w:adjustRightInd w:val="0"/>
        <w:snapToGrid w:val="0"/>
        <w:spacing w:line="460" w:lineRule="exact"/>
        <w:ind w:firstLine="480" w:firstLineChars="200"/>
        <w:rPr>
          <w:snapToGrid w:val="0"/>
          <w:kern w:val="0"/>
          <w:sz w:val="24"/>
        </w:rPr>
      </w:pPr>
      <w:r>
        <w:rPr>
          <w:snapToGrid w:val="0"/>
          <w:kern w:val="0"/>
          <w:sz w:val="24"/>
        </w:rPr>
        <w:t>（三）成立现场施工监督工作组，负责项目部廉政责任组织落实，工地廉洁文化建设以及对现场实施进行监督管理，并接受甲方监督工作机构的再监督。</w:t>
      </w:r>
    </w:p>
    <w:p>
      <w:pPr>
        <w:adjustRightInd w:val="0"/>
        <w:snapToGrid w:val="0"/>
        <w:spacing w:line="460" w:lineRule="exact"/>
        <w:ind w:firstLine="200"/>
        <w:rPr>
          <w:snapToGrid w:val="0"/>
          <w:kern w:val="0"/>
          <w:sz w:val="24"/>
        </w:rPr>
      </w:pPr>
      <w:r>
        <w:rPr>
          <w:snapToGrid w:val="0"/>
          <w:kern w:val="0"/>
          <w:sz w:val="24"/>
        </w:rPr>
        <w:t>（四）按甲方要求在工地项目部设置廉洁文化教育专区，开展观看警示教育片、图片展览等教育活动，加强对员工的法律法规、廉洁和职业道德教育。</w:t>
      </w:r>
    </w:p>
    <w:p>
      <w:pPr>
        <w:adjustRightInd w:val="0"/>
        <w:snapToGrid w:val="0"/>
        <w:spacing w:line="460" w:lineRule="exact"/>
        <w:ind w:firstLine="482" w:firstLineChars="200"/>
        <w:rPr>
          <w:b/>
          <w:bCs/>
          <w:snapToGrid w:val="0"/>
          <w:kern w:val="0"/>
          <w:sz w:val="24"/>
        </w:rPr>
      </w:pPr>
      <w:r>
        <w:rPr>
          <w:b/>
          <w:bCs/>
          <w:snapToGrid w:val="0"/>
          <w:kern w:val="0"/>
          <w:sz w:val="24"/>
        </w:rPr>
        <w:t>第四条 违约责任</w:t>
      </w:r>
    </w:p>
    <w:p>
      <w:pPr>
        <w:adjustRightInd w:val="0"/>
        <w:snapToGrid w:val="0"/>
        <w:spacing w:line="460" w:lineRule="exact"/>
        <w:ind w:firstLine="480" w:firstLineChars="200"/>
        <w:rPr>
          <w:snapToGrid w:val="0"/>
          <w:kern w:val="0"/>
          <w:sz w:val="24"/>
        </w:rPr>
      </w:pPr>
      <w:r>
        <w:rPr>
          <w:snapToGrid w:val="0"/>
          <w:kern w:val="0"/>
          <w:sz w:val="24"/>
        </w:rPr>
        <w:t>（一）甲方违约责任</w:t>
      </w:r>
    </w:p>
    <w:p>
      <w:pPr>
        <w:adjustRightInd w:val="0"/>
        <w:snapToGrid w:val="0"/>
        <w:spacing w:line="460" w:lineRule="exact"/>
        <w:ind w:firstLine="480" w:firstLineChars="200"/>
        <w:rPr>
          <w:bCs/>
          <w:snapToGrid w:val="0"/>
          <w:kern w:val="0"/>
          <w:sz w:val="24"/>
        </w:rPr>
      </w:pPr>
      <w:r>
        <w:rPr>
          <w:snapToGrid w:val="0"/>
          <w:kern w:val="0"/>
          <w:sz w:val="24"/>
        </w:rPr>
        <w:t>1.甲方</w:t>
      </w:r>
      <w:r>
        <w:rPr>
          <w:bCs/>
          <w:snapToGrid w:val="0"/>
          <w:kern w:val="0"/>
          <w:sz w:val="24"/>
        </w:rPr>
        <w:t>不履行或不完全履行本协议书有关责任义务给乙方造成损失的，在乙方提交足够证据并经查证属实的情况下，甲方赔偿其直接经济损失。</w:t>
      </w:r>
    </w:p>
    <w:p>
      <w:pPr>
        <w:adjustRightInd w:val="0"/>
        <w:snapToGrid w:val="0"/>
        <w:spacing w:line="460" w:lineRule="exact"/>
        <w:ind w:firstLine="480" w:firstLineChars="200"/>
        <w:rPr>
          <w:snapToGrid w:val="0"/>
          <w:kern w:val="0"/>
          <w:sz w:val="24"/>
        </w:rPr>
      </w:pPr>
      <w:r>
        <w:rPr>
          <w:snapToGrid w:val="0"/>
          <w:kern w:val="0"/>
          <w:sz w:val="24"/>
        </w:rPr>
        <w:t>2.甲方人员出现受贿等严重违法违纪违规行为的，按照管理权限，依据有关法律法规和规定给予党纪、政纪处分或组织处理；涉嫌犯罪的，移交司法机关追究刑事责任。</w:t>
      </w:r>
    </w:p>
    <w:p>
      <w:pPr>
        <w:adjustRightInd w:val="0"/>
        <w:snapToGrid w:val="0"/>
        <w:spacing w:line="460" w:lineRule="exact"/>
        <w:ind w:firstLine="480" w:firstLineChars="200"/>
        <w:rPr>
          <w:snapToGrid w:val="0"/>
          <w:kern w:val="0"/>
          <w:sz w:val="24"/>
        </w:rPr>
      </w:pPr>
      <w:r>
        <w:rPr>
          <w:snapToGrid w:val="0"/>
          <w:kern w:val="0"/>
          <w:sz w:val="24"/>
        </w:rPr>
        <w:t>（二）乙方违约责任</w:t>
      </w:r>
    </w:p>
    <w:p>
      <w:pPr>
        <w:adjustRightInd w:val="0"/>
        <w:snapToGrid w:val="0"/>
        <w:spacing w:line="460" w:lineRule="exact"/>
        <w:ind w:firstLine="480" w:firstLineChars="200"/>
        <w:rPr>
          <w:bCs/>
          <w:snapToGrid w:val="0"/>
          <w:kern w:val="0"/>
          <w:sz w:val="24"/>
        </w:rPr>
      </w:pPr>
      <w:r>
        <w:rPr>
          <w:snapToGrid w:val="0"/>
          <w:kern w:val="0"/>
          <w:sz w:val="24"/>
        </w:rPr>
        <w:t>1.</w:t>
      </w:r>
      <w:r>
        <w:rPr>
          <w:bCs/>
          <w:snapToGrid w:val="0"/>
          <w:kern w:val="0"/>
          <w:sz w:val="24"/>
        </w:rPr>
        <w:t>乙方不履行或不完全履行本协议书有关责任义务的，</w:t>
      </w:r>
      <w:r>
        <w:rPr>
          <w:snapToGrid w:val="0"/>
          <w:kern w:val="0"/>
          <w:sz w:val="24"/>
        </w:rPr>
        <w:t>按本工程合同</w:t>
      </w:r>
      <w:r>
        <w:rPr>
          <w:bCs/>
          <w:snapToGrid w:val="0"/>
          <w:kern w:val="0"/>
          <w:sz w:val="24"/>
        </w:rPr>
        <w:t>规定须承担一次一般违约责任。情节较轻的，可给予书面警告；情节较重的，须承担一次严重违约责任。乙方除承担违约责任外，还须赔偿甲方的经济损失。</w:t>
      </w:r>
    </w:p>
    <w:p>
      <w:pPr>
        <w:adjustRightInd w:val="0"/>
        <w:snapToGrid w:val="0"/>
        <w:spacing w:line="460" w:lineRule="exact"/>
        <w:ind w:firstLine="480" w:firstLineChars="200"/>
        <w:rPr>
          <w:snapToGrid w:val="0"/>
          <w:kern w:val="0"/>
          <w:sz w:val="24"/>
        </w:rPr>
      </w:pPr>
      <w:r>
        <w:rPr>
          <w:bCs/>
          <w:snapToGrid w:val="0"/>
          <w:kern w:val="0"/>
          <w:sz w:val="24"/>
        </w:rPr>
        <w:t>2.乙方</w:t>
      </w:r>
      <w:r>
        <w:rPr>
          <w:snapToGrid w:val="0"/>
          <w:kern w:val="0"/>
          <w:sz w:val="24"/>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pPr>
        <w:adjustRightInd w:val="0"/>
        <w:snapToGrid w:val="0"/>
        <w:spacing w:line="460" w:lineRule="exact"/>
        <w:ind w:firstLine="482" w:firstLineChars="200"/>
        <w:rPr>
          <w:snapToGrid w:val="0"/>
          <w:kern w:val="0"/>
          <w:sz w:val="24"/>
        </w:rPr>
      </w:pPr>
      <w:r>
        <w:rPr>
          <w:b/>
          <w:bCs/>
          <w:snapToGrid w:val="0"/>
          <w:kern w:val="0"/>
          <w:sz w:val="24"/>
        </w:rPr>
        <w:t>第五条</w:t>
      </w:r>
      <w:r>
        <w:rPr>
          <w:snapToGrid w:val="0"/>
          <w:kern w:val="0"/>
          <w:sz w:val="24"/>
        </w:rPr>
        <w:t xml:space="preserve"> 本协议书作为</w:t>
      </w:r>
      <w:r>
        <w:rPr>
          <w:rFonts w:hint="eastAsia"/>
          <w:snapToGrid w:val="0"/>
          <w:kern w:val="0"/>
          <w:sz w:val="24"/>
        </w:rPr>
        <w:t>本监理</w:t>
      </w:r>
      <w:r>
        <w:rPr>
          <w:snapToGrid w:val="0"/>
          <w:kern w:val="0"/>
          <w:sz w:val="24"/>
        </w:rPr>
        <w:t>合同的附件，与</w:t>
      </w:r>
      <w:r>
        <w:rPr>
          <w:rFonts w:hint="eastAsia"/>
          <w:snapToGrid w:val="0"/>
          <w:kern w:val="0"/>
          <w:sz w:val="24"/>
        </w:rPr>
        <w:t>监理</w:t>
      </w:r>
      <w:r>
        <w:rPr>
          <w:snapToGrid w:val="0"/>
          <w:kern w:val="0"/>
          <w:sz w:val="24"/>
        </w:rPr>
        <w:t>合同具有同等法律效力。经</w:t>
      </w:r>
      <w:r>
        <w:rPr>
          <w:rFonts w:hint="eastAsia"/>
          <w:snapToGrid w:val="0"/>
          <w:kern w:val="0"/>
          <w:sz w:val="24"/>
        </w:rPr>
        <w:t>各</w:t>
      </w:r>
      <w:r>
        <w:rPr>
          <w:snapToGrid w:val="0"/>
          <w:kern w:val="0"/>
          <w:sz w:val="24"/>
        </w:rPr>
        <w:t>方签字盖章后生效。</w:t>
      </w:r>
    </w:p>
    <w:p>
      <w:pPr>
        <w:adjustRightInd w:val="0"/>
        <w:snapToGrid w:val="0"/>
        <w:spacing w:line="460" w:lineRule="exact"/>
        <w:ind w:firstLine="482" w:firstLineChars="200"/>
        <w:rPr>
          <w:snapToGrid w:val="0"/>
          <w:kern w:val="0"/>
          <w:sz w:val="24"/>
        </w:rPr>
      </w:pPr>
      <w:r>
        <w:rPr>
          <w:b/>
          <w:bCs/>
          <w:snapToGrid w:val="0"/>
          <w:kern w:val="0"/>
          <w:sz w:val="24"/>
        </w:rPr>
        <w:t>第六条</w:t>
      </w:r>
      <w:r>
        <w:rPr>
          <w:snapToGrid w:val="0"/>
          <w:kern w:val="0"/>
          <w:sz w:val="24"/>
        </w:rPr>
        <w:t xml:space="preserve"> 本协议书有效期为</w:t>
      </w:r>
      <w:r>
        <w:rPr>
          <w:rFonts w:hint="eastAsia"/>
          <w:snapToGrid w:val="0"/>
          <w:kern w:val="0"/>
          <w:sz w:val="24"/>
        </w:rPr>
        <w:t>各</w:t>
      </w:r>
      <w:r>
        <w:rPr>
          <w:snapToGrid w:val="0"/>
          <w:kern w:val="0"/>
          <w:sz w:val="24"/>
        </w:rPr>
        <w:t>方签字盖章之日起至所属工程项目合同履行完毕时止。</w:t>
      </w:r>
    </w:p>
    <w:p>
      <w:pPr>
        <w:adjustRightInd w:val="0"/>
        <w:snapToGrid w:val="0"/>
        <w:spacing w:line="460" w:lineRule="exact"/>
        <w:ind w:firstLine="482" w:firstLineChars="200"/>
        <w:rPr>
          <w:snapToGrid w:val="0"/>
          <w:kern w:val="0"/>
          <w:sz w:val="24"/>
        </w:rPr>
      </w:pPr>
      <w:r>
        <w:rPr>
          <w:b/>
          <w:bCs/>
          <w:snapToGrid w:val="0"/>
          <w:kern w:val="0"/>
          <w:sz w:val="24"/>
        </w:rPr>
        <w:t>第七条</w:t>
      </w:r>
      <w:r>
        <w:rPr>
          <w:snapToGrid w:val="0"/>
          <w:kern w:val="0"/>
          <w:sz w:val="24"/>
        </w:rPr>
        <w:t xml:space="preserve"> 未尽事宜，由双方协商解决。</w:t>
      </w:r>
    </w:p>
    <w:p>
      <w:pPr>
        <w:spacing w:line="460" w:lineRule="exact"/>
        <w:ind w:firstLine="472" w:firstLineChars="196"/>
        <w:rPr>
          <w:b/>
          <w:bCs/>
          <w:sz w:val="24"/>
        </w:rPr>
      </w:pPr>
      <w:r>
        <w:rPr>
          <w:b/>
          <w:bCs/>
          <w:snapToGrid w:val="0"/>
          <w:kern w:val="0"/>
          <w:sz w:val="24"/>
        </w:rPr>
        <w:t>第八条</w:t>
      </w:r>
      <w:r>
        <w:rPr>
          <w:b/>
          <w:bCs/>
          <w:sz w:val="24"/>
        </w:rPr>
        <w:t xml:space="preserve"> 合同份数</w:t>
      </w:r>
    </w:p>
    <w:p>
      <w:pPr>
        <w:spacing w:line="460" w:lineRule="exact"/>
        <w:ind w:firstLine="200"/>
        <w:rPr>
          <w:sz w:val="24"/>
        </w:rPr>
      </w:pPr>
      <w:r>
        <w:rPr>
          <w:bCs/>
          <w:snapToGrid w:val="0"/>
          <w:kern w:val="0"/>
          <w:sz w:val="24"/>
          <w:szCs w:val="20"/>
        </w:rPr>
        <w:t xml:space="preserve">    本合同一式</w:t>
      </w:r>
      <w:r>
        <w:rPr>
          <w:bCs/>
          <w:snapToGrid w:val="0"/>
          <w:kern w:val="0"/>
          <w:sz w:val="24"/>
          <w:szCs w:val="20"/>
          <w:u w:val="single"/>
        </w:rPr>
        <w:t xml:space="preserve"> </w:t>
      </w:r>
      <w:r>
        <w:rPr>
          <w:rFonts w:hint="eastAsia"/>
          <w:b/>
          <w:snapToGrid w:val="0"/>
          <w:kern w:val="0"/>
          <w:sz w:val="24"/>
          <w:szCs w:val="20"/>
          <w:u w:val="single"/>
        </w:rPr>
        <w:t xml:space="preserve"> </w:t>
      </w:r>
      <w:r>
        <w:rPr>
          <w:b/>
          <w:snapToGrid w:val="0"/>
          <w:kern w:val="0"/>
          <w:sz w:val="24"/>
          <w:szCs w:val="20"/>
          <w:u w:val="single"/>
        </w:rPr>
        <w:t xml:space="preserve">  </w:t>
      </w:r>
      <w:r>
        <w:rPr>
          <w:snapToGrid w:val="0"/>
          <w:kern w:val="0"/>
          <w:sz w:val="24"/>
          <w:szCs w:val="20"/>
        </w:rPr>
        <w:t>份</w:t>
      </w:r>
      <w:r>
        <w:rPr>
          <w:bCs/>
          <w:snapToGrid w:val="0"/>
          <w:kern w:val="0"/>
          <w:sz w:val="24"/>
          <w:szCs w:val="20"/>
        </w:rPr>
        <w:t>，甲、</w:t>
      </w:r>
      <w:r>
        <w:rPr>
          <w:rFonts w:hint="eastAsia"/>
          <w:bCs/>
          <w:snapToGrid w:val="0"/>
          <w:kern w:val="0"/>
          <w:sz w:val="24"/>
          <w:szCs w:val="20"/>
        </w:rPr>
        <w:t>合同各</w:t>
      </w:r>
      <w:r>
        <w:rPr>
          <w:bCs/>
          <w:snapToGrid w:val="0"/>
          <w:kern w:val="0"/>
          <w:sz w:val="24"/>
          <w:szCs w:val="20"/>
        </w:rPr>
        <w:t>方各执</w:t>
      </w:r>
      <w:r>
        <w:rPr>
          <w:bCs/>
          <w:snapToGrid w:val="0"/>
          <w:kern w:val="0"/>
          <w:sz w:val="24"/>
          <w:szCs w:val="20"/>
          <w:u w:val="single"/>
        </w:rPr>
        <w:t xml:space="preserve"> </w:t>
      </w:r>
      <w:r>
        <w:rPr>
          <w:rFonts w:hint="eastAsia"/>
          <w:b/>
          <w:snapToGrid w:val="0"/>
          <w:kern w:val="0"/>
          <w:sz w:val="24"/>
          <w:szCs w:val="20"/>
          <w:u w:val="single"/>
        </w:rPr>
        <w:t xml:space="preserve"> </w:t>
      </w:r>
      <w:r>
        <w:rPr>
          <w:b/>
          <w:snapToGrid w:val="0"/>
          <w:kern w:val="0"/>
          <w:sz w:val="24"/>
          <w:szCs w:val="20"/>
          <w:u w:val="single"/>
        </w:rPr>
        <w:t xml:space="preserve">  </w:t>
      </w:r>
      <w:r>
        <w:rPr>
          <w:snapToGrid w:val="0"/>
          <w:kern w:val="0"/>
          <w:sz w:val="24"/>
          <w:szCs w:val="20"/>
        </w:rPr>
        <w:t>份。</w:t>
      </w:r>
    </w:p>
    <w:p>
      <w:pPr>
        <w:spacing w:line="420" w:lineRule="exact"/>
        <w:ind w:firstLine="480" w:firstLineChars="200"/>
        <w:rPr>
          <w:sz w:val="24"/>
          <w:lang w:val="zh-CN"/>
        </w:rPr>
      </w:pPr>
      <w:r>
        <w:rPr>
          <w:sz w:val="24"/>
        </w:rPr>
        <w:br w:type="page"/>
      </w:r>
      <w:r>
        <w:rPr>
          <w:sz w:val="24"/>
        </w:rPr>
        <w:t xml:space="preserve"> </w:t>
      </w:r>
    </w:p>
    <w:p>
      <w:pPr>
        <w:tabs>
          <w:tab w:val="left" w:pos="142"/>
          <w:tab w:val="left" w:pos="4820"/>
          <w:tab w:val="left" w:pos="4962"/>
        </w:tabs>
        <w:spacing w:line="480" w:lineRule="exact"/>
        <w:ind w:left="1611" w:hanging="1610" w:hangingChars="767"/>
      </w:pPr>
      <w:bookmarkStart w:id="0" w:name="_Toc132199659"/>
      <w:r>
        <w:t>（本页无正文）</w:t>
      </w:r>
    </w:p>
    <w:p>
      <w:pPr>
        <w:tabs>
          <w:tab w:val="left" w:pos="142"/>
          <w:tab w:val="left" w:pos="4820"/>
          <w:tab w:val="left" w:pos="4962"/>
        </w:tabs>
        <w:spacing w:line="480" w:lineRule="exact"/>
        <w:ind w:left="1611" w:hanging="1610" w:hangingChars="767"/>
      </w:pPr>
    </w:p>
    <w:tbl>
      <w:tblPr>
        <w:tblStyle w:val="12"/>
        <w:tblW w:w="9640" w:type="dxa"/>
        <w:tblInd w:w="-147" w:type="dxa"/>
        <w:tblLayout w:type="autofit"/>
        <w:tblCellMar>
          <w:top w:w="0" w:type="dxa"/>
          <w:left w:w="108" w:type="dxa"/>
          <w:bottom w:w="0" w:type="dxa"/>
          <w:right w:w="108" w:type="dxa"/>
        </w:tblCellMar>
      </w:tblPr>
      <w:tblGrid>
        <w:gridCol w:w="4678"/>
        <w:gridCol w:w="284"/>
        <w:gridCol w:w="4678"/>
      </w:tblGrid>
      <w:tr>
        <w:tblPrEx>
          <w:tblCellMar>
            <w:top w:w="0" w:type="dxa"/>
            <w:left w:w="108" w:type="dxa"/>
            <w:bottom w:w="0" w:type="dxa"/>
            <w:right w:w="108" w:type="dxa"/>
          </w:tblCellMar>
        </w:tblPrEx>
        <w:trPr>
          <w:trHeight w:val="567" w:hRule="atLeast"/>
        </w:trPr>
        <w:tc>
          <w:tcPr>
            <w:tcW w:w="4678" w:type="dxa"/>
            <w:shd w:val="clear" w:color="auto" w:fill="auto"/>
            <w:vAlign w:val="center"/>
          </w:tcPr>
          <w:p>
            <w:pPr>
              <w:pStyle w:val="3"/>
              <w:ind w:firstLine="0" w:firstLineChars="0"/>
              <w:rPr>
                <w:rFonts w:hAnsi="Times New Roman"/>
                <w:lang w:val="zh-CN"/>
              </w:rPr>
            </w:pPr>
            <w:r>
              <w:rPr>
                <w:rFonts w:hint="eastAsia" w:hAnsi="Times New Roman"/>
                <w:snapToGrid w:val="0"/>
              </w:rPr>
              <w:t>发包</w:t>
            </w:r>
            <w:r>
              <w:rPr>
                <w:rFonts w:hAnsi="Times New Roman"/>
                <w:snapToGrid w:val="0"/>
              </w:rPr>
              <w:t>人（甲方）：</w:t>
            </w:r>
          </w:p>
        </w:tc>
        <w:tc>
          <w:tcPr>
            <w:tcW w:w="284" w:type="dxa"/>
            <w:shd w:val="clear" w:color="auto" w:fill="auto"/>
            <w:vAlign w:val="center"/>
          </w:tcPr>
          <w:p>
            <w:pPr>
              <w:pStyle w:val="3"/>
              <w:ind w:firstLine="0" w:firstLineChars="0"/>
              <w:jc w:val="center"/>
              <w:rPr>
                <w:rFonts w:hAnsi="Times New Roman"/>
                <w:snapToGrid w:val="0"/>
              </w:rPr>
            </w:pPr>
          </w:p>
        </w:tc>
        <w:tc>
          <w:tcPr>
            <w:tcW w:w="4678" w:type="dxa"/>
            <w:shd w:val="clear" w:color="auto" w:fill="auto"/>
            <w:vAlign w:val="center"/>
          </w:tcPr>
          <w:p>
            <w:pPr>
              <w:pStyle w:val="3"/>
              <w:ind w:firstLine="0" w:firstLineChars="0"/>
              <w:rPr>
                <w:rFonts w:hAnsi="Times New Roman"/>
                <w:lang w:val="zh-CN"/>
              </w:rPr>
            </w:pPr>
            <w:r>
              <w:rPr>
                <w:rFonts w:hint="eastAsia" w:hAnsi="Times New Roman"/>
                <w:snapToGrid w:val="0"/>
              </w:rPr>
              <w:t>承包人</w:t>
            </w:r>
            <w:r>
              <w:rPr>
                <w:rFonts w:hAnsi="Times New Roman"/>
                <w:snapToGrid w:val="0"/>
              </w:rPr>
              <w:t>（</w:t>
            </w:r>
            <w:r>
              <w:rPr>
                <w:rFonts w:hint="eastAsia" w:hAnsi="Times New Roman"/>
                <w:snapToGrid w:val="0"/>
              </w:rPr>
              <w:t>乙</w:t>
            </w:r>
            <w:r>
              <w:rPr>
                <w:rFonts w:hAnsi="Times New Roman"/>
                <w:snapToGrid w:val="0"/>
              </w:rPr>
              <w:t>方）：</w:t>
            </w:r>
          </w:p>
        </w:tc>
      </w:tr>
      <w:tr>
        <w:tblPrEx>
          <w:tblCellMar>
            <w:top w:w="0" w:type="dxa"/>
            <w:left w:w="108" w:type="dxa"/>
            <w:bottom w:w="0" w:type="dxa"/>
            <w:right w:w="108" w:type="dxa"/>
          </w:tblCellMar>
        </w:tblPrEx>
        <w:trPr>
          <w:trHeight w:val="530" w:hRule="atLeast"/>
        </w:trPr>
        <w:tc>
          <w:tcPr>
            <w:tcW w:w="4678" w:type="dxa"/>
            <w:shd w:val="clear" w:color="auto" w:fill="auto"/>
            <w:vAlign w:val="center"/>
          </w:tcPr>
          <w:p>
            <w:pPr>
              <w:pStyle w:val="3"/>
              <w:ind w:firstLine="0" w:firstLineChars="0"/>
              <w:rPr>
                <w:rFonts w:hAnsi="Times New Roman"/>
                <w:lang w:val="zh-CN"/>
              </w:rPr>
            </w:pPr>
            <w:r>
              <w:rPr>
                <w:rFonts w:hAnsi="Times New Roman"/>
                <w:b/>
                <w:snapToGrid w:val="0"/>
                <w:u w:val="single"/>
              </w:rPr>
              <w:t>广州市花都区公共建设项目管理中心</w:t>
            </w:r>
          </w:p>
        </w:tc>
        <w:tc>
          <w:tcPr>
            <w:tcW w:w="284" w:type="dxa"/>
            <w:shd w:val="clear" w:color="auto" w:fill="auto"/>
            <w:vAlign w:val="center"/>
          </w:tcPr>
          <w:p>
            <w:pPr>
              <w:pStyle w:val="3"/>
              <w:ind w:firstLine="0" w:firstLineChars="0"/>
              <w:jc w:val="center"/>
              <w:rPr>
                <w:rFonts w:hAnsi="Times New Roman"/>
                <w:b/>
                <w:snapToGrid w:val="0"/>
                <w:u w:val="single"/>
              </w:rPr>
            </w:pPr>
          </w:p>
        </w:tc>
        <w:tc>
          <w:tcPr>
            <w:tcW w:w="4678" w:type="dxa"/>
            <w:shd w:val="clear" w:color="auto" w:fill="auto"/>
            <w:vAlign w:val="center"/>
          </w:tcPr>
          <w:p>
            <w:pPr>
              <w:pStyle w:val="3"/>
              <w:ind w:firstLine="0" w:firstLineChars="0"/>
              <w:rPr>
                <w:rFonts w:ascii="等线" w:hAnsi="等线" w:eastAsia="等线"/>
                <w:lang w:val="zh-CN"/>
              </w:rPr>
            </w:pPr>
            <w:r>
              <w:rPr>
                <w:rFonts w:hAnsi="Times New Roman"/>
                <w:b/>
                <w:snapToGrid w:val="0"/>
                <w:u w:val="single"/>
              </w:rPr>
              <w:t xml:space="preserve"> </w:t>
            </w:r>
            <w:r>
              <w:rPr>
                <w:rFonts w:ascii="等线" w:hAnsi="等线" w:eastAsia="等线"/>
                <w:b/>
                <w:snapToGrid w:val="0"/>
                <w:u w:val="single"/>
              </w:rPr>
              <w:t xml:space="preserve">                               </w:t>
            </w:r>
          </w:p>
        </w:tc>
      </w:tr>
      <w:tr>
        <w:tblPrEx>
          <w:tblCellMar>
            <w:top w:w="0" w:type="dxa"/>
            <w:left w:w="108" w:type="dxa"/>
            <w:bottom w:w="0" w:type="dxa"/>
            <w:right w:w="108" w:type="dxa"/>
          </w:tblCellMar>
        </w:tblPrEx>
        <w:trPr>
          <w:trHeight w:val="1006" w:hRule="atLeast"/>
        </w:trPr>
        <w:tc>
          <w:tcPr>
            <w:tcW w:w="4678" w:type="dxa"/>
            <w:shd w:val="clear" w:color="auto" w:fill="auto"/>
            <w:vAlign w:val="center"/>
          </w:tcPr>
          <w:p>
            <w:pPr>
              <w:pStyle w:val="3"/>
              <w:ind w:firstLine="0" w:firstLineChars="0"/>
              <w:rPr>
                <w:rFonts w:hAnsi="Times New Roman"/>
                <w:lang w:val="zh-CN"/>
              </w:rPr>
            </w:pPr>
          </w:p>
          <w:p>
            <w:pPr>
              <w:pStyle w:val="3"/>
              <w:ind w:firstLine="0" w:firstLineChars="0"/>
              <w:rPr>
                <w:rFonts w:hAnsi="Times New Roman"/>
                <w:lang w:val="zh-CN"/>
              </w:rPr>
            </w:pPr>
            <w:r>
              <w:rPr>
                <w:rFonts w:hAnsi="Times New Roman"/>
                <w:lang w:val="zh-CN"/>
              </w:rPr>
              <w:t>法定代表人：</w:t>
            </w:r>
          </w:p>
          <w:p>
            <w:pPr>
              <w:pStyle w:val="3"/>
              <w:ind w:firstLine="0" w:firstLineChars="0"/>
              <w:rPr>
                <w:rFonts w:hAnsi="Times New Roman"/>
                <w:lang w:val="zh-CN"/>
              </w:rPr>
            </w:pPr>
            <w:r>
              <w:rPr>
                <w:rFonts w:hAnsi="Times New Roman"/>
                <w:lang w:val="zh-CN"/>
              </w:rPr>
              <w:t>或委托代理人：</w:t>
            </w:r>
          </w:p>
        </w:tc>
        <w:tc>
          <w:tcPr>
            <w:tcW w:w="284" w:type="dxa"/>
            <w:shd w:val="clear" w:color="auto" w:fill="auto"/>
            <w:vAlign w:val="center"/>
          </w:tcPr>
          <w:p>
            <w:pPr>
              <w:pStyle w:val="3"/>
              <w:ind w:firstLine="0" w:firstLineChars="0"/>
              <w:jc w:val="center"/>
              <w:rPr>
                <w:rFonts w:hAnsi="Times New Roman"/>
                <w:lang w:val="zh-CN"/>
              </w:rPr>
            </w:pPr>
          </w:p>
        </w:tc>
        <w:tc>
          <w:tcPr>
            <w:tcW w:w="4678" w:type="dxa"/>
            <w:shd w:val="clear" w:color="auto" w:fill="auto"/>
            <w:vAlign w:val="center"/>
          </w:tcPr>
          <w:p>
            <w:pPr>
              <w:pStyle w:val="3"/>
              <w:ind w:firstLine="0" w:firstLineChars="0"/>
              <w:rPr>
                <w:rFonts w:hAnsi="Times New Roman"/>
                <w:lang w:val="zh-CN"/>
              </w:rPr>
            </w:pPr>
          </w:p>
          <w:p>
            <w:pPr>
              <w:pStyle w:val="3"/>
              <w:ind w:firstLine="0" w:firstLineChars="0"/>
              <w:rPr>
                <w:rFonts w:hAnsi="Times New Roman"/>
                <w:lang w:val="zh-CN"/>
              </w:rPr>
            </w:pPr>
            <w:r>
              <w:rPr>
                <w:rFonts w:hAnsi="Times New Roman"/>
                <w:lang w:val="zh-CN"/>
              </w:rPr>
              <w:t>法定代表人：</w:t>
            </w:r>
          </w:p>
          <w:p>
            <w:pPr>
              <w:pStyle w:val="3"/>
              <w:ind w:firstLine="0" w:firstLineChars="0"/>
              <w:rPr>
                <w:rFonts w:hAnsi="Times New Roman"/>
                <w:lang w:val="zh-CN"/>
              </w:rPr>
            </w:pPr>
            <w:r>
              <w:rPr>
                <w:rFonts w:hAnsi="Times New Roman"/>
                <w:lang w:val="zh-CN"/>
              </w:rPr>
              <w:t>或委托代理人：</w:t>
            </w:r>
          </w:p>
        </w:tc>
      </w:tr>
      <w:tr>
        <w:tblPrEx>
          <w:tblCellMar>
            <w:top w:w="0" w:type="dxa"/>
            <w:left w:w="108" w:type="dxa"/>
            <w:bottom w:w="0" w:type="dxa"/>
            <w:right w:w="108" w:type="dxa"/>
          </w:tblCellMar>
        </w:tblPrEx>
        <w:trPr>
          <w:trHeight w:val="838" w:hRule="atLeast"/>
        </w:trPr>
        <w:tc>
          <w:tcPr>
            <w:tcW w:w="4678" w:type="dxa"/>
            <w:shd w:val="clear" w:color="auto" w:fill="auto"/>
            <w:vAlign w:val="center"/>
          </w:tcPr>
          <w:p>
            <w:pPr>
              <w:pStyle w:val="3"/>
              <w:ind w:firstLine="0" w:firstLineChars="0"/>
              <w:rPr>
                <w:rFonts w:hAnsi="Times New Roman"/>
                <w:snapToGrid w:val="0"/>
              </w:rPr>
            </w:pPr>
            <w:r>
              <w:rPr>
                <w:rFonts w:hAnsi="Times New Roman"/>
                <w:snapToGrid w:val="0"/>
              </w:rPr>
              <w:t>地址：</w:t>
            </w:r>
          </w:p>
        </w:tc>
        <w:tc>
          <w:tcPr>
            <w:tcW w:w="284" w:type="dxa"/>
            <w:shd w:val="clear" w:color="auto" w:fill="auto"/>
            <w:vAlign w:val="center"/>
          </w:tcPr>
          <w:p>
            <w:pPr>
              <w:pStyle w:val="3"/>
              <w:ind w:firstLine="0" w:firstLineChars="0"/>
              <w:jc w:val="center"/>
              <w:rPr>
                <w:rFonts w:hAnsi="Times New Roman"/>
                <w:snapToGrid w:val="0"/>
              </w:rPr>
            </w:pPr>
          </w:p>
        </w:tc>
        <w:tc>
          <w:tcPr>
            <w:tcW w:w="4678" w:type="dxa"/>
            <w:shd w:val="clear" w:color="auto" w:fill="auto"/>
            <w:vAlign w:val="center"/>
          </w:tcPr>
          <w:p>
            <w:pPr>
              <w:pStyle w:val="3"/>
              <w:ind w:left="720" w:hanging="720" w:hangingChars="300"/>
              <w:rPr>
                <w:rFonts w:hAnsi="Times New Roman"/>
                <w:snapToGrid w:val="0"/>
              </w:rPr>
            </w:pPr>
            <w:r>
              <w:rPr>
                <w:rFonts w:hAnsi="Times New Roman"/>
                <w:snapToGrid w:val="0"/>
              </w:rPr>
              <w:t xml:space="preserve">地址： </w:t>
            </w:r>
          </w:p>
        </w:tc>
      </w:tr>
      <w:tr>
        <w:tblPrEx>
          <w:tblCellMar>
            <w:top w:w="0" w:type="dxa"/>
            <w:left w:w="108" w:type="dxa"/>
            <w:bottom w:w="0" w:type="dxa"/>
            <w:right w:w="108" w:type="dxa"/>
          </w:tblCellMar>
        </w:tblPrEx>
        <w:trPr>
          <w:trHeight w:val="530" w:hRule="atLeast"/>
        </w:trPr>
        <w:tc>
          <w:tcPr>
            <w:tcW w:w="4678" w:type="dxa"/>
            <w:shd w:val="clear" w:color="auto" w:fill="auto"/>
            <w:vAlign w:val="center"/>
          </w:tcPr>
          <w:p>
            <w:pPr>
              <w:pStyle w:val="3"/>
              <w:ind w:firstLine="0" w:firstLineChars="0"/>
              <w:rPr>
                <w:rFonts w:hAnsi="Times New Roman"/>
                <w:lang w:val="zh-CN"/>
              </w:rPr>
            </w:pPr>
            <w:r>
              <w:rPr>
                <w:rFonts w:hAnsi="Times New Roman"/>
                <w:snapToGrid w:val="0"/>
              </w:rPr>
              <w:t>邮政编码：</w:t>
            </w:r>
          </w:p>
        </w:tc>
        <w:tc>
          <w:tcPr>
            <w:tcW w:w="284" w:type="dxa"/>
            <w:shd w:val="clear" w:color="auto" w:fill="auto"/>
            <w:vAlign w:val="center"/>
          </w:tcPr>
          <w:p>
            <w:pPr>
              <w:pStyle w:val="3"/>
              <w:ind w:firstLine="0" w:firstLineChars="0"/>
              <w:jc w:val="center"/>
              <w:rPr>
                <w:rFonts w:hAnsi="Times New Roman"/>
                <w:snapToGrid w:val="0"/>
              </w:rPr>
            </w:pPr>
          </w:p>
        </w:tc>
        <w:tc>
          <w:tcPr>
            <w:tcW w:w="4678" w:type="dxa"/>
            <w:shd w:val="clear" w:color="auto" w:fill="auto"/>
            <w:vAlign w:val="center"/>
          </w:tcPr>
          <w:p>
            <w:pPr>
              <w:pStyle w:val="3"/>
              <w:ind w:firstLine="0" w:firstLineChars="0"/>
              <w:rPr>
                <w:rFonts w:hAnsi="Times New Roman"/>
                <w:lang w:val="zh-CN"/>
              </w:rPr>
            </w:pPr>
            <w:r>
              <w:rPr>
                <w:rFonts w:hAnsi="Times New Roman"/>
                <w:snapToGrid w:val="0"/>
              </w:rPr>
              <w:t>邮政编码：</w:t>
            </w:r>
          </w:p>
        </w:tc>
      </w:tr>
      <w:tr>
        <w:tblPrEx>
          <w:tblCellMar>
            <w:top w:w="0" w:type="dxa"/>
            <w:left w:w="108" w:type="dxa"/>
            <w:bottom w:w="0" w:type="dxa"/>
            <w:right w:w="108" w:type="dxa"/>
          </w:tblCellMar>
        </w:tblPrEx>
        <w:trPr>
          <w:trHeight w:val="530" w:hRule="atLeast"/>
        </w:trPr>
        <w:tc>
          <w:tcPr>
            <w:tcW w:w="4678" w:type="dxa"/>
            <w:shd w:val="clear" w:color="auto" w:fill="auto"/>
            <w:vAlign w:val="center"/>
          </w:tcPr>
          <w:p>
            <w:pPr>
              <w:pStyle w:val="3"/>
              <w:ind w:firstLine="0" w:firstLineChars="0"/>
              <w:rPr>
                <w:rFonts w:hAnsi="Times New Roman"/>
                <w:lang w:val="zh-CN"/>
              </w:rPr>
            </w:pPr>
            <w:r>
              <w:rPr>
                <w:rFonts w:hAnsi="Times New Roman"/>
                <w:snapToGrid w:val="0"/>
              </w:rPr>
              <w:t>电话：</w:t>
            </w:r>
          </w:p>
        </w:tc>
        <w:tc>
          <w:tcPr>
            <w:tcW w:w="284" w:type="dxa"/>
            <w:shd w:val="clear" w:color="auto" w:fill="auto"/>
            <w:vAlign w:val="center"/>
          </w:tcPr>
          <w:p>
            <w:pPr>
              <w:pStyle w:val="3"/>
              <w:ind w:firstLine="0" w:firstLineChars="0"/>
              <w:jc w:val="center"/>
              <w:rPr>
                <w:rFonts w:hAnsi="Times New Roman"/>
                <w:lang w:val="zh-CN"/>
              </w:rPr>
            </w:pPr>
          </w:p>
        </w:tc>
        <w:tc>
          <w:tcPr>
            <w:tcW w:w="4678" w:type="dxa"/>
            <w:shd w:val="clear" w:color="auto" w:fill="auto"/>
            <w:vAlign w:val="center"/>
          </w:tcPr>
          <w:p>
            <w:pPr>
              <w:pStyle w:val="3"/>
              <w:ind w:firstLine="0" w:firstLineChars="0"/>
              <w:rPr>
                <w:rFonts w:hAnsi="Times New Roman"/>
                <w:lang w:val="zh-CN"/>
              </w:rPr>
            </w:pPr>
            <w:r>
              <w:rPr>
                <w:rFonts w:hAnsi="Times New Roman"/>
                <w:snapToGrid w:val="0"/>
              </w:rPr>
              <w:t>电话：</w:t>
            </w:r>
          </w:p>
        </w:tc>
      </w:tr>
      <w:tr>
        <w:tblPrEx>
          <w:tblCellMar>
            <w:top w:w="0" w:type="dxa"/>
            <w:left w:w="108" w:type="dxa"/>
            <w:bottom w:w="0" w:type="dxa"/>
            <w:right w:w="108" w:type="dxa"/>
          </w:tblCellMar>
        </w:tblPrEx>
        <w:trPr>
          <w:trHeight w:val="530" w:hRule="atLeast"/>
        </w:trPr>
        <w:tc>
          <w:tcPr>
            <w:tcW w:w="4678" w:type="dxa"/>
            <w:shd w:val="clear" w:color="auto" w:fill="auto"/>
            <w:vAlign w:val="center"/>
          </w:tcPr>
          <w:p>
            <w:pPr>
              <w:pStyle w:val="3"/>
              <w:ind w:firstLine="0" w:firstLineChars="0"/>
              <w:rPr>
                <w:rFonts w:hAnsi="Times New Roman"/>
                <w:snapToGrid w:val="0"/>
              </w:rPr>
            </w:pPr>
            <w:r>
              <w:rPr>
                <w:rFonts w:hAnsi="Times New Roman"/>
                <w:snapToGrid w:val="0"/>
              </w:rPr>
              <w:t xml:space="preserve">签订时间： </w:t>
            </w:r>
            <w:r>
              <w:rPr>
                <w:rFonts w:hint="eastAsia" w:hAnsi="Times New Roman"/>
                <w:snapToGrid w:val="0"/>
              </w:rPr>
              <w:t>2023年    月     日</w:t>
            </w:r>
          </w:p>
        </w:tc>
        <w:tc>
          <w:tcPr>
            <w:tcW w:w="284" w:type="dxa"/>
            <w:shd w:val="clear" w:color="auto" w:fill="auto"/>
            <w:vAlign w:val="center"/>
          </w:tcPr>
          <w:p>
            <w:pPr>
              <w:pStyle w:val="3"/>
              <w:ind w:firstLine="0" w:firstLineChars="0"/>
              <w:jc w:val="center"/>
              <w:rPr>
                <w:rFonts w:hAnsi="Times New Roman"/>
                <w:lang w:val="zh-CN"/>
              </w:rPr>
            </w:pPr>
          </w:p>
        </w:tc>
        <w:tc>
          <w:tcPr>
            <w:tcW w:w="4678" w:type="dxa"/>
            <w:shd w:val="clear" w:color="auto" w:fill="auto"/>
            <w:vAlign w:val="center"/>
          </w:tcPr>
          <w:p>
            <w:pPr>
              <w:pStyle w:val="3"/>
              <w:ind w:left="1200" w:hanging="1200" w:hangingChars="500"/>
              <w:rPr>
                <w:rFonts w:hAnsi="Times New Roman"/>
                <w:snapToGrid w:val="0"/>
              </w:rPr>
            </w:pPr>
            <w:r>
              <w:rPr>
                <w:rFonts w:hAnsi="Times New Roman"/>
                <w:snapToGrid w:val="0"/>
              </w:rPr>
              <w:t>签订时间：</w:t>
            </w:r>
            <w:r>
              <w:rPr>
                <w:rFonts w:hint="eastAsia" w:hAnsi="Times New Roman"/>
                <w:snapToGrid w:val="0"/>
              </w:rPr>
              <w:t>2023年    月     日</w:t>
            </w:r>
          </w:p>
        </w:tc>
      </w:tr>
    </w:tbl>
    <w:p>
      <w:pPr>
        <w:pStyle w:val="27"/>
        <w:spacing w:line="720" w:lineRule="auto"/>
        <w:ind w:firstLine="0" w:firstLineChars="0"/>
        <w:rPr>
          <w:bCs/>
        </w:rPr>
        <w:sectPr>
          <w:footerReference r:id="rId5" w:type="first"/>
          <w:footerReference r:id="rId4" w:type="default"/>
          <w:pgSz w:w="11907" w:h="16840"/>
          <w:pgMar w:top="1134" w:right="1134" w:bottom="1134" w:left="1134" w:header="851" w:footer="850" w:gutter="340"/>
          <w:pgNumType w:start="1"/>
          <w:cols w:space="720" w:num="1"/>
          <w:titlePg/>
          <w:docGrid w:linePitch="286" w:charSpace="0"/>
        </w:sectPr>
      </w:pPr>
    </w:p>
    <w:bookmarkEnd w:id="0"/>
    <w:p>
      <w:pPr>
        <w:rPr>
          <w:b/>
          <w:bCs/>
        </w:rPr>
      </w:pPr>
      <w:bookmarkStart w:id="1" w:name="_Toc313869537"/>
      <w:bookmarkStart w:id="2" w:name="_Toc191697650"/>
      <w:bookmarkStart w:id="3" w:name="_Toc115711043"/>
      <w:bookmarkStart w:id="4" w:name="_Toc115711403"/>
      <w:bookmarkStart w:id="5" w:name="_Toc191697651"/>
      <w:bookmarkStart w:id="6" w:name="_Toc313869538"/>
      <w:r>
        <w:rPr>
          <w:b/>
          <w:bCs/>
        </w:rPr>
        <w:t>附件2：监理服务工作及成果质量量化考核支付方式表</w:t>
      </w:r>
    </w:p>
    <w:p>
      <w:pPr>
        <w:pStyle w:val="27"/>
        <w:ind w:firstLine="1104"/>
        <w:jc w:val="center"/>
        <w:rPr>
          <w:b/>
          <w:w w:val="150"/>
          <w:sz w:val="36"/>
          <w:szCs w:val="36"/>
        </w:rPr>
      </w:pPr>
      <w:r>
        <w:rPr>
          <w:b/>
          <w:w w:val="150"/>
          <w:sz w:val="36"/>
          <w:szCs w:val="36"/>
        </w:rPr>
        <w:t>监理服务工作及成果质量量化考核表</w:t>
      </w:r>
    </w:p>
    <w:p>
      <w:pPr>
        <w:pStyle w:val="27"/>
        <w:ind w:firstLine="498"/>
        <w:rPr>
          <w:b/>
          <w:bCs/>
        </w:rPr>
      </w:pPr>
      <w:r>
        <w:rPr>
          <w:b/>
          <w:bCs/>
        </w:rPr>
        <w:t xml:space="preserve">本合同合同总价（监理酬金总额）总计为 </w:t>
      </w:r>
      <w:r>
        <w:rPr>
          <w:b/>
          <w:bCs/>
          <w:u w:val="single"/>
        </w:rPr>
        <w:t xml:space="preserve">       万元（中标价）</w:t>
      </w:r>
      <w:r>
        <w:rPr>
          <w:b/>
          <w:bCs/>
        </w:rPr>
        <w:t>，按下表中的支付比例确定各项监理服务的酬金。</w:t>
      </w:r>
    </w:p>
    <w:p>
      <w:pPr>
        <w:pStyle w:val="27"/>
        <w:ind w:firstLine="377"/>
        <w:rPr>
          <w:b/>
          <w:sz w:val="18"/>
          <w:szCs w:val="18"/>
          <w:u w:val="single"/>
        </w:rPr>
      </w:pPr>
      <w:r>
        <w:rPr>
          <w:b/>
          <w:sz w:val="18"/>
          <w:szCs w:val="18"/>
          <w:u w:val="single"/>
        </w:rPr>
        <w:t>各阶段监理服务的考核范围、完成情况以发包人意见为准，工程施工阶段、工程收尾阶段承包人现场监理服务费按委托监理协议书第2.3款、第3.1.2款约定的时间及费用档次，根据相关人员的现场办公管理考核支付；</w:t>
      </w:r>
    </w:p>
    <w:tbl>
      <w:tblPr>
        <w:tblStyle w:val="12"/>
        <w:tblW w:w="0" w:type="auto"/>
        <w:tblInd w:w="78" w:type="dxa"/>
        <w:tblLayout w:type="fixed"/>
        <w:tblCellMar>
          <w:top w:w="0" w:type="dxa"/>
          <w:left w:w="108" w:type="dxa"/>
          <w:bottom w:w="0" w:type="dxa"/>
          <w:right w:w="108" w:type="dxa"/>
        </w:tblCellMar>
      </w:tblPr>
      <w:tblGrid>
        <w:gridCol w:w="1110"/>
        <w:gridCol w:w="2304"/>
        <w:gridCol w:w="30"/>
        <w:gridCol w:w="2797"/>
        <w:gridCol w:w="5271"/>
        <w:gridCol w:w="1418"/>
        <w:gridCol w:w="1559"/>
      </w:tblGrid>
      <w:tr>
        <w:tblPrEx>
          <w:tblCellMar>
            <w:top w:w="0" w:type="dxa"/>
            <w:left w:w="108" w:type="dxa"/>
            <w:bottom w:w="0" w:type="dxa"/>
            <w:right w:w="108" w:type="dxa"/>
          </w:tblCellMar>
        </w:tblPrEx>
        <w:trPr>
          <w:cantSplit/>
          <w:trHeight w:val="830" w:hRule="atLeast"/>
          <w:tblHeader/>
        </w:trPr>
        <w:tc>
          <w:tcPr>
            <w:tcW w:w="1110" w:type="dxa"/>
            <w:tcBorders>
              <w:top w:val="single" w:color="auto" w:sz="4" w:space="0"/>
              <w:left w:val="single" w:color="auto" w:sz="4" w:space="0"/>
              <w:bottom w:val="single" w:color="auto" w:sz="4" w:space="0"/>
              <w:right w:val="single" w:color="auto" w:sz="4" w:space="0"/>
            </w:tcBorders>
            <w:shd w:val="clear" w:color="auto" w:fill="C0C0C0"/>
            <w:vAlign w:val="center"/>
          </w:tcPr>
          <w:p>
            <w:pPr>
              <w:pStyle w:val="33"/>
              <w:jc w:val="center"/>
              <w:rPr>
                <w:rFonts w:ascii="Times New Roman" w:hAnsi="Times New Roman"/>
                <w:sz w:val="18"/>
                <w:szCs w:val="18"/>
              </w:rPr>
            </w:pPr>
            <w:r>
              <w:rPr>
                <w:rFonts w:ascii="Times New Roman" w:hAnsi="Times New Roman"/>
                <w:sz w:val="18"/>
                <w:szCs w:val="18"/>
              </w:rPr>
              <w:t>工程阶段</w:t>
            </w:r>
          </w:p>
        </w:tc>
        <w:tc>
          <w:tcPr>
            <w:tcW w:w="2304" w:type="dxa"/>
            <w:tcBorders>
              <w:top w:val="single" w:color="auto" w:sz="4" w:space="0"/>
              <w:left w:val="single" w:color="auto" w:sz="4" w:space="0"/>
              <w:bottom w:val="single" w:color="auto" w:sz="4" w:space="0"/>
              <w:right w:val="single" w:color="auto" w:sz="4" w:space="0"/>
            </w:tcBorders>
            <w:shd w:val="clear" w:color="auto" w:fill="C0C0C0"/>
            <w:vAlign w:val="center"/>
          </w:tcPr>
          <w:p>
            <w:pPr>
              <w:pStyle w:val="33"/>
              <w:jc w:val="center"/>
              <w:rPr>
                <w:rFonts w:ascii="Times New Roman" w:hAnsi="Times New Roman"/>
                <w:sz w:val="18"/>
                <w:szCs w:val="18"/>
              </w:rPr>
            </w:pPr>
            <w:r>
              <w:rPr>
                <w:rFonts w:ascii="Times New Roman" w:hAnsi="Times New Roman"/>
                <w:sz w:val="18"/>
                <w:szCs w:val="18"/>
              </w:rPr>
              <w:t>监理工作内容（对应合同专用条件）</w:t>
            </w:r>
          </w:p>
        </w:tc>
        <w:tc>
          <w:tcPr>
            <w:tcW w:w="2827"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pStyle w:val="33"/>
              <w:jc w:val="center"/>
              <w:rPr>
                <w:rFonts w:ascii="Times New Roman" w:hAnsi="Times New Roman"/>
                <w:sz w:val="18"/>
                <w:szCs w:val="18"/>
              </w:rPr>
            </w:pPr>
            <w:r>
              <w:rPr>
                <w:rFonts w:ascii="Times New Roman" w:hAnsi="Times New Roman"/>
                <w:sz w:val="18"/>
                <w:szCs w:val="18"/>
              </w:rPr>
              <w:t>工作成果（报告、记录、计划书、审核书等）</w:t>
            </w:r>
          </w:p>
        </w:tc>
        <w:tc>
          <w:tcPr>
            <w:tcW w:w="5271" w:type="dxa"/>
            <w:tcBorders>
              <w:top w:val="single" w:color="auto" w:sz="4" w:space="0"/>
              <w:left w:val="single" w:color="auto" w:sz="4" w:space="0"/>
              <w:bottom w:val="single" w:color="auto" w:sz="4" w:space="0"/>
              <w:right w:val="single" w:color="auto" w:sz="4" w:space="0"/>
            </w:tcBorders>
            <w:shd w:val="clear" w:color="auto" w:fill="C0C0C0"/>
            <w:vAlign w:val="center"/>
          </w:tcPr>
          <w:p>
            <w:pPr>
              <w:pStyle w:val="33"/>
              <w:jc w:val="center"/>
              <w:rPr>
                <w:rFonts w:ascii="Times New Roman" w:hAnsi="Times New Roman"/>
                <w:sz w:val="18"/>
                <w:szCs w:val="18"/>
              </w:rPr>
            </w:pPr>
            <w:r>
              <w:rPr>
                <w:rFonts w:ascii="Times New Roman" w:hAnsi="Times New Roman"/>
                <w:sz w:val="18"/>
                <w:szCs w:val="18"/>
              </w:rPr>
              <w:t>考核标准及时间要求</w:t>
            </w:r>
          </w:p>
        </w:tc>
        <w:tc>
          <w:tcPr>
            <w:tcW w:w="1418" w:type="dxa"/>
            <w:tcBorders>
              <w:top w:val="single" w:color="auto" w:sz="4" w:space="0"/>
              <w:left w:val="single" w:color="auto" w:sz="4" w:space="0"/>
              <w:bottom w:val="single" w:color="auto" w:sz="4" w:space="0"/>
              <w:right w:val="single" w:color="auto" w:sz="4" w:space="0"/>
            </w:tcBorders>
            <w:shd w:val="clear" w:color="auto" w:fill="C0C0C0"/>
            <w:vAlign w:val="center"/>
          </w:tcPr>
          <w:p>
            <w:pPr>
              <w:pStyle w:val="33"/>
              <w:jc w:val="center"/>
              <w:rPr>
                <w:rFonts w:ascii="Times New Roman" w:hAnsi="Times New Roman"/>
                <w:sz w:val="18"/>
                <w:szCs w:val="18"/>
              </w:rPr>
            </w:pPr>
            <w:r>
              <w:rPr>
                <w:rFonts w:ascii="Times New Roman" w:hAnsi="Times New Roman"/>
                <w:sz w:val="18"/>
                <w:szCs w:val="18"/>
              </w:rPr>
              <w:t>考核范围</w:t>
            </w:r>
          </w:p>
        </w:tc>
        <w:tc>
          <w:tcPr>
            <w:tcW w:w="1559" w:type="dxa"/>
            <w:tcBorders>
              <w:top w:val="single" w:color="auto" w:sz="4" w:space="0"/>
              <w:left w:val="single" w:color="auto" w:sz="4" w:space="0"/>
              <w:bottom w:val="single" w:color="auto" w:sz="4" w:space="0"/>
              <w:right w:val="single" w:color="auto" w:sz="4" w:space="0"/>
            </w:tcBorders>
            <w:shd w:val="clear" w:color="auto" w:fill="C0C0C0"/>
            <w:vAlign w:val="center"/>
          </w:tcPr>
          <w:p>
            <w:pPr>
              <w:pStyle w:val="33"/>
              <w:jc w:val="center"/>
              <w:rPr>
                <w:rFonts w:ascii="Times New Roman" w:hAnsi="Times New Roman"/>
                <w:sz w:val="18"/>
                <w:szCs w:val="18"/>
              </w:rPr>
            </w:pPr>
            <w:r>
              <w:rPr>
                <w:rFonts w:ascii="Times New Roman" w:hAnsi="Times New Roman"/>
                <w:sz w:val="18"/>
                <w:szCs w:val="18"/>
              </w:rPr>
              <w:t>完成情况</w:t>
            </w:r>
          </w:p>
        </w:tc>
      </w:tr>
      <w:tr>
        <w:tblPrEx>
          <w:tblCellMar>
            <w:top w:w="0" w:type="dxa"/>
            <w:left w:w="108" w:type="dxa"/>
            <w:bottom w:w="0" w:type="dxa"/>
            <w:right w:w="108" w:type="dxa"/>
          </w:tblCellMar>
        </w:tblPrEx>
        <w:trPr>
          <w:cantSplit/>
          <w:trHeight w:val="544" w:hRule="atLeast"/>
        </w:trPr>
        <w:tc>
          <w:tcPr>
            <w:tcW w:w="1110" w:type="dxa"/>
            <w:vMerge w:val="restart"/>
            <w:tcBorders>
              <w:top w:val="single" w:color="auto" w:sz="4" w:space="0"/>
              <w:left w:val="single" w:color="auto" w:sz="6" w:space="0"/>
              <w:right w:val="single" w:color="auto" w:sz="6" w:space="0"/>
            </w:tcBorders>
            <w:vAlign w:val="center"/>
          </w:tcPr>
          <w:p>
            <w:pPr>
              <w:pStyle w:val="33"/>
              <w:jc w:val="center"/>
              <w:rPr>
                <w:rFonts w:ascii="Times New Roman" w:hAnsi="Times New Roman"/>
                <w:sz w:val="18"/>
                <w:szCs w:val="18"/>
              </w:rPr>
            </w:pPr>
            <w:bookmarkStart w:id="7" w:name="_Hlk179968792"/>
            <w:r>
              <w:rPr>
                <w:rFonts w:ascii="Times New Roman" w:hAnsi="Times New Roman"/>
                <w:sz w:val="18"/>
                <w:szCs w:val="18"/>
              </w:rPr>
              <w:t>概、预</w:t>
            </w:r>
          </w:p>
          <w:p>
            <w:pPr>
              <w:pStyle w:val="33"/>
              <w:jc w:val="center"/>
              <w:rPr>
                <w:rFonts w:ascii="Times New Roman" w:hAnsi="Times New Roman"/>
                <w:sz w:val="18"/>
                <w:szCs w:val="18"/>
              </w:rPr>
            </w:pPr>
            <w:r>
              <w:rPr>
                <w:rFonts w:ascii="Times New Roman" w:hAnsi="Times New Roman"/>
                <w:sz w:val="18"/>
                <w:szCs w:val="18"/>
              </w:rPr>
              <w:t>算编</w:t>
            </w:r>
          </w:p>
          <w:p>
            <w:pPr>
              <w:pStyle w:val="33"/>
              <w:jc w:val="center"/>
              <w:rPr>
                <w:rFonts w:ascii="Times New Roman" w:hAnsi="Times New Roman"/>
                <w:sz w:val="18"/>
                <w:szCs w:val="18"/>
              </w:rPr>
            </w:pPr>
            <w:r>
              <w:rPr>
                <w:rFonts w:ascii="Times New Roman" w:hAnsi="Times New Roman"/>
                <w:sz w:val="18"/>
                <w:szCs w:val="18"/>
              </w:rPr>
              <w:t>制及</w:t>
            </w:r>
          </w:p>
          <w:p>
            <w:pPr>
              <w:pStyle w:val="33"/>
              <w:jc w:val="center"/>
              <w:rPr>
                <w:rFonts w:ascii="Times New Roman" w:hAnsi="Times New Roman"/>
                <w:sz w:val="18"/>
                <w:szCs w:val="18"/>
              </w:rPr>
            </w:pPr>
            <w:r>
              <w:rPr>
                <w:rFonts w:ascii="Times New Roman" w:hAnsi="Times New Roman"/>
                <w:sz w:val="18"/>
                <w:szCs w:val="18"/>
              </w:rPr>
              <w:t>审核</w:t>
            </w:r>
          </w:p>
        </w:tc>
        <w:tc>
          <w:tcPr>
            <w:tcW w:w="2304" w:type="dxa"/>
            <w:tcBorders>
              <w:top w:val="single" w:color="auto" w:sz="4"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概算编制及审核</w:t>
            </w:r>
          </w:p>
        </w:tc>
        <w:tc>
          <w:tcPr>
            <w:tcW w:w="2827" w:type="dxa"/>
            <w:gridSpan w:val="2"/>
            <w:tcBorders>
              <w:top w:val="single" w:color="auto" w:sz="4"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概算书及概算审核书</w:t>
            </w:r>
          </w:p>
        </w:tc>
        <w:tc>
          <w:tcPr>
            <w:tcW w:w="5271" w:type="dxa"/>
            <w:tcBorders>
              <w:top w:val="single" w:color="auto" w:sz="4"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以概算书审核意见的提交并获得发包人认可为考核条件</w:t>
            </w:r>
          </w:p>
        </w:tc>
        <w:tc>
          <w:tcPr>
            <w:tcW w:w="1418" w:type="dxa"/>
            <w:tcBorders>
              <w:top w:val="single" w:color="auto" w:sz="4" w:space="0"/>
              <w:left w:val="single" w:color="auto" w:sz="6" w:space="0"/>
              <w:bottom w:val="single" w:color="auto" w:sz="6" w:space="0"/>
              <w:right w:val="single" w:color="auto" w:sz="6" w:space="0"/>
            </w:tcBorders>
            <w:vAlign w:val="center"/>
          </w:tcPr>
          <w:p>
            <w:pPr>
              <w:jc w:val="center"/>
            </w:pPr>
            <w:r>
              <w:rPr>
                <w:sz w:val="18"/>
                <w:szCs w:val="18"/>
              </w:rPr>
              <w:sym w:font="Wingdings 2" w:char="00A3"/>
            </w:r>
          </w:p>
        </w:tc>
        <w:tc>
          <w:tcPr>
            <w:tcW w:w="1559" w:type="dxa"/>
            <w:tcBorders>
              <w:top w:val="single" w:color="auto" w:sz="4"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r>
      <w:tr>
        <w:tblPrEx>
          <w:tblCellMar>
            <w:top w:w="0" w:type="dxa"/>
            <w:left w:w="108" w:type="dxa"/>
            <w:bottom w:w="0" w:type="dxa"/>
            <w:right w:w="108" w:type="dxa"/>
          </w:tblCellMar>
        </w:tblPrEx>
        <w:trPr>
          <w:cantSplit/>
          <w:trHeight w:val="482" w:hRule="atLeast"/>
        </w:trPr>
        <w:tc>
          <w:tcPr>
            <w:tcW w:w="1110" w:type="dxa"/>
            <w:vMerge w:val="continue"/>
            <w:tcBorders>
              <w:left w:val="single" w:color="auto" w:sz="6" w:space="0"/>
              <w:right w:val="single" w:color="auto" w:sz="6" w:space="0"/>
            </w:tcBorders>
            <w:vAlign w:val="center"/>
          </w:tcPr>
          <w:p>
            <w:pPr>
              <w:pStyle w:val="33"/>
              <w:jc w:val="center"/>
              <w:rPr>
                <w:rFonts w:ascii="Times New Roman" w:hAnsi="Times New Roman"/>
                <w:sz w:val="18"/>
                <w:szCs w:val="18"/>
              </w:rPr>
            </w:pPr>
          </w:p>
        </w:tc>
        <w:tc>
          <w:tcPr>
            <w:tcW w:w="2304"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预算清单编制及审核</w:t>
            </w:r>
          </w:p>
        </w:tc>
        <w:tc>
          <w:tcPr>
            <w:tcW w:w="2827" w:type="dxa"/>
            <w:gridSpan w:val="2"/>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预算书及预算审核书</w:t>
            </w:r>
          </w:p>
        </w:tc>
        <w:tc>
          <w:tcPr>
            <w:tcW w:w="5271"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以预算书或预算审核书的提交并获得发包人认可为考核条件。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pPr>
            <w:r>
              <w:rPr>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r>
      <w:bookmarkEnd w:id="7"/>
      <w:tr>
        <w:tblPrEx>
          <w:tblCellMar>
            <w:top w:w="0" w:type="dxa"/>
            <w:left w:w="108" w:type="dxa"/>
            <w:bottom w:w="0" w:type="dxa"/>
            <w:right w:w="108" w:type="dxa"/>
          </w:tblCellMar>
        </w:tblPrEx>
        <w:trPr>
          <w:cantSplit/>
          <w:trHeight w:val="558" w:hRule="atLeast"/>
        </w:trPr>
        <w:tc>
          <w:tcPr>
            <w:tcW w:w="1110" w:type="dxa"/>
            <w:vMerge w:val="continue"/>
            <w:tcBorders>
              <w:left w:val="single" w:color="auto" w:sz="6" w:space="0"/>
              <w:bottom w:val="single" w:color="auto" w:sz="6" w:space="0"/>
              <w:right w:val="single" w:color="auto" w:sz="6" w:space="0"/>
            </w:tcBorders>
            <w:vAlign w:val="center"/>
          </w:tcPr>
          <w:p>
            <w:pPr>
              <w:pStyle w:val="33"/>
              <w:jc w:val="center"/>
              <w:rPr>
                <w:rFonts w:ascii="Times New Roman" w:hAnsi="Times New Roman"/>
                <w:sz w:val="18"/>
                <w:szCs w:val="18"/>
              </w:rPr>
            </w:pPr>
          </w:p>
        </w:tc>
        <w:tc>
          <w:tcPr>
            <w:tcW w:w="2304"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招标后设计总投资复核及图纸清单对照复核</w:t>
            </w:r>
          </w:p>
        </w:tc>
        <w:tc>
          <w:tcPr>
            <w:tcW w:w="2827" w:type="dxa"/>
            <w:gridSpan w:val="2"/>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设计总投资复核书、图纸清单对照审核书</w:t>
            </w:r>
          </w:p>
        </w:tc>
        <w:tc>
          <w:tcPr>
            <w:tcW w:w="5271"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r>
      <w:tr>
        <w:tblPrEx>
          <w:tblCellMar>
            <w:top w:w="0" w:type="dxa"/>
            <w:left w:w="108" w:type="dxa"/>
            <w:bottom w:w="0" w:type="dxa"/>
            <w:right w:w="108" w:type="dxa"/>
          </w:tblCellMar>
        </w:tblPrEx>
        <w:trPr>
          <w:cantSplit/>
          <w:trHeight w:val="490" w:hRule="atLeast"/>
        </w:trPr>
        <w:tc>
          <w:tcPr>
            <w:tcW w:w="1110" w:type="dxa"/>
            <w:vMerge w:val="restart"/>
            <w:tcBorders>
              <w:top w:val="single" w:color="auto" w:sz="4" w:space="0"/>
              <w:left w:val="single" w:color="auto" w:sz="6" w:space="0"/>
              <w:bottom w:val="single" w:color="auto" w:sz="6" w:space="0"/>
              <w:right w:val="single" w:color="auto" w:sz="6" w:space="0"/>
            </w:tcBorders>
            <w:vAlign w:val="center"/>
          </w:tcPr>
          <w:p>
            <w:pPr>
              <w:pStyle w:val="33"/>
              <w:jc w:val="center"/>
              <w:rPr>
                <w:rFonts w:ascii="Times New Roman" w:hAnsi="Times New Roman"/>
                <w:sz w:val="18"/>
                <w:szCs w:val="18"/>
              </w:rPr>
            </w:pPr>
            <w:r>
              <w:rPr>
                <w:rFonts w:ascii="Times New Roman" w:hAnsi="Times New Roman"/>
                <w:sz w:val="18"/>
                <w:szCs w:val="18"/>
              </w:rPr>
              <w:t>项目</w:t>
            </w:r>
          </w:p>
          <w:p>
            <w:pPr>
              <w:pStyle w:val="33"/>
              <w:jc w:val="center"/>
              <w:rPr>
                <w:rFonts w:ascii="Times New Roman" w:hAnsi="Times New Roman"/>
                <w:sz w:val="18"/>
                <w:szCs w:val="18"/>
              </w:rPr>
            </w:pPr>
            <w:r>
              <w:rPr>
                <w:rFonts w:ascii="Times New Roman" w:hAnsi="Times New Roman"/>
                <w:sz w:val="18"/>
                <w:szCs w:val="18"/>
              </w:rPr>
              <w:t>前期</w:t>
            </w:r>
          </w:p>
          <w:p>
            <w:pPr>
              <w:pStyle w:val="33"/>
              <w:jc w:val="center"/>
              <w:rPr>
                <w:rFonts w:ascii="Times New Roman" w:hAnsi="Times New Roman"/>
                <w:sz w:val="18"/>
                <w:szCs w:val="18"/>
              </w:rPr>
            </w:pPr>
            <w:r>
              <w:rPr>
                <w:rFonts w:ascii="Times New Roman" w:hAnsi="Times New Roman"/>
                <w:sz w:val="18"/>
                <w:szCs w:val="18"/>
              </w:rPr>
              <w:t>策划</w:t>
            </w:r>
          </w:p>
          <w:p>
            <w:pPr>
              <w:pStyle w:val="33"/>
              <w:jc w:val="center"/>
              <w:rPr>
                <w:rFonts w:ascii="Times New Roman" w:hAnsi="Times New Roman"/>
                <w:sz w:val="18"/>
                <w:szCs w:val="18"/>
              </w:rPr>
            </w:pPr>
            <w:r>
              <w:rPr>
                <w:rFonts w:ascii="Times New Roman" w:hAnsi="Times New Roman"/>
                <w:sz w:val="18"/>
                <w:szCs w:val="18"/>
              </w:rPr>
              <w:t>及征</w:t>
            </w:r>
          </w:p>
          <w:p>
            <w:pPr>
              <w:pStyle w:val="33"/>
              <w:jc w:val="center"/>
              <w:rPr>
                <w:rFonts w:ascii="Times New Roman" w:hAnsi="Times New Roman"/>
                <w:sz w:val="18"/>
                <w:szCs w:val="18"/>
              </w:rPr>
            </w:pPr>
            <w:r>
              <w:rPr>
                <w:rFonts w:ascii="Times New Roman" w:hAnsi="Times New Roman"/>
                <w:sz w:val="18"/>
                <w:szCs w:val="18"/>
              </w:rPr>
              <w:t>拆配</w:t>
            </w:r>
          </w:p>
          <w:p>
            <w:pPr>
              <w:pStyle w:val="33"/>
              <w:jc w:val="center"/>
              <w:rPr>
                <w:rFonts w:ascii="Times New Roman" w:hAnsi="Times New Roman"/>
                <w:sz w:val="18"/>
                <w:szCs w:val="18"/>
              </w:rPr>
            </w:pPr>
            <w:r>
              <w:rPr>
                <w:rFonts w:ascii="Times New Roman" w:hAnsi="Times New Roman"/>
                <w:sz w:val="18"/>
                <w:szCs w:val="18"/>
              </w:rPr>
              <w:t>合</w:t>
            </w:r>
          </w:p>
        </w:tc>
        <w:tc>
          <w:tcPr>
            <w:tcW w:w="2304"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前期策划</w:t>
            </w:r>
          </w:p>
        </w:tc>
        <w:tc>
          <w:tcPr>
            <w:tcW w:w="2827" w:type="dxa"/>
            <w:gridSpan w:val="2"/>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前期策划书</w:t>
            </w:r>
          </w:p>
        </w:tc>
        <w:tc>
          <w:tcPr>
            <w:tcW w:w="5271"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以前期策划书提交并获得发包人认可为考核条件。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pPr>
            <w:r>
              <w:rPr>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r>
      <w:tr>
        <w:tblPrEx>
          <w:tblCellMar>
            <w:top w:w="0" w:type="dxa"/>
            <w:left w:w="108" w:type="dxa"/>
            <w:bottom w:w="0" w:type="dxa"/>
            <w:right w:w="108" w:type="dxa"/>
          </w:tblCellMar>
        </w:tblPrEx>
        <w:trPr>
          <w:cantSplit/>
          <w:trHeight w:val="415" w:hRule="atLeast"/>
        </w:trPr>
        <w:tc>
          <w:tcPr>
            <w:tcW w:w="1110" w:type="dxa"/>
            <w:vMerge w:val="continue"/>
            <w:tcBorders>
              <w:top w:val="single" w:color="auto" w:sz="6" w:space="0"/>
              <w:left w:val="single" w:color="auto" w:sz="6" w:space="0"/>
              <w:bottom w:val="single" w:color="auto" w:sz="6" w:space="0"/>
              <w:right w:val="single" w:color="auto" w:sz="6" w:space="0"/>
            </w:tcBorders>
            <w:vAlign w:val="center"/>
          </w:tcPr>
          <w:p>
            <w:pPr>
              <w:pStyle w:val="33"/>
              <w:jc w:val="center"/>
              <w:rPr>
                <w:rFonts w:ascii="Times New Roman" w:hAnsi="Times New Roman"/>
                <w:sz w:val="18"/>
                <w:szCs w:val="18"/>
              </w:rPr>
            </w:pPr>
          </w:p>
        </w:tc>
        <w:tc>
          <w:tcPr>
            <w:tcW w:w="2304"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征拆配合</w:t>
            </w:r>
          </w:p>
        </w:tc>
        <w:tc>
          <w:tcPr>
            <w:tcW w:w="2827" w:type="dxa"/>
            <w:gridSpan w:val="2"/>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p>
        </w:tc>
        <w:tc>
          <w:tcPr>
            <w:tcW w:w="5271"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征拆配合工作获得发包人认可为考核条件。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pPr>
            <w:r>
              <w:rPr>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r>
      <w:tr>
        <w:tblPrEx>
          <w:tblCellMar>
            <w:top w:w="0" w:type="dxa"/>
            <w:left w:w="108" w:type="dxa"/>
            <w:bottom w:w="0" w:type="dxa"/>
            <w:right w:w="108" w:type="dxa"/>
          </w:tblCellMar>
        </w:tblPrEx>
        <w:trPr>
          <w:cantSplit/>
          <w:trHeight w:val="548" w:hRule="atLeast"/>
        </w:trPr>
        <w:tc>
          <w:tcPr>
            <w:tcW w:w="1110" w:type="dxa"/>
            <w:vMerge w:val="continue"/>
            <w:tcBorders>
              <w:top w:val="single" w:color="auto" w:sz="6" w:space="0"/>
              <w:left w:val="single" w:color="auto" w:sz="6" w:space="0"/>
              <w:bottom w:val="single" w:color="auto" w:sz="6" w:space="0"/>
              <w:right w:val="single" w:color="auto" w:sz="6" w:space="0"/>
            </w:tcBorders>
            <w:vAlign w:val="center"/>
          </w:tcPr>
          <w:p>
            <w:pPr>
              <w:pStyle w:val="33"/>
              <w:jc w:val="center"/>
              <w:rPr>
                <w:rFonts w:ascii="Times New Roman" w:hAnsi="Times New Roman"/>
                <w:sz w:val="18"/>
                <w:szCs w:val="18"/>
              </w:rPr>
            </w:pPr>
          </w:p>
        </w:tc>
        <w:tc>
          <w:tcPr>
            <w:tcW w:w="2304"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安排专人配合业主报建工作</w:t>
            </w:r>
          </w:p>
        </w:tc>
        <w:tc>
          <w:tcPr>
            <w:tcW w:w="2827" w:type="dxa"/>
            <w:gridSpan w:val="2"/>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p>
        </w:tc>
        <w:tc>
          <w:tcPr>
            <w:tcW w:w="5271"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配合报建工作获得发包人认可为考核条件。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pPr>
            <w:r>
              <w:rPr>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r>
      <w:tr>
        <w:tblPrEx>
          <w:tblCellMar>
            <w:top w:w="0" w:type="dxa"/>
            <w:left w:w="108" w:type="dxa"/>
            <w:bottom w:w="0" w:type="dxa"/>
            <w:right w:w="108" w:type="dxa"/>
          </w:tblCellMar>
        </w:tblPrEx>
        <w:trPr>
          <w:cantSplit/>
          <w:trHeight w:val="516" w:hRule="atLeast"/>
        </w:trPr>
        <w:tc>
          <w:tcPr>
            <w:tcW w:w="1110" w:type="dxa"/>
            <w:vMerge w:val="restart"/>
            <w:tcBorders>
              <w:top w:val="single" w:color="auto" w:sz="4" w:space="0"/>
              <w:left w:val="single" w:color="auto" w:sz="6" w:space="0"/>
              <w:bottom w:val="single" w:color="auto" w:sz="6" w:space="0"/>
              <w:right w:val="single" w:color="auto" w:sz="6" w:space="0"/>
            </w:tcBorders>
            <w:vAlign w:val="center"/>
          </w:tcPr>
          <w:p>
            <w:pPr>
              <w:pStyle w:val="33"/>
              <w:jc w:val="center"/>
              <w:rPr>
                <w:rFonts w:ascii="Times New Roman" w:hAnsi="Times New Roman"/>
                <w:sz w:val="18"/>
                <w:szCs w:val="18"/>
              </w:rPr>
            </w:pPr>
            <w:r>
              <w:rPr>
                <w:rFonts w:ascii="Times New Roman" w:hAnsi="Times New Roman"/>
                <w:sz w:val="18"/>
                <w:szCs w:val="18"/>
              </w:rPr>
              <w:t>勘察</w:t>
            </w:r>
          </w:p>
          <w:p>
            <w:pPr>
              <w:pStyle w:val="33"/>
              <w:jc w:val="center"/>
              <w:rPr>
                <w:rFonts w:ascii="Times New Roman" w:hAnsi="Times New Roman"/>
                <w:sz w:val="18"/>
                <w:szCs w:val="18"/>
              </w:rPr>
            </w:pPr>
            <w:r>
              <w:rPr>
                <w:rFonts w:ascii="Times New Roman" w:hAnsi="Times New Roman"/>
                <w:sz w:val="18"/>
                <w:szCs w:val="18"/>
              </w:rPr>
              <w:t>设计</w:t>
            </w:r>
          </w:p>
          <w:p>
            <w:pPr>
              <w:pStyle w:val="33"/>
              <w:jc w:val="center"/>
              <w:rPr>
                <w:rFonts w:ascii="Times New Roman" w:hAnsi="Times New Roman"/>
                <w:sz w:val="18"/>
                <w:szCs w:val="18"/>
              </w:rPr>
            </w:pPr>
            <w:r>
              <w:rPr>
                <w:rFonts w:ascii="Times New Roman" w:hAnsi="Times New Roman"/>
                <w:sz w:val="18"/>
                <w:szCs w:val="18"/>
              </w:rPr>
              <w:t>监理</w:t>
            </w:r>
          </w:p>
        </w:tc>
        <w:tc>
          <w:tcPr>
            <w:tcW w:w="2304"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勘察监理</w:t>
            </w:r>
          </w:p>
        </w:tc>
        <w:tc>
          <w:tcPr>
            <w:tcW w:w="2827" w:type="dxa"/>
            <w:gridSpan w:val="2"/>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勘察方案审核书，勘察报告成果审核书</w:t>
            </w:r>
          </w:p>
        </w:tc>
        <w:tc>
          <w:tcPr>
            <w:tcW w:w="5271"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以配合勘察方案及勘察工作实施并获得发包人认可为考核条件。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r>
      <w:tr>
        <w:tblPrEx>
          <w:tblCellMar>
            <w:top w:w="0" w:type="dxa"/>
            <w:left w:w="108" w:type="dxa"/>
            <w:bottom w:w="0" w:type="dxa"/>
            <w:right w:w="108" w:type="dxa"/>
          </w:tblCellMar>
        </w:tblPrEx>
        <w:trPr>
          <w:cantSplit/>
          <w:trHeight w:val="397" w:hRule="atLeast"/>
        </w:trPr>
        <w:tc>
          <w:tcPr>
            <w:tcW w:w="1110" w:type="dxa"/>
            <w:vMerge w:val="continue"/>
            <w:tcBorders>
              <w:top w:val="single" w:color="auto" w:sz="6" w:space="0"/>
              <w:left w:val="single" w:color="auto" w:sz="6" w:space="0"/>
              <w:bottom w:val="single" w:color="auto" w:sz="4" w:space="0"/>
              <w:right w:val="single" w:color="auto" w:sz="6" w:space="0"/>
            </w:tcBorders>
            <w:vAlign w:val="center"/>
          </w:tcPr>
          <w:p>
            <w:pPr>
              <w:pStyle w:val="33"/>
              <w:jc w:val="center"/>
              <w:rPr>
                <w:rFonts w:ascii="Times New Roman" w:hAnsi="Times New Roman"/>
                <w:sz w:val="18"/>
                <w:szCs w:val="18"/>
              </w:rPr>
            </w:pPr>
          </w:p>
        </w:tc>
        <w:tc>
          <w:tcPr>
            <w:tcW w:w="2304"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设计监理</w:t>
            </w:r>
          </w:p>
        </w:tc>
        <w:tc>
          <w:tcPr>
            <w:tcW w:w="2827" w:type="dxa"/>
            <w:gridSpan w:val="2"/>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初步设计审核书、施工图设计审核书</w:t>
            </w:r>
          </w:p>
        </w:tc>
        <w:tc>
          <w:tcPr>
            <w:tcW w:w="5271"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以初步设计、施工图设计合理化建议的提交并获得发包人认可为考核条件。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r>
      <w:tr>
        <w:tblPrEx>
          <w:tblCellMar>
            <w:top w:w="0" w:type="dxa"/>
            <w:left w:w="108" w:type="dxa"/>
            <w:bottom w:w="0" w:type="dxa"/>
            <w:right w:w="108" w:type="dxa"/>
          </w:tblCellMar>
        </w:tblPrEx>
        <w:trPr>
          <w:cantSplit/>
          <w:trHeight w:val="549" w:hRule="atLeast"/>
        </w:trPr>
        <w:tc>
          <w:tcPr>
            <w:tcW w:w="1110" w:type="dxa"/>
            <w:vMerge w:val="restart"/>
            <w:tcBorders>
              <w:top w:val="single" w:color="auto" w:sz="4" w:space="0"/>
              <w:left w:val="single" w:color="auto" w:sz="6" w:space="0"/>
              <w:bottom w:val="single" w:color="auto" w:sz="6" w:space="0"/>
              <w:right w:val="single" w:color="auto" w:sz="6" w:space="0"/>
            </w:tcBorders>
            <w:vAlign w:val="center"/>
          </w:tcPr>
          <w:p>
            <w:pPr>
              <w:pStyle w:val="33"/>
              <w:jc w:val="center"/>
              <w:rPr>
                <w:rFonts w:ascii="Times New Roman" w:hAnsi="Times New Roman"/>
              </w:rPr>
            </w:pPr>
            <w:r>
              <w:rPr>
                <w:rFonts w:ascii="Times New Roman" w:hAnsi="Times New Roman"/>
              </w:rPr>
              <w:t>检</w:t>
            </w:r>
          </w:p>
          <w:p>
            <w:pPr>
              <w:pStyle w:val="33"/>
              <w:jc w:val="center"/>
              <w:rPr>
                <w:rFonts w:ascii="Times New Roman" w:hAnsi="Times New Roman"/>
              </w:rPr>
            </w:pPr>
            <w:r>
              <w:rPr>
                <w:rFonts w:ascii="Times New Roman" w:hAnsi="Times New Roman"/>
              </w:rPr>
              <w:t>测</w:t>
            </w:r>
          </w:p>
          <w:p>
            <w:pPr>
              <w:pStyle w:val="33"/>
              <w:jc w:val="center"/>
              <w:rPr>
                <w:rFonts w:ascii="Times New Roman" w:hAnsi="Times New Roman"/>
              </w:rPr>
            </w:pPr>
            <w:r>
              <w:rPr>
                <w:rFonts w:ascii="Times New Roman" w:hAnsi="Times New Roman"/>
              </w:rPr>
              <w:t>方</w:t>
            </w:r>
          </w:p>
          <w:p>
            <w:pPr>
              <w:pStyle w:val="33"/>
              <w:jc w:val="center"/>
              <w:rPr>
                <w:rFonts w:ascii="Times New Roman" w:hAnsi="Times New Roman"/>
              </w:rPr>
            </w:pPr>
            <w:r>
              <w:rPr>
                <w:rFonts w:ascii="Times New Roman" w:hAnsi="Times New Roman"/>
              </w:rPr>
              <w:t>案</w:t>
            </w:r>
          </w:p>
          <w:p>
            <w:pPr>
              <w:pStyle w:val="33"/>
              <w:jc w:val="center"/>
              <w:rPr>
                <w:rFonts w:ascii="Times New Roman" w:hAnsi="Times New Roman"/>
              </w:rPr>
            </w:pPr>
            <w:r>
              <w:rPr>
                <w:rFonts w:ascii="Times New Roman" w:hAnsi="Times New Roman"/>
              </w:rPr>
              <w:t>监</w:t>
            </w:r>
          </w:p>
          <w:p>
            <w:pPr>
              <w:pStyle w:val="33"/>
              <w:jc w:val="center"/>
              <w:rPr>
                <w:rFonts w:ascii="Times New Roman" w:hAnsi="Times New Roman"/>
                <w:sz w:val="18"/>
                <w:szCs w:val="18"/>
              </w:rPr>
            </w:pPr>
            <w:r>
              <w:rPr>
                <w:rFonts w:ascii="Times New Roman" w:hAnsi="Times New Roman"/>
              </w:rPr>
              <w:t>理</w:t>
            </w:r>
          </w:p>
        </w:tc>
        <w:tc>
          <w:tcPr>
            <w:tcW w:w="2304"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全过程材料检测计划编制</w:t>
            </w:r>
          </w:p>
        </w:tc>
        <w:tc>
          <w:tcPr>
            <w:tcW w:w="2827" w:type="dxa"/>
            <w:gridSpan w:val="2"/>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全过程材料检测计划书</w:t>
            </w:r>
          </w:p>
        </w:tc>
        <w:tc>
          <w:tcPr>
            <w:tcW w:w="5271"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以全过程材料检测计划书的提交并获得发包人认可为考核条件。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r>
      <w:tr>
        <w:tblPrEx>
          <w:tblCellMar>
            <w:top w:w="0" w:type="dxa"/>
            <w:left w:w="108" w:type="dxa"/>
            <w:bottom w:w="0" w:type="dxa"/>
            <w:right w:w="108" w:type="dxa"/>
          </w:tblCellMar>
        </w:tblPrEx>
        <w:trPr>
          <w:cantSplit/>
          <w:trHeight w:val="558" w:hRule="atLeast"/>
        </w:trPr>
        <w:tc>
          <w:tcPr>
            <w:tcW w:w="1110" w:type="dxa"/>
            <w:vMerge w:val="continue"/>
            <w:tcBorders>
              <w:top w:val="single" w:color="auto" w:sz="6" w:space="0"/>
              <w:left w:val="single" w:color="auto" w:sz="6" w:space="0"/>
              <w:bottom w:val="single" w:color="auto" w:sz="6" w:space="0"/>
              <w:right w:val="single" w:color="auto" w:sz="6" w:space="0"/>
            </w:tcBorders>
            <w:vAlign w:val="center"/>
          </w:tcPr>
          <w:p>
            <w:pPr>
              <w:pStyle w:val="33"/>
              <w:jc w:val="center"/>
              <w:rPr>
                <w:rFonts w:ascii="Times New Roman" w:hAnsi="Times New Roman"/>
                <w:sz w:val="18"/>
                <w:szCs w:val="18"/>
              </w:rPr>
            </w:pPr>
          </w:p>
        </w:tc>
        <w:tc>
          <w:tcPr>
            <w:tcW w:w="2304"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专项第三方材料检测清单指引编制</w:t>
            </w:r>
          </w:p>
        </w:tc>
        <w:tc>
          <w:tcPr>
            <w:tcW w:w="2827" w:type="dxa"/>
            <w:gridSpan w:val="2"/>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专项第三方材料检测清单指引编制</w:t>
            </w:r>
          </w:p>
        </w:tc>
        <w:tc>
          <w:tcPr>
            <w:tcW w:w="5271"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以专项第三方材料检测清单指引的提交并获得发包人认可为考核条件。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r>
      <w:tr>
        <w:tblPrEx>
          <w:tblCellMar>
            <w:top w:w="0" w:type="dxa"/>
            <w:left w:w="108" w:type="dxa"/>
            <w:bottom w:w="0" w:type="dxa"/>
            <w:right w:w="108" w:type="dxa"/>
          </w:tblCellMar>
        </w:tblPrEx>
        <w:trPr>
          <w:cantSplit/>
          <w:trHeight w:val="568" w:hRule="atLeast"/>
        </w:trPr>
        <w:tc>
          <w:tcPr>
            <w:tcW w:w="1110" w:type="dxa"/>
            <w:vMerge w:val="continue"/>
            <w:tcBorders>
              <w:top w:val="single" w:color="auto" w:sz="6" w:space="0"/>
              <w:left w:val="single" w:color="auto" w:sz="6" w:space="0"/>
              <w:bottom w:val="single" w:color="auto" w:sz="6" w:space="0"/>
              <w:right w:val="single" w:color="auto" w:sz="6" w:space="0"/>
            </w:tcBorders>
            <w:vAlign w:val="center"/>
          </w:tcPr>
          <w:p>
            <w:pPr>
              <w:pStyle w:val="33"/>
              <w:jc w:val="center"/>
              <w:rPr>
                <w:rFonts w:ascii="Times New Roman" w:hAnsi="Times New Roman"/>
                <w:sz w:val="18"/>
                <w:szCs w:val="18"/>
              </w:rPr>
            </w:pPr>
          </w:p>
        </w:tc>
        <w:tc>
          <w:tcPr>
            <w:tcW w:w="2304"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实体检测方案清单指引编制</w:t>
            </w:r>
          </w:p>
        </w:tc>
        <w:tc>
          <w:tcPr>
            <w:tcW w:w="2827" w:type="dxa"/>
            <w:gridSpan w:val="2"/>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实体检测清单指引编制</w:t>
            </w:r>
          </w:p>
        </w:tc>
        <w:tc>
          <w:tcPr>
            <w:tcW w:w="5271" w:type="dxa"/>
            <w:tcBorders>
              <w:top w:val="single" w:color="auto" w:sz="6" w:space="0"/>
              <w:left w:val="single" w:color="auto" w:sz="6" w:space="0"/>
              <w:bottom w:val="single" w:color="auto" w:sz="6" w:space="0"/>
              <w:right w:val="single" w:color="auto" w:sz="6" w:space="0"/>
            </w:tcBorders>
            <w:vAlign w:val="center"/>
          </w:tcPr>
          <w:p>
            <w:r>
              <w:rPr>
                <w:sz w:val="18"/>
                <w:szCs w:val="18"/>
              </w:rPr>
              <w:t>以实体检测清单指引的提交并获得发包人认可为考核条件。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r>
      <w:tr>
        <w:tblPrEx>
          <w:tblCellMar>
            <w:top w:w="0" w:type="dxa"/>
            <w:left w:w="108" w:type="dxa"/>
            <w:bottom w:w="0" w:type="dxa"/>
            <w:right w:w="108" w:type="dxa"/>
          </w:tblCellMar>
        </w:tblPrEx>
        <w:trPr>
          <w:cantSplit/>
          <w:trHeight w:val="516" w:hRule="atLeast"/>
        </w:trPr>
        <w:tc>
          <w:tcPr>
            <w:tcW w:w="1110" w:type="dxa"/>
            <w:vMerge w:val="continue"/>
            <w:tcBorders>
              <w:top w:val="single" w:color="auto" w:sz="6" w:space="0"/>
              <w:left w:val="single" w:color="auto" w:sz="6" w:space="0"/>
              <w:bottom w:val="single" w:color="auto" w:sz="4" w:space="0"/>
              <w:right w:val="single" w:color="auto" w:sz="6" w:space="0"/>
            </w:tcBorders>
            <w:vAlign w:val="center"/>
          </w:tcPr>
          <w:p>
            <w:pPr>
              <w:pStyle w:val="33"/>
              <w:jc w:val="center"/>
              <w:rPr>
                <w:rFonts w:ascii="Times New Roman" w:hAnsi="Times New Roman"/>
                <w:sz w:val="18"/>
                <w:szCs w:val="18"/>
              </w:rPr>
            </w:pPr>
          </w:p>
        </w:tc>
        <w:tc>
          <w:tcPr>
            <w:tcW w:w="2304"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桩基础专项检测清单指引编制</w:t>
            </w:r>
          </w:p>
        </w:tc>
        <w:tc>
          <w:tcPr>
            <w:tcW w:w="2827" w:type="dxa"/>
            <w:gridSpan w:val="2"/>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桩基础专项检测清单指引编制</w:t>
            </w:r>
          </w:p>
        </w:tc>
        <w:tc>
          <w:tcPr>
            <w:tcW w:w="5271" w:type="dxa"/>
            <w:tcBorders>
              <w:top w:val="single" w:color="auto" w:sz="6" w:space="0"/>
              <w:left w:val="single" w:color="auto" w:sz="6" w:space="0"/>
              <w:bottom w:val="single" w:color="auto" w:sz="6" w:space="0"/>
              <w:right w:val="single" w:color="auto" w:sz="6" w:space="0"/>
            </w:tcBorders>
            <w:vAlign w:val="center"/>
          </w:tcPr>
          <w:p>
            <w:r>
              <w:rPr>
                <w:sz w:val="18"/>
                <w:szCs w:val="18"/>
              </w:rPr>
              <w:t>以桩基础专项检测清单指引的提交并获得发包人认可为考核条件。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r>
      <w:tr>
        <w:tblPrEx>
          <w:tblCellMar>
            <w:top w:w="0" w:type="dxa"/>
            <w:left w:w="108" w:type="dxa"/>
            <w:bottom w:w="0" w:type="dxa"/>
            <w:right w:w="108" w:type="dxa"/>
          </w:tblCellMar>
        </w:tblPrEx>
        <w:trPr>
          <w:cantSplit/>
          <w:trHeight w:val="544" w:hRule="atLeast"/>
        </w:trPr>
        <w:tc>
          <w:tcPr>
            <w:tcW w:w="1110" w:type="dxa"/>
            <w:tcBorders>
              <w:top w:val="single" w:color="auto" w:sz="6" w:space="0"/>
              <w:left w:val="single" w:color="auto" w:sz="6" w:space="0"/>
              <w:right w:val="single" w:color="auto" w:sz="6" w:space="0"/>
            </w:tcBorders>
            <w:vAlign w:val="center"/>
          </w:tcPr>
          <w:p>
            <w:pPr>
              <w:pStyle w:val="33"/>
              <w:jc w:val="center"/>
              <w:rPr>
                <w:rFonts w:ascii="Times New Roman" w:hAnsi="Times New Roman"/>
                <w:sz w:val="18"/>
                <w:szCs w:val="18"/>
              </w:rPr>
            </w:pPr>
            <w:r>
              <w:rPr>
                <w:rFonts w:ascii="Times New Roman" w:hAnsi="Times New Roman"/>
                <w:sz w:val="18"/>
                <w:szCs w:val="18"/>
              </w:rPr>
              <w:t>工</w:t>
            </w:r>
          </w:p>
          <w:p>
            <w:pPr>
              <w:pStyle w:val="33"/>
              <w:jc w:val="center"/>
              <w:rPr>
                <w:rFonts w:ascii="Times New Roman" w:hAnsi="Times New Roman"/>
                <w:sz w:val="18"/>
                <w:szCs w:val="18"/>
              </w:rPr>
            </w:pPr>
            <w:r>
              <w:rPr>
                <w:rFonts w:ascii="Times New Roman" w:hAnsi="Times New Roman"/>
                <w:sz w:val="18"/>
                <w:szCs w:val="18"/>
              </w:rPr>
              <w:t>程</w:t>
            </w:r>
          </w:p>
          <w:p>
            <w:pPr>
              <w:pStyle w:val="33"/>
              <w:jc w:val="center"/>
              <w:rPr>
                <w:rFonts w:ascii="Times New Roman" w:hAnsi="Times New Roman"/>
                <w:sz w:val="18"/>
                <w:szCs w:val="18"/>
              </w:rPr>
            </w:pPr>
            <w:r>
              <w:rPr>
                <w:rFonts w:ascii="Times New Roman" w:hAnsi="Times New Roman"/>
                <w:sz w:val="18"/>
                <w:szCs w:val="18"/>
              </w:rPr>
              <w:t>施</w:t>
            </w:r>
          </w:p>
          <w:p>
            <w:pPr>
              <w:pStyle w:val="33"/>
              <w:jc w:val="center"/>
              <w:rPr>
                <w:rFonts w:ascii="Times New Roman" w:hAnsi="Times New Roman"/>
                <w:sz w:val="18"/>
                <w:szCs w:val="18"/>
              </w:rPr>
            </w:pPr>
            <w:r>
              <w:rPr>
                <w:rFonts w:ascii="Times New Roman" w:hAnsi="Times New Roman"/>
                <w:sz w:val="18"/>
                <w:szCs w:val="18"/>
              </w:rPr>
              <w:t>工</w:t>
            </w:r>
          </w:p>
          <w:p>
            <w:pPr>
              <w:pStyle w:val="33"/>
              <w:jc w:val="center"/>
              <w:rPr>
                <w:rFonts w:ascii="Times New Roman" w:hAnsi="Times New Roman"/>
                <w:sz w:val="18"/>
                <w:szCs w:val="18"/>
              </w:rPr>
            </w:pPr>
            <w:r>
              <w:rPr>
                <w:rFonts w:ascii="Times New Roman" w:hAnsi="Times New Roman"/>
                <w:sz w:val="18"/>
                <w:szCs w:val="18"/>
              </w:rPr>
              <w:t>准</w:t>
            </w:r>
          </w:p>
          <w:p>
            <w:pPr>
              <w:pStyle w:val="33"/>
              <w:jc w:val="center"/>
              <w:rPr>
                <w:rFonts w:ascii="Times New Roman" w:hAnsi="Times New Roman"/>
                <w:sz w:val="18"/>
                <w:szCs w:val="18"/>
              </w:rPr>
            </w:pPr>
            <w:r>
              <w:rPr>
                <w:rFonts w:ascii="Times New Roman" w:hAnsi="Times New Roman"/>
                <w:sz w:val="18"/>
                <w:szCs w:val="18"/>
              </w:rPr>
              <w:t>备</w:t>
            </w:r>
          </w:p>
          <w:p>
            <w:pPr>
              <w:pStyle w:val="33"/>
              <w:jc w:val="center"/>
              <w:rPr>
                <w:rFonts w:ascii="Times New Roman" w:hAnsi="Times New Roman"/>
                <w:sz w:val="18"/>
                <w:szCs w:val="18"/>
              </w:rPr>
            </w:pPr>
            <w:r>
              <w:rPr>
                <w:rFonts w:ascii="Times New Roman" w:hAnsi="Times New Roman"/>
                <w:sz w:val="18"/>
                <w:szCs w:val="18"/>
              </w:rPr>
              <w:t>阶</w:t>
            </w:r>
          </w:p>
          <w:p>
            <w:pPr>
              <w:pStyle w:val="33"/>
              <w:jc w:val="center"/>
              <w:rPr>
                <w:rFonts w:ascii="Times New Roman" w:hAnsi="Times New Roman"/>
                <w:sz w:val="18"/>
                <w:szCs w:val="18"/>
              </w:rPr>
            </w:pPr>
            <w:r>
              <w:rPr>
                <w:rFonts w:ascii="Times New Roman" w:hAnsi="Times New Roman"/>
                <w:sz w:val="18"/>
                <w:szCs w:val="18"/>
              </w:rPr>
              <w:t>段</w:t>
            </w:r>
          </w:p>
        </w:tc>
        <w:tc>
          <w:tcPr>
            <w:tcW w:w="2304"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rPr>
            </w:pPr>
            <w:r>
              <w:rPr>
                <w:rFonts w:ascii="Times New Roman" w:hAnsi="Times New Roman"/>
              </w:rPr>
              <w:t>第3.1.6项</w:t>
            </w:r>
          </w:p>
        </w:tc>
        <w:tc>
          <w:tcPr>
            <w:tcW w:w="2827" w:type="dxa"/>
            <w:gridSpan w:val="2"/>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按合同第3.1.6项</w:t>
            </w:r>
          </w:p>
        </w:tc>
        <w:tc>
          <w:tcPr>
            <w:tcW w:w="5271" w:type="dxa"/>
            <w:tcBorders>
              <w:top w:val="single" w:color="auto" w:sz="6" w:space="0"/>
              <w:left w:val="single" w:color="auto" w:sz="6" w:space="0"/>
              <w:bottom w:val="single" w:color="auto" w:sz="6"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按合同专用条款第3.1.6项完成情况并获得发包人认可为考核条件。</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r>
      <w:tr>
        <w:tblPrEx>
          <w:tblCellMar>
            <w:top w:w="0" w:type="dxa"/>
            <w:left w:w="108" w:type="dxa"/>
            <w:bottom w:w="0" w:type="dxa"/>
            <w:right w:w="108" w:type="dxa"/>
          </w:tblCellMar>
        </w:tblPrEx>
        <w:trPr>
          <w:cantSplit/>
          <w:trHeight w:val="1211" w:hRule="atLeast"/>
        </w:trPr>
        <w:tc>
          <w:tcPr>
            <w:tcW w:w="1110" w:type="dxa"/>
            <w:tcBorders>
              <w:top w:val="single" w:color="auto" w:sz="4" w:space="0"/>
              <w:left w:val="single" w:color="auto" w:sz="4" w:space="0"/>
              <w:bottom w:val="single" w:color="auto" w:sz="4" w:space="0"/>
              <w:right w:val="single" w:color="auto" w:sz="4" w:space="0"/>
            </w:tcBorders>
            <w:vAlign w:val="center"/>
          </w:tcPr>
          <w:p>
            <w:pPr>
              <w:pStyle w:val="33"/>
              <w:jc w:val="center"/>
              <w:rPr>
                <w:rFonts w:ascii="Times New Roman" w:hAnsi="Times New Roman"/>
                <w:sz w:val="18"/>
                <w:szCs w:val="18"/>
              </w:rPr>
            </w:pPr>
            <w:r>
              <w:rPr>
                <w:rFonts w:ascii="Times New Roman" w:hAnsi="Times New Roman"/>
                <w:sz w:val="18"/>
                <w:szCs w:val="18"/>
              </w:rPr>
              <w:t>工程施工阶段</w:t>
            </w:r>
          </w:p>
          <w:p>
            <w:pPr>
              <w:pStyle w:val="33"/>
              <w:jc w:val="center"/>
              <w:rPr>
                <w:rFonts w:ascii="Times New Roman" w:hAnsi="Times New Roman"/>
                <w:sz w:val="18"/>
                <w:szCs w:val="18"/>
              </w:rPr>
            </w:pPr>
          </w:p>
        </w:tc>
        <w:tc>
          <w:tcPr>
            <w:tcW w:w="2304" w:type="dxa"/>
            <w:tcBorders>
              <w:top w:val="single" w:color="auto" w:sz="6" w:space="0"/>
              <w:left w:val="single" w:color="auto" w:sz="4" w:space="0"/>
              <w:bottom w:val="single" w:color="auto" w:sz="4" w:space="0"/>
              <w:right w:val="single" w:color="auto" w:sz="6" w:space="0"/>
            </w:tcBorders>
          </w:tcPr>
          <w:p>
            <w:pPr>
              <w:pStyle w:val="33"/>
              <w:rPr>
                <w:rFonts w:ascii="Times New Roman" w:hAnsi="Times New Roman"/>
              </w:rPr>
            </w:pPr>
          </w:p>
          <w:p>
            <w:pPr>
              <w:pStyle w:val="33"/>
              <w:rPr>
                <w:rFonts w:ascii="Times New Roman" w:hAnsi="Times New Roman"/>
              </w:rPr>
            </w:pPr>
          </w:p>
          <w:p>
            <w:pPr>
              <w:pStyle w:val="33"/>
              <w:rPr>
                <w:rFonts w:ascii="Times New Roman" w:hAnsi="Times New Roman"/>
              </w:rPr>
            </w:pPr>
            <w:r>
              <w:rPr>
                <w:rFonts w:ascii="Times New Roman" w:hAnsi="Times New Roman"/>
              </w:rPr>
              <w:t>第3.1.7项</w:t>
            </w:r>
          </w:p>
        </w:tc>
        <w:tc>
          <w:tcPr>
            <w:tcW w:w="2827" w:type="dxa"/>
            <w:gridSpan w:val="2"/>
            <w:tcBorders>
              <w:top w:val="single" w:color="auto" w:sz="6" w:space="0"/>
              <w:left w:val="single" w:color="auto" w:sz="6" w:space="0"/>
              <w:bottom w:val="single" w:color="auto" w:sz="4" w:space="0"/>
              <w:right w:val="single" w:color="auto" w:sz="6" w:space="0"/>
            </w:tcBorders>
            <w:vAlign w:val="center"/>
          </w:tcPr>
          <w:p>
            <w:pPr>
              <w:pStyle w:val="33"/>
              <w:rPr>
                <w:rFonts w:ascii="Times New Roman" w:hAnsi="Times New Roman"/>
                <w:sz w:val="18"/>
                <w:szCs w:val="18"/>
              </w:rPr>
            </w:pPr>
            <w:r>
              <w:rPr>
                <w:rFonts w:ascii="Times New Roman" w:hAnsi="Times New Roman"/>
                <w:sz w:val="18"/>
                <w:szCs w:val="18"/>
              </w:rPr>
              <w:t>按合同第3.1.7项</w:t>
            </w:r>
          </w:p>
        </w:tc>
        <w:tc>
          <w:tcPr>
            <w:tcW w:w="5271" w:type="dxa"/>
            <w:tcBorders>
              <w:top w:val="single" w:color="auto" w:sz="6" w:space="0"/>
              <w:left w:val="single" w:color="auto" w:sz="6" w:space="0"/>
              <w:bottom w:val="single" w:color="auto" w:sz="6" w:space="0"/>
              <w:right w:val="single" w:color="auto" w:sz="6" w:space="0"/>
            </w:tcBorders>
            <w:vAlign w:val="center"/>
          </w:tcPr>
          <w:p>
            <w:pPr>
              <w:jc w:val="left"/>
              <w:rPr>
                <w:sz w:val="18"/>
                <w:szCs w:val="18"/>
              </w:rPr>
            </w:pPr>
          </w:p>
          <w:p>
            <w:pPr>
              <w:jc w:val="left"/>
            </w:pPr>
          </w:p>
          <w:p>
            <w:pPr>
              <w:pStyle w:val="33"/>
              <w:rPr>
                <w:rFonts w:ascii="Times New Roman" w:hAnsi="Times New Roman"/>
                <w:sz w:val="18"/>
                <w:szCs w:val="18"/>
              </w:rPr>
            </w:pPr>
            <w:r>
              <w:rPr>
                <w:rFonts w:ascii="Times New Roman" w:hAnsi="Times New Roman"/>
                <w:sz w:val="18"/>
                <w:szCs w:val="18"/>
              </w:rPr>
              <w:t>按合同专用条款第3.1.7项完成情况并获得发包人认可为考核条件。</w:t>
            </w:r>
          </w:p>
          <w:p>
            <w:pPr>
              <w:pStyle w:val="33"/>
              <w:rPr>
                <w:rFonts w:ascii="Times New Roman" w:hAnsi="Times New Roman"/>
                <w:sz w:val="18"/>
                <w:szCs w:val="18"/>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sym w:font="Wingdings 2" w:char="00A3"/>
            </w:r>
          </w:p>
        </w:tc>
      </w:tr>
      <w:tr>
        <w:tblPrEx>
          <w:tblCellMar>
            <w:top w:w="0" w:type="dxa"/>
            <w:left w:w="108" w:type="dxa"/>
            <w:bottom w:w="0" w:type="dxa"/>
            <w:right w:w="108" w:type="dxa"/>
          </w:tblCellMar>
        </w:tblPrEx>
        <w:trPr>
          <w:cantSplit/>
          <w:trHeight w:val="1179" w:hRule="atLeast"/>
        </w:trPr>
        <w:tc>
          <w:tcPr>
            <w:tcW w:w="1110" w:type="dxa"/>
            <w:tcBorders>
              <w:top w:val="single" w:color="auto" w:sz="4" w:space="0"/>
              <w:left w:val="single" w:color="auto" w:sz="6" w:space="0"/>
              <w:bottom w:val="single" w:color="auto" w:sz="6" w:space="0"/>
              <w:right w:val="single" w:color="auto" w:sz="6" w:space="0"/>
            </w:tcBorders>
          </w:tcPr>
          <w:p>
            <w:pPr>
              <w:pStyle w:val="33"/>
              <w:jc w:val="center"/>
              <w:rPr>
                <w:rFonts w:ascii="Times New Roman" w:hAnsi="Times New Roman"/>
              </w:rPr>
            </w:pPr>
          </w:p>
          <w:p>
            <w:pPr>
              <w:pStyle w:val="33"/>
              <w:jc w:val="center"/>
              <w:rPr>
                <w:rFonts w:ascii="Times New Roman" w:hAnsi="Times New Roman"/>
                <w:sz w:val="18"/>
                <w:szCs w:val="18"/>
              </w:rPr>
            </w:pPr>
            <w:r>
              <w:rPr>
                <w:rFonts w:ascii="Times New Roman" w:hAnsi="Times New Roman"/>
              </w:rPr>
              <w:t>工程收尾阶段</w:t>
            </w:r>
          </w:p>
        </w:tc>
        <w:tc>
          <w:tcPr>
            <w:tcW w:w="2334" w:type="dxa"/>
            <w:gridSpan w:val="2"/>
            <w:tcBorders>
              <w:top w:val="single" w:color="auto" w:sz="6" w:space="0"/>
              <w:left w:val="single" w:color="auto" w:sz="6" w:space="0"/>
              <w:bottom w:val="single" w:color="auto" w:sz="6" w:space="0"/>
              <w:right w:val="single" w:color="auto" w:sz="6" w:space="0"/>
            </w:tcBorders>
          </w:tcPr>
          <w:p>
            <w:pPr>
              <w:pStyle w:val="33"/>
              <w:rPr>
                <w:rFonts w:ascii="Times New Roman" w:hAnsi="Times New Roman"/>
              </w:rPr>
            </w:pPr>
          </w:p>
          <w:p>
            <w:pPr>
              <w:pStyle w:val="33"/>
              <w:rPr>
                <w:rFonts w:ascii="Times New Roman" w:hAnsi="Times New Roman"/>
              </w:rPr>
            </w:pPr>
          </w:p>
          <w:p>
            <w:r>
              <w:t>第3.1.8项</w:t>
            </w:r>
          </w:p>
          <w:p/>
          <w:p/>
          <w:p>
            <w:pPr>
              <w:pStyle w:val="33"/>
              <w:rPr>
                <w:rFonts w:ascii="Times New Roman" w:hAnsi="Times New Roman"/>
              </w:rPr>
            </w:pPr>
          </w:p>
        </w:tc>
        <w:tc>
          <w:tcPr>
            <w:tcW w:w="2797" w:type="dxa"/>
            <w:tcBorders>
              <w:top w:val="single" w:color="auto" w:sz="4" w:space="0"/>
              <w:left w:val="single" w:color="auto" w:sz="6" w:space="0"/>
              <w:bottom w:val="single" w:color="auto" w:sz="6" w:space="0"/>
              <w:right w:val="single" w:color="000000" w:sz="2" w:space="0"/>
            </w:tcBorders>
            <w:vAlign w:val="center"/>
          </w:tcPr>
          <w:p>
            <w:pPr>
              <w:pStyle w:val="33"/>
              <w:rPr>
                <w:rFonts w:ascii="Times New Roman" w:hAnsi="Times New Roman"/>
                <w:sz w:val="18"/>
                <w:szCs w:val="18"/>
              </w:rPr>
            </w:pPr>
            <w:r>
              <w:rPr>
                <w:rFonts w:ascii="Times New Roman" w:hAnsi="Times New Roman"/>
                <w:sz w:val="18"/>
                <w:szCs w:val="18"/>
              </w:rPr>
              <w:t>按合同第3.1.8项</w:t>
            </w:r>
          </w:p>
        </w:tc>
        <w:tc>
          <w:tcPr>
            <w:tcW w:w="5271" w:type="dxa"/>
            <w:tcBorders>
              <w:top w:val="single" w:color="auto" w:sz="4" w:space="0"/>
              <w:left w:val="single" w:color="auto" w:sz="6" w:space="0"/>
              <w:bottom w:val="single" w:color="auto" w:sz="6" w:space="0"/>
              <w:right w:val="single" w:color="000000" w:sz="2" w:space="0"/>
            </w:tcBorders>
            <w:vAlign w:val="center"/>
          </w:tcPr>
          <w:p>
            <w:pPr>
              <w:pStyle w:val="33"/>
              <w:rPr>
                <w:rFonts w:ascii="Times New Roman" w:hAnsi="Times New Roman"/>
                <w:sz w:val="18"/>
                <w:szCs w:val="18"/>
              </w:rPr>
            </w:pPr>
          </w:p>
          <w:p>
            <w:pPr>
              <w:pStyle w:val="33"/>
              <w:rPr>
                <w:rFonts w:ascii="Times New Roman" w:hAnsi="Times New Roman"/>
                <w:sz w:val="18"/>
                <w:szCs w:val="18"/>
              </w:rPr>
            </w:pPr>
            <w:r>
              <w:rPr>
                <w:rFonts w:ascii="Times New Roman" w:hAnsi="Times New Roman"/>
                <w:sz w:val="18"/>
                <w:szCs w:val="18"/>
              </w:rPr>
              <w:t>按合同专用条款第3.1.8项完成情况并获得发包人认可为考核条件。</w:t>
            </w:r>
          </w:p>
        </w:tc>
        <w:tc>
          <w:tcPr>
            <w:tcW w:w="1418" w:type="dxa"/>
            <w:tcBorders>
              <w:top w:val="single" w:color="auto" w:sz="4" w:space="0"/>
              <w:left w:val="single" w:color="auto" w:sz="6" w:space="0"/>
              <w:bottom w:val="single" w:color="auto" w:sz="6" w:space="0"/>
              <w:right w:val="single" w:color="000000" w:sz="2" w:space="0"/>
            </w:tcBorders>
            <w:vAlign w:val="center"/>
          </w:tcPr>
          <w:p>
            <w:pPr>
              <w:pStyle w:val="33"/>
              <w:jc w:val="center"/>
              <w:rPr>
                <w:rFonts w:ascii="Times New Roman" w:hAnsi="Times New Roman"/>
                <w:sz w:val="18"/>
                <w:szCs w:val="18"/>
              </w:rPr>
            </w:pPr>
            <w:r>
              <w:rPr>
                <w:rFonts w:ascii="Times New Roman" w:hAnsi="Times New Roman"/>
                <w:sz w:val="18"/>
                <w:szCs w:val="18"/>
              </w:rPr>
              <w:sym w:font="Wingdings 2" w:char="00A3"/>
            </w:r>
          </w:p>
        </w:tc>
        <w:tc>
          <w:tcPr>
            <w:tcW w:w="1559" w:type="dxa"/>
            <w:tcBorders>
              <w:top w:val="single" w:color="auto" w:sz="4" w:space="0"/>
              <w:left w:val="single" w:color="auto" w:sz="6" w:space="0"/>
              <w:bottom w:val="single" w:color="auto" w:sz="6" w:space="0"/>
              <w:right w:val="single" w:color="000000" w:sz="2" w:space="0"/>
            </w:tcBorders>
            <w:vAlign w:val="center"/>
          </w:tcPr>
          <w:p>
            <w:pPr>
              <w:pStyle w:val="33"/>
              <w:jc w:val="center"/>
              <w:rPr>
                <w:rFonts w:ascii="Times New Roman" w:hAnsi="Times New Roman"/>
                <w:sz w:val="18"/>
                <w:szCs w:val="18"/>
              </w:rPr>
            </w:pPr>
            <w:r>
              <w:rPr>
                <w:rFonts w:ascii="Times New Roman" w:hAnsi="Times New Roman"/>
                <w:sz w:val="18"/>
                <w:szCs w:val="18"/>
              </w:rPr>
              <w:sym w:font="Wingdings 2" w:char="00A3"/>
            </w:r>
          </w:p>
        </w:tc>
      </w:tr>
      <w:tr>
        <w:tblPrEx>
          <w:tblCellMar>
            <w:top w:w="0" w:type="dxa"/>
            <w:left w:w="108" w:type="dxa"/>
            <w:bottom w:w="0" w:type="dxa"/>
            <w:right w:w="108" w:type="dxa"/>
          </w:tblCellMar>
        </w:tblPrEx>
        <w:trPr>
          <w:cantSplit/>
          <w:trHeight w:val="1379" w:hRule="atLeast"/>
        </w:trPr>
        <w:tc>
          <w:tcPr>
            <w:tcW w:w="1110" w:type="dxa"/>
            <w:tcBorders>
              <w:top w:val="single" w:color="auto" w:sz="6" w:space="0"/>
              <w:left w:val="single" w:color="auto" w:sz="6" w:space="0"/>
              <w:bottom w:val="single" w:color="auto" w:sz="4" w:space="0"/>
              <w:right w:val="single" w:color="auto" w:sz="6" w:space="0"/>
            </w:tcBorders>
          </w:tcPr>
          <w:p>
            <w:pPr>
              <w:pStyle w:val="33"/>
              <w:jc w:val="center"/>
              <w:rPr>
                <w:rFonts w:ascii="Times New Roman" w:hAnsi="Times New Roman"/>
                <w:sz w:val="18"/>
                <w:szCs w:val="18"/>
              </w:rPr>
            </w:pPr>
            <w:r>
              <w:rPr>
                <w:rFonts w:ascii="Times New Roman" w:hAnsi="Times New Roman"/>
                <w:sz w:val="18"/>
                <w:szCs w:val="18"/>
              </w:rPr>
              <w:t>工</w:t>
            </w:r>
          </w:p>
          <w:p>
            <w:pPr>
              <w:pStyle w:val="33"/>
              <w:jc w:val="center"/>
              <w:rPr>
                <w:rFonts w:ascii="Times New Roman" w:hAnsi="Times New Roman"/>
                <w:sz w:val="18"/>
                <w:szCs w:val="18"/>
              </w:rPr>
            </w:pPr>
            <w:r>
              <w:rPr>
                <w:rFonts w:ascii="Times New Roman" w:hAnsi="Times New Roman"/>
                <w:sz w:val="18"/>
                <w:szCs w:val="18"/>
              </w:rPr>
              <w:t>程</w:t>
            </w:r>
          </w:p>
          <w:p>
            <w:pPr>
              <w:pStyle w:val="33"/>
              <w:jc w:val="center"/>
              <w:rPr>
                <w:rFonts w:ascii="Times New Roman" w:hAnsi="Times New Roman"/>
                <w:sz w:val="18"/>
                <w:szCs w:val="18"/>
              </w:rPr>
            </w:pPr>
            <w:r>
              <w:rPr>
                <w:rFonts w:ascii="Times New Roman" w:hAnsi="Times New Roman"/>
                <w:sz w:val="18"/>
                <w:szCs w:val="18"/>
              </w:rPr>
              <w:t>保</w:t>
            </w:r>
          </w:p>
          <w:p>
            <w:pPr>
              <w:pStyle w:val="33"/>
              <w:jc w:val="center"/>
              <w:rPr>
                <w:rFonts w:ascii="Times New Roman" w:hAnsi="Times New Roman"/>
                <w:sz w:val="18"/>
                <w:szCs w:val="18"/>
              </w:rPr>
            </w:pPr>
            <w:r>
              <w:rPr>
                <w:rFonts w:ascii="Times New Roman" w:hAnsi="Times New Roman"/>
                <w:sz w:val="18"/>
                <w:szCs w:val="18"/>
              </w:rPr>
              <w:t>修</w:t>
            </w:r>
          </w:p>
          <w:p>
            <w:pPr>
              <w:pStyle w:val="33"/>
              <w:jc w:val="center"/>
              <w:rPr>
                <w:rFonts w:ascii="Times New Roman" w:hAnsi="Times New Roman"/>
                <w:sz w:val="18"/>
                <w:szCs w:val="18"/>
              </w:rPr>
            </w:pPr>
            <w:r>
              <w:rPr>
                <w:rFonts w:ascii="Times New Roman" w:hAnsi="Times New Roman"/>
                <w:sz w:val="18"/>
                <w:szCs w:val="18"/>
              </w:rPr>
              <w:t>阶</w:t>
            </w:r>
          </w:p>
          <w:p>
            <w:pPr>
              <w:pStyle w:val="33"/>
              <w:jc w:val="center"/>
              <w:rPr>
                <w:rFonts w:ascii="Times New Roman" w:hAnsi="Times New Roman"/>
                <w:sz w:val="18"/>
                <w:szCs w:val="18"/>
              </w:rPr>
            </w:pPr>
            <w:r>
              <w:rPr>
                <w:rFonts w:ascii="Times New Roman" w:hAnsi="Times New Roman"/>
                <w:sz w:val="18"/>
                <w:szCs w:val="18"/>
              </w:rPr>
              <w:t>段</w:t>
            </w:r>
          </w:p>
        </w:tc>
        <w:tc>
          <w:tcPr>
            <w:tcW w:w="2334" w:type="dxa"/>
            <w:gridSpan w:val="2"/>
            <w:tcBorders>
              <w:top w:val="single" w:color="auto" w:sz="6" w:space="0"/>
              <w:left w:val="single" w:color="auto" w:sz="6" w:space="0"/>
              <w:bottom w:val="single" w:color="auto" w:sz="4" w:space="0"/>
              <w:right w:val="single" w:color="auto" w:sz="6" w:space="0"/>
            </w:tcBorders>
          </w:tcPr>
          <w:p>
            <w:pPr>
              <w:pStyle w:val="33"/>
              <w:rPr>
                <w:rFonts w:ascii="Times New Roman" w:hAnsi="Times New Roman"/>
              </w:rPr>
            </w:pPr>
          </w:p>
          <w:p>
            <w:pPr>
              <w:pStyle w:val="33"/>
              <w:rPr>
                <w:rFonts w:ascii="Times New Roman" w:hAnsi="Times New Roman"/>
              </w:rPr>
            </w:pPr>
          </w:p>
          <w:p>
            <w:r>
              <w:t>第3.1.9项</w:t>
            </w:r>
          </w:p>
          <w:p/>
          <w:p/>
          <w:p>
            <w:pPr>
              <w:pStyle w:val="33"/>
              <w:rPr>
                <w:rFonts w:ascii="Times New Roman" w:hAnsi="Times New Roman"/>
              </w:rPr>
            </w:pPr>
          </w:p>
        </w:tc>
        <w:tc>
          <w:tcPr>
            <w:tcW w:w="2797" w:type="dxa"/>
            <w:tcBorders>
              <w:top w:val="single" w:color="auto" w:sz="6" w:space="0"/>
              <w:left w:val="single" w:color="auto" w:sz="6" w:space="0"/>
              <w:bottom w:val="single" w:color="auto" w:sz="4" w:space="0"/>
              <w:right w:val="single" w:color="000000" w:sz="2" w:space="0"/>
            </w:tcBorders>
            <w:vAlign w:val="center"/>
          </w:tcPr>
          <w:p>
            <w:pPr>
              <w:pStyle w:val="33"/>
              <w:rPr>
                <w:rFonts w:ascii="Times New Roman" w:hAnsi="Times New Roman"/>
                <w:sz w:val="18"/>
                <w:szCs w:val="18"/>
              </w:rPr>
            </w:pPr>
            <w:r>
              <w:rPr>
                <w:rFonts w:ascii="Times New Roman" w:hAnsi="Times New Roman"/>
                <w:sz w:val="18"/>
                <w:szCs w:val="18"/>
              </w:rPr>
              <w:t>按合同第3.1.9项</w:t>
            </w:r>
          </w:p>
        </w:tc>
        <w:tc>
          <w:tcPr>
            <w:tcW w:w="5271" w:type="dxa"/>
            <w:tcBorders>
              <w:top w:val="single" w:color="auto" w:sz="6" w:space="0"/>
              <w:left w:val="single" w:color="auto" w:sz="6" w:space="0"/>
              <w:bottom w:val="single" w:color="auto" w:sz="4" w:space="0"/>
              <w:right w:val="single" w:color="000000" w:sz="2" w:space="0"/>
            </w:tcBorders>
            <w:vAlign w:val="center"/>
          </w:tcPr>
          <w:p>
            <w:pPr>
              <w:rPr>
                <w:sz w:val="18"/>
                <w:szCs w:val="18"/>
              </w:rPr>
            </w:pPr>
            <w:r>
              <w:rPr>
                <w:sz w:val="18"/>
                <w:szCs w:val="18"/>
              </w:rPr>
              <w:t>按合同专用条款第3.1.9项完成情况并获得发包人认可为考核条件。</w:t>
            </w:r>
          </w:p>
        </w:tc>
        <w:tc>
          <w:tcPr>
            <w:tcW w:w="1418" w:type="dxa"/>
            <w:tcBorders>
              <w:top w:val="single" w:color="auto" w:sz="6" w:space="0"/>
              <w:left w:val="single" w:color="auto" w:sz="6" w:space="0"/>
              <w:bottom w:val="single" w:color="auto" w:sz="4" w:space="0"/>
              <w:right w:val="single" w:color="000000" w:sz="2" w:space="0"/>
            </w:tcBorders>
            <w:vAlign w:val="center"/>
          </w:tcPr>
          <w:p>
            <w:pPr>
              <w:pStyle w:val="33"/>
              <w:jc w:val="center"/>
              <w:rPr>
                <w:rFonts w:ascii="Times New Roman" w:hAnsi="Times New Roman"/>
                <w:sz w:val="18"/>
                <w:szCs w:val="18"/>
              </w:rPr>
            </w:pPr>
            <w:r>
              <w:rPr>
                <w:rFonts w:ascii="Times New Roman" w:hAnsi="Times New Roman"/>
                <w:sz w:val="18"/>
                <w:szCs w:val="18"/>
              </w:rPr>
              <w:sym w:font="Wingdings 2" w:char="00A3"/>
            </w:r>
          </w:p>
        </w:tc>
        <w:tc>
          <w:tcPr>
            <w:tcW w:w="1559" w:type="dxa"/>
            <w:tcBorders>
              <w:top w:val="single" w:color="auto" w:sz="6" w:space="0"/>
              <w:left w:val="single" w:color="auto" w:sz="6" w:space="0"/>
              <w:bottom w:val="single" w:color="auto" w:sz="4" w:space="0"/>
              <w:right w:val="single" w:color="000000" w:sz="2" w:space="0"/>
            </w:tcBorders>
            <w:vAlign w:val="center"/>
          </w:tcPr>
          <w:p>
            <w:pPr>
              <w:pStyle w:val="33"/>
              <w:jc w:val="center"/>
              <w:rPr>
                <w:rFonts w:ascii="Times New Roman" w:hAnsi="Times New Roman"/>
                <w:sz w:val="18"/>
                <w:szCs w:val="18"/>
              </w:rPr>
            </w:pPr>
            <w:r>
              <w:rPr>
                <w:rFonts w:ascii="Times New Roman" w:hAnsi="Times New Roman"/>
                <w:sz w:val="18"/>
                <w:szCs w:val="18"/>
              </w:rPr>
              <w:sym w:font="Wingdings 2" w:char="00A3"/>
            </w:r>
          </w:p>
        </w:tc>
      </w:tr>
    </w:tbl>
    <w:p/>
    <w:bookmarkEnd w:id="1"/>
    <w:bookmarkEnd w:id="2"/>
    <w:p>
      <w:pPr>
        <w:sectPr>
          <w:footerReference r:id="rId7" w:type="first"/>
          <w:footerReference r:id="rId6" w:type="default"/>
          <w:pgSz w:w="16840" w:h="11907" w:orient="landscape"/>
          <w:pgMar w:top="1134" w:right="1134" w:bottom="1134" w:left="1134" w:header="851" w:footer="567" w:gutter="340"/>
          <w:cols w:space="720" w:num="1"/>
          <w:docGrid w:linePitch="286" w:charSpace="0"/>
        </w:sectPr>
      </w:pPr>
    </w:p>
    <w:p>
      <w:pPr>
        <w:rPr>
          <w:b/>
          <w:bCs/>
        </w:rPr>
      </w:pPr>
      <w:r>
        <w:rPr>
          <w:b/>
          <w:bCs/>
        </w:rPr>
        <w:t>附件3：</w:t>
      </w:r>
      <w:bookmarkEnd w:id="3"/>
      <w:bookmarkEnd w:id="4"/>
      <w:r>
        <w:rPr>
          <w:b/>
          <w:bCs/>
        </w:rPr>
        <w:t>项目监理机构及监理人员</w:t>
      </w:r>
      <w:bookmarkEnd w:id="5"/>
      <w:bookmarkEnd w:id="6"/>
    </w:p>
    <w:p>
      <w:pPr>
        <w:pStyle w:val="26"/>
        <w:rPr>
          <w:rFonts w:eastAsia="宋体"/>
        </w:rPr>
      </w:pPr>
      <w:r>
        <w:rPr>
          <w:rFonts w:eastAsia="宋体"/>
        </w:rPr>
        <w:t>项目监理机构及监理人员</w:t>
      </w:r>
    </w:p>
    <w:p>
      <w:pPr>
        <w:pStyle w:val="27"/>
        <w:numPr>
          <w:ilvl w:val="0"/>
          <w:numId w:val="4"/>
        </w:numPr>
        <w:ind w:firstLineChars="0"/>
        <w:rPr>
          <w:b/>
          <w:sz w:val="28"/>
          <w:szCs w:val="28"/>
        </w:rPr>
      </w:pPr>
      <w:r>
        <w:rPr>
          <w:b/>
          <w:sz w:val="28"/>
          <w:szCs w:val="28"/>
        </w:rPr>
        <w:t>项目监理机构图</w:t>
      </w:r>
    </w:p>
    <w:p>
      <w:pPr>
        <w:pStyle w:val="27"/>
        <w:ind w:firstLine="0" w:firstLineChars="0"/>
        <w:rPr>
          <w:b/>
          <w:sz w:val="28"/>
          <w:szCs w:val="28"/>
        </w:rPr>
      </w:pPr>
    </w:p>
    <w:p>
      <w:pPr>
        <w:pStyle w:val="27"/>
        <w:ind w:firstLineChars="0"/>
      </w:pPr>
    </w:p>
    <w:p>
      <w:pPr>
        <w:pStyle w:val="27"/>
        <w:ind w:firstLine="578"/>
        <w:rPr>
          <w:b/>
          <w:sz w:val="28"/>
          <w:szCs w:val="28"/>
        </w:rPr>
      </w:pPr>
      <w:r>
        <w:rPr>
          <w:b/>
          <w:sz w:val="28"/>
          <w:szCs w:val="28"/>
        </w:rPr>
        <w:br w:type="page"/>
      </w:r>
      <w:r>
        <w:rPr>
          <w:b/>
          <w:sz w:val="28"/>
          <w:szCs w:val="28"/>
        </w:rPr>
        <w:t>（二）投入本项目的主要监理人员一览表</w:t>
      </w:r>
    </w:p>
    <w:p>
      <w:pPr>
        <w:jc w:val="center"/>
        <w:rPr>
          <w:b/>
          <w:bCs/>
          <w:sz w:val="32"/>
          <w:szCs w:val="32"/>
        </w:rPr>
      </w:pPr>
      <w:bookmarkStart w:id="8" w:name="_Toc405746570"/>
      <w:bookmarkStart w:id="9" w:name="_Toc343367283"/>
      <w:bookmarkStart w:id="10" w:name="_Toc401325395"/>
      <w:r>
        <w:rPr>
          <w:b/>
          <w:bCs/>
          <w:sz w:val="32"/>
          <w:szCs w:val="32"/>
        </w:rPr>
        <w:t>施工准备阶段拟投入本项目的监理人员计划表</w:t>
      </w:r>
      <w:bookmarkEnd w:id="8"/>
      <w:bookmarkEnd w:id="9"/>
      <w:bookmarkEnd w:id="10"/>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8"/>
        <w:gridCol w:w="1837"/>
        <w:gridCol w:w="1984"/>
        <w:gridCol w:w="851"/>
        <w:gridCol w:w="1559"/>
        <w:gridCol w:w="1483"/>
        <w:gridCol w:w="1636"/>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418" w:type="dxa"/>
            <w:vMerge w:val="restart"/>
            <w:vAlign w:val="center"/>
          </w:tcPr>
          <w:p>
            <w:pPr>
              <w:jc w:val="center"/>
              <w:rPr>
                <w:szCs w:val="21"/>
              </w:rPr>
            </w:pPr>
            <w:r>
              <w:rPr>
                <w:szCs w:val="21"/>
              </w:rPr>
              <w:t>职务</w:t>
            </w:r>
          </w:p>
        </w:tc>
        <w:tc>
          <w:tcPr>
            <w:tcW w:w="998" w:type="dxa"/>
            <w:vMerge w:val="restart"/>
            <w:vAlign w:val="center"/>
          </w:tcPr>
          <w:p>
            <w:pPr>
              <w:jc w:val="center"/>
              <w:rPr>
                <w:szCs w:val="21"/>
              </w:rPr>
            </w:pPr>
            <w:r>
              <w:rPr>
                <w:szCs w:val="21"/>
              </w:rPr>
              <w:t>姓名</w:t>
            </w:r>
          </w:p>
        </w:tc>
        <w:tc>
          <w:tcPr>
            <w:tcW w:w="1837" w:type="dxa"/>
            <w:vMerge w:val="restart"/>
            <w:vAlign w:val="center"/>
          </w:tcPr>
          <w:p>
            <w:pPr>
              <w:jc w:val="center"/>
              <w:rPr>
                <w:szCs w:val="21"/>
              </w:rPr>
            </w:pPr>
            <w:r>
              <w:rPr>
                <w:szCs w:val="21"/>
              </w:rPr>
              <w:t>职称</w:t>
            </w:r>
          </w:p>
        </w:tc>
        <w:tc>
          <w:tcPr>
            <w:tcW w:w="5877" w:type="dxa"/>
            <w:gridSpan w:val="4"/>
            <w:vAlign w:val="center"/>
          </w:tcPr>
          <w:p>
            <w:pPr>
              <w:jc w:val="center"/>
              <w:rPr>
                <w:szCs w:val="21"/>
              </w:rPr>
            </w:pPr>
            <w:r>
              <w:rPr>
                <w:szCs w:val="21"/>
              </w:rPr>
              <w:t>执业或职业资格证明</w:t>
            </w:r>
          </w:p>
        </w:tc>
        <w:tc>
          <w:tcPr>
            <w:tcW w:w="1636" w:type="dxa"/>
            <w:vMerge w:val="restart"/>
            <w:vAlign w:val="center"/>
          </w:tcPr>
          <w:p>
            <w:pPr>
              <w:jc w:val="center"/>
              <w:rPr>
                <w:szCs w:val="21"/>
              </w:rPr>
            </w:pPr>
            <w:r>
              <w:rPr>
                <w:szCs w:val="21"/>
              </w:rPr>
              <w:t>在本项目中担任的工作</w:t>
            </w:r>
          </w:p>
        </w:tc>
        <w:tc>
          <w:tcPr>
            <w:tcW w:w="1664" w:type="dxa"/>
            <w:vMerge w:val="restart"/>
            <w:vAlign w:val="center"/>
          </w:tcPr>
          <w:p>
            <w:pPr>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418" w:type="dxa"/>
            <w:vMerge w:val="continue"/>
            <w:vAlign w:val="center"/>
          </w:tcPr>
          <w:p>
            <w:pPr>
              <w:jc w:val="center"/>
              <w:rPr>
                <w:szCs w:val="21"/>
              </w:rPr>
            </w:pPr>
          </w:p>
        </w:tc>
        <w:tc>
          <w:tcPr>
            <w:tcW w:w="998" w:type="dxa"/>
            <w:vMerge w:val="continue"/>
            <w:vAlign w:val="center"/>
          </w:tcPr>
          <w:p>
            <w:pPr>
              <w:jc w:val="center"/>
              <w:rPr>
                <w:szCs w:val="21"/>
              </w:rPr>
            </w:pPr>
          </w:p>
        </w:tc>
        <w:tc>
          <w:tcPr>
            <w:tcW w:w="1837" w:type="dxa"/>
            <w:vMerge w:val="continue"/>
            <w:vAlign w:val="center"/>
          </w:tcPr>
          <w:p>
            <w:pPr>
              <w:jc w:val="center"/>
              <w:rPr>
                <w:szCs w:val="21"/>
              </w:rPr>
            </w:pPr>
          </w:p>
        </w:tc>
        <w:tc>
          <w:tcPr>
            <w:tcW w:w="1984" w:type="dxa"/>
            <w:vAlign w:val="center"/>
          </w:tcPr>
          <w:p>
            <w:pPr>
              <w:jc w:val="center"/>
              <w:rPr>
                <w:szCs w:val="21"/>
              </w:rPr>
            </w:pPr>
            <w:r>
              <w:rPr>
                <w:szCs w:val="21"/>
              </w:rPr>
              <w:t>证书名称</w:t>
            </w:r>
          </w:p>
        </w:tc>
        <w:tc>
          <w:tcPr>
            <w:tcW w:w="851" w:type="dxa"/>
            <w:vAlign w:val="center"/>
          </w:tcPr>
          <w:p>
            <w:pPr>
              <w:jc w:val="center"/>
              <w:rPr>
                <w:szCs w:val="21"/>
              </w:rPr>
            </w:pPr>
            <w:r>
              <w:rPr>
                <w:szCs w:val="21"/>
              </w:rPr>
              <w:t>级别</w:t>
            </w:r>
          </w:p>
        </w:tc>
        <w:tc>
          <w:tcPr>
            <w:tcW w:w="1559" w:type="dxa"/>
            <w:vAlign w:val="center"/>
          </w:tcPr>
          <w:p>
            <w:pPr>
              <w:jc w:val="center"/>
              <w:rPr>
                <w:szCs w:val="21"/>
              </w:rPr>
            </w:pPr>
            <w:r>
              <w:rPr>
                <w:szCs w:val="21"/>
              </w:rPr>
              <w:t>证号</w:t>
            </w:r>
          </w:p>
        </w:tc>
        <w:tc>
          <w:tcPr>
            <w:tcW w:w="1483" w:type="dxa"/>
            <w:vAlign w:val="center"/>
          </w:tcPr>
          <w:p>
            <w:pPr>
              <w:jc w:val="center"/>
              <w:rPr>
                <w:szCs w:val="21"/>
              </w:rPr>
            </w:pPr>
            <w:r>
              <w:rPr>
                <w:szCs w:val="21"/>
              </w:rPr>
              <w:t>专业</w:t>
            </w:r>
          </w:p>
        </w:tc>
        <w:tc>
          <w:tcPr>
            <w:tcW w:w="1636" w:type="dxa"/>
            <w:vMerge w:val="continue"/>
            <w:vAlign w:val="center"/>
          </w:tcPr>
          <w:p>
            <w:pPr>
              <w:jc w:val="center"/>
              <w:rPr>
                <w:szCs w:val="21"/>
              </w:rPr>
            </w:pPr>
          </w:p>
        </w:tc>
        <w:tc>
          <w:tcPr>
            <w:tcW w:w="1664"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bl>
    <w:p>
      <w:pPr>
        <w:topLinePunct/>
        <w:adjustRightInd w:val="0"/>
        <w:snapToGrid w:val="0"/>
        <w:spacing w:line="360" w:lineRule="auto"/>
        <w:ind w:firstLine="1612" w:firstLineChars="650"/>
        <w:rPr>
          <w:snapToGrid w:val="0"/>
          <w:spacing w:val="4"/>
          <w:kern w:val="0"/>
          <w:sz w:val="24"/>
        </w:rPr>
      </w:pPr>
    </w:p>
    <w:p>
      <w:pPr>
        <w:pStyle w:val="27"/>
        <w:ind w:firstLine="578"/>
        <w:rPr>
          <w:b/>
          <w:sz w:val="28"/>
          <w:szCs w:val="28"/>
        </w:rPr>
        <w:sectPr>
          <w:footerReference r:id="rId9" w:type="first"/>
          <w:footerReference r:id="rId8" w:type="default"/>
          <w:pgSz w:w="16840" w:h="11907" w:orient="landscape"/>
          <w:pgMar w:top="1134" w:right="1134" w:bottom="1134" w:left="1134" w:header="851" w:footer="567" w:gutter="340"/>
          <w:cols w:space="720" w:num="1"/>
          <w:docGrid w:linePitch="286" w:charSpace="0"/>
        </w:sectPr>
      </w:pPr>
    </w:p>
    <w:p>
      <w:pPr>
        <w:pStyle w:val="27"/>
        <w:ind w:firstLine="578"/>
        <w:rPr>
          <w:b/>
          <w:sz w:val="28"/>
          <w:szCs w:val="28"/>
        </w:rPr>
      </w:pPr>
      <w:r>
        <w:rPr>
          <w:b/>
          <w:sz w:val="28"/>
          <w:szCs w:val="28"/>
        </w:rPr>
        <w:t>（三）施工阶段监理人员一览表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8"/>
        <w:gridCol w:w="1837"/>
        <w:gridCol w:w="1984"/>
        <w:gridCol w:w="851"/>
        <w:gridCol w:w="1559"/>
        <w:gridCol w:w="1483"/>
        <w:gridCol w:w="1636"/>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418" w:type="dxa"/>
            <w:vMerge w:val="restart"/>
            <w:vAlign w:val="center"/>
          </w:tcPr>
          <w:p>
            <w:pPr>
              <w:jc w:val="center"/>
              <w:rPr>
                <w:szCs w:val="21"/>
              </w:rPr>
            </w:pPr>
            <w:r>
              <w:rPr>
                <w:szCs w:val="21"/>
              </w:rPr>
              <w:t>职务</w:t>
            </w:r>
          </w:p>
        </w:tc>
        <w:tc>
          <w:tcPr>
            <w:tcW w:w="998" w:type="dxa"/>
            <w:vMerge w:val="restart"/>
            <w:vAlign w:val="center"/>
          </w:tcPr>
          <w:p>
            <w:pPr>
              <w:jc w:val="center"/>
              <w:rPr>
                <w:szCs w:val="21"/>
              </w:rPr>
            </w:pPr>
            <w:r>
              <w:rPr>
                <w:szCs w:val="21"/>
              </w:rPr>
              <w:t>姓名</w:t>
            </w:r>
          </w:p>
        </w:tc>
        <w:tc>
          <w:tcPr>
            <w:tcW w:w="1837" w:type="dxa"/>
            <w:vMerge w:val="restart"/>
            <w:vAlign w:val="center"/>
          </w:tcPr>
          <w:p>
            <w:pPr>
              <w:jc w:val="center"/>
              <w:rPr>
                <w:szCs w:val="21"/>
              </w:rPr>
            </w:pPr>
            <w:r>
              <w:rPr>
                <w:szCs w:val="21"/>
              </w:rPr>
              <w:t>职称</w:t>
            </w:r>
          </w:p>
        </w:tc>
        <w:tc>
          <w:tcPr>
            <w:tcW w:w="5877" w:type="dxa"/>
            <w:gridSpan w:val="4"/>
            <w:vAlign w:val="center"/>
          </w:tcPr>
          <w:p>
            <w:pPr>
              <w:jc w:val="center"/>
              <w:rPr>
                <w:szCs w:val="21"/>
              </w:rPr>
            </w:pPr>
            <w:r>
              <w:rPr>
                <w:szCs w:val="21"/>
              </w:rPr>
              <w:t>执业或职业资格证明</w:t>
            </w:r>
          </w:p>
        </w:tc>
        <w:tc>
          <w:tcPr>
            <w:tcW w:w="1636" w:type="dxa"/>
            <w:vMerge w:val="restart"/>
            <w:vAlign w:val="center"/>
          </w:tcPr>
          <w:p>
            <w:pPr>
              <w:jc w:val="center"/>
              <w:rPr>
                <w:szCs w:val="21"/>
              </w:rPr>
            </w:pPr>
            <w:r>
              <w:rPr>
                <w:szCs w:val="21"/>
              </w:rPr>
              <w:t>在本项目中担任的工作</w:t>
            </w:r>
          </w:p>
        </w:tc>
        <w:tc>
          <w:tcPr>
            <w:tcW w:w="1664" w:type="dxa"/>
            <w:vMerge w:val="restart"/>
            <w:vAlign w:val="center"/>
          </w:tcPr>
          <w:p>
            <w:pPr>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418" w:type="dxa"/>
            <w:vMerge w:val="continue"/>
            <w:vAlign w:val="center"/>
          </w:tcPr>
          <w:p>
            <w:pPr>
              <w:jc w:val="center"/>
              <w:rPr>
                <w:szCs w:val="21"/>
              </w:rPr>
            </w:pPr>
          </w:p>
        </w:tc>
        <w:tc>
          <w:tcPr>
            <w:tcW w:w="998" w:type="dxa"/>
            <w:vMerge w:val="continue"/>
            <w:vAlign w:val="center"/>
          </w:tcPr>
          <w:p>
            <w:pPr>
              <w:jc w:val="center"/>
              <w:rPr>
                <w:szCs w:val="21"/>
              </w:rPr>
            </w:pPr>
          </w:p>
        </w:tc>
        <w:tc>
          <w:tcPr>
            <w:tcW w:w="1837" w:type="dxa"/>
            <w:vMerge w:val="continue"/>
            <w:vAlign w:val="center"/>
          </w:tcPr>
          <w:p>
            <w:pPr>
              <w:jc w:val="center"/>
              <w:rPr>
                <w:szCs w:val="21"/>
              </w:rPr>
            </w:pPr>
          </w:p>
        </w:tc>
        <w:tc>
          <w:tcPr>
            <w:tcW w:w="1984" w:type="dxa"/>
            <w:vAlign w:val="center"/>
          </w:tcPr>
          <w:p>
            <w:pPr>
              <w:jc w:val="center"/>
              <w:rPr>
                <w:szCs w:val="21"/>
              </w:rPr>
            </w:pPr>
            <w:r>
              <w:rPr>
                <w:szCs w:val="21"/>
              </w:rPr>
              <w:t>证书名称</w:t>
            </w:r>
          </w:p>
        </w:tc>
        <w:tc>
          <w:tcPr>
            <w:tcW w:w="851" w:type="dxa"/>
            <w:vAlign w:val="center"/>
          </w:tcPr>
          <w:p>
            <w:pPr>
              <w:jc w:val="center"/>
              <w:rPr>
                <w:szCs w:val="21"/>
              </w:rPr>
            </w:pPr>
            <w:r>
              <w:rPr>
                <w:szCs w:val="21"/>
              </w:rPr>
              <w:t>级别</w:t>
            </w:r>
          </w:p>
        </w:tc>
        <w:tc>
          <w:tcPr>
            <w:tcW w:w="1559" w:type="dxa"/>
            <w:vAlign w:val="center"/>
          </w:tcPr>
          <w:p>
            <w:pPr>
              <w:jc w:val="center"/>
              <w:rPr>
                <w:szCs w:val="21"/>
              </w:rPr>
            </w:pPr>
            <w:r>
              <w:rPr>
                <w:szCs w:val="21"/>
              </w:rPr>
              <w:t>证号</w:t>
            </w:r>
          </w:p>
        </w:tc>
        <w:tc>
          <w:tcPr>
            <w:tcW w:w="1483" w:type="dxa"/>
            <w:vAlign w:val="center"/>
          </w:tcPr>
          <w:p>
            <w:pPr>
              <w:jc w:val="center"/>
              <w:rPr>
                <w:szCs w:val="21"/>
              </w:rPr>
            </w:pPr>
            <w:r>
              <w:rPr>
                <w:szCs w:val="21"/>
              </w:rPr>
              <w:t>专业</w:t>
            </w:r>
          </w:p>
        </w:tc>
        <w:tc>
          <w:tcPr>
            <w:tcW w:w="1636" w:type="dxa"/>
            <w:vMerge w:val="continue"/>
            <w:vAlign w:val="center"/>
          </w:tcPr>
          <w:p>
            <w:pPr>
              <w:jc w:val="center"/>
              <w:rPr>
                <w:szCs w:val="21"/>
              </w:rPr>
            </w:pPr>
          </w:p>
        </w:tc>
        <w:tc>
          <w:tcPr>
            <w:tcW w:w="1664"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bl>
    <w:p>
      <w:pPr>
        <w:pStyle w:val="27"/>
        <w:ind w:firstLine="578"/>
        <w:rPr>
          <w:b/>
          <w:sz w:val="28"/>
          <w:szCs w:val="28"/>
        </w:rPr>
      </w:pPr>
    </w:p>
    <w:p>
      <w:pPr>
        <w:topLinePunct/>
        <w:adjustRightInd w:val="0"/>
        <w:snapToGrid w:val="0"/>
        <w:spacing w:line="360" w:lineRule="auto"/>
        <w:rPr>
          <w:b/>
          <w:snapToGrid w:val="0"/>
          <w:spacing w:val="4"/>
          <w:kern w:val="0"/>
          <w:sz w:val="28"/>
          <w:szCs w:val="28"/>
        </w:rPr>
      </w:pPr>
      <w:r>
        <w:rPr>
          <w:b/>
          <w:snapToGrid w:val="0"/>
          <w:spacing w:val="4"/>
          <w:kern w:val="0"/>
          <w:sz w:val="28"/>
          <w:szCs w:val="28"/>
        </w:rPr>
        <w:br w:type="page"/>
      </w:r>
      <w:r>
        <w:rPr>
          <w:b/>
          <w:snapToGrid w:val="0"/>
          <w:spacing w:val="4"/>
          <w:kern w:val="0"/>
          <w:sz w:val="28"/>
          <w:szCs w:val="28"/>
        </w:rPr>
        <w:t xml:space="preserve">   （四）工程收尾阶段监理人员一览表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8"/>
        <w:gridCol w:w="1837"/>
        <w:gridCol w:w="1984"/>
        <w:gridCol w:w="851"/>
        <w:gridCol w:w="1559"/>
        <w:gridCol w:w="1483"/>
        <w:gridCol w:w="1636"/>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418" w:type="dxa"/>
            <w:vMerge w:val="restart"/>
            <w:vAlign w:val="center"/>
          </w:tcPr>
          <w:p>
            <w:pPr>
              <w:jc w:val="center"/>
              <w:rPr>
                <w:szCs w:val="21"/>
              </w:rPr>
            </w:pPr>
            <w:r>
              <w:rPr>
                <w:szCs w:val="21"/>
              </w:rPr>
              <w:t>职务</w:t>
            </w:r>
          </w:p>
        </w:tc>
        <w:tc>
          <w:tcPr>
            <w:tcW w:w="998" w:type="dxa"/>
            <w:vMerge w:val="restart"/>
            <w:vAlign w:val="center"/>
          </w:tcPr>
          <w:p>
            <w:pPr>
              <w:jc w:val="center"/>
              <w:rPr>
                <w:szCs w:val="21"/>
              </w:rPr>
            </w:pPr>
            <w:r>
              <w:rPr>
                <w:szCs w:val="21"/>
              </w:rPr>
              <w:t>姓名</w:t>
            </w:r>
          </w:p>
        </w:tc>
        <w:tc>
          <w:tcPr>
            <w:tcW w:w="1837" w:type="dxa"/>
            <w:vMerge w:val="restart"/>
            <w:vAlign w:val="center"/>
          </w:tcPr>
          <w:p>
            <w:pPr>
              <w:jc w:val="center"/>
              <w:rPr>
                <w:szCs w:val="21"/>
              </w:rPr>
            </w:pPr>
            <w:r>
              <w:rPr>
                <w:szCs w:val="21"/>
              </w:rPr>
              <w:t>职称</w:t>
            </w:r>
          </w:p>
        </w:tc>
        <w:tc>
          <w:tcPr>
            <w:tcW w:w="5877" w:type="dxa"/>
            <w:gridSpan w:val="4"/>
            <w:vAlign w:val="center"/>
          </w:tcPr>
          <w:p>
            <w:pPr>
              <w:jc w:val="center"/>
              <w:rPr>
                <w:szCs w:val="21"/>
              </w:rPr>
            </w:pPr>
            <w:r>
              <w:rPr>
                <w:szCs w:val="21"/>
              </w:rPr>
              <w:t>执业或职业资格证明</w:t>
            </w:r>
          </w:p>
        </w:tc>
        <w:tc>
          <w:tcPr>
            <w:tcW w:w="1636" w:type="dxa"/>
            <w:vMerge w:val="restart"/>
            <w:vAlign w:val="center"/>
          </w:tcPr>
          <w:p>
            <w:pPr>
              <w:jc w:val="center"/>
              <w:rPr>
                <w:szCs w:val="21"/>
              </w:rPr>
            </w:pPr>
            <w:r>
              <w:rPr>
                <w:szCs w:val="21"/>
              </w:rPr>
              <w:t>在本项目中担任的工作</w:t>
            </w:r>
          </w:p>
        </w:tc>
        <w:tc>
          <w:tcPr>
            <w:tcW w:w="1664" w:type="dxa"/>
            <w:vMerge w:val="restart"/>
            <w:vAlign w:val="center"/>
          </w:tcPr>
          <w:p>
            <w:pPr>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418" w:type="dxa"/>
            <w:vMerge w:val="continue"/>
            <w:vAlign w:val="center"/>
          </w:tcPr>
          <w:p>
            <w:pPr>
              <w:jc w:val="center"/>
              <w:rPr>
                <w:szCs w:val="21"/>
              </w:rPr>
            </w:pPr>
          </w:p>
        </w:tc>
        <w:tc>
          <w:tcPr>
            <w:tcW w:w="998" w:type="dxa"/>
            <w:vMerge w:val="continue"/>
            <w:vAlign w:val="center"/>
          </w:tcPr>
          <w:p>
            <w:pPr>
              <w:jc w:val="center"/>
              <w:rPr>
                <w:szCs w:val="21"/>
              </w:rPr>
            </w:pPr>
          </w:p>
        </w:tc>
        <w:tc>
          <w:tcPr>
            <w:tcW w:w="1837" w:type="dxa"/>
            <w:vMerge w:val="continue"/>
            <w:vAlign w:val="center"/>
          </w:tcPr>
          <w:p>
            <w:pPr>
              <w:jc w:val="center"/>
              <w:rPr>
                <w:szCs w:val="21"/>
              </w:rPr>
            </w:pPr>
          </w:p>
        </w:tc>
        <w:tc>
          <w:tcPr>
            <w:tcW w:w="1984" w:type="dxa"/>
            <w:vAlign w:val="center"/>
          </w:tcPr>
          <w:p>
            <w:pPr>
              <w:jc w:val="center"/>
              <w:rPr>
                <w:szCs w:val="21"/>
              </w:rPr>
            </w:pPr>
            <w:r>
              <w:rPr>
                <w:szCs w:val="21"/>
              </w:rPr>
              <w:t>证书名称</w:t>
            </w:r>
          </w:p>
        </w:tc>
        <w:tc>
          <w:tcPr>
            <w:tcW w:w="851" w:type="dxa"/>
            <w:vAlign w:val="center"/>
          </w:tcPr>
          <w:p>
            <w:pPr>
              <w:jc w:val="center"/>
              <w:rPr>
                <w:szCs w:val="21"/>
              </w:rPr>
            </w:pPr>
            <w:r>
              <w:rPr>
                <w:szCs w:val="21"/>
              </w:rPr>
              <w:t>级别</w:t>
            </w:r>
          </w:p>
        </w:tc>
        <w:tc>
          <w:tcPr>
            <w:tcW w:w="1559" w:type="dxa"/>
            <w:vAlign w:val="center"/>
          </w:tcPr>
          <w:p>
            <w:pPr>
              <w:jc w:val="center"/>
              <w:rPr>
                <w:szCs w:val="21"/>
              </w:rPr>
            </w:pPr>
            <w:r>
              <w:rPr>
                <w:szCs w:val="21"/>
              </w:rPr>
              <w:t>证号</w:t>
            </w:r>
          </w:p>
        </w:tc>
        <w:tc>
          <w:tcPr>
            <w:tcW w:w="1483" w:type="dxa"/>
            <w:vAlign w:val="center"/>
          </w:tcPr>
          <w:p>
            <w:pPr>
              <w:jc w:val="center"/>
              <w:rPr>
                <w:szCs w:val="21"/>
              </w:rPr>
            </w:pPr>
            <w:r>
              <w:rPr>
                <w:szCs w:val="21"/>
              </w:rPr>
              <w:t>专业</w:t>
            </w:r>
          </w:p>
        </w:tc>
        <w:tc>
          <w:tcPr>
            <w:tcW w:w="1636" w:type="dxa"/>
            <w:vMerge w:val="continue"/>
            <w:vAlign w:val="center"/>
          </w:tcPr>
          <w:p>
            <w:pPr>
              <w:jc w:val="center"/>
              <w:rPr>
                <w:szCs w:val="21"/>
              </w:rPr>
            </w:pPr>
          </w:p>
        </w:tc>
        <w:tc>
          <w:tcPr>
            <w:tcW w:w="1664"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8" w:type="dxa"/>
            <w:vAlign w:val="center"/>
          </w:tcPr>
          <w:p>
            <w:pPr>
              <w:jc w:val="center"/>
              <w:rPr>
                <w:szCs w:val="21"/>
              </w:rPr>
            </w:pPr>
          </w:p>
        </w:tc>
        <w:tc>
          <w:tcPr>
            <w:tcW w:w="998" w:type="dxa"/>
            <w:vAlign w:val="center"/>
          </w:tcPr>
          <w:p>
            <w:pPr>
              <w:jc w:val="center"/>
              <w:rPr>
                <w:szCs w:val="21"/>
              </w:rPr>
            </w:pPr>
          </w:p>
        </w:tc>
        <w:tc>
          <w:tcPr>
            <w:tcW w:w="1837" w:type="dxa"/>
            <w:vAlign w:val="center"/>
          </w:tcPr>
          <w:p>
            <w:pPr>
              <w:jc w:val="center"/>
              <w:rPr>
                <w:szCs w:val="21"/>
              </w:rPr>
            </w:pPr>
          </w:p>
        </w:tc>
        <w:tc>
          <w:tcPr>
            <w:tcW w:w="1984" w:type="dxa"/>
            <w:vAlign w:val="center"/>
          </w:tcPr>
          <w:p>
            <w:pPr>
              <w:jc w:val="center"/>
              <w:rPr>
                <w:szCs w:val="21"/>
              </w:rPr>
            </w:pPr>
          </w:p>
        </w:tc>
        <w:tc>
          <w:tcPr>
            <w:tcW w:w="851" w:type="dxa"/>
            <w:vAlign w:val="center"/>
          </w:tcPr>
          <w:p>
            <w:pPr>
              <w:jc w:val="center"/>
              <w:rPr>
                <w:szCs w:val="21"/>
              </w:rPr>
            </w:pPr>
          </w:p>
        </w:tc>
        <w:tc>
          <w:tcPr>
            <w:tcW w:w="1559" w:type="dxa"/>
            <w:vAlign w:val="center"/>
          </w:tcPr>
          <w:p>
            <w:pPr>
              <w:jc w:val="center"/>
              <w:rPr>
                <w:szCs w:val="21"/>
              </w:rPr>
            </w:pPr>
          </w:p>
        </w:tc>
        <w:tc>
          <w:tcPr>
            <w:tcW w:w="1483" w:type="dxa"/>
            <w:vAlign w:val="center"/>
          </w:tcPr>
          <w:p>
            <w:pPr>
              <w:jc w:val="center"/>
              <w:rPr>
                <w:szCs w:val="21"/>
              </w:rPr>
            </w:pPr>
          </w:p>
        </w:tc>
        <w:tc>
          <w:tcPr>
            <w:tcW w:w="1636" w:type="dxa"/>
            <w:vAlign w:val="center"/>
          </w:tcPr>
          <w:p>
            <w:pPr>
              <w:jc w:val="center"/>
              <w:rPr>
                <w:szCs w:val="21"/>
              </w:rPr>
            </w:pPr>
          </w:p>
        </w:tc>
        <w:tc>
          <w:tcPr>
            <w:tcW w:w="1664" w:type="dxa"/>
            <w:vAlign w:val="center"/>
          </w:tcPr>
          <w:p>
            <w:pPr>
              <w:jc w:val="center"/>
              <w:rPr>
                <w:szCs w:val="21"/>
              </w:rPr>
            </w:pPr>
          </w:p>
        </w:tc>
      </w:tr>
    </w:tbl>
    <w:p>
      <w:pPr>
        <w:pStyle w:val="27"/>
        <w:ind w:firstLine="496"/>
        <w:sectPr>
          <w:pgSz w:w="16840" w:h="11907" w:orient="landscape"/>
          <w:pgMar w:top="1134" w:right="1134" w:bottom="1134" w:left="1134" w:header="851" w:footer="851" w:gutter="340"/>
          <w:cols w:space="720" w:num="1"/>
        </w:sectPr>
      </w:pPr>
    </w:p>
    <w:p>
      <w:pPr>
        <w:rPr>
          <w:b/>
          <w:bCs/>
        </w:rPr>
      </w:pPr>
      <w:bookmarkStart w:id="11" w:name="_Toc313869539"/>
      <w:bookmarkStart w:id="12" w:name="_Toc191697652"/>
      <w:r>
        <w:rPr>
          <w:b/>
          <w:bCs/>
        </w:rPr>
        <w:t>附件4：</w:t>
      </w:r>
      <w:bookmarkStart w:id="13" w:name="_Toc114628415"/>
      <w:r>
        <w:rPr>
          <w:b/>
          <w:bCs/>
        </w:rPr>
        <w:t>承包人拟投入本项目的通讯、办公、试验检测设备</w:t>
      </w:r>
      <w:bookmarkEnd w:id="13"/>
      <w:r>
        <w:rPr>
          <w:b/>
          <w:bCs/>
        </w:rPr>
        <w:t>一览表</w:t>
      </w:r>
      <w:bookmarkEnd w:id="11"/>
      <w:bookmarkEnd w:id="12"/>
    </w:p>
    <w:p>
      <w:pPr>
        <w:pStyle w:val="27"/>
        <w:spacing w:line="240" w:lineRule="auto"/>
        <w:ind w:firstLine="0" w:firstLineChars="0"/>
        <w:jc w:val="center"/>
        <w:rPr>
          <w:b/>
          <w:sz w:val="36"/>
          <w:szCs w:val="36"/>
        </w:rPr>
      </w:pPr>
    </w:p>
    <w:p>
      <w:pPr>
        <w:pStyle w:val="27"/>
        <w:ind w:firstLine="0" w:firstLineChars="0"/>
        <w:jc w:val="center"/>
        <w:rPr>
          <w:b/>
          <w:sz w:val="36"/>
          <w:szCs w:val="36"/>
        </w:rPr>
      </w:pPr>
      <w:r>
        <w:rPr>
          <w:b/>
          <w:sz w:val="36"/>
          <w:szCs w:val="36"/>
        </w:rPr>
        <w:t>承包人拟投入本项目的通讯、办公、试验检测设备一览表</w:t>
      </w:r>
    </w:p>
    <w:tbl>
      <w:tblPr>
        <w:tblStyle w:val="12"/>
        <w:tblW w:w="9333"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68"/>
        <w:gridCol w:w="2091"/>
        <w:gridCol w:w="1613"/>
        <w:gridCol w:w="1275"/>
        <w:gridCol w:w="1276"/>
        <w:gridCol w:w="1276"/>
        <w:gridCol w:w="113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2759" w:type="dxa"/>
            <w:gridSpan w:val="2"/>
            <w:vMerge w:val="restart"/>
            <w:vAlign w:val="center"/>
          </w:tcPr>
          <w:p>
            <w:pPr>
              <w:pStyle w:val="27"/>
              <w:spacing w:line="240" w:lineRule="auto"/>
              <w:ind w:firstLine="496"/>
            </w:pPr>
            <w:r>
              <w:t>名称及型号</w:t>
            </w:r>
          </w:p>
        </w:tc>
        <w:tc>
          <w:tcPr>
            <w:tcW w:w="6574" w:type="dxa"/>
            <w:gridSpan w:val="5"/>
            <w:vAlign w:val="center"/>
          </w:tcPr>
          <w:p>
            <w:pPr>
              <w:pStyle w:val="27"/>
              <w:spacing w:line="240" w:lineRule="auto"/>
              <w:ind w:firstLine="0" w:firstLineChars="0"/>
              <w:jc w:val="center"/>
            </w:pPr>
            <w:r>
              <w:t>承包人能达到的程度简述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2759" w:type="dxa"/>
            <w:gridSpan w:val="2"/>
            <w:vMerge w:val="continue"/>
            <w:vAlign w:val="center"/>
          </w:tcPr>
          <w:p>
            <w:pPr>
              <w:pStyle w:val="27"/>
              <w:spacing w:line="240" w:lineRule="auto"/>
              <w:ind w:firstLine="496"/>
            </w:pPr>
          </w:p>
        </w:tc>
        <w:tc>
          <w:tcPr>
            <w:tcW w:w="1613" w:type="dxa"/>
            <w:vAlign w:val="center"/>
          </w:tcPr>
          <w:p>
            <w:pPr>
              <w:pStyle w:val="27"/>
              <w:spacing w:line="240" w:lineRule="auto"/>
              <w:ind w:firstLine="0" w:firstLineChars="0"/>
              <w:jc w:val="center"/>
            </w:pPr>
            <w:r>
              <w:t>合同要求</w:t>
            </w:r>
          </w:p>
          <w:p>
            <w:pPr>
              <w:pStyle w:val="27"/>
              <w:spacing w:line="240" w:lineRule="auto"/>
              <w:ind w:firstLine="0" w:firstLineChars="0"/>
              <w:jc w:val="center"/>
            </w:pPr>
            <w:r>
              <w:t>最少数量</w:t>
            </w:r>
          </w:p>
        </w:tc>
        <w:tc>
          <w:tcPr>
            <w:tcW w:w="4961" w:type="dxa"/>
            <w:gridSpan w:val="4"/>
            <w:vAlign w:val="center"/>
          </w:tcPr>
          <w:p>
            <w:pPr>
              <w:pStyle w:val="27"/>
              <w:spacing w:line="240" w:lineRule="auto"/>
              <w:ind w:firstLine="0" w:firstLineChars="0"/>
              <w:jc w:val="center"/>
              <w:rPr>
                <w:kern w:val="2"/>
              </w:rPr>
            </w:pPr>
            <w:r>
              <w:rPr>
                <w:kern w:val="2"/>
              </w:rPr>
              <w:t>拟投入本项目情况（台套）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2759" w:type="dxa"/>
            <w:gridSpan w:val="2"/>
            <w:vAlign w:val="center"/>
          </w:tcPr>
          <w:p>
            <w:pPr>
              <w:pStyle w:val="27"/>
              <w:spacing w:line="240" w:lineRule="auto"/>
              <w:ind w:firstLine="0" w:firstLineChars="0"/>
              <w:jc w:val="center"/>
            </w:pPr>
            <w:r>
              <w:t>名     称</w:t>
            </w:r>
          </w:p>
        </w:tc>
        <w:tc>
          <w:tcPr>
            <w:tcW w:w="1613" w:type="dxa"/>
            <w:vAlign w:val="center"/>
          </w:tcPr>
          <w:p>
            <w:pPr>
              <w:pStyle w:val="27"/>
              <w:spacing w:line="240" w:lineRule="auto"/>
              <w:ind w:firstLine="0" w:firstLineChars="0"/>
            </w:pPr>
            <w:r>
              <w:t>数量（台套）</w:t>
            </w:r>
          </w:p>
        </w:tc>
        <w:tc>
          <w:tcPr>
            <w:tcW w:w="1275" w:type="dxa"/>
            <w:vAlign w:val="center"/>
          </w:tcPr>
          <w:p>
            <w:pPr>
              <w:pStyle w:val="27"/>
              <w:spacing w:line="240" w:lineRule="auto"/>
              <w:ind w:firstLine="0" w:firstLineChars="0"/>
              <w:jc w:val="center"/>
            </w:pPr>
            <w:r>
              <w:t>小计</w:t>
            </w:r>
          </w:p>
        </w:tc>
        <w:tc>
          <w:tcPr>
            <w:tcW w:w="1276" w:type="dxa"/>
            <w:vAlign w:val="center"/>
          </w:tcPr>
          <w:p>
            <w:pPr>
              <w:pStyle w:val="27"/>
              <w:spacing w:line="240" w:lineRule="auto"/>
              <w:ind w:firstLine="0" w:firstLineChars="0"/>
              <w:jc w:val="center"/>
            </w:pPr>
            <w:r>
              <w:t>新购</w:t>
            </w:r>
          </w:p>
        </w:tc>
        <w:tc>
          <w:tcPr>
            <w:tcW w:w="1276" w:type="dxa"/>
            <w:vAlign w:val="center"/>
          </w:tcPr>
          <w:p>
            <w:pPr>
              <w:pStyle w:val="27"/>
              <w:spacing w:line="240" w:lineRule="auto"/>
              <w:ind w:firstLine="0" w:firstLineChars="0"/>
              <w:jc w:val="center"/>
            </w:pPr>
            <w:r>
              <w:t>自有</w:t>
            </w:r>
          </w:p>
        </w:tc>
        <w:tc>
          <w:tcPr>
            <w:tcW w:w="1134" w:type="dxa"/>
            <w:vAlign w:val="center"/>
          </w:tcPr>
          <w:p>
            <w:pPr>
              <w:pStyle w:val="27"/>
              <w:spacing w:line="240" w:lineRule="auto"/>
              <w:ind w:firstLine="0" w:firstLineChars="0"/>
              <w:jc w:val="center"/>
            </w:pPr>
            <w:r>
              <w:t>租赁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668" w:type="dxa"/>
            <w:vMerge w:val="restart"/>
            <w:vAlign w:val="center"/>
          </w:tcPr>
          <w:p>
            <w:r>
              <w:t>通讯设备</w:t>
            </w:r>
          </w:p>
        </w:tc>
        <w:tc>
          <w:tcPr>
            <w:tcW w:w="2091" w:type="dxa"/>
            <w:vAlign w:val="center"/>
          </w:tcPr>
          <w:p>
            <w:pPr>
              <w:pStyle w:val="27"/>
              <w:spacing w:line="240" w:lineRule="auto"/>
              <w:ind w:firstLine="496"/>
            </w:pPr>
            <w:r>
              <w:t>有线电话</w:t>
            </w:r>
          </w:p>
        </w:tc>
        <w:tc>
          <w:tcPr>
            <w:tcW w:w="1613" w:type="dxa"/>
            <w:vAlign w:val="center"/>
          </w:tcPr>
          <w:p>
            <w:pPr>
              <w:pStyle w:val="27"/>
              <w:spacing w:line="240" w:lineRule="auto"/>
              <w:ind w:firstLine="496"/>
              <w:rPr>
                <w:kern w:val="2"/>
              </w:rPr>
            </w:pPr>
          </w:p>
        </w:tc>
        <w:tc>
          <w:tcPr>
            <w:tcW w:w="1275" w:type="dxa"/>
            <w:vAlign w:val="center"/>
          </w:tcPr>
          <w:p>
            <w:pPr>
              <w:rPr>
                <w:sz w:val="24"/>
              </w:rPr>
            </w:pPr>
          </w:p>
        </w:tc>
        <w:tc>
          <w:tcPr>
            <w:tcW w:w="1276" w:type="dxa"/>
            <w:vAlign w:val="center"/>
          </w:tcPr>
          <w:p>
            <w:pPr>
              <w:rPr>
                <w:sz w:val="24"/>
              </w:rPr>
            </w:pPr>
          </w:p>
        </w:tc>
        <w:tc>
          <w:tcPr>
            <w:tcW w:w="1276" w:type="dxa"/>
            <w:vAlign w:val="center"/>
          </w:tcPr>
          <w:p>
            <w:pPr>
              <w:rPr>
                <w:sz w:val="24"/>
              </w:rPr>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9" w:hRule="atLeast"/>
        </w:trPr>
        <w:tc>
          <w:tcPr>
            <w:tcW w:w="668" w:type="dxa"/>
            <w:vMerge w:val="continue"/>
            <w:vAlign w:val="center"/>
          </w:tcPr>
          <w:p>
            <w:pPr>
              <w:ind w:firstLine="496"/>
            </w:pPr>
          </w:p>
        </w:tc>
        <w:tc>
          <w:tcPr>
            <w:tcW w:w="2091" w:type="dxa"/>
            <w:vAlign w:val="center"/>
          </w:tcPr>
          <w:p>
            <w:pPr>
              <w:pStyle w:val="27"/>
              <w:spacing w:line="240" w:lineRule="auto"/>
              <w:ind w:firstLine="496"/>
            </w:pPr>
            <w:r>
              <w:t>传真机</w:t>
            </w:r>
          </w:p>
        </w:tc>
        <w:tc>
          <w:tcPr>
            <w:tcW w:w="1613" w:type="dxa"/>
            <w:vAlign w:val="center"/>
          </w:tcPr>
          <w:p>
            <w:pPr>
              <w:pStyle w:val="27"/>
              <w:spacing w:line="240" w:lineRule="auto"/>
              <w:ind w:firstLine="496"/>
            </w:pPr>
          </w:p>
        </w:tc>
        <w:tc>
          <w:tcPr>
            <w:tcW w:w="1275" w:type="dxa"/>
            <w:vAlign w:val="center"/>
          </w:tcPr>
          <w:p>
            <w:pPr>
              <w:rPr>
                <w:sz w:val="24"/>
              </w:rPr>
            </w:pPr>
          </w:p>
        </w:tc>
        <w:tc>
          <w:tcPr>
            <w:tcW w:w="1276" w:type="dxa"/>
            <w:vAlign w:val="center"/>
          </w:tcPr>
          <w:p>
            <w:pPr>
              <w:rPr>
                <w:sz w:val="24"/>
              </w:rPr>
            </w:pPr>
          </w:p>
        </w:tc>
        <w:tc>
          <w:tcPr>
            <w:tcW w:w="1276" w:type="dxa"/>
            <w:vAlign w:val="center"/>
          </w:tcPr>
          <w:p>
            <w:pPr>
              <w:rPr>
                <w:sz w:val="24"/>
              </w:rPr>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668" w:type="dxa"/>
            <w:vMerge w:val="continue"/>
            <w:vAlign w:val="center"/>
          </w:tcPr>
          <w:p>
            <w:pPr>
              <w:ind w:firstLine="496"/>
            </w:pPr>
          </w:p>
        </w:tc>
        <w:tc>
          <w:tcPr>
            <w:tcW w:w="2091" w:type="dxa"/>
            <w:vAlign w:val="center"/>
          </w:tcPr>
          <w:p>
            <w:pPr>
              <w:pStyle w:val="27"/>
              <w:spacing w:line="240" w:lineRule="auto"/>
              <w:ind w:firstLine="496"/>
            </w:pPr>
            <w:r>
              <w:t>打印机</w:t>
            </w:r>
          </w:p>
        </w:tc>
        <w:tc>
          <w:tcPr>
            <w:tcW w:w="1613" w:type="dxa"/>
            <w:vAlign w:val="center"/>
          </w:tcPr>
          <w:p>
            <w:pPr>
              <w:pStyle w:val="27"/>
              <w:spacing w:line="240" w:lineRule="auto"/>
              <w:ind w:firstLine="496"/>
            </w:pPr>
          </w:p>
        </w:tc>
        <w:tc>
          <w:tcPr>
            <w:tcW w:w="1275" w:type="dxa"/>
            <w:vAlign w:val="center"/>
          </w:tcPr>
          <w:p>
            <w:pPr>
              <w:rPr>
                <w:sz w:val="24"/>
              </w:rPr>
            </w:pPr>
          </w:p>
        </w:tc>
        <w:tc>
          <w:tcPr>
            <w:tcW w:w="1276" w:type="dxa"/>
            <w:vAlign w:val="center"/>
          </w:tcPr>
          <w:p>
            <w:pPr>
              <w:rPr>
                <w:sz w:val="24"/>
              </w:rPr>
            </w:pPr>
          </w:p>
        </w:tc>
        <w:tc>
          <w:tcPr>
            <w:tcW w:w="1276" w:type="dxa"/>
            <w:vAlign w:val="center"/>
          </w:tcPr>
          <w:p>
            <w:pPr>
              <w:rPr>
                <w:sz w:val="24"/>
              </w:rPr>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668" w:type="dxa"/>
            <w:vMerge w:val="continue"/>
            <w:vAlign w:val="center"/>
          </w:tcPr>
          <w:p>
            <w:pPr>
              <w:ind w:firstLine="496"/>
            </w:pPr>
          </w:p>
        </w:tc>
        <w:tc>
          <w:tcPr>
            <w:tcW w:w="2091" w:type="dxa"/>
            <w:vAlign w:val="center"/>
          </w:tcPr>
          <w:p>
            <w:pPr>
              <w:pStyle w:val="27"/>
              <w:spacing w:line="240" w:lineRule="auto"/>
              <w:ind w:firstLine="496"/>
            </w:pPr>
            <w:r>
              <w:t>……</w:t>
            </w:r>
          </w:p>
        </w:tc>
        <w:tc>
          <w:tcPr>
            <w:tcW w:w="1613" w:type="dxa"/>
            <w:vAlign w:val="center"/>
          </w:tcPr>
          <w:p>
            <w:pPr>
              <w:pStyle w:val="27"/>
              <w:spacing w:line="240" w:lineRule="auto"/>
              <w:ind w:firstLine="496"/>
            </w:pPr>
          </w:p>
        </w:tc>
        <w:tc>
          <w:tcPr>
            <w:tcW w:w="1275" w:type="dxa"/>
            <w:vAlign w:val="center"/>
          </w:tcPr>
          <w:p>
            <w:pPr>
              <w:rPr>
                <w:sz w:val="24"/>
              </w:rPr>
            </w:pPr>
          </w:p>
        </w:tc>
        <w:tc>
          <w:tcPr>
            <w:tcW w:w="1276" w:type="dxa"/>
            <w:vAlign w:val="center"/>
          </w:tcPr>
          <w:p>
            <w:pPr>
              <w:rPr>
                <w:sz w:val="24"/>
              </w:rPr>
            </w:pPr>
          </w:p>
        </w:tc>
        <w:tc>
          <w:tcPr>
            <w:tcW w:w="1276" w:type="dxa"/>
            <w:vAlign w:val="center"/>
          </w:tcPr>
          <w:p>
            <w:pPr>
              <w:rPr>
                <w:sz w:val="24"/>
              </w:rPr>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668" w:type="dxa"/>
            <w:vMerge w:val="restart"/>
            <w:vAlign w:val="center"/>
          </w:tcPr>
          <w:p>
            <w:r>
              <w:t>办公设备</w:t>
            </w:r>
          </w:p>
        </w:tc>
        <w:tc>
          <w:tcPr>
            <w:tcW w:w="2091" w:type="dxa"/>
            <w:vAlign w:val="center"/>
          </w:tcPr>
          <w:p>
            <w:pPr>
              <w:pStyle w:val="27"/>
              <w:spacing w:line="240" w:lineRule="auto"/>
              <w:ind w:firstLine="496"/>
            </w:pPr>
            <w:r>
              <w:t>复印机</w:t>
            </w:r>
          </w:p>
        </w:tc>
        <w:tc>
          <w:tcPr>
            <w:tcW w:w="1613" w:type="dxa"/>
            <w:vAlign w:val="center"/>
          </w:tcPr>
          <w:p>
            <w:pPr>
              <w:pStyle w:val="27"/>
              <w:spacing w:line="240" w:lineRule="auto"/>
              <w:ind w:firstLine="496"/>
            </w:pPr>
          </w:p>
        </w:tc>
        <w:tc>
          <w:tcPr>
            <w:tcW w:w="1275" w:type="dxa"/>
            <w:vAlign w:val="center"/>
          </w:tcPr>
          <w:p>
            <w:pPr>
              <w:rPr>
                <w:sz w:val="24"/>
              </w:rPr>
            </w:pPr>
          </w:p>
        </w:tc>
        <w:tc>
          <w:tcPr>
            <w:tcW w:w="1276" w:type="dxa"/>
            <w:vAlign w:val="center"/>
          </w:tcPr>
          <w:p>
            <w:pPr>
              <w:rPr>
                <w:sz w:val="24"/>
              </w:rPr>
            </w:pPr>
          </w:p>
        </w:tc>
        <w:tc>
          <w:tcPr>
            <w:tcW w:w="1276" w:type="dxa"/>
            <w:vAlign w:val="center"/>
          </w:tcPr>
          <w:p>
            <w:pPr>
              <w:rPr>
                <w:sz w:val="24"/>
              </w:rPr>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668" w:type="dxa"/>
            <w:vMerge w:val="continue"/>
            <w:vAlign w:val="center"/>
          </w:tcPr>
          <w:p>
            <w:pPr>
              <w:ind w:firstLine="496"/>
            </w:pPr>
          </w:p>
        </w:tc>
        <w:tc>
          <w:tcPr>
            <w:tcW w:w="2091" w:type="dxa"/>
            <w:vAlign w:val="center"/>
          </w:tcPr>
          <w:p>
            <w:pPr>
              <w:pStyle w:val="27"/>
              <w:spacing w:line="240" w:lineRule="auto"/>
              <w:ind w:firstLine="496"/>
            </w:pPr>
            <w:r>
              <w:t>数码相机</w:t>
            </w:r>
          </w:p>
        </w:tc>
        <w:tc>
          <w:tcPr>
            <w:tcW w:w="1613" w:type="dxa"/>
            <w:vAlign w:val="center"/>
          </w:tcPr>
          <w:p>
            <w:pPr>
              <w:pStyle w:val="27"/>
              <w:spacing w:line="240" w:lineRule="auto"/>
              <w:ind w:firstLine="496"/>
            </w:pPr>
          </w:p>
        </w:tc>
        <w:tc>
          <w:tcPr>
            <w:tcW w:w="1275" w:type="dxa"/>
            <w:vAlign w:val="center"/>
          </w:tcPr>
          <w:p>
            <w:pPr>
              <w:rPr>
                <w:sz w:val="24"/>
              </w:rPr>
            </w:pPr>
          </w:p>
        </w:tc>
        <w:tc>
          <w:tcPr>
            <w:tcW w:w="1276" w:type="dxa"/>
            <w:vAlign w:val="center"/>
          </w:tcPr>
          <w:p>
            <w:pPr>
              <w:rPr>
                <w:sz w:val="24"/>
              </w:rPr>
            </w:pPr>
          </w:p>
        </w:tc>
        <w:tc>
          <w:tcPr>
            <w:tcW w:w="1276" w:type="dxa"/>
            <w:vAlign w:val="center"/>
          </w:tcPr>
          <w:p>
            <w:pPr>
              <w:rPr>
                <w:sz w:val="24"/>
              </w:rPr>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668" w:type="dxa"/>
            <w:vMerge w:val="continue"/>
            <w:vAlign w:val="center"/>
          </w:tcPr>
          <w:p>
            <w:pPr>
              <w:ind w:firstLine="496"/>
            </w:pPr>
          </w:p>
        </w:tc>
        <w:tc>
          <w:tcPr>
            <w:tcW w:w="2091" w:type="dxa"/>
            <w:vAlign w:val="center"/>
          </w:tcPr>
          <w:p>
            <w:pPr>
              <w:pStyle w:val="27"/>
              <w:spacing w:line="240" w:lineRule="auto"/>
              <w:ind w:firstLine="496"/>
            </w:pPr>
            <w:r>
              <w:t>摄像机</w:t>
            </w:r>
          </w:p>
        </w:tc>
        <w:tc>
          <w:tcPr>
            <w:tcW w:w="1613" w:type="dxa"/>
            <w:vAlign w:val="center"/>
          </w:tcPr>
          <w:p>
            <w:pPr>
              <w:pStyle w:val="27"/>
              <w:spacing w:line="240" w:lineRule="auto"/>
              <w:ind w:firstLine="496"/>
            </w:pPr>
          </w:p>
        </w:tc>
        <w:tc>
          <w:tcPr>
            <w:tcW w:w="1275" w:type="dxa"/>
            <w:vAlign w:val="center"/>
          </w:tcPr>
          <w:p>
            <w:pPr>
              <w:rPr>
                <w:sz w:val="24"/>
              </w:rPr>
            </w:pPr>
          </w:p>
        </w:tc>
        <w:tc>
          <w:tcPr>
            <w:tcW w:w="1276" w:type="dxa"/>
            <w:vAlign w:val="center"/>
          </w:tcPr>
          <w:p>
            <w:pPr>
              <w:rPr>
                <w:sz w:val="24"/>
              </w:rPr>
            </w:pPr>
          </w:p>
        </w:tc>
        <w:tc>
          <w:tcPr>
            <w:tcW w:w="1276" w:type="dxa"/>
            <w:vAlign w:val="center"/>
          </w:tcPr>
          <w:p>
            <w:pPr>
              <w:rPr>
                <w:sz w:val="24"/>
              </w:rPr>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668" w:type="dxa"/>
            <w:vMerge w:val="continue"/>
            <w:vAlign w:val="center"/>
          </w:tcPr>
          <w:p>
            <w:pPr>
              <w:ind w:firstLine="496"/>
            </w:pPr>
          </w:p>
        </w:tc>
        <w:tc>
          <w:tcPr>
            <w:tcW w:w="2091" w:type="dxa"/>
            <w:vAlign w:val="center"/>
          </w:tcPr>
          <w:p>
            <w:pPr>
              <w:pStyle w:val="27"/>
              <w:spacing w:line="240" w:lineRule="auto"/>
              <w:ind w:firstLine="496"/>
            </w:pPr>
            <w:r>
              <w:t>电  脑</w:t>
            </w:r>
          </w:p>
        </w:tc>
        <w:tc>
          <w:tcPr>
            <w:tcW w:w="1613" w:type="dxa"/>
            <w:vAlign w:val="center"/>
          </w:tcPr>
          <w:p>
            <w:pPr>
              <w:pStyle w:val="27"/>
              <w:spacing w:line="240" w:lineRule="auto"/>
              <w:ind w:firstLine="496"/>
            </w:pPr>
          </w:p>
        </w:tc>
        <w:tc>
          <w:tcPr>
            <w:tcW w:w="1275" w:type="dxa"/>
            <w:vAlign w:val="center"/>
          </w:tcPr>
          <w:p>
            <w:pPr>
              <w:rPr>
                <w:sz w:val="24"/>
              </w:rPr>
            </w:pPr>
          </w:p>
        </w:tc>
        <w:tc>
          <w:tcPr>
            <w:tcW w:w="1276" w:type="dxa"/>
            <w:vAlign w:val="center"/>
          </w:tcPr>
          <w:p>
            <w:pPr>
              <w:rPr>
                <w:sz w:val="24"/>
              </w:rPr>
            </w:pPr>
          </w:p>
        </w:tc>
        <w:tc>
          <w:tcPr>
            <w:tcW w:w="1276" w:type="dxa"/>
            <w:vAlign w:val="center"/>
          </w:tcPr>
          <w:p>
            <w:pPr>
              <w:rPr>
                <w:sz w:val="24"/>
              </w:rPr>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668" w:type="dxa"/>
            <w:vMerge w:val="continue"/>
            <w:vAlign w:val="center"/>
          </w:tcPr>
          <w:p>
            <w:pPr>
              <w:ind w:firstLine="496"/>
            </w:pPr>
          </w:p>
        </w:tc>
        <w:tc>
          <w:tcPr>
            <w:tcW w:w="2091" w:type="dxa"/>
            <w:vAlign w:val="center"/>
          </w:tcPr>
          <w:p>
            <w:pPr>
              <w:pStyle w:val="27"/>
              <w:spacing w:line="240" w:lineRule="auto"/>
              <w:ind w:firstLine="496"/>
            </w:pPr>
            <w:r>
              <w:t>……</w:t>
            </w:r>
          </w:p>
        </w:tc>
        <w:tc>
          <w:tcPr>
            <w:tcW w:w="1613" w:type="dxa"/>
            <w:vAlign w:val="center"/>
          </w:tcPr>
          <w:p>
            <w:pPr>
              <w:pStyle w:val="27"/>
              <w:spacing w:line="240" w:lineRule="auto"/>
              <w:ind w:firstLine="496"/>
            </w:pPr>
          </w:p>
        </w:tc>
        <w:tc>
          <w:tcPr>
            <w:tcW w:w="1275" w:type="dxa"/>
            <w:vAlign w:val="center"/>
          </w:tcPr>
          <w:p>
            <w:pPr>
              <w:ind w:firstLine="496"/>
            </w:pPr>
          </w:p>
        </w:tc>
        <w:tc>
          <w:tcPr>
            <w:tcW w:w="1276" w:type="dxa"/>
            <w:vAlign w:val="center"/>
          </w:tcPr>
          <w:p>
            <w:pPr>
              <w:ind w:firstLine="496"/>
            </w:pPr>
          </w:p>
        </w:tc>
        <w:tc>
          <w:tcPr>
            <w:tcW w:w="1276" w:type="dxa"/>
            <w:vAlign w:val="center"/>
          </w:tcPr>
          <w:p>
            <w:pPr>
              <w:ind w:firstLine="496"/>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668" w:type="dxa"/>
            <w:vMerge w:val="restart"/>
            <w:vAlign w:val="center"/>
          </w:tcPr>
          <w:p>
            <w:r>
              <w:t>检测设备</w:t>
            </w:r>
          </w:p>
        </w:tc>
        <w:tc>
          <w:tcPr>
            <w:tcW w:w="2091" w:type="dxa"/>
            <w:vAlign w:val="center"/>
          </w:tcPr>
          <w:p>
            <w:pPr>
              <w:pStyle w:val="27"/>
              <w:spacing w:line="240" w:lineRule="auto"/>
              <w:ind w:firstLine="496"/>
            </w:pPr>
            <w:r>
              <w:t>水准仪</w:t>
            </w:r>
          </w:p>
        </w:tc>
        <w:tc>
          <w:tcPr>
            <w:tcW w:w="1613" w:type="dxa"/>
            <w:vAlign w:val="center"/>
          </w:tcPr>
          <w:p>
            <w:pPr>
              <w:pStyle w:val="27"/>
              <w:spacing w:line="240" w:lineRule="auto"/>
              <w:ind w:firstLine="496"/>
            </w:pPr>
          </w:p>
        </w:tc>
        <w:tc>
          <w:tcPr>
            <w:tcW w:w="1275" w:type="dxa"/>
            <w:vAlign w:val="center"/>
          </w:tcPr>
          <w:p>
            <w:pPr>
              <w:rPr>
                <w:sz w:val="24"/>
              </w:rPr>
            </w:pPr>
          </w:p>
        </w:tc>
        <w:tc>
          <w:tcPr>
            <w:tcW w:w="1276" w:type="dxa"/>
            <w:vAlign w:val="center"/>
          </w:tcPr>
          <w:p>
            <w:pPr>
              <w:rPr>
                <w:sz w:val="24"/>
              </w:rPr>
            </w:pPr>
          </w:p>
        </w:tc>
        <w:tc>
          <w:tcPr>
            <w:tcW w:w="1276" w:type="dxa"/>
            <w:vAlign w:val="center"/>
          </w:tcPr>
          <w:p>
            <w:pPr>
              <w:rPr>
                <w:sz w:val="24"/>
              </w:rPr>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668" w:type="dxa"/>
            <w:vMerge w:val="continue"/>
            <w:vAlign w:val="center"/>
          </w:tcPr>
          <w:p>
            <w:pPr>
              <w:ind w:firstLine="496"/>
            </w:pPr>
          </w:p>
        </w:tc>
        <w:tc>
          <w:tcPr>
            <w:tcW w:w="2091" w:type="dxa"/>
            <w:vAlign w:val="center"/>
          </w:tcPr>
          <w:p>
            <w:pPr>
              <w:pStyle w:val="27"/>
              <w:spacing w:line="240" w:lineRule="auto"/>
              <w:ind w:firstLine="496"/>
            </w:pPr>
            <w:r>
              <w:t>经纬仪</w:t>
            </w:r>
          </w:p>
        </w:tc>
        <w:tc>
          <w:tcPr>
            <w:tcW w:w="1613" w:type="dxa"/>
            <w:vAlign w:val="center"/>
          </w:tcPr>
          <w:p>
            <w:pPr>
              <w:pStyle w:val="27"/>
              <w:spacing w:line="240" w:lineRule="auto"/>
              <w:ind w:firstLine="496"/>
            </w:pPr>
          </w:p>
        </w:tc>
        <w:tc>
          <w:tcPr>
            <w:tcW w:w="1275" w:type="dxa"/>
            <w:vAlign w:val="center"/>
          </w:tcPr>
          <w:p>
            <w:pPr>
              <w:rPr>
                <w:sz w:val="24"/>
              </w:rPr>
            </w:pPr>
          </w:p>
        </w:tc>
        <w:tc>
          <w:tcPr>
            <w:tcW w:w="1276" w:type="dxa"/>
            <w:vAlign w:val="center"/>
          </w:tcPr>
          <w:p>
            <w:pPr>
              <w:rPr>
                <w:sz w:val="24"/>
              </w:rPr>
            </w:pPr>
          </w:p>
        </w:tc>
        <w:tc>
          <w:tcPr>
            <w:tcW w:w="1276" w:type="dxa"/>
            <w:vAlign w:val="center"/>
          </w:tcPr>
          <w:p>
            <w:pPr>
              <w:rPr>
                <w:sz w:val="24"/>
              </w:rPr>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668" w:type="dxa"/>
            <w:vMerge w:val="continue"/>
            <w:vAlign w:val="center"/>
          </w:tcPr>
          <w:p>
            <w:pPr>
              <w:ind w:firstLine="496"/>
            </w:pPr>
          </w:p>
        </w:tc>
        <w:tc>
          <w:tcPr>
            <w:tcW w:w="2091" w:type="dxa"/>
            <w:vAlign w:val="center"/>
          </w:tcPr>
          <w:p>
            <w:pPr>
              <w:pStyle w:val="27"/>
              <w:spacing w:line="240" w:lineRule="auto"/>
              <w:ind w:firstLine="496"/>
            </w:pPr>
            <w:r>
              <w:t>全站仪</w:t>
            </w:r>
          </w:p>
        </w:tc>
        <w:tc>
          <w:tcPr>
            <w:tcW w:w="1613" w:type="dxa"/>
            <w:vAlign w:val="center"/>
          </w:tcPr>
          <w:p>
            <w:pPr>
              <w:pStyle w:val="27"/>
              <w:spacing w:line="240" w:lineRule="auto"/>
              <w:ind w:firstLine="496"/>
            </w:pPr>
          </w:p>
        </w:tc>
        <w:tc>
          <w:tcPr>
            <w:tcW w:w="1275" w:type="dxa"/>
            <w:vAlign w:val="center"/>
          </w:tcPr>
          <w:p>
            <w:pPr>
              <w:rPr>
                <w:sz w:val="24"/>
              </w:rPr>
            </w:pPr>
          </w:p>
        </w:tc>
        <w:tc>
          <w:tcPr>
            <w:tcW w:w="1276" w:type="dxa"/>
            <w:vAlign w:val="center"/>
          </w:tcPr>
          <w:p>
            <w:pPr>
              <w:rPr>
                <w:sz w:val="24"/>
              </w:rPr>
            </w:pPr>
          </w:p>
        </w:tc>
        <w:tc>
          <w:tcPr>
            <w:tcW w:w="1276" w:type="dxa"/>
            <w:vAlign w:val="center"/>
          </w:tcPr>
          <w:p>
            <w:pPr>
              <w:rPr>
                <w:sz w:val="24"/>
              </w:rPr>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668" w:type="dxa"/>
            <w:vMerge w:val="continue"/>
            <w:vAlign w:val="center"/>
          </w:tcPr>
          <w:p>
            <w:pPr>
              <w:ind w:firstLine="496"/>
            </w:pPr>
          </w:p>
        </w:tc>
        <w:tc>
          <w:tcPr>
            <w:tcW w:w="2091" w:type="dxa"/>
            <w:vAlign w:val="center"/>
          </w:tcPr>
          <w:p>
            <w:pPr>
              <w:pStyle w:val="27"/>
              <w:spacing w:line="240" w:lineRule="auto"/>
              <w:ind w:firstLine="496"/>
            </w:pPr>
            <w:r>
              <w:t>30米钢卷尺</w:t>
            </w:r>
          </w:p>
        </w:tc>
        <w:tc>
          <w:tcPr>
            <w:tcW w:w="1613" w:type="dxa"/>
            <w:vAlign w:val="center"/>
          </w:tcPr>
          <w:p>
            <w:pPr>
              <w:pStyle w:val="27"/>
              <w:spacing w:line="240" w:lineRule="auto"/>
              <w:ind w:firstLine="496"/>
            </w:pPr>
          </w:p>
        </w:tc>
        <w:tc>
          <w:tcPr>
            <w:tcW w:w="1275" w:type="dxa"/>
            <w:vAlign w:val="center"/>
          </w:tcPr>
          <w:p>
            <w:pPr>
              <w:rPr>
                <w:sz w:val="24"/>
              </w:rPr>
            </w:pPr>
          </w:p>
        </w:tc>
        <w:tc>
          <w:tcPr>
            <w:tcW w:w="1276" w:type="dxa"/>
            <w:vAlign w:val="center"/>
          </w:tcPr>
          <w:p>
            <w:pPr>
              <w:rPr>
                <w:sz w:val="24"/>
              </w:rPr>
            </w:pPr>
          </w:p>
        </w:tc>
        <w:tc>
          <w:tcPr>
            <w:tcW w:w="1276" w:type="dxa"/>
            <w:vAlign w:val="center"/>
          </w:tcPr>
          <w:p>
            <w:pPr>
              <w:rPr>
                <w:sz w:val="24"/>
              </w:rPr>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668" w:type="dxa"/>
            <w:vMerge w:val="continue"/>
            <w:vAlign w:val="center"/>
          </w:tcPr>
          <w:p>
            <w:pPr>
              <w:ind w:firstLine="496"/>
            </w:pPr>
          </w:p>
        </w:tc>
        <w:tc>
          <w:tcPr>
            <w:tcW w:w="2091" w:type="dxa"/>
            <w:vAlign w:val="center"/>
          </w:tcPr>
          <w:p>
            <w:pPr>
              <w:pStyle w:val="27"/>
              <w:spacing w:line="240" w:lineRule="auto"/>
              <w:ind w:firstLine="496"/>
            </w:pPr>
            <w:r>
              <w:t>5米钢卷尺</w:t>
            </w:r>
          </w:p>
        </w:tc>
        <w:tc>
          <w:tcPr>
            <w:tcW w:w="1613" w:type="dxa"/>
            <w:vAlign w:val="center"/>
          </w:tcPr>
          <w:p>
            <w:pPr>
              <w:pStyle w:val="27"/>
              <w:spacing w:line="240" w:lineRule="auto"/>
              <w:ind w:firstLine="496"/>
            </w:pPr>
          </w:p>
        </w:tc>
        <w:tc>
          <w:tcPr>
            <w:tcW w:w="1275" w:type="dxa"/>
            <w:vAlign w:val="center"/>
          </w:tcPr>
          <w:p>
            <w:pPr>
              <w:rPr>
                <w:sz w:val="24"/>
              </w:rPr>
            </w:pPr>
          </w:p>
        </w:tc>
        <w:tc>
          <w:tcPr>
            <w:tcW w:w="1276" w:type="dxa"/>
            <w:vAlign w:val="center"/>
          </w:tcPr>
          <w:p>
            <w:pPr>
              <w:rPr>
                <w:sz w:val="24"/>
              </w:rPr>
            </w:pPr>
          </w:p>
        </w:tc>
        <w:tc>
          <w:tcPr>
            <w:tcW w:w="1276" w:type="dxa"/>
            <w:vAlign w:val="center"/>
          </w:tcPr>
          <w:p>
            <w:pPr>
              <w:rPr>
                <w:sz w:val="24"/>
              </w:rPr>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668" w:type="dxa"/>
            <w:vMerge w:val="continue"/>
            <w:vAlign w:val="center"/>
          </w:tcPr>
          <w:p>
            <w:pPr>
              <w:ind w:firstLine="496"/>
            </w:pPr>
          </w:p>
        </w:tc>
        <w:tc>
          <w:tcPr>
            <w:tcW w:w="2091" w:type="dxa"/>
            <w:vAlign w:val="center"/>
          </w:tcPr>
          <w:p>
            <w:pPr>
              <w:pStyle w:val="27"/>
              <w:spacing w:line="240" w:lineRule="auto"/>
              <w:ind w:firstLine="496"/>
            </w:pPr>
            <w:r>
              <w:t>……</w:t>
            </w:r>
          </w:p>
        </w:tc>
        <w:tc>
          <w:tcPr>
            <w:tcW w:w="1613" w:type="dxa"/>
            <w:vAlign w:val="center"/>
          </w:tcPr>
          <w:p>
            <w:pPr>
              <w:pStyle w:val="27"/>
              <w:spacing w:line="240" w:lineRule="auto"/>
              <w:ind w:firstLine="496"/>
            </w:pPr>
          </w:p>
        </w:tc>
        <w:tc>
          <w:tcPr>
            <w:tcW w:w="1275" w:type="dxa"/>
            <w:vAlign w:val="center"/>
          </w:tcPr>
          <w:p>
            <w:pPr>
              <w:ind w:firstLine="496"/>
            </w:pPr>
          </w:p>
        </w:tc>
        <w:tc>
          <w:tcPr>
            <w:tcW w:w="1276" w:type="dxa"/>
            <w:vAlign w:val="center"/>
          </w:tcPr>
          <w:p>
            <w:pPr>
              <w:ind w:firstLine="496"/>
            </w:pPr>
          </w:p>
        </w:tc>
        <w:tc>
          <w:tcPr>
            <w:tcW w:w="1276" w:type="dxa"/>
            <w:vAlign w:val="center"/>
          </w:tcPr>
          <w:p>
            <w:pPr>
              <w:ind w:firstLine="496"/>
            </w:pPr>
          </w:p>
        </w:tc>
        <w:tc>
          <w:tcPr>
            <w:tcW w:w="1134" w:type="dxa"/>
            <w:vAlign w:val="center"/>
          </w:tcPr>
          <w:p>
            <w:pPr>
              <w:ind w:firstLine="496"/>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6" w:hRule="atLeast"/>
        </w:trPr>
        <w:tc>
          <w:tcPr>
            <w:tcW w:w="2759" w:type="dxa"/>
            <w:gridSpan w:val="2"/>
            <w:vAlign w:val="center"/>
          </w:tcPr>
          <w:p>
            <w:pPr>
              <w:pStyle w:val="27"/>
              <w:spacing w:line="240" w:lineRule="auto"/>
              <w:ind w:firstLine="496"/>
            </w:pPr>
            <w:r>
              <w:t>交通工具（汽车）</w:t>
            </w:r>
          </w:p>
        </w:tc>
        <w:tc>
          <w:tcPr>
            <w:tcW w:w="1613" w:type="dxa"/>
            <w:vAlign w:val="center"/>
          </w:tcPr>
          <w:p>
            <w:pPr>
              <w:pStyle w:val="27"/>
              <w:spacing w:line="240" w:lineRule="auto"/>
              <w:ind w:firstLine="0" w:firstLineChars="0"/>
            </w:pPr>
          </w:p>
        </w:tc>
        <w:tc>
          <w:tcPr>
            <w:tcW w:w="1275" w:type="dxa"/>
            <w:vAlign w:val="center"/>
          </w:tcPr>
          <w:p>
            <w:pPr>
              <w:pStyle w:val="27"/>
              <w:spacing w:line="240" w:lineRule="auto"/>
              <w:ind w:firstLine="0" w:firstLineChars="0"/>
            </w:pPr>
          </w:p>
        </w:tc>
        <w:tc>
          <w:tcPr>
            <w:tcW w:w="1276" w:type="dxa"/>
            <w:vAlign w:val="center"/>
          </w:tcPr>
          <w:p>
            <w:pPr>
              <w:pStyle w:val="27"/>
              <w:spacing w:line="240" w:lineRule="auto"/>
              <w:ind w:firstLine="496"/>
            </w:pPr>
          </w:p>
        </w:tc>
        <w:tc>
          <w:tcPr>
            <w:tcW w:w="1276" w:type="dxa"/>
            <w:vAlign w:val="center"/>
          </w:tcPr>
          <w:p>
            <w:pPr>
              <w:pStyle w:val="27"/>
              <w:spacing w:line="240" w:lineRule="auto"/>
              <w:ind w:firstLine="0" w:firstLineChars="0"/>
            </w:pPr>
          </w:p>
        </w:tc>
        <w:tc>
          <w:tcPr>
            <w:tcW w:w="1134" w:type="dxa"/>
            <w:vAlign w:val="center"/>
          </w:tcPr>
          <w:p>
            <w:pPr>
              <w:pStyle w:val="27"/>
              <w:spacing w:line="240" w:lineRule="auto"/>
              <w:ind w:firstLine="496"/>
            </w:pPr>
          </w:p>
        </w:tc>
      </w:tr>
    </w:tbl>
    <w:p>
      <w:pPr>
        <w:pStyle w:val="27"/>
        <w:ind w:firstLine="0" w:firstLineChars="0"/>
      </w:pPr>
    </w:p>
    <w:p>
      <w:pPr>
        <w:widowControl/>
        <w:jc w:val="left"/>
        <w:rPr>
          <w:snapToGrid w:val="0"/>
          <w:spacing w:val="4"/>
          <w:kern w:val="0"/>
          <w:sz w:val="24"/>
        </w:rPr>
      </w:pPr>
      <w:r>
        <w:br w:type="page"/>
      </w:r>
    </w:p>
    <w:p>
      <w:pPr>
        <w:widowControl/>
        <w:jc w:val="left"/>
        <w:rPr>
          <w:rFonts w:ascii="宋体" w:hAnsi="宋体"/>
          <w:b/>
          <w:szCs w:val="21"/>
        </w:rPr>
      </w:pPr>
      <w:bookmarkStart w:id="14" w:name="_Toc313869541"/>
      <w:r>
        <w:rPr>
          <w:rFonts w:ascii="宋体" w:hAnsi="宋体"/>
          <w:b/>
          <w:szCs w:val="21"/>
        </w:rPr>
        <w:t>附件5：承包人承诺书</w:t>
      </w:r>
    </w:p>
    <w:p>
      <w:pPr>
        <w:widowControl/>
        <w:jc w:val="left"/>
        <w:rPr>
          <w:b/>
          <w:sz w:val="24"/>
        </w:rPr>
      </w:pPr>
    </w:p>
    <w:p>
      <w:pPr>
        <w:widowControl/>
        <w:spacing w:line="360" w:lineRule="auto"/>
        <w:jc w:val="center"/>
        <w:rPr>
          <w:b/>
          <w:sz w:val="44"/>
          <w:szCs w:val="44"/>
        </w:rPr>
      </w:pPr>
      <w:r>
        <w:rPr>
          <w:b/>
          <w:sz w:val="44"/>
          <w:szCs w:val="44"/>
        </w:rPr>
        <w:t>监理服务承诺书</w:t>
      </w:r>
    </w:p>
    <w:p>
      <w:pPr>
        <w:widowControl/>
        <w:spacing w:line="360" w:lineRule="auto"/>
        <w:jc w:val="left"/>
        <w:rPr>
          <w:b/>
          <w:sz w:val="28"/>
          <w:szCs w:val="28"/>
        </w:rPr>
      </w:pPr>
      <w:r>
        <w:rPr>
          <w:b/>
          <w:sz w:val="28"/>
          <w:szCs w:val="28"/>
        </w:rPr>
        <w:t>致：广州市花都区公共建设项目管理中心</w:t>
      </w:r>
    </w:p>
    <w:p>
      <w:pPr>
        <w:widowControl/>
        <w:spacing w:line="360" w:lineRule="auto"/>
        <w:jc w:val="left"/>
        <w:rPr>
          <w:sz w:val="28"/>
          <w:szCs w:val="28"/>
        </w:rPr>
      </w:pPr>
      <w:r>
        <w:rPr>
          <w:sz w:val="28"/>
          <w:szCs w:val="28"/>
        </w:rPr>
        <w:t xml:space="preserve">    一旦我方中标，我方愿意做出如下承诺：</w:t>
      </w:r>
    </w:p>
    <w:p>
      <w:pPr>
        <w:widowControl/>
        <w:spacing w:line="360" w:lineRule="auto"/>
        <w:jc w:val="left"/>
        <w:rPr>
          <w:sz w:val="28"/>
          <w:szCs w:val="28"/>
        </w:rPr>
      </w:pPr>
      <w:r>
        <w:rPr>
          <w:sz w:val="28"/>
          <w:szCs w:val="28"/>
        </w:rPr>
        <w:t xml:space="preserve">    我方同意投标文件自投标人须知规定的投标截止日期开始对我方有约束力，并自投标人须知的投标有效截止日期前一直对我方有约束力且随时可能按此投标文件中标。</w:t>
      </w:r>
    </w:p>
    <w:p>
      <w:pPr>
        <w:widowControl/>
        <w:spacing w:line="360" w:lineRule="auto"/>
        <w:jc w:val="left"/>
        <w:rPr>
          <w:sz w:val="28"/>
          <w:szCs w:val="28"/>
        </w:rPr>
      </w:pPr>
      <w:r>
        <w:rPr>
          <w:sz w:val="28"/>
          <w:szCs w:val="28"/>
        </w:rPr>
        <w:t xml:space="preserve">    如果我方投标文件中存在计算或表达错误的，我方理解并接受评标委员会按照招标文件规定的原则进行修正，这种修正对我方具有约束力，且不需要我方确认。</w:t>
      </w:r>
    </w:p>
    <w:p>
      <w:pPr>
        <w:widowControl/>
        <w:spacing w:line="360" w:lineRule="auto"/>
        <w:jc w:val="left"/>
        <w:rPr>
          <w:sz w:val="28"/>
          <w:szCs w:val="28"/>
        </w:rPr>
      </w:pPr>
      <w:r>
        <w:rPr>
          <w:sz w:val="28"/>
          <w:szCs w:val="28"/>
        </w:rPr>
        <w:t xml:space="preserve">    在签署合同协议书之前，你方的中标通知书和本投标承诺书及监理服务报价表格将构成约束我们双方的契约。</w:t>
      </w:r>
    </w:p>
    <w:p>
      <w:pPr>
        <w:widowControl/>
        <w:spacing w:line="360" w:lineRule="auto"/>
        <w:jc w:val="left"/>
        <w:rPr>
          <w:sz w:val="28"/>
          <w:szCs w:val="28"/>
        </w:rPr>
      </w:pPr>
      <w:r>
        <w:rPr>
          <w:sz w:val="28"/>
          <w:szCs w:val="28"/>
        </w:rPr>
        <w:t xml:space="preserve">    招标人可以根据现场实际情况要求中标人调增人员，中标人应执行并不予调整监理酬金。</w:t>
      </w:r>
    </w:p>
    <w:p>
      <w:pPr>
        <w:widowControl/>
        <w:spacing w:line="360" w:lineRule="auto"/>
        <w:jc w:val="left"/>
        <w:rPr>
          <w:sz w:val="28"/>
          <w:szCs w:val="28"/>
        </w:rPr>
      </w:pPr>
      <w:r>
        <w:rPr>
          <w:sz w:val="28"/>
          <w:szCs w:val="28"/>
        </w:rPr>
        <w:t xml:space="preserve">    若未能实现上述承诺，在收到招标人书面通知后，不挑剔、不争辩，也不要求招标人出具证明，3天内整改并征得招标人批复同意，否则将自愿清退出场，并为此负法律责任。</w:t>
      </w:r>
    </w:p>
    <w:p>
      <w:pPr>
        <w:widowControl/>
        <w:spacing w:line="360" w:lineRule="auto"/>
        <w:jc w:val="left"/>
        <w:rPr>
          <w:sz w:val="28"/>
          <w:szCs w:val="28"/>
        </w:rPr>
      </w:pPr>
    </w:p>
    <w:p>
      <w:pPr>
        <w:widowControl/>
        <w:spacing w:line="360" w:lineRule="auto"/>
        <w:jc w:val="left"/>
        <w:rPr>
          <w:sz w:val="28"/>
          <w:szCs w:val="28"/>
        </w:rPr>
      </w:pPr>
    </w:p>
    <w:p>
      <w:pPr>
        <w:widowControl/>
        <w:spacing w:line="360" w:lineRule="auto"/>
        <w:jc w:val="left"/>
        <w:rPr>
          <w:sz w:val="28"/>
          <w:szCs w:val="28"/>
        </w:rPr>
      </w:pPr>
      <w:r>
        <w:rPr>
          <w:sz w:val="28"/>
          <w:szCs w:val="28"/>
        </w:rPr>
        <w:t xml:space="preserve">                              投标人：（盖公章）</w:t>
      </w:r>
    </w:p>
    <w:p>
      <w:pPr>
        <w:widowControl/>
        <w:spacing w:line="360" w:lineRule="auto"/>
        <w:jc w:val="left"/>
        <w:rPr>
          <w:sz w:val="28"/>
          <w:szCs w:val="28"/>
        </w:rPr>
      </w:pPr>
      <w:r>
        <w:rPr>
          <w:sz w:val="28"/>
          <w:szCs w:val="28"/>
        </w:rPr>
        <w:t xml:space="preserve">                              授权发包人：（签字或盖章）</w:t>
      </w:r>
    </w:p>
    <w:p>
      <w:pPr>
        <w:widowControl/>
        <w:spacing w:line="360" w:lineRule="auto"/>
        <w:jc w:val="left"/>
        <w:rPr>
          <w:sz w:val="28"/>
          <w:szCs w:val="28"/>
        </w:rPr>
      </w:pPr>
      <w:r>
        <w:rPr>
          <w:sz w:val="28"/>
          <w:szCs w:val="28"/>
        </w:rPr>
        <w:t xml:space="preserve">                              日期：</w:t>
      </w:r>
    </w:p>
    <w:p>
      <w:pPr>
        <w:widowControl/>
        <w:spacing w:line="360" w:lineRule="auto"/>
        <w:jc w:val="left"/>
        <w:rPr>
          <w:sz w:val="28"/>
          <w:szCs w:val="28"/>
        </w:rPr>
      </w:pPr>
      <w:r>
        <w:rPr>
          <w:sz w:val="28"/>
          <w:szCs w:val="28"/>
        </w:rPr>
        <w:t xml:space="preserve">                              电话：</w:t>
      </w:r>
    </w:p>
    <w:p>
      <w:pPr>
        <w:widowControl/>
        <w:spacing w:line="360" w:lineRule="auto"/>
        <w:jc w:val="left"/>
        <w:rPr>
          <w:rFonts w:ascii="宋体" w:hAnsi="宋体"/>
          <w:b/>
          <w:bCs/>
          <w:sz w:val="44"/>
          <w:szCs w:val="44"/>
        </w:rPr>
      </w:pPr>
      <w:r>
        <w:rPr>
          <w:sz w:val="28"/>
          <w:szCs w:val="28"/>
        </w:rPr>
        <w:br w:type="page"/>
      </w:r>
      <w:r>
        <w:rPr>
          <w:rFonts w:ascii="宋体" w:hAnsi="宋体"/>
          <w:b/>
          <w:bCs/>
          <w:snapToGrid w:val="0"/>
        </w:rPr>
        <w:t>附件6：承包人履约银行保函</w:t>
      </w:r>
      <w:bookmarkEnd w:id="14"/>
    </w:p>
    <w:p>
      <w:pPr>
        <w:pStyle w:val="26"/>
        <w:rPr>
          <w:rFonts w:eastAsia="宋体"/>
        </w:rPr>
      </w:pPr>
    </w:p>
    <w:p>
      <w:pPr>
        <w:adjustRightInd w:val="0"/>
        <w:snapToGrid w:val="0"/>
        <w:spacing w:line="360" w:lineRule="auto"/>
        <w:jc w:val="center"/>
        <w:rPr>
          <w:b/>
          <w:snapToGrid w:val="0"/>
          <w:kern w:val="0"/>
          <w:sz w:val="44"/>
          <w:szCs w:val="44"/>
        </w:rPr>
      </w:pPr>
    </w:p>
    <w:p>
      <w:pPr>
        <w:adjustRightInd w:val="0"/>
        <w:snapToGrid w:val="0"/>
        <w:spacing w:line="360" w:lineRule="auto"/>
        <w:jc w:val="center"/>
        <w:rPr>
          <w:b/>
          <w:snapToGrid w:val="0"/>
          <w:kern w:val="0"/>
          <w:sz w:val="44"/>
          <w:szCs w:val="44"/>
        </w:rPr>
      </w:pPr>
    </w:p>
    <w:p>
      <w:pPr>
        <w:adjustRightInd w:val="0"/>
        <w:snapToGrid w:val="0"/>
        <w:spacing w:line="360" w:lineRule="auto"/>
        <w:rPr>
          <w:b/>
          <w:snapToGrid w:val="0"/>
          <w:kern w:val="0"/>
          <w:sz w:val="44"/>
          <w:szCs w:val="44"/>
        </w:rPr>
      </w:pPr>
    </w:p>
    <w:p>
      <w:pPr>
        <w:widowControl/>
        <w:jc w:val="left"/>
      </w:pPr>
      <w:bookmarkStart w:id="15" w:name="_Toc313869543"/>
    </w:p>
    <w:p>
      <w:pPr>
        <w:rPr>
          <w:rFonts w:ascii="宋体" w:hAnsi="宋体"/>
          <w:b/>
          <w:szCs w:val="21"/>
        </w:rPr>
      </w:pPr>
      <w:r>
        <w:rPr>
          <w:b/>
          <w:sz w:val="24"/>
        </w:rPr>
        <w:br w:type="page"/>
      </w:r>
      <w:r>
        <w:rPr>
          <w:rFonts w:ascii="宋体" w:hAnsi="宋体"/>
          <w:b/>
          <w:szCs w:val="21"/>
        </w:rPr>
        <w:t>附件7：监理单位安全生产管理目标责任书</w:t>
      </w:r>
    </w:p>
    <w:p>
      <w:pPr>
        <w:rPr>
          <w:sz w:val="48"/>
          <w:szCs w:val="48"/>
        </w:rPr>
      </w:pPr>
    </w:p>
    <w:p>
      <w:pPr>
        <w:jc w:val="center"/>
        <w:rPr>
          <w:sz w:val="48"/>
          <w:szCs w:val="48"/>
        </w:rPr>
      </w:pPr>
    </w:p>
    <w:p>
      <w:pPr>
        <w:jc w:val="center"/>
        <w:rPr>
          <w:sz w:val="48"/>
          <w:szCs w:val="48"/>
        </w:rPr>
      </w:pPr>
    </w:p>
    <w:p>
      <w:pPr>
        <w:jc w:val="center"/>
        <w:rPr>
          <w:b/>
          <w:sz w:val="72"/>
          <w:szCs w:val="72"/>
        </w:rPr>
      </w:pPr>
      <w:r>
        <w:rPr>
          <w:b/>
          <w:sz w:val="72"/>
          <w:szCs w:val="72"/>
        </w:rPr>
        <w:t>安全生产管理目标责任书</w:t>
      </w:r>
    </w:p>
    <w:p/>
    <w:p/>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b/>
          <w:bCs/>
          <w:sz w:val="36"/>
          <w:szCs w:val="36"/>
        </w:rPr>
      </w:pPr>
    </w:p>
    <w:p>
      <w:pPr>
        <w:ind w:firstLine="1285" w:firstLineChars="400"/>
        <w:rPr>
          <w:b/>
          <w:bCs/>
          <w:sz w:val="36"/>
          <w:szCs w:val="36"/>
        </w:rPr>
      </w:pPr>
      <w:r>
        <w:rPr>
          <w:b/>
          <w:bCs/>
          <w:sz w:val="32"/>
          <w:szCs w:val="32"/>
        </w:rPr>
        <w:t>项目名称：</w:t>
      </w:r>
      <w:r>
        <w:rPr>
          <w:rFonts w:hint="eastAsia"/>
          <w:b/>
          <w:bCs/>
          <w:sz w:val="32"/>
          <w:szCs w:val="32"/>
          <w:u w:val="single"/>
        </w:rPr>
        <w:t>花都区中轴线学校建设项目</w:t>
      </w:r>
    </w:p>
    <w:p>
      <w:pPr>
        <w:ind w:left="1449" w:leftChars="676" w:hanging="29" w:hangingChars="8"/>
        <w:rPr>
          <w:b/>
          <w:bCs/>
          <w:sz w:val="36"/>
          <w:szCs w:val="36"/>
        </w:rPr>
      </w:pPr>
    </w:p>
    <w:p>
      <w:pPr>
        <w:ind w:left="1446" w:leftChars="676" w:hanging="26" w:hangingChars="8"/>
        <w:rPr>
          <w:rFonts w:ascii="宋体" w:hAnsi="宋体"/>
          <w:b/>
          <w:bCs/>
          <w:sz w:val="32"/>
          <w:szCs w:val="32"/>
          <w:u w:val="single"/>
        </w:rPr>
      </w:pPr>
      <w:r>
        <w:rPr>
          <w:b/>
          <w:bCs/>
          <w:sz w:val="32"/>
          <w:szCs w:val="32"/>
        </w:rPr>
        <w:t>监理单位：</w:t>
      </w:r>
      <w:r>
        <w:rPr>
          <w:rFonts w:ascii="宋体" w:hAnsi="宋体"/>
          <w:b/>
          <w:bCs/>
          <w:sz w:val="32"/>
          <w:szCs w:val="32"/>
          <w:u w:val="single"/>
        </w:rPr>
        <w:t xml:space="preserve">                           </w:t>
      </w:r>
    </w:p>
    <w:p>
      <w:pPr>
        <w:ind w:left="1446" w:leftChars="676" w:hanging="26" w:hangingChars="8"/>
        <w:rPr>
          <w:rFonts w:ascii="宋体" w:hAnsi="宋体"/>
          <w:b/>
          <w:bCs/>
          <w:sz w:val="32"/>
          <w:szCs w:val="32"/>
          <w:u w:val="single"/>
        </w:rPr>
      </w:pPr>
    </w:p>
    <w:p>
      <w:pPr>
        <w:ind w:left="1446" w:leftChars="676" w:hanging="26" w:hangingChars="8"/>
        <w:rPr>
          <w:b/>
          <w:bCs/>
          <w:sz w:val="32"/>
          <w:szCs w:val="32"/>
        </w:rPr>
      </w:pPr>
    </w:p>
    <w:p>
      <w:pPr>
        <w:ind w:left="1446" w:leftChars="676" w:hanging="26" w:hangingChars="8"/>
        <w:rPr>
          <w:b/>
          <w:bCs/>
          <w:sz w:val="32"/>
          <w:szCs w:val="32"/>
        </w:rPr>
      </w:pPr>
    </w:p>
    <w:p>
      <w:pPr>
        <w:ind w:left="1446" w:leftChars="676" w:hanging="26" w:hangingChars="8"/>
        <w:rPr>
          <w:b/>
          <w:bCs/>
          <w:sz w:val="32"/>
          <w:szCs w:val="32"/>
        </w:rPr>
      </w:pPr>
    </w:p>
    <w:p>
      <w:pPr>
        <w:ind w:left="1446" w:leftChars="676" w:hanging="26" w:hangingChars="8"/>
        <w:rPr>
          <w:b/>
          <w:bCs/>
          <w:sz w:val="32"/>
          <w:szCs w:val="32"/>
        </w:rPr>
      </w:pPr>
    </w:p>
    <w:p>
      <w:pPr>
        <w:ind w:left="1446" w:leftChars="676" w:hanging="26" w:hangingChars="8"/>
        <w:rPr>
          <w:b/>
          <w:bCs/>
          <w:sz w:val="32"/>
          <w:szCs w:val="32"/>
        </w:rPr>
      </w:pPr>
    </w:p>
    <w:p>
      <w:pPr>
        <w:widowControl/>
        <w:jc w:val="left"/>
        <w:rPr>
          <w:b/>
          <w:bCs/>
          <w:sz w:val="32"/>
          <w:szCs w:val="32"/>
        </w:rPr>
      </w:pPr>
      <w:r>
        <w:rPr>
          <w:b/>
          <w:bCs/>
          <w:sz w:val="32"/>
          <w:szCs w:val="32"/>
        </w:rPr>
        <w:br w:type="page"/>
      </w:r>
    </w:p>
    <w:p>
      <w:pPr>
        <w:ind w:left="1" w:leftChars="-16" w:hanging="35" w:hangingChars="8"/>
        <w:jc w:val="center"/>
        <w:rPr>
          <w:b/>
          <w:sz w:val="44"/>
          <w:szCs w:val="44"/>
        </w:rPr>
      </w:pPr>
      <w:r>
        <w:rPr>
          <w:b/>
          <w:sz w:val="44"/>
          <w:szCs w:val="44"/>
        </w:rPr>
        <w:t>单位安全生产管理目标责任书</w:t>
      </w:r>
    </w:p>
    <w:p>
      <w:pPr>
        <w:ind w:firstLine="480" w:firstLineChars="200"/>
        <w:rPr>
          <w:sz w:val="24"/>
        </w:rPr>
      </w:pPr>
    </w:p>
    <w:p>
      <w:pPr>
        <w:spacing w:line="420" w:lineRule="exact"/>
        <w:ind w:firstLine="480" w:firstLineChars="200"/>
        <w:rPr>
          <w:sz w:val="24"/>
        </w:rPr>
      </w:pPr>
      <w:r>
        <w:rPr>
          <w:sz w:val="24"/>
        </w:rPr>
        <w:t>为保证本工程安全责任目标的实现，建立安全生产目标责任考核机制，必须与监理单位签订安全生产责任书的要求，特签订本责任书。</w:t>
      </w:r>
    </w:p>
    <w:p>
      <w:pPr>
        <w:spacing w:line="420" w:lineRule="exact"/>
        <w:ind w:firstLine="444" w:firstLineChars="185"/>
        <w:rPr>
          <w:sz w:val="24"/>
        </w:rPr>
      </w:pPr>
      <w:r>
        <w:rPr>
          <w:sz w:val="24"/>
        </w:rPr>
        <w:t>本责任书由监理单位法人代表（安全生产责任人）向发包人（安全生产责任人）签订。</w:t>
      </w:r>
    </w:p>
    <w:p>
      <w:pPr>
        <w:spacing w:line="420" w:lineRule="exact"/>
        <w:ind w:firstLine="435"/>
        <w:rPr>
          <w:b/>
          <w:sz w:val="24"/>
        </w:rPr>
      </w:pPr>
      <w:r>
        <w:rPr>
          <w:b/>
          <w:sz w:val="24"/>
        </w:rPr>
        <w:t>一、责任目标</w:t>
      </w:r>
    </w:p>
    <w:p>
      <w:pPr>
        <w:spacing w:line="420" w:lineRule="exact"/>
        <w:ind w:firstLine="435"/>
        <w:rPr>
          <w:sz w:val="24"/>
        </w:rPr>
      </w:pPr>
      <w:r>
        <w:rPr>
          <w:sz w:val="24"/>
        </w:rPr>
        <w:t>目标一：死亡事故为零。</w:t>
      </w:r>
    </w:p>
    <w:p>
      <w:pPr>
        <w:spacing w:line="420" w:lineRule="exact"/>
        <w:ind w:firstLine="435"/>
        <w:rPr>
          <w:sz w:val="24"/>
        </w:rPr>
      </w:pPr>
      <w:r>
        <w:rPr>
          <w:sz w:val="24"/>
        </w:rPr>
        <w:t>目标二：对照</w:t>
      </w:r>
      <w:r>
        <w:rPr>
          <w:rFonts w:hint="eastAsia"/>
          <w:sz w:val="24"/>
        </w:rPr>
        <w:t>《建筑施工安全检查标准》（JGJ 59-2011）</w:t>
      </w:r>
      <w:r>
        <w:rPr>
          <w:sz w:val="24"/>
        </w:rPr>
        <w:t>，施工中及竣工安全评价确保达到优良等级。</w:t>
      </w:r>
    </w:p>
    <w:p>
      <w:pPr>
        <w:spacing w:line="420" w:lineRule="exact"/>
        <w:ind w:firstLine="435"/>
        <w:rPr>
          <w:sz w:val="24"/>
        </w:rPr>
      </w:pPr>
      <w:r>
        <w:rPr>
          <w:sz w:val="24"/>
        </w:rPr>
        <w:t>目标三：达到合同内约定的有关创安全文明施工样板工地要求。</w:t>
      </w:r>
    </w:p>
    <w:p>
      <w:pPr>
        <w:spacing w:line="420" w:lineRule="exact"/>
        <w:ind w:firstLine="435"/>
        <w:rPr>
          <w:b/>
          <w:sz w:val="24"/>
        </w:rPr>
      </w:pPr>
      <w:r>
        <w:rPr>
          <w:b/>
          <w:sz w:val="24"/>
        </w:rPr>
        <w:t>二、安全责任</w:t>
      </w:r>
    </w:p>
    <w:p>
      <w:pPr>
        <w:spacing w:line="420" w:lineRule="exact"/>
        <w:ind w:firstLine="435"/>
        <w:rPr>
          <w:sz w:val="24"/>
        </w:rPr>
      </w:pPr>
      <w:r>
        <w:rPr>
          <w:sz w:val="24"/>
        </w:rPr>
        <w:t>（一）监理方是安全生产的主体责任单位，要切实承担国务院颁布的《建设工程安全生产管理条例》中的第十四条安全责任以及执行省、市建设行政主管部门下发的安全生产文件的有关规定。</w:t>
      </w:r>
    </w:p>
    <w:p>
      <w:pPr>
        <w:spacing w:line="420" w:lineRule="exact"/>
        <w:ind w:firstLine="435"/>
        <w:rPr>
          <w:sz w:val="24"/>
        </w:rPr>
      </w:pPr>
      <w:r>
        <w:rPr>
          <w:sz w:val="24"/>
        </w:rPr>
        <w:t>（二）监理方要认真做好《委托监理合同》中明确的安全与环境控制工作并履行职责。认真做到安全事故处罚四不放过；认真做到重大危险源、重大隐患要有预测、有预警、有预案；认真做到要生产就必须安全，不安全就不能生产。</w:t>
      </w:r>
    </w:p>
    <w:p>
      <w:pPr>
        <w:spacing w:line="420" w:lineRule="exact"/>
        <w:ind w:firstLine="435"/>
        <w:rPr>
          <w:b/>
          <w:sz w:val="24"/>
        </w:rPr>
      </w:pPr>
      <w:r>
        <w:rPr>
          <w:b/>
          <w:sz w:val="24"/>
        </w:rPr>
        <w:t>三、失责处理</w:t>
      </w:r>
    </w:p>
    <w:p>
      <w:pPr>
        <w:spacing w:line="420" w:lineRule="exact"/>
        <w:ind w:firstLine="435"/>
        <w:rPr>
          <w:sz w:val="24"/>
        </w:rPr>
      </w:pPr>
      <w:r>
        <w:rPr>
          <w:sz w:val="24"/>
        </w:rPr>
        <w:t>（一）如工程未能实现承诺的“责任目标”时，当属严重失责行为，愿接受以下罚款处理：</w:t>
      </w:r>
    </w:p>
    <w:p>
      <w:pPr>
        <w:spacing w:line="420" w:lineRule="exact"/>
        <w:ind w:firstLine="435"/>
        <w:rPr>
          <w:sz w:val="24"/>
        </w:rPr>
      </w:pPr>
      <w:r>
        <w:rPr>
          <w:sz w:val="24"/>
        </w:rPr>
        <w:t>1、“目标一”未能实现时，除按国家、省、市有关规定处罚外，另根据每宗事故等级不同，按合同对单位处以相应罚款。</w:t>
      </w:r>
    </w:p>
    <w:p>
      <w:pPr>
        <w:spacing w:line="420" w:lineRule="exact"/>
        <w:ind w:firstLine="435"/>
        <w:rPr>
          <w:sz w:val="24"/>
        </w:rPr>
      </w:pPr>
      <w:r>
        <w:rPr>
          <w:sz w:val="24"/>
        </w:rPr>
        <w:t>2、“目标二”未能实现时，发生在“施工中”，参按合同中的一般违约对单位处以罚款。发生于“竣工评价”，则参按“严重违约”，对单位处以罚款。</w:t>
      </w:r>
    </w:p>
    <w:p>
      <w:pPr>
        <w:spacing w:line="420" w:lineRule="exact"/>
        <w:ind w:firstLine="435"/>
        <w:rPr>
          <w:sz w:val="24"/>
        </w:rPr>
      </w:pPr>
      <w:r>
        <w:rPr>
          <w:sz w:val="24"/>
        </w:rPr>
        <w:t>3、“目标三”未能实现时，参按合同中的“严重违约”对单位处以罚款。</w:t>
      </w:r>
    </w:p>
    <w:p>
      <w:pPr>
        <w:spacing w:line="420" w:lineRule="exact"/>
        <w:ind w:firstLine="435"/>
        <w:rPr>
          <w:sz w:val="24"/>
        </w:rPr>
      </w:pPr>
      <w:r>
        <w:rPr>
          <w:sz w:val="24"/>
        </w:rPr>
        <w:t>（二）在责任期内，发包人检查发现有违本书“二、安全责任”中列出的条例、合同、制度的规定时，属失责行为，愿意接受相应处罚。</w:t>
      </w:r>
    </w:p>
    <w:p>
      <w:pPr>
        <w:spacing w:line="420" w:lineRule="exact"/>
        <w:ind w:firstLine="435"/>
        <w:rPr>
          <w:b/>
          <w:sz w:val="24"/>
        </w:rPr>
      </w:pPr>
      <w:r>
        <w:rPr>
          <w:b/>
          <w:sz w:val="24"/>
        </w:rPr>
        <w:t>四、相关事项</w:t>
      </w:r>
    </w:p>
    <w:p>
      <w:pPr>
        <w:widowControl/>
        <w:spacing w:line="420" w:lineRule="exact"/>
        <w:jc w:val="left"/>
      </w:pPr>
      <w:r>
        <w:rPr>
          <w:sz w:val="24"/>
        </w:rPr>
        <w:t xml:space="preserve">    发包人将全力支持与促成“责任目标”的实现，与此同时，将严格督促监理方承担安</w:t>
      </w:r>
      <w:bookmarkEnd w:id="15"/>
      <w:bookmarkStart w:id="16" w:name="_Toc313869544"/>
      <w:r>
        <w:rPr>
          <w:sz w:val="24"/>
        </w:rPr>
        <w:t>全责任。</w:t>
      </w:r>
    </w:p>
    <w:p>
      <w:pPr>
        <w:rPr>
          <w:rFonts w:ascii="宋体" w:hAnsi="宋体"/>
          <w:b/>
          <w:bCs/>
        </w:rPr>
      </w:pPr>
      <w:r>
        <w:br w:type="page"/>
      </w:r>
      <w:r>
        <w:rPr>
          <w:rFonts w:ascii="宋体" w:hAnsi="宋体"/>
          <w:b/>
          <w:bCs/>
        </w:rPr>
        <w:t>附件8：法定代表人、项目总监理工程师、专业监理工程师、监理员的姓名、身份证复印件、职务、职称、联系方式</w:t>
      </w:r>
      <w:bookmarkEnd w:id="16"/>
    </w:p>
    <w:p>
      <w:pPr>
        <w:pStyle w:val="27"/>
        <w:ind w:firstLine="496"/>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62"/>
        <w:gridCol w:w="2089"/>
        <w:gridCol w:w="1667"/>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52" w:type="dxa"/>
            <w:vAlign w:val="center"/>
          </w:tcPr>
          <w:p>
            <w:pPr>
              <w:jc w:val="center"/>
              <w:rPr>
                <w:b/>
              </w:rPr>
            </w:pPr>
            <w:r>
              <w:rPr>
                <w:b/>
              </w:rPr>
              <w:t>序号</w:t>
            </w:r>
          </w:p>
        </w:tc>
        <w:tc>
          <w:tcPr>
            <w:tcW w:w="2362" w:type="dxa"/>
            <w:vAlign w:val="center"/>
          </w:tcPr>
          <w:p>
            <w:pPr>
              <w:jc w:val="center"/>
              <w:rPr>
                <w:b/>
              </w:rPr>
            </w:pPr>
            <w:r>
              <w:rPr>
                <w:b/>
              </w:rPr>
              <w:t>姓名</w:t>
            </w:r>
          </w:p>
          <w:p>
            <w:pPr>
              <w:jc w:val="center"/>
              <w:rPr>
                <w:b/>
              </w:rPr>
            </w:pPr>
            <w:r>
              <w:rPr>
                <w:b/>
              </w:rPr>
              <w:t>（身份证复印件附后）</w:t>
            </w:r>
          </w:p>
        </w:tc>
        <w:tc>
          <w:tcPr>
            <w:tcW w:w="2089" w:type="dxa"/>
            <w:vAlign w:val="center"/>
          </w:tcPr>
          <w:p>
            <w:pPr>
              <w:jc w:val="center"/>
              <w:rPr>
                <w:b/>
              </w:rPr>
            </w:pPr>
            <w:r>
              <w:rPr>
                <w:b/>
              </w:rPr>
              <w:t>联系电话</w:t>
            </w:r>
          </w:p>
        </w:tc>
        <w:tc>
          <w:tcPr>
            <w:tcW w:w="1667" w:type="dxa"/>
            <w:vAlign w:val="center"/>
          </w:tcPr>
          <w:p>
            <w:pPr>
              <w:jc w:val="center"/>
              <w:rPr>
                <w:b/>
              </w:rPr>
            </w:pPr>
            <w:r>
              <w:rPr>
                <w:b/>
              </w:rPr>
              <w:t>职称</w:t>
            </w:r>
          </w:p>
        </w:tc>
        <w:tc>
          <w:tcPr>
            <w:tcW w:w="2413" w:type="dxa"/>
            <w:vAlign w:val="center"/>
          </w:tcPr>
          <w:p>
            <w:pPr>
              <w:jc w:val="center"/>
              <w:rPr>
                <w:b/>
              </w:rPr>
            </w:pPr>
            <w:r>
              <w:rPr>
                <w:b/>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2" w:type="dxa"/>
            <w:vAlign w:val="center"/>
          </w:tcPr>
          <w:p>
            <w:pPr>
              <w:jc w:val="center"/>
              <w:rPr>
                <w:b/>
              </w:rPr>
            </w:pPr>
            <w:r>
              <w:rPr>
                <w:b/>
              </w:rPr>
              <w:t>1</w:t>
            </w:r>
          </w:p>
        </w:tc>
        <w:tc>
          <w:tcPr>
            <w:tcW w:w="2362" w:type="dxa"/>
            <w:vAlign w:val="center"/>
          </w:tcPr>
          <w:p>
            <w:pPr>
              <w:jc w:val="center"/>
              <w:rPr>
                <w:b/>
              </w:rPr>
            </w:pPr>
          </w:p>
        </w:tc>
        <w:tc>
          <w:tcPr>
            <w:tcW w:w="2089" w:type="dxa"/>
            <w:vAlign w:val="center"/>
          </w:tcPr>
          <w:p>
            <w:pPr>
              <w:jc w:val="center"/>
              <w:rPr>
                <w:b/>
              </w:rPr>
            </w:pPr>
          </w:p>
        </w:tc>
        <w:tc>
          <w:tcPr>
            <w:tcW w:w="1667" w:type="dxa"/>
            <w:vAlign w:val="center"/>
          </w:tcPr>
          <w:p>
            <w:pPr>
              <w:jc w:val="center"/>
              <w:rPr>
                <w:b/>
              </w:rPr>
            </w:pPr>
          </w:p>
        </w:tc>
        <w:tc>
          <w:tcPr>
            <w:tcW w:w="2413"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2" w:type="dxa"/>
            <w:vAlign w:val="center"/>
          </w:tcPr>
          <w:p>
            <w:pPr>
              <w:jc w:val="center"/>
              <w:rPr>
                <w:b/>
              </w:rPr>
            </w:pPr>
            <w:r>
              <w:rPr>
                <w:b/>
              </w:rPr>
              <w:t>2</w:t>
            </w:r>
          </w:p>
        </w:tc>
        <w:tc>
          <w:tcPr>
            <w:tcW w:w="2362" w:type="dxa"/>
            <w:vAlign w:val="center"/>
          </w:tcPr>
          <w:p>
            <w:pPr>
              <w:jc w:val="center"/>
              <w:rPr>
                <w:b/>
              </w:rPr>
            </w:pPr>
          </w:p>
        </w:tc>
        <w:tc>
          <w:tcPr>
            <w:tcW w:w="2089" w:type="dxa"/>
            <w:vAlign w:val="center"/>
          </w:tcPr>
          <w:p>
            <w:pPr>
              <w:jc w:val="center"/>
              <w:rPr>
                <w:b/>
              </w:rPr>
            </w:pPr>
          </w:p>
        </w:tc>
        <w:tc>
          <w:tcPr>
            <w:tcW w:w="1667" w:type="dxa"/>
            <w:vAlign w:val="center"/>
          </w:tcPr>
          <w:p>
            <w:pPr>
              <w:jc w:val="center"/>
              <w:rPr>
                <w:b/>
              </w:rPr>
            </w:pPr>
          </w:p>
        </w:tc>
        <w:tc>
          <w:tcPr>
            <w:tcW w:w="2413"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2" w:type="dxa"/>
            <w:vAlign w:val="center"/>
          </w:tcPr>
          <w:p>
            <w:pPr>
              <w:jc w:val="center"/>
              <w:rPr>
                <w:b/>
              </w:rPr>
            </w:pPr>
            <w:r>
              <w:rPr>
                <w:b/>
              </w:rPr>
              <w:t>3</w:t>
            </w:r>
          </w:p>
        </w:tc>
        <w:tc>
          <w:tcPr>
            <w:tcW w:w="2362" w:type="dxa"/>
            <w:vAlign w:val="center"/>
          </w:tcPr>
          <w:p>
            <w:pPr>
              <w:jc w:val="center"/>
              <w:rPr>
                <w:b/>
              </w:rPr>
            </w:pPr>
          </w:p>
        </w:tc>
        <w:tc>
          <w:tcPr>
            <w:tcW w:w="2089" w:type="dxa"/>
            <w:vAlign w:val="center"/>
          </w:tcPr>
          <w:p>
            <w:pPr>
              <w:jc w:val="center"/>
              <w:rPr>
                <w:b/>
              </w:rPr>
            </w:pPr>
          </w:p>
        </w:tc>
        <w:tc>
          <w:tcPr>
            <w:tcW w:w="1667" w:type="dxa"/>
            <w:vAlign w:val="center"/>
          </w:tcPr>
          <w:p>
            <w:pPr>
              <w:jc w:val="center"/>
              <w:rPr>
                <w:b/>
              </w:rPr>
            </w:pPr>
          </w:p>
        </w:tc>
        <w:tc>
          <w:tcPr>
            <w:tcW w:w="2413"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2" w:type="dxa"/>
            <w:vAlign w:val="center"/>
          </w:tcPr>
          <w:p>
            <w:pPr>
              <w:jc w:val="center"/>
              <w:rPr>
                <w:b/>
              </w:rPr>
            </w:pPr>
            <w:r>
              <w:rPr>
                <w:b/>
              </w:rPr>
              <w:t>4</w:t>
            </w:r>
          </w:p>
        </w:tc>
        <w:tc>
          <w:tcPr>
            <w:tcW w:w="2362" w:type="dxa"/>
            <w:vAlign w:val="center"/>
          </w:tcPr>
          <w:p>
            <w:pPr>
              <w:jc w:val="center"/>
              <w:rPr>
                <w:b/>
              </w:rPr>
            </w:pPr>
          </w:p>
        </w:tc>
        <w:tc>
          <w:tcPr>
            <w:tcW w:w="2089" w:type="dxa"/>
            <w:vAlign w:val="center"/>
          </w:tcPr>
          <w:p>
            <w:pPr>
              <w:jc w:val="center"/>
              <w:rPr>
                <w:b/>
              </w:rPr>
            </w:pPr>
          </w:p>
        </w:tc>
        <w:tc>
          <w:tcPr>
            <w:tcW w:w="1667" w:type="dxa"/>
            <w:vAlign w:val="center"/>
          </w:tcPr>
          <w:p>
            <w:pPr>
              <w:jc w:val="center"/>
              <w:rPr>
                <w:b/>
              </w:rPr>
            </w:pPr>
          </w:p>
        </w:tc>
        <w:tc>
          <w:tcPr>
            <w:tcW w:w="2413" w:type="dxa"/>
            <w:vAlign w:val="center"/>
          </w:tcPr>
          <w:p>
            <w:pPr>
              <w:jc w:val="center"/>
              <w:rPr>
                <w:b/>
              </w:rPr>
            </w:pPr>
          </w:p>
        </w:tc>
      </w:tr>
    </w:tbl>
    <w:p>
      <w:pPr>
        <w:pStyle w:val="27"/>
        <w:spacing w:before="120" w:after="120"/>
        <w:ind w:firstLine="0" w:firstLineChars="0"/>
      </w:pPr>
    </w:p>
    <w:p>
      <w:pPr>
        <w:pStyle w:val="27"/>
        <w:spacing w:before="120" w:after="120"/>
        <w:ind w:firstLine="0" w:firstLineChars="0"/>
      </w:pPr>
    </w:p>
    <w:p>
      <w:pPr>
        <w:pStyle w:val="27"/>
        <w:spacing w:before="120" w:after="120"/>
        <w:ind w:firstLine="0" w:firstLineChars="0"/>
      </w:pPr>
    </w:p>
    <w:p>
      <w:pPr>
        <w:pStyle w:val="27"/>
        <w:spacing w:before="120" w:after="120"/>
        <w:ind w:firstLine="0" w:firstLineChars="0"/>
      </w:pPr>
    </w:p>
    <w:p>
      <w:pPr>
        <w:pStyle w:val="27"/>
        <w:spacing w:before="120" w:after="120"/>
        <w:ind w:firstLine="0" w:firstLineChars="0"/>
        <w:sectPr>
          <w:pgSz w:w="11907" w:h="16840"/>
          <w:pgMar w:top="1134" w:right="1134" w:bottom="1134" w:left="1134" w:header="851" w:footer="851" w:gutter="340"/>
          <w:cols w:space="720" w:num="1"/>
        </w:sectPr>
      </w:pPr>
    </w:p>
    <w:p>
      <w:pPr>
        <w:rPr>
          <w:b/>
          <w:bCs/>
        </w:rPr>
      </w:pPr>
      <w:bookmarkStart w:id="17" w:name="_Toc313869545"/>
      <w:r>
        <w:rPr>
          <w:b/>
          <w:bCs/>
        </w:rPr>
        <w:t>附件9：中标通知书</w:t>
      </w:r>
      <w:bookmarkEnd w:id="17"/>
    </w:p>
    <w:p>
      <w:pPr>
        <w:pStyle w:val="27"/>
        <w:ind w:firstLine="496"/>
      </w:pPr>
    </w:p>
    <w:p>
      <w:pPr>
        <w:widowControl/>
        <w:jc w:val="left"/>
      </w:pPr>
    </w:p>
    <w:p>
      <w:pPr>
        <w:pStyle w:val="27"/>
        <w:ind w:firstLine="496"/>
      </w:pPr>
    </w:p>
    <w:p/>
    <w:p/>
    <w:p/>
    <w:p/>
    <w:p/>
    <w:p/>
    <w:p/>
    <w:p/>
    <w:p/>
    <w:p/>
    <w:p/>
    <w:p/>
    <w:p/>
    <w:p/>
    <w:p/>
    <w:sectPr>
      <w:pgSz w:w="11907" w:h="16840"/>
      <w:pgMar w:top="1134" w:right="1134" w:bottom="1134" w:left="1134" w:header="851" w:footer="851" w:gutter="3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ascii="楷体_GB2312" w:eastAsia="楷体_GB2312"/>
        <w:szCs w:val="21"/>
      </w:rPr>
      <w:t>第</w:t>
    </w:r>
    <w:r>
      <w:rPr>
        <w:rFonts w:hint="eastAsia" w:ascii="楷体_GB2312" w:eastAsia="楷体_GB2312"/>
        <w:szCs w:val="21"/>
      </w:rPr>
      <w:fldChar w:fldCharType="begin"/>
    </w:r>
    <w:r>
      <w:rPr>
        <w:rFonts w:hint="eastAsia" w:ascii="楷体_GB2312" w:eastAsia="楷体_GB2312"/>
        <w:szCs w:val="21"/>
      </w:rPr>
      <w:instrText xml:space="preserve">page</w:instrText>
    </w:r>
    <w:r>
      <w:rPr>
        <w:rFonts w:hint="eastAsia" w:ascii="楷体_GB2312" w:eastAsia="楷体_GB2312"/>
        <w:szCs w:val="21"/>
      </w:rPr>
      <w:fldChar w:fldCharType="separate"/>
    </w:r>
    <w:r>
      <w:rPr>
        <w:rFonts w:ascii="楷体_GB2312" w:eastAsia="楷体_GB2312"/>
        <w:szCs w:val="21"/>
      </w:rPr>
      <w:t>43</w:t>
    </w:r>
    <w:r>
      <w:rPr>
        <w:rFonts w:hint="eastAsia" w:ascii="楷体_GB2312" w:eastAsia="楷体_GB2312"/>
        <w:szCs w:val="21"/>
      </w:rPr>
      <w:fldChar w:fldCharType="end"/>
    </w:r>
    <w:r>
      <w:rPr>
        <w:rFonts w:hint="eastAsia" w:ascii="楷体_GB2312" w:eastAsia="楷体_GB2312"/>
        <w:szCs w:val="21"/>
      </w:rPr>
      <w:t>页，共</w:t>
    </w:r>
    <w:r>
      <w:rPr>
        <w:rFonts w:hint="eastAsia" w:ascii="楷体_GB2312" w:eastAsia="楷体_GB2312"/>
        <w:szCs w:val="21"/>
      </w:rPr>
      <w:fldChar w:fldCharType="begin"/>
    </w:r>
    <w:r>
      <w:rPr>
        <w:rFonts w:hint="eastAsia" w:ascii="楷体_GB2312" w:eastAsia="楷体_GB2312"/>
        <w:szCs w:val="21"/>
      </w:rPr>
      <w:instrText xml:space="preserve">=</w:instrText>
    </w:r>
    <w:r>
      <w:rPr>
        <w:rFonts w:hint="eastAsia" w:ascii="楷体_GB2312" w:eastAsia="楷体_GB2312"/>
        <w:szCs w:val="21"/>
      </w:rPr>
      <w:fldChar w:fldCharType="begin"/>
    </w:r>
    <w:r>
      <w:rPr>
        <w:rFonts w:hint="eastAsia" w:ascii="楷体_GB2312" w:eastAsia="楷体_GB2312"/>
        <w:szCs w:val="21"/>
      </w:rPr>
      <w:instrText xml:space="preserve">numpages</w:instrText>
    </w:r>
    <w:r>
      <w:rPr>
        <w:rFonts w:hint="eastAsia" w:ascii="楷体_GB2312" w:eastAsia="楷体_GB2312"/>
        <w:szCs w:val="21"/>
      </w:rPr>
      <w:fldChar w:fldCharType="separate"/>
    </w:r>
    <w:r>
      <w:rPr>
        <w:rFonts w:ascii="楷体_GB2312" w:eastAsia="楷体_GB2312"/>
        <w:szCs w:val="21"/>
      </w:rPr>
      <w:instrText xml:space="preserve">80</w:instrText>
    </w:r>
    <w:r>
      <w:rPr>
        <w:rFonts w:hint="eastAsia" w:ascii="楷体_GB2312" w:eastAsia="楷体_GB2312"/>
        <w:szCs w:val="21"/>
      </w:rPr>
      <w:fldChar w:fldCharType="end"/>
    </w:r>
    <w:r>
      <w:rPr>
        <w:rFonts w:hint="eastAsia" w:ascii="楷体_GB2312" w:eastAsia="楷体_GB2312"/>
        <w:szCs w:val="21"/>
      </w:rPr>
      <w:instrText xml:space="preserve">-4</w:instrText>
    </w:r>
    <w:r>
      <w:rPr>
        <w:rFonts w:hint="eastAsia" w:ascii="楷体_GB2312" w:eastAsia="楷体_GB2312"/>
        <w:szCs w:val="21"/>
      </w:rPr>
      <w:fldChar w:fldCharType="separate"/>
    </w:r>
    <w:r>
      <w:rPr>
        <w:rFonts w:ascii="楷体_GB2312" w:eastAsia="楷体_GB2312"/>
        <w:szCs w:val="21"/>
      </w:rPr>
      <w:t>76</w:t>
    </w:r>
    <w:r>
      <w:rPr>
        <w:rFonts w:hint="eastAsia" w:ascii="楷体_GB2312" w:eastAsia="楷体_GB2312"/>
        <w:szCs w:val="21"/>
      </w:rPr>
      <w:fldChar w:fldCharType="end"/>
    </w:r>
    <w:r>
      <w:rPr>
        <w:rFonts w:hint="eastAsia" w:ascii="楷体_GB2312" w:eastAsia="楷体_GB2312"/>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ascii="楷体_GB2312" w:eastAsia="楷体_GB2312"/>
        <w:szCs w:val="21"/>
      </w:rPr>
      <w:t>第</w:t>
    </w:r>
    <w:r>
      <w:rPr>
        <w:rFonts w:hint="eastAsia" w:ascii="楷体_GB2312" w:eastAsia="楷体_GB2312"/>
        <w:szCs w:val="21"/>
      </w:rPr>
      <w:fldChar w:fldCharType="begin"/>
    </w:r>
    <w:r>
      <w:rPr>
        <w:rFonts w:ascii="楷体_GB2312" w:eastAsia="楷体_GB2312"/>
        <w:szCs w:val="21"/>
      </w:rPr>
      <w:instrText xml:space="preserve"> </w:instrText>
    </w:r>
    <w:r>
      <w:rPr>
        <w:rFonts w:hint="eastAsia" w:ascii="楷体_GB2312" w:eastAsia="楷体_GB2312"/>
        <w:szCs w:val="21"/>
      </w:rPr>
      <w:instrText xml:space="preserve">page</w:instrText>
    </w:r>
    <w:r>
      <w:rPr>
        <w:rFonts w:ascii="楷体_GB2312" w:eastAsia="楷体_GB2312"/>
        <w:szCs w:val="21"/>
      </w:rPr>
      <w:instrText xml:space="preserve"> </w:instrText>
    </w:r>
    <w:r>
      <w:rPr>
        <w:rFonts w:hint="eastAsia" w:ascii="楷体_GB2312" w:eastAsia="楷体_GB2312"/>
        <w:szCs w:val="21"/>
      </w:rPr>
      <w:fldChar w:fldCharType="separate"/>
    </w:r>
    <w:r>
      <w:rPr>
        <w:rFonts w:ascii="楷体_GB2312" w:eastAsia="楷体_GB2312"/>
        <w:szCs w:val="21"/>
      </w:rPr>
      <w:t>1</w:t>
    </w:r>
    <w:r>
      <w:rPr>
        <w:rFonts w:hint="eastAsia" w:ascii="楷体_GB2312" w:eastAsia="楷体_GB2312"/>
        <w:szCs w:val="21"/>
      </w:rPr>
      <w:fldChar w:fldCharType="end"/>
    </w:r>
    <w:r>
      <w:rPr>
        <w:rFonts w:hint="eastAsia" w:ascii="楷体_GB2312" w:eastAsia="楷体_GB2312"/>
        <w:szCs w:val="21"/>
      </w:rPr>
      <w:t>页，共</w:t>
    </w:r>
    <w:r>
      <w:rPr>
        <w:rFonts w:hint="eastAsia" w:ascii="楷体_GB2312" w:eastAsia="楷体_GB2312"/>
        <w:szCs w:val="21"/>
      </w:rPr>
      <w:fldChar w:fldCharType="begin"/>
    </w:r>
    <w:r>
      <w:rPr>
        <w:rFonts w:hint="eastAsia" w:ascii="楷体_GB2312" w:eastAsia="楷体_GB2312"/>
        <w:szCs w:val="21"/>
      </w:rPr>
      <w:instrText xml:space="preserve">=</w:instrText>
    </w:r>
    <w:r>
      <w:rPr>
        <w:rFonts w:hint="eastAsia" w:ascii="楷体_GB2312" w:eastAsia="楷体_GB2312"/>
        <w:szCs w:val="21"/>
      </w:rPr>
      <w:fldChar w:fldCharType="begin"/>
    </w:r>
    <w:r>
      <w:rPr>
        <w:rFonts w:hint="eastAsia" w:ascii="楷体_GB2312" w:eastAsia="楷体_GB2312"/>
        <w:szCs w:val="21"/>
      </w:rPr>
      <w:instrText xml:space="preserve"> numpages </w:instrText>
    </w:r>
    <w:r>
      <w:rPr>
        <w:rFonts w:hint="eastAsia" w:ascii="楷体_GB2312" w:eastAsia="楷体_GB2312"/>
        <w:szCs w:val="21"/>
      </w:rPr>
      <w:fldChar w:fldCharType="separate"/>
    </w:r>
    <w:r>
      <w:rPr>
        <w:rFonts w:ascii="楷体_GB2312" w:eastAsia="楷体_GB2312"/>
        <w:szCs w:val="21"/>
      </w:rPr>
      <w:instrText xml:space="preserve">80</w:instrText>
    </w:r>
    <w:r>
      <w:rPr>
        <w:rFonts w:hint="eastAsia" w:ascii="楷体_GB2312" w:eastAsia="楷体_GB2312"/>
        <w:szCs w:val="21"/>
      </w:rPr>
      <w:fldChar w:fldCharType="end"/>
    </w:r>
    <w:r>
      <w:rPr>
        <w:rFonts w:hint="eastAsia" w:ascii="楷体_GB2312" w:eastAsia="楷体_GB2312"/>
        <w:szCs w:val="21"/>
      </w:rPr>
      <w:instrText xml:space="preserve">-4</w:instrText>
    </w:r>
    <w:r>
      <w:rPr>
        <w:rFonts w:hint="eastAsia" w:ascii="楷体_GB2312" w:eastAsia="楷体_GB2312"/>
        <w:szCs w:val="21"/>
      </w:rPr>
      <w:fldChar w:fldCharType="separate"/>
    </w:r>
    <w:r>
      <w:rPr>
        <w:rFonts w:ascii="楷体_GB2312" w:eastAsia="楷体_GB2312"/>
        <w:szCs w:val="21"/>
      </w:rPr>
      <w:t>76</w:t>
    </w:r>
    <w:r>
      <w:rPr>
        <w:rFonts w:hint="eastAsia" w:ascii="楷体_GB2312" w:eastAsia="楷体_GB2312"/>
        <w:szCs w:val="21"/>
      </w:rPr>
      <w:fldChar w:fldCharType="end"/>
    </w:r>
    <w:r>
      <w:rPr>
        <w:rFonts w:hint="eastAsia" w:ascii="楷体_GB2312" w:eastAsia="楷体_GB2312"/>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t xml:space="preserve"> </w:t>
    </w:r>
    <w:r>
      <w:rPr>
        <w:rFonts w:hint="eastAsia" w:ascii="楷体_GB2312" w:eastAsia="楷体_GB2312"/>
        <w:szCs w:val="21"/>
      </w:rPr>
      <w:t>第</w:t>
    </w:r>
    <w:r>
      <w:rPr>
        <w:rFonts w:hint="eastAsia" w:ascii="楷体_GB2312" w:eastAsia="楷体_GB2312"/>
        <w:szCs w:val="21"/>
      </w:rPr>
      <w:fldChar w:fldCharType="begin"/>
    </w:r>
    <w:r>
      <w:rPr>
        <w:rFonts w:hint="eastAsia" w:ascii="楷体_GB2312" w:eastAsia="楷体_GB2312"/>
        <w:szCs w:val="21"/>
      </w:rPr>
      <w:instrText xml:space="preserve">page</w:instrText>
    </w:r>
    <w:r>
      <w:rPr>
        <w:rFonts w:hint="eastAsia" w:ascii="楷体_GB2312" w:eastAsia="楷体_GB2312"/>
        <w:szCs w:val="21"/>
      </w:rPr>
      <w:fldChar w:fldCharType="separate"/>
    </w:r>
    <w:r>
      <w:rPr>
        <w:rFonts w:ascii="楷体_GB2312" w:eastAsia="楷体_GB2312"/>
        <w:szCs w:val="21"/>
      </w:rPr>
      <w:t>65</w:t>
    </w:r>
    <w:r>
      <w:rPr>
        <w:rFonts w:hint="eastAsia" w:ascii="楷体_GB2312" w:eastAsia="楷体_GB2312"/>
        <w:szCs w:val="21"/>
      </w:rPr>
      <w:fldChar w:fldCharType="end"/>
    </w:r>
    <w:r>
      <w:rPr>
        <w:rFonts w:hint="eastAsia" w:ascii="楷体_GB2312" w:eastAsia="楷体_GB2312"/>
        <w:szCs w:val="21"/>
      </w:rPr>
      <w:t>页，共</w:t>
    </w:r>
    <w:r>
      <w:rPr>
        <w:rFonts w:hint="eastAsia" w:ascii="楷体_GB2312" w:eastAsia="楷体_GB2312"/>
        <w:szCs w:val="21"/>
      </w:rPr>
      <w:fldChar w:fldCharType="begin"/>
    </w:r>
    <w:r>
      <w:rPr>
        <w:rFonts w:hint="eastAsia" w:ascii="楷体_GB2312" w:eastAsia="楷体_GB2312"/>
        <w:szCs w:val="21"/>
      </w:rPr>
      <w:instrText xml:space="preserve">=</w:instrText>
    </w:r>
    <w:r>
      <w:rPr>
        <w:rFonts w:hint="eastAsia" w:ascii="楷体_GB2312" w:eastAsia="楷体_GB2312"/>
        <w:szCs w:val="21"/>
      </w:rPr>
      <w:fldChar w:fldCharType="begin"/>
    </w:r>
    <w:r>
      <w:rPr>
        <w:rFonts w:hint="eastAsia" w:ascii="楷体_GB2312" w:eastAsia="楷体_GB2312"/>
        <w:szCs w:val="21"/>
      </w:rPr>
      <w:instrText xml:space="preserve"> numpages </w:instrText>
    </w:r>
    <w:r>
      <w:rPr>
        <w:rFonts w:hint="eastAsia" w:ascii="楷体_GB2312" w:eastAsia="楷体_GB2312"/>
        <w:szCs w:val="21"/>
      </w:rPr>
      <w:fldChar w:fldCharType="separate"/>
    </w:r>
    <w:r>
      <w:rPr>
        <w:rFonts w:ascii="楷体_GB2312" w:eastAsia="楷体_GB2312"/>
        <w:szCs w:val="21"/>
      </w:rPr>
      <w:instrText xml:space="preserve">69</w:instrText>
    </w:r>
    <w:r>
      <w:rPr>
        <w:rFonts w:hint="eastAsia" w:ascii="楷体_GB2312" w:eastAsia="楷体_GB2312"/>
        <w:szCs w:val="21"/>
      </w:rPr>
      <w:fldChar w:fldCharType="end"/>
    </w:r>
    <w:r>
      <w:rPr>
        <w:rFonts w:hint="eastAsia" w:ascii="楷体_GB2312" w:eastAsia="楷体_GB2312"/>
        <w:szCs w:val="21"/>
      </w:rPr>
      <w:instrText xml:space="preserve">-4</w:instrText>
    </w:r>
    <w:r>
      <w:rPr>
        <w:rFonts w:hint="eastAsia" w:ascii="楷体_GB2312" w:eastAsia="楷体_GB2312"/>
        <w:szCs w:val="21"/>
      </w:rPr>
      <w:fldChar w:fldCharType="separate"/>
    </w:r>
    <w:r>
      <w:rPr>
        <w:rFonts w:ascii="楷体_GB2312" w:eastAsia="楷体_GB2312"/>
        <w:szCs w:val="21"/>
      </w:rPr>
      <w:t>65</w:t>
    </w:r>
    <w:r>
      <w:rPr>
        <w:rFonts w:hint="eastAsia" w:ascii="楷体_GB2312" w:eastAsia="楷体_GB2312"/>
        <w:szCs w:val="21"/>
      </w:rPr>
      <w:fldChar w:fldCharType="end"/>
    </w:r>
    <w:r>
      <w:rPr>
        <w:rFonts w:hint="eastAsia" w:ascii="楷体_GB2312" w:eastAsia="楷体_GB2312"/>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p>
  <w:p>
    <w:pPr>
      <w:pStyle w:val="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ascii="楷体_GB2312" w:eastAsia="楷体_GB2312"/>
        <w:szCs w:val="21"/>
      </w:rPr>
      <w:t>第</w:t>
    </w:r>
    <w:r>
      <w:rPr>
        <w:rFonts w:hint="eastAsia" w:ascii="楷体_GB2312" w:eastAsia="楷体_GB2312"/>
        <w:szCs w:val="21"/>
      </w:rPr>
      <w:fldChar w:fldCharType="begin"/>
    </w:r>
    <w:r>
      <w:rPr>
        <w:rFonts w:hint="eastAsia" w:ascii="楷体_GB2312" w:eastAsia="楷体_GB2312"/>
        <w:szCs w:val="21"/>
      </w:rPr>
      <w:instrText xml:space="preserve">page</w:instrText>
    </w:r>
    <w:r>
      <w:rPr>
        <w:rFonts w:hint="eastAsia" w:ascii="楷体_GB2312" w:eastAsia="楷体_GB2312"/>
        <w:szCs w:val="21"/>
      </w:rPr>
      <w:fldChar w:fldCharType="separate"/>
    </w:r>
    <w:r>
      <w:rPr>
        <w:rFonts w:ascii="楷体_GB2312" w:eastAsia="楷体_GB2312"/>
        <w:szCs w:val="21"/>
      </w:rPr>
      <w:t>76</w:t>
    </w:r>
    <w:r>
      <w:rPr>
        <w:rFonts w:hint="eastAsia" w:ascii="楷体_GB2312" w:eastAsia="楷体_GB2312"/>
        <w:szCs w:val="21"/>
      </w:rPr>
      <w:fldChar w:fldCharType="end"/>
    </w:r>
    <w:r>
      <w:rPr>
        <w:rFonts w:hint="eastAsia" w:ascii="楷体_GB2312" w:eastAsia="楷体_GB2312"/>
        <w:szCs w:val="21"/>
      </w:rPr>
      <w:t>页，共</w:t>
    </w:r>
    <w:r>
      <w:rPr>
        <w:rFonts w:hint="eastAsia" w:ascii="楷体_GB2312" w:eastAsia="楷体_GB2312"/>
        <w:szCs w:val="21"/>
      </w:rPr>
      <w:fldChar w:fldCharType="begin"/>
    </w:r>
    <w:r>
      <w:rPr>
        <w:rFonts w:hint="eastAsia" w:ascii="楷体_GB2312" w:eastAsia="楷体_GB2312"/>
        <w:szCs w:val="21"/>
      </w:rPr>
      <w:instrText xml:space="preserve">=</w:instrText>
    </w:r>
    <w:r>
      <w:rPr>
        <w:rFonts w:hint="eastAsia" w:ascii="楷体_GB2312" w:eastAsia="楷体_GB2312"/>
        <w:szCs w:val="21"/>
      </w:rPr>
      <w:fldChar w:fldCharType="begin"/>
    </w:r>
    <w:r>
      <w:rPr>
        <w:rFonts w:hint="eastAsia" w:ascii="楷体_GB2312" w:eastAsia="楷体_GB2312"/>
        <w:szCs w:val="21"/>
      </w:rPr>
      <w:instrText xml:space="preserve"> numpages </w:instrText>
    </w:r>
    <w:r>
      <w:rPr>
        <w:rFonts w:hint="eastAsia" w:ascii="楷体_GB2312" w:eastAsia="楷体_GB2312"/>
        <w:szCs w:val="21"/>
      </w:rPr>
      <w:fldChar w:fldCharType="separate"/>
    </w:r>
    <w:r>
      <w:rPr>
        <w:rFonts w:ascii="楷体_GB2312" w:eastAsia="楷体_GB2312"/>
        <w:szCs w:val="21"/>
      </w:rPr>
      <w:instrText xml:space="preserve">80</w:instrText>
    </w:r>
    <w:r>
      <w:rPr>
        <w:rFonts w:hint="eastAsia" w:ascii="楷体_GB2312" w:eastAsia="楷体_GB2312"/>
        <w:szCs w:val="21"/>
      </w:rPr>
      <w:fldChar w:fldCharType="end"/>
    </w:r>
    <w:r>
      <w:rPr>
        <w:rFonts w:hint="eastAsia" w:ascii="楷体_GB2312" w:eastAsia="楷体_GB2312"/>
        <w:szCs w:val="21"/>
      </w:rPr>
      <w:instrText xml:space="preserve">-4</w:instrText>
    </w:r>
    <w:r>
      <w:rPr>
        <w:rFonts w:hint="eastAsia" w:ascii="楷体_GB2312" w:eastAsia="楷体_GB2312"/>
        <w:szCs w:val="21"/>
      </w:rPr>
      <w:fldChar w:fldCharType="separate"/>
    </w:r>
    <w:r>
      <w:rPr>
        <w:rFonts w:ascii="楷体_GB2312" w:eastAsia="楷体_GB2312"/>
        <w:szCs w:val="21"/>
      </w:rPr>
      <w:t>76</w:t>
    </w:r>
    <w:r>
      <w:rPr>
        <w:rFonts w:hint="eastAsia" w:ascii="楷体_GB2312" w:eastAsia="楷体_GB2312"/>
        <w:szCs w:val="21"/>
      </w:rPr>
      <w:fldChar w:fldCharType="end"/>
    </w:r>
    <w:r>
      <w:rPr>
        <w:rFonts w:hint="eastAsia" w:ascii="楷体_GB2312" w:eastAsia="楷体_GB2312"/>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p>
  <w:p>
    <w:pPr>
      <w:pStyle w:val="8"/>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4"/>
      <w:numFmt w:val="decimal"/>
      <w:suff w:val="nothing"/>
      <w:lvlText w:val="（%1）"/>
      <w:lvlJc w:val="left"/>
    </w:lvl>
  </w:abstractNum>
  <w:abstractNum w:abstractNumId="1">
    <w:nsid w:val="0000000D"/>
    <w:multiLevelType w:val="multilevel"/>
    <w:tmpl w:val="0000000D"/>
    <w:lvl w:ilvl="0" w:tentative="0">
      <w:start w:val="1"/>
      <w:numFmt w:val="japaneseCounting"/>
      <w:lvlText w:val="第%1篇"/>
      <w:lvlJc w:val="left"/>
      <w:pPr>
        <w:tabs>
          <w:tab w:val="left" w:pos="1501"/>
        </w:tabs>
        <w:ind w:left="1501" w:hanging="1005"/>
      </w:pPr>
      <w:rPr>
        <w:rFonts w:hint="default"/>
      </w:rPr>
    </w:lvl>
    <w:lvl w:ilvl="1" w:tentative="0">
      <w:start w:val="1"/>
      <w:numFmt w:val="lowerLetter"/>
      <w:lvlText w:val="%2)"/>
      <w:lvlJc w:val="left"/>
      <w:pPr>
        <w:tabs>
          <w:tab w:val="left" w:pos="1336"/>
        </w:tabs>
        <w:ind w:left="1336" w:hanging="420"/>
      </w:pPr>
    </w:lvl>
    <w:lvl w:ilvl="2" w:tentative="0">
      <w:start w:val="1"/>
      <w:numFmt w:val="lowerRoman"/>
      <w:lvlText w:val="%3."/>
      <w:lvlJc w:val="right"/>
      <w:pPr>
        <w:tabs>
          <w:tab w:val="left" w:pos="1756"/>
        </w:tabs>
        <w:ind w:left="1756" w:hanging="420"/>
      </w:pPr>
    </w:lvl>
    <w:lvl w:ilvl="3" w:tentative="0">
      <w:start w:val="1"/>
      <w:numFmt w:val="decimal"/>
      <w:lvlText w:val="%4."/>
      <w:lvlJc w:val="left"/>
      <w:pPr>
        <w:tabs>
          <w:tab w:val="left" w:pos="2176"/>
        </w:tabs>
        <w:ind w:left="2176" w:hanging="420"/>
      </w:pPr>
    </w:lvl>
    <w:lvl w:ilvl="4" w:tentative="0">
      <w:start w:val="1"/>
      <w:numFmt w:val="lowerLetter"/>
      <w:lvlText w:val="%5)"/>
      <w:lvlJc w:val="left"/>
      <w:pPr>
        <w:tabs>
          <w:tab w:val="left" w:pos="2596"/>
        </w:tabs>
        <w:ind w:left="2596" w:hanging="420"/>
      </w:pPr>
    </w:lvl>
    <w:lvl w:ilvl="5" w:tentative="0">
      <w:start w:val="1"/>
      <w:numFmt w:val="lowerRoman"/>
      <w:lvlText w:val="%6."/>
      <w:lvlJc w:val="right"/>
      <w:pPr>
        <w:tabs>
          <w:tab w:val="left" w:pos="3016"/>
        </w:tabs>
        <w:ind w:left="3016" w:hanging="420"/>
      </w:pPr>
    </w:lvl>
    <w:lvl w:ilvl="6" w:tentative="0">
      <w:start w:val="1"/>
      <w:numFmt w:val="decimal"/>
      <w:lvlText w:val="%7."/>
      <w:lvlJc w:val="left"/>
      <w:pPr>
        <w:tabs>
          <w:tab w:val="left" w:pos="3436"/>
        </w:tabs>
        <w:ind w:left="3436" w:hanging="420"/>
      </w:pPr>
    </w:lvl>
    <w:lvl w:ilvl="7" w:tentative="0">
      <w:start w:val="1"/>
      <w:numFmt w:val="lowerLetter"/>
      <w:lvlText w:val="%8)"/>
      <w:lvlJc w:val="left"/>
      <w:pPr>
        <w:tabs>
          <w:tab w:val="left" w:pos="3856"/>
        </w:tabs>
        <w:ind w:left="3856" w:hanging="420"/>
      </w:pPr>
    </w:lvl>
    <w:lvl w:ilvl="8" w:tentative="0">
      <w:start w:val="1"/>
      <w:numFmt w:val="lowerRoman"/>
      <w:lvlText w:val="%9."/>
      <w:lvlJc w:val="right"/>
      <w:pPr>
        <w:tabs>
          <w:tab w:val="left" w:pos="4276"/>
        </w:tabs>
        <w:ind w:left="4276" w:hanging="420"/>
      </w:pPr>
    </w:lvl>
  </w:abstractNum>
  <w:abstractNum w:abstractNumId="2">
    <w:nsid w:val="346E2B07"/>
    <w:multiLevelType w:val="multilevel"/>
    <w:tmpl w:val="346E2B07"/>
    <w:lvl w:ilvl="0" w:tentative="0">
      <w:start w:val="1"/>
      <w:numFmt w:val="decimal"/>
      <w:pStyle w:val="28"/>
      <w:lvlText w:val="%1、"/>
      <w:lvlJc w:val="left"/>
      <w:pPr>
        <w:tabs>
          <w:tab w:val="left" w:pos="840"/>
        </w:tabs>
        <w:ind w:left="840" w:hanging="360"/>
      </w:pPr>
      <w:rPr>
        <w:rFonts w:hint="default" w:hAnsi="Times New Roman"/>
      </w:rPr>
    </w:lvl>
    <w:lvl w:ilvl="1" w:tentative="0">
      <w:start w:val="8"/>
      <w:numFmt w:val="japaneseCounting"/>
      <w:lvlText w:val="%2、"/>
      <w:lvlJc w:val="left"/>
      <w:pPr>
        <w:tabs>
          <w:tab w:val="left" w:pos="1110"/>
        </w:tabs>
        <w:ind w:left="1110" w:hanging="480"/>
      </w:pPr>
      <w:rPr>
        <w:rFonts w:hint="default"/>
      </w:rPr>
    </w:lvl>
    <w:lvl w:ilvl="2" w:tentative="0">
      <w:start w:val="1"/>
      <w:numFmt w:val="decimal"/>
      <w:lvlText w:val="%3、"/>
      <w:lvlJc w:val="left"/>
      <w:pPr>
        <w:tabs>
          <w:tab w:val="left" w:pos="1680"/>
        </w:tabs>
        <w:ind w:left="1680" w:hanging="36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51DA5D08"/>
    <w:multiLevelType w:val="multilevel"/>
    <w:tmpl w:val="51DA5D08"/>
    <w:lvl w:ilvl="0" w:tentative="0">
      <w:start w:val="1"/>
      <w:numFmt w:val="japaneseCounting"/>
      <w:lvlText w:val="（%1）"/>
      <w:lvlJc w:val="left"/>
      <w:pPr>
        <w:ind w:left="1328" w:hanging="750"/>
      </w:pPr>
      <w:rPr>
        <w:rFonts w:hint="default"/>
      </w:rPr>
    </w:lvl>
    <w:lvl w:ilvl="1" w:tentative="0">
      <w:start w:val="1"/>
      <w:numFmt w:val="lowerLetter"/>
      <w:lvlText w:val="%2)"/>
      <w:lvlJc w:val="left"/>
      <w:pPr>
        <w:ind w:left="1418" w:hanging="420"/>
      </w:pPr>
    </w:lvl>
    <w:lvl w:ilvl="2" w:tentative="0">
      <w:start w:val="1"/>
      <w:numFmt w:val="lowerRoman"/>
      <w:lvlText w:val="%3."/>
      <w:lvlJc w:val="right"/>
      <w:pPr>
        <w:ind w:left="1838" w:hanging="420"/>
      </w:pPr>
    </w:lvl>
    <w:lvl w:ilvl="3" w:tentative="0">
      <w:start w:val="1"/>
      <w:numFmt w:val="decimal"/>
      <w:lvlText w:val="%4."/>
      <w:lvlJc w:val="left"/>
      <w:pPr>
        <w:ind w:left="2258" w:hanging="420"/>
      </w:pPr>
    </w:lvl>
    <w:lvl w:ilvl="4" w:tentative="0">
      <w:start w:val="1"/>
      <w:numFmt w:val="lowerLetter"/>
      <w:lvlText w:val="%5)"/>
      <w:lvlJc w:val="left"/>
      <w:pPr>
        <w:ind w:left="2678" w:hanging="420"/>
      </w:pPr>
    </w:lvl>
    <w:lvl w:ilvl="5" w:tentative="0">
      <w:start w:val="1"/>
      <w:numFmt w:val="lowerRoman"/>
      <w:lvlText w:val="%6."/>
      <w:lvlJc w:val="right"/>
      <w:pPr>
        <w:ind w:left="3098" w:hanging="420"/>
      </w:pPr>
    </w:lvl>
    <w:lvl w:ilvl="6" w:tentative="0">
      <w:start w:val="1"/>
      <w:numFmt w:val="decimal"/>
      <w:lvlText w:val="%7."/>
      <w:lvlJc w:val="left"/>
      <w:pPr>
        <w:ind w:left="3518" w:hanging="420"/>
      </w:pPr>
    </w:lvl>
    <w:lvl w:ilvl="7" w:tentative="0">
      <w:start w:val="1"/>
      <w:numFmt w:val="lowerLetter"/>
      <w:lvlText w:val="%8)"/>
      <w:lvlJc w:val="left"/>
      <w:pPr>
        <w:ind w:left="3938" w:hanging="420"/>
      </w:pPr>
    </w:lvl>
    <w:lvl w:ilvl="8" w:tentative="0">
      <w:start w:val="1"/>
      <w:numFmt w:val="lowerRoman"/>
      <w:lvlText w:val="%9."/>
      <w:lvlJc w:val="right"/>
      <w:pPr>
        <w:ind w:left="4358"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mOWY3MjU0MGNhMjQ5M2Q3NmI2ODlhZjRjZWNiYTUifQ=="/>
  </w:docVars>
  <w:rsids>
    <w:rsidRoot w:val="00172A27"/>
    <w:rsid w:val="00002595"/>
    <w:rsid w:val="00004096"/>
    <w:rsid w:val="00010332"/>
    <w:rsid w:val="00013A2B"/>
    <w:rsid w:val="00017241"/>
    <w:rsid w:val="000348AF"/>
    <w:rsid w:val="00040C9B"/>
    <w:rsid w:val="000426FC"/>
    <w:rsid w:val="00044B6F"/>
    <w:rsid w:val="00050B36"/>
    <w:rsid w:val="000608D8"/>
    <w:rsid w:val="000624C7"/>
    <w:rsid w:val="000644C2"/>
    <w:rsid w:val="000721CD"/>
    <w:rsid w:val="00077D1A"/>
    <w:rsid w:val="0008243D"/>
    <w:rsid w:val="0008373B"/>
    <w:rsid w:val="000838F4"/>
    <w:rsid w:val="0008440B"/>
    <w:rsid w:val="00085044"/>
    <w:rsid w:val="00086150"/>
    <w:rsid w:val="0009318F"/>
    <w:rsid w:val="000960BB"/>
    <w:rsid w:val="000A2233"/>
    <w:rsid w:val="000A731A"/>
    <w:rsid w:val="000B426B"/>
    <w:rsid w:val="000B580F"/>
    <w:rsid w:val="000C2269"/>
    <w:rsid w:val="000C694E"/>
    <w:rsid w:val="000C6E7A"/>
    <w:rsid w:val="000D2ED2"/>
    <w:rsid w:val="000E4016"/>
    <w:rsid w:val="000E75D5"/>
    <w:rsid w:val="0010056B"/>
    <w:rsid w:val="00105835"/>
    <w:rsid w:val="00111277"/>
    <w:rsid w:val="00112119"/>
    <w:rsid w:val="001139FF"/>
    <w:rsid w:val="00117178"/>
    <w:rsid w:val="00117AC2"/>
    <w:rsid w:val="00121DF5"/>
    <w:rsid w:val="00127AAB"/>
    <w:rsid w:val="00131273"/>
    <w:rsid w:val="001314BB"/>
    <w:rsid w:val="00134BEC"/>
    <w:rsid w:val="00143256"/>
    <w:rsid w:val="00145B97"/>
    <w:rsid w:val="00145ED4"/>
    <w:rsid w:val="00147DB0"/>
    <w:rsid w:val="00155B93"/>
    <w:rsid w:val="0016138D"/>
    <w:rsid w:val="00166CAF"/>
    <w:rsid w:val="001678A8"/>
    <w:rsid w:val="00172A27"/>
    <w:rsid w:val="001731FB"/>
    <w:rsid w:val="00176943"/>
    <w:rsid w:val="00181319"/>
    <w:rsid w:val="00186598"/>
    <w:rsid w:val="00191AA7"/>
    <w:rsid w:val="0019448D"/>
    <w:rsid w:val="001A001C"/>
    <w:rsid w:val="001A0914"/>
    <w:rsid w:val="001A25B2"/>
    <w:rsid w:val="001A2A5C"/>
    <w:rsid w:val="001C2B08"/>
    <w:rsid w:val="001C760F"/>
    <w:rsid w:val="001D5EAB"/>
    <w:rsid w:val="001D635D"/>
    <w:rsid w:val="001E7192"/>
    <w:rsid w:val="001E76B4"/>
    <w:rsid w:val="001F5CE1"/>
    <w:rsid w:val="001F74E2"/>
    <w:rsid w:val="002169AF"/>
    <w:rsid w:val="00233B86"/>
    <w:rsid w:val="00233FA0"/>
    <w:rsid w:val="002379BD"/>
    <w:rsid w:val="00240048"/>
    <w:rsid w:val="00243BFA"/>
    <w:rsid w:val="002573E0"/>
    <w:rsid w:val="00260FD6"/>
    <w:rsid w:val="0026325A"/>
    <w:rsid w:val="00263309"/>
    <w:rsid w:val="00264A14"/>
    <w:rsid w:val="00277A90"/>
    <w:rsid w:val="00277F66"/>
    <w:rsid w:val="00281079"/>
    <w:rsid w:val="002812B7"/>
    <w:rsid w:val="00283E26"/>
    <w:rsid w:val="002909CD"/>
    <w:rsid w:val="00296745"/>
    <w:rsid w:val="002A277B"/>
    <w:rsid w:val="002A4E3B"/>
    <w:rsid w:val="002B6518"/>
    <w:rsid w:val="002C02D0"/>
    <w:rsid w:val="002C18F5"/>
    <w:rsid w:val="002C4A86"/>
    <w:rsid w:val="002E085D"/>
    <w:rsid w:val="002E2E99"/>
    <w:rsid w:val="002F428F"/>
    <w:rsid w:val="002F59A5"/>
    <w:rsid w:val="00302400"/>
    <w:rsid w:val="0030540F"/>
    <w:rsid w:val="00313D75"/>
    <w:rsid w:val="003149A3"/>
    <w:rsid w:val="003220C8"/>
    <w:rsid w:val="0032266C"/>
    <w:rsid w:val="00322E2A"/>
    <w:rsid w:val="00324F02"/>
    <w:rsid w:val="003267A3"/>
    <w:rsid w:val="003355B0"/>
    <w:rsid w:val="00336C46"/>
    <w:rsid w:val="0034216F"/>
    <w:rsid w:val="003430B1"/>
    <w:rsid w:val="003465BF"/>
    <w:rsid w:val="00347CC3"/>
    <w:rsid w:val="00352571"/>
    <w:rsid w:val="00355CD0"/>
    <w:rsid w:val="003560A3"/>
    <w:rsid w:val="003701D9"/>
    <w:rsid w:val="00371978"/>
    <w:rsid w:val="00383DA7"/>
    <w:rsid w:val="00385FE4"/>
    <w:rsid w:val="00386BE3"/>
    <w:rsid w:val="00392F9D"/>
    <w:rsid w:val="0039352E"/>
    <w:rsid w:val="00396C5D"/>
    <w:rsid w:val="00397CE7"/>
    <w:rsid w:val="003A04B0"/>
    <w:rsid w:val="003A2A63"/>
    <w:rsid w:val="003A2A86"/>
    <w:rsid w:val="003A514D"/>
    <w:rsid w:val="003A707C"/>
    <w:rsid w:val="003B1F2C"/>
    <w:rsid w:val="003B2C1A"/>
    <w:rsid w:val="003B2C7A"/>
    <w:rsid w:val="003C0236"/>
    <w:rsid w:val="003E7F88"/>
    <w:rsid w:val="003F0D73"/>
    <w:rsid w:val="003F69EA"/>
    <w:rsid w:val="00401EB4"/>
    <w:rsid w:val="004026E6"/>
    <w:rsid w:val="00407B0E"/>
    <w:rsid w:val="0041492E"/>
    <w:rsid w:val="004154CE"/>
    <w:rsid w:val="00420D0E"/>
    <w:rsid w:val="00421C54"/>
    <w:rsid w:val="00424037"/>
    <w:rsid w:val="0043344E"/>
    <w:rsid w:val="00435FDF"/>
    <w:rsid w:val="00441050"/>
    <w:rsid w:val="00445544"/>
    <w:rsid w:val="00446FBC"/>
    <w:rsid w:val="00453BC3"/>
    <w:rsid w:val="00454437"/>
    <w:rsid w:val="00454877"/>
    <w:rsid w:val="00456AAF"/>
    <w:rsid w:val="00462EDB"/>
    <w:rsid w:val="004644B6"/>
    <w:rsid w:val="00464D11"/>
    <w:rsid w:val="0047172C"/>
    <w:rsid w:val="00471C05"/>
    <w:rsid w:val="00471EEF"/>
    <w:rsid w:val="00476BD7"/>
    <w:rsid w:val="00477144"/>
    <w:rsid w:val="00481C22"/>
    <w:rsid w:val="00484F65"/>
    <w:rsid w:val="004874F2"/>
    <w:rsid w:val="0049692E"/>
    <w:rsid w:val="004A3510"/>
    <w:rsid w:val="004A7273"/>
    <w:rsid w:val="004B13A7"/>
    <w:rsid w:val="004B17C9"/>
    <w:rsid w:val="004B484E"/>
    <w:rsid w:val="004B72DC"/>
    <w:rsid w:val="004C13D8"/>
    <w:rsid w:val="004C2562"/>
    <w:rsid w:val="004C32B4"/>
    <w:rsid w:val="004C3B2A"/>
    <w:rsid w:val="004C79F9"/>
    <w:rsid w:val="004D3512"/>
    <w:rsid w:val="004D40A0"/>
    <w:rsid w:val="004D6E28"/>
    <w:rsid w:val="004D7D02"/>
    <w:rsid w:val="004E1C91"/>
    <w:rsid w:val="004E28B6"/>
    <w:rsid w:val="004E290F"/>
    <w:rsid w:val="004E503E"/>
    <w:rsid w:val="004E69D2"/>
    <w:rsid w:val="004E7431"/>
    <w:rsid w:val="004F1F3D"/>
    <w:rsid w:val="004F3434"/>
    <w:rsid w:val="004F5C4A"/>
    <w:rsid w:val="004F7E5E"/>
    <w:rsid w:val="00502A2F"/>
    <w:rsid w:val="005046FD"/>
    <w:rsid w:val="0050573A"/>
    <w:rsid w:val="00506EB2"/>
    <w:rsid w:val="00507D05"/>
    <w:rsid w:val="00512187"/>
    <w:rsid w:val="00513CFA"/>
    <w:rsid w:val="00517549"/>
    <w:rsid w:val="00520EDC"/>
    <w:rsid w:val="005255EF"/>
    <w:rsid w:val="00532859"/>
    <w:rsid w:val="00534384"/>
    <w:rsid w:val="005361C8"/>
    <w:rsid w:val="0054300B"/>
    <w:rsid w:val="00547B9C"/>
    <w:rsid w:val="00550586"/>
    <w:rsid w:val="005531F7"/>
    <w:rsid w:val="00555D72"/>
    <w:rsid w:val="00560AFD"/>
    <w:rsid w:val="00562CA4"/>
    <w:rsid w:val="0056744E"/>
    <w:rsid w:val="00567971"/>
    <w:rsid w:val="00571DE7"/>
    <w:rsid w:val="00582A5A"/>
    <w:rsid w:val="005842E1"/>
    <w:rsid w:val="00591694"/>
    <w:rsid w:val="005943F1"/>
    <w:rsid w:val="005971AF"/>
    <w:rsid w:val="00597E94"/>
    <w:rsid w:val="00597F57"/>
    <w:rsid w:val="005B124E"/>
    <w:rsid w:val="005B1849"/>
    <w:rsid w:val="005B1930"/>
    <w:rsid w:val="005D335C"/>
    <w:rsid w:val="005D3A59"/>
    <w:rsid w:val="005D4483"/>
    <w:rsid w:val="005D5AE4"/>
    <w:rsid w:val="005E3AF6"/>
    <w:rsid w:val="005E7084"/>
    <w:rsid w:val="005F08D8"/>
    <w:rsid w:val="005F112E"/>
    <w:rsid w:val="005F1999"/>
    <w:rsid w:val="005F1D50"/>
    <w:rsid w:val="005F58DF"/>
    <w:rsid w:val="005F61BC"/>
    <w:rsid w:val="00601602"/>
    <w:rsid w:val="006050AD"/>
    <w:rsid w:val="00605EE4"/>
    <w:rsid w:val="00607D8D"/>
    <w:rsid w:val="006122AD"/>
    <w:rsid w:val="00614E8B"/>
    <w:rsid w:val="006169A8"/>
    <w:rsid w:val="0061735A"/>
    <w:rsid w:val="006174B4"/>
    <w:rsid w:val="00625A79"/>
    <w:rsid w:val="00631088"/>
    <w:rsid w:val="00634096"/>
    <w:rsid w:val="006346EC"/>
    <w:rsid w:val="00640B0E"/>
    <w:rsid w:val="006504D2"/>
    <w:rsid w:val="00651845"/>
    <w:rsid w:val="0065366E"/>
    <w:rsid w:val="00653E0E"/>
    <w:rsid w:val="00656D25"/>
    <w:rsid w:val="0066499B"/>
    <w:rsid w:val="00671C05"/>
    <w:rsid w:val="006755B8"/>
    <w:rsid w:val="00682F1A"/>
    <w:rsid w:val="0069605A"/>
    <w:rsid w:val="00697C09"/>
    <w:rsid w:val="006A073F"/>
    <w:rsid w:val="006A0CA5"/>
    <w:rsid w:val="006B0D9D"/>
    <w:rsid w:val="006B2C88"/>
    <w:rsid w:val="006B4100"/>
    <w:rsid w:val="006B6FCF"/>
    <w:rsid w:val="006C36F0"/>
    <w:rsid w:val="006C521D"/>
    <w:rsid w:val="006D00ED"/>
    <w:rsid w:val="006D05EE"/>
    <w:rsid w:val="006D554C"/>
    <w:rsid w:val="006E4599"/>
    <w:rsid w:val="006E47D7"/>
    <w:rsid w:val="006E7BA1"/>
    <w:rsid w:val="006E7FA0"/>
    <w:rsid w:val="006F4055"/>
    <w:rsid w:val="006F78A0"/>
    <w:rsid w:val="007012D0"/>
    <w:rsid w:val="00702A26"/>
    <w:rsid w:val="0070569B"/>
    <w:rsid w:val="00713E98"/>
    <w:rsid w:val="007213E9"/>
    <w:rsid w:val="0072420A"/>
    <w:rsid w:val="007247B0"/>
    <w:rsid w:val="0074288A"/>
    <w:rsid w:val="00744054"/>
    <w:rsid w:val="00744BF8"/>
    <w:rsid w:val="0074723D"/>
    <w:rsid w:val="00750034"/>
    <w:rsid w:val="00750524"/>
    <w:rsid w:val="007659D5"/>
    <w:rsid w:val="007836CB"/>
    <w:rsid w:val="00785DB6"/>
    <w:rsid w:val="00785DD2"/>
    <w:rsid w:val="00786D6A"/>
    <w:rsid w:val="007923EE"/>
    <w:rsid w:val="00795904"/>
    <w:rsid w:val="00796D61"/>
    <w:rsid w:val="007A01CE"/>
    <w:rsid w:val="007A6933"/>
    <w:rsid w:val="007B03F8"/>
    <w:rsid w:val="007B6BF6"/>
    <w:rsid w:val="007C0213"/>
    <w:rsid w:val="007C1FA8"/>
    <w:rsid w:val="007C2C97"/>
    <w:rsid w:val="007C763D"/>
    <w:rsid w:val="007D6D55"/>
    <w:rsid w:val="007E271F"/>
    <w:rsid w:val="007F100B"/>
    <w:rsid w:val="007F1247"/>
    <w:rsid w:val="007F7DA2"/>
    <w:rsid w:val="00803DC6"/>
    <w:rsid w:val="008046BA"/>
    <w:rsid w:val="00807D64"/>
    <w:rsid w:val="0081523C"/>
    <w:rsid w:val="00815758"/>
    <w:rsid w:val="00817140"/>
    <w:rsid w:val="00827CBC"/>
    <w:rsid w:val="00833530"/>
    <w:rsid w:val="00845568"/>
    <w:rsid w:val="00852A86"/>
    <w:rsid w:val="00854B54"/>
    <w:rsid w:val="00864A2D"/>
    <w:rsid w:val="00872E4E"/>
    <w:rsid w:val="00880B66"/>
    <w:rsid w:val="00893E4B"/>
    <w:rsid w:val="008A1EC8"/>
    <w:rsid w:val="008A29E3"/>
    <w:rsid w:val="008A7108"/>
    <w:rsid w:val="008B7492"/>
    <w:rsid w:val="008B7C30"/>
    <w:rsid w:val="008D01AD"/>
    <w:rsid w:val="008D2599"/>
    <w:rsid w:val="008D3036"/>
    <w:rsid w:val="008D4057"/>
    <w:rsid w:val="008D5EBC"/>
    <w:rsid w:val="008E12F0"/>
    <w:rsid w:val="008E2E19"/>
    <w:rsid w:val="008E4A5F"/>
    <w:rsid w:val="008F6A33"/>
    <w:rsid w:val="00900F90"/>
    <w:rsid w:val="0090755E"/>
    <w:rsid w:val="009179D3"/>
    <w:rsid w:val="00920CD7"/>
    <w:rsid w:val="00921060"/>
    <w:rsid w:val="00921277"/>
    <w:rsid w:val="009223BD"/>
    <w:rsid w:val="00922A0D"/>
    <w:rsid w:val="00932149"/>
    <w:rsid w:val="00935AEC"/>
    <w:rsid w:val="0093780E"/>
    <w:rsid w:val="00937845"/>
    <w:rsid w:val="00942DF9"/>
    <w:rsid w:val="0094363A"/>
    <w:rsid w:val="00946830"/>
    <w:rsid w:val="0095271E"/>
    <w:rsid w:val="009531AC"/>
    <w:rsid w:val="009559CA"/>
    <w:rsid w:val="00956C25"/>
    <w:rsid w:val="00976220"/>
    <w:rsid w:val="00982BD0"/>
    <w:rsid w:val="00983C55"/>
    <w:rsid w:val="0098708F"/>
    <w:rsid w:val="009A256A"/>
    <w:rsid w:val="009A2BF9"/>
    <w:rsid w:val="009A32C6"/>
    <w:rsid w:val="009B02F0"/>
    <w:rsid w:val="009C1BC8"/>
    <w:rsid w:val="009C3B12"/>
    <w:rsid w:val="009C6DA8"/>
    <w:rsid w:val="009E3902"/>
    <w:rsid w:val="009F0D0C"/>
    <w:rsid w:val="009F396B"/>
    <w:rsid w:val="009F7D09"/>
    <w:rsid w:val="00A05D47"/>
    <w:rsid w:val="00A10B66"/>
    <w:rsid w:val="00A15B4A"/>
    <w:rsid w:val="00A24FDC"/>
    <w:rsid w:val="00A2700A"/>
    <w:rsid w:val="00A33F2C"/>
    <w:rsid w:val="00A34A1B"/>
    <w:rsid w:val="00A359F2"/>
    <w:rsid w:val="00A43E0D"/>
    <w:rsid w:val="00A4503A"/>
    <w:rsid w:val="00A63E96"/>
    <w:rsid w:val="00A65A13"/>
    <w:rsid w:val="00A6653B"/>
    <w:rsid w:val="00A730D7"/>
    <w:rsid w:val="00A73765"/>
    <w:rsid w:val="00A85B59"/>
    <w:rsid w:val="00A8655C"/>
    <w:rsid w:val="00A90230"/>
    <w:rsid w:val="00A96781"/>
    <w:rsid w:val="00AB3712"/>
    <w:rsid w:val="00AB6FFB"/>
    <w:rsid w:val="00AC3335"/>
    <w:rsid w:val="00AC39CE"/>
    <w:rsid w:val="00AC5600"/>
    <w:rsid w:val="00AE0C43"/>
    <w:rsid w:val="00AE5539"/>
    <w:rsid w:val="00AF1F5A"/>
    <w:rsid w:val="00B01B9E"/>
    <w:rsid w:val="00B02CFD"/>
    <w:rsid w:val="00B04963"/>
    <w:rsid w:val="00B06FD1"/>
    <w:rsid w:val="00B11C34"/>
    <w:rsid w:val="00B14F60"/>
    <w:rsid w:val="00B167C4"/>
    <w:rsid w:val="00B16F37"/>
    <w:rsid w:val="00B223D9"/>
    <w:rsid w:val="00B226A2"/>
    <w:rsid w:val="00B230A4"/>
    <w:rsid w:val="00B262C8"/>
    <w:rsid w:val="00B269FB"/>
    <w:rsid w:val="00B3063C"/>
    <w:rsid w:val="00B4285E"/>
    <w:rsid w:val="00B42C81"/>
    <w:rsid w:val="00B4337E"/>
    <w:rsid w:val="00B4523B"/>
    <w:rsid w:val="00B53274"/>
    <w:rsid w:val="00B55EB5"/>
    <w:rsid w:val="00B62986"/>
    <w:rsid w:val="00B64C9B"/>
    <w:rsid w:val="00B6543E"/>
    <w:rsid w:val="00B80493"/>
    <w:rsid w:val="00B8191E"/>
    <w:rsid w:val="00B83100"/>
    <w:rsid w:val="00B912A9"/>
    <w:rsid w:val="00B91E3D"/>
    <w:rsid w:val="00B9257D"/>
    <w:rsid w:val="00BA1AD2"/>
    <w:rsid w:val="00BA69D4"/>
    <w:rsid w:val="00BA725B"/>
    <w:rsid w:val="00BB76AC"/>
    <w:rsid w:val="00BC356C"/>
    <w:rsid w:val="00BD3199"/>
    <w:rsid w:val="00BE66DA"/>
    <w:rsid w:val="00BF01DE"/>
    <w:rsid w:val="00BF0F44"/>
    <w:rsid w:val="00BF1157"/>
    <w:rsid w:val="00BF3D3F"/>
    <w:rsid w:val="00BF3E45"/>
    <w:rsid w:val="00BF5E51"/>
    <w:rsid w:val="00BF64EA"/>
    <w:rsid w:val="00C163D7"/>
    <w:rsid w:val="00C20BD5"/>
    <w:rsid w:val="00C22D93"/>
    <w:rsid w:val="00C25A5E"/>
    <w:rsid w:val="00C33BBF"/>
    <w:rsid w:val="00C345B5"/>
    <w:rsid w:val="00C352BE"/>
    <w:rsid w:val="00C35F2E"/>
    <w:rsid w:val="00C37918"/>
    <w:rsid w:val="00C44638"/>
    <w:rsid w:val="00C50864"/>
    <w:rsid w:val="00C52F34"/>
    <w:rsid w:val="00C63754"/>
    <w:rsid w:val="00C64084"/>
    <w:rsid w:val="00C65B30"/>
    <w:rsid w:val="00C660AD"/>
    <w:rsid w:val="00C67348"/>
    <w:rsid w:val="00C67AE3"/>
    <w:rsid w:val="00C70955"/>
    <w:rsid w:val="00C71808"/>
    <w:rsid w:val="00C73CBB"/>
    <w:rsid w:val="00C75587"/>
    <w:rsid w:val="00C82775"/>
    <w:rsid w:val="00C8364C"/>
    <w:rsid w:val="00C86EF3"/>
    <w:rsid w:val="00C92B4A"/>
    <w:rsid w:val="00CA2EC7"/>
    <w:rsid w:val="00CB7916"/>
    <w:rsid w:val="00CC4F1F"/>
    <w:rsid w:val="00CD7211"/>
    <w:rsid w:val="00CD799E"/>
    <w:rsid w:val="00CD79B1"/>
    <w:rsid w:val="00CE0415"/>
    <w:rsid w:val="00CE06CB"/>
    <w:rsid w:val="00CE0E35"/>
    <w:rsid w:val="00CE46BA"/>
    <w:rsid w:val="00CE5700"/>
    <w:rsid w:val="00CF0DD6"/>
    <w:rsid w:val="00CF3591"/>
    <w:rsid w:val="00CF4170"/>
    <w:rsid w:val="00D05D2C"/>
    <w:rsid w:val="00D109E3"/>
    <w:rsid w:val="00D11AC4"/>
    <w:rsid w:val="00D1382F"/>
    <w:rsid w:val="00D16B2D"/>
    <w:rsid w:val="00D20E80"/>
    <w:rsid w:val="00D31923"/>
    <w:rsid w:val="00D400C4"/>
    <w:rsid w:val="00D422E5"/>
    <w:rsid w:val="00D42DB1"/>
    <w:rsid w:val="00D44645"/>
    <w:rsid w:val="00D453F5"/>
    <w:rsid w:val="00D47737"/>
    <w:rsid w:val="00D538E5"/>
    <w:rsid w:val="00D6022E"/>
    <w:rsid w:val="00D6613F"/>
    <w:rsid w:val="00D67B0B"/>
    <w:rsid w:val="00D67FB6"/>
    <w:rsid w:val="00D71038"/>
    <w:rsid w:val="00D8175C"/>
    <w:rsid w:val="00D82D27"/>
    <w:rsid w:val="00D83126"/>
    <w:rsid w:val="00D85550"/>
    <w:rsid w:val="00D86AD4"/>
    <w:rsid w:val="00D90AF8"/>
    <w:rsid w:val="00D938AF"/>
    <w:rsid w:val="00D97AA5"/>
    <w:rsid w:val="00DA1BC7"/>
    <w:rsid w:val="00DA2329"/>
    <w:rsid w:val="00DB3A49"/>
    <w:rsid w:val="00DC15EB"/>
    <w:rsid w:val="00DE224B"/>
    <w:rsid w:val="00DE3647"/>
    <w:rsid w:val="00DF137A"/>
    <w:rsid w:val="00E005E1"/>
    <w:rsid w:val="00E0077F"/>
    <w:rsid w:val="00E041E5"/>
    <w:rsid w:val="00E077A3"/>
    <w:rsid w:val="00E14DC9"/>
    <w:rsid w:val="00E34962"/>
    <w:rsid w:val="00E35C31"/>
    <w:rsid w:val="00E3748E"/>
    <w:rsid w:val="00E445F2"/>
    <w:rsid w:val="00E45F31"/>
    <w:rsid w:val="00E46A15"/>
    <w:rsid w:val="00E50058"/>
    <w:rsid w:val="00E5081D"/>
    <w:rsid w:val="00E51C0D"/>
    <w:rsid w:val="00E57A6E"/>
    <w:rsid w:val="00E66B20"/>
    <w:rsid w:val="00E6782A"/>
    <w:rsid w:val="00E73330"/>
    <w:rsid w:val="00E770BC"/>
    <w:rsid w:val="00E82101"/>
    <w:rsid w:val="00E879C0"/>
    <w:rsid w:val="00E90734"/>
    <w:rsid w:val="00E91274"/>
    <w:rsid w:val="00E919A6"/>
    <w:rsid w:val="00EA1EB9"/>
    <w:rsid w:val="00EA324E"/>
    <w:rsid w:val="00EA63F6"/>
    <w:rsid w:val="00EA7857"/>
    <w:rsid w:val="00EB1499"/>
    <w:rsid w:val="00EB6B65"/>
    <w:rsid w:val="00EB7282"/>
    <w:rsid w:val="00EC0869"/>
    <w:rsid w:val="00EE24D4"/>
    <w:rsid w:val="00F029CC"/>
    <w:rsid w:val="00F02E04"/>
    <w:rsid w:val="00F0388E"/>
    <w:rsid w:val="00F05A96"/>
    <w:rsid w:val="00F10CF4"/>
    <w:rsid w:val="00F14C77"/>
    <w:rsid w:val="00F2445D"/>
    <w:rsid w:val="00F3077E"/>
    <w:rsid w:val="00F33C33"/>
    <w:rsid w:val="00F401C1"/>
    <w:rsid w:val="00F44421"/>
    <w:rsid w:val="00F46E30"/>
    <w:rsid w:val="00F60783"/>
    <w:rsid w:val="00F608C3"/>
    <w:rsid w:val="00F64824"/>
    <w:rsid w:val="00F65ED0"/>
    <w:rsid w:val="00F67F76"/>
    <w:rsid w:val="00F7123B"/>
    <w:rsid w:val="00F818DB"/>
    <w:rsid w:val="00F82172"/>
    <w:rsid w:val="00F86DF8"/>
    <w:rsid w:val="00F911DF"/>
    <w:rsid w:val="00FA32D1"/>
    <w:rsid w:val="00FA502F"/>
    <w:rsid w:val="00FB2716"/>
    <w:rsid w:val="00FB3959"/>
    <w:rsid w:val="00FC2D55"/>
    <w:rsid w:val="00FD3F2A"/>
    <w:rsid w:val="00FE2C85"/>
    <w:rsid w:val="00FE6BE0"/>
    <w:rsid w:val="00FF1127"/>
    <w:rsid w:val="00FF32F5"/>
    <w:rsid w:val="01276B70"/>
    <w:rsid w:val="012C3BE2"/>
    <w:rsid w:val="01482A65"/>
    <w:rsid w:val="019E529B"/>
    <w:rsid w:val="01EA7F33"/>
    <w:rsid w:val="02201866"/>
    <w:rsid w:val="024318C6"/>
    <w:rsid w:val="02B70580"/>
    <w:rsid w:val="03C17B39"/>
    <w:rsid w:val="04332A92"/>
    <w:rsid w:val="04D408FB"/>
    <w:rsid w:val="05534A4C"/>
    <w:rsid w:val="058C4826"/>
    <w:rsid w:val="062D5E1A"/>
    <w:rsid w:val="069210C6"/>
    <w:rsid w:val="07965F00"/>
    <w:rsid w:val="082D6099"/>
    <w:rsid w:val="086C26E0"/>
    <w:rsid w:val="086C5D2B"/>
    <w:rsid w:val="0888365C"/>
    <w:rsid w:val="0923440D"/>
    <w:rsid w:val="09A920E8"/>
    <w:rsid w:val="0A8C0317"/>
    <w:rsid w:val="0BEF2CCC"/>
    <w:rsid w:val="0D8D2C59"/>
    <w:rsid w:val="0E2429A6"/>
    <w:rsid w:val="0E8E13BC"/>
    <w:rsid w:val="0ED9482B"/>
    <w:rsid w:val="0F3A1A89"/>
    <w:rsid w:val="0F491319"/>
    <w:rsid w:val="0F817C7F"/>
    <w:rsid w:val="0FAE0C0C"/>
    <w:rsid w:val="0FEB18AD"/>
    <w:rsid w:val="101A6B79"/>
    <w:rsid w:val="10A2451B"/>
    <w:rsid w:val="111C11EE"/>
    <w:rsid w:val="11CC1DC3"/>
    <w:rsid w:val="11E3187C"/>
    <w:rsid w:val="123526EB"/>
    <w:rsid w:val="123E0DFD"/>
    <w:rsid w:val="124E5814"/>
    <w:rsid w:val="136278DA"/>
    <w:rsid w:val="139411C6"/>
    <w:rsid w:val="140838EB"/>
    <w:rsid w:val="141A7FA7"/>
    <w:rsid w:val="144840BB"/>
    <w:rsid w:val="148B217E"/>
    <w:rsid w:val="15CD0B83"/>
    <w:rsid w:val="164E24E9"/>
    <w:rsid w:val="169961A3"/>
    <w:rsid w:val="16E74519"/>
    <w:rsid w:val="1777230E"/>
    <w:rsid w:val="17920939"/>
    <w:rsid w:val="19420680"/>
    <w:rsid w:val="1A6A05EB"/>
    <w:rsid w:val="1A707A6D"/>
    <w:rsid w:val="1AF112C0"/>
    <w:rsid w:val="1BA863A5"/>
    <w:rsid w:val="1BE03A05"/>
    <w:rsid w:val="1C3F69E4"/>
    <w:rsid w:val="1CEB0181"/>
    <w:rsid w:val="1D0C2E56"/>
    <w:rsid w:val="1D322AF4"/>
    <w:rsid w:val="1DCA3F6C"/>
    <w:rsid w:val="1E995338"/>
    <w:rsid w:val="1EAE5864"/>
    <w:rsid w:val="1EC62F0A"/>
    <w:rsid w:val="1EED1ACC"/>
    <w:rsid w:val="1F1B2614"/>
    <w:rsid w:val="1F2325C1"/>
    <w:rsid w:val="1FAB24C6"/>
    <w:rsid w:val="1FD52AAE"/>
    <w:rsid w:val="204123F7"/>
    <w:rsid w:val="20656096"/>
    <w:rsid w:val="22056258"/>
    <w:rsid w:val="22486498"/>
    <w:rsid w:val="2313187B"/>
    <w:rsid w:val="23135718"/>
    <w:rsid w:val="232946DA"/>
    <w:rsid w:val="23A87290"/>
    <w:rsid w:val="23C3147F"/>
    <w:rsid w:val="23D22653"/>
    <w:rsid w:val="23F92512"/>
    <w:rsid w:val="24DB2B05"/>
    <w:rsid w:val="250D6F6A"/>
    <w:rsid w:val="25B5026A"/>
    <w:rsid w:val="25FD3EE1"/>
    <w:rsid w:val="26B751DE"/>
    <w:rsid w:val="26D8294B"/>
    <w:rsid w:val="29311825"/>
    <w:rsid w:val="293D0755"/>
    <w:rsid w:val="2A994270"/>
    <w:rsid w:val="2AE83A37"/>
    <w:rsid w:val="2B215A50"/>
    <w:rsid w:val="2B6B45C8"/>
    <w:rsid w:val="2B9933F4"/>
    <w:rsid w:val="2B9C35B1"/>
    <w:rsid w:val="2BA45A27"/>
    <w:rsid w:val="2CA64350"/>
    <w:rsid w:val="2CEA02BC"/>
    <w:rsid w:val="2CFE7466"/>
    <w:rsid w:val="2D1F7038"/>
    <w:rsid w:val="2D67726C"/>
    <w:rsid w:val="2D803AB9"/>
    <w:rsid w:val="2E3138CD"/>
    <w:rsid w:val="2E990003"/>
    <w:rsid w:val="2FD379C7"/>
    <w:rsid w:val="301C5477"/>
    <w:rsid w:val="30517FE3"/>
    <w:rsid w:val="30637F23"/>
    <w:rsid w:val="306B33C3"/>
    <w:rsid w:val="30935525"/>
    <w:rsid w:val="30D64CF5"/>
    <w:rsid w:val="30D97238"/>
    <w:rsid w:val="31065D72"/>
    <w:rsid w:val="31310734"/>
    <w:rsid w:val="31894E52"/>
    <w:rsid w:val="31CA30A4"/>
    <w:rsid w:val="31D70946"/>
    <w:rsid w:val="32165D2E"/>
    <w:rsid w:val="32D8387B"/>
    <w:rsid w:val="332D5F33"/>
    <w:rsid w:val="33A05842"/>
    <w:rsid w:val="33F804CD"/>
    <w:rsid w:val="34097D64"/>
    <w:rsid w:val="34106DFB"/>
    <w:rsid w:val="345D6EFA"/>
    <w:rsid w:val="347026DF"/>
    <w:rsid w:val="348070AE"/>
    <w:rsid w:val="349C7E37"/>
    <w:rsid w:val="34BB252B"/>
    <w:rsid w:val="34EB675E"/>
    <w:rsid w:val="363E3B8C"/>
    <w:rsid w:val="365A34BC"/>
    <w:rsid w:val="36612E47"/>
    <w:rsid w:val="369646D3"/>
    <w:rsid w:val="36D72A86"/>
    <w:rsid w:val="382D02FB"/>
    <w:rsid w:val="383F45D6"/>
    <w:rsid w:val="388C3F4E"/>
    <w:rsid w:val="38F2407A"/>
    <w:rsid w:val="390F142C"/>
    <w:rsid w:val="392748D4"/>
    <w:rsid w:val="39AF5AB2"/>
    <w:rsid w:val="39D61309"/>
    <w:rsid w:val="3A4614A9"/>
    <w:rsid w:val="3A564FC6"/>
    <w:rsid w:val="3A8C1C1D"/>
    <w:rsid w:val="3A954AAB"/>
    <w:rsid w:val="3A9C252D"/>
    <w:rsid w:val="3ABC1B13"/>
    <w:rsid w:val="3AEE7380"/>
    <w:rsid w:val="3B001460"/>
    <w:rsid w:val="3B875338"/>
    <w:rsid w:val="3B933D96"/>
    <w:rsid w:val="3BC02F13"/>
    <w:rsid w:val="3BCE5AAC"/>
    <w:rsid w:val="3D1E1EB5"/>
    <w:rsid w:val="3D4A1767"/>
    <w:rsid w:val="3D957616"/>
    <w:rsid w:val="3DA940B9"/>
    <w:rsid w:val="3E0334CE"/>
    <w:rsid w:val="3EE971DF"/>
    <w:rsid w:val="40290C82"/>
    <w:rsid w:val="40915CFA"/>
    <w:rsid w:val="40F60EB8"/>
    <w:rsid w:val="41817272"/>
    <w:rsid w:val="41864792"/>
    <w:rsid w:val="41AC5E1B"/>
    <w:rsid w:val="41B758BF"/>
    <w:rsid w:val="41BA6A61"/>
    <w:rsid w:val="41C041EE"/>
    <w:rsid w:val="421B1581"/>
    <w:rsid w:val="43942EB7"/>
    <w:rsid w:val="439E6C53"/>
    <w:rsid w:val="43F5638C"/>
    <w:rsid w:val="44657046"/>
    <w:rsid w:val="447B4066"/>
    <w:rsid w:val="44A76AED"/>
    <w:rsid w:val="44C012D8"/>
    <w:rsid w:val="44F1532A"/>
    <w:rsid w:val="45303661"/>
    <w:rsid w:val="454A6CBD"/>
    <w:rsid w:val="45DF172F"/>
    <w:rsid w:val="45FB325E"/>
    <w:rsid w:val="46547170"/>
    <w:rsid w:val="467B4E31"/>
    <w:rsid w:val="478B3EC9"/>
    <w:rsid w:val="484F3AB2"/>
    <w:rsid w:val="49B974FF"/>
    <w:rsid w:val="4A5D5D91"/>
    <w:rsid w:val="4A64791A"/>
    <w:rsid w:val="4AF074FE"/>
    <w:rsid w:val="4B691746"/>
    <w:rsid w:val="4BAC56B3"/>
    <w:rsid w:val="4C8E750A"/>
    <w:rsid w:val="4CBA7DEE"/>
    <w:rsid w:val="4D087579"/>
    <w:rsid w:val="4D672410"/>
    <w:rsid w:val="4DBF1E38"/>
    <w:rsid w:val="4DE84F31"/>
    <w:rsid w:val="4E1103A0"/>
    <w:rsid w:val="4E5101DC"/>
    <w:rsid w:val="4F170F52"/>
    <w:rsid w:val="4FD87D0C"/>
    <w:rsid w:val="50CB601A"/>
    <w:rsid w:val="50EB4351"/>
    <w:rsid w:val="514B0B80"/>
    <w:rsid w:val="517F3A81"/>
    <w:rsid w:val="518A5153"/>
    <w:rsid w:val="51B81163"/>
    <w:rsid w:val="532661FA"/>
    <w:rsid w:val="53F10DC5"/>
    <w:rsid w:val="54DE2B6E"/>
    <w:rsid w:val="558D2203"/>
    <w:rsid w:val="565E0EBF"/>
    <w:rsid w:val="56663D4D"/>
    <w:rsid w:val="578D68CA"/>
    <w:rsid w:val="580735FF"/>
    <w:rsid w:val="58EB36FA"/>
    <w:rsid w:val="59427D02"/>
    <w:rsid w:val="5A0264A1"/>
    <w:rsid w:val="5A582DE6"/>
    <w:rsid w:val="5AE7002E"/>
    <w:rsid w:val="5B6B6514"/>
    <w:rsid w:val="5BC27F78"/>
    <w:rsid w:val="5C1A2390"/>
    <w:rsid w:val="5D0A5B35"/>
    <w:rsid w:val="5D5C58FB"/>
    <w:rsid w:val="5D7054D9"/>
    <w:rsid w:val="5D7B386B"/>
    <w:rsid w:val="5DD66DF5"/>
    <w:rsid w:val="5E1075E1"/>
    <w:rsid w:val="5E35651C"/>
    <w:rsid w:val="5E4245C0"/>
    <w:rsid w:val="5EA0364D"/>
    <w:rsid w:val="5EAB28FC"/>
    <w:rsid w:val="5ED44A5B"/>
    <w:rsid w:val="5F2F7A39"/>
    <w:rsid w:val="605C13A4"/>
    <w:rsid w:val="614800A8"/>
    <w:rsid w:val="617059E9"/>
    <w:rsid w:val="61AE7A4D"/>
    <w:rsid w:val="61BF5187"/>
    <w:rsid w:val="61D95419"/>
    <w:rsid w:val="62B250FC"/>
    <w:rsid w:val="62FF24D8"/>
    <w:rsid w:val="6317701F"/>
    <w:rsid w:val="63A45151"/>
    <w:rsid w:val="6407626A"/>
    <w:rsid w:val="642059F8"/>
    <w:rsid w:val="643D4EAE"/>
    <w:rsid w:val="64625A39"/>
    <w:rsid w:val="646B5216"/>
    <w:rsid w:val="650236C7"/>
    <w:rsid w:val="652C450B"/>
    <w:rsid w:val="659B1D19"/>
    <w:rsid w:val="65AF3460"/>
    <w:rsid w:val="66AC7E7F"/>
    <w:rsid w:val="673649EA"/>
    <w:rsid w:val="67521628"/>
    <w:rsid w:val="67F95923"/>
    <w:rsid w:val="67FC74FB"/>
    <w:rsid w:val="68BB6C4E"/>
    <w:rsid w:val="690E7426"/>
    <w:rsid w:val="692E211D"/>
    <w:rsid w:val="693D7BB4"/>
    <w:rsid w:val="696D5485"/>
    <w:rsid w:val="6A071E00"/>
    <w:rsid w:val="6AB976A5"/>
    <w:rsid w:val="6AC63E03"/>
    <w:rsid w:val="6ADF6577"/>
    <w:rsid w:val="6B3D6642"/>
    <w:rsid w:val="6B421B88"/>
    <w:rsid w:val="6B6320BC"/>
    <w:rsid w:val="6BA10C89"/>
    <w:rsid w:val="6C0B5DE6"/>
    <w:rsid w:val="6D705B74"/>
    <w:rsid w:val="6D9E6164"/>
    <w:rsid w:val="6DA44832"/>
    <w:rsid w:val="6DEF2A6B"/>
    <w:rsid w:val="6E9728B8"/>
    <w:rsid w:val="6F150D98"/>
    <w:rsid w:val="6FBA2FDB"/>
    <w:rsid w:val="70D127A3"/>
    <w:rsid w:val="70D85397"/>
    <w:rsid w:val="715F082F"/>
    <w:rsid w:val="71E12103"/>
    <w:rsid w:val="71E16743"/>
    <w:rsid w:val="723A1D75"/>
    <w:rsid w:val="723B23E2"/>
    <w:rsid w:val="7252741C"/>
    <w:rsid w:val="726409BB"/>
    <w:rsid w:val="726A1288"/>
    <w:rsid w:val="72C05852"/>
    <w:rsid w:val="73646DE4"/>
    <w:rsid w:val="73CA3785"/>
    <w:rsid w:val="73F64291"/>
    <w:rsid w:val="743047AF"/>
    <w:rsid w:val="74A6557B"/>
    <w:rsid w:val="752836C2"/>
    <w:rsid w:val="755A5196"/>
    <w:rsid w:val="76895E36"/>
    <w:rsid w:val="768C2AF8"/>
    <w:rsid w:val="778A0CAD"/>
    <w:rsid w:val="77927327"/>
    <w:rsid w:val="77D05B9F"/>
    <w:rsid w:val="798B6B74"/>
    <w:rsid w:val="7B7D7929"/>
    <w:rsid w:val="7BE06567"/>
    <w:rsid w:val="7BF043E5"/>
    <w:rsid w:val="7BF0440A"/>
    <w:rsid w:val="7C5B49D6"/>
    <w:rsid w:val="7C664B74"/>
    <w:rsid w:val="7CB55428"/>
    <w:rsid w:val="7CF65E91"/>
    <w:rsid w:val="7CF75D8B"/>
    <w:rsid w:val="7D4072B2"/>
    <w:rsid w:val="7DC05A9C"/>
    <w:rsid w:val="7FF5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0"/>
    </w:rPr>
  </w:style>
  <w:style w:type="paragraph" w:styleId="3">
    <w:name w:val="Normal Indent"/>
    <w:basedOn w:val="1"/>
    <w:link w:val="45"/>
    <w:unhideWhenUsed/>
    <w:qFormat/>
    <w:uiPriority w:val="99"/>
    <w:pPr>
      <w:widowControl/>
      <w:ind w:firstLine="420" w:firstLineChars="200"/>
      <w:jc w:val="left"/>
    </w:pPr>
    <w:rPr>
      <w:rFonts w:hAnsi="宋体"/>
      <w:kern w:val="0"/>
      <w:sz w:val="24"/>
    </w:rPr>
  </w:style>
  <w:style w:type="paragraph" w:styleId="4">
    <w:name w:val="Document Map"/>
    <w:basedOn w:val="1"/>
    <w:qFormat/>
    <w:uiPriority w:val="0"/>
    <w:pPr>
      <w:shd w:val="clear" w:color="auto" w:fill="000080"/>
    </w:pPr>
    <w:rPr>
      <w:szCs w:val="20"/>
    </w:rPr>
  </w:style>
  <w:style w:type="paragraph" w:styleId="5">
    <w:name w:val="annotation text"/>
    <w:basedOn w:val="1"/>
    <w:link w:val="18"/>
    <w:qFormat/>
    <w:uiPriority w:val="0"/>
    <w:pPr>
      <w:jc w:val="left"/>
    </w:pPr>
  </w:style>
  <w:style w:type="paragraph" w:styleId="6">
    <w:name w:val="Body Text Indent"/>
    <w:basedOn w:val="1"/>
    <w:qFormat/>
    <w:uiPriority w:val="0"/>
    <w:pPr>
      <w:ind w:firstLine="570"/>
    </w:pPr>
    <w:rPr>
      <w:sz w:val="28"/>
    </w:rPr>
  </w:style>
  <w:style w:type="paragraph" w:styleId="7">
    <w:name w:val="Balloon Text"/>
    <w:basedOn w:val="1"/>
    <w:qFormat/>
    <w:uiPriority w:val="0"/>
    <w:rPr>
      <w:sz w:val="18"/>
      <w:szCs w:val="18"/>
    </w:rPr>
  </w:style>
  <w:style w:type="paragraph" w:styleId="8">
    <w:name w:val="footer"/>
    <w:basedOn w:val="1"/>
    <w:link w:val="23"/>
    <w:qFormat/>
    <w:uiPriority w:val="99"/>
    <w:pPr>
      <w:tabs>
        <w:tab w:val="center" w:pos="4153"/>
        <w:tab w:val="right" w:pos="8306"/>
      </w:tabs>
      <w:adjustRightInd w:val="0"/>
      <w:spacing w:line="240" w:lineRule="atLeast"/>
      <w:jc w:val="left"/>
      <w:textAlignment w:val="baseline"/>
    </w:pPr>
    <w:rPr>
      <w:rFonts w:eastAsia="长城仿宋"/>
      <w:kern w:val="0"/>
      <w:sz w:val="18"/>
      <w:lang w:val="zh-CN"/>
    </w:rPr>
  </w:style>
  <w:style w:type="paragraph" w:styleId="9">
    <w:name w:val="header"/>
    <w:basedOn w:val="1"/>
    <w:link w:val="22"/>
    <w:qFormat/>
    <w:uiPriority w:val="99"/>
    <w:pPr>
      <w:pBdr>
        <w:bottom w:val="single" w:color="auto" w:sz="6" w:space="1"/>
      </w:pBdr>
      <w:tabs>
        <w:tab w:val="center" w:pos="4153"/>
        <w:tab w:val="right" w:pos="8306"/>
      </w:tabs>
      <w:adjustRightInd w:val="0"/>
      <w:spacing w:line="240" w:lineRule="atLeast"/>
      <w:jc w:val="center"/>
      <w:textAlignment w:val="baseline"/>
    </w:pPr>
    <w:rPr>
      <w:rFonts w:eastAsia="长城仿宋"/>
      <w:kern w:val="0"/>
      <w:sz w:val="18"/>
      <w:lang w:val="zh-CN"/>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paragraph" w:styleId="11">
    <w:name w:val="annotation subject"/>
    <w:basedOn w:val="5"/>
    <w:next w:val="5"/>
    <w:qFormat/>
    <w:uiPriority w:val="0"/>
    <w:rPr>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rPr>
      <w:rFonts w:eastAsia="宋体"/>
      <w:kern w:val="2"/>
      <w:sz w:val="24"/>
      <w:szCs w:val="24"/>
      <w:lang w:val="en-US" w:eastAsia="zh-CN" w:bidi="ar-SA"/>
    </w:rPr>
  </w:style>
  <w:style w:type="character" w:styleId="16">
    <w:name w:val="Hyperlink"/>
    <w:qFormat/>
    <w:uiPriority w:val="0"/>
    <w:rPr>
      <w:rFonts w:eastAsia="宋体"/>
      <w:color w:val="0000FF"/>
      <w:szCs w:val="24"/>
      <w:u w:val="single"/>
    </w:rPr>
  </w:style>
  <w:style w:type="character" w:styleId="17">
    <w:name w:val="annotation reference"/>
    <w:qFormat/>
    <w:uiPriority w:val="0"/>
    <w:rPr>
      <w:rFonts w:eastAsia="宋体"/>
      <w:sz w:val="21"/>
      <w:szCs w:val="21"/>
    </w:rPr>
  </w:style>
  <w:style w:type="character" w:customStyle="1" w:styleId="18">
    <w:name w:val="批注文字 字符"/>
    <w:link w:val="5"/>
    <w:semiHidden/>
    <w:qFormat/>
    <w:locked/>
    <w:uiPriority w:val="0"/>
    <w:rPr>
      <w:rFonts w:eastAsia="宋体"/>
      <w:kern w:val="2"/>
      <w:sz w:val="21"/>
      <w:szCs w:val="24"/>
      <w:lang w:val="en-US" w:eastAsia="zh-CN" w:bidi="ar-SA"/>
    </w:rPr>
  </w:style>
  <w:style w:type="character" w:customStyle="1" w:styleId="19">
    <w:name w:val="章节二 Char Char"/>
    <w:qFormat/>
    <w:uiPriority w:val="0"/>
    <w:rPr>
      <w:rFonts w:eastAsia="黑体"/>
      <w:b/>
      <w:snapToGrid w:val="0"/>
      <w:spacing w:val="4"/>
      <w:sz w:val="30"/>
      <w:szCs w:val="30"/>
      <w:lang w:val="en-US" w:eastAsia="zh-CN" w:bidi="ar-SA"/>
    </w:rPr>
  </w:style>
  <w:style w:type="character" w:customStyle="1" w:styleId="20">
    <w:name w:val="apple-converted-space"/>
    <w:basedOn w:val="14"/>
    <w:qFormat/>
    <w:uiPriority w:val="0"/>
    <w:rPr>
      <w:rFonts w:eastAsia="宋体"/>
      <w:szCs w:val="24"/>
    </w:rPr>
  </w:style>
  <w:style w:type="character" w:customStyle="1" w:styleId="21">
    <w:name w:val="章节一 Char Char"/>
    <w:qFormat/>
    <w:uiPriority w:val="0"/>
    <w:rPr>
      <w:rFonts w:eastAsia="黑体"/>
      <w:b/>
      <w:snapToGrid w:val="0"/>
      <w:spacing w:val="4"/>
      <w:sz w:val="36"/>
      <w:szCs w:val="36"/>
      <w:lang w:val="en-US" w:eastAsia="zh-CN" w:bidi="ar-SA"/>
    </w:rPr>
  </w:style>
  <w:style w:type="character" w:customStyle="1" w:styleId="22">
    <w:name w:val="页眉 字符"/>
    <w:link w:val="9"/>
    <w:qFormat/>
    <w:uiPriority w:val="99"/>
    <w:rPr>
      <w:rFonts w:eastAsia="长城仿宋"/>
      <w:sz w:val="18"/>
      <w:szCs w:val="24"/>
    </w:rPr>
  </w:style>
  <w:style w:type="character" w:customStyle="1" w:styleId="23">
    <w:name w:val="页脚 字符1"/>
    <w:link w:val="8"/>
    <w:qFormat/>
    <w:uiPriority w:val="99"/>
    <w:rPr>
      <w:rFonts w:eastAsia="长城仿宋"/>
      <w:sz w:val="18"/>
      <w:szCs w:val="24"/>
    </w:rPr>
  </w:style>
  <w:style w:type="character" w:customStyle="1" w:styleId="24">
    <w:name w:val="正文首行缩进 Char"/>
    <w:link w:val="25"/>
    <w:qFormat/>
    <w:uiPriority w:val="0"/>
    <w:rPr>
      <w:rFonts w:eastAsia="宋体"/>
      <w:kern w:val="2"/>
      <w:sz w:val="21"/>
      <w:szCs w:val="24"/>
    </w:rPr>
  </w:style>
  <w:style w:type="paragraph" w:customStyle="1" w:styleId="25">
    <w:name w:val="正文首行缩进1"/>
    <w:basedOn w:val="2"/>
    <w:link w:val="24"/>
    <w:qFormat/>
    <w:uiPriority w:val="0"/>
    <w:pPr>
      <w:ind w:firstLine="420"/>
    </w:pPr>
    <w:rPr>
      <w:szCs w:val="24"/>
      <w:lang w:val="zh-CN"/>
    </w:rPr>
  </w:style>
  <w:style w:type="paragraph" w:customStyle="1" w:styleId="26">
    <w:name w:val="正题"/>
    <w:basedOn w:val="27"/>
    <w:next w:val="27"/>
    <w:qFormat/>
    <w:uiPriority w:val="0"/>
    <w:pPr>
      <w:ind w:firstLine="0" w:firstLineChars="0"/>
      <w:jc w:val="center"/>
    </w:pPr>
    <w:rPr>
      <w:rFonts w:eastAsia="黑体"/>
      <w:b/>
      <w:sz w:val="36"/>
      <w:szCs w:val="36"/>
    </w:rPr>
  </w:style>
  <w:style w:type="paragraph" w:customStyle="1" w:styleId="27">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8">
    <w:name w:val="Char1"/>
    <w:basedOn w:val="1"/>
    <w:qFormat/>
    <w:uiPriority w:val="0"/>
    <w:pPr>
      <w:numPr>
        <w:ilvl w:val="0"/>
        <w:numId w:val="1"/>
      </w:numPr>
    </w:pPr>
    <w:rPr>
      <w:sz w:val="24"/>
    </w:rPr>
  </w:style>
  <w:style w:type="paragraph" w:customStyle="1" w:styleId="29">
    <w:name w:val="表格文字"/>
    <w:basedOn w:val="1"/>
    <w:next w:val="1"/>
    <w:qFormat/>
    <w:uiPriority w:val="0"/>
    <w:pPr>
      <w:snapToGrid w:val="0"/>
      <w:spacing w:line="360" w:lineRule="atLeast"/>
      <w:jc w:val="center"/>
    </w:pPr>
    <w:rPr>
      <w:rFonts w:ascii="宋体" w:eastAsia="幼圆"/>
      <w:szCs w:val="20"/>
    </w:rPr>
  </w:style>
  <w:style w:type="paragraph" w:customStyle="1" w:styleId="30">
    <w:name w:val="封一"/>
    <w:basedOn w:val="1"/>
    <w:next w:val="1"/>
    <w:qFormat/>
    <w:uiPriority w:val="0"/>
    <w:pPr>
      <w:topLinePunct/>
      <w:adjustRightInd w:val="0"/>
      <w:snapToGrid w:val="0"/>
      <w:spacing w:line="360" w:lineRule="auto"/>
      <w:jc w:val="center"/>
    </w:pPr>
    <w:rPr>
      <w:rFonts w:eastAsia="黑体"/>
      <w:b/>
      <w:snapToGrid w:val="0"/>
      <w:spacing w:val="4"/>
      <w:kern w:val="0"/>
      <w:sz w:val="84"/>
      <w:szCs w:val="84"/>
    </w:rPr>
  </w:style>
  <w:style w:type="paragraph" w:customStyle="1" w:styleId="31">
    <w:name w:val="默认段落字体 Para Char"/>
    <w:basedOn w:val="1"/>
    <w:qFormat/>
    <w:uiPriority w:val="0"/>
    <w:rPr>
      <w:sz w:val="30"/>
    </w:rPr>
  </w:style>
  <w:style w:type="paragraph" w:customStyle="1" w:styleId="32">
    <w:name w:val="Char"/>
    <w:basedOn w:val="1"/>
    <w:qFormat/>
    <w:uiPriority w:val="0"/>
    <w:pPr>
      <w:adjustRightInd w:val="0"/>
      <w:snapToGrid w:val="0"/>
      <w:spacing w:line="360" w:lineRule="auto"/>
      <w:jc w:val="left"/>
    </w:pPr>
    <w:rPr>
      <w:sz w:val="24"/>
    </w:rPr>
  </w:style>
  <w:style w:type="paragraph" w:customStyle="1" w:styleId="33">
    <w:name w:val="文二"/>
    <w:basedOn w:val="1"/>
    <w:qFormat/>
    <w:uiPriority w:val="0"/>
    <w:pPr>
      <w:jc w:val="left"/>
    </w:pPr>
    <w:rPr>
      <w:rFonts w:ascii="宋体" w:hAnsi="宋体"/>
      <w:szCs w:val="21"/>
    </w:rPr>
  </w:style>
  <w:style w:type="paragraph" w:customStyle="1" w:styleId="34">
    <w:name w:val="封四"/>
    <w:basedOn w:val="27"/>
    <w:next w:val="27"/>
    <w:qFormat/>
    <w:uiPriority w:val="0"/>
    <w:pPr>
      <w:jc w:val="left"/>
    </w:pPr>
    <w:rPr>
      <w:sz w:val="30"/>
      <w:szCs w:val="30"/>
    </w:rPr>
  </w:style>
  <w:style w:type="paragraph" w:customStyle="1" w:styleId="35">
    <w:name w:val="p0"/>
    <w:basedOn w:val="1"/>
    <w:qFormat/>
    <w:uiPriority w:val="0"/>
    <w:pPr>
      <w:widowControl/>
    </w:pPr>
    <w:rPr>
      <w:rFonts w:ascii="Calibri" w:hAnsi="Calibri" w:cs="宋体"/>
      <w:kern w:val="0"/>
      <w:szCs w:val="21"/>
    </w:rPr>
  </w:style>
  <w:style w:type="paragraph" w:customStyle="1" w:styleId="36">
    <w:name w:val="Char Char Char1 Char"/>
    <w:basedOn w:val="4"/>
    <w:qFormat/>
    <w:uiPriority w:val="0"/>
    <w:rPr>
      <w:rFonts w:ascii="Tahoma" w:hAnsi="Tahoma"/>
      <w:sz w:val="24"/>
      <w:szCs w:val="24"/>
    </w:rPr>
  </w:style>
  <w:style w:type="paragraph" w:customStyle="1" w:styleId="37">
    <w:name w:val="章节三"/>
    <w:basedOn w:val="27"/>
    <w:next w:val="27"/>
    <w:qFormat/>
    <w:uiPriority w:val="0"/>
    <w:pPr>
      <w:spacing w:before="156" w:beforeLines="50" w:after="156" w:afterLines="50" w:line="240" w:lineRule="auto"/>
      <w:ind w:firstLine="0" w:firstLineChars="0"/>
      <w:jc w:val="left"/>
      <w:outlineLvl w:val="2"/>
    </w:pPr>
    <w:rPr>
      <w:rFonts w:ascii="黑体" w:hAnsi="宋体" w:eastAsia="黑体"/>
      <w:b/>
    </w:rPr>
  </w:style>
  <w:style w:type="paragraph" w:customStyle="1" w:styleId="38">
    <w:name w:val="章节一"/>
    <w:basedOn w:val="1"/>
    <w:next w:val="1"/>
    <w:qFormat/>
    <w:uiPriority w:val="0"/>
    <w:pPr>
      <w:topLinePunct/>
      <w:adjustRightInd w:val="0"/>
      <w:snapToGrid w:val="0"/>
      <w:spacing w:before="156" w:beforeLines="50" w:after="156" w:afterLines="50"/>
      <w:jc w:val="center"/>
      <w:outlineLvl w:val="0"/>
    </w:pPr>
    <w:rPr>
      <w:rFonts w:eastAsia="黑体"/>
      <w:b/>
      <w:snapToGrid w:val="0"/>
      <w:spacing w:val="4"/>
      <w:kern w:val="0"/>
      <w:sz w:val="36"/>
      <w:szCs w:val="36"/>
    </w:rPr>
  </w:style>
  <w:style w:type="paragraph" w:customStyle="1" w:styleId="39">
    <w:name w:val="正文1"/>
    <w:basedOn w:val="1"/>
    <w:next w:val="2"/>
    <w:qFormat/>
    <w:uiPriority w:val="0"/>
    <w:rPr>
      <w:kern w:val="0"/>
      <w:sz w:val="20"/>
    </w:rPr>
  </w:style>
  <w:style w:type="paragraph" w:customStyle="1" w:styleId="40">
    <w:name w:val="封三"/>
    <w:basedOn w:val="27"/>
    <w:next w:val="27"/>
    <w:qFormat/>
    <w:uiPriority w:val="0"/>
    <w:pPr>
      <w:ind w:firstLine="0" w:firstLineChars="0"/>
      <w:jc w:val="center"/>
    </w:pPr>
    <w:rPr>
      <w:sz w:val="30"/>
    </w:rPr>
  </w:style>
  <w:style w:type="paragraph" w:customStyle="1" w:styleId="41">
    <w:name w:val="Char2"/>
    <w:basedOn w:val="1"/>
    <w:qFormat/>
    <w:uiPriority w:val="0"/>
  </w:style>
  <w:style w:type="paragraph" w:customStyle="1" w:styleId="42">
    <w:name w:val="封二"/>
    <w:basedOn w:val="27"/>
    <w:next w:val="27"/>
    <w:qFormat/>
    <w:uiPriority w:val="0"/>
    <w:pPr>
      <w:ind w:firstLine="0" w:firstLineChars="0"/>
      <w:jc w:val="center"/>
    </w:pPr>
    <w:rPr>
      <w:rFonts w:eastAsia="黑体"/>
      <w:b/>
      <w:sz w:val="36"/>
      <w:szCs w:val="36"/>
    </w:rPr>
  </w:style>
  <w:style w:type="paragraph" w:customStyle="1" w:styleId="43">
    <w:name w:val="章节二"/>
    <w:basedOn w:val="1"/>
    <w:next w:val="1"/>
    <w:qFormat/>
    <w:uiPriority w:val="0"/>
    <w:pPr>
      <w:topLinePunct/>
      <w:adjustRightInd w:val="0"/>
      <w:snapToGrid w:val="0"/>
      <w:spacing w:before="156" w:beforeLines="50" w:after="156" w:afterLines="50"/>
      <w:jc w:val="center"/>
      <w:outlineLvl w:val="1"/>
    </w:pPr>
    <w:rPr>
      <w:rFonts w:eastAsia="黑体"/>
      <w:b/>
      <w:snapToGrid w:val="0"/>
      <w:spacing w:val="4"/>
      <w:kern w:val="0"/>
      <w:sz w:val="30"/>
      <w:szCs w:val="30"/>
    </w:rPr>
  </w:style>
  <w:style w:type="character" w:customStyle="1" w:styleId="44">
    <w:name w:val="页脚 字符"/>
    <w:qFormat/>
    <w:uiPriority w:val="99"/>
  </w:style>
  <w:style w:type="character" w:customStyle="1" w:styleId="45">
    <w:name w:val="正文缩进 字符"/>
    <w:link w:val="3"/>
    <w:qFormat/>
    <w:uiPriority w:val="99"/>
    <w:rPr>
      <w:rFonts w:hAnsi="宋体"/>
      <w:sz w:val="24"/>
      <w:szCs w:val="24"/>
    </w:rPr>
  </w:style>
  <w:style w:type="paragraph" w:customStyle="1" w:styleId="46">
    <w:name w:val="公文正文"/>
    <w:basedOn w:val="1"/>
    <w:qFormat/>
    <w:uiPriority w:val="0"/>
    <w:pPr>
      <w:spacing w:line="360" w:lineRule="auto"/>
      <w:ind w:firstLine="629"/>
    </w:pPr>
    <w:rPr>
      <w:rFonts w:hint="eastAsia" w:ascii="仿宋_GB2312" w:hAnsi="Calisto MT" w:eastAsia="仿宋_GB2312"/>
      <w:color w:val="000000"/>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94EB2-85A9-4E7C-B1F0-0BA658C54D7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80</Pages>
  <Words>9138</Words>
  <Characters>52088</Characters>
  <Lines>434</Lines>
  <Paragraphs>122</Paragraphs>
  <TotalTime>40</TotalTime>
  <ScaleCrop>false</ScaleCrop>
  <LinksUpToDate>false</LinksUpToDate>
  <CharactersWithSpaces>61104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2021-07-20T14:38:00Z</dcterms:created>
  <dc:creator>Administrator</dc:creator>
  <cp:lastModifiedBy>LENOVO</cp:lastModifiedBy>
  <cp:lastPrinted>2023-04-10T01:59:00Z</cp:lastPrinted>
  <dcterms:modified xsi:type="dcterms:W3CDTF">2023-04-24T02:01:59Z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3B9E8FE3570742D1BC34F005E6F19972</vt:lpwstr>
  </property>
</Properties>
</file>