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r>
        <w:rPr>
          <w:rFonts w:hint="eastAsia" w:ascii="宋体" w:hAnsi="宋体"/>
          <w:szCs w:val="21"/>
        </w:rPr>
        <w:t xml:space="preserve"> </w:t>
      </w:r>
    </w:p>
    <w:p>
      <w:pPr>
        <w:spacing w:line="360" w:lineRule="auto"/>
        <w:ind w:left="359" w:leftChars="171"/>
        <w:jc w:val="left"/>
        <w:rPr>
          <w:rFonts w:ascii="宋体"/>
          <w:b/>
          <w:bCs/>
          <w:spacing w:val="40"/>
          <w:sz w:val="44"/>
          <w:szCs w:val="44"/>
        </w:rPr>
      </w:pPr>
    </w:p>
    <w:p>
      <w:pPr>
        <w:spacing w:line="360" w:lineRule="auto"/>
        <w:rPr>
          <w:rFonts w:ascii="宋体"/>
          <w:b/>
          <w:bCs/>
          <w:spacing w:val="40"/>
          <w:sz w:val="44"/>
          <w:szCs w:val="44"/>
        </w:rPr>
      </w:pPr>
    </w:p>
    <w:p>
      <w:pPr>
        <w:spacing w:line="360" w:lineRule="auto"/>
        <w:ind w:left="359" w:leftChars="171"/>
        <w:jc w:val="center"/>
        <w:rPr>
          <w:rFonts w:ascii="宋体"/>
          <w:b/>
          <w:bCs/>
          <w:color w:val="auto"/>
          <w:spacing w:val="40"/>
          <w:sz w:val="44"/>
          <w:szCs w:val="44"/>
          <w:highlight w:val="none"/>
        </w:rPr>
      </w:pPr>
      <w:r>
        <w:rPr>
          <w:rFonts w:hint="eastAsia"/>
          <w:color w:val="auto"/>
          <w:sz w:val="36"/>
          <w:highlight w:val="none"/>
          <w:u w:val="single"/>
        </w:rPr>
        <w:t>广州市南沙中心医院独立创评三甲医院配套建设工程</w:t>
      </w:r>
    </w:p>
    <w:p>
      <w:pPr>
        <w:spacing w:line="360" w:lineRule="auto"/>
        <w:jc w:val="center"/>
        <w:rPr>
          <w:color w:val="auto"/>
          <w:sz w:val="36"/>
          <w:highlight w:val="none"/>
          <w:u w:val="single"/>
        </w:rPr>
      </w:pPr>
    </w:p>
    <w:p>
      <w:pPr>
        <w:spacing w:line="360" w:lineRule="auto"/>
        <w:jc w:val="center"/>
        <w:rPr>
          <w:rFonts w:hint="eastAsia" w:eastAsia="楷体_GB2312"/>
          <w:b/>
          <w:bCs/>
          <w:color w:val="auto"/>
          <w:spacing w:val="26"/>
          <w:sz w:val="110"/>
          <w:szCs w:val="110"/>
          <w:highlight w:val="none"/>
        </w:rPr>
      </w:pPr>
    </w:p>
    <w:p>
      <w:pPr>
        <w:spacing w:line="360" w:lineRule="auto"/>
        <w:jc w:val="center"/>
        <w:rPr>
          <w:rFonts w:hint="eastAsia"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color w:val="auto"/>
          <w:sz w:val="30"/>
          <w:szCs w:val="30"/>
          <w:highlight w:val="none"/>
          <w:u w:val="single"/>
        </w:rPr>
        <w:t xml:space="preserve"> </w:t>
      </w:r>
      <w:r>
        <w:rPr>
          <w:rFonts w:hint="eastAsia"/>
          <w:color w:val="auto"/>
          <w:sz w:val="30"/>
          <w:szCs w:val="30"/>
          <w:highlight w:val="none"/>
          <w:u w:val="single"/>
        </w:rPr>
        <w:t>广州市南沙区卫生健康局</w:t>
      </w:r>
      <w:r>
        <w:rPr>
          <w:color w:val="auto"/>
          <w:sz w:val="30"/>
          <w:szCs w:val="30"/>
          <w:highlight w:val="none"/>
          <w:u w:val="single"/>
        </w:rPr>
        <w:t xml:space="preserve"> </w:t>
      </w:r>
    </w:p>
    <w:p>
      <w:pPr>
        <w:spacing w:line="360" w:lineRule="auto"/>
        <w:ind w:firstLine="900" w:firstLineChars="300"/>
        <w:rPr>
          <w:color w:val="auto"/>
          <w:sz w:val="30"/>
          <w:szCs w:val="30"/>
          <w:highlight w:val="none"/>
          <w:u w:val="single"/>
        </w:rPr>
      </w:pPr>
      <w:r>
        <w:rPr>
          <w:rFonts w:hint="eastAsia"/>
          <w:color w:val="auto"/>
          <w:sz w:val="30"/>
          <w:szCs w:val="30"/>
          <w:highlight w:val="none"/>
        </w:rPr>
        <w:t>项目建设管理单位：</w:t>
      </w:r>
      <w:r>
        <w:rPr>
          <w:color w:val="auto"/>
          <w:sz w:val="30"/>
          <w:szCs w:val="30"/>
          <w:highlight w:val="none"/>
          <w:u w:val="single"/>
        </w:rPr>
        <w:t xml:space="preserve"> </w:t>
      </w:r>
      <w:r>
        <w:rPr>
          <w:rFonts w:hint="eastAsia"/>
          <w:color w:val="auto"/>
          <w:sz w:val="30"/>
          <w:szCs w:val="30"/>
          <w:highlight w:val="none"/>
          <w:u w:val="single"/>
        </w:rPr>
        <w:t>广州南沙置业有限公司</w:t>
      </w:r>
      <w:r>
        <w:rPr>
          <w:color w:val="auto"/>
          <w:sz w:val="30"/>
          <w:szCs w:val="30"/>
          <w:highlight w:val="none"/>
          <w:u w:val="single"/>
        </w:rPr>
        <w:t xml:space="preserve"> </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color w:val="auto"/>
          <w:sz w:val="30"/>
          <w:szCs w:val="30"/>
          <w:highlight w:val="none"/>
          <w:u w:val="single"/>
        </w:rPr>
        <w:t xml:space="preserve"> </w:t>
      </w:r>
      <w:r>
        <w:rPr>
          <w:rFonts w:hint="eastAsia"/>
          <w:color w:val="auto"/>
          <w:sz w:val="30"/>
          <w:szCs w:val="30"/>
          <w:highlight w:val="none"/>
          <w:u w:val="single"/>
        </w:rPr>
        <w:t>广州灏天工程顾问有限公司</w:t>
      </w:r>
      <w:r>
        <w:rPr>
          <w:color w:val="auto"/>
          <w:sz w:val="30"/>
          <w:szCs w:val="30"/>
          <w:highlight w:val="none"/>
          <w:u w:val="single"/>
        </w:rPr>
        <w:t xml:space="preserve"> </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color w:val="auto"/>
          <w:sz w:val="32"/>
          <w:highlight w:val="none"/>
          <w:u w:val="single"/>
        </w:rPr>
        <w:t xml:space="preserve"> </w:t>
      </w:r>
      <w:r>
        <w:rPr>
          <w:rFonts w:hint="eastAsia"/>
          <w:color w:val="auto"/>
          <w:sz w:val="32"/>
          <w:highlight w:val="none"/>
          <w:u w:val="single"/>
          <w:lang w:val="en-US" w:eastAsia="zh-CN"/>
        </w:rPr>
        <w:t>2023</w:t>
      </w:r>
      <w:r>
        <w:rPr>
          <w:color w:val="auto"/>
          <w:sz w:val="32"/>
          <w:highlight w:val="none"/>
          <w:u w:val="single"/>
        </w:rPr>
        <w:t xml:space="preserve"> </w:t>
      </w:r>
      <w:r>
        <w:rPr>
          <w:rFonts w:hint="eastAsia"/>
          <w:color w:val="auto"/>
          <w:sz w:val="32"/>
          <w:highlight w:val="none"/>
        </w:rPr>
        <w:t>年</w:t>
      </w:r>
      <w:r>
        <w:rPr>
          <w:color w:val="auto"/>
          <w:sz w:val="32"/>
          <w:highlight w:val="none"/>
          <w:u w:val="single"/>
        </w:rPr>
        <w:t xml:space="preserve"> </w:t>
      </w:r>
      <w:r>
        <w:rPr>
          <w:rFonts w:hint="eastAsia"/>
          <w:color w:val="auto"/>
          <w:sz w:val="32"/>
          <w:highlight w:val="none"/>
          <w:u w:val="single"/>
          <w:lang w:val="en-US" w:eastAsia="zh-CN"/>
        </w:rPr>
        <w:t>05</w:t>
      </w:r>
      <w:r>
        <w:rPr>
          <w:color w:val="auto"/>
          <w:sz w:val="32"/>
          <w:highlight w:val="none"/>
          <w:u w:val="single"/>
        </w:rPr>
        <w:t xml:space="preserve"> </w:t>
      </w:r>
      <w:r>
        <w:rPr>
          <w:rFonts w:hint="eastAsia"/>
          <w:color w:val="auto"/>
          <w:sz w:val="32"/>
          <w:highlight w:val="none"/>
        </w:rPr>
        <w:t>月</w:t>
      </w:r>
    </w:p>
    <w:p>
      <w:pPr>
        <w:jc w:val="center"/>
        <w:rPr>
          <w:rFonts w:ascii="宋体" w:hAnsi="宋体"/>
          <w:b/>
          <w:caps/>
          <w:color w:val="auto"/>
          <w:kern w:val="0"/>
          <w:highlight w:val="none"/>
        </w:rPr>
      </w:pPr>
      <w:r>
        <w:rPr>
          <w:rStyle w:val="41"/>
          <w:b/>
          <w:bCs/>
          <w:color w:val="auto"/>
          <w:highlight w:val="none"/>
        </w:rPr>
        <w:br w:type="page"/>
      </w:r>
      <w:r>
        <w:rPr>
          <w:rStyle w:val="41"/>
          <w:rFonts w:hint="eastAsia"/>
          <w:b/>
          <w:bCs/>
          <w:color w:val="auto"/>
          <w:sz w:val="28"/>
          <w:szCs w:val="28"/>
          <w:highlight w:val="none"/>
        </w:rPr>
        <w:t>目录</w:t>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1"/>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1"/>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1"/>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1"/>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1"/>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1"/>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1"/>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1"/>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1"/>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1"/>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1"/>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1"/>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1"/>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1"/>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6"/>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1"/>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1"/>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1"/>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1"/>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1"/>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1"/>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1"/>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rPr>
          <w:color w:val="auto"/>
          <w:highlight w:val="none"/>
        </w:rPr>
      </w:pPr>
      <w:r>
        <w:rPr>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4"/>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5"/>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8"/>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广州市南沙区卫生健康局</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项目建设管理单位：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广州南沙置业有限公司</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招标代理：</w:t>
            </w:r>
            <w:r>
              <w:rPr>
                <w:rFonts w:ascii="宋体" w:hAnsi="宋体"/>
                <w:color w:val="auto"/>
                <w:szCs w:val="21"/>
                <w:highlight w:val="none"/>
                <w:u w:val="single"/>
              </w:rPr>
              <w:t xml:space="preserve">  </w:t>
            </w:r>
            <w:r>
              <w:rPr>
                <w:rFonts w:hint="eastAsia" w:ascii="宋体" w:hAnsi="宋体"/>
                <w:color w:val="auto"/>
                <w:szCs w:val="21"/>
                <w:highlight w:val="none"/>
                <w:u w:val="single"/>
              </w:rPr>
              <w:t>广州灏天工程顾问有限公司</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设计单位：</w:t>
            </w:r>
            <w:r>
              <w:rPr>
                <w:rFonts w:ascii="宋体" w:hAnsi="宋体"/>
                <w:color w:val="auto"/>
                <w:szCs w:val="21"/>
                <w:highlight w:val="none"/>
                <w:u w:val="single"/>
              </w:rPr>
              <w:t xml:space="preserve"> </w:t>
            </w:r>
            <w:r>
              <w:rPr>
                <w:rFonts w:hint="eastAsia" w:ascii="宋体" w:hAnsi="宋体"/>
                <w:color w:val="auto"/>
                <w:szCs w:val="21"/>
                <w:highlight w:val="none"/>
                <w:u w:val="single"/>
              </w:rPr>
              <w:t>中远智信设计有限公司</w:t>
            </w:r>
            <w:r>
              <w:rPr>
                <w:rFonts w:ascii="宋体" w:hAnsi="宋体"/>
                <w:color w:val="auto"/>
                <w:szCs w:val="21"/>
                <w:highlight w:val="none"/>
                <w:u w:val="single"/>
              </w:rPr>
              <w:t xml:space="preserve"> </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广州市南沙中心医院独立创评三甲医院配套建设工程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广州市南沙区丰泽东路105号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本工程采用固定单价包干（工程量清单综合单价包干，不因施工期间人工、材料及机械价格变化、施工条件、工程规模的变化和政府造价管理部门调整各项收费等而调整）；措施项目费</w:t>
            </w:r>
            <w:r>
              <w:rPr>
                <w:rFonts w:hint="eastAsia" w:ascii="宋体" w:hAnsi="宋体"/>
                <w:color w:val="auto"/>
                <w:szCs w:val="21"/>
                <w:highlight w:val="none"/>
                <w:lang w:val="en-US" w:eastAsia="zh-CN"/>
              </w:rPr>
              <w:t>总价包干</w:t>
            </w:r>
            <w:r>
              <w:rPr>
                <w:rFonts w:hint="eastAsia" w:ascii="宋体" w:hAnsi="宋体"/>
                <w:color w:val="auto"/>
                <w:szCs w:val="21"/>
                <w:highlight w:val="none"/>
                <w:lang w:eastAsia="zh-CN"/>
              </w:rPr>
              <w:t>。</w:t>
            </w:r>
          </w:p>
          <w:p>
            <w:pPr>
              <w:rPr>
                <w:rFonts w:hint="eastAsia" w:ascii="宋体" w:hAnsi="宋体"/>
                <w:color w:val="auto"/>
                <w:szCs w:val="21"/>
                <w:highlight w:val="none"/>
              </w:rPr>
            </w:pPr>
            <w:r>
              <w:rPr>
                <w:rFonts w:hint="eastAsia" w:ascii="宋体" w:hAnsi="宋体"/>
                <w:color w:val="auto"/>
                <w:szCs w:val="21"/>
                <w:highlight w:val="none"/>
              </w:rPr>
              <w:t>由承包人按照本合同约定范围和图纸内容实行工程施工专业承包，包括但不限于包工、包料（甲供材料设备除外）、包质量、包安全生产、包文明施工、包工期、包既有建筑成品保护、包承包范围相关系统调试检测、承包范围内工程验收通过、包移交、包结算的组织实施工作和城建档案资料编制、（包施工总承包管理和现场整体组织、包专业协调及配合、 包服从施工总承包管理单位的施工总承包管理）、包承包人应当购买的保险、包竣工图编制（须满足规划等各专项验收要求）等，同时，招标内容和建安费同时包含施工临水和临电工程的设计、报批、施工、开通和相关水电费用。）对于没有填入单价或总价的清单项目，其费用应视为已包括在工程量清单的其他单价或总价中，承包人必须按招标人的指令完成工程量清单中未填入单价或总价的工程项目，但不能得到结算与支付。</w:t>
            </w:r>
          </w:p>
          <w:p>
            <w:pPr>
              <w:rPr>
                <w:rFonts w:ascii="宋体" w:hAnsi="宋体"/>
                <w:color w:val="auto"/>
                <w:szCs w:val="21"/>
                <w:highlight w:val="none"/>
              </w:rPr>
            </w:pPr>
            <w:r>
              <w:rPr>
                <w:rFonts w:hint="eastAsia" w:ascii="宋体" w:hAnsi="宋体"/>
                <w:color w:val="auto"/>
                <w:szCs w:val="21"/>
                <w:highlight w:val="none"/>
              </w:rPr>
              <w:t>各投标单位必须详细阅读本工程招标文件和其它有关文件，并充分研究招标图纸和了解技术需求文件内容、现场条件及风险等，完成上述所有工程内容。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合格，满足国家和行业相关标准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w:t>
            </w:r>
            <w:r>
              <w:rPr>
                <w:rFonts w:hint="eastAsia" w:ascii="宋体" w:hAnsi="宋体"/>
                <w:color w:val="auto"/>
                <w:szCs w:val="21"/>
                <w:highlight w:val="none"/>
                <w:lang w:val="en-US" w:eastAsia="zh-CN"/>
              </w:rPr>
              <w:t>工</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365</w:t>
            </w:r>
            <w:r>
              <w:rPr>
                <w:rFonts w:ascii="宋体" w:hAnsi="宋体"/>
                <w:color w:val="auto"/>
                <w:szCs w:val="21"/>
                <w:highlight w:val="none"/>
                <w:u w:val="single"/>
              </w:rPr>
              <w:t xml:space="preserve"> </w:t>
            </w:r>
            <w:r>
              <w:rPr>
                <w:rFonts w:hint="eastAsia" w:ascii="宋体" w:hAnsi="宋体"/>
                <w:color w:val="auto"/>
                <w:szCs w:val="21"/>
                <w:highlight w:val="none"/>
              </w:rPr>
              <w:t>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120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color w:val="auto"/>
                <w:highlight w:val="none"/>
              </w:rPr>
            </w:pPr>
            <w:r>
              <w:rPr>
                <w:color w:val="auto"/>
                <w:highlight w:val="none"/>
                <w:u w:val="single"/>
              </w:rPr>
              <w:t xml:space="preserve"> </w:t>
            </w:r>
            <w:r>
              <w:rPr>
                <w:rFonts w:hint="eastAsia"/>
                <w:color w:val="auto"/>
                <w:highlight w:val="none"/>
                <w:u w:val="single"/>
                <w:lang w:val="en-US" w:eastAsia="zh-CN"/>
              </w:rPr>
              <w:t>20</w:t>
            </w:r>
            <w:r>
              <w:rPr>
                <w:color w:val="auto"/>
                <w:highlight w:val="none"/>
                <w:u w:val="single"/>
              </w:rPr>
              <w:t xml:space="preserve"> </w:t>
            </w:r>
            <w:r>
              <w:rPr>
                <w:rFonts w:hint="eastAsia"/>
                <w:color w:val="auto"/>
                <w:highlight w:val="none"/>
              </w:rPr>
              <w:t>万元人民币，缴纳时间在</w:t>
            </w:r>
            <w:r>
              <w:rPr>
                <w:color w:val="auto"/>
                <w:highlight w:val="none"/>
                <w:u w:val="single"/>
              </w:rPr>
              <w:t xml:space="preserve"> </w:t>
            </w:r>
            <w:r>
              <w:rPr>
                <w:rFonts w:hint="eastAsia"/>
                <w:color w:val="auto"/>
                <w:highlight w:val="none"/>
                <w:u w:val="single"/>
              </w:rPr>
              <w:t>投标文件递交截止时间</w:t>
            </w:r>
            <w:r>
              <w:rPr>
                <w:color w:val="auto"/>
                <w:highlight w:val="none"/>
                <w:u w:val="single"/>
              </w:rPr>
              <w:t xml:space="preserve"> </w:t>
            </w:r>
            <w:r>
              <w:rPr>
                <w:rFonts w:hint="eastAsia"/>
                <w:color w:val="auto"/>
                <w:highlight w:val="none"/>
              </w:rPr>
              <w:t>之前。</w:t>
            </w:r>
          </w:p>
          <w:p>
            <w:pPr>
              <w:ind w:firstLine="420" w:firstLineChars="200"/>
              <w:rPr>
                <w:color w:val="auto"/>
                <w:highlight w:val="none"/>
              </w:rPr>
            </w:pPr>
            <w:r>
              <w:rPr>
                <w:rFonts w:hint="eastAsia"/>
                <w:color w:val="auto"/>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color w:val="auto"/>
                <w:highlight w:val="none"/>
              </w:rPr>
            </w:pPr>
            <w:r>
              <w:rPr>
                <w:rFonts w:hint="eastAsia"/>
                <w:color w:val="auto"/>
                <w:highlight w:val="none"/>
              </w:rPr>
              <w:t>2、鼓励招标人对简单小额项目不要求提供投标担保，对中小企业投标人免除投标担保。</w:t>
            </w:r>
          </w:p>
          <w:p>
            <w:pPr>
              <w:ind w:firstLine="420" w:firstLineChars="200"/>
              <w:rPr>
                <w:color w:val="auto"/>
                <w:highlight w:val="none"/>
              </w:rPr>
            </w:pPr>
            <w:r>
              <w:rPr>
                <w:rFonts w:hint="eastAsia"/>
                <w:color w:val="auto"/>
                <w:highlight w:val="none"/>
              </w:rPr>
              <w:t>3、招标人在免收投标保证金的同时，应约定免交投标保证金的投标人存在16.4条款所列情形的后续处理措施。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8"/>
              <w:rPr>
                <w:rFonts w:ascii="宋体" w:hAnsi="宋体"/>
                <w:color w:val="auto"/>
                <w:szCs w:val="21"/>
                <w:highlight w:val="none"/>
              </w:rPr>
            </w:pPr>
            <w:r>
              <w:rPr>
                <w:rFonts w:hint="eastAsia" w:ascii="宋体" w:hAnsi="宋体"/>
                <w:color w:val="auto"/>
                <w:szCs w:val="21"/>
                <w:highlight w:val="non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u w:val="single"/>
              </w:rPr>
              <w:t>投标人在递交投标文件截止时间18天前提出</w:t>
            </w:r>
            <w:r>
              <w:rPr>
                <w:rFonts w:hint="eastAsia" w:ascii="宋体" w:hAnsi="宋体"/>
                <w:color w:val="auto"/>
                <w:szCs w:val="21"/>
                <w:highlight w:val="none"/>
              </w:rPr>
              <w:t>；</w:t>
            </w:r>
          </w:p>
          <w:p>
            <w:pPr>
              <w:rPr>
                <w:rFonts w:hint="eastAsia" w:ascii="宋体" w:hAnsi="宋体"/>
                <w:color w:val="auto"/>
                <w:szCs w:val="21"/>
                <w:highlight w:val="none"/>
              </w:rPr>
            </w:pPr>
            <w:r>
              <w:rPr>
                <w:rFonts w:hint="eastAsia" w:ascii="宋体" w:hAnsi="宋体"/>
                <w:color w:val="auto"/>
                <w:szCs w:val="21"/>
                <w:highlight w:val="none"/>
              </w:rPr>
              <w:t>形式：投标人的疑问通过广州公共资源交易中心网站提交。</w:t>
            </w:r>
          </w:p>
          <w:p>
            <w:pPr>
              <w:rPr>
                <w:rFonts w:hint="eastAsia"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房建市政】【交易系统】【投标人】全流程电子化交易系统操作手册（http://www.gzggzy.cn/cms/wz/view/index/layout3/index.jsp?siteId=1&amp;infoId=486799&amp;channelId=942&amp;tdsourcetag=s_pcqq_aiomsg）。</w:t>
            </w:r>
          </w:p>
          <w:p>
            <w:pPr>
              <w:rPr>
                <w:rFonts w:ascii="宋体" w:hAnsi="宋体"/>
                <w:color w:val="auto"/>
                <w:szCs w:val="21"/>
                <w:highlight w:val="none"/>
              </w:rPr>
            </w:pPr>
            <w:r>
              <w:rPr>
                <w:rFonts w:hint="eastAsia" w:ascii="宋体" w:hAnsi="宋体"/>
                <w:color w:val="auto"/>
                <w:szCs w:val="21"/>
                <w:highlight w:val="none"/>
              </w:rPr>
              <w:t>进入到提问区域的密码为123456，提问一律不得署名。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2023</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05</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29</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30 </w:t>
            </w:r>
            <w:r>
              <w:rPr>
                <w:rFonts w:hint="eastAsia" w:ascii="宋体" w:hAnsi="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（技术标和经济标同时开标）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分（与投标截止时间为同一时间），地点：</w:t>
            </w:r>
            <w:r>
              <w:rPr>
                <w:rFonts w:hint="eastAsia" w:ascii="宋体" w:hAnsi="宋体" w:eastAsia="宋体" w:cs="宋体"/>
                <w:color w:val="auto"/>
                <w:szCs w:val="21"/>
                <w:highlight w:val="none"/>
                <w:u w:val="single"/>
              </w:rPr>
              <w:t xml:space="preserve"> 广州公共资源交易中心南沙交易部第</w:t>
            </w:r>
            <w:r>
              <w:rPr>
                <w:rFonts w:hint="eastAsia" w:ascii="宋体" w:hAnsi="宋体" w:cs="宋体"/>
                <w:color w:val="auto"/>
                <w:szCs w:val="21"/>
                <w:highlight w:val="none"/>
                <w:u w:val="single"/>
                <w:lang w:val="en-US" w:eastAsia="zh-CN"/>
              </w:rPr>
              <w:t>01</w:t>
            </w:r>
            <w:r>
              <w:rPr>
                <w:rFonts w:hint="eastAsia" w:ascii="宋体" w:hAnsi="宋体" w:eastAsia="宋体" w:cs="宋体"/>
                <w:color w:val="auto"/>
                <w:szCs w:val="21"/>
                <w:highlight w:val="none"/>
                <w:u w:val="single"/>
              </w:rPr>
              <w:t xml:space="preserve">开标室 </w:t>
            </w:r>
            <w:r>
              <w:rPr>
                <w:rFonts w:hint="eastAsia" w:ascii="宋体" w:hAnsi="宋体" w:eastAsia="宋体" w:cs="宋体"/>
                <w:color w:val="auto"/>
                <w:szCs w:val="21"/>
                <w:highlight w:val="none"/>
              </w:rPr>
              <w:t>。投标人也可选择参加在线开标，具体按照交易平台相关指南进行操作。详见：</w:t>
            </w:r>
            <w:r>
              <w:rPr>
                <w:rFonts w:hint="eastAsia" w:ascii="宋体" w:hAnsi="宋体" w:eastAsia="宋体" w:cs="宋体"/>
                <w:color w:val="auto"/>
                <w:szCs w:val="21"/>
                <w:highlight w:val="none"/>
                <w:u w:val="single"/>
              </w:rPr>
              <w:t xml:space="preserve"> http://www.gzggzy.cn/fwznbszyjsgc/index.jhtml </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注：投标文件解密问题。投标人只用执行一次解密，招标人执行解密次数根据招标文件开标次数确定。</w:t>
            </w:r>
          </w:p>
          <w:p>
            <w:pPr>
              <w:numPr>
                <w:ilvl w:val="0"/>
                <w:numId w:val="3"/>
              </w:numPr>
              <w:ind w:left="21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递交投标文件备用光盘时间：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分；递交地点：</w:t>
            </w:r>
            <w:r>
              <w:rPr>
                <w:rFonts w:hint="eastAsia" w:ascii="宋体" w:hAnsi="宋体" w:eastAsia="宋体" w:cs="宋体"/>
                <w:color w:val="auto"/>
                <w:szCs w:val="21"/>
                <w:highlight w:val="none"/>
                <w:u w:val="single"/>
              </w:rPr>
              <w:t xml:space="preserve"> 广州公共资源交易中心</w:t>
            </w:r>
            <w:r>
              <w:rPr>
                <w:rFonts w:hint="eastAsia" w:ascii="宋体" w:hAnsi="宋体" w:eastAsia="宋体" w:cs="宋体"/>
                <w:color w:val="auto"/>
                <w:szCs w:val="21"/>
                <w:highlight w:val="none"/>
                <w:u w:val="single"/>
                <w:lang w:val="en-US" w:eastAsia="zh-CN"/>
              </w:rPr>
              <w:t>南沙交易部第</w:t>
            </w:r>
            <w:r>
              <w:rPr>
                <w:rFonts w:hint="eastAsia" w:ascii="宋体" w:hAnsi="宋体" w:cs="宋体"/>
                <w:color w:val="auto"/>
                <w:szCs w:val="21"/>
                <w:highlight w:val="none"/>
                <w:u w:val="single"/>
                <w:lang w:val="en-US" w:eastAsia="zh-CN"/>
              </w:rPr>
              <w:t>01</w:t>
            </w:r>
            <w:r>
              <w:rPr>
                <w:rFonts w:hint="eastAsia" w:ascii="宋体" w:hAnsi="宋体" w:eastAsia="宋体" w:cs="宋体"/>
                <w:color w:val="auto"/>
                <w:szCs w:val="21"/>
                <w:highlight w:val="none"/>
                <w:u w:val="single"/>
                <w:lang w:val="en-US" w:eastAsia="zh-CN"/>
              </w:rPr>
              <w:t>开标室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。(建议安排在投标文件截止时间前15分钟至投标文件截止时间）</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textAlignment w:val="auto"/>
              <w:rPr>
                <w:rFonts w:hint="eastAsia" w:ascii="宋体" w:hAnsi="宋体" w:eastAsia="宋体" w:cs="宋体"/>
              </w:rPr>
            </w:pPr>
            <w:r>
              <w:rPr>
                <w:rFonts w:hint="eastAsia" w:ascii="宋体" w:hAnsi="宋体" w:eastAsia="宋体" w:cs="宋体"/>
                <w:u w:val="single"/>
              </w:rPr>
              <w:t>本项目不设置项目负责人签到环节</w:t>
            </w:r>
            <w:r>
              <w:rPr>
                <w:rFonts w:hint="eastAsia" w:ascii="宋体" w:hAnsi="宋体" w:eastAsia="宋体" w:cs="宋体"/>
              </w:rPr>
              <w:t>。</w:t>
            </w:r>
          </w:p>
          <w:p>
            <w:pPr>
              <w:rPr>
                <w:rFonts w:ascii="宋体" w:hAnsi="宋体"/>
                <w:color w:val="auto"/>
                <w:szCs w:val="21"/>
                <w:highlight w:val="none"/>
              </w:rPr>
            </w:pPr>
            <w:r>
              <w:rPr>
                <w:rFonts w:hint="eastAsia" w:ascii="宋体" w:hAnsi="宋体" w:eastAsia="宋体" w:cs="宋体"/>
                <w:color w:val="auto"/>
                <w:szCs w:val="21"/>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keepNext w:val="0"/>
              <w:keepLines w:val="0"/>
              <w:pageBreakBefore w:val="0"/>
              <w:widowControl w:val="0"/>
              <w:kinsoku/>
              <w:wordWrap/>
              <w:overflowPunct/>
              <w:topLinePunct w:val="0"/>
              <w:autoSpaceDE/>
              <w:autoSpaceDN/>
              <w:bidi w:val="0"/>
              <w:adjustRightInd/>
              <w:snapToGrid/>
              <w:spacing w:after="0"/>
              <w:ind w:firstLine="0"/>
              <w:textAlignment w:val="auto"/>
              <w:rPr>
                <w:rFonts w:ascii="Arial" w:hAnsi="Arial" w:cs="Arial"/>
                <w:color w:val="auto"/>
                <w:szCs w:val="21"/>
                <w:highlight w:val="none"/>
              </w:rPr>
            </w:pPr>
            <w:r>
              <w:rPr>
                <w:rFonts w:ascii="Arial" w:hAnsi="Arial" w:cs="Arial"/>
                <w:color w:val="auto"/>
                <w:szCs w:val="21"/>
                <w:highlight w:val="none"/>
              </w:rPr>
              <w:t>方式一：选取方法七（综合评分法四，技术标与经济标同时开启）；</w:t>
            </w:r>
          </w:p>
          <w:p>
            <w:pPr>
              <w:pStyle w:val="33"/>
              <w:ind w:firstLine="0"/>
              <w:rPr>
                <w:rFonts w:ascii="宋体" w:hAnsi="宋体"/>
                <w:color w:val="auto"/>
                <w:szCs w:val="21"/>
                <w:highlight w:val="none"/>
              </w:rPr>
            </w:pPr>
            <w:r>
              <w:rPr>
                <w:rFonts w:hint="eastAsia" w:ascii="Arial" w:hAnsi="Arial" w:cs="Arial"/>
                <w:color w:val="auto"/>
                <w:szCs w:val="21"/>
                <w:highlight w:val="none"/>
              </w:rPr>
              <w:t>投标人总得分=技术得分（满分20分）＋经济得分（满分100分）×经济得分权重（80%）。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spacing w:after="0"/>
              <w:ind w:firstLine="0"/>
              <w:rPr>
                <w:rFonts w:ascii="宋体" w:hAnsi="宋体"/>
                <w:color w:val="auto"/>
                <w:highlight w:val="none"/>
              </w:rPr>
            </w:pPr>
            <w:r>
              <w:rPr>
                <w:rFonts w:hint="eastAsia" w:ascii="宋体" w:hAnsi="宋体"/>
                <w:color w:val="auto"/>
                <w:highlight w:val="none"/>
              </w:rPr>
              <w:t>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eastAsia="宋体" w:cs="宋体"/>
                <w:color w:val="auto"/>
                <w:szCs w:val="21"/>
                <w:highlight w:val="none"/>
              </w:rPr>
              <w:t>本项目最高投标限价为人民币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19269991.20</w:t>
            </w:r>
            <w:r>
              <w:rPr>
                <w:rFonts w:hint="eastAsia" w:ascii="宋体" w:hAnsi="宋体" w:eastAsia="宋体" w:cs="宋体"/>
                <w:color w:val="auto"/>
                <w:szCs w:val="21"/>
                <w:highlight w:val="none"/>
              </w:rPr>
              <w:t>元。</w:t>
            </w:r>
            <w:r>
              <w:rPr>
                <w:rFonts w:hint="eastAsia" w:ascii="宋体" w:hAnsi="宋体" w:eastAsia="宋体" w:cs="宋体"/>
                <w:color w:val="auto"/>
                <w:sz w:val="21"/>
                <w:szCs w:val="21"/>
                <w:highlight w:val="none"/>
              </w:rPr>
              <w:t>（各专业工程比例为：建筑装饰装修工程</w:t>
            </w:r>
            <w:r>
              <w:rPr>
                <w:rFonts w:hint="eastAsia" w:ascii="宋体" w:hAnsi="宋体" w:cs="宋体"/>
                <w:color w:val="auto"/>
                <w:sz w:val="21"/>
                <w:szCs w:val="21"/>
                <w:highlight w:val="none"/>
                <w:u w:val="single"/>
                <w:lang w:val="en-US" w:eastAsia="zh-CN"/>
              </w:rPr>
              <w:t>5823994.78</w:t>
            </w:r>
            <w:r>
              <w:rPr>
                <w:rFonts w:hint="eastAsia" w:ascii="宋体" w:hAnsi="宋体" w:eastAsia="宋体" w:cs="宋体"/>
                <w:color w:val="auto"/>
                <w:sz w:val="21"/>
                <w:szCs w:val="21"/>
                <w:highlight w:val="none"/>
              </w:rPr>
              <w:t>元（占</w:t>
            </w:r>
            <w:r>
              <w:rPr>
                <w:rFonts w:hint="eastAsia" w:ascii="宋体" w:hAnsi="宋体" w:cs="宋体"/>
                <w:color w:val="auto"/>
                <w:sz w:val="21"/>
                <w:szCs w:val="21"/>
                <w:highlight w:val="none"/>
                <w:lang w:val="en-US" w:eastAsia="zh-CN"/>
              </w:rPr>
              <w:t>30.22</w:t>
            </w:r>
            <w:r>
              <w:rPr>
                <w:rFonts w:hint="eastAsia" w:ascii="宋体" w:hAnsi="宋体" w:eastAsia="宋体" w:cs="宋体"/>
                <w:color w:val="auto"/>
                <w:sz w:val="21"/>
                <w:szCs w:val="21"/>
                <w:highlight w:val="none"/>
              </w:rPr>
              <w:t>%）；机电设备安装工程</w:t>
            </w:r>
            <w:r>
              <w:rPr>
                <w:rFonts w:hint="eastAsia" w:ascii="宋体" w:hAnsi="宋体" w:cs="宋体"/>
                <w:color w:val="auto"/>
                <w:sz w:val="21"/>
                <w:szCs w:val="21"/>
                <w:highlight w:val="none"/>
                <w:u w:val="single"/>
                <w:lang w:val="en-US" w:eastAsia="zh-CN"/>
              </w:rPr>
              <w:t>13445996.42</w:t>
            </w:r>
            <w:r>
              <w:rPr>
                <w:rFonts w:hint="eastAsia" w:ascii="宋体" w:hAnsi="宋体" w:eastAsia="宋体" w:cs="宋体"/>
                <w:color w:val="auto"/>
                <w:sz w:val="21"/>
                <w:szCs w:val="21"/>
                <w:highlight w:val="none"/>
              </w:rPr>
              <w:t>元（占</w:t>
            </w:r>
            <w:r>
              <w:rPr>
                <w:rFonts w:hint="eastAsia" w:ascii="宋体" w:hAnsi="宋体" w:cs="宋体"/>
                <w:color w:val="auto"/>
                <w:sz w:val="21"/>
                <w:szCs w:val="21"/>
                <w:highlight w:val="none"/>
                <w:lang w:val="en-US" w:eastAsia="zh-CN"/>
              </w:rPr>
              <w:t>69.78</w:t>
            </w:r>
            <w:r>
              <w:rPr>
                <w:rFonts w:hint="eastAsia" w:ascii="宋体" w:hAnsi="宋体" w:eastAsia="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478972.03</w:t>
            </w:r>
            <w:r>
              <w:rPr>
                <w:rFonts w:hint="eastAsia" w:ascii="宋体" w:hAnsi="宋体"/>
                <w:color w:val="auto"/>
                <w:szCs w:val="21"/>
                <w:highlight w:val="none"/>
              </w:rPr>
              <w:t>元，暂列金额</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元，暂估价为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3"/>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 xml:space="preserve"> 17342116.78 </w:t>
            </w:r>
            <w:r>
              <w:rPr>
                <w:rFonts w:hint="eastAsia" w:ascii="宋体" w:hAnsi="宋体"/>
                <w:color w:val="auto"/>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ascii="宋体" w:hAnsi="宋体"/>
                <w:color w:val="auto"/>
                <w:szCs w:val="21"/>
                <w:highlight w:val="none"/>
                <w:u w:val="single"/>
              </w:rPr>
              <w:t xml:space="preserve"> </w:t>
            </w:r>
            <w:r>
              <w:rPr>
                <w:rFonts w:hint="eastAsia" w:ascii="宋体" w:hAnsi="宋体"/>
                <w:color w:val="auto"/>
                <w:szCs w:val="21"/>
                <w:highlight w:val="none"/>
                <w:u w:val="single"/>
              </w:rPr>
              <w:t>按合同条款相关约定调整</w:t>
            </w:r>
            <w:r>
              <w:rPr>
                <w:rFonts w:ascii="宋体" w:hAnsi="宋体"/>
                <w:color w:val="auto"/>
                <w:szCs w:val="21"/>
                <w:highlight w:val="none"/>
                <w:u w:val="single"/>
              </w:rPr>
              <w:t xml:space="preserve"> </w:t>
            </w:r>
            <w:r>
              <w:rPr>
                <w:rFonts w:hint="eastAsia" w:ascii="宋体" w:hAnsi="宋体"/>
                <w:color w:val="auto"/>
                <w:szCs w:val="21"/>
                <w:highlight w:val="none"/>
                <w:u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52"/>
            </w:r>
            <w:r>
              <w:rPr>
                <w:rFonts w:hint="eastAsia" w:ascii="宋体" w:hAnsi="宋体"/>
                <w:color w:val="auto"/>
                <w:kern w:val="0"/>
                <w:szCs w:val="21"/>
                <w:highlight w:val="none"/>
                <w:lang w:val="zh-CN"/>
              </w:rPr>
              <w:t>不允许；</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【房建市政】【交易系统】【投标人】全流程电子化交易系统操作手册 </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color w:val="auto"/>
                <w:szCs w:val="21"/>
                <w:highlight w:val="none"/>
              </w:rPr>
            </w:pP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olor w:val="auto"/>
                <w:highlight w:val="none"/>
              </w:rPr>
            </w:pPr>
            <w:r>
              <w:rPr>
                <w:rFonts w:hint="eastAsia" w:ascii="宋体" w:hAnsi="宋体" w:eastAsia="宋体" w:cs="宋体"/>
                <w:color w:val="auto"/>
                <w:highlight w:val="none"/>
                <w:u w:val="single"/>
                <w:lang w:val="en-US" w:eastAsia="zh-CN"/>
              </w:rPr>
              <w:t>其他</w:t>
            </w:r>
          </w:p>
        </w:tc>
        <w:tc>
          <w:tcPr>
            <w:tcW w:w="5857" w:type="dxa"/>
            <w:tcBorders>
              <w:top w:val="single" w:color="auto" w:sz="4" w:space="0"/>
              <w:left w:val="single" w:color="auto" w:sz="4" w:space="0"/>
              <w:bottom w:val="doub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Courier New"/>
                <w:color w:val="auto"/>
                <w:szCs w:val="21"/>
                <w:highlight w:val="none"/>
              </w:rPr>
            </w:pPr>
            <w:r>
              <w:rPr>
                <w:rFonts w:hint="eastAsia" w:ascii="宋体" w:hAnsi="宋体" w:eastAsia="宋体" w:cs="宋体"/>
                <w:bCs/>
                <w:color w:val="auto"/>
                <w:kern w:val="0"/>
                <w:szCs w:val="21"/>
                <w:highlight w:val="none"/>
                <w:u w:val="single"/>
              </w:rPr>
              <w:t>中标人向招标人提交与在广州公共资源交易中心系统上传投标文件内容相同的已盖章的纸质版投标文件一式</w:t>
            </w:r>
            <w:r>
              <w:rPr>
                <w:rFonts w:hint="eastAsia" w:ascii="宋体" w:hAnsi="宋体" w:cs="宋体"/>
                <w:bCs/>
                <w:color w:val="auto"/>
                <w:kern w:val="0"/>
                <w:szCs w:val="21"/>
                <w:highlight w:val="none"/>
                <w:u w:val="single"/>
                <w:lang w:val="en-US" w:eastAsia="zh-CN"/>
              </w:rPr>
              <w:t>5</w:t>
            </w:r>
            <w:r>
              <w:rPr>
                <w:rFonts w:hint="eastAsia" w:ascii="宋体" w:hAnsi="宋体" w:eastAsia="宋体" w:cs="宋体"/>
                <w:bCs/>
                <w:color w:val="auto"/>
                <w:kern w:val="0"/>
                <w:szCs w:val="21"/>
                <w:highlight w:val="none"/>
                <w:u w:val="single"/>
              </w:rPr>
              <w:t>套</w:t>
            </w:r>
            <w:r>
              <w:rPr>
                <w:rFonts w:hint="eastAsia" w:ascii="宋体" w:hAnsi="宋体" w:eastAsia="宋体" w:cs="宋体"/>
                <w:bCs/>
                <w:color w:val="auto"/>
                <w:kern w:val="0"/>
                <w:szCs w:val="21"/>
                <w:highlight w:val="none"/>
                <w:u w:val="single"/>
                <w:lang w:eastAsia="zh-CN"/>
              </w:rPr>
              <w:t>（须编制目录及页码）</w:t>
            </w:r>
            <w:r>
              <w:rPr>
                <w:rFonts w:hint="eastAsia" w:ascii="宋体" w:hAnsi="宋体" w:eastAsia="宋体" w:cs="宋体"/>
                <w:bCs/>
                <w:color w:val="auto"/>
                <w:kern w:val="0"/>
                <w:szCs w:val="21"/>
                <w:highlight w:val="none"/>
                <w:u w:val="single"/>
              </w:rPr>
              <w:t>及电子文件（光盘</w:t>
            </w:r>
            <w:r>
              <w:rPr>
                <w:rFonts w:hint="eastAsia" w:ascii="宋体" w:hAnsi="宋体" w:eastAsia="宋体" w:cs="宋体"/>
                <w:bCs/>
                <w:color w:val="auto"/>
                <w:kern w:val="0"/>
                <w:szCs w:val="21"/>
                <w:highlight w:val="none"/>
                <w:u w:val="single"/>
                <w:lang w:eastAsia="zh-CN"/>
              </w:rPr>
              <w:t>或</w:t>
            </w:r>
            <w:r>
              <w:rPr>
                <w:rFonts w:hint="eastAsia" w:ascii="宋体" w:hAnsi="宋体" w:eastAsia="宋体" w:cs="宋体"/>
                <w:bCs/>
                <w:color w:val="auto"/>
                <w:kern w:val="0"/>
                <w:szCs w:val="21"/>
                <w:highlight w:val="none"/>
                <w:u w:val="single"/>
                <w:lang w:val="en-US" w:eastAsia="zh-CN"/>
              </w:rPr>
              <w:t>U盘</w:t>
            </w:r>
            <w:r>
              <w:rPr>
                <w:rFonts w:hint="eastAsia" w:ascii="宋体" w:hAnsi="宋体" w:eastAsia="宋体" w:cs="宋体"/>
                <w:bCs/>
                <w:color w:val="auto"/>
                <w:kern w:val="0"/>
                <w:szCs w:val="21"/>
                <w:highlight w:val="none"/>
                <w:u w:val="single"/>
              </w:rPr>
              <w:t>）。</w:t>
            </w:r>
          </w:p>
        </w:tc>
      </w:tr>
    </w:tbl>
    <w:p>
      <w:pPr>
        <w:pStyle w:val="4"/>
        <w:rPr>
          <w:color w:val="auto"/>
          <w:highlight w:val="none"/>
        </w:rPr>
      </w:pPr>
      <w:r>
        <w:rPr>
          <w:color w:val="auto"/>
          <w:highlight w:val="none"/>
        </w:rPr>
        <w:br w:type="page"/>
      </w:r>
      <w:bookmarkStart w:id="4" w:name="_Toc21525491"/>
      <w:bookmarkStart w:id="5" w:name="_Toc2272547"/>
      <w:r>
        <w:rPr>
          <w:rFonts w:hint="eastAsia"/>
          <w:color w:val="auto"/>
          <w:highlight w:val="none"/>
        </w:rPr>
        <w:t>二、投标须知修改表</w:t>
      </w:r>
      <w:bookmarkEnd w:id="4"/>
      <w:bookmarkEnd w:id="5"/>
    </w:p>
    <w:p>
      <w:pPr>
        <w:pStyle w:val="33"/>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tabs>
          <w:tab w:val="left" w:pos="5620"/>
        </w:tabs>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条款号：5.1                     修改类型：修改</w:t>
      </w:r>
    </w:p>
    <w:p>
      <w:pPr>
        <w:tabs>
          <w:tab w:val="left" w:pos="5620"/>
        </w:tabs>
        <w:spacing w:line="360" w:lineRule="auto"/>
        <w:ind w:firstLine="540" w:firstLineChars="224"/>
        <w:rPr>
          <w:rFonts w:hint="eastAsia" w:ascii="宋体" w:hAnsi="宋体" w:cs="宋体"/>
          <w:color w:val="auto"/>
          <w:sz w:val="24"/>
          <w:szCs w:val="24"/>
          <w:highlight w:val="none"/>
        </w:rPr>
      </w:pPr>
      <w:r>
        <w:rPr>
          <w:rFonts w:hint="eastAsia" w:ascii="宋体" w:hAnsi="宋体" w:cs="宋体"/>
          <w:b/>
          <w:color w:val="auto"/>
          <w:sz w:val="24"/>
          <w:szCs w:val="24"/>
          <w:highlight w:val="none"/>
        </w:rPr>
        <w:t>原文：5</w:t>
      </w:r>
      <w:r>
        <w:rPr>
          <w:rFonts w:hint="eastAsia" w:ascii="宋体" w:hAnsi="宋体" w:cs="宋体"/>
          <w:color w:val="auto"/>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w:t>
      </w:r>
      <w:r>
        <w:rPr>
          <w:rFonts w:hint="eastAsia" w:ascii="宋体" w:hAnsi="宋体" w:cs="宋体"/>
          <w:color w:val="auto"/>
          <w:sz w:val="24"/>
          <w:szCs w:val="24"/>
          <w:highlight w:val="none"/>
          <w:u w:val="single"/>
          <w:lang w:eastAsia="zh-CN"/>
        </w:rPr>
        <w:t>熟知</w:t>
      </w:r>
      <w:r>
        <w:rPr>
          <w:rFonts w:hint="eastAsia" w:ascii="宋体" w:hAnsi="宋体" w:cs="宋体"/>
          <w:color w:val="auto"/>
          <w:sz w:val="24"/>
          <w:szCs w:val="24"/>
          <w:highlight w:val="none"/>
          <w:u w:val="single"/>
        </w:rPr>
        <w:t>现场条件，自行承担相关风险。</w:t>
      </w:r>
      <w:r>
        <w:rPr>
          <w:rFonts w:hint="eastAsia" w:ascii="宋体" w:hAnsi="宋体" w:cs="宋体"/>
          <w:color w:val="auto"/>
          <w:sz w:val="24"/>
          <w:szCs w:val="24"/>
          <w:highlight w:val="none"/>
        </w:rPr>
        <w:t>一旦中标，这种考察即被认为其结果已在中标文件中得到充分反映。考察现场的费用由投标人自己承担。</w:t>
      </w:r>
    </w:p>
    <w:p>
      <w:pPr>
        <w:tabs>
          <w:tab w:val="left" w:pos="5620"/>
        </w:tabs>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color w:val="auto"/>
          <w:sz w:val="24"/>
          <w:szCs w:val="24"/>
          <w:highlight w:val="none"/>
        </w:rPr>
        <w:t>7.1</w:t>
      </w:r>
      <w:r>
        <w:rPr>
          <w:rFonts w:hint="eastAsia" w:ascii="宋体" w:hAnsi="宋体" w:cs="宋体"/>
          <w:b/>
          <w:color w:val="auto"/>
          <w:sz w:val="24"/>
          <w:szCs w:val="24"/>
          <w:highlight w:val="none"/>
        </w:rPr>
        <w:t xml:space="preserve">            修改类型：修改</w:t>
      </w:r>
      <w:r>
        <w:rPr>
          <w:rFonts w:hint="eastAsia" w:ascii="宋体" w:hAnsi="宋体" w:cs="宋体"/>
          <w:b/>
          <w:color w:val="auto"/>
          <w:sz w:val="24"/>
          <w:szCs w:val="24"/>
          <w:highlight w:val="none"/>
        </w:rPr>
        <w:tab/>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33"/>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第五章  </w:t>
      </w:r>
      <w:r>
        <w:rPr>
          <w:rFonts w:hint="eastAsia" w:ascii="宋体" w:hAnsi="宋体" w:cs="宋体"/>
          <w:color w:val="auto"/>
          <w:sz w:val="24"/>
          <w:szCs w:val="24"/>
          <w:highlight w:val="none"/>
        </w:rPr>
        <w:t>技术条件（工程建设标准）（另册）</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第七章  招标工程量清单（另册）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33"/>
        <w:spacing w:after="0" w:line="360" w:lineRule="auto"/>
        <w:ind w:left="-2"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第三章  合同条款（另册）</w:t>
      </w:r>
    </w:p>
    <w:p>
      <w:pPr>
        <w:pStyle w:val="33"/>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第五章  </w:t>
      </w:r>
      <w:r>
        <w:rPr>
          <w:rFonts w:hint="eastAsia" w:ascii="宋体" w:hAnsi="宋体" w:cs="宋体"/>
          <w:color w:val="auto"/>
          <w:sz w:val="24"/>
          <w:szCs w:val="24"/>
          <w:highlight w:val="none"/>
        </w:rPr>
        <w:t>技术条件（工程建设标准）（另册）</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33"/>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Bdr>
          <w:bottom w:val="single" w:color="auto" w:sz="6" w:space="1"/>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8.1         </w:t>
      </w:r>
      <w:r>
        <w:rPr>
          <w:rFonts w:hint="eastAsia" w:ascii="宋体" w:hAnsi="宋体" w:cs="宋体"/>
          <w:b/>
          <w:color w:val="auto"/>
          <w:sz w:val="24"/>
          <w:szCs w:val="24"/>
          <w:highlight w:val="none"/>
        </w:rPr>
        <w:t>修改类型：修改</w:t>
      </w:r>
    </w:p>
    <w:p>
      <w:pPr>
        <w:pStyle w:val="33"/>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8.1 投标人若对招标文件（包括招标图纸）中有疑问，可以书面形式通过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交易平台提交给招标人或招标代理人，提交形式见本须知前附表第16项。</w:t>
      </w:r>
    </w:p>
    <w:p>
      <w:pPr>
        <w:pBdr>
          <w:bottom w:val="single" w:color="auto" w:sz="6" w:space="1"/>
        </w:pBdr>
        <w:spacing w:line="360" w:lineRule="auto"/>
        <w:ind w:firstLine="472" w:firstLineChars="196"/>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8.1 </w:t>
      </w:r>
      <w:r>
        <w:rPr>
          <w:rFonts w:hint="eastAsia" w:ascii="宋体" w:hAnsi="宋体" w:cs="宋体"/>
          <w:color w:val="auto"/>
          <w:sz w:val="24"/>
          <w:szCs w:val="24"/>
          <w:highlight w:val="none"/>
          <w:u w:val="single"/>
        </w:rPr>
        <w:t>招标答疑采用网上答疑方式进行。投标人若对招标文件（包括招标图纸、工程量清单、招标控制价、合同条款）有疑问的，可在投标须知前附表16项规定的时间内通过广州公共资源交易中心交易平台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8.2</w:t>
      </w:r>
      <w:r>
        <w:rPr>
          <w:rFonts w:hint="eastAsia" w:ascii="宋体" w:hAnsi="宋体" w:cs="宋体"/>
          <w:b/>
          <w:color w:val="auto"/>
          <w:sz w:val="24"/>
          <w:szCs w:val="24"/>
          <w:highlight w:val="none"/>
        </w:rPr>
        <w:t xml:space="preserve">             修改类型：修改</w:t>
      </w:r>
    </w:p>
    <w:p>
      <w:pPr>
        <w:pStyle w:val="33"/>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8.2招标答疑会会议纪要将在提交投标文件截止时间15日前在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 “项目答疑纪要”专区公开发布。答疑纪要一经在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交易平台发布，视作已发放给所有投标人。</w:t>
      </w:r>
    </w:p>
    <w:p>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8.2招标答疑会会议纪要将在提交投标文件截止时间15日前在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 “项目答疑纪要”专区公开发布。答疑纪要一经在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交易平台发布，视作已发放给所有投标人。</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9.2</w:t>
      </w:r>
      <w:r>
        <w:rPr>
          <w:rFonts w:hint="eastAsia" w:ascii="宋体" w:hAnsi="宋体" w:cs="宋体"/>
          <w:b/>
          <w:color w:val="auto"/>
          <w:sz w:val="24"/>
          <w:szCs w:val="24"/>
          <w:highlight w:val="none"/>
        </w:rPr>
        <w:t xml:space="preserve">             修改类型：修改</w:t>
      </w:r>
    </w:p>
    <w:p>
      <w:pPr>
        <w:pStyle w:val="33"/>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9.2招标文件的澄清或修改将在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交易平台上网发布时间作为送达时间。</w:t>
      </w:r>
    </w:p>
    <w:p>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9.2招标文件的澄清或修改将在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交易平台上网发布时间作为送达时间。</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9.4             </w:t>
      </w:r>
      <w:r>
        <w:rPr>
          <w:rFonts w:hint="eastAsia" w:ascii="宋体" w:hAnsi="宋体" w:cs="宋体"/>
          <w:b/>
          <w:color w:val="auto"/>
          <w:sz w:val="24"/>
          <w:szCs w:val="24"/>
          <w:highlight w:val="none"/>
        </w:rPr>
        <w:t>修改类型：修改</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9.4招标文件的澄清或修改均</w:t>
      </w:r>
      <w:r>
        <w:rPr>
          <w:rFonts w:hint="eastAsia" w:ascii="宋体" w:hAnsi="宋体" w:cs="宋体"/>
          <w:color w:val="auto"/>
          <w:sz w:val="24"/>
          <w:szCs w:val="24"/>
          <w:highlight w:val="none"/>
          <w:u w:val="single"/>
        </w:rPr>
        <w:t>在广州公共资源交易中心网站“网上答疑”专区公开发布。</w:t>
      </w:r>
      <w:r>
        <w:rPr>
          <w:rFonts w:hint="eastAsia" w:ascii="宋体" w:hAnsi="宋体" w:cs="宋体"/>
          <w:color w:val="auto"/>
          <w:sz w:val="24"/>
          <w:szCs w:val="24"/>
          <w:highlight w:val="none"/>
        </w:rPr>
        <w:t>当招标文件的澄清、修改、补充等在同一内容的表述不一致时，以最后发出的文件为准。</w:t>
      </w:r>
    </w:p>
    <w:p>
      <w:pPr>
        <w:spacing w:line="48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bCs/>
          <w:color w:val="auto"/>
          <w:sz w:val="24"/>
          <w:szCs w:val="24"/>
          <w:highlight w:val="none"/>
        </w:rPr>
        <w:t>11.2</w:t>
      </w:r>
      <w:r>
        <w:rPr>
          <w:rFonts w:hint="eastAsia" w:ascii="宋体" w:hAnsi="宋体" w:cs="宋体"/>
          <w:b/>
          <w:color w:val="auto"/>
          <w:sz w:val="24"/>
          <w:szCs w:val="24"/>
          <w:highlight w:val="none"/>
        </w:rPr>
        <w:t xml:space="preserve">            修改类型：修改</w:t>
      </w:r>
    </w:p>
    <w:p>
      <w:pPr>
        <w:pStyle w:val="33"/>
        <w:rPr>
          <w:rFonts w:ascii="宋体" w:hAnsi="宋体"/>
          <w:bCs/>
          <w:color w:val="auto"/>
          <w:sz w:val="24"/>
          <w:highlight w:val="none"/>
        </w:rPr>
      </w:pPr>
      <w:r>
        <w:rPr>
          <w:rFonts w:hint="eastAsia" w:ascii="宋体" w:hAnsi="宋体" w:cs="宋体"/>
          <w:b/>
          <w:color w:val="auto"/>
          <w:sz w:val="24"/>
          <w:szCs w:val="24"/>
          <w:highlight w:val="none"/>
        </w:rPr>
        <w:t>原文：</w:t>
      </w: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（1）投标人声明；</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hint="eastAsia" w:ascii="宋体"/>
          <w:bCs/>
          <w:color w:val="auto"/>
          <w:sz w:val="24"/>
          <w:highlight w:val="none"/>
          <w:shd w:val="clear" w:color="FFFFFF" w:fill="D9D9D9"/>
        </w:rPr>
      </w:pPr>
      <w:r>
        <w:rPr>
          <w:rFonts w:hint="eastAsia" w:ascii="宋体"/>
          <w:bCs/>
          <w:color w:val="auto"/>
          <w:sz w:val="24"/>
          <w:highlight w:val="none"/>
        </w:rPr>
        <w:t>（4）企业资质证书（取自平台内上传件）；</w:t>
      </w:r>
    </w:p>
    <w:p>
      <w:pPr>
        <w:spacing w:line="360" w:lineRule="auto"/>
        <w:ind w:firstLine="480" w:firstLineChars="200"/>
        <w:rPr>
          <w:rFonts w:hint="eastAsia" w:ascii="宋体"/>
          <w:bCs/>
          <w:color w:val="auto"/>
          <w:sz w:val="24"/>
          <w:highlight w:val="none"/>
          <w:shd w:val="clear" w:color="FFFFFF" w:fill="D9D9D9"/>
        </w:rPr>
      </w:pPr>
      <w:r>
        <w:rPr>
          <w:rFonts w:hint="eastAsia" w:ascii="宋体"/>
          <w:bCs/>
          <w:color w:val="auto"/>
          <w:sz w:val="24"/>
          <w:highlight w:val="none"/>
        </w:rPr>
        <w:t>（5）建筑施工企业安全生产许可证（取自平台内上传件）；</w:t>
      </w:r>
    </w:p>
    <w:p>
      <w:pPr>
        <w:spacing w:line="360" w:lineRule="auto"/>
        <w:ind w:firstLine="480" w:firstLineChars="200"/>
        <w:rPr>
          <w:rFonts w:hint="eastAsia" w:ascii="宋体"/>
          <w:bCs/>
          <w:color w:val="auto"/>
          <w:sz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hint="eastAsia" w:ascii="宋体"/>
          <w:bCs/>
          <w:color w:val="auto"/>
          <w:sz w:val="24"/>
          <w:highlight w:val="none"/>
        </w:rPr>
      </w:pPr>
      <w:r>
        <w:rPr>
          <w:rFonts w:hint="eastAsia" w:ascii="宋体"/>
          <w:bCs/>
          <w:color w:val="auto"/>
          <w:sz w:val="24"/>
          <w:highlight w:val="none"/>
        </w:rPr>
        <w:t>（7）</w:t>
      </w:r>
      <w:r>
        <w:rPr>
          <w:rFonts w:hint="eastAsia" w:ascii="宋体" w:hAnsi="宋体"/>
          <w:bCs/>
          <w:color w:val="auto"/>
          <w:sz w:val="24"/>
          <w:szCs w:val="24"/>
          <w:highlight w:val="none"/>
        </w:rPr>
        <w:t>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11.2投标文件技术标部分主要包括下列内容: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11.2.1技术投标文件(按招标文件的要求填写)；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11.2.2 资格审查文件：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（1）投标人声明（格式详见本补充公告附件1）；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（2）法定代表人证明书、法定代表人签字或盖章的本投标文件授权委托证明书；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（3）企业营业执照（取自平台内上传件）；</w:t>
      </w:r>
    </w:p>
    <w:p>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（4）企业资质证书（取自平台内上传件）；</w:t>
      </w:r>
    </w:p>
    <w:p>
      <w:pPr>
        <w:spacing w:line="360" w:lineRule="auto"/>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rPr>
        <w:t>（5）</w:t>
      </w:r>
      <w:r>
        <w:rPr>
          <w:rFonts w:hint="eastAsia" w:ascii="宋体" w:hAnsi="宋体" w:cs="宋体"/>
          <w:color w:val="auto"/>
          <w:sz w:val="24"/>
          <w:szCs w:val="24"/>
          <w:highlight w:val="none"/>
        </w:rPr>
        <w:t>建筑施工企业安全生产许可证（取自平台内上传件）；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（6）项目负责人（按网上投标登记时选择拟投标的项目负责人）；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（8）拟委托技术负责人的职称证书；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（9）拟委派项目负责人的建造师注册证书（取自平台内上传件）；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（11）专职安全员须具有安全生产考核合格证（C证）或建筑施工企业专职安全生产管理人员安全生产考核合格证（C3类）（取自平台内上传件）；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（13）列明主办单位的联合体工作协议（采用联合体投标时需递交，投标人拟任本工程项目负责人、</w:t>
      </w:r>
      <w:r>
        <w:rPr>
          <w:rFonts w:hint="eastAsia" w:ascii="宋体" w:hAnsi="宋体" w:cs="宋体"/>
          <w:color w:val="auto"/>
          <w:sz w:val="24"/>
          <w:szCs w:val="24"/>
          <w:highlight w:val="none"/>
        </w:rPr>
        <w:t>技术负责人、专职安全员</w:t>
      </w:r>
      <w:r>
        <w:rPr>
          <w:rFonts w:hint="eastAsia" w:ascii="宋体" w:hAnsi="宋体"/>
          <w:bCs/>
          <w:color w:val="auto"/>
          <w:sz w:val="24"/>
          <w:szCs w:val="24"/>
          <w:highlight w:val="none"/>
        </w:rPr>
        <w:t>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11.2.3按照招标文件要求填写的《参与编制技术标投标文件人员名单》。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11.2.4技术标评分证明材料。</w:t>
      </w:r>
    </w:p>
    <w:p>
      <w:pPr>
        <w:pBdr>
          <w:bottom w:val="single" w:color="auto" w:sz="6" w:space="1"/>
        </w:pBd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11.2.5其他投标人认为应该提供的资料。</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highlight w:val="none"/>
        </w:rPr>
        <w:t>条款号：  11.3               修改类型：修改</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11.3 经济部分投标文件主要包括下列内容：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11.3.1 经济投标文件(按招标文件的要求填写)。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（1）投标总价封面、扉页；</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（2）总说明；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（9）综合单价分析表；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（11）暂列金额明细表；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（14）计日工表；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（15）总承包服务计价表；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（17）人工、主要材料和设备一览表。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11.3.3按照招标文件要求填写的《参与编制经济标投标文件人员名单》。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 xml:space="preserve">11.3 </w:t>
      </w:r>
      <w:r>
        <w:rPr>
          <w:rFonts w:hint="eastAsia" w:ascii="宋体" w:hAnsi="宋体" w:cs="宋体"/>
          <w:b/>
          <w:bCs/>
          <w:color w:val="auto"/>
          <w:sz w:val="24"/>
          <w:szCs w:val="24"/>
          <w:highlight w:val="none"/>
          <w:u w:val="single"/>
        </w:rPr>
        <w:t>经济部分投标文件</w:t>
      </w:r>
      <w:r>
        <w:rPr>
          <w:rFonts w:hint="eastAsia" w:ascii="宋体" w:hAnsi="宋体" w:cs="宋体"/>
          <w:bCs/>
          <w:color w:val="auto"/>
          <w:sz w:val="24"/>
          <w:szCs w:val="24"/>
          <w:highlight w:val="none"/>
        </w:rPr>
        <w:t>主要包括下列内容:</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经济投标文件（按招标文件的要求填写）。</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u w:val="single"/>
        </w:rPr>
        <w:t>（投标报价的工程量清单的组成、格式等由广州公共资源交易中心的投标文件管理软件自动生成）</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11.3.3按照招标文件要求填写的《参与编制经济标投标文件人员名单》。</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11.3.4 《对投标文件编制的承诺》(按招标文件附件的要求填写)。</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11.3.5 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12.2       </w:t>
      </w:r>
      <w:r>
        <w:rPr>
          <w:rFonts w:hint="eastAsia" w:ascii="宋体" w:hAnsi="宋体" w:cs="宋体"/>
          <w:b/>
          <w:color w:val="auto"/>
          <w:sz w:val="24"/>
          <w:szCs w:val="24"/>
          <w:highlight w:val="none"/>
        </w:rPr>
        <w:t>修改类型：修改</w:t>
      </w:r>
    </w:p>
    <w:p>
      <w:pPr>
        <w:pStyle w:val="33"/>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w:t>
      </w:r>
    </w:p>
    <w:p>
      <w:pPr>
        <w:pBdr>
          <w:bottom w:val="single" w:color="auto" w:sz="6" w:space="1"/>
        </w:pBdr>
        <w:spacing w:line="360" w:lineRule="auto"/>
        <w:ind w:firstLine="472" w:firstLineChars="196"/>
        <w:rPr>
          <w:rFonts w:hint="eastAsia" w:ascii="宋体" w:hAnsi="宋体" w:cs="宋体"/>
          <w:b/>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12.2投标文件全部采用电子文档，投标文件所附证书证件均为原件扫描件，并采用单位数字证书（联合体投标的，由联合体主办方采用其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详见：</w:t>
      </w:r>
      <w:r>
        <w:rPr>
          <w:rFonts w:hint="eastAsia" w:ascii="宋体" w:hAnsi="宋体" w:cs="宋体"/>
          <w:color w:val="auto"/>
          <w:sz w:val="24"/>
          <w:szCs w:val="24"/>
          <w:highlight w:val="none"/>
          <w:u w:val="single"/>
        </w:rPr>
        <w:t>广州公共资源交易中心交易平台。</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12.3       </w:t>
      </w:r>
      <w:r>
        <w:rPr>
          <w:rFonts w:hint="eastAsia" w:ascii="宋体" w:hAnsi="宋体" w:cs="宋体"/>
          <w:b/>
          <w:color w:val="auto"/>
          <w:sz w:val="24"/>
          <w:szCs w:val="24"/>
          <w:highlight w:val="none"/>
        </w:rPr>
        <w:t>修改类型：修改</w:t>
      </w:r>
    </w:p>
    <w:p>
      <w:pPr>
        <w:pStyle w:val="5"/>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Bdr>
          <w:bottom w:val="single" w:color="auto" w:sz="6" w:space="1"/>
        </w:pBdr>
        <w:spacing w:line="360" w:lineRule="auto"/>
        <w:ind w:firstLine="472" w:firstLineChars="196"/>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广州公共资源交易中心网站。</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条款号：13.1              修改类型：修改</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13.1 本工程的投标报价采用投标须知前附表第12项所规定的方式。投标报价（含单价及总价）精确到“分”。</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本工程的投标报价采用投标须知前附表第12项所规定的方式。</w:t>
      </w:r>
      <w:r>
        <w:rPr>
          <w:rFonts w:hint="eastAsia" w:ascii="宋体" w:hAnsi="宋体" w:cs="宋体"/>
          <w:color w:val="auto"/>
          <w:sz w:val="24"/>
          <w:szCs w:val="24"/>
          <w:highlight w:val="none"/>
          <w:u w:val="single"/>
        </w:rPr>
        <w:t>投标文件中的大写金额和小写金额不一致的，以大写金额为准，</w:t>
      </w:r>
      <w:r>
        <w:rPr>
          <w:rFonts w:hint="eastAsia" w:ascii="宋体" w:hAnsi="宋体" w:cs="宋体"/>
          <w:color w:val="auto"/>
          <w:sz w:val="24"/>
          <w:szCs w:val="24"/>
          <w:highlight w:val="none"/>
        </w:rPr>
        <w:t>投标报价（含单价及总价）精确到“分”。</w:t>
      </w:r>
    </w:p>
    <w:p>
      <w:pPr>
        <w:pStyle w:val="33"/>
        <w:widowControl/>
        <w:adjustRightInd w:val="0"/>
        <w:spacing w:after="0"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条款号：13.4           修改类型：修改</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按施工合同约定执行。</w:t>
      </w:r>
    </w:p>
    <w:p>
      <w:pPr>
        <w:pStyle w:val="33"/>
        <w:widowControl/>
        <w:adjustRightInd w:val="0"/>
        <w:spacing w:after="0"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条款号：13.5            修改类型：修改</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13.5.1中标的投标文件工程量清单中已有相同项目的适用综合单价，则沿用；</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602" w:firstLineChars="25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按施工合同专用约定执行。</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13.6</w:t>
      </w:r>
      <w:r>
        <w:rPr>
          <w:rFonts w:hint="eastAsia" w:ascii="宋体" w:hAnsi="宋体" w:cs="宋体"/>
          <w:b/>
          <w:color w:val="auto"/>
          <w:sz w:val="24"/>
          <w:szCs w:val="24"/>
          <w:highlight w:val="none"/>
        </w:rPr>
        <w:t xml:space="preserve">              修改类型：修改</w:t>
      </w:r>
    </w:p>
    <w:p>
      <w:pPr>
        <w:pStyle w:val="33"/>
        <w:pBdr>
          <w:bottom w:val="single" w:color="auto" w:sz="6" w:space="1"/>
        </w:pBdr>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13.6 暂列金额、暂估价</w:t>
      </w:r>
    </w:p>
    <w:p>
      <w:pPr>
        <w:pStyle w:val="33"/>
        <w:pBdr>
          <w:bottom w:val="single" w:color="auto" w:sz="6" w:space="1"/>
        </w:pBdr>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13.6</w:t>
      </w:r>
      <w:r>
        <w:rPr>
          <w:rFonts w:hint="eastAsia" w:ascii="宋体" w:hAnsi="宋体" w:cs="宋体"/>
          <w:color w:val="auto"/>
          <w:sz w:val="24"/>
          <w:szCs w:val="24"/>
          <w:highlight w:val="none"/>
          <w:u w:val="single"/>
        </w:rPr>
        <w:t>暂列金额、暂估价按施工合同相关规定执行。</w:t>
      </w:r>
    </w:p>
    <w:p>
      <w:pPr>
        <w:spacing w:line="480" w:lineRule="auto"/>
        <w:ind w:firstLine="540" w:firstLineChars="224"/>
        <w:rPr>
          <w:b/>
          <w:color w:val="auto"/>
          <w:sz w:val="24"/>
          <w:szCs w:val="24"/>
          <w:highlight w:val="none"/>
        </w:rPr>
      </w:pPr>
      <w:r>
        <w:rPr>
          <w:b/>
          <w:color w:val="auto"/>
          <w:sz w:val="24"/>
          <w:szCs w:val="24"/>
          <w:highlight w:val="none"/>
        </w:rPr>
        <w:t>条款号：16.1-16.7                 修改类型：修改</w:t>
      </w:r>
    </w:p>
    <w:p>
      <w:pPr>
        <w:spacing w:line="360" w:lineRule="auto"/>
        <w:ind w:firstLine="482" w:firstLineChars="200"/>
        <w:rPr>
          <w:rFonts w:ascii="宋体" w:hAnsi="宋体"/>
          <w:color w:val="auto"/>
          <w:sz w:val="24"/>
          <w:highlight w:val="none"/>
        </w:rPr>
      </w:pPr>
      <w:r>
        <w:rPr>
          <w:b/>
          <w:color w:val="auto"/>
          <w:sz w:val="24"/>
          <w:szCs w:val="24"/>
          <w:highlight w:val="none"/>
        </w:rPr>
        <w:t>原文：</w:t>
      </w: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2" w:firstLineChars="250"/>
        <w:jc w:val="both"/>
        <w:rPr>
          <w:bCs/>
          <w:color w:val="auto"/>
          <w:sz w:val="24"/>
          <w:szCs w:val="24"/>
          <w:highlight w:val="none"/>
        </w:rPr>
      </w:pPr>
      <w:r>
        <w:rPr>
          <w:b/>
          <w:color w:val="auto"/>
          <w:sz w:val="24"/>
          <w:szCs w:val="24"/>
          <w:highlight w:val="none"/>
        </w:rPr>
        <w:t>现文：</w:t>
      </w:r>
      <w:r>
        <w:rPr>
          <w:bCs/>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16.1.1 采用现金或者支票形式提交的，投标保证金须从投标人的银行基本账户转出。</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16.1.3 采用电子形式的保函、担保或保证保险提交投标保证金的，应在招标文件中明确电子递交途径。</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16.3投标保证金应依据法律法规的相关规定退还。</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16.4如有下列情况之一的，招标人</w:t>
      </w:r>
      <w:r>
        <w:rPr>
          <w:rFonts w:hint="eastAsia"/>
          <w:bCs/>
          <w:color w:val="auto"/>
          <w:sz w:val="24"/>
          <w:szCs w:val="24"/>
          <w:highlight w:val="none"/>
        </w:rPr>
        <w:t>将</w:t>
      </w:r>
      <w:r>
        <w:rPr>
          <w:bCs/>
          <w:color w:val="auto"/>
          <w:sz w:val="24"/>
          <w:szCs w:val="24"/>
          <w:highlight w:val="none"/>
        </w:rPr>
        <w:t>不予退还投标保证金：</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16.4.1因投标人原因造成投标文件未解密的；</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16.4.2投标人在投标有效期内撤销投标文件；</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16.4.3中标人未能在规定期限内按要求提交履约担保；</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16.4.4中标人未能在规定期限内签署合同协议。</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16.5投标人如存在下列情况之一的，将被拒绝在一定时期内参与招标人后续工程投标（拒绝时限</w:t>
      </w:r>
      <w:r>
        <w:rPr>
          <w:rFonts w:hint="eastAsia"/>
          <w:bCs/>
          <w:color w:val="auto"/>
          <w:sz w:val="24"/>
          <w:szCs w:val="24"/>
          <w:highlight w:val="none"/>
        </w:rPr>
        <w:t>为</w:t>
      </w:r>
      <w:r>
        <w:rPr>
          <w:rFonts w:hint="eastAsia" w:ascii="宋体" w:hAnsi="宋体"/>
          <w:color w:val="auto"/>
          <w:sz w:val="24"/>
          <w:szCs w:val="20"/>
          <w:highlight w:val="none"/>
          <w:u w:val="single"/>
        </w:rPr>
        <w:t>180日历天</w:t>
      </w:r>
      <w:r>
        <w:rPr>
          <w:rFonts w:ascii="宋体" w:hAnsi="宋体"/>
          <w:color w:val="auto"/>
          <w:sz w:val="24"/>
          <w:szCs w:val="20"/>
          <w:highlight w:val="none"/>
          <w:u w:val="single"/>
        </w:rPr>
        <w:t>）</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600" w:firstLineChars="250"/>
        <w:jc w:val="both"/>
        <w:rPr>
          <w:bCs/>
          <w:color w:val="auto"/>
          <w:sz w:val="24"/>
          <w:szCs w:val="24"/>
          <w:highlight w:val="none"/>
        </w:rPr>
      </w:pPr>
      <w:r>
        <w:rPr>
          <w:bCs/>
          <w:color w:val="auto"/>
          <w:sz w:val="24"/>
          <w:szCs w:val="24"/>
          <w:highlight w:val="none"/>
        </w:rPr>
        <w:t>16.5.1投标人存在16.4条款所列情形且投标人提交的保函、担保或保证保险无法兑付的；</w:t>
      </w:r>
    </w:p>
    <w:p>
      <w:pPr>
        <w:pBdr>
          <w:bottom w:val="single" w:color="auto" w:sz="6" w:space="1"/>
        </w:pBdr>
        <w:spacing w:line="360" w:lineRule="auto"/>
        <w:ind w:firstLine="600" w:firstLineChars="250"/>
        <w:rPr>
          <w:bCs/>
          <w:color w:val="auto"/>
          <w:sz w:val="24"/>
          <w:szCs w:val="24"/>
          <w:highlight w:val="none"/>
        </w:rPr>
      </w:pPr>
      <w:r>
        <w:rPr>
          <w:bCs/>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17.1</w:t>
      </w:r>
      <w:r>
        <w:rPr>
          <w:rFonts w:hint="eastAsia" w:ascii="宋体" w:hAnsi="宋体" w:cs="宋体"/>
          <w:b/>
          <w:color w:val="auto"/>
          <w:sz w:val="24"/>
          <w:szCs w:val="24"/>
          <w:highlight w:val="none"/>
        </w:rPr>
        <w:t xml:space="preserve">            修改类型：修改</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17.1投标人应采用单位数字证书（联合体投标的，由联合体主办方采用其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详见：</w:t>
      </w:r>
      <w:r>
        <w:rPr>
          <w:rFonts w:hint="eastAsia" w:ascii="宋体" w:hAnsi="宋体" w:cs="宋体"/>
          <w:color w:val="auto"/>
          <w:sz w:val="24"/>
          <w:szCs w:val="24"/>
          <w:highlight w:val="none"/>
          <w:u w:val="single"/>
        </w:rPr>
        <w:t>《房屋建筑和市政基础设施工程全流程电子化项目专章》</w:t>
      </w:r>
      <w:r>
        <w:rPr>
          <w:rFonts w:hint="eastAsia" w:ascii="宋体" w:hAnsi="宋体" w:cs="宋体"/>
          <w:color w:val="auto"/>
          <w:sz w:val="24"/>
          <w:szCs w:val="24"/>
          <w:highlight w:val="none"/>
        </w:rPr>
        <w:t>。</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18、19</w:t>
      </w:r>
      <w:r>
        <w:rPr>
          <w:rFonts w:hint="eastAsia" w:ascii="宋体" w:hAnsi="宋体" w:cs="宋体"/>
          <w:b/>
          <w:color w:val="auto"/>
          <w:sz w:val="24"/>
          <w:szCs w:val="24"/>
          <w:highlight w:val="none"/>
        </w:rPr>
        <w:t xml:space="preserve">             修改类型：修改</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19．投标文件的递交和接收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rPr>
        <w:t>交易平台递交电子投标文件。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rPr>
        <w:t>交易平台将予以拒收。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19.5如技术标和经济标先后分别开启，交易平台将按招标文件规定的时间分别开启技术标和经济标。</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33"/>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 xml:space="preserve">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19．投标文件的递交和接收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交易平台将予以拒收。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pPr>
        <w:pBdr>
          <w:bottom w:val="single" w:color="auto" w:sz="6" w:space="1"/>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19.5技术标和经济标同时开启，广州公共资源交易中心交易平台将按招标文件规定的时间同时开启技术标和经济标。</w:t>
      </w:r>
    </w:p>
    <w:p>
      <w:pPr>
        <w:adjustRightInd w:val="0"/>
        <w:spacing w:line="360" w:lineRule="auto"/>
        <w:ind w:firstLine="537" w:firstLineChars="223"/>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条款号：20.3             修改类型：修改</w:t>
      </w:r>
    </w:p>
    <w:p>
      <w:pPr>
        <w:adjustRightInd w:val="0"/>
        <w:spacing w:line="360" w:lineRule="auto"/>
        <w:ind w:firstLine="540" w:firstLineChars="224"/>
        <w:rPr>
          <w:rFonts w:hint="eastAsia" w:ascii="宋体" w:hAnsi="宋体" w:cs="宋体"/>
          <w:b/>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602" w:firstLineChars="250"/>
        <w:rPr>
          <w:rFonts w:hint="eastAsia" w:ascii="宋体" w:hAnsi="宋体" w:cs="宋体"/>
          <w:b/>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20.3 到投标截止时间止，招标人收到的投标文件少于</w:t>
      </w:r>
      <w:r>
        <w:rPr>
          <w:rFonts w:hint="eastAsia" w:ascii="宋体" w:hAnsi="宋体" w:cs="宋体"/>
          <w:color w:val="auto"/>
          <w:sz w:val="24"/>
          <w:szCs w:val="24"/>
          <w:highlight w:val="none"/>
          <w:u w:val="single"/>
        </w:rPr>
        <w:t>3家</w:t>
      </w:r>
      <w:r>
        <w:rPr>
          <w:rFonts w:hint="eastAsia" w:ascii="宋体" w:hAnsi="宋体" w:cs="宋体"/>
          <w:color w:val="auto"/>
          <w:sz w:val="24"/>
          <w:szCs w:val="24"/>
          <w:highlight w:val="none"/>
        </w:rPr>
        <w:t>的，招标人将重新组织招标。</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21.1</w:t>
      </w:r>
      <w:r>
        <w:rPr>
          <w:rFonts w:hint="eastAsia" w:ascii="宋体" w:hAnsi="宋体" w:cs="宋体"/>
          <w:b/>
          <w:color w:val="auto"/>
          <w:sz w:val="24"/>
          <w:szCs w:val="24"/>
          <w:highlight w:val="none"/>
        </w:rPr>
        <w:t xml:space="preserve">             修改类型：修改</w:t>
      </w:r>
    </w:p>
    <w:p>
      <w:pPr>
        <w:spacing w:line="360" w:lineRule="auto"/>
        <w:ind w:firstLine="482" w:firstLineChars="200"/>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rPr>
        <w:t>交易平台将予以拒收。</w:t>
      </w:r>
    </w:p>
    <w:p>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交易平台将予以拒收。</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条款号：27.1          修改类型：修改</w:t>
      </w:r>
    </w:p>
    <w:p>
      <w:pPr>
        <w:pBdr>
          <w:bottom w:val="single" w:color="auto" w:sz="6" w:space="1"/>
        </w:pBdr>
        <w:spacing w:line="360" w:lineRule="auto"/>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27.1招标人将在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27.4</w:t>
      </w:r>
      <w:r>
        <w:rPr>
          <w:rFonts w:hint="eastAsia" w:ascii="宋体" w:hAnsi="宋体" w:cs="宋体"/>
          <w:b/>
          <w:color w:val="auto"/>
          <w:sz w:val="24"/>
          <w:szCs w:val="24"/>
          <w:highlight w:val="none"/>
        </w:rPr>
        <w:t xml:space="preserve">            修改类型：修改</w:t>
      </w:r>
    </w:p>
    <w:p>
      <w:pPr>
        <w:spacing w:line="360" w:lineRule="auto"/>
        <w:ind w:firstLine="482" w:firstLineChars="200"/>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cs="宋体"/>
          <w:color w:val="auto"/>
          <w:kern w:val="0"/>
          <w:sz w:val="24"/>
          <w:szCs w:val="24"/>
          <w:highlight w:val="none"/>
          <w:u w:val="single"/>
        </w:rPr>
        <w:t>广州公共资源交易中心</w:t>
      </w:r>
      <w:r>
        <w:rPr>
          <w:rFonts w:hint="eastAsia" w:ascii="宋体" w:hAnsi="宋体" w:cs="宋体"/>
          <w:color w:val="auto"/>
          <w:sz w:val="24"/>
          <w:szCs w:val="24"/>
          <w:highlight w:val="none"/>
        </w:rPr>
        <w:t>交易平台和广东省招标投标监管网公开。</w:t>
      </w:r>
    </w:p>
    <w:p>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条款号：29.1         修改类型：修改</w:t>
      </w:r>
    </w:p>
    <w:p>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29.1 在收到中标通知书后的15日内，中标人应按本须知前附表第20项的规定向招标人提交履约担保。</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29.1 在合同签订后15日内，中标人应按施工合同约定向招标人提交履约担保。</w:t>
      </w:r>
    </w:p>
    <w:p>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条款号：29.2         修改类型：修改</w:t>
      </w:r>
    </w:p>
    <w:p>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29.2 在合同签订后15日内，中标人未按上款的规定提交履约担保，招标人有权解除合同，并有权不退还原中标人的投标担保，且依法承担相应法律责任。原中标人给招标人造成的损失超过投标保证金数额的，还应当对超过部分予以赔偿。原中标人有异议的，可以向人民法院起诉。</w:t>
      </w:r>
    </w:p>
    <w:p>
      <w:pPr>
        <w:spacing w:line="48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条款号：29.3            修改类型：增加</w:t>
      </w:r>
    </w:p>
    <w:p>
      <w:pPr>
        <w:pBdr>
          <w:bottom w:val="single" w:color="auto" w:sz="6" w:space="1"/>
        </w:pBdr>
        <w:tabs>
          <w:tab w:val="left" w:pos="1620"/>
        </w:tabs>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中</w:t>
      </w:r>
      <w:r>
        <w:rPr>
          <w:rFonts w:hint="eastAsia" w:ascii="宋体" w:hAnsi="宋体" w:cs="宋体"/>
          <w:color w:val="auto"/>
          <w:sz w:val="24"/>
          <w:szCs w:val="24"/>
          <w:highlight w:val="none"/>
        </w:rPr>
        <w:t>标单位在本项目结束中标公示后3天内，须提供与递交投标文件电子标书内容一致且每页加盖单位公章的纸质文件</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套（</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正</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副）及电子文件</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套（不用生成投标书）；包括用Microsoft Excel软件或广州公共资源交易中心提供的投标书制作软件制作的工程量清单报价表和单价分析表，用Microsoft Excel软件或广州公共资源交易中心提供的投标书制作软件制作的经济投标文件其它部分。电子文件介质使用CD-R光盘，所有电子文件不能采用压缩处理）给招标人。</w:t>
      </w:r>
    </w:p>
    <w:p>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条款号：32.3         修改类型：修改</w:t>
      </w:r>
    </w:p>
    <w:p>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原文：32.3</w:t>
      </w:r>
      <w:r>
        <w:rPr>
          <w:rFonts w:hint="eastAsia" w:ascii="宋体" w:hAnsi="宋体" w:cs="宋体"/>
          <w:color w:val="auto"/>
          <w:sz w:val="24"/>
          <w:szCs w:val="24"/>
          <w:highlight w:val="none"/>
        </w:rPr>
        <w:t xml:space="preserve">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adjustRightIn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现文：32.3</w:t>
      </w:r>
      <w:r>
        <w:rPr>
          <w:rFonts w:hint="eastAsia" w:ascii="宋体" w:hAnsi="宋体" w:cs="宋体"/>
          <w:color w:val="auto"/>
          <w:sz w:val="24"/>
          <w:szCs w:val="24"/>
          <w:highlight w:val="none"/>
        </w:rPr>
        <w:t xml:space="preserve"> 投标人如在本项目中存在串通投标、弄虚作假骗取中标、行贿情形的，中标无效，行政监督部门将对其违法行为进行政处罚。该投标人将被招标人列入黑名单并限制其参与招标人后续项目的投标。</w:t>
      </w:r>
    </w:p>
    <w:p>
      <w:pPr>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条款号：33         修改类型：删除</w:t>
      </w:r>
    </w:p>
    <w:p>
      <w:pPr>
        <w:pBdr>
          <w:bottom w:val="single" w:color="auto" w:sz="6" w:space="1"/>
        </w:pBd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：33. 投标人信誉的要求</w:t>
      </w:r>
    </w:p>
    <w:p>
      <w:pPr>
        <w:pBdr>
          <w:bottom w:val="single" w:color="auto" w:sz="6" w:space="1"/>
        </w:pBd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存在下列情形之一的，招标人可以限制其投标（需在招标文件中明确评定方法）</w:t>
      </w:r>
    </w:p>
    <w:p>
      <w:pPr>
        <w:pBdr>
          <w:bottom w:val="single" w:color="auto" w:sz="6" w:space="1"/>
        </w:pBd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（1）被住房城乡建设行政主管部门在全国建筑市场监管一体化工作平台列入建筑市场主体“黑名单”；</w:t>
      </w:r>
    </w:p>
    <w:p>
      <w:pPr>
        <w:pBdr>
          <w:bottom w:val="single" w:color="auto" w:sz="6" w:space="1"/>
        </w:pBd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（2）被发改委、人力资源社会保障、质检总局等有关部门、单位在“信用中国”网站中列入联合惩戒失信黑名单。</w:t>
      </w:r>
    </w:p>
    <w:p>
      <w:pPr>
        <w:pStyle w:val="17"/>
        <w:rPr>
          <w:color w:val="auto"/>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4"/>
        <w:rPr>
          <w:color w:val="auto"/>
          <w:highlight w:val="none"/>
        </w:rPr>
      </w:pPr>
      <w:r>
        <w:rPr>
          <w:color w:val="auto"/>
          <w:highlight w:val="none"/>
        </w:rPr>
        <w:br w:type="page"/>
      </w:r>
      <w:bookmarkStart w:id="6" w:name="_Toc21525492"/>
      <w:bookmarkStart w:id="7" w:name="_Toc2272548"/>
      <w:r>
        <w:rPr>
          <w:rFonts w:hint="eastAsia"/>
          <w:color w:val="auto"/>
          <w:highlight w:val="none"/>
        </w:rPr>
        <w:t>三、投标须知通用条款</w:t>
      </w:r>
      <w:bookmarkEnd w:id="6"/>
      <w:bookmarkEnd w:id="7"/>
    </w:p>
    <w:p>
      <w:pPr>
        <w:pStyle w:val="6"/>
        <w:spacing w:before="156" w:after="156"/>
        <w:rPr>
          <w:color w:val="auto"/>
          <w:highlight w:val="none"/>
        </w:rPr>
      </w:pPr>
      <w:bookmarkStart w:id="8" w:name="_Toc21525493"/>
      <w:bookmarkStart w:id="9" w:name="_Toc2272549"/>
      <w:r>
        <w:rPr>
          <w:rFonts w:hint="eastAsia"/>
          <w:color w:val="auto"/>
          <w:highlight w:val="none"/>
        </w:rPr>
        <w:t>（一）总则</w:t>
      </w:r>
      <w:bookmarkEnd w:id="8"/>
      <w:bookmarkEnd w:id="9"/>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33"/>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33"/>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33"/>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33"/>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6"/>
        <w:spacing w:before="156" w:after="156"/>
        <w:rPr>
          <w:color w:val="auto"/>
          <w:highlight w:val="none"/>
        </w:rPr>
      </w:pPr>
      <w:bookmarkStart w:id="10" w:name="_Toc21525494"/>
      <w:bookmarkStart w:id="11" w:name="_Toc2272550"/>
      <w:r>
        <w:rPr>
          <w:rFonts w:hint="eastAsia"/>
          <w:color w:val="auto"/>
          <w:highlight w:val="none"/>
        </w:rPr>
        <w:t>（二）招标文件</w:t>
      </w:r>
      <w:bookmarkEnd w:id="10"/>
      <w:bookmarkEnd w:id="11"/>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33"/>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33"/>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33"/>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33"/>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pStyle w:val="33"/>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33"/>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33"/>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w:t>
      </w:r>
      <w:r>
        <w:rPr>
          <w:rFonts w:hint="eastAsia" w:ascii="宋体" w:hAnsi="宋体"/>
          <w:color w:val="auto"/>
          <w:sz w:val="24"/>
          <w:highlight w:val="none"/>
          <w:lang w:eastAsia="zh-CN"/>
        </w:rPr>
        <w:t>撤销其</w:t>
      </w:r>
      <w:r>
        <w:rPr>
          <w:rFonts w:hint="eastAsia" w:ascii="宋体" w:hAnsi="宋体"/>
          <w:color w:val="auto"/>
          <w:sz w:val="24"/>
          <w:highlight w:val="none"/>
        </w:rPr>
        <w:t>不符合要求的差异或保留使之成为具有响应性的投标文件。</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color w:val="auto"/>
          <w:highlight w:val="none"/>
        </w:rPr>
      </w:pPr>
      <w:bookmarkStart w:id="12" w:name="_Toc2272551"/>
      <w:bookmarkStart w:id="13" w:name="_Toc21525495"/>
      <w:r>
        <w:rPr>
          <w:rFonts w:hint="eastAsia"/>
          <w:color w:val="auto"/>
          <w:highlight w:val="none"/>
        </w:rPr>
        <w:t>（三）投标文件的编制</w:t>
      </w:r>
      <w:bookmarkEnd w:id="12"/>
      <w:bookmarkEnd w:id="13"/>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33"/>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w:t>
      </w:r>
      <w:r>
        <w:rPr>
          <w:rFonts w:hint="eastAsia" w:ascii="宋体" w:hAnsi="宋体"/>
          <w:color w:val="auto"/>
          <w:sz w:val="24"/>
          <w:highlight w:val="none"/>
          <w:lang w:eastAsia="zh-CN"/>
        </w:rPr>
        <w:t>两</w:t>
      </w:r>
      <w:r>
        <w:rPr>
          <w:rFonts w:hint="eastAsia" w:ascii="宋体" w:hAnsi="宋体"/>
          <w:color w:val="auto"/>
          <w:sz w:val="24"/>
          <w:highlight w:val="none"/>
        </w:rPr>
        <w:t>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w:t>
      </w:r>
      <w:r>
        <w:rPr>
          <w:rFonts w:hint="eastAsia" w:ascii="宋体"/>
          <w:bCs/>
          <w:color w:val="auto"/>
          <w:sz w:val="24"/>
          <w:highlight w:val="none"/>
          <w:lang w:eastAsia="zh-CN"/>
        </w:rPr>
        <w:t>信用</w:t>
      </w:r>
      <w:r>
        <w:rPr>
          <w:rFonts w:hint="eastAsia" w:ascii="宋体"/>
          <w:bCs/>
          <w:color w:val="auto"/>
          <w:sz w:val="24"/>
          <w:highlight w:val="none"/>
        </w:rPr>
        <w:t>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w:t>
      </w:r>
      <w:r>
        <w:rPr>
          <w:rFonts w:hint="eastAsia" w:ascii="宋体" w:hAnsi="宋体"/>
          <w:bCs/>
          <w:color w:val="auto"/>
          <w:sz w:val="24"/>
          <w:szCs w:val="24"/>
          <w:highlight w:val="none"/>
          <w:lang w:eastAsia="zh-CN"/>
        </w:rPr>
        <w:t>信用</w:t>
      </w:r>
      <w:r>
        <w:rPr>
          <w:rFonts w:hint="eastAsia" w:ascii="宋体" w:hAnsi="宋体"/>
          <w:bCs/>
          <w:color w:val="auto"/>
          <w:sz w:val="24"/>
          <w:szCs w:val="24"/>
          <w:highlight w:val="none"/>
        </w:rPr>
        <w:t>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33"/>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33"/>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33"/>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33"/>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3"/>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33"/>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6"/>
        <w:spacing w:before="156" w:after="156"/>
        <w:rPr>
          <w:color w:val="auto"/>
          <w:highlight w:val="none"/>
        </w:rPr>
      </w:pPr>
      <w:bookmarkStart w:id="14" w:name="_Toc21525496"/>
      <w:bookmarkStart w:id="15" w:name="_Toc2272552"/>
      <w:r>
        <w:rPr>
          <w:rFonts w:hint="eastAsia"/>
          <w:color w:val="auto"/>
          <w:highlight w:val="none"/>
        </w:rPr>
        <w:t>（四）投标文件的提交</w:t>
      </w:r>
      <w:bookmarkEnd w:id="14"/>
      <w:bookmarkEnd w:id="15"/>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color w:val="auto"/>
          <w:sz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color w:val="auto"/>
          <w:sz w:val="24"/>
          <w:highlight w:val="none"/>
        </w:rPr>
        <w:t>该投标文件将不能参与资格审查和评标</w:t>
      </w:r>
      <w:r>
        <w:rPr>
          <w:rFonts w:hint="eastAsia" w:ascii="宋体" w:hAnsi="宋体"/>
          <w:color w:val="auto"/>
          <w:sz w:val="24"/>
          <w:szCs w:val="24"/>
          <w:highlight w:val="none"/>
        </w:rPr>
        <w:t>（选择性条款）。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6"/>
        <w:spacing w:before="156" w:after="156"/>
        <w:rPr>
          <w:color w:val="auto"/>
          <w:highlight w:val="none"/>
        </w:rPr>
      </w:pPr>
      <w:bookmarkStart w:id="16" w:name="_Toc2272553"/>
      <w:bookmarkStart w:id="17" w:name="_Toc21525497"/>
      <w:r>
        <w:rPr>
          <w:rFonts w:hint="eastAsia"/>
          <w:color w:val="auto"/>
          <w:highlight w:val="none"/>
        </w:rPr>
        <w:t>（五）开标、评标、定标及</w:t>
      </w:r>
      <w:r>
        <w:rPr>
          <w:rFonts w:hint="eastAsia"/>
          <w:color w:val="auto"/>
          <w:highlight w:val="none"/>
          <w:lang w:eastAsia="zh-CN"/>
        </w:rPr>
        <w:t>合同签订</w:t>
      </w:r>
      <w:bookmarkEnd w:id="16"/>
      <w:bookmarkEnd w:id="17"/>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olor w:val="auto"/>
          <w:sz w:val="24"/>
          <w:highlight w:val="none"/>
        </w:rPr>
        <w:t>交易平台和广东省招标投标监管网公开。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33"/>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33"/>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3"/>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33"/>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color w:val="auto"/>
          <w:sz w:val="24"/>
          <w:highlight w:val="none"/>
        </w:rPr>
      </w:pPr>
      <w:r>
        <w:rPr>
          <w:rFonts w:hint="eastAsia" w:ascii="宋体"/>
          <w:b/>
          <w:color w:val="auto"/>
          <w:sz w:val="24"/>
          <w:highlight w:val="none"/>
        </w:rPr>
        <w:t>33.</w:t>
      </w:r>
      <w:r>
        <w:rPr>
          <w:rFonts w:hint="eastAsia" w:ascii="宋体" w:hAnsi="宋体"/>
          <w:b/>
          <w:color w:val="auto"/>
          <w:sz w:val="24"/>
          <w:highlight w:val="none"/>
        </w:rPr>
        <w:t xml:space="preserve"> 投标人信誉的要求</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存在下列情形之一的，招标人可以限制其投标（需在招标文件中明确评定方法）</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（1）被住房城乡建设行政主管部门在全国建筑市场监管一体化工作平台列入建筑市场主体“黑名单”；</w:t>
      </w:r>
    </w:p>
    <w:p>
      <w:pPr>
        <w:pStyle w:val="33"/>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pPr>
        <w:pStyle w:val="3"/>
        <w:rPr>
          <w:color w:val="auto"/>
          <w:highlight w:val="none"/>
        </w:rPr>
      </w:pPr>
      <w:r>
        <w:rPr>
          <w:rFonts w:ascii="宋体"/>
          <w:color w:val="auto"/>
          <w:sz w:val="24"/>
          <w:highlight w:val="none"/>
        </w:rPr>
        <w:br w:type="page"/>
      </w:r>
      <w:bookmarkStart w:id="18" w:name="_Toc21525498"/>
      <w:bookmarkStart w:id="19"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8"/>
      <w:bookmarkEnd w:id="19"/>
    </w:p>
    <w:p>
      <w:pPr>
        <w:pStyle w:val="4"/>
        <w:rPr>
          <w:color w:val="auto"/>
          <w:highlight w:val="none"/>
        </w:rPr>
      </w:pPr>
      <w:bookmarkStart w:id="20" w:name="_Toc21525499"/>
      <w:bookmarkStart w:id="21" w:name="_Toc2272555"/>
      <w:r>
        <w:rPr>
          <w:rFonts w:hint="eastAsia"/>
          <w:color w:val="auto"/>
          <w:sz w:val="28"/>
          <w:szCs w:val="28"/>
          <w:highlight w:val="none"/>
        </w:rPr>
        <w:t>一、</w:t>
      </w:r>
      <w:r>
        <w:rPr>
          <w:rFonts w:hint="eastAsia"/>
          <w:color w:val="auto"/>
          <w:highlight w:val="none"/>
        </w:rPr>
        <w:t>开标、评标及定标办法修改表</w:t>
      </w:r>
      <w:bookmarkEnd w:id="20"/>
      <w:bookmarkEnd w:id="21"/>
    </w:p>
    <w:p>
      <w:pPr>
        <w:pStyle w:val="33"/>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u w:val="none"/>
        </w:rPr>
        <w:fldChar w:fldCharType="begin"/>
      </w:r>
      <w:r>
        <w:rPr>
          <w:color w:val="auto"/>
          <w:highlight w:val="none"/>
          <w:u w:val="none"/>
        </w:rPr>
        <w:instrText xml:space="preserve"> HYPERLINK "http://www.gzcc.gov.cn/）下载GZZB2018-3" </w:instrText>
      </w:r>
      <w:r>
        <w:rPr>
          <w:color w:val="auto"/>
          <w:highlight w:val="none"/>
          <w:u w:val="none"/>
        </w:rPr>
        <w:fldChar w:fldCharType="separate"/>
      </w:r>
      <w:r>
        <w:rPr>
          <w:rStyle w:val="41"/>
          <w:rFonts w:hint="eastAsia"/>
          <w:b/>
          <w:color w:val="auto"/>
          <w:szCs w:val="21"/>
          <w:highlight w:val="none"/>
          <w:u w:val="none"/>
        </w:rPr>
        <w:t>http://zfcj.gz.gov.cn/）下载GZZB2018-3</w:t>
      </w:r>
      <w:r>
        <w:rPr>
          <w:rStyle w:val="41"/>
          <w:rFonts w:hint="eastAsia"/>
          <w:b/>
          <w:color w:val="auto"/>
          <w:szCs w:val="21"/>
          <w:highlight w:val="none"/>
          <w:u w:val="none"/>
        </w:rPr>
        <w:fldChar w:fldCharType="end"/>
      </w:r>
      <w:r>
        <w:rPr>
          <w:rFonts w:hint="eastAsia"/>
          <w:b/>
          <w:color w:val="auto"/>
          <w:szCs w:val="21"/>
          <w:highlight w:val="none"/>
        </w:rPr>
        <w:t>范本查阅。</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应的评标办法供评标时使用。</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36.5.1在投标截止时间后半小时内，投标人通过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交易平台对已递交的电子投标文件进行解密。投标人完成解密后，再由招标人进行解密。解密完成后，公布招标项目名称、投标人名称、投标保证金的递交情况、投标报价、工期及其他内容；</w:t>
      </w:r>
    </w:p>
    <w:p>
      <w:pPr>
        <w:pStyle w:val="29"/>
        <w:widowControl/>
        <w:spacing w:line="360" w:lineRule="auto"/>
        <w:ind w:firstLine="482"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条款号：39.3                   修改类型：修改</w:t>
      </w:r>
    </w:p>
    <w:p>
      <w:pPr>
        <w:widowControl/>
        <w:spacing w:line="360" w:lineRule="auto"/>
        <w:ind w:firstLine="472" w:firstLineChars="196"/>
        <w:jc w:val="left"/>
        <w:rPr>
          <w:rFonts w:ascii="宋体" w:hAnsi="宋体" w:cs="宋体"/>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原文：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shd w:val="clear" w:color="auto" w:fill="FFFFFF"/>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b/>
          <w:bCs/>
          <w:color w:val="auto"/>
          <w:sz w:val="24"/>
          <w:szCs w:val="24"/>
          <w:highlight w:val="none"/>
          <w:u w:val="single"/>
          <w:shd w:val="clear" w:color="auto" w:fill="FFFFFF"/>
        </w:rPr>
        <w:t>或经核查发现委派的项目负责人已在其他在建项目中担任施工单位项目负责人的，</w:t>
      </w:r>
      <w:r>
        <w:rPr>
          <w:rFonts w:hint="eastAsia" w:ascii="宋体" w:hAnsi="宋体" w:cs="宋体"/>
          <w:color w:val="auto"/>
          <w:sz w:val="24"/>
          <w:szCs w:val="24"/>
          <w:highlight w:val="none"/>
          <w:u w:val="single"/>
        </w:rPr>
        <w:t>招标人可以确定排名第二的中标候选人为中标人。</w:t>
      </w:r>
    </w:p>
    <w:p>
      <w:pPr>
        <w:pStyle w:val="29"/>
        <w:widowControl/>
        <w:spacing w:line="360" w:lineRule="auto"/>
        <w:ind w:firstLine="482"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条款号：（二）开标评标办法程序和细则      修改类型：删除</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bCs/>
          <w:color w:val="auto"/>
          <w:sz w:val="24"/>
          <w:szCs w:val="24"/>
          <w:highlight w:val="none"/>
          <w:shd w:val="clear" w:color="auto" w:fill="FFFFFF"/>
        </w:rPr>
        <w:t>原文：</w:t>
      </w:r>
      <w:r>
        <w:rPr>
          <w:rFonts w:hint="eastAsia" w:ascii="宋体" w:hAnsi="宋体" w:cs="宋体"/>
          <w:color w:val="auto"/>
          <w:sz w:val="24"/>
          <w:szCs w:val="24"/>
          <w:highlight w:val="none"/>
          <w:shd w:val="clear" w:color="auto" w:fill="FFFFFF"/>
        </w:rPr>
        <w:t>注：以下八种评标办法所述企业综合诚信评价分数即投标截止当日广州市住房和城乡建设局网站上公布的企业综合诚信评价60日诚信分。</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pPr>
        <w:pBdr>
          <w:bottom w:val="single" w:color="auto" w:sz="6" w:space="1"/>
        </w:pBdr>
        <w:spacing w:line="360" w:lineRule="auto"/>
        <w:ind w:firstLine="602" w:firstLineChars="250"/>
        <w:rPr>
          <w:rStyle w:val="41"/>
          <w:rFonts w:ascii="宋体" w:hAnsi="宋体" w:cs="宋体"/>
          <w:color w:val="auto"/>
          <w:sz w:val="24"/>
          <w:szCs w:val="24"/>
          <w:highlight w:val="none"/>
        </w:rPr>
      </w:pPr>
      <w:r>
        <w:rPr>
          <w:rFonts w:hint="eastAsia" w:ascii="宋体" w:hAnsi="宋体" w:cs="宋体"/>
          <w:b/>
          <w:color w:val="auto"/>
          <w:sz w:val="24"/>
          <w:szCs w:val="24"/>
          <w:highlight w:val="none"/>
        </w:rPr>
        <w:t>原文：</w:t>
      </w:r>
      <w:r>
        <w:rPr>
          <w:rStyle w:val="41"/>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1"/>
          <w:rFonts w:hint="eastAsia" w:ascii="宋体" w:hAnsi="宋体" w:cs="宋体"/>
          <w:color w:val="auto"/>
          <w:sz w:val="24"/>
          <w:szCs w:val="24"/>
          <w:highlight w:val="none"/>
        </w:rPr>
        <w:t>一（适合</w:t>
      </w:r>
      <w:r>
        <w:rPr>
          <w:rStyle w:val="41"/>
          <w:rFonts w:hint="eastAsia" w:ascii="宋体" w:hAnsi="宋体" w:cs="宋体"/>
          <w:color w:val="auto"/>
          <w:kern w:val="0"/>
          <w:sz w:val="24"/>
          <w:szCs w:val="24"/>
          <w:highlight w:val="none"/>
        </w:rPr>
        <w:t>综合评分法一</w:t>
      </w:r>
      <w:r>
        <w:rPr>
          <w:rStyle w:val="41"/>
          <w:rFonts w:hint="eastAsia" w:ascii="宋体" w:hAnsi="宋体" w:cs="宋体"/>
          <w:color w:val="auto"/>
          <w:sz w:val="24"/>
          <w:szCs w:val="24"/>
          <w:highlight w:val="none"/>
        </w:rPr>
        <w:t>，技术标与经济标先后分别开启）</w:t>
      </w:r>
    </w:p>
    <w:p>
      <w:pPr>
        <w:pBdr>
          <w:bottom w:val="single" w:color="auto" w:sz="6" w:space="1"/>
        </w:pBdr>
        <w:spacing w:line="360" w:lineRule="auto"/>
        <w:ind w:firstLine="1320" w:firstLineChars="550"/>
        <w:rPr>
          <w:rStyle w:val="41"/>
          <w:rFonts w:ascii="宋体" w:hAnsi="宋体" w:cs="宋体"/>
          <w:color w:val="auto"/>
          <w:sz w:val="24"/>
          <w:szCs w:val="24"/>
          <w:highlight w:val="none"/>
        </w:rPr>
      </w:pPr>
      <w:r>
        <w:rPr>
          <w:rStyle w:val="41"/>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1"/>
          <w:rFonts w:hint="eastAsia" w:ascii="宋体" w:hAnsi="宋体" w:cs="宋体"/>
          <w:color w:val="auto"/>
          <w:sz w:val="24"/>
          <w:szCs w:val="24"/>
          <w:highlight w:val="none"/>
        </w:rPr>
        <w:t>二（适合综合评分法一，技术标与经济标同时开启）</w:t>
      </w:r>
    </w:p>
    <w:p>
      <w:pPr>
        <w:pBdr>
          <w:bottom w:val="single" w:color="auto" w:sz="6" w:space="1"/>
        </w:pBdr>
        <w:spacing w:line="360" w:lineRule="auto"/>
        <w:ind w:firstLine="1320" w:firstLineChars="550"/>
        <w:rPr>
          <w:rStyle w:val="41"/>
          <w:rFonts w:ascii="宋体" w:hAnsi="宋体" w:cs="宋体"/>
          <w:color w:val="auto"/>
          <w:sz w:val="24"/>
          <w:szCs w:val="24"/>
          <w:highlight w:val="none"/>
        </w:rPr>
      </w:pPr>
      <w:r>
        <w:rPr>
          <w:rStyle w:val="41"/>
          <w:rFonts w:hint="eastAsia" w:ascii="宋体" w:hAnsi="宋体" w:cs="宋体"/>
          <w:color w:val="auto"/>
          <w:sz w:val="24"/>
          <w:szCs w:val="24"/>
          <w:highlight w:val="none"/>
        </w:rPr>
        <w:t>可选办法三（适合综合评分法二，技术标与经济标先后分别开启）</w:t>
      </w:r>
    </w:p>
    <w:p>
      <w:pPr>
        <w:pBdr>
          <w:bottom w:val="single" w:color="auto" w:sz="6" w:space="1"/>
        </w:pBdr>
        <w:spacing w:line="360" w:lineRule="auto"/>
        <w:ind w:firstLine="1320" w:firstLineChars="550"/>
        <w:rPr>
          <w:rStyle w:val="41"/>
          <w:rFonts w:ascii="宋体" w:hAnsi="宋体" w:cs="宋体"/>
          <w:color w:val="auto"/>
          <w:sz w:val="24"/>
          <w:szCs w:val="24"/>
          <w:highlight w:val="none"/>
        </w:rPr>
      </w:pPr>
      <w:r>
        <w:rPr>
          <w:rStyle w:val="41"/>
          <w:rFonts w:hint="eastAsia" w:ascii="宋体" w:hAnsi="宋体" w:cs="宋体"/>
          <w:color w:val="auto"/>
          <w:sz w:val="24"/>
          <w:szCs w:val="24"/>
          <w:highlight w:val="none"/>
        </w:rPr>
        <w:t>可选办法四（适合综合评分法二，技术标与经济标同时开启）</w:t>
      </w:r>
    </w:p>
    <w:p>
      <w:pPr>
        <w:pBdr>
          <w:bottom w:val="single" w:color="auto" w:sz="6" w:space="1"/>
        </w:pBdr>
        <w:spacing w:line="360" w:lineRule="auto"/>
        <w:ind w:firstLine="1320" w:firstLineChars="550"/>
        <w:rPr>
          <w:rStyle w:val="41"/>
          <w:rFonts w:ascii="宋体" w:hAnsi="宋体" w:cs="宋体"/>
          <w:color w:val="auto"/>
          <w:sz w:val="24"/>
          <w:szCs w:val="24"/>
          <w:highlight w:val="none"/>
        </w:rPr>
      </w:pPr>
      <w:r>
        <w:rPr>
          <w:rStyle w:val="41"/>
          <w:rFonts w:hint="eastAsia" w:ascii="宋体" w:hAnsi="宋体" w:cs="宋体"/>
          <w:color w:val="auto"/>
          <w:sz w:val="24"/>
          <w:szCs w:val="24"/>
          <w:highlight w:val="none"/>
        </w:rPr>
        <w:t>可选办法五（适合综合评分法三，技术标与经济标先后分别开启）</w:t>
      </w:r>
    </w:p>
    <w:p>
      <w:pPr>
        <w:pBdr>
          <w:bottom w:val="single" w:color="auto" w:sz="6" w:space="1"/>
        </w:pBdr>
        <w:spacing w:line="360" w:lineRule="auto"/>
        <w:ind w:firstLine="1320" w:firstLineChars="550"/>
        <w:rPr>
          <w:rStyle w:val="41"/>
          <w:rFonts w:ascii="宋体" w:hAnsi="宋体" w:cs="宋体"/>
          <w:color w:val="auto"/>
          <w:sz w:val="24"/>
          <w:szCs w:val="24"/>
          <w:highlight w:val="none"/>
        </w:rPr>
      </w:pPr>
      <w:r>
        <w:rPr>
          <w:rStyle w:val="41"/>
          <w:rFonts w:hint="eastAsia" w:ascii="宋体" w:hAnsi="宋体" w:cs="宋体"/>
          <w:color w:val="auto"/>
          <w:sz w:val="24"/>
          <w:szCs w:val="24"/>
          <w:highlight w:val="none"/>
        </w:rPr>
        <w:t>可选办法六（适合综合评分法三，技术标与经济标同时开启）</w:t>
      </w:r>
    </w:p>
    <w:p>
      <w:pPr>
        <w:pBdr>
          <w:bottom w:val="single" w:color="auto" w:sz="6" w:space="1"/>
        </w:pBdr>
        <w:spacing w:line="360" w:lineRule="auto"/>
        <w:ind w:firstLine="1320" w:firstLineChars="550"/>
        <w:rPr>
          <w:rFonts w:ascii="宋体" w:hAnsi="宋体" w:cs="宋体"/>
          <w:b/>
          <w:color w:val="auto"/>
          <w:sz w:val="24"/>
          <w:szCs w:val="24"/>
          <w:highlight w:val="none"/>
        </w:rPr>
      </w:pPr>
      <w:r>
        <w:rPr>
          <w:rStyle w:val="41"/>
          <w:rFonts w:hint="eastAsia" w:ascii="宋体" w:hAnsi="宋体" w:cs="宋体"/>
          <w:color w:val="auto"/>
          <w:sz w:val="24"/>
          <w:szCs w:val="24"/>
          <w:highlight w:val="none"/>
        </w:rPr>
        <w:t>可选办法八（适合经评审的最低投标价法，技术标与经济标同时开启）</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rPr>
        <w:t>广州公共资源交易中心</w:t>
      </w:r>
      <w:r>
        <w:rPr>
          <w:rFonts w:hint="eastAsia" w:ascii="宋体" w:hAnsi="宋体" w:cs="宋体"/>
          <w:bCs/>
          <w:color w:val="auto"/>
          <w:sz w:val="24"/>
          <w:szCs w:val="24"/>
          <w:highlight w:val="none"/>
        </w:rPr>
        <w:t>交易平台。有关投标文件提交的事项详见第一章投标须知。</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条款号：41.2.3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41.2.3</w:t>
      </w:r>
      <w:r>
        <w:rPr>
          <w:rFonts w:hint="eastAsia" w:ascii="宋体"/>
          <w:color w:val="auto"/>
          <w:sz w:val="24"/>
          <w:szCs w:val="24"/>
          <w:highlight w:val="none"/>
        </w:rPr>
        <w:t>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pPr>
        <w:pStyle w:val="33"/>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pPr>
        <w:pStyle w:val="33"/>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33"/>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条款号：43.1                    修改类型：修改</w:t>
      </w:r>
    </w:p>
    <w:p>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43.1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条款号：45.1                    修改类型：修改</w:t>
      </w:r>
    </w:p>
    <w:p>
      <w:pPr>
        <w:pBdr>
          <w:bottom w:val="single" w:color="auto" w:sz="6" w:space="1"/>
        </w:pBd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u w:val="single"/>
        </w:rPr>
        <w:t>若通过技术标有效性审查的投标人中所有投标报价均大于等于最高投标限价100%的（具体金额为：人民币</w:t>
      </w:r>
      <w:r>
        <w:rPr>
          <w:rFonts w:hint="eastAsia" w:ascii="宋体" w:hAnsi="宋体" w:cs="宋体"/>
          <w:bCs/>
          <w:color w:val="auto"/>
          <w:sz w:val="24"/>
          <w:szCs w:val="24"/>
          <w:highlight w:val="none"/>
          <w:u w:val="single"/>
          <w:lang w:eastAsia="zh-CN"/>
        </w:rPr>
        <w:t>19269991.20</w:t>
      </w:r>
      <w:r>
        <w:rPr>
          <w:rFonts w:hint="eastAsia" w:ascii="宋体" w:hAnsi="宋体" w:cs="宋体"/>
          <w:bCs/>
          <w:color w:val="auto"/>
          <w:sz w:val="24"/>
          <w:szCs w:val="24"/>
          <w:highlight w:val="none"/>
          <w:u w:val="single"/>
        </w:rPr>
        <w:t>元），则本项目招标失败，由招标人依法重新招标。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条款号：45.2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45.2按方法计算评标参考价：</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45.2按方法</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 xml:space="preserve">计算评标参考价： </w:t>
      </w:r>
    </w:p>
    <w:p>
      <w:pPr>
        <w:spacing w:line="440" w:lineRule="exact"/>
        <w:ind w:firstLine="540" w:firstLineChars="224"/>
        <w:rPr>
          <w:b/>
          <w:color w:val="auto"/>
          <w:sz w:val="24"/>
          <w:szCs w:val="24"/>
          <w:highlight w:val="none"/>
        </w:rPr>
      </w:pPr>
      <w:r>
        <w:rPr>
          <w:b/>
          <w:color w:val="auto"/>
          <w:sz w:val="24"/>
          <w:szCs w:val="24"/>
          <w:highlight w:val="none"/>
        </w:rPr>
        <w:t>条款号：45.</w:t>
      </w:r>
      <w:r>
        <w:rPr>
          <w:rFonts w:hint="eastAsia"/>
          <w:b/>
          <w:color w:val="auto"/>
          <w:sz w:val="24"/>
          <w:szCs w:val="24"/>
          <w:highlight w:val="none"/>
        </w:rPr>
        <w:t xml:space="preserve">3         </w:t>
      </w:r>
      <w:r>
        <w:rPr>
          <w:b/>
          <w:color w:val="auto"/>
          <w:sz w:val="24"/>
          <w:szCs w:val="24"/>
          <w:highlight w:val="none"/>
        </w:rPr>
        <w:t>修改类型：修改</w:t>
      </w:r>
    </w:p>
    <w:p>
      <w:pPr>
        <w:widowControl/>
        <w:spacing w:line="440" w:lineRule="exact"/>
        <w:ind w:firstLine="482" w:firstLineChars="200"/>
        <w:rPr>
          <w:b/>
          <w:color w:val="auto"/>
          <w:sz w:val="24"/>
          <w:szCs w:val="24"/>
          <w:highlight w:val="none"/>
        </w:rPr>
      </w:pPr>
      <w:r>
        <w:rPr>
          <w:b/>
          <w:color w:val="auto"/>
          <w:sz w:val="24"/>
          <w:szCs w:val="24"/>
          <w:highlight w:val="none"/>
        </w:rPr>
        <w:t>原文：</w:t>
      </w:r>
      <w:r>
        <w:rPr>
          <w:bCs/>
          <w:color w:val="auto"/>
          <w:sz w:val="24"/>
          <w:szCs w:val="24"/>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440" w:lineRule="exact"/>
        <w:ind w:firstLine="482" w:firstLineChars="200"/>
        <w:rPr>
          <w:color w:val="auto"/>
          <w:sz w:val="24"/>
          <w:szCs w:val="24"/>
          <w:highlight w:val="none"/>
        </w:rPr>
      </w:pPr>
      <w:r>
        <w:rPr>
          <w:b/>
          <w:color w:val="auto"/>
          <w:sz w:val="24"/>
          <w:szCs w:val="24"/>
          <w:highlight w:val="none"/>
        </w:rPr>
        <w:t>现文：</w:t>
      </w:r>
      <w:r>
        <w:rPr>
          <w:bCs/>
          <w:color w:val="auto"/>
          <w:sz w:val="24"/>
          <w:szCs w:val="24"/>
          <w:highlight w:val="none"/>
        </w:rPr>
        <w:t>当标价等于评标参考价时得100分，标价每高于评标参考价1%，扣</w:t>
      </w:r>
      <w:r>
        <w:rPr>
          <w:rFonts w:hint="eastAsia"/>
          <w:bCs/>
          <w:color w:val="auto"/>
          <w:sz w:val="24"/>
          <w:szCs w:val="24"/>
          <w:highlight w:val="none"/>
          <w:u w:val="single"/>
        </w:rPr>
        <w:t>0.5</w:t>
      </w:r>
      <w:r>
        <w:rPr>
          <w:bCs/>
          <w:color w:val="auto"/>
          <w:sz w:val="24"/>
          <w:szCs w:val="24"/>
          <w:highlight w:val="none"/>
        </w:rPr>
        <w:t>分，每低于评标参考价1%，扣</w:t>
      </w:r>
      <w:r>
        <w:rPr>
          <w:rFonts w:hint="eastAsia"/>
          <w:bCs/>
          <w:color w:val="auto"/>
          <w:sz w:val="24"/>
          <w:szCs w:val="24"/>
          <w:highlight w:val="none"/>
          <w:u w:val="single"/>
        </w:rPr>
        <w:t>0.3</w:t>
      </w:r>
      <w:r>
        <w:rPr>
          <w:bCs/>
          <w:color w:val="auto"/>
          <w:sz w:val="24"/>
          <w:szCs w:val="24"/>
          <w:highlight w:val="none"/>
        </w:rPr>
        <w:t>分，扣至0分为止，得出经济分，精确到小数点后两位。</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条款号：方法一：加权平均法              修改类型：修改</w:t>
      </w:r>
    </w:p>
    <w:p>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color w:val="auto"/>
          <w:sz w:val="24"/>
          <w:szCs w:val="24"/>
          <w:highlight w:val="none"/>
        </w:rPr>
        <w:t>原文：方法一：加权平均法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评标参考价=Σ（投标人的投标报价*报价权重）。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其中：报价权重的计算方法为：将N名投标人按技术分由高至低进行排序，第一名投标人的权重为（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81000" cy="449580"/>
            <wp:effectExtent l="0" t="0" r="0" b="762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81000" cy="449580"/>
            <wp:effectExtent l="0" t="0" r="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），第二名投标人的权重为（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20040" cy="403860"/>
            <wp:effectExtent l="0" t="0" r="381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20040" cy="403860"/>
            <wp:effectExtent l="0" t="0" r="3810" b="152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），以此类推，最后一名投标人的权重为（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114300" distR="114300">
            <wp:extent cx="320040" cy="403860"/>
            <wp:effectExtent l="0" t="0" r="3810" b="158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114300" distR="114300">
            <wp:extent cx="320040" cy="403860"/>
            <wp:effectExtent l="0" t="0" r="3810" b="1587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color w:val="auto"/>
          <w:sz w:val="24"/>
          <w:szCs w:val="24"/>
          <w:highlight w:val="none"/>
        </w:rPr>
        <w:t>现文：方法一：加权平均法</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color w:val="auto"/>
          <w:sz w:val="24"/>
          <w:szCs w:val="24"/>
          <w:highlight w:val="none"/>
        </w:rPr>
        <w:t>的经济报价加权平均，计算评标参考价。公式如下：</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评标参考价=Σ（投标人的投标报价*报价权重）。</w:t>
      </w:r>
    </w:p>
    <w:p>
      <w:pPr>
        <w:pBdr>
          <w:bottom w:val="single" w:color="auto" w:sz="6" w:space="1"/>
        </w:pBdr>
        <w:spacing w:line="360" w:lineRule="auto"/>
        <w:ind w:firstLine="600" w:firstLineChars="250"/>
        <w:rPr>
          <w:rFonts w:ascii="宋体" w:hAnsi="宋体" w:cs="宋体"/>
          <w:color w:val="auto"/>
          <w:spacing w:val="2"/>
          <w:sz w:val="24"/>
          <w:szCs w:val="24"/>
          <w:highlight w:val="none"/>
        </w:rPr>
      </w:pPr>
      <w:r>
        <w:rPr>
          <w:rFonts w:hint="eastAsia" w:ascii="宋体" w:hAnsi="宋体" w:cs="宋体"/>
          <w:color w:val="auto"/>
          <w:sz w:val="24"/>
          <w:szCs w:val="24"/>
          <w:highlight w:val="none"/>
        </w:rPr>
        <w:t>其中：报价权重的计算方法为：将N名投标人按技术分由高至低进行排序，第一名投标人的权重为（</w:t>
      </w:r>
      <w:r>
        <w:rPr>
          <w:rFonts w:hint="eastAsia" w:ascii="宋体" w:hAnsi="宋体" w:cs="宋体"/>
          <w:color w:val="auto"/>
          <w:spacing w:val="-4"/>
          <w:sz w:val="24"/>
          <w:szCs w:val="24"/>
          <w:highlight w:val="none"/>
        </w:rPr>
        <w:drawing>
          <wp:inline distT="0" distB="0" distL="114300" distR="114300">
            <wp:extent cx="240030" cy="288290"/>
            <wp:effectExtent l="0" t="0" r="7620" b="1651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40030" cy="288290"/>
                    </a:xfrm>
                    <a:prstGeom prst="rect">
                      <a:avLst/>
                    </a:prstGeom>
                    <a:noFill/>
                    <a:ln>
                      <a:noFill/>
                    </a:ln>
                  </pic:spPr>
                </pic:pic>
              </a:graphicData>
            </a:graphic>
          </wp:inline>
        </w:drawing>
      </w:r>
      <w:r>
        <w:rPr>
          <w:rFonts w:hint="eastAsia" w:ascii="宋体" w:hAnsi="宋体" w:cs="宋体"/>
          <w:color w:val="auto"/>
          <w:sz w:val="24"/>
          <w:szCs w:val="24"/>
          <w:highlight w:val="none"/>
        </w:rPr>
        <w:t>），第二名投标人的权重为（</w:t>
      </w:r>
      <w:r>
        <w:rPr>
          <w:rFonts w:hint="eastAsia" w:ascii="宋体" w:hAnsi="宋体" w:cs="宋体"/>
          <w:color w:val="auto"/>
          <w:spacing w:val="-4"/>
          <w:sz w:val="24"/>
          <w:szCs w:val="24"/>
          <w:highlight w:val="none"/>
        </w:rPr>
        <w:drawing>
          <wp:inline distT="0" distB="0" distL="114300" distR="114300">
            <wp:extent cx="233045" cy="288290"/>
            <wp:effectExtent l="0" t="0" r="14605" b="165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hint="eastAsia" w:ascii="宋体" w:hAnsi="宋体" w:cs="宋体"/>
          <w:color w:val="auto"/>
          <w:sz w:val="24"/>
          <w:szCs w:val="24"/>
          <w:highlight w:val="none"/>
        </w:rPr>
        <w:t>），以此类推，最后一名投标人的权重为（</w:t>
      </w:r>
      <w:r>
        <w:rPr>
          <w:rFonts w:hint="eastAsia" w:ascii="宋体" w:hAnsi="宋体" w:cs="宋体"/>
          <w:color w:val="auto"/>
          <w:spacing w:val="-4"/>
          <w:sz w:val="24"/>
          <w:szCs w:val="24"/>
          <w:highlight w:val="none"/>
        </w:rPr>
        <w:drawing>
          <wp:inline distT="0" distB="0" distL="114300" distR="114300">
            <wp:extent cx="233045" cy="288290"/>
            <wp:effectExtent l="0" t="0" r="14605" b="1651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hint="eastAsia" w:ascii="宋体" w:hAnsi="宋体" w:cs="宋体"/>
          <w:color w:val="auto"/>
          <w:sz w:val="24"/>
          <w:szCs w:val="24"/>
          <w:highlight w:val="none"/>
        </w:rPr>
        <w:t>）。</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条款号：45.4                      修改类型：修改</w:t>
      </w:r>
    </w:p>
    <w:p>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计算通过技术标有效性审查的投标人总得分。</w:t>
      </w:r>
      <w:r>
        <w:rPr>
          <w:rFonts w:hint="eastAsia" w:ascii="宋体" w:hAnsi="宋体" w:cs="宋体"/>
          <w:bCs/>
          <w:color w:val="auto"/>
          <w:sz w:val="24"/>
          <w:szCs w:val="24"/>
          <w:highlight w:val="none"/>
          <w:u w:val="single"/>
        </w:rPr>
        <w:t>投标人总得分=【技术得分（满分20分）＋经济得分（100分）×经济得分权重（80%）。</w:t>
      </w:r>
      <w:r>
        <w:rPr>
          <w:rFonts w:hint="eastAsia" w:ascii="宋体" w:hAnsi="宋体" w:cs="宋体"/>
          <w:bCs/>
          <w:color w:val="auto"/>
          <w:sz w:val="24"/>
          <w:szCs w:val="24"/>
          <w:highlight w:val="none"/>
        </w:rPr>
        <w:t>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条款号：46.1                     修改类型：修改</w:t>
      </w:r>
    </w:p>
    <w:p>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详见附表四《技术标详细审查评分表》</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5"/>
        <w:spacing w:line="360" w:lineRule="auto"/>
        <w:rPr>
          <w:color w:val="auto"/>
          <w:highlight w:val="none"/>
        </w:rPr>
      </w:pPr>
      <w:r>
        <w:rPr>
          <w:color w:val="auto"/>
          <w:highlight w:val="none"/>
        </w:rPr>
        <w:br w:type="page"/>
      </w:r>
    </w:p>
    <w:p>
      <w:pPr>
        <w:pStyle w:val="4"/>
        <w:ind w:firstLine="525"/>
        <w:rPr>
          <w:color w:val="auto"/>
          <w:highlight w:val="none"/>
        </w:rPr>
      </w:pPr>
      <w:bookmarkStart w:id="22" w:name="_Toc21525500"/>
      <w:bookmarkStart w:id="23" w:name="_Toc2272556"/>
      <w:r>
        <w:rPr>
          <w:rFonts w:hint="eastAsia"/>
          <w:color w:val="auto"/>
          <w:highlight w:val="none"/>
        </w:rPr>
        <w:t>二、开标、评标及定标办法</w:t>
      </w:r>
      <w:r>
        <w:rPr>
          <w:rFonts w:hint="eastAsia"/>
          <w:color w:val="auto"/>
          <w:szCs w:val="30"/>
          <w:highlight w:val="none"/>
        </w:rPr>
        <w:t>通用条款</w:t>
      </w:r>
      <w:bookmarkEnd w:id="22"/>
      <w:bookmarkEnd w:id="23"/>
    </w:p>
    <w:p>
      <w:pPr>
        <w:pStyle w:val="6"/>
        <w:spacing w:before="156" w:after="156"/>
        <w:ind w:firstLine="540" w:firstLineChars="200"/>
        <w:rPr>
          <w:color w:val="auto"/>
          <w:highlight w:val="none"/>
        </w:rPr>
      </w:pPr>
      <w:bookmarkStart w:id="24" w:name="_Toc2272557"/>
      <w:bookmarkStart w:id="25" w:name="_Toc21525501"/>
      <w:r>
        <w:rPr>
          <w:rFonts w:hint="eastAsia"/>
          <w:color w:val="auto"/>
          <w:highlight w:val="none"/>
        </w:rPr>
        <w:t>（一）总则</w:t>
      </w:r>
      <w:bookmarkEnd w:id="24"/>
      <w:bookmarkEnd w:id="2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hint="eastAsia" w:ascii="宋体" w:hAnsi="宋体"/>
          <w:color w:val="auto"/>
          <w:sz w:val="24"/>
          <w:highlight w:val="none"/>
          <w:u w:val="single"/>
        </w:rPr>
        <w:t xml:space="preserve">        </w:t>
      </w:r>
      <w:r>
        <w:rPr>
          <w:rFonts w:hint="eastAsia" w:ascii="宋体" w:hAnsi="宋体"/>
          <w:color w:val="auto"/>
          <w:sz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rPr>
          <w:color w:val="auto"/>
          <w:highlight w:val="none"/>
        </w:rPr>
      </w:pPr>
      <w:bookmarkStart w:id="26" w:name="_Toc21525502"/>
      <w:bookmarkStart w:id="27" w:name="_Toc2272558"/>
      <w:r>
        <w:rPr>
          <w:rFonts w:hint="eastAsia"/>
          <w:color w:val="auto"/>
          <w:highlight w:val="none"/>
        </w:rPr>
        <w:t>（二）开标评标办法程序和细则</w:t>
      </w:r>
      <w:bookmarkEnd w:id="26"/>
      <w:bookmarkEnd w:id="27"/>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w:t>
      </w:r>
      <w:r>
        <w:rPr>
          <w:rFonts w:hint="eastAsia" w:ascii="宋体" w:hAnsi="宋体"/>
          <w:color w:val="auto"/>
          <w:sz w:val="24"/>
          <w:szCs w:val="24"/>
          <w:highlight w:val="none"/>
          <w:lang w:eastAsia="zh-CN"/>
        </w:rPr>
        <w:t>八</w:t>
      </w:r>
      <w:r>
        <w:rPr>
          <w:rFonts w:hint="eastAsia" w:ascii="宋体" w:hAnsi="宋体"/>
          <w:color w:val="auto"/>
          <w:sz w:val="24"/>
          <w:szCs w:val="24"/>
          <w:highlight w:val="none"/>
        </w:rPr>
        <w:t>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ind w:firstLine="480" w:firstLineChars="200"/>
        <w:rPr>
          <w:rFonts w:ascii="宋体" w:hAnsi="宋体"/>
          <w:color w:val="auto"/>
          <w:sz w:val="24"/>
          <w:szCs w:val="24"/>
          <w:highlight w:val="none"/>
        </w:rPr>
      </w:pPr>
    </w:p>
    <w:p>
      <w:pPr>
        <w:pStyle w:val="6"/>
        <w:spacing w:before="156" w:after="156"/>
        <w:ind w:firstLine="540" w:firstLineChars="200"/>
        <w:rPr>
          <w:color w:val="auto"/>
          <w:highlight w:val="none"/>
        </w:rPr>
      </w:pPr>
      <w:bookmarkStart w:id="28" w:name="_Toc2272564"/>
      <w:bookmarkStart w:id="29" w:name="_Toc21525509"/>
      <w:r>
        <w:rPr>
          <w:rFonts w:hint="eastAsia"/>
          <w:color w:val="auto"/>
          <w:highlight w:val="none"/>
        </w:rPr>
        <w:t>可选办法七（适合综合评分法四，技术标与经济标同时开启）</w:t>
      </w:r>
      <w:bookmarkEnd w:id="28"/>
      <w:bookmarkEnd w:id="29"/>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33"/>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33"/>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33"/>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33"/>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拟委托技术负责人的相关证书、资料（具体要求由招标人明确）</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C3类）</w:t>
            </w:r>
            <w:r>
              <w:rPr>
                <w:rFonts w:hint="eastAsia" w:ascii="宋体" w:hAnsi="宋体"/>
                <w:color w:val="auto"/>
                <w:szCs w:val="21"/>
                <w:highlight w:val="none"/>
              </w:rPr>
              <w:t>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提供联合体工作协议。投标人拟任本工程项目负责人应为主办方正式员工。联合体工作协议应明确约定各方拟承担的工作和责任（如有）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w:t>
            </w:r>
            <w:r>
              <w:rPr>
                <w:rFonts w:hint="eastAsia" w:ascii="宋体" w:hAnsi="宋体"/>
                <w:color w:val="auto"/>
                <w:szCs w:val="21"/>
                <w:highlight w:val="none"/>
                <w:lang w:eastAsia="zh-CN"/>
              </w:rPr>
              <w:t>信用</w:t>
            </w:r>
            <w:r>
              <w:rPr>
                <w:rFonts w:hint="eastAsia" w:ascii="宋体" w:hAnsi="宋体"/>
                <w:color w:val="auto"/>
                <w:szCs w:val="21"/>
                <w:highlight w:val="none"/>
              </w:rPr>
              <w:t>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w:t>
            </w:r>
            <w:r>
              <w:rPr>
                <w:rFonts w:hint="eastAsia" w:ascii="宋体" w:hAnsi="宋体"/>
                <w:color w:val="auto"/>
                <w:szCs w:val="21"/>
                <w:highlight w:val="none"/>
                <w:lang w:eastAsia="zh-CN"/>
              </w:rPr>
              <w:t>信用</w:t>
            </w:r>
            <w:r>
              <w:rPr>
                <w:rFonts w:hint="eastAsia" w:ascii="宋体" w:hAnsi="宋体"/>
                <w:color w:val="auto"/>
                <w:szCs w:val="21"/>
                <w:highlight w:val="none"/>
              </w:rPr>
              <w:t>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ascii="宋体" w:hAnsi="宋体"/>
                <w:strike/>
                <w:color w:val="auto"/>
                <w:szCs w:val="21"/>
                <w:highlight w:val="none"/>
              </w:rPr>
              <w:t xml:space="preserve"> </w:t>
            </w:r>
            <w:r>
              <w:rPr>
                <w:rFonts w:hint="eastAsia" w:ascii="宋体" w:hAnsi="宋体"/>
                <w:strike/>
                <w:color w:val="auto"/>
                <w:szCs w:val="21"/>
                <w:highlight w:val="none"/>
                <w:u w:val="single"/>
              </w:rPr>
              <w:t>（规格）</w:t>
            </w:r>
            <w:r>
              <w:rPr>
                <w:rFonts w:ascii="宋体" w:hAnsi="宋体"/>
                <w:strike/>
                <w:color w:val="auto"/>
                <w:szCs w:val="21"/>
                <w:highlight w:val="none"/>
                <w:u w:val="single"/>
              </w:rPr>
              <w:t xml:space="preserve"> </w:t>
            </w:r>
            <w:r>
              <w:rPr>
                <w:rFonts w:hint="eastAsia" w:ascii="宋体" w:hAnsi="宋体"/>
                <w:strike/>
                <w:color w:val="auto"/>
                <w:szCs w:val="21"/>
                <w:highlight w:val="none"/>
              </w:rPr>
              <w:t>沥青摊铺机</w:t>
            </w:r>
            <w:r>
              <w:rPr>
                <w:rFonts w:ascii="宋体" w:hAnsi="宋体"/>
                <w:strike/>
                <w:color w:val="auto"/>
                <w:szCs w:val="21"/>
                <w:highlight w:val="none"/>
              </w:rPr>
              <w:t xml:space="preserve">    </w:t>
            </w:r>
            <w:r>
              <w:rPr>
                <w:rFonts w:ascii="宋体" w:hAnsi="宋体"/>
                <w:strike/>
                <w:color w:val="auto"/>
                <w:szCs w:val="21"/>
                <w:highlight w:val="none"/>
                <w:u w:val="single"/>
              </w:rPr>
              <w:t xml:space="preserve">      </w:t>
            </w:r>
            <w:r>
              <w:rPr>
                <w:rFonts w:hint="eastAsia" w:ascii="宋体" w:hAnsi="宋体"/>
                <w:strike/>
                <w:color w:val="auto"/>
                <w:szCs w:val="21"/>
                <w:highlight w:val="none"/>
              </w:rPr>
              <w:t>台（如有）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未在以往工程中因不诚信行为或不充分履约行为被本项目招标人书面拒绝投标的（如有）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具体要求由招标人明确</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未被纳入失信联合惩戒名单</w:t>
            </w:r>
            <w:r>
              <w:rPr>
                <w:rFonts w:hint="eastAsia" w:ascii="宋体" w:hAnsi="宋体" w:cs="宋体"/>
                <w:color w:val="auto"/>
                <w:kern w:val="0"/>
                <w:sz w:val="22"/>
                <w:highlight w:val="none"/>
              </w:rPr>
              <w:t>且被限制参与相关项目投标的</w:t>
            </w:r>
            <w:r>
              <w:rPr>
                <w:rFonts w:hint="eastAsia" w:ascii="宋体" w:hAnsi="宋体"/>
                <w:color w:val="auto"/>
                <w:szCs w:val="21"/>
                <w:highlight w:val="none"/>
              </w:rPr>
              <w:t>（如有）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szCs w:val="21"/>
          <w:highlight w:val="none"/>
        </w:rPr>
      </w:pPr>
      <w:r>
        <w:rPr>
          <w:rFonts w:hint="eastAsia"/>
          <w:color w:val="auto"/>
          <w:szCs w:val="21"/>
          <w:highlight w:val="none"/>
        </w:rPr>
        <w:t>附表二</w:t>
      </w:r>
    </w:p>
    <w:p>
      <w:pPr>
        <w:snapToGrid w:val="0"/>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ascii="宋体" w:hAnsi="宋体"/>
                <w:color w:val="auto"/>
                <w:szCs w:val="21"/>
                <w:highlight w:val="none"/>
                <w:u w:val="single"/>
              </w:rPr>
              <w:t xml:space="preserve"> </w:t>
            </w:r>
            <w:r>
              <w:rPr>
                <w:rFonts w:hint="eastAsia" w:ascii="宋体" w:hAnsi="宋体"/>
                <w:color w:val="auto"/>
                <w:szCs w:val="21"/>
                <w:highlight w:val="none"/>
                <w:u w:val="single"/>
              </w:rPr>
              <w:t>广州公共资源交易中心</w:t>
            </w:r>
            <w:r>
              <w:rPr>
                <w:rFonts w:ascii="宋体" w:hAnsi="宋体"/>
                <w:color w:val="auto"/>
                <w:szCs w:val="21"/>
                <w:highlight w:val="none"/>
                <w:u w:val="single"/>
              </w:rPr>
              <w:t xml:space="preserve"> </w:t>
            </w:r>
            <w:r>
              <w:rPr>
                <w:rFonts w:hint="eastAsia" w:ascii="宋体" w:hAnsi="宋体"/>
                <w:color w:val="auto"/>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4"/>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szCs w:val="21"/>
              </w:rPr>
              <w:t>投标人与本项目其他投标人的投标文件工程量清单编制机器硬件信息一致的（以</w:t>
            </w:r>
            <w:r>
              <w:rPr>
                <w:rFonts w:hint="eastAsia" w:ascii="宋体" w:hAnsi="宋体"/>
                <w:szCs w:val="21"/>
                <w:u w:val="single"/>
                <w:lang w:val="en-US" w:eastAsia="zh-CN"/>
              </w:rPr>
              <w:t xml:space="preserve"> </w:t>
            </w:r>
            <w:r>
              <w:rPr>
                <w:rFonts w:hint="eastAsia" w:ascii="宋体" w:hAnsi="宋体"/>
                <w:szCs w:val="21"/>
                <w:u w:val="single"/>
              </w:rPr>
              <w:t>广州公共资源交易中心</w:t>
            </w:r>
            <w:r>
              <w:rPr>
                <w:rFonts w:hint="eastAsia" w:ascii="宋体" w:hAnsi="宋体"/>
                <w:szCs w:val="21"/>
                <w:u w:val="single"/>
                <w:lang w:val="en-US" w:eastAsia="zh-CN"/>
              </w:rPr>
              <w:t xml:space="preserve"> </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3"/>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spacing w:line="4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34"/>
        <w:tblW w:w="15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215"/>
        <w:gridCol w:w="840"/>
        <w:gridCol w:w="1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评分项目</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评分内容</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分值</w:t>
            </w:r>
          </w:p>
        </w:tc>
        <w:tc>
          <w:tcPr>
            <w:tcW w:w="1225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300" w:lineRule="exact"/>
              <w:jc w:val="center"/>
              <w:rPr>
                <w:rFonts w:ascii="宋体" w:hAnsi="宋体" w:cs="宋体"/>
                <w:b/>
                <w:color w:val="auto"/>
                <w:szCs w:val="21"/>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284"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宋体" w:hAnsi="宋体" w:eastAsia="宋体" w:cs="宋体"/>
                <w:color w:val="auto"/>
                <w:highlight w:val="none"/>
                <w:lang w:val="en-US" w:eastAsia="zh-CN"/>
              </w:rPr>
            </w:pPr>
            <w:r>
              <w:rPr>
                <w:rFonts w:hint="eastAsia" w:ascii="宋体" w:hAnsi="宋体" w:cs="宋体"/>
                <w:color w:val="auto"/>
                <w:szCs w:val="21"/>
                <w:highlight w:val="none"/>
                <w:lang w:val="en-US" w:eastAsia="zh-CN"/>
              </w:rPr>
              <w:t>企业资信</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auto"/>
                <w:highlight w:val="none"/>
              </w:rPr>
            </w:pPr>
            <w:r>
              <w:rPr>
                <w:rFonts w:hint="eastAsia" w:ascii="宋体" w:hAnsi="宋体" w:cs="宋体"/>
                <w:color w:val="auto"/>
                <w:highlight w:val="none"/>
              </w:rPr>
              <w:t>工程业绩</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color w:val="auto"/>
                <w:highlight w:val="none"/>
                <w:lang w:eastAsia="zh-CN"/>
              </w:rPr>
            </w:pPr>
            <w:r>
              <w:rPr>
                <w:rFonts w:hint="eastAsia"/>
                <w:color w:val="auto"/>
                <w:highlight w:val="none"/>
              </w:rPr>
              <w:t>投标人自20</w:t>
            </w:r>
            <w:r>
              <w:rPr>
                <w:rFonts w:hint="eastAsia"/>
                <w:color w:val="auto"/>
                <w:highlight w:val="none"/>
                <w:lang w:val="en-US" w:eastAsia="zh-CN"/>
              </w:rPr>
              <w:t>18</w:t>
            </w:r>
            <w:r>
              <w:rPr>
                <w:rFonts w:hint="eastAsia"/>
                <w:color w:val="auto"/>
                <w:highlight w:val="none"/>
              </w:rPr>
              <w:t>年1月1日至投标截止时间止，完成过质量合格的层流手术室或层流病房（包括改造、新建、扩建）工程</w:t>
            </w:r>
            <w:r>
              <w:rPr>
                <w:rFonts w:hint="eastAsia"/>
                <w:color w:val="auto"/>
                <w:highlight w:val="none"/>
                <w:lang w:val="en-US" w:eastAsia="zh-CN"/>
              </w:rPr>
              <w:t>业绩</w:t>
            </w:r>
            <w:r>
              <w:rPr>
                <w:rFonts w:hint="eastAsia"/>
                <w:color w:val="auto"/>
                <w:highlight w:val="none"/>
                <w:lang w:eastAsia="zh-CN"/>
              </w:rPr>
              <w:t>：</w:t>
            </w:r>
          </w:p>
          <w:p>
            <w:pPr>
              <w:rPr>
                <w:color w:val="auto"/>
                <w:highlight w:val="none"/>
              </w:rPr>
            </w:pPr>
            <w:r>
              <w:rPr>
                <w:rFonts w:hint="eastAsia"/>
                <w:color w:val="auto"/>
                <w:highlight w:val="none"/>
              </w:rPr>
              <w:t>（1）完成单项合同500万元以下的（含500万元），1项计0.5分；</w:t>
            </w:r>
          </w:p>
          <w:p>
            <w:pPr>
              <w:rPr>
                <w:color w:val="auto"/>
                <w:highlight w:val="none"/>
              </w:rPr>
            </w:pPr>
            <w:r>
              <w:rPr>
                <w:rFonts w:hint="eastAsia"/>
                <w:color w:val="auto"/>
                <w:highlight w:val="none"/>
              </w:rPr>
              <w:t>（2）完成单项合同500万元至1000万元以下的（含1000万元），1项计1分；</w:t>
            </w:r>
          </w:p>
          <w:p>
            <w:pPr>
              <w:rPr>
                <w:color w:val="auto"/>
                <w:highlight w:val="none"/>
              </w:rPr>
            </w:pPr>
            <w:r>
              <w:rPr>
                <w:rFonts w:hint="eastAsia"/>
                <w:color w:val="auto"/>
                <w:highlight w:val="none"/>
              </w:rPr>
              <w:t>（3）完成单项合同1000万元以上的，1项计1.5分；</w:t>
            </w:r>
          </w:p>
          <w:p>
            <w:pPr>
              <w:rPr>
                <w:rFonts w:hint="eastAsia"/>
                <w:color w:val="auto"/>
                <w:highlight w:val="none"/>
                <w:lang w:eastAsia="zh-CN"/>
              </w:rPr>
            </w:pPr>
            <w:r>
              <w:rPr>
                <w:rFonts w:hint="eastAsia"/>
                <w:color w:val="auto"/>
                <w:highlight w:val="none"/>
              </w:rPr>
              <w:t>（4）各单项合同累计计算分数，最高3分。</w:t>
            </w:r>
          </w:p>
          <w:p>
            <w:pPr>
              <w:rPr>
                <w:rFonts w:hint="eastAsia" w:eastAsia="宋体"/>
                <w:color w:val="auto"/>
                <w:highlight w:val="none"/>
                <w:lang w:val="en-US" w:eastAsia="zh-CN"/>
              </w:rPr>
            </w:pPr>
            <w:r>
              <w:rPr>
                <w:rFonts w:hint="eastAsia" w:ascii="宋体" w:hAnsi="宋体" w:eastAsia="宋体" w:cs="宋体"/>
                <w:color w:val="auto"/>
                <w:highlight w:val="none"/>
                <w:lang w:val="en-US" w:eastAsia="zh-CN"/>
              </w:rPr>
              <w:t>注：1、</w:t>
            </w:r>
            <w:r>
              <w:rPr>
                <w:rFonts w:hint="eastAsia" w:ascii="宋体" w:hAnsi="宋体" w:eastAsia="宋体" w:cs="宋体"/>
                <w:color w:val="auto"/>
                <w:highlight w:val="none"/>
              </w:rPr>
              <w:t>投标人应提供以下材料的彩色扫描件并加盖投标人电子签章：施工合同</w:t>
            </w:r>
            <w:r>
              <w:rPr>
                <w:rFonts w:hint="eastAsia" w:ascii="宋体" w:hAnsi="宋体" w:cs="宋体"/>
                <w:color w:val="auto"/>
                <w:highlight w:val="none"/>
                <w:lang w:val="en-US" w:eastAsia="zh-CN"/>
              </w:rPr>
              <w:t>或</w:t>
            </w:r>
            <w:r>
              <w:rPr>
                <w:rFonts w:hint="eastAsia" w:ascii="宋体" w:hAnsi="宋体" w:eastAsia="宋体" w:cs="宋体"/>
                <w:color w:val="auto"/>
                <w:highlight w:val="none"/>
              </w:rPr>
              <w:t>签字并加盖公章的竣工验收证明，且各项证明资料均须体现投标人名称，有一项不符合不得分。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284" w:type="dxa"/>
            <w:vMerge w:val="continue"/>
            <w:tcBorders>
              <w:left w:val="single" w:color="auto" w:sz="4" w:space="0"/>
              <w:right w:val="single" w:color="auto" w:sz="4" w:space="0"/>
            </w:tcBorders>
            <w:noWrap w:val="0"/>
            <w:vAlign w:val="center"/>
          </w:tcPr>
          <w:p>
            <w:pPr>
              <w:widowControl/>
              <w:spacing w:before="100" w:beforeAutospacing="1" w:after="100" w:afterAutospacing="1" w:line="300" w:lineRule="exact"/>
              <w:jc w:val="center"/>
              <w:rPr>
                <w:rFonts w:hint="eastAsia"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企业研发能力</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0" w:right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u w:val="single"/>
                <w:lang w:val="en-US" w:eastAsia="zh-CN"/>
              </w:rPr>
              <w:t>投标人（联合体投标的，由联合体主办方提供）</w:t>
            </w:r>
            <w:r>
              <w:rPr>
                <w:rFonts w:hint="eastAsia" w:ascii="宋体" w:hAnsi="宋体" w:eastAsia="宋体" w:cs="宋体"/>
                <w:color w:val="auto"/>
                <w:szCs w:val="21"/>
                <w:highlight w:val="none"/>
              </w:rPr>
              <w:t>2018年1月1日至今作为主要完成单位获得过省级或以上</w:t>
            </w:r>
            <w:r>
              <w:rPr>
                <w:rFonts w:hint="eastAsia" w:ascii="宋体" w:hAnsi="宋体" w:cs="宋体"/>
                <w:color w:val="auto"/>
                <w:szCs w:val="21"/>
                <w:highlight w:val="none"/>
                <w:lang w:val="en-US" w:eastAsia="zh-CN"/>
              </w:rPr>
              <w:t>机电</w:t>
            </w:r>
            <w:r>
              <w:rPr>
                <w:rFonts w:hint="eastAsia" w:ascii="宋体" w:hAnsi="宋体" w:eastAsia="宋体" w:cs="宋体"/>
                <w:color w:val="auto"/>
                <w:szCs w:val="21"/>
                <w:highlight w:val="none"/>
              </w:rPr>
              <w:t>类工法奖项证书</w:t>
            </w:r>
            <w:r>
              <w:rPr>
                <w:rFonts w:hint="eastAsia" w:ascii="宋体" w:hAnsi="宋体" w:eastAsia="宋体" w:cs="宋体"/>
                <w:color w:val="auto"/>
                <w:szCs w:val="21"/>
                <w:highlight w:val="none"/>
                <w:lang w:val="en-US" w:eastAsia="zh-CN"/>
              </w:rPr>
              <w:t>:</w:t>
            </w:r>
          </w:p>
          <w:p>
            <w:pPr>
              <w:spacing w:line="36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有30项（</w:t>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含）以上的，得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分；有2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项的，得</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分；有1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项的，得</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分；有1-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项的，得0.</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pPr>
              <w:snapToGrid/>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不满足上述情况的，不得分。</w:t>
            </w:r>
          </w:p>
          <w:p>
            <w:pPr>
              <w:spacing w:line="300" w:lineRule="exact"/>
              <w:jc w:val="left"/>
              <w:rPr>
                <w:rFonts w:hint="eastAsia"/>
                <w:color w:val="auto"/>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Cs w:val="21"/>
                <w:highlight w:val="none"/>
              </w:rPr>
              <w:t>省级或以上工法奖，需提供省级或以上建设行政主管部门官网公布的工法获奖名单查询页，经当地建设行政主管部门颁发的获奖证书扫描件及可反映工法科技成果成功应用在具体</w:t>
            </w:r>
            <w:r>
              <w:rPr>
                <w:rFonts w:hint="eastAsia" w:ascii="宋体" w:hAnsi="宋体" w:cs="宋体"/>
                <w:color w:val="auto"/>
                <w:szCs w:val="21"/>
                <w:highlight w:val="none"/>
                <w:lang w:val="en-US" w:eastAsia="zh-CN"/>
              </w:rPr>
              <w:t>机电</w:t>
            </w:r>
            <w:r>
              <w:rPr>
                <w:rFonts w:hint="eastAsia" w:ascii="宋体" w:hAnsi="宋体" w:eastAsia="宋体" w:cs="宋体"/>
                <w:color w:val="auto"/>
                <w:szCs w:val="21"/>
                <w:highlight w:val="none"/>
              </w:rPr>
              <w:t>类工程项目的科学技术成果鉴定证书扫描件。时间以发证时间为准（不符合上述条件不计分）</w:t>
            </w:r>
            <w:r>
              <w:rPr>
                <w:rFonts w:hint="eastAsia" w:ascii="宋体" w:hAnsi="宋体" w:eastAsia="宋体" w:cs="宋体"/>
                <w:b w:val="0"/>
                <w:bCs w:val="0"/>
                <w:color w:val="auto"/>
                <w:sz w:val="21"/>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84" w:type="dxa"/>
            <w:vMerge w:val="continue"/>
            <w:tcBorders>
              <w:left w:val="single" w:color="auto" w:sz="4" w:space="0"/>
              <w:right w:val="single" w:color="auto" w:sz="4" w:space="0"/>
            </w:tcBorders>
            <w:noWrap w:val="0"/>
            <w:vAlign w:val="center"/>
          </w:tcPr>
          <w:p>
            <w:pPr>
              <w:spacing w:line="300" w:lineRule="exact"/>
              <w:jc w:val="left"/>
              <w:rPr>
                <w:rFonts w:ascii="宋体" w:hAnsi="宋体" w:cs="宋体"/>
                <w:color w:val="auto"/>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auto"/>
                <w:highlight w:val="none"/>
              </w:rPr>
            </w:pPr>
            <w:r>
              <w:rPr>
                <w:rFonts w:hint="eastAsia" w:ascii="宋体" w:hAnsi="宋体" w:cs="宋体"/>
                <w:color w:val="auto"/>
                <w:szCs w:val="21"/>
                <w:highlight w:val="none"/>
              </w:rPr>
              <w:t>财务指标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501"/>
              </w:tabs>
              <w:adjustRightInd w:val="0"/>
              <w:rPr>
                <w:color w:val="auto"/>
                <w:highlight w:val="none"/>
              </w:rPr>
            </w:pPr>
            <w:r>
              <w:rPr>
                <w:rFonts w:hint="eastAsia"/>
                <w:color w:val="auto"/>
                <w:highlight w:val="none"/>
              </w:rPr>
              <w:t>投标人（联合体投标的，由联合体主办方提供）近三年度（2019年度、2020年度、2021年度），各年度资产负债率的平均数：</w:t>
            </w:r>
          </w:p>
          <w:p>
            <w:pPr>
              <w:adjustRightInd w:val="0"/>
              <w:rPr>
                <w:color w:val="auto"/>
                <w:highlight w:val="none"/>
              </w:rPr>
            </w:pPr>
            <w:r>
              <w:rPr>
                <w:rFonts w:hint="eastAsia"/>
                <w:color w:val="auto"/>
                <w:highlight w:val="none"/>
              </w:rPr>
              <w:t>（1）平均资产负债率＜</w:t>
            </w:r>
            <w:r>
              <w:rPr>
                <w:rFonts w:hint="eastAsia"/>
                <w:color w:val="auto"/>
                <w:highlight w:val="none"/>
                <w:lang w:val="en-US" w:eastAsia="zh-CN"/>
              </w:rPr>
              <w:t>50</w:t>
            </w:r>
            <w:r>
              <w:rPr>
                <w:rFonts w:hint="eastAsia"/>
                <w:color w:val="auto"/>
                <w:highlight w:val="none"/>
              </w:rPr>
              <w:t>%的，得1分；</w:t>
            </w:r>
          </w:p>
          <w:p>
            <w:pPr>
              <w:adjustRightInd w:val="0"/>
              <w:ind w:left="525" w:hanging="525" w:hangingChars="250"/>
              <w:rPr>
                <w:color w:val="auto"/>
                <w:highlight w:val="none"/>
              </w:rPr>
            </w:pPr>
            <w:r>
              <w:rPr>
                <w:rFonts w:hint="eastAsia"/>
                <w:color w:val="auto"/>
                <w:highlight w:val="none"/>
              </w:rPr>
              <w:t>（2）</w:t>
            </w:r>
            <w:r>
              <w:rPr>
                <w:rFonts w:hint="eastAsia"/>
                <w:color w:val="auto"/>
                <w:highlight w:val="none"/>
                <w:lang w:val="en-US" w:eastAsia="zh-CN"/>
              </w:rPr>
              <w:t>50%≤</w:t>
            </w:r>
            <w:r>
              <w:rPr>
                <w:rFonts w:hint="eastAsia"/>
                <w:color w:val="auto"/>
                <w:highlight w:val="none"/>
              </w:rPr>
              <w:t>平均资产负债率＜5</w:t>
            </w:r>
            <w:r>
              <w:rPr>
                <w:rFonts w:hint="eastAsia"/>
                <w:color w:val="auto"/>
                <w:highlight w:val="none"/>
                <w:lang w:val="en-US" w:eastAsia="zh-CN"/>
              </w:rPr>
              <w:t>5</w:t>
            </w:r>
            <w:r>
              <w:rPr>
                <w:rFonts w:hint="eastAsia"/>
                <w:color w:val="auto"/>
                <w:highlight w:val="none"/>
              </w:rPr>
              <w:t>%的，得0.</w:t>
            </w:r>
            <w:r>
              <w:rPr>
                <w:rFonts w:hint="eastAsia"/>
                <w:color w:val="auto"/>
                <w:highlight w:val="none"/>
                <w:lang w:val="en-US" w:eastAsia="zh-CN"/>
              </w:rPr>
              <w:t>5</w:t>
            </w:r>
            <w:r>
              <w:rPr>
                <w:rFonts w:hint="eastAsia"/>
                <w:color w:val="auto"/>
                <w:highlight w:val="none"/>
              </w:rPr>
              <w:t>分；</w:t>
            </w:r>
          </w:p>
          <w:p>
            <w:pPr>
              <w:adjustRightInd w:val="0"/>
              <w:ind w:left="525" w:hanging="525" w:hangingChars="250"/>
              <w:rPr>
                <w:color w:val="auto"/>
                <w:highlight w:val="none"/>
              </w:rPr>
            </w:pPr>
            <w:r>
              <w:rPr>
                <w:rFonts w:hint="eastAsia"/>
                <w:color w:val="auto"/>
                <w:highlight w:val="none"/>
              </w:rPr>
              <w:t>（3）</w:t>
            </w:r>
            <w:r>
              <w:rPr>
                <w:rFonts w:hint="eastAsia"/>
                <w:color w:val="auto"/>
                <w:highlight w:val="none"/>
                <w:lang w:val="en-US" w:eastAsia="zh-CN"/>
              </w:rPr>
              <w:t>55%≤</w:t>
            </w:r>
            <w:r>
              <w:rPr>
                <w:rFonts w:hint="eastAsia"/>
                <w:color w:val="auto"/>
                <w:highlight w:val="none"/>
              </w:rPr>
              <w:t>平均资产负债率＜</w:t>
            </w:r>
            <w:r>
              <w:rPr>
                <w:rFonts w:hint="eastAsia"/>
                <w:color w:val="auto"/>
                <w:highlight w:val="none"/>
                <w:lang w:val="en-US" w:eastAsia="zh-CN"/>
              </w:rPr>
              <w:t>60</w:t>
            </w:r>
            <w:r>
              <w:rPr>
                <w:rFonts w:hint="eastAsia"/>
                <w:color w:val="auto"/>
                <w:highlight w:val="none"/>
              </w:rPr>
              <w:t>%的，得0.</w:t>
            </w:r>
            <w:r>
              <w:rPr>
                <w:rFonts w:hint="eastAsia"/>
                <w:color w:val="auto"/>
                <w:highlight w:val="none"/>
                <w:lang w:val="en-US" w:eastAsia="zh-CN"/>
              </w:rPr>
              <w:t>2</w:t>
            </w:r>
            <w:r>
              <w:rPr>
                <w:rFonts w:hint="eastAsia"/>
                <w:color w:val="auto"/>
                <w:highlight w:val="none"/>
              </w:rPr>
              <w:t>分；</w:t>
            </w:r>
          </w:p>
          <w:p>
            <w:pPr>
              <w:numPr>
                <w:ilvl w:val="0"/>
                <w:numId w:val="0"/>
              </w:numPr>
              <w:spacing w:line="288"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）平均资产负债率≥</w:t>
            </w:r>
            <w:r>
              <w:rPr>
                <w:rFonts w:hint="eastAsia"/>
                <w:color w:val="auto"/>
                <w:highlight w:val="none"/>
                <w:lang w:val="en-US" w:eastAsia="zh-CN"/>
              </w:rPr>
              <w:t>60</w:t>
            </w:r>
            <w:r>
              <w:rPr>
                <w:rFonts w:hint="eastAsia"/>
                <w:color w:val="auto"/>
                <w:highlight w:val="none"/>
              </w:rPr>
              <w:t>%的，得0.1分。</w:t>
            </w:r>
          </w:p>
          <w:p>
            <w:pPr>
              <w:pStyle w:val="17"/>
              <w:numPr>
                <w:ilvl w:val="0"/>
                <w:numId w:val="0"/>
              </w:numPr>
              <w:rPr>
                <w:rFonts w:hint="eastAsia" w:eastAsia="宋体"/>
                <w:color w:val="auto"/>
                <w:highlight w:val="none"/>
                <w:lang w:val="en-US" w:eastAsia="zh-CN"/>
              </w:rPr>
            </w:pPr>
            <w:r>
              <w:rPr>
                <w:rFonts w:hint="eastAsia"/>
                <w:color w:val="auto"/>
                <w:highlight w:val="none"/>
                <w:lang w:val="en-US" w:eastAsia="zh-CN"/>
              </w:rPr>
              <w:t>注：</w:t>
            </w:r>
            <w:r>
              <w:rPr>
                <w:rFonts w:hint="eastAsia" w:ascii="宋体" w:hAnsi="宋体" w:cs="宋体"/>
                <w:b w:val="0"/>
                <w:bCs w:val="0"/>
                <w:color w:val="auto"/>
                <w:szCs w:val="21"/>
                <w:highlight w:val="none"/>
              </w:rPr>
              <w:t>投标人须提供经会计师事务所审计的财务报告（包括审计意见和资产负债表等）扫描件并加盖投标人企业电子印章。以提供</w:t>
            </w:r>
            <w:r>
              <w:rPr>
                <w:rFonts w:hint="eastAsia" w:ascii="宋体" w:hAnsi="宋体"/>
                <w:b w:val="0"/>
                <w:bCs w:val="0"/>
                <w:color w:val="auto"/>
                <w:szCs w:val="21"/>
                <w:highlight w:val="none"/>
              </w:rPr>
              <w:t>资产</w:t>
            </w:r>
            <w:r>
              <w:rPr>
                <w:rFonts w:hint="eastAsia" w:ascii="宋体" w:hAnsi="宋体" w:cs="宋体"/>
                <w:b w:val="0"/>
                <w:bCs w:val="0"/>
                <w:color w:val="auto"/>
                <w:szCs w:val="21"/>
                <w:highlight w:val="none"/>
              </w:rPr>
              <w:t>负债表为准，资产负债率＝负债总额÷资产总额×100%。</w:t>
            </w:r>
            <w:r>
              <w:rPr>
                <w:rFonts w:hint="eastAsia" w:ascii="宋体" w:hAnsi="宋体"/>
                <w:b w:val="0"/>
                <w:bCs w:val="0"/>
                <w:color w:val="auto"/>
                <w:szCs w:val="21"/>
                <w:highlight w:val="none"/>
              </w:rPr>
              <w:t>不符合上述条件或未提供上述资料或无加盖投标人电子印章的不得分</w:t>
            </w:r>
            <w:r>
              <w:rPr>
                <w:rFonts w:hint="eastAsia" w:hAnsi="宋体"/>
                <w:b w:val="0"/>
                <w:bCs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84" w:type="dxa"/>
            <w:vMerge w:val="continue"/>
            <w:tcBorders>
              <w:left w:val="single" w:color="auto" w:sz="4" w:space="0"/>
              <w:right w:val="single" w:color="auto" w:sz="4" w:space="0"/>
            </w:tcBorders>
            <w:noWrap w:val="0"/>
            <w:vAlign w:val="center"/>
          </w:tcPr>
          <w:p>
            <w:pPr>
              <w:spacing w:line="300" w:lineRule="exact"/>
              <w:jc w:val="left"/>
              <w:rPr>
                <w:rFonts w:ascii="宋体" w:hAnsi="宋体" w:cs="宋体"/>
                <w:color w:val="auto"/>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第三方评价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分</w:t>
            </w:r>
          </w:p>
        </w:tc>
        <w:tc>
          <w:tcPr>
            <w:tcW w:w="12259"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highlight w:val="none"/>
                <w:lang w:val="en-US" w:eastAsia="zh-CN"/>
              </w:rPr>
            </w:pPr>
            <w:r>
              <w:rPr>
                <w:rFonts w:hint="eastAsia"/>
                <w:color w:val="auto"/>
                <w:highlight w:val="none"/>
              </w:rPr>
              <w:t>投标人（联合体投标的，由联合体主办方提供）</w:t>
            </w:r>
            <w:r>
              <w:rPr>
                <w:rFonts w:hint="eastAsia"/>
                <w:color w:val="auto"/>
                <w:highlight w:val="none"/>
                <w:lang w:val="en-US" w:eastAsia="zh-CN"/>
              </w:rPr>
              <w:t>纳税情况（含最近评审年度：2021年）：</w:t>
            </w:r>
          </w:p>
          <w:p>
            <w:pPr>
              <w:rPr>
                <w:rFonts w:hint="eastAsia"/>
                <w:color w:val="auto"/>
                <w:highlight w:val="none"/>
                <w:lang w:val="en-US" w:eastAsia="zh-CN"/>
              </w:rPr>
            </w:pPr>
            <w:r>
              <w:rPr>
                <w:rFonts w:hint="eastAsia"/>
                <w:color w:val="auto"/>
                <w:highlight w:val="none"/>
                <w:lang w:val="en-US" w:eastAsia="zh-CN"/>
              </w:rPr>
              <w:t>（1）连续8年或以上获得“A级纳税人”称号的，得0.8分。</w:t>
            </w:r>
          </w:p>
          <w:p>
            <w:pPr>
              <w:rPr>
                <w:rFonts w:hint="eastAsia"/>
                <w:color w:val="auto"/>
                <w:highlight w:val="none"/>
                <w:lang w:val="en-US" w:eastAsia="zh-CN"/>
              </w:rPr>
            </w:pPr>
            <w:r>
              <w:rPr>
                <w:rFonts w:hint="eastAsia"/>
                <w:color w:val="auto"/>
                <w:highlight w:val="none"/>
                <w:lang w:val="en-US" w:eastAsia="zh-CN"/>
              </w:rPr>
              <w:t>（2）连续6-7年获得“A级纳税人”称号的，得0.4分。</w:t>
            </w:r>
          </w:p>
          <w:p>
            <w:pPr>
              <w:rPr>
                <w:rFonts w:hint="eastAsia"/>
                <w:color w:val="auto"/>
                <w:highlight w:val="none"/>
                <w:lang w:val="en-US" w:eastAsia="zh-CN"/>
              </w:rPr>
            </w:pPr>
            <w:r>
              <w:rPr>
                <w:rFonts w:hint="eastAsia"/>
                <w:color w:val="auto"/>
                <w:highlight w:val="none"/>
                <w:lang w:val="en-US" w:eastAsia="zh-CN"/>
              </w:rPr>
              <w:t>（3）连续4-5年获得“A级纳税人”称号的，得0.2分。</w:t>
            </w:r>
          </w:p>
          <w:p>
            <w:pPr>
              <w:rPr>
                <w:rFonts w:hint="eastAsia"/>
                <w:color w:val="auto"/>
                <w:highlight w:val="none"/>
                <w:lang w:val="en-US" w:eastAsia="zh-CN"/>
              </w:rPr>
            </w:pPr>
            <w:r>
              <w:rPr>
                <w:rFonts w:hint="eastAsia"/>
                <w:color w:val="auto"/>
                <w:highlight w:val="none"/>
                <w:lang w:val="en-US" w:eastAsia="zh-CN"/>
              </w:rPr>
              <w:t>（4）连续1-3年获得“A级纳税人”称号的，得0.1分。</w:t>
            </w:r>
          </w:p>
          <w:p>
            <w:pPr>
              <w:spacing w:line="300" w:lineRule="exact"/>
              <w:jc w:val="left"/>
              <w:rPr>
                <w:rFonts w:hint="eastAsia"/>
                <w:color w:val="auto"/>
                <w:highlight w:val="none"/>
                <w:lang w:eastAsia="zh-CN"/>
              </w:rPr>
            </w:pPr>
            <w:r>
              <w:rPr>
                <w:rFonts w:hint="eastAsia"/>
                <w:color w:val="auto"/>
                <w:highlight w:val="none"/>
                <w:lang w:val="en-US" w:eastAsia="zh-CN"/>
              </w:rPr>
              <w:t>不满足上述情况的，不得分</w:t>
            </w:r>
            <w:r>
              <w:rPr>
                <w:rFonts w:hint="eastAsia"/>
                <w:color w:val="auto"/>
                <w:highlight w:val="none"/>
                <w:lang w:eastAsia="zh-CN"/>
              </w:rPr>
              <w:t>。</w:t>
            </w:r>
          </w:p>
          <w:p>
            <w:pPr>
              <w:pStyle w:val="44"/>
              <w:rPr>
                <w:rFonts w:hint="eastAsia" w:eastAsia="宋体"/>
                <w:color w:val="auto"/>
                <w:highlight w:val="none"/>
                <w:lang w:val="en-US" w:eastAsia="zh-CN"/>
              </w:rPr>
            </w:pPr>
            <w:r>
              <w:rPr>
                <w:rFonts w:hint="eastAsia" w:hAnsi="宋体"/>
                <w:color w:val="auto"/>
                <w:sz w:val="21"/>
                <w:szCs w:val="21"/>
                <w:highlight w:val="none"/>
                <w:lang w:val="en-US" w:eastAsia="zh-CN"/>
              </w:rPr>
              <w:t>注：</w:t>
            </w:r>
            <w:r>
              <w:rPr>
                <w:rFonts w:hint="eastAsia" w:ascii="宋体" w:cs="宋体"/>
                <w:color w:val="auto"/>
                <w:sz w:val="21"/>
                <w:szCs w:val="21"/>
                <w:highlight w:val="none"/>
              </w:rPr>
              <w:t>“纳税信用A级纳税人”以国家税务总局网站“纳税信用A级纳税人名单公布栏”查询结果为准（须含最新评审年度），须提交税务机关颁发的证书原件扫描件及国家税务总局网站“纳税信用A级纳税人名单公布栏(http://hd.chinatax.gov.cn/fagui/action/InitCredit.do)”查询结果(查询结果不包括子公司、分公司)的网页截图并加盖投标人电子公章，不符合条件或无提供查询结果网页截图或无提供证书原件扫描件或无加盖投标人电子印章的不计分</w:t>
            </w:r>
            <w:r>
              <w:rPr>
                <w:rFonts w:hint="eastAsia"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4" w:type="dxa"/>
            <w:tcBorders>
              <w:top w:val="single" w:color="auto" w:sz="4" w:space="0"/>
              <w:left w:val="single" w:color="auto" w:sz="4" w:space="0"/>
              <w:right w:val="single" w:color="auto" w:sz="4" w:space="0"/>
            </w:tcBorders>
            <w:noWrap w:val="0"/>
            <w:vAlign w:val="center"/>
          </w:tcPr>
          <w:p>
            <w:pPr>
              <w:widowControl/>
              <w:spacing w:before="100" w:beforeAutospacing="1" w:after="100" w:afterAutospacing="1" w:line="300" w:lineRule="exact"/>
              <w:jc w:val="center"/>
              <w:rPr>
                <w:rFonts w:ascii="宋体" w:hAnsi="宋体" w:cs="宋体"/>
                <w:color w:val="auto"/>
                <w:highlight w:val="none"/>
              </w:rPr>
            </w:pPr>
            <w:r>
              <w:rPr>
                <w:rFonts w:hint="eastAsia" w:ascii="宋体" w:hAnsi="宋体" w:cs="宋体"/>
                <w:color w:val="auto"/>
                <w:highlight w:val="none"/>
              </w:rPr>
              <w:t>项目管理机构能力</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highlight w:val="none"/>
              </w:rPr>
            </w:pPr>
            <w:r>
              <w:rPr>
                <w:rFonts w:hint="eastAsia" w:ascii="宋体" w:hAnsi="宋体" w:cs="宋体"/>
                <w:color w:val="auto"/>
                <w:highlight w:val="none"/>
              </w:rPr>
              <w:t>项目管理机构</w:t>
            </w:r>
          </w:p>
        </w:tc>
        <w:tc>
          <w:tcPr>
            <w:tcW w:w="840" w:type="dxa"/>
            <w:tcBorders>
              <w:top w:val="single" w:color="auto" w:sz="4" w:space="0"/>
              <w:left w:val="single" w:color="auto" w:sz="4" w:space="0"/>
              <w:right w:val="single" w:color="auto" w:sz="4" w:space="0"/>
            </w:tcBorders>
            <w:noWrap w:val="0"/>
            <w:vAlign w:val="center"/>
          </w:tcPr>
          <w:p>
            <w:pPr>
              <w:snapToGrid w:val="0"/>
              <w:spacing w:line="360" w:lineRule="auto"/>
              <w:jc w:val="center"/>
              <w:rPr>
                <w:rStyle w:val="112"/>
                <w:rFonts w:ascii="宋体" w:eastAsia="等线"/>
                <w:color w:val="auto"/>
                <w:szCs w:val="21"/>
                <w:highlight w:val="none"/>
              </w:rPr>
            </w:pPr>
            <w:r>
              <w:rPr>
                <w:rStyle w:val="112"/>
                <w:rFonts w:hint="eastAsia" w:ascii="宋体" w:eastAsia="等线"/>
                <w:color w:val="auto"/>
                <w:szCs w:val="21"/>
                <w:highlight w:val="none"/>
                <w:lang w:val="en-US" w:eastAsia="zh-CN"/>
              </w:rPr>
              <w:t>14</w:t>
            </w:r>
            <w:r>
              <w:rPr>
                <w:rStyle w:val="112"/>
                <w:rFonts w:hint="eastAsia" w:ascii="宋体" w:eastAsia="等线"/>
                <w:color w:val="auto"/>
                <w:szCs w:val="21"/>
                <w:highlight w:val="none"/>
              </w:rPr>
              <w:t>分</w:t>
            </w:r>
          </w:p>
        </w:tc>
        <w:tc>
          <w:tcPr>
            <w:tcW w:w="1225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84" w:leftChars="-40" w:right="-94" w:rightChars="-45"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管理人员数量满足工程实施的要求，且满足招标文件附表《投标人投入主要人员基本要求表》的得基础分4分，不满足《项目团队基本要求表》要求的，得0分。在满足《投标人投入主要人员基本要求表》的基础上：</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（1）技术负责人：被评为</w:t>
            </w:r>
            <w:r>
              <w:rPr>
                <w:rFonts w:hint="eastAsia" w:ascii="宋体" w:hAnsi="宋体" w:cs="宋体"/>
                <w:color w:val="auto"/>
                <w:szCs w:val="21"/>
                <w:highlight w:val="none"/>
                <w:lang w:val="en-US" w:eastAsia="zh-CN"/>
              </w:rPr>
              <w:t>机电工程</w:t>
            </w:r>
            <w:r>
              <w:rPr>
                <w:rFonts w:hint="eastAsia" w:ascii="宋体" w:hAnsi="宋体" w:cs="宋体"/>
                <w:color w:val="auto"/>
                <w:szCs w:val="21"/>
                <w:highlight w:val="none"/>
              </w:rPr>
              <w:t>相关专业高级工程师（或以上）技术职称10年或以上的，加1分。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（2）安全负责人：被评为建筑工程相关专业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级工程师（或以上）技术职称的，加1分。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（3）造价负责人：被评为造价相关专业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级工程师（或以上）技术职称的，加1分。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（4）质量负责人：被评为建筑工程相关专业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级工程师（或以上）技术职称的，加1分。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（5）消防负责人：被评为消防或工程相关专业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级工程师（或以上）技术职称的，加1分。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（6）给排水工程师：被评为给排水专业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级工程师职称或以上，加1分。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暖通</w:t>
            </w:r>
            <w:r>
              <w:rPr>
                <w:rFonts w:hint="eastAsia" w:ascii="宋体" w:hAnsi="宋体" w:cs="宋体"/>
                <w:color w:val="auto"/>
                <w:szCs w:val="21"/>
                <w:highlight w:val="none"/>
              </w:rPr>
              <w:t>工程师：被评为</w:t>
            </w:r>
            <w:r>
              <w:rPr>
                <w:rFonts w:hint="eastAsia" w:ascii="宋体" w:hAnsi="宋体" w:cs="宋体"/>
                <w:color w:val="auto"/>
                <w:szCs w:val="21"/>
                <w:highlight w:val="none"/>
                <w:lang w:val="en-US" w:eastAsia="zh-CN"/>
              </w:rPr>
              <w:t>暖通</w:t>
            </w:r>
            <w:r>
              <w:rPr>
                <w:rFonts w:hint="eastAsia" w:ascii="宋体" w:hAnsi="宋体" w:cs="宋体"/>
                <w:color w:val="auto"/>
                <w:szCs w:val="21"/>
                <w:highlight w:val="none"/>
              </w:rPr>
              <w:t>专业高级工程师职称或以上，加1分。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（8）装修工程师：被评为装修专业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级工程师职称或以上，加1分。</w:t>
            </w:r>
          </w:p>
          <w:p>
            <w:pPr>
              <w:ind w:left="1780" w:leftChars="-40" w:right="-94" w:rightChars="-45" w:hanging="1864" w:hangingChars="888"/>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结构</w:t>
            </w:r>
            <w:r>
              <w:rPr>
                <w:rFonts w:hint="eastAsia" w:ascii="宋体" w:hAnsi="宋体" w:cs="宋体"/>
                <w:color w:val="auto"/>
                <w:szCs w:val="21"/>
                <w:highlight w:val="none"/>
              </w:rPr>
              <w:t>工程师：被评为</w:t>
            </w:r>
            <w:r>
              <w:rPr>
                <w:rFonts w:hint="eastAsia" w:ascii="宋体" w:hAnsi="宋体" w:cs="宋体"/>
                <w:color w:val="auto"/>
                <w:szCs w:val="21"/>
                <w:highlight w:val="none"/>
                <w:lang w:val="en-US" w:eastAsia="zh-CN"/>
              </w:rPr>
              <w:t>结构</w:t>
            </w:r>
            <w:r>
              <w:rPr>
                <w:rFonts w:hint="eastAsia" w:ascii="宋体" w:hAnsi="宋体" w:cs="宋体"/>
                <w:color w:val="auto"/>
                <w:szCs w:val="21"/>
                <w:highlight w:val="none"/>
              </w:rPr>
              <w:t>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级工程师职称或以上，加1分。</w:t>
            </w:r>
          </w:p>
          <w:p>
            <w:pPr>
              <w:ind w:left="1780" w:leftChars="-40" w:right="-94" w:rightChars="-45" w:hanging="1864" w:hangingChars="888"/>
              <w:jc w:val="left"/>
              <w:rPr>
                <w:rFonts w:ascii="宋体" w:hAnsi="宋体"/>
                <w:color w:val="auto"/>
                <w:szCs w:val="21"/>
                <w:highlight w:val="none"/>
              </w:rPr>
            </w:pPr>
            <w:r>
              <w:rPr>
                <w:rFonts w:hint="eastAsia" w:ascii="宋体" w:hAnsi="宋体" w:cs="宋体"/>
                <w:color w:val="auto"/>
                <w:szCs w:val="21"/>
                <w:highlight w:val="none"/>
              </w:rPr>
              <w:t>（10）机电工程师：被评为机电专业</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级工程师职称或以上，加1分。</w:t>
            </w:r>
          </w:p>
          <w:p>
            <w:pPr>
              <w:widowControl/>
              <w:jc w:val="left"/>
              <w:rPr>
                <w:rFonts w:hint="eastAsia" w:ascii="宋体" w:hAnsi="宋体" w:eastAsia="宋体" w:cs="Times New Roman"/>
                <w:color w:val="auto"/>
                <w:kern w:val="2"/>
                <w:sz w:val="21"/>
                <w:szCs w:val="21"/>
                <w:highlight w:val="none"/>
                <w:lang w:val="zh-CN" w:eastAsia="zh-CN" w:bidi="ar-SA"/>
              </w:rPr>
            </w:pPr>
            <w:r>
              <w:rPr>
                <w:rFonts w:hint="eastAsia" w:ascii="宋体" w:hAnsi="宋体"/>
                <w:color w:val="auto"/>
                <w:szCs w:val="21"/>
                <w:highlight w:val="none"/>
              </w:rPr>
              <w:t>注：①所有人员须提供相关证明资料和近一个月（</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月</w:t>
            </w:r>
            <w:r>
              <w:rPr>
                <w:rFonts w:hint="eastAsia" w:ascii="宋体" w:hAnsi="宋体"/>
                <w:color w:val="auto"/>
                <w:szCs w:val="21"/>
                <w:highlight w:val="none"/>
              </w:rPr>
              <w:t>）在投标单位缴纳社保的证明材料扫描件并加盖投标人企业电子印章，</w:t>
            </w:r>
            <w:r>
              <w:rPr>
                <w:rFonts w:hint="eastAsia" w:ascii="宋体" w:hAnsi="宋体"/>
                <w:b w:val="0"/>
                <w:bCs w:val="0"/>
                <w:color w:val="auto"/>
                <w:szCs w:val="21"/>
                <w:highlight w:val="none"/>
              </w:rPr>
              <w:t>本项目社保</w:t>
            </w:r>
            <w:r>
              <w:rPr>
                <w:rFonts w:hint="eastAsia" w:ascii="宋体" w:hAnsi="宋体" w:cs="宋体"/>
                <w:b w:val="0"/>
                <w:bCs w:val="0"/>
                <w:color w:val="auto"/>
                <w:kern w:val="0"/>
                <w:szCs w:val="21"/>
                <w:highlight w:val="none"/>
              </w:rPr>
              <w:t>缴纳</w:t>
            </w:r>
            <w:r>
              <w:rPr>
                <w:rFonts w:hint="eastAsia" w:ascii="宋体" w:hAnsi="宋体"/>
                <w:b w:val="0"/>
                <w:bCs w:val="0"/>
                <w:color w:val="auto"/>
                <w:szCs w:val="21"/>
                <w:highlight w:val="none"/>
              </w:rPr>
              <w:t>期限包含疫情期的，若当地政府部门允许企业在疫情期间缓缴社会保险费且投标人未缴纳的，投标人可提供当地政府部门允许缓缴社保的相关文件作为缴纳社保的证明。未提供或所提供的证明资料不符合要求的，则该评分节点不予评审</w:t>
            </w:r>
            <w:r>
              <w:rPr>
                <w:rFonts w:hint="eastAsia" w:ascii="宋体" w:hAnsi="宋体"/>
                <w:color w:val="auto"/>
                <w:szCs w:val="21"/>
                <w:highlight w:val="none"/>
              </w:rPr>
              <w:t>。②</w:t>
            </w:r>
            <w:r>
              <w:rPr>
                <w:rFonts w:hint="eastAsia" w:ascii="宋体" w:hAnsi="宋体" w:cs="宋体"/>
                <w:b w:val="0"/>
                <w:bCs w:val="0"/>
                <w:color w:val="auto"/>
                <w:kern w:val="0"/>
                <w:szCs w:val="21"/>
                <w:highlight w:val="none"/>
              </w:rPr>
              <w:t>取得职称证的年限以发证时间开始计算(如证书未体现发证时间的，以评审时间开始计算)；高级职称证书以地市级(或以上)人社部门核发为准，若非人社部门核发的职称证书，投标人须同时提供地市级(或以上)人社部门委托核发机构开展职称评审工作的证明文件或其他可由该机构核发的政策文件依据，或在人社部门专业技术人才职称管理系统登记的信息记录网页及截图，否则，对该职称证书不予认可；取得职称证的年限以发证时间开始计算(如证书未体现发证时间的，以评审通过时间开始计算)。造价工程师执业资格年限以注册证书的初始注册日期开始计算</w:t>
            </w:r>
            <w:r>
              <w:rPr>
                <w:rFonts w:hint="eastAsia" w:ascii="宋体" w:hAnsi="宋体" w:cs="宋体"/>
                <w:bCs/>
                <w:color w:val="auto"/>
                <w:kern w:val="0"/>
                <w:szCs w:val="21"/>
                <w:highlight w:val="none"/>
              </w:rPr>
              <w:t>。</w:t>
            </w:r>
            <w:r>
              <w:rPr>
                <w:rFonts w:hint="eastAsia" w:ascii="宋体" w:hAnsi="宋体"/>
                <w:color w:val="auto"/>
                <w:szCs w:val="21"/>
                <w:highlight w:val="none"/>
              </w:rPr>
              <w:t>③联合体投标的，拟投入本工程项目管理机构人员（除了项目负责人、技术负责人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安全员</w:t>
            </w:r>
            <w:r>
              <w:rPr>
                <w:rFonts w:hint="eastAsia" w:ascii="宋体" w:hAnsi="宋体"/>
                <w:color w:val="auto"/>
                <w:szCs w:val="21"/>
                <w:highlight w:val="none"/>
              </w:rPr>
              <w:t>由主办方提供外）、主要机械设备可以由联合体各方合并提供，项目管理机构人员不得兼任</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122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auto"/>
                <w:szCs w:val="21"/>
                <w:highlight w:val="none"/>
              </w:rPr>
            </w:pPr>
          </w:p>
        </w:tc>
      </w:tr>
    </w:tbl>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备注：本表按百分制评分，所有评委总分汇总后的算术平均值为投标人的最终得分。分数出现小数点，保留小数点后二位小数，第三位小数四舍五入。</w:t>
      </w:r>
    </w:p>
    <w:p>
      <w:pPr>
        <w:spacing w:line="300" w:lineRule="exact"/>
        <w:rPr>
          <w:rFonts w:ascii="宋体" w:hAnsi="宋体" w:cs="宋体"/>
          <w:b/>
          <w:bCs/>
          <w:color w:val="auto"/>
          <w:kern w:val="0"/>
          <w:szCs w:val="21"/>
          <w:highlight w:val="none"/>
        </w:rPr>
      </w:pPr>
    </w:p>
    <w:p>
      <w:pPr>
        <w:spacing w:line="300" w:lineRule="exact"/>
        <w:rPr>
          <w:rFonts w:ascii="宋体" w:hAnsi="宋体" w:cs="宋体"/>
          <w:b/>
          <w:bCs/>
          <w:color w:val="auto"/>
          <w:szCs w:val="21"/>
          <w:highlight w:val="none"/>
        </w:rPr>
      </w:pPr>
      <w:r>
        <w:rPr>
          <w:rFonts w:hint="eastAsia" w:ascii="宋体" w:hAnsi="宋体" w:cs="宋体"/>
          <w:b/>
          <w:bCs/>
          <w:color w:val="auto"/>
          <w:kern w:val="0"/>
          <w:szCs w:val="21"/>
          <w:highlight w:val="none"/>
        </w:rPr>
        <w:t>评委签名：</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日期：     年   月   日</w:t>
      </w:r>
    </w:p>
    <w:p>
      <w:pPr>
        <w:rPr>
          <w:rFonts w:hint="eastAsia" w:ascii="宋体" w:hAnsi="宋体" w:cs="宋体"/>
          <w:color w:val="auto"/>
          <w:szCs w:val="21"/>
          <w:highlight w:val="none"/>
        </w:rPr>
      </w:pPr>
    </w:p>
    <w:p>
      <w:pPr>
        <w:rPr>
          <w:color w:val="auto"/>
          <w:highlight w:val="none"/>
        </w:rPr>
      </w:pPr>
    </w:p>
    <w:p>
      <w:pPr>
        <w:rPr>
          <w:color w:val="auto"/>
          <w:highlight w:val="none"/>
        </w:rPr>
      </w:pPr>
    </w:p>
    <w:p>
      <w:pPr>
        <w:rPr>
          <w:rFonts w:hint="eastAsia"/>
          <w:color w:val="auto"/>
          <w:szCs w:val="21"/>
          <w:highlight w:val="none"/>
        </w:rPr>
      </w:pPr>
      <w:r>
        <w:rPr>
          <w:rFonts w:hint="eastAsia"/>
          <w:color w:val="auto"/>
          <w:szCs w:val="21"/>
          <w:highlight w:val="none"/>
        </w:rPr>
        <w:br w:type="page"/>
      </w:r>
    </w:p>
    <w:p>
      <w:pPr>
        <w:rPr>
          <w:rFonts w:hint="eastAsia"/>
          <w:color w:val="auto"/>
          <w:highlight w:val="none"/>
        </w:rPr>
      </w:pPr>
      <w:r>
        <w:rPr>
          <w:rFonts w:hint="eastAsia" w:ascii="宋体" w:hAnsi="宋体" w:cs="宋体"/>
          <w:color w:val="auto"/>
          <w:szCs w:val="21"/>
          <w:highlight w:val="none"/>
        </w:rPr>
        <w:t>附表四附件</w:t>
      </w:r>
    </w:p>
    <w:p>
      <w:pPr>
        <w:pStyle w:val="113"/>
        <w:spacing w:line="240" w:lineRule="auto"/>
        <w:ind w:firstLine="616"/>
        <w:rPr>
          <w:b w:val="0"/>
          <w:color w:val="auto"/>
          <w:highlight w:val="none"/>
        </w:rPr>
      </w:pPr>
      <w:r>
        <w:rPr>
          <w:rFonts w:hint="eastAsia" w:ascii="宋体" w:hAnsi="宋体" w:eastAsia="宋体" w:cs="宋体"/>
          <w:bCs/>
          <w:color w:val="auto"/>
          <w:highlight w:val="none"/>
        </w:rPr>
        <w:t>主要人员配备基本要求表</w:t>
      </w:r>
    </w:p>
    <w:tbl>
      <w:tblPr>
        <w:tblStyle w:val="34"/>
        <w:tblW w:w="14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25"/>
        <w:gridCol w:w="7728"/>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58" w:type="dxa"/>
            <w:noWrap w:val="0"/>
            <w:vAlign w:val="center"/>
          </w:tcPr>
          <w:p>
            <w:pPr>
              <w:widowControl/>
              <w:ind w:left="-65" w:leftChars="-31" w:right="-46" w:rightChars="-22"/>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项目管理团队</w:t>
            </w:r>
          </w:p>
        </w:tc>
        <w:tc>
          <w:tcPr>
            <w:tcW w:w="525" w:type="dxa"/>
            <w:noWrap w:val="0"/>
            <w:vAlign w:val="center"/>
          </w:tcPr>
          <w:p>
            <w:pPr>
              <w:widowControl/>
              <w:ind w:left="-65" w:leftChars="-31" w:right="-46" w:rightChars="-22"/>
              <w:jc w:val="center"/>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数量</w:t>
            </w:r>
          </w:p>
        </w:tc>
        <w:tc>
          <w:tcPr>
            <w:tcW w:w="7728" w:type="dxa"/>
            <w:noWrap w:val="0"/>
            <w:vAlign w:val="center"/>
          </w:tcPr>
          <w:p>
            <w:pPr>
              <w:widowControl/>
              <w:ind w:left="-65" w:leftChars="-31" w:right="-46" w:rightChars="-22"/>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基本要求</w:t>
            </w:r>
          </w:p>
        </w:tc>
        <w:tc>
          <w:tcPr>
            <w:tcW w:w="5475" w:type="dxa"/>
            <w:noWrap w:val="0"/>
            <w:vAlign w:val="center"/>
          </w:tcPr>
          <w:p>
            <w:pPr>
              <w:widowControl/>
              <w:ind w:left="-65" w:leftChars="-31" w:right="-46" w:rightChars="-22"/>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dxa"/>
            <w:noWrap w:val="0"/>
            <w:vAlign w:val="center"/>
          </w:tcPr>
          <w:p>
            <w:pPr>
              <w:jc w:val="center"/>
              <w:rPr>
                <w:rFonts w:ascii="宋体" w:hAnsi="宋体"/>
                <w:color w:val="auto"/>
                <w:szCs w:val="21"/>
                <w:highlight w:val="none"/>
              </w:rPr>
            </w:pPr>
            <w:r>
              <w:rPr>
                <w:rFonts w:hint="eastAsia" w:ascii="宋体" w:hAnsi="宋体" w:cs="宋体"/>
                <w:color w:val="auto"/>
                <w:sz w:val="18"/>
                <w:szCs w:val="18"/>
                <w:highlight w:val="none"/>
              </w:rPr>
              <w:t>项目负责人</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按招标公告要求</w:t>
            </w:r>
          </w:p>
        </w:tc>
        <w:tc>
          <w:tcPr>
            <w:tcW w:w="5475"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8" w:type="dxa"/>
            <w:noWrap w:val="0"/>
            <w:vAlign w:val="center"/>
          </w:tcPr>
          <w:p>
            <w:pPr>
              <w:widowControl/>
              <w:snapToGrid w:val="0"/>
              <w:spacing w:before="24" w:beforeLines="8" w:after="24" w:afterLines="8"/>
              <w:ind w:left="-53" w:leftChars="-25" w:right="-53" w:rightChars="-25"/>
              <w:jc w:val="center"/>
              <w:rPr>
                <w:rFonts w:hint="eastAsia" w:ascii="宋体" w:hAnsi="宋体"/>
                <w:color w:val="auto"/>
                <w:szCs w:val="21"/>
                <w:highlight w:val="none"/>
              </w:rPr>
            </w:pPr>
            <w:r>
              <w:rPr>
                <w:rFonts w:hint="eastAsia" w:ascii="宋体" w:hAnsi="宋体" w:cs="宋体"/>
                <w:color w:val="auto"/>
                <w:sz w:val="18"/>
                <w:szCs w:val="18"/>
                <w:highlight w:val="none"/>
              </w:rPr>
              <w:t>专职安全员</w:t>
            </w:r>
          </w:p>
        </w:tc>
        <w:tc>
          <w:tcPr>
            <w:tcW w:w="525" w:type="dxa"/>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按招标公告要求</w:t>
            </w:r>
          </w:p>
        </w:tc>
        <w:tc>
          <w:tcPr>
            <w:tcW w:w="5475"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dxa"/>
            <w:noWrap w:val="0"/>
            <w:vAlign w:val="center"/>
          </w:tcPr>
          <w:p>
            <w:pPr>
              <w:jc w:val="center"/>
              <w:rPr>
                <w:rFonts w:ascii="宋体" w:hAnsi="宋体"/>
                <w:color w:val="auto"/>
                <w:szCs w:val="21"/>
                <w:highlight w:val="none"/>
              </w:rPr>
            </w:pPr>
            <w:r>
              <w:rPr>
                <w:rFonts w:hint="eastAsia" w:ascii="宋体" w:hAnsi="宋体" w:cs="宋体"/>
                <w:color w:val="auto"/>
                <w:sz w:val="18"/>
                <w:szCs w:val="18"/>
                <w:highlight w:val="none"/>
              </w:rPr>
              <w:t>技术负责人</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按招标公告要求</w:t>
            </w:r>
          </w:p>
        </w:tc>
        <w:tc>
          <w:tcPr>
            <w:tcW w:w="5475"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dxa"/>
            <w:noWrap w:val="0"/>
            <w:vAlign w:val="center"/>
          </w:tcPr>
          <w:p>
            <w:pPr>
              <w:widowControl/>
              <w:snapToGrid w:val="0"/>
              <w:spacing w:before="24" w:beforeLines="8" w:after="24" w:afterLines="8"/>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rPr>
              <w:t>质量负责人</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具有建筑装饰施工类专业工程师或以上职称</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258" w:type="dxa"/>
            <w:noWrap w:val="0"/>
            <w:vAlign w:val="center"/>
          </w:tcPr>
          <w:p>
            <w:pPr>
              <w:widowControl/>
              <w:snapToGrid w:val="0"/>
              <w:spacing w:before="24" w:beforeLines="8" w:after="24" w:afterLines="8"/>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rPr>
              <w:t>安全负责人</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hint="eastAsia" w:ascii="宋体" w:hAnsi="宋体"/>
                <w:color w:val="auto"/>
                <w:szCs w:val="21"/>
                <w:highlight w:val="none"/>
              </w:rPr>
            </w:pPr>
            <w:r>
              <w:rPr>
                <w:rFonts w:hint="eastAsia" w:ascii="宋体" w:hAnsi="宋体" w:cs="宋体"/>
                <w:color w:val="auto"/>
                <w:sz w:val="18"/>
                <w:szCs w:val="18"/>
                <w:highlight w:val="none"/>
              </w:rPr>
              <w:t>具有有效期内的建筑施工安全专业注册安全工程师执业资格</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提供注册安全工程师注册证书、“注册安全工程师注册管理系统（http://rmocse.chinasafety.ac.cn）”查询结果截图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8" w:type="dxa"/>
            <w:noWrap w:val="0"/>
            <w:vAlign w:val="center"/>
          </w:tcPr>
          <w:p>
            <w:pPr>
              <w:widowControl/>
              <w:snapToGrid w:val="0"/>
              <w:spacing w:before="24" w:beforeLines="8" w:after="24" w:afterLines="8"/>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rPr>
              <w:t>造价负责人</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hint="eastAsia" w:ascii="宋体" w:hAnsi="宋体"/>
                <w:color w:val="auto"/>
                <w:szCs w:val="21"/>
                <w:highlight w:val="none"/>
              </w:rPr>
            </w:pPr>
            <w:r>
              <w:rPr>
                <w:rFonts w:hint="eastAsia" w:ascii="宋体" w:hAnsi="宋体" w:cs="宋体"/>
                <w:color w:val="auto"/>
                <w:sz w:val="18"/>
                <w:szCs w:val="18"/>
                <w:highlight w:val="none"/>
              </w:rPr>
              <w:t>具有有效期内的一级注册造价工程师注册证书</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提供注册造价工程师注册证书、“全国建筑市场监管公共服务平台（http://jzsc.mohurd.gov.cn）”查询结果截图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8" w:type="dxa"/>
            <w:noWrap w:val="0"/>
            <w:vAlign w:val="center"/>
          </w:tcPr>
          <w:p>
            <w:pPr>
              <w:widowControl/>
              <w:snapToGrid w:val="0"/>
              <w:spacing w:before="24" w:beforeLines="8" w:after="24" w:afterLines="8"/>
              <w:ind w:left="-53" w:leftChars="-25" w:right="-53" w:rightChars="-25"/>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消防负责人</w:t>
            </w:r>
          </w:p>
        </w:tc>
        <w:tc>
          <w:tcPr>
            <w:tcW w:w="525" w:type="dxa"/>
            <w:noWrap w:val="0"/>
            <w:vAlign w:val="center"/>
          </w:tcPr>
          <w:p>
            <w:pPr>
              <w:widowControl/>
              <w:snapToGrid w:val="0"/>
              <w:spacing w:before="24" w:beforeLines="8" w:after="24" w:afterLines="8"/>
              <w:ind w:left="-53" w:leftChars="-25" w:right="-53" w:rightChars="-25"/>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28" w:type="dxa"/>
            <w:noWrap w:val="0"/>
            <w:vAlign w:val="center"/>
          </w:tcPr>
          <w:p>
            <w:pPr>
              <w:widowControl/>
              <w:snapToGrid w:val="0"/>
              <w:spacing w:before="24" w:beforeLines="8" w:after="24" w:afterLines="8"/>
              <w:ind w:left="-53" w:leftChars="-25" w:right="-53" w:rightChars="-25"/>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一级</w:t>
            </w:r>
            <w:r>
              <w:rPr>
                <w:rFonts w:hint="eastAsia" w:ascii="宋体" w:hAnsi="宋体" w:eastAsia="宋体" w:cs="宋体"/>
                <w:color w:val="auto"/>
                <w:sz w:val="18"/>
                <w:szCs w:val="18"/>
                <w:highlight w:val="none"/>
              </w:rPr>
              <w:t>注册消防工程师执业资格(须在有效期内)</w:t>
            </w:r>
          </w:p>
        </w:tc>
        <w:tc>
          <w:tcPr>
            <w:tcW w:w="5475" w:type="dxa"/>
            <w:noWrap w:val="0"/>
            <w:vAlign w:val="center"/>
          </w:tcPr>
          <w:p>
            <w:pPr>
              <w:widowControl/>
              <w:snapToGrid w:val="0"/>
              <w:spacing w:before="24" w:beforeLines="8" w:after="24" w:afterLines="8"/>
              <w:ind w:left="-53" w:leftChars="-25" w:right="-53" w:rightChars="-25"/>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注册</w:t>
            </w:r>
            <w:r>
              <w:rPr>
                <w:rFonts w:hint="eastAsia" w:ascii="宋体" w:hAnsi="宋体" w:eastAsia="宋体" w:cs="宋体"/>
                <w:color w:val="auto"/>
                <w:sz w:val="18"/>
                <w:szCs w:val="18"/>
                <w:highlight w:val="none"/>
                <w:lang w:eastAsia="zh-CN"/>
              </w:rPr>
              <w:t>消防</w:t>
            </w:r>
            <w:r>
              <w:rPr>
                <w:rFonts w:hint="eastAsia" w:ascii="宋体" w:hAnsi="宋体" w:eastAsia="宋体" w:cs="宋体"/>
                <w:color w:val="auto"/>
                <w:sz w:val="18"/>
                <w:szCs w:val="18"/>
                <w:highlight w:val="none"/>
              </w:rPr>
              <w:t>工程师注册证书、注册消防工程师</w:t>
            </w:r>
            <w:r>
              <w:rPr>
                <w:rFonts w:hint="eastAsia" w:ascii="宋体" w:hAnsi="宋体" w:eastAsia="宋体" w:cs="宋体"/>
                <w:color w:val="auto"/>
                <w:sz w:val="18"/>
                <w:szCs w:val="18"/>
                <w:highlight w:val="none"/>
                <w:lang w:eastAsia="zh-CN"/>
              </w:rPr>
              <w:t>在</w:t>
            </w:r>
            <w:r>
              <w:rPr>
                <w:rFonts w:hint="eastAsia" w:ascii="宋体" w:hAnsi="宋体" w:eastAsia="宋体" w:cs="宋体"/>
                <w:color w:val="auto"/>
                <w:sz w:val="18"/>
                <w:szCs w:val="18"/>
                <w:highlight w:val="none"/>
              </w:rPr>
              <w:t>社会消防技术服务信息系统查询网页截图（查询网址：https://shhxf.119.gov.cn）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8" w:type="dxa"/>
            <w:noWrap w:val="0"/>
            <w:vAlign w:val="center"/>
          </w:tcPr>
          <w:p>
            <w:pPr>
              <w:widowControl/>
              <w:snapToGrid w:val="0"/>
              <w:spacing w:before="24" w:beforeLines="8" w:after="24" w:afterLines="8"/>
              <w:ind w:left="-53" w:leftChars="-25" w:right="-53" w:rightChars="-25"/>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装修工程师</w:t>
            </w:r>
          </w:p>
        </w:tc>
        <w:tc>
          <w:tcPr>
            <w:tcW w:w="525" w:type="dxa"/>
            <w:noWrap w:val="0"/>
            <w:vAlign w:val="center"/>
          </w:tcPr>
          <w:p>
            <w:pPr>
              <w:jc w:val="center"/>
              <w:rPr>
                <w:rFonts w:hint="eastAsia" w:ascii="宋体" w:hAnsi="宋体" w:eastAsia="宋体" w:cs="宋体"/>
                <w:bCs/>
                <w:color w:val="auto"/>
                <w:kern w:val="44"/>
                <w:sz w:val="18"/>
                <w:szCs w:val="18"/>
                <w:highlight w:val="none"/>
                <w:lang w:eastAsia="zh-CN"/>
              </w:rPr>
            </w:pPr>
            <w:r>
              <w:rPr>
                <w:rFonts w:hint="eastAsia" w:ascii="宋体" w:hAnsi="宋体" w:cs="宋体"/>
                <w:bCs/>
                <w:color w:val="auto"/>
                <w:kern w:val="44"/>
                <w:sz w:val="18"/>
                <w:szCs w:val="18"/>
                <w:highlight w:val="none"/>
                <w:lang w:val="en-US" w:eastAsia="zh-CN"/>
              </w:rPr>
              <w:t>1</w:t>
            </w:r>
          </w:p>
        </w:tc>
        <w:tc>
          <w:tcPr>
            <w:tcW w:w="7728"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具有建筑装饰施工类专业工程师或以上职称</w:t>
            </w:r>
          </w:p>
        </w:tc>
        <w:tc>
          <w:tcPr>
            <w:tcW w:w="5475" w:type="dxa"/>
            <w:noWrap w:val="0"/>
            <w:vAlign w:val="center"/>
          </w:tcPr>
          <w:p>
            <w:pPr>
              <w:widowControl/>
              <w:snapToGrid w:val="0"/>
              <w:spacing w:before="24" w:beforeLines="8" w:after="24" w:afterLines="8"/>
              <w:ind w:left="-48" w:leftChars="-23"/>
              <w:rPr>
                <w:rFonts w:hint="eastAsia" w:ascii="宋体" w:hAnsi="宋体" w:cs="宋体"/>
                <w:color w:val="auto"/>
                <w:sz w:val="18"/>
                <w:szCs w:val="18"/>
                <w:highlight w:val="none"/>
              </w:rPr>
            </w:pPr>
            <w:r>
              <w:rPr>
                <w:rFonts w:hint="eastAsia" w:ascii="宋体" w:hAnsi="宋体" w:cs="宋体"/>
                <w:color w:val="auto"/>
                <w:sz w:val="18"/>
                <w:szCs w:val="18"/>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8" w:type="dxa"/>
            <w:noWrap w:val="0"/>
            <w:vAlign w:val="center"/>
          </w:tcPr>
          <w:p>
            <w:pPr>
              <w:widowControl/>
              <w:snapToGrid w:val="0"/>
              <w:spacing w:before="24" w:beforeLines="8" w:after="24" w:afterLines="8"/>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rPr>
              <w:t>给排水工程师</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具有给水排水类专业工程师或以上职称</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58" w:type="dxa"/>
            <w:noWrap w:val="0"/>
            <w:vAlign w:val="center"/>
          </w:tcPr>
          <w:p>
            <w:pPr>
              <w:widowControl/>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rPr>
              <w:t>机电工程师</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ind w:left="-48" w:leftChars="-23"/>
              <w:rPr>
                <w:rFonts w:ascii="宋体" w:hAnsi="宋体"/>
                <w:color w:val="auto"/>
                <w:szCs w:val="21"/>
                <w:highlight w:val="none"/>
              </w:rPr>
            </w:pPr>
            <w:r>
              <w:rPr>
                <w:rFonts w:hint="eastAsia" w:ascii="宋体" w:hAnsi="宋体" w:cs="宋体"/>
                <w:color w:val="auto"/>
                <w:sz w:val="18"/>
                <w:szCs w:val="18"/>
                <w:highlight w:val="none"/>
              </w:rPr>
              <w:t>具有机电类专业工程师或以上职称</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dxa"/>
            <w:noWrap w:val="0"/>
            <w:vAlign w:val="center"/>
          </w:tcPr>
          <w:p>
            <w:pPr>
              <w:widowControl/>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lang w:val="en-US" w:eastAsia="zh-CN"/>
              </w:rPr>
              <w:t>暖通</w:t>
            </w:r>
            <w:r>
              <w:rPr>
                <w:rFonts w:hint="eastAsia" w:ascii="宋体" w:hAnsi="宋体" w:cs="宋体"/>
                <w:color w:val="auto"/>
                <w:sz w:val="18"/>
                <w:szCs w:val="18"/>
                <w:highlight w:val="none"/>
              </w:rPr>
              <w:t>工程师</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ind w:left="-48" w:leftChars="-23"/>
              <w:rPr>
                <w:color w:val="auto"/>
                <w:highlight w:val="none"/>
              </w:rPr>
            </w:pPr>
            <w:r>
              <w:rPr>
                <w:rFonts w:hint="eastAsia" w:ascii="宋体" w:hAnsi="宋体" w:cs="宋体"/>
                <w:color w:val="auto"/>
                <w:sz w:val="18"/>
                <w:szCs w:val="18"/>
                <w:highlight w:val="none"/>
              </w:rPr>
              <w:t>具有</w:t>
            </w:r>
            <w:r>
              <w:rPr>
                <w:rFonts w:hint="eastAsia" w:ascii="宋体" w:hAnsi="宋体" w:cs="宋体"/>
                <w:color w:val="auto"/>
                <w:sz w:val="18"/>
                <w:szCs w:val="18"/>
                <w:highlight w:val="none"/>
                <w:lang w:val="en-US" w:eastAsia="zh-CN"/>
              </w:rPr>
              <w:t>暖通</w:t>
            </w:r>
            <w:r>
              <w:rPr>
                <w:rFonts w:hint="eastAsia" w:ascii="宋体" w:hAnsi="宋体" w:cs="宋体"/>
                <w:color w:val="auto"/>
                <w:sz w:val="18"/>
                <w:szCs w:val="18"/>
                <w:highlight w:val="none"/>
              </w:rPr>
              <w:t>类专业工程师或以上职称</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8" w:type="dxa"/>
            <w:noWrap w:val="0"/>
            <w:vAlign w:val="center"/>
          </w:tcPr>
          <w:p>
            <w:pPr>
              <w:widowControl/>
              <w:ind w:left="-53" w:leftChars="-25" w:right="-53" w:rightChars="-25"/>
              <w:jc w:val="center"/>
              <w:rPr>
                <w:rFonts w:ascii="宋体" w:hAnsi="宋体"/>
                <w:color w:val="auto"/>
                <w:szCs w:val="21"/>
                <w:highlight w:val="none"/>
              </w:rPr>
            </w:pPr>
            <w:r>
              <w:rPr>
                <w:rFonts w:hint="eastAsia" w:ascii="宋体" w:hAnsi="宋体" w:cs="宋体"/>
                <w:color w:val="auto"/>
                <w:sz w:val="18"/>
                <w:szCs w:val="18"/>
                <w:highlight w:val="none"/>
                <w:lang w:val="en-US" w:eastAsia="zh-CN"/>
              </w:rPr>
              <w:t>结构</w:t>
            </w:r>
            <w:r>
              <w:rPr>
                <w:rFonts w:hint="eastAsia" w:ascii="宋体" w:hAnsi="宋体" w:cs="宋体"/>
                <w:color w:val="auto"/>
                <w:sz w:val="18"/>
                <w:szCs w:val="18"/>
                <w:highlight w:val="none"/>
              </w:rPr>
              <w:t>工程师</w:t>
            </w:r>
          </w:p>
        </w:tc>
        <w:tc>
          <w:tcPr>
            <w:tcW w:w="525" w:type="dxa"/>
            <w:noWrap w:val="0"/>
            <w:vAlign w:val="center"/>
          </w:tcPr>
          <w:p>
            <w:pPr>
              <w:jc w:val="center"/>
              <w:rPr>
                <w:rFonts w:ascii="宋体" w:hAnsi="宋体" w:cs="宋体"/>
                <w:color w:val="auto"/>
                <w:kern w:val="0"/>
                <w:szCs w:val="21"/>
                <w:highlight w:val="none"/>
              </w:rPr>
            </w:pPr>
            <w:r>
              <w:rPr>
                <w:rFonts w:hint="eastAsia" w:ascii="宋体" w:hAnsi="宋体" w:cs="宋体"/>
                <w:color w:val="auto"/>
                <w:sz w:val="18"/>
                <w:szCs w:val="18"/>
                <w:highlight w:val="none"/>
              </w:rPr>
              <w:t>1</w:t>
            </w:r>
          </w:p>
        </w:tc>
        <w:tc>
          <w:tcPr>
            <w:tcW w:w="7728"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lang w:val="en-US" w:eastAsia="zh-CN"/>
              </w:rPr>
              <w:t>结构</w:t>
            </w:r>
            <w:r>
              <w:rPr>
                <w:rFonts w:hint="eastAsia" w:ascii="宋体" w:hAnsi="宋体" w:cs="宋体"/>
                <w:color w:val="auto"/>
                <w:sz w:val="18"/>
                <w:szCs w:val="18"/>
                <w:highlight w:val="none"/>
              </w:rPr>
              <w:t>类专业工程师或以上职称</w:t>
            </w:r>
          </w:p>
        </w:tc>
        <w:tc>
          <w:tcPr>
            <w:tcW w:w="5475" w:type="dxa"/>
            <w:noWrap w:val="0"/>
            <w:vAlign w:val="center"/>
          </w:tcPr>
          <w:p>
            <w:pPr>
              <w:widowControl/>
              <w:snapToGrid w:val="0"/>
              <w:spacing w:before="24" w:beforeLines="8" w:after="24" w:afterLines="8"/>
              <w:ind w:left="-48" w:leftChars="-23"/>
              <w:rPr>
                <w:rFonts w:ascii="宋体" w:hAnsi="宋体"/>
                <w:color w:val="auto"/>
                <w:szCs w:val="21"/>
                <w:highlight w:val="none"/>
              </w:rPr>
            </w:pPr>
            <w:r>
              <w:rPr>
                <w:rFonts w:hint="eastAsia" w:ascii="宋体" w:hAnsi="宋体" w:cs="宋体"/>
                <w:color w:val="auto"/>
                <w:sz w:val="18"/>
                <w:szCs w:val="18"/>
                <w:highlight w:val="none"/>
              </w:rPr>
              <w:t>提供职称证书</w:t>
            </w:r>
          </w:p>
        </w:tc>
      </w:tr>
    </w:tbl>
    <w:p>
      <w:pPr>
        <w:ind w:firstLine="360" w:firstLineChars="200"/>
        <w:rPr>
          <w:rFonts w:hint="eastAsia" w:ascii="宋体" w:hAnsi="宋体"/>
          <w:color w:val="auto"/>
          <w:sz w:val="24"/>
          <w:szCs w:val="24"/>
          <w:highlight w:val="none"/>
          <w:u w:val="single"/>
        </w:rPr>
      </w:pPr>
      <w:r>
        <w:rPr>
          <w:rFonts w:hint="eastAsia"/>
          <w:color w:val="auto"/>
          <w:sz w:val="18"/>
          <w:szCs w:val="18"/>
          <w:highlight w:val="none"/>
        </w:rPr>
        <w:t>注：</w:t>
      </w:r>
      <w:r>
        <w:rPr>
          <w:rFonts w:hint="eastAsia" w:ascii="宋体" w:hAnsi="宋体" w:cs="宋体"/>
          <w:bCs/>
          <w:color w:val="auto"/>
          <w:kern w:val="0"/>
          <w:sz w:val="18"/>
          <w:szCs w:val="18"/>
          <w:highlight w:val="none"/>
        </w:rPr>
        <w:t>①所有人员(不含投标人的子公司或母公司人员)须提供相关证明资料和近一个月（202</w:t>
      </w:r>
      <w:r>
        <w:rPr>
          <w:rFonts w:ascii="宋体" w:hAnsi="宋体" w:cs="宋体"/>
          <w:bCs/>
          <w:color w:val="auto"/>
          <w:kern w:val="0"/>
          <w:sz w:val="18"/>
          <w:szCs w:val="18"/>
          <w:highlight w:val="none"/>
        </w:rPr>
        <w:t>3</w:t>
      </w:r>
      <w:r>
        <w:rPr>
          <w:rFonts w:hint="eastAsia" w:ascii="宋体" w:hAnsi="宋体" w:cs="宋体"/>
          <w:bCs/>
          <w:color w:val="auto"/>
          <w:kern w:val="0"/>
          <w:sz w:val="18"/>
          <w:szCs w:val="18"/>
          <w:highlight w:val="none"/>
        </w:rPr>
        <w:t>年</w:t>
      </w:r>
      <w:r>
        <w:rPr>
          <w:rFonts w:hint="eastAsia" w:ascii="宋体" w:hAnsi="宋体" w:cs="宋体"/>
          <w:bCs/>
          <w:color w:val="auto"/>
          <w:kern w:val="0"/>
          <w:sz w:val="18"/>
          <w:szCs w:val="18"/>
          <w:highlight w:val="none"/>
          <w:lang w:val="en-US" w:eastAsia="zh-CN"/>
        </w:rPr>
        <w:t>4</w:t>
      </w:r>
      <w:r>
        <w:rPr>
          <w:rFonts w:hint="eastAsia" w:ascii="宋体" w:hAnsi="宋体" w:cs="宋体"/>
          <w:bCs/>
          <w:color w:val="auto"/>
          <w:kern w:val="0"/>
          <w:sz w:val="18"/>
          <w:szCs w:val="18"/>
          <w:highlight w:val="none"/>
        </w:rPr>
        <w:t>月）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未提供或所提供的证明资料不符合要求的，则该评分节点不予评审。②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w:t>
      </w:r>
      <w:r>
        <w:rPr>
          <w:rFonts w:hint="eastAsia" w:ascii="宋体" w:hAnsi="宋体"/>
          <w:color w:val="auto"/>
          <w:sz w:val="18"/>
          <w:szCs w:val="18"/>
          <w:highlight w:val="none"/>
        </w:rPr>
        <w:t>注册安全工程师专业以注册证书中的注册类别为准；</w:t>
      </w:r>
      <w:r>
        <w:rPr>
          <w:rFonts w:hint="eastAsia" w:ascii="宋体" w:hAnsi="宋体" w:cs="宋体"/>
          <w:bCs/>
          <w:color w:val="auto"/>
          <w:kern w:val="0"/>
          <w:sz w:val="18"/>
          <w:szCs w:val="18"/>
          <w:highlight w:val="none"/>
        </w:rPr>
        <w:t>注册造价工程师专业以全国建筑市场监管公共服务平台（</w:t>
      </w:r>
      <w:r>
        <w:rPr>
          <w:rFonts w:hint="eastAsia" w:ascii="宋体" w:hAnsi="宋体" w:cs="宋体"/>
          <w:color w:val="auto"/>
          <w:sz w:val="18"/>
          <w:szCs w:val="18"/>
          <w:highlight w:val="none"/>
        </w:rPr>
        <w:t>http://jzsc.mohurd.gov.cn</w:t>
      </w:r>
      <w:r>
        <w:rPr>
          <w:rFonts w:hint="eastAsia" w:ascii="宋体" w:hAnsi="宋体" w:cs="宋体"/>
          <w:bCs/>
          <w:color w:val="auto"/>
          <w:kern w:val="0"/>
          <w:sz w:val="18"/>
          <w:szCs w:val="18"/>
          <w:highlight w:val="none"/>
        </w:rPr>
        <w:t>）</w:t>
      </w:r>
      <w:r>
        <w:rPr>
          <w:rFonts w:hint="eastAsia" w:ascii="宋体" w:hAnsi="宋体" w:cs="宋体"/>
          <w:color w:val="auto"/>
          <w:sz w:val="18"/>
          <w:szCs w:val="18"/>
          <w:highlight w:val="none"/>
        </w:rPr>
        <w:t>查询结果</w:t>
      </w:r>
      <w:r>
        <w:rPr>
          <w:rFonts w:hint="eastAsia" w:ascii="宋体" w:hAnsi="宋体" w:cs="宋体"/>
          <w:bCs/>
          <w:color w:val="auto"/>
          <w:kern w:val="0"/>
          <w:sz w:val="18"/>
          <w:szCs w:val="18"/>
          <w:highlight w:val="none"/>
        </w:rPr>
        <w:t>注明的专业为准；按照《造价工程师职业资格制度规定》的规定，根据原人事部、原建设部发布的《造价工程师执业资格制度暂行规定》（人发〔1996〕77号）取得的造价工程师执业资格，并经注册且在有效期内的，等同于一级注册造价工程师。③联合体投标的，拟投入本工程项目管理机构人员（除了项目负责人、技术负责人</w:t>
      </w:r>
      <w:r>
        <w:rPr>
          <w:rFonts w:hint="eastAsia" w:ascii="宋体" w:hAnsi="宋体" w:cs="宋体"/>
          <w:bCs/>
          <w:color w:val="auto"/>
          <w:kern w:val="0"/>
          <w:sz w:val="18"/>
          <w:szCs w:val="18"/>
          <w:highlight w:val="none"/>
          <w:lang w:eastAsia="zh-CN"/>
        </w:rPr>
        <w:t>、</w:t>
      </w:r>
      <w:r>
        <w:rPr>
          <w:rFonts w:hint="eastAsia" w:ascii="宋体" w:hAnsi="宋体" w:cs="宋体"/>
          <w:bCs/>
          <w:color w:val="auto"/>
          <w:kern w:val="0"/>
          <w:sz w:val="18"/>
          <w:szCs w:val="18"/>
          <w:highlight w:val="none"/>
          <w:lang w:val="en-US" w:eastAsia="zh-CN"/>
        </w:rPr>
        <w:t>安全员</w:t>
      </w:r>
      <w:r>
        <w:rPr>
          <w:rFonts w:hint="eastAsia" w:ascii="宋体" w:hAnsi="宋体" w:cs="宋体"/>
          <w:bCs/>
          <w:color w:val="auto"/>
          <w:kern w:val="0"/>
          <w:sz w:val="18"/>
          <w:szCs w:val="18"/>
          <w:highlight w:val="none"/>
        </w:rPr>
        <w:t>由主办方提供外）、主要机械设备可以由联合体各方合并提供，项目管理机构人员不得兼任。</w:t>
      </w:r>
    </w:p>
    <w:p>
      <w:pPr>
        <w:rPr>
          <w:rFonts w:hint="eastAsia"/>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pStyle w:val="44"/>
              <w:rPr>
                <w:rFonts w:hint="eastAsia"/>
                <w:color w:val="auto"/>
                <w:highlight w:val="none"/>
                <w:lang w:eastAsia="zh-CN"/>
              </w:rPr>
            </w:pPr>
          </w:p>
          <w:p>
            <w:pPr>
              <w:pStyle w:val="44"/>
              <w:rPr>
                <w:rFonts w:hint="eastAsia"/>
                <w:color w:val="auto"/>
                <w:highlight w:val="none"/>
                <w:lang w:eastAsia="zh-CN"/>
              </w:rPr>
            </w:pP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425" w:num="1"/>
          <w:titlePg/>
          <w:docGrid w:type="lines" w:linePitch="312" w:charSpace="0"/>
        </w:sectPr>
      </w:pPr>
    </w:p>
    <w:p>
      <w:pPr>
        <w:pStyle w:val="3"/>
        <w:rPr>
          <w:color w:val="auto"/>
          <w:highlight w:val="none"/>
        </w:rPr>
      </w:pPr>
      <w:bookmarkStart w:id="30" w:name="_Toc2272566"/>
      <w:bookmarkStart w:id="31" w:name="_Toc21525511"/>
      <w:r>
        <w:rPr>
          <w:rFonts w:hint="eastAsia"/>
          <w:color w:val="auto"/>
          <w:highlight w:val="none"/>
        </w:rPr>
        <w:t>第三章</w:t>
      </w:r>
      <w:r>
        <w:rPr>
          <w:color w:val="auto"/>
          <w:highlight w:val="none"/>
        </w:rPr>
        <w:t xml:space="preserve">  </w:t>
      </w:r>
      <w:r>
        <w:rPr>
          <w:rFonts w:hint="eastAsia"/>
          <w:color w:val="auto"/>
          <w:highlight w:val="none"/>
        </w:rPr>
        <w:t>合同条款</w:t>
      </w:r>
      <w:bookmarkEnd w:id="30"/>
      <w:bookmarkEnd w:id="31"/>
    </w:p>
    <w:p>
      <w:pPr>
        <w:rPr>
          <w:rFonts w:ascii="宋体"/>
          <w:b/>
          <w:color w:val="auto"/>
          <w:sz w:val="24"/>
          <w:szCs w:val="24"/>
          <w:highlight w:val="none"/>
        </w:rPr>
      </w:pPr>
      <w:r>
        <w:rPr>
          <w:rFonts w:hint="eastAsia"/>
          <w:color w:val="auto"/>
          <w:sz w:val="24"/>
          <w:szCs w:val="24"/>
          <w:highlight w:val="none"/>
        </w:rPr>
        <w:t>注：</w:t>
      </w:r>
      <w:r>
        <w:rPr>
          <w:rFonts w:hint="eastAsia" w:ascii="宋体" w:hAnsi="宋体"/>
          <w:color w:val="auto"/>
          <w:sz w:val="24"/>
          <w:szCs w:val="24"/>
          <w:highlight w:val="none"/>
        </w:rPr>
        <w:t>另册。</w:t>
      </w:r>
    </w:p>
    <w:p>
      <w:pPr>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17"/>
        <w:spacing w:line="360" w:lineRule="auto"/>
        <w:rPr>
          <w:color w:val="auto"/>
          <w:sz w:val="24"/>
          <w:szCs w:val="24"/>
          <w:highlight w:val="none"/>
        </w:rPr>
      </w:pPr>
    </w:p>
    <w:p>
      <w:pPr>
        <w:pStyle w:val="17"/>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2" w:name="_Toc21525512"/>
      <w:bookmarkStart w:id="33"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32"/>
      <w:bookmarkEnd w:id="33"/>
    </w:p>
    <w:p>
      <w:pPr>
        <w:autoSpaceDE w:val="0"/>
        <w:autoSpaceDN w:val="0"/>
        <w:adjustRightInd w:val="0"/>
        <w:rPr>
          <w:bCs/>
          <w:color w:val="auto"/>
          <w:szCs w:val="21"/>
          <w:highlight w:val="none"/>
        </w:rPr>
      </w:pP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33"/>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33"/>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附件三</w:t>
      </w:r>
    </w:p>
    <w:p>
      <w:pPr>
        <w:pStyle w:val="33"/>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33"/>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33"/>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33"/>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33"/>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33"/>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33"/>
        <w:spacing w:after="0" w:line="360" w:lineRule="auto"/>
        <w:ind w:firstLine="0"/>
        <w:rPr>
          <w:b/>
          <w:color w:val="auto"/>
          <w:sz w:val="32"/>
          <w:szCs w:val="32"/>
          <w:highlight w:val="none"/>
        </w:rPr>
      </w:pPr>
    </w:p>
    <w:p>
      <w:pPr>
        <w:pStyle w:val="33"/>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33"/>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33"/>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4"/>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3"/>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33"/>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33"/>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33"/>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autoSpaceDE w:val="0"/>
        <w:autoSpaceDN w:val="0"/>
        <w:adjustRightIn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四</w:t>
      </w:r>
    </w:p>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业绩一览表</w:t>
      </w:r>
    </w:p>
    <w:p>
      <w:pPr>
        <w:tabs>
          <w:tab w:val="left" w:pos="720"/>
        </w:tabs>
        <w:snapToGrid w:val="0"/>
        <w:spacing w:line="360" w:lineRule="auto"/>
        <w:ind w:firstLine="1200" w:firstLineChars="500"/>
        <w:rPr>
          <w:rFonts w:ascii="宋体" w:hAnsi="宋体" w:cs="宋体"/>
          <w:color w:val="auto"/>
          <w:sz w:val="24"/>
          <w:szCs w:val="24"/>
          <w:highlight w:val="none"/>
        </w:rPr>
      </w:pP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34"/>
        <w:tblW w:w="849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52"/>
        <w:gridCol w:w="1367"/>
        <w:gridCol w:w="2309"/>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81" w:type="dxa"/>
            <w:noWrap w:val="0"/>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352" w:type="dxa"/>
            <w:noWrap w:val="0"/>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367" w:type="dxa"/>
            <w:noWrap w:val="0"/>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309" w:type="dxa"/>
            <w:noWrap w:val="0"/>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合同总价（万元）</w:t>
            </w:r>
          </w:p>
        </w:tc>
        <w:tc>
          <w:tcPr>
            <w:tcW w:w="2688" w:type="dxa"/>
            <w:noWrap w:val="0"/>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81"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1352"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1367"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2309"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2688" w:type="dxa"/>
            <w:noWrap w:val="0"/>
            <w:vAlign w:val="top"/>
          </w:tcPr>
          <w:p>
            <w:pPr>
              <w:tabs>
                <w:tab w:val="left" w:pos="720"/>
              </w:tabs>
              <w:snapToGrid w:val="0"/>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81"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1352"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1367"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2309"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2688" w:type="dxa"/>
            <w:noWrap w:val="0"/>
            <w:vAlign w:val="top"/>
          </w:tcPr>
          <w:p>
            <w:pPr>
              <w:tabs>
                <w:tab w:val="left" w:pos="720"/>
              </w:tabs>
              <w:snapToGrid w:val="0"/>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1"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1352"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1367"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2309" w:type="dxa"/>
            <w:noWrap w:val="0"/>
            <w:vAlign w:val="top"/>
          </w:tcPr>
          <w:p>
            <w:pPr>
              <w:tabs>
                <w:tab w:val="left" w:pos="720"/>
              </w:tabs>
              <w:snapToGrid w:val="0"/>
              <w:spacing w:line="360" w:lineRule="auto"/>
              <w:rPr>
                <w:rFonts w:ascii="宋体" w:hAnsi="宋体" w:cs="宋体"/>
                <w:color w:val="auto"/>
                <w:sz w:val="24"/>
                <w:szCs w:val="24"/>
                <w:highlight w:val="none"/>
              </w:rPr>
            </w:pPr>
          </w:p>
        </w:tc>
        <w:tc>
          <w:tcPr>
            <w:tcW w:w="2688" w:type="dxa"/>
            <w:noWrap w:val="0"/>
            <w:vAlign w:val="top"/>
          </w:tcPr>
          <w:p>
            <w:pPr>
              <w:tabs>
                <w:tab w:val="left" w:pos="720"/>
              </w:tabs>
              <w:snapToGrid w:val="0"/>
              <w:spacing w:line="360" w:lineRule="auto"/>
              <w:rPr>
                <w:rFonts w:ascii="宋体" w:hAnsi="宋体" w:cs="宋体"/>
                <w:color w:val="auto"/>
                <w:sz w:val="24"/>
                <w:szCs w:val="24"/>
                <w:highlight w:val="none"/>
              </w:rPr>
            </w:pPr>
          </w:p>
        </w:tc>
      </w:tr>
    </w:tbl>
    <w:p>
      <w:pPr>
        <w:tabs>
          <w:tab w:val="left" w:pos="720"/>
        </w:tabs>
        <w:snapToGrid w:val="0"/>
        <w:spacing w:line="360" w:lineRule="auto"/>
        <w:rPr>
          <w:rFonts w:ascii="宋体" w:hAnsi="宋体" w:cs="宋体"/>
          <w:color w:val="auto"/>
          <w:szCs w:val="20"/>
          <w:highlight w:val="none"/>
        </w:rPr>
      </w:pPr>
    </w:p>
    <w:p>
      <w:pPr>
        <w:tabs>
          <w:tab w:val="left" w:pos="720"/>
        </w:tabs>
        <w:snapToGrid w:val="0"/>
        <w:spacing w:line="360" w:lineRule="auto"/>
        <w:rPr>
          <w:rFonts w:ascii="宋体" w:hAnsi="宋体" w:cs="宋体"/>
          <w:color w:val="auto"/>
          <w:szCs w:val="20"/>
          <w:highlight w:val="none"/>
        </w:rPr>
      </w:pPr>
    </w:p>
    <w:p>
      <w:pPr>
        <w:pStyle w:val="114"/>
        <w:ind w:firstLine="0" w:firstLineChars="0"/>
        <w:jc w:val="center"/>
        <w:rPr>
          <w:rFonts w:cs="宋体"/>
          <w:color w:val="auto"/>
          <w:highlight w:val="none"/>
        </w:rPr>
      </w:pPr>
      <w:r>
        <w:rPr>
          <w:rFonts w:cs="宋体"/>
          <w:color w:val="auto"/>
          <w:highlight w:val="none"/>
        </w:rPr>
        <w:t xml:space="preserve">             投标人：　　（盖章）</w:t>
      </w:r>
    </w:p>
    <w:p>
      <w:pPr>
        <w:pStyle w:val="114"/>
        <w:ind w:firstLine="3720" w:firstLineChars="1500"/>
        <w:rPr>
          <w:rFonts w:cs="宋体"/>
          <w:color w:val="auto"/>
          <w:highlight w:val="none"/>
        </w:rPr>
      </w:pPr>
      <w:r>
        <w:rPr>
          <w:rFonts w:cs="宋体"/>
          <w:color w:val="auto"/>
          <w:highlight w:val="none"/>
        </w:rPr>
        <w:t>法定代表人或授权代理人(签字或盖章)：</w:t>
      </w:r>
    </w:p>
    <w:p>
      <w:pPr>
        <w:pStyle w:val="114"/>
        <w:ind w:firstLine="3720" w:firstLineChars="1500"/>
        <w:rPr>
          <w:rFonts w:cs="宋体"/>
          <w:color w:val="auto"/>
          <w:highlight w:val="none"/>
        </w:rPr>
      </w:pPr>
      <w:r>
        <w:rPr>
          <w:rFonts w:cs="宋体"/>
          <w:color w:val="auto"/>
          <w:highlight w:val="none"/>
        </w:rPr>
        <w:t>日   期：    年    月    日</w:t>
      </w:r>
    </w:p>
    <w:p>
      <w:pPr>
        <w:autoSpaceDE w:val="0"/>
        <w:autoSpaceDN w:val="0"/>
        <w:adjustRightInd w:val="0"/>
        <w:rPr>
          <w:rFonts w:hint="eastAsia" w:ascii="宋体" w:hAnsi="宋体" w:eastAsia="宋体" w:cs="宋体"/>
          <w:color w:val="auto"/>
          <w:szCs w:val="21"/>
          <w:highlight w:val="none"/>
          <w:lang w:eastAsia="zh-CN"/>
        </w:rPr>
      </w:pPr>
      <w:r>
        <w:rPr>
          <w:rFonts w:cs="宋体"/>
          <w:color w:val="auto"/>
          <w:highlight w:val="none"/>
        </w:rPr>
        <w:br w:type="page"/>
      </w: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五</w:t>
      </w:r>
    </w:p>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机电类工法奖项情况一览表</w:t>
      </w:r>
    </w:p>
    <w:p>
      <w:pPr>
        <w:tabs>
          <w:tab w:val="left" w:pos="720"/>
        </w:tabs>
        <w:snapToGrid w:val="0"/>
        <w:spacing w:line="360" w:lineRule="auto"/>
        <w:ind w:firstLine="1200" w:firstLineChars="500"/>
        <w:rPr>
          <w:rFonts w:ascii="宋体" w:hAnsi="宋体" w:cs="宋体"/>
          <w:color w:val="auto"/>
          <w:sz w:val="24"/>
          <w:szCs w:val="24"/>
          <w:highlight w:val="none"/>
        </w:rPr>
      </w:pP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855"/>
        <w:gridCol w:w="1855"/>
        <w:gridCol w:w="261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088" w:type="pct"/>
            <w:noWrap w:val="0"/>
            <w:vAlign w:val="center"/>
          </w:tcPr>
          <w:p>
            <w:pPr>
              <w:tabs>
                <w:tab w:val="left" w:pos="72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工法名称</w:t>
            </w:r>
          </w:p>
        </w:tc>
        <w:tc>
          <w:tcPr>
            <w:tcW w:w="1088" w:type="pct"/>
            <w:noWrap w:val="0"/>
            <w:vAlign w:val="center"/>
          </w:tcPr>
          <w:p>
            <w:pPr>
              <w:tabs>
                <w:tab w:val="left" w:pos="72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工法类别</w:t>
            </w:r>
          </w:p>
        </w:tc>
        <w:tc>
          <w:tcPr>
            <w:tcW w:w="1533" w:type="pct"/>
            <w:noWrap w:val="0"/>
            <w:vAlign w:val="center"/>
          </w:tcPr>
          <w:p>
            <w:pPr>
              <w:tabs>
                <w:tab w:val="left" w:pos="72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主要完</w:t>
            </w:r>
            <w:bookmarkStart w:id="60" w:name="_GoBack"/>
            <w:bookmarkEnd w:id="60"/>
            <w:r>
              <w:rPr>
                <w:rFonts w:hint="eastAsia" w:ascii="宋体" w:hAnsi="宋体" w:cs="宋体"/>
                <w:color w:val="auto"/>
                <w:sz w:val="24"/>
                <w:szCs w:val="24"/>
                <w:highlight w:val="none"/>
                <w:lang w:val="en-US" w:eastAsia="zh-CN"/>
              </w:rPr>
              <w:t>成人员</w:t>
            </w:r>
          </w:p>
        </w:tc>
        <w:tc>
          <w:tcPr>
            <w:tcW w:w="644" w:type="pct"/>
            <w:noWrap w:val="0"/>
            <w:vAlign w:val="center"/>
          </w:tcPr>
          <w:p>
            <w:pPr>
              <w:tabs>
                <w:tab w:val="left" w:pos="720"/>
              </w:tabs>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088"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088"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533"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088"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088"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533"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088"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088"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1533"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c>
          <w:tcPr>
            <w:tcW w:w="644" w:type="pct"/>
            <w:noWrap w:val="0"/>
            <w:vAlign w:val="center"/>
          </w:tcPr>
          <w:p>
            <w:pPr>
              <w:tabs>
                <w:tab w:val="left" w:pos="720"/>
              </w:tabs>
              <w:snapToGrid w:val="0"/>
              <w:spacing w:line="360" w:lineRule="auto"/>
              <w:jc w:val="center"/>
              <w:rPr>
                <w:rFonts w:ascii="宋体" w:hAnsi="宋体" w:cs="宋体"/>
                <w:color w:val="auto"/>
                <w:sz w:val="24"/>
                <w:szCs w:val="24"/>
                <w:highlight w:val="none"/>
              </w:rPr>
            </w:pPr>
          </w:p>
        </w:tc>
      </w:tr>
    </w:tbl>
    <w:p>
      <w:pPr>
        <w:pStyle w:val="114"/>
        <w:ind w:firstLine="3720" w:firstLineChars="1500"/>
        <w:rPr>
          <w:rFonts w:cs="宋体"/>
          <w:color w:val="auto"/>
          <w:highlight w:val="none"/>
        </w:rPr>
      </w:pPr>
    </w:p>
    <w:p>
      <w:pPr>
        <w:tabs>
          <w:tab w:val="left" w:pos="720"/>
        </w:tabs>
        <w:snapToGrid w:val="0"/>
        <w:spacing w:line="360" w:lineRule="auto"/>
        <w:rPr>
          <w:rFonts w:ascii="宋体" w:hAnsi="宋体" w:cs="宋体"/>
          <w:color w:val="auto"/>
          <w:szCs w:val="20"/>
          <w:highlight w:val="none"/>
        </w:rPr>
      </w:pPr>
    </w:p>
    <w:p>
      <w:pPr>
        <w:pStyle w:val="114"/>
        <w:ind w:firstLine="0" w:firstLineChars="0"/>
        <w:jc w:val="center"/>
        <w:rPr>
          <w:rFonts w:cs="宋体"/>
          <w:color w:val="auto"/>
          <w:highlight w:val="none"/>
        </w:rPr>
      </w:pPr>
      <w:r>
        <w:rPr>
          <w:rFonts w:cs="宋体"/>
          <w:color w:val="auto"/>
          <w:highlight w:val="none"/>
        </w:rPr>
        <w:t xml:space="preserve">             投标人：　　（盖章）</w:t>
      </w:r>
    </w:p>
    <w:p>
      <w:pPr>
        <w:pStyle w:val="114"/>
        <w:ind w:firstLine="3720" w:firstLineChars="1500"/>
        <w:rPr>
          <w:rFonts w:cs="宋体"/>
          <w:color w:val="auto"/>
          <w:highlight w:val="none"/>
        </w:rPr>
      </w:pPr>
      <w:r>
        <w:rPr>
          <w:rFonts w:cs="宋体"/>
          <w:color w:val="auto"/>
          <w:highlight w:val="none"/>
        </w:rPr>
        <w:t>法定代表人或授权代理人(签字或盖章)：</w:t>
      </w:r>
    </w:p>
    <w:p>
      <w:pPr>
        <w:pStyle w:val="114"/>
        <w:ind w:firstLine="3720" w:firstLineChars="1500"/>
        <w:rPr>
          <w:rFonts w:cs="宋体"/>
          <w:color w:val="auto"/>
          <w:highlight w:val="none"/>
        </w:rPr>
      </w:pPr>
      <w:r>
        <w:rPr>
          <w:rFonts w:cs="宋体"/>
          <w:color w:val="auto"/>
          <w:highlight w:val="none"/>
        </w:rPr>
        <w:t>日   期：    年    月    日</w:t>
      </w:r>
    </w:p>
    <w:p>
      <w:pPr>
        <w:widowControl/>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highlight w:val="none"/>
        </w:rPr>
        <w:br w:type="pag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六</w:t>
      </w:r>
    </w:p>
    <w:p>
      <w:pPr>
        <w:pStyle w:val="113"/>
        <w:rPr>
          <w:rFonts w:eastAsia="宋体" w:cs="宋体"/>
          <w:b w:val="0"/>
          <w:color w:val="auto"/>
          <w:highlight w:val="none"/>
        </w:rPr>
      </w:pPr>
      <w:r>
        <w:rPr>
          <w:rFonts w:eastAsia="宋体" w:cs="宋体"/>
          <w:b w:val="0"/>
          <w:color w:val="auto"/>
          <w:highlight w:val="none"/>
        </w:rPr>
        <w:t>投入主要人员汇总表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232"/>
        <w:gridCol w:w="874"/>
        <w:gridCol w:w="874"/>
        <w:gridCol w:w="874"/>
        <w:gridCol w:w="874"/>
        <w:gridCol w:w="874"/>
        <w:gridCol w:w="123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5"/>
              <w:jc w:val="center"/>
              <w:rPr>
                <w:rFonts w:cs="宋体"/>
                <w:b/>
                <w:color w:val="auto"/>
                <w:highlight w:val="none"/>
              </w:rPr>
            </w:pPr>
            <w:r>
              <w:rPr>
                <w:rFonts w:hint="eastAsia" w:cs="宋体"/>
                <w:b/>
                <w:color w:val="auto"/>
                <w:highlight w:val="none"/>
              </w:rPr>
              <w:t>序号</w:t>
            </w:r>
          </w:p>
        </w:tc>
        <w:tc>
          <w:tcPr>
            <w:tcW w:w="723" w:type="pct"/>
            <w:noWrap w:val="0"/>
            <w:vAlign w:val="center"/>
          </w:tcPr>
          <w:p>
            <w:pPr>
              <w:pStyle w:val="115"/>
              <w:jc w:val="center"/>
              <w:rPr>
                <w:rFonts w:cs="宋体"/>
                <w:b/>
                <w:color w:val="auto"/>
                <w:highlight w:val="none"/>
              </w:rPr>
            </w:pPr>
            <w:r>
              <w:rPr>
                <w:rFonts w:hint="eastAsia" w:cs="宋体"/>
                <w:b/>
                <w:color w:val="auto"/>
                <w:spacing w:val="-6"/>
                <w:highlight w:val="none"/>
              </w:rPr>
              <w:t>在本项目担任的职务</w:t>
            </w:r>
          </w:p>
        </w:tc>
        <w:tc>
          <w:tcPr>
            <w:tcW w:w="513" w:type="pct"/>
            <w:noWrap w:val="0"/>
            <w:vAlign w:val="center"/>
          </w:tcPr>
          <w:p>
            <w:pPr>
              <w:pStyle w:val="115"/>
              <w:jc w:val="center"/>
              <w:rPr>
                <w:rFonts w:cs="宋体"/>
                <w:b/>
                <w:color w:val="auto"/>
                <w:highlight w:val="none"/>
              </w:rPr>
            </w:pPr>
            <w:r>
              <w:rPr>
                <w:rFonts w:hint="eastAsia" w:cs="宋体"/>
                <w:b/>
                <w:color w:val="auto"/>
                <w:highlight w:val="none"/>
              </w:rPr>
              <w:t>姓名</w:t>
            </w:r>
          </w:p>
        </w:tc>
        <w:tc>
          <w:tcPr>
            <w:tcW w:w="513" w:type="pct"/>
            <w:noWrap w:val="0"/>
            <w:vAlign w:val="center"/>
          </w:tcPr>
          <w:p>
            <w:pPr>
              <w:pStyle w:val="115"/>
              <w:jc w:val="center"/>
              <w:rPr>
                <w:rFonts w:cs="宋体"/>
                <w:b/>
                <w:color w:val="auto"/>
                <w:highlight w:val="none"/>
              </w:rPr>
            </w:pPr>
            <w:r>
              <w:rPr>
                <w:rFonts w:hint="eastAsia" w:cs="宋体"/>
                <w:b/>
                <w:color w:val="auto"/>
                <w:highlight w:val="none"/>
              </w:rPr>
              <w:t>年龄</w:t>
            </w:r>
          </w:p>
        </w:tc>
        <w:tc>
          <w:tcPr>
            <w:tcW w:w="513" w:type="pct"/>
            <w:noWrap w:val="0"/>
            <w:vAlign w:val="center"/>
          </w:tcPr>
          <w:p>
            <w:pPr>
              <w:pStyle w:val="115"/>
              <w:jc w:val="center"/>
              <w:rPr>
                <w:rFonts w:cs="宋体"/>
                <w:b/>
                <w:color w:val="auto"/>
                <w:highlight w:val="none"/>
              </w:rPr>
            </w:pPr>
            <w:r>
              <w:rPr>
                <w:rFonts w:hint="eastAsia" w:cs="宋体"/>
                <w:b/>
                <w:color w:val="auto"/>
                <w:highlight w:val="none"/>
              </w:rPr>
              <w:t>职称</w:t>
            </w:r>
          </w:p>
        </w:tc>
        <w:tc>
          <w:tcPr>
            <w:tcW w:w="513" w:type="pct"/>
            <w:noWrap w:val="0"/>
            <w:vAlign w:val="center"/>
          </w:tcPr>
          <w:p>
            <w:pPr>
              <w:pStyle w:val="115"/>
              <w:jc w:val="center"/>
              <w:rPr>
                <w:rFonts w:cs="宋体"/>
                <w:b/>
                <w:color w:val="auto"/>
                <w:highlight w:val="none"/>
              </w:rPr>
            </w:pPr>
            <w:r>
              <w:rPr>
                <w:rFonts w:hint="eastAsia" w:cs="宋体"/>
                <w:b/>
                <w:color w:val="auto"/>
                <w:highlight w:val="none"/>
              </w:rPr>
              <w:t>专业</w:t>
            </w:r>
          </w:p>
        </w:tc>
        <w:tc>
          <w:tcPr>
            <w:tcW w:w="513" w:type="pct"/>
            <w:noWrap w:val="0"/>
            <w:vAlign w:val="center"/>
          </w:tcPr>
          <w:p>
            <w:pPr>
              <w:pStyle w:val="115"/>
              <w:jc w:val="center"/>
              <w:rPr>
                <w:rFonts w:cs="宋体"/>
                <w:b/>
                <w:color w:val="auto"/>
                <w:highlight w:val="none"/>
              </w:rPr>
            </w:pPr>
            <w:r>
              <w:rPr>
                <w:rFonts w:hint="eastAsia" w:cs="宋体"/>
                <w:b/>
                <w:color w:val="auto"/>
                <w:highlight w:val="none"/>
              </w:rPr>
              <w:t>从事相关工作年限</w:t>
            </w:r>
          </w:p>
        </w:tc>
        <w:tc>
          <w:tcPr>
            <w:tcW w:w="726" w:type="pct"/>
            <w:noWrap w:val="0"/>
            <w:vAlign w:val="center"/>
          </w:tcPr>
          <w:p>
            <w:pPr>
              <w:pStyle w:val="115"/>
              <w:jc w:val="center"/>
              <w:rPr>
                <w:rFonts w:cs="宋体"/>
                <w:b/>
                <w:color w:val="auto"/>
                <w:highlight w:val="none"/>
              </w:rPr>
            </w:pPr>
            <w:r>
              <w:rPr>
                <w:rFonts w:hint="eastAsia" w:cs="宋体"/>
                <w:b/>
                <w:color w:val="auto"/>
                <w:highlight w:val="none"/>
              </w:rPr>
              <w:t>工程师注册（或岗位）证号</w:t>
            </w:r>
          </w:p>
        </w:tc>
        <w:tc>
          <w:tcPr>
            <w:tcW w:w="682" w:type="pct"/>
            <w:noWrap w:val="0"/>
            <w:vAlign w:val="center"/>
          </w:tcPr>
          <w:p>
            <w:pPr>
              <w:pStyle w:val="115"/>
              <w:jc w:val="center"/>
              <w:rPr>
                <w:rFonts w:cs="宋体"/>
                <w:b/>
                <w:color w:val="auto"/>
                <w:highlight w:val="none"/>
              </w:rPr>
            </w:pPr>
            <w:r>
              <w:rPr>
                <w:rFonts w:hint="eastAsia"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14"/>
              <w:ind w:firstLine="496"/>
              <w:rPr>
                <w:rFonts w:ascii="等线" w:hAnsi="等线" w:eastAsia="等线" w:cs="宋体"/>
                <w:snapToGrid w:val="0"/>
                <w:color w:val="auto"/>
                <w:kern w:val="2"/>
                <w:highlight w:val="none"/>
              </w:rPr>
            </w:pPr>
          </w:p>
        </w:tc>
        <w:tc>
          <w:tcPr>
            <w:tcW w:w="72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center"/>
          </w:tcPr>
          <w:p>
            <w:pPr>
              <w:pStyle w:val="114"/>
              <w:ind w:firstLine="496"/>
              <w:rPr>
                <w:rFonts w:ascii="等线" w:hAnsi="等线" w:eastAsia="等线" w:cs="宋体"/>
                <w:snapToGrid w:val="0"/>
                <w:color w:val="auto"/>
                <w:kern w:val="2"/>
                <w:highlight w:val="none"/>
              </w:rPr>
            </w:pPr>
          </w:p>
        </w:tc>
        <w:tc>
          <w:tcPr>
            <w:tcW w:w="513" w:type="pct"/>
            <w:noWrap w:val="0"/>
            <w:vAlign w:val="top"/>
          </w:tcPr>
          <w:p>
            <w:pPr>
              <w:pStyle w:val="114"/>
              <w:ind w:firstLine="496"/>
              <w:rPr>
                <w:rFonts w:ascii="等线" w:hAnsi="等线" w:eastAsia="等线" w:cs="宋体"/>
                <w:snapToGrid w:val="0"/>
                <w:color w:val="auto"/>
                <w:kern w:val="2"/>
                <w:highlight w:val="none"/>
              </w:rPr>
            </w:pPr>
          </w:p>
        </w:tc>
        <w:tc>
          <w:tcPr>
            <w:tcW w:w="726" w:type="pct"/>
            <w:noWrap w:val="0"/>
            <w:vAlign w:val="center"/>
          </w:tcPr>
          <w:p>
            <w:pPr>
              <w:pStyle w:val="114"/>
              <w:ind w:firstLine="496"/>
              <w:rPr>
                <w:rFonts w:ascii="等线" w:hAnsi="等线" w:eastAsia="等线" w:cs="宋体"/>
                <w:snapToGrid w:val="0"/>
                <w:color w:val="auto"/>
                <w:kern w:val="2"/>
                <w:highlight w:val="none"/>
              </w:rPr>
            </w:pPr>
          </w:p>
        </w:tc>
        <w:tc>
          <w:tcPr>
            <w:tcW w:w="682" w:type="pct"/>
            <w:noWrap w:val="0"/>
            <w:vAlign w:val="top"/>
          </w:tcPr>
          <w:p>
            <w:pPr>
              <w:pStyle w:val="114"/>
              <w:ind w:firstLine="496"/>
              <w:rPr>
                <w:rFonts w:ascii="等线" w:hAnsi="等线" w:eastAsia="等线" w:cs="宋体"/>
                <w:snapToGrid w:val="0"/>
                <w:color w:val="auto"/>
                <w:kern w:val="2"/>
                <w:highlight w:val="none"/>
              </w:rPr>
            </w:pPr>
          </w:p>
        </w:tc>
      </w:tr>
    </w:tbl>
    <w:p>
      <w:pPr>
        <w:pStyle w:val="114"/>
        <w:spacing w:line="400" w:lineRule="exact"/>
        <w:ind w:firstLine="496"/>
        <w:rPr>
          <w:rFonts w:cs="宋体"/>
          <w:color w:val="auto"/>
          <w:highlight w:val="none"/>
        </w:rPr>
      </w:pPr>
    </w:p>
    <w:p>
      <w:pPr>
        <w:pStyle w:val="114"/>
        <w:ind w:firstLine="0" w:firstLineChars="0"/>
        <w:jc w:val="center"/>
        <w:rPr>
          <w:rFonts w:cs="宋体"/>
          <w:color w:val="auto"/>
          <w:highlight w:val="none"/>
        </w:rPr>
      </w:pPr>
      <w:r>
        <w:rPr>
          <w:rFonts w:cs="宋体"/>
          <w:color w:val="auto"/>
          <w:highlight w:val="none"/>
        </w:rPr>
        <w:t xml:space="preserve">             投标人：　　（盖章）</w:t>
      </w:r>
    </w:p>
    <w:p>
      <w:pPr>
        <w:pStyle w:val="114"/>
        <w:ind w:firstLine="3720" w:firstLineChars="1500"/>
        <w:rPr>
          <w:rFonts w:cs="宋体"/>
          <w:color w:val="auto"/>
          <w:highlight w:val="none"/>
        </w:rPr>
      </w:pPr>
      <w:r>
        <w:rPr>
          <w:rFonts w:cs="宋体"/>
          <w:color w:val="auto"/>
          <w:highlight w:val="none"/>
        </w:rPr>
        <w:t>法定代表人或授权代理人(签字或盖章)：</w:t>
      </w:r>
    </w:p>
    <w:p>
      <w:pPr>
        <w:pStyle w:val="114"/>
        <w:ind w:firstLine="3720" w:firstLineChars="1500"/>
        <w:rPr>
          <w:rFonts w:cs="宋体"/>
          <w:color w:val="auto"/>
          <w:sz w:val="18"/>
          <w:szCs w:val="18"/>
          <w:highlight w:val="none"/>
        </w:rPr>
      </w:pPr>
      <w:r>
        <w:rPr>
          <w:rFonts w:cs="宋体"/>
          <w:color w:val="auto"/>
          <w:highlight w:val="none"/>
        </w:rPr>
        <w:t>日   期：    年    月    日</w:t>
      </w:r>
    </w:p>
    <w:p>
      <w:pPr>
        <w:pStyle w:val="114"/>
        <w:ind w:firstLine="3596" w:firstLineChars="1450"/>
        <w:rPr>
          <w:rFonts w:cs="宋体"/>
          <w:color w:val="auto"/>
          <w:highlight w:val="none"/>
        </w:rPr>
      </w:pPr>
    </w:p>
    <w:p>
      <w:pPr>
        <w:pStyle w:val="116"/>
        <w:spacing w:beforeLines="0" w:after="120"/>
        <w:jc w:val="left"/>
        <w:rPr>
          <w:rFonts w:ascii="宋体" w:hAnsi="宋体" w:eastAsia="宋体" w:cs="宋体"/>
          <w:b w:val="0"/>
          <w:color w:val="auto"/>
          <w:spacing w:val="0"/>
          <w:kern w:val="2"/>
          <w:highlight w:val="none"/>
        </w:rPr>
      </w:pPr>
      <w:bookmarkStart w:id="34" w:name="_Toc337720097"/>
      <w:bookmarkStart w:id="35" w:name="_Toc464131230"/>
      <w:bookmarkStart w:id="36" w:name="_Toc449308426"/>
      <w:bookmarkStart w:id="37" w:name="_Toc515454599"/>
      <w:bookmarkStart w:id="38" w:name="_Toc369536776"/>
      <w:bookmarkStart w:id="39" w:name="_Toc11987"/>
      <w:bookmarkStart w:id="40" w:name="_Toc23443"/>
      <w:bookmarkStart w:id="41" w:name="_Toc352623427"/>
      <w:bookmarkStart w:id="42" w:name="_Toc352240529"/>
      <w:bookmarkStart w:id="43" w:name="_Toc395261105"/>
      <w:bookmarkStart w:id="44" w:name="_Toc239216037"/>
      <w:bookmarkStart w:id="45" w:name="_Toc163337626"/>
      <w:bookmarkStart w:id="46" w:name="_Toc226209009"/>
      <w:bookmarkStart w:id="47" w:name="_Toc358370584"/>
      <w:bookmarkStart w:id="48" w:name="_Toc239311752"/>
      <w:bookmarkStart w:id="49" w:name="_Toc318924501"/>
      <w:r>
        <w:rPr>
          <w:rFonts w:hint="eastAsia" w:ascii="宋体" w:hAnsi="宋体" w:eastAsia="宋体" w:cs="宋体"/>
          <w:b w:val="0"/>
          <w:color w:val="auto"/>
          <w:spacing w:val="0"/>
          <w:kern w:val="2"/>
          <w:sz w:val="24"/>
          <w:szCs w:val="24"/>
          <w:highlight w:val="none"/>
        </w:rPr>
        <w:br w:type="page"/>
      </w:r>
      <w:bookmarkStart w:id="50" w:name="_Toc22202"/>
      <w:r>
        <w:rPr>
          <w:rFonts w:hint="eastAsia" w:ascii="宋体" w:hAnsi="宋体" w:eastAsia="宋体" w:cs="宋体"/>
          <w:b w:val="0"/>
          <w:color w:val="auto"/>
          <w:spacing w:val="0"/>
          <w:kern w:val="2"/>
          <w:sz w:val="24"/>
          <w:szCs w:val="24"/>
          <w:highlight w:val="none"/>
        </w:rPr>
        <w:t>附件</w:t>
      </w:r>
      <w:r>
        <w:rPr>
          <w:rFonts w:hint="eastAsia" w:ascii="宋体" w:hAnsi="宋体" w:eastAsia="宋体" w:cs="宋体"/>
          <w:b w:val="0"/>
          <w:color w:val="auto"/>
          <w:spacing w:val="0"/>
          <w:kern w:val="2"/>
          <w:sz w:val="24"/>
          <w:szCs w:val="24"/>
          <w:highlight w:val="none"/>
          <w:lang w:val="en-US" w:eastAsia="zh-CN"/>
        </w:rPr>
        <w:t>七</w:t>
      </w:r>
      <w:r>
        <w:rPr>
          <w:rFonts w:hint="eastAsia" w:ascii="宋体" w:hAnsi="宋体" w:eastAsia="宋体" w:cs="宋体"/>
          <w:b w:val="0"/>
          <w:color w:val="auto"/>
          <w:spacing w:val="0"/>
          <w:kern w:val="2"/>
          <w:sz w:val="24"/>
          <w:szCs w:val="24"/>
          <w:highlight w:val="none"/>
        </w:rPr>
        <w:t>：主要人员简历表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113"/>
        <w:rPr>
          <w:rFonts w:eastAsia="宋体" w:cs="宋体"/>
          <w:b w:val="0"/>
          <w:color w:val="auto"/>
          <w:highlight w:val="none"/>
        </w:rPr>
      </w:pPr>
      <w:r>
        <w:rPr>
          <w:rFonts w:eastAsia="宋体" w:cs="宋体"/>
          <w:b w:val="0"/>
          <w:color w:val="auto"/>
          <w:highlight w:val="none"/>
        </w:rPr>
        <w:t>主要人员简历表</w:t>
      </w:r>
    </w:p>
    <w:tbl>
      <w:tblPr>
        <w:tblStyle w:val="34"/>
        <w:tblpPr w:leftFromText="180" w:rightFromText="180" w:vertAnchor="text" w:tblpX="-206" w:tblpY="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9"/>
        <w:gridCol w:w="1383"/>
        <w:gridCol w:w="499"/>
        <w:gridCol w:w="884"/>
        <w:gridCol w:w="339"/>
        <w:gridCol w:w="1256"/>
        <w:gridCol w:w="264"/>
        <w:gridCol w:w="1056"/>
        <w:gridCol w:w="63"/>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姓名</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c>
          <w:tcPr>
            <w:tcW w:w="718" w:type="pct"/>
            <w:gridSpan w:val="2"/>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性别</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年龄</w:t>
            </w:r>
          </w:p>
        </w:tc>
        <w:tc>
          <w:tcPr>
            <w:tcW w:w="850" w:type="pct"/>
            <w:gridSpan w:val="2"/>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bCs/>
                <w:color w:val="auto"/>
                <w:highlight w:val="none"/>
              </w:rPr>
              <w:t>身份证号码</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职务</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c>
          <w:tcPr>
            <w:tcW w:w="718" w:type="pct"/>
            <w:gridSpan w:val="2"/>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职称</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学历</w:t>
            </w:r>
          </w:p>
        </w:tc>
        <w:tc>
          <w:tcPr>
            <w:tcW w:w="850" w:type="pct"/>
            <w:gridSpan w:val="2"/>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参加工作</w:t>
            </w:r>
          </w:p>
          <w:p>
            <w:pPr>
              <w:pStyle w:val="115"/>
              <w:jc w:val="center"/>
              <w:rPr>
                <w:rFonts w:hint="eastAsia" w:cs="宋体"/>
                <w:b/>
                <w:color w:val="auto"/>
                <w:sz w:val="24"/>
                <w:szCs w:val="24"/>
                <w:highlight w:val="none"/>
              </w:rPr>
            </w:pPr>
            <w:r>
              <w:rPr>
                <w:rFonts w:hint="eastAsia" w:cs="宋体"/>
                <w:b/>
                <w:color w:val="auto"/>
                <w:sz w:val="24"/>
                <w:szCs w:val="24"/>
                <w:highlight w:val="none"/>
              </w:rPr>
              <w:t>时间</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c>
          <w:tcPr>
            <w:tcW w:w="718"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r>
              <w:rPr>
                <w:rFonts w:hint="eastAsia" w:ascii="宋体" w:hAnsi="宋体" w:cs="宋体"/>
                <w:b/>
                <w:snapToGrid w:val="0"/>
                <w:color w:val="auto"/>
                <w:kern w:val="2"/>
                <w:highlight w:val="none"/>
              </w:rPr>
              <w:t>担任相应职务年限</w:t>
            </w:r>
          </w:p>
        </w:tc>
        <w:tc>
          <w:tcPr>
            <w:tcW w:w="2363" w:type="pct"/>
            <w:gridSpan w:val="5"/>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资格证书号</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pStyle w:val="114"/>
              <w:keepNext/>
              <w:keepLines/>
              <w:spacing w:before="120" w:after="120"/>
              <w:ind w:firstLine="0" w:firstLineChars="0"/>
              <w:jc w:val="center"/>
              <w:outlineLvl w:val="0"/>
              <w:rPr>
                <w:rFonts w:hint="eastAsia" w:ascii="宋体" w:hAnsi="宋体" w:cs="宋体"/>
                <w:b/>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r>
              <w:rPr>
                <w:rFonts w:hint="eastAsia" w:ascii="宋体" w:hAnsi="宋体" w:cs="宋体"/>
                <w:b/>
                <w:snapToGrid w:val="0"/>
                <w:color w:val="auto"/>
                <w:kern w:val="2"/>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建设单位</w:t>
            </w: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项目名称</w:t>
            </w: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建设规模</w:t>
            </w: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开、竣工日期</w:t>
            </w: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在建或已完</w:t>
            </w: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115"/>
              <w:jc w:val="center"/>
              <w:rPr>
                <w:rFonts w:hint="eastAsia" w:cs="宋体"/>
                <w:b/>
                <w:color w:val="auto"/>
                <w:sz w:val="24"/>
                <w:szCs w:val="24"/>
                <w:highlight w:val="none"/>
              </w:rPr>
            </w:pPr>
            <w:r>
              <w:rPr>
                <w:rFonts w:hint="eastAsia" w:cs="宋体"/>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b/>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114"/>
              <w:ind w:firstLine="0" w:firstLineChars="0"/>
              <w:jc w:val="center"/>
              <w:rPr>
                <w:rFonts w:hint="eastAsia" w:ascii="宋体" w:hAnsi="宋体" w:cs="宋体"/>
                <w:snapToGrid w:val="0"/>
                <w:color w:val="auto"/>
                <w:kern w:val="2"/>
                <w:highlight w:val="none"/>
              </w:rPr>
            </w:pPr>
          </w:p>
        </w:tc>
      </w:tr>
    </w:tbl>
    <w:p>
      <w:pPr>
        <w:pStyle w:val="114"/>
        <w:ind w:firstLine="3596" w:firstLineChars="1450"/>
        <w:rPr>
          <w:rFonts w:hint="eastAsia" w:ascii="宋体" w:hAnsi="宋体" w:cs="宋体"/>
          <w:color w:val="auto"/>
          <w:highlight w:val="none"/>
        </w:rPr>
      </w:pPr>
      <w:r>
        <w:rPr>
          <w:rFonts w:hint="eastAsia" w:ascii="宋体" w:hAnsi="宋体" w:cs="宋体"/>
          <w:color w:val="auto"/>
          <w:highlight w:val="none"/>
        </w:rPr>
        <w:t>投标人：　　（盖章）</w:t>
      </w:r>
    </w:p>
    <w:p>
      <w:pPr>
        <w:pStyle w:val="114"/>
        <w:ind w:firstLine="3596" w:firstLineChars="1450"/>
        <w:rPr>
          <w:rFonts w:hint="eastAsia" w:ascii="宋体" w:hAnsi="宋体" w:cs="宋体"/>
          <w:color w:val="auto"/>
          <w:highlight w:val="none"/>
        </w:rPr>
      </w:pPr>
      <w:r>
        <w:rPr>
          <w:rFonts w:hint="eastAsia" w:ascii="宋体" w:hAnsi="宋体" w:cs="宋体"/>
          <w:color w:val="auto"/>
          <w:highlight w:val="none"/>
        </w:rPr>
        <w:t>法定代表人或授权代理人(签字或盖章)：</w:t>
      </w:r>
    </w:p>
    <w:p>
      <w:pPr>
        <w:tabs>
          <w:tab w:val="left" w:pos="720"/>
        </w:tabs>
        <w:snapToGrid w:val="0"/>
        <w:spacing w:line="360" w:lineRule="auto"/>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tabs>
          <w:tab w:val="left" w:pos="720"/>
        </w:tabs>
        <w:snapToGrid w:val="0"/>
        <w:spacing w:line="360" w:lineRule="auto"/>
        <w:rPr>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Arial" w:hAnsi="Arial" w:eastAsia="宋体" w:cs="Arial"/>
          <w:color w:val="auto"/>
          <w:sz w:val="24"/>
          <w:szCs w:val="24"/>
          <w:highlight w:val="none"/>
          <w:lang w:eastAsia="zh-CN"/>
        </w:rPr>
      </w:pPr>
      <w:r>
        <w:rPr>
          <w:rFonts w:hint="eastAsia" w:ascii="Arial" w:hAnsi="Arial" w:cs="Arial"/>
          <w:color w:val="auto"/>
          <w:sz w:val="24"/>
          <w:szCs w:val="24"/>
          <w:highlight w:val="none"/>
        </w:rPr>
        <w:t>附件</w:t>
      </w:r>
      <w:r>
        <w:rPr>
          <w:rFonts w:hint="eastAsia" w:ascii="Arial" w:hAnsi="Arial" w:cs="Arial"/>
          <w:color w:val="auto"/>
          <w:sz w:val="24"/>
          <w:szCs w:val="24"/>
          <w:highlight w:val="none"/>
          <w:lang w:val="en-US" w:eastAsia="zh-CN"/>
        </w:rPr>
        <w:t>八</w:t>
      </w:r>
    </w:p>
    <w:p>
      <w:pPr>
        <w:pStyle w:val="29"/>
        <w:widowControl/>
        <w:shd w:val="clear" w:color="auto" w:fill="FFFFFF"/>
        <w:spacing w:before="156" w:after="156" w:line="360" w:lineRule="atLeast"/>
        <w:jc w:val="center"/>
        <w:rPr>
          <w:rFonts w:ascii="宋体" w:hAnsi="宋体" w:cs="宋体"/>
          <w:b/>
          <w:bCs/>
          <w:color w:val="auto"/>
          <w:spacing w:val="4"/>
          <w:sz w:val="28"/>
          <w:szCs w:val="28"/>
          <w:highlight w:val="none"/>
          <w:shd w:val="clear" w:color="auto" w:fill="FFFFFF"/>
        </w:rPr>
      </w:pPr>
      <w:r>
        <w:rPr>
          <w:rFonts w:hint="eastAsia" w:ascii="宋体" w:hAnsi="宋体" w:cs="宋体"/>
          <w:b/>
          <w:bCs/>
          <w:color w:val="auto"/>
          <w:spacing w:val="4"/>
          <w:sz w:val="28"/>
          <w:szCs w:val="28"/>
          <w:highlight w:val="none"/>
          <w:shd w:val="clear" w:color="auto" w:fill="FFFFFF"/>
        </w:rPr>
        <w:t>联合体工作协议</w:t>
      </w:r>
    </w:p>
    <w:p>
      <w:pPr>
        <w:widowControl/>
        <w:jc w:val="left"/>
        <w:rPr>
          <w:color w:val="auto"/>
          <w:highlight w:val="none"/>
        </w:rPr>
      </w:pPr>
      <w:r>
        <w:rPr>
          <w:rFonts w:hint="eastAsia" w:ascii="宋体" w:hAnsi="宋体" w:cs="宋体"/>
          <w:color w:val="auto"/>
          <w:kern w:val="0"/>
          <w:sz w:val="24"/>
          <w:szCs w:val="24"/>
          <w:highlight w:val="none"/>
          <w:lang w:bidi="ar"/>
        </w:rPr>
        <w:t>投标项目名称：</w:t>
      </w:r>
      <w:r>
        <w:rPr>
          <w:rFonts w:ascii="宋体" w:hAnsi="宋体" w:cs="宋体"/>
          <w:color w:val="auto"/>
          <w:kern w:val="0"/>
          <w:sz w:val="24"/>
          <w:szCs w:val="24"/>
          <w:highlight w:val="none"/>
          <w:lang w:bidi="ar"/>
        </w:rPr>
        <w:t xml:space="preserve">            </w:t>
      </w:r>
    </w:p>
    <w:p>
      <w:pPr>
        <w:widowControl/>
        <w:jc w:val="left"/>
        <w:rPr>
          <w:color w:val="auto"/>
          <w:highlight w:val="none"/>
        </w:rPr>
      </w:pPr>
      <w:r>
        <w:rPr>
          <w:rFonts w:hint="eastAsia" w:ascii="宋体" w:hAnsi="宋体" w:cs="宋体"/>
          <w:color w:val="auto"/>
          <w:kern w:val="0"/>
          <w:sz w:val="24"/>
          <w:szCs w:val="24"/>
          <w:highlight w:val="none"/>
          <w:lang w:bidi="ar"/>
        </w:rPr>
        <w:t>致：</w:t>
      </w:r>
      <w:r>
        <w:rPr>
          <w:rFonts w:ascii="宋体" w:hAnsi="宋体" w:cs="宋体"/>
          <w:color w:val="auto"/>
          <w:kern w:val="0"/>
          <w:sz w:val="24"/>
          <w:szCs w:val="24"/>
          <w:highlight w:val="none"/>
          <w:lang w:bidi="ar"/>
        </w:rPr>
        <w:t xml:space="preserve"> （招标人、招标代理机构名称） </w:t>
      </w:r>
    </w:p>
    <w:p>
      <w:pPr>
        <w:pStyle w:val="29"/>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 </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自愿组成联合体，共同参加</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投标。现就联合体投标事宜订立如下协议。</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1、</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为联合体主办方。</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3、联合体将严格按照招标文件的各项要求，递交投标文件，履行合同，并对外承担连带责任。</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4、联合体各成员单位内部的职责分工如下：</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①</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：作为本项目总负责单位（联合体主办方），除负责本项目的机电工程工作外，还对本招标项目的进度、质量、安全、投资控制、管理、协调等负全责，具体按合同要求。</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②</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：主要承担本项目的</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工作，具体按合同要求。</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5、本协议书自签署之日起生效，合同履行完毕后自动失效。</w:t>
      </w:r>
    </w:p>
    <w:p>
      <w:pPr>
        <w:pStyle w:val="29"/>
        <w:widowControl/>
        <w:shd w:val="clear" w:color="auto" w:fill="FFFFFF"/>
        <w:spacing w:line="360" w:lineRule="atLeast"/>
        <w:ind w:firstLine="420"/>
        <w:rPr>
          <w:rFonts w:ascii="微软雅黑" w:hAnsi="微软雅黑" w:eastAsia="微软雅黑" w:cs="微软雅黑"/>
          <w:color w:val="auto"/>
          <w:szCs w:val="24"/>
          <w:highlight w:val="none"/>
        </w:rPr>
      </w:pPr>
      <w:r>
        <w:rPr>
          <w:rFonts w:ascii="宋体" w:hAnsi="宋体" w:cs="宋体"/>
          <w:color w:val="auto"/>
          <w:sz w:val="21"/>
          <w:szCs w:val="21"/>
          <w:highlight w:val="none"/>
          <w:shd w:val="clear" w:color="auto" w:fill="FFFFFF"/>
        </w:rPr>
        <w:t>6、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pStyle w:val="29"/>
        <w:widowControl/>
        <w:shd w:val="clear" w:color="auto" w:fill="FFFFFF"/>
        <w:spacing w:line="360" w:lineRule="atLeast"/>
        <w:rPr>
          <w:rFonts w:ascii="宋体" w:hAnsi="宋体" w:cs="宋体"/>
          <w:color w:val="auto"/>
          <w:sz w:val="21"/>
          <w:szCs w:val="21"/>
          <w:highlight w:val="none"/>
          <w:shd w:val="clear" w:color="auto" w:fill="FFFFFF"/>
        </w:rPr>
      </w:pPr>
    </w:p>
    <w:p>
      <w:pPr>
        <w:pStyle w:val="29"/>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主办方名称：</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（盖单位章）</w:t>
      </w:r>
    </w:p>
    <w:p>
      <w:pPr>
        <w:pStyle w:val="29"/>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法定代表人：</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（签字或盖章）</w:t>
      </w:r>
    </w:p>
    <w:p>
      <w:pPr>
        <w:pStyle w:val="29"/>
        <w:widowControl/>
        <w:shd w:val="clear" w:color="auto" w:fill="FFFFFF"/>
        <w:spacing w:line="360" w:lineRule="atLeast"/>
        <w:rPr>
          <w:rFonts w:ascii="宋体" w:hAnsi="宋体" w:cs="宋体"/>
          <w:color w:val="auto"/>
          <w:sz w:val="21"/>
          <w:szCs w:val="21"/>
          <w:highlight w:val="none"/>
          <w:shd w:val="clear" w:color="auto" w:fill="FFFFFF"/>
        </w:rPr>
      </w:pPr>
    </w:p>
    <w:p>
      <w:pPr>
        <w:pStyle w:val="29"/>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shd w:val="clear" w:color="auto" w:fill="FFFFFF"/>
        </w:rPr>
        <w:t>成员名称：</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（盖单位章）</w:t>
      </w:r>
    </w:p>
    <w:p>
      <w:pPr>
        <w:pStyle w:val="29"/>
        <w:widowControl/>
        <w:shd w:val="clear" w:color="auto" w:fill="FFFFFF"/>
        <w:spacing w:line="360" w:lineRule="atLeast"/>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法定代表人：</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（签字或盖章）</w:t>
      </w:r>
    </w:p>
    <w:p>
      <w:pPr>
        <w:pStyle w:val="29"/>
        <w:widowControl/>
        <w:shd w:val="clear" w:color="auto" w:fill="FFFFFF"/>
        <w:spacing w:line="360" w:lineRule="atLeast"/>
        <w:rPr>
          <w:rFonts w:ascii="宋体" w:hAnsi="宋体" w:cs="宋体"/>
          <w:color w:val="auto"/>
          <w:sz w:val="21"/>
          <w:szCs w:val="21"/>
          <w:highlight w:val="none"/>
          <w:shd w:val="clear" w:color="auto" w:fill="FFFFFF"/>
        </w:rPr>
      </w:pPr>
    </w:p>
    <w:p>
      <w:pPr>
        <w:pStyle w:val="29"/>
        <w:widowControl/>
        <w:shd w:val="clear" w:color="auto" w:fill="FFFFFF"/>
        <w:spacing w:line="360" w:lineRule="atLeast"/>
        <w:rPr>
          <w:rFonts w:ascii="宋体" w:hAnsi="宋体" w:cs="宋体"/>
          <w:color w:val="auto"/>
          <w:sz w:val="21"/>
          <w:szCs w:val="21"/>
          <w:highlight w:val="none"/>
          <w:shd w:val="clear" w:color="auto" w:fill="FFFFFF"/>
        </w:rPr>
      </w:pPr>
    </w:p>
    <w:p>
      <w:pPr>
        <w:pStyle w:val="29"/>
        <w:widowControl/>
        <w:shd w:val="clear" w:color="auto" w:fill="FFFFFF"/>
        <w:spacing w:line="360" w:lineRule="atLeast"/>
        <w:rPr>
          <w:rFonts w:ascii="微软雅黑" w:hAnsi="微软雅黑" w:eastAsia="微软雅黑" w:cs="微软雅黑"/>
          <w:color w:val="auto"/>
          <w:szCs w:val="24"/>
          <w:highlight w:val="none"/>
        </w:rPr>
      </w:pP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年</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月</w:t>
      </w:r>
      <w:r>
        <w:rPr>
          <w:rFonts w:hint="eastAsia" w:ascii="宋体" w:hAnsi="宋体" w:cs="宋体"/>
          <w:color w:val="auto"/>
          <w:sz w:val="21"/>
          <w:szCs w:val="21"/>
          <w:highlight w:val="none"/>
          <w:u w:val="single"/>
          <w:shd w:val="clear" w:color="auto" w:fill="FFFFFF"/>
        </w:rPr>
        <w:t>       </w:t>
      </w:r>
      <w:r>
        <w:rPr>
          <w:rFonts w:hint="eastAsia" w:ascii="宋体" w:hAnsi="宋体" w:cs="宋体"/>
          <w:color w:val="auto"/>
          <w:sz w:val="21"/>
          <w:szCs w:val="21"/>
          <w:highlight w:val="none"/>
          <w:shd w:val="clear" w:color="auto" w:fill="FFFFFF"/>
        </w:rPr>
        <w:t>日</w:t>
      </w:r>
    </w:p>
    <w:p>
      <w:pPr>
        <w:pStyle w:val="29"/>
        <w:widowControl/>
        <w:shd w:val="clear" w:color="auto" w:fill="FFFFFF"/>
        <w:rPr>
          <w:rFonts w:ascii="宋体" w:hAnsi="宋体" w:cs="宋体"/>
          <w:b/>
          <w:bCs/>
          <w:color w:val="auto"/>
          <w:sz w:val="21"/>
          <w:szCs w:val="21"/>
          <w:highlight w:val="none"/>
          <w:shd w:val="clear" w:color="auto" w:fill="FFFFFF"/>
        </w:rPr>
      </w:pPr>
    </w:p>
    <w:p>
      <w:pPr>
        <w:pStyle w:val="29"/>
        <w:widowControl/>
        <w:shd w:val="clear" w:color="auto" w:fill="FFFFFF"/>
        <w:rPr>
          <w:rFonts w:ascii="微软雅黑" w:hAnsi="微软雅黑" w:eastAsia="微软雅黑" w:cs="微软雅黑"/>
          <w:color w:val="auto"/>
          <w:szCs w:val="24"/>
          <w:highlight w:val="none"/>
        </w:rPr>
      </w:pPr>
      <w:r>
        <w:rPr>
          <w:rFonts w:hint="eastAsia" w:ascii="宋体" w:hAnsi="宋体" w:cs="宋体"/>
          <w:b/>
          <w:bCs/>
          <w:color w:val="auto"/>
          <w:sz w:val="21"/>
          <w:szCs w:val="21"/>
          <w:highlight w:val="none"/>
          <w:shd w:val="clear" w:color="auto" w:fill="FFFFFF"/>
        </w:rPr>
        <w:t>注：单独投标的，无需提交本协议书。</w:t>
      </w:r>
    </w:p>
    <w:p>
      <w:pPr>
        <w:tabs>
          <w:tab w:val="left" w:pos="720"/>
        </w:tabs>
        <w:snapToGrid w:val="0"/>
        <w:spacing w:line="360" w:lineRule="auto"/>
        <w:rPr>
          <w:rStyle w:val="59"/>
          <w:color w:val="auto"/>
          <w:highlight w:val="none"/>
        </w:rPr>
      </w:pPr>
      <w:r>
        <w:rPr>
          <w:color w:val="auto"/>
          <w:sz w:val="24"/>
          <w:szCs w:val="24"/>
          <w:highlight w:val="none"/>
        </w:rPr>
        <w:br w:type="page"/>
      </w:r>
      <w:bookmarkStart w:id="51" w:name="_Toc21525513"/>
      <w:bookmarkStart w:id="52" w:name="_Toc2272568"/>
      <w:r>
        <w:rPr>
          <w:rStyle w:val="59"/>
          <w:rFonts w:hint="eastAsia"/>
          <w:color w:val="auto"/>
          <w:highlight w:val="none"/>
        </w:rPr>
        <w:t>第五章</w:t>
      </w:r>
      <w:r>
        <w:rPr>
          <w:rStyle w:val="59"/>
          <w:color w:val="auto"/>
          <w:highlight w:val="none"/>
        </w:rPr>
        <w:t xml:space="preserve">  </w:t>
      </w:r>
      <w:r>
        <w:rPr>
          <w:rStyle w:val="59"/>
          <w:rFonts w:hint="eastAsia"/>
          <w:color w:val="auto"/>
          <w:highlight w:val="none"/>
        </w:rPr>
        <w:t>技术条件（工程建设标准）</w:t>
      </w:r>
      <w:bookmarkEnd w:id="51"/>
      <w:bookmarkEnd w:id="52"/>
    </w:p>
    <w:p>
      <w:pPr>
        <w:pStyle w:val="3"/>
        <w:rPr>
          <w:color w:val="auto"/>
          <w:highlight w:val="none"/>
        </w:rPr>
      </w:pPr>
      <w:bookmarkStart w:id="53" w:name="_Toc22645"/>
      <w:r>
        <w:rPr>
          <w:rFonts w:hint="eastAsia"/>
          <w:color w:val="auto"/>
          <w:highlight w:val="none"/>
        </w:rPr>
        <w:t>技术需求书</w:t>
      </w:r>
    </w:p>
    <w:p>
      <w:pPr>
        <w:pStyle w:val="9"/>
        <w:numPr>
          <w:ilvl w:val="0"/>
          <w:numId w:val="4"/>
        </w:numPr>
        <w:tabs>
          <w:tab w:val="left" w:pos="540"/>
        </w:tabs>
        <w:spacing w:line="360" w:lineRule="auto"/>
        <w:ind w:left="0" w:lef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项目概况及技术规格书</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一）项目概况</w:t>
      </w:r>
    </w:p>
    <w:p>
      <w:pPr>
        <w:pStyle w:val="117"/>
        <w:spacing w:line="360" w:lineRule="auto"/>
        <w:ind w:firstLine="0" w:firstLineChars="0"/>
        <w:rPr>
          <w:rFonts w:ascii="宋体" w:hAnsi="宋体" w:cs="宋体"/>
          <w:color w:val="auto"/>
          <w:highlight w:val="none"/>
          <w:lang w:val="en-US"/>
        </w:rPr>
      </w:pPr>
      <w:r>
        <w:rPr>
          <w:rFonts w:hint="eastAsia" w:ascii="宋体" w:hAnsi="宋体" w:cs="宋体"/>
          <w:color w:val="auto"/>
          <w:highlight w:val="none"/>
          <w:lang w:val="en-US"/>
        </w:rPr>
        <w:t>1、工程概况</w:t>
      </w:r>
    </w:p>
    <w:p>
      <w:pPr>
        <w:pStyle w:val="117"/>
        <w:spacing w:line="360" w:lineRule="auto"/>
        <w:ind w:left="420" w:leftChars="200" w:firstLine="0" w:firstLineChars="0"/>
        <w:rPr>
          <w:rFonts w:ascii="宋体" w:hAnsi="宋体" w:cs="宋体"/>
          <w:color w:val="auto"/>
          <w:highlight w:val="none"/>
          <w:lang w:val="en-US"/>
        </w:rPr>
      </w:pPr>
      <w:r>
        <w:rPr>
          <w:rFonts w:hint="eastAsia" w:ascii="宋体" w:hAnsi="宋体" w:cs="宋体"/>
          <w:color w:val="auto"/>
          <w:highlight w:val="none"/>
          <w:lang w:val="en-US"/>
        </w:rPr>
        <w:t>广州市南沙中心医院位于广州市南沙区丰泽东路105号，医院总占地面积10.05万平方米,</w:t>
      </w:r>
      <w:r>
        <w:rPr>
          <w:rFonts w:hint="eastAsia"/>
          <w:color w:val="auto"/>
          <w:highlight w:val="none"/>
        </w:rPr>
        <w:t xml:space="preserve"> </w:t>
      </w:r>
      <w:r>
        <w:rPr>
          <w:rFonts w:hint="eastAsia" w:ascii="宋体" w:hAnsi="宋体" w:cs="宋体"/>
          <w:color w:val="auto"/>
          <w:highlight w:val="none"/>
          <w:lang w:val="en-US"/>
        </w:rPr>
        <w:t>全院床位数达980张。</w:t>
      </w:r>
    </w:p>
    <w:p>
      <w:pPr>
        <w:pStyle w:val="117"/>
        <w:spacing w:line="360" w:lineRule="auto"/>
        <w:ind w:firstLine="0" w:firstLineChars="0"/>
        <w:rPr>
          <w:rFonts w:ascii="宋体" w:hAnsi="宋体" w:cs="宋体"/>
          <w:color w:val="auto"/>
          <w:highlight w:val="none"/>
          <w:lang w:val="en-US"/>
        </w:rPr>
      </w:pPr>
      <w:r>
        <w:rPr>
          <w:rFonts w:hint="eastAsia" w:ascii="宋体" w:hAnsi="宋体" w:cs="宋体"/>
          <w:color w:val="auto"/>
          <w:highlight w:val="none"/>
          <w:lang w:val="en-US"/>
        </w:rPr>
        <w:t>2、广州市南沙中心医院独立创评三甲医院配套建设工程主要施工范围包括：</w:t>
      </w:r>
    </w:p>
    <w:p>
      <w:pPr>
        <w:pStyle w:val="117"/>
        <w:spacing w:line="360" w:lineRule="auto"/>
        <w:ind w:left="210" w:leftChars="100" w:firstLine="0" w:firstLineChars="0"/>
        <w:rPr>
          <w:rFonts w:ascii="宋体" w:hAnsi="宋体" w:cs="宋体"/>
          <w:color w:val="auto"/>
          <w:szCs w:val="21"/>
          <w:highlight w:val="none"/>
          <w:lang w:val="en-US"/>
        </w:rPr>
      </w:pPr>
      <w:r>
        <w:rPr>
          <w:rFonts w:hint="eastAsia" w:ascii="宋体" w:hAnsi="宋体" w:cs="宋体"/>
          <w:color w:val="auto"/>
          <w:szCs w:val="21"/>
          <w:highlight w:val="none"/>
          <w:lang w:val="en-US"/>
        </w:rPr>
        <w:t>2.1 内科住院楼十三层血液层流病房净化设备采购项目:面积约</w:t>
      </w:r>
      <w:r>
        <w:rPr>
          <w:rFonts w:ascii="宋体" w:hAnsi="宋体" w:cs="宋体"/>
          <w:color w:val="auto"/>
          <w:szCs w:val="21"/>
          <w:highlight w:val="none"/>
          <w:lang w:val="en-US"/>
        </w:rPr>
        <w:t>1591.35</w:t>
      </w:r>
      <w:r>
        <w:rPr>
          <w:rFonts w:hint="eastAsia" w:ascii="宋体" w:hAnsi="宋体" w:cs="宋体"/>
          <w:color w:val="auto"/>
          <w:szCs w:val="21"/>
          <w:highlight w:val="none"/>
          <w:lang w:val="en-US"/>
        </w:rPr>
        <w:t>平方米，包括2</w:t>
      </w:r>
      <w:r>
        <w:rPr>
          <w:rFonts w:ascii="宋体" w:hAnsi="宋体" w:cs="宋体"/>
          <w:color w:val="auto"/>
          <w:szCs w:val="21"/>
          <w:highlight w:val="none"/>
          <w:lang w:val="en-US"/>
        </w:rPr>
        <w:t>0</w:t>
      </w:r>
      <w:r>
        <w:rPr>
          <w:rFonts w:hint="eastAsia" w:ascii="宋体" w:hAnsi="宋体" w:cs="宋体"/>
          <w:color w:val="auto"/>
          <w:szCs w:val="21"/>
          <w:highlight w:val="none"/>
          <w:lang w:val="en-US"/>
        </w:rPr>
        <w:t>间（Ⅰ级）血液层流病房、1间骨髓采集室/手术室（Ⅰ级）及其辅助用房。本次施工内容主要有：建筑、结构、给排水、电气（包括引入电缆）、净化空调（含N</w:t>
      </w:r>
      <w:r>
        <w:rPr>
          <w:rFonts w:ascii="宋体" w:hAnsi="宋体" w:cs="宋体"/>
          <w:color w:val="auto"/>
          <w:szCs w:val="21"/>
          <w:highlight w:val="none"/>
          <w:lang w:val="en-US"/>
        </w:rPr>
        <w:t>ICU</w:t>
      </w:r>
      <w:r>
        <w:rPr>
          <w:rFonts w:hint="eastAsia" w:ascii="宋体" w:hAnsi="宋体" w:cs="宋体"/>
          <w:color w:val="auto"/>
          <w:szCs w:val="21"/>
          <w:highlight w:val="none"/>
          <w:lang w:val="en-US"/>
        </w:rPr>
        <w:t>模块机及水泵更换）、医气系统及消防系统，具体详细内容详见施工图纸。</w:t>
      </w:r>
    </w:p>
    <w:p>
      <w:pPr>
        <w:pStyle w:val="117"/>
        <w:spacing w:line="360" w:lineRule="auto"/>
        <w:ind w:left="630" w:leftChars="100" w:hanging="420" w:hangingChars="200"/>
        <w:rPr>
          <w:rFonts w:ascii="宋体" w:hAnsi="宋体" w:cs="宋体"/>
          <w:color w:val="auto"/>
          <w:szCs w:val="21"/>
          <w:highlight w:val="none"/>
          <w:lang w:val="en-US"/>
        </w:rPr>
      </w:pPr>
      <w:r>
        <w:rPr>
          <w:rFonts w:hint="eastAsia" w:ascii="宋体" w:hAnsi="宋体" w:cs="宋体"/>
          <w:color w:val="auto"/>
          <w:szCs w:val="21"/>
          <w:highlight w:val="none"/>
          <w:lang w:val="en-US"/>
        </w:rPr>
        <w:t>2.2 医技楼四层静脉配置中心改造工程项目：改造区域面积约</w:t>
      </w:r>
      <w:r>
        <w:rPr>
          <w:rFonts w:ascii="宋体" w:hAnsi="宋体" w:cs="宋体"/>
          <w:color w:val="auto"/>
          <w:szCs w:val="21"/>
          <w:highlight w:val="none"/>
          <w:lang w:val="en-US"/>
        </w:rPr>
        <w:t>205.5</w:t>
      </w:r>
      <w:r>
        <w:rPr>
          <w:rFonts w:hint="eastAsia" w:ascii="宋体" w:hAnsi="宋体" w:cs="宋体"/>
          <w:color w:val="auto"/>
          <w:szCs w:val="21"/>
          <w:highlight w:val="none"/>
          <w:lang w:val="en-US"/>
        </w:rPr>
        <w:t>平方米，包括配药室、排药准备、成品核对、药品储藏间、污洗间、治疗室、配置室、卫生间、更衣室、输液大厅等辅助用房。本次施工内容主要有：建筑、结构、给排水、电气、暖通系统及消防系统，具体详细内容详见施工图纸。</w:t>
      </w:r>
    </w:p>
    <w:p>
      <w:pPr>
        <w:pStyle w:val="117"/>
        <w:spacing w:line="360" w:lineRule="auto"/>
        <w:ind w:left="630" w:leftChars="100" w:hanging="420" w:hangingChars="200"/>
        <w:rPr>
          <w:rFonts w:ascii="宋体" w:hAnsi="宋体" w:cs="宋体"/>
          <w:color w:val="auto"/>
          <w:szCs w:val="21"/>
          <w:highlight w:val="none"/>
          <w:lang w:val="en-US"/>
        </w:rPr>
      </w:pPr>
      <w:r>
        <w:rPr>
          <w:rFonts w:hint="eastAsia" w:ascii="宋体" w:hAnsi="宋体" w:cs="宋体"/>
          <w:color w:val="auto"/>
          <w:szCs w:val="21"/>
          <w:highlight w:val="none"/>
          <w:lang w:val="en-US"/>
        </w:rPr>
        <w:t>2.3 医技楼二层血科改造工程项目：改造区域面积339.8平方米，包括发血室、储血室、标本接收间、治疗室、大实验室、值班室、更衣室等辅助用房。本次施工内容主要有：建筑、给排水、电气、空调、医气系统及消防系统，具体详细内容详见施工图纸。</w:t>
      </w:r>
    </w:p>
    <w:p>
      <w:pPr>
        <w:pStyle w:val="117"/>
        <w:spacing w:line="360" w:lineRule="auto"/>
        <w:ind w:left="630" w:leftChars="100" w:hanging="420" w:hangingChars="200"/>
        <w:rPr>
          <w:rFonts w:ascii="宋体" w:hAnsi="宋体" w:cs="宋体"/>
          <w:color w:val="auto"/>
          <w:szCs w:val="21"/>
          <w:highlight w:val="none"/>
          <w:lang w:val="en-US"/>
        </w:rPr>
      </w:pPr>
      <w:r>
        <w:rPr>
          <w:rFonts w:hint="eastAsia" w:ascii="宋体" w:hAnsi="宋体" w:cs="宋体"/>
          <w:color w:val="auto"/>
          <w:szCs w:val="21"/>
          <w:highlight w:val="none"/>
          <w:lang w:val="en-US"/>
        </w:rPr>
        <w:t>2</w:t>
      </w:r>
      <w:r>
        <w:rPr>
          <w:rFonts w:ascii="宋体" w:hAnsi="宋体" w:cs="宋体"/>
          <w:color w:val="auto"/>
          <w:szCs w:val="21"/>
          <w:highlight w:val="none"/>
          <w:lang w:val="en-US"/>
        </w:rPr>
        <w:t xml:space="preserve">.4 </w:t>
      </w:r>
      <w:r>
        <w:rPr>
          <w:rFonts w:hint="eastAsia" w:ascii="宋体" w:hAnsi="宋体" w:cs="宋体"/>
          <w:color w:val="auto"/>
          <w:szCs w:val="21"/>
          <w:highlight w:val="none"/>
          <w:lang w:val="en-US"/>
        </w:rPr>
        <w:t>一层康复理疗中心工程项目：改造区域面积</w:t>
      </w:r>
      <w:r>
        <w:rPr>
          <w:rFonts w:ascii="宋体" w:hAnsi="宋体" w:cs="宋体"/>
          <w:color w:val="auto"/>
          <w:szCs w:val="21"/>
          <w:highlight w:val="none"/>
          <w:lang w:val="en-US"/>
        </w:rPr>
        <w:t>66.5</w:t>
      </w:r>
      <w:r>
        <w:rPr>
          <w:rFonts w:hint="eastAsia" w:ascii="宋体" w:hAnsi="宋体" w:cs="宋体"/>
          <w:color w:val="auto"/>
          <w:szCs w:val="21"/>
          <w:highlight w:val="none"/>
          <w:lang w:val="en-US"/>
        </w:rPr>
        <w:t>平方米，包括康复理疗中心、茶水间、卫生间。本次施工内容主要有：建筑、给排水、电气系统，具体详细内容详见施工图纸。</w:t>
      </w:r>
    </w:p>
    <w:p>
      <w:pPr>
        <w:pStyle w:val="117"/>
        <w:spacing w:line="360" w:lineRule="auto"/>
        <w:ind w:left="630" w:leftChars="100" w:hanging="420" w:hangingChars="200"/>
        <w:rPr>
          <w:rFonts w:ascii="宋体" w:hAnsi="宋体" w:cs="宋体"/>
          <w:color w:val="auto"/>
          <w:szCs w:val="21"/>
          <w:highlight w:val="none"/>
          <w:lang w:val="en-US"/>
        </w:rPr>
      </w:pPr>
      <w:r>
        <w:rPr>
          <w:rFonts w:ascii="宋体" w:hAnsi="宋体" w:cs="宋体"/>
          <w:color w:val="auto"/>
          <w:szCs w:val="21"/>
          <w:highlight w:val="none"/>
          <w:lang w:val="en-US"/>
        </w:rPr>
        <w:t xml:space="preserve">2.5 </w:t>
      </w:r>
      <w:r>
        <w:rPr>
          <w:rFonts w:hint="eastAsia" w:ascii="宋体" w:hAnsi="宋体" w:cs="宋体"/>
          <w:color w:val="auto"/>
          <w:szCs w:val="21"/>
          <w:highlight w:val="none"/>
          <w:lang w:val="en-US"/>
        </w:rPr>
        <w:t xml:space="preserve">门诊楼、医技楼微改造： </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门诊楼首层玻璃大堂：改造区域面积</w:t>
      </w:r>
      <w:r>
        <w:rPr>
          <w:rFonts w:ascii="宋体" w:hAnsi="宋体" w:cs="宋体"/>
          <w:color w:val="auto"/>
          <w:szCs w:val="21"/>
          <w:highlight w:val="none"/>
          <w:lang w:val="en-US"/>
        </w:rPr>
        <w:t>342.5</w:t>
      </w:r>
      <w:r>
        <w:rPr>
          <w:rFonts w:hint="eastAsia" w:ascii="宋体" w:hAnsi="宋体" w:cs="宋体"/>
          <w:color w:val="auto"/>
          <w:szCs w:val="21"/>
          <w:highlight w:val="none"/>
          <w:lang w:val="en-US"/>
        </w:rPr>
        <w:t>平方米，包括首层大堂，本次施工内容主要有：建筑、电气系统（天花增加布艺装饰、增加4台立式空调、消防管重新刷漆、天花玻璃重新贴膜、重新布置灯具），具体详细内容详见施工图纸。</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门诊楼首层卫生间：改造区域面积</w:t>
      </w:r>
      <w:r>
        <w:rPr>
          <w:rFonts w:ascii="宋体" w:hAnsi="宋体" w:cs="宋体"/>
          <w:color w:val="auto"/>
          <w:szCs w:val="21"/>
          <w:highlight w:val="none"/>
          <w:lang w:val="en-US"/>
        </w:rPr>
        <w:t>53.95</w:t>
      </w:r>
      <w:r>
        <w:rPr>
          <w:rFonts w:hint="eastAsia" w:ascii="宋体" w:hAnsi="宋体" w:cs="宋体"/>
          <w:color w:val="auto"/>
          <w:szCs w:val="21"/>
          <w:highlight w:val="none"/>
          <w:lang w:val="en-US"/>
        </w:rPr>
        <w:t>平方米，包括男卫、女卫1，女卫2、无障厕/第三厕、走廊，本次施工内容主要有：建筑、电气、给排水系统（拆除原有地面、墙面、顶棚重做，原无菌室、污洗间、浴厕改为男卫卫生间设置下排风），具体详细内容详见施工图纸。</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门诊楼首层体检中心：改造区域面积</w:t>
      </w:r>
      <w:r>
        <w:rPr>
          <w:rFonts w:ascii="宋体" w:hAnsi="宋体" w:cs="宋体"/>
          <w:color w:val="auto"/>
          <w:szCs w:val="21"/>
          <w:highlight w:val="none"/>
          <w:lang w:val="en-US"/>
        </w:rPr>
        <w:t>728.84</w:t>
      </w:r>
      <w:r>
        <w:rPr>
          <w:rFonts w:hint="eastAsia" w:ascii="宋体" w:hAnsi="宋体" w:cs="宋体"/>
          <w:color w:val="auto"/>
          <w:szCs w:val="21"/>
          <w:highlight w:val="none"/>
          <w:lang w:val="en-US"/>
        </w:rPr>
        <w:t>平方米，包括体检大厅、诊室、抽血取样、资料室、餐室、B超室、心电图、仓库等辅助用房，本次施工内容主要有：建筑、电气、给排水系统（1.拆除空间内所有地面、墙面、天花，拆除所有门，入口玻璃大门除外 ，新做地面、墙面及天花，新做门，护士站改造，卫生间改造），具体详细内容详见施工图纸。</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体检中心门口周边改造：改造区域面积</w:t>
      </w:r>
      <w:r>
        <w:rPr>
          <w:rFonts w:ascii="宋体" w:hAnsi="宋体" w:cs="宋体"/>
          <w:color w:val="auto"/>
          <w:szCs w:val="21"/>
          <w:highlight w:val="none"/>
          <w:lang w:val="en-US"/>
        </w:rPr>
        <w:t>50.74</w:t>
      </w:r>
      <w:r>
        <w:rPr>
          <w:rFonts w:hint="eastAsia" w:ascii="宋体" w:hAnsi="宋体" w:cs="宋体"/>
          <w:color w:val="auto"/>
          <w:szCs w:val="21"/>
          <w:highlight w:val="none"/>
          <w:lang w:val="en-US"/>
        </w:rPr>
        <w:t>平方米，包括拆除北门门口处平台、花池、台阶，重新建设新建人行道拆除新建东门处2个花池，本次施工内容主要有：建筑系统，具体详细内容详见施工图纸。</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门诊楼二层口腔科：改造区域面积</w:t>
      </w:r>
      <w:r>
        <w:rPr>
          <w:rFonts w:ascii="宋体" w:hAnsi="宋体" w:cs="宋体"/>
          <w:color w:val="auto"/>
          <w:szCs w:val="21"/>
          <w:highlight w:val="none"/>
          <w:lang w:val="en-US"/>
        </w:rPr>
        <w:t>691.64</w:t>
      </w:r>
      <w:r>
        <w:rPr>
          <w:rFonts w:hint="eastAsia" w:ascii="宋体" w:hAnsi="宋体" w:cs="宋体"/>
          <w:color w:val="auto"/>
          <w:szCs w:val="21"/>
          <w:highlight w:val="none"/>
          <w:lang w:val="en-US"/>
        </w:rPr>
        <w:t>平方米，包括牙科诊室、种植室、数字化诊室、V</w:t>
      </w:r>
      <w:r>
        <w:rPr>
          <w:rFonts w:ascii="宋体" w:hAnsi="宋体" w:cs="宋体"/>
          <w:color w:val="auto"/>
          <w:szCs w:val="21"/>
          <w:highlight w:val="none"/>
          <w:lang w:val="en-US"/>
        </w:rPr>
        <w:t>IP</w:t>
      </w:r>
      <w:r>
        <w:rPr>
          <w:rFonts w:hint="eastAsia" w:ascii="宋体" w:hAnsi="宋体" w:cs="宋体"/>
          <w:color w:val="auto"/>
          <w:szCs w:val="21"/>
          <w:highlight w:val="none"/>
          <w:lang w:val="en-US"/>
        </w:rPr>
        <w:t>室、分拣预处理、器械消毒等辅助用房，本次施工内容主要有：建筑、电气、给排水系统（新建牙室、增加大理石洗手台、大门改造铝塑板、封窗4个），具体详细内容详见施工图纸。</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门诊楼二层妇产科：改造区域面积</w:t>
      </w:r>
      <w:r>
        <w:rPr>
          <w:rFonts w:ascii="宋体" w:hAnsi="宋体" w:cs="宋体"/>
          <w:color w:val="auto"/>
          <w:szCs w:val="21"/>
          <w:highlight w:val="none"/>
          <w:lang w:val="en-US"/>
        </w:rPr>
        <w:t>978.83</w:t>
      </w:r>
      <w:r>
        <w:rPr>
          <w:rFonts w:hint="eastAsia" w:ascii="宋体" w:hAnsi="宋体" w:cs="宋体"/>
          <w:color w:val="auto"/>
          <w:szCs w:val="21"/>
          <w:highlight w:val="none"/>
          <w:lang w:val="en-US"/>
        </w:rPr>
        <w:t>平方米，包括产科诊室、妇科诊室等配套辅助用房，本次施工内容主要有：建筑、电气、给排水、医气系统（拆除部分门并重新开门洞安装新门，阴道镜室隔断拆除更换,拆除部分空间墙体，原会诊/示教室改做公用VIP室，胎监室新增设备带），具体详细内容详见施工图纸。</w:t>
      </w:r>
    </w:p>
    <w:p>
      <w:pPr>
        <w:pStyle w:val="117"/>
        <w:numPr>
          <w:ilvl w:val="0"/>
          <w:numId w:val="5"/>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医技楼三层内镜中心：改造区域面积</w:t>
      </w:r>
      <w:r>
        <w:rPr>
          <w:rFonts w:ascii="宋体" w:hAnsi="宋体" w:cs="宋体"/>
          <w:color w:val="auto"/>
          <w:szCs w:val="21"/>
          <w:highlight w:val="none"/>
          <w:lang w:val="en-US"/>
        </w:rPr>
        <w:t>84.44</w:t>
      </w:r>
      <w:r>
        <w:rPr>
          <w:rFonts w:hint="eastAsia" w:ascii="宋体" w:hAnsi="宋体" w:cs="宋体"/>
          <w:color w:val="auto"/>
          <w:szCs w:val="21"/>
          <w:highlight w:val="none"/>
          <w:lang w:val="en-US"/>
        </w:rPr>
        <w:t>平方米，包括接待室、治疗室、卫生间，本次施工内容主要有：建筑、电气、给排水、医气系统，具体详细内容详见施工图纸。。</w:t>
      </w:r>
    </w:p>
    <w:p>
      <w:pPr>
        <w:pStyle w:val="117"/>
        <w:spacing w:line="360" w:lineRule="auto"/>
        <w:ind w:left="210" w:firstLine="0" w:firstLineChars="0"/>
        <w:rPr>
          <w:rFonts w:ascii="宋体" w:hAnsi="宋体" w:cs="宋体"/>
          <w:color w:val="auto"/>
          <w:szCs w:val="21"/>
          <w:highlight w:val="none"/>
          <w:lang w:val="en-US"/>
        </w:rPr>
      </w:pPr>
      <w:r>
        <w:rPr>
          <w:rFonts w:ascii="宋体" w:hAnsi="宋体" w:cs="宋体"/>
          <w:color w:val="auto"/>
          <w:szCs w:val="21"/>
          <w:highlight w:val="none"/>
          <w:lang w:val="en-US"/>
        </w:rPr>
        <w:t xml:space="preserve">2.6 </w:t>
      </w:r>
      <w:r>
        <w:rPr>
          <w:rFonts w:hint="eastAsia" w:ascii="宋体" w:hAnsi="宋体" w:cs="宋体"/>
          <w:color w:val="auto"/>
          <w:szCs w:val="21"/>
          <w:highlight w:val="none"/>
          <w:lang w:val="en-US"/>
        </w:rPr>
        <w:t>室外及配套工程：</w:t>
      </w:r>
    </w:p>
    <w:p>
      <w:pPr>
        <w:pStyle w:val="117"/>
        <w:numPr>
          <w:ilvl w:val="0"/>
          <w:numId w:val="6"/>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污水处理站改造：本期为污水处理站房改造项目，本次改造区域所在楼层为第-1、1层，本次改造不影响原消防设计、不影响暖通空调设计。本项目所在楼层层高4.5m，改造面积约为：543方米。本次改造对灯具、开关、设备及线路等进行更换。</w:t>
      </w:r>
    </w:p>
    <w:p>
      <w:pPr>
        <w:pStyle w:val="117"/>
        <w:numPr>
          <w:ilvl w:val="0"/>
          <w:numId w:val="6"/>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非机动车停车棚：新建非机动车停车棚、拆除部分混凝土地面、新建人行道、树池、花池。</w:t>
      </w:r>
    </w:p>
    <w:p>
      <w:pPr>
        <w:pStyle w:val="117"/>
        <w:numPr>
          <w:ilvl w:val="0"/>
          <w:numId w:val="6"/>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钢结构加成品雨篷：</w:t>
      </w:r>
      <w:r>
        <w:rPr>
          <w:rFonts w:hint="eastAsia" w:ascii="仿宋_GB2312" w:hAnsi="仿宋_GB2312" w:eastAsia="仿宋_GB2312" w:cs="仿宋_GB2312"/>
          <w:color w:val="auto"/>
          <w:kern w:val="0"/>
          <w:szCs w:val="21"/>
          <w:highlight w:val="none"/>
        </w:rPr>
        <w:t>500</w:t>
      </w:r>
      <w:r>
        <w:rPr>
          <w:rFonts w:hint="eastAsia" w:ascii="宋体" w:hAnsi="宋体" w:cs="宋体"/>
          <w:color w:val="auto"/>
          <w:szCs w:val="21"/>
          <w:highlight w:val="none"/>
          <w:lang w:val="en-US"/>
        </w:rPr>
        <w:t>平方米。</w:t>
      </w:r>
    </w:p>
    <w:p>
      <w:pPr>
        <w:pStyle w:val="117"/>
        <w:numPr>
          <w:ilvl w:val="0"/>
          <w:numId w:val="6"/>
        </w:numPr>
        <w:spacing w:line="360" w:lineRule="auto"/>
        <w:ind w:firstLineChars="0"/>
        <w:rPr>
          <w:rFonts w:ascii="宋体" w:hAnsi="宋体" w:cs="宋体"/>
          <w:color w:val="auto"/>
          <w:szCs w:val="21"/>
          <w:highlight w:val="none"/>
          <w:lang w:val="en-US"/>
        </w:rPr>
      </w:pPr>
      <w:r>
        <w:rPr>
          <w:rFonts w:hint="eastAsia" w:ascii="宋体" w:hAnsi="宋体" w:cs="宋体"/>
          <w:color w:val="auto"/>
          <w:szCs w:val="21"/>
          <w:highlight w:val="none"/>
          <w:lang w:val="en-US"/>
        </w:rPr>
        <w:t>铺设透水砖：</w:t>
      </w:r>
      <w:r>
        <w:rPr>
          <w:rFonts w:hint="eastAsia" w:ascii="仿宋_GB2312" w:hAnsi="仿宋_GB2312" w:eastAsia="仿宋_GB2312" w:cs="仿宋_GB2312"/>
          <w:color w:val="auto"/>
          <w:kern w:val="0"/>
          <w:szCs w:val="21"/>
          <w:highlight w:val="none"/>
        </w:rPr>
        <w:t>240</w:t>
      </w:r>
      <w:r>
        <w:rPr>
          <w:rFonts w:hint="eastAsia" w:ascii="宋体" w:hAnsi="宋体" w:cs="宋体"/>
          <w:color w:val="auto"/>
          <w:szCs w:val="21"/>
          <w:highlight w:val="none"/>
          <w:lang w:val="en-US"/>
        </w:rPr>
        <w:t>平方米。</w:t>
      </w:r>
    </w:p>
    <w:p>
      <w:pPr>
        <w:pStyle w:val="117"/>
        <w:spacing w:line="360" w:lineRule="auto"/>
        <w:ind w:left="630" w:leftChars="100" w:hanging="420" w:hangingChars="200"/>
        <w:rPr>
          <w:rFonts w:ascii="宋体" w:hAnsi="宋体" w:cs="宋体"/>
          <w:color w:val="auto"/>
          <w:szCs w:val="21"/>
          <w:highlight w:val="none"/>
          <w:lang w:val="en-US"/>
        </w:rPr>
      </w:pPr>
      <w:r>
        <w:rPr>
          <w:rFonts w:hint="eastAsia" w:ascii="宋体" w:hAnsi="宋体" w:cs="宋体"/>
          <w:color w:val="auto"/>
          <w:szCs w:val="21"/>
          <w:highlight w:val="none"/>
          <w:lang w:val="en-US"/>
        </w:rPr>
        <w:t>2.7具体施工内容包含医技部分（装饰专业、电气专业、洁净空调及暖通专业、给排水专业）、医气部分、消防专业等。具体内容以经建设单位确认的施工图纸和工程量清单为准。</w:t>
      </w:r>
    </w:p>
    <w:p>
      <w:pPr>
        <w:pStyle w:val="117"/>
        <w:spacing w:line="360" w:lineRule="auto"/>
        <w:ind w:firstLine="0" w:firstLineChars="0"/>
        <w:rPr>
          <w:rFonts w:ascii="宋体" w:hAnsi="宋体" w:cs="宋体"/>
          <w:color w:val="auto"/>
          <w:szCs w:val="21"/>
          <w:highlight w:val="none"/>
          <w:lang w:val="en-US"/>
        </w:rPr>
      </w:pPr>
      <w:r>
        <w:rPr>
          <w:rFonts w:hint="eastAsia" w:ascii="宋体" w:hAnsi="宋体" w:cs="宋体"/>
          <w:color w:val="auto"/>
          <w:szCs w:val="21"/>
          <w:highlight w:val="none"/>
          <w:lang w:val="en-US"/>
        </w:rPr>
        <w:t>3、工程质量：合格</w:t>
      </w:r>
    </w:p>
    <w:p>
      <w:pPr>
        <w:pStyle w:val="117"/>
        <w:spacing w:line="360" w:lineRule="auto"/>
        <w:ind w:firstLineChars="0"/>
        <w:rPr>
          <w:rFonts w:ascii="宋体" w:hAnsi="宋体" w:cs="宋体"/>
          <w:b/>
          <w:bCs/>
          <w:color w:val="auto"/>
          <w:sz w:val="24"/>
          <w:highlight w:val="none"/>
          <w:lang w:val="en-US"/>
        </w:rPr>
      </w:pPr>
      <w:r>
        <w:rPr>
          <w:rFonts w:hint="eastAsia" w:ascii="宋体" w:hAnsi="宋体" w:cs="宋体"/>
          <w:b/>
          <w:bCs/>
          <w:color w:val="auto"/>
          <w:sz w:val="24"/>
          <w:highlight w:val="none"/>
          <w:lang w:val="en-US"/>
        </w:rPr>
        <w:t>二）技术规格书</w:t>
      </w:r>
    </w:p>
    <w:p>
      <w:pPr>
        <w:pStyle w:val="117"/>
        <w:spacing w:line="360" w:lineRule="auto"/>
        <w:ind w:left="420" w:hanging="420" w:hangingChars="200"/>
        <w:rPr>
          <w:rFonts w:ascii="宋体" w:hAnsi="宋体" w:cs="宋体"/>
          <w:color w:val="auto"/>
          <w:szCs w:val="21"/>
          <w:highlight w:val="none"/>
        </w:rPr>
      </w:pPr>
      <w:r>
        <w:rPr>
          <w:rFonts w:hint="eastAsia" w:ascii="宋体" w:hAnsi="宋体" w:cs="宋体"/>
          <w:color w:val="auto"/>
          <w:szCs w:val="21"/>
          <w:highlight w:val="none"/>
          <w:lang w:val="en-US"/>
        </w:rPr>
        <w:t>1、 货物</w:t>
      </w:r>
      <w:r>
        <w:rPr>
          <w:rFonts w:hint="eastAsia" w:ascii="宋体" w:hAnsi="宋体" w:cs="宋体"/>
          <w:color w:val="auto"/>
          <w:szCs w:val="21"/>
          <w:highlight w:val="none"/>
        </w:rPr>
        <w:t>所遵循的标准和质量保证</w:t>
      </w:r>
    </w:p>
    <w:p>
      <w:pPr>
        <w:spacing w:line="360" w:lineRule="auto"/>
        <w:ind w:left="840" w:leftChars="200" w:hanging="420" w:hanging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 中标人提供的所有货物，应有完善的质量检测手段和质量保证体系，产品须符合最新颁发的国家标准和行业标准。</w:t>
      </w:r>
    </w:p>
    <w:p>
      <w:pPr>
        <w:spacing w:line="360" w:lineRule="auto"/>
        <w:ind w:left="840" w:leftChars="200" w:hanging="420" w:hanging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 中标人所提供的货物的设计、制造、产品的性能，材料的选择和材料的检验及产品的测试等，应符合本招标文件技术要求规定，同时符合相应的国家标准，行业标准和国际标准。</w:t>
      </w:r>
    </w:p>
    <w:p>
      <w:pPr>
        <w:spacing w:line="360" w:lineRule="auto"/>
        <w:ind w:left="840" w:leftChars="200" w:hanging="420" w:hanging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在本技术规范中引用的标准和规范，应是在投标截止日期之前30天内尚在通用的或最新版本标准。所有提供设备的设计、制造、检验、测试、验收等标准应符合国际标准化组织及国际、国内相关行业已实施的标准。</w:t>
      </w:r>
    </w:p>
    <w:p>
      <w:pPr>
        <w:spacing w:line="360" w:lineRule="auto"/>
        <w:ind w:left="840" w:leftChars="200" w:hanging="420" w:hanging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 如中华人民共和国实施强制性产品认证的产品目录中要求的所供设备必需具有CCC认证证书，须提供CCC证书复印件。</w:t>
      </w:r>
    </w:p>
    <w:p>
      <w:pPr>
        <w:spacing w:line="360" w:lineRule="auto"/>
        <w:ind w:left="840" w:leftChars="200" w:hanging="420" w:hanging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 包含以上但不限于以上国家及工程所在地现行的技术规范及标准要求，技术规范和标准若有新版本，以采购时的最新版本为准。包括但不限于下列规范：</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《医院洁净手术部建筑技术规范》GB50333-2013</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《综合医院建筑设计规范》GB51039-201</w:t>
      </w:r>
      <w:r>
        <w:rPr>
          <w:rFonts w:ascii="宋体" w:hAnsi="宋体" w:cs="宋体"/>
          <w:color w:val="auto"/>
          <w:szCs w:val="21"/>
          <w:highlight w:val="none"/>
        </w:rPr>
        <w:t>4</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《医院消毒卫生标准》GB 15982-2012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《医院洁净室及相关受控环境应用规范》GBT33556.1-2017</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《医疗机构消毒技术规范》WST 367-2012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《病区医院感染管理规范》WST 510-2016</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《医院空气净化管理规范》WST 368-2012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《器官移植病区医院感染预防与控制规范》WS/T643-2021</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《造血干细胞移植病房建设与配置标准》T/CAME 49-2022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《骨髓移植病房建设标准》T/NAHIEM 54-2022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《洁净室施工及验收规范》GB50591-2010</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《民用建筑供暖通风与空气调节设计规范》GB 50736-2012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《通风与空调工程施工质量验收规范》GB 50243-2016</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《高效空气过滤器》GB/T 13554-2008</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《民用建筑电气设计规范》JGJ/T16-2008</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《医疗建筑电气设计规范》JGJ 312-2013</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《综合布线系统工程设计规范》GB50311-2016</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《智能建筑设计标准》GB 50314-2015</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《建筑给水排水设计规范》GB50015-2003</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《建筑设计防火规范》GB50016-2014（2018版）</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《医用气体工程技术规范》GB50751-2012</w:t>
      </w:r>
    </w:p>
    <w:p>
      <w:pPr>
        <w:spacing w:line="360" w:lineRule="auto"/>
        <w:ind w:left="1050" w:leftChars="300" w:hanging="420" w:hangingChars="200"/>
        <w:rPr>
          <w:rFonts w:ascii="宋体" w:hAnsi="宋体" w:cs="宋体"/>
          <w:color w:val="auto"/>
          <w:szCs w:val="21"/>
          <w:highlight w:val="none"/>
        </w:rPr>
      </w:pPr>
      <w:r>
        <w:rPr>
          <w:rFonts w:hint="eastAsia" w:ascii="宋体" w:hAnsi="宋体" w:cs="宋体"/>
          <w:color w:val="auto"/>
          <w:szCs w:val="21"/>
          <w:highlight w:val="none"/>
        </w:rPr>
        <w:t>《医用气体管道系统》英国HTM2022</w:t>
      </w:r>
    </w:p>
    <w:p>
      <w:pPr>
        <w:pStyle w:val="117"/>
        <w:spacing w:line="360" w:lineRule="auto"/>
        <w:ind w:firstLine="0" w:firstLineChars="0"/>
        <w:rPr>
          <w:rFonts w:ascii="宋体" w:hAnsi="宋体" w:cs="宋体"/>
          <w:color w:val="auto"/>
          <w:szCs w:val="21"/>
          <w:highlight w:val="none"/>
          <w:lang w:val="en-US"/>
        </w:rPr>
      </w:pPr>
      <w:r>
        <w:rPr>
          <w:rFonts w:ascii="宋体" w:hAnsi="宋体" w:cs="宋体"/>
          <w:color w:val="auto"/>
          <w:szCs w:val="21"/>
          <w:highlight w:val="none"/>
          <w:lang w:val="en-US"/>
        </w:rPr>
        <w:t>2</w:t>
      </w:r>
      <w:r>
        <w:rPr>
          <w:rFonts w:hint="eastAsia" w:ascii="宋体" w:hAnsi="宋体" w:cs="宋体"/>
          <w:color w:val="auto"/>
          <w:szCs w:val="21"/>
          <w:highlight w:val="none"/>
          <w:lang w:val="en-US"/>
        </w:rPr>
        <w:t>、设备机组减震降噪要求：十三层血液层流病房改造项目为本项目重点核心工程，由于百级层流的特殊要求，每间层流病房对应一台空调机组设置在上层屋面机房</w:t>
      </w:r>
      <w:r>
        <w:rPr>
          <w:rFonts w:hint="eastAsia" w:ascii="宋体" w:hAnsi="宋体" w:cs="宋体"/>
          <w:color w:val="auto"/>
          <w:szCs w:val="21"/>
          <w:highlight w:val="none"/>
          <w:lang w:val="en-US" w:eastAsia="zh-CN"/>
        </w:rPr>
        <w:t>,其中4台设置在同层污物通道，2台设置在同层空调机房</w:t>
      </w:r>
      <w:r>
        <w:rPr>
          <w:rFonts w:hint="eastAsia" w:ascii="宋体" w:hAnsi="宋体" w:cs="宋体"/>
          <w:color w:val="auto"/>
          <w:szCs w:val="21"/>
          <w:highlight w:val="none"/>
          <w:lang w:val="en-US"/>
        </w:rPr>
        <w:t>，为保证病房内噪音满足规范要求（≤4</w:t>
      </w:r>
      <w:r>
        <w:rPr>
          <w:rFonts w:ascii="宋体" w:hAnsi="宋体" w:cs="宋体"/>
          <w:color w:val="auto"/>
          <w:szCs w:val="21"/>
          <w:highlight w:val="none"/>
          <w:lang w:val="en-US"/>
        </w:rPr>
        <w:t>0</w:t>
      </w:r>
      <w:r>
        <w:rPr>
          <w:rFonts w:hint="eastAsia" w:ascii="宋体" w:hAnsi="宋体" w:cs="宋体"/>
          <w:color w:val="auto"/>
          <w:szCs w:val="21"/>
          <w:highlight w:val="none"/>
          <w:lang w:val="en-US"/>
        </w:rPr>
        <w:t>dB(A)），需满足以下要求：</w:t>
      </w:r>
    </w:p>
    <w:p>
      <w:pPr>
        <w:pStyle w:val="117"/>
        <w:spacing w:line="360" w:lineRule="auto"/>
        <w:ind w:firstLine="0" w:firstLineChars="0"/>
        <w:rPr>
          <w:rFonts w:ascii="宋体" w:hAnsi="宋体" w:cs="宋体"/>
          <w:color w:val="auto"/>
          <w:szCs w:val="21"/>
          <w:highlight w:val="none"/>
          <w:lang w:val="en-US"/>
        </w:rPr>
      </w:pPr>
      <w:r>
        <w:rPr>
          <w:rFonts w:hint="eastAsia" w:ascii="宋体" w:hAnsi="宋体" w:cs="宋体"/>
          <w:color w:val="auto"/>
          <w:szCs w:val="21"/>
          <w:highlight w:val="none"/>
          <w:lang w:val="en-US"/>
        </w:rPr>
        <w:t>（1）净化空调机组需满足《技术需求书》中主要设备材料表参数需求，其中风机为产生噪音的主要部件，需要采用进口EBM直流无刷数字化风机；</w:t>
      </w:r>
    </w:p>
    <w:p>
      <w:pPr>
        <w:pStyle w:val="117"/>
        <w:spacing w:line="360" w:lineRule="auto"/>
        <w:ind w:firstLine="0" w:firstLineChars="0"/>
        <w:rPr>
          <w:rFonts w:ascii="宋体" w:hAnsi="宋体" w:cs="宋体"/>
          <w:color w:val="auto"/>
          <w:szCs w:val="21"/>
          <w:highlight w:val="none"/>
          <w:lang w:val="en-US"/>
        </w:rPr>
      </w:pPr>
      <w:r>
        <w:rPr>
          <w:rFonts w:hint="eastAsia" w:ascii="宋体" w:hAnsi="宋体" w:cs="宋体"/>
          <w:color w:val="auto"/>
          <w:szCs w:val="21"/>
          <w:highlight w:val="none"/>
          <w:lang w:val="en-US"/>
        </w:rPr>
        <w:t>（2）设备基础需要严格按照施工图要求实施，设备基础不应直接设置在楼板上，应受力于梁柱，应采用橡胶减震垫以及弹簧减震底座。</w:t>
      </w:r>
    </w:p>
    <w:p>
      <w:pPr>
        <w:pStyle w:val="117"/>
        <w:spacing w:line="360" w:lineRule="auto"/>
        <w:ind w:firstLine="0" w:firstLineChars="0"/>
        <w:rPr>
          <w:rFonts w:ascii="宋体" w:hAnsi="宋体" w:cs="宋体"/>
          <w:color w:val="auto"/>
          <w:szCs w:val="21"/>
          <w:highlight w:val="none"/>
          <w:lang w:val="en-US"/>
        </w:rPr>
      </w:pPr>
      <w:r>
        <w:rPr>
          <w:rFonts w:hint="eastAsia" w:ascii="宋体" w:hAnsi="宋体" w:cs="宋体"/>
          <w:color w:val="auto"/>
          <w:szCs w:val="21"/>
          <w:highlight w:val="none"/>
          <w:lang w:val="en-US"/>
        </w:rPr>
        <w:t>3、主要设备材料表</w:t>
      </w:r>
    </w:p>
    <w:p>
      <w:pPr>
        <w:jc w:val="center"/>
        <w:rPr>
          <w:color w:val="auto"/>
          <w:highlight w:val="none"/>
        </w:rPr>
      </w:pP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0" w:type="dxa"/>
          <w:right w:w="15" w:type="dxa"/>
        </w:tblCellMar>
      </w:tblPr>
      <w:tblGrid>
        <w:gridCol w:w="403"/>
        <w:gridCol w:w="935"/>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540" w:hRule="atLeast"/>
          <w:jc w:val="center"/>
        </w:trPr>
        <w:tc>
          <w:tcPr>
            <w:tcW w:w="242" w:type="pct"/>
            <w:shd w:val="clear" w:color="auto" w:fill="auto"/>
            <w:noWrap/>
            <w:vAlign w:val="center"/>
          </w:tcPr>
          <w:p>
            <w:pPr>
              <w:ind w:left="-38" w:leftChars="-18" w:firstLine="40" w:firstLineChars="22"/>
              <w:jc w:val="center"/>
              <w:rPr>
                <w:rFonts w:ascii="宋体" w:hAnsi="宋体"/>
                <w:b/>
                <w:bCs/>
                <w:color w:val="auto"/>
                <w:sz w:val="18"/>
                <w:szCs w:val="18"/>
                <w:highlight w:val="none"/>
              </w:rPr>
            </w:pPr>
            <w:r>
              <w:rPr>
                <w:rFonts w:hint="eastAsia" w:ascii="宋体" w:hAnsi="宋体"/>
                <w:b/>
                <w:bCs/>
                <w:color w:val="auto"/>
                <w:sz w:val="18"/>
                <w:szCs w:val="18"/>
                <w:highlight w:val="none"/>
              </w:rPr>
              <w:t>序号</w:t>
            </w:r>
          </w:p>
        </w:tc>
        <w:tc>
          <w:tcPr>
            <w:tcW w:w="561" w:type="pct"/>
            <w:shd w:val="clear" w:color="auto" w:fill="auto"/>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设备名称</w:t>
            </w:r>
          </w:p>
        </w:tc>
        <w:tc>
          <w:tcPr>
            <w:tcW w:w="4195" w:type="pct"/>
            <w:shd w:val="clear" w:color="auto" w:fill="auto"/>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型号规格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510" w:hRule="atLeast"/>
          <w:jc w:val="center"/>
        </w:trPr>
        <w:tc>
          <w:tcPr>
            <w:tcW w:w="242" w:type="pct"/>
            <w:shd w:val="clear" w:color="auto" w:fill="auto"/>
            <w:noWrap/>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一</w:t>
            </w:r>
          </w:p>
        </w:tc>
        <w:tc>
          <w:tcPr>
            <w:tcW w:w="4757" w:type="pct"/>
            <w:gridSpan w:val="2"/>
            <w:shd w:val="clear" w:color="auto" w:fill="auto"/>
            <w:noWrap/>
            <w:vAlign w:val="center"/>
          </w:tcPr>
          <w:p>
            <w:pPr>
              <w:rPr>
                <w:rFonts w:ascii="宋体" w:hAnsi="宋体"/>
                <w:b/>
                <w:bCs/>
                <w:color w:val="auto"/>
                <w:sz w:val="18"/>
                <w:szCs w:val="18"/>
                <w:highlight w:val="none"/>
              </w:rPr>
            </w:pPr>
            <w:r>
              <w:rPr>
                <w:rFonts w:hint="eastAsia" w:ascii="宋体" w:hAnsi="宋体"/>
                <w:b/>
                <w:bCs/>
                <w:color w:val="auto"/>
                <w:sz w:val="18"/>
                <w:szCs w:val="18"/>
                <w:highlight w:val="none"/>
              </w:rPr>
              <w:t xml:space="preserve">净化空调系统主要设备 </w:t>
            </w:r>
            <w:r>
              <w:rPr>
                <w:rFonts w:ascii="宋体" w:hAnsi="宋体"/>
                <w:b/>
                <w:bCs/>
                <w:color w:val="auto"/>
                <w:sz w:val="18"/>
                <w:szCs w:val="18"/>
                <w:highlight w:val="none"/>
              </w:rPr>
              <w:t xml:space="preserve">   </w:t>
            </w:r>
          </w:p>
          <w:p>
            <w:pPr>
              <w:rPr>
                <w:rFonts w:ascii="宋体" w:hAnsi="宋体"/>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2810" w:hRule="atLeast"/>
          <w:jc w:val="center"/>
        </w:trPr>
        <w:tc>
          <w:tcPr>
            <w:tcW w:w="242" w:type="pct"/>
            <w:shd w:val="clear" w:color="auto" w:fill="auto"/>
            <w:noWrap/>
            <w:vAlign w:val="center"/>
          </w:tcPr>
          <w:p>
            <w:pPr>
              <w:widowControl/>
              <w:numPr>
                <w:ilvl w:val="0"/>
                <w:numId w:val="7"/>
              </w:numPr>
              <w:ind w:left="372" w:hanging="397"/>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医用净化空气调节机组</w:t>
            </w:r>
            <w:r>
              <w:rPr>
                <w:rFonts w:hint="eastAsia" w:ascii="宋体" w:hAnsi="宋体"/>
                <w:color w:val="auto"/>
                <w:sz w:val="18"/>
                <w:szCs w:val="18"/>
                <w:highlight w:val="none"/>
              </w:rPr>
              <w:br w:type="textWrapping"/>
            </w:r>
            <w:r>
              <w:rPr>
                <w:rFonts w:hint="eastAsia" w:ascii="宋体" w:hAnsi="宋体"/>
                <w:color w:val="auto"/>
                <w:sz w:val="18"/>
                <w:szCs w:val="18"/>
                <w:highlight w:val="none"/>
              </w:rPr>
              <w:t>（集中预处理新风机组、循环机组）</w:t>
            </w:r>
          </w:p>
        </w:tc>
        <w:tc>
          <w:tcPr>
            <w:tcW w:w="4195" w:type="pct"/>
            <w:shd w:val="clear" w:color="auto" w:fill="auto"/>
            <w:vAlign w:val="center"/>
          </w:tcPr>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集中预处理新风机组由进风段、初校过滤段（G4板式）、风机段、均流段、中效过滤段（F8袋式）、亚高效过滤段（H10）、加热段、表冷段、深度除湿段、冷凝无极热回收调温、冷凝散热模块、出风段等组成。</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循环机组由混合段、风机段、均流段、初校过滤段（G4板式）、中效过滤段（F8袋式）、表冷段、加热段、加湿段、出风段等组成。</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所有空气处理机组均符合《洁净手术室空气调节机组》（GB19569）要求，并经过鉴定，性能优越的空调专业厂家生产医用机组，不得用通用机组代替专用机组。</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新风采用集中处理或分区集中处理，在夏季工况，新风机组采用湿度优先控制原理，新风通过一级表冷盘管制冷除湿后，再通过二级氟利昂蒸发器制冷深度除湿，使得新风机组送风焓值小于室内空气状态点的焓值，过干的新风可以抵消室内散湿，循环机组只需承担室内升温和降温功能，循环机组盘管处于干工况方式运行，避免了循环机组产生大量冷凝水，细菌不易滋生，也避免了传统恒温恒湿处理方式中由于再热导致的大量冷热抵消的</w:t>
            </w:r>
            <w:r>
              <w:rPr>
                <w:rFonts w:hint="eastAsia" w:ascii="宋体" w:hAnsi="宋体"/>
                <w:color w:val="auto"/>
                <w:sz w:val="18"/>
                <w:szCs w:val="18"/>
                <w:highlight w:val="none"/>
                <w:lang w:eastAsia="zh-CN"/>
              </w:rPr>
              <w:t>现象</w:t>
            </w:r>
            <w:r>
              <w:rPr>
                <w:rFonts w:hint="eastAsia" w:ascii="宋体" w:hAnsi="宋体"/>
                <w:color w:val="auto"/>
                <w:sz w:val="18"/>
                <w:szCs w:val="18"/>
                <w:highlight w:val="none"/>
              </w:rPr>
              <w:t>，整体能耗大大降低。</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所有空调机组均采用变频进行控制，采取恒风压控制技术，自动恒定系统风量，严格控制室内所需的风量，节省运行费用。</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箱体要求采用铝合金框架结构+双面保温箱板结构，保证机组的刚度和强度，依据EN1886-2007标准检测，机体在运转时不变形。在±1000pa条件下，机组变形量≤0.9mm/m；同时机组箱体机械强度不低于D1级，且机组在静压1000Pa条件下，机组的最大漏风率不大于0.011%。</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空调机组外板采用彩色镀锌钢板，内板采用锌铝板或304不锈钢板。外壁板厚度≥0.6mm，内壁版厚度≥0.5mm。机组构件表面应做防锈和防腐处理，涂层厚度不低于50um。保温层厚度不小于50mm，内充填聚氨酯发泡保温（密度≥48kg/m³），机组绝热性能保证应不低于T2级。依据GB8624-2012《建筑材料及制品燃烧性能分级》国家标准检测，并提供国家第三方出具的检测报告，要求箱板燃烧性能不低于B1级。</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机组应具有良好的防冷桥措施及密封性能。保证在运转时框架外壁及外面板不结露、机组的冷桥因子不低于TB1级且机组在静压1500Pa条件下，机组的最大漏风率不大于0.05%；</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送风机要求：采用智能变频EC风机。变频调节获得最佳运行工况，有显著的节能效果，直联传动，无皮带传输损失、磨损及皮带黑沫的污染，更好保护末端过滤器，无皮带维护工作量及轴承损坏隐患，减少维护费用；风机自由出风，动压损失小；清洁方便。</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电机要求：采用优质三相异步电机，如西门子、ABB、东元或同等品牌。要求防护等级IP55，F级绝缘。应在连续运行的所有方面，符合IEC 34或相当级别的标准要求，可在≦40℃，相对湿度≦90％的环境下连续操作；风机及传动装置应具有良好的接地措施以避免静电累积；</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过滤器要求采用“初效+中效”两级过滤方案，中效安装于出风侧的正压段；初效过滤采用铝合金框架板式过滤器（G4），过滤材料无纺布；中效过滤器采用金属框架袋式过滤器（F8），滤料为进口化纤；过滤器槽架要求采用框架单元，密封良好，拆装方便。机组在+400pa的条件下过滤器旁通漏风率≤0.005%；在-400pa条件下过滤器旁通漏风率≤0.105%；</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空调机组表冷器滑槽、接水盘底板材质均为SUS304不锈钢，厚度</w:t>
            </w:r>
            <w:r>
              <w:rPr>
                <w:rFonts w:ascii="宋体" w:hAnsi="宋体" w:cs="Calibri"/>
                <w:color w:val="auto"/>
                <w:sz w:val="18"/>
                <w:szCs w:val="18"/>
                <w:highlight w:val="none"/>
              </w:rPr>
              <w:t>δ</w:t>
            </w:r>
            <w:r>
              <w:rPr>
                <w:rFonts w:ascii="宋体" w:hAnsi="宋体"/>
                <w:color w:val="auto"/>
                <w:sz w:val="18"/>
                <w:szCs w:val="18"/>
                <w:highlight w:val="none"/>
              </w:rPr>
              <w:t>≥</w:t>
            </w:r>
            <w:r>
              <w:rPr>
                <w:rFonts w:hint="eastAsia" w:ascii="宋体" w:hAnsi="宋体"/>
                <w:color w:val="auto"/>
                <w:sz w:val="18"/>
                <w:szCs w:val="18"/>
                <w:highlight w:val="none"/>
              </w:rPr>
              <w:t>1.0mm。凝结水盘底部需带厚度不小于25mm的</w:t>
            </w:r>
            <w:r>
              <w:rPr>
                <w:rFonts w:hint="eastAsia" w:ascii="宋体" w:hAnsi="宋体"/>
                <w:color w:val="auto"/>
                <w:sz w:val="18"/>
                <w:szCs w:val="18"/>
                <w:highlight w:val="none"/>
                <w:lang w:eastAsia="zh-CN"/>
              </w:rPr>
              <w:t>聚氨酯</w:t>
            </w:r>
            <w:r>
              <w:rPr>
                <w:rFonts w:hint="eastAsia" w:ascii="宋体" w:hAnsi="宋体"/>
                <w:color w:val="auto"/>
                <w:sz w:val="18"/>
                <w:szCs w:val="18"/>
                <w:highlight w:val="none"/>
              </w:rPr>
              <w:t>发泡材料进行保温，确保在环境温度不超过40℃，相对湿度不超过95%的条件下机组箱体面板外表面不结露，凝结水盘为相应功能段整体发泡下沉式结构底盘结构。医用净化机组采用的专用水盘具有杀菌功能，对大肠杆菌、金黄色葡萄球菌、铜假绿单胞菌和鼠伤寒沙门氏菌的抗菌率达到99.9%以上；</w:t>
            </w:r>
          </w:p>
          <w:p>
            <w:pPr>
              <w:widowControl/>
              <w:numPr>
                <w:ilvl w:val="0"/>
                <w:numId w:val="8"/>
              </w:numPr>
              <w:jc w:val="left"/>
              <w:rPr>
                <w:rFonts w:ascii="宋体" w:hAnsi="宋体"/>
                <w:color w:val="auto"/>
                <w:sz w:val="18"/>
                <w:szCs w:val="18"/>
                <w:highlight w:val="none"/>
              </w:rPr>
            </w:pPr>
            <w:r>
              <w:rPr>
                <w:rFonts w:hint="eastAsia" w:ascii="宋体" w:hAnsi="宋体"/>
                <w:color w:val="auto"/>
                <w:sz w:val="18"/>
                <w:szCs w:val="18"/>
                <w:highlight w:val="none"/>
              </w:rPr>
              <w:t>所有表冷器在组装前须逐台进行检漏试验，以保证换热性能及使用寿命。表冷器边框为不锈钢材质。</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新风机组采用具有节能效果的制冷系统冷凝热无极热回收调温装置、冷凝散热装置及制冷系统，无需电加热辅助下可设定出风口温度，当冷冻水温度较高时仍能保证除湿功能，并有效节省循环机组抽湿及再热的能耗。新风机组根据除湿需要配置压缩机冷量，保证冷凝后送风温度由12-18℃无极可调。</w:t>
            </w:r>
          </w:p>
          <w:p>
            <w:pPr>
              <w:widowControl/>
              <w:numPr>
                <w:ilvl w:val="0"/>
                <w:numId w:val="8"/>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杀菌装置要求：采用紫外线杀菌灯，C波段265nm专用杀菌灯，超长寿命石英玻璃灯管；安装于表冷段与中效过滤段之间；装有杀菌灯的检修门处要设有防护开关，可做到门开灯灭，以保证人员安全。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1251"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净化空调机组</w:t>
            </w:r>
            <w:r>
              <w:rPr>
                <w:rFonts w:hint="eastAsia" w:ascii="宋体" w:hAnsi="宋体"/>
                <w:color w:val="auto"/>
                <w:sz w:val="18"/>
                <w:szCs w:val="18"/>
                <w:highlight w:val="none"/>
              </w:rPr>
              <w:br w:type="textWrapping"/>
            </w:r>
            <w:r>
              <w:rPr>
                <w:rFonts w:hint="eastAsia" w:ascii="宋体" w:hAnsi="宋体"/>
                <w:color w:val="auto"/>
                <w:sz w:val="18"/>
                <w:szCs w:val="18"/>
                <w:highlight w:val="none"/>
              </w:rPr>
              <w:t>（医用精密一体化空调机）</w:t>
            </w:r>
          </w:p>
        </w:tc>
        <w:tc>
          <w:tcPr>
            <w:tcW w:w="4195" w:type="pct"/>
            <w:shd w:val="clear" w:color="auto" w:fill="auto"/>
            <w:vAlign w:val="center"/>
          </w:tcPr>
          <w:p>
            <w:pPr>
              <w:widowControl/>
              <w:numPr>
                <w:ilvl w:val="0"/>
                <w:numId w:val="9"/>
              </w:numPr>
              <w:jc w:val="left"/>
              <w:rPr>
                <w:rFonts w:ascii="宋体" w:hAnsi="宋体"/>
                <w:color w:val="auto"/>
                <w:sz w:val="18"/>
                <w:szCs w:val="18"/>
                <w:highlight w:val="none"/>
              </w:rPr>
            </w:pPr>
            <w:r>
              <w:rPr>
                <w:rFonts w:hint="eastAsia" w:ascii="宋体" w:hAnsi="宋体"/>
                <w:color w:val="auto"/>
                <w:sz w:val="18"/>
                <w:szCs w:val="18"/>
                <w:highlight w:val="none"/>
              </w:rPr>
              <w:t>采用一体化医用精密空调机组，空调设备便于安装，嵌入安装于污物走廊内。</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一体化医用精密空调机组要求：机组具有制冷、加热、除湿、加湿、过滤、杀菌、智能控制等功能，各功能段与恒温恒湿自动控制系统一体化集成；采用机组顶上送风、顶上回风的结构，机组须正面维护，侧面、背面都不需预留维修空间。所有机组厚度不得大于</w:t>
            </w:r>
            <w:r>
              <w:rPr>
                <w:rFonts w:ascii="宋体" w:hAnsi="宋体"/>
                <w:color w:val="auto"/>
                <w:sz w:val="18"/>
                <w:szCs w:val="18"/>
                <w:highlight w:val="none"/>
              </w:rPr>
              <w:t>750mm</w:t>
            </w:r>
            <w:r>
              <w:rPr>
                <w:rFonts w:hint="eastAsia" w:ascii="宋体" w:hAnsi="宋体"/>
                <w:color w:val="auto"/>
                <w:sz w:val="18"/>
                <w:szCs w:val="18"/>
                <w:highlight w:val="none"/>
              </w:rPr>
              <w:t>；</w:t>
            </w:r>
          </w:p>
          <w:p>
            <w:pPr>
              <w:widowControl/>
              <w:numPr>
                <w:ilvl w:val="0"/>
                <w:numId w:val="9"/>
              </w:numPr>
              <w:jc w:val="left"/>
              <w:rPr>
                <w:rFonts w:ascii="宋体" w:hAnsi="宋体"/>
                <w:color w:val="auto"/>
                <w:sz w:val="18"/>
                <w:szCs w:val="18"/>
                <w:highlight w:val="none"/>
              </w:rPr>
            </w:pPr>
            <w:r>
              <w:rPr>
                <w:rFonts w:hint="eastAsia" w:ascii="宋体" w:hAnsi="宋体"/>
                <w:color w:val="auto"/>
                <w:sz w:val="18"/>
                <w:szCs w:val="18"/>
                <w:highlight w:val="none"/>
              </w:rPr>
              <w:t>箱体要求：铝合金框架</w:t>
            </w:r>
            <w:r>
              <w:rPr>
                <w:rFonts w:ascii="宋体" w:hAnsi="宋体"/>
                <w:color w:val="auto"/>
                <w:sz w:val="18"/>
                <w:szCs w:val="18"/>
                <w:highlight w:val="none"/>
              </w:rPr>
              <w:t>+双面保温箱板结构。</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框架要求：空调机组框架采用铝合金框架结构，要保证机组的刚度和强度，机体在运转时不变形。框架连接件应为可拆卸的标准化折边增强型角状连接件，弹性固定连接，该项可拆卸连接件并能满足面板紧密拼装要求。设备性能，在±</w:t>
            </w:r>
            <w:r>
              <w:rPr>
                <w:rFonts w:ascii="宋体" w:hAnsi="宋体"/>
                <w:color w:val="auto"/>
                <w:sz w:val="18"/>
                <w:szCs w:val="18"/>
                <w:highlight w:val="none"/>
              </w:rPr>
              <w:t>1000pa条件下，机组变形量≤0.9mm/m，机组的最大漏风率不大于0.011%。在±2500pa条件下，机组变形量≤1.15mm/m，机组箱体机械强度不低于D1级；</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ascii="宋体" w:hAnsi="宋体"/>
                <w:color w:val="auto"/>
                <w:sz w:val="18"/>
                <w:szCs w:val="18"/>
                <w:highlight w:val="none"/>
              </w:rPr>
              <w:t>面板要求：空调机组的面板双面保温板结构，外板采用彩色镀锌钢板，内板采用304#不锈钢内板。外壁板厚度≥0.6mm，内壁板厚度≥0.5mm。机组构件表面应作防锈和防腐处理，涂层厚度不低于50um。保温层厚度不小于50mm，内充填</w:t>
            </w:r>
            <w:r>
              <w:rPr>
                <w:rFonts w:hint="eastAsia" w:ascii="宋体" w:hAnsi="宋体"/>
                <w:color w:val="auto"/>
                <w:sz w:val="18"/>
                <w:szCs w:val="18"/>
                <w:highlight w:val="none"/>
                <w:lang w:eastAsia="zh-CN"/>
              </w:rPr>
              <w:t>聚氨酯</w:t>
            </w:r>
            <w:r>
              <w:rPr>
                <w:rFonts w:ascii="宋体" w:hAnsi="宋体"/>
                <w:color w:val="auto"/>
                <w:sz w:val="18"/>
                <w:szCs w:val="18"/>
                <w:highlight w:val="none"/>
              </w:rPr>
              <w:t>发泡保温（密度≥48kg/m3），机组热绝缘性能保证应不低于 T2 级。</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防冷桥要求：机组应具有良好的防冷桥措施，保证在运转时框架外壁及外面板不结露。投标书中应说明具体的防冷桥措施。机组的冷桥因子不低于</w:t>
            </w:r>
            <w:r>
              <w:rPr>
                <w:rFonts w:ascii="宋体" w:hAnsi="宋体"/>
                <w:color w:val="auto"/>
                <w:sz w:val="18"/>
                <w:szCs w:val="18"/>
                <w:highlight w:val="none"/>
              </w:rPr>
              <w:t>TB1级。</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密封性能要求：机组密封性能好，机组检修门须提供可靠的密封结构以保证机组的密封性能。检修门的密封胶边须采用三元乙丙橡胶类高回弹耐久性材料。检修门采用多锁点设置。提供依据</w:t>
            </w:r>
            <w:r>
              <w:rPr>
                <w:rFonts w:ascii="宋体" w:hAnsi="宋体"/>
                <w:color w:val="auto"/>
                <w:sz w:val="18"/>
                <w:szCs w:val="18"/>
                <w:highlight w:val="none"/>
              </w:rPr>
              <w:t>GB/T19569-2004洁净手术室用空气调节机组标准的检验报告，机组在静压1500Pa条件下，机组的最大漏风率不大于0.05%。</w:t>
            </w:r>
          </w:p>
          <w:p>
            <w:pPr>
              <w:widowControl/>
              <w:numPr>
                <w:ilvl w:val="0"/>
                <w:numId w:val="9"/>
              </w:numPr>
              <w:jc w:val="left"/>
              <w:rPr>
                <w:rFonts w:ascii="宋体" w:hAnsi="宋体"/>
                <w:color w:val="auto"/>
                <w:sz w:val="18"/>
                <w:szCs w:val="18"/>
                <w:highlight w:val="none"/>
              </w:rPr>
            </w:pPr>
            <w:r>
              <w:rPr>
                <w:rFonts w:hint="eastAsia" w:ascii="宋体" w:hAnsi="宋体"/>
                <w:color w:val="auto"/>
                <w:sz w:val="18"/>
                <w:szCs w:val="18"/>
                <w:highlight w:val="none"/>
              </w:rPr>
              <w:t>所有表冷器在组装前须逐台进行检漏试验，以保证换热性能及使用寿命。表冷器边框为不锈钢材质。</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送风机要求：机组风机须采用德国原装进口</w:t>
            </w:r>
            <w:r>
              <w:rPr>
                <w:rFonts w:ascii="宋体" w:hAnsi="宋体"/>
                <w:color w:val="auto"/>
                <w:sz w:val="18"/>
                <w:szCs w:val="18"/>
                <w:highlight w:val="none"/>
              </w:rPr>
              <w:t>EBM直流无刷数字化风机以保证运转时低噪声</w:t>
            </w:r>
            <w:r>
              <w:rPr>
                <w:rFonts w:hint="eastAsia" w:ascii="宋体" w:hAnsi="宋体"/>
                <w:color w:val="auto"/>
                <w:sz w:val="18"/>
                <w:szCs w:val="18"/>
                <w:highlight w:val="none"/>
              </w:rPr>
              <w:t>，机组噪音不高于6</w:t>
            </w:r>
            <w:r>
              <w:rPr>
                <w:rFonts w:ascii="宋体" w:hAnsi="宋体"/>
                <w:color w:val="auto"/>
                <w:sz w:val="18"/>
                <w:szCs w:val="18"/>
                <w:highlight w:val="none"/>
              </w:rPr>
              <w:t>5</w:t>
            </w:r>
            <w:r>
              <w:rPr>
                <w:rFonts w:hint="eastAsia" w:ascii="宋体" w:hAnsi="宋体"/>
                <w:color w:val="auto"/>
                <w:sz w:val="18"/>
                <w:szCs w:val="18"/>
                <w:highlight w:val="none"/>
              </w:rPr>
              <w:t>分贝</w:t>
            </w:r>
            <w:r>
              <w:rPr>
                <w:rFonts w:ascii="宋体" w:hAnsi="宋体"/>
                <w:color w:val="auto"/>
                <w:sz w:val="18"/>
                <w:szCs w:val="18"/>
                <w:highlight w:val="none"/>
              </w:rPr>
              <w:t>。</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医用精密一体化空调机组通过</w:t>
            </w:r>
            <w:r>
              <w:rPr>
                <w:rFonts w:ascii="宋体" w:hAnsi="宋体"/>
                <w:color w:val="auto"/>
                <w:sz w:val="18"/>
                <w:szCs w:val="18"/>
                <w:highlight w:val="none"/>
              </w:rPr>
              <w:t>EMC电磁兼容测试，连续骚扰电压试验、射频电磁场辐射抗扰度试验、电快速瞬变脉冲群抗扰度试验、浪涌抗扰度试验、射频场感应的传导骚扰抗扰度试验等均符合国家标准。</w:t>
            </w:r>
          </w:p>
          <w:p>
            <w:pPr>
              <w:widowControl/>
              <w:numPr>
                <w:ilvl w:val="0"/>
                <w:numId w:val="9"/>
              </w:numPr>
              <w:jc w:val="left"/>
              <w:rPr>
                <w:rFonts w:ascii="宋体" w:hAnsi="宋体"/>
                <w:color w:val="auto"/>
                <w:sz w:val="18"/>
                <w:szCs w:val="18"/>
                <w:highlight w:val="none"/>
              </w:rPr>
            </w:pPr>
            <w:r>
              <w:rPr>
                <w:rFonts w:hint="eastAsia" w:ascii="宋体" w:hAnsi="宋体"/>
                <w:color w:val="auto"/>
                <w:sz w:val="18"/>
                <w:szCs w:val="18"/>
                <w:highlight w:val="none"/>
              </w:rPr>
              <w:t>杀菌装置要求：采用紫外线杀菌灯，</w:t>
            </w:r>
            <w:r>
              <w:rPr>
                <w:rFonts w:ascii="宋体" w:hAnsi="宋体"/>
                <w:color w:val="auto"/>
                <w:sz w:val="18"/>
                <w:szCs w:val="18"/>
                <w:highlight w:val="none"/>
              </w:rPr>
              <w:t>C波段265nm专用杀菌灯，超长寿命石英玻璃灯管；安装于表冷段与中效过滤段之间；装有杀菌灯的检修门处要设有防护开关，可做到门开灯灭，以保证人员安全。</w:t>
            </w:r>
          </w:p>
          <w:p>
            <w:pPr>
              <w:widowControl/>
              <w:numPr>
                <w:ilvl w:val="0"/>
                <w:numId w:val="9"/>
              </w:numPr>
              <w:jc w:val="left"/>
              <w:rPr>
                <w:rFonts w:ascii="宋体" w:hAnsi="宋体"/>
                <w:color w:val="auto"/>
                <w:sz w:val="18"/>
                <w:szCs w:val="18"/>
                <w:highlight w:val="none"/>
              </w:rPr>
            </w:pPr>
            <w:r>
              <w:rPr>
                <w:rFonts w:hint="eastAsia" w:ascii="宋体" w:hAnsi="宋体" w:cs="宋体"/>
                <w:color w:val="auto"/>
                <w:sz w:val="24"/>
                <w:highlight w:val="none"/>
              </w:rPr>
              <w:t>▲</w:t>
            </w:r>
            <w:r>
              <w:rPr>
                <w:rFonts w:hint="eastAsia" w:ascii="宋体" w:hAnsi="宋体"/>
                <w:color w:val="auto"/>
                <w:sz w:val="18"/>
                <w:szCs w:val="18"/>
                <w:highlight w:val="none"/>
              </w:rPr>
              <w:t>过滤器要求：空调机组采用“初效</w:t>
            </w:r>
            <w:r>
              <w:rPr>
                <w:rFonts w:ascii="宋体" w:hAnsi="宋体"/>
                <w:color w:val="auto"/>
                <w:sz w:val="18"/>
                <w:szCs w:val="18"/>
                <w:highlight w:val="none"/>
              </w:rPr>
              <w:t>+中效”两级过滤方案，初效安装于进风侧的负压段，中效安装于出风侧的正压段；初效过滤采用铝合金框架板式过滤器（G4），过滤材料无纺布；中效过滤器采用金属框架箱式过滤器（F8），滤料为进口化纤；过滤器槽架要求采用框架单元，密封良好，拆装方便。机组在+400pa的条件下过滤器旁通漏风率≤0.005%；在-400pa条件下过滤器旁通漏风率≤0.105%</w:t>
            </w:r>
          </w:p>
          <w:p>
            <w:pPr>
              <w:widowControl/>
              <w:numPr>
                <w:ilvl w:val="0"/>
                <w:numId w:val="9"/>
              </w:numPr>
              <w:jc w:val="left"/>
              <w:rPr>
                <w:rFonts w:ascii="宋体" w:hAnsi="宋体"/>
                <w:color w:val="auto"/>
                <w:sz w:val="18"/>
                <w:szCs w:val="18"/>
                <w:highlight w:val="none"/>
              </w:rPr>
            </w:pPr>
            <w:r>
              <w:rPr>
                <w:rFonts w:hint="eastAsia" w:ascii="宋体" w:hAnsi="宋体"/>
                <w:color w:val="auto"/>
                <w:sz w:val="18"/>
                <w:szCs w:val="18"/>
                <w:highlight w:val="none"/>
              </w:rPr>
              <w:t>调节阀要求：机组进风口及新风口配置铝合金多页设节阀，采用气密型铝合金对开多叶调节阀，叶片带有密封胶条，隐蔽式齿轮传动机构，开度可手动调节，也可配电动执行器，实现自动调节。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401"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风冷模块式冷</w:t>
            </w:r>
            <w:r>
              <w:rPr>
                <w:rFonts w:ascii="宋体" w:hAnsi="宋体"/>
                <w:color w:val="auto"/>
                <w:sz w:val="18"/>
                <w:szCs w:val="18"/>
                <w:highlight w:val="none"/>
              </w:rPr>
              <w:t>(热)水机组</w:t>
            </w:r>
          </w:p>
        </w:tc>
        <w:tc>
          <w:tcPr>
            <w:tcW w:w="4195" w:type="pct"/>
            <w:shd w:val="clear" w:color="auto" w:fill="auto"/>
            <w:vAlign w:val="center"/>
          </w:tcPr>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配置方案：冷热一体风冷热泵机组（热回收四管制机组5台，两管制机组5台）</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机组采用R410A环保制冷剂。</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压缩机品牌：谷轮、大金、丹佛斯或同等品牌。</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水侧换热器型式：真空钎焊板式换热器（材质：不锈钢）。</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▲在名义工况下，COP（制冷性能系数kW/kW）不小于3.30，达到国家二级能效或以上，获得国家节能产品认证，以及提供国家认可实验室出具的性能检验报告。</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▲机型应通过CRAA认证，并提供CRAA认证证书。模块式风冷冷水（热泵）机组须取得国家工业产品生产许可证。</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▲型式：机组应采用模块化设计，每组最大组合台数应不小于16台，线控器控制整组机组,每组机组需标配线控器。可选集中线控器，至少可控制8组模块机。</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机组采用双压缩机双制冷回路设计，模块组合时应可实现多级容量调节，调节级数为模块组合台数的两倍。双系统的机组，当其中一个系统出现故障时，另一个系统可不受影响的正常运行。</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运行范围：机组应确保在室外环境温度15℃～48℃时可正常运行制冷模式；在室外环境温度-1</w:t>
            </w:r>
            <w:r>
              <w:rPr>
                <w:rFonts w:ascii="宋体" w:hAnsi="宋体"/>
                <w:color w:val="auto"/>
                <w:sz w:val="18"/>
                <w:szCs w:val="18"/>
                <w:highlight w:val="none"/>
              </w:rPr>
              <w:t>5</w:t>
            </w:r>
            <w:r>
              <w:rPr>
                <w:rFonts w:hint="eastAsia" w:ascii="宋体" w:hAnsi="宋体"/>
                <w:color w:val="auto"/>
                <w:sz w:val="18"/>
                <w:szCs w:val="18"/>
                <w:highlight w:val="none"/>
              </w:rPr>
              <w:t>℃～30℃时可正常运行制热模式。</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出水温度：制冷工况时，机组冷冻水出水温度范围为</w:t>
            </w:r>
            <w:r>
              <w:rPr>
                <w:rFonts w:ascii="宋体" w:hAnsi="宋体"/>
                <w:color w:val="auto"/>
                <w:sz w:val="18"/>
                <w:szCs w:val="18"/>
                <w:highlight w:val="none"/>
              </w:rPr>
              <w:t>5</w:t>
            </w:r>
            <w:r>
              <w:rPr>
                <w:rFonts w:hint="eastAsia" w:ascii="宋体" w:hAnsi="宋体"/>
                <w:color w:val="auto"/>
                <w:sz w:val="18"/>
                <w:szCs w:val="18"/>
                <w:highlight w:val="none"/>
              </w:rPr>
              <w:t>℃～</w:t>
            </w:r>
            <w:r>
              <w:rPr>
                <w:rFonts w:ascii="宋体" w:hAnsi="宋体"/>
                <w:color w:val="auto"/>
                <w:sz w:val="18"/>
                <w:szCs w:val="18"/>
                <w:highlight w:val="none"/>
              </w:rPr>
              <w:t>20</w:t>
            </w:r>
            <w:r>
              <w:rPr>
                <w:rFonts w:hint="eastAsia" w:ascii="宋体" w:hAnsi="宋体"/>
                <w:color w:val="auto"/>
                <w:sz w:val="18"/>
                <w:szCs w:val="18"/>
                <w:highlight w:val="none"/>
              </w:rPr>
              <w:t>℃；制热工况时，机组热水出水温度范围为30～55℃；</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▲噪声：单台模块机组噪声应不大于66dB(A)，以及提供国家认可实验室出具的噪声测试报告及噪声频谱数据；并且机组须具有自动调节的智能静音模式和手动调节的强制静音模式，有效降低机组噪音。</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热泵应具备以下保护功能及故障报警功能：压缩机</w:t>
            </w:r>
            <w:r>
              <w:rPr>
                <w:rFonts w:ascii="宋体" w:hAnsi="宋体"/>
                <w:color w:val="auto"/>
                <w:sz w:val="18"/>
                <w:szCs w:val="18"/>
                <w:highlight w:val="none"/>
              </w:rPr>
              <w:t>/风机过载保护、水泵过载保护、水系统电加热过载保护、高低压保护、过热度过小保护、进出水温度过低保护、环境温度过高或过低保护、排气/回气温度过高保护、水流保护、电源保护、冬季防冻保护、板换防冻保护、从机通讯故障报警、温度传感器故障报警、制冷剂泄漏报警、线控器与主机通讯故障报警</w:t>
            </w:r>
          </w:p>
          <w:p>
            <w:pPr>
              <w:widowControl/>
              <w:numPr>
                <w:ilvl w:val="0"/>
                <w:numId w:val="10"/>
              </w:numPr>
              <w:jc w:val="left"/>
              <w:rPr>
                <w:rFonts w:ascii="宋体" w:hAnsi="宋体"/>
                <w:color w:val="auto"/>
                <w:sz w:val="18"/>
                <w:szCs w:val="18"/>
                <w:highlight w:val="none"/>
              </w:rPr>
            </w:pPr>
            <w:r>
              <w:rPr>
                <w:rFonts w:hint="eastAsia" w:ascii="宋体" w:hAnsi="宋体"/>
                <w:color w:val="auto"/>
                <w:sz w:val="18"/>
                <w:szCs w:val="18"/>
                <w:highlight w:val="none"/>
              </w:rPr>
              <w:t>▲产品稳定性证明，提供客户反馈证明文件</w:t>
            </w:r>
            <w:r>
              <w:rPr>
                <w:rFonts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538"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风机盘管</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1、配置方案：办公区配置二管制风机盘管；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1115"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空调系统循环水泵</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1、冷冻水循环水泵：循环水量：7</w:t>
            </w:r>
            <w:r>
              <w:rPr>
                <w:rFonts w:ascii="宋体" w:hAnsi="宋体"/>
                <w:color w:val="auto"/>
                <w:sz w:val="18"/>
                <w:szCs w:val="18"/>
                <w:highlight w:val="none"/>
              </w:rPr>
              <w:t>9</w:t>
            </w:r>
            <w:r>
              <w:rPr>
                <w:rFonts w:hint="eastAsia" w:ascii="宋体" w:hAnsi="宋体"/>
                <w:color w:val="auto"/>
                <w:sz w:val="18"/>
                <w:szCs w:val="18"/>
                <w:highlight w:val="none"/>
              </w:rPr>
              <w:t>m3/h，扬程：3</w:t>
            </w:r>
            <w:r>
              <w:rPr>
                <w:rFonts w:ascii="宋体" w:hAnsi="宋体"/>
                <w:color w:val="auto"/>
                <w:sz w:val="18"/>
                <w:szCs w:val="18"/>
                <w:highlight w:val="none"/>
              </w:rPr>
              <w:t>2</w:t>
            </w:r>
            <w:r>
              <w:rPr>
                <w:rFonts w:hint="eastAsia" w:ascii="宋体" w:hAnsi="宋体"/>
                <w:color w:val="auto"/>
                <w:sz w:val="18"/>
                <w:szCs w:val="18"/>
                <w:highlight w:val="none"/>
              </w:rPr>
              <w:t>m，额定功率：1</w:t>
            </w:r>
            <w:r>
              <w:rPr>
                <w:rFonts w:ascii="宋体" w:hAnsi="宋体"/>
                <w:color w:val="auto"/>
                <w:sz w:val="18"/>
                <w:szCs w:val="18"/>
                <w:highlight w:val="none"/>
              </w:rPr>
              <w:t>1</w:t>
            </w:r>
            <w:r>
              <w:rPr>
                <w:rFonts w:hint="eastAsia" w:ascii="宋体" w:hAnsi="宋体"/>
                <w:color w:val="auto"/>
                <w:sz w:val="18"/>
                <w:szCs w:val="18"/>
                <w:highlight w:val="none"/>
              </w:rPr>
              <w:t>KW，配置方式：两用一备用</w:t>
            </w:r>
            <w:r>
              <w:rPr>
                <w:rFonts w:hint="eastAsia" w:ascii="宋体" w:hAnsi="宋体"/>
                <w:color w:val="auto"/>
                <w:sz w:val="18"/>
                <w:szCs w:val="18"/>
                <w:highlight w:val="none"/>
              </w:rPr>
              <w:br w:type="textWrapping"/>
            </w:r>
            <w:r>
              <w:rPr>
                <w:rFonts w:hint="eastAsia" w:ascii="宋体" w:hAnsi="宋体"/>
                <w:color w:val="auto"/>
                <w:sz w:val="18"/>
                <w:szCs w:val="18"/>
                <w:highlight w:val="none"/>
              </w:rPr>
              <w:t>2、供暖系统循环水泵：循环水量：</w:t>
            </w:r>
            <w:r>
              <w:rPr>
                <w:rFonts w:ascii="宋体" w:hAnsi="宋体"/>
                <w:color w:val="auto"/>
                <w:sz w:val="18"/>
                <w:szCs w:val="18"/>
                <w:highlight w:val="none"/>
              </w:rPr>
              <w:t>79</w:t>
            </w:r>
            <w:r>
              <w:rPr>
                <w:rFonts w:hint="eastAsia" w:ascii="宋体" w:hAnsi="宋体"/>
                <w:color w:val="auto"/>
                <w:sz w:val="18"/>
                <w:szCs w:val="18"/>
                <w:highlight w:val="none"/>
              </w:rPr>
              <w:t>m3/h，扬程：32m，额定功率：1</w:t>
            </w:r>
            <w:r>
              <w:rPr>
                <w:rFonts w:ascii="宋体" w:hAnsi="宋体"/>
                <w:color w:val="auto"/>
                <w:sz w:val="18"/>
                <w:szCs w:val="18"/>
                <w:highlight w:val="none"/>
              </w:rPr>
              <w:t>1</w:t>
            </w:r>
            <w:r>
              <w:rPr>
                <w:rFonts w:hint="eastAsia" w:ascii="宋体" w:hAnsi="宋体"/>
                <w:color w:val="auto"/>
                <w:sz w:val="18"/>
                <w:szCs w:val="18"/>
                <w:highlight w:val="none"/>
              </w:rPr>
              <w:t>KW，配置方式：一用一备用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1140"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抗菌驻极体H</w:t>
            </w:r>
            <w:r>
              <w:rPr>
                <w:rFonts w:ascii="宋体" w:hAnsi="宋体"/>
                <w:color w:val="auto"/>
                <w:sz w:val="18"/>
                <w:szCs w:val="18"/>
                <w:highlight w:val="none"/>
              </w:rPr>
              <w:t>AF</w:t>
            </w:r>
            <w:r>
              <w:rPr>
                <w:rFonts w:hint="eastAsia" w:ascii="宋体" w:hAnsi="宋体"/>
                <w:color w:val="auto"/>
                <w:sz w:val="18"/>
                <w:szCs w:val="18"/>
                <w:highlight w:val="none"/>
              </w:rPr>
              <w:t>消毒过滤装置</w:t>
            </w:r>
          </w:p>
        </w:tc>
        <w:tc>
          <w:tcPr>
            <w:tcW w:w="4195" w:type="pct"/>
            <w:shd w:val="clear" w:color="auto" w:fill="auto"/>
            <w:vAlign w:val="center"/>
          </w:tcPr>
          <w:p>
            <w:pPr>
              <w:widowControl/>
              <w:numPr>
                <w:ilvl w:val="0"/>
                <w:numId w:val="11"/>
              </w:numPr>
              <w:jc w:val="left"/>
              <w:rPr>
                <w:rFonts w:ascii="宋体" w:hAnsi="宋体"/>
                <w:color w:val="auto"/>
                <w:sz w:val="18"/>
                <w:szCs w:val="18"/>
                <w:highlight w:val="none"/>
              </w:rPr>
            </w:pPr>
            <w:r>
              <w:rPr>
                <w:rFonts w:hint="eastAsia" w:ascii="宋体" w:hAnsi="宋体"/>
                <w:color w:val="auto"/>
                <w:sz w:val="18"/>
                <w:szCs w:val="18"/>
                <w:highlight w:val="none"/>
              </w:rPr>
              <w:t>安装位置：层流病房下回风口；</w:t>
            </w:r>
          </w:p>
          <w:p>
            <w:pPr>
              <w:widowControl/>
              <w:numPr>
                <w:ilvl w:val="0"/>
                <w:numId w:val="11"/>
              </w:numPr>
              <w:jc w:val="left"/>
              <w:rPr>
                <w:rFonts w:ascii="宋体" w:hAnsi="宋体"/>
                <w:color w:val="auto"/>
                <w:sz w:val="18"/>
                <w:szCs w:val="18"/>
                <w:highlight w:val="none"/>
              </w:rPr>
            </w:pPr>
            <w:r>
              <w:rPr>
                <w:rFonts w:hint="eastAsia" w:ascii="宋体" w:hAnsi="宋体"/>
                <w:color w:val="auto"/>
                <w:sz w:val="18"/>
                <w:szCs w:val="18"/>
                <w:highlight w:val="none"/>
              </w:rPr>
              <w:t>▲抗菌率：大肠杆菌2</w:t>
            </w:r>
            <w:r>
              <w:rPr>
                <w:rFonts w:ascii="宋体" w:hAnsi="宋体"/>
                <w:color w:val="auto"/>
                <w:sz w:val="18"/>
                <w:szCs w:val="18"/>
                <w:highlight w:val="none"/>
              </w:rPr>
              <w:t>4h</w:t>
            </w:r>
            <w:r>
              <w:rPr>
                <w:rFonts w:hint="eastAsia" w:ascii="宋体" w:hAnsi="宋体"/>
                <w:color w:val="auto"/>
                <w:sz w:val="18"/>
                <w:szCs w:val="18"/>
                <w:highlight w:val="none"/>
              </w:rPr>
              <w:t>检测结果抗菌率不低于9</w:t>
            </w:r>
            <w:r>
              <w:rPr>
                <w:rFonts w:ascii="宋体" w:hAnsi="宋体"/>
                <w:color w:val="auto"/>
                <w:sz w:val="18"/>
                <w:szCs w:val="18"/>
                <w:highlight w:val="none"/>
              </w:rPr>
              <w:t>9%</w:t>
            </w:r>
            <w:r>
              <w:rPr>
                <w:rFonts w:hint="eastAsia" w:ascii="宋体" w:hAnsi="宋体"/>
                <w:color w:val="auto"/>
                <w:sz w:val="18"/>
                <w:szCs w:val="18"/>
                <w:highlight w:val="none"/>
              </w:rPr>
              <w:t>，金色葡萄球菌2</w:t>
            </w:r>
            <w:r>
              <w:rPr>
                <w:rFonts w:ascii="宋体" w:hAnsi="宋体"/>
                <w:color w:val="auto"/>
                <w:sz w:val="18"/>
                <w:szCs w:val="18"/>
                <w:highlight w:val="none"/>
              </w:rPr>
              <w:t>4h</w:t>
            </w:r>
            <w:r>
              <w:rPr>
                <w:rFonts w:hint="eastAsia" w:ascii="宋体" w:hAnsi="宋体"/>
                <w:color w:val="auto"/>
                <w:sz w:val="18"/>
                <w:szCs w:val="18"/>
                <w:highlight w:val="none"/>
              </w:rPr>
              <w:t>检测结果抗菌率不低于9</w:t>
            </w:r>
            <w:r>
              <w:rPr>
                <w:rFonts w:ascii="宋体" w:hAnsi="宋体"/>
                <w:color w:val="auto"/>
                <w:sz w:val="18"/>
                <w:szCs w:val="18"/>
                <w:highlight w:val="none"/>
              </w:rPr>
              <w:t>9%</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2061"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管道式紫外线空气消毒装置</w:t>
            </w:r>
          </w:p>
        </w:tc>
        <w:tc>
          <w:tcPr>
            <w:tcW w:w="4195" w:type="pct"/>
            <w:shd w:val="clear" w:color="auto" w:fill="auto"/>
            <w:vAlign w:val="center"/>
          </w:tcPr>
          <w:p>
            <w:pPr>
              <w:widowControl/>
              <w:numPr>
                <w:ilvl w:val="0"/>
                <w:numId w:val="12"/>
              </w:numPr>
              <w:jc w:val="left"/>
              <w:rPr>
                <w:rFonts w:ascii="宋体" w:hAnsi="宋体"/>
                <w:color w:val="auto"/>
                <w:sz w:val="18"/>
                <w:szCs w:val="18"/>
                <w:highlight w:val="none"/>
              </w:rPr>
            </w:pPr>
            <w:r>
              <w:rPr>
                <w:rFonts w:hint="eastAsia" w:ascii="宋体" w:hAnsi="宋体"/>
                <w:color w:val="auto"/>
                <w:sz w:val="18"/>
                <w:szCs w:val="18"/>
                <w:highlight w:val="none"/>
              </w:rPr>
              <w:t>安装位置：层流病房送新风管道；</w:t>
            </w:r>
          </w:p>
          <w:p>
            <w:pPr>
              <w:widowControl/>
              <w:numPr>
                <w:ilvl w:val="0"/>
                <w:numId w:val="12"/>
              </w:numPr>
              <w:jc w:val="left"/>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对一次性通过气流中细菌的杀灭效率：通风量越大UV 杀灭细菌的效率越低，通风量为1500m3/h，杀菌效率在99%以上，通风量为2000m3/h，杀菌效率在98%以上，通风量为3000m3/h，杀菌效率在91%以上。</w:t>
            </w:r>
          </w:p>
          <w:p>
            <w:pPr>
              <w:widowControl/>
              <w:numPr>
                <w:ilvl w:val="0"/>
                <w:numId w:val="12"/>
              </w:numPr>
              <w:jc w:val="left"/>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发射的紫外光线强度：距UV单支灯管1m处254nm波长紫外光强度为95μw/cm2。</w:t>
            </w:r>
          </w:p>
          <w:p>
            <w:pPr>
              <w:widowControl/>
              <w:numPr>
                <w:ilvl w:val="0"/>
                <w:numId w:val="12"/>
              </w:numPr>
              <w:jc w:val="left"/>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臭氧产生量：UV 运行时未检测到臭氧的产生（GD80臭氧检测仪能够检测臭氧的最低浓度是0.01ppm）。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807"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空调自动控制系统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1、传感器：霍尼韦尔、西门子、斯巴拓</w:t>
            </w:r>
            <w:r>
              <w:rPr>
                <w:rFonts w:hint="eastAsia" w:ascii="宋体" w:hAnsi="宋体"/>
                <w:color w:val="auto"/>
                <w:sz w:val="18"/>
                <w:szCs w:val="18"/>
                <w:highlight w:val="none"/>
              </w:rPr>
              <w:br w:type="textWrapping"/>
            </w:r>
            <w:r>
              <w:rPr>
                <w:rFonts w:hint="eastAsia" w:ascii="宋体" w:hAnsi="宋体"/>
                <w:color w:val="auto"/>
                <w:sz w:val="18"/>
                <w:szCs w:val="18"/>
                <w:highlight w:val="none"/>
              </w:rPr>
              <w:t>2、变频器：西门子、ABB、施耐德</w:t>
            </w:r>
            <w:r>
              <w:rPr>
                <w:rFonts w:hint="eastAsia" w:ascii="宋体" w:hAnsi="宋体"/>
                <w:color w:val="auto"/>
                <w:sz w:val="18"/>
                <w:szCs w:val="18"/>
                <w:highlight w:val="none"/>
              </w:rPr>
              <w:br w:type="textWrapping"/>
            </w:r>
            <w:r>
              <w:rPr>
                <w:rFonts w:hint="eastAsia" w:ascii="宋体" w:hAnsi="宋体"/>
                <w:color w:val="auto"/>
                <w:sz w:val="18"/>
                <w:szCs w:val="18"/>
                <w:highlight w:val="none"/>
              </w:rPr>
              <w:t>3、电动控制阀：江森、霍尼韦尔、西门子</w:t>
            </w:r>
          </w:p>
          <w:p>
            <w:pPr>
              <w:rPr>
                <w:rFonts w:hint="eastAsia" w:ascii="宋体" w:hAnsi="宋体"/>
                <w:color w:val="auto"/>
                <w:sz w:val="18"/>
                <w:szCs w:val="18"/>
                <w:highlight w:val="none"/>
              </w:rPr>
            </w:pPr>
            <w:r>
              <w:rPr>
                <w:rFonts w:hint="eastAsia" w:ascii="宋体" w:hAnsi="宋体"/>
                <w:color w:val="auto"/>
                <w:sz w:val="18"/>
                <w:szCs w:val="18"/>
                <w:highlight w:val="none"/>
              </w:rPr>
              <w:t>4、控制精度要求：温度±0.5℃ 湿度±3%</w:t>
            </w: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668" w:hRule="atLeast"/>
          <w:jc w:val="center"/>
        </w:trPr>
        <w:tc>
          <w:tcPr>
            <w:tcW w:w="242" w:type="pct"/>
            <w:shd w:val="clear" w:color="auto" w:fill="auto"/>
            <w:noWrap/>
            <w:vAlign w:val="center"/>
          </w:tcPr>
          <w:p>
            <w:pPr>
              <w:widowControl/>
              <w:numPr>
                <w:ilvl w:val="0"/>
                <w:numId w:val="7"/>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百级高效送风装置</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1、百级层流病房采用成品高效送风天花（H14），保证洁净空气气流均匀无死角。</w:t>
            </w:r>
          </w:p>
          <w:p>
            <w:pPr>
              <w:rPr>
                <w:rFonts w:ascii="宋体" w:hAnsi="宋体"/>
                <w:color w:val="auto"/>
                <w:sz w:val="18"/>
                <w:szCs w:val="18"/>
                <w:highlight w:val="none"/>
              </w:rPr>
            </w:pPr>
            <w:r>
              <w:rPr>
                <w:rFonts w:hint="eastAsia" w:ascii="宋体" w:hAnsi="宋体"/>
                <w:color w:val="auto"/>
                <w:sz w:val="18"/>
                <w:szCs w:val="18"/>
                <w:highlight w:val="none"/>
              </w:rPr>
              <w:t>2、高效送风天花（H14）规格尺寸：2</w:t>
            </w:r>
            <w:r>
              <w:rPr>
                <w:rFonts w:ascii="宋体" w:hAnsi="宋体"/>
                <w:color w:val="auto"/>
                <w:sz w:val="18"/>
                <w:szCs w:val="18"/>
                <w:highlight w:val="none"/>
              </w:rPr>
              <w:t>600</w:t>
            </w:r>
            <w:r>
              <w:rPr>
                <w:rFonts w:hint="eastAsia" w:ascii="宋体" w:hAnsi="宋体"/>
                <w:color w:val="auto"/>
                <w:sz w:val="18"/>
                <w:szCs w:val="18"/>
                <w:highlight w:val="none"/>
              </w:rPr>
              <w:t>*</w:t>
            </w:r>
            <w:r>
              <w:rPr>
                <w:rFonts w:ascii="宋体" w:hAnsi="宋体"/>
                <w:color w:val="auto"/>
                <w:sz w:val="18"/>
                <w:szCs w:val="18"/>
                <w:highlight w:val="none"/>
              </w:rPr>
              <w:t>2400</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480" w:hRule="atLeast"/>
          <w:jc w:val="center"/>
        </w:trPr>
        <w:tc>
          <w:tcPr>
            <w:tcW w:w="242" w:type="pct"/>
            <w:shd w:val="clear" w:color="auto" w:fill="auto"/>
            <w:noWrap/>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二</w:t>
            </w:r>
          </w:p>
        </w:tc>
        <w:tc>
          <w:tcPr>
            <w:tcW w:w="4757" w:type="pct"/>
            <w:gridSpan w:val="2"/>
            <w:shd w:val="clear" w:color="auto" w:fill="auto"/>
            <w:noWrap/>
            <w:vAlign w:val="center"/>
          </w:tcPr>
          <w:p>
            <w:pPr>
              <w:rPr>
                <w:rFonts w:ascii="宋体" w:hAnsi="宋体"/>
                <w:b/>
                <w:bCs/>
                <w:color w:val="auto"/>
                <w:sz w:val="18"/>
                <w:szCs w:val="18"/>
                <w:highlight w:val="none"/>
              </w:rPr>
            </w:pPr>
            <w:r>
              <w:rPr>
                <w:rFonts w:hint="eastAsia" w:ascii="宋体" w:hAnsi="宋体"/>
                <w:b/>
                <w:bCs/>
                <w:color w:val="auto"/>
                <w:sz w:val="18"/>
                <w:szCs w:val="18"/>
                <w:highlight w:val="none"/>
              </w:rPr>
              <w:t>强电系统主要设备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5565" w:hRule="atLeast"/>
          <w:jc w:val="center"/>
        </w:trPr>
        <w:tc>
          <w:tcPr>
            <w:tcW w:w="242" w:type="pct"/>
            <w:shd w:val="clear" w:color="auto" w:fill="auto"/>
            <w:noWrap/>
            <w:vAlign w:val="center"/>
          </w:tcPr>
          <w:p>
            <w:pPr>
              <w:widowControl/>
              <w:numPr>
                <w:ilvl w:val="0"/>
                <w:numId w:val="13"/>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UPS不间断备用电源</w:t>
            </w:r>
          </w:p>
        </w:tc>
        <w:tc>
          <w:tcPr>
            <w:tcW w:w="4195" w:type="pct"/>
            <w:shd w:val="clear" w:color="auto" w:fill="auto"/>
            <w:vAlign w:val="center"/>
          </w:tcPr>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每间病房床头设备带接入UPS做为备用电源，当双电源均失电时，UPS后备电池自动投入使用，备用时间30分钟。</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为保证UPS产品的高效节能、绿色环保，UPS输入功率因数高达0.99，整机效率＞95%</w:t>
            </w:r>
            <w:r>
              <w:rPr>
                <w:rFonts w:hint="eastAsia" w:ascii="宋体" w:hAnsi="宋体"/>
                <w:color w:val="auto"/>
                <w:sz w:val="18"/>
                <w:szCs w:val="18"/>
                <w:highlight w:val="none"/>
              </w:rPr>
              <w:t>；</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系统应采用分散充电设计，每个功率模块单元应具有独立的充电功能，避免充电器单点故障，提高系统的可靠性；充电功率可进行</w:t>
            </w:r>
            <w:r>
              <w:rPr>
                <w:rFonts w:ascii="宋体" w:hAnsi="宋体"/>
                <w:color w:val="auto"/>
                <w:sz w:val="18"/>
                <w:szCs w:val="18"/>
                <w:highlight w:val="none"/>
              </w:rPr>
              <w:t>1～20%的设置</w:t>
            </w:r>
            <w:r>
              <w:rPr>
                <w:rFonts w:hint="eastAsia" w:ascii="宋体" w:hAnsi="宋体"/>
                <w:color w:val="auto"/>
                <w:sz w:val="18"/>
                <w:szCs w:val="18"/>
                <w:highlight w:val="none"/>
              </w:rPr>
              <w:t>；</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所有电路板均需要采用三防工艺，确保在低恶劣环境下的使用寿命。</w:t>
            </w:r>
          </w:p>
          <w:p>
            <w:pPr>
              <w:widowControl/>
              <w:numPr>
                <w:ilvl w:val="0"/>
                <w:numId w:val="14"/>
              </w:numPr>
              <w:ind w:left="0" w:hanging="18"/>
              <w:jc w:val="left"/>
              <w:rPr>
                <w:rFonts w:ascii="宋体" w:hAnsi="宋体"/>
                <w:color w:val="auto"/>
                <w:sz w:val="18"/>
                <w:szCs w:val="18"/>
                <w:highlight w:val="none"/>
              </w:rPr>
            </w:pPr>
            <w:r>
              <w:rPr>
                <w:rFonts w:ascii="宋体" w:hAnsi="宋体"/>
                <w:color w:val="auto"/>
                <w:sz w:val="18"/>
                <w:szCs w:val="18"/>
                <w:highlight w:val="none"/>
              </w:rPr>
              <w:t>UPS输出功率因数须为1，以便与负载完美匹配</w:t>
            </w:r>
            <w:r>
              <w:rPr>
                <w:rFonts w:hint="eastAsia" w:ascii="宋体" w:hAnsi="宋体"/>
                <w:color w:val="auto"/>
                <w:sz w:val="18"/>
                <w:szCs w:val="18"/>
                <w:highlight w:val="none"/>
              </w:rPr>
              <w:t>；</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电池组节数</w:t>
            </w:r>
            <w:r>
              <w:rPr>
                <w:rFonts w:ascii="宋体" w:hAnsi="宋体"/>
                <w:color w:val="auto"/>
                <w:sz w:val="18"/>
                <w:szCs w:val="18"/>
                <w:highlight w:val="none"/>
              </w:rPr>
              <w:t>30～50节可设置，便于未来遭遇个别电池故障需要维护、更换时, 可灵活调节电池节数的需要。</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UPS系统需具有黑匣子功能，全面监控功率模块关键部分参数，实现故障可控可管 ：记录和预警关键部位器件的数据，可设置风扇更换时间到期提示功能，每个模块提供不少于8个温度监控点，检测每个IGBT的内部温度，进风口和出风口温度，散热器温度，有故障发生时，能够自动记录该时刻前后一段时间的各个关键点的波形，并可以导出至电脑</w:t>
            </w:r>
            <w:r>
              <w:rPr>
                <w:rFonts w:hint="eastAsia" w:ascii="宋体" w:hAnsi="宋体"/>
                <w:color w:val="auto"/>
                <w:sz w:val="18"/>
                <w:szCs w:val="18"/>
                <w:highlight w:val="none"/>
              </w:rPr>
              <w:t>；</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功率模块可任意热插拔，</w:t>
            </w:r>
            <w:r>
              <w:rPr>
                <w:rFonts w:ascii="宋体" w:hAnsi="宋体"/>
                <w:color w:val="auto"/>
                <w:sz w:val="18"/>
                <w:szCs w:val="18"/>
                <w:highlight w:val="none"/>
              </w:rPr>
              <w:t>UPS系统可智能识别，无需通过拨码或软件设置</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具备自主老化模式即可进行系统满载测试，省去租用超大负载箱、负载箱工程施工等工作量；</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蓄电池：电池可以在</w:t>
            </w:r>
            <w:r>
              <w:rPr>
                <w:rFonts w:ascii="宋体" w:hAnsi="宋体"/>
                <w:color w:val="auto"/>
                <w:sz w:val="18"/>
                <w:szCs w:val="18"/>
                <w:highlight w:val="none"/>
              </w:rPr>
              <w:t>-20℃～+50℃甚至更宽范围的温度条件下工作，电池的内阻比常规电池小，在-20℃～+50℃的温度范围内进行大电流放电</w:t>
            </w:r>
            <w:r>
              <w:rPr>
                <w:rFonts w:hint="eastAsia" w:ascii="宋体" w:hAnsi="宋体"/>
                <w:color w:val="auto"/>
                <w:sz w:val="18"/>
                <w:szCs w:val="18"/>
                <w:highlight w:val="none"/>
              </w:rPr>
              <w:t>。</w:t>
            </w:r>
          </w:p>
          <w:p>
            <w:pPr>
              <w:widowControl/>
              <w:numPr>
                <w:ilvl w:val="0"/>
                <w:numId w:val="14"/>
              </w:numPr>
              <w:ind w:left="0" w:hanging="18"/>
              <w:jc w:val="left"/>
              <w:rPr>
                <w:rFonts w:ascii="宋体" w:hAnsi="宋体"/>
                <w:color w:val="auto"/>
                <w:sz w:val="18"/>
                <w:szCs w:val="18"/>
                <w:highlight w:val="none"/>
              </w:rPr>
            </w:pPr>
            <w:r>
              <w:rPr>
                <w:rFonts w:hint="eastAsia" w:ascii="宋体" w:hAnsi="宋体"/>
                <w:color w:val="auto"/>
                <w:sz w:val="18"/>
                <w:szCs w:val="18"/>
                <w:highlight w:val="none"/>
              </w:rPr>
              <w:t>▲为保证产品质量安全，UPS产品需获得“中国节能产品认证”、“泰尔产品认证”、“CE认证”、“泰尔产品认证”</w:t>
            </w:r>
            <w:r>
              <w:rPr>
                <w:rFonts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848" w:hRule="atLeast"/>
          <w:jc w:val="center"/>
        </w:trPr>
        <w:tc>
          <w:tcPr>
            <w:tcW w:w="242" w:type="pct"/>
            <w:shd w:val="clear" w:color="auto" w:fill="auto"/>
            <w:noWrap/>
            <w:vAlign w:val="center"/>
          </w:tcPr>
          <w:p>
            <w:pPr>
              <w:widowControl/>
              <w:numPr>
                <w:ilvl w:val="0"/>
                <w:numId w:val="13"/>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电线电缆</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采用不低于低烟无卤阻燃（WDZC）级别电线电缆。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242" w:type="pct"/>
            <w:shd w:val="clear" w:color="auto" w:fill="auto"/>
            <w:noWrap/>
            <w:vAlign w:val="center"/>
          </w:tcPr>
          <w:p>
            <w:pPr>
              <w:widowControl/>
              <w:numPr>
                <w:ilvl w:val="0"/>
                <w:numId w:val="13"/>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照明灯具</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采用LED面板灯具，显色指数不低于90，眩光值不大于19。洁净区采用密封型LED灯具，潮湿场所采用防水防尘灯具。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242" w:type="pct"/>
            <w:shd w:val="clear" w:color="auto" w:fill="auto"/>
            <w:noWrap/>
            <w:vAlign w:val="center"/>
          </w:tcPr>
          <w:p>
            <w:pPr>
              <w:widowControl/>
              <w:numPr>
                <w:ilvl w:val="0"/>
                <w:numId w:val="13"/>
              </w:numPr>
              <w:jc w:val="center"/>
              <w:rPr>
                <w:rFonts w:ascii="宋体" w:hAnsi="宋体"/>
                <w:color w:val="auto"/>
                <w:sz w:val="18"/>
                <w:szCs w:val="18"/>
                <w:highlight w:val="none"/>
              </w:rPr>
            </w:pP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开关插座</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采用86型面板开关和安全性插座。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480" w:hRule="atLeast"/>
          <w:jc w:val="center"/>
        </w:trPr>
        <w:tc>
          <w:tcPr>
            <w:tcW w:w="242" w:type="pct"/>
            <w:shd w:val="clear" w:color="auto" w:fill="auto"/>
            <w:noWrap/>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三</w:t>
            </w:r>
          </w:p>
        </w:tc>
        <w:tc>
          <w:tcPr>
            <w:tcW w:w="4757" w:type="pct"/>
            <w:gridSpan w:val="2"/>
            <w:shd w:val="clear" w:color="auto" w:fill="auto"/>
            <w:noWrap/>
            <w:vAlign w:val="center"/>
          </w:tcPr>
          <w:p>
            <w:pPr>
              <w:rPr>
                <w:rFonts w:ascii="宋体" w:hAnsi="宋体"/>
                <w:b/>
                <w:bCs/>
                <w:color w:val="auto"/>
                <w:sz w:val="18"/>
                <w:szCs w:val="18"/>
                <w:highlight w:val="none"/>
              </w:rPr>
            </w:pPr>
            <w:r>
              <w:rPr>
                <w:rFonts w:hint="eastAsia" w:ascii="宋体" w:hAnsi="宋体"/>
                <w:b/>
                <w:bCs/>
                <w:color w:val="auto"/>
                <w:sz w:val="18"/>
                <w:szCs w:val="18"/>
                <w:highlight w:val="none"/>
              </w:rPr>
              <w:t>弱电智能化系统主要设备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2104"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视频探视系统及智能呼叫对讲监护系统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1、配置：每床配置智慧床旁交互系统、护士站智能看板系统、移动护理系统、探视系统、电子门牌、电子床头卡；</w:t>
            </w:r>
            <w:r>
              <w:rPr>
                <w:rFonts w:hint="eastAsia" w:ascii="宋体" w:hAnsi="宋体"/>
                <w:color w:val="auto"/>
                <w:sz w:val="18"/>
                <w:szCs w:val="18"/>
                <w:highlight w:val="none"/>
              </w:rPr>
              <w:br w:type="textWrapping"/>
            </w:r>
            <w:r>
              <w:rPr>
                <w:rFonts w:hint="eastAsia" w:ascii="宋体" w:hAnsi="宋体"/>
                <w:color w:val="auto"/>
                <w:sz w:val="18"/>
                <w:szCs w:val="18"/>
                <w:highlight w:val="none"/>
              </w:rPr>
              <w:t>2、系统：安卓操作系统，护士站分机10.1英寸IPS屏；</w:t>
            </w:r>
            <w:r>
              <w:rPr>
                <w:rFonts w:hint="eastAsia" w:ascii="宋体" w:hAnsi="宋体"/>
                <w:color w:val="auto"/>
                <w:sz w:val="18"/>
                <w:szCs w:val="18"/>
                <w:highlight w:val="none"/>
              </w:rPr>
              <w:br w:type="textWrapping"/>
            </w:r>
            <w:r>
              <w:rPr>
                <w:rFonts w:hint="eastAsia" w:ascii="宋体" w:hAnsi="宋体"/>
                <w:color w:val="auto"/>
                <w:sz w:val="18"/>
                <w:szCs w:val="18"/>
                <w:highlight w:val="none"/>
              </w:rPr>
              <w:t xml:space="preserve">2、功能：病区病人信息整体展示、参数、HIS设置、处理病房呼叫、呼叫、查房、供氧查询日志、可进行分区广播、走廊显示屏、门口分机、床、床位、级别、人员、信息管理、头分机版面及内容设置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855"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视频监控系统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在进出口、主要通道、病房等区域设置监控摄像机，摄像机采用POE供电，监控主机设置在护士站。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720"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可视对讲门禁系统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在主出入口设置可视对讲门禁，其他进出口设置刷卡门禁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945"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背景音乐广播系统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采用模拟型广播系统，广播主机设置在护士站，系统带强切功能，预留接入消防广播信号接口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660"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5</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综合布线系统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六类线缆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480" w:hRule="atLeast"/>
          <w:jc w:val="center"/>
        </w:trPr>
        <w:tc>
          <w:tcPr>
            <w:tcW w:w="242" w:type="pct"/>
            <w:shd w:val="clear" w:color="auto" w:fill="auto"/>
            <w:noWrap/>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四</w:t>
            </w:r>
          </w:p>
        </w:tc>
        <w:tc>
          <w:tcPr>
            <w:tcW w:w="4757" w:type="pct"/>
            <w:gridSpan w:val="2"/>
            <w:shd w:val="clear" w:color="auto" w:fill="auto"/>
            <w:noWrap/>
            <w:vAlign w:val="center"/>
          </w:tcPr>
          <w:p>
            <w:pPr>
              <w:rPr>
                <w:rFonts w:ascii="宋体" w:hAnsi="宋体"/>
                <w:b/>
                <w:bCs/>
                <w:color w:val="auto"/>
                <w:sz w:val="18"/>
                <w:szCs w:val="18"/>
                <w:highlight w:val="none"/>
              </w:rPr>
            </w:pPr>
            <w:r>
              <w:rPr>
                <w:rFonts w:hint="eastAsia" w:ascii="宋体" w:hAnsi="宋体"/>
                <w:b/>
                <w:bCs/>
                <w:color w:val="auto"/>
                <w:sz w:val="18"/>
                <w:szCs w:val="18"/>
                <w:highlight w:val="none"/>
              </w:rPr>
              <w:t>医用气体系统主要设备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3385"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医气报警系统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1、▲符合医用气体报警系统MC电磁兼容检测（WT18050133），符合医用气体报警系统电气安全检测（WT18030118）</w:t>
            </w:r>
            <w:r>
              <w:rPr>
                <w:rFonts w:hint="eastAsia" w:ascii="宋体" w:hAnsi="宋体"/>
                <w:color w:val="auto"/>
                <w:sz w:val="18"/>
                <w:szCs w:val="18"/>
                <w:highlight w:val="none"/>
              </w:rPr>
              <w:br w:type="textWrapping"/>
            </w:r>
            <w:r>
              <w:rPr>
                <w:rFonts w:hint="eastAsia" w:ascii="宋体" w:hAnsi="宋体"/>
                <w:color w:val="auto"/>
                <w:sz w:val="18"/>
                <w:szCs w:val="18"/>
                <w:highlight w:val="none"/>
              </w:rPr>
              <w:t>2、正压、负压、浓度、流量等均可监控；Mpa、Kpa、Psi、Bar、mmHg、inHg等各种单位3、8气报警程序模块一体化设计，各气体接口之间可以互换，多余接口可以作为备用接口，壁挂式安装设计使安装维护更加方便。</w:t>
            </w:r>
            <w:r>
              <w:rPr>
                <w:rFonts w:hint="eastAsia" w:ascii="宋体" w:hAnsi="宋体"/>
                <w:color w:val="auto"/>
                <w:sz w:val="18"/>
                <w:szCs w:val="18"/>
                <w:highlight w:val="none"/>
              </w:rPr>
              <w:br w:type="textWrapping"/>
            </w:r>
            <w:r>
              <w:rPr>
                <w:rFonts w:hint="eastAsia" w:ascii="宋体" w:hAnsi="宋体"/>
                <w:color w:val="auto"/>
                <w:sz w:val="18"/>
                <w:szCs w:val="18"/>
                <w:highlight w:val="none"/>
              </w:rPr>
              <w:t>4、数字化实时显示气体压力数值、本地声光报警等功能，并提供外接远程报警接点，可实现远程声光报警」</w:t>
            </w:r>
            <w:r>
              <w:rPr>
                <w:rFonts w:hint="eastAsia" w:ascii="宋体" w:hAnsi="宋体"/>
                <w:color w:val="auto"/>
                <w:sz w:val="18"/>
                <w:szCs w:val="18"/>
                <w:highlight w:val="none"/>
              </w:rPr>
              <w:br w:type="textWrapping"/>
            </w:r>
            <w:r>
              <w:rPr>
                <w:rFonts w:hint="eastAsia" w:ascii="宋体" w:hAnsi="宋体"/>
                <w:color w:val="auto"/>
                <w:sz w:val="18"/>
                <w:szCs w:val="18"/>
                <w:highlight w:val="none"/>
              </w:rPr>
              <w:t>5、中央微机处理器， Window操作系统，稳定安全，免维护，使用寿命长</w:t>
            </w:r>
            <w:r>
              <w:rPr>
                <w:rFonts w:hint="eastAsia" w:ascii="宋体" w:hAnsi="宋体"/>
                <w:color w:val="auto"/>
                <w:sz w:val="18"/>
                <w:szCs w:val="18"/>
                <w:highlight w:val="none"/>
              </w:rPr>
              <w:br w:type="textWrapping"/>
            </w:r>
            <w:r>
              <w:rPr>
                <w:rFonts w:hint="eastAsia" w:ascii="宋体" w:hAnsi="宋体"/>
                <w:color w:val="auto"/>
                <w:sz w:val="18"/>
                <w:szCs w:val="18"/>
                <w:highlight w:val="none"/>
              </w:rPr>
              <w:t>6、标准 ModBus协议，RS485远程通讯，可联网监控</w:t>
            </w:r>
            <w:r>
              <w:rPr>
                <w:rFonts w:hint="eastAsia" w:ascii="宋体" w:hAnsi="宋体"/>
                <w:color w:val="auto"/>
                <w:sz w:val="18"/>
                <w:szCs w:val="18"/>
                <w:highlight w:val="none"/>
              </w:rPr>
              <w:br w:type="textWrapping"/>
            </w:r>
            <w:r>
              <w:rPr>
                <w:rFonts w:hint="eastAsia" w:ascii="宋体" w:hAnsi="宋体"/>
                <w:color w:val="auto"/>
                <w:sz w:val="18"/>
                <w:szCs w:val="18"/>
                <w:highlight w:val="none"/>
              </w:rPr>
              <w:t>7、选用进口元器件，抗干扰能力强，全不锈钢高精度压力传感器，性能稳定可靠</w:t>
            </w:r>
            <w:r>
              <w:rPr>
                <w:rFonts w:hint="eastAsia" w:ascii="宋体" w:hAnsi="宋体"/>
                <w:color w:val="auto"/>
                <w:sz w:val="18"/>
                <w:szCs w:val="18"/>
                <w:highlight w:val="none"/>
              </w:rPr>
              <w:br w:type="textWrapping"/>
            </w:r>
            <w:r>
              <w:rPr>
                <w:rFonts w:hint="eastAsia" w:ascii="宋体" w:hAnsi="宋体"/>
                <w:color w:val="auto"/>
                <w:sz w:val="18"/>
                <w:szCs w:val="18"/>
                <w:highlight w:val="none"/>
              </w:rPr>
              <w:t>8、正压传感器和负压传感器可以通用，避免发生传感接错现象；支持传感器故障检测</w:t>
            </w:r>
            <w:r>
              <w:rPr>
                <w:rFonts w:hint="eastAsia" w:ascii="宋体" w:hAnsi="宋体"/>
                <w:color w:val="auto"/>
                <w:sz w:val="18"/>
                <w:szCs w:val="18"/>
                <w:highlight w:val="none"/>
              </w:rPr>
              <w:br w:type="textWrapping"/>
            </w:r>
            <w:r>
              <w:rPr>
                <w:rFonts w:hint="eastAsia" w:ascii="宋体" w:hAnsi="宋体"/>
                <w:color w:val="auto"/>
                <w:sz w:val="18"/>
                <w:szCs w:val="18"/>
                <w:highlight w:val="none"/>
              </w:rPr>
              <w:t>9、二级密码管理，所有参数可现场调试，满足不同需求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1258"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医气设备带</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1、▲医疗设备带采用高强度铝合金6063-T5材质，装饰面经过静电粉末喷涂或电泳涂漆处理，外表美观；具有第三方对材质化学成份，力学性能、涂层性能、漆膜性能、外观质量检测报告。</w:t>
            </w:r>
            <w:r>
              <w:rPr>
                <w:rFonts w:hint="eastAsia" w:ascii="宋体" w:hAnsi="宋体"/>
                <w:color w:val="auto"/>
                <w:sz w:val="18"/>
                <w:szCs w:val="18"/>
                <w:highlight w:val="none"/>
              </w:rPr>
              <w:br w:type="textWrapping"/>
            </w:r>
            <w:r>
              <w:rPr>
                <w:rFonts w:hint="eastAsia" w:ascii="宋体" w:hAnsi="宋体"/>
                <w:color w:val="auto"/>
                <w:sz w:val="18"/>
                <w:szCs w:val="18"/>
                <w:highlight w:val="none"/>
              </w:rPr>
              <w:t>2、▲气体与强电、弱电腔体分隔腔体设置，安全可靠，符合GB9706.1-2007医用电气设备通用要求,提供第三方检测报告。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1377"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医气终端</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1、医气终端可带气维修 ；</w:t>
            </w:r>
            <w:r>
              <w:rPr>
                <w:rFonts w:hint="eastAsia" w:ascii="宋体" w:hAnsi="宋体"/>
                <w:color w:val="auto"/>
                <w:sz w:val="18"/>
                <w:szCs w:val="18"/>
                <w:highlight w:val="none"/>
              </w:rPr>
              <w:br w:type="textWrapping"/>
            </w:r>
            <w:r>
              <w:rPr>
                <w:rFonts w:hint="eastAsia" w:ascii="宋体" w:hAnsi="宋体"/>
                <w:color w:val="auto"/>
                <w:sz w:val="18"/>
                <w:szCs w:val="18"/>
                <w:highlight w:val="none"/>
              </w:rPr>
              <w:t>2、气体插座与插头标识均符合ISO9170国际标准；</w:t>
            </w:r>
            <w:r>
              <w:rPr>
                <w:rFonts w:hint="eastAsia" w:ascii="宋体" w:hAnsi="宋体"/>
                <w:color w:val="auto"/>
                <w:sz w:val="18"/>
                <w:szCs w:val="18"/>
                <w:highlight w:val="none"/>
              </w:rPr>
              <w:br w:type="textWrapping"/>
            </w:r>
            <w:r>
              <w:rPr>
                <w:rFonts w:hint="eastAsia" w:ascii="宋体" w:hAnsi="宋体"/>
                <w:color w:val="auto"/>
                <w:sz w:val="18"/>
                <w:szCs w:val="18"/>
                <w:highlight w:val="none"/>
              </w:rPr>
              <w:t>3、医用气体的终端组件的颜色与标识，应符合GB50751-2012《医用气体工程技术规范》第5.3 节的有关规定；</w:t>
            </w:r>
            <w:r>
              <w:rPr>
                <w:rFonts w:hint="eastAsia" w:ascii="宋体" w:hAnsi="宋体"/>
                <w:color w:val="auto"/>
                <w:sz w:val="18"/>
                <w:szCs w:val="18"/>
                <w:highlight w:val="none"/>
              </w:rPr>
              <w:br w:type="textWrapping"/>
            </w:r>
            <w:r>
              <w:rPr>
                <w:rFonts w:hint="eastAsia" w:ascii="宋体" w:hAnsi="宋体"/>
                <w:color w:val="auto"/>
                <w:sz w:val="18"/>
                <w:szCs w:val="18"/>
                <w:highlight w:val="none"/>
              </w:rPr>
              <w:t>4、气体终端后端材质为脱脂紫铜管；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551"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4</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医气管道系统</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1、国标医气专用脱脂紫铜管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480" w:hRule="atLeast"/>
          <w:jc w:val="center"/>
        </w:trPr>
        <w:tc>
          <w:tcPr>
            <w:tcW w:w="242" w:type="pct"/>
            <w:shd w:val="clear" w:color="auto" w:fill="auto"/>
            <w:noWrap/>
            <w:vAlign w:val="center"/>
          </w:tcPr>
          <w:p>
            <w:pPr>
              <w:jc w:val="center"/>
              <w:rPr>
                <w:rFonts w:ascii="宋体" w:hAnsi="宋体"/>
                <w:b/>
                <w:bCs/>
                <w:color w:val="auto"/>
                <w:sz w:val="18"/>
                <w:szCs w:val="18"/>
                <w:highlight w:val="none"/>
              </w:rPr>
            </w:pPr>
            <w:r>
              <w:rPr>
                <w:rFonts w:hint="eastAsia" w:ascii="宋体" w:hAnsi="宋体"/>
                <w:b/>
                <w:bCs/>
                <w:color w:val="auto"/>
                <w:sz w:val="18"/>
                <w:szCs w:val="18"/>
                <w:highlight w:val="none"/>
              </w:rPr>
              <w:t>五</w:t>
            </w:r>
          </w:p>
        </w:tc>
        <w:tc>
          <w:tcPr>
            <w:tcW w:w="4757" w:type="pct"/>
            <w:gridSpan w:val="2"/>
            <w:shd w:val="clear" w:color="auto" w:fill="auto"/>
            <w:noWrap/>
            <w:vAlign w:val="center"/>
          </w:tcPr>
          <w:p>
            <w:pPr>
              <w:rPr>
                <w:rFonts w:ascii="宋体" w:hAnsi="宋体"/>
                <w:b/>
                <w:bCs/>
                <w:color w:val="auto"/>
                <w:sz w:val="18"/>
                <w:szCs w:val="18"/>
                <w:highlight w:val="none"/>
              </w:rPr>
            </w:pPr>
            <w:r>
              <w:rPr>
                <w:rFonts w:hint="eastAsia" w:ascii="宋体" w:hAnsi="宋体"/>
                <w:b/>
                <w:bCs/>
                <w:color w:val="auto"/>
                <w:sz w:val="18"/>
                <w:szCs w:val="18"/>
                <w:highlight w:val="none"/>
              </w:rPr>
              <w:t>装饰系统主要设备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2240"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医疗洁净板材</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1、洁净区隔墙饰面板选用6mm无机预涂板；</w:t>
            </w:r>
            <w:r>
              <w:rPr>
                <w:rFonts w:hint="eastAsia" w:ascii="宋体" w:hAnsi="宋体"/>
                <w:color w:val="auto"/>
                <w:sz w:val="18"/>
                <w:szCs w:val="18"/>
                <w:highlight w:val="none"/>
              </w:rPr>
              <w:br w:type="textWrapping"/>
            </w:r>
            <w:r>
              <w:rPr>
                <w:rFonts w:hint="eastAsia" w:ascii="宋体" w:hAnsi="宋体"/>
                <w:color w:val="auto"/>
                <w:sz w:val="18"/>
                <w:szCs w:val="18"/>
                <w:highlight w:val="none"/>
              </w:rPr>
              <w:t>2、▲防火特性：建筑材料及制品燃烧性能分级</w:t>
            </w:r>
            <w:r>
              <w:rPr>
                <w:rFonts w:ascii="宋体" w:hAnsi="宋体"/>
                <w:color w:val="auto"/>
                <w:sz w:val="18"/>
                <w:szCs w:val="18"/>
                <w:highlight w:val="none"/>
              </w:rPr>
              <w:t>A2-sl,do级不燃</w:t>
            </w:r>
            <w:r>
              <w:rPr>
                <w:rFonts w:hint="eastAsia" w:ascii="宋体" w:hAnsi="宋体"/>
                <w:color w:val="auto"/>
                <w:sz w:val="18"/>
                <w:szCs w:val="18"/>
                <w:highlight w:val="none"/>
              </w:rPr>
              <w:t>；</w:t>
            </w:r>
            <w:r>
              <w:rPr>
                <w:rFonts w:hint="eastAsia" w:ascii="宋体" w:hAnsi="宋体"/>
                <w:color w:val="auto"/>
                <w:sz w:val="18"/>
                <w:szCs w:val="18"/>
                <w:highlight w:val="none"/>
              </w:rPr>
              <w:br w:type="textWrapping"/>
            </w:r>
            <w:r>
              <w:rPr>
                <w:rFonts w:hint="eastAsia" w:ascii="宋体" w:hAnsi="宋体"/>
                <w:color w:val="auto"/>
                <w:sz w:val="18"/>
                <w:szCs w:val="18"/>
                <w:highlight w:val="none"/>
              </w:rPr>
              <w:t>3、▲抗菌性能：抗菌性能大肠杆菌、金黄色葡萄球菌、白色念珠菌、铜绿假单胞菌、肺炎克雷伯氏菌等，满足</w:t>
            </w:r>
            <w:r>
              <w:rPr>
                <w:rFonts w:ascii="宋体" w:hAnsi="宋体"/>
                <w:color w:val="auto"/>
                <w:sz w:val="18"/>
                <w:szCs w:val="18"/>
                <w:highlight w:val="none"/>
              </w:rPr>
              <w:t xml:space="preserve"> JIS Z 2801：2010《抗菌制品抗菌性能的检测与评价》检测结果抗菌率不低于99%</w:t>
            </w:r>
            <w:r>
              <w:rPr>
                <w:rFonts w:hint="eastAsia" w:ascii="宋体" w:hAnsi="宋体"/>
                <w:color w:val="auto"/>
                <w:sz w:val="18"/>
                <w:szCs w:val="18"/>
                <w:highlight w:val="none"/>
              </w:rPr>
              <w:t>；</w:t>
            </w:r>
            <w:r>
              <w:rPr>
                <w:rFonts w:hint="eastAsia" w:ascii="宋体" w:hAnsi="宋体"/>
                <w:color w:val="auto"/>
                <w:sz w:val="18"/>
                <w:szCs w:val="18"/>
                <w:highlight w:val="none"/>
              </w:rPr>
              <w:br w:type="textWrapping"/>
            </w:r>
            <w:r>
              <w:rPr>
                <w:rFonts w:hint="eastAsia" w:ascii="宋体" w:hAnsi="宋体"/>
                <w:color w:val="auto"/>
                <w:sz w:val="18"/>
                <w:szCs w:val="18"/>
                <w:highlight w:val="none"/>
              </w:rPr>
              <w:t>4、▲要求良好的环保性能，甲醛释放量＜</w:t>
            </w:r>
            <w:r>
              <w:rPr>
                <w:rFonts w:ascii="宋体" w:hAnsi="宋体"/>
                <w:color w:val="auto"/>
                <w:sz w:val="18"/>
                <w:szCs w:val="18"/>
                <w:highlight w:val="none"/>
              </w:rPr>
              <w:t>0.012mg/m³</w:t>
            </w:r>
            <w:r>
              <w:rPr>
                <w:rFonts w:hint="eastAsia" w:ascii="宋体" w:hAnsi="宋体"/>
                <w:color w:val="auto"/>
                <w:sz w:val="18"/>
                <w:szCs w:val="18"/>
                <w:highlight w:val="none"/>
              </w:rPr>
              <w:t>；</w:t>
            </w:r>
            <w:r>
              <w:rPr>
                <w:rFonts w:hint="eastAsia" w:ascii="宋体" w:hAnsi="宋体"/>
                <w:color w:val="auto"/>
                <w:sz w:val="18"/>
                <w:szCs w:val="18"/>
                <w:highlight w:val="none"/>
              </w:rPr>
              <w:br w:type="textWrapping"/>
            </w:r>
            <w:r>
              <w:rPr>
                <w:rFonts w:hint="eastAsia" w:ascii="宋体" w:hAnsi="宋体"/>
                <w:color w:val="auto"/>
                <w:sz w:val="18"/>
                <w:szCs w:val="18"/>
                <w:highlight w:val="none"/>
              </w:rPr>
              <w:t>5、▲耐洗刷性</w:t>
            </w:r>
            <w:r>
              <w:rPr>
                <w:rFonts w:ascii="宋体" w:hAnsi="宋体"/>
                <w:color w:val="auto"/>
                <w:sz w:val="18"/>
                <w:szCs w:val="18"/>
                <w:highlight w:val="none"/>
              </w:rPr>
              <w:t>10000次不露底，耐水性168h无异常，耐酸性168h无异常，划格试验1级或更优，良好的耐沾污性，耐湿热性1000h不起泡、不生锈、不脱落, 耐溶剂酒精、丁酮擦拭 100次不露底</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1599"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2</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PVC地板胶</w:t>
            </w:r>
          </w:p>
        </w:tc>
        <w:tc>
          <w:tcPr>
            <w:tcW w:w="4195" w:type="pct"/>
            <w:shd w:val="clear" w:color="auto" w:fill="auto"/>
            <w:vAlign w:val="center"/>
          </w:tcPr>
          <w:p>
            <w:pPr>
              <w:rPr>
                <w:rFonts w:ascii="宋体" w:hAnsi="宋体"/>
                <w:color w:val="auto"/>
                <w:sz w:val="18"/>
                <w:szCs w:val="18"/>
                <w:highlight w:val="none"/>
              </w:rPr>
            </w:pPr>
            <w:r>
              <w:rPr>
                <w:rFonts w:hint="eastAsia" w:ascii="宋体" w:hAnsi="宋体"/>
                <w:color w:val="auto"/>
                <w:sz w:val="18"/>
                <w:szCs w:val="18"/>
                <w:highlight w:val="none"/>
              </w:rPr>
              <w:t>1、厚度：P</w:t>
            </w:r>
            <w:r>
              <w:rPr>
                <w:rFonts w:ascii="宋体" w:hAnsi="宋体"/>
                <w:color w:val="auto"/>
                <w:sz w:val="18"/>
                <w:szCs w:val="18"/>
                <w:highlight w:val="none"/>
              </w:rPr>
              <w:t>VC</w:t>
            </w:r>
            <w:r>
              <w:rPr>
                <w:rFonts w:hint="eastAsia" w:ascii="宋体" w:hAnsi="宋体"/>
                <w:color w:val="auto"/>
                <w:sz w:val="18"/>
                <w:szCs w:val="18"/>
                <w:highlight w:val="none"/>
              </w:rPr>
              <w:t>通知透心地胶， 厚度2.0</w:t>
            </w:r>
            <w:r>
              <w:rPr>
                <w:rFonts w:ascii="宋体" w:hAnsi="宋体"/>
                <w:color w:val="auto"/>
                <w:sz w:val="18"/>
                <w:szCs w:val="18"/>
                <w:highlight w:val="none"/>
              </w:rPr>
              <w:t>mm</w:t>
            </w:r>
            <w:r>
              <w:rPr>
                <w:rFonts w:hint="eastAsia" w:ascii="宋体" w:hAnsi="宋体"/>
                <w:color w:val="auto"/>
                <w:sz w:val="18"/>
                <w:szCs w:val="18"/>
                <w:highlight w:val="none"/>
              </w:rPr>
              <w:t>；</w:t>
            </w:r>
            <w:r>
              <w:rPr>
                <w:rFonts w:hint="eastAsia" w:ascii="宋体" w:hAnsi="宋体"/>
                <w:color w:val="auto"/>
                <w:sz w:val="18"/>
                <w:szCs w:val="18"/>
                <w:highlight w:val="none"/>
              </w:rPr>
              <w:br w:type="textWrapping"/>
            </w:r>
            <w:r>
              <w:rPr>
                <w:rFonts w:hint="eastAsia" w:ascii="宋体" w:hAnsi="宋体"/>
                <w:color w:val="auto"/>
                <w:sz w:val="18"/>
                <w:szCs w:val="18"/>
                <w:highlight w:val="none"/>
              </w:rPr>
              <w:t>2、▲防火性：符合国标GB8624-2012标准 燃烧性能达到Bfl-s1＊级</w:t>
            </w:r>
            <w:r>
              <w:rPr>
                <w:rFonts w:hint="eastAsia" w:ascii="宋体" w:hAnsi="宋体"/>
                <w:color w:val="auto"/>
                <w:sz w:val="18"/>
                <w:szCs w:val="18"/>
                <w:highlight w:val="none"/>
              </w:rPr>
              <w:br w:type="textWrapping"/>
            </w:r>
            <w:r>
              <w:rPr>
                <w:rFonts w:hint="eastAsia" w:ascii="宋体" w:hAnsi="宋体"/>
                <w:color w:val="auto"/>
                <w:sz w:val="18"/>
                <w:szCs w:val="18"/>
                <w:highlight w:val="none"/>
              </w:rPr>
              <w:t>3、耐磨性：符合国标GB/T11982.1-2015 6.7 耐磨性T级标准；</w:t>
            </w:r>
            <w:r>
              <w:rPr>
                <w:rFonts w:hint="eastAsia" w:ascii="宋体" w:hAnsi="宋体"/>
                <w:color w:val="auto"/>
                <w:sz w:val="18"/>
                <w:szCs w:val="18"/>
                <w:highlight w:val="none"/>
              </w:rPr>
              <w:br w:type="textWrapping"/>
            </w:r>
            <w:r>
              <w:rPr>
                <w:rFonts w:hint="eastAsia" w:ascii="宋体" w:hAnsi="宋体"/>
                <w:color w:val="auto"/>
                <w:sz w:val="18"/>
                <w:szCs w:val="18"/>
                <w:highlight w:val="none"/>
              </w:rPr>
              <w:t>4、有害物质限量：符合中国GB18586-2001标准；</w:t>
            </w:r>
            <w:r>
              <w:rPr>
                <w:rFonts w:hint="eastAsia" w:ascii="宋体" w:hAnsi="宋体"/>
                <w:color w:val="auto"/>
                <w:sz w:val="18"/>
                <w:szCs w:val="18"/>
                <w:highlight w:val="none"/>
              </w:rPr>
              <w:br w:type="textWrapping"/>
            </w:r>
            <w:r>
              <w:rPr>
                <w:rFonts w:hint="eastAsia" w:ascii="宋体" w:hAnsi="宋体"/>
                <w:color w:val="auto"/>
                <w:sz w:val="18"/>
                <w:szCs w:val="18"/>
                <w:highlight w:val="none"/>
              </w:rPr>
              <w:t>5、▲抗菌性达到99.99%,；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0" w:type="dxa"/>
            <w:right w:w="15" w:type="dxa"/>
          </w:tblCellMar>
        </w:tblPrEx>
        <w:trPr>
          <w:trHeight w:val="2250" w:hRule="atLeast"/>
          <w:jc w:val="center"/>
        </w:trPr>
        <w:tc>
          <w:tcPr>
            <w:tcW w:w="242" w:type="pct"/>
            <w:shd w:val="clear" w:color="auto" w:fill="auto"/>
            <w:noWrap/>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3</w:t>
            </w:r>
          </w:p>
        </w:tc>
        <w:tc>
          <w:tcPr>
            <w:tcW w:w="561" w:type="pct"/>
            <w:shd w:val="clear" w:color="auto" w:fill="auto"/>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电动感应气密门</w:t>
            </w:r>
          </w:p>
        </w:tc>
        <w:tc>
          <w:tcPr>
            <w:tcW w:w="4195" w:type="pct"/>
            <w:shd w:val="clear" w:color="auto" w:fill="auto"/>
            <w:vAlign w:val="center"/>
          </w:tcPr>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表面材料：6+12+6钢化中空玻璃，四周铝合金型材包边</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腰带：150mm铝合金型材腰带</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拉手:暗装拉手</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门框：铝合金型材门框（可带门套）</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设备：气密门专用机组（带气密下沉功能）</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开启方式：脚感应（可选多种方式）</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防夹：安全双光束</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电动气密门气密性达标；</w:t>
            </w:r>
          </w:p>
          <w:p>
            <w:pPr>
              <w:widowControl/>
              <w:numPr>
                <w:ilvl w:val="0"/>
                <w:numId w:val="15"/>
              </w:numPr>
              <w:jc w:val="left"/>
              <w:rPr>
                <w:rFonts w:ascii="宋体" w:hAnsi="宋体"/>
                <w:color w:val="auto"/>
                <w:sz w:val="18"/>
                <w:szCs w:val="18"/>
                <w:highlight w:val="none"/>
              </w:rPr>
            </w:pPr>
            <w:r>
              <w:rPr>
                <w:rFonts w:hint="eastAsia" w:ascii="宋体" w:hAnsi="宋体"/>
                <w:color w:val="auto"/>
                <w:sz w:val="18"/>
                <w:szCs w:val="18"/>
                <w:highlight w:val="none"/>
              </w:rPr>
              <w:t>▲9001世标认证，14001世标认证</w:t>
            </w:r>
          </w:p>
        </w:tc>
      </w:tr>
    </w:tbl>
    <w:p>
      <w:pPr>
        <w:pStyle w:val="117"/>
        <w:spacing w:line="360" w:lineRule="auto"/>
        <w:ind w:firstLine="0" w:firstLineChars="0"/>
        <w:rPr>
          <w:rFonts w:ascii="宋体" w:hAnsi="宋体" w:cs="宋体"/>
          <w:color w:val="auto"/>
          <w:szCs w:val="21"/>
          <w:highlight w:val="none"/>
          <w:lang w:val="en-US"/>
        </w:rPr>
      </w:pPr>
    </w:p>
    <w:p>
      <w:pPr>
        <w:pStyle w:val="117"/>
        <w:spacing w:line="360" w:lineRule="auto"/>
        <w:ind w:firstLine="180" w:firstLineChars="100"/>
        <w:rPr>
          <w:rFonts w:ascii="宋体" w:hAnsi="宋体" w:cs="宋体"/>
          <w:color w:val="auto"/>
          <w:kern w:val="0"/>
          <w:sz w:val="18"/>
          <w:szCs w:val="18"/>
          <w:highlight w:val="none"/>
          <w:lang w:val="en-US" w:bidi="ar"/>
        </w:rPr>
      </w:pPr>
      <w:r>
        <w:rPr>
          <w:rFonts w:hint="eastAsia" w:ascii="宋体" w:hAnsi="宋体" w:cs="宋体"/>
          <w:color w:val="auto"/>
          <w:kern w:val="0"/>
          <w:sz w:val="18"/>
          <w:szCs w:val="18"/>
          <w:highlight w:val="none"/>
          <w:lang w:val="en-US" w:bidi="ar"/>
        </w:rPr>
        <w:t>注：1.所投标产品必须严格提供原厂全新正牌产品（正品优等品）</w:t>
      </w:r>
      <w:r>
        <w:rPr>
          <w:rFonts w:hint="eastAsia" w:ascii="宋体" w:hAnsi="宋体" w:cs="宋体"/>
          <w:color w:val="auto"/>
          <w:kern w:val="0"/>
          <w:sz w:val="18"/>
          <w:szCs w:val="18"/>
          <w:highlight w:val="none"/>
          <w:lang w:val="en-US" w:bidi="ar"/>
        </w:rPr>
        <w:br w:type="textWrapping"/>
      </w:r>
      <w:r>
        <w:rPr>
          <w:rFonts w:hint="eastAsia" w:ascii="宋体" w:hAnsi="宋体" w:cs="宋体"/>
          <w:color w:val="auto"/>
          <w:kern w:val="0"/>
          <w:sz w:val="18"/>
          <w:szCs w:val="18"/>
          <w:highlight w:val="none"/>
          <w:lang w:val="en-US" w:bidi="ar"/>
        </w:rPr>
        <w:t xml:space="preserve">      2.满足设计、规范要求，提供上述产品参数要求的对应证明报告。 </w:t>
      </w:r>
    </w:p>
    <w:p>
      <w:pPr>
        <w:pStyle w:val="117"/>
        <w:spacing w:line="360" w:lineRule="auto"/>
        <w:ind w:firstLine="540" w:firstLineChars="300"/>
        <w:rPr>
          <w:rFonts w:ascii="宋体" w:hAnsi="宋体" w:cs="宋体"/>
          <w:b/>
          <w:bCs/>
          <w:color w:val="auto"/>
          <w:sz w:val="24"/>
          <w:highlight w:val="none"/>
        </w:rPr>
      </w:pPr>
      <w:r>
        <w:rPr>
          <w:rFonts w:hint="eastAsia" w:ascii="宋体" w:hAnsi="宋体" w:cs="宋体"/>
          <w:color w:val="auto"/>
          <w:kern w:val="0"/>
          <w:sz w:val="18"/>
          <w:szCs w:val="18"/>
          <w:highlight w:val="none"/>
          <w:lang w:val="en-US" w:bidi="ar"/>
        </w:rPr>
        <w:t>3. 以上标识有“▲”符号的参数要求，为本项目重要产品性能保证的关键因素，须逐条响应以保证项目质量。</w:t>
      </w:r>
    </w:p>
    <w:bookmarkEnd w:id="53"/>
    <w:p>
      <w:pPr>
        <w:rPr>
          <w:rFonts w:hint="eastAsia" w:ascii="Calibri" w:hAnsi="Calibri" w:eastAsia="宋体" w:cs="Times New Roman"/>
          <w:bCs w:val="0"/>
          <w:color w:val="auto"/>
          <w:sz w:val="28"/>
          <w:szCs w:val="28"/>
          <w:highlight w:val="none"/>
          <w:lang w:val="en-US" w:eastAsia="zh-CN"/>
        </w:rPr>
      </w:pPr>
      <w:r>
        <w:rPr>
          <w:rFonts w:hint="eastAsia" w:ascii="Calibri" w:hAnsi="Calibri" w:eastAsia="宋体" w:cs="Times New Roman"/>
          <w:bCs w:val="0"/>
          <w:color w:val="auto"/>
          <w:sz w:val="28"/>
          <w:szCs w:val="28"/>
          <w:highlight w:val="none"/>
          <w:lang w:val="en-US" w:eastAsia="zh-CN"/>
        </w:rPr>
        <w:br w:type="page"/>
      </w:r>
    </w:p>
    <w:p>
      <w:pPr>
        <w:pStyle w:val="3"/>
        <w:numPr>
          <w:ilvl w:val="0"/>
          <w:numId w:val="0"/>
        </w:numPr>
        <w:spacing w:line="360" w:lineRule="auto"/>
        <w:ind w:firstLine="660" w:firstLineChars="236"/>
        <w:rPr>
          <w:rFonts w:hint="eastAsia" w:ascii="Calibri" w:hAnsi="Calibri" w:eastAsia="宋体" w:cs="Times New Roman"/>
          <w:bCs w:val="0"/>
          <w:color w:val="auto"/>
          <w:sz w:val="28"/>
          <w:szCs w:val="28"/>
          <w:highlight w:val="none"/>
          <w:lang w:val="en-US" w:eastAsia="zh-CN"/>
        </w:rPr>
      </w:pPr>
      <w:r>
        <w:rPr>
          <w:rFonts w:hint="eastAsia" w:ascii="Calibri" w:hAnsi="Calibri" w:eastAsia="宋体" w:cs="Times New Roman"/>
          <w:bCs w:val="0"/>
          <w:color w:val="auto"/>
          <w:sz w:val="28"/>
          <w:szCs w:val="28"/>
          <w:highlight w:val="none"/>
          <w:lang w:val="en-US" w:eastAsia="zh-CN"/>
        </w:rPr>
        <w:t>主材品牌表</w:t>
      </w:r>
    </w:p>
    <w:p>
      <w:pPr>
        <w:spacing w:before="207" w:line="219" w:lineRule="auto"/>
        <w:ind w:left="57"/>
        <w:rPr>
          <w:rFonts w:ascii="宋体" w:hAnsi="宋体" w:eastAsia="宋体" w:cs="宋体"/>
          <w:color w:val="auto"/>
          <w:sz w:val="18"/>
          <w:szCs w:val="18"/>
          <w:highlight w:val="none"/>
        </w:rPr>
      </w:pPr>
      <w:r>
        <w:rPr>
          <w:rFonts w:ascii="宋体" w:hAnsi="宋体" w:eastAsia="宋体" w:cs="宋体"/>
          <w:b/>
          <w:bCs/>
          <w:color w:val="auto"/>
          <w:spacing w:val="-9"/>
          <w:sz w:val="18"/>
          <w:szCs w:val="18"/>
          <w:highlight w:val="none"/>
        </w:rPr>
        <w:t>项目名称：广州市南沙中心医院独立创评三甲医院配套建</w:t>
      </w:r>
      <w:r>
        <w:rPr>
          <w:rFonts w:ascii="宋体" w:hAnsi="宋体" w:eastAsia="宋体" w:cs="宋体"/>
          <w:b/>
          <w:bCs/>
          <w:color w:val="auto"/>
          <w:spacing w:val="-10"/>
          <w:sz w:val="18"/>
          <w:szCs w:val="18"/>
          <w:highlight w:val="none"/>
        </w:rPr>
        <w:t>设工程</w:t>
      </w:r>
    </w:p>
    <w:p>
      <w:pPr>
        <w:spacing w:line="117" w:lineRule="exact"/>
        <w:rPr>
          <w:color w:val="auto"/>
          <w:highlight w:val="none"/>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
        <w:gridCol w:w="1195"/>
        <w:gridCol w:w="3416"/>
        <w:gridCol w:w="1316"/>
        <w:gridCol w:w="126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项目名称：广州市南沙中心医院独立创评三甲医院配套建设工程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blHeader/>
        </w:trPr>
        <w:tc>
          <w:tcPr>
            <w:tcW w:w="31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材料设备名称</w:t>
            </w:r>
          </w:p>
        </w:tc>
        <w:tc>
          <w:tcPr>
            <w:tcW w:w="18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6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厂家/品牌范围要求</w:t>
            </w:r>
          </w:p>
        </w:tc>
        <w:tc>
          <w:tcPr>
            <w:tcW w:w="83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厂家/品牌范围要求</w:t>
            </w:r>
          </w:p>
        </w:tc>
        <w:tc>
          <w:tcPr>
            <w:tcW w:w="60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厂家/品牌范围要求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装饰系统</w:t>
            </w:r>
          </w:p>
        </w:tc>
        <w:tc>
          <w:tcPr>
            <w:tcW w:w="1817" w:type="pct"/>
            <w:tcBorders>
              <w:top w:val="nil"/>
              <w:left w:val="single" w:color="000000" w:sz="8" w:space="0"/>
              <w:bottom w:val="single" w:color="000000" w:sz="8" w:space="0"/>
              <w:right w:val="single" w:color="000000" w:sz="8" w:space="0"/>
            </w:tcBorders>
            <w:noWrap w:val="0"/>
            <w:vAlign w:val="center"/>
          </w:tcPr>
          <w:p>
            <w:pPr>
              <w:jc w:val="center"/>
              <w:rPr>
                <w:rFonts w:hint="eastAsia" w:ascii="Arial" w:hAnsi="Arial" w:eastAsia="宋体" w:cs="Arial"/>
                <w:i w:val="0"/>
                <w:iCs w:val="0"/>
                <w:color w:val="auto"/>
                <w:sz w:val="20"/>
                <w:szCs w:val="20"/>
                <w:highlight w:val="none"/>
                <w:u w:val="none"/>
              </w:rPr>
            </w:pPr>
          </w:p>
        </w:tc>
        <w:tc>
          <w:tcPr>
            <w:tcW w:w="617" w:type="pct"/>
            <w:tcBorders>
              <w:top w:val="nil"/>
              <w:left w:val="single" w:color="000000" w:sz="8" w:space="0"/>
              <w:bottom w:val="single" w:color="000000" w:sz="8" w:space="0"/>
              <w:right w:val="single" w:color="000000" w:sz="8" w:space="0"/>
            </w:tcBorders>
            <w:noWrap w:val="0"/>
            <w:vAlign w:val="center"/>
          </w:tcPr>
          <w:p>
            <w:pPr>
              <w:jc w:val="center"/>
              <w:rPr>
                <w:rFonts w:hint="default" w:ascii="Arial" w:hAnsi="Arial" w:eastAsia="宋体" w:cs="Arial"/>
                <w:i w:val="0"/>
                <w:iCs w:val="0"/>
                <w:color w:val="auto"/>
                <w:sz w:val="20"/>
                <w:szCs w:val="20"/>
                <w:highlight w:val="none"/>
                <w:u w:val="none"/>
              </w:rPr>
            </w:pPr>
          </w:p>
        </w:tc>
        <w:tc>
          <w:tcPr>
            <w:tcW w:w="832" w:type="pct"/>
            <w:tcBorders>
              <w:top w:val="nil"/>
              <w:left w:val="single" w:color="000000" w:sz="8" w:space="0"/>
              <w:bottom w:val="single" w:color="000000" w:sz="8" w:space="0"/>
              <w:right w:val="single" w:color="000000" w:sz="8" w:space="0"/>
            </w:tcBorders>
            <w:noWrap w:val="0"/>
            <w:vAlign w:val="center"/>
          </w:tcPr>
          <w:p>
            <w:pPr>
              <w:jc w:val="center"/>
              <w:rPr>
                <w:rFonts w:hint="default" w:ascii="Arial" w:hAnsi="Arial" w:eastAsia="宋体" w:cs="Arial"/>
                <w:i w:val="0"/>
                <w:iCs w:val="0"/>
                <w:color w:val="auto"/>
                <w:sz w:val="20"/>
                <w:szCs w:val="20"/>
                <w:highlight w:val="none"/>
                <w:u w:val="none"/>
              </w:rPr>
            </w:pPr>
          </w:p>
        </w:tc>
        <w:tc>
          <w:tcPr>
            <w:tcW w:w="608" w:type="pct"/>
            <w:tcBorders>
              <w:top w:val="nil"/>
              <w:left w:val="single" w:color="000000" w:sz="8" w:space="0"/>
              <w:bottom w:val="single" w:color="000000" w:sz="8" w:space="0"/>
              <w:right w:val="single" w:color="000000" w:sz="8" w:space="0"/>
            </w:tcBorders>
            <w:noWrap w:val="0"/>
            <w:vAlign w:val="center"/>
          </w:tcPr>
          <w:p>
            <w:pPr>
              <w:jc w:val="cente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无机预涂板</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1220*2440*6mm</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广东菲力</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上海格特</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上海纷雅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玻镁彩钢板</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50mm,钢板0.416mm厚</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华朝</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莱润</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铝扣板</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300×300×0.8mm(600×600×1.0mm)</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银飞</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奥普</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PVC同质透心地胶板</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2.0mm厚</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KCC</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洁福</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阿姆斯壮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墙面瓷砖</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300×600</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鹰牌</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金舵</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马可波罗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防滑地板砖</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(300×300)600×600</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鹰牌</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金舵</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器械柜</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1000*1700*300mm</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铭铉</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华医净</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佰朗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药品柜</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1000*1700*300mm</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铭铉</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华医净</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佰朗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智能液晶控制面板</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单联面板</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赛洁</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赛科</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雅坤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电动气密门</w:t>
            </w:r>
            <w:r>
              <w:rPr>
                <w:rFonts w:hint="default"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手动气密门</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带300*300观察窗，防撞门板，红外安全 防撞装置与感应开门，密闭效果为在±10pa压差下，空气泄露量&lt;0.5m3/h.m2</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北元</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松下</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欧尼克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成品套门(办公区)</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广东万仕达木门</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广州德盛林 业</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金大田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 具</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鹰牌</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美标</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净化空调系统</w:t>
            </w:r>
          </w:p>
        </w:tc>
        <w:tc>
          <w:tcPr>
            <w:tcW w:w="18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32"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08"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医用净化空气调节机组</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同方</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天加</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风机盘管</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同方</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奥揽达</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雅仕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模块式风冷冷水热泵机</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麦克维尔</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雅仕</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水泵</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广一</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白云</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格兰富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抗菌驻极体HAF消毒过滤装置</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科玛</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利安达</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管道式紫外线空气消毒装置</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科玛</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利安达</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低噪声排风机</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松下</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正野</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绿岛风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空调自动控制系统</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1、传感器：霍尼韦尔、西门子、斯巴拓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2、变频器：西门子、ABB、施耐德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3、电动控制阀：江森、霍尼韦尔、西门子</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雅坤</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宝赛</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赛科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风机盘管温度控制系统</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SIEMENS</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Honeywell</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Johnson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消声器、消声静压箱</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广东百成</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开斯拓</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威士文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橡塑保温棉与胶水</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福乐斯</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华美</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房间微压差计</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DWYER</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SETRA</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HUBA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Camfil</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MayAir</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深紫UVC杀菌除霉装置</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美国Tritamic Environment</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Flash Air</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Sanuvox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电极加湿器</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诺德曼</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卡乐</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耀安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电气系统</w:t>
            </w:r>
          </w:p>
        </w:tc>
        <w:tc>
          <w:tcPr>
            <w:tcW w:w="18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08"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30KVA,30min</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科华</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英威腾</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采用LED面板灯具，显色指数不低于90, 眩光值不大于19。洁净区采用密封型LED灯具，潮湿场所采用防水防尘灯具。</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欧普</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三雄</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采用86型面板开关和安全性插座。</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罗格朗</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配电箱元件</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电缆、电线</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广州电缆</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珠江电缆</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番禺电缆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综合布线系统</w:t>
            </w:r>
          </w:p>
        </w:tc>
        <w:tc>
          <w:tcPr>
            <w:tcW w:w="18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易初</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宇洪</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可视对讲门禁系统</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威士高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威士高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可视门禁系统</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华鹰</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安居宝</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视得安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8"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视频探视系统及智能呼叫</w:t>
            </w:r>
            <w:r>
              <w:rPr>
                <w:rFonts w:ascii="MingLiU" w:hAnsi="MingLiU" w:eastAsia="MingLiU" w:cs="MingLiU"/>
                <w:i w:val="0"/>
                <w:iCs w:val="0"/>
                <w:color w:val="000000"/>
                <w:kern w:val="0"/>
                <w:sz w:val="20"/>
                <w:szCs w:val="20"/>
                <w:u w:val="none"/>
                <w:lang w:val="en-US" w:eastAsia="zh-CN" w:bidi="ar"/>
              </w:rPr>
              <w:t xml:space="preserve"> </w:t>
            </w:r>
            <w:r>
              <w:rPr>
                <w:rStyle w:val="118"/>
                <w:lang w:val="en-US" w:eastAsia="zh-CN" w:bidi="ar"/>
              </w:rPr>
              <w:t>对讲监护系统</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18"/>
                <w:lang w:val="en-US" w:eastAsia="zh-CN" w:bidi="ar"/>
              </w:rPr>
              <w:t>、配置：智慧床旁交互系统、护士站智</w:t>
            </w:r>
            <w:r>
              <w:rPr>
                <w:rFonts w:ascii="MingLiU" w:hAnsi="MingLiU" w:eastAsia="MingLiU" w:cs="MingLiU"/>
                <w:i w:val="0"/>
                <w:iCs w:val="0"/>
                <w:color w:val="000000"/>
                <w:kern w:val="0"/>
                <w:sz w:val="20"/>
                <w:szCs w:val="20"/>
                <w:u w:val="none"/>
                <w:lang w:val="en-US" w:eastAsia="zh-CN" w:bidi="ar"/>
              </w:rPr>
              <w:t xml:space="preserve"> </w:t>
            </w:r>
            <w:r>
              <w:rPr>
                <w:rStyle w:val="118"/>
                <w:lang w:val="en-US" w:eastAsia="zh-CN" w:bidi="ar"/>
              </w:rPr>
              <w:t>能看板系统、移动护理系统、探视系统</w:t>
            </w:r>
            <w:r>
              <w:rPr>
                <w:rFonts w:ascii="MingLiU" w:hAnsi="MingLiU" w:eastAsia="MingLiU" w:cs="MingLiU"/>
                <w:i w:val="0"/>
                <w:iCs w:val="0"/>
                <w:color w:val="000000"/>
                <w:kern w:val="0"/>
                <w:sz w:val="20"/>
                <w:szCs w:val="20"/>
                <w:u w:val="none"/>
                <w:lang w:val="en-US" w:eastAsia="zh-CN" w:bidi="ar"/>
              </w:rPr>
              <w:t xml:space="preserve"> </w:t>
            </w:r>
            <w:r>
              <w:rPr>
                <w:rStyle w:val="118"/>
                <w:lang w:val="en-US" w:eastAsia="zh-CN" w:bidi="ar"/>
              </w:rPr>
              <w:t>、电子门牌、电子床头卡；</w:t>
            </w:r>
            <w:r>
              <w:rPr>
                <w:rFonts w:ascii="MingLiU" w:hAnsi="MingLiU" w:eastAsia="MingLiU" w:cs="MingLiU"/>
                <w:i w:val="0"/>
                <w:iCs w:val="0"/>
                <w:color w:val="000000"/>
                <w:kern w:val="0"/>
                <w:sz w:val="20"/>
                <w:szCs w:val="20"/>
                <w:u w:val="none"/>
                <w:lang w:val="en-US" w:eastAsia="zh-CN" w:bidi="ar"/>
              </w:rPr>
              <w:t xml:space="preserve"> </w:t>
            </w:r>
            <w:r>
              <w:rPr>
                <w:rFonts w:ascii="MingLiU" w:hAnsi="MingLiU" w:eastAsia="MingLiU" w:cs="MingLiU"/>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18"/>
                <w:lang w:val="en-US" w:eastAsia="zh-CN" w:bidi="ar"/>
              </w:rPr>
              <w:t>、系统：安卓操作系统，护士站分机</w:t>
            </w:r>
            <w:r>
              <w:rPr>
                <w:rFonts w:hint="default" w:ascii="Times New Roman" w:hAnsi="Times New Roman" w:eastAsia="宋体" w:cs="Times New Roman"/>
                <w:i w:val="0"/>
                <w:iCs w:val="0"/>
                <w:color w:val="000000"/>
                <w:kern w:val="0"/>
                <w:sz w:val="20"/>
                <w:szCs w:val="20"/>
                <w:u w:val="none"/>
                <w:lang w:val="en-US" w:eastAsia="zh-CN" w:bidi="ar"/>
              </w:rPr>
              <w:t>10.1</w:t>
            </w:r>
            <w:r>
              <w:rPr>
                <w:rStyle w:val="118"/>
                <w:lang w:val="en-US" w:eastAsia="zh-CN" w:bidi="ar"/>
              </w:rPr>
              <w:t>英寸</w:t>
            </w:r>
            <w:r>
              <w:rPr>
                <w:rFonts w:hint="default" w:ascii="Times New Roman" w:hAnsi="Times New Roman" w:eastAsia="宋体" w:cs="Times New Roman"/>
                <w:i w:val="0"/>
                <w:iCs w:val="0"/>
                <w:color w:val="000000"/>
                <w:kern w:val="0"/>
                <w:sz w:val="20"/>
                <w:szCs w:val="20"/>
                <w:u w:val="none"/>
                <w:lang w:val="en-US" w:eastAsia="zh-CN" w:bidi="ar"/>
              </w:rPr>
              <w:t>IPS</w:t>
            </w:r>
            <w:r>
              <w:rPr>
                <w:rStyle w:val="118"/>
                <w:lang w:val="en-US" w:eastAsia="zh-CN" w:bidi="ar"/>
              </w:rPr>
              <w:t>屏；</w:t>
            </w:r>
            <w:r>
              <w:rPr>
                <w:rFonts w:ascii="MingLiU" w:hAnsi="MingLiU" w:eastAsia="MingLiU" w:cs="MingLiU"/>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18"/>
                <w:lang w:val="en-US" w:eastAsia="zh-CN" w:bidi="ar"/>
              </w:rPr>
              <w:t>、功能：病区病人信息整体展示、参数</w:t>
            </w:r>
            <w:r>
              <w:rPr>
                <w:rFonts w:ascii="MingLiU" w:hAnsi="MingLiU" w:eastAsia="MingLiU" w:cs="MingLiU"/>
                <w:i w:val="0"/>
                <w:iCs w:val="0"/>
                <w:color w:val="000000"/>
                <w:kern w:val="0"/>
                <w:sz w:val="20"/>
                <w:szCs w:val="20"/>
                <w:u w:val="none"/>
                <w:lang w:val="en-US" w:eastAsia="zh-CN" w:bidi="ar"/>
              </w:rPr>
              <w:t xml:space="preserve"> </w:t>
            </w:r>
            <w:r>
              <w:rPr>
                <w:rStyle w:val="118"/>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HIS</w:t>
            </w:r>
            <w:r>
              <w:rPr>
                <w:rStyle w:val="118"/>
                <w:lang w:val="en-US" w:eastAsia="zh-CN" w:bidi="ar"/>
              </w:rPr>
              <w:t>设置、处理病房呼叫、呼叫、查房、供氧查询日志、可进行分区广播、走</w:t>
            </w:r>
            <w:r>
              <w:rPr>
                <w:rFonts w:ascii="MingLiU" w:hAnsi="MingLiU" w:eastAsia="MingLiU" w:cs="MingLiU"/>
                <w:i w:val="0"/>
                <w:iCs w:val="0"/>
                <w:color w:val="000000"/>
                <w:kern w:val="0"/>
                <w:sz w:val="20"/>
                <w:szCs w:val="20"/>
                <w:u w:val="none"/>
                <w:lang w:val="en-US" w:eastAsia="zh-CN" w:bidi="ar"/>
              </w:rPr>
              <w:t xml:space="preserve"> </w:t>
            </w:r>
            <w:r>
              <w:rPr>
                <w:rStyle w:val="118"/>
                <w:lang w:val="en-US" w:eastAsia="zh-CN" w:bidi="ar"/>
              </w:rPr>
              <w:t>廊显示屏、门口分机、床、床位、级别</w:t>
            </w:r>
            <w:r>
              <w:rPr>
                <w:rFonts w:ascii="MingLiU" w:hAnsi="MingLiU" w:eastAsia="MingLiU" w:cs="MingLiU"/>
                <w:i w:val="0"/>
                <w:iCs w:val="0"/>
                <w:color w:val="000000"/>
                <w:kern w:val="0"/>
                <w:sz w:val="20"/>
                <w:szCs w:val="20"/>
                <w:u w:val="none"/>
                <w:lang w:val="en-US" w:eastAsia="zh-CN" w:bidi="ar"/>
              </w:rPr>
              <w:t xml:space="preserve"> </w:t>
            </w:r>
            <w:r>
              <w:rPr>
                <w:rStyle w:val="118"/>
                <w:lang w:val="en-US" w:eastAsia="zh-CN" w:bidi="ar"/>
              </w:rPr>
              <w:t>、人员、信息管理、头分机版面及内容设置</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尚医康</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比扬</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医气系统</w:t>
            </w:r>
          </w:p>
        </w:tc>
        <w:tc>
          <w:tcPr>
            <w:tcW w:w="18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08"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呼叫系统</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尚医康</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飞星</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医用设备带</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晴杨</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易众</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翔云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气体终端</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GCE</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捷锐</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w:t>
            </w:r>
          </w:p>
        </w:tc>
        <w:tc>
          <w:tcPr>
            <w:tcW w:w="18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17"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832"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08" w:type="pct"/>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污洗池</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中境</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鹏驰</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刷手池</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中境</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鹏驰</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w:t>
            </w:r>
            <w:r>
              <w:rPr>
                <w:rStyle w:val="118"/>
                <w:lang w:val="en-US" w:eastAsia="zh-CN" w:bidi="ar"/>
              </w:rPr>
              <w:t>管</w:t>
            </w:r>
            <w:r>
              <w:rPr>
                <w:rFonts w:hint="default" w:ascii="Times New Roman" w:hAnsi="Times New Roman" w:eastAsia="宋体" w:cs="Times New Roman"/>
                <w:i w:val="0"/>
                <w:iCs w:val="0"/>
                <w:color w:val="000000"/>
                <w:kern w:val="0"/>
                <w:sz w:val="20"/>
                <w:szCs w:val="20"/>
                <w:u w:val="none"/>
                <w:lang w:val="en-US" w:eastAsia="zh-CN" w:bidi="ar"/>
              </w:rPr>
              <w:t>/PVC</w:t>
            </w:r>
            <w:r>
              <w:rPr>
                <w:rStyle w:val="118"/>
                <w:lang w:val="en-US" w:eastAsia="zh-CN" w:bidi="ar"/>
              </w:rPr>
              <w:t>管</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顾地</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1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传递窗</w:t>
            </w:r>
          </w:p>
        </w:tc>
        <w:tc>
          <w:tcPr>
            <w:tcW w:w="18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见设计图纸</w:t>
            </w:r>
          </w:p>
        </w:tc>
        <w:tc>
          <w:tcPr>
            <w:tcW w:w="61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佰朗</w:t>
            </w:r>
          </w:p>
        </w:tc>
        <w:tc>
          <w:tcPr>
            <w:tcW w:w="83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中镜</w:t>
            </w:r>
          </w:p>
        </w:tc>
        <w:tc>
          <w:tcPr>
            <w:tcW w:w="6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唯迪</w:t>
            </w:r>
          </w:p>
        </w:tc>
      </w:tr>
    </w:tbl>
    <w:p/>
    <w:p>
      <w:pPr>
        <w:pStyle w:val="3"/>
        <w:jc w:val="both"/>
      </w:pPr>
      <w:r>
        <w:rPr>
          <w:sz w:val="24"/>
          <w:szCs w:val="24"/>
        </w:rPr>
        <w:br w:type="page"/>
      </w:r>
      <w:bookmarkStart w:id="54" w:name="_Toc2272569"/>
      <w:bookmarkStart w:id="55" w:name="_Toc21525514"/>
      <w:r>
        <w:rPr>
          <w:rFonts w:hint="eastAsia"/>
        </w:rPr>
        <w:t>第六章</w:t>
      </w:r>
      <w:r>
        <w:t xml:space="preserve">  </w:t>
      </w:r>
      <w:r>
        <w:rPr>
          <w:rFonts w:hint="eastAsia"/>
        </w:rPr>
        <w:t>图纸及勘察资料</w:t>
      </w:r>
      <w:bookmarkEnd w:id="54"/>
      <w:bookmarkEnd w:id="55"/>
    </w:p>
    <w:p>
      <w:pPr>
        <w:rPr>
          <w:rFonts w:ascii="宋体"/>
          <w:b/>
          <w:sz w:val="24"/>
          <w:szCs w:val="24"/>
        </w:rPr>
      </w:pPr>
      <w:r>
        <w:rPr>
          <w:rFonts w:hint="eastAsia" w:ascii="宋体" w:hAnsi="宋体"/>
          <w:sz w:val="24"/>
          <w:szCs w:val="24"/>
        </w:rPr>
        <w:t>注：另册。</w:t>
      </w:r>
    </w:p>
    <w:p>
      <w:pPr>
        <w:pStyle w:val="3"/>
      </w:pPr>
      <w:r>
        <w:rPr>
          <w:sz w:val="24"/>
          <w:szCs w:val="24"/>
        </w:rPr>
        <w:br w:type="page"/>
      </w:r>
      <w:bookmarkStart w:id="56" w:name="_Toc21525515"/>
      <w:bookmarkStart w:id="57" w:name="_Toc2272570"/>
      <w:r>
        <w:rPr>
          <w:rFonts w:hint="eastAsia"/>
        </w:rPr>
        <w:t>第七章</w:t>
      </w:r>
      <w:r>
        <w:t xml:space="preserve">  </w:t>
      </w:r>
      <w:r>
        <w:rPr>
          <w:rFonts w:hint="eastAsia"/>
        </w:rPr>
        <w:t>工程量清单</w:t>
      </w:r>
      <w:bookmarkEnd w:id="56"/>
      <w:bookmarkEnd w:id="57"/>
    </w:p>
    <w:p>
      <w:pPr>
        <w:rPr>
          <w:rFonts w:ascii="宋体"/>
          <w:b/>
          <w:sz w:val="24"/>
          <w:szCs w:val="24"/>
        </w:rPr>
      </w:pPr>
      <w:r>
        <w:rPr>
          <w:rFonts w:hint="eastAsia" w:ascii="宋体" w:hAnsi="宋体"/>
          <w:sz w:val="24"/>
          <w:szCs w:val="24"/>
        </w:rPr>
        <w:t>注：</w:t>
      </w:r>
      <w:r>
        <w:rPr>
          <w:rFonts w:hint="eastAsia" w:ascii="宋体" w:hAnsi="宋体"/>
          <w:sz w:val="24"/>
          <w:szCs w:val="24"/>
          <w:lang w:val="en-US" w:eastAsia="zh-CN"/>
        </w:rPr>
        <w:t>另册</w:t>
      </w:r>
      <w:r>
        <w:rPr>
          <w:rFonts w:hint="eastAsia" w:ascii="宋体" w:hAnsi="宋体"/>
          <w:sz w:val="24"/>
          <w:szCs w:val="24"/>
        </w:rPr>
        <w:t>。</w:t>
      </w:r>
    </w:p>
    <w:p>
      <w:pPr>
        <w:pStyle w:val="33"/>
        <w:spacing w:after="0" w:line="360" w:lineRule="auto"/>
        <w:ind w:left="-2" w:leftChars="-1" w:firstLine="960" w:firstLineChars="400"/>
        <w:rPr>
          <w:rFonts w:ascii="宋体"/>
          <w:sz w:val="24"/>
        </w:rPr>
      </w:pPr>
    </w:p>
    <w:p>
      <w:pPr>
        <w:pStyle w:val="3"/>
      </w:pPr>
    </w:p>
    <w:p>
      <w:pPr>
        <w:pStyle w:val="3"/>
        <w:rPr>
          <w:rFonts w:ascii="宋体"/>
        </w:rPr>
      </w:pPr>
      <w:r>
        <w:rPr>
          <w:sz w:val="24"/>
          <w:szCs w:val="24"/>
        </w:rPr>
        <w:br w:type="page"/>
      </w:r>
      <w:bookmarkStart w:id="58" w:name="_Toc2272571"/>
      <w:bookmarkStart w:id="59" w:name="_Toc21525516"/>
      <w:r>
        <w:rPr>
          <w:rFonts w:hint="eastAsia"/>
        </w:rPr>
        <w:t>第八章</w:t>
      </w:r>
      <w:r>
        <w:t xml:space="preserve">  </w:t>
      </w:r>
      <w:r>
        <w:rPr>
          <w:rFonts w:hint="eastAsia"/>
        </w:rPr>
        <w:t>最高投标限价</w:t>
      </w:r>
      <w:bookmarkEnd w:id="58"/>
      <w:bookmarkEnd w:id="59"/>
    </w:p>
    <w:p>
      <w:pPr>
        <w:spacing w:line="360" w:lineRule="auto"/>
        <w:ind w:firstLine="480"/>
        <w:rPr>
          <w:rFonts w:ascii="宋体" w:hAnsi="宋体"/>
          <w:color w:val="FF0000"/>
          <w:sz w:val="24"/>
          <w:szCs w:val="24"/>
          <w:u w:val="single"/>
        </w:rPr>
      </w:pPr>
      <w:r>
        <w:rPr>
          <w:rFonts w:hint="eastAsia" w:ascii="宋体" w:hAnsi="宋体"/>
          <w:sz w:val="24"/>
          <w:szCs w:val="24"/>
          <w:lang w:val="en-US" w:eastAsia="zh-CN"/>
        </w:rPr>
        <w:t>另册。</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jc w:val="right"/>
      <w:rPr>
        <w:rStyle w:val="39"/>
      </w:rPr>
    </w:pPr>
    <w:r>
      <w:rPr>
        <w:rStyle w:val="39"/>
      </w:rPr>
      <w:fldChar w:fldCharType="begin"/>
    </w:r>
    <w:r>
      <w:rPr>
        <w:rStyle w:val="39"/>
      </w:rPr>
      <w:instrText xml:space="preserve">PAGE  </w:instrText>
    </w:r>
    <w:r>
      <w:rPr>
        <w:rStyle w:val="39"/>
      </w:rPr>
      <w:fldChar w:fldCharType="separate"/>
    </w:r>
    <w:r>
      <w:rPr>
        <w:rStyle w:val="39"/>
      </w:rPr>
      <w:t>20</w:t>
    </w:r>
    <w:r>
      <w:rPr>
        <w:rStyle w:val="3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2"/>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pPr>
    <w:r>
      <w:rPr>
        <w:rStyle w:val="39"/>
      </w:rPr>
      <w:fldChar w:fldCharType="begin"/>
    </w:r>
    <w:r>
      <w:rPr>
        <w:rStyle w:val="39"/>
      </w:rPr>
      <w:instrText xml:space="preserve"> PAGE </w:instrText>
    </w:r>
    <w:r>
      <w:rPr>
        <w:rStyle w:val="39"/>
      </w:rPr>
      <w:fldChar w:fldCharType="separate"/>
    </w:r>
    <w:r>
      <w:rPr>
        <w:rStyle w:val="39"/>
      </w:rPr>
      <w:t>14</w:t>
    </w:r>
    <w:r>
      <w:rPr>
        <w:rStyle w:val="3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90</w:t>
    </w:r>
    <w:r>
      <w:rPr>
        <w:rStyle w:val="39"/>
      </w:rPr>
      <w:fldChar w:fldCharType="end"/>
    </w:r>
  </w:p>
  <w:p>
    <w:pPr>
      <w:pStyle w:val="22"/>
      <w:framePr w:wrap="around" w:vAnchor="text" w:hAnchor="margin" w:xAlign="outside" w:y="1"/>
      <w:ind w:left="-4410" w:leftChars="-2100" w:right="-4439" w:rightChars="-2114"/>
      <w:rPr>
        <w:rStyle w:val="39"/>
      </w:rPr>
    </w:pPr>
  </w:p>
  <w:p>
    <w:pPr>
      <w:pStyle w:val="22"/>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2"/>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Style w:val="39"/>
      </w:rPr>
      <w:fldChar w:fldCharType="begin"/>
    </w:r>
    <w:r>
      <w:rPr>
        <w:rStyle w:val="39"/>
      </w:rPr>
      <w:instrText xml:space="preserve"> PAGE </w:instrText>
    </w:r>
    <w:r>
      <w:rPr>
        <w:rStyle w:val="39"/>
      </w:rPr>
      <w:fldChar w:fldCharType="separate"/>
    </w:r>
    <w:r>
      <w:rPr>
        <w:rStyle w:val="39"/>
      </w:rPr>
      <w:t>84</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2AD4A"/>
    <w:multiLevelType w:val="singleLevel"/>
    <w:tmpl w:val="E542AD4A"/>
    <w:lvl w:ilvl="0" w:tentative="0">
      <w:start w:val="2"/>
      <w:numFmt w:val="decimal"/>
      <w:suff w:val="nothing"/>
      <w:lvlText w:val="%1、"/>
      <w:lvlJc w:val="left"/>
    </w:lvl>
  </w:abstractNum>
  <w:abstractNum w:abstractNumId="1">
    <w:nsid w:val="06ED57F2"/>
    <w:multiLevelType w:val="multilevel"/>
    <w:tmpl w:val="06ED57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990F9D"/>
    <w:multiLevelType w:val="singleLevel"/>
    <w:tmpl w:val="07990F9D"/>
    <w:lvl w:ilvl="0" w:tentative="0">
      <w:start w:val="1"/>
      <w:numFmt w:val="chineseCounting"/>
      <w:suff w:val="nothing"/>
      <w:lvlText w:val="%1、"/>
      <w:lvlJc w:val="left"/>
      <w:rPr>
        <w:rFonts w:hint="eastAsia"/>
      </w:rPr>
    </w:lvl>
  </w:abstractNum>
  <w:abstractNum w:abstractNumId="3">
    <w:nsid w:val="0C4B3FEA"/>
    <w:multiLevelType w:val="multilevel"/>
    <w:tmpl w:val="0C4B3FE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09734E"/>
    <w:multiLevelType w:val="multilevel"/>
    <w:tmpl w:val="0F0973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F966C9"/>
    <w:multiLevelType w:val="multilevel"/>
    <w:tmpl w:val="1BF966C9"/>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1F8C6443"/>
    <w:multiLevelType w:val="multilevel"/>
    <w:tmpl w:val="1F8C64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A66EA2"/>
    <w:multiLevelType w:val="multilevel"/>
    <w:tmpl w:val="22A66EA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DD3840"/>
    <w:multiLevelType w:val="multilevel"/>
    <w:tmpl w:val="22DD384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0">
    <w:nsid w:val="2DDD2C3E"/>
    <w:multiLevelType w:val="multilevel"/>
    <w:tmpl w:val="2DDD2C3E"/>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1">
    <w:nsid w:val="2ECF72C8"/>
    <w:multiLevelType w:val="multilevel"/>
    <w:tmpl w:val="2ECF72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36B77F4"/>
    <w:multiLevelType w:val="multilevel"/>
    <w:tmpl w:val="536B77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312064"/>
    <w:multiLevelType w:val="multilevel"/>
    <w:tmpl w:val="543120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9"/>
  </w:num>
  <w:num w:numId="2">
    <w:abstractNumId w:val="14"/>
  </w:num>
  <w:num w:numId="3">
    <w:abstractNumId w:val="0"/>
  </w:num>
  <w:num w:numId="4">
    <w:abstractNumId w:val="2"/>
  </w:num>
  <w:num w:numId="5">
    <w:abstractNumId w:val="10"/>
  </w:num>
  <w:num w:numId="6">
    <w:abstractNumId w:val="5"/>
  </w:num>
  <w:num w:numId="7">
    <w:abstractNumId w:val="7"/>
  </w:num>
  <w:num w:numId="8">
    <w:abstractNumId w:val="11"/>
  </w:num>
  <w:num w:numId="9">
    <w:abstractNumId w:val="1"/>
  </w:num>
  <w:num w:numId="10">
    <w:abstractNumId w:val="13"/>
  </w:num>
  <w:num w:numId="11">
    <w:abstractNumId w:val="12"/>
  </w:num>
  <w:num w:numId="12">
    <w:abstractNumId w:val="6"/>
  </w:num>
  <w:num w:numId="13">
    <w:abstractNumId w:val="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NzIwODUxMmI3ODc2NzY0YTg1NWQ4NDU3OTZkZmMifQ=="/>
  </w:docVars>
  <w:rsids>
    <w:rsidRoot w:val="007B41BE"/>
    <w:rsid w:val="000200EE"/>
    <w:rsid w:val="000575F8"/>
    <w:rsid w:val="000C1007"/>
    <w:rsid w:val="000C11E0"/>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489179E"/>
    <w:rsid w:val="05935ABA"/>
    <w:rsid w:val="072F44E3"/>
    <w:rsid w:val="09064D2F"/>
    <w:rsid w:val="09F33618"/>
    <w:rsid w:val="0C265A1B"/>
    <w:rsid w:val="0E96477B"/>
    <w:rsid w:val="0ED15AE5"/>
    <w:rsid w:val="0F7E4AB5"/>
    <w:rsid w:val="0FEF45D8"/>
    <w:rsid w:val="107717CD"/>
    <w:rsid w:val="10CF1F42"/>
    <w:rsid w:val="11E8746F"/>
    <w:rsid w:val="135C5FC8"/>
    <w:rsid w:val="14D34591"/>
    <w:rsid w:val="17966920"/>
    <w:rsid w:val="18151F96"/>
    <w:rsid w:val="181C07FE"/>
    <w:rsid w:val="1A2F4635"/>
    <w:rsid w:val="1AD03189"/>
    <w:rsid w:val="1AE16BF7"/>
    <w:rsid w:val="1B666ED5"/>
    <w:rsid w:val="1E486D96"/>
    <w:rsid w:val="1EBA5A37"/>
    <w:rsid w:val="20216DCB"/>
    <w:rsid w:val="216F6C99"/>
    <w:rsid w:val="22AD0709"/>
    <w:rsid w:val="24A972CC"/>
    <w:rsid w:val="24F947BB"/>
    <w:rsid w:val="28790229"/>
    <w:rsid w:val="2A880A7B"/>
    <w:rsid w:val="2DC4660F"/>
    <w:rsid w:val="2E6E7857"/>
    <w:rsid w:val="2F6C204C"/>
    <w:rsid w:val="302C2998"/>
    <w:rsid w:val="303D1F92"/>
    <w:rsid w:val="304C0460"/>
    <w:rsid w:val="30997F39"/>
    <w:rsid w:val="32021777"/>
    <w:rsid w:val="324803BF"/>
    <w:rsid w:val="32BF3509"/>
    <w:rsid w:val="330D3320"/>
    <w:rsid w:val="339B6959"/>
    <w:rsid w:val="3624606F"/>
    <w:rsid w:val="36C16B76"/>
    <w:rsid w:val="36FA484C"/>
    <w:rsid w:val="371D5457"/>
    <w:rsid w:val="375D203C"/>
    <w:rsid w:val="37FA01D4"/>
    <w:rsid w:val="38026A6F"/>
    <w:rsid w:val="39C15447"/>
    <w:rsid w:val="3D60411F"/>
    <w:rsid w:val="41E657FF"/>
    <w:rsid w:val="4234737A"/>
    <w:rsid w:val="42BB330B"/>
    <w:rsid w:val="438F37DE"/>
    <w:rsid w:val="45120AE5"/>
    <w:rsid w:val="45420C28"/>
    <w:rsid w:val="48523C0A"/>
    <w:rsid w:val="48FF4042"/>
    <w:rsid w:val="49FE1B58"/>
    <w:rsid w:val="4B3F6B82"/>
    <w:rsid w:val="4B6B7860"/>
    <w:rsid w:val="4BED3E89"/>
    <w:rsid w:val="4C066B29"/>
    <w:rsid w:val="4C3719B2"/>
    <w:rsid w:val="4E6C325B"/>
    <w:rsid w:val="50190A9C"/>
    <w:rsid w:val="50311F57"/>
    <w:rsid w:val="511D4023"/>
    <w:rsid w:val="53F92C98"/>
    <w:rsid w:val="547B1F8E"/>
    <w:rsid w:val="59C9560C"/>
    <w:rsid w:val="5CDF456F"/>
    <w:rsid w:val="5D572C78"/>
    <w:rsid w:val="5F3C1D80"/>
    <w:rsid w:val="5F4B72E8"/>
    <w:rsid w:val="610E1430"/>
    <w:rsid w:val="611F53F8"/>
    <w:rsid w:val="653505E7"/>
    <w:rsid w:val="675738F0"/>
    <w:rsid w:val="69410820"/>
    <w:rsid w:val="6A763EEC"/>
    <w:rsid w:val="6C1C03BB"/>
    <w:rsid w:val="6C7621DF"/>
    <w:rsid w:val="6C787452"/>
    <w:rsid w:val="6CEF4F0F"/>
    <w:rsid w:val="6D493629"/>
    <w:rsid w:val="6DAB59DE"/>
    <w:rsid w:val="73CC483B"/>
    <w:rsid w:val="74333D59"/>
    <w:rsid w:val="747857C5"/>
    <w:rsid w:val="74D57DC3"/>
    <w:rsid w:val="77F613A4"/>
    <w:rsid w:val="78396121"/>
    <w:rsid w:val="7ADC31A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keepNext/>
      <w:keepLines/>
      <w:spacing w:after="120" w:line="360" w:lineRule="auto"/>
      <w:outlineLvl w:val="0"/>
    </w:pPr>
    <w:rPr>
      <w:kern w:val="44"/>
      <w:sz w:val="28"/>
      <w:szCs w:val="28"/>
    </w:rPr>
  </w:style>
  <w:style w:type="paragraph" w:styleId="4">
    <w:name w:val="heading 2"/>
    <w:basedOn w:val="1"/>
    <w:next w:val="5"/>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1"/>
    <w:next w:val="1"/>
    <w:link w:val="61"/>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62"/>
    <w:qFormat/>
    <w:uiPriority w:val="0"/>
    <w:pPr>
      <w:numPr>
        <w:ilvl w:val="4"/>
      </w:numPr>
      <w:spacing w:line="240" w:lineRule="exact"/>
      <w:outlineLvl w:val="4"/>
    </w:pPr>
  </w:style>
  <w:style w:type="paragraph" w:styleId="9">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spacing w:after="120"/>
    </w:pPr>
    <w:rPr>
      <w:rFonts w:ascii="Times New Roman" w:hAnsi="Times New Roman"/>
      <w:szCs w:val="20"/>
    </w:rPr>
  </w:style>
  <w:style w:type="paragraph" w:styleId="5">
    <w:name w:val="Normal Indent"/>
    <w:basedOn w:val="1"/>
    <w:next w:val="1"/>
    <w:qFormat/>
    <w:uiPriority w:val="0"/>
    <w:pPr>
      <w:ind w:firstLine="420"/>
    </w:pPr>
    <w:rPr>
      <w:rFonts w:ascii="Times New Roman" w:hAnsi="Times New Roman"/>
      <w:szCs w:val="20"/>
    </w:rPr>
  </w:style>
  <w:style w:type="paragraph" w:styleId="13">
    <w:name w:val="Document Map"/>
    <w:basedOn w:val="1"/>
    <w:link w:val="78"/>
    <w:qFormat/>
    <w:uiPriority w:val="0"/>
    <w:pPr>
      <w:shd w:val="clear" w:color="auto" w:fill="000080"/>
    </w:pPr>
    <w:rPr>
      <w:rFonts w:ascii="Times New Roman" w:hAnsi="Times New Roman"/>
      <w:szCs w:val="20"/>
    </w:rPr>
  </w:style>
  <w:style w:type="paragraph" w:styleId="14">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5">
    <w:name w:val="Body Text Indent"/>
    <w:basedOn w:val="1"/>
    <w:link w:val="76"/>
    <w:qFormat/>
    <w:uiPriority w:val="0"/>
    <w:pPr>
      <w:ind w:firstLine="570"/>
    </w:pPr>
    <w:rPr>
      <w:rFonts w:ascii="Times New Roman" w:hAnsi="Times New Roman"/>
      <w:sz w:val="28"/>
      <w:szCs w:val="20"/>
    </w:rPr>
  </w:style>
  <w:style w:type="paragraph" w:styleId="16">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7">
    <w:name w:val="Plain Text"/>
    <w:basedOn w:val="1"/>
    <w:next w:val="1"/>
    <w:link w:val="80"/>
    <w:qFormat/>
    <w:uiPriority w:val="0"/>
    <w:rPr>
      <w:rFonts w:ascii="宋体" w:hAnsi="Courier New"/>
      <w:szCs w:val="20"/>
    </w:rPr>
  </w:style>
  <w:style w:type="paragraph" w:styleId="18">
    <w:name w:val="Date"/>
    <w:basedOn w:val="1"/>
    <w:next w:val="1"/>
    <w:link w:val="74"/>
    <w:qFormat/>
    <w:uiPriority w:val="0"/>
    <w:rPr>
      <w:rFonts w:ascii="Times New Roman" w:hAnsi="Times New Roman"/>
      <w:szCs w:val="20"/>
    </w:rPr>
  </w:style>
  <w:style w:type="paragraph" w:styleId="19">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0">
    <w:name w:val="endnote text"/>
    <w:basedOn w:val="1"/>
    <w:link w:val="91"/>
    <w:qFormat/>
    <w:uiPriority w:val="0"/>
    <w:pPr>
      <w:snapToGrid w:val="0"/>
      <w:jc w:val="left"/>
    </w:pPr>
    <w:rPr>
      <w:rFonts w:ascii="Times New Roman" w:hAnsi="Times New Roman"/>
      <w:szCs w:val="20"/>
    </w:rPr>
  </w:style>
  <w:style w:type="paragraph" w:styleId="21">
    <w:name w:val="Balloon Text"/>
    <w:basedOn w:val="1"/>
    <w:link w:val="101"/>
    <w:qFormat/>
    <w:uiPriority w:val="0"/>
    <w:rPr>
      <w:rFonts w:ascii="Times New Roman" w:hAnsi="Times New Roman"/>
      <w:sz w:val="18"/>
      <w:szCs w:val="18"/>
    </w:rPr>
  </w:style>
  <w:style w:type="paragraph" w:styleId="22">
    <w:name w:val="footer"/>
    <w:basedOn w:val="1"/>
    <w:link w:val="58"/>
    <w:unhideWhenUsed/>
    <w:qFormat/>
    <w:uiPriority w:val="0"/>
    <w:pPr>
      <w:tabs>
        <w:tab w:val="center" w:pos="4153"/>
        <w:tab w:val="right" w:pos="8306"/>
      </w:tabs>
      <w:snapToGrid w:val="0"/>
      <w:jc w:val="left"/>
    </w:pPr>
    <w:rPr>
      <w:sz w:val="18"/>
      <w:szCs w:val="18"/>
    </w:rPr>
  </w:style>
  <w:style w:type="paragraph" w:styleId="23">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5">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6">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8">
    <w:name w:val="Body Text 2"/>
    <w:basedOn w:val="1"/>
    <w:link w:val="88"/>
    <w:qFormat/>
    <w:uiPriority w:val="0"/>
    <w:rPr>
      <w:rFonts w:ascii="宋体" w:hAnsi="宋体"/>
      <w:szCs w:val="24"/>
      <w:u w:val="single"/>
    </w:rPr>
  </w:style>
  <w:style w:type="paragraph" w:styleId="29">
    <w:name w:val="Normal (Web)"/>
    <w:basedOn w:val="1"/>
    <w:qFormat/>
    <w:uiPriority w:val="0"/>
    <w:rPr>
      <w:rFonts w:ascii="Times New Roman" w:hAnsi="Times New Roman"/>
      <w:sz w:val="24"/>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68"/>
    <w:qFormat/>
    <w:uiPriority w:val="0"/>
    <w:pPr>
      <w:spacing w:before="120" w:after="60"/>
      <w:jc w:val="center"/>
    </w:pPr>
    <w:rPr>
      <w:rFonts w:ascii="Arial" w:hAnsi="Arial"/>
      <w:b/>
      <w:sz w:val="44"/>
      <w:szCs w:val="20"/>
    </w:rPr>
  </w:style>
  <w:style w:type="paragraph" w:styleId="32">
    <w:name w:val="annotation subject"/>
    <w:basedOn w:val="14"/>
    <w:next w:val="14"/>
    <w:link w:val="108"/>
    <w:qFormat/>
    <w:uiPriority w:val="0"/>
    <w:rPr>
      <w:b/>
      <w:bCs/>
    </w:rPr>
  </w:style>
  <w:style w:type="paragraph" w:styleId="33">
    <w:name w:val="Body Text First Indent"/>
    <w:basedOn w:val="2"/>
    <w:link w:val="72"/>
    <w:qFormat/>
    <w:uiPriority w:val="0"/>
    <w:pPr>
      <w:ind w:firstLine="420"/>
    </w:pPr>
  </w:style>
  <w:style w:type="table" w:styleId="35">
    <w:name w:val="Table Grid"/>
    <w:basedOn w:val="3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paragraph" w:customStyle="1" w:styleId="44">
    <w:name w:val="Plain Text1"/>
    <w:basedOn w:val="1"/>
    <w:qFormat/>
    <w:uiPriority w:val="0"/>
    <w:pPr>
      <w:adjustRightInd w:val="0"/>
      <w:textAlignment w:val="baseline"/>
    </w:pPr>
    <w:rPr>
      <w:rFonts w:ascii="宋体" w:hAnsi="Times New Roman"/>
      <w:kern w:val="0"/>
      <w:sz w:val="24"/>
      <w:szCs w:val="20"/>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字符1"/>
    <w:link w:val="6"/>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字符1"/>
    <w:link w:val="23"/>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字符1"/>
    <w:link w:val="22"/>
    <w:qFormat/>
    <w:uiPriority w:val="0"/>
    <w:rPr>
      <w:rFonts w:ascii="Calibri" w:hAnsi="Calibri" w:eastAsia="宋体" w:cs="Times New Roman"/>
      <w:sz w:val="18"/>
      <w:szCs w:val="18"/>
    </w:rPr>
  </w:style>
  <w:style w:type="character" w:customStyle="1" w:styleId="59">
    <w:name w:val="标题 1 字符1"/>
    <w:link w:val="3"/>
    <w:qFormat/>
    <w:uiPriority w:val="0"/>
    <w:rPr>
      <w:rFonts w:ascii="Arial" w:hAnsi="Arial" w:eastAsia="宋体"/>
      <w:b/>
      <w:kern w:val="44"/>
      <w:sz w:val="28"/>
      <w:szCs w:val="28"/>
    </w:rPr>
  </w:style>
  <w:style w:type="character" w:customStyle="1" w:styleId="60">
    <w:name w:val="标题 2 字符1"/>
    <w:link w:val="4"/>
    <w:qFormat/>
    <w:uiPriority w:val="0"/>
    <w:rPr>
      <w:rFonts w:ascii="Arial" w:hAnsi="Arial" w:eastAsia="宋体" w:cs="Times New Roman"/>
      <w:b/>
      <w:color w:val="000000"/>
      <w:sz w:val="24"/>
      <w:szCs w:val="24"/>
    </w:rPr>
  </w:style>
  <w:style w:type="character" w:customStyle="1" w:styleId="61">
    <w:name w:val="标题 4 字符1"/>
    <w:link w:val="7"/>
    <w:qFormat/>
    <w:uiPriority w:val="0"/>
    <w:rPr>
      <w:rFonts w:ascii="Arial" w:hAnsi="Arial" w:eastAsia="宋体" w:cs="Times New Roman"/>
      <w:color w:val="000000"/>
      <w:szCs w:val="21"/>
    </w:rPr>
  </w:style>
  <w:style w:type="character" w:customStyle="1" w:styleId="62">
    <w:name w:val="标题 5 字符1"/>
    <w:link w:val="8"/>
    <w:qFormat/>
    <w:uiPriority w:val="0"/>
    <w:rPr>
      <w:rFonts w:ascii="Arial" w:hAnsi="Arial" w:eastAsia="宋体" w:cs="Times New Roman"/>
      <w:color w:val="000000"/>
      <w:szCs w:val="21"/>
    </w:rPr>
  </w:style>
  <w:style w:type="character" w:customStyle="1" w:styleId="63">
    <w:name w:val="标题 6 字符1"/>
    <w:link w:val="9"/>
    <w:qFormat/>
    <w:uiPriority w:val="0"/>
    <w:rPr>
      <w:rFonts w:ascii="Arial" w:hAnsi="Arial" w:eastAsia="黑体" w:cs="Times New Roman"/>
      <w:b/>
      <w:bCs/>
      <w:sz w:val="24"/>
      <w:szCs w:val="24"/>
    </w:rPr>
  </w:style>
  <w:style w:type="character" w:customStyle="1" w:styleId="64">
    <w:name w:val="标题 7 字符1"/>
    <w:link w:val="10"/>
    <w:qFormat/>
    <w:uiPriority w:val="0"/>
    <w:rPr>
      <w:rFonts w:ascii="Times New Roman" w:hAnsi="Times New Roman" w:eastAsia="宋体" w:cs="Times New Roman"/>
      <w:b/>
      <w:sz w:val="24"/>
      <w:szCs w:val="20"/>
    </w:rPr>
  </w:style>
  <w:style w:type="character" w:customStyle="1" w:styleId="65">
    <w:name w:val="标题 8 字符1"/>
    <w:link w:val="11"/>
    <w:qFormat/>
    <w:uiPriority w:val="0"/>
    <w:rPr>
      <w:rFonts w:ascii="Arial" w:hAnsi="Arial" w:eastAsia="黑体" w:cs="Times New Roman"/>
      <w:sz w:val="24"/>
      <w:szCs w:val="20"/>
    </w:rPr>
  </w:style>
  <w:style w:type="character" w:customStyle="1" w:styleId="66">
    <w:name w:val="标题 9 字符1"/>
    <w:link w:val="12"/>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字符1"/>
    <w:link w:val="31"/>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字符1"/>
    <w:link w:val="2"/>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字符1"/>
    <w:link w:val="33"/>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字符1"/>
    <w:link w:val="18"/>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字符1"/>
    <w:link w:val="15"/>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字符1"/>
    <w:link w:val="13"/>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字符1"/>
    <w:link w:val="17"/>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字符1"/>
    <w:link w:val="19"/>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字符1"/>
    <w:link w:val="26"/>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字符1"/>
    <w:link w:val="28"/>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字符1"/>
    <w:link w:val="20"/>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5"/>
    <w:qFormat/>
    <w:uiPriority w:val="0"/>
    <w:pPr>
      <w:ind w:firstLine="0"/>
    </w:pPr>
    <w:rPr>
      <w:rFonts w:ascii="仿宋_GB2312" w:eastAsia="仿宋_GB2312"/>
      <w:sz w:val="30"/>
      <w:szCs w:val="24"/>
    </w:rPr>
  </w:style>
  <w:style w:type="paragraph" w:customStyle="1" w:styleId="95">
    <w:name w:val="Char Char Char1 Char"/>
    <w:basedOn w:val="13"/>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字符1"/>
    <w:link w:val="21"/>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字符1"/>
    <w:link w:val="14"/>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字符1"/>
    <w:link w:val="25"/>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字符1"/>
    <w:link w:val="32"/>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_Style 3"/>
    <w:basedOn w:val="1"/>
    <w:qFormat/>
    <w:uiPriority w:val="0"/>
    <w:pPr>
      <w:ind w:firstLine="420" w:firstLineChars="200"/>
    </w:pPr>
    <w:rPr>
      <w:sz w:val="20"/>
    </w:rPr>
  </w:style>
  <w:style w:type="character" w:customStyle="1" w:styleId="112">
    <w:name w:val="NormalCharacter"/>
    <w:qFormat/>
    <w:uiPriority w:val="0"/>
  </w:style>
  <w:style w:type="paragraph" w:customStyle="1" w:styleId="113">
    <w:name w:val="正题"/>
    <w:basedOn w:val="114"/>
    <w:next w:val="114"/>
    <w:qFormat/>
    <w:uiPriority w:val="0"/>
    <w:pPr>
      <w:ind w:firstLine="0" w:firstLineChars="0"/>
      <w:jc w:val="center"/>
    </w:pPr>
    <w:rPr>
      <w:rFonts w:eastAsia="黑体"/>
      <w:b/>
      <w:snapToGrid/>
      <w:sz w:val="36"/>
      <w:szCs w:val="36"/>
      <w:lang w:val="en-US" w:eastAsia="zh-CN"/>
    </w:rPr>
  </w:style>
  <w:style w:type="paragraph" w:customStyle="1" w:styleId="114">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5">
    <w:name w:val="文二"/>
    <w:basedOn w:val="1"/>
    <w:qFormat/>
    <w:uiPriority w:val="0"/>
    <w:pPr>
      <w:jc w:val="left"/>
    </w:pPr>
    <w:rPr>
      <w:rFonts w:ascii="宋体" w:hAnsi="宋体"/>
      <w:szCs w:val="21"/>
    </w:rPr>
  </w:style>
  <w:style w:type="paragraph" w:customStyle="1" w:styleId="116">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117">
    <w:name w:val="首行缩进"/>
    <w:basedOn w:val="1"/>
    <w:qFormat/>
    <w:uiPriority w:val="0"/>
    <w:pPr>
      <w:ind w:firstLine="480" w:firstLineChars="200"/>
    </w:pPr>
    <w:rPr>
      <w:lang w:val="zh-CN"/>
    </w:rPr>
  </w:style>
  <w:style w:type="character" w:customStyle="1" w:styleId="118">
    <w:name w:val="font11"/>
    <w:basedOn w:val="3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51429</Words>
  <Characters>55194</Characters>
  <Lines>520</Lines>
  <Paragraphs>146</Paragraphs>
  <TotalTime>12</TotalTime>
  <ScaleCrop>false</ScaleCrop>
  <LinksUpToDate>false</LinksUpToDate>
  <CharactersWithSpaces>57440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Jimmy</cp:lastModifiedBy>
  <cp:lastPrinted>2023-04-18T03:30:00Z</cp:lastPrinted>
  <dcterms:modified xsi:type="dcterms:W3CDTF">2023-05-06T08:16:45Z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B60DD5694DD94199B7FF5DDF40418A12</vt:lpwstr>
  </property>
</Properties>
</file>