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 w:line="360" w:lineRule="auto"/>
        <w:rPr>
          <w:rFonts w:hint="eastAsia" w:ascii="Times New Roman" w:hAnsi="Times New Roman" w:eastAsia="宋体" w:cs="Times New Roman"/>
          <w:color w:val="auto"/>
          <w:sz w:val="6"/>
          <w:szCs w:val="6"/>
          <w:highlight w:val="none"/>
          <w:lang w:val="en-US" w:eastAsia="zh-CN"/>
        </w:rPr>
      </w:pPr>
    </w:p>
    <w:p>
      <w:pPr>
        <w:spacing w:line="360" w:lineRule="auto"/>
        <w:jc w:val="center"/>
        <w:rPr>
          <w:rFonts w:ascii="宋体" w:hAnsi="宋体" w:eastAsia="宋体" w:cs="宋体"/>
          <w:color w:val="auto"/>
          <w:sz w:val="72"/>
          <w:szCs w:val="72"/>
          <w:highlight w:val="none"/>
        </w:rPr>
      </w:pPr>
    </w:p>
    <w:p>
      <w:pPr>
        <w:spacing w:line="360" w:lineRule="auto"/>
        <w:jc w:val="center"/>
        <w:outlineLvl w:val="9"/>
        <w:rPr>
          <w:rFonts w:hint="eastAsia" w:ascii="宋体" w:hAnsi="宋体" w:eastAsia="宋体" w:cs="宋体"/>
          <w:b/>
          <w:bCs/>
          <w:color w:val="auto"/>
          <w:sz w:val="56"/>
          <w:szCs w:val="56"/>
          <w:highlight w:val="none"/>
          <w:lang w:eastAsia="zh-CN"/>
        </w:rPr>
      </w:pPr>
      <w:bookmarkStart w:id="0" w:name="_Toc26507"/>
      <w:r>
        <w:rPr>
          <w:rFonts w:hint="eastAsia" w:ascii="宋体" w:hAnsi="宋体" w:eastAsia="宋体" w:cs="宋体"/>
          <w:b/>
          <w:bCs/>
          <w:color w:val="auto"/>
          <w:sz w:val="56"/>
          <w:szCs w:val="56"/>
          <w:highlight w:val="none"/>
          <w:lang w:val="en-US" w:eastAsia="zh-CN"/>
        </w:rPr>
        <w:t>饶平县汫洲镇</w:t>
      </w:r>
      <w:r>
        <w:rPr>
          <w:rFonts w:hint="eastAsia" w:ascii="宋体" w:hAnsi="宋体" w:eastAsia="宋体" w:cs="宋体"/>
          <w:b/>
          <w:bCs/>
          <w:color w:val="auto"/>
          <w:sz w:val="56"/>
          <w:szCs w:val="56"/>
          <w:highlight w:val="none"/>
          <w:lang w:eastAsia="zh-CN"/>
        </w:rPr>
        <w:t>三百门渔港升级</w:t>
      </w:r>
    </w:p>
    <w:p>
      <w:pPr>
        <w:spacing w:line="360" w:lineRule="auto"/>
        <w:jc w:val="center"/>
        <w:outlineLvl w:val="9"/>
        <w:rPr>
          <w:rFonts w:ascii="宋体" w:hAnsi="宋体" w:eastAsia="宋体" w:cs="宋体"/>
          <w:b/>
          <w:bCs/>
          <w:color w:val="auto"/>
          <w:sz w:val="56"/>
          <w:szCs w:val="56"/>
          <w:highlight w:val="none"/>
          <w:lang w:eastAsia="zh-CN"/>
        </w:rPr>
      </w:pPr>
      <w:r>
        <w:rPr>
          <w:rFonts w:hint="eastAsia" w:ascii="宋体" w:hAnsi="宋体" w:eastAsia="宋体" w:cs="宋体"/>
          <w:b/>
          <w:bCs/>
          <w:color w:val="auto"/>
          <w:sz w:val="56"/>
          <w:szCs w:val="56"/>
          <w:highlight w:val="none"/>
          <w:lang w:eastAsia="zh-CN"/>
        </w:rPr>
        <w:t>改造工程设计</w:t>
      </w:r>
      <w:bookmarkEnd w:id="0"/>
    </w:p>
    <w:p>
      <w:pPr>
        <w:spacing w:line="360" w:lineRule="auto"/>
        <w:jc w:val="center"/>
        <w:rPr>
          <w:rFonts w:ascii="宋体" w:hAnsi="宋体" w:eastAsia="宋体" w:cs="宋体"/>
          <w:color w:val="auto"/>
          <w:sz w:val="96"/>
          <w:szCs w:val="96"/>
          <w:highlight w:val="none"/>
          <w:lang w:eastAsia="zh-CN"/>
        </w:rPr>
      </w:pPr>
    </w:p>
    <w:p>
      <w:pPr>
        <w:spacing w:line="360" w:lineRule="auto"/>
        <w:jc w:val="center"/>
        <w:rPr>
          <w:rFonts w:ascii="宋体" w:hAnsi="宋体" w:eastAsia="宋体" w:cs="宋体"/>
          <w:color w:val="auto"/>
          <w:sz w:val="96"/>
          <w:szCs w:val="96"/>
          <w:highlight w:val="none"/>
          <w:lang w:eastAsia="zh-CN"/>
        </w:rPr>
      </w:pPr>
      <w:r>
        <w:rPr>
          <w:rFonts w:hint="eastAsia" w:ascii="宋体" w:hAnsi="宋体" w:eastAsia="宋体" w:cs="宋体"/>
          <w:color w:val="auto"/>
          <w:sz w:val="96"/>
          <w:szCs w:val="96"/>
          <w:highlight w:val="none"/>
          <w:lang w:eastAsia="zh-CN"/>
        </w:rPr>
        <w:t>招标文件</w:t>
      </w:r>
    </w:p>
    <w:p>
      <w:pPr>
        <w:spacing w:line="360" w:lineRule="auto"/>
        <w:jc w:val="center"/>
        <w:rPr>
          <w:rFonts w:ascii="宋体" w:hAnsi="宋体" w:eastAsia="宋体" w:cs="宋体"/>
          <w:color w:val="auto"/>
          <w:sz w:val="96"/>
          <w:szCs w:val="96"/>
          <w:highlight w:val="none"/>
          <w:lang w:eastAsia="zh-CN"/>
        </w:rPr>
      </w:pPr>
      <w:r>
        <w:rPr>
          <w:rFonts w:hint="eastAsia" w:ascii="宋体" w:hAnsi="宋体" w:eastAsia="宋体" w:cs="宋体"/>
          <w:color w:val="auto"/>
          <w:sz w:val="56"/>
          <w:szCs w:val="56"/>
          <w:highlight w:val="none"/>
          <w:lang w:eastAsia="zh-CN"/>
        </w:rPr>
        <w:t>（电子招投标）</w:t>
      </w:r>
    </w:p>
    <w:p>
      <w:pPr>
        <w:pStyle w:val="19"/>
        <w:rPr>
          <w:rFonts w:ascii="宋体" w:hAnsi="宋体" w:eastAsia="宋体" w:cs="宋体"/>
          <w:color w:val="auto"/>
          <w:sz w:val="96"/>
          <w:szCs w:val="96"/>
          <w:highlight w:val="none"/>
          <w:lang w:eastAsia="zh-CN"/>
        </w:rPr>
      </w:pPr>
    </w:p>
    <w:p>
      <w:pPr>
        <w:spacing w:line="360" w:lineRule="auto"/>
        <w:jc w:val="center"/>
        <w:rPr>
          <w:rFonts w:hint="eastAsia" w:ascii="宋体" w:hAnsi="宋体" w:eastAsia="宋体" w:cs="宋体"/>
          <w:color w:val="auto"/>
          <w:sz w:val="36"/>
          <w:szCs w:val="36"/>
          <w:highlight w:val="none"/>
          <w:lang w:val="en-US" w:eastAsia="zh-CN"/>
        </w:rPr>
      </w:pPr>
    </w:p>
    <w:p>
      <w:pPr>
        <w:spacing w:line="360" w:lineRule="auto"/>
        <w:ind w:left="1760" w:leftChars="800"/>
        <w:jc w:val="both"/>
        <w:outlineLvl w:val="9"/>
        <w:rPr>
          <w:rFonts w:hint="eastAsia" w:ascii="宋体" w:hAnsi="宋体" w:eastAsia="宋体" w:cs="宋体"/>
          <w:color w:val="auto"/>
          <w:sz w:val="36"/>
          <w:szCs w:val="36"/>
          <w:highlight w:val="none"/>
          <w:lang w:eastAsia="zh-CN"/>
        </w:rPr>
      </w:pPr>
      <w:bookmarkStart w:id="1" w:name="_Toc16383"/>
      <w:r>
        <w:rPr>
          <w:rFonts w:hint="eastAsia" w:ascii="宋体" w:hAnsi="宋体" w:eastAsia="宋体" w:cs="宋体"/>
          <w:color w:val="auto"/>
          <w:sz w:val="36"/>
          <w:szCs w:val="36"/>
          <w:highlight w:val="none"/>
          <w:lang w:eastAsia="zh-CN"/>
        </w:rPr>
        <w:t>招标人：饶平县汫洲镇农业农村服务中心</w:t>
      </w:r>
      <w:bookmarkEnd w:id="1"/>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招标代理机构：广东公信招标有限公司</w:t>
      </w:r>
    </w:p>
    <w:p>
      <w:pPr>
        <w:spacing w:line="360" w:lineRule="auto"/>
        <w:ind w:firstLine="1800" w:firstLineChars="500"/>
        <w:jc w:val="both"/>
        <w:rPr>
          <w:rFonts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日期：2023年</w:t>
      </w:r>
      <w:r>
        <w:rPr>
          <w:rFonts w:hint="eastAsia" w:ascii="宋体" w:hAnsi="宋体" w:eastAsia="宋体" w:cs="宋体"/>
          <w:color w:val="auto"/>
          <w:sz w:val="36"/>
          <w:szCs w:val="36"/>
          <w:highlight w:val="none"/>
          <w:lang w:val="en-US" w:eastAsia="zh-CN"/>
        </w:rPr>
        <w:t>5</w:t>
      </w:r>
      <w:r>
        <w:rPr>
          <w:rFonts w:hint="eastAsia" w:ascii="宋体" w:hAnsi="宋体" w:eastAsia="宋体" w:cs="宋体"/>
          <w:color w:val="auto"/>
          <w:sz w:val="36"/>
          <w:szCs w:val="36"/>
          <w:highlight w:val="none"/>
          <w:lang w:eastAsia="zh-CN"/>
        </w:rPr>
        <w:t>月</w:t>
      </w:r>
    </w:p>
    <w:p>
      <w:pPr>
        <w:spacing w:before="0" w:line="360" w:lineRule="auto"/>
        <w:rPr>
          <w:rFonts w:ascii="宋体" w:hAnsi="宋体" w:eastAsia="宋体" w:cs="宋体"/>
          <w:color w:val="auto"/>
          <w:sz w:val="20"/>
          <w:szCs w:val="20"/>
          <w:highlight w:val="none"/>
        </w:rPr>
      </w:pPr>
    </w:p>
    <w:p>
      <w:pPr>
        <w:pStyle w:val="15"/>
        <w:rPr>
          <w:color w:val="auto"/>
          <w:highlight w:val="none"/>
        </w:rPr>
      </w:pPr>
    </w:p>
    <w:p>
      <w:pPr>
        <w:spacing w:before="0" w:line="360" w:lineRule="auto"/>
        <w:rPr>
          <w:rFonts w:ascii="宋体" w:hAnsi="宋体" w:eastAsia="宋体" w:cs="宋体"/>
          <w:color w:val="auto"/>
          <w:sz w:val="20"/>
          <w:szCs w:val="20"/>
          <w:highlight w:val="none"/>
        </w:rPr>
      </w:pPr>
    </w:p>
    <w:p>
      <w:pPr>
        <w:spacing w:before="0" w:beforeLines="0" w:after="0" w:afterLines="0" w:line="240" w:lineRule="auto"/>
        <w:ind w:left="0" w:leftChars="0" w:right="0" w:rightChars="0" w:firstLine="0" w:firstLineChars="0"/>
        <w:jc w:val="center"/>
        <w:rPr>
          <w:rFonts w:ascii="宋体" w:hAnsi="宋体" w:eastAsia="宋体" w:cstheme="minorBidi"/>
          <w:color w:val="auto"/>
          <w:sz w:val="21"/>
          <w:szCs w:val="22"/>
          <w:highlight w:val="none"/>
          <w:lang w:val="en-US" w:eastAsia="en-US" w:bidi="ar-SA"/>
        </w:rPr>
        <w:sectPr>
          <w:pgSz w:w="11910" w:h="16840"/>
          <w:pgMar w:top="1440" w:right="1080" w:bottom="1440" w:left="1080" w:header="720" w:footer="720" w:gutter="0"/>
          <w:pgNumType w:fmt="decimal"/>
          <w:cols w:space="720" w:num="1"/>
        </w:sectPr>
      </w:pPr>
    </w:p>
    <w:sdt>
      <w:sdtPr>
        <w:rPr>
          <w:rFonts w:ascii="宋体" w:hAnsi="宋体" w:eastAsia="宋体" w:cstheme="minorBidi"/>
          <w:color w:val="auto"/>
          <w:sz w:val="21"/>
          <w:szCs w:val="22"/>
          <w:highlight w:val="none"/>
          <w:lang w:val="en-US" w:eastAsia="en-US" w:bidi="ar-SA"/>
        </w:rPr>
        <w:id w:val="147482613"/>
        <w15:color w:val="DBDBDB"/>
        <w:docPartObj>
          <w:docPartGallery w:val="Table of Contents"/>
          <w:docPartUnique/>
        </w:docPartObj>
      </w:sdtPr>
      <w:sdtEndPr>
        <w:rPr>
          <w:rFonts w:ascii="Times New Roman" w:hAnsi="Times New Roman" w:eastAsia="Times New Roman" w:cs="Times New Roman"/>
          <w:color w:val="auto"/>
          <w:sz w:val="22"/>
          <w:szCs w:val="22"/>
          <w:highlight w:val="none"/>
          <w:lang w:val="en-US" w:eastAsia="en-US" w:bidi="ar-SA"/>
        </w:rPr>
      </w:sdtEndPr>
      <w:sdtContent>
        <w:p>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0"/>
              <w:szCs w:val="44"/>
              <w:highlight w:val="none"/>
            </w:rPr>
            <w:t>目录</w:t>
          </w:r>
        </w:p>
        <w:p>
          <w:pPr>
            <w:pStyle w:val="30"/>
            <w:tabs>
              <w:tab w:val="right" w:leader="dot" w:pos="9750"/>
            </w:tabs>
            <w:rPr>
              <w:color w:val="auto"/>
              <w:highlight w:val="none"/>
            </w:rPr>
          </w:pPr>
          <w:r>
            <w:rPr>
              <w:rFonts w:ascii="Times New Roman" w:hAnsi="Times New Roman" w:eastAsia="Times New Roman" w:cs="Times New Roman"/>
              <w:color w:val="auto"/>
              <w:highlight w:val="none"/>
            </w:rPr>
            <w:fldChar w:fldCharType="begin"/>
          </w:r>
          <w:r>
            <w:rPr>
              <w:rFonts w:ascii="Times New Roman" w:hAnsi="Times New Roman" w:eastAsia="Times New Roman" w:cs="Times New Roman"/>
              <w:color w:val="auto"/>
              <w:highlight w:val="none"/>
            </w:rPr>
            <w:instrText xml:space="preserve">TOC \o "1-3" \h \u </w:instrText>
          </w:r>
          <w:r>
            <w:rPr>
              <w:rFonts w:ascii="Times New Roman" w:hAnsi="Times New Roman" w:eastAsia="Times New Roman" w:cs="Times New Roman"/>
              <w:color w:val="auto"/>
              <w:highlight w:val="none"/>
            </w:rPr>
            <w:fldChar w:fldCharType="separate"/>
          </w:r>
        </w:p>
        <w:p>
          <w:pPr>
            <w:pStyle w:val="31"/>
            <w:tabs>
              <w:tab w:val="right" w:leader="dot" w:pos="9750"/>
            </w:tabs>
            <w:rPr>
              <w:color w:val="auto"/>
              <w:sz w:val="32"/>
              <w:szCs w:val="32"/>
              <w:highlight w:val="none"/>
            </w:rPr>
          </w:pPr>
          <w:r>
            <w:rPr>
              <w:rFonts w:ascii="Times New Roman" w:hAnsi="Times New Roman" w:eastAsia="Times New Roman" w:cs="Times New Roman"/>
              <w:color w:val="auto"/>
              <w:sz w:val="32"/>
              <w:szCs w:val="32"/>
              <w:highlight w:val="none"/>
            </w:rPr>
            <w:fldChar w:fldCharType="begin"/>
          </w:r>
          <w:r>
            <w:rPr>
              <w:rFonts w:ascii="Times New Roman" w:hAnsi="Times New Roman" w:eastAsia="Times New Roman" w:cs="Times New Roman"/>
              <w:color w:val="auto"/>
              <w:sz w:val="32"/>
              <w:szCs w:val="32"/>
              <w:highlight w:val="none"/>
            </w:rPr>
            <w:instrText xml:space="preserve"> HYPERLINK \l _Toc30777 </w:instrText>
          </w:r>
          <w:r>
            <w:rPr>
              <w:rFonts w:ascii="Times New Roman" w:hAnsi="Times New Roman" w:eastAsia="Times New Roman" w:cs="Times New Roman"/>
              <w:color w:val="auto"/>
              <w:sz w:val="32"/>
              <w:szCs w:val="32"/>
              <w:highlight w:val="none"/>
            </w:rPr>
            <w:fldChar w:fldCharType="separate"/>
          </w:r>
          <w:r>
            <w:rPr>
              <w:color w:val="auto"/>
              <w:sz w:val="32"/>
              <w:szCs w:val="32"/>
              <w:highlight w:val="none"/>
            </w:rPr>
            <w:t>第一章招标公告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_Toc30777 \h </w:instrText>
          </w:r>
          <w:r>
            <w:rPr>
              <w:color w:val="auto"/>
              <w:sz w:val="32"/>
              <w:szCs w:val="32"/>
              <w:highlight w:val="none"/>
            </w:rPr>
            <w:fldChar w:fldCharType="separate"/>
          </w:r>
          <w:r>
            <w:rPr>
              <w:color w:val="auto"/>
              <w:sz w:val="32"/>
              <w:szCs w:val="32"/>
              <w:highlight w:val="none"/>
            </w:rPr>
            <w:t>2</w:t>
          </w:r>
          <w:r>
            <w:rPr>
              <w:color w:val="auto"/>
              <w:sz w:val="32"/>
              <w:szCs w:val="32"/>
              <w:highlight w:val="none"/>
            </w:rPr>
            <w:fldChar w:fldCharType="end"/>
          </w:r>
          <w:r>
            <w:rPr>
              <w:rFonts w:ascii="Times New Roman" w:hAnsi="Times New Roman" w:eastAsia="Times New Roman" w:cs="Times New Roman"/>
              <w:color w:val="auto"/>
              <w:sz w:val="32"/>
              <w:szCs w:val="32"/>
              <w:highlight w:val="none"/>
            </w:rPr>
            <w:fldChar w:fldCharType="end"/>
          </w:r>
        </w:p>
        <w:p>
          <w:pPr>
            <w:pStyle w:val="31"/>
            <w:tabs>
              <w:tab w:val="right" w:leader="dot" w:pos="9750"/>
            </w:tabs>
            <w:rPr>
              <w:color w:val="auto"/>
              <w:sz w:val="32"/>
              <w:szCs w:val="32"/>
              <w:highlight w:val="none"/>
            </w:rPr>
          </w:pPr>
          <w:r>
            <w:rPr>
              <w:rFonts w:ascii="Times New Roman" w:hAnsi="Times New Roman" w:eastAsia="Times New Roman" w:cs="Times New Roman"/>
              <w:color w:val="auto"/>
              <w:sz w:val="32"/>
              <w:szCs w:val="32"/>
              <w:highlight w:val="none"/>
            </w:rPr>
            <w:fldChar w:fldCharType="begin"/>
          </w:r>
          <w:r>
            <w:rPr>
              <w:rFonts w:ascii="Times New Roman" w:hAnsi="Times New Roman" w:eastAsia="Times New Roman" w:cs="Times New Roman"/>
              <w:color w:val="auto"/>
              <w:sz w:val="32"/>
              <w:szCs w:val="32"/>
              <w:highlight w:val="none"/>
            </w:rPr>
            <w:instrText xml:space="preserve"> HYPERLINK \l _Toc27053 </w:instrText>
          </w:r>
          <w:r>
            <w:rPr>
              <w:rFonts w:ascii="Times New Roman" w:hAnsi="Times New Roman" w:eastAsia="Times New Roman" w:cs="Times New Roman"/>
              <w:color w:val="auto"/>
              <w:sz w:val="32"/>
              <w:szCs w:val="32"/>
              <w:highlight w:val="none"/>
            </w:rPr>
            <w:fldChar w:fldCharType="separate"/>
          </w:r>
          <w:r>
            <w:rPr>
              <w:color w:val="auto"/>
              <w:sz w:val="32"/>
              <w:szCs w:val="32"/>
              <w:highlight w:val="none"/>
            </w:rPr>
            <w:t>第二章投标人须知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_Toc27053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ascii="Times New Roman" w:hAnsi="Times New Roman" w:eastAsia="Times New Roman" w:cs="Times New Roman"/>
              <w:color w:val="auto"/>
              <w:sz w:val="32"/>
              <w:szCs w:val="32"/>
              <w:highlight w:val="none"/>
            </w:rPr>
            <w:fldChar w:fldCharType="end"/>
          </w:r>
        </w:p>
        <w:p>
          <w:pPr>
            <w:pStyle w:val="31"/>
            <w:tabs>
              <w:tab w:val="right" w:leader="dot" w:pos="9750"/>
            </w:tabs>
            <w:rPr>
              <w:color w:val="auto"/>
              <w:sz w:val="32"/>
              <w:szCs w:val="32"/>
              <w:highlight w:val="none"/>
            </w:rPr>
          </w:pPr>
          <w:r>
            <w:rPr>
              <w:rFonts w:ascii="Times New Roman" w:hAnsi="Times New Roman" w:eastAsia="Times New Roman" w:cs="Times New Roman"/>
              <w:color w:val="auto"/>
              <w:sz w:val="32"/>
              <w:szCs w:val="32"/>
              <w:highlight w:val="none"/>
            </w:rPr>
            <w:fldChar w:fldCharType="begin"/>
          </w:r>
          <w:r>
            <w:rPr>
              <w:rFonts w:ascii="Times New Roman" w:hAnsi="Times New Roman" w:eastAsia="Times New Roman" w:cs="Times New Roman"/>
              <w:color w:val="auto"/>
              <w:sz w:val="32"/>
              <w:szCs w:val="32"/>
              <w:highlight w:val="none"/>
            </w:rPr>
            <w:instrText xml:space="preserve"> HYPERLINK \l _Toc17398 </w:instrText>
          </w:r>
          <w:r>
            <w:rPr>
              <w:rFonts w:ascii="Times New Roman" w:hAnsi="Times New Roman" w:eastAsia="Times New Roman" w:cs="Times New Roman"/>
              <w:color w:val="auto"/>
              <w:sz w:val="32"/>
              <w:szCs w:val="32"/>
              <w:highlight w:val="none"/>
            </w:rPr>
            <w:fldChar w:fldCharType="separate"/>
          </w:r>
          <w:r>
            <w:rPr>
              <w:color w:val="auto"/>
              <w:sz w:val="32"/>
              <w:szCs w:val="32"/>
              <w:highlight w:val="none"/>
            </w:rPr>
            <w:t>第三章评标办法(综合评估法)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_Toc17398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rFonts w:ascii="Times New Roman" w:hAnsi="Times New Roman" w:eastAsia="Times New Roman" w:cs="Times New Roman"/>
              <w:color w:val="auto"/>
              <w:sz w:val="32"/>
              <w:szCs w:val="32"/>
              <w:highlight w:val="none"/>
            </w:rPr>
            <w:fldChar w:fldCharType="end"/>
          </w:r>
        </w:p>
        <w:p>
          <w:pPr>
            <w:pStyle w:val="31"/>
            <w:tabs>
              <w:tab w:val="right" w:leader="dot" w:pos="9750"/>
            </w:tabs>
            <w:spacing w:line="240" w:lineRule="auto"/>
            <w:rPr>
              <w:color w:val="auto"/>
              <w:sz w:val="32"/>
              <w:szCs w:val="32"/>
              <w:highlight w:val="none"/>
            </w:rPr>
          </w:pPr>
          <w:r>
            <w:rPr>
              <w:rFonts w:ascii="Times New Roman" w:hAnsi="Times New Roman" w:eastAsia="Times New Roman" w:cs="Times New Roman"/>
              <w:color w:val="auto"/>
              <w:sz w:val="32"/>
              <w:szCs w:val="32"/>
              <w:highlight w:val="none"/>
            </w:rPr>
            <w:fldChar w:fldCharType="begin"/>
          </w:r>
          <w:r>
            <w:rPr>
              <w:rFonts w:ascii="Times New Roman" w:hAnsi="Times New Roman" w:eastAsia="Times New Roman" w:cs="Times New Roman"/>
              <w:color w:val="auto"/>
              <w:sz w:val="32"/>
              <w:szCs w:val="32"/>
              <w:highlight w:val="none"/>
            </w:rPr>
            <w:instrText xml:space="preserve"> HYPERLINK \l _Toc22706 </w:instrText>
          </w:r>
          <w:r>
            <w:rPr>
              <w:rFonts w:ascii="Times New Roman" w:hAnsi="Times New Roman" w:eastAsia="Times New Roman" w:cs="Times New Roman"/>
              <w:color w:val="auto"/>
              <w:sz w:val="32"/>
              <w:szCs w:val="32"/>
              <w:highlight w:val="none"/>
            </w:rPr>
            <w:fldChar w:fldCharType="separate"/>
          </w:r>
          <w:r>
            <w:rPr>
              <w:color w:val="auto"/>
              <w:sz w:val="32"/>
              <w:szCs w:val="32"/>
              <w:highlight w:val="none"/>
            </w:rPr>
            <w:t>第四章合同条款及格式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_Toc22706 \h </w:instrText>
          </w:r>
          <w:r>
            <w:rPr>
              <w:color w:val="auto"/>
              <w:sz w:val="32"/>
              <w:szCs w:val="32"/>
              <w:highlight w:val="none"/>
            </w:rPr>
            <w:fldChar w:fldCharType="separate"/>
          </w:r>
          <w:r>
            <w:rPr>
              <w:color w:val="auto"/>
              <w:sz w:val="32"/>
              <w:szCs w:val="32"/>
              <w:highlight w:val="none"/>
            </w:rPr>
            <w:t>36</w:t>
          </w:r>
          <w:r>
            <w:rPr>
              <w:color w:val="auto"/>
              <w:sz w:val="32"/>
              <w:szCs w:val="32"/>
              <w:highlight w:val="none"/>
            </w:rPr>
            <w:fldChar w:fldCharType="end"/>
          </w:r>
          <w:r>
            <w:rPr>
              <w:rFonts w:ascii="Times New Roman" w:hAnsi="Times New Roman" w:eastAsia="Times New Roman" w:cs="Times New Roman"/>
              <w:color w:val="auto"/>
              <w:sz w:val="32"/>
              <w:szCs w:val="32"/>
              <w:highlight w:val="none"/>
            </w:rPr>
            <w:fldChar w:fldCharType="end"/>
          </w:r>
        </w:p>
        <w:p>
          <w:pPr>
            <w:pStyle w:val="31"/>
            <w:tabs>
              <w:tab w:val="right" w:leader="dot" w:pos="9750"/>
            </w:tabs>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fldChar w:fldCharType="begin"/>
          </w:r>
          <w:r>
            <w:rPr>
              <w:rFonts w:ascii="Times New Roman" w:hAnsi="Times New Roman" w:eastAsia="宋体" w:cs="Times New Roman"/>
              <w:color w:val="auto"/>
              <w:sz w:val="32"/>
              <w:szCs w:val="32"/>
              <w:highlight w:val="none"/>
            </w:rPr>
            <w:instrText xml:space="preserve"> HYPERLINK \l _Toc18837 </w:instrText>
          </w:r>
          <w:r>
            <w:rPr>
              <w:rFonts w:ascii="Times New Roman" w:hAnsi="Times New Roman" w:eastAsia="宋体" w:cs="Times New Roman"/>
              <w:color w:val="auto"/>
              <w:sz w:val="32"/>
              <w:szCs w:val="32"/>
              <w:highlight w:val="none"/>
            </w:rPr>
            <w:fldChar w:fldCharType="separate"/>
          </w:r>
          <w:r>
            <w:rPr>
              <w:rFonts w:ascii="Times New Roman" w:hAnsi="Times New Roman" w:eastAsia="宋体" w:cs="Times New Roman"/>
              <w:color w:val="auto"/>
              <w:sz w:val="32"/>
              <w:szCs w:val="32"/>
              <w:highlight w:val="none"/>
            </w:rPr>
            <w:t>第五章发包人要求</w:t>
          </w:r>
          <w:r>
            <w:rPr>
              <w:rFonts w:ascii="Times New Roman" w:hAnsi="Times New Roman" w:eastAsia="宋体" w:cs="Times New Roman"/>
              <w:color w:val="auto"/>
              <w:sz w:val="32"/>
              <w:szCs w:val="32"/>
              <w:highlight w:val="none"/>
            </w:rPr>
            <w:tab/>
          </w:r>
          <w:r>
            <w:rPr>
              <w:rFonts w:ascii="Times New Roman" w:hAnsi="Times New Roman" w:eastAsia="宋体" w:cs="Times New Roman"/>
              <w:color w:val="auto"/>
              <w:sz w:val="32"/>
              <w:szCs w:val="32"/>
              <w:highlight w:val="none"/>
            </w:rPr>
            <w:fldChar w:fldCharType="begin"/>
          </w:r>
          <w:r>
            <w:rPr>
              <w:rFonts w:ascii="Times New Roman" w:hAnsi="Times New Roman" w:eastAsia="宋体" w:cs="Times New Roman"/>
              <w:color w:val="auto"/>
              <w:sz w:val="32"/>
              <w:szCs w:val="32"/>
              <w:highlight w:val="none"/>
            </w:rPr>
            <w:instrText xml:space="preserve"> PAGEREF _Toc18837 \h </w:instrText>
          </w:r>
          <w:r>
            <w:rPr>
              <w:rFonts w:ascii="Times New Roman" w:hAnsi="Times New Roman" w:eastAsia="宋体" w:cs="Times New Roman"/>
              <w:color w:val="auto"/>
              <w:sz w:val="32"/>
              <w:szCs w:val="32"/>
              <w:highlight w:val="none"/>
            </w:rPr>
            <w:fldChar w:fldCharType="separate"/>
          </w:r>
          <w:r>
            <w:rPr>
              <w:rFonts w:ascii="Times New Roman" w:hAnsi="Times New Roman" w:eastAsia="宋体" w:cs="Times New Roman"/>
              <w:color w:val="auto"/>
              <w:sz w:val="32"/>
              <w:szCs w:val="32"/>
              <w:highlight w:val="none"/>
            </w:rPr>
            <w:t>42</w:t>
          </w:r>
          <w:r>
            <w:rPr>
              <w:rFonts w:ascii="Times New Roman" w:hAnsi="Times New Roman" w:eastAsia="宋体" w:cs="Times New Roman"/>
              <w:color w:val="auto"/>
              <w:sz w:val="32"/>
              <w:szCs w:val="32"/>
              <w:highlight w:val="none"/>
            </w:rPr>
            <w:fldChar w:fldCharType="end"/>
          </w:r>
          <w:r>
            <w:rPr>
              <w:rFonts w:ascii="Times New Roman" w:hAnsi="Times New Roman" w:eastAsia="宋体" w:cs="Times New Roman"/>
              <w:color w:val="auto"/>
              <w:sz w:val="32"/>
              <w:szCs w:val="32"/>
              <w:highlight w:val="none"/>
            </w:rPr>
            <w:fldChar w:fldCharType="end"/>
          </w:r>
        </w:p>
        <w:p>
          <w:pPr>
            <w:pStyle w:val="31"/>
            <w:tabs>
              <w:tab w:val="right" w:leader="dot" w:pos="9750"/>
            </w:tabs>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fldChar w:fldCharType="begin"/>
          </w:r>
          <w:r>
            <w:rPr>
              <w:rFonts w:ascii="Times New Roman" w:hAnsi="Times New Roman" w:eastAsia="宋体" w:cs="Times New Roman"/>
              <w:color w:val="auto"/>
              <w:sz w:val="32"/>
              <w:szCs w:val="32"/>
              <w:highlight w:val="none"/>
            </w:rPr>
            <w:instrText xml:space="preserve"> HYPERLINK \l _Toc4128 </w:instrText>
          </w:r>
          <w:r>
            <w:rPr>
              <w:rFonts w:ascii="Times New Roman" w:hAnsi="Times New Roman" w:eastAsia="宋体" w:cs="Times New Roman"/>
              <w:color w:val="auto"/>
              <w:sz w:val="32"/>
              <w:szCs w:val="32"/>
              <w:highlight w:val="none"/>
            </w:rPr>
            <w:fldChar w:fldCharType="separate"/>
          </w:r>
          <w:r>
            <w:rPr>
              <w:rFonts w:hint="eastAsia" w:ascii="Times New Roman" w:hAnsi="Times New Roman" w:eastAsia="宋体" w:cs="Times New Roman"/>
              <w:color w:val="auto"/>
              <w:sz w:val="32"/>
              <w:szCs w:val="32"/>
              <w:highlight w:val="none"/>
            </w:rPr>
            <w:t>第六章 发包人提供的资料</w:t>
          </w:r>
          <w:r>
            <w:rPr>
              <w:rFonts w:ascii="Times New Roman" w:hAnsi="Times New Roman" w:eastAsia="宋体" w:cs="Times New Roman"/>
              <w:color w:val="auto"/>
              <w:sz w:val="32"/>
              <w:szCs w:val="32"/>
              <w:highlight w:val="none"/>
            </w:rPr>
            <w:tab/>
          </w:r>
          <w:r>
            <w:rPr>
              <w:rFonts w:ascii="Times New Roman" w:hAnsi="Times New Roman" w:eastAsia="宋体" w:cs="Times New Roman"/>
              <w:color w:val="auto"/>
              <w:sz w:val="32"/>
              <w:szCs w:val="32"/>
              <w:highlight w:val="none"/>
            </w:rPr>
            <w:fldChar w:fldCharType="begin"/>
          </w:r>
          <w:r>
            <w:rPr>
              <w:rFonts w:ascii="Times New Roman" w:hAnsi="Times New Roman" w:eastAsia="宋体" w:cs="Times New Roman"/>
              <w:color w:val="auto"/>
              <w:sz w:val="32"/>
              <w:szCs w:val="32"/>
              <w:highlight w:val="none"/>
            </w:rPr>
            <w:instrText xml:space="preserve"> PAGEREF _Toc4128 \h </w:instrText>
          </w:r>
          <w:r>
            <w:rPr>
              <w:rFonts w:ascii="Times New Roman" w:hAnsi="Times New Roman" w:eastAsia="宋体" w:cs="Times New Roman"/>
              <w:color w:val="auto"/>
              <w:sz w:val="32"/>
              <w:szCs w:val="32"/>
              <w:highlight w:val="none"/>
            </w:rPr>
            <w:fldChar w:fldCharType="separate"/>
          </w:r>
          <w:r>
            <w:rPr>
              <w:rFonts w:ascii="Times New Roman" w:hAnsi="Times New Roman" w:eastAsia="宋体" w:cs="Times New Roman"/>
              <w:color w:val="auto"/>
              <w:sz w:val="32"/>
              <w:szCs w:val="32"/>
              <w:highlight w:val="none"/>
            </w:rPr>
            <w:t>49</w:t>
          </w:r>
          <w:r>
            <w:rPr>
              <w:rFonts w:ascii="Times New Roman" w:hAnsi="Times New Roman" w:eastAsia="宋体" w:cs="Times New Roman"/>
              <w:color w:val="auto"/>
              <w:sz w:val="32"/>
              <w:szCs w:val="32"/>
              <w:highlight w:val="none"/>
            </w:rPr>
            <w:fldChar w:fldCharType="end"/>
          </w:r>
          <w:r>
            <w:rPr>
              <w:rFonts w:ascii="Times New Roman" w:hAnsi="Times New Roman" w:eastAsia="宋体" w:cs="Times New Roman"/>
              <w:color w:val="auto"/>
              <w:sz w:val="32"/>
              <w:szCs w:val="32"/>
              <w:highlight w:val="none"/>
            </w:rPr>
            <w:fldChar w:fldCharType="end"/>
          </w:r>
        </w:p>
        <w:p>
          <w:pPr>
            <w:pStyle w:val="31"/>
            <w:tabs>
              <w:tab w:val="right" w:leader="dot" w:pos="9750"/>
            </w:tabs>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fldChar w:fldCharType="begin"/>
          </w:r>
          <w:r>
            <w:rPr>
              <w:rFonts w:ascii="Times New Roman" w:hAnsi="Times New Roman" w:eastAsia="宋体" w:cs="Times New Roman"/>
              <w:color w:val="auto"/>
              <w:sz w:val="32"/>
              <w:szCs w:val="32"/>
              <w:highlight w:val="none"/>
            </w:rPr>
            <w:instrText xml:space="preserve"> HYPERLINK \l _Toc22736 </w:instrText>
          </w:r>
          <w:r>
            <w:rPr>
              <w:rFonts w:ascii="Times New Roman" w:hAnsi="Times New Roman" w:eastAsia="宋体" w:cs="Times New Roman"/>
              <w:color w:val="auto"/>
              <w:sz w:val="32"/>
              <w:szCs w:val="32"/>
              <w:highlight w:val="none"/>
            </w:rPr>
            <w:fldChar w:fldCharType="separate"/>
          </w:r>
          <w:r>
            <w:rPr>
              <w:rFonts w:ascii="Times New Roman" w:hAnsi="Times New Roman" w:eastAsia="宋体" w:cs="Times New Roman"/>
              <w:color w:val="auto"/>
              <w:sz w:val="32"/>
              <w:szCs w:val="32"/>
              <w:highlight w:val="none"/>
            </w:rPr>
            <w:t>第</w:t>
          </w:r>
          <w:r>
            <w:rPr>
              <w:rFonts w:hint="eastAsia" w:ascii="Times New Roman" w:hAnsi="Times New Roman" w:eastAsia="宋体" w:cs="Times New Roman"/>
              <w:color w:val="auto"/>
              <w:sz w:val="32"/>
              <w:szCs w:val="32"/>
              <w:highlight w:val="none"/>
              <w:lang w:val="en-US" w:eastAsia="zh-CN"/>
            </w:rPr>
            <w:t>七</w:t>
          </w:r>
          <w:r>
            <w:rPr>
              <w:rFonts w:ascii="Times New Roman" w:hAnsi="Times New Roman" w:eastAsia="宋体" w:cs="Times New Roman"/>
              <w:color w:val="auto"/>
              <w:sz w:val="32"/>
              <w:szCs w:val="32"/>
              <w:highlight w:val="none"/>
            </w:rPr>
            <w:t>章投标文件格式</w:t>
          </w:r>
          <w:r>
            <w:rPr>
              <w:rFonts w:ascii="Times New Roman" w:hAnsi="Times New Roman" w:eastAsia="宋体" w:cs="Times New Roman"/>
              <w:color w:val="auto"/>
              <w:sz w:val="32"/>
              <w:szCs w:val="32"/>
              <w:highlight w:val="none"/>
            </w:rPr>
            <w:tab/>
          </w:r>
          <w:r>
            <w:rPr>
              <w:rFonts w:ascii="Times New Roman" w:hAnsi="Times New Roman" w:eastAsia="宋体" w:cs="Times New Roman"/>
              <w:color w:val="auto"/>
              <w:sz w:val="32"/>
              <w:szCs w:val="32"/>
              <w:highlight w:val="none"/>
            </w:rPr>
            <w:fldChar w:fldCharType="begin"/>
          </w:r>
          <w:r>
            <w:rPr>
              <w:rFonts w:ascii="Times New Roman" w:hAnsi="Times New Roman" w:eastAsia="宋体" w:cs="Times New Roman"/>
              <w:color w:val="auto"/>
              <w:sz w:val="32"/>
              <w:szCs w:val="32"/>
              <w:highlight w:val="none"/>
            </w:rPr>
            <w:instrText xml:space="preserve"> PAGEREF _Toc22736 \h </w:instrText>
          </w:r>
          <w:r>
            <w:rPr>
              <w:rFonts w:ascii="Times New Roman" w:hAnsi="Times New Roman" w:eastAsia="宋体" w:cs="Times New Roman"/>
              <w:color w:val="auto"/>
              <w:sz w:val="32"/>
              <w:szCs w:val="32"/>
              <w:highlight w:val="none"/>
            </w:rPr>
            <w:fldChar w:fldCharType="separate"/>
          </w:r>
          <w:r>
            <w:rPr>
              <w:rFonts w:ascii="Times New Roman" w:hAnsi="Times New Roman" w:eastAsia="宋体" w:cs="Times New Roman"/>
              <w:color w:val="auto"/>
              <w:sz w:val="32"/>
              <w:szCs w:val="32"/>
              <w:highlight w:val="none"/>
            </w:rPr>
            <w:t>50</w:t>
          </w:r>
          <w:r>
            <w:rPr>
              <w:rFonts w:ascii="Times New Roman" w:hAnsi="Times New Roman" w:eastAsia="宋体" w:cs="Times New Roman"/>
              <w:color w:val="auto"/>
              <w:sz w:val="32"/>
              <w:szCs w:val="32"/>
              <w:highlight w:val="none"/>
            </w:rPr>
            <w:fldChar w:fldCharType="end"/>
          </w:r>
          <w:r>
            <w:rPr>
              <w:rFonts w:ascii="Times New Roman" w:hAnsi="Times New Roman" w:eastAsia="宋体" w:cs="Times New Roman"/>
              <w:color w:val="auto"/>
              <w:sz w:val="32"/>
              <w:szCs w:val="32"/>
              <w:highlight w:val="none"/>
            </w:rPr>
            <w:fldChar w:fldCharType="end"/>
          </w:r>
        </w:p>
        <w:p>
          <w:pPr>
            <w:pStyle w:val="30"/>
            <w:tabs>
              <w:tab w:val="right" w:leader="dot" w:pos="9750"/>
            </w:tabs>
            <w:rPr>
              <w:color w:val="auto"/>
              <w:highlight w:val="none"/>
            </w:rPr>
          </w:pPr>
        </w:p>
        <w:p>
          <w:pPr>
            <w:spacing w:after="0" w:line="360" w:lineRule="auto"/>
            <w:jc w:val="center"/>
            <w:rPr>
              <w:rFonts w:ascii="Times New Roman" w:hAnsi="Times New Roman" w:eastAsia="Times New Roman" w:cs="Times New Roman"/>
              <w:color w:val="auto"/>
              <w:highlight w:val="none"/>
            </w:rPr>
            <w:sectPr>
              <w:footerReference r:id="rId5" w:type="default"/>
              <w:pgSz w:w="11910" w:h="16840"/>
              <w:pgMar w:top="1440" w:right="1080" w:bottom="1440" w:left="1080" w:header="720" w:footer="720" w:gutter="0"/>
              <w:pgNumType w:fmt="decimal" w:start="1"/>
              <w:cols w:space="720" w:num="1"/>
            </w:sectPr>
          </w:pPr>
          <w:r>
            <w:rPr>
              <w:rFonts w:ascii="Times New Roman" w:hAnsi="Times New Roman" w:eastAsia="Times New Roman" w:cs="Times New Roman"/>
              <w:color w:val="auto"/>
              <w:highlight w:val="none"/>
            </w:rPr>
            <w:fldChar w:fldCharType="end"/>
          </w:r>
        </w:p>
      </w:sdtContent>
    </w:sdt>
    <w:p>
      <w:pPr>
        <w:pStyle w:val="3"/>
        <w:spacing w:line="360" w:lineRule="auto"/>
        <w:ind w:left="3097" w:right="3199"/>
        <w:jc w:val="center"/>
        <w:outlineLvl w:val="0"/>
        <w:rPr>
          <w:b w:val="0"/>
          <w:bCs w:val="0"/>
          <w:color w:val="auto"/>
          <w:highlight w:val="none"/>
        </w:rPr>
      </w:pPr>
      <w:bookmarkStart w:id="2" w:name="第一章 招标公告"/>
      <w:bookmarkEnd w:id="2"/>
      <w:bookmarkStart w:id="3" w:name="_Toc30777"/>
      <w:r>
        <w:rPr>
          <w:color w:val="auto"/>
          <w:highlight w:val="none"/>
        </w:rPr>
        <w:t>第一章招标公告</w:t>
      </w:r>
      <w:bookmarkEnd w:id="3"/>
    </w:p>
    <w:p>
      <w:pPr>
        <w:pStyle w:val="5"/>
        <w:spacing w:before="0" w:line="500" w:lineRule="exact"/>
        <w:ind w:right="89"/>
        <w:jc w:val="left"/>
        <w:outlineLvl w:val="1"/>
        <w:rPr>
          <w:rFonts w:hint="eastAsia" w:cs="宋体"/>
          <w:b w:val="0"/>
          <w:bCs w:val="0"/>
          <w:color w:val="auto"/>
          <w:sz w:val="24"/>
          <w:szCs w:val="24"/>
          <w:highlight w:val="none"/>
        </w:rPr>
      </w:pPr>
      <w:bookmarkStart w:id="4" w:name="1. 招标条件"/>
      <w:bookmarkEnd w:id="4"/>
      <w:bookmarkStart w:id="5" w:name="_Toc16572"/>
      <w:r>
        <w:rPr>
          <w:rFonts w:hint="eastAsia" w:cs="宋体"/>
          <w:color w:val="auto"/>
          <w:sz w:val="24"/>
          <w:szCs w:val="24"/>
          <w:highlight w:val="none"/>
        </w:rPr>
        <w:t>1.招标条件</w:t>
      </w:r>
      <w:bookmarkEnd w:id="5"/>
    </w:p>
    <w:p>
      <w:pPr>
        <w:pStyle w:val="11"/>
        <w:spacing w:line="500" w:lineRule="exact"/>
        <w:ind w:right="89" w:firstLine="420"/>
        <w:jc w:val="left"/>
        <w:rPr>
          <w:rFonts w:hint="eastAsia" w:cs="宋体"/>
          <w:color w:val="auto"/>
          <w:sz w:val="24"/>
          <w:szCs w:val="24"/>
          <w:highlight w:val="none"/>
        </w:rPr>
      </w:pPr>
      <w:r>
        <w:rPr>
          <w:rFonts w:hint="eastAsia" w:cs="宋体"/>
          <w:color w:val="auto"/>
          <w:spacing w:val="-2"/>
          <w:sz w:val="24"/>
          <w:szCs w:val="24"/>
          <w:highlight w:val="none"/>
        </w:rPr>
        <w:t>本招标项目</w:t>
      </w:r>
      <w:r>
        <w:rPr>
          <w:rFonts w:hint="eastAsia" w:cs="宋体"/>
          <w:color w:val="auto"/>
          <w:spacing w:val="-2"/>
          <w:sz w:val="24"/>
          <w:szCs w:val="24"/>
          <w:highlight w:val="none"/>
          <w:u w:val="single"/>
          <w:lang w:val="en-US" w:eastAsia="zh-CN"/>
        </w:rPr>
        <w:t>饶平县汫洲镇</w:t>
      </w:r>
      <w:r>
        <w:rPr>
          <w:rFonts w:hint="eastAsia" w:cs="宋体"/>
          <w:color w:val="auto"/>
          <w:spacing w:val="-2"/>
          <w:sz w:val="24"/>
          <w:szCs w:val="24"/>
          <w:highlight w:val="none"/>
          <w:u w:val="single"/>
        </w:rPr>
        <w:t>三百门渔港升级改造工程</w:t>
      </w:r>
      <w:r>
        <w:rPr>
          <w:rFonts w:hint="eastAsia" w:cs="宋体"/>
          <w:color w:val="auto"/>
          <w:spacing w:val="-2"/>
          <w:sz w:val="24"/>
          <w:szCs w:val="24"/>
          <w:highlight w:val="none"/>
        </w:rPr>
        <w:t>已由</w:t>
      </w:r>
      <w:r>
        <w:rPr>
          <w:rFonts w:hint="eastAsia" w:cs="宋体"/>
          <w:color w:val="auto"/>
          <w:spacing w:val="4"/>
          <w:sz w:val="24"/>
          <w:szCs w:val="24"/>
          <w:highlight w:val="none"/>
          <w:u w:val="single" w:color="000000"/>
          <w:lang w:eastAsia="zh-CN"/>
        </w:rPr>
        <w:t>饶平县发</w:t>
      </w:r>
      <w:r>
        <w:rPr>
          <w:rFonts w:hint="eastAsia" w:cs="宋体"/>
          <w:color w:val="auto"/>
          <w:sz w:val="24"/>
          <w:szCs w:val="24"/>
          <w:highlight w:val="none"/>
          <w:u w:val="single" w:color="000000"/>
          <w:lang w:eastAsia="zh-CN"/>
        </w:rPr>
        <w:t>展和改革局</w:t>
      </w:r>
      <w:r>
        <w:rPr>
          <w:rFonts w:hint="eastAsia" w:cs="宋体"/>
          <w:color w:val="auto"/>
          <w:spacing w:val="-2"/>
          <w:sz w:val="24"/>
          <w:szCs w:val="24"/>
          <w:highlight w:val="none"/>
        </w:rPr>
        <w:t>以</w:t>
      </w:r>
      <w:r>
        <w:rPr>
          <w:rFonts w:hint="eastAsia" w:cs="宋体"/>
          <w:color w:val="auto"/>
          <w:sz w:val="24"/>
          <w:szCs w:val="24"/>
          <w:highlight w:val="none"/>
          <w:u w:val="single"/>
          <w:lang w:eastAsia="zh-CN"/>
        </w:rPr>
        <w:t>饶发改投审〔2023〕33号</w:t>
      </w:r>
      <w:r>
        <w:rPr>
          <w:rFonts w:hint="eastAsia" w:cs="宋体"/>
          <w:color w:val="auto"/>
          <w:sz w:val="24"/>
          <w:szCs w:val="24"/>
          <w:highlight w:val="none"/>
        </w:rPr>
        <w:t>批准建设，投资项目统一代码为：</w:t>
      </w:r>
      <w:r>
        <w:rPr>
          <w:rFonts w:hint="eastAsia" w:cs="宋体"/>
          <w:color w:val="auto"/>
          <w:sz w:val="24"/>
          <w:szCs w:val="24"/>
          <w:highlight w:val="none"/>
          <w:u w:val="single"/>
          <w:lang w:val="en-US" w:eastAsia="zh-CN"/>
        </w:rPr>
        <w:t>2302-445122-20-01-828442</w:t>
      </w:r>
      <w:r>
        <w:rPr>
          <w:rFonts w:hint="eastAsia" w:cs="宋体"/>
          <w:color w:val="auto"/>
          <w:sz w:val="24"/>
          <w:szCs w:val="24"/>
          <w:highlight w:val="none"/>
        </w:rPr>
        <w:t>，建设资金来源于</w:t>
      </w:r>
      <w:r>
        <w:rPr>
          <w:rFonts w:hint="eastAsia" w:cs="宋体"/>
          <w:color w:val="auto"/>
          <w:spacing w:val="-3"/>
          <w:sz w:val="24"/>
          <w:szCs w:val="24"/>
          <w:highlight w:val="none"/>
          <w:u w:val="single" w:color="000000"/>
          <w:lang w:eastAsia="zh-CN"/>
        </w:rPr>
        <w:t>争取上级渔港补助资金外，不足部分由县财政统筹解决</w:t>
      </w:r>
      <w:r>
        <w:rPr>
          <w:rFonts w:hint="eastAsia" w:cs="宋体"/>
          <w:color w:val="auto"/>
          <w:sz w:val="24"/>
          <w:szCs w:val="24"/>
          <w:highlight w:val="none"/>
        </w:rPr>
        <w:t>，招标人为</w:t>
      </w:r>
      <w:r>
        <w:rPr>
          <w:rFonts w:hint="eastAsia" w:cs="宋体"/>
          <w:color w:val="auto"/>
          <w:sz w:val="24"/>
          <w:szCs w:val="24"/>
          <w:highlight w:val="none"/>
          <w:u w:val="single"/>
          <w:lang w:eastAsia="zh-CN"/>
        </w:rPr>
        <w:t>饶平县汫洲镇农业农村服务中心</w:t>
      </w:r>
      <w:r>
        <w:rPr>
          <w:rFonts w:hint="eastAsia" w:cs="宋体"/>
          <w:color w:val="auto"/>
          <w:sz w:val="24"/>
          <w:szCs w:val="24"/>
          <w:highlight w:val="none"/>
        </w:rPr>
        <w:t>，招标代理机构为</w:t>
      </w:r>
      <w:r>
        <w:rPr>
          <w:rFonts w:hint="eastAsia" w:cs="宋体"/>
          <w:color w:val="auto"/>
          <w:sz w:val="24"/>
          <w:szCs w:val="24"/>
          <w:highlight w:val="none"/>
          <w:u w:val="single"/>
          <w:lang w:eastAsia="zh-CN"/>
        </w:rPr>
        <w:t>广东公信招标有限公司</w:t>
      </w:r>
      <w:r>
        <w:rPr>
          <w:rFonts w:hint="eastAsia" w:cs="宋体"/>
          <w:color w:val="auto"/>
          <w:sz w:val="24"/>
          <w:szCs w:val="24"/>
          <w:highlight w:val="none"/>
        </w:rPr>
        <w:t>。项目已具备招标条件，现对该项目</w:t>
      </w:r>
      <w:r>
        <w:rPr>
          <w:rFonts w:hint="eastAsia" w:cs="宋体"/>
          <w:color w:val="auto"/>
          <w:sz w:val="24"/>
          <w:szCs w:val="24"/>
          <w:highlight w:val="none"/>
          <w:u w:val="single"/>
          <w:lang w:eastAsia="zh-CN"/>
        </w:rPr>
        <w:t>设计</w:t>
      </w:r>
      <w:r>
        <w:rPr>
          <w:rFonts w:hint="eastAsia" w:cs="宋体"/>
          <w:color w:val="auto"/>
          <w:sz w:val="24"/>
          <w:szCs w:val="24"/>
          <w:highlight w:val="none"/>
        </w:rPr>
        <w:t>进行公开招标。</w:t>
      </w:r>
    </w:p>
    <w:p>
      <w:pPr>
        <w:pStyle w:val="5"/>
        <w:spacing w:before="30" w:line="500" w:lineRule="exact"/>
        <w:ind w:right="89"/>
        <w:jc w:val="left"/>
        <w:outlineLvl w:val="1"/>
        <w:rPr>
          <w:rFonts w:hint="eastAsia" w:cs="宋体"/>
          <w:b w:val="0"/>
          <w:bCs w:val="0"/>
          <w:color w:val="auto"/>
          <w:sz w:val="24"/>
          <w:szCs w:val="24"/>
          <w:highlight w:val="none"/>
        </w:rPr>
      </w:pPr>
      <w:bookmarkStart w:id="6" w:name="2. 项目概况与招标范围"/>
      <w:bookmarkEnd w:id="6"/>
      <w:bookmarkStart w:id="7" w:name="_Toc12749"/>
      <w:r>
        <w:rPr>
          <w:rFonts w:hint="eastAsia" w:cs="宋体"/>
          <w:color w:val="auto"/>
          <w:sz w:val="24"/>
          <w:szCs w:val="24"/>
          <w:highlight w:val="none"/>
        </w:rPr>
        <w:t>2.项目概况与招标范围</w:t>
      </w:r>
      <w:bookmarkEnd w:id="7"/>
    </w:p>
    <w:p>
      <w:pPr>
        <w:pStyle w:val="11"/>
        <w:spacing w:line="500" w:lineRule="exact"/>
        <w:ind w:left="538" w:right="89"/>
        <w:jc w:val="left"/>
        <w:rPr>
          <w:rFonts w:hint="eastAsia" w:cs="宋体"/>
          <w:color w:val="auto"/>
          <w:sz w:val="24"/>
          <w:szCs w:val="24"/>
          <w:highlight w:val="none"/>
          <w:u w:val="none"/>
        </w:rPr>
      </w:pPr>
      <w:r>
        <w:rPr>
          <w:rFonts w:hint="eastAsia" w:cs="宋体"/>
          <w:color w:val="auto"/>
          <w:sz w:val="24"/>
          <w:szCs w:val="24"/>
          <w:highlight w:val="none"/>
        </w:rPr>
        <w:t>2.1招标项目名称：</w:t>
      </w:r>
      <w:r>
        <w:rPr>
          <w:rFonts w:hint="eastAsia" w:cs="宋体"/>
          <w:color w:val="auto"/>
          <w:sz w:val="24"/>
          <w:szCs w:val="24"/>
          <w:highlight w:val="none"/>
          <w:u w:val="single"/>
          <w:lang w:val="en-US" w:eastAsia="zh-CN"/>
        </w:rPr>
        <w:t>饶平县汫洲镇</w:t>
      </w:r>
      <w:r>
        <w:rPr>
          <w:rFonts w:hint="eastAsia" w:cs="宋体"/>
          <w:color w:val="auto"/>
          <w:sz w:val="24"/>
          <w:szCs w:val="24"/>
          <w:highlight w:val="none"/>
          <w:u w:val="single"/>
          <w:lang w:eastAsia="zh-CN"/>
        </w:rPr>
        <w:t>三百门渔港升级改造工程设计</w:t>
      </w:r>
      <w:r>
        <w:rPr>
          <w:rFonts w:hint="eastAsia" w:cs="宋体"/>
          <w:color w:val="auto"/>
          <w:sz w:val="24"/>
          <w:szCs w:val="24"/>
          <w:highlight w:val="none"/>
          <w:u w:val="none"/>
        </w:rPr>
        <w:t>。</w:t>
      </w:r>
    </w:p>
    <w:p>
      <w:pPr>
        <w:pStyle w:val="11"/>
        <w:spacing w:line="500" w:lineRule="exact"/>
        <w:ind w:left="538" w:right="89"/>
        <w:jc w:val="left"/>
        <w:rPr>
          <w:rFonts w:hint="eastAsia" w:cs="宋体"/>
          <w:color w:val="auto"/>
          <w:sz w:val="24"/>
          <w:szCs w:val="24"/>
          <w:highlight w:val="none"/>
        </w:rPr>
      </w:pPr>
      <w:r>
        <w:rPr>
          <w:rFonts w:hint="eastAsia" w:cs="宋体"/>
          <w:color w:val="auto"/>
          <w:sz w:val="24"/>
          <w:szCs w:val="24"/>
          <w:highlight w:val="none"/>
        </w:rPr>
        <w:t>2.2建设地点：</w:t>
      </w:r>
      <w:r>
        <w:rPr>
          <w:rFonts w:hint="eastAsia" w:cs="宋体"/>
          <w:color w:val="auto"/>
          <w:sz w:val="24"/>
          <w:szCs w:val="24"/>
          <w:highlight w:val="none"/>
          <w:u w:val="single"/>
          <w:lang w:eastAsia="zh-CN"/>
        </w:rPr>
        <w:t>广东省潮州市饶平县汫洲镇三百门渔港</w:t>
      </w:r>
      <w:r>
        <w:rPr>
          <w:rFonts w:hint="eastAsia" w:cs="宋体"/>
          <w:color w:val="auto"/>
          <w:sz w:val="24"/>
          <w:szCs w:val="24"/>
          <w:highlight w:val="none"/>
          <w:lang w:eastAsia="zh-CN"/>
        </w:rPr>
        <w:t>。</w:t>
      </w:r>
    </w:p>
    <w:p>
      <w:pPr>
        <w:pStyle w:val="11"/>
        <w:spacing w:before="135" w:line="500" w:lineRule="exact"/>
        <w:ind w:right="216" w:firstLine="420"/>
        <w:jc w:val="both"/>
        <w:rPr>
          <w:rFonts w:hint="default" w:eastAsia="宋体" w:cs="宋体"/>
          <w:color w:val="auto"/>
          <w:sz w:val="24"/>
          <w:szCs w:val="24"/>
          <w:highlight w:val="none"/>
          <w:u w:val="single"/>
          <w:lang w:val="en-US" w:eastAsia="zh-CN"/>
        </w:rPr>
      </w:pPr>
      <w:r>
        <w:rPr>
          <w:rFonts w:hint="eastAsia" w:cs="宋体"/>
          <w:color w:val="auto"/>
          <w:sz w:val="24"/>
          <w:szCs w:val="24"/>
          <w:highlight w:val="none"/>
        </w:rPr>
        <w:t>2.3</w:t>
      </w:r>
      <w:r>
        <w:rPr>
          <w:rFonts w:hint="eastAsia" w:cs="宋体"/>
          <w:color w:val="auto"/>
          <w:spacing w:val="2"/>
          <w:sz w:val="24"/>
          <w:szCs w:val="24"/>
          <w:highlight w:val="none"/>
        </w:rPr>
        <w:t>工程规模及内容：</w:t>
      </w:r>
      <w:r>
        <w:rPr>
          <w:rFonts w:hint="eastAsia" w:cs="宋体"/>
          <w:color w:val="auto"/>
          <w:spacing w:val="2"/>
          <w:sz w:val="24"/>
          <w:szCs w:val="24"/>
          <w:highlight w:val="none"/>
          <w:u w:val="single"/>
        </w:rPr>
        <w:t>本项目</w:t>
      </w:r>
      <w:r>
        <w:rPr>
          <w:rFonts w:hint="eastAsia" w:cs="宋体"/>
          <w:color w:val="auto"/>
          <w:spacing w:val="2"/>
          <w:sz w:val="24"/>
          <w:szCs w:val="24"/>
          <w:highlight w:val="none"/>
          <w:u w:val="single"/>
          <w:lang w:val="en-US" w:eastAsia="zh-CN"/>
        </w:rPr>
        <w:t>包括</w:t>
      </w:r>
      <w:r>
        <w:rPr>
          <w:rFonts w:hint="eastAsia" w:cs="宋体"/>
          <w:color w:val="auto"/>
          <w:spacing w:val="2"/>
          <w:sz w:val="24"/>
          <w:szCs w:val="24"/>
          <w:highlight w:val="none"/>
          <w:u w:val="single"/>
        </w:rPr>
        <w:t>疏浚</w:t>
      </w:r>
      <w:r>
        <w:rPr>
          <w:rFonts w:hint="eastAsia" w:cs="宋体"/>
          <w:color w:val="auto"/>
          <w:spacing w:val="2"/>
          <w:sz w:val="24"/>
          <w:szCs w:val="24"/>
          <w:highlight w:val="none"/>
          <w:u w:val="single"/>
          <w:lang w:val="en-US" w:eastAsia="zh-CN"/>
        </w:rPr>
        <w:t>工程及</w:t>
      </w:r>
      <w:r>
        <w:rPr>
          <w:rFonts w:hint="eastAsia" w:cs="宋体"/>
          <w:color w:val="auto"/>
          <w:spacing w:val="2"/>
          <w:sz w:val="24"/>
          <w:szCs w:val="24"/>
          <w:highlight w:val="none"/>
          <w:u w:val="single"/>
        </w:rPr>
        <w:t>新建7个渔船码头泊位（200HP渔船泊位1个，400HP渔船泊位2个，600HP渔船泊位4个）、1个休闲渔船泊位和1个300吨渔政船泊位，新建码头</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渔港管理处</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渔港小桥梁</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渔港大门</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rPr>
        <w:t>渔港</w:t>
      </w:r>
      <w:r>
        <w:rPr>
          <w:rFonts w:hint="eastAsia" w:cs="宋体"/>
          <w:color w:val="auto"/>
          <w:spacing w:val="2"/>
          <w:sz w:val="24"/>
          <w:szCs w:val="24"/>
          <w:highlight w:val="none"/>
          <w:u w:val="single"/>
          <w:lang w:val="en-US" w:eastAsia="zh-CN"/>
        </w:rPr>
        <w:t>生产道路</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lang w:val="en-US" w:eastAsia="zh-CN"/>
        </w:rPr>
        <w:t>并进行</w:t>
      </w:r>
      <w:r>
        <w:rPr>
          <w:rFonts w:hint="eastAsia" w:cs="宋体"/>
          <w:color w:val="auto"/>
          <w:spacing w:val="2"/>
          <w:sz w:val="24"/>
          <w:szCs w:val="24"/>
          <w:highlight w:val="none"/>
          <w:u w:val="single"/>
        </w:rPr>
        <w:t>原有渔港</w:t>
      </w:r>
      <w:r>
        <w:rPr>
          <w:rFonts w:hint="eastAsia" w:cs="宋体"/>
          <w:color w:val="auto"/>
          <w:spacing w:val="2"/>
          <w:sz w:val="24"/>
          <w:szCs w:val="24"/>
          <w:highlight w:val="none"/>
          <w:u w:val="single"/>
          <w:lang w:val="en-US" w:eastAsia="zh-CN"/>
        </w:rPr>
        <w:t>交易区、道路、灯塔、</w:t>
      </w:r>
      <w:r>
        <w:rPr>
          <w:rFonts w:hint="eastAsia" w:cs="宋体"/>
          <w:color w:val="auto"/>
          <w:spacing w:val="2"/>
          <w:sz w:val="24"/>
          <w:szCs w:val="24"/>
          <w:highlight w:val="none"/>
          <w:u w:val="single"/>
        </w:rPr>
        <w:t>给排水设施改造</w:t>
      </w:r>
      <w:r>
        <w:rPr>
          <w:rFonts w:hint="eastAsia" w:cs="宋体"/>
          <w:color w:val="auto"/>
          <w:spacing w:val="2"/>
          <w:sz w:val="24"/>
          <w:szCs w:val="24"/>
          <w:highlight w:val="none"/>
          <w:u w:val="single"/>
          <w:lang w:eastAsia="zh-CN"/>
        </w:rPr>
        <w:t>，</w:t>
      </w:r>
      <w:r>
        <w:rPr>
          <w:rFonts w:hint="eastAsia" w:cs="宋体"/>
          <w:color w:val="auto"/>
          <w:spacing w:val="2"/>
          <w:sz w:val="24"/>
          <w:szCs w:val="24"/>
          <w:highlight w:val="none"/>
          <w:u w:val="single"/>
          <w:lang w:val="en-US" w:eastAsia="zh-CN"/>
        </w:rPr>
        <w:t>形成</w:t>
      </w:r>
      <w:r>
        <w:rPr>
          <w:rFonts w:hint="eastAsia" w:cs="宋体"/>
          <w:color w:val="auto"/>
          <w:spacing w:val="2"/>
          <w:sz w:val="24"/>
          <w:szCs w:val="24"/>
          <w:highlight w:val="none"/>
          <w:u w:val="single"/>
        </w:rPr>
        <w:t>港</w:t>
      </w:r>
      <w:r>
        <w:rPr>
          <w:rFonts w:hint="eastAsia" w:cs="宋体"/>
          <w:color w:val="auto"/>
          <w:spacing w:val="2"/>
          <w:sz w:val="24"/>
          <w:szCs w:val="24"/>
          <w:highlight w:val="none"/>
          <w:u w:val="single"/>
          <w:lang w:val="en-US" w:eastAsia="zh-CN"/>
        </w:rPr>
        <w:t>内锚地及相应的配套设施等</w:t>
      </w:r>
      <w:r>
        <w:rPr>
          <w:rFonts w:hint="eastAsia" w:cs="宋体"/>
          <w:color w:val="auto"/>
          <w:spacing w:val="2"/>
          <w:sz w:val="24"/>
          <w:szCs w:val="24"/>
          <w:highlight w:val="none"/>
          <w:u w:val="single"/>
        </w:rPr>
        <w:t>。</w:t>
      </w:r>
      <w:r>
        <w:rPr>
          <w:rFonts w:hint="eastAsia" w:cs="宋体"/>
          <w:color w:val="auto"/>
          <w:spacing w:val="2"/>
          <w:sz w:val="24"/>
          <w:szCs w:val="24"/>
          <w:highlight w:val="none"/>
          <w:u w:val="single"/>
          <w:lang w:val="en-US" w:eastAsia="zh-CN"/>
        </w:rPr>
        <w:t>项目估算总投资约10081.19万元。</w:t>
      </w:r>
    </w:p>
    <w:p>
      <w:pPr>
        <w:pStyle w:val="11"/>
        <w:spacing w:before="32" w:line="500" w:lineRule="exact"/>
        <w:ind w:left="538" w:right="89"/>
        <w:jc w:val="left"/>
        <w:outlineLvl w:val="2"/>
        <w:rPr>
          <w:rFonts w:hint="eastAsia" w:cs="宋体"/>
          <w:color w:val="auto"/>
          <w:sz w:val="24"/>
          <w:szCs w:val="24"/>
          <w:highlight w:val="none"/>
        </w:rPr>
      </w:pPr>
      <w:bookmarkStart w:id="8" w:name="_Toc25659"/>
      <w:r>
        <w:rPr>
          <w:rFonts w:hint="eastAsia" w:cs="宋体"/>
          <w:color w:val="auto"/>
          <w:sz w:val="24"/>
          <w:szCs w:val="24"/>
          <w:highlight w:val="none"/>
        </w:rPr>
        <w:t>2.4本项目招标最高限价为</w:t>
      </w:r>
      <w:r>
        <w:rPr>
          <w:rFonts w:hint="eastAsia" w:cs="宋体"/>
          <w:color w:val="auto"/>
          <w:spacing w:val="0"/>
          <w:sz w:val="24"/>
          <w:szCs w:val="24"/>
          <w:highlight w:val="none"/>
          <w:u w:val="single"/>
          <w:lang w:eastAsia="zh-CN"/>
        </w:rPr>
        <w:t>2192596.00</w:t>
      </w:r>
      <w:r>
        <w:rPr>
          <w:rFonts w:hint="eastAsia" w:cs="宋体"/>
          <w:color w:val="auto"/>
          <w:spacing w:val="2"/>
          <w:sz w:val="24"/>
          <w:szCs w:val="24"/>
          <w:highlight w:val="none"/>
        </w:rPr>
        <w:t>元。</w:t>
      </w:r>
      <w:bookmarkEnd w:id="8"/>
    </w:p>
    <w:p>
      <w:pPr>
        <w:pStyle w:val="11"/>
        <w:spacing w:before="135" w:line="500" w:lineRule="exact"/>
        <w:ind w:right="216" w:firstLine="420"/>
        <w:jc w:val="both"/>
        <w:rPr>
          <w:rFonts w:hint="eastAsia" w:cs="宋体"/>
          <w:color w:val="auto"/>
          <w:spacing w:val="0"/>
          <w:sz w:val="24"/>
          <w:szCs w:val="24"/>
          <w:highlight w:val="none"/>
          <w:u w:val="single"/>
          <w:lang w:eastAsia="zh-CN"/>
        </w:rPr>
      </w:pPr>
      <w:r>
        <w:rPr>
          <w:rFonts w:hint="eastAsia" w:cs="宋体"/>
          <w:color w:val="auto"/>
          <w:sz w:val="24"/>
          <w:szCs w:val="24"/>
          <w:highlight w:val="none"/>
        </w:rPr>
        <w:t>2.5</w:t>
      </w:r>
      <w:r>
        <w:rPr>
          <w:rFonts w:hint="eastAsia" w:cs="宋体"/>
          <w:color w:val="auto"/>
          <w:spacing w:val="2"/>
          <w:sz w:val="24"/>
          <w:szCs w:val="24"/>
          <w:highlight w:val="none"/>
        </w:rPr>
        <w:t>设计服务内容：</w:t>
      </w:r>
      <w:r>
        <w:rPr>
          <w:rFonts w:hint="eastAsia" w:cs="宋体"/>
          <w:color w:val="auto"/>
          <w:spacing w:val="0"/>
          <w:sz w:val="24"/>
          <w:szCs w:val="24"/>
          <w:highlight w:val="none"/>
          <w:u w:val="single"/>
          <w:lang w:eastAsia="zh-CN"/>
        </w:rPr>
        <w:t>包括初步设计（</w:t>
      </w:r>
      <w:r>
        <w:rPr>
          <w:rFonts w:hint="eastAsia" w:cs="宋体"/>
          <w:color w:val="auto"/>
          <w:spacing w:val="0"/>
          <w:sz w:val="24"/>
          <w:szCs w:val="24"/>
          <w:highlight w:val="none"/>
          <w:u w:val="single"/>
          <w:lang w:val="en-US" w:eastAsia="zh-CN"/>
        </w:rPr>
        <w:t>含概算）</w:t>
      </w:r>
      <w:r>
        <w:rPr>
          <w:rFonts w:hint="eastAsia" w:cs="宋体"/>
          <w:color w:val="auto"/>
          <w:spacing w:val="0"/>
          <w:sz w:val="24"/>
          <w:szCs w:val="24"/>
          <w:highlight w:val="none"/>
          <w:u w:val="single"/>
          <w:lang w:eastAsia="zh-CN"/>
        </w:rPr>
        <w:t>、施工图设计、施工图预算编制并配合完成财审、</w:t>
      </w:r>
      <w:r>
        <w:rPr>
          <w:rFonts w:hint="eastAsia" w:cs="宋体"/>
          <w:color w:val="auto"/>
          <w:spacing w:val="0"/>
          <w:sz w:val="24"/>
          <w:szCs w:val="24"/>
          <w:highlight w:val="none"/>
          <w:u w:val="single"/>
          <w:lang w:val="en-US" w:eastAsia="zh-CN"/>
        </w:rPr>
        <w:t>施工期服务</w:t>
      </w:r>
      <w:r>
        <w:rPr>
          <w:rFonts w:hint="eastAsia" w:cs="宋体"/>
          <w:color w:val="auto"/>
          <w:spacing w:val="0"/>
          <w:sz w:val="24"/>
          <w:szCs w:val="24"/>
          <w:highlight w:val="none"/>
          <w:u w:val="single"/>
          <w:lang w:eastAsia="zh-CN"/>
        </w:rPr>
        <w:t>等工作。</w:t>
      </w:r>
    </w:p>
    <w:p>
      <w:pPr>
        <w:pStyle w:val="11"/>
        <w:spacing w:before="135" w:line="500" w:lineRule="exact"/>
        <w:ind w:right="216" w:firstLine="420"/>
        <w:jc w:val="both"/>
        <w:rPr>
          <w:rFonts w:hint="eastAsia" w:cs="宋体"/>
          <w:color w:val="auto"/>
          <w:spacing w:val="2"/>
          <w:sz w:val="24"/>
          <w:szCs w:val="24"/>
          <w:highlight w:val="none"/>
          <w:lang w:eastAsia="zh-CN"/>
        </w:rPr>
      </w:pPr>
      <w:r>
        <w:rPr>
          <w:rFonts w:hint="eastAsia" w:cs="宋体"/>
          <w:color w:val="auto"/>
          <w:spacing w:val="2"/>
          <w:sz w:val="24"/>
          <w:szCs w:val="24"/>
          <w:highlight w:val="none"/>
        </w:rPr>
        <w:t>2.6设计工期：</w:t>
      </w:r>
      <w:r>
        <w:rPr>
          <w:rFonts w:hint="eastAsia" w:cs="宋体"/>
          <w:color w:val="auto"/>
          <w:spacing w:val="2"/>
          <w:sz w:val="24"/>
          <w:szCs w:val="24"/>
          <w:highlight w:val="none"/>
          <w:u w:val="single"/>
          <w:lang w:val="en-US" w:eastAsia="zh-CN"/>
        </w:rPr>
        <w:t>总</w:t>
      </w:r>
      <w:r>
        <w:rPr>
          <w:rFonts w:hint="eastAsia" w:cs="宋体"/>
          <w:color w:val="auto"/>
          <w:spacing w:val="2"/>
          <w:sz w:val="24"/>
          <w:szCs w:val="24"/>
          <w:highlight w:val="none"/>
          <w:u w:val="single"/>
        </w:rPr>
        <w:t>工期为60个日历天，</w:t>
      </w:r>
      <w:bookmarkStart w:id="9" w:name="3. 投标人资格要求"/>
      <w:bookmarkEnd w:id="9"/>
      <w:r>
        <w:rPr>
          <w:rFonts w:hint="eastAsia" w:cs="宋体"/>
          <w:color w:val="auto"/>
          <w:spacing w:val="2"/>
          <w:sz w:val="24"/>
          <w:szCs w:val="24"/>
          <w:highlight w:val="none"/>
          <w:u w:val="single"/>
          <w:lang w:eastAsia="zh-CN"/>
        </w:rPr>
        <w:t>①合同签订后3</w:t>
      </w:r>
      <w:r>
        <w:rPr>
          <w:rFonts w:hint="eastAsia" w:cs="宋体"/>
          <w:color w:val="auto"/>
          <w:spacing w:val="2"/>
          <w:sz w:val="24"/>
          <w:szCs w:val="24"/>
          <w:highlight w:val="none"/>
          <w:u w:val="single"/>
          <w:lang w:val="en-US" w:eastAsia="zh-CN"/>
        </w:rPr>
        <w:t>0</w:t>
      </w:r>
      <w:r>
        <w:rPr>
          <w:rFonts w:hint="eastAsia" w:cs="宋体"/>
          <w:color w:val="auto"/>
          <w:spacing w:val="2"/>
          <w:sz w:val="24"/>
          <w:szCs w:val="24"/>
          <w:highlight w:val="none"/>
          <w:u w:val="single"/>
          <w:lang w:eastAsia="zh-CN"/>
        </w:rPr>
        <w:t>日历天内提交初步设计报告及图纸、工程概算书；②审批部门完成初步设计审批后3</w:t>
      </w:r>
      <w:r>
        <w:rPr>
          <w:rFonts w:hint="eastAsia" w:cs="宋体"/>
          <w:color w:val="auto"/>
          <w:spacing w:val="2"/>
          <w:sz w:val="24"/>
          <w:szCs w:val="24"/>
          <w:highlight w:val="none"/>
          <w:u w:val="single"/>
          <w:lang w:val="en-US" w:eastAsia="zh-CN"/>
        </w:rPr>
        <w:t>0</w:t>
      </w:r>
      <w:r>
        <w:rPr>
          <w:rFonts w:hint="eastAsia" w:cs="宋体"/>
          <w:color w:val="auto"/>
          <w:spacing w:val="2"/>
          <w:sz w:val="24"/>
          <w:szCs w:val="24"/>
          <w:highlight w:val="none"/>
          <w:u w:val="single"/>
          <w:lang w:eastAsia="zh-CN"/>
        </w:rPr>
        <w:t>日历天内提交施工图设计。</w:t>
      </w:r>
    </w:p>
    <w:p>
      <w:pPr>
        <w:pStyle w:val="5"/>
        <w:spacing w:line="500" w:lineRule="exact"/>
        <w:ind w:right="89"/>
        <w:jc w:val="left"/>
        <w:outlineLvl w:val="1"/>
        <w:rPr>
          <w:rFonts w:hint="eastAsia" w:cs="宋体"/>
          <w:b w:val="0"/>
          <w:bCs w:val="0"/>
          <w:color w:val="auto"/>
          <w:sz w:val="24"/>
          <w:szCs w:val="24"/>
          <w:highlight w:val="none"/>
        </w:rPr>
      </w:pPr>
      <w:bookmarkStart w:id="10" w:name="_Toc19392"/>
      <w:r>
        <w:rPr>
          <w:rFonts w:hint="eastAsia" w:cs="宋体"/>
          <w:color w:val="auto"/>
          <w:sz w:val="24"/>
          <w:szCs w:val="24"/>
          <w:highlight w:val="none"/>
        </w:rPr>
        <w:t>3.投标人资格要求</w:t>
      </w:r>
      <w:bookmarkEnd w:id="10"/>
    </w:p>
    <w:p>
      <w:pPr>
        <w:pStyle w:val="11"/>
        <w:wordWrap w:val="0"/>
        <w:spacing w:before="0" w:line="500" w:lineRule="exact"/>
        <w:ind w:left="0" w:right="0" w:firstLine="420" w:firstLineChars="200"/>
        <w:jc w:val="both"/>
        <w:outlineLvl w:val="2"/>
        <w:rPr>
          <w:rFonts w:hint="eastAsia" w:ascii="宋体" w:hAnsi="宋体" w:eastAsia="宋体" w:cs="宋体"/>
          <w:color w:val="auto"/>
          <w:spacing w:val="-15"/>
          <w:sz w:val="24"/>
          <w:szCs w:val="24"/>
          <w:highlight w:val="none"/>
          <w:lang w:eastAsia="zh-CN"/>
        </w:rPr>
      </w:pPr>
      <w:bookmarkStart w:id="11" w:name="_Toc10674"/>
      <w:r>
        <w:rPr>
          <w:rFonts w:hint="eastAsia" w:ascii="宋体" w:hAnsi="宋体" w:eastAsia="宋体" w:cs="宋体"/>
          <w:color w:val="auto"/>
          <w:spacing w:val="-15"/>
          <w:sz w:val="24"/>
          <w:szCs w:val="24"/>
          <w:highlight w:val="none"/>
        </w:rPr>
        <w:t>3.1具有有效工商营业执照(或事业单位法人证书)，资信良好</w:t>
      </w:r>
      <w:bookmarkEnd w:id="11"/>
      <w:r>
        <w:rPr>
          <w:rFonts w:hint="eastAsia" w:cs="宋体"/>
          <w:color w:val="auto"/>
          <w:spacing w:val="-15"/>
          <w:sz w:val="24"/>
          <w:szCs w:val="24"/>
          <w:highlight w:val="none"/>
          <w:lang w:eastAsia="zh-CN"/>
        </w:rPr>
        <w:t>。</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2</w:t>
      </w:r>
      <w:r>
        <w:rPr>
          <w:rFonts w:hint="eastAsia" w:ascii="宋体" w:hAnsi="宋体" w:eastAsia="宋体" w:cs="宋体"/>
          <w:color w:val="auto"/>
          <w:spacing w:val="-15"/>
          <w:sz w:val="24"/>
          <w:szCs w:val="24"/>
          <w:highlight w:val="none"/>
        </w:rPr>
        <w:t>投标人须具备行政主管部门颁发的工程设计综合资质甲级或工程设计水运行业</w:t>
      </w:r>
      <w:r>
        <w:rPr>
          <w:rFonts w:hint="eastAsia" w:cs="宋体"/>
          <w:color w:val="auto"/>
          <w:spacing w:val="-15"/>
          <w:sz w:val="24"/>
          <w:szCs w:val="24"/>
          <w:highlight w:val="none"/>
          <w:lang w:val="en-US" w:eastAsia="zh-CN"/>
        </w:rPr>
        <w:t>乙</w:t>
      </w:r>
      <w:r>
        <w:rPr>
          <w:rFonts w:hint="eastAsia" w:ascii="宋体" w:hAnsi="宋体" w:eastAsia="宋体" w:cs="宋体"/>
          <w:color w:val="auto"/>
          <w:spacing w:val="-15"/>
          <w:sz w:val="24"/>
          <w:szCs w:val="24"/>
          <w:highlight w:val="none"/>
        </w:rPr>
        <w:t>级（或以上）资质或工程设计水运行业（港口工程和航道工程）</w:t>
      </w:r>
      <w:r>
        <w:rPr>
          <w:rFonts w:hint="eastAsia" w:cs="宋体"/>
          <w:color w:val="auto"/>
          <w:spacing w:val="-15"/>
          <w:sz w:val="24"/>
          <w:szCs w:val="24"/>
          <w:highlight w:val="none"/>
          <w:lang w:val="en-US" w:eastAsia="zh-CN"/>
        </w:rPr>
        <w:t>乙</w:t>
      </w:r>
      <w:r>
        <w:rPr>
          <w:rFonts w:hint="eastAsia" w:ascii="宋体" w:hAnsi="宋体" w:eastAsia="宋体" w:cs="宋体"/>
          <w:color w:val="auto"/>
          <w:spacing w:val="-15"/>
          <w:sz w:val="24"/>
          <w:szCs w:val="24"/>
          <w:highlight w:val="none"/>
        </w:rPr>
        <w:t>级（或以上）资质</w:t>
      </w:r>
      <w:r>
        <w:rPr>
          <w:rFonts w:hint="eastAsia" w:cs="宋体"/>
          <w:color w:val="auto"/>
          <w:spacing w:val="-15"/>
          <w:sz w:val="24"/>
          <w:szCs w:val="24"/>
          <w:highlight w:val="none"/>
          <w:lang w:val="en-US" w:eastAsia="zh-CN"/>
        </w:rPr>
        <w:t>或工</w:t>
      </w:r>
      <w:r>
        <w:rPr>
          <w:rFonts w:hint="eastAsia" w:ascii="宋体" w:hAnsi="宋体" w:eastAsia="宋体" w:cs="宋体"/>
          <w:color w:val="auto"/>
          <w:spacing w:val="-15"/>
          <w:sz w:val="24"/>
          <w:szCs w:val="24"/>
          <w:highlight w:val="none"/>
        </w:rPr>
        <w:t>程设计</w:t>
      </w:r>
      <w:r>
        <w:rPr>
          <w:rFonts w:hint="eastAsia" w:cs="宋体"/>
          <w:color w:val="auto"/>
          <w:spacing w:val="-15"/>
          <w:sz w:val="24"/>
          <w:szCs w:val="24"/>
          <w:highlight w:val="none"/>
          <w:lang w:val="en-US" w:eastAsia="zh-CN"/>
        </w:rPr>
        <w:t>农林行业</w:t>
      </w:r>
      <w:r>
        <w:rPr>
          <w:rFonts w:hint="eastAsia" w:ascii="宋体" w:hAnsi="宋体" w:eastAsia="宋体" w:cs="宋体"/>
          <w:color w:val="auto"/>
          <w:spacing w:val="-15"/>
          <w:sz w:val="24"/>
          <w:szCs w:val="24"/>
          <w:highlight w:val="none"/>
        </w:rPr>
        <w:t>甲级资质或工程设计</w:t>
      </w:r>
      <w:r>
        <w:rPr>
          <w:rFonts w:hint="eastAsia" w:cs="宋体"/>
          <w:color w:val="auto"/>
          <w:spacing w:val="-15"/>
          <w:sz w:val="24"/>
          <w:szCs w:val="24"/>
          <w:highlight w:val="none"/>
          <w:lang w:val="en-US" w:eastAsia="zh-CN"/>
        </w:rPr>
        <w:t>农林行业</w:t>
      </w:r>
      <w:r>
        <w:rPr>
          <w:rFonts w:hint="eastAsia" w:ascii="宋体" w:hAnsi="宋体" w:eastAsia="宋体" w:cs="宋体"/>
          <w:color w:val="auto"/>
          <w:spacing w:val="-15"/>
          <w:sz w:val="24"/>
          <w:szCs w:val="24"/>
          <w:highlight w:val="none"/>
        </w:rPr>
        <w:t>（</w:t>
      </w:r>
      <w:r>
        <w:rPr>
          <w:rFonts w:hint="eastAsia" w:cs="宋体"/>
          <w:color w:val="auto"/>
          <w:spacing w:val="-15"/>
          <w:sz w:val="24"/>
          <w:szCs w:val="24"/>
          <w:highlight w:val="none"/>
          <w:lang w:val="en-US" w:eastAsia="zh-CN"/>
        </w:rPr>
        <w:t>渔港/渔业工程</w:t>
      </w:r>
      <w:r>
        <w:rPr>
          <w:rFonts w:hint="eastAsia" w:ascii="宋体" w:hAnsi="宋体" w:eastAsia="宋体" w:cs="宋体"/>
          <w:color w:val="auto"/>
          <w:spacing w:val="-15"/>
          <w:sz w:val="24"/>
          <w:szCs w:val="24"/>
          <w:highlight w:val="none"/>
        </w:rPr>
        <w:t>）甲级资质。香港企业参加投标的，须在广东省住房和城乡建设主管部门备案且备案的业务范围为符合本招标项目对工程设计资质的要求。</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注释]（1）具体资质要求按照《建设工程勘察设计资质管理规定》（建设部令第160号）、《建设工程勘察设计资质管理规定实施意见》（建市〔2007〕202号）、《工程勘察资质标准》（建市〔2013〕9号）、《工程勘察、工程设计资质分级标准补充规定》（建设〔2001〕178号）和《工程设计资质标准》（建市〔2007〕86号）填写。</w:t>
      </w:r>
    </w:p>
    <w:p>
      <w:pPr>
        <w:pStyle w:val="11"/>
        <w:numPr>
          <w:ilvl w:val="0"/>
          <w:numId w:val="1"/>
        </w:numPr>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工程勘察、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3</w:t>
      </w:r>
      <w:r>
        <w:rPr>
          <w:rFonts w:hint="eastAsia" w:ascii="宋体" w:hAnsi="宋体" w:eastAsia="宋体" w:cs="宋体"/>
          <w:color w:val="auto"/>
          <w:spacing w:val="-15"/>
          <w:sz w:val="24"/>
          <w:szCs w:val="24"/>
          <w:highlight w:val="none"/>
        </w:rPr>
        <w:t>拟派项目负责人须具备港航或水工专业高级工程师职称资格或以上。或在广东省住房和城乡建设主管部门备案且备案的业务范围符合本招标项目对项目负责人要求的香港专业人士。项目负责人应附身份证、职称证和提供社保部门出具的投标截止时间前近3个月或以上(扣除发布招标公告当月)社保证明材料（须在投标人本单位(含非独立法人分支机构)缴纳社会保险）</w:t>
      </w:r>
      <w:r>
        <w:rPr>
          <w:rFonts w:hint="eastAsia" w:ascii="宋体" w:hAnsi="宋体" w:eastAsia="宋体" w:cs="宋体"/>
          <w:color w:val="auto"/>
          <w:spacing w:val="-15"/>
          <w:sz w:val="24"/>
          <w:szCs w:val="24"/>
          <w:highlight w:val="none"/>
          <w:lang w:val="en-US" w:eastAsia="zh-CN"/>
        </w:rPr>
        <w:t>扫描件</w:t>
      </w:r>
      <w:r>
        <w:rPr>
          <w:rFonts w:hint="eastAsia" w:ascii="宋体" w:hAnsi="宋体" w:eastAsia="宋体" w:cs="宋体"/>
          <w:color w:val="auto"/>
          <w:spacing w:val="-15"/>
          <w:sz w:val="24"/>
          <w:szCs w:val="24"/>
          <w:highlight w:val="none"/>
        </w:rPr>
        <w:t>。</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4</w:t>
      </w:r>
      <w:r>
        <w:rPr>
          <w:rFonts w:hint="eastAsia" w:ascii="宋体" w:hAnsi="宋体" w:eastAsia="宋体" w:cs="宋体"/>
          <w:color w:val="auto"/>
          <w:spacing w:val="-15"/>
          <w:sz w:val="24"/>
          <w:szCs w:val="24"/>
          <w:highlight w:val="none"/>
        </w:rPr>
        <w:t>广东省外的投标人须已在“进粤企业和人员诚信信息登记平台”录入相关信息并通过数据规范检查。</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w:t>
      </w:r>
      <w:r>
        <w:rPr>
          <w:rFonts w:hint="eastAsia" w:ascii="宋体" w:hAnsi="宋体" w:eastAsia="宋体" w:cs="宋体"/>
          <w:color w:val="auto"/>
          <w:spacing w:val="-15"/>
          <w:sz w:val="24"/>
          <w:szCs w:val="24"/>
          <w:highlight w:val="none"/>
          <w:lang w:eastAsia="zh-CN"/>
        </w:rPr>
        <w:t>5投标人须已在“国家企业信用信息公示系统”登记，2020年以来在该系统中和“信用中国”中没有出现被限制参与招投标资格的行 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lang w:eastAsia="zh-CN"/>
        </w:rPr>
      </w:pPr>
      <w:r>
        <w:rPr>
          <w:rFonts w:hint="eastAsia" w:ascii="宋体" w:hAnsi="宋体" w:eastAsia="宋体" w:cs="宋体"/>
          <w:color w:val="auto"/>
          <w:spacing w:val="-15"/>
          <w:sz w:val="24"/>
          <w:szCs w:val="24"/>
          <w:highlight w:val="none"/>
          <w:lang w:val="en-US" w:eastAsia="zh-CN"/>
        </w:rPr>
        <w:t>3.6</w:t>
      </w:r>
      <w:r>
        <w:rPr>
          <w:rFonts w:hint="eastAsia" w:ascii="宋体" w:hAnsi="宋体" w:eastAsia="宋体" w:cs="宋体"/>
          <w:color w:val="auto"/>
          <w:spacing w:val="-15"/>
          <w:sz w:val="24"/>
          <w:szCs w:val="24"/>
          <w:highlight w:val="none"/>
        </w:rPr>
        <w:t>本次招标不接受联合体投标</w:t>
      </w:r>
      <w:bookmarkStart w:id="12" w:name="4.公告发布、招标文件获取及投标登记时间"/>
      <w:bookmarkEnd w:id="12"/>
      <w:r>
        <w:rPr>
          <w:rFonts w:hint="eastAsia" w:ascii="宋体" w:hAnsi="宋体" w:eastAsia="宋体" w:cs="宋体"/>
          <w:color w:val="auto"/>
          <w:spacing w:val="-15"/>
          <w:sz w:val="24"/>
          <w:szCs w:val="24"/>
          <w:highlight w:val="none"/>
          <w:lang w:eastAsia="zh-CN"/>
        </w:rPr>
        <w:t>。</w:t>
      </w:r>
    </w:p>
    <w:p>
      <w:pPr>
        <w:pStyle w:val="11"/>
        <w:wordWrap w:val="0"/>
        <w:spacing w:before="0" w:line="500" w:lineRule="exact"/>
        <w:ind w:left="0" w:right="0" w:firstLine="420" w:firstLineChars="200"/>
        <w:jc w:val="both"/>
        <w:rPr>
          <w:rFonts w:hint="eastAsia" w:ascii="宋体" w:hAnsi="宋体" w:eastAsia="宋体" w:cs="宋体"/>
          <w:color w:val="auto"/>
          <w:spacing w:val="-15"/>
          <w:sz w:val="24"/>
          <w:szCs w:val="24"/>
          <w:highlight w:val="none"/>
        </w:rPr>
      </w:pPr>
      <w:r>
        <w:rPr>
          <w:rFonts w:hint="eastAsia" w:ascii="宋体" w:hAnsi="宋体" w:eastAsia="宋体" w:cs="宋体"/>
          <w:color w:val="auto"/>
          <w:spacing w:val="-15"/>
          <w:sz w:val="24"/>
          <w:szCs w:val="24"/>
          <w:highlight w:val="none"/>
        </w:rPr>
        <w:t>3.7本次招标实行资格后审，资格审查的具体要求见招标文件。</w:t>
      </w:r>
    </w:p>
    <w:p>
      <w:pPr>
        <w:pStyle w:val="11"/>
        <w:wordWrap w:val="0"/>
        <w:spacing w:before="0" w:line="500" w:lineRule="exact"/>
        <w:ind w:left="0" w:leftChars="0" w:right="0" w:firstLine="0" w:firstLineChars="0"/>
        <w:jc w:val="both"/>
        <w:outlineLvl w:val="1"/>
        <w:rPr>
          <w:rFonts w:hint="eastAsia" w:ascii="宋体" w:hAnsi="宋体" w:eastAsia="宋体" w:cs="宋体"/>
          <w:b/>
          <w:bCs/>
          <w:color w:val="auto"/>
          <w:spacing w:val="-15"/>
          <w:sz w:val="24"/>
          <w:szCs w:val="24"/>
          <w:highlight w:val="none"/>
        </w:rPr>
      </w:pPr>
      <w:bookmarkStart w:id="13" w:name="_Toc24456"/>
      <w:r>
        <w:rPr>
          <w:rFonts w:hint="eastAsia" w:ascii="宋体" w:hAnsi="宋体" w:eastAsia="宋体" w:cs="宋体"/>
          <w:b/>
          <w:bCs/>
          <w:color w:val="auto"/>
          <w:spacing w:val="-15"/>
          <w:sz w:val="24"/>
          <w:szCs w:val="24"/>
          <w:highlight w:val="none"/>
        </w:rPr>
        <w:t>4.公告发布、招标文件获取及投标登记时间</w:t>
      </w:r>
      <w:bookmarkEnd w:id="13"/>
    </w:p>
    <w:p>
      <w:pPr>
        <w:pStyle w:val="11"/>
        <w:tabs>
          <w:tab w:val="left" w:pos="6207"/>
          <w:tab w:val="left" w:pos="6732"/>
        </w:tabs>
        <w:spacing w:before="0" w:line="500" w:lineRule="exact"/>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4.1公告发布日期（含本日）：</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u w:val="none"/>
        </w:rPr>
        <w:t>至</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rPr>
        <w:t>。</w:t>
      </w:r>
    </w:p>
    <w:p>
      <w:pPr>
        <w:pStyle w:val="11"/>
        <w:wordWrap w:val="0"/>
        <w:spacing w:before="0" w:line="500" w:lineRule="exact"/>
        <w:ind w:left="0" w:right="0" w:firstLine="420" w:firstLineChars="200"/>
        <w:jc w:val="both"/>
        <w:rPr>
          <w:rFonts w:hint="eastAsia" w:cs="宋体"/>
          <w:color w:val="auto"/>
          <w:spacing w:val="-15"/>
          <w:sz w:val="24"/>
          <w:szCs w:val="24"/>
          <w:highlight w:val="none"/>
        </w:rPr>
      </w:pPr>
      <w:r>
        <w:rPr>
          <w:rFonts w:hint="eastAsia" w:cs="宋体"/>
          <w:color w:val="auto"/>
          <w:spacing w:val="-15"/>
          <w:sz w:val="24"/>
          <w:szCs w:val="24"/>
          <w:highlight w:val="none"/>
        </w:rPr>
        <w:t>4.2招标文件于招标公告发布时同时发出，投标人自行登录广州公共资源交易中心网站找到本</w:t>
      </w:r>
      <w:r>
        <w:rPr>
          <w:rFonts w:hint="eastAsia" w:cs="宋体"/>
          <w:color w:val="auto"/>
          <w:spacing w:val="-15"/>
          <w:w w:val="100"/>
          <w:sz w:val="24"/>
          <w:szCs w:val="24"/>
          <w:highlight w:val="none"/>
        </w:rPr>
        <w:t>项目的招标公告后，下载招标文件及相关资料。符合本项目资格要求的投标人根据招标文件要求编制投标文件及缴纳投标保证金或投标保证金银行保函或投标保证金保证保险保函的，均可直接参与</w:t>
      </w:r>
      <w:r>
        <w:rPr>
          <w:rFonts w:hint="eastAsia" w:cs="宋体"/>
          <w:color w:val="auto"/>
          <w:spacing w:val="-15"/>
          <w:sz w:val="24"/>
          <w:szCs w:val="24"/>
          <w:highlight w:val="none"/>
        </w:rPr>
        <w:t>本项目的投标。</w:t>
      </w:r>
    </w:p>
    <w:p>
      <w:pPr>
        <w:pStyle w:val="11"/>
        <w:wordWrap w:val="0"/>
        <w:spacing w:before="0" w:line="500" w:lineRule="exact"/>
        <w:ind w:left="0" w:right="0" w:firstLine="420" w:firstLineChars="200"/>
        <w:jc w:val="both"/>
        <w:rPr>
          <w:rFonts w:hint="eastAsia" w:cs="宋体"/>
          <w:color w:val="auto"/>
          <w:spacing w:val="-15"/>
          <w:sz w:val="24"/>
          <w:szCs w:val="24"/>
          <w:highlight w:val="none"/>
        </w:rPr>
      </w:pPr>
      <w:r>
        <w:rPr>
          <w:rFonts w:hint="eastAsia" w:cs="宋体"/>
          <w:color w:val="auto"/>
          <w:spacing w:val="-15"/>
          <w:sz w:val="24"/>
          <w:szCs w:val="24"/>
          <w:highlight w:val="none"/>
        </w:rPr>
        <w:t>4.3本项目采用网上投标登记方式；投标人应在招标公告发布后至递交投标文件截止时间前，</w:t>
      </w:r>
      <w:r>
        <w:rPr>
          <w:rFonts w:hint="eastAsia" w:cs="宋体"/>
          <w:color w:val="auto"/>
          <w:spacing w:val="-15"/>
          <w:w w:val="100"/>
          <w:sz w:val="24"/>
          <w:szCs w:val="24"/>
          <w:highlight w:val="none"/>
        </w:rPr>
        <w:t>登录广州公共资源交易中心交易平台网站办理网上投标登记手续；按照交易平台关于全流程电子化</w:t>
      </w:r>
      <w:r>
        <w:rPr>
          <w:rFonts w:hint="eastAsia" w:cs="宋体"/>
          <w:color w:val="auto"/>
          <w:spacing w:val="-15"/>
          <w:sz w:val="24"/>
          <w:szCs w:val="24"/>
          <w:highlight w:val="none"/>
        </w:rPr>
        <w:t>项目的相关指南进行操作。未办理投标登记手续的，提交的投标文件将被拒绝接受。</w:t>
      </w:r>
    </w:p>
    <w:p>
      <w:pPr>
        <w:pStyle w:val="11"/>
        <w:wordWrap w:val="0"/>
        <w:spacing w:before="0" w:line="500" w:lineRule="exact"/>
        <w:ind w:left="0" w:right="0" w:firstLine="420" w:firstLineChars="200"/>
        <w:jc w:val="both"/>
        <w:rPr>
          <w:rFonts w:hint="eastAsia" w:cs="宋体"/>
          <w:color w:val="auto"/>
          <w:spacing w:val="-15"/>
          <w:sz w:val="24"/>
          <w:szCs w:val="24"/>
          <w:highlight w:val="none"/>
        </w:rPr>
      </w:pPr>
      <w:bookmarkStart w:id="14" w:name="4.4根据广州公共资源交易中心要求，投标人及项目负责人在投标登记前应已在广州公共"/>
      <w:bookmarkEnd w:id="14"/>
      <w:r>
        <w:rPr>
          <w:rFonts w:hint="eastAsia" w:cs="宋体"/>
          <w:color w:val="auto"/>
          <w:spacing w:val="-15"/>
          <w:sz w:val="24"/>
          <w:szCs w:val="24"/>
          <w:highlight w:val="none"/>
        </w:rPr>
        <w:t>4.4根据广州公共资源交易中心要求，投标人及项目负责人在投标登记前应已在广州公共资源交易中心办理企业信息登记，企业信息登记的办理详见广州公共资源交易中心网站服务指南栏目。</w:t>
      </w:r>
    </w:p>
    <w:p>
      <w:pPr>
        <w:pStyle w:val="5"/>
        <w:spacing w:before="0" w:line="500" w:lineRule="exact"/>
        <w:ind w:right="0"/>
        <w:jc w:val="both"/>
        <w:outlineLvl w:val="1"/>
        <w:rPr>
          <w:rFonts w:hint="eastAsia" w:cs="宋体"/>
          <w:b w:val="0"/>
          <w:bCs w:val="0"/>
          <w:color w:val="auto"/>
          <w:sz w:val="24"/>
          <w:szCs w:val="24"/>
          <w:highlight w:val="none"/>
        </w:rPr>
      </w:pPr>
      <w:bookmarkStart w:id="15" w:name="5.递交投标文件时间与开标时间"/>
      <w:bookmarkEnd w:id="15"/>
      <w:bookmarkStart w:id="16" w:name="_Toc26484"/>
      <w:r>
        <w:rPr>
          <w:rFonts w:hint="eastAsia" w:cs="宋体"/>
          <w:color w:val="auto"/>
          <w:sz w:val="24"/>
          <w:szCs w:val="24"/>
          <w:highlight w:val="none"/>
        </w:rPr>
        <w:t>5.递交投标文件时间与开标时间</w:t>
      </w:r>
      <w:bookmarkEnd w:id="16"/>
    </w:p>
    <w:p>
      <w:pPr>
        <w:pStyle w:val="11"/>
        <w:wordWrap w:val="0"/>
        <w:spacing w:before="0" w:line="500" w:lineRule="exact"/>
        <w:ind w:left="0" w:right="0" w:firstLine="420" w:firstLineChars="200"/>
        <w:jc w:val="both"/>
        <w:rPr>
          <w:rFonts w:hint="eastAsia" w:cs="宋体"/>
          <w:color w:val="auto"/>
          <w:spacing w:val="-15"/>
          <w:sz w:val="24"/>
          <w:szCs w:val="24"/>
          <w:highlight w:val="none"/>
        </w:rPr>
      </w:pPr>
      <w:r>
        <w:rPr>
          <w:rFonts w:hint="eastAsia" w:cs="宋体"/>
          <w:color w:val="auto"/>
          <w:spacing w:val="-15"/>
          <w:sz w:val="24"/>
          <w:szCs w:val="24"/>
          <w:highlight w:val="none"/>
        </w:rPr>
        <w:t>5.1递交投标文件起始时间：</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分至2023年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rPr>
        <w:t>。投标人应在截止时间前通过广州公共资源交易中心网站递交电子投标文件。投标人完成电子投标上传后，交易平台即时向投标人发出递交回执通知。递交时间以递交回执通知载明的传输时间为准。逾期送达的投标文件，交易平台将予以拒收。</w:t>
      </w:r>
    </w:p>
    <w:p>
      <w:pPr>
        <w:pStyle w:val="11"/>
        <w:wordWrap w:val="0"/>
        <w:spacing w:before="0" w:line="500" w:lineRule="exact"/>
        <w:ind w:left="0" w:right="0" w:firstLine="420" w:firstLineChars="200"/>
        <w:jc w:val="both"/>
        <w:rPr>
          <w:rFonts w:hint="eastAsia" w:eastAsia="宋体" w:cs="宋体"/>
          <w:color w:val="auto"/>
          <w:spacing w:val="70"/>
          <w:w w:val="95"/>
          <w:sz w:val="24"/>
          <w:szCs w:val="24"/>
          <w:highlight w:val="none"/>
          <w:lang w:eastAsia="zh-CN"/>
        </w:rPr>
      </w:pPr>
      <w:bookmarkStart w:id="17" w:name="5.2递交投标文件备用电子光盘时间、地点：2023年  月  日   时4  5"/>
      <w:bookmarkEnd w:id="17"/>
      <w:r>
        <w:rPr>
          <w:rFonts w:hint="eastAsia" w:cs="宋体"/>
          <w:color w:val="auto"/>
          <w:spacing w:val="-15"/>
          <w:sz w:val="24"/>
          <w:szCs w:val="24"/>
          <w:highlight w:val="none"/>
        </w:rPr>
        <w:t>5.2递交投标文件备用电子光盘时间、地点：</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分至2023年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pacing w:val="-15"/>
          <w:sz w:val="24"/>
          <w:szCs w:val="24"/>
          <w:highlight w:val="none"/>
          <w:u w:val="none"/>
        </w:rPr>
        <w:t>；</w:t>
      </w:r>
      <w:r>
        <w:rPr>
          <w:rFonts w:hint="eastAsia" w:cs="宋体"/>
          <w:color w:val="auto"/>
          <w:spacing w:val="-15"/>
          <w:sz w:val="24"/>
          <w:szCs w:val="24"/>
          <w:highlight w:val="none"/>
        </w:rPr>
        <w:t>地点：广州公共资源交易中心（广州市天河区天润路333号）第</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rPr>
        <w:t>开标室</w:t>
      </w:r>
      <w:r>
        <w:rPr>
          <w:rFonts w:hint="eastAsia" w:cs="宋体"/>
          <w:color w:val="auto"/>
          <w:spacing w:val="-15"/>
          <w:sz w:val="24"/>
          <w:szCs w:val="24"/>
          <w:highlight w:val="none"/>
          <w:lang w:eastAsia="zh-CN"/>
        </w:rPr>
        <w:t>。</w:t>
      </w:r>
      <w:r>
        <w:rPr>
          <w:rFonts w:hint="eastAsia" w:cs="宋体"/>
          <w:color w:val="auto"/>
          <w:spacing w:val="-15"/>
          <w:sz w:val="24"/>
          <w:szCs w:val="24"/>
          <w:highlight w:val="none"/>
        </w:rPr>
        <w:t>（电子光盘需</w:t>
      </w:r>
      <w:r>
        <w:rPr>
          <w:rFonts w:hint="eastAsia" w:cs="宋体"/>
          <w:color w:val="auto"/>
          <w:spacing w:val="-15"/>
          <w:w w:val="100"/>
          <w:sz w:val="24"/>
          <w:szCs w:val="24"/>
          <w:highlight w:val="none"/>
        </w:rPr>
        <w:t>按规定封装。投标人将数据刻录到光盘之后，投标前自行检查文件是否可以读取。）</w:t>
      </w:r>
    </w:p>
    <w:p>
      <w:pPr>
        <w:pStyle w:val="11"/>
        <w:wordWrap w:val="0"/>
        <w:spacing w:before="0" w:line="500" w:lineRule="exact"/>
        <w:ind w:left="0" w:right="0" w:firstLine="480" w:firstLineChars="200"/>
        <w:jc w:val="both"/>
        <w:outlineLvl w:val="2"/>
        <w:rPr>
          <w:rFonts w:hint="eastAsia" w:cs="宋体"/>
          <w:color w:val="auto"/>
          <w:sz w:val="24"/>
          <w:szCs w:val="24"/>
          <w:highlight w:val="none"/>
        </w:rPr>
      </w:pPr>
      <w:bookmarkStart w:id="18" w:name="_Toc18965"/>
      <w:r>
        <w:rPr>
          <w:rFonts w:hint="eastAsia" w:cs="宋体"/>
          <w:color w:val="auto"/>
          <w:sz w:val="24"/>
          <w:szCs w:val="24"/>
          <w:highlight w:val="none"/>
        </w:rPr>
        <w:t>5.3开标时间：</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rPr>
        <w:t>。</w:t>
      </w:r>
      <w:bookmarkEnd w:id="18"/>
    </w:p>
    <w:p>
      <w:pPr>
        <w:pStyle w:val="11"/>
        <w:spacing w:before="35" w:line="500" w:lineRule="exact"/>
        <w:ind w:right="216" w:firstLine="420"/>
        <w:jc w:val="both"/>
        <w:rPr>
          <w:rFonts w:hint="eastAsia" w:cs="宋体"/>
          <w:color w:val="auto"/>
          <w:sz w:val="24"/>
          <w:szCs w:val="24"/>
          <w:highlight w:val="none"/>
        </w:rPr>
      </w:pPr>
      <w:r>
        <w:rPr>
          <w:rFonts w:hint="eastAsia" w:cs="宋体"/>
          <w:color w:val="auto"/>
          <w:sz w:val="24"/>
          <w:szCs w:val="24"/>
          <w:highlight w:val="none"/>
        </w:rPr>
        <w:t>5.4</w:t>
      </w:r>
      <w:r>
        <w:rPr>
          <w:rFonts w:hint="eastAsia" w:cs="宋体"/>
          <w:color w:val="auto"/>
          <w:spacing w:val="2"/>
          <w:sz w:val="24"/>
          <w:szCs w:val="24"/>
          <w:highlight w:val="none"/>
        </w:rPr>
        <w:t>递交投标文件截止时间与开标时间是否有变化，请密切留意招标答疑中的相关信息。递交</w:t>
      </w:r>
      <w:r>
        <w:rPr>
          <w:rFonts w:hint="eastAsia" w:cs="宋体"/>
          <w:color w:val="auto"/>
          <w:sz w:val="24"/>
          <w:szCs w:val="24"/>
          <w:highlight w:val="none"/>
        </w:rPr>
        <w:t>投标文件截止时间后，开标时间因故推迟的，相关评标信息仍以原递交投标文件截止时间的信息为准。</w:t>
      </w:r>
    </w:p>
    <w:p>
      <w:pPr>
        <w:pStyle w:val="11"/>
        <w:spacing w:before="0" w:line="500" w:lineRule="exact"/>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5.5</w:t>
      </w:r>
      <w:r>
        <w:rPr>
          <w:rFonts w:hint="eastAsia" w:cs="宋体"/>
          <w:color w:val="auto"/>
          <w:spacing w:val="2"/>
          <w:sz w:val="24"/>
          <w:szCs w:val="24"/>
          <w:highlight w:val="none"/>
        </w:rPr>
        <w:t>开标开始时间和地点：采用电子开标，在招标投标交易平台上公开进行。开标开始时间：</w:t>
      </w:r>
      <w:r>
        <w:rPr>
          <w:rFonts w:hint="eastAsia" w:cs="宋体"/>
          <w:color w:val="auto"/>
          <w:spacing w:val="-15"/>
          <w:sz w:val="24"/>
          <w:szCs w:val="24"/>
          <w:highlight w:val="none"/>
          <w:u w:val="single"/>
        </w:rPr>
        <w:t>2023年</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月</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日</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时</w:t>
      </w:r>
      <w:r>
        <w:rPr>
          <w:rFonts w:hint="eastAsia" w:cs="宋体"/>
          <w:color w:val="auto"/>
          <w:spacing w:val="-15"/>
          <w:sz w:val="24"/>
          <w:szCs w:val="24"/>
          <w:highlight w:val="none"/>
          <w:u w:val="single"/>
          <w:lang w:val="en-US" w:eastAsia="zh-CN"/>
        </w:rPr>
        <w:t xml:space="preserve">    </w:t>
      </w:r>
      <w:r>
        <w:rPr>
          <w:rFonts w:hint="eastAsia" w:cs="宋体"/>
          <w:color w:val="auto"/>
          <w:spacing w:val="-15"/>
          <w:sz w:val="24"/>
          <w:szCs w:val="24"/>
          <w:highlight w:val="none"/>
          <w:u w:val="single"/>
        </w:rPr>
        <w:t>分</w:t>
      </w:r>
      <w:r>
        <w:rPr>
          <w:rFonts w:hint="eastAsia" w:cs="宋体"/>
          <w:color w:val="auto"/>
          <w:sz w:val="24"/>
          <w:szCs w:val="24"/>
          <w:highlight w:val="none"/>
        </w:rPr>
        <w:t>（与投标截止时间为同一时间）。所有投标人均应当准时在线参加开标或到达开标现场参加开标（地点：广州公共资源交易中心（广州市天河区天润路333号）第</w:t>
      </w:r>
      <w:r>
        <w:rPr>
          <w:rFonts w:hint="eastAsia" w:cs="宋体"/>
          <w:color w:val="auto"/>
          <w:spacing w:val="-15"/>
          <w:sz w:val="24"/>
          <w:szCs w:val="24"/>
          <w:highlight w:val="none"/>
          <w:u w:val="single"/>
          <w:lang w:val="en-US" w:eastAsia="zh-CN"/>
        </w:rPr>
        <w:t xml:space="preserve">   </w:t>
      </w:r>
      <w:r>
        <w:rPr>
          <w:rFonts w:hint="eastAsia" w:cs="宋体"/>
          <w:color w:val="auto"/>
          <w:sz w:val="24"/>
          <w:szCs w:val="24"/>
          <w:highlight w:val="none"/>
        </w:rPr>
        <w:t>开标室）。投标人参与电子开标的具体操作详见交易平台发布的相关操作指引。</w:t>
      </w:r>
    </w:p>
    <w:p>
      <w:pPr>
        <w:pStyle w:val="5"/>
        <w:spacing w:line="500" w:lineRule="exact"/>
        <w:ind w:right="0"/>
        <w:jc w:val="both"/>
        <w:outlineLvl w:val="1"/>
        <w:rPr>
          <w:rFonts w:hint="eastAsia" w:cs="宋体"/>
          <w:b w:val="0"/>
          <w:bCs w:val="0"/>
          <w:color w:val="auto"/>
          <w:sz w:val="24"/>
          <w:szCs w:val="24"/>
          <w:highlight w:val="none"/>
        </w:rPr>
      </w:pPr>
      <w:bookmarkStart w:id="19" w:name="7. 发布公告的媒介"/>
      <w:bookmarkEnd w:id="19"/>
      <w:bookmarkStart w:id="20" w:name="6. 投标人须知"/>
      <w:bookmarkEnd w:id="20"/>
      <w:bookmarkStart w:id="21" w:name="_Toc3825"/>
      <w:r>
        <w:rPr>
          <w:rFonts w:hint="eastAsia" w:cs="宋体"/>
          <w:color w:val="auto"/>
          <w:sz w:val="24"/>
          <w:szCs w:val="24"/>
          <w:highlight w:val="none"/>
          <w:lang w:val="en-US" w:eastAsia="zh-CN"/>
        </w:rPr>
        <w:t>6</w:t>
      </w:r>
      <w:r>
        <w:rPr>
          <w:rFonts w:hint="eastAsia" w:cs="宋体"/>
          <w:color w:val="auto"/>
          <w:sz w:val="24"/>
          <w:szCs w:val="24"/>
          <w:highlight w:val="none"/>
        </w:rPr>
        <w:t>.发布公告的媒介</w:t>
      </w:r>
      <w:bookmarkEnd w:id="21"/>
    </w:p>
    <w:p>
      <w:pPr>
        <w:pStyle w:val="11"/>
        <w:wordWrap w:val="0"/>
        <w:spacing w:before="0" w:line="500" w:lineRule="exact"/>
        <w:ind w:left="0" w:right="0" w:firstLine="440"/>
        <w:jc w:val="left"/>
        <w:rPr>
          <w:rFonts w:hint="eastAsia" w:cs="宋体"/>
          <w:color w:val="auto"/>
          <w:sz w:val="24"/>
          <w:szCs w:val="24"/>
          <w:highlight w:val="none"/>
        </w:rPr>
      </w:pPr>
      <w:r>
        <w:rPr>
          <w:rFonts w:hint="eastAsia" w:cs="宋体"/>
          <w:color w:val="auto"/>
          <w:sz w:val="24"/>
          <w:szCs w:val="24"/>
          <w:highlight w:val="none"/>
          <w:lang w:val="en-US" w:eastAsia="zh-CN"/>
        </w:rPr>
        <w:t>6</w:t>
      </w:r>
      <w:r>
        <w:rPr>
          <w:rFonts w:hint="eastAsia" w:cs="宋体"/>
          <w:color w:val="auto"/>
          <w:sz w:val="24"/>
          <w:szCs w:val="24"/>
          <w:highlight w:val="none"/>
        </w:rPr>
        <w:t>.1</w:t>
      </w:r>
      <w:r>
        <w:rPr>
          <w:rFonts w:hint="eastAsia" w:cs="宋体"/>
          <w:color w:val="auto"/>
          <w:spacing w:val="2"/>
          <w:sz w:val="24"/>
          <w:szCs w:val="24"/>
          <w:highlight w:val="none"/>
        </w:rPr>
        <w:t>本次招标公告同时在广东省招标投标监管网、广州公共资源交易中心网站上发布。公告内</w:t>
      </w:r>
      <w:r>
        <w:rPr>
          <w:rFonts w:hint="eastAsia" w:cs="宋体"/>
          <w:color w:val="auto"/>
          <w:spacing w:val="-2"/>
          <w:sz w:val="24"/>
          <w:szCs w:val="24"/>
          <w:highlight w:val="none"/>
        </w:rPr>
        <w:t>容和时间不一致时，以广州公共资源交易中心门户网站发布的为准。招标人的澄清（答疑）</w:t>
      </w:r>
      <w:r>
        <w:rPr>
          <w:rFonts w:hint="eastAsia" w:cs="宋体"/>
          <w:color w:val="auto"/>
          <w:spacing w:val="-2"/>
          <w:sz w:val="24"/>
          <w:szCs w:val="24"/>
          <w:highlight w:val="none"/>
          <w:lang w:eastAsia="zh-CN"/>
        </w:rPr>
        <w:t>、</w:t>
      </w:r>
      <w:r>
        <w:rPr>
          <w:rFonts w:hint="eastAsia" w:cs="宋体"/>
          <w:color w:val="auto"/>
          <w:spacing w:val="-2"/>
          <w:sz w:val="24"/>
          <w:szCs w:val="24"/>
          <w:highlight w:val="none"/>
        </w:rPr>
        <w:t>补充、</w:t>
      </w:r>
      <w:r>
        <w:rPr>
          <w:rFonts w:hint="eastAsia" w:cs="宋体"/>
          <w:color w:val="auto"/>
          <w:sz w:val="24"/>
          <w:szCs w:val="24"/>
          <w:highlight w:val="none"/>
        </w:rPr>
        <w:t>修改等文件一律通过广州公共资源交易中心门户网站发布。</w:t>
      </w:r>
    </w:p>
    <w:p>
      <w:pPr>
        <w:pStyle w:val="5"/>
        <w:spacing w:line="500" w:lineRule="exact"/>
        <w:ind w:right="0"/>
        <w:jc w:val="both"/>
        <w:outlineLvl w:val="1"/>
        <w:rPr>
          <w:rFonts w:hint="eastAsia" w:cs="宋体"/>
          <w:b w:val="0"/>
          <w:bCs w:val="0"/>
          <w:color w:val="auto"/>
          <w:sz w:val="24"/>
          <w:szCs w:val="24"/>
          <w:highlight w:val="none"/>
        </w:rPr>
      </w:pPr>
      <w:bookmarkStart w:id="22" w:name="8. 联系方式"/>
      <w:bookmarkEnd w:id="22"/>
      <w:bookmarkStart w:id="23" w:name="_Toc9814"/>
      <w:r>
        <w:rPr>
          <w:rFonts w:hint="eastAsia" w:cs="宋体"/>
          <w:color w:val="auto"/>
          <w:sz w:val="24"/>
          <w:szCs w:val="24"/>
          <w:highlight w:val="none"/>
          <w:lang w:val="en-US" w:eastAsia="zh-CN"/>
        </w:rPr>
        <w:t>7</w:t>
      </w:r>
      <w:r>
        <w:rPr>
          <w:rFonts w:hint="eastAsia" w:cs="宋体"/>
          <w:color w:val="auto"/>
          <w:sz w:val="24"/>
          <w:szCs w:val="24"/>
          <w:highlight w:val="none"/>
        </w:rPr>
        <w:t>.联系方式</w:t>
      </w:r>
      <w:bookmarkEnd w:id="23"/>
    </w:p>
    <w:p>
      <w:pPr>
        <w:pStyle w:val="11"/>
        <w:spacing w:before="135" w:line="360" w:lineRule="auto"/>
        <w:ind w:left="538" w:right="89"/>
        <w:jc w:val="left"/>
        <w:rPr>
          <w:rFonts w:hint="eastAsia" w:eastAsia="宋体" w:cs="宋体"/>
          <w:color w:val="auto"/>
          <w:sz w:val="24"/>
          <w:szCs w:val="24"/>
          <w:highlight w:val="none"/>
          <w:lang w:eastAsia="zh-CN"/>
        </w:rPr>
      </w:pPr>
      <w:r>
        <w:rPr>
          <w:rFonts w:hint="eastAsia" w:cs="宋体"/>
          <w:color w:val="auto"/>
          <w:sz w:val="24"/>
          <w:szCs w:val="24"/>
          <w:highlight w:val="none"/>
        </w:rPr>
        <w:t>招标人：</w:t>
      </w:r>
      <w:r>
        <w:rPr>
          <w:rFonts w:hint="eastAsia" w:cs="宋体"/>
          <w:color w:val="auto"/>
          <w:sz w:val="24"/>
          <w:szCs w:val="24"/>
          <w:highlight w:val="none"/>
          <w:lang w:eastAsia="zh-CN"/>
        </w:rPr>
        <w:t>饶平县汫洲镇农业农村服务中心</w:t>
      </w:r>
    </w:p>
    <w:p>
      <w:pPr>
        <w:pStyle w:val="11"/>
        <w:spacing w:before="135" w:line="360" w:lineRule="auto"/>
        <w:ind w:left="538" w:right="89"/>
        <w:jc w:val="left"/>
        <w:rPr>
          <w:rFonts w:hint="default" w:eastAsia="宋体" w:cs="宋体"/>
          <w:color w:val="auto"/>
          <w:w w:val="100"/>
          <w:sz w:val="24"/>
          <w:szCs w:val="24"/>
          <w:highlight w:val="none"/>
          <w:lang w:val="en-US" w:eastAsia="zh-CN"/>
        </w:rPr>
      </w:pPr>
      <w:r>
        <w:rPr>
          <w:rFonts w:hint="eastAsia" w:cs="宋体"/>
          <w:color w:val="auto"/>
          <w:w w:val="100"/>
          <w:sz w:val="24"/>
          <w:szCs w:val="24"/>
          <w:highlight w:val="none"/>
        </w:rPr>
        <w:t>联系人：</w:t>
      </w:r>
      <w:r>
        <w:rPr>
          <w:rFonts w:hint="eastAsia" w:cs="宋体"/>
          <w:color w:val="auto"/>
          <w:w w:val="100"/>
          <w:sz w:val="24"/>
          <w:szCs w:val="24"/>
          <w:highlight w:val="none"/>
          <w:lang w:val="en-US" w:eastAsia="zh-CN"/>
        </w:rPr>
        <w:t>林先生</w:t>
      </w:r>
    </w:p>
    <w:p>
      <w:pPr>
        <w:pStyle w:val="11"/>
        <w:spacing w:before="135" w:line="360" w:lineRule="auto"/>
        <w:ind w:left="538" w:right="89" w:firstLine="0" w:firstLineChars="0"/>
        <w:jc w:val="left"/>
        <w:rPr>
          <w:rFonts w:hint="default" w:eastAsia="宋体" w:cs="宋体"/>
          <w:color w:val="auto"/>
          <w:sz w:val="24"/>
          <w:szCs w:val="24"/>
          <w:highlight w:val="none"/>
          <w:lang w:val="en-US" w:eastAsia="zh-CN"/>
        </w:rPr>
      </w:pPr>
      <w:r>
        <w:rPr>
          <w:rFonts w:hint="eastAsia" w:cs="宋体"/>
          <w:color w:val="auto"/>
          <w:sz w:val="24"/>
          <w:szCs w:val="24"/>
          <w:highlight w:val="none"/>
        </w:rPr>
        <w:t>联系电话：</w:t>
      </w:r>
      <w:r>
        <w:rPr>
          <w:rFonts w:hint="eastAsia" w:cs="宋体"/>
          <w:color w:val="auto"/>
          <w:sz w:val="24"/>
          <w:szCs w:val="24"/>
          <w:highlight w:val="none"/>
          <w:lang w:val="en-US" w:eastAsia="zh-CN"/>
        </w:rPr>
        <w:t>0768-8782871</w:t>
      </w:r>
    </w:p>
    <w:p>
      <w:pPr>
        <w:pStyle w:val="11"/>
        <w:spacing w:before="135" w:line="360" w:lineRule="auto"/>
        <w:ind w:left="538" w:right="89" w:firstLine="0" w:firstLineChars="0"/>
        <w:jc w:val="left"/>
        <w:rPr>
          <w:rFonts w:hint="eastAsia" w:cs="宋体"/>
          <w:color w:val="auto"/>
          <w:sz w:val="24"/>
          <w:szCs w:val="24"/>
          <w:highlight w:val="none"/>
        </w:rPr>
      </w:pPr>
      <w:r>
        <w:rPr>
          <w:rFonts w:hint="eastAsia" w:cs="宋体"/>
          <w:color w:val="auto"/>
          <w:sz w:val="24"/>
          <w:szCs w:val="24"/>
          <w:highlight w:val="none"/>
        </w:rPr>
        <w:t>地址：</w:t>
      </w:r>
      <w:bookmarkStart w:id="24" w:name="联合体协议书（如有）"/>
      <w:bookmarkEnd w:id="24"/>
      <w:r>
        <w:rPr>
          <w:rFonts w:hint="eastAsia" w:cs="宋体"/>
          <w:color w:val="auto"/>
          <w:sz w:val="24"/>
          <w:szCs w:val="24"/>
          <w:highlight w:val="none"/>
        </w:rPr>
        <w:t>广东省潮州市饶平县汫洲镇政府大院内</w:t>
      </w:r>
    </w:p>
    <w:p>
      <w:pPr>
        <w:pStyle w:val="11"/>
        <w:spacing w:before="135" w:line="360" w:lineRule="auto"/>
        <w:ind w:left="538" w:right="89"/>
        <w:jc w:val="left"/>
        <w:rPr>
          <w:rFonts w:hint="eastAsia" w:cs="宋体"/>
          <w:color w:val="auto"/>
          <w:sz w:val="24"/>
          <w:szCs w:val="24"/>
          <w:highlight w:val="none"/>
        </w:rPr>
      </w:pPr>
    </w:p>
    <w:p>
      <w:pPr>
        <w:pStyle w:val="11"/>
        <w:spacing w:before="135" w:line="360" w:lineRule="auto"/>
        <w:ind w:left="538" w:right="89"/>
        <w:jc w:val="left"/>
        <w:rPr>
          <w:rFonts w:hint="eastAsia" w:eastAsia="宋体" w:cs="宋体"/>
          <w:color w:val="auto"/>
          <w:w w:val="100"/>
          <w:sz w:val="24"/>
          <w:szCs w:val="24"/>
          <w:highlight w:val="none"/>
          <w:lang w:eastAsia="zh-CN"/>
        </w:rPr>
      </w:pPr>
      <w:r>
        <w:rPr>
          <w:rFonts w:hint="eastAsia" w:cs="宋体"/>
          <w:color w:val="auto"/>
          <w:sz w:val="24"/>
          <w:szCs w:val="24"/>
          <w:highlight w:val="none"/>
        </w:rPr>
        <w:t>招标代理机构：</w:t>
      </w:r>
      <w:r>
        <w:rPr>
          <w:rFonts w:hint="eastAsia" w:cs="宋体"/>
          <w:color w:val="auto"/>
          <w:sz w:val="24"/>
          <w:szCs w:val="24"/>
          <w:highlight w:val="none"/>
          <w:lang w:eastAsia="zh-CN"/>
        </w:rPr>
        <w:t>广东公信招标有限公司</w:t>
      </w:r>
    </w:p>
    <w:p>
      <w:pPr>
        <w:pStyle w:val="11"/>
        <w:spacing w:before="135" w:line="360" w:lineRule="auto"/>
        <w:ind w:left="538" w:right="89"/>
        <w:jc w:val="left"/>
        <w:rPr>
          <w:rFonts w:hint="eastAsia" w:cs="宋体"/>
          <w:color w:val="auto"/>
          <w:w w:val="100"/>
          <w:sz w:val="24"/>
          <w:szCs w:val="24"/>
          <w:highlight w:val="none"/>
        </w:rPr>
      </w:pPr>
      <w:r>
        <w:rPr>
          <w:rFonts w:hint="eastAsia" w:cs="宋体"/>
          <w:color w:val="auto"/>
          <w:w w:val="100"/>
          <w:sz w:val="24"/>
          <w:szCs w:val="24"/>
          <w:highlight w:val="none"/>
        </w:rPr>
        <w:t>联系人：</w:t>
      </w:r>
      <w:r>
        <w:rPr>
          <w:rFonts w:hint="eastAsia" w:cs="宋体"/>
          <w:color w:val="auto"/>
          <w:w w:val="100"/>
          <w:sz w:val="24"/>
          <w:szCs w:val="24"/>
          <w:highlight w:val="none"/>
          <w:lang w:val="en-US" w:eastAsia="zh-CN"/>
        </w:rPr>
        <w:t>李工</w:t>
      </w:r>
      <w:r>
        <w:rPr>
          <w:rFonts w:hint="eastAsia" w:cs="宋体"/>
          <w:color w:val="auto"/>
          <w:w w:val="100"/>
          <w:sz w:val="24"/>
          <w:szCs w:val="24"/>
          <w:highlight w:val="none"/>
        </w:rPr>
        <w:tab/>
      </w:r>
    </w:p>
    <w:p>
      <w:pPr>
        <w:pStyle w:val="11"/>
        <w:spacing w:before="135" w:line="360" w:lineRule="auto"/>
        <w:ind w:left="538" w:right="89"/>
        <w:jc w:val="left"/>
        <w:rPr>
          <w:rFonts w:hint="eastAsia" w:eastAsia="宋体" w:cs="宋体"/>
          <w:color w:val="auto"/>
          <w:w w:val="100"/>
          <w:sz w:val="24"/>
          <w:szCs w:val="24"/>
          <w:highlight w:val="none"/>
          <w:lang w:eastAsia="zh-CN"/>
        </w:rPr>
      </w:pPr>
      <w:r>
        <w:rPr>
          <w:rFonts w:hint="eastAsia" w:cs="宋体"/>
          <w:color w:val="auto"/>
          <w:sz w:val="24"/>
          <w:szCs w:val="24"/>
          <w:highlight w:val="none"/>
        </w:rPr>
        <w:t>联系电话：020-</w:t>
      </w:r>
      <w:r>
        <w:rPr>
          <w:rFonts w:hint="eastAsia" w:cs="宋体"/>
          <w:color w:val="auto"/>
          <w:sz w:val="24"/>
          <w:szCs w:val="24"/>
          <w:highlight w:val="none"/>
          <w:lang w:eastAsia="zh-CN"/>
        </w:rPr>
        <w:t>8</w:t>
      </w:r>
      <w:r>
        <w:rPr>
          <w:rFonts w:hint="eastAsia" w:cs="宋体"/>
          <w:color w:val="auto"/>
          <w:sz w:val="24"/>
          <w:szCs w:val="24"/>
          <w:highlight w:val="none"/>
          <w:lang w:val="en-US" w:eastAsia="zh-CN"/>
        </w:rPr>
        <w:t>3064172-8014</w:t>
      </w:r>
    </w:p>
    <w:p>
      <w:pPr>
        <w:pStyle w:val="11"/>
        <w:spacing w:before="135" w:line="360" w:lineRule="auto"/>
        <w:ind w:left="538" w:right="89" w:firstLine="0" w:firstLineChars="0"/>
        <w:jc w:val="left"/>
        <w:rPr>
          <w:rFonts w:hint="eastAsia" w:cs="宋体"/>
          <w:color w:val="auto"/>
          <w:sz w:val="24"/>
          <w:szCs w:val="24"/>
          <w:highlight w:val="none"/>
        </w:rPr>
      </w:pPr>
      <w:r>
        <w:rPr>
          <w:rFonts w:hint="eastAsia" w:cs="宋体"/>
          <w:color w:val="auto"/>
          <w:sz w:val="24"/>
          <w:szCs w:val="24"/>
          <w:highlight w:val="none"/>
        </w:rPr>
        <w:t>地址：广州市天河区天寿路</w:t>
      </w:r>
      <w:r>
        <w:rPr>
          <w:rFonts w:hint="eastAsia" w:cs="宋体"/>
          <w:color w:val="auto"/>
          <w:sz w:val="24"/>
          <w:szCs w:val="24"/>
          <w:highlight w:val="none"/>
          <w:lang w:eastAsia="zh-CN"/>
        </w:rPr>
        <w:t>3</w:t>
      </w:r>
      <w:r>
        <w:rPr>
          <w:rFonts w:hint="eastAsia" w:cs="宋体"/>
          <w:color w:val="auto"/>
          <w:sz w:val="24"/>
          <w:szCs w:val="24"/>
          <w:highlight w:val="none"/>
          <w:lang w:val="en-US" w:eastAsia="zh-CN"/>
        </w:rPr>
        <w:t>1</w:t>
      </w:r>
      <w:r>
        <w:rPr>
          <w:rFonts w:hint="eastAsia" w:cs="宋体"/>
          <w:color w:val="auto"/>
          <w:sz w:val="24"/>
          <w:szCs w:val="24"/>
          <w:highlight w:val="none"/>
        </w:rPr>
        <w:t>号</w:t>
      </w:r>
      <w:r>
        <w:rPr>
          <w:rFonts w:hint="eastAsia" w:cs="宋体"/>
          <w:color w:val="auto"/>
          <w:sz w:val="24"/>
          <w:szCs w:val="24"/>
          <w:highlight w:val="none"/>
          <w:lang w:val="en-US" w:eastAsia="zh-CN"/>
        </w:rPr>
        <w:t>江河大厦20楼</w:t>
      </w:r>
    </w:p>
    <w:p>
      <w:pPr>
        <w:pStyle w:val="11"/>
        <w:spacing w:before="135" w:line="360" w:lineRule="auto"/>
        <w:ind w:left="538" w:right="89" w:firstLine="0" w:firstLineChars="0"/>
        <w:jc w:val="left"/>
        <w:rPr>
          <w:rFonts w:hint="eastAsia" w:cs="宋体"/>
          <w:color w:val="auto"/>
          <w:sz w:val="24"/>
          <w:szCs w:val="24"/>
          <w:highlight w:val="none"/>
        </w:rPr>
      </w:pPr>
    </w:p>
    <w:p>
      <w:pPr>
        <w:pStyle w:val="11"/>
        <w:spacing w:before="135" w:line="360" w:lineRule="auto"/>
        <w:ind w:left="538" w:right="89" w:firstLine="0" w:firstLineChars="0"/>
        <w:jc w:val="left"/>
        <w:rPr>
          <w:rFonts w:hint="eastAsia" w:eastAsia="宋体" w:cs="宋体"/>
          <w:color w:val="auto"/>
          <w:sz w:val="24"/>
          <w:szCs w:val="24"/>
          <w:highlight w:val="none"/>
          <w:lang w:eastAsia="zh-CN"/>
        </w:rPr>
      </w:pPr>
      <w:r>
        <w:rPr>
          <w:rFonts w:hint="eastAsia" w:cs="宋体"/>
          <w:color w:val="auto"/>
          <w:sz w:val="24"/>
          <w:szCs w:val="24"/>
          <w:highlight w:val="none"/>
        </w:rPr>
        <w:t>监管单位：</w:t>
      </w:r>
      <w:r>
        <w:rPr>
          <w:rFonts w:hint="eastAsia" w:cs="宋体"/>
          <w:color w:val="auto"/>
          <w:sz w:val="24"/>
          <w:szCs w:val="24"/>
          <w:highlight w:val="none"/>
          <w:lang w:eastAsia="zh-CN"/>
        </w:rPr>
        <w:t>饶平县农业农村局</w:t>
      </w:r>
    </w:p>
    <w:p>
      <w:pPr>
        <w:pStyle w:val="11"/>
        <w:spacing w:before="135" w:line="360" w:lineRule="auto"/>
        <w:ind w:left="538" w:right="89" w:firstLine="0" w:firstLineChars="0"/>
        <w:jc w:val="left"/>
        <w:rPr>
          <w:rFonts w:hint="eastAsia" w:cs="宋体"/>
          <w:color w:val="auto"/>
          <w:sz w:val="24"/>
          <w:szCs w:val="24"/>
          <w:highlight w:val="none"/>
        </w:rPr>
      </w:pPr>
      <w:r>
        <w:rPr>
          <w:rFonts w:hint="eastAsia" w:cs="宋体"/>
          <w:color w:val="auto"/>
          <w:sz w:val="24"/>
          <w:szCs w:val="24"/>
          <w:highlight w:val="none"/>
        </w:rPr>
        <w:t>联系电话：0768</w:t>
      </w:r>
      <w:r>
        <w:rPr>
          <w:rFonts w:hint="eastAsia" w:cs="宋体"/>
          <w:color w:val="auto"/>
          <w:sz w:val="24"/>
          <w:szCs w:val="24"/>
          <w:highlight w:val="none"/>
          <w:lang w:val="en-US" w:eastAsia="zh-CN"/>
        </w:rPr>
        <w:t>-</w:t>
      </w:r>
      <w:r>
        <w:rPr>
          <w:rFonts w:hint="eastAsia" w:cs="宋体"/>
          <w:color w:val="auto"/>
          <w:sz w:val="24"/>
          <w:szCs w:val="24"/>
          <w:highlight w:val="none"/>
        </w:rPr>
        <w:t>7802374</w:t>
      </w:r>
    </w:p>
    <w:p>
      <w:pPr>
        <w:pStyle w:val="11"/>
        <w:spacing w:before="135" w:line="360" w:lineRule="auto"/>
        <w:ind w:left="538" w:right="89" w:firstLine="0" w:firstLineChars="0"/>
        <w:jc w:val="left"/>
        <w:rPr>
          <w:rFonts w:ascii="宋体" w:hAnsi="宋体" w:eastAsia="宋体" w:cs="宋体"/>
          <w:color w:val="auto"/>
          <w:sz w:val="20"/>
          <w:szCs w:val="20"/>
          <w:highlight w:val="none"/>
        </w:rPr>
      </w:pPr>
      <w:r>
        <w:rPr>
          <w:rFonts w:hint="eastAsia" w:cs="宋体"/>
          <w:color w:val="auto"/>
          <w:sz w:val="24"/>
          <w:szCs w:val="24"/>
          <w:highlight w:val="none"/>
        </w:rPr>
        <w:t>联系地址：潮州市饶平县饶平大道方瑞苑东侧约80米</w:t>
      </w:r>
    </w:p>
    <w:p>
      <w:pPr>
        <w:pStyle w:val="11"/>
        <w:wordWrap w:val="0"/>
        <w:spacing w:before="0" w:line="360" w:lineRule="auto"/>
        <w:ind w:left="0" w:right="0" w:firstLine="440"/>
        <w:jc w:val="right"/>
        <w:rPr>
          <w:rFonts w:hint="eastAsia" w:cs="宋体"/>
          <w:color w:val="auto"/>
          <w:spacing w:val="-2"/>
          <w:sz w:val="24"/>
          <w:szCs w:val="24"/>
          <w:highlight w:val="none"/>
          <w:lang w:val="en-US" w:eastAsia="zh-CN"/>
        </w:rPr>
      </w:pPr>
    </w:p>
    <w:p>
      <w:pPr>
        <w:pStyle w:val="11"/>
        <w:wordWrap w:val="0"/>
        <w:spacing w:before="0" w:line="360" w:lineRule="auto"/>
        <w:ind w:left="0" w:right="0" w:firstLine="440"/>
        <w:jc w:val="right"/>
        <w:rPr>
          <w:rFonts w:hint="eastAsia" w:cs="宋体"/>
          <w:color w:val="auto"/>
          <w:spacing w:val="-2"/>
          <w:sz w:val="24"/>
          <w:szCs w:val="24"/>
          <w:highlight w:val="none"/>
        </w:rPr>
      </w:pPr>
      <w:r>
        <w:rPr>
          <w:rFonts w:hint="eastAsia" w:cs="宋体"/>
          <w:color w:val="auto"/>
          <w:spacing w:val="-2"/>
          <w:sz w:val="24"/>
          <w:szCs w:val="24"/>
          <w:highlight w:val="none"/>
          <w:lang w:val="en-US" w:eastAsia="zh-CN"/>
        </w:rPr>
        <w:t>日期：</w:t>
      </w:r>
      <w:r>
        <w:rPr>
          <w:rFonts w:hint="eastAsia" w:cs="宋体"/>
          <w:color w:val="auto"/>
          <w:spacing w:val="-2"/>
          <w:sz w:val="24"/>
          <w:szCs w:val="24"/>
          <w:highlight w:val="none"/>
        </w:rPr>
        <w:t>2023年</w:t>
      </w:r>
      <w:r>
        <w:rPr>
          <w:rFonts w:hint="eastAsia" w:cs="宋体"/>
          <w:color w:val="auto"/>
          <w:spacing w:val="-2"/>
          <w:sz w:val="24"/>
          <w:szCs w:val="24"/>
          <w:highlight w:val="none"/>
        </w:rPr>
        <w:tab/>
      </w:r>
      <w:r>
        <w:rPr>
          <w:rFonts w:hint="eastAsia" w:cs="宋体"/>
          <w:color w:val="auto"/>
          <w:spacing w:val="-2"/>
          <w:sz w:val="24"/>
          <w:szCs w:val="24"/>
          <w:highlight w:val="none"/>
          <w:lang w:val="en-US" w:eastAsia="zh-CN"/>
        </w:rPr>
        <w:t>5</w:t>
      </w:r>
      <w:r>
        <w:rPr>
          <w:rFonts w:hint="eastAsia" w:cs="宋体"/>
          <w:color w:val="auto"/>
          <w:spacing w:val="-2"/>
          <w:w w:val="100"/>
          <w:sz w:val="24"/>
          <w:szCs w:val="24"/>
          <w:highlight w:val="none"/>
        </w:rPr>
        <w:t>月</w:t>
      </w:r>
      <w:r>
        <w:rPr>
          <w:rFonts w:hint="eastAsia" w:cs="宋体"/>
          <w:color w:val="auto"/>
          <w:spacing w:val="-2"/>
          <w:w w:val="100"/>
          <w:sz w:val="24"/>
          <w:szCs w:val="24"/>
          <w:highlight w:val="none"/>
          <w:lang w:val="en-US" w:eastAsia="zh-CN"/>
        </w:rPr>
        <w:t>6</w:t>
      </w:r>
      <w:r>
        <w:rPr>
          <w:rFonts w:hint="eastAsia" w:cs="宋体"/>
          <w:color w:val="auto"/>
          <w:spacing w:val="-2"/>
          <w:w w:val="100"/>
          <w:sz w:val="24"/>
          <w:szCs w:val="24"/>
          <w:highlight w:val="none"/>
        </w:rPr>
        <w:t>日</w:t>
      </w:r>
    </w:p>
    <w:p>
      <w:pPr>
        <w:pStyle w:val="11"/>
        <w:wordWrap w:val="0"/>
        <w:ind w:firstLine="440"/>
        <w:jc w:val="right"/>
        <w:rPr>
          <w:rFonts w:hint="eastAsia" w:cs="宋体"/>
          <w:color w:val="auto"/>
          <w:spacing w:val="-2"/>
          <w:sz w:val="24"/>
          <w:szCs w:val="24"/>
          <w:highlight w:val="none"/>
        </w:rPr>
        <w:sectPr>
          <w:footerReference r:id="rId6" w:type="default"/>
          <w:pgSz w:w="11910" w:h="16840"/>
          <w:pgMar w:top="1440" w:right="1080" w:bottom="1440" w:left="1080" w:header="0" w:footer="698" w:gutter="0"/>
          <w:pgNumType w:fmt="decimal"/>
          <w:cols w:space="720" w:num="1"/>
        </w:sectPr>
      </w:pPr>
    </w:p>
    <w:p>
      <w:pPr>
        <w:pStyle w:val="3"/>
        <w:spacing w:line="360" w:lineRule="auto"/>
        <w:ind w:left="3198" w:right="3380"/>
        <w:jc w:val="center"/>
        <w:outlineLvl w:val="0"/>
        <w:rPr>
          <w:b w:val="0"/>
          <w:bCs w:val="0"/>
          <w:color w:val="auto"/>
          <w:highlight w:val="none"/>
        </w:rPr>
      </w:pPr>
      <w:bookmarkStart w:id="25" w:name="第二章 投标人须知"/>
      <w:bookmarkEnd w:id="25"/>
      <w:bookmarkStart w:id="26" w:name="_Toc27053"/>
      <w:r>
        <w:rPr>
          <w:color w:val="auto"/>
          <w:highlight w:val="none"/>
        </w:rPr>
        <w:t>第二章投标人须知</w:t>
      </w:r>
      <w:bookmarkEnd w:id="26"/>
    </w:p>
    <w:p>
      <w:pPr>
        <w:pStyle w:val="5"/>
        <w:spacing w:before="0" w:line="360" w:lineRule="auto"/>
        <w:ind w:left="3198" w:right="3377"/>
        <w:jc w:val="center"/>
        <w:outlineLvl w:val="1"/>
        <w:rPr>
          <w:b w:val="0"/>
          <w:bCs w:val="0"/>
          <w:color w:val="auto"/>
          <w:highlight w:val="none"/>
        </w:rPr>
      </w:pPr>
      <w:bookmarkStart w:id="27" w:name="投标人须知前附表"/>
      <w:bookmarkEnd w:id="27"/>
      <w:bookmarkStart w:id="28" w:name="_Toc4289"/>
      <w:r>
        <w:rPr>
          <w:color w:val="auto"/>
          <w:highlight w:val="none"/>
        </w:rPr>
        <w:t>投标人须知前附表</w:t>
      </w:r>
      <w:bookmarkEnd w:id="28"/>
    </w:p>
    <w:tbl>
      <w:tblPr>
        <w:tblStyle w:val="20"/>
        <w:tblW w:w="9467" w:type="dxa"/>
        <w:tblInd w:w="105" w:type="dxa"/>
        <w:tblLayout w:type="fixed"/>
        <w:tblCellMar>
          <w:top w:w="0" w:type="dxa"/>
          <w:left w:w="0" w:type="dxa"/>
          <w:bottom w:w="0" w:type="dxa"/>
          <w:right w:w="0" w:type="dxa"/>
        </w:tblCellMar>
      </w:tblPr>
      <w:tblGrid>
        <w:gridCol w:w="2"/>
        <w:gridCol w:w="1"/>
        <w:gridCol w:w="956"/>
        <w:gridCol w:w="2"/>
        <w:gridCol w:w="2551"/>
        <w:gridCol w:w="5952"/>
        <w:gridCol w:w="3"/>
      </w:tblGrid>
      <w:tr>
        <w:tblPrEx>
          <w:tblCellMar>
            <w:top w:w="0" w:type="dxa"/>
            <w:left w:w="0" w:type="dxa"/>
            <w:bottom w:w="0" w:type="dxa"/>
            <w:right w:w="0" w:type="dxa"/>
          </w:tblCellMar>
        </w:tblPrEx>
        <w:trPr>
          <w:gridBefore w:val="2"/>
          <w:wBefore w:w="3" w:type="dxa"/>
          <w:trHeight w:val="0" w:hRule="atLeast"/>
          <w:tblHeader/>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before="87" w:line="360" w:lineRule="auto"/>
              <w:ind w:left="158"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tabs>
                <w:tab w:val="left" w:pos="1095"/>
                <w:tab w:val="left" w:pos="1518"/>
                <w:tab w:val="left" w:pos="1938"/>
              </w:tabs>
              <w:spacing w:before="87" w:line="360" w:lineRule="auto"/>
              <w:ind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w w:val="95"/>
                <w:sz w:val="21"/>
                <w:szCs w:val="21"/>
                <w:highlight w:val="none"/>
              </w:rPr>
              <w:t>条款名</w:t>
            </w:r>
            <w:r>
              <w:rPr>
                <w:rFonts w:hint="eastAsia" w:ascii="宋体" w:hAnsi="宋体" w:eastAsia="宋体" w:cs="宋体"/>
                <w:b/>
                <w:bCs/>
                <w:color w:val="auto"/>
                <w:sz w:val="21"/>
                <w:szCs w:val="21"/>
                <w:highlight w:val="none"/>
              </w:rPr>
              <w:t>称</w:t>
            </w:r>
          </w:p>
        </w:tc>
        <w:tc>
          <w:tcPr>
            <w:tcW w:w="5955" w:type="dxa"/>
            <w:gridSpan w:val="2"/>
            <w:tcBorders>
              <w:top w:val="single" w:color="000000" w:sz="4" w:space="0"/>
              <w:left w:val="single" w:color="000000" w:sz="4" w:space="0"/>
              <w:bottom w:val="single" w:color="000000" w:sz="4" w:space="0"/>
              <w:right w:val="single" w:color="000000" w:sz="4" w:space="0"/>
            </w:tcBorders>
            <w:vAlign w:val="center"/>
          </w:tcPr>
          <w:p>
            <w:pPr>
              <w:pStyle w:val="27"/>
              <w:tabs>
                <w:tab w:val="left" w:pos="422"/>
                <w:tab w:val="left" w:pos="844"/>
                <w:tab w:val="left" w:pos="1264"/>
              </w:tabs>
              <w:spacing w:before="87" w:line="360" w:lineRule="auto"/>
              <w:ind w:right="2"/>
              <w:jc w:val="center"/>
              <w:rPr>
                <w:rFonts w:hint="eastAsia" w:ascii="宋体" w:hAnsi="宋体" w:eastAsia="宋体" w:cs="宋体"/>
                <w:color w:val="auto"/>
                <w:sz w:val="21"/>
                <w:szCs w:val="21"/>
                <w:highlight w:val="none"/>
              </w:rPr>
            </w:pPr>
            <w:r>
              <w:rPr>
                <w:rFonts w:hint="eastAsia" w:ascii="宋体" w:hAnsi="宋体" w:eastAsia="宋体" w:cs="宋体"/>
                <w:b/>
                <w:bCs/>
                <w:color w:val="auto"/>
                <w:w w:val="95"/>
                <w:sz w:val="21"/>
                <w:szCs w:val="21"/>
                <w:highlight w:val="none"/>
              </w:rPr>
              <w:t>编</w:t>
            </w:r>
            <w:r>
              <w:rPr>
                <w:rFonts w:hint="eastAsia" w:ascii="宋体" w:hAnsi="宋体" w:eastAsia="宋体" w:cs="宋体"/>
                <w:b/>
                <w:bCs/>
                <w:color w:val="auto"/>
                <w:w w:val="95"/>
                <w:sz w:val="21"/>
                <w:szCs w:val="21"/>
                <w:highlight w:val="none"/>
              </w:rPr>
              <w:tab/>
            </w:r>
            <w:r>
              <w:rPr>
                <w:rFonts w:hint="eastAsia" w:ascii="宋体" w:hAnsi="宋体" w:eastAsia="宋体" w:cs="宋体"/>
                <w:b/>
                <w:bCs/>
                <w:color w:val="auto"/>
                <w:w w:val="95"/>
                <w:sz w:val="21"/>
                <w:szCs w:val="21"/>
                <w:highlight w:val="none"/>
              </w:rPr>
              <w:t>列</w:t>
            </w:r>
            <w:r>
              <w:rPr>
                <w:rFonts w:hint="eastAsia" w:ascii="宋体" w:hAnsi="宋体" w:eastAsia="宋体" w:cs="宋体"/>
                <w:b/>
                <w:bCs/>
                <w:color w:val="auto"/>
                <w:w w:val="95"/>
                <w:sz w:val="21"/>
                <w:szCs w:val="21"/>
                <w:highlight w:val="none"/>
              </w:rPr>
              <w:tab/>
            </w:r>
            <w:r>
              <w:rPr>
                <w:rFonts w:hint="eastAsia" w:ascii="宋体" w:hAnsi="宋体" w:eastAsia="宋体" w:cs="宋体"/>
                <w:b/>
                <w:bCs/>
                <w:color w:val="auto"/>
                <w:w w:val="95"/>
                <w:sz w:val="21"/>
                <w:szCs w:val="21"/>
                <w:highlight w:val="none"/>
              </w:rPr>
              <w:t>内</w:t>
            </w:r>
            <w:r>
              <w:rPr>
                <w:rFonts w:hint="eastAsia" w:ascii="宋体" w:hAnsi="宋体" w:eastAsia="宋体" w:cs="宋体"/>
                <w:b/>
                <w:bCs/>
                <w:color w:val="auto"/>
                <w:w w:val="95"/>
                <w:sz w:val="21"/>
                <w:szCs w:val="21"/>
                <w:highlight w:val="none"/>
              </w:rPr>
              <w:tab/>
            </w:r>
            <w:r>
              <w:rPr>
                <w:rFonts w:hint="eastAsia" w:ascii="宋体" w:hAnsi="宋体" w:eastAsia="宋体" w:cs="宋体"/>
                <w:b/>
                <w:bCs/>
                <w:color w:val="auto"/>
                <w:sz w:val="21"/>
                <w:szCs w:val="21"/>
                <w:highlight w:val="none"/>
              </w:rPr>
              <w:t>容</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right="0"/>
              <w:jc w:val="center"/>
              <w:rPr>
                <w:rFonts w:hint="eastAsia" w:ascii="宋体" w:hAnsi="宋体" w:eastAsia="宋体" w:cs="宋体"/>
                <w:b/>
                <w:bCs/>
                <w:color w:val="auto"/>
                <w:sz w:val="21"/>
                <w:szCs w:val="21"/>
                <w:highlight w:val="none"/>
              </w:rPr>
            </w:pPr>
          </w:p>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3" w:line="360" w:lineRule="auto"/>
              <w:ind w:right="0"/>
              <w:jc w:val="center"/>
              <w:rPr>
                <w:rFonts w:hint="eastAsia" w:ascii="宋体" w:hAnsi="宋体" w:eastAsia="宋体" w:cs="宋体"/>
                <w:b/>
                <w:bCs/>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10" w:leftChars="5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饶平县汫洲镇农业农村服务中心</w:t>
            </w:r>
          </w:p>
          <w:p>
            <w:pPr>
              <w:pStyle w:val="27"/>
              <w:spacing w:before="0" w:line="360" w:lineRule="auto"/>
              <w:ind w:left="110" w:leftChars="50" w:right="0"/>
              <w:jc w:val="left"/>
              <w:rPr>
                <w:rFonts w:hint="eastAsia" w:ascii="宋体" w:hAnsi="宋体" w:eastAsia="宋体" w:cs="宋体"/>
                <w:color w:val="auto"/>
                <w:w w:val="100"/>
                <w:sz w:val="21"/>
                <w:szCs w:val="21"/>
                <w:highlight w:val="none"/>
              </w:rPr>
            </w:pPr>
            <w:r>
              <w:rPr>
                <w:rFonts w:hint="eastAsia" w:ascii="宋体" w:hAnsi="宋体" w:eastAsia="宋体" w:cs="宋体"/>
                <w:color w:val="auto"/>
                <w:sz w:val="21"/>
                <w:szCs w:val="21"/>
                <w:highlight w:val="none"/>
              </w:rPr>
              <w:t>地址：广东省潮州市饶平县汫洲镇政府大院内</w:t>
            </w:r>
          </w:p>
          <w:p>
            <w:pPr>
              <w:pStyle w:val="27"/>
              <w:spacing w:before="0" w:line="360" w:lineRule="auto"/>
              <w:ind w:left="110" w:leftChars="50" w:right="0"/>
              <w:jc w:val="left"/>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联系人：林先生</w:t>
            </w:r>
            <w:r>
              <w:rPr>
                <w:rFonts w:hint="eastAsia" w:ascii="宋体" w:hAnsi="宋体" w:eastAsia="宋体" w:cs="宋体"/>
                <w:color w:val="auto"/>
                <w:w w:val="100"/>
                <w:sz w:val="21"/>
                <w:szCs w:val="21"/>
                <w:highlight w:val="none"/>
                <w:lang w:val="en-US" w:eastAsia="zh-CN"/>
              </w:rPr>
              <w:t xml:space="preserve">        联系</w:t>
            </w:r>
            <w:r>
              <w:rPr>
                <w:rFonts w:hint="eastAsia" w:ascii="宋体" w:hAnsi="宋体" w:eastAsia="宋体" w:cs="宋体"/>
                <w:color w:val="auto"/>
                <w:w w:val="100"/>
                <w:sz w:val="21"/>
                <w:szCs w:val="21"/>
                <w:highlight w:val="none"/>
              </w:rPr>
              <w:tab/>
            </w:r>
            <w:r>
              <w:rPr>
                <w:rFonts w:hint="eastAsia" w:ascii="宋体" w:hAnsi="宋体" w:eastAsia="宋体" w:cs="宋体"/>
                <w:color w:val="auto"/>
                <w:sz w:val="21"/>
                <w:szCs w:val="21"/>
                <w:highlight w:val="none"/>
              </w:rPr>
              <w:t>电话：0768-8782871</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right="0"/>
              <w:jc w:val="center"/>
              <w:rPr>
                <w:rFonts w:hint="eastAsia" w:ascii="宋体" w:hAnsi="宋体" w:eastAsia="宋体" w:cs="宋体"/>
                <w:b/>
                <w:bCs/>
                <w:color w:val="auto"/>
                <w:sz w:val="21"/>
                <w:szCs w:val="21"/>
                <w:highlight w:val="none"/>
              </w:rPr>
            </w:pPr>
          </w:p>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10" w:leftChars="5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广东公信招标有限公司</w:t>
            </w:r>
          </w:p>
          <w:p>
            <w:pPr>
              <w:pStyle w:val="27"/>
              <w:tabs>
                <w:tab w:val="left" w:pos="2203"/>
              </w:tabs>
              <w:spacing w:line="360" w:lineRule="auto"/>
              <w:ind w:left="110" w:leftChars="50" w:right="0"/>
              <w:jc w:val="left"/>
              <w:rPr>
                <w:rFonts w:hint="eastAsia" w:ascii="宋体" w:hAnsi="宋体" w:eastAsia="宋体" w:cs="宋体"/>
                <w:color w:val="auto"/>
                <w:w w:val="100"/>
                <w:sz w:val="21"/>
                <w:szCs w:val="21"/>
                <w:highlight w:val="none"/>
                <w:lang w:eastAsia="zh-CN"/>
              </w:rPr>
            </w:pPr>
            <w:r>
              <w:rPr>
                <w:rFonts w:hint="eastAsia" w:ascii="宋体" w:hAnsi="宋体" w:eastAsia="宋体" w:cs="宋体"/>
                <w:color w:val="auto"/>
                <w:sz w:val="21"/>
                <w:szCs w:val="21"/>
                <w:highlight w:val="none"/>
              </w:rPr>
              <w:t>地址：广州市天河区天寿路31号江河大厦20楼</w:t>
            </w:r>
          </w:p>
          <w:p>
            <w:pPr>
              <w:pStyle w:val="27"/>
              <w:tabs>
                <w:tab w:val="left" w:pos="2203"/>
              </w:tabs>
              <w:spacing w:line="360" w:lineRule="auto"/>
              <w:ind w:left="110" w:leftChars="5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联系人：李工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联系电话：020-83064172-8014</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before="101"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饶平县汫洲镇</w:t>
            </w:r>
            <w:r>
              <w:rPr>
                <w:rFonts w:hint="eastAsia" w:ascii="宋体" w:hAnsi="宋体" w:eastAsia="宋体" w:cs="宋体"/>
                <w:color w:val="auto"/>
                <w:sz w:val="21"/>
                <w:szCs w:val="21"/>
                <w:highlight w:val="none"/>
                <w:lang w:eastAsia="zh-CN"/>
              </w:rPr>
              <w:t>三百门渔港升级改造工程设计</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before="103"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广东省潮州市饶平县汫洲镇三百门渔港</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before="103"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详见招标公告。</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before="103"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招标范围</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before="103"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详见招标公告。</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before="103"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详见招标公告。</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质量标准</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before="103" w:line="360" w:lineRule="auto"/>
              <w:ind w:left="103"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符合国家现行标准和国家、省、市、项目主管部门颁布的法律、法规及相关标准、定额、规范等规定，并结合本项目相关文件。</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wordWrap w:val="0"/>
              <w:spacing w:line="360" w:lineRule="auto"/>
              <w:ind w:left="102" w:right="20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投标人资质条件、能力、信誉</w:t>
            </w:r>
          </w:p>
        </w:tc>
        <w:tc>
          <w:tcPr>
            <w:tcW w:w="5955"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2" w:line="360" w:lineRule="auto"/>
              <w:ind w:left="103" w:right="1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详见招标公告。</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不接受</w:t>
            </w:r>
          </w:p>
          <w:p>
            <w:pPr>
              <w:pStyle w:val="27"/>
              <w:spacing w:before="3" w:line="360" w:lineRule="auto"/>
              <w:ind w:left="103" w:right="9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lang w:eastAsia="zh-CN"/>
              </w:rPr>
              <w:t>接受，应满足下列要求：详见投标人资质条件</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240" w:lineRule="auto"/>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费用承担和设计成果</w:t>
            </w:r>
          </w:p>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补偿</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spacing w:before="42" w:line="254" w:lineRule="exact"/>
              <w:ind w:left="11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pacing w:val="3"/>
                <w:sz w:val="21"/>
                <w:szCs w:val="21"/>
                <w:highlight w:val="none"/>
              </w:rPr>
              <w:t>不补偿</w:t>
            </w:r>
          </w:p>
          <w:p>
            <w:pPr>
              <w:pStyle w:val="27"/>
              <w:spacing w:line="398" w:lineRule="exact"/>
              <w:ind w:left="102" w:leftChars="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补偿，补偿标准：</w:t>
            </w:r>
          </w:p>
        </w:tc>
      </w:tr>
      <w:tr>
        <w:tblPrEx>
          <w:tblCellMar>
            <w:top w:w="0" w:type="dxa"/>
            <w:left w:w="0" w:type="dxa"/>
            <w:bottom w:w="0" w:type="dxa"/>
            <w:right w:w="0" w:type="dxa"/>
          </w:tblCellMar>
        </w:tblPrEx>
        <w:trPr>
          <w:gridBefore w:val="2"/>
          <w:wBefore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5955" w:type="dxa"/>
            <w:gridSpan w:val="2"/>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03" w:right="0"/>
              <w:jc w:val="left"/>
              <w:rPr>
                <w:rFonts w:hint="eastAsia" w:ascii="宋体" w:hAnsi="宋体" w:eastAsia="宋体" w:cs="宋体"/>
                <w:color w:val="auto"/>
                <w:spacing w:val="-209"/>
                <w:w w:val="99"/>
                <w:position w:val="-3"/>
                <w:sz w:val="21"/>
                <w:szCs w:val="21"/>
                <w:highlight w:val="none"/>
                <w:lang w:val="en-US"/>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lang w:val="en-US" w:eastAsia="zh-CN"/>
              </w:rPr>
              <w:t>不组织</w:t>
            </w:r>
          </w:p>
          <w:p>
            <w:pPr>
              <w:pStyle w:val="27"/>
              <w:tabs>
                <w:tab w:val="left" w:pos="2727"/>
              </w:tabs>
              <w:spacing w:line="360" w:lineRule="auto"/>
              <w:ind w:left="103"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w w:val="100"/>
                <w:sz w:val="21"/>
                <w:szCs w:val="21"/>
                <w:highlight w:val="none"/>
                <w:lang w:eastAsia="zh-CN"/>
              </w:rPr>
              <w:t>组织，踏勘时间：</w:t>
            </w:r>
            <w:r>
              <w:rPr>
                <w:rFonts w:hint="eastAsia" w:ascii="宋体" w:hAnsi="宋体" w:eastAsia="宋体" w:cs="宋体"/>
                <w:color w:val="auto"/>
                <w:w w:val="100"/>
                <w:sz w:val="21"/>
                <w:szCs w:val="21"/>
                <w:highlight w:val="none"/>
                <w:lang w:eastAsia="zh-CN"/>
              </w:rPr>
              <w:tab/>
            </w:r>
            <w:r>
              <w:rPr>
                <w:rFonts w:hint="eastAsia" w:ascii="宋体" w:hAnsi="宋体" w:eastAsia="宋体" w:cs="宋体"/>
                <w:color w:val="auto"/>
                <w:sz w:val="21"/>
                <w:szCs w:val="21"/>
                <w:highlight w:val="none"/>
                <w:lang w:eastAsia="zh-CN"/>
              </w:rPr>
              <w:t>踏勘集中地点：</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tcPr>
          <w:p>
            <w:pPr>
              <w:pStyle w:val="27"/>
              <w:spacing w:before="0" w:line="360" w:lineRule="auto"/>
              <w:ind w:right="0"/>
              <w:jc w:val="center"/>
              <w:rPr>
                <w:rFonts w:hint="eastAsia" w:ascii="宋体" w:hAnsi="宋体" w:eastAsia="宋体" w:cs="宋体"/>
                <w:color w:val="auto"/>
                <w:sz w:val="21"/>
                <w:szCs w:val="21"/>
                <w:highlight w:val="none"/>
              </w:rPr>
            </w:pPr>
          </w:p>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2553" w:type="dxa"/>
            <w:gridSpan w:val="2"/>
            <w:tcBorders>
              <w:top w:val="single" w:color="000000" w:sz="4" w:space="0"/>
              <w:left w:val="single" w:color="000000" w:sz="4" w:space="0"/>
              <w:bottom w:val="single" w:color="000000" w:sz="4" w:space="0"/>
              <w:right w:val="single" w:color="000000" w:sz="4" w:space="0"/>
            </w:tcBorders>
          </w:tcPr>
          <w:p>
            <w:pPr>
              <w:pStyle w:val="27"/>
              <w:spacing w:before="0" w:line="360" w:lineRule="auto"/>
              <w:ind w:right="0"/>
              <w:jc w:val="center"/>
              <w:rPr>
                <w:rFonts w:hint="eastAsia" w:ascii="宋体" w:hAnsi="宋体" w:eastAsia="宋体" w:cs="宋体"/>
                <w:color w:val="auto"/>
                <w:sz w:val="21"/>
                <w:szCs w:val="21"/>
                <w:highlight w:val="none"/>
              </w:rPr>
            </w:pPr>
          </w:p>
          <w:p>
            <w:pPr>
              <w:pStyle w:val="27"/>
              <w:spacing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3" w:right="0"/>
              <w:jc w:val="left"/>
              <w:rPr>
                <w:rFonts w:hint="eastAsia" w:ascii="宋体" w:hAnsi="宋体" w:eastAsia="宋体" w:cs="宋体"/>
                <w:color w:val="auto"/>
                <w:spacing w:val="-209"/>
                <w:w w:val="99"/>
                <w:position w:val="-3"/>
                <w:sz w:val="21"/>
                <w:szCs w:val="21"/>
                <w:highlight w:val="none"/>
                <w:lang w:val="en-US"/>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lang w:val="en-US" w:eastAsia="zh-CN"/>
              </w:rPr>
              <w:t>不召开</w:t>
            </w:r>
          </w:p>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召开，召开时间：</w:t>
            </w:r>
          </w:p>
          <w:p>
            <w:pPr>
              <w:pStyle w:val="27"/>
              <w:spacing w:line="360" w:lineRule="auto"/>
              <w:ind w:left="94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top"/>
          </w:tcPr>
          <w:p>
            <w:pPr>
              <w:pStyle w:val="27"/>
              <w:spacing w:before="5" w:line="240" w:lineRule="auto"/>
              <w:ind w:right="0"/>
              <w:jc w:val="left"/>
              <w:rPr>
                <w:rFonts w:hint="eastAsia" w:ascii="宋体" w:hAnsi="宋体" w:eastAsia="宋体" w:cs="宋体"/>
                <w:color w:val="auto"/>
                <w:sz w:val="21"/>
                <w:szCs w:val="21"/>
                <w:highlight w:val="none"/>
              </w:rPr>
            </w:pPr>
          </w:p>
          <w:p>
            <w:pPr>
              <w:pStyle w:val="27"/>
              <w:spacing w:line="240" w:lineRule="auto"/>
              <w:ind w:left="158"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553" w:type="dxa"/>
            <w:gridSpan w:val="2"/>
            <w:tcBorders>
              <w:top w:val="single" w:color="000000" w:sz="4" w:space="0"/>
              <w:left w:val="single" w:color="000000" w:sz="4" w:space="0"/>
              <w:bottom w:val="single" w:color="000000" w:sz="4" w:space="0"/>
              <w:right w:val="single" w:color="000000" w:sz="4" w:space="0"/>
            </w:tcBorders>
            <w:vAlign w:val="top"/>
          </w:tcPr>
          <w:p>
            <w:pPr>
              <w:pStyle w:val="27"/>
              <w:spacing w:line="360" w:lineRule="exact"/>
              <w:ind w:left="183" w:leftChars="0" w:right="113" w:rightChars="0" w:hanging="67"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投标人在投标预备会前提出问题</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tabs>
                <w:tab w:val="left" w:pos="2727"/>
              </w:tabs>
              <w:spacing w:line="360" w:lineRule="auto"/>
              <w:ind w:left="103" w:leftChars="0" w:right="0" w:rightChars="0"/>
              <w:jc w:val="left"/>
              <w:rPr>
                <w:rFonts w:hint="eastAsia" w:ascii="宋体" w:hAnsi="宋体" w:eastAsia="宋体" w:cs="宋体"/>
                <w:color w:val="auto"/>
                <w:w w:val="100"/>
                <w:sz w:val="21"/>
                <w:szCs w:val="21"/>
                <w:highlight w:val="none"/>
                <w:lang w:eastAsia="zh-CN"/>
              </w:rPr>
            </w:pPr>
            <w:r>
              <w:rPr>
                <w:rFonts w:hint="eastAsia" w:ascii="宋体" w:hAnsi="宋体" w:eastAsia="宋体" w:cs="宋体"/>
                <w:color w:val="auto"/>
                <w:w w:val="100"/>
                <w:sz w:val="21"/>
                <w:szCs w:val="21"/>
                <w:highlight w:val="none"/>
                <w:lang w:eastAsia="zh-CN"/>
              </w:rPr>
              <w:t>时间：/</w:t>
            </w:r>
          </w:p>
          <w:p>
            <w:pPr>
              <w:pStyle w:val="27"/>
              <w:tabs>
                <w:tab w:val="left" w:pos="2727"/>
              </w:tabs>
              <w:spacing w:line="360" w:lineRule="auto"/>
              <w:ind w:left="103"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lang w:eastAsia="zh-CN"/>
              </w:rPr>
              <w:t>形式：/</w:t>
            </w:r>
          </w:p>
        </w:tc>
      </w:tr>
      <w:tr>
        <w:tblPrEx>
          <w:tblCellMar>
            <w:top w:w="0" w:type="dxa"/>
            <w:left w:w="0" w:type="dxa"/>
            <w:bottom w:w="0" w:type="dxa"/>
            <w:right w:w="0" w:type="dxa"/>
          </w:tblCellMar>
        </w:tblPrEx>
        <w:trPr>
          <w:gridAfter w:val="1"/>
          <w:wAfter w:w="3" w:type="dxa"/>
          <w:trHeight w:val="2287"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35" w:lineRule="exact"/>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不允许</w:t>
            </w:r>
          </w:p>
          <w:p>
            <w:pPr>
              <w:pStyle w:val="27"/>
              <w:spacing w:before="25" w:line="240" w:lineRule="auto"/>
              <w:ind w:left="102"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允许，允许专业分包，分包需满足相关国家规范要求：</w:t>
            </w:r>
          </w:p>
          <w:p>
            <w:pPr>
              <w:pStyle w:val="27"/>
              <w:spacing w:before="25" w:line="240" w:lineRule="auto"/>
              <w:ind w:left="102" w:leftChars="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分包内容要求：</w:t>
            </w:r>
            <w:r>
              <w:rPr>
                <w:rFonts w:hint="eastAsia" w:ascii="宋体" w:hAnsi="宋体" w:eastAsia="宋体" w:cs="宋体"/>
                <w:color w:val="auto"/>
                <w:sz w:val="21"/>
                <w:szCs w:val="21"/>
                <w:highlight w:val="none"/>
                <w:u w:val="single"/>
                <w:lang w:eastAsia="zh-CN"/>
              </w:rPr>
              <w:t>非主体、非关键性工作，经招标人书面同意后可依法分包。（</w:t>
            </w:r>
            <w:r>
              <w:rPr>
                <w:rFonts w:hint="eastAsia" w:ascii="宋体" w:hAnsi="宋体" w:eastAsia="宋体" w:cs="宋体"/>
                <w:color w:val="auto"/>
                <w:sz w:val="21"/>
                <w:szCs w:val="21"/>
                <w:highlight w:val="none"/>
                <w:u w:val="single"/>
                <w:lang w:val="en-US" w:eastAsia="zh-CN"/>
              </w:rPr>
              <w:t>需要分包的按要求提供函件一式二份</w:t>
            </w:r>
            <w:r>
              <w:rPr>
                <w:rFonts w:hint="eastAsia" w:ascii="宋体" w:hAnsi="宋体" w:eastAsia="宋体" w:cs="宋体"/>
                <w:color w:val="auto"/>
                <w:sz w:val="21"/>
                <w:szCs w:val="21"/>
                <w:highlight w:val="none"/>
                <w:u w:val="single"/>
                <w:lang w:eastAsia="zh-CN"/>
              </w:rPr>
              <w:t>）。</w:t>
            </w:r>
          </w:p>
          <w:p>
            <w:pPr>
              <w:pStyle w:val="27"/>
              <w:spacing w:before="25" w:line="240" w:lineRule="auto"/>
              <w:ind w:left="102" w:leftChars="0" w:right="0" w:rightChars="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分包金额要求：</w:t>
            </w:r>
            <w:r>
              <w:rPr>
                <w:rFonts w:hint="eastAsia" w:ascii="宋体" w:hAnsi="宋体" w:eastAsia="宋体" w:cs="宋体"/>
                <w:color w:val="auto"/>
                <w:sz w:val="21"/>
                <w:szCs w:val="21"/>
                <w:highlight w:val="none"/>
                <w:u w:val="single"/>
                <w:lang w:eastAsia="zh-CN"/>
              </w:rPr>
              <w:t>无</w:t>
            </w:r>
          </w:p>
          <w:p>
            <w:pPr>
              <w:pStyle w:val="27"/>
              <w:spacing w:before="25" w:line="240" w:lineRule="auto"/>
              <w:ind w:left="102" w:leftChars="0" w:right="0"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对分包人的资质要求：</w:t>
            </w:r>
            <w:r>
              <w:rPr>
                <w:rFonts w:hint="eastAsia" w:ascii="宋体" w:hAnsi="宋体" w:eastAsia="宋体" w:cs="宋体"/>
                <w:color w:val="auto"/>
                <w:sz w:val="21"/>
                <w:szCs w:val="21"/>
                <w:highlight w:val="none"/>
                <w:u w:val="single"/>
                <w:lang w:eastAsia="zh-CN"/>
              </w:rPr>
              <w:t>符合有关法律法规和文件规定，并不得再次分包。</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pacing w:val="0"/>
                <w:w w:val="100"/>
                <w:sz w:val="21"/>
                <w:szCs w:val="21"/>
                <w:highlight w:val="none"/>
              </w:rPr>
              <w:t>不允</w:t>
            </w:r>
            <w:r>
              <w:rPr>
                <w:rFonts w:hint="eastAsia" w:ascii="宋体" w:hAnsi="宋体" w:eastAsia="宋体" w:cs="宋体"/>
                <w:color w:val="auto"/>
                <w:w w:val="100"/>
                <w:sz w:val="21"/>
                <w:szCs w:val="21"/>
                <w:highlight w:val="none"/>
              </w:rPr>
              <w:t>许</w:t>
            </w:r>
          </w:p>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允许</w:t>
            </w:r>
          </w:p>
        </w:tc>
      </w:tr>
      <w:tr>
        <w:tblPrEx>
          <w:tblCellMar>
            <w:top w:w="0" w:type="dxa"/>
            <w:left w:w="0" w:type="dxa"/>
            <w:bottom w:w="0" w:type="dxa"/>
            <w:right w:w="0" w:type="dxa"/>
          </w:tblCellMar>
        </w:tblPrEx>
        <w:trPr>
          <w:gridBefore w:val="1"/>
          <w:gridAfter w:val="1"/>
          <w:wBefore w:w="2" w:type="dxa"/>
          <w:wAfter w:w="3" w:type="dxa"/>
          <w:trHeight w:val="648"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551" w:type="dxa"/>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tabs>
                <w:tab w:val="left" w:pos="2727"/>
              </w:tabs>
              <w:spacing w:line="360" w:lineRule="auto"/>
              <w:ind w:left="103"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澄清（答疑）、修改、补充通知等。</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99"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时间：投标截止日期17日前。</w:t>
            </w:r>
          </w:p>
          <w:p>
            <w:pPr>
              <w:pStyle w:val="27"/>
              <w:spacing w:line="360" w:lineRule="auto"/>
              <w:ind w:left="99"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形式：投标人的疑问通过广州公共资源交易中心交易平台提交。</w:t>
            </w:r>
          </w:p>
          <w:p>
            <w:pPr>
              <w:pStyle w:val="27"/>
              <w:spacing w:line="360" w:lineRule="auto"/>
              <w:ind w:left="99"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3.具体要求：</w:t>
            </w:r>
            <w:r>
              <w:rPr>
                <w:rFonts w:hint="eastAsia" w:ascii="宋体" w:hAnsi="宋体" w:eastAsia="宋体" w:cs="宋体"/>
                <w:color w:val="auto"/>
                <w:sz w:val="21"/>
                <w:szCs w:val="21"/>
                <w:highlight w:val="none"/>
                <w:u w:val="single"/>
              </w:rPr>
              <w:t>按照交易平台关于全流程电子化项目的相关指南进行操作，详见广州公共资源交易中心网站。提问一律不得署名。</w:t>
            </w:r>
          </w:p>
          <w:p>
            <w:pPr>
              <w:pStyle w:val="27"/>
              <w:spacing w:line="360" w:lineRule="auto"/>
              <w:ind w:left="99"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4.网上答疑的操作指南为</w:t>
            </w:r>
            <w:r>
              <w:rPr>
                <w:rFonts w:hint="eastAsia" w:ascii="宋体" w:hAnsi="宋体" w:eastAsia="宋体" w:cs="宋体"/>
                <w:color w:val="auto"/>
                <w:sz w:val="21"/>
                <w:szCs w:val="21"/>
                <w:highlight w:val="none"/>
                <w:u w:val="single"/>
              </w:rPr>
              <w:t>：登陆广州公共资源交易中心网站→进入“项目招标答疑”专区→通过项目编号或名称找到所需的项目→在上述的答疑时间内点击“提问”→进入到提问区域→提出问题以及查看所有的问题</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tabs>
                <w:tab w:val="left" w:pos="2727"/>
              </w:tabs>
              <w:spacing w:before="0" w:line="360" w:lineRule="auto"/>
              <w:ind w:left="103" w:righ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如有澄清，招标人于投标截止间15天前，将澄清内容发布在广州公共资源交易中心网站。</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投标人确认收到招标文件澄清或答疑</w:t>
            </w:r>
          </w:p>
        </w:tc>
        <w:tc>
          <w:tcPr>
            <w:tcW w:w="5952" w:type="dxa"/>
            <w:tcBorders>
              <w:top w:val="single" w:color="000000" w:sz="4" w:space="0"/>
              <w:left w:val="single" w:color="000000" w:sz="4" w:space="0"/>
              <w:bottom w:val="single" w:color="000000" w:sz="4" w:space="0"/>
              <w:right w:val="single" w:color="000000" w:sz="4" w:space="0"/>
            </w:tcBorders>
          </w:tcPr>
          <w:p>
            <w:pPr>
              <w:pStyle w:val="27"/>
              <w:tabs>
                <w:tab w:val="left" w:pos="2727"/>
              </w:tabs>
              <w:spacing w:line="360" w:lineRule="auto"/>
              <w:ind w:left="103"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时间：发出即视作收到。</w:t>
            </w:r>
          </w:p>
          <w:p>
            <w:pPr>
              <w:pStyle w:val="27"/>
              <w:tabs>
                <w:tab w:val="left" w:pos="2727"/>
              </w:tabs>
              <w:spacing w:before="0"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lang w:eastAsia="zh-CN"/>
              </w:rPr>
              <w:t>形式：本项目的招标文件澄清及答疑文件一经在广州公共资</w:t>
            </w:r>
            <w:r>
              <w:rPr>
                <w:rFonts w:hint="eastAsia" w:ascii="宋体" w:hAnsi="宋体" w:eastAsia="宋体" w:cs="宋体"/>
                <w:color w:val="auto"/>
                <w:sz w:val="21"/>
                <w:szCs w:val="21"/>
                <w:highlight w:val="none"/>
                <w:lang w:eastAsia="zh-CN"/>
              </w:rPr>
              <w:t>源交易中心网站发布，视作已发放给所有投标人。</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招标文件修改发出的形式</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招标文件的修改在广州公共资源交易中心网站发布。</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投标人确认收到招标文件的修改</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时间：发出即视作收到。</w:t>
            </w:r>
          </w:p>
          <w:p>
            <w:pPr>
              <w:pStyle w:val="27"/>
              <w:spacing w:before="0"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形式：本项目的招标文件的修改一经在广州公共资源交易中</w:t>
            </w:r>
            <w:r>
              <w:rPr>
                <w:rFonts w:hint="eastAsia" w:ascii="宋体" w:hAnsi="宋体" w:eastAsia="宋体" w:cs="宋体"/>
                <w:color w:val="auto"/>
                <w:sz w:val="21"/>
                <w:szCs w:val="21"/>
                <w:highlight w:val="none"/>
              </w:rPr>
              <w:t>心网站发布，视作已发放给所有投标人。</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本项目最高限价为：</w:t>
            </w:r>
            <w:r>
              <w:rPr>
                <w:rFonts w:hint="eastAsia" w:ascii="宋体" w:hAnsi="宋体" w:eastAsia="宋体" w:cs="宋体"/>
                <w:color w:val="auto"/>
                <w:sz w:val="21"/>
                <w:szCs w:val="21"/>
                <w:highlight w:val="none"/>
                <w:u w:val="single"/>
                <w:lang w:eastAsia="zh-CN"/>
              </w:rPr>
              <w:t>2192596.00</w:t>
            </w:r>
            <w:r>
              <w:rPr>
                <w:rFonts w:hint="eastAsia" w:ascii="宋体" w:hAnsi="宋体" w:eastAsia="宋体" w:cs="宋体"/>
                <w:color w:val="auto"/>
                <w:sz w:val="21"/>
                <w:szCs w:val="21"/>
                <w:highlight w:val="none"/>
              </w:rPr>
              <w:t>元，由投标人自报下浮率的形式报价并作为结算依据，超过此范围的报价无效。</w:t>
            </w:r>
          </w:p>
          <w:p>
            <w:pPr>
              <w:pStyle w:val="27"/>
              <w:spacing w:line="360" w:lineRule="auto"/>
              <w:ind w:left="102"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本项目中标价=最高限价乘以(1-中标人投标下浮率)作为暂定合同价</w:t>
            </w:r>
            <w:r>
              <w:rPr>
                <w:rFonts w:hint="eastAsia" w:ascii="宋体" w:hAnsi="宋体" w:eastAsia="宋体" w:cs="宋体"/>
                <w:color w:val="auto"/>
                <w:sz w:val="21"/>
                <w:szCs w:val="21"/>
                <w:highlight w:val="none"/>
                <w:lang w:eastAsia="zh-CN"/>
              </w:rPr>
              <w:t>。</w:t>
            </w:r>
          </w:p>
          <w:p>
            <w:pPr>
              <w:pStyle w:val="27"/>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、投标下浮率和投标报价均保留小数点后两位，第三位四舍五入。</w:t>
            </w:r>
          </w:p>
          <w:p>
            <w:pPr>
              <w:pStyle w:val="27"/>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、投标报价与投标下浮率计算结果不一致时，以投标下浮率为准并修正投标报价。</w:t>
            </w:r>
          </w:p>
          <w:p>
            <w:pPr>
              <w:pStyle w:val="27"/>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、投标人可以参照国家有关设计收费标准和办法，发挥自身竞争优势，对招标项目进行报价；</w:t>
            </w:r>
          </w:p>
          <w:p>
            <w:pPr>
              <w:pStyle w:val="27"/>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、投标报价应包括投标人中标后为完成合同规定的全部工作所需的一切费用和拟获得的合理利润、承担的各种税费，并考虑应承担的各种风险；</w:t>
            </w:r>
          </w:p>
          <w:p>
            <w:pPr>
              <w:pStyle w:val="27"/>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、价格包括所有税收、单位应交的保险、应承担的风险及应提供的服务、广州公共资源交易中心的建设工程交易服务费等。</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numPr>
                <w:ilvl w:val="-1"/>
                <w:numId w:val="0"/>
              </w:numPr>
              <w:spacing w:line="360" w:lineRule="auto"/>
              <w:ind w:left="110" w:leftChars="5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无</w:t>
            </w:r>
          </w:p>
          <w:p>
            <w:pPr>
              <w:pStyle w:val="27"/>
              <w:spacing w:line="360" w:lineRule="auto"/>
              <w:ind w:left="102" w:right="0"/>
              <w:jc w:val="both"/>
              <w:rPr>
                <w:rFonts w:hint="eastAsia" w:ascii="宋体" w:hAnsi="宋体" w:eastAsia="宋体" w:cs="宋体"/>
                <w:color w:val="auto"/>
                <w:spacing w:val="0"/>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pacing w:val="0"/>
                <w:sz w:val="21"/>
                <w:szCs w:val="21"/>
                <w:highlight w:val="none"/>
              </w:rPr>
              <w:t>有，本项目招标最高限价为</w:t>
            </w:r>
            <w:r>
              <w:rPr>
                <w:rFonts w:hint="eastAsia" w:ascii="宋体" w:hAnsi="宋体" w:eastAsia="宋体" w:cs="宋体"/>
                <w:color w:val="auto"/>
                <w:spacing w:val="0"/>
                <w:sz w:val="21"/>
                <w:szCs w:val="21"/>
                <w:highlight w:val="none"/>
                <w:u w:val="single"/>
                <w:lang w:eastAsia="zh-CN"/>
              </w:rPr>
              <w:t>2192596.00</w:t>
            </w:r>
            <w:r>
              <w:rPr>
                <w:rFonts w:hint="eastAsia" w:ascii="宋体" w:hAnsi="宋体" w:eastAsia="宋体" w:cs="宋体"/>
                <w:color w:val="auto"/>
                <w:spacing w:val="0"/>
                <w:sz w:val="21"/>
                <w:szCs w:val="21"/>
                <w:highlight w:val="none"/>
                <w:lang w:val="en-US" w:eastAsia="zh-CN"/>
              </w:rPr>
              <w:t>元</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此次审定的招标控制价为暂定价，结算按实调整。</w:t>
            </w:r>
          </w:p>
          <w:p>
            <w:pPr>
              <w:pStyle w:val="27"/>
              <w:spacing w:line="360" w:lineRule="auto"/>
              <w:ind w:left="102"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sz w:val="21"/>
                <w:szCs w:val="21"/>
                <w:highlight w:val="none"/>
              </w:rPr>
              <w:t>注：设计费结算时，参照国家计委、建设部发布计价格〖2002〗10号文《工程勘察设计收费管理规定》及执行《饶平县政府投资项目管理办法》（饶府规〔2021〕1号）的规定设计费下浮20%进行计费，再结合中标下浮率进行结算。结算价最终以财政部门结算审核为准（若审核价高于中标价，则以中标价为准）。</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02" w:right="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1、投标经济补偿：本工程不设投标经济补偿，投标费用由投标人自理。</w:t>
            </w:r>
          </w:p>
          <w:p>
            <w:pPr>
              <w:pStyle w:val="27"/>
              <w:spacing w:line="360" w:lineRule="auto"/>
              <w:ind w:left="102" w:right="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2、投标人报价高于招标人的招标控制价时，其投标报价为无效报价，作废标处理。</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投标有效期为</w:t>
            </w:r>
            <w:r>
              <w:rPr>
                <w:rFonts w:hint="eastAsia" w:ascii="宋体" w:hAnsi="宋体" w:eastAsia="宋体" w:cs="宋体"/>
                <w:color w:val="auto"/>
                <w:sz w:val="21"/>
                <w:szCs w:val="21"/>
                <w:highlight w:val="none"/>
              </w:rPr>
              <w:t>90</w:t>
            </w:r>
            <w:r>
              <w:rPr>
                <w:rFonts w:hint="eastAsia" w:ascii="宋体" w:hAnsi="宋体" w:eastAsia="宋体" w:cs="宋体"/>
                <w:color w:val="auto"/>
                <w:spacing w:val="0"/>
                <w:sz w:val="21"/>
                <w:szCs w:val="21"/>
                <w:highlight w:val="none"/>
              </w:rPr>
              <w:t>天（日历天），投标有效期从提交投标文</w:t>
            </w:r>
            <w:r>
              <w:rPr>
                <w:rFonts w:hint="eastAsia" w:ascii="宋体" w:hAnsi="宋体" w:eastAsia="宋体" w:cs="宋体"/>
                <w:color w:val="auto"/>
                <w:sz w:val="21"/>
                <w:szCs w:val="21"/>
                <w:highlight w:val="none"/>
              </w:rPr>
              <w:t>件的截止之日算起。</w:t>
            </w:r>
          </w:p>
        </w:tc>
      </w:tr>
      <w:tr>
        <w:tblPrEx>
          <w:tblCellMar>
            <w:top w:w="0" w:type="dxa"/>
            <w:left w:w="0" w:type="dxa"/>
            <w:bottom w:w="0" w:type="dxa"/>
            <w:right w:w="0" w:type="dxa"/>
          </w:tblCellMar>
        </w:tblPrEx>
        <w:trPr>
          <w:gridBefore w:val="2"/>
          <w:gridAfter w:val="1"/>
          <w:wBefore w:w="3" w:type="dxa"/>
          <w:wAfter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before="0"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553" w:type="dxa"/>
            <w:gridSpan w:val="2"/>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before="0"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autoSpaceDE w:val="0"/>
              <w:adjustRightInd w:val="0"/>
              <w:snapToGrid w:val="0"/>
              <w:spacing w:line="360" w:lineRule="auto"/>
              <w:ind w:left="110" w:leftChars="50" w:right="28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（1）投标保证金金额：</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u w:val="single"/>
                <w:lang w:eastAsia="zh-CN"/>
              </w:rPr>
              <w:t>，缴纳时间在开标之前完成缴纳。</w:t>
            </w:r>
          </w:p>
          <w:p>
            <w:pPr>
              <w:pStyle w:val="27"/>
              <w:autoSpaceDE w:val="0"/>
              <w:adjustRightInd w:val="0"/>
              <w:snapToGrid w:val="0"/>
              <w:spacing w:line="360" w:lineRule="auto"/>
              <w:ind w:left="110" w:leftChars="50" w:right="28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是否要求投标人递交投标保证金：</w:t>
            </w:r>
          </w:p>
          <w:p>
            <w:pPr>
              <w:pStyle w:val="27"/>
              <w:autoSpaceDE w:val="0"/>
              <w:adjustRightInd w:val="0"/>
              <w:snapToGrid w:val="0"/>
              <w:spacing w:line="360" w:lineRule="auto"/>
              <w:ind w:left="110" w:leftChars="50" w:right="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pacing w:val="0"/>
                <w:w w:val="100"/>
                <w:sz w:val="21"/>
                <w:szCs w:val="21"/>
                <w:highlight w:val="none"/>
              </w:rPr>
              <w:sym w:font="Wingdings 2" w:char="0052"/>
            </w:r>
            <w:r>
              <w:rPr>
                <w:rFonts w:hint="eastAsia" w:ascii="宋体" w:hAnsi="宋体" w:eastAsia="宋体" w:cs="宋体"/>
                <w:color w:val="auto"/>
                <w:spacing w:val="0"/>
                <w:w w:val="100"/>
                <w:sz w:val="21"/>
                <w:szCs w:val="21"/>
                <w:highlight w:val="none"/>
              </w:rPr>
              <w:t>要求，投标保证金的形式：</w:t>
            </w:r>
            <w:r>
              <w:rPr>
                <w:rFonts w:hint="eastAsia" w:ascii="宋体" w:hAnsi="宋体" w:eastAsia="宋体" w:cs="宋体"/>
                <w:color w:val="auto"/>
                <w:sz w:val="21"/>
                <w:szCs w:val="21"/>
                <w:highlight w:val="none"/>
                <w:u w:val="single"/>
                <w:lang w:eastAsia="zh-CN"/>
              </w:rPr>
              <w:t xml:space="preserve">投标保证金可采用现金、支票、转账、投标保证保险、投标保函（银行或专业担保公司出具）等形式，须在递交投标文件截止时间前完成缴纳。 </w:t>
            </w:r>
          </w:p>
          <w:p>
            <w:pPr>
              <w:pStyle w:val="27"/>
              <w:autoSpaceDE w:val="0"/>
              <w:adjustRightInd w:val="0"/>
              <w:snapToGrid w:val="0"/>
              <w:spacing w:line="360" w:lineRule="auto"/>
              <w:ind w:left="110" w:leftChars="50" w:right="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递交方式：（1）如采用现金或者转账或者支票形式提交的 由广州交易集团有限公司代收。缴纳情况以开标时广州公共资源交易中心网站查询为准。具体操作流程详见广州公共资源交易中心最新的投标保证金缴纳操作指引或自行咨询交易中心。 </w:t>
            </w:r>
          </w:p>
          <w:p>
            <w:pPr>
              <w:pStyle w:val="27"/>
              <w:autoSpaceDE w:val="0"/>
              <w:adjustRightInd w:val="0"/>
              <w:snapToGrid w:val="0"/>
              <w:spacing w:line="360" w:lineRule="auto"/>
              <w:ind w:left="110" w:leftChars="50" w:right="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2）如采用投标保证保险、投标保函（银行或专业担保公司出具）形式提交投标保证金的，投标保证保险、投标保函（银行或专业担保公司出具）须开具给招标人（保险受益人须为招标人）。开标前可不提交纸质原件，但投标人应在投标文件中提交投标保证保险、投标保函（银行或专业担保公司出具）的扫描件并加盖投标人电子印章，完成评标后，由合格中标候选人在中标候选人公示前向招标代理单位提交纸质原件并在网上公示。如投标人选择在开标前提交纸质原件的，可在递交投标文件备用光盘的同时单独密封递交至开标室。 </w:t>
            </w:r>
          </w:p>
          <w:p>
            <w:pPr>
              <w:pStyle w:val="27"/>
              <w:keepNext w:val="0"/>
              <w:keepLines w:val="0"/>
              <w:pageBreakBefore w:val="0"/>
              <w:widowControl w:val="0"/>
              <w:kinsoku/>
              <w:wordWrap w:val="0"/>
              <w:overflowPunct/>
              <w:topLinePunct w:val="0"/>
              <w:autoSpaceDE w:val="0"/>
              <w:autoSpaceDN/>
              <w:bidi w:val="0"/>
              <w:adjustRightInd w:val="0"/>
              <w:snapToGrid w:val="0"/>
              <w:spacing w:line="360" w:lineRule="auto"/>
              <w:ind w:left="110" w:leftChars="50" w:right="283"/>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（3）如采用电子保函形式递交投标保证金，按广州公共资源交易中心发布的《广州公共资源交易中心关于开通电子保函服务功能的通知》（详见：</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HYPERLINK "http://ggzy.gz.gov.cn/zxgg/" </w:instrText>
            </w:r>
            <w:r>
              <w:rPr>
                <w:rFonts w:hint="eastAsia" w:ascii="宋体" w:hAnsi="宋体" w:eastAsia="宋体" w:cs="宋体"/>
                <w:color w:val="auto"/>
                <w:sz w:val="21"/>
                <w:szCs w:val="21"/>
                <w:highlight w:val="none"/>
                <w:u w:val="single"/>
                <w:lang w:eastAsia="zh-CN"/>
              </w:rPr>
              <w:fldChar w:fldCharType="separate"/>
            </w:r>
            <w:r>
              <w:rPr>
                <w:rStyle w:val="23"/>
                <w:rFonts w:hint="eastAsia" w:ascii="宋体" w:hAnsi="宋体" w:eastAsia="宋体" w:cs="宋体"/>
                <w:color w:val="auto"/>
                <w:sz w:val="21"/>
                <w:szCs w:val="21"/>
                <w:highlight w:val="none"/>
                <w:lang w:eastAsia="zh-CN"/>
              </w:rPr>
              <w:t>http://ggzy.gz.gov.cn/zxgg/</w:t>
            </w:r>
            <w:r>
              <w:rPr>
                <w:rFonts w:hint="eastAsia" w:ascii="宋体" w:hAnsi="宋体" w:eastAsia="宋体" w:cs="宋体"/>
                <w:color w:val="auto"/>
                <w:sz w:val="21"/>
                <w:szCs w:val="21"/>
                <w:highlight w:val="none"/>
                <w:u w:val="single"/>
                <w:lang w:eastAsia="zh-CN"/>
              </w:rPr>
              <w:fldChar w:fldCharType="end"/>
            </w:r>
            <w:r>
              <w:rPr>
                <w:rFonts w:hint="eastAsia" w:ascii="宋体" w:hAnsi="宋体" w:eastAsia="宋体" w:cs="宋体"/>
                <w:color w:val="auto"/>
                <w:sz w:val="21"/>
                <w:szCs w:val="21"/>
                <w:highlight w:val="none"/>
                <w:u w:val="single"/>
                <w:lang w:eastAsia="zh-CN"/>
              </w:rPr>
              <w:t>822128.jhtml）和《广州公共资源交易中心关于进一步完善电子保函服务功能的通知》（详见：</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HYPERLINK "http://ggzy.gz.gov.cn/" </w:instrText>
            </w:r>
            <w:r>
              <w:rPr>
                <w:rFonts w:hint="eastAsia" w:ascii="宋体" w:hAnsi="宋体" w:eastAsia="宋体" w:cs="宋体"/>
                <w:color w:val="auto"/>
                <w:sz w:val="21"/>
                <w:szCs w:val="21"/>
                <w:highlight w:val="none"/>
                <w:u w:val="single"/>
                <w:lang w:eastAsia="zh-CN"/>
              </w:rPr>
              <w:fldChar w:fldCharType="separate"/>
            </w:r>
            <w:r>
              <w:rPr>
                <w:rStyle w:val="23"/>
                <w:rFonts w:hint="eastAsia" w:ascii="宋体" w:hAnsi="宋体" w:eastAsia="宋体" w:cs="宋体"/>
                <w:color w:val="auto"/>
                <w:sz w:val="21"/>
                <w:szCs w:val="21"/>
                <w:highlight w:val="none"/>
                <w:u w:val="single"/>
                <w:lang w:eastAsia="zh-CN"/>
              </w:rPr>
              <w:t>http://ggzy.gz.gov.cn/</w:t>
            </w:r>
            <w:r>
              <w:rPr>
                <w:rFonts w:hint="eastAsia" w:ascii="宋体" w:hAnsi="宋体" w:eastAsia="宋体" w:cs="宋体"/>
                <w:color w:val="auto"/>
                <w:sz w:val="21"/>
                <w:szCs w:val="21"/>
                <w:highlight w:val="none"/>
                <w:u w:val="single"/>
                <w:lang w:eastAsia="zh-CN"/>
              </w:rPr>
              <w:fldChar w:fldCharType="end"/>
            </w:r>
            <w:r>
              <w:rPr>
                <w:rFonts w:hint="eastAsia" w:ascii="宋体" w:hAnsi="宋体" w:eastAsia="宋体" w:cs="宋体"/>
                <w:color w:val="auto"/>
                <w:sz w:val="21"/>
                <w:szCs w:val="21"/>
                <w:highlight w:val="none"/>
                <w:u w:val="single"/>
                <w:lang w:eastAsia="zh-CN"/>
              </w:rPr>
              <w:t xml:space="preserve">jtgg/842436.jhtml）操作。到账情况以开标时广州公共资源交易中心数据库查询信息为准。 </w:t>
            </w:r>
          </w:p>
          <w:p>
            <w:pPr>
              <w:pStyle w:val="27"/>
              <w:keepNext w:val="0"/>
              <w:keepLines w:val="0"/>
              <w:pageBreakBefore w:val="0"/>
              <w:widowControl w:val="0"/>
              <w:numPr>
                <w:ilvl w:val="-1"/>
                <w:numId w:val="0"/>
              </w:numPr>
              <w:kinsoku/>
              <w:wordWrap w:val="0"/>
              <w:overflowPunct/>
              <w:topLinePunct w:val="0"/>
              <w:autoSpaceDE w:val="0"/>
              <w:autoSpaceDN/>
              <w:bidi w:val="0"/>
              <w:adjustRightInd w:val="0"/>
              <w:snapToGrid w:val="0"/>
              <w:spacing w:line="360" w:lineRule="auto"/>
              <w:ind w:left="110" w:leftChars="50" w:right="283"/>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为减轻中小企业资金占用压力，投标人为中小企业的（包括中型、小型和微型企业；若联合体投标的，联合体各方均应为中型、小型和微型企业），可免交本项目投标保证金。依据《关于印发中小企业划型标准规定的通知》（工信部联企业〔2011〕300 号），投标人需自行查询企业划型，查询结果以（http://202.106.120.146/baosong/appweb/orgScale.html）网址查询结果为准。网页截图（截图需包含网址信息）和《中小企业声明函》、《关于投标保证金的承诺》（详见投标文件格式）。没有提供上述证明材料不免予缴纳投标保证金。 </w:t>
            </w:r>
          </w:p>
          <w:p>
            <w:pPr>
              <w:pStyle w:val="27"/>
              <w:autoSpaceDE w:val="0"/>
              <w:adjustRightInd w:val="0"/>
              <w:snapToGrid w:val="0"/>
              <w:spacing w:line="360" w:lineRule="auto"/>
              <w:ind w:left="110" w:leftChars="50" w:right="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4、开标时投标人没有按要求提供投标保证金的，其投标文件将被否决。</w:t>
            </w:r>
          </w:p>
          <w:p>
            <w:pPr>
              <w:pStyle w:val="27"/>
              <w:autoSpaceDE w:val="0"/>
              <w:adjustRightInd w:val="0"/>
              <w:snapToGrid w:val="0"/>
              <w:spacing w:line="360" w:lineRule="auto"/>
              <w:ind w:left="110" w:leftChars="50" w:right="283"/>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 xml:space="preserve">5、投标保证金依据法律法规的相关规定退还。 </w:t>
            </w:r>
          </w:p>
          <w:p>
            <w:pPr>
              <w:pStyle w:val="27"/>
              <w:autoSpaceDE w:val="0"/>
              <w:adjustRightInd w:val="0"/>
              <w:snapToGrid w:val="0"/>
              <w:spacing w:line="360" w:lineRule="auto"/>
              <w:ind w:left="110" w:leftChars="50" w:right="283"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不要求</w:t>
            </w:r>
          </w:p>
        </w:tc>
      </w:tr>
      <w:tr>
        <w:tblPrEx>
          <w:tblCellMar>
            <w:top w:w="0" w:type="dxa"/>
            <w:left w:w="0" w:type="dxa"/>
            <w:bottom w:w="0" w:type="dxa"/>
            <w:right w:w="0" w:type="dxa"/>
          </w:tblCellMar>
        </w:tblPrEx>
        <w:trPr>
          <w:gridBefore w:val="2"/>
          <w:gridAfter w:val="1"/>
          <w:wBefore w:w="3" w:type="dxa"/>
          <w:wAfter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3" w:right="0"/>
              <w:jc w:val="center"/>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u w:val="none"/>
              </w:rPr>
              <w:t>3.4.2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3" w:right="0"/>
              <w:jc w:val="center"/>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u w:val="none"/>
              </w:rPr>
              <w:t>其他可以不予退还投标保证金的情形</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left="103" w:right="0"/>
              <w:jc w:val="both"/>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u w:val="none"/>
              </w:rPr>
              <w:t>（1）因中标人原因未能在规定期限内签订合同的；</w:t>
            </w:r>
          </w:p>
          <w:p>
            <w:pPr>
              <w:pStyle w:val="27"/>
              <w:spacing w:before="0"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u w:val="none"/>
              </w:rPr>
              <w:t>（2）递交投标文件时间截止后撤回投标文件的。</w:t>
            </w:r>
          </w:p>
        </w:tc>
      </w:tr>
      <w:tr>
        <w:tblPrEx>
          <w:tblCellMar>
            <w:top w:w="0" w:type="dxa"/>
            <w:left w:w="0" w:type="dxa"/>
            <w:bottom w:w="0" w:type="dxa"/>
            <w:right w:w="0" w:type="dxa"/>
          </w:tblCellMar>
        </w:tblPrEx>
        <w:trPr>
          <w:gridBefore w:val="2"/>
          <w:gridAfter w:val="1"/>
          <w:wBefore w:w="3" w:type="dxa"/>
          <w:wAfter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3" w:right="0"/>
              <w:jc w:val="center"/>
              <w:rPr>
                <w:rFonts w:hint="eastAsia" w:ascii="宋体" w:hAnsi="宋体" w:eastAsia="宋体" w:cs="宋体"/>
                <w:color w:val="auto"/>
                <w:w w:val="100"/>
                <w:sz w:val="21"/>
                <w:szCs w:val="21"/>
                <w:highlight w:val="none"/>
                <w:u w:val="none"/>
              </w:rPr>
            </w:pPr>
            <w:r>
              <w:rPr>
                <w:rFonts w:hint="eastAsia" w:ascii="宋体" w:hAnsi="宋体" w:eastAsia="宋体" w:cs="宋体"/>
                <w:color w:val="auto"/>
                <w:sz w:val="21"/>
                <w:szCs w:val="21"/>
                <w:highlight w:val="none"/>
              </w:rPr>
              <w:t>3.5</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3" w:right="0"/>
              <w:jc w:val="center"/>
              <w:rPr>
                <w:rFonts w:hint="eastAsia" w:ascii="宋体" w:hAnsi="宋体" w:eastAsia="宋体" w:cs="宋体"/>
                <w:color w:val="auto"/>
                <w:w w:val="100"/>
                <w:sz w:val="21"/>
                <w:szCs w:val="21"/>
                <w:highlight w:val="none"/>
                <w:u w:val="none"/>
              </w:rPr>
            </w:pPr>
            <w:r>
              <w:rPr>
                <w:rFonts w:hint="eastAsia" w:ascii="宋体" w:hAnsi="宋体" w:eastAsia="宋体" w:cs="宋体"/>
                <w:color w:val="auto"/>
                <w:sz w:val="21"/>
                <w:szCs w:val="21"/>
                <w:highlight w:val="none"/>
              </w:rPr>
              <w:t>是否允许递交备选投标方案</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spacing w:before="0"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不允许</w:t>
            </w:r>
          </w:p>
          <w:p>
            <w:pPr>
              <w:pStyle w:val="27"/>
              <w:spacing w:before="0"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允许</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6</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无</w:t>
            </w:r>
          </w:p>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有，具体要求：</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投标文件所附证书证件要求</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证书证件均为原件扫描件或电子证书。</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投标文件签字或盖章要求</w:t>
            </w:r>
          </w:p>
        </w:tc>
        <w:tc>
          <w:tcPr>
            <w:tcW w:w="5952" w:type="dxa"/>
            <w:tcBorders>
              <w:top w:val="single" w:color="000000" w:sz="4" w:space="0"/>
              <w:left w:val="single" w:color="000000" w:sz="4" w:space="0"/>
              <w:bottom w:val="single" w:color="000000" w:sz="4" w:space="0"/>
              <w:right w:val="single" w:color="000000" w:sz="4" w:space="0"/>
            </w:tcBorders>
          </w:tcPr>
          <w:p>
            <w:pPr>
              <w:pStyle w:val="27"/>
              <w:spacing w:before="0"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投标文件全部采用电子文档，采用单位数字证书，按招标文件要求在相应位置加盖电子印章。具体操作详见广州公共资源交易中心网站发布的【全流程电子化项目】电子招投标操</w:t>
            </w:r>
            <w:r>
              <w:rPr>
                <w:rFonts w:hint="eastAsia" w:ascii="宋体" w:hAnsi="宋体" w:eastAsia="宋体" w:cs="宋体"/>
                <w:color w:val="auto"/>
                <w:spacing w:val="0"/>
                <w:w w:val="100"/>
                <w:sz w:val="21"/>
                <w:szCs w:val="21"/>
                <w:highlight w:val="none"/>
                <w:u w:val="none"/>
              </w:rPr>
              <w:t>作手册（无纸化）。如不按上述要求编制引起系统无法检索</w:t>
            </w:r>
            <w:r>
              <w:rPr>
                <w:rFonts w:hint="eastAsia" w:ascii="宋体" w:hAnsi="宋体" w:eastAsia="宋体" w:cs="宋体"/>
                <w:color w:val="auto"/>
                <w:spacing w:val="0"/>
                <w:w w:val="100"/>
                <w:sz w:val="21"/>
                <w:szCs w:val="21"/>
                <w:highlight w:val="none"/>
                <w:u w:val="none"/>
                <w:lang w:eastAsia="zh-CN"/>
              </w:rPr>
              <w:t>、</w:t>
            </w:r>
            <w:r>
              <w:rPr>
                <w:rFonts w:hint="eastAsia" w:ascii="宋体" w:hAnsi="宋体" w:eastAsia="宋体" w:cs="宋体"/>
                <w:color w:val="auto"/>
                <w:sz w:val="21"/>
                <w:szCs w:val="21"/>
                <w:highlight w:val="none"/>
                <w:u w:val="none"/>
              </w:rPr>
              <w:t>读取相关信息的，其后果由投标人承担。</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.4</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u w:val="none"/>
              </w:rPr>
              <w:t>暂不实施关于采用个人数字证书和加盖个人电子印章的要</w:t>
            </w:r>
            <w:r>
              <w:rPr>
                <w:rFonts w:hint="eastAsia" w:ascii="宋体" w:hAnsi="宋体" w:eastAsia="宋体" w:cs="宋体"/>
                <w:color w:val="auto"/>
                <w:sz w:val="21"/>
                <w:szCs w:val="21"/>
                <w:highlight w:val="none"/>
                <w:u w:val="none"/>
              </w:rPr>
              <w:t>求。取消在招标文件中采用个人数字证书和加盖个人电子印章要求，投标文件中需个人签字或盖章的，应手签后扫描上传。投标文件按招标文件要求加盖单位电子印章。具体操作详见</w:t>
            </w:r>
            <w:r>
              <w:rPr>
                <w:rFonts w:hint="eastAsia" w:ascii="宋体" w:hAnsi="宋体" w:eastAsia="宋体" w:cs="宋体"/>
                <w:b w:val="0"/>
                <w:bCs w:val="0"/>
                <w:color w:val="auto"/>
                <w:sz w:val="21"/>
                <w:szCs w:val="21"/>
                <w:highlight w:val="none"/>
                <w:u w:val="none"/>
              </w:rPr>
              <w:t>交易平台关于全流程电子化项目的相关指南进行操作</w:t>
            </w:r>
            <w:r>
              <w:rPr>
                <w:rFonts w:hint="eastAsia" w:ascii="宋体" w:hAnsi="宋体" w:eastAsia="宋体" w:cs="宋体"/>
                <w:color w:val="auto"/>
                <w:sz w:val="21"/>
                <w:szCs w:val="21"/>
                <w:highlight w:val="none"/>
                <w:u w:val="none"/>
              </w:rPr>
              <w:t>。如不按上述要求编制引起系统无法检索、读取相关信息的，其后果由投标人承担。</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5" w:line="240" w:lineRule="auto"/>
              <w:ind w:right="0"/>
              <w:jc w:val="center"/>
              <w:rPr>
                <w:rFonts w:hint="eastAsia" w:ascii="宋体" w:hAnsi="宋体" w:eastAsia="宋体" w:cs="宋体"/>
                <w:color w:val="auto"/>
                <w:sz w:val="21"/>
                <w:szCs w:val="21"/>
                <w:highlight w:val="none"/>
              </w:rPr>
            </w:pPr>
          </w:p>
          <w:p>
            <w:pPr>
              <w:pStyle w:val="27"/>
              <w:spacing w:line="240" w:lineRule="auto"/>
              <w:ind w:left="211"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8" w:line="240" w:lineRule="auto"/>
              <w:ind w:right="0"/>
              <w:jc w:val="center"/>
              <w:rPr>
                <w:rFonts w:hint="eastAsia" w:ascii="宋体" w:hAnsi="宋体" w:eastAsia="宋体" w:cs="宋体"/>
                <w:color w:val="auto"/>
                <w:sz w:val="21"/>
                <w:szCs w:val="21"/>
                <w:highlight w:val="none"/>
              </w:rPr>
            </w:pPr>
          </w:p>
          <w:p>
            <w:pPr>
              <w:pStyle w:val="27"/>
              <w:spacing w:line="240" w:lineRule="auto"/>
              <w:ind w:left="104"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both"/>
              <w:rPr>
                <w:rFonts w:hint="eastAsia" w:ascii="宋体" w:hAnsi="宋体" w:eastAsia="宋体" w:cs="宋体"/>
                <w:color w:val="auto"/>
                <w:spacing w:val="0"/>
                <w:sz w:val="21"/>
                <w:szCs w:val="21"/>
                <w:highlight w:val="none"/>
                <w:u w:val="none"/>
                <w:lang w:eastAsia="zh-CN"/>
              </w:rPr>
            </w:pPr>
            <w:r>
              <w:rPr>
                <w:rFonts w:hint="eastAsia" w:ascii="宋体" w:hAnsi="宋体" w:eastAsia="宋体" w:cs="宋体"/>
                <w:color w:val="auto"/>
                <w:spacing w:val="0"/>
                <w:sz w:val="21"/>
                <w:szCs w:val="21"/>
                <w:highlight w:val="none"/>
                <w:u w:val="none"/>
              </w:rPr>
              <w:t>电子投标文件：投标人应当按照招标文件和</w:t>
            </w:r>
            <w:r>
              <w:rPr>
                <w:rFonts w:hint="eastAsia" w:ascii="宋体" w:hAnsi="宋体" w:eastAsia="宋体" w:cs="宋体"/>
                <w:color w:val="auto"/>
                <w:spacing w:val="0"/>
                <w:sz w:val="21"/>
                <w:szCs w:val="21"/>
                <w:highlight w:val="none"/>
                <w:u w:val="none"/>
                <w:lang w:val="en-US" w:eastAsia="zh-CN"/>
              </w:rPr>
              <w:t>广州市</w:t>
            </w:r>
            <w:r>
              <w:rPr>
                <w:rFonts w:hint="eastAsia" w:ascii="宋体" w:hAnsi="宋体" w:eastAsia="宋体" w:cs="宋体"/>
                <w:color w:val="auto"/>
                <w:spacing w:val="0"/>
                <w:sz w:val="21"/>
                <w:szCs w:val="21"/>
                <w:highlight w:val="none"/>
                <w:u w:val="none"/>
              </w:rPr>
              <w:t>市公共资源交易中心的要求加密投标文件</w:t>
            </w:r>
            <w:r>
              <w:rPr>
                <w:rFonts w:hint="eastAsia" w:ascii="宋体" w:hAnsi="宋体" w:eastAsia="宋体" w:cs="宋体"/>
                <w:color w:val="auto"/>
                <w:spacing w:val="0"/>
                <w:sz w:val="21"/>
                <w:szCs w:val="21"/>
                <w:highlight w:val="none"/>
                <w:u w:val="none"/>
                <w:lang w:eastAsia="zh-CN"/>
              </w:rPr>
              <w:t>，具体操作详见交易平台关于全流程电子化项目的相关指南进行操作。</w:t>
            </w:r>
          </w:p>
        </w:tc>
      </w:tr>
      <w:tr>
        <w:tblPrEx>
          <w:tblCellMar>
            <w:top w:w="0" w:type="dxa"/>
            <w:left w:w="0" w:type="dxa"/>
            <w:bottom w:w="0" w:type="dxa"/>
            <w:right w:w="0" w:type="dxa"/>
          </w:tblCellMar>
        </w:tblPrEx>
        <w:trPr>
          <w:gridBefore w:val="2"/>
          <w:gridAfter w:val="1"/>
          <w:wBefore w:w="3" w:type="dxa"/>
          <w:wAfter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备用电子光盘封套上应载明的信息</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w:t>
            </w:r>
          </w:p>
          <w:p>
            <w:pPr>
              <w:pStyle w:val="27"/>
              <w:spacing w:line="360" w:lineRule="auto"/>
              <w:ind w:left="103" w:right="387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投标人地址：</w:t>
            </w:r>
          </w:p>
          <w:p>
            <w:pPr>
              <w:pStyle w:val="27"/>
              <w:spacing w:line="360" w:lineRule="auto"/>
              <w:ind w:left="103" w:right="3876"/>
              <w:jc w:val="left"/>
              <w:rPr>
                <w:rFonts w:hint="eastAsia" w:ascii="宋体" w:hAnsi="宋体" w:eastAsia="宋体" w:cs="宋体"/>
                <w:color w:val="auto"/>
                <w:w w:val="99"/>
                <w:sz w:val="21"/>
                <w:szCs w:val="21"/>
                <w:highlight w:val="none"/>
                <w:lang w:eastAsia="zh-CN"/>
              </w:rPr>
            </w:pPr>
            <w:r>
              <w:rPr>
                <w:rFonts w:hint="eastAsia" w:ascii="宋体" w:hAnsi="宋体" w:eastAsia="宋体" w:cs="宋体"/>
                <w:color w:val="auto"/>
                <w:sz w:val="21"/>
                <w:szCs w:val="21"/>
                <w:highlight w:val="none"/>
              </w:rPr>
              <w:t>投标人名称：</w:t>
            </w:r>
          </w:p>
          <w:p>
            <w:pPr>
              <w:pStyle w:val="27"/>
              <w:spacing w:line="360" w:lineRule="auto"/>
              <w:ind w:left="103" w:right="1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投标人联系人：</w:t>
            </w:r>
          </w:p>
          <w:p>
            <w:pPr>
              <w:pStyle w:val="27"/>
              <w:spacing w:line="360" w:lineRule="auto"/>
              <w:ind w:left="103" w:right="1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投标人联系电话：</w:t>
            </w:r>
          </w:p>
          <w:p>
            <w:pPr>
              <w:pStyle w:val="27"/>
              <w:spacing w:line="360" w:lineRule="auto"/>
              <w:ind w:left="103" w:leftChars="0" w:right="101" w:right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饶平县汫洲镇</w:t>
            </w:r>
            <w:r>
              <w:rPr>
                <w:rFonts w:hint="eastAsia" w:ascii="宋体" w:hAnsi="宋体" w:eastAsia="宋体" w:cs="宋体"/>
                <w:color w:val="auto"/>
                <w:spacing w:val="8"/>
                <w:sz w:val="21"/>
                <w:szCs w:val="21"/>
                <w:highlight w:val="none"/>
                <w:lang w:eastAsia="zh-CN"/>
              </w:rPr>
              <w:t>三百门渔港升级改造工程设计</w:t>
            </w:r>
            <w:r>
              <w:rPr>
                <w:rFonts w:hint="eastAsia" w:ascii="宋体" w:hAnsi="宋体" w:eastAsia="宋体" w:cs="宋体"/>
                <w:color w:val="auto"/>
                <w:spacing w:val="8"/>
                <w:sz w:val="21"/>
                <w:szCs w:val="21"/>
                <w:highlight w:val="none"/>
              </w:rPr>
              <w:t>投</w:t>
            </w:r>
            <w:r>
              <w:rPr>
                <w:rFonts w:hint="eastAsia" w:ascii="宋体" w:hAnsi="宋体" w:eastAsia="宋体" w:cs="宋体"/>
                <w:color w:val="auto"/>
                <w:sz w:val="21"/>
                <w:szCs w:val="21"/>
                <w:highlight w:val="none"/>
              </w:rPr>
              <w:t>标文件（备用电子光盘）</w:t>
            </w:r>
            <w:r>
              <w:rPr>
                <w:rFonts w:hint="eastAsia" w:ascii="宋体" w:hAnsi="宋体" w:eastAsia="宋体" w:cs="宋体"/>
                <w:color w:val="auto"/>
                <w:sz w:val="21"/>
                <w:szCs w:val="21"/>
                <w:highlight w:val="none"/>
                <w:u w:val="single" w:color="000000"/>
              </w:rPr>
              <w:t>在2023年</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月</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日</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时</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分前不得开启。</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000000"/>
              </w:rPr>
              <w:t>2023年</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月</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日</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时</w:t>
            </w:r>
            <w:r>
              <w:rPr>
                <w:rFonts w:hint="eastAsia" w:ascii="宋体" w:hAnsi="宋体" w:eastAsia="宋体"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u w:val="single" w:color="000000"/>
              </w:rPr>
              <w:t>分</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广州公共资源交易中心（广州市天河区天润路333号）。详见本项目日程安排表。</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1"/>
                <w:position w:val="-3"/>
                <w:sz w:val="21"/>
                <w:szCs w:val="21"/>
                <w:highlight w:val="none"/>
              </w:rPr>
              <w:sym w:font="Wingdings 2" w:char="0052"/>
            </w:r>
            <w:r>
              <w:rPr>
                <w:rFonts w:hint="eastAsia" w:ascii="宋体" w:hAnsi="宋体" w:eastAsia="宋体" w:cs="宋体"/>
                <w:color w:val="auto"/>
                <w:spacing w:val="-71"/>
                <w:position w:val="-3"/>
                <w:sz w:val="21"/>
                <w:szCs w:val="21"/>
                <w:highlight w:val="none"/>
                <w:lang w:val="en-US" w:eastAsia="zh-CN"/>
              </w:rPr>
              <w:t>否</w:t>
            </w:r>
          </w:p>
          <w:p>
            <w:pPr>
              <w:pStyle w:val="27"/>
              <w:spacing w:line="360" w:lineRule="auto"/>
              <w:ind w:left="103"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是</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pPr>
              <w:pStyle w:val="27"/>
              <w:spacing w:before="0"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开标地点：广州公共资源交易中心（广州市天河区天润路</w:t>
            </w:r>
            <w:r>
              <w:rPr>
                <w:rFonts w:hint="eastAsia" w:ascii="宋体" w:hAnsi="宋体" w:eastAsia="宋体" w:cs="宋体"/>
                <w:color w:val="auto"/>
                <w:sz w:val="21"/>
                <w:szCs w:val="21"/>
                <w:highlight w:val="none"/>
              </w:rPr>
              <w:t>333号）。详见本项目日程安排表。</w:t>
            </w:r>
          </w:p>
        </w:tc>
      </w:tr>
      <w:tr>
        <w:tblPrEx>
          <w:tblCellMar>
            <w:top w:w="0" w:type="dxa"/>
            <w:left w:w="0" w:type="dxa"/>
            <w:bottom w:w="0" w:type="dxa"/>
            <w:right w:w="0" w:type="dxa"/>
          </w:tblCellMar>
        </w:tblPrEx>
        <w:trPr>
          <w:gridBefore w:val="2"/>
          <w:gridAfter w:val="1"/>
          <w:wBefore w:w="3" w:type="dxa"/>
          <w:wAfter w:w="3" w:type="dxa"/>
          <w:trHeight w:val="0" w:hRule="atLeast"/>
        </w:trPr>
        <w:tc>
          <w:tcPr>
            <w:tcW w:w="956"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before="0"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line="360" w:lineRule="auto"/>
              <w:ind w:left="102" w:right="0"/>
              <w:jc w:val="center"/>
              <w:rPr>
                <w:rFonts w:hint="eastAsia" w:ascii="宋体" w:hAnsi="宋体" w:eastAsia="宋体" w:cs="宋体"/>
                <w:color w:val="auto"/>
                <w:sz w:val="21"/>
                <w:szCs w:val="21"/>
                <w:highlight w:val="none"/>
              </w:rPr>
            </w:pPr>
          </w:p>
          <w:p>
            <w:pPr>
              <w:pStyle w:val="27"/>
              <w:spacing w:before="0"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在投标截止时间后半小时内，投标人通过递交投标文件的</w:t>
            </w:r>
            <w:r>
              <w:rPr>
                <w:rFonts w:hint="eastAsia" w:ascii="宋体" w:hAnsi="宋体" w:eastAsia="宋体" w:cs="宋体"/>
                <w:color w:val="auto"/>
                <w:w w:val="100"/>
                <w:sz w:val="21"/>
                <w:szCs w:val="21"/>
                <w:highlight w:val="none"/>
              </w:rPr>
              <w:t>交易平台对已递交的电子投标文件进行解密。投标人完成解</w:t>
            </w:r>
            <w:r>
              <w:rPr>
                <w:rFonts w:hint="eastAsia" w:ascii="宋体" w:hAnsi="宋体" w:eastAsia="宋体" w:cs="宋体"/>
                <w:color w:val="auto"/>
                <w:sz w:val="21"/>
                <w:szCs w:val="21"/>
                <w:highlight w:val="none"/>
              </w:rPr>
              <w:t>密后，再由招标人进行解密。解密完成后，公布招标项目名称、投标人名称、开标信封文件和资格审查文件（如有）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未在规定时间内解密的投标文件不参与开标、评标。</w:t>
            </w:r>
          </w:p>
          <w:p>
            <w:pPr>
              <w:pStyle w:val="27"/>
              <w:spacing w:before="0"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截标后，开标开始时间因故推迟的，相关评标信息仍以原定的开标开始时间的信息为准。</w:t>
            </w:r>
          </w:p>
          <w:p>
            <w:pPr>
              <w:pStyle w:val="27"/>
              <w:spacing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0"/>
                <w:sz w:val="21"/>
                <w:szCs w:val="21"/>
                <w:highlight w:val="none"/>
              </w:rPr>
              <w:t>备用电子光盘的读取按投标须知前附表第</w:t>
            </w:r>
            <w:r>
              <w:rPr>
                <w:rFonts w:hint="eastAsia" w:ascii="宋体" w:hAnsi="宋体" w:eastAsia="宋体" w:cs="宋体"/>
                <w:color w:val="auto"/>
                <w:sz w:val="21"/>
                <w:szCs w:val="21"/>
                <w:highlight w:val="none"/>
              </w:rPr>
              <w:t>9</w:t>
            </w:r>
            <w:r>
              <w:rPr>
                <w:rFonts w:hint="eastAsia" w:ascii="宋体" w:hAnsi="宋体" w:eastAsia="宋体" w:cs="宋体"/>
                <w:color w:val="auto"/>
                <w:spacing w:val="0"/>
                <w:sz w:val="21"/>
                <w:szCs w:val="21"/>
                <w:highlight w:val="none"/>
              </w:rPr>
              <w:t>点的规定执</w:t>
            </w:r>
            <w:r>
              <w:rPr>
                <w:rFonts w:hint="eastAsia" w:ascii="宋体" w:hAnsi="宋体" w:eastAsia="宋体" w:cs="宋体"/>
                <w:color w:val="auto"/>
                <w:sz w:val="21"/>
                <w:szCs w:val="21"/>
                <w:highlight w:val="none"/>
              </w:rPr>
              <w:t>行。</w:t>
            </w:r>
          </w:p>
          <w:p>
            <w:pPr>
              <w:pStyle w:val="27"/>
              <w:spacing w:before="0"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pacing w:val="0"/>
                <w:sz w:val="21"/>
                <w:szCs w:val="21"/>
                <w:highlight w:val="none"/>
              </w:rPr>
              <w:t>投标截止时间前未完成投标文件传输的或因投标人之外</w:t>
            </w:r>
            <w:r>
              <w:rPr>
                <w:rFonts w:hint="eastAsia" w:ascii="宋体" w:hAnsi="宋体" w:eastAsia="宋体" w:cs="宋体"/>
                <w:color w:val="auto"/>
                <w:sz w:val="21"/>
                <w:szCs w:val="21"/>
                <w:highlight w:val="none"/>
              </w:rPr>
              <w:t>的原因造成投标文件未解密的，视为投标人撤回投标文件。</w:t>
            </w:r>
            <w:r>
              <w:rPr>
                <w:rFonts w:hint="eastAsia" w:ascii="宋体" w:hAnsi="宋体" w:eastAsia="宋体" w:cs="宋体"/>
                <w:color w:val="auto"/>
                <w:spacing w:val="0"/>
                <w:sz w:val="21"/>
                <w:szCs w:val="21"/>
                <w:highlight w:val="none"/>
              </w:rPr>
              <w:t>因投标人原因造成投标文件未解密或未在规定的时间内解</w:t>
            </w:r>
            <w:r>
              <w:rPr>
                <w:rFonts w:hint="eastAsia" w:ascii="宋体" w:hAnsi="宋体" w:eastAsia="宋体" w:cs="宋体"/>
                <w:color w:val="auto"/>
                <w:sz w:val="21"/>
                <w:szCs w:val="21"/>
                <w:highlight w:val="none"/>
              </w:rPr>
              <w:t>密的，视为撤销其投标文件。</w:t>
            </w:r>
          </w:p>
          <w:p>
            <w:pPr>
              <w:pStyle w:val="27"/>
              <w:spacing w:before="0" w:line="360" w:lineRule="auto"/>
              <w:ind w:left="102"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开标方式采用电子开标和现场开标两种模式，投标人可选</w:t>
            </w:r>
            <w:r>
              <w:rPr>
                <w:rFonts w:hint="eastAsia" w:ascii="宋体" w:hAnsi="宋体" w:eastAsia="宋体" w:cs="宋体"/>
                <w:color w:val="auto"/>
                <w:spacing w:val="0"/>
                <w:sz w:val="21"/>
                <w:szCs w:val="21"/>
                <w:highlight w:val="none"/>
              </w:rPr>
              <w:t>择在开标室参与开标或准时在线参加开标，也可不参加开</w:t>
            </w:r>
            <w:r>
              <w:rPr>
                <w:rFonts w:hint="eastAsia" w:ascii="宋体" w:hAnsi="宋体" w:eastAsia="宋体" w:cs="宋体"/>
                <w:color w:val="auto"/>
                <w:w w:val="100"/>
                <w:sz w:val="21"/>
                <w:szCs w:val="21"/>
                <w:highlight w:val="none"/>
              </w:rPr>
              <w:t>标。参加在线开标的投标人登录交易平台实时查看开标、唱</w:t>
            </w:r>
            <w:r>
              <w:rPr>
                <w:rFonts w:hint="eastAsia" w:ascii="宋体" w:hAnsi="宋体" w:eastAsia="宋体" w:cs="宋体"/>
                <w:color w:val="auto"/>
                <w:sz w:val="21"/>
                <w:szCs w:val="21"/>
                <w:highlight w:val="none"/>
              </w:rPr>
              <w:t>标情况。交易平台生成开标记录并向社会公众公布。</w:t>
            </w:r>
          </w:p>
          <w:p>
            <w:pPr>
              <w:pStyle w:val="27"/>
              <w:spacing w:before="0" w:line="360" w:lineRule="auto"/>
              <w:ind w:left="102"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参加现场开标的投标人对开标结果有异议的，应当在开标现场提出，招标人应当当场作出答复，并制作记录。</w:t>
            </w:r>
          </w:p>
          <w:p>
            <w:pPr>
              <w:pStyle w:val="27"/>
              <w:spacing w:before="0" w:line="360" w:lineRule="auto"/>
              <w:ind w:left="102"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7"/>
              <w:spacing w:before="0" w:line="360" w:lineRule="auto"/>
              <w:ind w:left="102"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投标人未参加开标或在规定的时间内未提出异议的，视为对开标无异议。</w:t>
            </w:r>
          </w:p>
          <w:p>
            <w:pPr>
              <w:pStyle w:val="27"/>
              <w:spacing w:before="0" w:line="360" w:lineRule="auto"/>
              <w:ind w:left="102"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开标时，两个（含两个）以上的投标人加密打包投标文件电脑机器特征码一致的，不参与下一程序，并由评标委员会否决其投标。</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leftChars="0" w:right="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人；评标专家确定方式：由招标人依法组建。</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推荐3名中标候选人</w:t>
            </w:r>
            <w:r>
              <w:rPr>
                <w:rFonts w:hint="eastAsia" w:ascii="宋体" w:hAnsi="宋体" w:eastAsia="宋体" w:cs="宋体"/>
                <w:color w:val="auto"/>
                <w:sz w:val="21"/>
                <w:szCs w:val="21"/>
                <w:highlight w:val="none"/>
                <w:lang w:eastAsia="zh-CN"/>
              </w:rPr>
              <w:t>。</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广州公共资源交易中心网、广东省招标投标监管网。</w:t>
            </w:r>
          </w:p>
          <w:p>
            <w:pPr>
              <w:pStyle w:val="27"/>
              <w:spacing w:line="360" w:lineRule="auto"/>
              <w:ind w:left="103" w:leftChars="0" w:right="-60"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公示期限：3个工作日</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4</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3" w:right="10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pPr>
              <w:pStyle w:val="27"/>
              <w:spacing w:line="360" w:lineRule="auto"/>
              <w:ind w:left="103" w:right="-6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sym w:font="Wingdings 2" w:char="0052"/>
            </w:r>
            <w:r>
              <w:rPr>
                <w:rFonts w:hint="eastAsia" w:ascii="宋体" w:hAnsi="宋体" w:eastAsia="宋体" w:cs="宋体"/>
                <w:color w:val="auto"/>
                <w:spacing w:val="0"/>
                <w:w w:val="100"/>
                <w:sz w:val="21"/>
                <w:szCs w:val="21"/>
                <w:highlight w:val="none"/>
              </w:rPr>
              <w:t>否，招标人依据评标委员会确定的中标候选人确定中</w:t>
            </w:r>
            <w:r>
              <w:rPr>
                <w:rFonts w:hint="eastAsia" w:ascii="宋体" w:hAnsi="宋体" w:eastAsia="宋体" w:cs="宋体"/>
                <w:color w:val="auto"/>
                <w:w w:val="100"/>
                <w:sz w:val="21"/>
                <w:szCs w:val="21"/>
                <w:highlight w:val="none"/>
              </w:rPr>
              <w:t>标</w:t>
            </w:r>
            <w:r>
              <w:rPr>
                <w:rFonts w:hint="eastAsia" w:ascii="宋体" w:hAnsi="宋体" w:eastAsia="宋体" w:cs="宋体"/>
                <w:color w:val="auto"/>
                <w:spacing w:val="0"/>
                <w:w w:val="100"/>
                <w:sz w:val="21"/>
                <w:szCs w:val="21"/>
                <w:highlight w:val="none"/>
              </w:rPr>
              <w:t>人</w:t>
            </w:r>
            <w:r>
              <w:rPr>
                <w:rFonts w:hint="eastAsia" w:ascii="宋体" w:hAnsi="宋体" w:eastAsia="宋体" w:cs="宋体"/>
                <w:color w:val="auto"/>
                <w:w w:val="100"/>
                <w:sz w:val="21"/>
                <w:szCs w:val="21"/>
                <w:highlight w:val="none"/>
              </w:rPr>
              <w:t>。</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before="0"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技术成果经济补偿</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不补偿</w:t>
            </w:r>
          </w:p>
          <w:p>
            <w:pPr>
              <w:pStyle w:val="27"/>
              <w:spacing w:line="360" w:lineRule="auto"/>
              <w:ind w:left="103" w:right="-60"/>
              <w:jc w:val="both"/>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□补偿，补偿标准：</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5952" w:type="dxa"/>
            <w:tcBorders>
              <w:top w:val="single" w:color="000000" w:sz="4" w:space="0"/>
              <w:left w:val="single" w:color="000000" w:sz="4" w:space="0"/>
              <w:bottom w:val="single" w:color="000000" w:sz="4" w:space="0"/>
              <w:right w:val="single" w:color="000000" w:sz="4" w:space="0"/>
            </w:tcBorders>
            <w:vAlign w:val="center"/>
          </w:tcPr>
          <w:p>
            <w:pPr>
              <w:pStyle w:val="27"/>
              <w:tabs>
                <w:tab w:val="left" w:pos="5600"/>
              </w:tabs>
              <w:wordWrap w:val="0"/>
              <w:spacing w:line="360" w:lineRule="auto"/>
              <w:ind w:left="0" w:right="101"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w:t>
            </w:r>
            <w:r>
              <w:rPr>
                <w:rFonts w:hint="eastAsia" w:eastAsia="宋体"/>
                <w:color w:val="auto"/>
                <w:highlight w:val="none"/>
                <w:u w:val="single"/>
                <w:lang w:val="en-US" w:eastAsia="zh-CN"/>
              </w:rPr>
              <w:t xml:space="preserve">   </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w w:val="100"/>
                <w:sz w:val="21"/>
                <w:szCs w:val="21"/>
                <w:highlight w:val="none"/>
                <w:lang w:val="en-US" w:eastAsia="zh-CN"/>
              </w:rPr>
              <w:t>9</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wordWrap w:val="0"/>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pPr>
              <w:pStyle w:val="27"/>
              <w:wordWrap w:val="0"/>
              <w:spacing w:before="0"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sym w:font="Wingdings 2" w:char="0052"/>
            </w:r>
            <w:r>
              <w:rPr>
                <w:rFonts w:hint="eastAsia" w:ascii="宋体" w:hAnsi="宋体" w:eastAsia="宋体" w:cs="宋体"/>
                <w:color w:val="auto"/>
                <w:spacing w:val="0"/>
                <w:w w:val="100"/>
                <w:sz w:val="21"/>
                <w:szCs w:val="21"/>
                <w:highlight w:val="none"/>
              </w:rPr>
              <w:t>是，具体要求</w:t>
            </w:r>
            <w:r>
              <w:rPr>
                <w:rFonts w:hint="eastAsia" w:ascii="宋体" w:hAnsi="宋体" w:eastAsia="宋体" w:cs="宋体"/>
                <w:color w:val="auto"/>
                <w:w w:val="100"/>
                <w:sz w:val="21"/>
                <w:szCs w:val="21"/>
                <w:highlight w:val="none"/>
              </w:rPr>
              <w:t>：</w:t>
            </w:r>
            <w:r>
              <w:rPr>
                <w:rFonts w:hint="eastAsia" w:ascii="宋体" w:hAnsi="宋体" w:eastAsia="宋体" w:cs="宋体"/>
                <w:color w:val="auto"/>
                <w:spacing w:val="0"/>
                <w:w w:val="100"/>
                <w:sz w:val="21"/>
                <w:szCs w:val="21"/>
                <w:highlight w:val="none"/>
                <w:u w:val="none"/>
              </w:rPr>
              <w:t>1、具体操作按照广州公共资源交易中心交易平台关于全</w:t>
            </w:r>
            <w:r>
              <w:rPr>
                <w:rFonts w:hint="eastAsia" w:ascii="宋体" w:hAnsi="宋体" w:eastAsia="宋体" w:cs="宋体"/>
                <w:color w:val="auto"/>
                <w:w w:val="100"/>
                <w:sz w:val="21"/>
                <w:szCs w:val="21"/>
                <w:highlight w:val="none"/>
                <w:u w:val="none"/>
              </w:rPr>
              <w:t>流</w:t>
            </w:r>
            <w:r>
              <w:rPr>
                <w:rFonts w:hint="eastAsia" w:ascii="宋体" w:hAnsi="宋体" w:eastAsia="宋体" w:cs="宋体"/>
                <w:color w:val="auto"/>
                <w:spacing w:val="0"/>
                <w:w w:val="100"/>
                <w:sz w:val="21"/>
                <w:szCs w:val="21"/>
                <w:highlight w:val="none"/>
                <w:u w:val="none"/>
              </w:rPr>
              <w:t>程电子化项目的相关指南进行操作</w:t>
            </w:r>
            <w:r>
              <w:rPr>
                <w:rFonts w:hint="eastAsia" w:ascii="宋体" w:hAnsi="宋体" w:eastAsia="宋体" w:cs="宋体"/>
                <w:color w:val="auto"/>
                <w:w w:val="100"/>
                <w:sz w:val="21"/>
                <w:szCs w:val="21"/>
                <w:highlight w:val="none"/>
                <w:u w:val="none"/>
              </w:rPr>
              <w:t>。</w:t>
            </w:r>
            <w:r>
              <w:rPr>
                <w:rFonts w:hint="eastAsia" w:ascii="宋体" w:hAnsi="宋体" w:eastAsia="宋体" w:cs="宋体"/>
                <w:color w:val="auto"/>
                <w:spacing w:val="0"/>
                <w:w w:val="100"/>
                <w:sz w:val="21"/>
                <w:szCs w:val="21"/>
                <w:highlight w:val="none"/>
                <w:u w:val="none"/>
              </w:rPr>
              <w:t>2、现场提交投标文件备用电子光盘的投标人可按照广州</w:t>
            </w:r>
            <w:r>
              <w:rPr>
                <w:rFonts w:hint="eastAsia" w:ascii="宋体" w:hAnsi="宋体" w:eastAsia="宋体" w:cs="宋体"/>
                <w:color w:val="auto"/>
                <w:w w:val="100"/>
                <w:sz w:val="21"/>
                <w:szCs w:val="21"/>
                <w:highlight w:val="none"/>
                <w:u w:val="none"/>
              </w:rPr>
              <w:t>公</w:t>
            </w:r>
            <w:r>
              <w:rPr>
                <w:rFonts w:hint="eastAsia" w:ascii="宋体" w:hAnsi="宋体" w:eastAsia="宋体" w:cs="宋体"/>
                <w:color w:val="auto"/>
                <w:spacing w:val="0"/>
                <w:w w:val="100"/>
                <w:sz w:val="21"/>
                <w:szCs w:val="21"/>
                <w:highlight w:val="none"/>
                <w:u w:val="none"/>
              </w:rPr>
              <w:t>共资源交易中心交易平台关于全流程电子化项目的相关</w:t>
            </w:r>
            <w:r>
              <w:rPr>
                <w:rFonts w:hint="eastAsia" w:ascii="宋体" w:hAnsi="宋体" w:eastAsia="宋体" w:cs="宋体"/>
                <w:color w:val="auto"/>
                <w:w w:val="100"/>
                <w:sz w:val="21"/>
                <w:szCs w:val="21"/>
                <w:highlight w:val="none"/>
                <w:u w:val="none"/>
              </w:rPr>
              <w:t>指</w:t>
            </w:r>
            <w:r>
              <w:rPr>
                <w:rFonts w:hint="eastAsia" w:ascii="宋体" w:hAnsi="宋体" w:eastAsia="宋体" w:cs="宋体"/>
                <w:color w:val="auto"/>
                <w:spacing w:val="0"/>
                <w:w w:val="100"/>
                <w:sz w:val="21"/>
                <w:szCs w:val="21"/>
                <w:highlight w:val="none"/>
                <w:u w:val="none"/>
              </w:rPr>
              <w:t>南方法制作非加密的电子投标文件刻入光盘（</w:t>
            </w:r>
            <w:r>
              <w:rPr>
                <w:rFonts w:hint="eastAsia" w:ascii="宋体" w:hAnsi="宋体" w:eastAsia="宋体" w:cs="宋体"/>
                <w:color w:val="auto"/>
                <w:w w:val="100"/>
                <w:sz w:val="21"/>
                <w:szCs w:val="21"/>
                <w:highlight w:val="none"/>
                <w:u w:val="none"/>
                <w:lang w:val="en-US" w:eastAsia="zh-CN"/>
              </w:rPr>
              <w:t>1</w:t>
            </w:r>
            <w:r>
              <w:rPr>
                <w:rFonts w:hint="eastAsia" w:ascii="宋体" w:hAnsi="宋体" w:eastAsia="宋体" w:cs="宋体"/>
                <w:color w:val="auto"/>
                <w:spacing w:val="0"/>
                <w:w w:val="100"/>
                <w:sz w:val="21"/>
                <w:szCs w:val="21"/>
                <w:highlight w:val="none"/>
                <w:u w:val="none"/>
              </w:rPr>
              <w:t>份）。刻</w:t>
            </w:r>
            <w:r>
              <w:rPr>
                <w:rFonts w:hint="eastAsia" w:ascii="宋体" w:hAnsi="宋体" w:eastAsia="宋体" w:cs="宋体"/>
                <w:color w:val="auto"/>
                <w:w w:val="100"/>
                <w:sz w:val="21"/>
                <w:szCs w:val="21"/>
                <w:highlight w:val="none"/>
                <w:u w:val="none"/>
              </w:rPr>
              <w:t>录</w:t>
            </w:r>
            <w:r>
              <w:rPr>
                <w:rFonts w:hint="eastAsia" w:ascii="宋体" w:hAnsi="宋体" w:eastAsia="宋体" w:cs="宋体"/>
                <w:color w:val="auto"/>
                <w:spacing w:val="0"/>
                <w:w w:val="100"/>
                <w:sz w:val="21"/>
                <w:szCs w:val="21"/>
                <w:highlight w:val="none"/>
                <w:u w:val="none"/>
              </w:rPr>
              <w:t>好的投标文件光盘密封在密封袋中，密封袋上应写明的内</w:t>
            </w:r>
            <w:r>
              <w:rPr>
                <w:rFonts w:hint="eastAsia" w:ascii="宋体" w:hAnsi="宋体" w:eastAsia="宋体" w:cs="宋体"/>
                <w:color w:val="auto"/>
                <w:w w:val="100"/>
                <w:sz w:val="21"/>
                <w:szCs w:val="21"/>
                <w:highlight w:val="none"/>
                <w:u w:val="none"/>
              </w:rPr>
              <w:t>容</w:t>
            </w:r>
            <w:r>
              <w:rPr>
                <w:rFonts w:hint="eastAsia" w:ascii="宋体" w:hAnsi="宋体" w:eastAsia="宋体" w:cs="宋体"/>
                <w:color w:val="auto"/>
                <w:spacing w:val="0"/>
                <w:w w:val="100"/>
                <w:sz w:val="21"/>
                <w:szCs w:val="21"/>
                <w:highlight w:val="none"/>
                <w:u w:val="none"/>
              </w:rPr>
              <w:t>见投标人须知前附表要求；现场递交的投标文件备用电子</w:t>
            </w:r>
            <w:r>
              <w:rPr>
                <w:rFonts w:hint="eastAsia" w:ascii="宋体" w:hAnsi="宋体" w:eastAsia="宋体" w:cs="宋体"/>
                <w:color w:val="auto"/>
                <w:w w:val="100"/>
                <w:sz w:val="21"/>
                <w:szCs w:val="21"/>
                <w:highlight w:val="none"/>
                <w:u w:val="none"/>
              </w:rPr>
              <w:t>光</w:t>
            </w:r>
            <w:r>
              <w:rPr>
                <w:rFonts w:hint="eastAsia" w:ascii="宋体" w:hAnsi="宋体" w:eastAsia="宋体" w:cs="宋体"/>
                <w:color w:val="auto"/>
                <w:spacing w:val="0"/>
                <w:w w:val="100"/>
                <w:sz w:val="21"/>
                <w:szCs w:val="21"/>
                <w:highlight w:val="none"/>
                <w:u w:val="none"/>
              </w:rPr>
              <w:t>盘不得加密。备用电子光盘无法读取或导入的，则视为未</w:t>
            </w:r>
            <w:r>
              <w:rPr>
                <w:rFonts w:hint="eastAsia" w:ascii="宋体" w:hAnsi="宋体" w:eastAsia="宋体" w:cs="宋体"/>
                <w:color w:val="auto"/>
                <w:w w:val="100"/>
                <w:sz w:val="21"/>
                <w:szCs w:val="21"/>
                <w:highlight w:val="none"/>
                <w:u w:val="none"/>
              </w:rPr>
              <w:t>提</w:t>
            </w:r>
            <w:r>
              <w:rPr>
                <w:rFonts w:hint="eastAsia" w:ascii="宋体" w:hAnsi="宋体" w:eastAsia="宋体" w:cs="宋体"/>
                <w:color w:val="auto"/>
                <w:spacing w:val="0"/>
                <w:w w:val="100"/>
                <w:sz w:val="21"/>
                <w:szCs w:val="21"/>
                <w:highlight w:val="none"/>
                <w:u w:val="none"/>
              </w:rPr>
              <w:t>交投标文件备用电子光盘。如果投标人没有按规定通过交</w:t>
            </w:r>
            <w:r>
              <w:rPr>
                <w:rFonts w:hint="eastAsia" w:ascii="宋体" w:hAnsi="宋体" w:eastAsia="宋体" w:cs="宋体"/>
                <w:color w:val="auto"/>
                <w:w w:val="100"/>
                <w:sz w:val="21"/>
                <w:szCs w:val="21"/>
                <w:highlight w:val="none"/>
                <w:u w:val="none"/>
              </w:rPr>
              <w:t>易</w:t>
            </w:r>
            <w:r>
              <w:rPr>
                <w:rFonts w:hint="eastAsia" w:ascii="宋体" w:hAnsi="宋体" w:eastAsia="宋体" w:cs="宋体"/>
                <w:color w:val="auto"/>
                <w:spacing w:val="0"/>
                <w:w w:val="100"/>
                <w:sz w:val="21"/>
                <w:szCs w:val="21"/>
                <w:highlight w:val="none"/>
                <w:u w:val="none"/>
              </w:rPr>
              <w:t>平台网上递交电子投标文件的，不再读取和接受现场提交</w:t>
            </w:r>
            <w:r>
              <w:rPr>
                <w:rFonts w:hint="eastAsia" w:ascii="宋体" w:hAnsi="宋体" w:eastAsia="宋体" w:cs="宋体"/>
                <w:color w:val="auto"/>
                <w:w w:val="100"/>
                <w:sz w:val="21"/>
                <w:szCs w:val="21"/>
                <w:highlight w:val="none"/>
                <w:u w:val="none"/>
              </w:rPr>
              <w:t>的</w:t>
            </w:r>
            <w:r>
              <w:rPr>
                <w:rFonts w:hint="eastAsia" w:ascii="宋体" w:hAnsi="宋体" w:eastAsia="宋体" w:cs="宋体"/>
                <w:color w:val="auto"/>
                <w:spacing w:val="0"/>
                <w:w w:val="100"/>
                <w:sz w:val="21"/>
                <w:szCs w:val="21"/>
                <w:highlight w:val="none"/>
                <w:u w:val="none"/>
              </w:rPr>
              <w:t>光盘</w:t>
            </w:r>
            <w:r>
              <w:rPr>
                <w:rFonts w:hint="eastAsia" w:ascii="宋体" w:hAnsi="宋体" w:eastAsia="宋体" w:cs="宋体"/>
                <w:color w:val="auto"/>
                <w:w w:val="100"/>
                <w:sz w:val="21"/>
                <w:szCs w:val="21"/>
                <w:highlight w:val="none"/>
                <w:u w:val="none"/>
              </w:rPr>
              <w:t>。</w:t>
            </w:r>
          </w:p>
          <w:p>
            <w:pPr>
              <w:pStyle w:val="27"/>
              <w:wordWrap w:val="0"/>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3、补救方案</w:t>
            </w:r>
          </w:p>
          <w:p>
            <w:pPr>
              <w:pStyle w:val="27"/>
              <w:wordWrap w:val="0"/>
              <w:spacing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（1）投标文件解密失败的补救方案：在规定时间内，因投</w:t>
            </w:r>
            <w:r>
              <w:rPr>
                <w:rFonts w:hint="eastAsia" w:ascii="宋体" w:hAnsi="宋体" w:eastAsia="宋体" w:cs="宋体"/>
                <w:color w:val="auto"/>
                <w:spacing w:val="0"/>
                <w:sz w:val="21"/>
                <w:szCs w:val="21"/>
                <w:highlight w:val="none"/>
                <w:u w:val="none"/>
              </w:rPr>
              <w:t>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w:t>
            </w:r>
            <w:r>
              <w:rPr>
                <w:rFonts w:hint="eastAsia" w:ascii="宋体" w:hAnsi="宋体" w:eastAsia="宋体" w:cs="宋体"/>
                <w:color w:val="auto"/>
                <w:sz w:val="21"/>
                <w:szCs w:val="21"/>
                <w:highlight w:val="none"/>
                <w:u w:val="none"/>
              </w:rPr>
              <w:t>投标文件。</w:t>
            </w:r>
          </w:p>
          <w:p>
            <w:pPr>
              <w:pStyle w:val="27"/>
              <w:wordWrap w:val="0"/>
              <w:spacing w:before="0" w:line="360" w:lineRule="auto"/>
              <w:ind w:left="102" w:right="0"/>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u w:val="none"/>
              </w:rPr>
              <w:t>（2）评标时突发情况的补救方案：若遇不可抗力发生（如：网络瘫痪、服务器损坏、交易系统故障短期无法恢复等因素），由评标委员会开启现场递交的全部投标文件光盘，并按光盘内容进行评审。投标人未递交投标文件光盘，视为撤</w:t>
            </w:r>
            <w:r>
              <w:rPr>
                <w:rFonts w:hint="eastAsia" w:ascii="宋体" w:hAnsi="宋体" w:eastAsia="宋体" w:cs="宋体"/>
                <w:color w:val="auto"/>
                <w:sz w:val="21"/>
                <w:szCs w:val="21"/>
                <w:highlight w:val="none"/>
                <w:u w:val="none"/>
              </w:rPr>
              <w:t>回投标文件。</w:t>
            </w:r>
          </w:p>
          <w:p>
            <w:pPr>
              <w:pStyle w:val="27"/>
              <w:spacing w:before="22" w:line="360" w:lineRule="auto"/>
              <w:ind w:left="103"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000000"/>
              </w:rPr>
              <w:t>（3）除发生上述情况外，开标评标均以投标人通过交易平台网上递交的电子投标文件为准。</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0" w:right="0"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b w:val="0"/>
                <w:color w:val="auto"/>
                <w:w w:val="100"/>
                <w:sz w:val="21"/>
                <w:szCs w:val="21"/>
                <w:highlight w:val="none"/>
                <w:lang w:val="en-US" w:eastAsia="zh-CN"/>
              </w:rPr>
              <w:t>10</w:t>
            </w:r>
          </w:p>
        </w:tc>
        <w:tc>
          <w:tcPr>
            <w:tcW w:w="8505"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w:t>
            </w:r>
          </w:p>
        </w:tc>
        <w:tc>
          <w:tcPr>
            <w:tcW w:w="8505"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before="22"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承包方式：采用按实结算的方式，结合中标下浮率进行结算。</w:t>
            </w:r>
          </w:p>
          <w:p>
            <w:pPr>
              <w:pStyle w:val="27"/>
              <w:spacing w:before="22"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注:设计费结算时，参照国家计委、建设部发布计价格〖2002〗10号文《工程勘察设计收费管理规定》及执行《饶平县政府投资项目管理办法》（饶府规〔2021〕1号）的规定设计费下浮20%进行计费</w:t>
            </w:r>
            <w:r>
              <w:rPr>
                <w:rFonts w:hint="eastAsia" w:ascii="宋体" w:hAnsi="宋体" w:eastAsia="宋体" w:cs="宋体"/>
                <w:color w:val="auto"/>
                <w:spacing w:val="0"/>
                <w:sz w:val="21"/>
                <w:szCs w:val="21"/>
                <w:highlight w:val="none"/>
              </w:rPr>
              <w:t>。</w:t>
            </w:r>
            <w:r>
              <w:rPr>
                <w:rFonts w:hint="eastAsia" w:ascii="宋体" w:hAnsi="宋体" w:eastAsia="宋体" w:cs="宋体"/>
                <w:color w:val="auto"/>
                <w:sz w:val="21"/>
                <w:szCs w:val="21"/>
                <w:highlight w:val="none"/>
              </w:rPr>
              <w:t>再结合中标下浮率进行结算。结算价最终以财政部门结算审核为准（若审核价高于中标价，则以中标价为准）。</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w:t>
            </w:r>
          </w:p>
        </w:tc>
        <w:tc>
          <w:tcPr>
            <w:tcW w:w="8505"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投标人在其投标文件的首页签署《诚信投标承诺书》（见投标文件格式），承诺书应由投标人的法定代表人签名（或盖章）并加盖单位公章。对于拒签或不按要求签署承诺书的投标人，其不利于投标人的评审结果由投标人自行承担。</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注：该条款中“在其投标文件的首页提交《诚信投标承诺书》”是指“在投标文件的首页提交《诚信投标承诺书》”，承诺书应由投标人的法定代表人签字（或盖章）并加盖单位公章。</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2、投标人应在投标截止时间前，在</w:t>
            </w:r>
            <w:r>
              <w:rPr>
                <w:rFonts w:hint="eastAsia" w:ascii="宋体" w:hAnsi="宋体" w:eastAsia="宋体" w:cs="宋体"/>
                <w:color w:val="auto"/>
                <w:spacing w:val="-4"/>
                <w:sz w:val="21"/>
                <w:szCs w:val="21"/>
                <w:highlight w:val="none"/>
                <w:lang w:val="en-US" w:eastAsia="zh-CN"/>
              </w:rPr>
              <w:t>广州</w:t>
            </w:r>
            <w:r>
              <w:rPr>
                <w:rFonts w:hint="eastAsia" w:ascii="宋体" w:hAnsi="宋体" w:eastAsia="宋体" w:cs="宋体"/>
                <w:color w:val="auto"/>
                <w:spacing w:val="-4"/>
                <w:sz w:val="21"/>
                <w:szCs w:val="21"/>
                <w:highlight w:val="none"/>
              </w:rPr>
              <w:t>市公共资源交易中心建设工程投标系统上提交电子投标文件。</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3、投标人、授权代表的联系电话需确保开标当天保持畅通，如评审委员会对投标文件有疑问需要投标人澄清将通过电话联系，如因投标人自身原因导致无法联系的，一切后果由投标人自行负责。</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4、招标文件中所述招标控制价与最高投标限价同义。</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5、重新招标</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有下列情形之一的，招标人将重新招标：（1）至投标截止时间，投标人少于3个或资格审查合格人数少于3个的；（2）经评标委员会评审，有效投标人少于3个的；（3）法律规定的其他情形。</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6、不再招标：重新招标后仍不满足上述条款内容的，按程序重新申报，经审查批准后不再进行招标。</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7、</w:t>
            </w:r>
            <w:r>
              <w:rPr>
                <w:rFonts w:hint="eastAsia" w:ascii="宋体" w:hAnsi="宋体" w:eastAsia="宋体" w:cs="宋体"/>
                <w:color w:val="auto"/>
                <w:spacing w:val="-4"/>
                <w:sz w:val="21"/>
                <w:szCs w:val="21"/>
                <w:highlight w:val="none"/>
              </w:rPr>
              <w:t>废标条件</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投标人或其投标文件有下列情形之一的，其投标作废标处理：</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(1)有第二章“投标人须知”第1.4.2项和1.4.3项规定的任何一种情形的。</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(2)高于招标人的招标控制价</w:t>
            </w:r>
            <w:r>
              <w:rPr>
                <w:rFonts w:hint="eastAsia" w:ascii="宋体" w:hAnsi="宋体" w:eastAsia="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rPr>
              <w:t>；</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(3)低于所有有效投标人投标报价的算术平均值的90%（有效投标人指初步评审合格的投标人）</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(4)有串通投标或弄虚作假或有其他违法行为的。</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(5)不按评标委员会要求澄清、说明或补正的。</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(6)在形式评审、资格评审、响应性评审中，评标委员会认定投标人的投标不符合评标办法前附表中规定的任何一项评审标准的。</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(7)评标委员会认定投标人以低于成本报价竞标的。</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8</w:t>
            </w:r>
            <w:r>
              <w:rPr>
                <w:rFonts w:hint="eastAsia" w:ascii="宋体" w:hAnsi="宋体" w:eastAsia="宋体" w:cs="宋体"/>
                <w:color w:val="auto"/>
                <w:spacing w:val="-4"/>
                <w:sz w:val="21"/>
                <w:szCs w:val="21"/>
                <w:highlight w:val="none"/>
              </w:rPr>
              <w:t>、有下列情形之一的，视为投标人相互串通投标：</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(1)不同投标人的投标文件由同一单位或者个人编制；</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(2)不同投标人委托同一单位或者个人办理投标事宜；</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(3)不同投标人的投标文件载明的项目管理成员为同一人；</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(4)不同投标人的投标文件异常一致或者投标报价呈规律性差异；</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(5)不同投标人的投标文件相互混装；</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(6)不同投标人的投标保证金从同一单位或者个人的账户转出；</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(7)不同投标人编制的投标文件的实质性内容存在两处以上细节错误一致；</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(8)不同投标人的投标文件由同一电子设备编制、打包加密或者上传(包括同一IP或同一网卡)，不同投标人的投标文件由同一投标人的电子设备打印、复印；</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(9)、不同投标人的投标文件由同一投标人送达或者分发；</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(10)、参加投标活动的人员为同一标段其他投标人的在职人员；</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(11)、不同投标人的投标保证金从投标人各自的基本账户转出，但是，所需资金来自同一单位或者个人账户；</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(12)、法律、行政法规规定的其他禁止情形。</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10、投标人有下列情形之一的，属于招标投标法第三十三条规定的以其他方式弄虚作假的行为：</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(1)使用伪造、变造的许可证件；</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(2)提供虚假的财务状况或业绩；</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(3)提供虚假的项目负责人或者主要技术人员简历、证件、劳动关系证明；</w:t>
            </w:r>
          </w:p>
          <w:p>
            <w:pPr>
              <w:pStyle w:val="27"/>
              <w:spacing w:line="360" w:lineRule="auto"/>
              <w:ind w:left="103" w:right="0"/>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(4)提供虚假的信用状况；</w:t>
            </w:r>
          </w:p>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(5)其他弄虚作假的行为。</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10.3</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纸质版投标文件要求</w:t>
            </w:r>
          </w:p>
        </w:tc>
        <w:tc>
          <w:tcPr>
            <w:tcW w:w="5952" w:type="dxa"/>
            <w:tcBorders>
              <w:top w:val="single" w:color="000000" w:sz="4" w:space="0"/>
              <w:left w:val="single" w:color="000000" w:sz="4" w:space="0"/>
              <w:bottom w:val="single" w:color="000000" w:sz="4" w:space="0"/>
              <w:right w:val="single" w:color="000000" w:sz="4" w:space="0"/>
            </w:tcBorders>
          </w:tcPr>
          <w:p>
            <w:pPr>
              <w:pStyle w:val="27"/>
              <w:spacing w:line="360" w:lineRule="auto"/>
              <w:ind w:left="103"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在签订合同前，中标单位须提供一正六副纸质版投标文件（须与电子版保持一致）给招标人存档。</w:t>
            </w:r>
          </w:p>
          <w:p>
            <w:pPr>
              <w:pStyle w:val="27"/>
              <w:spacing w:line="360" w:lineRule="auto"/>
              <w:ind w:left="103"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注：应在纸质版投标文件封面加盖单位公章，其余页码可盖骑缝章。</w:t>
            </w:r>
          </w:p>
        </w:tc>
      </w:tr>
      <w:tr>
        <w:tblPrEx>
          <w:tblCellMar>
            <w:top w:w="0" w:type="dxa"/>
            <w:left w:w="0" w:type="dxa"/>
            <w:bottom w:w="0" w:type="dxa"/>
            <w:right w:w="0" w:type="dxa"/>
          </w:tblCellMar>
        </w:tblPrEx>
        <w:trPr>
          <w:gridAfter w:val="1"/>
          <w:wAfter w:w="3" w:type="dxa"/>
          <w:trHeight w:val="0" w:hRule="atLeast"/>
        </w:trPr>
        <w:tc>
          <w:tcPr>
            <w:tcW w:w="959" w:type="dxa"/>
            <w:gridSpan w:val="3"/>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p>
        </w:tc>
        <w:tc>
          <w:tcPr>
            <w:tcW w:w="2553" w:type="dxa"/>
            <w:gridSpan w:val="2"/>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2"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交易服务费</w:t>
            </w:r>
          </w:p>
        </w:tc>
        <w:tc>
          <w:tcPr>
            <w:tcW w:w="5952" w:type="dxa"/>
            <w:tcBorders>
              <w:top w:val="single" w:color="000000" w:sz="4" w:space="0"/>
              <w:left w:val="single" w:color="000000" w:sz="4" w:space="0"/>
              <w:bottom w:val="single" w:color="000000" w:sz="4" w:space="0"/>
              <w:right w:val="single" w:color="000000" w:sz="4" w:space="0"/>
            </w:tcBorders>
            <w:vAlign w:val="top"/>
          </w:tcPr>
          <w:p>
            <w:pPr>
              <w:pStyle w:val="27"/>
              <w:spacing w:line="360" w:lineRule="auto"/>
              <w:ind w:left="103"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中标人须在中标候选人公示结束之日起3个工作日之内向</w:t>
            </w:r>
            <w:r>
              <w:rPr>
                <w:rFonts w:hint="eastAsia" w:ascii="宋体" w:hAnsi="宋体" w:eastAsia="宋体" w:cs="宋体"/>
                <w:color w:val="auto"/>
                <w:spacing w:val="-4"/>
                <w:sz w:val="21"/>
                <w:szCs w:val="21"/>
                <w:highlight w:val="none"/>
              </w:rPr>
              <w:t>广州公共资源交易中心一次性缴纳交易服务费（收费标准执</w:t>
            </w:r>
            <w:r>
              <w:rPr>
                <w:rFonts w:hint="eastAsia" w:ascii="宋体" w:hAnsi="宋体" w:eastAsia="宋体" w:cs="宋体"/>
                <w:color w:val="auto"/>
                <w:sz w:val="21"/>
                <w:szCs w:val="21"/>
                <w:highlight w:val="none"/>
              </w:rPr>
              <w:t>行广州公共资源交易中心相关规定）。交易服务费交至如下账户：</w:t>
            </w:r>
          </w:p>
          <w:p>
            <w:pPr>
              <w:pStyle w:val="27"/>
              <w:spacing w:before="22" w:line="360" w:lineRule="auto"/>
              <w:ind w:left="523" w:right="662" w:rightChars="0" w:hanging="9"/>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收款单位：广州交易集团有限公司</w:t>
            </w:r>
          </w:p>
          <w:p>
            <w:pPr>
              <w:pStyle w:val="27"/>
              <w:spacing w:before="22" w:line="360" w:lineRule="auto"/>
              <w:ind w:left="523" w:right="1871" w:hanging="9"/>
              <w:jc w:val="both"/>
              <w:rPr>
                <w:rFonts w:hint="eastAsia" w:ascii="宋体" w:hAnsi="宋体" w:eastAsia="宋体" w:cs="宋体"/>
                <w:color w:val="auto"/>
                <w:sz w:val="21"/>
                <w:szCs w:val="21"/>
                <w:highlight w:val="none"/>
              </w:rPr>
            </w:pPr>
            <w:r>
              <w:rPr>
                <w:rFonts w:hint="eastAsia" w:ascii="宋体" w:hAnsi="宋体" w:eastAsia="宋体" w:cs="宋体"/>
                <w:b/>
                <w:bCs/>
                <w:color w:val="auto"/>
                <w:w w:val="95"/>
                <w:sz w:val="21"/>
                <w:szCs w:val="21"/>
                <w:highlight w:val="none"/>
              </w:rPr>
              <w:t>银行账号：44001583404059112025</w:t>
            </w:r>
          </w:p>
          <w:p>
            <w:pPr>
              <w:pStyle w:val="27"/>
              <w:spacing w:line="360" w:lineRule="auto"/>
              <w:ind w:left="103" w:leftChars="0" w:right="0" w:rightChars="0"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开户银行：中国建设银行广州市天润路支行</w:t>
            </w:r>
          </w:p>
        </w:tc>
      </w:tr>
    </w:tbl>
    <w:p>
      <w:pPr>
        <w:spacing w:after="0" w:line="360" w:lineRule="auto"/>
        <w:jc w:val="both"/>
        <w:rPr>
          <w:rFonts w:ascii="宋体" w:hAnsi="宋体" w:eastAsia="宋体" w:cs="宋体"/>
          <w:color w:val="auto"/>
          <w:sz w:val="21"/>
          <w:szCs w:val="21"/>
          <w:highlight w:val="none"/>
        </w:rPr>
        <w:sectPr>
          <w:pgSz w:w="11910" w:h="16840"/>
          <w:pgMar w:top="1440" w:right="1080" w:bottom="1440" w:left="1080" w:header="0" w:footer="698"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1"/>
        <w:rPr>
          <w:rFonts w:hint="eastAsia" w:ascii="宋体" w:hAnsi="宋体" w:eastAsia="宋体" w:cs="宋体"/>
          <w:color w:val="auto"/>
          <w:sz w:val="24"/>
          <w:szCs w:val="24"/>
          <w:highlight w:val="none"/>
        </w:rPr>
      </w:pPr>
      <w:bookmarkStart w:id="29" w:name="_Toc24363"/>
      <w:r>
        <w:rPr>
          <w:rFonts w:hint="eastAsia" w:ascii="宋体" w:hAnsi="宋体" w:eastAsia="宋体" w:cs="宋体"/>
          <w:b/>
          <w:bCs/>
          <w:color w:val="auto"/>
          <w:sz w:val="24"/>
          <w:szCs w:val="24"/>
          <w:highlight w:val="none"/>
        </w:rPr>
        <w:t>1、总则</w:t>
      </w:r>
      <w:bookmarkEnd w:id="29"/>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30" w:name="_Toc9262"/>
      <w:r>
        <w:rPr>
          <w:rFonts w:hint="eastAsia" w:ascii="宋体" w:hAnsi="宋体" w:eastAsia="宋体" w:cs="宋体"/>
          <w:b/>
          <w:bCs/>
          <w:color w:val="auto"/>
          <w:sz w:val="24"/>
          <w:szCs w:val="24"/>
          <w:highlight w:val="none"/>
        </w:rPr>
        <w:t>1.1招标项目概况</w:t>
      </w:r>
      <w:bookmarkEnd w:id="30"/>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1.1.1根据《中华人民共和国招标投标法》、《中华人民共和国招标投标法实施条例》等有关法律、法规和规章的规定，本招标项目已具备招标条件，现对设计进行招标。</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1.1.2招标人：见投标人须知前附表。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1.1.3招标代理机构：见投标人须知前附表。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1.1.4招标项目名称：见投标人须知前附表。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1.1.5项目建设地点：见投标人须知前附表。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1.1.6项目建设规模：见投标人须知前附表。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1.1.7项目投资估算：见投标人须知前附表。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31" w:name="_Toc4819"/>
      <w:r>
        <w:rPr>
          <w:rFonts w:hint="eastAsia" w:ascii="宋体" w:hAnsi="宋体" w:eastAsia="宋体" w:cs="宋体"/>
          <w:b/>
          <w:bCs/>
          <w:color w:val="auto"/>
          <w:sz w:val="24"/>
          <w:szCs w:val="24"/>
          <w:highlight w:val="none"/>
        </w:rPr>
        <w:t>1.2招标项目的资金来源和落实情况</w:t>
      </w:r>
      <w:bookmarkEnd w:id="31"/>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1.2.1资金来源及比例：见投标人须知前附表。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1.2.2资金落实情况：见投标人须知前附表。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32" w:name="_Toc25228"/>
      <w:r>
        <w:rPr>
          <w:rFonts w:hint="eastAsia" w:ascii="宋体" w:hAnsi="宋体" w:eastAsia="宋体" w:cs="宋体"/>
          <w:b/>
          <w:bCs/>
          <w:color w:val="auto"/>
          <w:sz w:val="24"/>
          <w:szCs w:val="24"/>
          <w:highlight w:val="none"/>
        </w:rPr>
        <w:t>1.3招标范围、设计服务期限和质量标准</w:t>
      </w:r>
      <w:bookmarkEnd w:id="32"/>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1.3.1招标范围：见投标人须知前附表。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1.3.2服务期限：见投标人须知前附表。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1.3.3质量标准：见投标人须知前附表。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33" w:name="_Toc25178"/>
      <w:r>
        <w:rPr>
          <w:rFonts w:hint="eastAsia" w:ascii="宋体" w:hAnsi="宋体" w:eastAsia="宋体" w:cs="宋体"/>
          <w:b/>
          <w:bCs/>
          <w:color w:val="auto"/>
          <w:sz w:val="24"/>
          <w:szCs w:val="24"/>
          <w:highlight w:val="none"/>
        </w:rPr>
        <w:t>1.4投标人资格要求</w:t>
      </w:r>
      <w:bookmarkEnd w:id="33"/>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1.4.1投标人应具备承担本招标项目资质条件、能力和信誉：</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867" w:leftChars="0" w:right="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资质要求：见投标人须知前附表；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867" w:leftChars="0" w:right="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财务要求：见投标人须知前附表；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867" w:leftChars="0" w:right="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信誉要求：见投标人须知前附表；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867" w:leftChars="0" w:right="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项目负责人的资格要求：具体要求见投标人须知前附表；</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360" w:lineRule="auto"/>
        <w:ind w:left="867" w:leftChars="0" w:right="0"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其他主要人员要求：见投标人须知前附表。</w:t>
      </w:r>
    </w:p>
    <w:p>
      <w:pPr>
        <w:keepNext w:val="0"/>
        <w:keepLines w:val="0"/>
        <w:pageBreakBefore w:val="0"/>
        <w:widowControl w:val="0"/>
        <w:numPr>
          <w:ilvl w:val="0"/>
          <w:numId w:val="2"/>
        </w:numPr>
        <w:tabs>
          <w:tab w:val="left" w:pos="0"/>
        </w:tabs>
        <w:kinsoku/>
        <w:wordWrap w:val="0"/>
        <w:overflowPunct/>
        <w:topLinePunct w:val="0"/>
        <w:autoSpaceDE/>
        <w:autoSpaceDN/>
        <w:bidi w:val="0"/>
        <w:adjustRightInd/>
        <w:snapToGrid/>
        <w:spacing w:line="360" w:lineRule="auto"/>
        <w:ind w:left="867" w:leftChars="0" w:right="-240" w:rightChars="-109" w:hanging="425"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其他要求：见投标人须知前附表。需要提交的相关证明材料见本章第3.5款的规定。</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1.4.2投标人须知前附表规定接受联合体投标。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1.4.3投标人不得存在下列情形之一：</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（9）被依法暂停或者取消投标资格；</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（10）被责令停产停业、暂扣或者吊销许可证、暂扣或者吊销执照；</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（12）在最近三年内发生重大设计质量问题（以相关行业主管部门的行政处罚决定或司法机关出具的有关法律文书为准）；</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（13）被工商行政管理机关在全国企业信用信息公示系统中列入严重违法失信企业名单；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pacing w:val="38"/>
          <w:w w:val="95"/>
          <w:sz w:val="24"/>
          <w:szCs w:val="24"/>
          <w:highlight w:val="none"/>
          <w:lang w:eastAsia="zh-CN"/>
        </w:rPr>
      </w:pPr>
      <w:r>
        <w:rPr>
          <w:rFonts w:hint="eastAsia" w:ascii="宋体" w:hAnsi="宋体" w:eastAsia="宋体" w:cs="宋体"/>
          <w:color w:val="auto"/>
          <w:sz w:val="24"/>
          <w:szCs w:val="24"/>
          <w:highlight w:val="none"/>
        </w:rPr>
        <w:t>（14）法律法规或投标人须知前附表规定的其他情形。</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w w:val="99"/>
          <w:sz w:val="24"/>
          <w:szCs w:val="24"/>
          <w:highlight w:val="none"/>
          <w:lang w:eastAsia="zh-CN"/>
        </w:rPr>
      </w:pPr>
      <w:bookmarkStart w:id="34" w:name="_Toc4149"/>
      <w:r>
        <w:rPr>
          <w:rFonts w:hint="eastAsia" w:ascii="宋体" w:hAnsi="宋体" w:eastAsia="宋体" w:cs="宋体"/>
          <w:b/>
          <w:bCs/>
          <w:color w:val="auto"/>
          <w:sz w:val="24"/>
          <w:szCs w:val="24"/>
          <w:highlight w:val="none"/>
        </w:rPr>
        <w:t>1.5费用承担</w:t>
      </w:r>
      <w:bookmarkEnd w:id="34"/>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投标人准备和参加投标活动发生的费用自理。</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w w:val="99"/>
          <w:sz w:val="24"/>
          <w:szCs w:val="24"/>
          <w:highlight w:val="none"/>
          <w:lang w:eastAsia="zh-CN"/>
        </w:rPr>
      </w:pPr>
      <w:bookmarkStart w:id="35" w:name="_Toc20545"/>
      <w:r>
        <w:rPr>
          <w:rFonts w:hint="eastAsia" w:ascii="宋体" w:hAnsi="宋体" w:eastAsia="宋体" w:cs="宋体"/>
          <w:b/>
          <w:bCs/>
          <w:color w:val="auto"/>
          <w:sz w:val="24"/>
          <w:szCs w:val="24"/>
          <w:highlight w:val="none"/>
        </w:rPr>
        <w:t>1.6保密</w:t>
      </w:r>
      <w:bookmarkEnd w:id="35"/>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w w:val="99"/>
          <w:sz w:val="24"/>
          <w:szCs w:val="24"/>
          <w:highlight w:val="none"/>
          <w:lang w:eastAsia="zh-CN"/>
        </w:rPr>
      </w:pPr>
      <w:bookmarkStart w:id="36" w:name="_Toc32495"/>
      <w:r>
        <w:rPr>
          <w:rFonts w:hint="eastAsia" w:ascii="宋体" w:hAnsi="宋体" w:eastAsia="宋体" w:cs="宋体"/>
          <w:b/>
          <w:bCs/>
          <w:color w:val="auto"/>
          <w:sz w:val="24"/>
          <w:szCs w:val="24"/>
          <w:highlight w:val="none"/>
        </w:rPr>
        <w:t>1.7语言文字</w:t>
      </w:r>
      <w:bookmarkEnd w:id="36"/>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pacing w:val="50"/>
          <w:w w:val="95"/>
          <w:sz w:val="24"/>
          <w:szCs w:val="24"/>
          <w:highlight w:val="none"/>
          <w:lang w:eastAsia="zh-CN"/>
        </w:rPr>
      </w:pPr>
      <w:r>
        <w:rPr>
          <w:rFonts w:hint="eastAsia" w:ascii="宋体" w:hAnsi="宋体" w:eastAsia="宋体" w:cs="宋体"/>
          <w:color w:val="auto"/>
          <w:sz w:val="24"/>
          <w:szCs w:val="24"/>
          <w:highlight w:val="none"/>
        </w:rPr>
        <w:t>招标投标文件使用的语言文字为中文。专用术语使用外文的，应附有中文注释。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37" w:name="_Toc862"/>
      <w:r>
        <w:rPr>
          <w:rFonts w:hint="eastAsia" w:ascii="宋体" w:hAnsi="宋体" w:eastAsia="宋体" w:cs="宋体"/>
          <w:b/>
          <w:bCs/>
          <w:color w:val="auto"/>
          <w:sz w:val="24"/>
          <w:szCs w:val="24"/>
          <w:highlight w:val="none"/>
        </w:rPr>
        <w:t>1.8计量单位</w:t>
      </w:r>
      <w:bookmarkEnd w:id="37"/>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pacing w:val="9"/>
          <w:w w:val="95"/>
          <w:sz w:val="24"/>
          <w:szCs w:val="24"/>
          <w:highlight w:val="none"/>
          <w:lang w:eastAsia="zh-CN"/>
        </w:rPr>
      </w:pPr>
      <w:r>
        <w:rPr>
          <w:rFonts w:hint="eastAsia" w:ascii="宋体" w:hAnsi="宋体" w:eastAsia="宋体" w:cs="宋体"/>
          <w:color w:val="auto"/>
          <w:sz w:val="24"/>
          <w:szCs w:val="24"/>
          <w:highlight w:val="none"/>
        </w:rPr>
        <w:t>所有计量均采用中华人民共和国法定计量单位。</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38" w:name="_Toc28119"/>
      <w:r>
        <w:rPr>
          <w:rFonts w:hint="eastAsia" w:ascii="宋体" w:hAnsi="宋体" w:eastAsia="宋体" w:cs="宋体"/>
          <w:b/>
          <w:bCs/>
          <w:color w:val="auto"/>
          <w:sz w:val="24"/>
          <w:szCs w:val="24"/>
          <w:highlight w:val="none"/>
        </w:rPr>
        <w:t>1.9踏勘现场</w:t>
      </w:r>
      <w:bookmarkEnd w:id="38"/>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1.9.1招标人按投标人须知前附表不组织投标人踏勘项目现场。投标人可自行进行踏勘。</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1.9.2投标人踏勘现场发生的费用自理。</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1.9.3除招标人的原因外，投标人自行负责在踏勘现场中所发生的人员伤亡和财产损失。</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1.9.4招标人在踏勘现场中介绍的工程场地和相关的周边环境情况，供投标人在编制投标文件时参考，招标人不对投标人据此作出的判断和决策负责。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39" w:name="_Toc2954"/>
      <w:r>
        <w:rPr>
          <w:rFonts w:hint="eastAsia" w:ascii="宋体" w:hAnsi="宋体" w:eastAsia="宋体" w:cs="宋体"/>
          <w:b/>
          <w:bCs/>
          <w:color w:val="auto"/>
          <w:sz w:val="24"/>
          <w:szCs w:val="24"/>
          <w:highlight w:val="none"/>
        </w:rPr>
        <w:t>1.10投标预备会</w:t>
      </w:r>
      <w:bookmarkEnd w:id="39"/>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1.10.1按投标人须知前附表规定不召开投标预备会。</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1.10.2投标人提出问题截止时间详见投标人须知前附表。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1.10.3招标人书面澄清时间详见投标人须知前附表。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40" w:name="_Toc3532"/>
      <w:r>
        <w:rPr>
          <w:rFonts w:hint="eastAsia" w:ascii="宋体" w:hAnsi="宋体" w:eastAsia="宋体" w:cs="宋体"/>
          <w:b/>
          <w:bCs/>
          <w:color w:val="auto"/>
          <w:sz w:val="24"/>
          <w:szCs w:val="24"/>
          <w:highlight w:val="none"/>
        </w:rPr>
        <w:t>1.11分包</w:t>
      </w:r>
      <w:bookmarkEnd w:id="40"/>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投标人拟在中标后将中标项目的非主体、非关键性工作进行分包的，应符合投标人须知前附表规定的分包内容、分包金额和资质要求等限制性条件，除投标人须知前附表规定的主体、关键性设计工作外，其他工作允许专业分包。</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1.11.2中标人不得向他人转让中标项目，接受分包的人不得再次分包。中标人应当就分包项目向招标人负责，接受分包的人就分包项目承担连带责任。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41" w:name="_Toc23784"/>
      <w:r>
        <w:rPr>
          <w:rFonts w:hint="eastAsia" w:ascii="宋体" w:hAnsi="宋体" w:eastAsia="宋体" w:cs="宋体"/>
          <w:b/>
          <w:bCs/>
          <w:color w:val="auto"/>
          <w:sz w:val="24"/>
          <w:szCs w:val="24"/>
          <w:highlight w:val="none"/>
        </w:rPr>
        <w:t>1.12响应和偏差</w:t>
      </w:r>
      <w:bookmarkEnd w:id="41"/>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r>
        <w:rPr>
          <w:rFonts w:hint="eastAsia" w:ascii="宋体" w:hAnsi="宋体" w:eastAsia="宋体" w:cs="宋体"/>
          <w:color w:val="auto"/>
          <w:spacing w:val="2"/>
          <w:sz w:val="24"/>
          <w:szCs w:val="24"/>
          <w:highlight w:val="none"/>
        </w:rPr>
        <w:t>投标文件应当对招标文件的实质性要求和条件作出满足性或更有利于招标人的响应，否则，</w:t>
      </w:r>
      <w:r>
        <w:rPr>
          <w:rFonts w:hint="eastAsia" w:ascii="宋体" w:hAnsi="宋体" w:eastAsia="宋体" w:cs="宋体"/>
          <w:color w:val="auto"/>
          <w:sz w:val="24"/>
          <w:szCs w:val="24"/>
          <w:highlight w:val="none"/>
        </w:rPr>
        <w:t>投标人的投标将被否决。实质性要求和条件见投标人须知前附表。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1.12.2投标人应根据招标文件的要求提供投标设计方案等内容以对招标文件作出响应。</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1.12.3投标人须知前附表允许投标文件偏离招标文件某些要求的，偏差应当符合招标文件规定的偏差范围和幅度。</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1"/>
        <w:rPr>
          <w:rFonts w:hint="eastAsia" w:ascii="宋体" w:hAnsi="宋体" w:eastAsia="宋体" w:cs="宋体"/>
          <w:color w:val="auto"/>
          <w:sz w:val="24"/>
          <w:szCs w:val="24"/>
          <w:highlight w:val="none"/>
        </w:rPr>
      </w:pPr>
      <w:bookmarkStart w:id="42" w:name="2、招标文件"/>
      <w:bookmarkEnd w:id="42"/>
      <w:bookmarkStart w:id="43" w:name="_Toc30231"/>
      <w:r>
        <w:rPr>
          <w:rFonts w:hint="eastAsia" w:ascii="宋体" w:hAnsi="宋体" w:eastAsia="宋体" w:cs="宋体"/>
          <w:b/>
          <w:bCs/>
          <w:color w:val="auto"/>
          <w:sz w:val="24"/>
          <w:szCs w:val="24"/>
          <w:highlight w:val="none"/>
        </w:rPr>
        <w:t>2、招标文件</w:t>
      </w:r>
      <w:bookmarkEnd w:id="43"/>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both"/>
        <w:textAlignment w:val="auto"/>
        <w:outlineLvl w:val="2"/>
        <w:rPr>
          <w:rFonts w:hint="eastAsia" w:ascii="宋体" w:hAnsi="宋体" w:eastAsia="宋体" w:cs="宋体"/>
          <w:b/>
          <w:bCs/>
          <w:color w:val="auto"/>
          <w:w w:val="99"/>
          <w:sz w:val="24"/>
          <w:szCs w:val="24"/>
          <w:highlight w:val="none"/>
          <w:lang w:eastAsia="zh-CN"/>
        </w:rPr>
      </w:pPr>
      <w:bookmarkStart w:id="44" w:name="_Toc15986"/>
      <w:r>
        <w:rPr>
          <w:rFonts w:hint="eastAsia" w:ascii="宋体" w:hAnsi="宋体" w:eastAsia="宋体" w:cs="宋体"/>
          <w:b/>
          <w:bCs/>
          <w:color w:val="auto"/>
          <w:sz w:val="24"/>
          <w:szCs w:val="24"/>
          <w:highlight w:val="none"/>
        </w:rPr>
        <w:t>2.1招标文件的组成</w:t>
      </w:r>
      <w:bookmarkEnd w:id="44"/>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本招标文件包括：</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（3）评标办法；</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（4）合同条款及格式；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（5）发包人要求；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根据本章第1.10</w:t>
      </w:r>
      <w:r>
        <w:rPr>
          <w:rFonts w:hint="eastAsia" w:ascii="宋体" w:hAnsi="宋体" w:eastAsia="宋体" w:cs="宋体"/>
          <w:color w:val="auto"/>
          <w:spacing w:val="-10"/>
          <w:sz w:val="24"/>
          <w:szCs w:val="24"/>
          <w:highlight w:val="none"/>
        </w:rPr>
        <w:t>款、第</w:t>
      </w:r>
      <w:r>
        <w:rPr>
          <w:rFonts w:hint="eastAsia" w:ascii="宋体" w:hAnsi="宋体" w:eastAsia="宋体" w:cs="宋体"/>
          <w:color w:val="auto"/>
          <w:sz w:val="24"/>
          <w:szCs w:val="24"/>
          <w:highlight w:val="none"/>
        </w:rPr>
        <w:t>2.2款和第2.3款对招标文件所作的澄清、修改，构成招标文件的组成部分。</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45" w:name="_Toc29533"/>
      <w:r>
        <w:rPr>
          <w:rFonts w:hint="eastAsia" w:ascii="宋体" w:hAnsi="宋体" w:eastAsia="宋体" w:cs="宋体"/>
          <w:b/>
          <w:bCs/>
          <w:color w:val="auto"/>
          <w:sz w:val="24"/>
          <w:szCs w:val="24"/>
          <w:highlight w:val="none"/>
        </w:rPr>
        <w:t>2.2招标文件的澄清</w:t>
      </w:r>
      <w:bookmarkEnd w:id="45"/>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2.2.1投标人应仔细阅读和检查招标文件的全部内容。如发现缺页或附件不全，应及时向招标人提出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2.2.2招标文件的澄清以投标人须知前附表规定的形式发给所有购买招标文件的投</w:t>
      </w:r>
      <w:r>
        <w:rPr>
          <w:rFonts w:hint="eastAsia" w:ascii="宋体" w:hAnsi="宋体" w:eastAsia="宋体" w:cs="宋体"/>
          <w:color w:val="auto"/>
          <w:spacing w:val="-4"/>
          <w:sz w:val="24"/>
          <w:szCs w:val="24"/>
          <w:highlight w:val="none"/>
        </w:rPr>
        <w:t>标人，但不指明澄</w:t>
      </w:r>
      <w:r>
        <w:rPr>
          <w:rFonts w:hint="eastAsia" w:ascii="宋体" w:hAnsi="宋体" w:eastAsia="宋体" w:cs="宋体"/>
          <w:color w:val="auto"/>
          <w:sz w:val="24"/>
          <w:szCs w:val="24"/>
          <w:highlight w:val="none"/>
        </w:rPr>
        <w:t>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2.2.4除非招标人认为确有必要答复，否则，招标人有权拒绝回复投标人在本章第2.1项规定的时间后的任何澄清要求。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46" w:name="_Toc3480"/>
      <w:r>
        <w:rPr>
          <w:rFonts w:hint="eastAsia" w:ascii="宋体" w:hAnsi="宋体" w:eastAsia="宋体" w:cs="宋体"/>
          <w:b/>
          <w:bCs/>
          <w:color w:val="auto"/>
          <w:sz w:val="24"/>
          <w:szCs w:val="24"/>
          <w:highlight w:val="none"/>
        </w:rPr>
        <w:t>2.3招标文件的修改</w:t>
      </w:r>
      <w:bookmarkEnd w:id="46"/>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1"/>
        <w:rPr>
          <w:rFonts w:hint="eastAsia" w:ascii="宋体" w:hAnsi="宋体" w:eastAsia="宋体" w:cs="宋体"/>
          <w:color w:val="auto"/>
          <w:sz w:val="24"/>
          <w:szCs w:val="24"/>
          <w:highlight w:val="none"/>
        </w:rPr>
      </w:pPr>
      <w:bookmarkStart w:id="47" w:name="3、投标文件"/>
      <w:bookmarkEnd w:id="47"/>
      <w:bookmarkStart w:id="48" w:name="_Toc11043"/>
      <w:r>
        <w:rPr>
          <w:rFonts w:hint="eastAsia" w:ascii="宋体" w:hAnsi="宋体" w:eastAsia="宋体" w:cs="宋体"/>
          <w:b/>
          <w:bCs/>
          <w:color w:val="auto"/>
          <w:sz w:val="24"/>
          <w:szCs w:val="24"/>
          <w:highlight w:val="none"/>
        </w:rPr>
        <w:t>3、投标文件</w:t>
      </w:r>
      <w:bookmarkEnd w:id="48"/>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49" w:name="_Toc2109"/>
      <w:r>
        <w:rPr>
          <w:rFonts w:hint="eastAsia" w:ascii="宋体" w:hAnsi="宋体" w:eastAsia="宋体" w:cs="宋体"/>
          <w:b/>
          <w:bCs/>
          <w:color w:val="auto"/>
          <w:sz w:val="24"/>
          <w:szCs w:val="24"/>
          <w:highlight w:val="none"/>
        </w:rPr>
        <w:t>3.1投标文件的组成</w:t>
      </w:r>
      <w:bookmarkEnd w:id="49"/>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3.1.1投标文件应包括下列内容：</w:t>
      </w:r>
      <w:r>
        <w:rPr>
          <w:rFonts w:hint="eastAsia" w:ascii="宋体" w:hAnsi="宋体" w:eastAsia="宋体" w:cs="宋体"/>
          <w:color w:val="auto"/>
          <w:sz w:val="24"/>
          <w:szCs w:val="24"/>
          <w:highlight w:val="none"/>
          <w:u w:val="single" w:color="000000"/>
        </w:rPr>
        <w:t>详见招标文件“第七章投标文件格式”</w:t>
      </w:r>
      <w:r>
        <w:rPr>
          <w:rFonts w:hint="eastAsia" w:ascii="宋体" w:hAnsi="宋体" w:eastAsia="宋体" w:cs="宋体"/>
          <w:color w:val="auto"/>
          <w:sz w:val="24"/>
          <w:szCs w:val="24"/>
          <w:highlight w:val="none"/>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50" w:name="_Toc8299"/>
      <w:r>
        <w:rPr>
          <w:rFonts w:hint="eastAsia" w:ascii="宋体" w:hAnsi="宋体" w:eastAsia="宋体" w:cs="宋体"/>
          <w:b/>
          <w:bCs/>
          <w:color w:val="auto"/>
          <w:sz w:val="24"/>
          <w:szCs w:val="24"/>
          <w:highlight w:val="none"/>
        </w:rPr>
        <w:t>3.2投标报价</w:t>
      </w:r>
      <w:bookmarkEnd w:id="50"/>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3.2.1投标人应按第七章投标函填报投标下浮率和投标报价。</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3.2.2招标人设有最高限价的，投标人的投标报价不得超过最高限价，最高限价或其计算方法在投标人须知前附表中载明。</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3.2.3投标报价的其他要求见投标人须知前附表。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51" w:name="_Toc5986"/>
      <w:r>
        <w:rPr>
          <w:rFonts w:hint="eastAsia" w:ascii="宋体" w:hAnsi="宋体" w:eastAsia="宋体" w:cs="宋体"/>
          <w:b/>
          <w:bCs/>
          <w:color w:val="auto"/>
          <w:sz w:val="24"/>
          <w:szCs w:val="24"/>
          <w:highlight w:val="none"/>
        </w:rPr>
        <w:t>3.3投标有效期</w:t>
      </w:r>
      <w:bookmarkEnd w:id="51"/>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3.3.1除投标人须知前附表另有规定外，投标有效期为90日历天。</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3.3.2在投标有效期内，投标人撤销投标文件的，应承担招标文件和法律规定的责任。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52" w:name="_Toc18988"/>
      <w:r>
        <w:rPr>
          <w:rFonts w:hint="eastAsia" w:ascii="宋体" w:hAnsi="宋体" w:eastAsia="宋体" w:cs="宋体"/>
          <w:b/>
          <w:bCs/>
          <w:color w:val="auto"/>
          <w:sz w:val="24"/>
          <w:szCs w:val="24"/>
          <w:highlight w:val="none"/>
        </w:rPr>
        <w:t>3.4投标保证金</w:t>
      </w:r>
      <w:bookmarkEnd w:id="52"/>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3.4</w:t>
      </w:r>
      <w:r>
        <w:rPr>
          <w:rFonts w:hint="eastAsia" w:cs="宋体"/>
          <w:color w:val="auto"/>
          <w:spacing w:val="-1"/>
          <w:sz w:val="24"/>
          <w:szCs w:val="24"/>
          <w:highlight w:val="none"/>
          <w:lang w:eastAsia="zh-CN"/>
        </w:rPr>
        <w:t>.1 投标人应按投标须知前附表所述金额和时间递交投标保证金。招标人应当允许投标人自主选择现金、银行保函、保证保险、专业工程担保公司担保等方式缴纳投标保证金。</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（1）</w:t>
      </w:r>
      <w:r>
        <w:rPr>
          <w:rFonts w:hint="eastAsia" w:cs="宋体"/>
          <w:color w:val="auto"/>
          <w:spacing w:val="-1"/>
          <w:sz w:val="24"/>
          <w:szCs w:val="24"/>
          <w:highlight w:val="none"/>
          <w:lang w:eastAsia="zh-CN"/>
        </w:rPr>
        <w:t>采用现金或者支票形式提交的，投标保证金须从投标人的银行基本账户转出，由广州交易集团有限公司代收，缴纳情况以交易平台数据库记录的信息为准。具体操作要求详见广州公共资源交易中心有关指引，递交事宜请自行咨询交易中心。</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（2）</w:t>
      </w:r>
      <w:r>
        <w:rPr>
          <w:rFonts w:hint="eastAsia" w:cs="宋体"/>
          <w:color w:val="auto"/>
          <w:spacing w:val="-1"/>
          <w:sz w:val="24"/>
          <w:szCs w:val="24"/>
          <w:highlight w:val="none"/>
          <w:lang w:eastAsia="zh-CN"/>
        </w:rPr>
        <w:t>依法必须招标的工程如采用非电子形式的银行保函、专业工程担保公司担保或保证保险提交投标保证金的，在开标前不强制要求投标人提交纸质原件，由合格中标候选人在中标候选人公示前提交并在网上公示，如投标人选择在开标前提交纸质原件的，可在递交投标文件备用光盘的同时单独密封递交至开标室。投标人应在投标文件中提交保函、担保或保证保险扫描件并加盖投标人电子印章。如投标人存在3</w:t>
      </w:r>
      <w:r>
        <w:rPr>
          <w:rFonts w:hint="eastAsia" w:cs="宋体"/>
          <w:color w:val="auto"/>
          <w:spacing w:val="-1"/>
          <w:sz w:val="24"/>
          <w:szCs w:val="24"/>
          <w:highlight w:val="none"/>
          <w:lang w:val="en-US" w:eastAsia="zh-CN"/>
        </w:rPr>
        <w:t>.4</w:t>
      </w:r>
      <w:r>
        <w:rPr>
          <w:rFonts w:hint="eastAsia" w:cs="宋体"/>
          <w:color w:val="auto"/>
          <w:spacing w:val="-1"/>
          <w:sz w:val="24"/>
          <w:szCs w:val="24"/>
          <w:highlight w:val="none"/>
          <w:lang w:eastAsia="zh-CN"/>
        </w:rPr>
        <w:t>.4 条款所列情形的，应将纸质原件提交给招标人。</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（3）</w:t>
      </w:r>
      <w:r>
        <w:rPr>
          <w:rFonts w:hint="eastAsia" w:cs="宋体"/>
          <w:color w:val="auto"/>
          <w:spacing w:val="-1"/>
          <w:sz w:val="24"/>
          <w:szCs w:val="24"/>
          <w:highlight w:val="none"/>
          <w:lang w:eastAsia="zh-CN"/>
        </w:rPr>
        <w:t>采用电子形式的保函、担保或保证保险提交投标保证金的，具体操作要求详见广州公共资源交易中心有关指引，递交事宜请自行咨询交易中心。</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3.4</w:t>
      </w:r>
      <w:r>
        <w:rPr>
          <w:rFonts w:hint="eastAsia" w:cs="宋体"/>
          <w:color w:val="auto"/>
          <w:spacing w:val="-1"/>
          <w:sz w:val="24"/>
          <w:szCs w:val="24"/>
          <w:highlight w:val="none"/>
          <w:lang w:eastAsia="zh-CN"/>
        </w:rPr>
        <w:t>.2 开标时投标人没有按要求提供投标保证金的，其投标文件将被否决；未按招标文件要求提交符合免予提供投标保证金相关证明材料，且未提交投标保证金的投标人，视为未按要求提供投标保证金。</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3.4</w:t>
      </w:r>
      <w:r>
        <w:rPr>
          <w:rFonts w:hint="eastAsia" w:cs="宋体"/>
          <w:color w:val="auto"/>
          <w:spacing w:val="-1"/>
          <w:sz w:val="24"/>
          <w:szCs w:val="24"/>
          <w:highlight w:val="none"/>
          <w:lang w:eastAsia="zh-CN"/>
        </w:rPr>
        <w:t>.3 投标保证金应依据法律法规的相关规定退还。</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3.4</w:t>
      </w:r>
      <w:r>
        <w:rPr>
          <w:rFonts w:hint="eastAsia" w:cs="宋体"/>
          <w:color w:val="auto"/>
          <w:spacing w:val="-1"/>
          <w:sz w:val="24"/>
          <w:szCs w:val="24"/>
          <w:highlight w:val="none"/>
          <w:lang w:eastAsia="zh-CN"/>
        </w:rPr>
        <w:t>.4 如有下列情况之一的，招标人可以不予退还投标保证金：</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（1）</w:t>
      </w:r>
      <w:r>
        <w:rPr>
          <w:rFonts w:hint="eastAsia" w:cs="宋体"/>
          <w:color w:val="auto"/>
          <w:spacing w:val="-1"/>
          <w:sz w:val="24"/>
          <w:szCs w:val="24"/>
          <w:highlight w:val="none"/>
          <w:lang w:eastAsia="zh-CN"/>
        </w:rPr>
        <w:t xml:space="preserve"> 因投标人原因造成投标文件未解密的；</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（2）</w:t>
      </w:r>
      <w:r>
        <w:rPr>
          <w:rFonts w:hint="eastAsia" w:cs="宋体"/>
          <w:color w:val="auto"/>
          <w:spacing w:val="-1"/>
          <w:sz w:val="24"/>
          <w:szCs w:val="24"/>
          <w:highlight w:val="none"/>
          <w:lang w:eastAsia="zh-CN"/>
        </w:rPr>
        <w:t xml:space="preserve"> 投标人在投标有效期内撤销投标文件或放弃中标资格的；</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3</w:t>
      </w:r>
      <w:r>
        <w:rPr>
          <w:rFonts w:hint="eastAsia" w:cs="宋体"/>
          <w:color w:val="auto"/>
          <w:spacing w:val="-1"/>
          <w:sz w:val="24"/>
          <w:szCs w:val="24"/>
          <w:highlight w:val="none"/>
          <w:lang w:eastAsia="zh-CN"/>
        </w:rPr>
        <w:t>）中标人未能在规定期限内按要求提交履约担保；</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4</w:t>
      </w:r>
      <w:r>
        <w:rPr>
          <w:rFonts w:hint="eastAsia" w:cs="宋体"/>
          <w:color w:val="auto"/>
          <w:spacing w:val="-1"/>
          <w:sz w:val="24"/>
          <w:szCs w:val="24"/>
          <w:highlight w:val="none"/>
          <w:lang w:eastAsia="zh-CN"/>
        </w:rPr>
        <w:t>）中标人未能在规定期限内签署合同协议；</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5</w:t>
      </w:r>
      <w:r>
        <w:rPr>
          <w:rFonts w:hint="eastAsia" w:cs="宋体"/>
          <w:color w:val="auto"/>
          <w:spacing w:val="-1"/>
          <w:sz w:val="24"/>
          <w:szCs w:val="24"/>
          <w:highlight w:val="none"/>
          <w:lang w:eastAsia="zh-CN"/>
        </w:rPr>
        <w:t>） 投标人弄虚作假骗取中标的。</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3.4</w:t>
      </w:r>
      <w:r>
        <w:rPr>
          <w:rFonts w:hint="eastAsia" w:cs="宋体"/>
          <w:color w:val="auto"/>
          <w:spacing w:val="-1"/>
          <w:sz w:val="24"/>
          <w:szCs w:val="24"/>
          <w:highlight w:val="none"/>
          <w:lang w:eastAsia="zh-CN"/>
        </w:rPr>
        <w:t>.5 投标人如存在下列情况之一的，将被拒绝在一定时期内（拒绝投标时限由招标人视严重程度确定，最低三个月起，自招标人发出通知之日起计）参与招标人后续工程投标：</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val="en-US" w:eastAsia="zh-CN"/>
        </w:rPr>
        <w:t>（1）</w:t>
      </w:r>
      <w:r>
        <w:rPr>
          <w:rFonts w:hint="eastAsia" w:cs="宋体"/>
          <w:color w:val="auto"/>
          <w:spacing w:val="-1"/>
          <w:sz w:val="24"/>
          <w:szCs w:val="24"/>
          <w:highlight w:val="none"/>
          <w:lang w:eastAsia="zh-CN"/>
        </w:rPr>
        <w:t xml:space="preserve">投标人存在 </w:t>
      </w:r>
      <w:r>
        <w:rPr>
          <w:rFonts w:hint="eastAsia" w:cs="宋体"/>
          <w:color w:val="auto"/>
          <w:spacing w:val="-1"/>
          <w:sz w:val="24"/>
          <w:szCs w:val="24"/>
          <w:highlight w:val="none"/>
          <w:lang w:val="en-US" w:eastAsia="zh-CN"/>
        </w:rPr>
        <w:t>3</w:t>
      </w:r>
      <w:r>
        <w:rPr>
          <w:rFonts w:hint="eastAsia" w:cs="宋体"/>
          <w:color w:val="auto"/>
          <w:spacing w:val="-1"/>
          <w:sz w:val="24"/>
          <w:szCs w:val="24"/>
          <w:highlight w:val="none"/>
          <w:lang w:eastAsia="zh-CN"/>
        </w:rPr>
        <w:t xml:space="preserve">.4 </w:t>
      </w:r>
      <w:r>
        <w:rPr>
          <w:rFonts w:hint="eastAsia" w:cs="宋体"/>
          <w:color w:val="auto"/>
          <w:spacing w:val="-1"/>
          <w:sz w:val="24"/>
          <w:szCs w:val="24"/>
          <w:highlight w:val="none"/>
          <w:lang w:val="en-US" w:eastAsia="zh-CN"/>
        </w:rPr>
        <w:t>.4</w:t>
      </w:r>
      <w:r>
        <w:rPr>
          <w:rFonts w:hint="eastAsia" w:cs="宋体"/>
          <w:color w:val="auto"/>
          <w:spacing w:val="-1"/>
          <w:sz w:val="24"/>
          <w:szCs w:val="24"/>
          <w:highlight w:val="none"/>
          <w:lang w:eastAsia="zh-CN"/>
        </w:rPr>
        <w:t>条款所列情形且投标人提交的保函、担保或保证保险无法兑付的；</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2</w:t>
      </w:r>
      <w:r>
        <w:rPr>
          <w:rFonts w:hint="eastAsia" w:cs="宋体"/>
          <w:color w:val="auto"/>
          <w:spacing w:val="-1"/>
          <w:sz w:val="24"/>
          <w:szCs w:val="24"/>
          <w:highlight w:val="none"/>
          <w:lang w:eastAsia="zh-CN"/>
        </w:rPr>
        <w:t>）采用非电子形式提交投标保证金的投标人存在</w:t>
      </w:r>
      <w:r>
        <w:rPr>
          <w:rFonts w:hint="eastAsia" w:cs="宋体"/>
          <w:color w:val="auto"/>
          <w:spacing w:val="-1"/>
          <w:sz w:val="24"/>
          <w:szCs w:val="24"/>
          <w:highlight w:val="none"/>
          <w:lang w:val="en-US" w:eastAsia="zh-CN"/>
        </w:rPr>
        <w:t>3.4</w:t>
      </w:r>
      <w:r>
        <w:rPr>
          <w:rFonts w:hint="eastAsia" w:cs="宋体"/>
          <w:color w:val="auto"/>
          <w:spacing w:val="-1"/>
          <w:sz w:val="24"/>
          <w:szCs w:val="24"/>
          <w:highlight w:val="none"/>
          <w:lang w:eastAsia="zh-CN"/>
        </w:rPr>
        <w:t xml:space="preserve"> </w:t>
      </w:r>
      <w:r>
        <w:rPr>
          <w:rFonts w:hint="eastAsia" w:cs="宋体"/>
          <w:color w:val="auto"/>
          <w:spacing w:val="-1"/>
          <w:sz w:val="24"/>
          <w:szCs w:val="24"/>
          <w:highlight w:val="none"/>
          <w:lang w:val="en-US" w:eastAsia="zh-CN"/>
        </w:rPr>
        <w:t>.4</w:t>
      </w:r>
      <w:r>
        <w:rPr>
          <w:rFonts w:hint="eastAsia" w:cs="宋体"/>
          <w:color w:val="auto"/>
          <w:spacing w:val="-1"/>
          <w:sz w:val="24"/>
          <w:szCs w:val="24"/>
          <w:highlight w:val="none"/>
          <w:lang w:eastAsia="zh-CN"/>
        </w:rPr>
        <w:t>条款所列情形，且未按招标人要求补交银行保函、专业工程担保公司担保或保证保险原件的；</w:t>
      </w:r>
    </w:p>
    <w:p>
      <w:pPr>
        <w:pStyle w:val="11"/>
        <w:spacing w:before="0" w:line="400" w:lineRule="exact"/>
        <w:ind w:left="0" w:firstLine="476" w:firstLineChars="200"/>
        <w:jc w:val="both"/>
        <w:rPr>
          <w:rFonts w:hint="eastAsia" w:cs="宋体"/>
          <w:color w:val="auto"/>
          <w:spacing w:val="-1"/>
          <w:sz w:val="24"/>
          <w:szCs w:val="24"/>
          <w:highlight w:val="none"/>
          <w:lang w:eastAsia="zh-CN"/>
        </w:rPr>
      </w:pPr>
      <w:r>
        <w:rPr>
          <w:rFonts w:hint="eastAsia" w:cs="宋体"/>
          <w:color w:val="auto"/>
          <w:spacing w:val="-1"/>
          <w:sz w:val="24"/>
          <w:szCs w:val="24"/>
          <w:highlight w:val="none"/>
          <w:lang w:eastAsia="zh-CN"/>
        </w:rPr>
        <w:t>（</w:t>
      </w:r>
      <w:r>
        <w:rPr>
          <w:rFonts w:hint="eastAsia" w:cs="宋体"/>
          <w:color w:val="auto"/>
          <w:spacing w:val="-1"/>
          <w:sz w:val="24"/>
          <w:szCs w:val="24"/>
          <w:highlight w:val="none"/>
          <w:lang w:val="en-US" w:eastAsia="zh-CN"/>
        </w:rPr>
        <w:t>3</w:t>
      </w:r>
      <w:r>
        <w:rPr>
          <w:rFonts w:hint="eastAsia" w:cs="宋体"/>
          <w:color w:val="auto"/>
          <w:spacing w:val="-1"/>
          <w:sz w:val="24"/>
          <w:szCs w:val="24"/>
          <w:highlight w:val="none"/>
          <w:lang w:eastAsia="zh-CN"/>
        </w:rPr>
        <w:t>）按招标文件要求免于提供投标保证金的投标人存在</w:t>
      </w:r>
      <w:r>
        <w:rPr>
          <w:rFonts w:hint="eastAsia" w:cs="宋体"/>
          <w:color w:val="auto"/>
          <w:spacing w:val="-1"/>
          <w:sz w:val="24"/>
          <w:szCs w:val="24"/>
          <w:highlight w:val="none"/>
          <w:lang w:val="en-US" w:eastAsia="zh-CN"/>
        </w:rPr>
        <w:t>3.4</w:t>
      </w:r>
      <w:r>
        <w:rPr>
          <w:rFonts w:hint="eastAsia" w:cs="宋体"/>
          <w:color w:val="auto"/>
          <w:spacing w:val="-1"/>
          <w:sz w:val="24"/>
          <w:szCs w:val="24"/>
          <w:highlight w:val="none"/>
          <w:lang w:eastAsia="zh-CN"/>
        </w:rPr>
        <w:t>.4 条款所列情形的，且未按照招标人的要求，在规定的时间内向招标人足额补交投标保证金的。</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color w:val="auto"/>
          <w:sz w:val="24"/>
          <w:szCs w:val="24"/>
          <w:highlight w:val="none"/>
        </w:rPr>
      </w:pPr>
      <w:bookmarkStart w:id="53" w:name="_Toc10285"/>
      <w:r>
        <w:rPr>
          <w:rFonts w:hint="eastAsia" w:ascii="宋体" w:hAnsi="宋体" w:eastAsia="宋体" w:cs="宋体"/>
          <w:color w:val="auto"/>
          <w:sz w:val="24"/>
          <w:szCs w:val="24"/>
          <w:highlight w:val="none"/>
        </w:rPr>
        <w:t>3.5</w:t>
      </w:r>
      <w:r>
        <w:rPr>
          <w:rFonts w:hint="eastAsia" w:ascii="宋体" w:hAnsi="宋体" w:eastAsia="宋体" w:cs="宋体"/>
          <w:b/>
          <w:bCs/>
          <w:color w:val="auto"/>
          <w:sz w:val="24"/>
          <w:szCs w:val="24"/>
          <w:highlight w:val="none"/>
        </w:rPr>
        <w:t>资格审査资料</w:t>
      </w:r>
      <w:bookmarkEnd w:id="53"/>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3.5.1设计单位《营业执照》副本(或事业单位法人证书)</w:t>
      </w:r>
      <w:r>
        <w:rPr>
          <w:rFonts w:hint="eastAsia" w:ascii="宋体" w:hAnsi="宋体" w:eastAsia="宋体" w:cs="宋体"/>
          <w:color w:val="auto"/>
          <w:sz w:val="24"/>
          <w:szCs w:val="24"/>
          <w:highlight w:val="none"/>
          <w:lang w:val="en-US" w:eastAsia="zh-CN"/>
        </w:rPr>
        <w:t>扫描</w:t>
      </w:r>
      <w:r>
        <w:rPr>
          <w:rFonts w:hint="eastAsia"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3.5.2设计单位《资质证书》副本</w:t>
      </w:r>
      <w:r>
        <w:rPr>
          <w:rFonts w:hint="eastAsia" w:ascii="宋体" w:hAnsi="宋体" w:eastAsia="宋体" w:cs="宋体"/>
          <w:color w:val="auto"/>
          <w:sz w:val="24"/>
          <w:szCs w:val="24"/>
          <w:highlight w:val="none"/>
          <w:lang w:val="en-US" w:eastAsia="zh-CN"/>
        </w:rPr>
        <w:t>扫描</w:t>
      </w:r>
      <w:r>
        <w:rPr>
          <w:rFonts w:hint="eastAsia" w:ascii="宋体" w:hAnsi="宋体" w:eastAsia="宋体" w:cs="宋体"/>
          <w:color w:val="auto"/>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3.5.3拟派本工程的项目负责人须具备港航或水工专业高级工程师职称资格或以上。应附身份证、职称证和提供社保部门出具的投标截止时间前近3个月或以上(扣除发布招标公告当月)社保证明材料（须在投标人本单位(含非独立法人分支机构)缴纳社会保险）扫描件</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3.5.4广东省外的投标人须已在“进粤企业和人员诚信信息登记平台”录入相关信息并通过数据规范检查并通过数据规范检查和拟投入的人员必须在已登记人员中派出的网页打印件或截图。</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3.5.5</w:t>
      </w:r>
      <w:r>
        <w:rPr>
          <w:rFonts w:hint="eastAsia" w:ascii="宋体" w:hAnsi="宋体" w:eastAsia="宋体" w:cs="宋体"/>
          <w:color w:val="auto"/>
          <w:sz w:val="24"/>
          <w:szCs w:val="24"/>
          <w:highlight w:val="none"/>
          <w:lang w:eastAsia="zh-CN"/>
        </w:rPr>
        <w:t>投标人须已在“国家企业信用信息公示系统”登记，2020年以来在该系统中和“信用中国”中没有出现被限制参与招投标资格的行 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keepNext w:val="0"/>
        <w:keepLines w:val="0"/>
        <w:pageBreakBefore w:val="0"/>
        <w:widowControl w:val="0"/>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本项目由评标委员会负责对投标人的资格进行审査，评标时只对通过资格审查的投标人进行下一阶段的评审。</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54" w:name="_Toc12992"/>
      <w:r>
        <w:rPr>
          <w:rFonts w:hint="eastAsia" w:ascii="宋体" w:hAnsi="宋体" w:eastAsia="宋体" w:cs="宋体"/>
          <w:b/>
          <w:bCs/>
          <w:color w:val="auto"/>
          <w:sz w:val="24"/>
          <w:szCs w:val="24"/>
          <w:highlight w:val="none"/>
        </w:rPr>
        <w:t>3.6备选投标方案</w:t>
      </w:r>
      <w:bookmarkEnd w:id="54"/>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55" w:name="_Toc20022"/>
      <w:r>
        <w:rPr>
          <w:rFonts w:hint="eastAsia" w:ascii="宋体" w:hAnsi="宋体" w:eastAsia="宋体" w:cs="宋体"/>
          <w:b/>
          <w:bCs/>
          <w:color w:val="auto"/>
          <w:sz w:val="24"/>
          <w:szCs w:val="24"/>
          <w:highlight w:val="none"/>
        </w:rPr>
        <w:t>3.7投标文件的编制</w:t>
      </w:r>
      <w:bookmarkEnd w:id="55"/>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投标文件应按第七章“投标文件格式”进行编写，如有必要，可以增加附页，作为投标文件的组成部分。其中，投标函附录在满足招标文件实质性要求的基础上，可以提出比招标文件要求更有利于招标人的承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3.7.2投标文件应当对招标文件有关设计服务期限、投标有效期、发包人要求、招标范围等实质性内容作出响应。</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投标文件全部采用电子文档，除投标人须知前附表另有规定外，投标文件所附证书证件均为原件扫描件，并采用单位公章和单位数字证书，按招标文件要求在相应位置加盖单位公章和单位电子印章。由投标人的法定代表人签字或盖章，应附法定代表人身份证明，由代理人签字或盖章，应附由法定代表人签名或盖章的授权委托书。签字或盖章的具体要求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1"/>
        <w:rPr>
          <w:rFonts w:hint="eastAsia" w:ascii="宋体" w:hAnsi="宋体" w:eastAsia="宋体" w:cs="宋体"/>
          <w:color w:val="auto"/>
          <w:sz w:val="24"/>
          <w:szCs w:val="24"/>
          <w:highlight w:val="none"/>
        </w:rPr>
      </w:pPr>
      <w:bookmarkStart w:id="56" w:name="4、投标"/>
      <w:bookmarkEnd w:id="56"/>
      <w:bookmarkStart w:id="57" w:name="_Toc3956"/>
      <w:r>
        <w:rPr>
          <w:rFonts w:hint="eastAsia" w:ascii="宋体" w:hAnsi="宋体" w:eastAsia="宋体" w:cs="宋体"/>
          <w:b/>
          <w:bCs/>
          <w:color w:val="auto"/>
          <w:sz w:val="24"/>
          <w:szCs w:val="24"/>
          <w:highlight w:val="none"/>
        </w:rPr>
        <w:t>4、投标</w:t>
      </w:r>
      <w:bookmarkEnd w:id="57"/>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58" w:name="_Toc326"/>
      <w:r>
        <w:rPr>
          <w:rFonts w:hint="eastAsia" w:ascii="宋体" w:hAnsi="宋体" w:eastAsia="宋体" w:cs="宋体"/>
          <w:b/>
          <w:bCs/>
          <w:color w:val="auto"/>
          <w:sz w:val="24"/>
          <w:szCs w:val="24"/>
          <w:highlight w:val="none"/>
        </w:rPr>
        <w:t>4.1投标文件的密封和标记</w:t>
      </w:r>
      <w:bookmarkEnd w:id="58"/>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w:t>
      </w:r>
      <w:r>
        <w:rPr>
          <w:rFonts w:hint="eastAsia" w:ascii="宋体" w:hAnsi="宋体" w:eastAsia="宋体" w:cs="宋体"/>
          <w:color w:val="auto"/>
          <w:spacing w:val="2"/>
          <w:sz w:val="24"/>
          <w:szCs w:val="24"/>
          <w:highlight w:val="none"/>
        </w:rPr>
        <w:t>投标人应当按照招标文件和电子招标投标交易平台的要求加密投标文件，具体要求见投标人须</w:t>
      </w:r>
      <w:r>
        <w:rPr>
          <w:rFonts w:hint="eastAsia" w:ascii="宋体" w:hAnsi="宋体" w:eastAsia="宋体" w:cs="宋体"/>
          <w:color w:val="auto"/>
          <w:sz w:val="24"/>
          <w:szCs w:val="24"/>
          <w:highlight w:val="none"/>
        </w:rPr>
        <w:t>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8" w:firstLineChars="200"/>
        <w:jc w:val="left"/>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4.1.2投标文件封套上应写明的内容见投标人须知前附表。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59" w:name="_Toc31198"/>
      <w:r>
        <w:rPr>
          <w:rFonts w:hint="eastAsia" w:ascii="宋体" w:hAnsi="宋体" w:eastAsia="宋体" w:cs="宋体"/>
          <w:b/>
          <w:bCs/>
          <w:color w:val="auto"/>
          <w:sz w:val="24"/>
          <w:szCs w:val="24"/>
          <w:highlight w:val="none"/>
        </w:rPr>
        <w:t>4.2投标文件的递交</w:t>
      </w:r>
      <w:bookmarkEnd w:id="59"/>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4.2.1投标人应在投标人须知前附表规定的投标截止时间前递交投标文件。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4.2.2投标人通过下载招标文件的电子招标投标交易平台递交电子投标文件。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4.2.3除投标人须知前附表另有规定外，投标人所递交的投标文件不予退还。</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w:t>
      </w:r>
      <w:r>
        <w:rPr>
          <w:rFonts w:hint="eastAsia" w:ascii="宋体" w:hAnsi="宋体" w:eastAsia="宋体" w:cs="宋体"/>
          <w:color w:val="auto"/>
          <w:spacing w:val="-2"/>
          <w:sz w:val="24"/>
          <w:szCs w:val="24"/>
          <w:highlight w:val="none"/>
        </w:rPr>
        <w:t>投标人完成电子投标文件上传后，电子招标投标交易平台即时向投标人发出递交回执通知。递交</w:t>
      </w:r>
      <w:r>
        <w:rPr>
          <w:rFonts w:hint="eastAsia" w:ascii="宋体" w:hAnsi="宋体" w:eastAsia="宋体" w:cs="宋体"/>
          <w:color w:val="auto"/>
          <w:sz w:val="24"/>
          <w:szCs w:val="24"/>
          <w:highlight w:val="none"/>
        </w:rPr>
        <w:t>时间以递交回执通知载明的传输完成时间为准。</w:t>
      </w:r>
    </w:p>
    <w:p>
      <w:pPr>
        <w:pStyle w:val="11"/>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4.2.5逾期送达的电子投标文件，电子招标投标交易平台将予以拒收。</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u w:val="single" w:color="000000"/>
        </w:rPr>
        <w:t>4.2.6如按招标公告要求需要提交投标文件光盘，备用电子光盘不得加密。如使用投标文件光盘时无法读取或导入的，则视为未提交投标文件。</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60" w:name="_Toc6624"/>
      <w:r>
        <w:rPr>
          <w:rFonts w:hint="eastAsia" w:ascii="宋体" w:hAnsi="宋体" w:eastAsia="宋体" w:cs="宋体"/>
          <w:b/>
          <w:bCs/>
          <w:color w:val="auto"/>
          <w:sz w:val="24"/>
          <w:szCs w:val="24"/>
          <w:highlight w:val="none"/>
        </w:rPr>
        <w:t>4.3投标文件的修改与撤回</w:t>
      </w:r>
      <w:bookmarkEnd w:id="60"/>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4.3.2投标人修改或撤回已递交投标文件的通知，应按照本章第3.7.3项的要求加盖电子印章。电子招标投标交易平台收到通知后，即时向投标人发出确认回执通知。</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w:t>
      </w:r>
      <w:r>
        <w:rPr>
          <w:rFonts w:hint="eastAsia" w:ascii="宋体" w:hAnsi="宋体" w:eastAsia="宋体" w:cs="宋体"/>
          <w:color w:val="auto"/>
          <w:spacing w:val="2"/>
          <w:sz w:val="24"/>
          <w:szCs w:val="24"/>
          <w:highlight w:val="none"/>
        </w:rPr>
        <w:t>修改的内容为投标文件的组成部分。修改的投标文件应按照本章第</w:t>
      </w:r>
      <w:r>
        <w:rPr>
          <w:rFonts w:hint="eastAsia" w:ascii="宋体" w:hAnsi="宋体" w:eastAsia="宋体" w:cs="宋体"/>
          <w:color w:val="auto"/>
          <w:sz w:val="24"/>
          <w:szCs w:val="24"/>
          <w:highlight w:val="none"/>
        </w:rPr>
        <w:t>3</w:t>
      </w:r>
      <w:r>
        <w:rPr>
          <w:rFonts w:hint="eastAsia" w:ascii="宋体" w:hAnsi="宋体" w:eastAsia="宋体" w:cs="宋体"/>
          <w:color w:val="auto"/>
          <w:spacing w:val="2"/>
          <w:sz w:val="24"/>
          <w:szCs w:val="24"/>
          <w:highlight w:val="none"/>
        </w:rPr>
        <w:t>条、第</w:t>
      </w:r>
      <w:r>
        <w:rPr>
          <w:rFonts w:hint="eastAsia" w:ascii="宋体" w:hAnsi="宋体" w:eastAsia="宋体" w:cs="宋体"/>
          <w:color w:val="auto"/>
          <w:sz w:val="24"/>
          <w:szCs w:val="24"/>
          <w:highlight w:val="none"/>
        </w:rPr>
        <w:t>4</w:t>
      </w:r>
      <w:r>
        <w:rPr>
          <w:rFonts w:hint="eastAsia" w:ascii="宋体" w:hAnsi="宋体" w:eastAsia="宋体" w:cs="宋体"/>
          <w:color w:val="auto"/>
          <w:spacing w:val="2"/>
          <w:sz w:val="24"/>
          <w:szCs w:val="24"/>
          <w:highlight w:val="none"/>
        </w:rPr>
        <w:t>条的规定进行</w:t>
      </w:r>
      <w:r>
        <w:rPr>
          <w:rFonts w:hint="eastAsia" w:ascii="宋体" w:hAnsi="宋体" w:eastAsia="宋体" w:cs="宋体"/>
          <w:color w:val="auto"/>
          <w:sz w:val="24"/>
          <w:szCs w:val="24"/>
          <w:highlight w:val="none"/>
        </w:rPr>
        <w:t>编制、密封、标记和递交，并标明“修改”字样。</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1"/>
        <w:rPr>
          <w:rFonts w:hint="eastAsia" w:ascii="宋体" w:hAnsi="宋体" w:eastAsia="宋体" w:cs="宋体"/>
          <w:color w:val="auto"/>
          <w:sz w:val="24"/>
          <w:szCs w:val="24"/>
          <w:highlight w:val="none"/>
        </w:rPr>
      </w:pPr>
      <w:bookmarkStart w:id="61" w:name="5、开标"/>
      <w:bookmarkEnd w:id="61"/>
      <w:bookmarkStart w:id="62" w:name="_Toc169"/>
      <w:r>
        <w:rPr>
          <w:rFonts w:hint="eastAsia" w:ascii="宋体" w:hAnsi="宋体" w:eastAsia="宋体" w:cs="宋体"/>
          <w:b/>
          <w:bCs/>
          <w:color w:val="auto"/>
          <w:sz w:val="24"/>
          <w:szCs w:val="24"/>
          <w:highlight w:val="none"/>
        </w:rPr>
        <w:t>5、开标</w:t>
      </w:r>
      <w:bookmarkEnd w:id="62"/>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color w:val="auto"/>
          <w:sz w:val="24"/>
          <w:szCs w:val="24"/>
          <w:highlight w:val="none"/>
        </w:rPr>
      </w:pPr>
      <w:bookmarkStart w:id="63" w:name="_Toc2900"/>
      <w:r>
        <w:rPr>
          <w:rFonts w:hint="eastAsia" w:ascii="宋体" w:hAnsi="宋体" w:eastAsia="宋体" w:cs="宋体"/>
          <w:color w:val="auto"/>
          <w:sz w:val="24"/>
          <w:szCs w:val="24"/>
          <w:highlight w:val="none"/>
        </w:rPr>
        <w:t>5.1</w:t>
      </w:r>
      <w:r>
        <w:rPr>
          <w:rFonts w:hint="eastAsia" w:ascii="宋体" w:hAnsi="宋体" w:eastAsia="宋体" w:cs="宋体"/>
          <w:b/>
          <w:bCs/>
          <w:color w:val="auto"/>
          <w:sz w:val="24"/>
          <w:szCs w:val="24"/>
          <w:highlight w:val="none"/>
        </w:rPr>
        <w:t>开标时间和地点</w:t>
      </w:r>
      <w:bookmarkEnd w:id="63"/>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招标人在本章第4.2.1项规定的投标截止时间（开标时间），通过电子招标投标交易平台公开开标。</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outlineLvl w:val="2"/>
        <w:rPr>
          <w:rFonts w:hint="eastAsia" w:ascii="宋体" w:hAnsi="宋体" w:eastAsia="宋体" w:cs="宋体"/>
          <w:b/>
          <w:bCs/>
          <w:color w:val="auto"/>
          <w:sz w:val="24"/>
          <w:szCs w:val="24"/>
          <w:highlight w:val="none"/>
        </w:rPr>
      </w:pPr>
      <w:bookmarkStart w:id="64" w:name="_Toc13297"/>
      <w:r>
        <w:rPr>
          <w:rFonts w:hint="eastAsia" w:ascii="宋体" w:hAnsi="宋体" w:eastAsia="宋体" w:cs="宋体"/>
          <w:color w:val="auto"/>
          <w:sz w:val="24"/>
          <w:szCs w:val="24"/>
          <w:highlight w:val="none"/>
        </w:rPr>
        <w:t>5.2</w:t>
      </w:r>
      <w:r>
        <w:rPr>
          <w:rFonts w:hint="eastAsia" w:ascii="宋体" w:hAnsi="宋体" w:eastAsia="宋体" w:cs="宋体"/>
          <w:b/>
          <w:bCs/>
          <w:color w:val="auto"/>
          <w:sz w:val="24"/>
          <w:szCs w:val="24"/>
          <w:highlight w:val="none"/>
        </w:rPr>
        <w:t>开标程序</w:t>
      </w:r>
      <w:bookmarkEnd w:id="64"/>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5.2.1</w:t>
      </w:r>
      <w:r>
        <w:rPr>
          <w:rFonts w:hint="eastAsia" w:ascii="宋体" w:hAnsi="宋体" w:eastAsia="宋体" w:cs="宋体"/>
          <w:color w:val="auto"/>
          <w:sz w:val="24"/>
          <w:szCs w:val="24"/>
          <w:highlight w:val="none"/>
        </w:rPr>
        <w:t>开标由招标代理主持，主持人按下列程序进行开标：</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（1）宣布开标纪律；</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（2）公布在投标截止时间前递交投标文件的投标人名称；</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（3）宣布开标人、唱标人、记录人、监标人等有关人员姓名；</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（4）投标人通过电子招标投标交易平台对已递交的电子投标文件进行解密，公布招标项目名称、投标人名称、投标保证金的递交情况、投标报价、服务期限及其他内容，并记录在案；</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（5）投标人代表、招标人代表、监标人、记录人等有关人员在开标记录上签字确认。招标人邀请所有投标人代表参加，如投标人代表不出席，视为同意开标信息；</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（6）开标结束。</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5.2.2投标截止时间前未完成投标文件传输的因投标人原因造成投标文件未解密的或未在投标截止时间后半小时解密的，视为撤销其投标文件。</w:t>
      </w:r>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5.2.3开标时，两个（含两个）以上的投标人加密打包投标文件电脑机器特征码一致的，不参与下一程序，并由评标委员会否决其投标。</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65" w:name="_Toc3885"/>
      <w:r>
        <w:rPr>
          <w:rFonts w:hint="eastAsia" w:ascii="宋体" w:hAnsi="宋体" w:eastAsia="宋体" w:cs="宋体"/>
          <w:b/>
          <w:bCs/>
          <w:color w:val="auto"/>
          <w:sz w:val="24"/>
          <w:szCs w:val="24"/>
          <w:highlight w:val="none"/>
        </w:rPr>
        <w:t>5.3开标异议</w:t>
      </w:r>
      <w:bookmarkEnd w:id="65"/>
    </w:p>
    <w:p>
      <w:pPr>
        <w:pStyle w:val="11"/>
        <w:spacing w:before="0" w:line="360" w:lineRule="auto"/>
        <w:ind w:left="0" w:right="0" w:firstLine="488" w:firstLineChars="200"/>
        <w:jc w:val="both"/>
        <w:rPr>
          <w:rFonts w:hint="eastAsia" w:cs="宋体"/>
          <w:color w:val="auto"/>
          <w:spacing w:val="2"/>
          <w:sz w:val="24"/>
          <w:szCs w:val="24"/>
          <w:highlight w:val="none"/>
        </w:rPr>
      </w:pPr>
      <w:r>
        <w:rPr>
          <w:rFonts w:hint="eastAsia" w:cs="宋体"/>
          <w:color w:val="auto"/>
          <w:spacing w:val="2"/>
          <w:w w:val="100"/>
          <w:sz w:val="24"/>
          <w:szCs w:val="24"/>
          <w:highlight w:val="none"/>
        </w:rPr>
        <w:t>投标人对开标有异议的，应当在开标现场提出，招标人当场作出答复，并制作记录。</w:t>
      </w:r>
    </w:p>
    <w:p>
      <w:pPr>
        <w:pStyle w:val="11"/>
        <w:spacing w:before="0" w:line="360" w:lineRule="auto"/>
        <w:ind w:left="0" w:right="0" w:firstLine="482" w:firstLineChars="200"/>
        <w:jc w:val="left"/>
        <w:outlineLvl w:val="1"/>
        <w:rPr>
          <w:rFonts w:hint="eastAsia" w:ascii="宋体" w:hAnsi="宋体" w:eastAsia="宋体" w:cs="宋体"/>
          <w:color w:val="auto"/>
          <w:sz w:val="24"/>
          <w:szCs w:val="24"/>
          <w:highlight w:val="none"/>
        </w:rPr>
      </w:pPr>
      <w:bookmarkStart w:id="66" w:name="_Toc12657"/>
      <w:r>
        <w:rPr>
          <w:rFonts w:hint="eastAsia" w:ascii="宋体" w:hAnsi="宋体" w:eastAsia="宋体" w:cs="宋体"/>
          <w:b/>
          <w:bCs/>
          <w:color w:val="auto"/>
          <w:sz w:val="24"/>
          <w:szCs w:val="24"/>
          <w:highlight w:val="none"/>
        </w:rPr>
        <w:t>6、评标</w:t>
      </w:r>
      <w:bookmarkEnd w:id="66"/>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67" w:name="_Toc21807"/>
      <w:r>
        <w:rPr>
          <w:rFonts w:hint="eastAsia" w:ascii="宋体" w:hAnsi="宋体" w:eastAsia="宋体" w:cs="宋体"/>
          <w:b/>
          <w:bCs/>
          <w:color w:val="auto"/>
          <w:sz w:val="24"/>
          <w:szCs w:val="24"/>
          <w:highlight w:val="none"/>
        </w:rPr>
        <w:t>6.1评标委员会</w:t>
      </w:r>
      <w:bookmarkEnd w:id="67"/>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6.1.1评标由招标人依法组建的评标委员会负责。评标委员会成员人数以及技术、经济等方面专家的确定方式见投标人须知前附表。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6.1.2评标委员会成员有下列情形之一的，应当回避：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（1）投标人或投标人主要负责人的近亲属；</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（3）与投标人有经济利益关系，可能影响对投标公正评审的；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（5）与投标人有其他利害关系。</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68" w:name="_Toc5891"/>
      <w:r>
        <w:rPr>
          <w:rFonts w:hint="eastAsia" w:ascii="宋体" w:hAnsi="宋体" w:eastAsia="宋体" w:cs="宋体"/>
          <w:b/>
          <w:bCs/>
          <w:color w:val="auto"/>
          <w:sz w:val="24"/>
          <w:szCs w:val="24"/>
          <w:highlight w:val="none"/>
        </w:rPr>
        <w:t>6.2评标原则</w:t>
      </w:r>
      <w:bookmarkEnd w:id="68"/>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69" w:name="_Toc9295"/>
      <w:r>
        <w:rPr>
          <w:rFonts w:hint="eastAsia" w:ascii="宋体" w:hAnsi="宋体" w:eastAsia="宋体" w:cs="宋体"/>
          <w:b/>
          <w:bCs/>
          <w:color w:val="auto"/>
          <w:sz w:val="24"/>
          <w:szCs w:val="24"/>
          <w:highlight w:val="none"/>
        </w:rPr>
        <w:t>6.3评标</w:t>
      </w:r>
      <w:bookmarkEnd w:id="69"/>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r>
        <w:rPr>
          <w:rFonts w:hint="eastAsia" w:ascii="宋体" w:hAnsi="宋体" w:eastAsia="宋体" w:cs="宋体"/>
          <w:color w:val="auto"/>
          <w:spacing w:val="-2"/>
          <w:sz w:val="24"/>
          <w:szCs w:val="24"/>
          <w:highlight w:val="none"/>
        </w:rPr>
        <w:t>评标完成后，评标委员会应当向招标人提交书面评标报告和中标候选人名单。评标委员会推荐中</w:t>
      </w:r>
      <w:r>
        <w:rPr>
          <w:rFonts w:hint="eastAsia" w:ascii="宋体" w:hAnsi="宋体" w:eastAsia="宋体" w:cs="宋体"/>
          <w:color w:val="auto"/>
          <w:sz w:val="24"/>
          <w:szCs w:val="24"/>
          <w:highlight w:val="none"/>
        </w:rPr>
        <w:t>标候选人的人数见投标人须知前附表。</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1"/>
        <w:rPr>
          <w:rFonts w:hint="eastAsia" w:ascii="宋体" w:hAnsi="宋体" w:eastAsia="宋体" w:cs="宋体"/>
          <w:color w:val="auto"/>
          <w:sz w:val="24"/>
          <w:szCs w:val="24"/>
          <w:highlight w:val="none"/>
        </w:rPr>
      </w:pPr>
      <w:bookmarkStart w:id="70" w:name="_Toc13894"/>
      <w:r>
        <w:rPr>
          <w:rFonts w:hint="eastAsia" w:ascii="宋体" w:hAnsi="宋体" w:eastAsia="宋体" w:cs="宋体"/>
          <w:b/>
          <w:bCs/>
          <w:color w:val="auto"/>
          <w:sz w:val="24"/>
          <w:szCs w:val="24"/>
          <w:highlight w:val="none"/>
        </w:rPr>
        <w:t>7、合同授予</w:t>
      </w:r>
      <w:bookmarkEnd w:id="70"/>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71" w:name="_Toc31806"/>
      <w:r>
        <w:rPr>
          <w:rFonts w:hint="eastAsia" w:ascii="宋体" w:hAnsi="宋体" w:eastAsia="宋体" w:cs="宋体"/>
          <w:b/>
          <w:bCs/>
          <w:color w:val="auto"/>
          <w:sz w:val="24"/>
          <w:szCs w:val="24"/>
          <w:highlight w:val="none"/>
        </w:rPr>
        <w:t>7.1中标候选人公示</w:t>
      </w:r>
      <w:bookmarkEnd w:id="71"/>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招标人在收到评标报告之日起3</w:t>
      </w:r>
      <w:r>
        <w:rPr>
          <w:rFonts w:hint="eastAsia" w:ascii="宋体" w:hAnsi="宋体" w:eastAsia="宋体" w:cs="宋体"/>
          <w:color w:val="auto"/>
          <w:spacing w:val="-3"/>
          <w:sz w:val="24"/>
          <w:szCs w:val="24"/>
          <w:highlight w:val="none"/>
        </w:rPr>
        <w:t>日内，按照投标人须知前附表规定的公示媒介和期限公示中标候选人，</w:t>
      </w:r>
      <w:r>
        <w:rPr>
          <w:rFonts w:hint="eastAsia" w:ascii="宋体" w:hAnsi="宋体" w:eastAsia="宋体" w:cs="宋体"/>
          <w:color w:val="auto"/>
          <w:sz w:val="24"/>
          <w:szCs w:val="24"/>
          <w:highlight w:val="none"/>
        </w:rPr>
        <w:t>公示期不得少于3个工作日。</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72" w:name="_Toc31343"/>
      <w:r>
        <w:rPr>
          <w:rFonts w:hint="eastAsia" w:ascii="宋体" w:hAnsi="宋体" w:eastAsia="宋体" w:cs="宋体"/>
          <w:b/>
          <w:bCs/>
          <w:color w:val="auto"/>
          <w:sz w:val="24"/>
          <w:szCs w:val="24"/>
          <w:highlight w:val="none"/>
        </w:rPr>
        <w:t>7.2评标结果异议</w:t>
      </w:r>
      <w:bookmarkEnd w:id="72"/>
    </w:p>
    <w:p>
      <w:pPr>
        <w:pStyle w:val="11"/>
        <w:spacing w:before="0" w:line="360" w:lineRule="auto"/>
        <w:ind w:left="0" w:right="0" w:firstLine="480" w:firstLineChars="200"/>
        <w:jc w:val="left"/>
        <w:rPr>
          <w:rFonts w:hint="eastAsia" w:cs="宋体"/>
          <w:color w:val="auto"/>
          <w:sz w:val="24"/>
          <w:szCs w:val="24"/>
          <w:highlight w:val="none"/>
        </w:rPr>
      </w:pPr>
      <w:r>
        <w:rPr>
          <w:rFonts w:hint="eastAsia" w:cs="宋体"/>
          <w:color w:val="auto"/>
          <w:sz w:val="24"/>
          <w:szCs w:val="24"/>
          <w:highlight w:val="none"/>
        </w:rPr>
        <w:t>7.2.1招标人在投标人须知前附表规定的媒介公示中标候选人。</w:t>
      </w:r>
    </w:p>
    <w:p>
      <w:pPr>
        <w:pStyle w:val="11"/>
        <w:spacing w:before="0" w:line="360" w:lineRule="auto"/>
        <w:ind w:left="0" w:right="0" w:firstLine="480" w:firstLineChars="200"/>
        <w:jc w:val="both"/>
        <w:rPr>
          <w:rFonts w:hint="eastAsia" w:cs="宋体"/>
          <w:color w:val="auto"/>
          <w:sz w:val="24"/>
          <w:szCs w:val="24"/>
          <w:highlight w:val="none"/>
        </w:rPr>
      </w:pPr>
      <w:r>
        <w:rPr>
          <w:rFonts w:hint="eastAsia" w:cs="宋体"/>
          <w:color w:val="auto"/>
          <w:sz w:val="24"/>
          <w:szCs w:val="24"/>
          <w:highlight w:val="none"/>
        </w:rPr>
        <w:t>7.2.2</w:t>
      </w:r>
      <w:r>
        <w:rPr>
          <w:rFonts w:hint="eastAsia" w:cs="宋体"/>
          <w:color w:val="auto"/>
          <w:spacing w:val="2"/>
          <w:sz w:val="24"/>
          <w:szCs w:val="24"/>
          <w:highlight w:val="none"/>
        </w:rPr>
        <w:t>评标完成后次日公示中标候选人，中标候选人公示期为</w:t>
      </w:r>
      <w:r>
        <w:rPr>
          <w:rFonts w:hint="eastAsia" w:cs="宋体"/>
          <w:color w:val="auto"/>
          <w:sz w:val="24"/>
          <w:szCs w:val="24"/>
          <w:highlight w:val="none"/>
        </w:rPr>
        <w:t>3</w:t>
      </w:r>
      <w:r>
        <w:rPr>
          <w:rFonts w:hint="eastAsia" w:cs="宋体"/>
          <w:color w:val="auto"/>
          <w:spacing w:val="2"/>
          <w:sz w:val="24"/>
          <w:szCs w:val="24"/>
          <w:highlight w:val="none"/>
        </w:rPr>
        <w:t>个工作日。公示期间无异议、</w:t>
      </w:r>
      <w:r>
        <w:rPr>
          <w:rFonts w:hint="eastAsia" w:cs="宋体"/>
          <w:color w:val="auto"/>
          <w:sz w:val="24"/>
          <w:szCs w:val="24"/>
          <w:highlight w:val="none"/>
        </w:rPr>
        <w:t>无投诉，或经查实有异议和投诉的内容不能改变中标结果的，在中标候选人公示结束后招标人确定第一中标候选人为中标人。</w:t>
      </w:r>
    </w:p>
    <w:p>
      <w:pPr>
        <w:pStyle w:val="11"/>
        <w:spacing w:before="0" w:line="360" w:lineRule="auto"/>
        <w:ind w:left="0" w:right="0" w:firstLine="480" w:firstLineChars="200"/>
        <w:jc w:val="left"/>
        <w:rPr>
          <w:rFonts w:hint="eastAsia" w:cs="宋体"/>
          <w:color w:val="auto"/>
          <w:spacing w:val="-3"/>
          <w:sz w:val="24"/>
          <w:szCs w:val="24"/>
          <w:highlight w:val="none"/>
        </w:rPr>
      </w:pPr>
      <w:r>
        <w:rPr>
          <w:rFonts w:hint="eastAsia" w:cs="宋体"/>
          <w:color w:val="auto"/>
          <w:sz w:val="24"/>
          <w:szCs w:val="24"/>
          <w:highlight w:val="none"/>
        </w:rPr>
        <w:t>7.2.3</w:t>
      </w:r>
      <w:r>
        <w:rPr>
          <w:rFonts w:hint="eastAsia" w:cs="宋体"/>
          <w:color w:val="auto"/>
          <w:spacing w:val="2"/>
          <w:sz w:val="24"/>
          <w:szCs w:val="24"/>
          <w:highlight w:val="none"/>
        </w:rPr>
        <w:t>第一中标候选人放弃中标、因不可抗力不能履行合同、不按招标文件要求提交履约保证</w:t>
      </w:r>
      <w:r>
        <w:rPr>
          <w:rFonts w:hint="eastAsia" w:cs="宋体"/>
          <w:color w:val="auto"/>
          <w:sz w:val="24"/>
          <w:szCs w:val="24"/>
          <w:highlight w:val="none"/>
        </w:rPr>
        <w:t>金，或者被查实存在影响中标结果的违法行为等情形，不符合中标条件的，招标人可以依法重新招标。招标人也可以按照评标委员会提出的中标候选人名单排序依次确定其他中标候选人为中标人。</w:t>
      </w:r>
      <w:r>
        <w:rPr>
          <w:rFonts w:hint="eastAsia" w:cs="宋体"/>
          <w:color w:val="auto"/>
          <w:spacing w:val="-3"/>
          <w:sz w:val="24"/>
          <w:szCs w:val="24"/>
          <w:highlight w:val="none"/>
        </w:rPr>
        <w:t>依次确定其他中标候选人与招标人预期差距较大，或者对招标人明显不利的，招标人将重新招标。</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73" w:name="_Toc1154"/>
      <w:r>
        <w:rPr>
          <w:rFonts w:hint="eastAsia" w:ascii="宋体" w:hAnsi="宋体" w:eastAsia="宋体" w:cs="宋体"/>
          <w:b/>
          <w:bCs/>
          <w:color w:val="auto"/>
          <w:sz w:val="24"/>
          <w:szCs w:val="24"/>
          <w:highlight w:val="none"/>
        </w:rPr>
        <w:t>7.3中标候选人履约能力审查</w:t>
      </w:r>
      <w:bookmarkEnd w:id="73"/>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中标候选人的经营、财务状况发生较大变化或存在违法行为，招标人认为可能影响履约能力的，将在发出中标通知书前提请原评标委员会按照招标文件规定的标准和方法进行审查确认。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74" w:name="_Toc14724"/>
      <w:r>
        <w:rPr>
          <w:rFonts w:hint="eastAsia" w:ascii="宋体" w:hAnsi="宋体" w:eastAsia="宋体" w:cs="宋体"/>
          <w:b/>
          <w:bCs/>
          <w:color w:val="auto"/>
          <w:sz w:val="24"/>
          <w:szCs w:val="24"/>
          <w:highlight w:val="none"/>
        </w:rPr>
        <w:t>7.4定标</w:t>
      </w:r>
      <w:bookmarkEnd w:id="74"/>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按照投标人须知前附表的规定，招标人或招标人授权的评标委员会依法确定中标人。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75" w:name="_Toc15674"/>
      <w:r>
        <w:rPr>
          <w:rFonts w:hint="eastAsia" w:ascii="宋体" w:hAnsi="宋体" w:eastAsia="宋体" w:cs="宋体"/>
          <w:b/>
          <w:bCs/>
          <w:color w:val="auto"/>
          <w:sz w:val="24"/>
          <w:szCs w:val="24"/>
          <w:highlight w:val="none"/>
        </w:rPr>
        <w:t>7.5中标通知</w:t>
      </w:r>
      <w:bookmarkEnd w:id="75"/>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在本章第3.3款规定的投标有效期内，招标人以书面形式向中标人发出中标通知书，同时将中标结果通知未中标的投标人。</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76" w:name="_Toc13464"/>
      <w:r>
        <w:rPr>
          <w:rFonts w:hint="eastAsia" w:ascii="宋体" w:hAnsi="宋体" w:eastAsia="宋体" w:cs="宋体"/>
          <w:b/>
          <w:bCs/>
          <w:color w:val="auto"/>
          <w:sz w:val="24"/>
          <w:szCs w:val="24"/>
          <w:highlight w:val="none"/>
        </w:rPr>
        <w:t>7.6技术成果经济补偿</w:t>
      </w:r>
      <w:bookmarkEnd w:id="76"/>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招标人对符合招标文件规定的未中标人的技术成果不进行补偿。</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77" w:name="_Toc18160"/>
      <w:r>
        <w:rPr>
          <w:rFonts w:hint="eastAsia" w:ascii="宋体" w:hAnsi="宋体" w:eastAsia="宋体" w:cs="宋体"/>
          <w:b/>
          <w:bCs/>
          <w:color w:val="auto"/>
          <w:sz w:val="24"/>
          <w:szCs w:val="24"/>
          <w:highlight w:val="none"/>
        </w:rPr>
        <w:t>7.7履约保证金</w:t>
      </w:r>
      <w:bookmarkEnd w:id="77"/>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7.7.1</w:t>
      </w:r>
      <w:r>
        <w:rPr>
          <w:rFonts w:hint="eastAsia" w:ascii="宋体" w:hAnsi="宋体" w:eastAsia="宋体" w:cs="宋体"/>
          <w:color w:val="auto"/>
          <w:sz w:val="24"/>
          <w:szCs w:val="24"/>
          <w:highlight w:val="none"/>
          <w:lang w:val="en-US" w:eastAsia="zh-CN"/>
        </w:rPr>
        <w:t>本项目不需要提交履约保证金。</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color w:val="auto"/>
          <w:sz w:val="24"/>
          <w:szCs w:val="24"/>
          <w:highlight w:val="none"/>
        </w:rPr>
      </w:pPr>
      <w:bookmarkStart w:id="78" w:name="_Toc26304"/>
      <w:r>
        <w:rPr>
          <w:rFonts w:hint="eastAsia" w:ascii="宋体" w:hAnsi="宋体" w:eastAsia="宋体" w:cs="宋体"/>
          <w:b/>
          <w:bCs/>
          <w:color w:val="auto"/>
          <w:sz w:val="24"/>
          <w:szCs w:val="24"/>
          <w:highlight w:val="none"/>
        </w:rPr>
        <w:t>7.8签订合同</w:t>
      </w:r>
      <w:bookmarkEnd w:id="78"/>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7.8.2发出中标通知书后，招标人无正当理由拒签合同，或者在签订合同时向中标人提出附加条件的，招标人向中标人退还投标保证金；给中标人造成损失的，还应当赔偿损失。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1"/>
        <w:rPr>
          <w:rFonts w:hint="eastAsia" w:ascii="宋体" w:hAnsi="宋体" w:eastAsia="宋体" w:cs="宋体"/>
          <w:color w:val="auto"/>
          <w:sz w:val="24"/>
          <w:szCs w:val="24"/>
          <w:highlight w:val="none"/>
        </w:rPr>
      </w:pPr>
      <w:bookmarkStart w:id="79" w:name="_Toc564"/>
      <w:r>
        <w:rPr>
          <w:rFonts w:hint="eastAsia" w:ascii="宋体" w:hAnsi="宋体" w:eastAsia="宋体" w:cs="宋体"/>
          <w:b/>
          <w:bCs/>
          <w:color w:val="auto"/>
          <w:sz w:val="24"/>
          <w:szCs w:val="24"/>
          <w:highlight w:val="none"/>
        </w:rPr>
        <w:t>8、纪律和监督</w:t>
      </w:r>
      <w:bookmarkEnd w:id="79"/>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80" w:name="_Toc218"/>
      <w:r>
        <w:rPr>
          <w:rFonts w:hint="eastAsia" w:ascii="宋体" w:hAnsi="宋体" w:eastAsia="宋体" w:cs="宋体"/>
          <w:b/>
          <w:bCs/>
          <w:color w:val="auto"/>
          <w:sz w:val="24"/>
          <w:szCs w:val="24"/>
          <w:highlight w:val="none"/>
        </w:rPr>
        <w:t>8.1对招标人的纪律要求</w:t>
      </w:r>
      <w:bookmarkEnd w:id="80"/>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81" w:name="_Toc3282"/>
      <w:r>
        <w:rPr>
          <w:rFonts w:hint="eastAsia" w:ascii="宋体" w:hAnsi="宋体" w:eastAsia="宋体" w:cs="宋体"/>
          <w:b/>
          <w:bCs/>
          <w:color w:val="auto"/>
          <w:sz w:val="24"/>
          <w:szCs w:val="24"/>
          <w:highlight w:val="none"/>
        </w:rPr>
        <w:t>8.2对投标人的纪律要求</w:t>
      </w:r>
      <w:bookmarkEnd w:id="81"/>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82" w:name="_Toc8284"/>
      <w:r>
        <w:rPr>
          <w:rFonts w:hint="eastAsia" w:ascii="宋体" w:hAnsi="宋体" w:eastAsia="宋体" w:cs="宋体"/>
          <w:b/>
          <w:bCs/>
          <w:color w:val="auto"/>
          <w:sz w:val="24"/>
          <w:szCs w:val="24"/>
          <w:highlight w:val="none"/>
        </w:rPr>
        <w:t>8.3对评标委员会成员的纪律要求</w:t>
      </w:r>
      <w:bookmarkEnd w:id="82"/>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评标委员会成员不得收受他人的财物或者其他好处，不得向他人透露对投标文件的评审和比较、中标</w:t>
      </w:r>
      <w:r>
        <w:rPr>
          <w:rFonts w:hint="eastAsia" w:ascii="宋体" w:hAnsi="宋体" w:eastAsia="宋体" w:cs="宋体"/>
          <w:color w:val="auto"/>
          <w:spacing w:val="-3"/>
          <w:sz w:val="24"/>
          <w:szCs w:val="24"/>
          <w:highlight w:val="none"/>
        </w:rPr>
        <w:t>候选人的推荐情况以及评标有关的其他情况。在评标活动中，评标委</w:t>
      </w:r>
      <w:r>
        <w:rPr>
          <w:rFonts w:hint="eastAsia" w:ascii="宋体" w:hAnsi="宋体" w:eastAsia="宋体" w:cs="宋体"/>
          <w:color w:val="auto"/>
          <w:sz w:val="24"/>
          <w:szCs w:val="24"/>
          <w:highlight w:val="none"/>
        </w:rPr>
        <w:t>员会成员应当客观、公正地履行职责，</w:t>
      </w:r>
      <w:r>
        <w:rPr>
          <w:rFonts w:hint="eastAsia" w:ascii="宋体" w:hAnsi="宋体" w:eastAsia="宋体" w:cs="宋体"/>
          <w:color w:val="auto"/>
          <w:spacing w:val="2"/>
          <w:sz w:val="24"/>
          <w:szCs w:val="24"/>
          <w:highlight w:val="none"/>
        </w:rPr>
        <w:t>遵守职业道德，不得擅离职守，影响评标程序正常进行，不得使用第三章“评标办法”没有规定的评审因</w:t>
      </w:r>
      <w:r>
        <w:rPr>
          <w:rFonts w:hint="eastAsia" w:ascii="宋体" w:hAnsi="宋体" w:eastAsia="宋体" w:cs="宋体"/>
          <w:color w:val="auto"/>
          <w:sz w:val="24"/>
          <w:szCs w:val="24"/>
          <w:highlight w:val="none"/>
        </w:rPr>
        <w:t>素和标准进行评标。</w:t>
      </w:r>
    </w:p>
    <w:p>
      <w:pPr>
        <w:keepNext w:val="0"/>
        <w:keepLines w:val="0"/>
        <w:pageBreakBefore w:val="0"/>
        <w:widowControl w:val="0"/>
        <w:kinsoku/>
        <w:wordWrap/>
        <w:overflowPunct/>
        <w:topLinePunct w:val="0"/>
        <w:autoSpaceDE/>
        <w:autoSpaceDN/>
        <w:bidi w:val="0"/>
        <w:adjustRightInd/>
        <w:snapToGrid/>
        <w:spacing w:line="357" w:lineRule="auto"/>
        <w:ind w:left="0" w:right="0" w:firstLine="482" w:firstLineChars="200"/>
        <w:jc w:val="left"/>
        <w:textAlignment w:val="auto"/>
        <w:outlineLvl w:val="2"/>
        <w:rPr>
          <w:rFonts w:hint="eastAsia" w:ascii="宋体" w:hAnsi="宋体" w:eastAsia="宋体" w:cs="宋体"/>
          <w:b/>
          <w:bCs/>
          <w:color w:val="auto"/>
          <w:sz w:val="24"/>
          <w:szCs w:val="24"/>
          <w:highlight w:val="none"/>
        </w:rPr>
      </w:pPr>
      <w:bookmarkStart w:id="83" w:name="_Toc4570"/>
      <w:r>
        <w:rPr>
          <w:rFonts w:hint="eastAsia" w:ascii="宋体" w:hAnsi="宋体" w:eastAsia="宋体" w:cs="宋体"/>
          <w:b/>
          <w:bCs/>
          <w:color w:val="auto"/>
          <w:sz w:val="24"/>
          <w:szCs w:val="24"/>
          <w:highlight w:val="none"/>
        </w:rPr>
        <w:t>8.4对与评标活动有关的工作人员的纪律要求</w:t>
      </w:r>
      <w:bookmarkEnd w:id="83"/>
    </w:p>
    <w:p>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snapToGrid/>
        <w:ind w:left="0" w:right="0" w:firstLine="482" w:firstLineChars="200"/>
        <w:jc w:val="left"/>
        <w:textAlignment w:val="auto"/>
        <w:outlineLvl w:val="2"/>
        <w:rPr>
          <w:rFonts w:hint="eastAsia" w:ascii="宋体" w:hAnsi="宋体" w:eastAsia="宋体" w:cs="宋体"/>
          <w:color w:val="auto"/>
          <w:sz w:val="24"/>
          <w:szCs w:val="24"/>
          <w:highlight w:val="none"/>
        </w:rPr>
      </w:pPr>
      <w:bookmarkStart w:id="84" w:name="_Toc449"/>
      <w:r>
        <w:rPr>
          <w:rFonts w:hint="eastAsia" w:ascii="宋体" w:hAnsi="宋体" w:eastAsia="宋体" w:cs="宋体"/>
          <w:b/>
          <w:bCs/>
          <w:color w:val="auto"/>
          <w:sz w:val="24"/>
          <w:szCs w:val="24"/>
          <w:highlight w:val="none"/>
        </w:rPr>
        <w:t>8.5投诉</w:t>
      </w:r>
      <w:bookmarkEnd w:id="84"/>
    </w:p>
    <w:p>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8.5.2投标人或者其他利害关系人对招标文件、开标和评标结果提出投诉的，应当按照投标人须知第2.4款、第5.3款和第7.2款的规定先向招标人提出异议。异议答复期间不计算在第8.5.1项规定的期限内。</w:t>
      </w:r>
    </w:p>
    <w:p>
      <w:pPr>
        <w:keepNext w:val="0"/>
        <w:keepLines w:val="0"/>
        <w:pageBreakBefore w:val="0"/>
        <w:widowControl w:val="0"/>
        <w:numPr>
          <w:ilvl w:val="0"/>
          <w:numId w:val="3"/>
        </w:numPr>
        <w:kinsoku/>
        <w:wordWrap/>
        <w:overflowPunct/>
        <w:topLinePunct w:val="0"/>
        <w:autoSpaceDE/>
        <w:autoSpaceDN/>
        <w:bidi w:val="0"/>
        <w:adjustRightInd/>
        <w:snapToGrid/>
        <w:spacing w:line="355" w:lineRule="auto"/>
        <w:ind w:left="0" w:right="0" w:firstLine="482" w:firstLineChars="200"/>
        <w:jc w:val="left"/>
        <w:textAlignment w:val="auto"/>
        <w:outlineLvl w:val="1"/>
        <w:rPr>
          <w:rFonts w:hint="eastAsia" w:ascii="宋体" w:hAnsi="宋体" w:eastAsia="宋体" w:cs="宋体"/>
          <w:b/>
          <w:bCs/>
          <w:color w:val="auto"/>
          <w:sz w:val="24"/>
          <w:szCs w:val="24"/>
          <w:highlight w:val="none"/>
        </w:rPr>
      </w:pPr>
      <w:bookmarkStart w:id="85" w:name="_Toc19161"/>
      <w:r>
        <w:rPr>
          <w:rFonts w:hint="eastAsia" w:ascii="宋体" w:hAnsi="宋体" w:eastAsia="宋体" w:cs="宋体"/>
          <w:b/>
          <w:bCs/>
          <w:color w:val="auto"/>
          <w:sz w:val="24"/>
          <w:szCs w:val="24"/>
          <w:highlight w:val="none"/>
        </w:rPr>
        <w:t>是否釆用电子招标投标</w:t>
      </w:r>
      <w:bookmarkEnd w:id="85"/>
    </w:p>
    <w:p>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本招标项目是否采用电子招标投标方式，见投标人须知前附表。</w:t>
      </w:r>
    </w:p>
    <w:p>
      <w:pPr>
        <w:keepNext w:val="0"/>
        <w:keepLines w:val="0"/>
        <w:pageBreakBefore w:val="0"/>
        <w:widowControl w:val="0"/>
        <w:numPr>
          <w:ilvl w:val="0"/>
          <w:numId w:val="3"/>
        </w:numPr>
        <w:kinsoku/>
        <w:wordWrap/>
        <w:overflowPunct/>
        <w:topLinePunct w:val="0"/>
        <w:autoSpaceDE/>
        <w:autoSpaceDN/>
        <w:bidi w:val="0"/>
        <w:adjustRightInd/>
        <w:snapToGrid/>
        <w:spacing w:line="355" w:lineRule="auto"/>
        <w:ind w:left="0" w:leftChars="0" w:right="0" w:firstLine="482" w:firstLineChars="200"/>
        <w:jc w:val="left"/>
        <w:textAlignment w:val="auto"/>
        <w:outlineLvl w:val="1"/>
        <w:rPr>
          <w:rFonts w:hint="eastAsia" w:ascii="宋体" w:hAnsi="宋体" w:eastAsia="宋体" w:cs="宋体"/>
          <w:b/>
          <w:bCs/>
          <w:color w:val="auto"/>
          <w:sz w:val="24"/>
          <w:szCs w:val="24"/>
          <w:highlight w:val="none"/>
        </w:rPr>
      </w:pPr>
      <w:bookmarkStart w:id="86" w:name="_Toc13144"/>
      <w:r>
        <w:rPr>
          <w:rFonts w:hint="eastAsia" w:ascii="宋体" w:hAnsi="宋体" w:eastAsia="宋体" w:cs="宋体"/>
          <w:b/>
          <w:bCs/>
          <w:color w:val="auto"/>
          <w:sz w:val="24"/>
          <w:szCs w:val="24"/>
          <w:highlight w:val="none"/>
        </w:rPr>
        <w:t>需要补充的其他内容</w:t>
      </w:r>
      <w:bookmarkEnd w:id="86"/>
    </w:p>
    <w:p>
      <w:pPr>
        <w:keepNext w:val="0"/>
        <w:keepLines w:val="0"/>
        <w:pageBreakBefore w:val="0"/>
        <w:widowControl w:val="0"/>
        <w:kinsoku/>
        <w:wordWrap/>
        <w:overflowPunct/>
        <w:topLinePunct w:val="0"/>
        <w:autoSpaceDE/>
        <w:autoSpaceDN/>
        <w:bidi w:val="0"/>
        <w:adjustRightInd/>
        <w:snapToGrid/>
        <w:spacing w:line="360" w:lineRule="auto"/>
        <w:ind w:left="0" w:right="0" w:firstLine="468" w:firstLineChars="200"/>
        <w:jc w:val="left"/>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需要补充的其他内容：见投标人须知前附表。</w:t>
      </w:r>
    </w:p>
    <w:p>
      <w:pPr>
        <w:rPr>
          <w:color w:val="auto"/>
          <w:highlight w:val="none"/>
        </w:rPr>
      </w:pPr>
      <w:r>
        <w:rPr>
          <w:color w:val="auto"/>
          <w:highlight w:val="none"/>
        </w:rPr>
        <w:br w:type="page"/>
      </w:r>
    </w:p>
    <w:p>
      <w:pPr>
        <w:pStyle w:val="3"/>
        <w:spacing w:line="360" w:lineRule="auto"/>
        <w:ind w:left="2196" w:right="2317"/>
        <w:jc w:val="center"/>
        <w:outlineLvl w:val="0"/>
        <w:rPr>
          <w:b w:val="0"/>
          <w:bCs w:val="0"/>
          <w:color w:val="auto"/>
          <w:highlight w:val="none"/>
        </w:rPr>
      </w:pPr>
      <w:bookmarkStart w:id="87" w:name="_Toc17398"/>
      <w:r>
        <w:rPr>
          <w:color w:val="auto"/>
          <w:highlight w:val="none"/>
        </w:rPr>
        <w:t>第三章评标办法(综合评估法)</w:t>
      </w:r>
      <w:bookmarkEnd w:id="87"/>
    </w:p>
    <w:p>
      <w:pPr>
        <w:pStyle w:val="27"/>
        <w:spacing w:before="133" w:line="360" w:lineRule="auto"/>
        <w:ind w:right="0"/>
        <w:jc w:val="center"/>
        <w:rPr>
          <w:rFonts w:ascii="宋体" w:hAnsi="宋体" w:eastAsia="宋体" w:cs="宋体"/>
          <w:b/>
          <w:bCs/>
          <w:color w:val="auto"/>
          <w:sz w:val="21"/>
          <w:szCs w:val="21"/>
          <w:highlight w:val="none"/>
        </w:rPr>
      </w:pPr>
      <w:bookmarkStart w:id="88" w:name="评标办法前附表"/>
      <w:bookmarkEnd w:id="88"/>
      <w:r>
        <w:rPr>
          <w:rFonts w:ascii="宋体" w:hAnsi="宋体" w:eastAsia="宋体" w:cs="宋体"/>
          <w:b/>
          <w:bCs/>
          <w:color w:val="auto"/>
          <w:sz w:val="21"/>
          <w:szCs w:val="21"/>
          <w:highlight w:val="none"/>
        </w:rPr>
        <w:t>评标办法前附表</w:t>
      </w:r>
    </w:p>
    <w:tbl>
      <w:tblPr>
        <w:tblStyle w:val="20"/>
        <w:tblW w:w="0" w:type="auto"/>
        <w:tblInd w:w="113" w:type="dxa"/>
        <w:tblLayout w:type="fixed"/>
        <w:tblCellMar>
          <w:top w:w="0" w:type="dxa"/>
          <w:left w:w="0" w:type="dxa"/>
          <w:bottom w:w="0" w:type="dxa"/>
          <w:right w:w="0" w:type="dxa"/>
        </w:tblCellMar>
      </w:tblPr>
      <w:tblGrid>
        <w:gridCol w:w="813"/>
        <w:gridCol w:w="1029"/>
        <w:gridCol w:w="1986"/>
        <w:gridCol w:w="5411"/>
      </w:tblGrid>
      <w:tr>
        <w:tblPrEx>
          <w:tblCellMar>
            <w:top w:w="0" w:type="dxa"/>
            <w:left w:w="0" w:type="dxa"/>
            <w:bottom w:w="0" w:type="dxa"/>
            <w:right w:w="0" w:type="dxa"/>
          </w:tblCellMar>
        </w:tblPrEx>
        <w:trPr>
          <w:trHeight w:val="0" w:hRule="atLeast"/>
        </w:trPr>
        <w:tc>
          <w:tcPr>
            <w:tcW w:w="1842" w:type="dxa"/>
            <w:gridSpan w:val="2"/>
            <w:tcBorders>
              <w:top w:val="single" w:color="000000" w:sz="4" w:space="0"/>
              <w:left w:val="single" w:color="000000" w:sz="4" w:space="0"/>
              <w:bottom w:val="single" w:color="000000" w:sz="4" w:space="0"/>
              <w:right w:val="single" w:color="000000" w:sz="4" w:space="0"/>
            </w:tcBorders>
          </w:tcPr>
          <w:p>
            <w:pPr>
              <w:pStyle w:val="27"/>
              <w:spacing w:before="133" w:line="360" w:lineRule="auto"/>
              <w:ind w:left="437" w:right="0"/>
              <w:jc w:val="left"/>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条款号</w:t>
            </w:r>
          </w:p>
        </w:tc>
        <w:tc>
          <w:tcPr>
            <w:tcW w:w="1986" w:type="dxa"/>
            <w:tcBorders>
              <w:top w:val="single" w:color="000000" w:sz="4" w:space="0"/>
              <w:left w:val="single" w:color="000000" w:sz="4" w:space="0"/>
              <w:bottom w:val="single" w:color="000000" w:sz="4" w:space="0"/>
              <w:right w:val="single" w:color="000000" w:sz="4" w:space="0"/>
            </w:tcBorders>
          </w:tcPr>
          <w:p>
            <w:pPr>
              <w:pStyle w:val="27"/>
              <w:spacing w:before="133" w:line="360" w:lineRule="auto"/>
              <w:ind w:left="542" w:right="0"/>
              <w:jc w:val="left"/>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评审因素</w:t>
            </w:r>
          </w:p>
        </w:tc>
        <w:tc>
          <w:tcPr>
            <w:tcW w:w="5411" w:type="dxa"/>
            <w:tcBorders>
              <w:top w:val="single" w:color="000000" w:sz="4" w:space="0"/>
              <w:left w:val="single" w:color="000000" w:sz="4" w:space="0"/>
              <w:bottom w:val="single" w:color="000000" w:sz="4" w:space="0"/>
              <w:right w:val="single" w:color="000000" w:sz="4" w:space="0"/>
            </w:tcBorders>
          </w:tcPr>
          <w:p>
            <w:pPr>
              <w:pStyle w:val="27"/>
              <w:spacing w:before="133" w:line="360" w:lineRule="auto"/>
              <w:ind w:right="46"/>
              <w:jc w:val="center"/>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评审标准</w:t>
            </w:r>
          </w:p>
        </w:tc>
      </w:tr>
      <w:tr>
        <w:tblPrEx>
          <w:tblCellMar>
            <w:top w:w="0" w:type="dxa"/>
            <w:left w:w="0" w:type="dxa"/>
            <w:bottom w:w="0" w:type="dxa"/>
            <w:right w:w="0" w:type="dxa"/>
          </w:tblCellMar>
        </w:tblPrEx>
        <w:trPr>
          <w:trHeight w:val="0" w:hRule="atLeast"/>
        </w:trPr>
        <w:tc>
          <w:tcPr>
            <w:tcW w:w="813" w:type="dxa"/>
            <w:tcBorders>
              <w:top w:val="single" w:color="000000" w:sz="4" w:space="0"/>
              <w:left w:val="single" w:color="000000" w:sz="4" w:space="0"/>
              <w:right w:val="single" w:color="000000" w:sz="4" w:space="0"/>
            </w:tcBorders>
            <w:vAlign w:val="center"/>
          </w:tcPr>
          <w:p>
            <w:pPr>
              <w:pStyle w:val="27"/>
              <w:spacing w:line="360" w:lineRule="auto"/>
              <w:ind w:right="44"/>
              <w:jc w:val="center"/>
              <w:rPr>
                <w:rFonts w:ascii="宋体" w:hAnsiTheme="minorHAnsi" w:eastAsiaTheme="minorHAnsi" w:cstheme="minorBidi"/>
                <w:b w:val="0"/>
                <w:bCs w:val="0"/>
                <w:color w:val="auto"/>
                <w:sz w:val="21"/>
                <w:szCs w:val="22"/>
                <w:highlight w:val="none"/>
              </w:rPr>
            </w:pPr>
          </w:p>
          <w:p>
            <w:pPr>
              <w:pStyle w:val="27"/>
              <w:spacing w:line="360" w:lineRule="auto"/>
              <w:ind w:right="44"/>
              <w:jc w:val="center"/>
              <w:rPr>
                <w:rFonts w:hint="default" w:ascii="宋体" w:hAnsiTheme="minorHAnsi" w:eastAsiaTheme="minorHAnsi" w:cstheme="minorBidi"/>
                <w:b w:val="0"/>
                <w:bCs w:val="0"/>
                <w:color w:val="auto"/>
                <w:sz w:val="21"/>
                <w:szCs w:val="22"/>
                <w:highlight w:val="none"/>
                <w:lang w:val="en-US" w:eastAsia="zh-CN"/>
              </w:rPr>
            </w:pPr>
            <w:r>
              <w:rPr>
                <w:rFonts w:hint="default" w:ascii="宋体" w:hAnsiTheme="minorHAnsi" w:eastAsiaTheme="minorHAnsi" w:cstheme="minorBidi"/>
                <w:b w:val="0"/>
                <w:bCs w:val="0"/>
                <w:color w:val="auto"/>
                <w:sz w:val="21"/>
                <w:szCs w:val="22"/>
                <w:highlight w:val="none"/>
                <w:lang w:val="en-US" w:eastAsia="zh-CN"/>
              </w:rPr>
              <w:t>1</w:t>
            </w:r>
          </w:p>
          <w:p>
            <w:pPr>
              <w:pStyle w:val="27"/>
              <w:spacing w:line="360" w:lineRule="auto"/>
              <w:ind w:right="44"/>
              <w:jc w:val="center"/>
              <w:rPr>
                <w:rFonts w:ascii="宋体" w:hAnsiTheme="minorHAnsi" w:eastAsiaTheme="minorHAnsi" w:cstheme="minorBidi"/>
                <w:color w:val="auto"/>
                <w:sz w:val="21"/>
                <w:szCs w:val="22"/>
                <w:highlight w:val="none"/>
              </w:rPr>
            </w:pPr>
          </w:p>
        </w:tc>
        <w:tc>
          <w:tcPr>
            <w:tcW w:w="1029" w:type="dxa"/>
            <w:tcBorders>
              <w:top w:val="single" w:color="000000" w:sz="4" w:space="0"/>
              <w:left w:val="single" w:color="000000" w:sz="4" w:space="0"/>
              <w:right w:val="single" w:color="000000" w:sz="4" w:space="0"/>
            </w:tcBorders>
            <w:vAlign w:val="center"/>
          </w:tcPr>
          <w:p>
            <w:pPr>
              <w:pStyle w:val="27"/>
              <w:spacing w:line="360" w:lineRule="auto"/>
              <w:ind w:left="186" w:right="0"/>
              <w:jc w:val="both"/>
              <w:rPr>
                <w:rFonts w:ascii="黑体" w:hAnsi="黑体" w:eastAsia="黑体" w:cs="黑体"/>
                <w:b/>
                <w:bCs/>
                <w:color w:val="auto"/>
                <w:sz w:val="20"/>
                <w:szCs w:val="20"/>
                <w:highlight w:val="none"/>
              </w:rPr>
            </w:pPr>
          </w:p>
          <w:p>
            <w:pPr>
              <w:pStyle w:val="27"/>
              <w:spacing w:line="360" w:lineRule="auto"/>
              <w:ind w:left="0"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评标方法</w:t>
            </w:r>
          </w:p>
        </w:tc>
        <w:tc>
          <w:tcPr>
            <w:tcW w:w="1986" w:type="dxa"/>
            <w:tcBorders>
              <w:top w:val="single" w:color="000000" w:sz="4" w:space="0"/>
              <w:left w:val="single" w:color="000000" w:sz="4" w:space="0"/>
              <w:right w:val="single" w:color="000000" w:sz="4" w:space="0"/>
            </w:tcBorders>
            <w:vAlign w:val="center"/>
          </w:tcPr>
          <w:p>
            <w:pPr>
              <w:pStyle w:val="27"/>
              <w:spacing w:line="360" w:lineRule="auto"/>
              <w:ind w:left="0" w:right="0"/>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中标候选人排序方法</w:t>
            </w:r>
          </w:p>
        </w:tc>
        <w:tc>
          <w:tcPr>
            <w:tcW w:w="5411" w:type="dxa"/>
            <w:tcBorders>
              <w:top w:val="single" w:color="000000" w:sz="4" w:space="0"/>
              <w:left w:val="single" w:color="000000" w:sz="4" w:space="0"/>
              <w:right w:val="single" w:color="000000" w:sz="4" w:space="0"/>
            </w:tcBorders>
          </w:tcPr>
          <w:p>
            <w:pPr>
              <w:pStyle w:val="27"/>
              <w:spacing w:line="360" w:lineRule="auto"/>
              <w:ind w:left="101" w:right="0"/>
              <w:jc w:val="left"/>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评标委员会根据评标办法对响应招标文件要求的投标文件</w:t>
            </w:r>
            <w:r>
              <w:rPr>
                <w:rFonts w:ascii="宋体" w:hAnsi="宋体" w:eastAsia="宋体" w:cs="宋体"/>
                <w:color w:val="auto"/>
                <w:spacing w:val="-3"/>
                <w:sz w:val="21"/>
                <w:szCs w:val="21"/>
                <w:highlight w:val="none"/>
              </w:rPr>
              <w:t>进行综合评分，提出评标报告，并对投标人按照综合得分的高低对其排序，排序第一的为第一中标候选人，排序第二的</w:t>
            </w:r>
            <w:r>
              <w:rPr>
                <w:rFonts w:ascii="宋体" w:hAnsi="宋体" w:eastAsia="宋体" w:cs="宋体"/>
                <w:color w:val="auto"/>
                <w:sz w:val="21"/>
                <w:szCs w:val="21"/>
                <w:highlight w:val="none"/>
              </w:rPr>
              <w:t>为第二中标候选人，排序第三的为第三中标候选人。</w:t>
            </w:r>
            <w:r>
              <w:rPr>
                <w:rFonts w:ascii="宋体" w:hAnsi="宋体" w:eastAsia="宋体" w:cs="宋体"/>
                <w:color w:val="auto"/>
                <w:spacing w:val="-3"/>
                <w:sz w:val="21"/>
                <w:szCs w:val="21"/>
                <w:highlight w:val="none"/>
              </w:rPr>
              <w:t>综合评分相等时，以投标报价下浮率高的优先；投标报价下浮率也相等的，以设计方案得分高的优先；如果设</w:t>
            </w:r>
            <w:r>
              <w:rPr>
                <w:rFonts w:ascii="宋体" w:hAnsi="宋体" w:eastAsia="宋体" w:cs="宋体"/>
                <w:color w:val="auto"/>
                <w:sz w:val="21"/>
                <w:szCs w:val="21"/>
                <w:highlight w:val="none"/>
              </w:rPr>
              <w:t>计方案得分也相等由评标委员会按照少数服从多数(不得弃权)的原则投票决定排序。</w:t>
            </w:r>
          </w:p>
        </w:tc>
      </w:tr>
      <w:tr>
        <w:tblPrEx>
          <w:tblCellMar>
            <w:top w:w="0" w:type="dxa"/>
            <w:left w:w="0" w:type="dxa"/>
            <w:bottom w:w="0" w:type="dxa"/>
            <w:right w:w="0" w:type="dxa"/>
          </w:tblCellMar>
        </w:tblPrEx>
        <w:trPr>
          <w:trHeight w:val="833" w:hRule="atLeast"/>
        </w:trPr>
        <w:tc>
          <w:tcPr>
            <w:tcW w:w="813" w:type="dxa"/>
            <w:vMerge w:val="restart"/>
            <w:tcBorders>
              <w:top w:val="single" w:color="000000" w:sz="4" w:space="0"/>
              <w:left w:val="single" w:color="000000" w:sz="4" w:space="0"/>
              <w:right w:val="single" w:color="000000" w:sz="4" w:space="0"/>
            </w:tcBorders>
            <w:vAlign w:val="center"/>
          </w:tcPr>
          <w:p>
            <w:pPr>
              <w:pStyle w:val="27"/>
              <w:spacing w:line="360" w:lineRule="auto"/>
              <w:ind w:right="44"/>
              <w:jc w:val="center"/>
              <w:rPr>
                <w:rFonts w:ascii="宋体" w:hAnsi="宋体" w:eastAsia="宋体" w:cs="宋体"/>
                <w:color w:val="auto"/>
                <w:sz w:val="21"/>
                <w:szCs w:val="21"/>
                <w:highlight w:val="none"/>
              </w:rPr>
            </w:pPr>
            <w:r>
              <w:rPr>
                <w:rFonts w:ascii="宋体"/>
                <w:color w:val="auto"/>
                <w:sz w:val="21"/>
                <w:highlight w:val="none"/>
              </w:rPr>
              <w:t>2.1.</w:t>
            </w:r>
            <w:r>
              <w:rPr>
                <w:rFonts w:ascii="宋体"/>
                <w:color w:val="auto"/>
                <w:w w:val="99"/>
                <w:sz w:val="21"/>
                <w:highlight w:val="none"/>
              </w:rPr>
              <w:t>1</w:t>
            </w:r>
          </w:p>
        </w:tc>
        <w:tc>
          <w:tcPr>
            <w:tcW w:w="1029" w:type="dxa"/>
            <w:vMerge w:val="restart"/>
            <w:tcBorders>
              <w:top w:val="single" w:color="000000" w:sz="4" w:space="0"/>
              <w:left w:val="single" w:color="000000" w:sz="4" w:space="0"/>
              <w:right w:val="single" w:color="000000" w:sz="4" w:space="0"/>
            </w:tcBorders>
            <w:vAlign w:val="center"/>
          </w:tcPr>
          <w:p>
            <w:pPr>
              <w:pStyle w:val="27"/>
              <w:spacing w:line="360" w:lineRule="auto"/>
              <w:ind w:left="0"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形式评审标准</w:t>
            </w: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7"/>
              <w:spacing w:before="146"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投标人名称</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46" w:line="360" w:lineRule="auto"/>
              <w:ind w:left="101" w:right="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与营业执照(或事业单位法人证书)、资质证书一致</w:t>
            </w:r>
          </w:p>
        </w:tc>
      </w:tr>
      <w:tr>
        <w:tblPrEx>
          <w:tblCellMar>
            <w:top w:w="0" w:type="dxa"/>
            <w:left w:w="0" w:type="dxa"/>
            <w:bottom w:w="0" w:type="dxa"/>
            <w:right w:w="0" w:type="dxa"/>
          </w:tblCellMar>
        </w:tblPrEx>
        <w:trPr>
          <w:trHeight w:val="1874" w:hRule="atLeast"/>
        </w:trPr>
        <w:tc>
          <w:tcPr>
            <w:tcW w:w="813" w:type="dxa"/>
            <w:vMerge w:val="continue"/>
            <w:tcBorders>
              <w:left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right w:val="single" w:color="000000" w:sz="4" w:space="0"/>
            </w:tcBorders>
            <w:vAlign w:val="center"/>
          </w:tcPr>
          <w:p>
            <w:pPr>
              <w:pStyle w:val="27"/>
              <w:spacing w:before="2" w:line="360" w:lineRule="auto"/>
              <w:ind w:right="0"/>
              <w:jc w:val="center"/>
              <w:rPr>
                <w:rFonts w:ascii="黑体" w:hAnsi="黑体" w:eastAsia="黑体" w:cs="黑体"/>
                <w:b/>
                <w:bCs/>
                <w:color w:val="auto"/>
                <w:sz w:val="27"/>
                <w:szCs w:val="27"/>
                <w:highlight w:val="none"/>
              </w:rPr>
            </w:pPr>
          </w:p>
          <w:p>
            <w:pPr>
              <w:pStyle w:val="27"/>
              <w:spacing w:line="360" w:lineRule="auto"/>
              <w:ind w:left="103" w:right="0"/>
              <w:jc w:val="center"/>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投标函及投标函附</w:t>
            </w:r>
          </w:p>
          <w:p>
            <w:pPr>
              <w:pStyle w:val="27"/>
              <w:spacing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录签字盖章</w:t>
            </w:r>
          </w:p>
        </w:tc>
        <w:tc>
          <w:tcPr>
            <w:tcW w:w="5411" w:type="dxa"/>
            <w:tcBorders>
              <w:top w:val="single" w:color="000000" w:sz="4" w:space="0"/>
              <w:left w:val="single" w:color="000000" w:sz="4" w:space="0"/>
              <w:right w:val="single" w:color="000000" w:sz="4" w:space="0"/>
            </w:tcBorders>
            <w:vAlign w:val="center"/>
          </w:tcPr>
          <w:p>
            <w:pPr>
              <w:pStyle w:val="27"/>
              <w:spacing w:before="82" w:line="360" w:lineRule="auto"/>
              <w:ind w:left="101" w:right="0"/>
              <w:jc w:val="left"/>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有法定代表人或其委托代理人签字或加盖单位章。由法定代</w:t>
            </w:r>
            <w:r>
              <w:rPr>
                <w:rFonts w:ascii="宋体" w:hAnsi="宋体" w:eastAsia="宋体" w:cs="宋体"/>
                <w:color w:val="auto"/>
                <w:sz w:val="21"/>
                <w:szCs w:val="21"/>
                <w:highlight w:val="none"/>
              </w:rPr>
              <w:t>表人签字</w:t>
            </w:r>
            <w:r>
              <w:rPr>
                <w:rFonts w:hint="eastAsia" w:ascii="宋体" w:hAnsi="宋体" w:eastAsia="宋体" w:cs="宋体"/>
                <w:color w:val="auto"/>
                <w:sz w:val="21"/>
                <w:szCs w:val="21"/>
                <w:highlight w:val="none"/>
                <w:lang w:val="en-US" w:eastAsia="zh-CN"/>
              </w:rPr>
              <w:t>或盖章</w:t>
            </w:r>
            <w:r>
              <w:rPr>
                <w:rFonts w:ascii="宋体" w:hAnsi="宋体" w:eastAsia="宋体" w:cs="宋体"/>
                <w:color w:val="auto"/>
                <w:sz w:val="21"/>
                <w:szCs w:val="21"/>
                <w:highlight w:val="none"/>
              </w:rPr>
              <w:t>的，应附法定代表人身份证明，由代理人签字的，</w:t>
            </w:r>
            <w:r>
              <w:rPr>
                <w:rFonts w:ascii="宋体" w:hAnsi="宋体" w:eastAsia="宋体" w:cs="宋体"/>
                <w:color w:val="auto"/>
                <w:spacing w:val="-3"/>
                <w:sz w:val="21"/>
                <w:szCs w:val="21"/>
                <w:highlight w:val="none"/>
              </w:rPr>
              <w:t>应附授权委托书，身份证明或授权委托书应符合第</w:t>
            </w:r>
            <w:r>
              <w:rPr>
                <w:rFonts w:hint="eastAsia" w:ascii="宋体" w:hAnsi="宋体" w:eastAsia="宋体" w:cs="宋体"/>
                <w:color w:val="auto"/>
                <w:spacing w:val="-3"/>
                <w:sz w:val="21"/>
                <w:szCs w:val="21"/>
                <w:highlight w:val="none"/>
                <w:lang w:val="en-US" w:eastAsia="zh-CN"/>
              </w:rPr>
              <w:t>七</w:t>
            </w:r>
            <w:r>
              <w:rPr>
                <w:rFonts w:ascii="宋体" w:hAnsi="宋体" w:eastAsia="宋体" w:cs="宋体"/>
                <w:color w:val="auto"/>
                <w:spacing w:val="-3"/>
                <w:sz w:val="21"/>
                <w:szCs w:val="21"/>
                <w:highlight w:val="none"/>
              </w:rPr>
              <w:t>章“投</w:t>
            </w:r>
            <w:r>
              <w:rPr>
                <w:rFonts w:ascii="宋体" w:hAnsi="宋体" w:eastAsia="宋体" w:cs="宋体"/>
                <w:color w:val="auto"/>
                <w:sz w:val="21"/>
                <w:szCs w:val="21"/>
                <w:highlight w:val="none"/>
              </w:rPr>
              <w:t>标文件格式”的规定</w:t>
            </w:r>
          </w:p>
        </w:tc>
      </w:tr>
      <w:tr>
        <w:tblPrEx>
          <w:tblCellMar>
            <w:top w:w="0" w:type="dxa"/>
            <w:left w:w="0" w:type="dxa"/>
            <w:bottom w:w="0" w:type="dxa"/>
            <w:right w:w="0" w:type="dxa"/>
          </w:tblCellMar>
        </w:tblPrEx>
        <w:trPr>
          <w:trHeight w:val="813" w:hRule="atLeast"/>
        </w:trPr>
        <w:tc>
          <w:tcPr>
            <w:tcW w:w="813" w:type="dxa"/>
            <w:vMerge w:val="continue"/>
            <w:tcBorders>
              <w:left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7"/>
              <w:spacing w:before="115"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投标文件格式</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15" w:line="360" w:lineRule="auto"/>
              <w:ind w:left="101"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投标函及投标函附录符合第</w:t>
            </w:r>
            <w:r>
              <w:rPr>
                <w:rFonts w:hint="eastAsia" w:ascii="宋体" w:hAnsi="宋体" w:eastAsia="宋体" w:cs="宋体"/>
                <w:color w:val="auto"/>
                <w:sz w:val="21"/>
                <w:szCs w:val="21"/>
                <w:highlight w:val="none"/>
                <w:lang w:val="en-US" w:eastAsia="zh-CN"/>
              </w:rPr>
              <w:t>七</w:t>
            </w:r>
            <w:r>
              <w:rPr>
                <w:rFonts w:ascii="宋体" w:hAnsi="宋体" w:eastAsia="宋体" w:cs="宋体"/>
                <w:color w:val="auto"/>
                <w:sz w:val="21"/>
                <w:szCs w:val="21"/>
                <w:highlight w:val="none"/>
              </w:rPr>
              <w:t>章“投标文件格式”的规定</w:t>
            </w:r>
          </w:p>
        </w:tc>
      </w:tr>
      <w:tr>
        <w:tblPrEx>
          <w:tblCellMar>
            <w:top w:w="0" w:type="dxa"/>
            <w:left w:w="0" w:type="dxa"/>
            <w:bottom w:w="0" w:type="dxa"/>
            <w:right w:w="0" w:type="dxa"/>
          </w:tblCellMar>
        </w:tblPrEx>
        <w:trPr>
          <w:trHeight w:val="849" w:hRule="atLeast"/>
        </w:trPr>
        <w:tc>
          <w:tcPr>
            <w:tcW w:w="813" w:type="dxa"/>
            <w:vMerge w:val="continue"/>
            <w:tcBorders>
              <w:left w:val="single" w:color="000000" w:sz="4" w:space="0"/>
              <w:bottom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bottom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备选投标方案</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不接受备选投标方案。</w:t>
            </w:r>
          </w:p>
        </w:tc>
      </w:tr>
      <w:tr>
        <w:tblPrEx>
          <w:tblCellMar>
            <w:top w:w="0" w:type="dxa"/>
            <w:left w:w="0" w:type="dxa"/>
            <w:bottom w:w="0" w:type="dxa"/>
            <w:right w:w="0" w:type="dxa"/>
          </w:tblCellMar>
        </w:tblPrEx>
        <w:trPr>
          <w:trHeight w:val="816" w:hRule="atLeast"/>
        </w:trPr>
        <w:tc>
          <w:tcPr>
            <w:tcW w:w="813" w:type="dxa"/>
            <w:vMerge w:val="restart"/>
            <w:tcBorders>
              <w:top w:val="single" w:color="000000" w:sz="4" w:space="0"/>
              <w:left w:val="single" w:color="000000" w:sz="4" w:space="0"/>
              <w:right w:val="single" w:color="000000" w:sz="4" w:space="0"/>
            </w:tcBorders>
          </w:tcPr>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2.1.</w:t>
            </w:r>
            <w:r>
              <w:rPr>
                <w:rFonts w:hint="eastAsia" w:ascii="宋体" w:hAnsi="宋体" w:eastAsia="宋体" w:cs="宋体"/>
                <w:b w:val="0"/>
                <w:bCs w:val="0"/>
                <w:color w:val="auto"/>
                <w:w w:val="100"/>
                <w:sz w:val="20"/>
                <w:szCs w:val="20"/>
                <w:highlight w:val="none"/>
              </w:rPr>
              <w:t>2</w:t>
            </w:r>
          </w:p>
        </w:tc>
        <w:tc>
          <w:tcPr>
            <w:tcW w:w="1029" w:type="dxa"/>
            <w:vMerge w:val="restart"/>
            <w:tcBorders>
              <w:top w:val="single" w:color="000000" w:sz="4" w:space="0"/>
              <w:left w:val="single" w:color="000000" w:sz="4" w:space="0"/>
              <w:right w:val="single" w:color="000000" w:sz="4" w:space="0"/>
            </w:tcBorders>
          </w:tcPr>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right="44"/>
              <w:jc w:val="center"/>
              <w:rPr>
                <w:rFonts w:hint="eastAsia" w:ascii="宋体" w:hAnsi="宋体" w:eastAsia="宋体" w:cs="宋体"/>
                <w:b w:val="0"/>
                <w:bCs w:val="0"/>
                <w:color w:val="auto"/>
                <w:sz w:val="20"/>
                <w:szCs w:val="20"/>
                <w:highlight w:val="none"/>
              </w:rPr>
            </w:pPr>
          </w:p>
          <w:p>
            <w:pPr>
              <w:pStyle w:val="27"/>
              <w:spacing w:before="0" w:line="360" w:lineRule="auto"/>
              <w:ind w:right="44"/>
              <w:jc w:val="center"/>
              <w:rPr>
                <w:rFonts w:hint="eastAsia" w:ascii="宋体" w:hAnsi="宋体" w:eastAsia="宋体" w:cs="宋体"/>
                <w:b w:val="0"/>
                <w:bCs w:val="0"/>
                <w:color w:val="auto"/>
                <w:sz w:val="20"/>
                <w:szCs w:val="20"/>
                <w:highlight w:val="none"/>
              </w:rPr>
            </w:pPr>
          </w:p>
          <w:p>
            <w:pPr>
              <w:pStyle w:val="27"/>
              <w:spacing w:line="360" w:lineRule="auto"/>
              <w:ind w:left="0" w:right="44"/>
              <w:jc w:val="center"/>
              <w:rPr>
                <w:rFonts w:hint="eastAsia" w:ascii="宋体" w:hAnsi="宋体" w:eastAsia="宋体" w:cs="宋体"/>
                <w:b w:val="0"/>
                <w:bCs w:val="0"/>
                <w:color w:val="auto"/>
                <w:sz w:val="20"/>
                <w:szCs w:val="20"/>
                <w:highlight w:val="none"/>
              </w:rPr>
            </w:pPr>
            <w:r>
              <w:rPr>
                <w:rFonts w:hint="eastAsia" w:ascii="宋体" w:hAnsi="宋体" w:eastAsia="宋体" w:cs="宋体"/>
                <w:color w:val="auto"/>
                <w:sz w:val="21"/>
                <w:szCs w:val="21"/>
                <w:highlight w:val="none"/>
              </w:rPr>
              <w:t>资格评审标准</w:t>
            </w:r>
          </w:p>
        </w:tc>
        <w:tc>
          <w:tcPr>
            <w:tcW w:w="1986"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3" w:right="0"/>
              <w:jc w:val="center"/>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营业执照（或事业</w:t>
            </w:r>
          </w:p>
          <w:p>
            <w:pPr>
              <w:pStyle w:val="27"/>
              <w:spacing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单位法人证书）</w:t>
            </w:r>
          </w:p>
        </w:tc>
        <w:tc>
          <w:tcPr>
            <w:tcW w:w="5411" w:type="dxa"/>
            <w:tcBorders>
              <w:top w:val="single" w:color="000000" w:sz="4" w:space="0"/>
              <w:left w:val="single" w:color="000000" w:sz="4" w:space="0"/>
              <w:right w:val="single" w:color="000000" w:sz="4" w:space="0"/>
            </w:tcBorders>
            <w:vAlign w:val="center"/>
          </w:tcPr>
          <w:p>
            <w:pPr>
              <w:pStyle w:val="27"/>
              <w:spacing w:before="119" w:line="360" w:lineRule="auto"/>
              <w:ind w:left="101" w:right="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符合第二章“投标人须知”第1.4.1项规定</w:t>
            </w:r>
          </w:p>
        </w:tc>
      </w:tr>
      <w:tr>
        <w:tblPrEx>
          <w:tblCellMar>
            <w:top w:w="0" w:type="dxa"/>
            <w:left w:w="0" w:type="dxa"/>
            <w:bottom w:w="0" w:type="dxa"/>
            <w:right w:w="0" w:type="dxa"/>
          </w:tblCellMar>
        </w:tblPrEx>
        <w:trPr>
          <w:trHeight w:val="0" w:hRule="atLeast"/>
        </w:trPr>
        <w:tc>
          <w:tcPr>
            <w:tcW w:w="813" w:type="dxa"/>
            <w:vMerge w:val="continue"/>
            <w:tcBorders>
              <w:left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tcPr>
          <w:p>
            <w:pPr>
              <w:pStyle w:val="27"/>
              <w:spacing w:before="120"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资质要求</w:t>
            </w:r>
          </w:p>
        </w:tc>
        <w:tc>
          <w:tcPr>
            <w:tcW w:w="5411" w:type="dxa"/>
            <w:tcBorders>
              <w:top w:val="single" w:color="000000" w:sz="4" w:space="0"/>
              <w:left w:val="single" w:color="000000" w:sz="4" w:space="0"/>
              <w:bottom w:val="single" w:color="000000" w:sz="4" w:space="0"/>
              <w:right w:val="single" w:color="000000" w:sz="4" w:space="0"/>
            </w:tcBorders>
          </w:tcPr>
          <w:p>
            <w:pPr>
              <w:pStyle w:val="27"/>
              <w:spacing w:before="120" w:line="360" w:lineRule="auto"/>
              <w:ind w:left="10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符合第二章“投标人须知”第1.4.1项规定</w:t>
            </w:r>
          </w:p>
        </w:tc>
      </w:tr>
      <w:tr>
        <w:tblPrEx>
          <w:tblCellMar>
            <w:top w:w="0" w:type="dxa"/>
            <w:left w:w="0" w:type="dxa"/>
            <w:bottom w:w="0" w:type="dxa"/>
            <w:right w:w="0" w:type="dxa"/>
          </w:tblCellMar>
        </w:tblPrEx>
        <w:trPr>
          <w:trHeight w:val="0" w:hRule="atLeast"/>
        </w:trPr>
        <w:tc>
          <w:tcPr>
            <w:tcW w:w="813" w:type="dxa"/>
            <w:vMerge w:val="continue"/>
            <w:tcBorders>
              <w:left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tcPr>
          <w:p>
            <w:pPr>
              <w:pStyle w:val="27"/>
              <w:spacing w:before="118"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项目负责人</w:t>
            </w:r>
          </w:p>
        </w:tc>
        <w:tc>
          <w:tcPr>
            <w:tcW w:w="5411" w:type="dxa"/>
            <w:tcBorders>
              <w:top w:val="single" w:color="000000" w:sz="4" w:space="0"/>
              <w:left w:val="single" w:color="000000" w:sz="4" w:space="0"/>
              <w:bottom w:val="single" w:color="000000" w:sz="4" w:space="0"/>
              <w:right w:val="single" w:color="000000" w:sz="4" w:space="0"/>
            </w:tcBorders>
          </w:tcPr>
          <w:p>
            <w:pPr>
              <w:pStyle w:val="27"/>
              <w:spacing w:before="118" w:line="360" w:lineRule="auto"/>
              <w:ind w:left="10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符合第二章“投标人须知”第1.4.1项规定</w:t>
            </w:r>
          </w:p>
        </w:tc>
      </w:tr>
      <w:tr>
        <w:tblPrEx>
          <w:tblCellMar>
            <w:top w:w="0" w:type="dxa"/>
            <w:left w:w="0" w:type="dxa"/>
            <w:bottom w:w="0" w:type="dxa"/>
            <w:right w:w="0" w:type="dxa"/>
          </w:tblCellMar>
        </w:tblPrEx>
        <w:trPr>
          <w:trHeight w:val="0" w:hRule="atLeast"/>
        </w:trPr>
        <w:tc>
          <w:tcPr>
            <w:tcW w:w="813" w:type="dxa"/>
            <w:vMerge w:val="continue"/>
            <w:tcBorders>
              <w:left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tcPr>
          <w:p>
            <w:pPr>
              <w:pStyle w:val="27"/>
              <w:spacing w:before="118"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其他要求</w:t>
            </w:r>
          </w:p>
        </w:tc>
        <w:tc>
          <w:tcPr>
            <w:tcW w:w="5411" w:type="dxa"/>
            <w:tcBorders>
              <w:top w:val="single" w:color="000000" w:sz="4" w:space="0"/>
              <w:left w:val="single" w:color="000000" w:sz="4" w:space="0"/>
              <w:bottom w:val="single" w:color="000000" w:sz="4" w:space="0"/>
              <w:right w:val="single" w:color="000000" w:sz="4" w:space="0"/>
            </w:tcBorders>
          </w:tcPr>
          <w:p>
            <w:pPr>
              <w:pStyle w:val="27"/>
              <w:spacing w:before="118" w:line="360" w:lineRule="auto"/>
              <w:ind w:left="10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符合第二章“投标人须知”第1.4.1项规定</w:t>
            </w:r>
          </w:p>
        </w:tc>
      </w:tr>
      <w:tr>
        <w:tblPrEx>
          <w:tblCellMar>
            <w:top w:w="0" w:type="dxa"/>
            <w:left w:w="0" w:type="dxa"/>
            <w:bottom w:w="0" w:type="dxa"/>
            <w:right w:w="0" w:type="dxa"/>
          </w:tblCellMar>
        </w:tblPrEx>
        <w:trPr>
          <w:trHeight w:val="0" w:hRule="atLeast"/>
        </w:trPr>
        <w:tc>
          <w:tcPr>
            <w:tcW w:w="813" w:type="dxa"/>
            <w:vMerge w:val="continue"/>
            <w:tcBorders>
              <w:left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tcPr>
          <w:p>
            <w:pPr>
              <w:pStyle w:val="27"/>
              <w:spacing w:before="119" w:line="360" w:lineRule="auto"/>
              <w:ind w:left="103" w:right="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信誉要求</w:t>
            </w:r>
          </w:p>
        </w:tc>
        <w:tc>
          <w:tcPr>
            <w:tcW w:w="5411" w:type="dxa"/>
            <w:tcBorders>
              <w:top w:val="single" w:color="000000" w:sz="4" w:space="0"/>
              <w:left w:val="single" w:color="000000" w:sz="4" w:space="0"/>
              <w:bottom w:val="single" w:color="000000" w:sz="4" w:space="0"/>
              <w:right w:val="single" w:color="000000" w:sz="4" w:space="0"/>
            </w:tcBorders>
          </w:tcPr>
          <w:p>
            <w:pPr>
              <w:pStyle w:val="27"/>
              <w:spacing w:before="119" w:line="360" w:lineRule="auto"/>
              <w:ind w:left="10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符合第二章“投标人须知”第1.4.1项规定</w:t>
            </w:r>
          </w:p>
        </w:tc>
      </w:tr>
      <w:tr>
        <w:trPr>
          <w:trHeight w:val="596" w:hRule="atLeast"/>
        </w:trPr>
        <w:tc>
          <w:tcPr>
            <w:tcW w:w="813" w:type="dxa"/>
            <w:vMerge w:val="continue"/>
            <w:tcBorders>
              <w:left w:val="single" w:color="000000"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vAlign w:val="top"/>
          </w:tcPr>
          <w:p>
            <w:pPr>
              <w:pStyle w:val="27"/>
              <w:spacing w:before="118" w:line="360" w:lineRule="auto"/>
              <w:ind w:left="103" w:leftChars="0" w:right="0" w:rightChars="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联合体投标人</w:t>
            </w:r>
          </w:p>
        </w:tc>
        <w:tc>
          <w:tcPr>
            <w:tcW w:w="5411" w:type="dxa"/>
            <w:tcBorders>
              <w:top w:val="single" w:color="000000" w:sz="4" w:space="0"/>
              <w:left w:val="single" w:color="000000" w:sz="4" w:space="0"/>
              <w:bottom w:val="single" w:color="000000" w:sz="4" w:space="0"/>
              <w:right w:val="single" w:color="000000" w:sz="4" w:space="0"/>
            </w:tcBorders>
            <w:vAlign w:val="top"/>
          </w:tcPr>
          <w:p>
            <w:pPr>
              <w:pStyle w:val="27"/>
              <w:spacing w:before="118" w:line="360" w:lineRule="auto"/>
              <w:ind w:left="101" w:leftChars="0" w:right="0" w:rightChars="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符合第二章“投标人须知”第1.4.2项规定</w:t>
            </w:r>
          </w:p>
        </w:tc>
      </w:tr>
      <w:tr>
        <w:tblPrEx>
          <w:tblCellMar>
            <w:top w:w="0" w:type="dxa"/>
            <w:left w:w="0" w:type="dxa"/>
            <w:bottom w:w="0" w:type="dxa"/>
            <w:right w:w="0" w:type="dxa"/>
          </w:tblCellMar>
        </w:tblPrEx>
        <w:trPr>
          <w:trHeight w:val="761" w:hRule="atLeast"/>
        </w:trPr>
        <w:tc>
          <w:tcPr>
            <w:tcW w:w="813" w:type="dxa"/>
            <w:vMerge w:val="continue"/>
            <w:tcBorders>
              <w:left w:val="single" w:color="000000" w:sz="4" w:space="0"/>
              <w:bottom w:val="single" w:color="auto"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bottom w:val="single" w:color="auto" w:sz="4" w:space="0"/>
              <w:right w:val="single" w:color="000000" w:sz="4" w:space="0"/>
            </w:tcBorders>
          </w:tcPr>
          <w:p>
            <w:pPr>
              <w:spacing w:line="360" w:lineRule="auto"/>
              <w:rPr>
                <w:color w:val="auto"/>
                <w:highlight w:val="none"/>
              </w:rPr>
            </w:pPr>
          </w:p>
        </w:tc>
        <w:tc>
          <w:tcPr>
            <w:tcW w:w="1986" w:type="dxa"/>
            <w:tcBorders>
              <w:top w:val="single" w:color="000000" w:sz="4" w:space="0"/>
              <w:left w:val="single" w:color="000000" w:sz="4" w:space="0"/>
              <w:bottom w:val="single" w:color="000000" w:sz="4" w:space="0"/>
              <w:right w:val="single" w:color="000000" w:sz="4" w:space="0"/>
            </w:tcBorders>
            <w:vAlign w:val="top"/>
          </w:tcPr>
          <w:p>
            <w:pPr>
              <w:pStyle w:val="27"/>
              <w:spacing w:before="129" w:line="360" w:lineRule="auto"/>
              <w:ind w:left="103" w:leftChars="0" w:right="147" w:rightChars="0"/>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不存在禁止投标的</w:t>
            </w:r>
            <w:r>
              <w:rPr>
                <w:rFonts w:ascii="宋体" w:hAnsi="宋体" w:eastAsia="宋体" w:cs="宋体"/>
                <w:color w:val="auto"/>
                <w:sz w:val="21"/>
                <w:szCs w:val="21"/>
                <w:highlight w:val="none"/>
              </w:rPr>
              <w:t>情形</w:t>
            </w:r>
          </w:p>
        </w:tc>
        <w:tc>
          <w:tcPr>
            <w:tcW w:w="5411" w:type="dxa"/>
            <w:tcBorders>
              <w:top w:val="single" w:color="000000" w:sz="4" w:space="0"/>
              <w:left w:val="single" w:color="000000" w:sz="4" w:space="0"/>
              <w:bottom w:val="single" w:color="000000" w:sz="4" w:space="0"/>
              <w:right w:val="single" w:color="000000" w:sz="4" w:space="0"/>
            </w:tcBorders>
            <w:vAlign w:val="top"/>
          </w:tcPr>
          <w:p>
            <w:pPr>
              <w:pStyle w:val="27"/>
              <w:spacing w:before="118" w:line="360" w:lineRule="auto"/>
              <w:ind w:left="101" w:leftChars="0" w:right="0" w:rightChars="0"/>
              <w:jc w:val="left"/>
              <w:rPr>
                <w:rFonts w:ascii="宋体" w:hAnsi="宋体" w:eastAsia="宋体" w:cs="宋体"/>
                <w:color w:val="auto"/>
                <w:spacing w:val="0"/>
                <w:w w:val="100"/>
                <w:sz w:val="21"/>
                <w:szCs w:val="21"/>
                <w:highlight w:val="none"/>
              </w:rPr>
            </w:pPr>
            <w:r>
              <w:rPr>
                <w:rFonts w:ascii="宋体" w:hAnsi="宋体" w:eastAsia="宋体" w:cs="宋体"/>
                <w:color w:val="auto"/>
                <w:spacing w:val="0"/>
                <w:sz w:val="21"/>
                <w:szCs w:val="21"/>
                <w:highlight w:val="none"/>
              </w:rPr>
              <w:t>1.不存在第二章“投标人须知”第</w:t>
            </w:r>
            <w:r>
              <w:rPr>
                <w:rFonts w:ascii="宋体" w:hAnsi="宋体" w:eastAsia="宋体" w:cs="宋体"/>
                <w:color w:val="auto"/>
                <w:sz w:val="21"/>
                <w:szCs w:val="21"/>
                <w:highlight w:val="none"/>
              </w:rPr>
              <w:t>1.4.3</w:t>
            </w:r>
            <w:r>
              <w:rPr>
                <w:rFonts w:ascii="宋体" w:hAnsi="宋体" w:eastAsia="宋体" w:cs="宋体"/>
                <w:color w:val="auto"/>
                <w:spacing w:val="0"/>
                <w:sz w:val="21"/>
                <w:szCs w:val="21"/>
                <w:highlight w:val="none"/>
              </w:rPr>
              <w:t>项规定的任何一</w:t>
            </w:r>
            <w:r>
              <w:rPr>
                <w:rFonts w:ascii="宋体" w:hAnsi="宋体" w:eastAsia="宋体" w:cs="宋体"/>
                <w:color w:val="auto"/>
                <w:spacing w:val="0"/>
                <w:w w:val="100"/>
                <w:sz w:val="21"/>
                <w:szCs w:val="21"/>
                <w:highlight w:val="none"/>
              </w:rPr>
              <w:t>种情形；</w:t>
            </w:r>
          </w:p>
          <w:p>
            <w:pPr>
              <w:pStyle w:val="27"/>
              <w:spacing w:before="118" w:line="360" w:lineRule="auto"/>
              <w:ind w:left="101" w:leftChars="0" w:right="0" w:rightChars="0"/>
              <w:jc w:val="left"/>
              <w:rPr>
                <w:rFonts w:ascii="宋体" w:hAnsi="宋体" w:eastAsia="宋体" w:cs="宋体"/>
                <w:color w:val="auto"/>
                <w:sz w:val="21"/>
                <w:szCs w:val="21"/>
                <w:highlight w:val="none"/>
              </w:rPr>
            </w:pPr>
            <w:r>
              <w:rPr>
                <w:rFonts w:ascii="宋体" w:hAnsi="宋体" w:eastAsia="宋体" w:cs="宋体"/>
                <w:color w:val="auto"/>
                <w:spacing w:val="0"/>
                <w:w w:val="100"/>
                <w:sz w:val="21"/>
                <w:szCs w:val="21"/>
                <w:highlight w:val="none"/>
              </w:rPr>
              <w:t>2.不存在“不按评标委员会要求澄清、说明或补正</w:t>
            </w:r>
            <w:r>
              <w:rPr>
                <w:rFonts w:ascii="宋体" w:hAnsi="宋体" w:eastAsia="宋体" w:cs="宋体"/>
                <w:color w:val="auto"/>
                <w:sz w:val="21"/>
                <w:szCs w:val="21"/>
                <w:highlight w:val="none"/>
              </w:rPr>
              <w:t>的”。</w:t>
            </w:r>
          </w:p>
        </w:tc>
      </w:tr>
      <w:tr>
        <w:tblPrEx>
          <w:tblCellMar>
            <w:top w:w="0" w:type="dxa"/>
            <w:left w:w="0" w:type="dxa"/>
            <w:bottom w:w="0" w:type="dxa"/>
            <w:right w:w="0" w:type="dxa"/>
          </w:tblCellMar>
        </w:tblPrEx>
        <w:trPr>
          <w:trHeight w:val="732" w:hRule="atLeast"/>
        </w:trPr>
        <w:tc>
          <w:tcPr>
            <w:tcW w:w="813" w:type="dxa"/>
            <w:vMerge w:val="restart"/>
            <w:tcBorders>
              <w:top w:val="single" w:color="auto" w:sz="4" w:space="0"/>
              <w:left w:val="single" w:color="auto" w:sz="4" w:space="0"/>
              <w:right w:val="single" w:color="000000" w:sz="4" w:space="0"/>
            </w:tcBorders>
            <w:vAlign w:val="center"/>
          </w:tcPr>
          <w:p>
            <w:pPr>
              <w:pStyle w:val="27"/>
              <w:ind w:right="44"/>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2.1.</w:t>
            </w:r>
            <w:r>
              <w:rPr>
                <w:rFonts w:hint="eastAsia" w:ascii="宋体" w:hAnsi="宋体" w:eastAsia="宋体" w:cs="宋体"/>
                <w:color w:val="auto"/>
                <w:w w:val="100"/>
                <w:sz w:val="20"/>
                <w:szCs w:val="20"/>
                <w:highlight w:val="none"/>
              </w:rPr>
              <w:t>3</w:t>
            </w:r>
          </w:p>
        </w:tc>
        <w:tc>
          <w:tcPr>
            <w:tcW w:w="1029" w:type="dxa"/>
            <w:vMerge w:val="restart"/>
            <w:tcBorders>
              <w:top w:val="single" w:color="auto" w:sz="4" w:space="0"/>
              <w:left w:val="single" w:color="000000" w:sz="4" w:space="0"/>
              <w:right w:val="single" w:color="auto" w:sz="4" w:space="0"/>
            </w:tcBorders>
            <w:vAlign w:val="center"/>
          </w:tcPr>
          <w:p>
            <w:pPr>
              <w:pStyle w:val="27"/>
              <w:spacing w:line="360" w:lineRule="auto"/>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rPr>
              <w:t>响应性评审标准</w:t>
            </w: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7"/>
              <w:spacing w:before="103" w:line="360" w:lineRule="auto"/>
              <w:ind w:left="103" w:leftChars="0" w:right="0" w:rightChars="0"/>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投标报价</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03" w:line="360" w:lineRule="auto"/>
              <w:ind w:left="101" w:leftChars="0" w:right="0" w:rightChars="0"/>
              <w:jc w:val="both"/>
              <w:rPr>
                <w:rFonts w:ascii="宋体" w:hAnsi="宋体" w:eastAsia="宋体" w:cs="宋体"/>
                <w:color w:val="auto"/>
                <w:spacing w:val="0"/>
                <w:w w:val="100"/>
                <w:sz w:val="21"/>
                <w:szCs w:val="21"/>
                <w:highlight w:val="none"/>
              </w:rPr>
            </w:pPr>
            <w:r>
              <w:rPr>
                <w:rFonts w:ascii="宋体" w:hAnsi="宋体" w:eastAsia="宋体" w:cs="宋体"/>
                <w:color w:val="auto"/>
                <w:sz w:val="21"/>
                <w:szCs w:val="21"/>
                <w:highlight w:val="none"/>
              </w:rPr>
              <w:t>符合第二章“投标人须知”第3.2款规定</w:t>
            </w:r>
          </w:p>
        </w:tc>
      </w:tr>
      <w:tr>
        <w:trPr>
          <w:trHeight w:val="829" w:hRule="atLeast"/>
        </w:trPr>
        <w:tc>
          <w:tcPr>
            <w:tcW w:w="813" w:type="dxa"/>
            <w:vMerge w:val="continue"/>
            <w:tcBorders>
              <w:left w:val="single" w:color="auto"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auto" w:sz="4" w:space="0"/>
            </w:tcBorders>
          </w:tcPr>
          <w:p>
            <w:pPr>
              <w:spacing w:line="360" w:lineRule="auto"/>
              <w:rPr>
                <w:color w:val="auto"/>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7"/>
              <w:spacing w:before="102" w:line="360" w:lineRule="auto"/>
              <w:ind w:left="103" w:leftChars="0" w:right="0" w:rightChars="0"/>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投标内容</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02" w:line="360" w:lineRule="auto"/>
              <w:ind w:left="101" w:leftChars="0" w:right="0" w:rightChars="0"/>
              <w:jc w:val="both"/>
              <w:rPr>
                <w:rFonts w:ascii="宋体" w:hAnsi="宋体" w:eastAsia="宋体" w:cs="宋体"/>
                <w:color w:val="auto"/>
                <w:spacing w:val="0"/>
                <w:w w:val="100"/>
                <w:sz w:val="21"/>
                <w:szCs w:val="21"/>
                <w:highlight w:val="none"/>
              </w:rPr>
            </w:pPr>
            <w:r>
              <w:rPr>
                <w:rFonts w:ascii="宋体" w:hAnsi="宋体" w:eastAsia="宋体" w:cs="宋体"/>
                <w:color w:val="auto"/>
                <w:sz w:val="21"/>
                <w:szCs w:val="21"/>
                <w:highlight w:val="none"/>
              </w:rPr>
              <w:t>符合第二章“投标人须知”第1.3.1项规定</w:t>
            </w:r>
          </w:p>
        </w:tc>
      </w:tr>
      <w:tr>
        <w:tblPrEx>
          <w:tblCellMar>
            <w:top w:w="0" w:type="dxa"/>
            <w:left w:w="0" w:type="dxa"/>
            <w:bottom w:w="0" w:type="dxa"/>
            <w:right w:w="0" w:type="dxa"/>
          </w:tblCellMar>
        </w:tblPrEx>
        <w:trPr>
          <w:trHeight w:val="756" w:hRule="atLeast"/>
        </w:trPr>
        <w:tc>
          <w:tcPr>
            <w:tcW w:w="813" w:type="dxa"/>
            <w:vMerge w:val="continue"/>
            <w:tcBorders>
              <w:left w:val="single" w:color="auto"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auto" w:sz="4" w:space="0"/>
            </w:tcBorders>
          </w:tcPr>
          <w:p>
            <w:pPr>
              <w:spacing w:line="360" w:lineRule="auto"/>
              <w:rPr>
                <w:color w:val="auto"/>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7"/>
              <w:spacing w:before="102" w:line="360" w:lineRule="auto"/>
              <w:ind w:left="103" w:leftChars="0" w:right="0" w:rightChars="0"/>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设计服务期限</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02" w:line="360" w:lineRule="auto"/>
              <w:ind w:left="101" w:leftChars="0" w:right="0" w:rightChars="0"/>
              <w:jc w:val="both"/>
              <w:rPr>
                <w:rFonts w:ascii="宋体" w:hAnsi="宋体" w:eastAsia="宋体" w:cs="宋体"/>
                <w:color w:val="auto"/>
                <w:spacing w:val="0"/>
                <w:w w:val="100"/>
                <w:sz w:val="21"/>
                <w:szCs w:val="21"/>
                <w:highlight w:val="none"/>
              </w:rPr>
            </w:pPr>
            <w:r>
              <w:rPr>
                <w:rFonts w:ascii="宋体" w:hAnsi="宋体" w:eastAsia="宋体" w:cs="宋体"/>
                <w:color w:val="auto"/>
                <w:sz w:val="21"/>
                <w:szCs w:val="21"/>
                <w:highlight w:val="none"/>
              </w:rPr>
              <w:t>符合第二章“投标人须知”第1.3.2项规定</w:t>
            </w:r>
          </w:p>
        </w:tc>
      </w:tr>
      <w:tr>
        <w:tblPrEx>
          <w:tblCellMar>
            <w:top w:w="0" w:type="dxa"/>
            <w:left w:w="0" w:type="dxa"/>
            <w:bottom w:w="0" w:type="dxa"/>
            <w:right w:w="0" w:type="dxa"/>
          </w:tblCellMar>
        </w:tblPrEx>
        <w:trPr>
          <w:trHeight w:val="680" w:hRule="atLeast"/>
        </w:trPr>
        <w:tc>
          <w:tcPr>
            <w:tcW w:w="813" w:type="dxa"/>
            <w:vMerge w:val="continue"/>
            <w:tcBorders>
              <w:left w:val="single" w:color="auto"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auto" w:sz="4" w:space="0"/>
            </w:tcBorders>
          </w:tcPr>
          <w:p>
            <w:pPr>
              <w:spacing w:line="360" w:lineRule="auto"/>
              <w:rPr>
                <w:color w:val="auto"/>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7"/>
              <w:spacing w:before="101" w:line="360" w:lineRule="auto"/>
              <w:ind w:left="103" w:leftChars="0" w:right="0" w:rightChars="0"/>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质量标准</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01" w:line="360" w:lineRule="auto"/>
              <w:ind w:left="101" w:leftChars="0" w:right="0" w:rightChars="0"/>
              <w:jc w:val="both"/>
              <w:rPr>
                <w:rFonts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符合第二章“投标人须知”1.3.3 项规定。</w:t>
            </w:r>
          </w:p>
        </w:tc>
      </w:tr>
      <w:tr>
        <w:trPr>
          <w:trHeight w:val="624" w:hRule="atLeast"/>
        </w:trPr>
        <w:tc>
          <w:tcPr>
            <w:tcW w:w="813" w:type="dxa"/>
            <w:vMerge w:val="continue"/>
            <w:tcBorders>
              <w:left w:val="single" w:color="auto"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right w:val="single" w:color="auto" w:sz="4" w:space="0"/>
            </w:tcBorders>
          </w:tcPr>
          <w:p>
            <w:pPr>
              <w:spacing w:line="360" w:lineRule="auto"/>
              <w:rPr>
                <w:color w:val="auto"/>
                <w:highlight w:val="none"/>
              </w:rPr>
            </w:pP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7"/>
              <w:spacing w:before="103" w:line="360" w:lineRule="auto"/>
              <w:ind w:left="103" w:leftChars="0" w:right="0" w:rightChars="0"/>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投标有效期</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03" w:line="360" w:lineRule="auto"/>
              <w:ind w:left="101" w:leftChars="0" w:right="0" w:rightChars="0"/>
              <w:jc w:val="both"/>
              <w:rPr>
                <w:rFonts w:ascii="宋体" w:hAnsi="宋体" w:eastAsia="宋体" w:cs="宋体"/>
                <w:color w:val="auto"/>
                <w:spacing w:val="0"/>
                <w:w w:val="100"/>
                <w:sz w:val="21"/>
                <w:szCs w:val="21"/>
                <w:highlight w:val="none"/>
              </w:rPr>
            </w:pPr>
            <w:r>
              <w:rPr>
                <w:rFonts w:ascii="宋体" w:hAnsi="宋体" w:eastAsia="宋体" w:cs="宋体"/>
                <w:color w:val="auto"/>
                <w:sz w:val="21"/>
                <w:szCs w:val="21"/>
                <w:highlight w:val="none"/>
              </w:rPr>
              <w:t>符合第二章“投标人须知”第3.3.1项规定</w:t>
            </w:r>
          </w:p>
        </w:tc>
      </w:tr>
      <w:tr>
        <w:tblPrEx>
          <w:tblCellMar>
            <w:top w:w="0" w:type="dxa"/>
            <w:left w:w="0" w:type="dxa"/>
            <w:bottom w:w="0" w:type="dxa"/>
            <w:right w:w="0" w:type="dxa"/>
          </w:tblCellMar>
        </w:tblPrEx>
        <w:trPr>
          <w:trHeight w:val="716" w:hRule="atLeast"/>
        </w:trPr>
        <w:tc>
          <w:tcPr>
            <w:tcW w:w="813" w:type="dxa"/>
            <w:vMerge w:val="continue"/>
            <w:tcBorders>
              <w:left w:val="single" w:color="auto" w:sz="4" w:space="0"/>
              <w:bottom w:val="single" w:color="auto" w:sz="4" w:space="0"/>
              <w:right w:val="single" w:color="000000" w:sz="4" w:space="0"/>
            </w:tcBorders>
          </w:tcPr>
          <w:p>
            <w:pPr>
              <w:spacing w:line="360" w:lineRule="auto"/>
              <w:rPr>
                <w:color w:val="auto"/>
                <w:highlight w:val="none"/>
              </w:rPr>
            </w:pPr>
          </w:p>
        </w:tc>
        <w:tc>
          <w:tcPr>
            <w:tcW w:w="1029" w:type="dxa"/>
            <w:vMerge w:val="continue"/>
            <w:tcBorders>
              <w:left w:val="single" w:color="000000" w:sz="4" w:space="0"/>
              <w:bottom w:val="single" w:color="auto" w:sz="4" w:space="0"/>
              <w:right w:val="single" w:color="auto" w:sz="4" w:space="0"/>
            </w:tcBorders>
          </w:tcPr>
          <w:p>
            <w:pPr>
              <w:spacing w:line="360" w:lineRule="auto"/>
              <w:rPr>
                <w:color w:val="auto"/>
                <w:highlight w:val="none"/>
              </w:rPr>
            </w:pPr>
          </w:p>
        </w:tc>
        <w:tc>
          <w:tcPr>
            <w:tcW w:w="1986" w:type="dxa"/>
            <w:tcBorders>
              <w:top w:val="single" w:color="000000" w:sz="4" w:space="0"/>
              <w:left w:val="single" w:color="auto" w:sz="4" w:space="0"/>
              <w:bottom w:val="single" w:color="auto" w:sz="4" w:space="0"/>
              <w:right w:val="single" w:color="000000" w:sz="4" w:space="0"/>
            </w:tcBorders>
            <w:vAlign w:val="center"/>
          </w:tcPr>
          <w:p>
            <w:pPr>
              <w:pStyle w:val="27"/>
              <w:spacing w:before="102" w:line="360" w:lineRule="auto"/>
              <w:ind w:left="103" w:leftChars="0" w:right="0" w:rightChars="0"/>
              <w:jc w:val="center"/>
              <w:rPr>
                <w:rFonts w:ascii="宋体" w:hAnsi="宋体" w:eastAsia="宋体" w:cs="宋体"/>
                <w:color w:val="auto"/>
                <w:spacing w:val="6"/>
                <w:sz w:val="21"/>
                <w:szCs w:val="21"/>
                <w:highlight w:val="none"/>
              </w:rPr>
            </w:pPr>
            <w:r>
              <w:rPr>
                <w:rFonts w:ascii="宋体" w:hAnsi="宋体" w:eastAsia="宋体" w:cs="宋体"/>
                <w:color w:val="auto"/>
                <w:sz w:val="21"/>
                <w:szCs w:val="21"/>
                <w:highlight w:val="none"/>
              </w:rPr>
              <w:t>投标保证金</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02" w:line="360" w:lineRule="auto"/>
              <w:ind w:left="101" w:leftChars="0" w:right="0" w:rightChars="0"/>
              <w:jc w:val="both"/>
              <w:rPr>
                <w:rFonts w:ascii="宋体" w:hAnsi="宋体" w:eastAsia="宋体" w:cs="宋体"/>
                <w:color w:val="auto"/>
                <w:spacing w:val="0"/>
                <w:w w:val="100"/>
                <w:sz w:val="21"/>
                <w:szCs w:val="21"/>
                <w:highlight w:val="none"/>
              </w:rPr>
            </w:pPr>
            <w:r>
              <w:rPr>
                <w:rFonts w:ascii="宋体" w:hAnsi="宋体" w:eastAsia="宋体" w:cs="宋体"/>
                <w:color w:val="auto"/>
                <w:sz w:val="21"/>
                <w:szCs w:val="21"/>
                <w:highlight w:val="none"/>
              </w:rPr>
              <w:t>符合第二章“投标人须知”第3.4.1项规定</w:t>
            </w:r>
          </w:p>
        </w:tc>
      </w:tr>
      <w:tr>
        <w:tblPrEx>
          <w:tblCellMar>
            <w:top w:w="0" w:type="dxa"/>
            <w:left w:w="0" w:type="dxa"/>
            <w:bottom w:w="0" w:type="dxa"/>
            <w:right w:w="0" w:type="dxa"/>
          </w:tblCellMar>
        </w:tblPrEx>
        <w:trPr>
          <w:trHeight w:val="690" w:hRule="atLeast"/>
        </w:trPr>
        <w:tc>
          <w:tcPr>
            <w:tcW w:w="1842" w:type="dxa"/>
            <w:gridSpan w:val="2"/>
            <w:tcBorders>
              <w:top w:val="single" w:color="auto" w:sz="4" w:space="0"/>
              <w:left w:val="single" w:color="auto" w:sz="4" w:space="0"/>
              <w:bottom w:val="single" w:color="auto" w:sz="4" w:space="0"/>
              <w:right w:val="single" w:color="auto" w:sz="4" w:space="0"/>
            </w:tcBorders>
            <w:vAlign w:val="top"/>
          </w:tcPr>
          <w:p>
            <w:pPr>
              <w:pStyle w:val="27"/>
              <w:spacing w:before="130" w:line="360" w:lineRule="auto"/>
              <w:ind w:left="437" w:leftChars="0" w:right="0" w:rightChars="0"/>
              <w:jc w:val="left"/>
              <w:rPr>
                <w:color w:val="auto"/>
                <w:highlight w:val="none"/>
              </w:rPr>
            </w:pPr>
            <w:r>
              <w:rPr>
                <w:rFonts w:ascii="宋体" w:hAnsi="宋体" w:eastAsia="宋体" w:cs="宋体"/>
                <w:b/>
                <w:bCs/>
                <w:color w:val="auto"/>
                <w:sz w:val="21"/>
                <w:szCs w:val="21"/>
                <w:highlight w:val="none"/>
              </w:rPr>
              <w:t>条款号</w:t>
            </w:r>
          </w:p>
        </w:tc>
        <w:tc>
          <w:tcPr>
            <w:tcW w:w="1986" w:type="dxa"/>
            <w:tcBorders>
              <w:top w:val="single" w:color="auto" w:sz="4" w:space="0"/>
              <w:left w:val="single" w:color="auto" w:sz="4" w:space="0"/>
              <w:bottom w:val="single" w:color="auto" w:sz="4" w:space="0"/>
              <w:right w:val="single" w:color="auto" w:sz="4" w:space="0"/>
            </w:tcBorders>
            <w:vAlign w:val="top"/>
          </w:tcPr>
          <w:p>
            <w:pPr>
              <w:pStyle w:val="27"/>
              <w:spacing w:before="130" w:line="360" w:lineRule="auto"/>
              <w:ind w:left="103" w:leftChars="0" w:right="0" w:rightChars="0"/>
              <w:jc w:val="left"/>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条款内容</w:t>
            </w:r>
          </w:p>
        </w:tc>
        <w:tc>
          <w:tcPr>
            <w:tcW w:w="5411" w:type="dxa"/>
            <w:tcBorders>
              <w:top w:val="single" w:color="000000" w:sz="4" w:space="0"/>
              <w:left w:val="single" w:color="auto" w:sz="4" w:space="0"/>
              <w:bottom w:val="single" w:color="000000" w:sz="4" w:space="0"/>
              <w:right w:val="single" w:color="000000" w:sz="4" w:space="0"/>
            </w:tcBorders>
            <w:vAlign w:val="top"/>
          </w:tcPr>
          <w:p>
            <w:pPr>
              <w:pStyle w:val="27"/>
              <w:spacing w:before="130" w:line="360" w:lineRule="auto"/>
              <w:ind w:right="46" w:rightChars="0"/>
              <w:jc w:val="center"/>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编列内容</w:t>
            </w:r>
          </w:p>
        </w:tc>
      </w:tr>
      <w:tr>
        <w:tblPrEx>
          <w:tblCellMar>
            <w:top w:w="0" w:type="dxa"/>
            <w:left w:w="0" w:type="dxa"/>
            <w:bottom w:w="0" w:type="dxa"/>
            <w:right w:w="0" w:type="dxa"/>
          </w:tblCellMar>
        </w:tblPrEx>
        <w:trPr>
          <w:trHeight w:val="1480" w:hRule="atLeast"/>
        </w:trPr>
        <w:tc>
          <w:tcPr>
            <w:tcW w:w="1842" w:type="dxa"/>
            <w:gridSpan w:val="2"/>
            <w:tcBorders>
              <w:top w:val="single" w:color="auto" w:sz="4" w:space="0"/>
              <w:left w:val="single" w:color="auto" w:sz="4" w:space="0"/>
              <w:bottom w:val="single" w:color="auto" w:sz="4" w:space="0"/>
              <w:right w:val="single" w:color="auto" w:sz="4" w:space="0"/>
            </w:tcBorders>
            <w:vAlign w:val="center"/>
          </w:tcPr>
          <w:p>
            <w:pPr>
              <w:pStyle w:val="27"/>
              <w:spacing w:line="360" w:lineRule="auto"/>
              <w:ind w:left="220" w:leftChars="0" w:right="0" w:rightChars="0" w:firstLine="420" w:firstLineChars="200"/>
              <w:jc w:val="both"/>
              <w:rPr>
                <w:color w:val="auto"/>
                <w:highlight w:val="none"/>
              </w:rPr>
            </w:pPr>
            <w:r>
              <w:rPr>
                <w:rFonts w:ascii="宋体"/>
                <w:color w:val="auto"/>
                <w:sz w:val="21"/>
                <w:highlight w:val="none"/>
              </w:rPr>
              <w:t>2.2.1</w:t>
            </w:r>
          </w:p>
        </w:tc>
        <w:tc>
          <w:tcPr>
            <w:tcW w:w="1986" w:type="dxa"/>
            <w:tcBorders>
              <w:top w:val="single" w:color="auto" w:sz="4" w:space="0"/>
              <w:left w:val="single" w:color="auto" w:sz="4" w:space="0"/>
              <w:bottom w:val="single" w:color="000000" w:sz="4" w:space="0"/>
              <w:right w:val="single" w:color="000000" w:sz="4" w:space="0"/>
            </w:tcBorders>
            <w:vAlign w:val="top"/>
          </w:tcPr>
          <w:p>
            <w:pPr>
              <w:pStyle w:val="27"/>
              <w:spacing w:before="117" w:line="360" w:lineRule="auto"/>
              <w:ind w:left="0" w:leftChars="0" w:right="-4" w:rightChars="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分值构成</w:t>
            </w:r>
          </w:p>
          <w:p>
            <w:pPr>
              <w:pStyle w:val="27"/>
              <w:spacing w:before="117" w:line="360" w:lineRule="auto"/>
              <w:ind w:left="103" w:leftChars="0" w:right="-4" w:rightChars="0"/>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(总分100分)</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tabs>
                <w:tab w:val="left" w:pos="1781"/>
              </w:tabs>
              <w:spacing w:line="360" w:lineRule="auto"/>
              <w:ind w:left="101" w:leftChars="0" w:right="341" w:rightChars="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资信业绩部分：</w:t>
            </w:r>
            <w:r>
              <w:rPr>
                <w:rFonts w:hint="eastAsia" w:ascii="宋体" w:hAnsi="宋体" w:eastAsia="宋体" w:cs="宋体"/>
                <w:color w:val="auto"/>
                <w:sz w:val="21"/>
                <w:szCs w:val="21"/>
                <w:highlight w:val="none"/>
                <w:u w:val="single" w:color="000000"/>
                <w:lang w:val="en-US" w:eastAsia="zh-CN"/>
              </w:rPr>
              <w:t>45</w:t>
            </w:r>
            <w:r>
              <w:rPr>
                <w:rFonts w:ascii="宋体" w:hAnsi="宋体" w:eastAsia="宋体" w:cs="宋体"/>
                <w:color w:val="auto"/>
                <w:sz w:val="21"/>
                <w:szCs w:val="21"/>
                <w:highlight w:val="none"/>
              </w:rPr>
              <w:t>分</w:t>
            </w:r>
          </w:p>
          <w:p>
            <w:pPr>
              <w:pStyle w:val="27"/>
              <w:tabs>
                <w:tab w:val="left" w:pos="1781"/>
              </w:tabs>
              <w:spacing w:line="360" w:lineRule="auto"/>
              <w:ind w:left="101" w:leftChars="0" w:right="341" w:rightChars="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设计方案部分：</w:t>
            </w:r>
            <w:r>
              <w:rPr>
                <w:rFonts w:ascii="宋体" w:hAnsi="宋体" w:eastAsia="宋体" w:cs="宋体"/>
                <w:color w:val="auto"/>
                <w:sz w:val="21"/>
                <w:szCs w:val="21"/>
                <w:highlight w:val="none"/>
                <w:u w:val="single" w:color="000000"/>
              </w:rPr>
              <w:t>40</w:t>
            </w:r>
            <w:r>
              <w:rPr>
                <w:rFonts w:ascii="宋体" w:hAnsi="宋体" w:eastAsia="宋体" w:cs="宋体"/>
                <w:color w:val="auto"/>
                <w:sz w:val="21"/>
                <w:szCs w:val="21"/>
                <w:highlight w:val="none"/>
              </w:rPr>
              <w:t>分</w:t>
            </w:r>
          </w:p>
          <w:p>
            <w:pPr>
              <w:pStyle w:val="27"/>
              <w:tabs>
                <w:tab w:val="left" w:pos="1781"/>
              </w:tabs>
              <w:spacing w:line="360" w:lineRule="auto"/>
              <w:ind w:left="101" w:leftChars="0" w:right="3160" w:rightChars="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u w:val="single" w:color="000000"/>
                <w:lang w:val="en-US" w:eastAsia="zh-CN"/>
              </w:rPr>
              <w:t>15</w:t>
            </w:r>
            <w:r>
              <w:rPr>
                <w:rFonts w:ascii="宋体" w:hAnsi="宋体" w:eastAsia="宋体" w:cs="宋体"/>
                <w:color w:val="auto"/>
                <w:sz w:val="21"/>
                <w:szCs w:val="21"/>
                <w:highlight w:val="none"/>
              </w:rPr>
              <w:t>分</w:t>
            </w:r>
          </w:p>
        </w:tc>
      </w:tr>
      <w:tr>
        <w:tblPrEx>
          <w:tblCellMar>
            <w:top w:w="0" w:type="dxa"/>
            <w:left w:w="0" w:type="dxa"/>
            <w:bottom w:w="0" w:type="dxa"/>
            <w:right w:w="0" w:type="dxa"/>
          </w:tblCellMar>
        </w:tblPrEx>
        <w:trPr>
          <w:trHeight w:val="2998" w:hRule="atLeast"/>
        </w:trPr>
        <w:tc>
          <w:tcPr>
            <w:tcW w:w="1842" w:type="dxa"/>
            <w:gridSpan w:val="2"/>
            <w:tcBorders>
              <w:top w:val="single" w:color="auto" w:sz="4" w:space="0"/>
              <w:left w:val="single" w:color="auto" w:sz="4" w:space="0"/>
              <w:bottom w:val="single" w:color="auto" w:sz="4" w:space="0"/>
              <w:right w:val="single" w:color="auto" w:sz="4" w:space="0"/>
            </w:tcBorders>
            <w:vAlign w:val="center"/>
          </w:tcPr>
          <w:p>
            <w:pPr>
              <w:pStyle w:val="27"/>
              <w:spacing w:before="0" w:line="360" w:lineRule="auto"/>
              <w:ind w:left="490"/>
              <w:jc w:val="both"/>
              <w:rPr>
                <w:rFonts w:ascii="宋体" w:hAnsiTheme="minorHAnsi" w:eastAsiaTheme="minorHAnsi" w:cstheme="minorBidi"/>
                <w:color w:val="auto"/>
                <w:sz w:val="21"/>
                <w:szCs w:val="22"/>
                <w:highlight w:val="none"/>
              </w:rPr>
            </w:pPr>
            <w:r>
              <w:rPr>
                <w:rFonts w:ascii="宋体" w:hAnsiTheme="minorHAnsi" w:eastAsiaTheme="minorHAnsi" w:cstheme="minorBidi"/>
                <w:color w:val="auto"/>
                <w:sz w:val="21"/>
                <w:szCs w:val="22"/>
                <w:highlight w:val="none"/>
              </w:rPr>
              <w:t>2.2.2</w:t>
            </w: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7"/>
              <w:spacing w:before="102" w:line="360" w:lineRule="auto"/>
              <w:ind w:left="101" w:leftChars="0" w:right="0" w:rightChars="0"/>
              <w:jc w:val="center"/>
              <w:rPr>
                <w:rFonts w:ascii="宋体" w:hAnsi="宋体" w:eastAsia="宋体" w:cs="宋体"/>
                <w:color w:val="auto"/>
                <w:sz w:val="21"/>
                <w:szCs w:val="21"/>
                <w:highlight w:val="none"/>
              </w:rPr>
            </w:pPr>
            <w:r>
              <w:rPr>
                <w:rFonts w:ascii="宋体" w:hAnsi="宋体" w:eastAsia="宋体" w:cs="宋体"/>
                <w:color w:val="auto"/>
                <w:spacing w:val="0"/>
                <w:sz w:val="21"/>
                <w:szCs w:val="21"/>
                <w:highlight w:val="none"/>
              </w:rPr>
              <w:t>评标基准价（评标基准下浮率）计算</w:t>
            </w:r>
            <w:r>
              <w:rPr>
                <w:rFonts w:ascii="宋体" w:hAnsi="宋体" w:eastAsia="宋体" w:cs="宋体"/>
                <w:color w:val="auto"/>
                <w:sz w:val="21"/>
                <w:szCs w:val="21"/>
                <w:highlight w:val="none"/>
              </w:rPr>
              <w:t>方法</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before="102" w:line="360" w:lineRule="auto"/>
              <w:ind w:left="101" w:leftChars="0" w:right="0" w:rightChars="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1、当有效投标报价的投标人≤5家时，取所有有效投标报价的算术平均值；当有效投标报价的投标人＞5家时，取扣除1个最高和1个最低有效投标报价后的算术平均值。</w:t>
            </w:r>
          </w:p>
          <w:p>
            <w:pPr>
              <w:pStyle w:val="27"/>
              <w:spacing w:before="102" w:line="360" w:lineRule="auto"/>
              <w:ind w:left="101" w:leftChars="0" w:right="0" w:rightChars="0"/>
              <w:jc w:val="both"/>
              <w:rPr>
                <w:rFonts w:ascii="宋体" w:hAnsi="宋体" w:eastAsia="宋体" w:cs="宋体"/>
                <w:color w:val="auto"/>
                <w:sz w:val="21"/>
                <w:szCs w:val="21"/>
                <w:highlight w:val="none"/>
              </w:rPr>
            </w:pPr>
            <w:r>
              <w:rPr>
                <w:rFonts w:ascii="宋体" w:hAnsi="宋体" w:eastAsia="宋体" w:cs="宋体"/>
                <w:color w:val="auto"/>
                <w:spacing w:val="0"/>
                <w:w w:val="100"/>
                <w:sz w:val="21"/>
                <w:szCs w:val="21"/>
                <w:highlight w:val="none"/>
              </w:rPr>
              <w:t>2、有效投标报价为通过形式、资格、响应性评审的投标人</w:t>
            </w:r>
            <w:r>
              <w:rPr>
                <w:rFonts w:ascii="宋体" w:hAnsi="宋体" w:eastAsia="宋体" w:cs="宋体"/>
                <w:color w:val="auto"/>
                <w:sz w:val="21"/>
                <w:szCs w:val="21"/>
                <w:highlight w:val="none"/>
              </w:rPr>
              <w:t>投标（报价）。</w:t>
            </w:r>
          </w:p>
        </w:tc>
      </w:tr>
      <w:tr>
        <w:tblPrEx>
          <w:tblCellMar>
            <w:top w:w="0" w:type="dxa"/>
            <w:left w:w="0" w:type="dxa"/>
            <w:bottom w:w="0" w:type="dxa"/>
            <w:right w:w="0" w:type="dxa"/>
          </w:tblCellMar>
        </w:tblPrEx>
        <w:trPr>
          <w:trHeight w:val="2280" w:hRule="atLeast"/>
        </w:trPr>
        <w:tc>
          <w:tcPr>
            <w:tcW w:w="1842" w:type="dxa"/>
            <w:gridSpan w:val="2"/>
            <w:tcBorders>
              <w:top w:val="single" w:color="auto" w:sz="4" w:space="0"/>
              <w:left w:val="single" w:color="auto" w:sz="4" w:space="0"/>
              <w:bottom w:val="single" w:color="auto" w:sz="4" w:space="0"/>
              <w:right w:val="single" w:color="auto" w:sz="4" w:space="0"/>
            </w:tcBorders>
            <w:vAlign w:val="center"/>
          </w:tcPr>
          <w:p>
            <w:pPr>
              <w:pStyle w:val="27"/>
              <w:ind w:left="490"/>
              <w:jc w:val="both"/>
              <w:rPr>
                <w:rFonts w:ascii="宋体"/>
                <w:color w:val="auto"/>
                <w:sz w:val="21"/>
                <w:highlight w:val="none"/>
              </w:rPr>
            </w:pPr>
            <w:r>
              <w:rPr>
                <w:rFonts w:ascii="宋体"/>
                <w:color w:val="auto"/>
                <w:sz w:val="21"/>
                <w:highlight w:val="none"/>
              </w:rPr>
              <w:t>2.2.3</w:t>
            </w:r>
          </w:p>
        </w:tc>
        <w:tc>
          <w:tcPr>
            <w:tcW w:w="1986" w:type="dxa"/>
            <w:tcBorders>
              <w:top w:val="single" w:color="000000" w:sz="4" w:space="0"/>
              <w:left w:val="single" w:color="auto" w:sz="4" w:space="0"/>
              <w:bottom w:val="single" w:color="000000" w:sz="4" w:space="0"/>
              <w:right w:val="single" w:color="000000" w:sz="4" w:space="0"/>
            </w:tcBorders>
            <w:vAlign w:val="center"/>
          </w:tcPr>
          <w:p>
            <w:pPr>
              <w:pStyle w:val="27"/>
              <w:spacing w:before="102" w:line="360" w:lineRule="auto"/>
              <w:ind w:left="103" w:leftChars="0" w:right="0" w:rightChars="0"/>
              <w:jc w:val="center"/>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投标报价的偏差率</w:t>
            </w:r>
            <w:r>
              <w:rPr>
                <w:rFonts w:ascii="宋体" w:hAnsi="宋体" w:eastAsia="宋体" w:cs="宋体"/>
                <w:color w:val="auto"/>
                <w:sz w:val="21"/>
                <w:szCs w:val="21"/>
                <w:highlight w:val="none"/>
              </w:rPr>
              <w:t>计算公式</w:t>
            </w:r>
          </w:p>
        </w:tc>
        <w:tc>
          <w:tcPr>
            <w:tcW w:w="5411"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ind w:left="101" w:right="0"/>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（1）投标下浮率大于评标基准下浮率，则投标报价得分=15</w:t>
            </w:r>
            <w:r>
              <w:rPr>
                <w:rFonts w:hint="eastAsia"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rPr>
              <w:t>︱投标下浮率–评标基准下浮率︱×100×2.5；</w:t>
            </w:r>
          </w:p>
          <w:p>
            <w:pPr>
              <w:pStyle w:val="27"/>
              <w:spacing w:before="0" w:line="360" w:lineRule="auto"/>
              <w:ind w:left="101" w:leftChars="0" w:right="0" w:rightChars="0"/>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（2）投标下浮率小于评标基准下浮率，则投标报价得分=15</w:t>
            </w:r>
            <w:r>
              <w:rPr>
                <w:rFonts w:hint="eastAsia"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rPr>
              <w:t>︱投标下浮率–评标基准下浮率︱×100×5.0。</w:t>
            </w:r>
          </w:p>
        </w:tc>
      </w:tr>
    </w:tbl>
    <w:p>
      <w:pPr>
        <w:spacing w:before="0" w:line="360" w:lineRule="auto"/>
        <w:rPr>
          <w:rFonts w:ascii="Times New Roman" w:hAnsi="Times New Roman" w:eastAsia="Times New Roman" w:cs="Times New Roman"/>
          <w:color w:val="auto"/>
          <w:sz w:val="8"/>
          <w:szCs w:val="8"/>
          <w:highlight w:val="none"/>
        </w:rPr>
      </w:pPr>
    </w:p>
    <w:p>
      <w:pPr>
        <w:pStyle w:val="18"/>
        <w:rPr>
          <w:color w:val="auto"/>
          <w:highlight w:val="none"/>
        </w:rPr>
      </w:pPr>
    </w:p>
    <w:tbl>
      <w:tblPr>
        <w:tblStyle w:val="20"/>
        <w:tblW w:w="0" w:type="auto"/>
        <w:tblInd w:w="113" w:type="dxa"/>
        <w:tblLayout w:type="fixed"/>
        <w:tblCellMar>
          <w:top w:w="0" w:type="dxa"/>
          <w:left w:w="0" w:type="dxa"/>
          <w:bottom w:w="0" w:type="dxa"/>
          <w:right w:w="0" w:type="dxa"/>
        </w:tblCellMar>
      </w:tblPr>
      <w:tblGrid>
        <w:gridCol w:w="900"/>
        <w:gridCol w:w="1230"/>
        <w:gridCol w:w="1294"/>
        <w:gridCol w:w="5756"/>
      </w:tblGrid>
      <w:tr>
        <w:tblPrEx>
          <w:tblCellMar>
            <w:top w:w="0" w:type="dxa"/>
            <w:left w:w="0" w:type="dxa"/>
            <w:bottom w:w="0" w:type="dxa"/>
            <w:right w:w="0" w:type="dxa"/>
          </w:tblCellMar>
        </w:tblPrEx>
        <w:trPr>
          <w:trHeight w:val="0" w:hRule="atLeast"/>
        </w:trPr>
        <w:tc>
          <w:tcPr>
            <w:tcW w:w="2130" w:type="dxa"/>
            <w:gridSpan w:val="2"/>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5756" w:type="dxa"/>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评分标准</w:t>
            </w:r>
          </w:p>
        </w:tc>
      </w:tr>
      <w:tr>
        <w:tblPrEx>
          <w:tblCellMar>
            <w:top w:w="0" w:type="dxa"/>
            <w:left w:w="0" w:type="dxa"/>
            <w:bottom w:w="0" w:type="dxa"/>
            <w:right w:w="0" w:type="dxa"/>
          </w:tblCellMar>
        </w:tblPrEx>
        <w:trPr>
          <w:trHeight w:val="0" w:hRule="atLeast"/>
        </w:trPr>
        <w:tc>
          <w:tcPr>
            <w:tcW w:w="900" w:type="dxa"/>
            <w:vMerge w:val="restart"/>
            <w:tcBorders>
              <w:top w:val="single" w:color="000000" w:sz="4" w:space="0"/>
              <w:left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8"/>
                <w:szCs w:val="28"/>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2.2.4</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(1)</w:t>
            </w:r>
          </w:p>
        </w:tc>
        <w:tc>
          <w:tcPr>
            <w:tcW w:w="1230" w:type="dxa"/>
            <w:vMerge w:val="restart"/>
            <w:tcBorders>
              <w:top w:val="single" w:color="000000" w:sz="4" w:space="0"/>
              <w:left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资信业绩评分标准A(</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widowControl w:val="0"/>
              <w:kinsoku/>
              <w:wordWrap w:val="0"/>
              <w:overflowPunct/>
              <w:topLinePunct w:val="0"/>
              <w:bidi w:val="0"/>
              <w:adjustRightInd/>
              <w:snapToGrid/>
              <w:spacing w:line="360" w:lineRule="auto"/>
              <w:ind w:left="110" w:leftChars="50" w:right="110" w:rightChars="5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企业类似</w:t>
            </w:r>
            <w:r>
              <w:rPr>
                <w:rFonts w:hint="eastAsia" w:ascii="宋体" w:hAnsi="宋体" w:eastAsia="宋体" w:cs="宋体"/>
                <w:color w:val="auto"/>
                <w:sz w:val="22"/>
                <w:szCs w:val="22"/>
                <w:highlight w:val="none"/>
                <w:lang w:val="en-US" w:eastAsia="zh-CN"/>
              </w:rPr>
              <w:t>业</w:t>
            </w:r>
            <w:r>
              <w:rPr>
                <w:rFonts w:hint="eastAsia" w:ascii="宋体" w:hAnsi="宋体" w:eastAsia="宋体" w:cs="宋体"/>
                <w:color w:val="auto"/>
                <w:sz w:val="22"/>
                <w:szCs w:val="22"/>
                <w:highlight w:val="none"/>
              </w:rPr>
              <w:t>绩</w:t>
            </w:r>
          </w:p>
          <w:p>
            <w:pPr>
              <w:pStyle w:val="27"/>
              <w:keepNext w:val="0"/>
              <w:keepLines w:val="0"/>
              <w:pageBreakBefore w:val="0"/>
              <w:widowControl w:val="0"/>
              <w:kinsoku/>
              <w:wordWrap w:val="0"/>
              <w:overflowPunct/>
              <w:topLinePunct w:val="0"/>
              <w:bidi w:val="0"/>
              <w:adjustRightInd/>
              <w:snapToGrid/>
              <w:spacing w:line="360" w:lineRule="auto"/>
              <w:ind w:left="110" w:leftChars="50" w:right="110" w:rightChars="5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18分</w:t>
            </w:r>
            <w:r>
              <w:rPr>
                <w:rFonts w:hint="eastAsia" w:ascii="宋体" w:hAnsi="宋体" w:eastAsia="宋体" w:cs="宋体"/>
                <w:color w:val="auto"/>
                <w:sz w:val="22"/>
                <w:szCs w:val="22"/>
                <w:highlight w:val="none"/>
                <w:lang w:eastAsia="zh-CN"/>
              </w:rPr>
              <w:t>）</w:t>
            </w:r>
          </w:p>
        </w:tc>
        <w:tc>
          <w:tcPr>
            <w:tcW w:w="5756" w:type="dxa"/>
            <w:tcBorders>
              <w:top w:val="single" w:color="000000" w:sz="4" w:space="0"/>
              <w:left w:val="single" w:color="000000" w:sz="4" w:space="0"/>
              <w:bottom w:val="single" w:color="000000" w:sz="4" w:space="0"/>
              <w:right w:val="single" w:color="000000" w:sz="4" w:space="0"/>
            </w:tcBorders>
            <w:vAlign w:val="top"/>
          </w:tcPr>
          <w:p>
            <w:pPr>
              <w:pStyle w:val="27"/>
              <w:keepNext w:val="0"/>
              <w:keepLines w:val="0"/>
              <w:pageBreakBefore w:val="0"/>
              <w:widowControl/>
              <w:numPr>
                <w:ilvl w:val="-1"/>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1、投标人</w:t>
            </w:r>
            <w:r>
              <w:rPr>
                <w:rFonts w:hint="eastAsia" w:ascii="宋体" w:hAnsi="宋体" w:eastAsia="宋体" w:cs="宋体"/>
                <w:color w:val="auto"/>
                <w:sz w:val="21"/>
                <w:szCs w:val="21"/>
                <w:highlight w:val="none"/>
                <w:lang w:eastAsia="zh-CN"/>
              </w:rPr>
              <w:t>自2019年1月1日至今承接过项目总投资额在</w:t>
            </w:r>
            <w:r>
              <w:rPr>
                <w:rFonts w:hint="eastAsia" w:ascii="宋体" w:hAnsi="宋体" w:eastAsia="宋体" w:cs="宋体"/>
                <w:color w:val="auto"/>
                <w:sz w:val="21"/>
                <w:szCs w:val="21"/>
                <w:highlight w:val="none"/>
                <w:lang w:val="en-US" w:eastAsia="zh-CN"/>
              </w:rPr>
              <w:t>10000万元或以上</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类似设计业绩（类似设计业绩是指招标公告第</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条所要求的资质方能承接的项目）每个得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本项最</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投标人自2019年1月1日至今承接过项目总投资额在</w:t>
            </w:r>
            <w:r>
              <w:rPr>
                <w:rFonts w:hint="eastAsia" w:ascii="宋体" w:hAnsi="宋体" w:eastAsia="宋体" w:cs="宋体"/>
                <w:color w:val="auto"/>
                <w:sz w:val="21"/>
                <w:szCs w:val="21"/>
                <w:highlight w:val="none"/>
                <w:lang w:val="en-US" w:eastAsia="zh-CN"/>
              </w:rPr>
              <w:t>10000万元或以上</w:t>
            </w:r>
            <w:r>
              <w:rPr>
                <w:rFonts w:hint="eastAsia" w:ascii="宋体" w:hAnsi="宋体" w:eastAsia="宋体" w:cs="宋体"/>
                <w:color w:val="auto"/>
                <w:sz w:val="21"/>
                <w:szCs w:val="21"/>
                <w:highlight w:val="none"/>
                <w:lang w:eastAsia="zh-CN"/>
              </w:rPr>
              <w:t>的渔港（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渔业）类</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eastAsia="zh-CN"/>
              </w:rPr>
              <w:t>业绩（包含初步设计或施工图设计均予以认可）每个得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分。</w:t>
            </w:r>
          </w:p>
          <w:p>
            <w:pPr>
              <w:pStyle w:val="27"/>
              <w:keepNext w:val="0"/>
              <w:keepLines w:val="0"/>
              <w:pageBreakBefore w:val="0"/>
              <w:widowControl/>
              <w:numPr>
                <w:ilvl w:val="-1"/>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注：1.以上业绩需提供中标通知书（</w:t>
            </w:r>
            <w:r>
              <w:rPr>
                <w:rFonts w:hint="eastAsia" w:ascii="宋体" w:hAnsi="宋体" w:eastAsia="宋体" w:cs="宋体"/>
                <w:color w:val="auto"/>
                <w:sz w:val="21"/>
                <w:szCs w:val="21"/>
                <w:highlight w:val="none"/>
                <w:lang w:val="en-US" w:eastAsia="zh-CN"/>
              </w:rPr>
              <w:t>或免招证明文件）</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证明材料</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件，若合同文本未能体现项目投资金额或规模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可提供业主（委托人）出具的相关证明文件或政府行政部门的相关批复文件；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业绩确认时间以合同签订日期为准。</w:t>
            </w:r>
          </w:p>
        </w:tc>
      </w:tr>
      <w:tr>
        <w:tblPrEx>
          <w:tblCellMar>
            <w:top w:w="0" w:type="dxa"/>
            <w:left w:w="0" w:type="dxa"/>
            <w:bottom w:w="0" w:type="dxa"/>
            <w:right w:w="0" w:type="dxa"/>
          </w:tblCellMar>
        </w:tblPrEx>
        <w:trPr>
          <w:trHeight w:val="0" w:hRule="atLeast"/>
        </w:trPr>
        <w:tc>
          <w:tcPr>
            <w:tcW w:w="900" w:type="dxa"/>
            <w:vMerge w:val="continue"/>
            <w:tcBorders>
              <w:left w:val="single" w:color="000000" w:sz="4" w:space="0"/>
              <w:right w:val="single" w:color="000000" w:sz="4" w:space="0"/>
            </w:tcBorders>
            <w:vAlign w:val="top"/>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30" w:type="dxa"/>
            <w:vMerge w:val="continue"/>
            <w:tcBorders>
              <w:left w:val="single" w:color="000000" w:sz="4" w:space="0"/>
              <w:right w:val="single" w:color="000000" w:sz="4" w:space="0"/>
            </w:tcBorders>
            <w:vAlign w:val="top"/>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94" w:type="dxa"/>
            <w:tcBorders>
              <w:top w:val="single" w:color="000000" w:sz="4" w:space="0"/>
              <w:left w:val="single" w:color="auto" w:sz="4" w:space="0"/>
              <w:bottom w:val="single" w:color="000000" w:sz="4" w:space="0"/>
              <w:right w:val="single" w:color="000000" w:sz="4" w:space="0"/>
            </w:tcBorders>
            <w:vAlign w:val="center"/>
          </w:tcPr>
          <w:p>
            <w:pPr>
              <w:pStyle w:val="27"/>
              <w:spacing w:line="360" w:lineRule="auto"/>
              <w:ind w:left="110" w:leftChars="50" w:right="110" w:rightChars="5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项目负责人资历</w:t>
            </w:r>
          </w:p>
          <w:p>
            <w:pPr>
              <w:pStyle w:val="27"/>
              <w:spacing w:line="360" w:lineRule="auto"/>
              <w:ind w:left="110" w:leftChars="50" w:right="110" w:rightChars="50" w:firstLine="79"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756" w:type="dxa"/>
            <w:tcBorders>
              <w:top w:val="single" w:color="000000" w:sz="4" w:space="0"/>
              <w:left w:val="single" w:color="000000" w:sz="4" w:space="0"/>
              <w:bottom w:val="single" w:color="000000" w:sz="4" w:space="0"/>
              <w:right w:val="single" w:color="000000" w:sz="4" w:space="0"/>
            </w:tcBorders>
            <w:vAlign w:val="top"/>
          </w:tcPr>
          <w:p>
            <w:pPr>
              <w:pStyle w:val="27"/>
              <w:numPr>
                <w:ilvl w:val="0"/>
                <w:numId w:val="0"/>
              </w:numPr>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1、项目负责人</w:t>
            </w:r>
            <w:r>
              <w:rPr>
                <w:rFonts w:hint="eastAsia" w:ascii="宋体" w:hAnsi="宋体" w:eastAsia="宋体" w:cs="宋体"/>
                <w:color w:val="auto"/>
                <w:sz w:val="21"/>
                <w:szCs w:val="21"/>
                <w:highlight w:val="none"/>
                <w:lang w:val="en-US" w:eastAsia="zh-CN"/>
              </w:rPr>
              <w:t>资历</w:t>
            </w:r>
            <w:r>
              <w:rPr>
                <w:rFonts w:hint="eastAsia" w:ascii="宋体" w:hAnsi="宋体" w:eastAsia="宋体" w:cs="宋体"/>
                <w:color w:val="auto"/>
                <w:sz w:val="21"/>
                <w:szCs w:val="21"/>
                <w:highlight w:val="none"/>
                <w:lang w:eastAsia="zh-CN"/>
              </w:rPr>
              <w:t>：</w:t>
            </w:r>
          </w:p>
          <w:p>
            <w:pPr>
              <w:pStyle w:val="27"/>
              <w:numPr>
                <w:ilvl w:val="0"/>
                <w:numId w:val="0"/>
              </w:numPr>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具</w:t>
            </w:r>
            <w:r>
              <w:rPr>
                <w:rFonts w:hint="eastAsia" w:ascii="宋体" w:hAnsi="宋体" w:eastAsia="宋体" w:cs="宋体"/>
                <w:color w:val="auto"/>
                <w:sz w:val="21"/>
                <w:szCs w:val="21"/>
                <w:highlight w:val="none"/>
                <w:lang w:val="en-US" w:eastAsia="zh-CN"/>
              </w:rPr>
              <w:t>备</w:t>
            </w:r>
            <w:r>
              <w:rPr>
                <w:rFonts w:hint="eastAsia" w:ascii="宋体" w:hAnsi="宋体" w:eastAsia="宋体" w:cs="宋体"/>
                <w:color w:val="auto"/>
                <w:sz w:val="21"/>
                <w:szCs w:val="21"/>
                <w:highlight w:val="none"/>
                <w:lang w:eastAsia="zh-CN"/>
              </w:rPr>
              <w:t>渔港</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类高级</w:t>
            </w:r>
            <w:r>
              <w:rPr>
                <w:rFonts w:hint="eastAsia" w:ascii="宋体" w:hAnsi="宋体" w:eastAsia="宋体" w:cs="宋体"/>
                <w:color w:val="auto"/>
                <w:sz w:val="21"/>
                <w:szCs w:val="21"/>
                <w:highlight w:val="none"/>
                <w:lang w:eastAsia="zh-CN" w:bidi="zh-CN"/>
              </w:rPr>
              <w:t>（或以上）工程师</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eastAsia="zh-CN" w:bidi="zh-CN"/>
              </w:rPr>
              <w:t>具</w:t>
            </w:r>
            <w:r>
              <w:rPr>
                <w:rFonts w:hint="eastAsia" w:ascii="宋体" w:hAnsi="宋体" w:eastAsia="宋体" w:cs="宋体"/>
                <w:color w:val="auto"/>
                <w:sz w:val="21"/>
                <w:szCs w:val="21"/>
                <w:highlight w:val="none"/>
                <w:lang w:val="en-US" w:eastAsia="zh-CN" w:bidi="zh-CN"/>
              </w:rPr>
              <w:t>备</w:t>
            </w:r>
            <w:r>
              <w:rPr>
                <w:rFonts w:hint="eastAsia" w:ascii="宋体" w:hAnsi="宋体" w:eastAsia="宋体" w:cs="宋体"/>
                <w:color w:val="auto"/>
                <w:sz w:val="21"/>
                <w:szCs w:val="21"/>
                <w:highlight w:val="none"/>
                <w:lang w:eastAsia="zh-CN" w:bidi="zh-CN"/>
              </w:rPr>
              <w:t>水运工程造价工程师，得</w:t>
            </w:r>
            <w:r>
              <w:rPr>
                <w:rFonts w:hint="eastAsia" w:ascii="宋体" w:hAnsi="宋体" w:eastAsia="宋体" w:cs="宋体"/>
                <w:color w:val="auto"/>
                <w:sz w:val="21"/>
                <w:szCs w:val="21"/>
                <w:highlight w:val="none"/>
                <w:lang w:val="en-US" w:eastAsia="zh-CN" w:bidi="zh-CN"/>
              </w:rPr>
              <w:t>2</w:t>
            </w:r>
            <w:r>
              <w:rPr>
                <w:rFonts w:hint="eastAsia" w:ascii="宋体" w:hAnsi="宋体" w:eastAsia="宋体" w:cs="宋体"/>
                <w:color w:val="auto"/>
                <w:sz w:val="21"/>
                <w:szCs w:val="21"/>
                <w:highlight w:val="none"/>
                <w:lang w:eastAsia="zh-CN" w:bidi="zh-CN"/>
              </w:rPr>
              <w:t>分；</w:t>
            </w:r>
            <w:r>
              <w:rPr>
                <w:rFonts w:hint="eastAsia" w:ascii="宋体" w:hAnsi="宋体" w:eastAsia="宋体" w:cs="宋体"/>
                <w:color w:val="auto"/>
                <w:sz w:val="21"/>
                <w:szCs w:val="21"/>
                <w:highlight w:val="none"/>
                <w:lang w:eastAsia="zh-CN"/>
              </w:rPr>
              <w:t>其他不得分，本项最高分</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w:t>
            </w:r>
          </w:p>
          <w:p>
            <w:pPr>
              <w:pStyle w:val="27"/>
              <w:numPr>
                <w:ilvl w:val="0"/>
                <w:numId w:val="0"/>
              </w:numPr>
              <w:spacing w:line="360" w:lineRule="auto"/>
              <w:ind w:left="110" w:leftChars="50" w:right="110" w:rightChars="5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（2）设计项目负责人自2019年1月1日至今（以项目合同签订时间为准）担任过项目总投资额在</w:t>
            </w:r>
            <w:r>
              <w:rPr>
                <w:rFonts w:hint="eastAsia" w:ascii="宋体" w:hAnsi="宋体" w:eastAsia="宋体" w:cs="宋体"/>
                <w:color w:val="auto"/>
                <w:sz w:val="21"/>
                <w:szCs w:val="21"/>
                <w:highlight w:val="none"/>
                <w:lang w:val="en-US" w:eastAsia="zh-CN"/>
              </w:rPr>
              <w:t>10000万元或以上</w:t>
            </w:r>
            <w:r>
              <w:rPr>
                <w:rFonts w:hint="eastAsia" w:ascii="宋体" w:hAnsi="宋体" w:eastAsia="宋体" w:cs="宋体"/>
                <w:color w:val="auto"/>
                <w:sz w:val="21"/>
                <w:szCs w:val="21"/>
                <w:highlight w:val="none"/>
                <w:lang w:eastAsia="zh-CN"/>
              </w:rPr>
              <w:t>的渔港（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渔业）类</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lang w:eastAsia="zh-CN"/>
              </w:rPr>
              <w:t>业绩（包含初步设计或施工图设计均予以认可）项目负责人的，每项得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注：1.项目负责人需提供相关专业职称证书、</w:t>
            </w:r>
            <w:r>
              <w:rPr>
                <w:rFonts w:hint="eastAsia" w:ascii="宋体" w:hAnsi="宋体" w:eastAsia="宋体" w:cs="宋体"/>
                <w:color w:val="auto"/>
                <w:sz w:val="21"/>
                <w:szCs w:val="21"/>
                <w:highlight w:val="none"/>
                <w:lang w:val="en-US" w:eastAsia="zh-CN"/>
              </w:rPr>
              <w:t>执业资格证</w:t>
            </w:r>
            <w:r>
              <w:rPr>
                <w:rFonts w:hint="eastAsia" w:ascii="宋体" w:hAnsi="宋体" w:eastAsia="宋体" w:cs="宋体"/>
                <w:color w:val="auto"/>
                <w:sz w:val="21"/>
                <w:szCs w:val="21"/>
                <w:highlight w:val="none"/>
                <w:lang w:eastAsia="zh-CN"/>
              </w:rPr>
              <w:t>以及投标截止时间前</w:t>
            </w:r>
            <w:r>
              <w:rPr>
                <w:rFonts w:hint="eastAsia" w:ascii="宋体" w:hAnsi="宋体" w:eastAsia="宋体" w:cs="宋体"/>
                <w:color w:val="auto"/>
                <w:sz w:val="21"/>
                <w:szCs w:val="21"/>
                <w:highlight w:val="none"/>
                <w:lang w:val="en-US" w:eastAsia="zh-CN"/>
              </w:rPr>
              <w:t>三个月中的任一个月的</w:t>
            </w:r>
            <w:r>
              <w:rPr>
                <w:rFonts w:hint="eastAsia" w:ascii="宋体" w:hAnsi="宋体" w:eastAsia="宋体" w:cs="宋体"/>
                <w:color w:val="auto"/>
                <w:sz w:val="21"/>
                <w:szCs w:val="21"/>
                <w:highlight w:val="none"/>
                <w:lang w:eastAsia="zh-CN"/>
              </w:rPr>
              <w:t>有效社保证明材料</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件。社保证明需能反映参保人员在投标人单位缴纳。</w:t>
            </w:r>
          </w:p>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lang w:val="en-US" w:eastAsia="zh-CN"/>
              </w:rPr>
              <w:t>述</w:t>
            </w:r>
            <w:r>
              <w:rPr>
                <w:rFonts w:hint="eastAsia" w:ascii="宋体" w:hAnsi="宋体" w:eastAsia="宋体" w:cs="宋体"/>
                <w:color w:val="auto"/>
                <w:sz w:val="21"/>
                <w:szCs w:val="21"/>
                <w:highlight w:val="none"/>
                <w:lang w:eastAsia="zh-CN"/>
              </w:rPr>
              <w:t>业绩需提供中标通知书（</w:t>
            </w:r>
            <w:r>
              <w:rPr>
                <w:rFonts w:hint="eastAsia" w:ascii="宋体" w:hAnsi="宋体" w:eastAsia="宋体" w:cs="宋体"/>
                <w:color w:val="auto"/>
                <w:sz w:val="21"/>
                <w:szCs w:val="21"/>
                <w:highlight w:val="none"/>
                <w:lang w:val="en-US" w:eastAsia="zh-CN"/>
              </w:rPr>
              <w:t>或免招证明文件）</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证明材料</w:t>
            </w:r>
            <w:r>
              <w:rPr>
                <w:rFonts w:hint="eastAsia" w:ascii="宋体" w:hAnsi="宋体" w:eastAsia="宋体" w:cs="宋体"/>
                <w:color w:val="auto"/>
                <w:sz w:val="21"/>
                <w:szCs w:val="21"/>
                <w:highlight w:val="none"/>
                <w:lang w:val="en-US" w:eastAsia="zh-CN"/>
              </w:rPr>
              <w:t>扫描</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lang w:val="en-US" w:eastAsia="zh-CN"/>
              </w:rPr>
              <w:t>若上述业绩的</w:t>
            </w:r>
            <w:r>
              <w:rPr>
                <w:rFonts w:hint="eastAsia" w:ascii="宋体" w:hAnsi="宋体" w:eastAsia="宋体" w:cs="宋体"/>
                <w:color w:val="auto"/>
                <w:sz w:val="21"/>
                <w:szCs w:val="21"/>
                <w:highlight w:val="none"/>
                <w:lang w:eastAsia="zh-CN"/>
              </w:rPr>
              <w:t>中标通知书</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合同文本未能体现其担任职务为项目负责人</w:t>
            </w:r>
            <w:r>
              <w:rPr>
                <w:rFonts w:hint="eastAsia" w:ascii="宋体" w:hAnsi="宋体" w:eastAsia="宋体" w:cs="宋体"/>
                <w:color w:val="auto"/>
                <w:sz w:val="21"/>
                <w:szCs w:val="21"/>
                <w:highlight w:val="none"/>
                <w:lang w:val="en-US" w:eastAsia="zh-CN"/>
              </w:rPr>
              <w:t>的可提供</w:t>
            </w:r>
            <w:r>
              <w:rPr>
                <w:rFonts w:hint="eastAsia" w:ascii="宋体" w:hAnsi="宋体" w:eastAsia="宋体" w:cs="宋体"/>
                <w:color w:val="auto"/>
                <w:sz w:val="21"/>
                <w:szCs w:val="21"/>
                <w:highlight w:val="none"/>
                <w:lang w:eastAsia="zh-CN"/>
              </w:rPr>
              <w:t>业主（委托人）出具的相关证明文件；若合同文本未能体现项目投资金额</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可提供业主（委托人）出具的相关证明文件或政府行政部门的相关批复文件；业绩确认时间以合同签订日期为准。</w:t>
            </w:r>
          </w:p>
        </w:tc>
      </w:tr>
      <w:tr>
        <w:tblPrEx>
          <w:tblCellMar>
            <w:top w:w="0" w:type="dxa"/>
            <w:left w:w="0" w:type="dxa"/>
            <w:bottom w:w="0" w:type="dxa"/>
            <w:right w:w="0" w:type="dxa"/>
          </w:tblCellMar>
        </w:tblPrEx>
        <w:trPr>
          <w:trHeight w:val="943" w:hRule="atLeast"/>
        </w:trPr>
        <w:tc>
          <w:tcPr>
            <w:tcW w:w="900" w:type="dxa"/>
            <w:vMerge w:val="continue"/>
            <w:tcBorders>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30" w:type="dxa"/>
            <w:vMerge w:val="continue"/>
            <w:tcBorders>
              <w:left w:val="single" w:color="000000" w:sz="4" w:space="0"/>
              <w:bottom w:val="single" w:color="000000" w:sz="4" w:space="0"/>
              <w:right w:val="single" w:color="000000" w:sz="4" w:space="0"/>
            </w:tcBorders>
            <w:vAlign w:val="top"/>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94" w:type="dxa"/>
            <w:tcBorders>
              <w:top w:val="single" w:color="000000" w:sz="4" w:space="0"/>
              <w:left w:val="single" w:color="000000" w:sz="4" w:space="0"/>
              <w:bottom w:val="single" w:color="auto" w:sz="4" w:space="0"/>
              <w:right w:val="single" w:color="000000" w:sz="4" w:space="0"/>
            </w:tcBorders>
            <w:vAlign w:val="center"/>
          </w:tcPr>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各专业负责人设计经历及业务能力（1</w:t>
            </w:r>
            <w:r>
              <w:rPr>
                <w:rFonts w:hint="eastAsia" w:ascii="宋体" w:hAnsi="宋体" w:eastAsia="宋体" w:cs="宋体"/>
                <w:color w:val="auto"/>
                <w:sz w:val="21"/>
                <w:szCs w:val="21"/>
                <w:highlight w:val="none"/>
                <w:lang w:val="en-US" w:eastAsia="zh-CN" w:bidi="zh-CN"/>
              </w:rPr>
              <w:t>2</w:t>
            </w:r>
            <w:r>
              <w:rPr>
                <w:rFonts w:hint="eastAsia" w:ascii="宋体" w:hAnsi="宋体" w:eastAsia="宋体" w:cs="宋体"/>
                <w:color w:val="auto"/>
                <w:sz w:val="21"/>
                <w:szCs w:val="21"/>
                <w:highlight w:val="none"/>
                <w:lang w:eastAsia="zh-CN" w:bidi="zh-CN"/>
              </w:rPr>
              <w:t>分）</w:t>
            </w:r>
          </w:p>
        </w:tc>
        <w:tc>
          <w:tcPr>
            <w:tcW w:w="5756" w:type="dxa"/>
            <w:tcBorders>
              <w:top w:val="single" w:color="000000" w:sz="4" w:space="0"/>
              <w:left w:val="single" w:color="000000" w:sz="4" w:space="0"/>
              <w:bottom w:val="single" w:color="auto" w:sz="4" w:space="0"/>
              <w:right w:val="single" w:color="000000" w:sz="4" w:space="0"/>
            </w:tcBorders>
            <w:vAlign w:val="top"/>
          </w:tcPr>
          <w:p>
            <w:pPr>
              <w:pStyle w:val="27"/>
              <w:numPr>
                <w:ilvl w:val="-1"/>
                <w:numId w:val="0"/>
              </w:numPr>
              <w:spacing w:line="360" w:lineRule="auto"/>
              <w:ind w:left="110" w:leftChars="50" w:right="110" w:rightChars="50"/>
              <w:jc w:val="both"/>
              <w:rPr>
                <w:rFonts w:hint="eastAsia" w:ascii="宋体" w:hAnsi="宋体" w:eastAsia="宋体" w:cs="宋体"/>
                <w:color w:val="auto"/>
                <w:spacing w:val="0"/>
                <w:sz w:val="21"/>
                <w:szCs w:val="21"/>
                <w:highlight w:val="none"/>
                <w:lang w:eastAsia="zh-CN" w:bidi="zh-CN"/>
              </w:rPr>
            </w:pPr>
            <w:r>
              <w:rPr>
                <w:rFonts w:hint="eastAsia" w:ascii="宋体" w:hAnsi="宋体" w:eastAsia="宋体" w:cs="宋体"/>
                <w:color w:val="auto"/>
                <w:spacing w:val="0"/>
                <w:sz w:val="21"/>
                <w:szCs w:val="21"/>
                <w:highlight w:val="none"/>
                <w:lang w:eastAsia="zh-CN" w:bidi="zh-CN"/>
              </w:rPr>
              <w:t xml:space="preserve">拟投入本项目其他专业负责人：  </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bidi="zh-CN"/>
              </w:rPr>
              <w:t>总图负责人：</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①</w:t>
            </w:r>
            <w:r>
              <w:rPr>
                <w:rFonts w:hint="eastAsia" w:ascii="宋体" w:hAnsi="宋体" w:eastAsia="宋体" w:cs="宋体"/>
                <w:color w:val="auto"/>
                <w:sz w:val="21"/>
                <w:szCs w:val="21"/>
                <w:highlight w:val="none"/>
                <w:lang w:eastAsia="zh-CN" w:bidi="zh-CN"/>
              </w:rPr>
              <w:t>具备注册土木工程师（港口与航道工程）</w:t>
            </w:r>
            <w:r>
              <w:rPr>
                <w:rFonts w:hint="eastAsia" w:ascii="宋体" w:hAnsi="宋体" w:eastAsia="宋体" w:cs="宋体"/>
                <w:color w:val="auto"/>
                <w:spacing w:val="0"/>
                <w:sz w:val="21"/>
                <w:szCs w:val="21"/>
                <w:highlight w:val="none"/>
                <w:lang w:eastAsia="zh-CN" w:bidi="zh-CN"/>
              </w:rPr>
              <w:t>执业资格</w:t>
            </w:r>
            <w:r>
              <w:rPr>
                <w:rFonts w:hint="eastAsia" w:ascii="宋体" w:hAnsi="宋体" w:eastAsia="宋体" w:cs="宋体"/>
                <w:color w:val="auto"/>
                <w:sz w:val="21"/>
                <w:szCs w:val="21"/>
                <w:highlight w:val="none"/>
                <w:lang w:eastAsia="zh-CN" w:bidi="zh-CN"/>
              </w:rPr>
              <w:t>的得2分；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②</w:t>
            </w:r>
            <w:r>
              <w:rPr>
                <w:rFonts w:hint="eastAsia" w:ascii="宋体" w:hAnsi="宋体" w:eastAsia="宋体" w:cs="宋体"/>
                <w:color w:val="auto"/>
                <w:sz w:val="21"/>
                <w:szCs w:val="21"/>
                <w:highlight w:val="none"/>
                <w:lang w:eastAsia="zh-CN" w:bidi="zh-CN"/>
              </w:rPr>
              <w:t>具备港航或水工专业高级（或以上）工程师职称的得1分，具备港航或水工专业</w:t>
            </w:r>
            <w:r>
              <w:rPr>
                <w:rFonts w:hint="eastAsia" w:ascii="宋体" w:hAnsi="宋体" w:eastAsia="宋体" w:cs="宋体"/>
                <w:color w:val="auto"/>
                <w:sz w:val="21"/>
                <w:szCs w:val="21"/>
                <w:highlight w:val="none"/>
                <w:lang w:val="en-US" w:eastAsia="zh-CN" w:bidi="zh-CN"/>
              </w:rPr>
              <w:t>中</w:t>
            </w:r>
            <w:r>
              <w:rPr>
                <w:rFonts w:hint="eastAsia" w:ascii="宋体" w:hAnsi="宋体" w:eastAsia="宋体" w:cs="宋体"/>
                <w:color w:val="auto"/>
                <w:sz w:val="21"/>
                <w:szCs w:val="21"/>
                <w:highlight w:val="none"/>
                <w:lang w:eastAsia="zh-CN" w:bidi="zh-CN"/>
              </w:rPr>
              <w:t>级工程师职称的得</w:t>
            </w:r>
            <w:r>
              <w:rPr>
                <w:rFonts w:hint="eastAsia" w:ascii="宋体" w:hAnsi="宋体" w:eastAsia="宋体" w:cs="宋体"/>
                <w:color w:val="auto"/>
                <w:sz w:val="21"/>
                <w:szCs w:val="21"/>
                <w:highlight w:val="none"/>
                <w:lang w:val="en-US" w:eastAsia="zh-CN" w:bidi="zh-CN"/>
              </w:rPr>
              <w:t>0.5</w:t>
            </w:r>
            <w:r>
              <w:rPr>
                <w:rFonts w:hint="eastAsia" w:ascii="宋体" w:hAnsi="宋体" w:eastAsia="宋体" w:cs="宋体"/>
                <w:color w:val="auto"/>
                <w:sz w:val="21"/>
                <w:szCs w:val="21"/>
                <w:highlight w:val="none"/>
                <w:lang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结构专业负责人：</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①</w:t>
            </w:r>
            <w:r>
              <w:rPr>
                <w:rFonts w:hint="eastAsia" w:ascii="宋体" w:hAnsi="宋体" w:eastAsia="宋体" w:cs="宋体"/>
                <w:color w:val="auto"/>
                <w:sz w:val="21"/>
                <w:szCs w:val="21"/>
                <w:highlight w:val="none"/>
                <w:lang w:eastAsia="zh-CN" w:bidi="zh-CN"/>
              </w:rPr>
              <w:t>具备一级注册结构工程师执业证书的得2分；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②</w:t>
            </w:r>
            <w:r>
              <w:rPr>
                <w:rFonts w:hint="eastAsia" w:ascii="宋体" w:hAnsi="宋体" w:eastAsia="宋体" w:cs="宋体"/>
                <w:color w:val="auto"/>
                <w:sz w:val="21"/>
                <w:szCs w:val="21"/>
                <w:highlight w:val="none"/>
                <w:lang w:eastAsia="zh-CN" w:bidi="zh-CN"/>
              </w:rPr>
              <w:t>具备结构专业高级（或以上）工程师职称的得1分，具备结构专业</w:t>
            </w:r>
            <w:r>
              <w:rPr>
                <w:rFonts w:hint="eastAsia" w:ascii="宋体" w:hAnsi="宋体" w:eastAsia="宋体" w:cs="宋体"/>
                <w:color w:val="auto"/>
                <w:sz w:val="21"/>
                <w:szCs w:val="21"/>
                <w:highlight w:val="none"/>
                <w:lang w:val="en-US" w:eastAsia="zh-CN" w:bidi="zh-CN"/>
              </w:rPr>
              <w:t>中级</w:t>
            </w:r>
            <w:r>
              <w:rPr>
                <w:rFonts w:hint="eastAsia" w:ascii="宋体" w:hAnsi="宋体" w:eastAsia="宋体" w:cs="宋体"/>
                <w:color w:val="auto"/>
                <w:sz w:val="21"/>
                <w:szCs w:val="21"/>
                <w:highlight w:val="none"/>
                <w:lang w:eastAsia="zh-CN" w:bidi="zh-CN"/>
              </w:rPr>
              <w:t>工程师职称的得</w:t>
            </w:r>
            <w:r>
              <w:rPr>
                <w:rFonts w:hint="eastAsia" w:ascii="宋体" w:hAnsi="宋体" w:eastAsia="宋体" w:cs="宋体"/>
                <w:color w:val="auto"/>
                <w:sz w:val="21"/>
                <w:szCs w:val="21"/>
                <w:highlight w:val="none"/>
                <w:lang w:val="en-US" w:eastAsia="zh-CN" w:bidi="zh-CN"/>
              </w:rPr>
              <w:t>0.5</w:t>
            </w:r>
            <w:r>
              <w:rPr>
                <w:rFonts w:hint="eastAsia" w:ascii="宋体" w:hAnsi="宋体" w:eastAsia="宋体" w:cs="宋体"/>
                <w:color w:val="auto"/>
                <w:sz w:val="21"/>
                <w:szCs w:val="21"/>
                <w:highlight w:val="none"/>
                <w:lang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本小项最高得2分。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给排水专业负责人：</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①</w:t>
            </w:r>
            <w:r>
              <w:rPr>
                <w:rFonts w:hint="eastAsia" w:ascii="宋体" w:hAnsi="宋体" w:eastAsia="宋体" w:cs="宋体"/>
                <w:color w:val="auto"/>
                <w:sz w:val="21"/>
                <w:szCs w:val="21"/>
                <w:highlight w:val="none"/>
                <w:lang w:eastAsia="zh-CN" w:bidi="zh-CN"/>
              </w:rPr>
              <w:t>具备注册公用设备工程师（给水排水）执业证书的得2分；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②</w:t>
            </w:r>
            <w:r>
              <w:rPr>
                <w:rFonts w:hint="eastAsia" w:ascii="宋体" w:hAnsi="宋体" w:eastAsia="宋体" w:cs="宋体"/>
                <w:color w:val="auto"/>
                <w:sz w:val="21"/>
                <w:szCs w:val="21"/>
                <w:highlight w:val="none"/>
                <w:lang w:eastAsia="zh-CN" w:bidi="zh-CN"/>
              </w:rPr>
              <w:t>具备给排水专业高级（或以上）工程师职称的得1分，具备给排水专业</w:t>
            </w:r>
            <w:r>
              <w:rPr>
                <w:rFonts w:hint="eastAsia" w:ascii="宋体" w:hAnsi="宋体" w:eastAsia="宋体" w:cs="宋体"/>
                <w:color w:val="auto"/>
                <w:sz w:val="21"/>
                <w:szCs w:val="21"/>
                <w:highlight w:val="none"/>
                <w:lang w:val="en-US" w:eastAsia="zh-CN" w:bidi="zh-CN"/>
              </w:rPr>
              <w:t>中级</w:t>
            </w:r>
            <w:r>
              <w:rPr>
                <w:rFonts w:hint="eastAsia" w:ascii="宋体" w:hAnsi="宋体" w:eastAsia="宋体" w:cs="宋体"/>
                <w:color w:val="auto"/>
                <w:sz w:val="21"/>
                <w:szCs w:val="21"/>
                <w:highlight w:val="none"/>
                <w:lang w:eastAsia="zh-CN" w:bidi="zh-CN"/>
              </w:rPr>
              <w:t>工程师职称的得</w:t>
            </w:r>
            <w:r>
              <w:rPr>
                <w:rFonts w:hint="eastAsia" w:ascii="宋体" w:hAnsi="宋体" w:eastAsia="宋体" w:cs="宋体"/>
                <w:color w:val="auto"/>
                <w:sz w:val="21"/>
                <w:szCs w:val="21"/>
                <w:highlight w:val="none"/>
                <w:lang w:val="en-US" w:eastAsia="zh-CN" w:bidi="zh-CN"/>
              </w:rPr>
              <w:t>0.5</w:t>
            </w:r>
            <w:r>
              <w:rPr>
                <w:rFonts w:hint="eastAsia" w:ascii="宋体" w:hAnsi="宋体" w:eastAsia="宋体" w:cs="宋体"/>
                <w:color w:val="auto"/>
                <w:sz w:val="21"/>
                <w:szCs w:val="21"/>
                <w:highlight w:val="none"/>
                <w:lang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本小项最高得2分。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eastAsia="zh-CN" w:bidi="zh-CN"/>
              </w:rPr>
              <w:t>港航专业负责人：</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①</w:t>
            </w:r>
            <w:r>
              <w:rPr>
                <w:rFonts w:hint="eastAsia" w:ascii="宋体" w:hAnsi="宋体" w:eastAsia="宋体" w:cs="宋体"/>
                <w:color w:val="auto"/>
                <w:sz w:val="21"/>
                <w:szCs w:val="21"/>
                <w:highlight w:val="none"/>
                <w:lang w:eastAsia="zh-CN" w:bidi="zh-CN"/>
              </w:rPr>
              <w:t>具备注册土木工程师（港口与航道工程）执业资格的得2分；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②</w:t>
            </w:r>
            <w:r>
              <w:rPr>
                <w:rFonts w:hint="eastAsia" w:ascii="宋体" w:hAnsi="宋体" w:eastAsia="宋体" w:cs="宋体"/>
                <w:color w:val="auto"/>
                <w:sz w:val="21"/>
                <w:szCs w:val="21"/>
                <w:highlight w:val="none"/>
                <w:lang w:eastAsia="zh-CN" w:bidi="zh-CN"/>
              </w:rPr>
              <w:t>具备港航或水工专业高级（或以上）工程师职称的得1分，具备港航或水工专业</w:t>
            </w:r>
            <w:r>
              <w:rPr>
                <w:rFonts w:hint="eastAsia" w:ascii="宋体" w:hAnsi="宋体" w:eastAsia="宋体" w:cs="宋体"/>
                <w:color w:val="auto"/>
                <w:sz w:val="21"/>
                <w:szCs w:val="21"/>
                <w:highlight w:val="none"/>
                <w:lang w:val="en-US" w:eastAsia="zh-CN" w:bidi="zh-CN"/>
              </w:rPr>
              <w:t>中</w:t>
            </w:r>
            <w:r>
              <w:rPr>
                <w:rFonts w:hint="eastAsia" w:ascii="宋体" w:hAnsi="宋体" w:eastAsia="宋体" w:cs="宋体"/>
                <w:color w:val="auto"/>
                <w:sz w:val="21"/>
                <w:szCs w:val="21"/>
                <w:highlight w:val="none"/>
                <w:lang w:eastAsia="zh-CN" w:bidi="zh-CN"/>
              </w:rPr>
              <w:t>级工程师职称的得</w:t>
            </w:r>
            <w:r>
              <w:rPr>
                <w:rFonts w:hint="eastAsia" w:ascii="宋体" w:hAnsi="宋体" w:eastAsia="宋体" w:cs="宋体"/>
                <w:color w:val="auto"/>
                <w:sz w:val="21"/>
                <w:szCs w:val="21"/>
                <w:highlight w:val="none"/>
                <w:lang w:val="en-US" w:eastAsia="zh-CN" w:bidi="zh-CN"/>
              </w:rPr>
              <w:t>0.5</w:t>
            </w:r>
            <w:r>
              <w:rPr>
                <w:rFonts w:hint="eastAsia" w:ascii="宋体" w:hAnsi="宋体" w:eastAsia="宋体" w:cs="宋体"/>
                <w:color w:val="auto"/>
                <w:sz w:val="21"/>
                <w:szCs w:val="21"/>
                <w:highlight w:val="none"/>
                <w:lang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造价专业负责人：</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eastAsia="zh-CN" w:bidi="zh-CN"/>
              </w:rPr>
            </w:pPr>
            <w:r>
              <w:rPr>
                <w:rFonts w:hint="eastAsia" w:ascii="宋体" w:hAnsi="宋体" w:eastAsia="宋体" w:cs="宋体"/>
                <w:color w:val="auto"/>
                <w:sz w:val="21"/>
                <w:szCs w:val="21"/>
                <w:highlight w:val="none"/>
                <w:lang w:val="en-US" w:eastAsia="zh-CN" w:bidi="zh-CN"/>
              </w:rPr>
              <w:t>①</w:t>
            </w:r>
            <w:r>
              <w:rPr>
                <w:rFonts w:hint="eastAsia" w:ascii="宋体" w:hAnsi="宋体" w:eastAsia="宋体" w:cs="宋体"/>
                <w:color w:val="auto"/>
                <w:sz w:val="21"/>
                <w:szCs w:val="21"/>
                <w:highlight w:val="none"/>
                <w:lang w:eastAsia="zh-CN" w:bidi="zh-CN"/>
              </w:rPr>
              <w:t>具备水运工程造价工程师</w:t>
            </w:r>
            <w:r>
              <w:rPr>
                <w:rFonts w:hint="eastAsia" w:ascii="宋体" w:hAnsi="宋体" w:eastAsia="宋体" w:cs="宋体"/>
                <w:color w:val="auto"/>
                <w:sz w:val="21"/>
                <w:szCs w:val="21"/>
                <w:highlight w:val="none"/>
                <w:lang w:val="zh-CN" w:eastAsia="zh-CN" w:bidi="zh-CN"/>
              </w:rPr>
              <w:t>（或一级注册造价工程师）</w:t>
            </w:r>
            <w:r>
              <w:rPr>
                <w:rFonts w:hint="eastAsia" w:ascii="宋体" w:hAnsi="宋体" w:eastAsia="宋体" w:cs="宋体"/>
                <w:color w:val="auto"/>
                <w:sz w:val="21"/>
                <w:szCs w:val="21"/>
                <w:highlight w:val="none"/>
                <w:lang w:eastAsia="zh-CN" w:bidi="zh-CN"/>
              </w:rPr>
              <w:t>得2分；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②</w:t>
            </w:r>
            <w:r>
              <w:rPr>
                <w:rFonts w:hint="eastAsia" w:ascii="宋体" w:hAnsi="宋体" w:eastAsia="宋体" w:cs="宋体"/>
                <w:color w:val="auto"/>
                <w:sz w:val="21"/>
                <w:szCs w:val="21"/>
                <w:highlight w:val="none"/>
                <w:lang w:val="zh-CN" w:eastAsia="zh-CN" w:bidi="zh-CN"/>
              </w:rPr>
              <w:t>具备</w:t>
            </w:r>
            <w:r>
              <w:rPr>
                <w:rFonts w:hint="eastAsia" w:ascii="宋体" w:hAnsi="宋体" w:eastAsia="宋体" w:cs="宋体"/>
                <w:color w:val="auto"/>
                <w:sz w:val="21"/>
                <w:szCs w:val="21"/>
                <w:highlight w:val="none"/>
                <w:lang w:eastAsia="zh-CN" w:bidi="zh-CN"/>
              </w:rPr>
              <w:t>中级（或以上）</w:t>
            </w:r>
            <w:r>
              <w:rPr>
                <w:rFonts w:hint="eastAsia" w:ascii="宋体" w:hAnsi="宋体" w:eastAsia="宋体" w:cs="宋体"/>
                <w:color w:val="auto"/>
                <w:sz w:val="21"/>
                <w:szCs w:val="21"/>
                <w:highlight w:val="none"/>
                <w:lang w:val="zh-CN" w:eastAsia="zh-CN" w:bidi="zh-CN"/>
              </w:rPr>
              <w:t>工程师职称的得</w:t>
            </w:r>
            <w:r>
              <w:rPr>
                <w:rFonts w:hint="eastAsia" w:ascii="宋体" w:hAnsi="宋体" w:eastAsia="宋体" w:cs="宋体"/>
                <w:color w:val="auto"/>
                <w:sz w:val="21"/>
                <w:szCs w:val="21"/>
                <w:highlight w:val="none"/>
                <w:lang w:eastAsia="zh-CN" w:bidi="zh-CN"/>
              </w:rPr>
              <w:t>1</w:t>
            </w:r>
            <w:r>
              <w:rPr>
                <w:rFonts w:hint="eastAsia" w:ascii="宋体" w:hAnsi="宋体" w:eastAsia="宋体" w:cs="宋体"/>
                <w:color w:val="auto"/>
                <w:sz w:val="21"/>
                <w:szCs w:val="21"/>
                <w:highlight w:val="none"/>
                <w:lang w:val="zh-CN"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7"/>
              <w:numPr>
                <w:ilvl w:val="-1"/>
                <w:numId w:val="0"/>
              </w:numPr>
              <w:spacing w:line="360" w:lineRule="auto"/>
              <w:ind w:left="110" w:leftChars="50" w:right="110" w:rightChars="50"/>
              <w:jc w:val="both"/>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eastAsia="zh-CN" w:bidi="zh-CN"/>
              </w:rPr>
              <w:t>水工专业负责人：</w:t>
            </w:r>
            <w:r>
              <w:rPr>
                <w:rFonts w:hint="eastAsia" w:ascii="宋体" w:hAnsi="宋体" w:eastAsia="宋体" w:cs="宋体"/>
                <w:color w:val="auto"/>
                <w:sz w:val="21"/>
                <w:szCs w:val="21"/>
                <w:highlight w:val="none"/>
                <w:lang w:val="en-US" w:eastAsia="zh-CN" w:bidi="zh-CN"/>
              </w:rPr>
              <w:t>具备</w:t>
            </w:r>
            <w:r>
              <w:rPr>
                <w:rFonts w:hint="eastAsia" w:ascii="宋体" w:hAnsi="宋体" w:eastAsia="宋体" w:cs="宋体"/>
                <w:color w:val="auto"/>
                <w:sz w:val="21"/>
                <w:szCs w:val="21"/>
                <w:highlight w:val="none"/>
                <w:lang w:eastAsia="zh-CN" w:bidi="zh-CN"/>
              </w:rPr>
              <w:t>水工专业高级（或以上）工程师职称的得</w:t>
            </w:r>
            <w:r>
              <w:rPr>
                <w:rFonts w:hint="eastAsia" w:ascii="宋体" w:hAnsi="宋体" w:eastAsia="宋体" w:cs="宋体"/>
                <w:color w:val="auto"/>
                <w:sz w:val="21"/>
                <w:szCs w:val="21"/>
                <w:highlight w:val="none"/>
                <w:lang w:val="en-US" w:eastAsia="zh-CN" w:bidi="zh-CN"/>
              </w:rPr>
              <w:t>2</w:t>
            </w:r>
            <w:r>
              <w:rPr>
                <w:rFonts w:hint="eastAsia" w:ascii="宋体" w:hAnsi="宋体" w:eastAsia="宋体" w:cs="宋体"/>
                <w:color w:val="auto"/>
                <w:sz w:val="21"/>
                <w:szCs w:val="21"/>
                <w:highlight w:val="none"/>
                <w:lang w:eastAsia="zh-CN" w:bidi="zh-CN"/>
              </w:rPr>
              <w:t>分，</w:t>
            </w:r>
            <w:r>
              <w:rPr>
                <w:rFonts w:hint="eastAsia" w:ascii="宋体" w:hAnsi="宋体" w:eastAsia="宋体" w:cs="宋体"/>
                <w:color w:val="auto"/>
                <w:sz w:val="21"/>
                <w:szCs w:val="21"/>
                <w:highlight w:val="none"/>
                <w:lang w:val="en-US" w:eastAsia="zh-CN" w:bidi="zh-CN"/>
              </w:rPr>
              <w:t>具备</w:t>
            </w:r>
            <w:r>
              <w:rPr>
                <w:rFonts w:hint="eastAsia" w:ascii="宋体" w:hAnsi="宋体" w:eastAsia="宋体" w:cs="宋体"/>
                <w:color w:val="auto"/>
                <w:sz w:val="21"/>
                <w:szCs w:val="21"/>
                <w:highlight w:val="none"/>
                <w:lang w:eastAsia="zh-CN" w:bidi="zh-CN"/>
              </w:rPr>
              <w:t>水工专业</w:t>
            </w:r>
            <w:r>
              <w:rPr>
                <w:rFonts w:hint="eastAsia" w:ascii="宋体" w:hAnsi="宋体" w:eastAsia="宋体" w:cs="宋体"/>
                <w:color w:val="auto"/>
                <w:sz w:val="21"/>
                <w:szCs w:val="21"/>
                <w:highlight w:val="none"/>
                <w:lang w:val="en-US" w:eastAsia="zh-CN" w:bidi="zh-CN"/>
              </w:rPr>
              <w:t>中</w:t>
            </w:r>
            <w:r>
              <w:rPr>
                <w:rFonts w:hint="eastAsia" w:ascii="宋体" w:hAnsi="宋体" w:eastAsia="宋体" w:cs="宋体"/>
                <w:color w:val="auto"/>
                <w:sz w:val="21"/>
                <w:szCs w:val="21"/>
                <w:highlight w:val="none"/>
                <w:lang w:eastAsia="zh-CN" w:bidi="zh-CN"/>
              </w:rPr>
              <w:t>级工程师职称的得</w:t>
            </w:r>
            <w:r>
              <w:rPr>
                <w:rFonts w:hint="eastAsia" w:ascii="宋体" w:hAnsi="宋体" w:eastAsia="宋体" w:cs="宋体"/>
                <w:color w:val="auto"/>
                <w:sz w:val="21"/>
                <w:szCs w:val="21"/>
                <w:highlight w:val="none"/>
                <w:lang w:val="en-US" w:eastAsia="zh-CN" w:bidi="zh-CN"/>
              </w:rPr>
              <w:t>1</w:t>
            </w:r>
            <w:r>
              <w:rPr>
                <w:rFonts w:hint="eastAsia" w:ascii="宋体" w:hAnsi="宋体" w:eastAsia="宋体" w:cs="宋体"/>
                <w:color w:val="auto"/>
                <w:sz w:val="21"/>
                <w:szCs w:val="21"/>
                <w:highlight w:val="none"/>
                <w:lang w:eastAsia="zh-CN" w:bidi="zh-CN"/>
              </w:rPr>
              <w:t>分</w:t>
            </w:r>
            <w:r>
              <w:rPr>
                <w:rFonts w:hint="eastAsia" w:ascii="宋体" w:hAnsi="宋体" w:eastAsia="宋体" w:cs="宋体"/>
                <w:color w:val="auto"/>
                <w:sz w:val="21"/>
                <w:szCs w:val="21"/>
                <w:highlight w:val="none"/>
                <w:lang w:val="zh-CN" w:eastAsia="zh-CN" w:bidi="zh-CN"/>
              </w:rPr>
              <w:t>。本</w:t>
            </w:r>
            <w:r>
              <w:rPr>
                <w:rFonts w:hint="eastAsia" w:ascii="宋体" w:hAnsi="宋体" w:eastAsia="宋体" w:cs="宋体"/>
                <w:color w:val="auto"/>
                <w:sz w:val="21"/>
                <w:szCs w:val="21"/>
                <w:highlight w:val="none"/>
                <w:lang w:eastAsia="zh-CN" w:bidi="zh-CN"/>
              </w:rPr>
              <w:t>小</w:t>
            </w:r>
            <w:r>
              <w:rPr>
                <w:rFonts w:hint="eastAsia" w:ascii="宋体" w:hAnsi="宋体" w:eastAsia="宋体" w:cs="宋体"/>
                <w:color w:val="auto"/>
                <w:sz w:val="21"/>
                <w:szCs w:val="21"/>
                <w:highlight w:val="none"/>
                <w:lang w:val="zh-CN" w:eastAsia="zh-CN" w:bidi="zh-CN"/>
              </w:rPr>
              <w:t>项最高得</w:t>
            </w:r>
            <w:r>
              <w:rPr>
                <w:rFonts w:hint="eastAsia" w:ascii="宋体" w:hAnsi="宋体" w:eastAsia="宋体" w:cs="宋体"/>
                <w:color w:val="auto"/>
                <w:sz w:val="21"/>
                <w:szCs w:val="21"/>
                <w:highlight w:val="none"/>
                <w:lang w:eastAsia="zh-CN" w:bidi="zh-CN"/>
              </w:rPr>
              <w:t>2</w:t>
            </w:r>
            <w:r>
              <w:rPr>
                <w:rFonts w:hint="eastAsia" w:ascii="宋体" w:hAnsi="宋体" w:eastAsia="宋体" w:cs="宋体"/>
                <w:color w:val="auto"/>
                <w:sz w:val="21"/>
                <w:szCs w:val="21"/>
                <w:highlight w:val="none"/>
                <w:lang w:val="zh-CN" w:eastAsia="zh-CN" w:bidi="zh-CN"/>
              </w:rPr>
              <w:t>分。</w:t>
            </w:r>
          </w:p>
          <w:p>
            <w:pPr>
              <w:pStyle w:val="27"/>
              <w:numPr>
                <w:ilvl w:val="0"/>
                <w:numId w:val="0"/>
              </w:numPr>
              <w:spacing w:line="360" w:lineRule="auto"/>
              <w:ind w:left="110" w:leftChars="50" w:right="110" w:rightChars="50"/>
              <w:jc w:val="both"/>
              <w:rPr>
                <w:rFonts w:hint="eastAsia" w:ascii="宋体" w:hAnsi="宋体" w:eastAsia="宋体" w:cs="宋体"/>
                <w:color w:val="auto"/>
                <w:spacing w:val="0"/>
                <w:sz w:val="21"/>
                <w:szCs w:val="21"/>
                <w:highlight w:val="none"/>
                <w:lang w:eastAsia="zh-CN" w:bidi="zh-CN"/>
              </w:rPr>
            </w:pPr>
            <w:r>
              <w:rPr>
                <w:rFonts w:hint="eastAsia" w:ascii="宋体" w:hAnsi="宋体" w:eastAsia="宋体" w:cs="宋体"/>
                <w:color w:val="auto"/>
                <w:sz w:val="21"/>
                <w:szCs w:val="21"/>
                <w:highlight w:val="none"/>
                <w:lang w:eastAsia="zh-CN" w:bidi="zh-CN"/>
              </w:rPr>
              <w:t>注：（1）上述各专业负责人不得兼任；（2）需提供各专业负责人相关专业</w:t>
            </w:r>
            <w:r>
              <w:rPr>
                <w:rFonts w:hint="eastAsia" w:ascii="宋体" w:hAnsi="宋体" w:eastAsia="宋体" w:cs="宋体"/>
                <w:color w:val="auto"/>
                <w:sz w:val="21"/>
                <w:szCs w:val="21"/>
                <w:highlight w:val="none"/>
                <w:lang w:val="en-US" w:eastAsia="zh-CN" w:bidi="zh-CN"/>
              </w:rPr>
              <w:t>的执业资格证</w:t>
            </w:r>
            <w:r>
              <w:rPr>
                <w:rFonts w:hint="eastAsia" w:ascii="宋体" w:hAnsi="宋体" w:eastAsia="宋体" w:cs="宋体"/>
                <w:color w:val="auto"/>
                <w:sz w:val="21"/>
                <w:szCs w:val="21"/>
                <w:highlight w:val="none"/>
                <w:lang w:eastAsia="zh-CN" w:bidi="zh-CN"/>
              </w:rPr>
              <w:t>、职称证书以及投标截止时间前</w:t>
            </w:r>
            <w:r>
              <w:rPr>
                <w:rFonts w:hint="eastAsia" w:ascii="宋体" w:hAnsi="宋体" w:eastAsia="宋体" w:cs="宋体"/>
                <w:color w:val="auto"/>
                <w:sz w:val="21"/>
                <w:szCs w:val="21"/>
                <w:highlight w:val="none"/>
                <w:lang w:val="en-US" w:eastAsia="zh-CN" w:bidi="zh-CN"/>
              </w:rPr>
              <w:t>三个月中的任一个月的</w:t>
            </w:r>
            <w:r>
              <w:rPr>
                <w:rFonts w:hint="eastAsia" w:ascii="宋体" w:hAnsi="宋体" w:eastAsia="宋体" w:cs="宋体"/>
                <w:color w:val="auto"/>
                <w:sz w:val="21"/>
                <w:szCs w:val="21"/>
                <w:highlight w:val="none"/>
                <w:lang w:eastAsia="zh-CN" w:bidi="zh-CN"/>
              </w:rPr>
              <w:t>有效社保证明材料。社保证明需能反映参保人员在投标人单位缴纳。</w:t>
            </w:r>
          </w:p>
        </w:tc>
      </w:tr>
      <w:tr>
        <w:tblPrEx>
          <w:tblCellMar>
            <w:top w:w="0" w:type="dxa"/>
            <w:left w:w="0" w:type="dxa"/>
            <w:bottom w:w="0" w:type="dxa"/>
            <w:right w:w="0" w:type="dxa"/>
          </w:tblCellMar>
        </w:tblPrEx>
        <w:trPr>
          <w:trHeight w:val="0" w:hRule="atLeast"/>
        </w:trPr>
        <w:tc>
          <w:tcPr>
            <w:tcW w:w="900" w:type="dxa"/>
            <w:vMerge w:val="restart"/>
            <w:tcBorders>
              <w:top w:val="single" w:color="000000" w:sz="4" w:space="0"/>
              <w:left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2.2.4</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(2)</w:t>
            </w:r>
          </w:p>
        </w:tc>
        <w:tc>
          <w:tcPr>
            <w:tcW w:w="1230" w:type="dxa"/>
            <w:vMerge w:val="restart"/>
            <w:tcBorders>
              <w:top w:val="single" w:color="000000" w:sz="4" w:space="0"/>
              <w:left w:val="single" w:color="000000" w:sz="4" w:space="0"/>
              <w:right w:val="single" w:color="auto"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ascii="宋体" w:hAnsi="宋体" w:eastAsia="宋体" w:cs="宋体"/>
                <w:color w:val="auto"/>
                <w:sz w:val="21"/>
                <w:szCs w:val="21"/>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ascii="宋体" w:hAnsi="宋体" w:eastAsia="宋体" w:cs="宋体"/>
                <w:color w:val="auto"/>
                <w:sz w:val="21"/>
                <w:szCs w:val="21"/>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0"/>
                <w:szCs w:val="20"/>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评分标准B(40分)</w:t>
            </w:r>
          </w:p>
        </w:tc>
        <w:tc>
          <w:tcPr>
            <w:tcW w:w="1294" w:type="dxa"/>
            <w:tcBorders>
              <w:top w:val="single" w:color="auto" w:sz="4" w:space="0"/>
              <w:left w:val="single" w:color="auto" w:sz="4" w:space="0"/>
              <w:bottom w:val="single" w:color="auto"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整体设计方案</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5756" w:type="dxa"/>
            <w:tcBorders>
              <w:top w:val="single" w:color="auto" w:sz="4" w:space="0"/>
              <w:left w:val="single" w:color="000000" w:sz="4" w:space="0"/>
              <w:bottom w:val="single" w:color="auto" w:sz="4" w:space="0"/>
              <w:right w:val="single" w:color="auto" w:sz="4" w:space="0"/>
            </w:tcBorders>
            <w:vAlign w:val="center"/>
          </w:tcPr>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1、设计工作范围和任务描述准确程度和总体设计思路清晰、切实可行，得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2、设计工作范围和任务描述准确程度和总体设计思路较清晰、较为可行，得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3、设计工作范围和任务描述准确程度和总体设计思路不清晰、可行性差，得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4、未提供不得分。</w:t>
            </w:r>
          </w:p>
        </w:tc>
      </w:tr>
      <w:tr>
        <w:tblPrEx>
          <w:tblCellMar>
            <w:top w:w="0" w:type="dxa"/>
            <w:left w:w="0" w:type="dxa"/>
            <w:bottom w:w="0" w:type="dxa"/>
            <w:right w:w="0" w:type="dxa"/>
          </w:tblCellMar>
        </w:tblPrEx>
        <w:trPr>
          <w:trHeight w:val="0" w:hRule="atLeast"/>
        </w:trPr>
        <w:tc>
          <w:tcPr>
            <w:tcW w:w="900" w:type="dxa"/>
            <w:vMerge w:val="continue"/>
            <w:tcBorders>
              <w:left w:val="single" w:color="000000" w:sz="4" w:space="0"/>
              <w:right w:val="single" w:color="000000" w:sz="4" w:space="0"/>
            </w:tcBorders>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30" w:type="dxa"/>
            <w:vMerge w:val="continue"/>
            <w:tcBorders>
              <w:left w:val="single" w:color="000000" w:sz="4" w:space="0"/>
              <w:right w:val="single" w:color="000000" w:sz="4" w:space="0"/>
            </w:tcBorders>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94" w:type="dxa"/>
            <w:tcBorders>
              <w:top w:val="single" w:color="auto" w:sz="4" w:space="0"/>
              <w:left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设计重难点把控</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5756" w:type="dxa"/>
            <w:tcBorders>
              <w:top w:val="single" w:color="auto" w:sz="4" w:space="0"/>
              <w:left w:val="single" w:color="000000" w:sz="4" w:space="0"/>
              <w:right w:val="single" w:color="000000" w:sz="4" w:space="0"/>
            </w:tcBorders>
          </w:tcPr>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1、项目设计重点难点的把握程度大，处理措施科学、可行，得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2、项目设计重点难点的把握程度较大，处理措施较科学可行，得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pStyle w:val="27"/>
              <w:numPr>
                <w:ilvl w:val="0"/>
                <w:numId w:val="0"/>
              </w:numPr>
              <w:spacing w:line="360" w:lineRule="auto"/>
              <w:ind w:left="110" w:leftChars="50" w:right="110" w:right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3、项目设计重点难点的把握程度小或处理措施不科学、可行性差，得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4、未提供不得分。</w:t>
            </w:r>
          </w:p>
        </w:tc>
      </w:tr>
      <w:tr>
        <w:tblPrEx>
          <w:tblCellMar>
            <w:top w:w="0" w:type="dxa"/>
            <w:left w:w="0" w:type="dxa"/>
            <w:bottom w:w="0" w:type="dxa"/>
            <w:right w:w="0" w:type="dxa"/>
          </w:tblCellMar>
        </w:tblPrEx>
        <w:trPr>
          <w:trHeight w:val="0" w:hRule="atLeast"/>
        </w:trPr>
        <w:tc>
          <w:tcPr>
            <w:tcW w:w="900" w:type="dxa"/>
            <w:vMerge w:val="continue"/>
            <w:tcBorders>
              <w:left w:val="single" w:color="000000" w:sz="4" w:space="0"/>
              <w:right w:val="single" w:color="000000" w:sz="4" w:space="0"/>
            </w:tcBorders>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30" w:type="dxa"/>
            <w:vMerge w:val="continue"/>
            <w:tcBorders>
              <w:left w:val="single" w:color="000000" w:sz="4" w:space="0"/>
              <w:right w:val="single" w:color="000000" w:sz="4" w:space="0"/>
            </w:tcBorders>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质量保证措施、进度保证措施</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5756" w:type="dxa"/>
            <w:tcBorders>
              <w:top w:val="single" w:color="000000" w:sz="4" w:space="0"/>
              <w:left w:val="single" w:color="000000" w:sz="4" w:space="0"/>
              <w:bottom w:val="single" w:color="000000" w:sz="4" w:space="0"/>
              <w:right w:val="single" w:color="000000" w:sz="4" w:space="0"/>
            </w:tcBorders>
          </w:tcPr>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1、设计进度优于</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文件要求、质量保证措施完整、合理，得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2、设计进度满足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文件要求、质量保证措施较完整、合理，得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3、设计进度不满足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文件要求或质量保证措施不完整，得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4、未提供不得分。</w:t>
            </w:r>
          </w:p>
        </w:tc>
      </w:tr>
      <w:tr>
        <w:tblPrEx>
          <w:tblCellMar>
            <w:top w:w="0" w:type="dxa"/>
            <w:left w:w="0" w:type="dxa"/>
            <w:bottom w:w="0" w:type="dxa"/>
            <w:right w:w="0" w:type="dxa"/>
          </w:tblCellMar>
        </w:tblPrEx>
        <w:trPr>
          <w:trHeight w:val="0" w:hRule="atLeast"/>
        </w:trPr>
        <w:tc>
          <w:tcPr>
            <w:tcW w:w="900" w:type="dxa"/>
            <w:vMerge w:val="continue"/>
            <w:tcBorders>
              <w:left w:val="single" w:color="000000" w:sz="4" w:space="0"/>
              <w:bottom w:val="single" w:color="auto" w:sz="4" w:space="0"/>
              <w:right w:val="single" w:color="000000" w:sz="4" w:space="0"/>
            </w:tcBorders>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30" w:type="dxa"/>
            <w:vMerge w:val="continue"/>
            <w:tcBorders>
              <w:left w:val="single" w:color="000000" w:sz="4" w:space="0"/>
              <w:bottom w:val="single" w:color="auto" w:sz="4" w:space="0"/>
              <w:right w:val="single" w:color="000000" w:sz="4" w:space="0"/>
            </w:tcBorders>
          </w:tcPr>
          <w:p>
            <w:pPr>
              <w:keepNext w:val="0"/>
              <w:keepLines w:val="0"/>
              <w:pageBreakBefore w:val="0"/>
              <w:widowControl w:val="0"/>
              <w:kinsoku/>
              <w:overflowPunct/>
              <w:topLinePunct w:val="0"/>
              <w:bidi w:val="0"/>
              <w:adjustRightInd/>
              <w:snapToGrid/>
              <w:spacing w:line="360" w:lineRule="auto"/>
              <w:ind w:left="110" w:leftChars="50" w:right="110" w:rightChars="50"/>
              <w:textAlignment w:val="auto"/>
              <w:rPr>
                <w:rFonts w:hint="eastAsia" w:ascii="宋体" w:hAnsi="宋体" w:eastAsia="宋体" w:cs="宋体"/>
                <w:color w:val="auto"/>
                <w:highlight w:val="none"/>
              </w:rPr>
            </w:pPr>
          </w:p>
        </w:tc>
        <w:tc>
          <w:tcPr>
            <w:tcW w:w="1294" w:type="dxa"/>
            <w:tcBorders>
              <w:top w:val="single" w:color="000000" w:sz="4" w:space="0"/>
              <w:left w:val="single" w:color="000000" w:sz="4" w:space="0"/>
              <w:bottom w:val="single" w:color="auto"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人员、服务的安排的响应程度</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10分</w:t>
            </w:r>
            <w:r>
              <w:rPr>
                <w:rFonts w:hint="eastAsia" w:ascii="宋体" w:hAnsi="宋体" w:eastAsia="宋体" w:cs="宋体"/>
                <w:color w:val="auto"/>
                <w:highlight w:val="none"/>
                <w:lang w:eastAsia="zh-CN"/>
              </w:rPr>
              <w:t>）</w:t>
            </w:r>
          </w:p>
        </w:tc>
        <w:tc>
          <w:tcPr>
            <w:tcW w:w="5756" w:type="dxa"/>
            <w:tcBorders>
              <w:top w:val="single" w:color="000000" w:sz="4" w:space="0"/>
              <w:left w:val="single" w:color="000000" w:sz="4" w:space="0"/>
              <w:bottom w:val="single" w:color="000000" w:sz="4" w:space="0"/>
              <w:right w:val="single" w:color="000000" w:sz="4" w:space="0"/>
            </w:tcBorders>
            <w:vAlign w:val="center"/>
          </w:tcPr>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1</w:t>
            </w:r>
            <w:r>
              <w:rPr>
                <w:rFonts w:hint="eastAsia" w:ascii="宋体" w:hAnsi="宋体" w:eastAsia="宋体" w:cs="宋体"/>
                <w:color w:val="auto"/>
                <w:sz w:val="21"/>
                <w:szCs w:val="21"/>
                <w:highlight w:val="none"/>
              </w:rPr>
              <w:t>、开展工作的服务人员数量、工作安排合理、妥当，综合响应程度大，得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2、开展工作的服务人员数量、工作安排基本合理、妥当综合响应程度较大，得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pStyle w:val="27"/>
              <w:keepNext w:val="0"/>
              <w:keepLines w:val="0"/>
              <w:pageBreakBefore w:val="0"/>
              <w:widowControl w:val="0"/>
              <w:numPr>
                <w:ilvl w:val="0"/>
                <w:numId w:val="0"/>
              </w:numPr>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3、开展工作的服务人员数量、工作安排不合理，综合响应程度小，得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4、未提供不得分。</w:t>
            </w:r>
          </w:p>
        </w:tc>
      </w:tr>
      <w:tr>
        <w:tblPrEx>
          <w:tblCellMar>
            <w:top w:w="0" w:type="dxa"/>
            <w:left w:w="0" w:type="dxa"/>
            <w:bottom w:w="0" w:type="dxa"/>
            <w:right w:w="0" w:type="dxa"/>
          </w:tblCellMar>
        </w:tblPrEx>
        <w:trPr>
          <w:trHeight w:val="0" w:hRule="atLeast"/>
        </w:trPr>
        <w:tc>
          <w:tcPr>
            <w:tcW w:w="900"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0" w:type="dxa"/>
            <w:tcBorders>
              <w:top w:val="single" w:color="auto" w:sz="4" w:space="0"/>
              <w:left w:val="single" w:color="auto" w:sz="4" w:space="0"/>
              <w:bottom w:val="single" w:color="auto" w:sz="4" w:space="0"/>
              <w:right w:val="single" w:color="auto" w:sz="4" w:space="0"/>
            </w:tcBorders>
            <w:vAlign w:val="center"/>
          </w:tcPr>
          <w:p>
            <w:pPr>
              <w:pStyle w:val="27"/>
              <w:spacing w:line="360" w:lineRule="auto"/>
              <w:ind w:left="110" w:leftChars="50" w:right="110" w:rightChars="50"/>
              <w:jc w:val="center"/>
              <w:rPr>
                <w:rFonts w:hint="eastAsia" w:ascii="宋体" w:hAnsi="宋体" w:eastAsia="宋体" w:cs="宋体"/>
                <w:color w:val="auto"/>
                <w:sz w:val="21"/>
                <w:szCs w:val="21"/>
                <w:highlight w:val="none"/>
              </w:rPr>
            </w:pP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投标报价评分标准C</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1294"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投标报价计算方式</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756" w:type="dxa"/>
            <w:tcBorders>
              <w:top w:val="single" w:color="000000" w:sz="4" w:space="0"/>
              <w:left w:val="single" w:color="auto" w:sz="4" w:space="0"/>
              <w:bottom w:val="single" w:color="000000" w:sz="4" w:space="0"/>
              <w:right w:val="single" w:color="000000" w:sz="4" w:space="0"/>
            </w:tcBorders>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（1）投标下浮率大于评标基准下浮率，则投标报价得分=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–︱投标下浮率–评标基准下浮率︱×100×2.5；</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（2）投标下浮率小于评标基准下浮率，则投标报价得分=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投标下浮率–评标基准下浮率︱×100×5.0。注：1、当有效投标报价的投标人≤5家时，取所有有效投标报价的算术平均值；当有效投标报价的投标人＞5家时，取扣除1个最高和1个最低有效投标报价后的算术平均值。</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2、有效投标报价为通过形式、资格、响应性评审的投标人投标（报</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3、当投标报价得分为负分，按0分计取，投标报价得分＞15分，</w:t>
            </w:r>
          </w:p>
          <w:p>
            <w:pPr>
              <w:pStyle w:val="27"/>
              <w:keepNext w:val="0"/>
              <w:keepLines w:val="0"/>
              <w:pageBreakBefore w:val="0"/>
              <w:widowControl w:val="0"/>
              <w:kinsoku/>
              <w:overflowPunct/>
              <w:topLinePunct w:val="0"/>
              <w:bidi w:val="0"/>
              <w:adjustRightInd/>
              <w:snapToGrid/>
              <w:spacing w:line="360" w:lineRule="auto"/>
              <w:ind w:left="110" w:leftChars="50" w:right="110" w:rightChars="50"/>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按15分计取。</w:t>
            </w:r>
          </w:p>
        </w:tc>
      </w:tr>
      <w:tr>
        <w:tblPrEx>
          <w:tblCellMar>
            <w:top w:w="0" w:type="dxa"/>
            <w:left w:w="0" w:type="dxa"/>
            <w:bottom w:w="0" w:type="dxa"/>
            <w:right w:w="0" w:type="dxa"/>
          </w:tblCellMar>
        </w:tblPrEx>
        <w:trPr>
          <w:trHeight w:val="0" w:hRule="atLeast"/>
        </w:trPr>
        <w:tc>
          <w:tcPr>
            <w:tcW w:w="342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adjustRightInd/>
              <w:snapToGrid/>
              <w:spacing w:line="360" w:lineRule="auto"/>
              <w:ind w:left="110" w:leftChars="50" w:right="110" w:rightChars="50"/>
              <w:jc w:val="center"/>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综合得分F</w:t>
            </w:r>
          </w:p>
        </w:tc>
        <w:tc>
          <w:tcPr>
            <w:tcW w:w="5756" w:type="dxa"/>
            <w:tcBorders>
              <w:top w:val="single" w:color="000000" w:sz="4" w:space="0"/>
              <w:left w:val="single" w:color="auto" w:sz="4" w:space="0"/>
              <w:bottom w:val="single" w:color="000000" w:sz="4" w:space="0"/>
              <w:right w:val="single" w:color="000000" w:sz="4" w:space="0"/>
            </w:tcBorders>
            <w:vAlign w:val="center"/>
          </w:tcPr>
          <w:p>
            <w:pPr>
              <w:pStyle w:val="27"/>
              <w:keepNext w:val="0"/>
              <w:keepLines w:val="0"/>
              <w:pageBreakBefore w:val="0"/>
              <w:widowControl w:val="0"/>
              <w:kinsoku/>
              <w:overflowPunct/>
              <w:topLinePunct w:val="0"/>
              <w:bidi w:val="0"/>
              <w:adjustRightInd/>
              <w:snapToGrid/>
              <w:spacing w:line="360" w:lineRule="auto"/>
              <w:ind w:left="110" w:leftChars="50" w:right="110" w:rightChars="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综合得分F=A+B+C，其中设计方案评分B</w:t>
            </w:r>
            <w:r>
              <w:rPr>
                <w:rFonts w:hint="eastAsia" w:ascii="宋体" w:hAnsi="宋体" w:eastAsia="宋体" w:cs="宋体"/>
                <w:color w:val="auto"/>
                <w:spacing w:val="2"/>
                <w:sz w:val="21"/>
                <w:szCs w:val="21"/>
                <w:highlight w:val="none"/>
              </w:rPr>
              <w:t>为各评委中去掉一个</w:t>
            </w:r>
            <w:r>
              <w:rPr>
                <w:rFonts w:hint="eastAsia" w:ascii="宋体" w:hAnsi="宋体" w:eastAsia="宋体" w:cs="宋体"/>
                <w:color w:val="auto"/>
                <w:sz w:val="21"/>
                <w:szCs w:val="21"/>
                <w:highlight w:val="none"/>
              </w:rPr>
              <w:t>最高分和一个最低分后的算术平均值。所有计算取小数点后两位，第三位四舍五入。</w:t>
            </w:r>
          </w:p>
        </w:tc>
      </w:tr>
    </w:tbl>
    <w:p>
      <w:pPr>
        <w:spacing w:after="0" w:line="360" w:lineRule="auto"/>
        <w:jc w:val="left"/>
        <w:rPr>
          <w:rFonts w:ascii="宋体" w:hAnsi="宋体" w:eastAsia="宋体" w:cs="宋体"/>
          <w:color w:val="auto"/>
          <w:sz w:val="21"/>
          <w:szCs w:val="21"/>
          <w:highlight w:val="none"/>
        </w:rPr>
        <w:sectPr>
          <w:footerReference r:id="rId7" w:type="default"/>
          <w:pgSz w:w="11910" w:h="16840"/>
          <w:pgMar w:top="1440" w:right="1080" w:bottom="1440" w:left="1080" w:header="0" w:footer="698" w:gutter="0"/>
          <w:pgNumType w:fmt="decimal"/>
          <w:cols w:space="720" w:num="1"/>
        </w:sectPr>
      </w:pPr>
    </w:p>
    <w:p>
      <w:pPr>
        <w:spacing w:before="11" w:line="360" w:lineRule="auto"/>
        <w:rPr>
          <w:rFonts w:ascii="Times New Roman" w:hAnsi="Times New Roman" w:eastAsia="Times New Roman" w:cs="Times New Roman"/>
          <w:color w:val="auto"/>
          <w:sz w:val="6"/>
          <w:szCs w:val="6"/>
          <w:highlight w:val="none"/>
        </w:rPr>
      </w:pPr>
    </w:p>
    <w:p>
      <w:pPr>
        <w:pStyle w:val="5"/>
        <w:spacing w:before="0" w:line="360" w:lineRule="auto"/>
        <w:ind w:right="4498"/>
        <w:jc w:val="left"/>
        <w:outlineLvl w:val="1"/>
        <w:rPr>
          <w:rFonts w:hint="eastAsia" w:ascii="宋体" w:hAnsi="宋体" w:eastAsia="宋体" w:cs="宋体"/>
          <w:b w:val="0"/>
          <w:bCs w:val="0"/>
          <w:color w:val="auto"/>
          <w:sz w:val="24"/>
          <w:szCs w:val="24"/>
          <w:highlight w:val="none"/>
        </w:rPr>
      </w:pPr>
      <w:bookmarkStart w:id="89" w:name="1. 评标方法"/>
      <w:bookmarkEnd w:id="89"/>
      <w:bookmarkStart w:id="90" w:name="_Toc13177"/>
      <w:r>
        <w:rPr>
          <w:rFonts w:hint="eastAsia" w:ascii="宋体" w:hAnsi="宋体" w:eastAsia="宋体" w:cs="宋体"/>
          <w:color w:val="auto"/>
          <w:sz w:val="24"/>
          <w:szCs w:val="24"/>
          <w:highlight w:val="none"/>
        </w:rPr>
        <w:t>1.评标方法</w:t>
      </w:r>
      <w:bookmarkEnd w:id="90"/>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cs="宋体"/>
          <w:color w:val="auto"/>
          <w:spacing w:val="-3"/>
          <w:sz w:val="24"/>
          <w:szCs w:val="24"/>
          <w:highlight w:val="none"/>
        </w:rPr>
        <w:t>本次评标采用综合评估法。评标委员会对满足招标文件实质性要求的投标文件，按照本章第</w:t>
      </w:r>
      <w:r>
        <w:rPr>
          <w:rFonts w:hint="eastAsia" w:ascii="宋体" w:hAnsi="宋体" w:eastAsia="宋体" w:cs="宋体"/>
          <w:color w:val="auto"/>
          <w:spacing w:val="-3"/>
          <w:sz w:val="24"/>
          <w:szCs w:val="24"/>
          <w:highlight w:val="none"/>
        </w:rPr>
        <w:t>2.2</w:t>
      </w:r>
      <w:r>
        <w:rPr>
          <w:rFonts w:hint="eastAsia" w:cs="宋体"/>
          <w:color w:val="auto"/>
          <w:spacing w:val="-3"/>
          <w:w w:val="100"/>
          <w:sz w:val="24"/>
          <w:szCs w:val="24"/>
          <w:highlight w:val="none"/>
        </w:rPr>
        <w:t>款规定的评分标准进行打分，并按得分由高到低顺序推荐中标候选人，或根据招标人授权直接确定中标人，但投标报价低于其成本的除外。综合评分相等时，以投标报价下浮率高的优先；投标报价下浮率也相等的，以设计方案得分高的优先；如果设计方案得分也相等，按照评标办法前</w:t>
      </w:r>
      <w:r>
        <w:rPr>
          <w:rFonts w:hint="eastAsia" w:cs="宋体"/>
          <w:color w:val="auto"/>
          <w:spacing w:val="-3"/>
          <w:sz w:val="24"/>
          <w:szCs w:val="24"/>
          <w:highlight w:val="none"/>
        </w:rPr>
        <w:t>附表的规定确定中标候选人顺序。</w:t>
      </w:r>
    </w:p>
    <w:p>
      <w:pPr>
        <w:pStyle w:val="5"/>
        <w:spacing w:before="34" w:line="360" w:lineRule="auto"/>
        <w:ind w:right="4498"/>
        <w:jc w:val="left"/>
        <w:outlineLvl w:val="1"/>
        <w:rPr>
          <w:rFonts w:hint="eastAsia" w:ascii="宋体" w:hAnsi="宋体" w:eastAsia="宋体" w:cs="宋体"/>
          <w:b w:val="0"/>
          <w:bCs w:val="0"/>
          <w:color w:val="auto"/>
          <w:sz w:val="24"/>
          <w:szCs w:val="24"/>
          <w:highlight w:val="none"/>
        </w:rPr>
      </w:pPr>
      <w:bookmarkStart w:id="91" w:name="2. 评审标准"/>
      <w:bookmarkEnd w:id="91"/>
      <w:bookmarkStart w:id="92" w:name="_Toc16844"/>
      <w:r>
        <w:rPr>
          <w:rFonts w:hint="eastAsia" w:ascii="宋体" w:hAnsi="宋体" w:eastAsia="宋体" w:cs="宋体"/>
          <w:color w:val="auto"/>
          <w:sz w:val="24"/>
          <w:szCs w:val="24"/>
          <w:highlight w:val="none"/>
        </w:rPr>
        <w:t>2.评审标准</w:t>
      </w:r>
      <w:bookmarkEnd w:id="92"/>
    </w:p>
    <w:p>
      <w:pPr>
        <w:pStyle w:val="5"/>
        <w:spacing w:before="117" w:line="360" w:lineRule="auto"/>
        <w:ind w:left="255" w:right="4498"/>
        <w:jc w:val="left"/>
        <w:outlineLvl w:val="2"/>
        <w:rPr>
          <w:rFonts w:hint="eastAsia" w:cs="宋体"/>
          <w:b w:val="0"/>
          <w:bCs w:val="0"/>
          <w:color w:val="auto"/>
          <w:sz w:val="24"/>
          <w:szCs w:val="24"/>
          <w:highlight w:val="none"/>
        </w:rPr>
      </w:pPr>
      <w:bookmarkStart w:id="93" w:name="2.1 初步评审标准"/>
      <w:bookmarkEnd w:id="93"/>
      <w:bookmarkStart w:id="94" w:name="_Toc32107"/>
      <w:r>
        <w:rPr>
          <w:rFonts w:hint="eastAsia" w:ascii="宋体" w:hAnsi="宋体" w:eastAsia="宋体" w:cs="宋体"/>
          <w:color w:val="auto"/>
          <w:sz w:val="24"/>
          <w:szCs w:val="24"/>
          <w:highlight w:val="none"/>
        </w:rPr>
        <w:t>2.1</w:t>
      </w:r>
      <w:r>
        <w:rPr>
          <w:rFonts w:hint="eastAsia" w:cs="宋体"/>
          <w:color w:val="auto"/>
          <w:sz w:val="24"/>
          <w:szCs w:val="24"/>
          <w:highlight w:val="none"/>
        </w:rPr>
        <w:t>初步评审标准</w:t>
      </w:r>
      <w:bookmarkEnd w:id="94"/>
    </w:p>
    <w:p>
      <w:pPr>
        <w:pStyle w:val="11"/>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2.1.1形式评审标准：见评标办法前附表。</w:t>
      </w:r>
    </w:p>
    <w:p>
      <w:pPr>
        <w:pStyle w:val="11"/>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2.1.2资格评审标准：见评标办法前附表。</w:t>
      </w:r>
    </w:p>
    <w:p>
      <w:pPr>
        <w:pStyle w:val="11"/>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2.1.3响应性评审标准：见评标办法前附表。</w:t>
      </w:r>
    </w:p>
    <w:p>
      <w:pPr>
        <w:pStyle w:val="5"/>
        <w:spacing w:before="117" w:line="360" w:lineRule="auto"/>
        <w:ind w:left="255" w:right="4498"/>
        <w:jc w:val="left"/>
        <w:outlineLvl w:val="2"/>
        <w:rPr>
          <w:rFonts w:hint="eastAsia" w:cs="宋体"/>
          <w:b w:val="0"/>
          <w:bCs w:val="0"/>
          <w:color w:val="auto"/>
          <w:sz w:val="24"/>
          <w:szCs w:val="24"/>
          <w:highlight w:val="none"/>
        </w:rPr>
      </w:pPr>
      <w:bookmarkStart w:id="95" w:name="2.2 分值构成与评分标准"/>
      <w:bookmarkEnd w:id="95"/>
      <w:bookmarkStart w:id="96" w:name="_Toc24375"/>
      <w:r>
        <w:rPr>
          <w:rFonts w:hint="eastAsia" w:ascii="宋体" w:hAnsi="宋体" w:eastAsia="宋体" w:cs="宋体"/>
          <w:color w:val="auto"/>
          <w:sz w:val="24"/>
          <w:szCs w:val="24"/>
          <w:highlight w:val="none"/>
        </w:rPr>
        <w:t>2.2</w:t>
      </w:r>
      <w:r>
        <w:rPr>
          <w:rFonts w:hint="eastAsia" w:cs="宋体"/>
          <w:color w:val="auto"/>
          <w:sz w:val="24"/>
          <w:szCs w:val="24"/>
          <w:highlight w:val="none"/>
        </w:rPr>
        <w:t>分值构成与评分标准</w:t>
      </w:r>
      <w:bookmarkEnd w:id="96"/>
    </w:p>
    <w:p>
      <w:pPr>
        <w:pStyle w:val="11"/>
        <w:spacing w:before="117" w:line="360" w:lineRule="auto"/>
        <w:ind w:left="538" w:right="4498"/>
        <w:jc w:val="left"/>
        <w:rPr>
          <w:rFonts w:hint="eastAsia" w:cs="宋体"/>
          <w:color w:val="auto"/>
          <w:sz w:val="24"/>
          <w:szCs w:val="24"/>
          <w:highlight w:val="none"/>
        </w:rPr>
      </w:pPr>
      <w:r>
        <w:rPr>
          <w:rFonts w:hint="eastAsia" w:ascii="宋体" w:hAnsi="宋体" w:eastAsia="宋体" w:cs="宋体"/>
          <w:color w:val="auto"/>
          <w:sz w:val="24"/>
          <w:szCs w:val="24"/>
          <w:highlight w:val="none"/>
        </w:rPr>
        <w:t>2.2.1</w:t>
      </w:r>
      <w:r>
        <w:rPr>
          <w:rFonts w:hint="eastAsia" w:cs="宋体"/>
          <w:color w:val="auto"/>
          <w:sz w:val="24"/>
          <w:szCs w:val="24"/>
          <w:highlight w:val="none"/>
        </w:rPr>
        <w:t>分值构成</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cs="宋体"/>
          <w:color w:val="auto"/>
          <w:spacing w:val="-3"/>
          <w:sz w:val="24"/>
          <w:szCs w:val="24"/>
          <w:highlight w:val="none"/>
          <w:lang w:val="en-US" w:eastAsia="zh-CN"/>
        </w:rPr>
        <w:t>(1)</w:t>
      </w:r>
      <w:r>
        <w:rPr>
          <w:rFonts w:hint="eastAsia" w:cs="宋体"/>
          <w:color w:val="auto"/>
          <w:spacing w:val="-3"/>
          <w:sz w:val="24"/>
          <w:szCs w:val="24"/>
          <w:highlight w:val="none"/>
        </w:rPr>
        <w:t>资信业绩部分：见评标办法前附表；</w:t>
      </w:r>
    </w:p>
    <w:p>
      <w:pPr>
        <w:pStyle w:val="11"/>
        <w:spacing w:before="0" w:line="360" w:lineRule="auto"/>
        <w:ind w:left="0" w:right="0" w:firstLine="468" w:firstLineChars="200"/>
        <w:jc w:val="both"/>
        <w:rPr>
          <w:rFonts w:hint="eastAsia" w:cs="宋体"/>
          <w:color w:val="auto"/>
          <w:spacing w:val="-3"/>
          <w:w w:val="100"/>
          <w:sz w:val="24"/>
          <w:szCs w:val="24"/>
          <w:highlight w:val="none"/>
        </w:rPr>
      </w:pPr>
      <w:r>
        <w:rPr>
          <w:rFonts w:hint="eastAsia" w:ascii="宋体" w:hAnsi="宋体" w:eastAsia="宋体" w:cs="宋体"/>
          <w:color w:val="auto"/>
          <w:spacing w:val="-3"/>
          <w:w w:val="100"/>
          <w:sz w:val="24"/>
          <w:szCs w:val="24"/>
          <w:highlight w:val="none"/>
        </w:rPr>
        <w:t>(2)</w:t>
      </w:r>
      <w:r>
        <w:rPr>
          <w:rFonts w:hint="eastAsia" w:cs="宋体"/>
          <w:color w:val="auto"/>
          <w:spacing w:val="-3"/>
          <w:w w:val="100"/>
          <w:sz w:val="24"/>
          <w:szCs w:val="24"/>
          <w:highlight w:val="none"/>
        </w:rPr>
        <w:t>设计方案部分：见评标办法前附表；</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cs="宋体"/>
          <w:color w:val="auto"/>
          <w:spacing w:val="-3"/>
          <w:sz w:val="24"/>
          <w:szCs w:val="24"/>
          <w:highlight w:val="none"/>
        </w:rPr>
        <w:t>投标报价：见评标办法前附表。</w:t>
      </w:r>
    </w:p>
    <w:p>
      <w:pPr>
        <w:pStyle w:val="11"/>
        <w:spacing w:before="0" w:line="360" w:lineRule="auto"/>
        <w:ind w:left="0" w:right="0" w:firstLine="480" w:firstLineChars="200"/>
        <w:jc w:val="left"/>
        <w:rPr>
          <w:rFonts w:hint="eastAsia" w:cs="宋体"/>
          <w:color w:val="auto"/>
          <w:sz w:val="24"/>
          <w:szCs w:val="24"/>
          <w:highlight w:val="none"/>
        </w:rPr>
      </w:pPr>
      <w:r>
        <w:rPr>
          <w:rFonts w:hint="eastAsia" w:ascii="宋体" w:hAnsi="宋体" w:eastAsia="宋体" w:cs="宋体"/>
          <w:color w:val="auto"/>
          <w:sz w:val="24"/>
          <w:szCs w:val="24"/>
          <w:highlight w:val="none"/>
        </w:rPr>
        <w:t>2.2.2</w:t>
      </w:r>
      <w:r>
        <w:rPr>
          <w:rFonts w:hint="eastAsia" w:cs="宋体"/>
          <w:color w:val="auto"/>
          <w:sz w:val="24"/>
          <w:szCs w:val="24"/>
          <w:highlight w:val="none"/>
        </w:rPr>
        <w:t>评标基准价计算评标基准价计算方法：见评标办法前附表。</w:t>
      </w:r>
    </w:p>
    <w:p>
      <w:pPr>
        <w:pStyle w:val="11"/>
        <w:spacing w:before="0" w:line="360" w:lineRule="auto"/>
        <w:ind w:left="0" w:right="0" w:firstLine="480" w:firstLineChars="200"/>
        <w:jc w:val="left"/>
        <w:rPr>
          <w:rFonts w:hint="eastAsia" w:cs="宋体"/>
          <w:color w:val="auto"/>
          <w:sz w:val="24"/>
          <w:szCs w:val="24"/>
          <w:highlight w:val="none"/>
        </w:rPr>
      </w:pPr>
      <w:r>
        <w:rPr>
          <w:rFonts w:hint="eastAsia" w:ascii="宋体" w:hAnsi="宋体" w:eastAsia="宋体" w:cs="宋体"/>
          <w:color w:val="auto"/>
          <w:sz w:val="24"/>
          <w:szCs w:val="24"/>
          <w:highlight w:val="none"/>
        </w:rPr>
        <w:t>2.2.3</w:t>
      </w:r>
      <w:r>
        <w:rPr>
          <w:rFonts w:hint="eastAsia" w:cs="宋体"/>
          <w:color w:val="auto"/>
          <w:sz w:val="24"/>
          <w:szCs w:val="24"/>
          <w:highlight w:val="none"/>
        </w:rPr>
        <w:t>投标报价的偏差率计算</w:t>
      </w:r>
    </w:p>
    <w:p>
      <w:pPr>
        <w:pStyle w:val="11"/>
        <w:spacing w:before="0" w:line="360" w:lineRule="auto"/>
        <w:ind w:left="0" w:right="0" w:firstLine="468" w:firstLineChars="200"/>
        <w:jc w:val="both"/>
        <w:rPr>
          <w:rFonts w:hint="eastAsia" w:cs="宋体"/>
          <w:color w:val="auto"/>
          <w:spacing w:val="-3"/>
          <w:w w:val="100"/>
          <w:sz w:val="24"/>
          <w:szCs w:val="24"/>
          <w:highlight w:val="none"/>
        </w:rPr>
      </w:pPr>
      <w:r>
        <w:rPr>
          <w:rFonts w:hint="eastAsia" w:cs="宋体"/>
          <w:color w:val="auto"/>
          <w:spacing w:val="-3"/>
          <w:w w:val="100"/>
          <w:sz w:val="24"/>
          <w:szCs w:val="24"/>
          <w:highlight w:val="none"/>
        </w:rPr>
        <w:t>投标报价的偏差率计算公式：见评标办法前附表。</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2.2.4</w:t>
      </w:r>
      <w:r>
        <w:rPr>
          <w:rFonts w:hint="eastAsia" w:cs="宋体"/>
          <w:color w:val="auto"/>
          <w:spacing w:val="-3"/>
          <w:sz w:val="24"/>
          <w:szCs w:val="24"/>
          <w:highlight w:val="none"/>
        </w:rPr>
        <w:t>评分标准</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cs="宋体"/>
          <w:color w:val="auto"/>
          <w:spacing w:val="-3"/>
          <w:sz w:val="24"/>
          <w:szCs w:val="24"/>
          <w:highlight w:val="none"/>
          <w:lang w:val="en-US" w:eastAsia="zh-CN"/>
        </w:rPr>
        <w:t>(1)</w:t>
      </w:r>
      <w:r>
        <w:rPr>
          <w:rFonts w:hint="eastAsia" w:cs="宋体"/>
          <w:color w:val="auto"/>
          <w:spacing w:val="-3"/>
          <w:sz w:val="24"/>
          <w:szCs w:val="24"/>
          <w:highlight w:val="none"/>
        </w:rPr>
        <w:t>资信业绩评分标准：见评标办法前附表；</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(2)</w:t>
      </w:r>
      <w:r>
        <w:rPr>
          <w:rFonts w:hint="eastAsia" w:cs="宋体"/>
          <w:color w:val="auto"/>
          <w:spacing w:val="-3"/>
          <w:sz w:val="24"/>
          <w:szCs w:val="24"/>
          <w:highlight w:val="none"/>
        </w:rPr>
        <w:t>设计方案部分：见评标办法前附表；</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cs="宋体"/>
          <w:color w:val="auto"/>
          <w:spacing w:val="-3"/>
          <w:sz w:val="24"/>
          <w:szCs w:val="24"/>
          <w:highlight w:val="none"/>
        </w:rPr>
        <w:t>投标报价评分标准：见评标办法前附表。</w:t>
      </w:r>
    </w:p>
    <w:p>
      <w:pPr>
        <w:pStyle w:val="5"/>
        <w:spacing w:before="17" w:line="360" w:lineRule="auto"/>
        <w:ind w:right="3919"/>
        <w:jc w:val="left"/>
        <w:outlineLvl w:val="1"/>
        <w:rPr>
          <w:rFonts w:hint="eastAsia" w:ascii="宋体" w:hAnsi="宋体" w:eastAsia="宋体" w:cs="宋体"/>
          <w:b w:val="0"/>
          <w:bCs w:val="0"/>
          <w:color w:val="auto"/>
          <w:sz w:val="24"/>
          <w:szCs w:val="24"/>
          <w:highlight w:val="none"/>
        </w:rPr>
      </w:pPr>
      <w:bookmarkStart w:id="97" w:name="3. 评标程序"/>
      <w:bookmarkEnd w:id="97"/>
      <w:bookmarkStart w:id="98" w:name="_Toc25222"/>
      <w:r>
        <w:rPr>
          <w:rFonts w:hint="eastAsia" w:ascii="宋体" w:hAnsi="宋体" w:eastAsia="宋体" w:cs="宋体"/>
          <w:color w:val="auto"/>
          <w:sz w:val="24"/>
          <w:szCs w:val="24"/>
          <w:highlight w:val="none"/>
        </w:rPr>
        <w:t>3.评标程序</w:t>
      </w:r>
      <w:bookmarkEnd w:id="98"/>
    </w:p>
    <w:p>
      <w:pPr>
        <w:pStyle w:val="5"/>
        <w:spacing w:before="119" w:line="360" w:lineRule="auto"/>
        <w:ind w:left="255" w:right="3919"/>
        <w:jc w:val="left"/>
        <w:outlineLvl w:val="2"/>
        <w:rPr>
          <w:rFonts w:hint="eastAsia" w:cs="宋体"/>
          <w:b w:val="0"/>
          <w:bCs w:val="0"/>
          <w:color w:val="auto"/>
          <w:sz w:val="24"/>
          <w:szCs w:val="24"/>
          <w:highlight w:val="none"/>
        </w:rPr>
      </w:pPr>
      <w:bookmarkStart w:id="99" w:name="3.1 初步评审"/>
      <w:bookmarkEnd w:id="99"/>
      <w:bookmarkStart w:id="100" w:name="_Toc27250"/>
      <w:r>
        <w:rPr>
          <w:rFonts w:hint="eastAsia" w:ascii="宋体" w:hAnsi="宋体" w:eastAsia="宋体" w:cs="宋体"/>
          <w:color w:val="auto"/>
          <w:sz w:val="24"/>
          <w:szCs w:val="24"/>
          <w:highlight w:val="none"/>
        </w:rPr>
        <w:t>3.1</w:t>
      </w:r>
      <w:r>
        <w:rPr>
          <w:rFonts w:hint="eastAsia" w:cs="宋体"/>
          <w:color w:val="auto"/>
          <w:sz w:val="24"/>
          <w:szCs w:val="24"/>
          <w:highlight w:val="none"/>
        </w:rPr>
        <w:t>初步评审</w:t>
      </w:r>
      <w:bookmarkEnd w:id="100"/>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w w:val="100"/>
          <w:sz w:val="24"/>
          <w:szCs w:val="24"/>
          <w:highlight w:val="none"/>
        </w:rPr>
        <w:t>3.1.1</w:t>
      </w:r>
      <w:r>
        <w:rPr>
          <w:rFonts w:hint="eastAsia" w:cs="宋体"/>
          <w:color w:val="auto"/>
          <w:spacing w:val="-3"/>
          <w:w w:val="100"/>
          <w:sz w:val="24"/>
          <w:szCs w:val="24"/>
          <w:highlight w:val="none"/>
        </w:rPr>
        <w:t>评标委员会可以要求投标人提交第二章</w:t>
      </w:r>
      <w:r>
        <w:rPr>
          <w:rFonts w:hint="eastAsia" w:ascii="宋体" w:hAnsi="宋体" w:eastAsia="宋体" w:cs="宋体"/>
          <w:color w:val="auto"/>
          <w:spacing w:val="-3"/>
          <w:w w:val="100"/>
          <w:sz w:val="24"/>
          <w:szCs w:val="24"/>
          <w:highlight w:val="none"/>
        </w:rPr>
        <w:t>“</w:t>
      </w:r>
      <w:r>
        <w:rPr>
          <w:rFonts w:hint="eastAsia" w:cs="宋体"/>
          <w:color w:val="auto"/>
          <w:spacing w:val="-3"/>
          <w:w w:val="100"/>
          <w:sz w:val="24"/>
          <w:szCs w:val="24"/>
          <w:highlight w:val="none"/>
        </w:rPr>
        <w:t>投标人须知</w:t>
      </w:r>
      <w:r>
        <w:rPr>
          <w:rFonts w:hint="eastAsia" w:ascii="宋体" w:hAnsi="宋体" w:eastAsia="宋体" w:cs="宋体"/>
          <w:color w:val="auto"/>
          <w:spacing w:val="-3"/>
          <w:w w:val="100"/>
          <w:sz w:val="24"/>
          <w:szCs w:val="24"/>
          <w:highlight w:val="none"/>
        </w:rPr>
        <w:t>”</w:t>
      </w:r>
      <w:r>
        <w:rPr>
          <w:rFonts w:hint="eastAsia" w:cs="宋体"/>
          <w:color w:val="auto"/>
          <w:spacing w:val="-3"/>
          <w:w w:val="100"/>
          <w:sz w:val="24"/>
          <w:szCs w:val="24"/>
          <w:highlight w:val="none"/>
        </w:rPr>
        <w:t>规定的有关证明和证件的原件，以便</w:t>
      </w:r>
      <w:r>
        <w:rPr>
          <w:rFonts w:hint="eastAsia" w:cs="宋体"/>
          <w:color w:val="auto"/>
          <w:spacing w:val="-3"/>
          <w:sz w:val="24"/>
          <w:szCs w:val="24"/>
          <w:highlight w:val="none"/>
        </w:rPr>
        <w:t>核验。评标委员会依据本章第</w:t>
      </w:r>
      <w:r>
        <w:rPr>
          <w:rFonts w:hint="eastAsia" w:ascii="宋体" w:hAnsi="宋体" w:eastAsia="宋体" w:cs="宋体"/>
          <w:color w:val="auto"/>
          <w:spacing w:val="-3"/>
          <w:sz w:val="24"/>
          <w:szCs w:val="24"/>
          <w:highlight w:val="none"/>
        </w:rPr>
        <w:t>2.1</w:t>
      </w:r>
      <w:r>
        <w:rPr>
          <w:rFonts w:hint="eastAsia" w:cs="宋体"/>
          <w:color w:val="auto"/>
          <w:spacing w:val="-3"/>
          <w:sz w:val="24"/>
          <w:szCs w:val="24"/>
          <w:highlight w:val="none"/>
        </w:rPr>
        <w:t>款规定的标准对投标文件进行初步评审。有一项不符合评审标准的，评标委员会应当否决其投标。</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3.1.2</w:t>
      </w:r>
      <w:r>
        <w:rPr>
          <w:rFonts w:hint="eastAsia" w:cs="宋体"/>
          <w:color w:val="auto"/>
          <w:spacing w:val="-3"/>
          <w:sz w:val="24"/>
          <w:szCs w:val="24"/>
          <w:highlight w:val="none"/>
        </w:rPr>
        <w:t>投标人有以下情形之一的，评标委员会应当否决其投标：</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w w:val="100"/>
          <w:sz w:val="24"/>
          <w:szCs w:val="24"/>
          <w:highlight w:val="none"/>
        </w:rPr>
        <w:t>(1)</w:t>
      </w:r>
      <w:r>
        <w:rPr>
          <w:rFonts w:hint="eastAsia" w:cs="宋体"/>
          <w:color w:val="auto"/>
          <w:spacing w:val="-3"/>
          <w:w w:val="100"/>
          <w:sz w:val="24"/>
          <w:szCs w:val="24"/>
          <w:highlight w:val="none"/>
        </w:rPr>
        <w:t>投标文件没有对招标文件的实质性要求和条件作出响应，或者对招标文件的偏差超出招标文</w:t>
      </w:r>
      <w:r>
        <w:rPr>
          <w:rFonts w:hint="eastAsia" w:cs="宋体"/>
          <w:color w:val="auto"/>
          <w:spacing w:val="-3"/>
          <w:sz w:val="24"/>
          <w:szCs w:val="24"/>
          <w:highlight w:val="none"/>
        </w:rPr>
        <w:t>件规定的偏差范围或最高项数；</w:t>
      </w:r>
    </w:p>
    <w:p>
      <w:pPr>
        <w:pStyle w:val="11"/>
        <w:spacing w:before="47" w:line="360" w:lineRule="auto"/>
        <w:ind w:left="538" w:right="3919"/>
        <w:jc w:val="left"/>
        <w:rPr>
          <w:rFonts w:hint="eastAsia"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rPr>
        <w:t>有串通投标、弄虚作假、行贿等违法行为。</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3.1.3</w:t>
      </w:r>
      <w:r>
        <w:rPr>
          <w:rFonts w:hint="eastAsia" w:cs="宋体"/>
          <w:color w:val="auto"/>
          <w:spacing w:val="-3"/>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cs="宋体"/>
          <w:color w:val="auto"/>
          <w:spacing w:val="-3"/>
          <w:sz w:val="24"/>
          <w:szCs w:val="24"/>
          <w:highlight w:val="none"/>
          <w:lang w:val="en-US" w:eastAsia="zh-CN"/>
        </w:rPr>
        <w:t>(1)</w:t>
      </w:r>
      <w:r>
        <w:rPr>
          <w:rFonts w:hint="eastAsia" w:cs="宋体"/>
          <w:color w:val="auto"/>
          <w:spacing w:val="-3"/>
          <w:sz w:val="24"/>
          <w:szCs w:val="24"/>
          <w:highlight w:val="none"/>
        </w:rPr>
        <w:t>投标文件中的大写金额与小写金额不一致的，以大写金额为准；</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w w:val="100"/>
          <w:sz w:val="24"/>
          <w:szCs w:val="24"/>
          <w:highlight w:val="none"/>
        </w:rPr>
        <w:t>(2)</w:t>
      </w:r>
      <w:r>
        <w:rPr>
          <w:rFonts w:hint="eastAsia" w:cs="宋体"/>
          <w:color w:val="auto"/>
          <w:spacing w:val="-3"/>
          <w:w w:val="100"/>
          <w:sz w:val="24"/>
          <w:szCs w:val="24"/>
          <w:highlight w:val="none"/>
        </w:rPr>
        <w:t>总价金额与单价金额不一致的，以单价金额为准，但单价金额小数点有明显错误的除外。</w:t>
      </w:r>
    </w:p>
    <w:p>
      <w:pPr>
        <w:pStyle w:val="5"/>
        <w:spacing w:before="24" w:line="360" w:lineRule="auto"/>
        <w:ind w:left="255" w:right="3919"/>
        <w:jc w:val="left"/>
        <w:outlineLvl w:val="2"/>
        <w:rPr>
          <w:rFonts w:hint="eastAsia" w:cs="宋体"/>
          <w:b w:val="0"/>
          <w:bCs w:val="0"/>
          <w:color w:val="auto"/>
          <w:sz w:val="24"/>
          <w:szCs w:val="24"/>
          <w:highlight w:val="none"/>
        </w:rPr>
      </w:pPr>
      <w:bookmarkStart w:id="101" w:name="3.2 详细评审"/>
      <w:bookmarkEnd w:id="101"/>
      <w:bookmarkStart w:id="102" w:name="_Toc14675"/>
      <w:r>
        <w:rPr>
          <w:rFonts w:hint="eastAsia" w:ascii="宋体" w:hAnsi="宋体" w:eastAsia="宋体" w:cs="宋体"/>
          <w:color w:val="auto"/>
          <w:sz w:val="24"/>
          <w:szCs w:val="24"/>
          <w:highlight w:val="none"/>
        </w:rPr>
        <w:t>3.2</w:t>
      </w:r>
      <w:r>
        <w:rPr>
          <w:rFonts w:hint="eastAsia" w:cs="宋体"/>
          <w:color w:val="auto"/>
          <w:sz w:val="24"/>
          <w:szCs w:val="24"/>
          <w:highlight w:val="none"/>
        </w:rPr>
        <w:t>详细评审</w:t>
      </w:r>
      <w:bookmarkEnd w:id="102"/>
    </w:p>
    <w:p>
      <w:pPr>
        <w:pStyle w:val="11"/>
        <w:spacing w:before="117" w:line="360" w:lineRule="auto"/>
        <w:ind w:left="538" w:right="103"/>
        <w:jc w:val="left"/>
        <w:rPr>
          <w:rFonts w:hint="eastAsia" w:cs="宋体"/>
          <w:color w:val="auto"/>
          <w:sz w:val="24"/>
          <w:szCs w:val="24"/>
          <w:highlight w:val="none"/>
        </w:rPr>
      </w:pPr>
      <w:r>
        <w:rPr>
          <w:rFonts w:hint="eastAsia" w:ascii="宋体" w:hAnsi="宋体" w:eastAsia="宋体" w:cs="宋体"/>
          <w:color w:val="auto"/>
          <w:sz w:val="24"/>
          <w:szCs w:val="24"/>
          <w:highlight w:val="none"/>
        </w:rPr>
        <w:t>3.2.1</w:t>
      </w:r>
      <w:r>
        <w:rPr>
          <w:rFonts w:hint="eastAsia" w:cs="宋体"/>
          <w:color w:val="auto"/>
          <w:sz w:val="24"/>
          <w:szCs w:val="24"/>
          <w:highlight w:val="none"/>
        </w:rPr>
        <w:t>评标委员会按本章第</w:t>
      </w:r>
      <w:r>
        <w:rPr>
          <w:rFonts w:hint="eastAsia" w:ascii="宋体" w:hAnsi="宋体" w:eastAsia="宋体" w:cs="宋体"/>
          <w:color w:val="auto"/>
          <w:sz w:val="24"/>
          <w:szCs w:val="24"/>
          <w:highlight w:val="none"/>
        </w:rPr>
        <w:t>2.2</w:t>
      </w:r>
      <w:r>
        <w:rPr>
          <w:rFonts w:hint="eastAsia" w:cs="宋体"/>
          <w:color w:val="auto"/>
          <w:sz w:val="24"/>
          <w:szCs w:val="24"/>
          <w:highlight w:val="none"/>
        </w:rPr>
        <w:t>款规定的量化因素和分值进行打分，并计算出综合评估得分。</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cs="宋体"/>
          <w:color w:val="auto"/>
          <w:spacing w:val="-3"/>
          <w:sz w:val="24"/>
          <w:szCs w:val="24"/>
          <w:highlight w:val="none"/>
          <w:lang w:val="en-US" w:eastAsia="zh-CN"/>
        </w:rPr>
        <w:t>(1)</w:t>
      </w:r>
      <w:r>
        <w:rPr>
          <w:rFonts w:hint="eastAsia" w:cs="宋体"/>
          <w:color w:val="auto"/>
          <w:spacing w:val="-3"/>
          <w:sz w:val="24"/>
          <w:szCs w:val="24"/>
          <w:highlight w:val="none"/>
        </w:rPr>
        <w:t>按本章第</w:t>
      </w:r>
      <w:r>
        <w:rPr>
          <w:rFonts w:hint="eastAsia" w:ascii="宋体" w:hAnsi="宋体" w:eastAsia="宋体" w:cs="宋体"/>
          <w:color w:val="auto"/>
          <w:spacing w:val="-3"/>
          <w:sz w:val="24"/>
          <w:szCs w:val="24"/>
          <w:highlight w:val="none"/>
        </w:rPr>
        <w:t>2.2.4(1)</w:t>
      </w:r>
      <w:r>
        <w:rPr>
          <w:rFonts w:hint="eastAsia" w:cs="宋体"/>
          <w:color w:val="auto"/>
          <w:spacing w:val="-3"/>
          <w:sz w:val="24"/>
          <w:szCs w:val="24"/>
          <w:highlight w:val="none"/>
        </w:rPr>
        <w:t>目规定的评审因素和分值对资信业绩部分计算出得分</w:t>
      </w:r>
      <w:r>
        <w:rPr>
          <w:rFonts w:hint="eastAsia" w:ascii="宋体" w:hAnsi="宋体" w:eastAsia="宋体" w:cs="宋体"/>
          <w:color w:val="auto"/>
          <w:spacing w:val="-3"/>
          <w:sz w:val="24"/>
          <w:szCs w:val="24"/>
          <w:highlight w:val="none"/>
        </w:rPr>
        <w:t>A</w:t>
      </w:r>
      <w:r>
        <w:rPr>
          <w:rFonts w:hint="eastAsia" w:cs="宋体"/>
          <w:color w:val="auto"/>
          <w:spacing w:val="-3"/>
          <w:sz w:val="24"/>
          <w:szCs w:val="24"/>
          <w:highlight w:val="none"/>
        </w:rPr>
        <w:t>；</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(2)</w:t>
      </w:r>
      <w:r>
        <w:rPr>
          <w:rFonts w:hint="eastAsia" w:cs="宋体"/>
          <w:color w:val="auto"/>
          <w:spacing w:val="-3"/>
          <w:sz w:val="24"/>
          <w:szCs w:val="24"/>
          <w:highlight w:val="none"/>
        </w:rPr>
        <w:t>按本章第</w:t>
      </w:r>
      <w:r>
        <w:rPr>
          <w:rFonts w:hint="eastAsia" w:ascii="宋体" w:hAnsi="宋体" w:eastAsia="宋体" w:cs="宋体"/>
          <w:color w:val="auto"/>
          <w:spacing w:val="-3"/>
          <w:sz w:val="24"/>
          <w:szCs w:val="24"/>
          <w:highlight w:val="none"/>
        </w:rPr>
        <w:t>2.2.4(2)</w:t>
      </w:r>
      <w:r>
        <w:rPr>
          <w:rFonts w:hint="eastAsia" w:cs="宋体"/>
          <w:color w:val="auto"/>
          <w:spacing w:val="-3"/>
          <w:sz w:val="24"/>
          <w:szCs w:val="24"/>
          <w:highlight w:val="none"/>
        </w:rPr>
        <w:t>目规定的评审因素和分值对设计方案部分计算出得分</w:t>
      </w:r>
      <w:r>
        <w:rPr>
          <w:rFonts w:hint="eastAsia" w:ascii="宋体" w:hAnsi="宋体" w:eastAsia="宋体" w:cs="宋体"/>
          <w:color w:val="auto"/>
          <w:spacing w:val="-3"/>
          <w:sz w:val="24"/>
          <w:szCs w:val="24"/>
          <w:highlight w:val="none"/>
        </w:rPr>
        <w:t>B</w:t>
      </w:r>
      <w:r>
        <w:rPr>
          <w:rFonts w:hint="eastAsia" w:cs="宋体"/>
          <w:color w:val="auto"/>
          <w:spacing w:val="-3"/>
          <w:sz w:val="24"/>
          <w:szCs w:val="24"/>
          <w:highlight w:val="none"/>
        </w:rPr>
        <w:t>；</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w:t>
      </w:r>
      <w:r>
        <w:rPr>
          <w:rFonts w:hint="eastAsia" w:cs="宋体"/>
          <w:color w:val="auto"/>
          <w:spacing w:val="-3"/>
          <w:sz w:val="24"/>
          <w:szCs w:val="24"/>
          <w:highlight w:val="none"/>
        </w:rPr>
        <w:t>按本章第</w:t>
      </w:r>
      <w:r>
        <w:rPr>
          <w:rFonts w:hint="eastAsia" w:ascii="宋体" w:hAnsi="宋体" w:eastAsia="宋体" w:cs="宋体"/>
          <w:color w:val="auto"/>
          <w:spacing w:val="-3"/>
          <w:sz w:val="24"/>
          <w:szCs w:val="24"/>
          <w:highlight w:val="none"/>
        </w:rPr>
        <w:t>2.2.4(3)</w:t>
      </w:r>
      <w:r>
        <w:rPr>
          <w:rFonts w:hint="eastAsia" w:cs="宋体"/>
          <w:color w:val="auto"/>
          <w:spacing w:val="-3"/>
          <w:sz w:val="24"/>
          <w:szCs w:val="24"/>
          <w:highlight w:val="none"/>
        </w:rPr>
        <w:t>目规定的评审因素和分值对投标报价计算出得分</w:t>
      </w:r>
      <w:r>
        <w:rPr>
          <w:rFonts w:hint="eastAsia" w:ascii="宋体" w:hAnsi="宋体" w:eastAsia="宋体" w:cs="宋体"/>
          <w:color w:val="auto"/>
          <w:spacing w:val="-3"/>
          <w:sz w:val="24"/>
          <w:szCs w:val="24"/>
          <w:highlight w:val="none"/>
        </w:rPr>
        <w:t>C</w:t>
      </w:r>
      <w:r>
        <w:rPr>
          <w:rFonts w:hint="eastAsia" w:cs="宋体"/>
          <w:color w:val="auto"/>
          <w:spacing w:val="-3"/>
          <w:sz w:val="24"/>
          <w:szCs w:val="24"/>
          <w:highlight w:val="none"/>
        </w:rPr>
        <w:t>。</w:t>
      </w:r>
    </w:p>
    <w:p>
      <w:pPr>
        <w:pStyle w:val="11"/>
        <w:spacing w:before="22" w:line="360" w:lineRule="auto"/>
        <w:ind w:right="103" w:firstLine="420"/>
        <w:jc w:val="both"/>
        <w:rPr>
          <w:rFonts w:hint="eastAsia" w:cs="宋体"/>
          <w:color w:val="auto"/>
          <w:sz w:val="24"/>
          <w:szCs w:val="24"/>
          <w:highlight w:val="none"/>
        </w:rPr>
      </w:pPr>
      <w:r>
        <w:rPr>
          <w:rFonts w:hint="eastAsia" w:ascii="宋体" w:hAnsi="宋体" w:eastAsia="宋体" w:cs="宋体"/>
          <w:color w:val="auto"/>
          <w:sz w:val="24"/>
          <w:szCs w:val="24"/>
          <w:highlight w:val="none"/>
        </w:rPr>
        <w:t>3.2.2</w:t>
      </w:r>
      <w:r>
        <w:rPr>
          <w:rFonts w:hint="eastAsia" w:cs="宋体"/>
          <w:color w:val="auto"/>
          <w:sz w:val="24"/>
          <w:szCs w:val="24"/>
          <w:highlight w:val="none"/>
        </w:rPr>
        <w:t>其中</w:t>
      </w:r>
      <w:r>
        <w:rPr>
          <w:rFonts w:hint="eastAsia" w:ascii="宋体" w:hAnsi="宋体" w:eastAsia="宋体" w:cs="宋体"/>
          <w:color w:val="auto"/>
          <w:sz w:val="24"/>
          <w:szCs w:val="24"/>
          <w:highlight w:val="none"/>
        </w:rPr>
        <w:t>B</w:t>
      </w:r>
      <w:r>
        <w:rPr>
          <w:rFonts w:hint="eastAsia" w:cs="宋体"/>
          <w:color w:val="auto"/>
          <w:spacing w:val="2"/>
          <w:sz w:val="24"/>
          <w:szCs w:val="24"/>
          <w:highlight w:val="none"/>
        </w:rPr>
        <w:t>为各评委去掉一个最高分和一个最低分后的算术平均值。评分分值计算保留小数</w:t>
      </w:r>
      <w:r>
        <w:rPr>
          <w:rFonts w:hint="eastAsia" w:cs="宋体"/>
          <w:color w:val="auto"/>
          <w:sz w:val="24"/>
          <w:szCs w:val="24"/>
          <w:highlight w:val="none"/>
        </w:rPr>
        <w:t>点后两位，小数点后第三位</w:t>
      </w:r>
      <w:r>
        <w:rPr>
          <w:rFonts w:hint="eastAsia" w:ascii="宋体" w:hAnsi="宋体" w:eastAsia="宋体" w:cs="宋体"/>
          <w:color w:val="auto"/>
          <w:sz w:val="24"/>
          <w:szCs w:val="24"/>
          <w:highlight w:val="none"/>
        </w:rPr>
        <w:t>“</w:t>
      </w:r>
      <w:r>
        <w:rPr>
          <w:rFonts w:hint="eastAsia" w:cs="宋体"/>
          <w:color w:val="auto"/>
          <w:sz w:val="24"/>
          <w:szCs w:val="24"/>
          <w:highlight w:val="none"/>
        </w:rPr>
        <w:t>四舍五入</w:t>
      </w:r>
      <w:r>
        <w:rPr>
          <w:rFonts w:hint="eastAsia" w:ascii="宋体" w:hAnsi="宋体" w:eastAsia="宋体" w:cs="宋体"/>
          <w:color w:val="auto"/>
          <w:sz w:val="24"/>
          <w:szCs w:val="24"/>
          <w:highlight w:val="none"/>
        </w:rPr>
        <w:t>”</w:t>
      </w:r>
      <w:r>
        <w:rPr>
          <w:rFonts w:hint="eastAsia" w:cs="宋体"/>
          <w:color w:val="auto"/>
          <w:sz w:val="24"/>
          <w:szCs w:val="24"/>
          <w:highlight w:val="none"/>
        </w:rPr>
        <w:t>。</w:t>
      </w:r>
    </w:p>
    <w:p>
      <w:pPr>
        <w:pStyle w:val="11"/>
        <w:spacing w:before="24" w:line="360" w:lineRule="auto"/>
        <w:ind w:left="538" w:right="3919"/>
        <w:jc w:val="left"/>
        <w:rPr>
          <w:rFonts w:hint="eastAsia" w:cs="宋体"/>
          <w:color w:val="auto"/>
          <w:sz w:val="24"/>
          <w:szCs w:val="24"/>
          <w:highlight w:val="none"/>
        </w:rPr>
      </w:pPr>
      <w:r>
        <w:rPr>
          <w:rFonts w:hint="eastAsia" w:ascii="宋体" w:hAnsi="宋体" w:eastAsia="宋体" w:cs="宋体"/>
          <w:color w:val="auto"/>
          <w:sz w:val="24"/>
          <w:szCs w:val="24"/>
          <w:highlight w:val="none"/>
        </w:rPr>
        <w:t>3.2.3</w:t>
      </w:r>
      <w:r>
        <w:rPr>
          <w:rFonts w:hint="eastAsia" w:cs="宋体"/>
          <w:color w:val="auto"/>
          <w:sz w:val="24"/>
          <w:szCs w:val="24"/>
          <w:highlight w:val="none"/>
        </w:rPr>
        <w:t>投标人得分</w:t>
      </w:r>
      <w:r>
        <w:rPr>
          <w:rFonts w:hint="eastAsia" w:ascii="宋体" w:hAnsi="宋体" w:eastAsia="宋体" w:cs="宋体"/>
          <w:color w:val="auto"/>
          <w:sz w:val="24"/>
          <w:szCs w:val="24"/>
          <w:highlight w:val="none"/>
        </w:rPr>
        <w:t>=A+B+C</w:t>
      </w:r>
      <w:r>
        <w:rPr>
          <w:rFonts w:hint="eastAsia" w:cs="宋体"/>
          <w:color w:val="auto"/>
          <w:sz w:val="24"/>
          <w:szCs w:val="24"/>
          <w:highlight w:val="none"/>
        </w:rPr>
        <w:t>。</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3.2.4</w:t>
      </w:r>
      <w:r>
        <w:rPr>
          <w:rFonts w:hint="eastAsia" w:cs="宋体"/>
          <w:color w:val="auto"/>
          <w:spacing w:val="-3"/>
          <w:sz w:val="24"/>
          <w:szCs w:val="24"/>
          <w:highlight w:val="none"/>
        </w:rPr>
        <w:t>评标委员会发现投标人的报价明显低于其他投标报价，使得其投标报价可能低于其个别</w:t>
      </w:r>
      <w:r>
        <w:rPr>
          <w:rFonts w:hint="eastAsia" w:cs="宋体"/>
          <w:color w:val="auto"/>
          <w:spacing w:val="-3"/>
          <w:w w:val="100"/>
          <w:sz w:val="24"/>
          <w:szCs w:val="24"/>
          <w:highlight w:val="none"/>
        </w:rPr>
        <w:t>成本的，应当要求该投标人作出书面说明并提供相应的证明材料。投标人不能合理说明或者不能提</w:t>
      </w:r>
      <w:r>
        <w:rPr>
          <w:rFonts w:hint="eastAsia" w:cs="宋体"/>
          <w:color w:val="auto"/>
          <w:spacing w:val="-3"/>
          <w:sz w:val="24"/>
          <w:szCs w:val="24"/>
          <w:highlight w:val="none"/>
        </w:rPr>
        <w:t>供相应证明材料的，评标委员会应当认定该投标人以低于成本报价竞标，并否决其投标。</w:t>
      </w:r>
    </w:p>
    <w:p>
      <w:pPr>
        <w:pStyle w:val="5"/>
        <w:spacing w:before="40" w:line="360" w:lineRule="auto"/>
        <w:ind w:left="255" w:right="3919"/>
        <w:jc w:val="left"/>
        <w:outlineLvl w:val="2"/>
        <w:rPr>
          <w:rFonts w:hint="eastAsia" w:cs="宋体"/>
          <w:b w:val="0"/>
          <w:bCs w:val="0"/>
          <w:color w:val="auto"/>
          <w:sz w:val="24"/>
          <w:szCs w:val="24"/>
          <w:highlight w:val="none"/>
        </w:rPr>
      </w:pPr>
      <w:bookmarkStart w:id="103" w:name="3.3 投标文件的澄清"/>
      <w:bookmarkEnd w:id="103"/>
      <w:bookmarkStart w:id="104" w:name="_Toc1076"/>
      <w:r>
        <w:rPr>
          <w:rFonts w:hint="eastAsia" w:ascii="宋体" w:hAnsi="宋体" w:eastAsia="宋体" w:cs="宋体"/>
          <w:color w:val="auto"/>
          <w:sz w:val="24"/>
          <w:szCs w:val="24"/>
          <w:highlight w:val="none"/>
        </w:rPr>
        <w:t>3.3</w:t>
      </w:r>
      <w:r>
        <w:rPr>
          <w:rFonts w:hint="eastAsia" w:cs="宋体"/>
          <w:color w:val="auto"/>
          <w:sz w:val="24"/>
          <w:szCs w:val="24"/>
          <w:highlight w:val="none"/>
        </w:rPr>
        <w:t>投标文件的澄清</w:t>
      </w:r>
      <w:bookmarkEnd w:id="104"/>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3.3.1</w:t>
      </w:r>
      <w:r>
        <w:rPr>
          <w:rFonts w:hint="eastAsia" w:cs="宋体"/>
          <w:color w:val="auto"/>
          <w:spacing w:val="-3"/>
          <w:sz w:val="24"/>
          <w:szCs w:val="24"/>
          <w:highlight w:val="none"/>
        </w:rPr>
        <w:t>在评标过程中，评标委员会可以书面形式要求投标人对投标文件中含义不明确、对同类</w:t>
      </w:r>
      <w:r>
        <w:rPr>
          <w:rFonts w:hint="eastAsia" w:cs="宋体"/>
          <w:color w:val="auto"/>
          <w:spacing w:val="-3"/>
          <w:w w:val="100"/>
          <w:sz w:val="24"/>
          <w:szCs w:val="24"/>
          <w:highlight w:val="none"/>
        </w:rPr>
        <w:t>问题表述不一致或者有明显文字和计算错误的内容作必要的澄清、说明或补正。澄清、说明或补正</w:t>
      </w:r>
      <w:r>
        <w:rPr>
          <w:rFonts w:hint="eastAsia" w:cs="宋体"/>
          <w:color w:val="auto"/>
          <w:spacing w:val="-3"/>
          <w:sz w:val="24"/>
          <w:szCs w:val="24"/>
          <w:highlight w:val="none"/>
        </w:rPr>
        <w:t>应以书面方式进行。评标委员会不接受投标人主动提出的澄清、说明或补正。</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3.3.2</w:t>
      </w:r>
      <w:r>
        <w:rPr>
          <w:rFonts w:hint="eastAsia" w:cs="宋体"/>
          <w:color w:val="auto"/>
          <w:spacing w:val="-3"/>
          <w:sz w:val="24"/>
          <w:szCs w:val="24"/>
          <w:highlight w:val="none"/>
        </w:rPr>
        <w:t>澄清、说明或补正不得超出投标文件的范围且不得改变投标文件的实质性内容，并构成</w:t>
      </w:r>
      <w:bookmarkStart w:id="105" w:name="第四章 合同条款及格式"/>
      <w:bookmarkEnd w:id="105"/>
      <w:r>
        <w:rPr>
          <w:rFonts w:hint="eastAsia" w:cs="宋体"/>
          <w:color w:val="auto"/>
          <w:spacing w:val="-3"/>
          <w:sz w:val="24"/>
          <w:szCs w:val="24"/>
          <w:highlight w:val="none"/>
        </w:rPr>
        <w:t>投标文件的组成部分。</w:t>
      </w:r>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sz w:val="24"/>
          <w:szCs w:val="24"/>
          <w:highlight w:val="none"/>
        </w:rPr>
        <w:t>3.3.3</w:t>
      </w:r>
      <w:r>
        <w:rPr>
          <w:rFonts w:hint="eastAsia" w:cs="宋体"/>
          <w:color w:val="auto"/>
          <w:spacing w:val="-3"/>
          <w:sz w:val="24"/>
          <w:szCs w:val="24"/>
          <w:highlight w:val="none"/>
        </w:rPr>
        <w:t>评标委员会对投标人提交的澄清、说明或补正有疑问的，可以要求投标人进一步澄清、说明或补正，直至满足评标委员会的要求。</w:t>
      </w:r>
    </w:p>
    <w:p>
      <w:pPr>
        <w:pStyle w:val="5"/>
        <w:spacing w:before="47" w:line="360" w:lineRule="auto"/>
        <w:ind w:left="255" w:right="3919"/>
        <w:jc w:val="left"/>
        <w:outlineLvl w:val="2"/>
        <w:rPr>
          <w:rFonts w:hint="eastAsia" w:cs="宋体"/>
          <w:b w:val="0"/>
          <w:bCs w:val="0"/>
          <w:color w:val="auto"/>
          <w:sz w:val="24"/>
          <w:szCs w:val="24"/>
          <w:highlight w:val="none"/>
        </w:rPr>
      </w:pPr>
      <w:bookmarkStart w:id="106" w:name="3.4 评标结果"/>
      <w:bookmarkEnd w:id="106"/>
      <w:bookmarkStart w:id="107" w:name="_Toc31413"/>
      <w:r>
        <w:rPr>
          <w:rFonts w:hint="eastAsia" w:ascii="宋体" w:hAnsi="宋体" w:eastAsia="宋体" w:cs="宋体"/>
          <w:color w:val="auto"/>
          <w:sz w:val="24"/>
          <w:szCs w:val="24"/>
          <w:highlight w:val="none"/>
        </w:rPr>
        <w:t>3.4</w:t>
      </w:r>
      <w:r>
        <w:rPr>
          <w:rFonts w:hint="eastAsia" w:cs="宋体"/>
          <w:color w:val="auto"/>
          <w:sz w:val="24"/>
          <w:szCs w:val="24"/>
          <w:highlight w:val="none"/>
        </w:rPr>
        <w:t>评标结果</w:t>
      </w:r>
      <w:bookmarkEnd w:id="107"/>
    </w:p>
    <w:p>
      <w:pPr>
        <w:pStyle w:val="11"/>
        <w:spacing w:before="0" w:line="360" w:lineRule="auto"/>
        <w:ind w:left="0" w:right="0" w:firstLine="468" w:firstLineChars="200"/>
        <w:jc w:val="both"/>
        <w:rPr>
          <w:rFonts w:hint="eastAsia" w:cs="宋体"/>
          <w:color w:val="auto"/>
          <w:spacing w:val="-3"/>
          <w:sz w:val="24"/>
          <w:szCs w:val="24"/>
          <w:highlight w:val="none"/>
        </w:rPr>
      </w:pPr>
      <w:r>
        <w:rPr>
          <w:rFonts w:hint="eastAsia" w:ascii="宋体" w:hAnsi="宋体" w:eastAsia="宋体" w:cs="宋体"/>
          <w:color w:val="auto"/>
          <w:spacing w:val="-3"/>
          <w:w w:val="100"/>
          <w:sz w:val="24"/>
          <w:szCs w:val="24"/>
          <w:highlight w:val="none"/>
        </w:rPr>
        <w:t>3.4.1</w:t>
      </w:r>
      <w:r>
        <w:rPr>
          <w:rFonts w:hint="eastAsia" w:cs="宋体"/>
          <w:color w:val="auto"/>
          <w:spacing w:val="-3"/>
          <w:w w:val="100"/>
          <w:sz w:val="24"/>
          <w:szCs w:val="24"/>
          <w:highlight w:val="none"/>
        </w:rPr>
        <w:t>除第二章</w:t>
      </w:r>
      <w:r>
        <w:rPr>
          <w:rFonts w:hint="eastAsia" w:ascii="宋体" w:hAnsi="宋体" w:eastAsia="宋体" w:cs="宋体"/>
          <w:color w:val="auto"/>
          <w:spacing w:val="-3"/>
          <w:w w:val="100"/>
          <w:sz w:val="24"/>
          <w:szCs w:val="24"/>
          <w:highlight w:val="none"/>
        </w:rPr>
        <w:t>“</w:t>
      </w:r>
      <w:r>
        <w:rPr>
          <w:rFonts w:hint="eastAsia" w:cs="宋体"/>
          <w:color w:val="auto"/>
          <w:spacing w:val="-3"/>
          <w:w w:val="100"/>
          <w:sz w:val="24"/>
          <w:szCs w:val="24"/>
          <w:highlight w:val="none"/>
        </w:rPr>
        <w:t>投标人须知</w:t>
      </w:r>
      <w:r>
        <w:rPr>
          <w:rFonts w:hint="eastAsia" w:ascii="宋体" w:hAnsi="宋体" w:eastAsia="宋体" w:cs="宋体"/>
          <w:color w:val="auto"/>
          <w:spacing w:val="-3"/>
          <w:w w:val="100"/>
          <w:sz w:val="24"/>
          <w:szCs w:val="24"/>
          <w:highlight w:val="none"/>
        </w:rPr>
        <w:t>”</w:t>
      </w:r>
      <w:r>
        <w:rPr>
          <w:rFonts w:hint="eastAsia" w:cs="宋体"/>
          <w:color w:val="auto"/>
          <w:spacing w:val="-3"/>
          <w:w w:val="100"/>
          <w:sz w:val="24"/>
          <w:szCs w:val="24"/>
          <w:highlight w:val="none"/>
        </w:rPr>
        <w:t>前附表授权直接确定中标人外，评标委员会按照得分由高到低的顺</w:t>
      </w:r>
      <w:r>
        <w:rPr>
          <w:rFonts w:hint="eastAsia" w:cs="宋体"/>
          <w:color w:val="auto"/>
          <w:spacing w:val="-3"/>
          <w:sz w:val="24"/>
          <w:szCs w:val="24"/>
          <w:highlight w:val="none"/>
        </w:rPr>
        <w:t>序推荐中标候选人，并标明排序。</w:t>
      </w:r>
    </w:p>
    <w:p>
      <w:pPr>
        <w:pStyle w:val="11"/>
        <w:spacing w:before="51" w:line="360" w:lineRule="auto"/>
        <w:ind w:left="538" w:right="103"/>
        <w:jc w:val="left"/>
        <w:rPr>
          <w:rFonts w:hint="eastAsia" w:cs="宋体"/>
          <w:color w:val="auto"/>
          <w:sz w:val="24"/>
          <w:szCs w:val="24"/>
          <w:highlight w:val="none"/>
        </w:rPr>
      </w:pPr>
      <w:r>
        <w:rPr>
          <w:rFonts w:hint="eastAsia" w:ascii="宋体" w:hAnsi="宋体" w:eastAsia="宋体" w:cs="宋体"/>
          <w:color w:val="auto"/>
          <w:sz w:val="24"/>
          <w:szCs w:val="24"/>
          <w:highlight w:val="none"/>
        </w:rPr>
        <w:t>3.4.2</w:t>
      </w:r>
      <w:r>
        <w:rPr>
          <w:rFonts w:hint="eastAsia" w:cs="宋体"/>
          <w:color w:val="auto"/>
          <w:sz w:val="24"/>
          <w:szCs w:val="24"/>
          <w:highlight w:val="none"/>
        </w:rPr>
        <w:t>评标委员会完成评标后，应当向招标人提交书面评标报告和中标候选人名单。</w:t>
      </w:r>
    </w:p>
    <w:p>
      <w:pPr>
        <w:rPr>
          <w:color w:val="auto"/>
          <w:highlight w:val="none"/>
        </w:rPr>
      </w:pPr>
      <w:r>
        <w:rPr>
          <w:color w:val="auto"/>
          <w:highlight w:val="none"/>
        </w:rPr>
        <w:br w:type="page"/>
      </w:r>
    </w:p>
    <w:p>
      <w:pPr>
        <w:pStyle w:val="3"/>
        <w:spacing w:line="360" w:lineRule="auto"/>
        <w:ind w:left="2358" w:right="2358"/>
        <w:jc w:val="center"/>
        <w:outlineLvl w:val="0"/>
        <w:rPr>
          <w:color w:val="auto"/>
          <w:highlight w:val="none"/>
        </w:rPr>
      </w:pPr>
      <w:bookmarkStart w:id="108" w:name="_Toc22706"/>
      <w:r>
        <w:rPr>
          <w:color w:val="auto"/>
          <w:highlight w:val="none"/>
        </w:rPr>
        <w:t>第四章合同条款及格式</w:t>
      </w:r>
      <w:bookmarkEnd w:id="108"/>
    </w:p>
    <w:p>
      <w:pPr>
        <w:jc w:val="center"/>
        <w:rPr>
          <w:color w:val="auto"/>
          <w:highlight w:val="none"/>
        </w:rPr>
      </w:pPr>
      <w:r>
        <w:rPr>
          <w:rFonts w:hint="eastAsia"/>
          <w:color w:val="auto"/>
          <w:highlight w:val="none"/>
        </w:rPr>
        <w:t>注：本次发出的合同版本仅供参考，最终以双方签定的为准。</w:t>
      </w:r>
    </w:p>
    <w:p>
      <w:pPr>
        <w:spacing w:before="0" w:line="360" w:lineRule="auto"/>
        <w:rPr>
          <w:rFonts w:ascii="黑体" w:hAnsi="黑体" w:eastAsia="黑体" w:cs="黑体"/>
          <w:b/>
          <w:bCs/>
          <w:color w:val="auto"/>
          <w:sz w:val="36"/>
          <w:szCs w:val="36"/>
          <w:highlight w:val="none"/>
        </w:rPr>
      </w:pPr>
    </w:p>
    <w:p>
      <w:pPr>
        <w:spacing w:before="0"/>
        <w:ind w:left="0" w:right="96" w:firstLine="0"/>
        <w:jc w:val="center"/>
        <w:rPr>
          <w:color w:val="auto"/>
          <w:highlight w:val="none"/>
        </w:rPr>
      </w:pPr>
      <w:r>
        <w:rPr>
          <w:color w:val="auto"/>
          <w:highlight w:val="none"/>
        </w:rPr>
        <w:br w:type="page"/>
      </w:r>
    </w:p>
    <w:p>
      <w:pPr>
        <w:keepNext w:val="0"/>
        <w:keepLines w:val="0"/>
        <w:widowControl/>
        <w:suppressLineNumbers w:val="0"/>
        <w:jc w:val="both"/>
        <w:rPr>
          <w:rFonts w:hint="eastAsia" w:ascii="宋体" w:hAnsi="宋体" w:eastAsia="宋体" w:cs="宋体"/>
          <w:snapToGrid w:val="0"/>
          <w:color w:val="auto"/>
          <w:kern w:val="0"/>
          <w:sz w:val="72"/>
          <w:szCs w:val="72"/>
          <w:highlight w:val="none"/>
          <w:lang w:val="en-US" w:eastAsia="zh-CN" w:bidi="ar"/>
        </w:rPr>
      </w:pPr>
    </w:p>
    <w:p>
      <w:pPr>
        <w:keepNext w:val="0"/>
        <w:keepLines w:val="0"/>
        <w:widowControl/>
        <w:suppressLineNumbers w:val="0"/>
        <w:jc w:val="center"/>
        <w:rPr>
          <w:color w:val="auto"/>
          <w:highlight w:val="none"/>
        </w:rPr>
      </w:pPr>
      <w:r>
        <w:rPr>
          <w:rFonts w:hint="eastAsia" w:ascii="宋体" w:hAnsi="宋体" w:eastAsia="宋体" w:cs="宋体"/>
          <w:snapToGrid w:val="0"/>
          <w:color w:val="auto"/>
          <w:kern w:val="0"/>
          <w:sz w:val="72"/>
          <w:szCs w:val="72"/>
          <w:highlight w:val="none"/>
          <w:lang w:val="en-US" w:eastAsia="zh-CN" w:bidi="ar"/>
        </w:rPr>
        <w:t>建设工程设计合同</w:t>
      </w: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p>
    <w:p>
      <w:pPr>
        <w:keepNext w:val="0"/>
        <w:keepLines w:val="0"/>
        <w:widowControl/>
        <w:suppressLineNumbers w:val="0"/>
        <w:jc w:val="left"/>
        <w:rPr>
          <w:rFonts w:hint="eastAsia" w:ascii="宋体" w:hAnsi="宋体" w:eastAsia="宋体" w:cs="宋体"/>
          <w:snapToGrid w:val="0"/>
          <w:color w:val="auto"/>
          <w:kern w:val="0"/>
          <w:sz w:val="28"/>
          <w:szCs w:val="28"/>
          <w:highlight w:val="none"/>
          <w:lang w:val="en-US" w:eastAsia="zh-CN" w:bidi="ar"/>
        </w:rPr>
      </w:pPr>
    </w:p>
    <w:p>
      <w:pPr>
        <w:tabs>
          <w:tab w:val="left" w:pos="580"/>
          <w:tab w:val="left" w:pos="1063"/>
          <w:tab w:val="left" w:pos="1545"/>
          <w:tab w:val="left" w:pos="7146"/>
        </w:tabs>
        <w:spacing w:before="0" w:line="360" w:lineRule="auto"/>
        <w:ind w:right="0"/>
        <w:jc w:val="left"/>
        <w:rPr>
          <w:rFonts w:ascii="宋体" w:hAnsi="宋体" w:eastAsia="宋体" w:cs="宋体"/>
          <w:b/>
          <w:bCs/>
          <w:color w:val="auto"/>
          <w:w w:val="95"/>
          <w:sz w:val="24"/>
          <w:szCs w:val="24"/>
          <w:highlight w:val="none"/>
        </w:rPr>
      </w:pPr>
    </w:p>
    <w:p>
      <w:pPr>
        <w:tabs>
          <w:tab w:val="left" w:pos="580"/>
          <w:tab w:val="left" w:pos="1063"/>
          <w:tab w:val="left" w:pos="1545"/>
          <w:tab w:val="left" w:pos="7146"/>
        </w:tabs>
        <w:spacing w:before="0" w:line="360" w:lineRule="auto"/>
        <w:ind w:right="0" w:firstLine="229" w:firstLineChars="100"/>
        <w:jc w:val="left"/>
        <w:rPr>
          <w:rFonts w:ascii="宋体" w:hAnsi="宋体" w:eastAsia="宋体" w:cs="宋体"/>
          <w:b/>
          <w:bCs/>
          <w:color w:val="auto"/>
          <w:w w:val="95"/>
          <w:sz w:val="24"/>
          <w:szCs w:val="24"/>
          <w:highlight w:val="none"/>
        </w:rPr>
      </w:pPr>
    </w:p>
    <w:p>
      <w:pPr>
        <w:tabs>
          <w:tab w:val="left" w:pos="580"/>
          <w:tab w:val="left" w:pos="1063"/>
          <w:tab w:val="left" w:pos="1545"/>
          <w:tab w:val="left" w:pos="7146"/>
        </w:tabs>
        <w:spacing w:before="0" w:line="360" w:lineRule="auto"/>
        <w:ind w:right="0" w:firstLine="229" w:firstLineChars="100"/>
        <w:jc w:val="left"/>
        <w:rPr>
          <w:rFonts w:hint="eastAsia" w:ascii="宋体" w:hAnsi="宋体" w:eastAsia="宋体" w:cs="宋体"/>
          <w:b/>
          <w:bCs/>
          <w:color w:val="auto"/>
          <w:w w:val="95"/>
          <w:sz w:val="28"/>
          <w:szCs w:val="28"/>
          <w:highlight w:val="none"/>
          <w:lang w:val="en-US" w:eastAsia="zh-CN"/>
        </w:rPr>
      </w:pPr>
      <w:r>
        <w:rPr>
          <w:rFonts w:hint="eastAsia" w:ascii="宋体" w:hAnsi="宋体" w:eastAsia="宋体" w:cs="宋体"/>
          <w:b/>
          <w:bCs/>
          <w:color w:val="auto"/>
          <w:w w:val="95"/>
          <w:sz w:val="24"/>
          <w:szCs w:val="24"/>
          <w:highlight w:val="none"/>
          <w:lang w:val="en-US" w:eastAsia="zh-CN"/>
        </w:rPr>
        <w:t xml:space="preserve"> </w:t>
      </w:r>
    </w:p>
    <w:p>
      <w:pPr>
        <w:tabs>
          <w:tab w:val="left" w:pos="580"/>
          <w:tab w:val="left" w:pos="1063"/>
          <w:tab w:val="left" w:pos="1545"/>
          <w:tab w:val="left" w:pos="7146"/>
        </w:tabs>
        <w:spacing w:before="0" w:line="360" w:lineRule="auto"/>
        <w:ind w:left="0" w:leftChars="0" w:right="0" w:firstLine="784" w:firstLineChars="280"/>
        <w:jc w:val="left"/>
        <w:rPr>
          <w:rFonts w:hint="eastAsia" w:ascii="Times New Roman" w:hAnsi="Times New Roman" w:eastAsia="宋体" w:cs="Times New Roman"/>
          <w:color w:val="auto"/>
          <w:sz w:val="28"/>
          <w:szCs w:val="28"/>
          <w:highlight w:val="none"/>
          <w:lang w:val="en-US" w:eastAsia="zh-CN"/>
        </w:rPr>
      </w:pPr>
      <w:r>
        <w:rPr>
          <w:b/>
          <w:bCs/>
          <w:color w:val="auto"/>
          <w:sz w:val="28"/>
          <w:szCs w:val="28"/>
          <w:highlight w:val="none"/>
        </w:rPr>
        <w:t>工</w:t>
      </w:r>
      <w:r>
        <w:rPr>
          <w:rFonts w:hint="eastAsia"/>
          <w:b/>
          <w:bCs/>
          <w:color w:val="auto"/>
          <w:sz w:val="28"/>
          <w:szCs w:val="28"/>
          <w:highlight w:val="none"/>
          <w:lang w:val="en-US" w:eastAsia="zh-CN"/>
        </w:rPr>
        <w:t xml:space="preserve"> </w:t>
      </w:r>
      <w:r>
        <w:rPr>
          <w:b/>
          <w:bCs/>
          <w:color w:val="auto"/>
          <w:sz w:val="28"/>
          <w:szCs w:val="28"/>
          <w:highlight w:val="none"/>
        </w:rPr>
        <w:t>程</w:t>
      </w:r>
      <w:r>
        <w:rPr>
          <w:rFonts w:hint="eastAsia"/>
          <w:b/>
          <w:bCs/>
          <w:color w:val="auto"/>
          <w:sz w:val="28"/>
          <w:szCs w:val="28"/>
          <w:highlight w:val="none"/>
          <w:lang w:val="en-US" w:eastAsia="zh-CN"/>
        </w:rPr>
        <w:t xml:space="preserve"> </w:t>
      </w:r>
      <w:r>
        <w:rPr>
          <w:b/>
          <w:bCs/>
          <w:color w:val="auto"/>
          <w:sz w:val="28"/>
          <w:szCs w:val="28"/>
          <w:highlight w:val="none"/>
        </w:rPr>
        <w:t>名</w:t>
      </w:r>
      <w:r>
        <w:rPr>
          <w:rFonts w:hint="eastAsia"/>
          <w:b/>
          <w:bCs/>
          <w:color w:val="auto"/>
          <w:sz w:val="28"/>
          <w:szCs w:val="28"/>
          <w:highlight w:val="none"/>
          <w:lang w:val="en-US" w:eastAsia="zh-CN"/>
        </w:rPr>
        <w:t xml:space="preserve"> </w:t>
      </w:r>
      <w:r>
        <w:rPr>
          <w:b/>
          <w:bCs/>
          <w:color w:val="auto"/>
          <w:sz w:val="28"/>
          <w:szCs w:val="28"/>
          <w:highlight w:val="none"/>
        </w:rPr>
        <w:t>称：</w:t>
      </w:r>
      <w:r>
        <w:rPr>
          <w:rFonts w:ascii="Times New Roman" w:hAnsi="Times New Roman" w:eastAsia="Times New Roman" w:cs="Times New Roman"/>
          <w:b/>
          <w:bCs/>
          <w:color w:val="auto"/>
          <w:sz w:val="28"/>
          <w:szCs w:val="28"/>
          <w:highlight w:val="none"/>
          <w:u w:val="single" w:color="000000"/>
        </w:rPr>
        <w:t xml:space="preserve"> </w:t>
      </w:r>
      <w:r>
        <w:rPr>
          <w:rFonts w:ascii="Times New Roman" w:hAnsi="Times New Roman" w:eastAsia="Times New Roman" w:cs="Times New Roman"/>
          <w:b/>
          <w:bCs/>
          <w:color w:val="auto"/>
          <w:sz w:val="28"/>
          <w:szCs w:val="28"/>
          <w:highlight w:val="none"/>
          <w:u w:val="single" w:color="000000"/>
        </w:rPr>
        <w:tab/>
      </w:r>
      <w:r>
        <w:rPr>
          <w:rFonts w:hint="eastAsia" w:ascii="Times New Roman" w:hAnsi="Times New Roman" w:eastAsia="宋体" w:cs="Times New Roman"/>
          <w:b/>
          <w:bCs/>
          <w:color w:val="auto"/>
          <w:sz w:val="28"/>
          <w:szCs w:val="28"/>
          <w:highlight w:val="none"/>
          <w:u w:val="single" w:color="000000"/>
          <w:lang w:val="en-US" w:eastAsia="zh-CN"/>
        </w:rPr>
        <w:t xml:space="preserve"> </w:t>
      </w:r>
    </w:p>
    <w:p>
      <w:pPr>
        <w:tabs>
          <w:tab w:val="left" w:pos="580"/>
          <w:tab w:val="left" w:pos="1063"/>
          <w:tab w:val="left" w:pos="1545"/>
          <w:tab w:val="left" w:pos="7266"/>
        </w:tabs>
        <w:spacing w:before="26" w:line="360" w:lineRule="auto"/>
        <w:ind w:left="0" w:leftChars="0" w:right="0" w:firstLine="784" w:firstLineChars="280"/>
        <w:jc w:val="left"/>
        <w:rPr>
          <w:rFonts w:hint="eastAsia" w:ascii="Times New Roman" w:hAnsi="Times New Roman" w:eastAsia="宋体" w:cs="Times New Roman"/>
          <w:color w:val="auto"/>
          <w:sz w:val="28"/>
          <w:szCs w:val="28"/>
          <w:highlight w:val="none"/>
          <w:lang w:val="en-US" w:eastAsia="zh-CN"/>
        </w:rPr>
      </w:pPr>
      <w:r>
        <w:rPr>
          <w:b/>
          <w:bCs/>
          <w:color w:val="auto"/>
          <w:sz w:val="28"/>
          <w:szCs w:val="28"/>
          <w:highlight w:val="none"/>
        </w:rPr>
        <w:t>工</w:t>
      </w:r>
      <w:r>
        <w:rPr>
          <w:rFonts w:hint="eastAsia"/>
          <w:b/>
          <w:bCs/>
          <w:color w:val="auto"/>
          <w:sz w:val="28"/>
          <w:szCs w:val="28"/>
          <w:highlight w:val="none"/>
          <w:lang w:val="en-US" w:eastAsia="zh-CN"/>
        </w:rPr>
        <w:t xml:space="preserve"> </w:t>
      </w:r>
      <w:r>
        <w:rPr>
          <w:b/>
          <w:bCs/>
          <w:color w:val="auto"/>
          <w:sz w:val="28"/>
          <w:szCs w:val="28"/>
          <w:highlight w:val="none"/>
        </w:rPr>
        <w:t>程</w:t>
      </w:r>
      <w:r>
        <w:rPr>
          <w:rFonts w:hint="eastAsia"/>
          <w:b/>
          <w:bCs/>
          <w:color w:val="auto"/>
          <w:sz w:val="28"/>
          <w:szCs w:val="28"/>
          <w:highlight w:val="none"/>
          <w:lang w:val="en-US" w:eastAsia="zh-CN"/>
        </w:rPr>
        <w:t xml:space="preserve"> </w:t>
      </w:r>
      <w:r>
        <w:rPr>
          <w:b/>
          <w:bCs/>
          <w:color w:val="auto"/>
          <w:sz w:val="28"/>
          <w:szCs w:val="28"/>
          <w:highlight w:val="none"/>
        </w:rPr>
        <w:t>地</w:t>
      </w:r>
      <w:r>
        <w:rPr>
          <w:rFonts w:hint="eastAsia"/>
          <w:b/>
          <w:bCs/>
          <w:color w:val="auto"/>
          <w:sz w:val="28"/>
          <w:szCs w:val="28"/>
          <w:highlight w:val="none"/>
          <w:lang w:val="en-US" w:eastAsia="zh-CN"/>
        </w:rPr>
        <w:t xml:space="preserve"> </w:t>
      </w:r>
      <w:r>
        <w:rPr>
          <w:b/>
          <w:bCs/>
          <w:color w:val="auto"/>
          <w:sz w:val="28"/>
          <w:szCs w:val="28"/>
          <w:highlight w:val="none"/>
        </w:rPr>
        <w:t>点：</w:t>
      </w:r>
      <w:r>
        <w:rPr>
          <w:rFonts w:ascii="Times New Roman" w:hAnsi="Times New Roman" w:eastAsia="Times New Roman" w:cs="Times New Roman"/>
          <w:b/>
          <w:bCs/>
          <w:color w:val="auto"/>
          <w:sz w:val="28"/>
          <w:szCs w:val="28"/>
          <w:highlight w:val="none"/>
          <w:u w:val="single" w:color="000000"/>
        </w:rPr>
        <w:t xml:space="preserve"> </w:t>
      </w:r>
      <w:r>
        <w:rPr>
          <w:rFonts w:hint="eastAsia" w:ascii="Times New Roman" w:hAnsi="Times New Roman" w:eastAsia="Times New Roman" w:cs="Times New Roman"/>
          <w:b/>
          <w:bCs/>
          <w:color w:val="auto"/>
          <w:sz w:val="28"/>
          <w:szCs w:val="28"/>
          <w:highlight w:val="none"/>
          <w:u w:val="single" w:color="000000"/>
        </w:rPr>
        <w:t>广东省潮州市饶平县汫洲镇三百门渔港</w:t>
      </w:r>
      <w:r>
        <w:rPr>
          <w:rFonts w:hint="eastAsia" w:ascii="Times New Roman" w:hAnsi="Times New Roman" w:eastAsia="宋体" w:cs="Times New Roman"/>
          <w:b/>
          <w:bCs/>
          <w:color w:val="auto"/>
          <w:sz w:val="28"/>
          <w:szCs w:val="28"/>
          <w:highlight w:val="none"/>
          <w:u w:val="single" w:color="000000"/>
          <w:lang w:val="en-US" w:eastAsia="zh-CN"/>
        </w:rPr>
        <w:t xml:space="preserve"> </w:t>
      </w:r>
    </w:p>
    <w:p>
      <w:pPr>
        <w:tabs>
          <w:tab w:val="left" w:pos="580"/>
          <w:tab w:val="left" w:pos="1063"/>
          <w:tab w:val="left" w:pos="1545"/>
          <w:tab w:val="left" w:pos="7707"/>
        </w:tabs>
        <w:spacing w:before="26" w:line="360" w:lineRule="auto"/>
        <w:ind w:left="0" w:leftChars="0" w:right="0" w:firstLine="784" w:firstLineChars="280"/>
        <w:jc w:val="left"/>
        <w:rPr>
          <w:rFonts w:hint="default" w:ascii="Times New Roman" w:hAnsi="Times New Roman" w:eastAsia="宋体" w:cs="Times New Roman"/>
          <w:b/>
          <w:bCs/>
          <w:color w:val="auto"/>
          <w:sz w:val="28"/>
          <w:szCs w:val="28"/>
          <w:highlight w:val="none"/>
          <w:u w:val="thick"/>
          <w:lang w:val="en-US" w:eastAsia="zh-CN"/>
        </w:rPr>
      </w:pPr>
      <w:r>
        <w:rPr>
          <w:b/>
          <w:bCs/>
          <w:color w:val="auto"/>
          <w:sz w:val="28"/>
          <w:szCs w:val="28"/>
          <w:highlight w:val="none"/>
        </w:rPr>
        <w:t>合</w:t>
      </w:r>
      <w:r>
        <w:rPr>
          <w:rFonts w:hint="eastAsia"/>
          <w:b/>
          <w:bCs/>
          <w:color w:val="auto"/>
          <w:sz w:val="28"/>
          <w:szCs w:val="28"/>
          <w:highlight w:val="none"/>
          <w:lang w:val="en-US" w:eastAsia="zh-CN"/>
        </w:rPr>
        <w:t xml:space="preserve"> </w:t>
      </w:r>
      <w:r>
        <w:rPr>
          <w:b/>
          <w:bCs/>
          <w:color w:val="auto"/>
          <w:sz w:val="28"/>
          <w:szCs w:val="28"/>
          <w:highlight w:val="none"/>
        </w:rPr>
        <w:t>同</w:t>
      </w:r>
      <w:r>
        <w:rPr>
          <w:rFonts w:hint="eastAsia"/>
          <w:b/>
          <w:bCs/>
          <w:color w:val="auto"/>
          <w:sz w:val="28"/>
          <w:szCs w:val="28"/>
          <w:highlight w:val="none"/>
          <w:lang w:val="en-US" w:eastAsia="zh-CN"/>
        </w:rPr>
        <w:t xml:space="preserve"> </w:t>
      </w:r>
      <w:r>
        <w:rPr>
          <w:b/>
          <w:bCs/>
          <w:color w:val="auto"/>
          <w:sz w:val="28"/>
          <w:szCs w:val="28"/>
          <w:highlight w:val="none"/>
        </w:rPr>
        <w:t>编</w:t>
      </w:r>
      <w:r>
        <w:rPr>
          <w:rFonts w:hint="eastAsia"/>
          <w:b/>
          <w:bCs/>
          <w:color w:val="auto"/>
          <w:sz w:val="28"/>
          <w:szCs w:val="28"/>
          <w:highlight w:val="none"/>
          <w:lang w:val="en-US" w:eastAsia="zh-CN"/>
        </w:rPr>
        <w:t xml:space="preserve"> </w:t>
      </w:r>
      <w:r>
        <w:rPr>
          <w:b/>
          <w:bCs/>
          <w:color w:val="auto"/>
          <w:sz w:val="28"/>
          <w:szCs w:val="28"/>
          <w:highlight w:val="none"/>
        </w:rPr>
        <w:t>号：</w:t>
      </w:r>
      <w:r>
        <w:rPr>
          <w:rFonts w:hint="eastAsia" w:ascii="宋体" w:hAnsi="宋体" w:eastAsia="宋体" w:cs="宋体"/>
          <w:b/>
          <w:bCs/>
          <w:color w:val="auto"/>
          <w:sz w:val="28"/>
          <w:szCs w:val="28"/>
          <w:highlight w:val="none"/>
          <w:u w:val="thick"/>
          <w:lang w:val="en-US" w:eastAsia="zh-CN"/>
        </w:rPr>
        <w:t xml:space="preserve">                                 </w:t>
      </w:r>
    </w:p>
    <w:p>
      <w:pPr>
        <w:tabs>
          <w:tab w:val="left" w:pos="580"/>
          <w:tab w:val="left" w:pos="1063"/>
          <w:tab w:val="left" w:pos="1545"/>
          <w:tab w:val="left" w:pos="7707"/>
        </w:tabs>
        <w:spacing w:before="26" w:line="360" w:lineRule="auto"/>
        <w:ind w:left="0" w:leftChars="0" w:right="0" w:firstLine="748" w:firstLineChars="280"/>
        <w:jc w:val="left"/>
        <w:rPr>
          <w:rFonts w:hint="default" w:ascii="Times New Roman" w:hAnsi="Times New Roman" w:eastAsia="宋体" w:cs="Times New Roman"/>
          <w:b/>
          <w:bCs/>
          <w:color w:val="auto"/>
          <w:sz w:val="28"/>
          <w:szCs w:val="28"/>
          <w:highlight w:val="none"/>
          <w:u w:val="thick"/>
          <w:lang w:val="en-US" w:eastAsia="zh-CN"/>
        </w:rPr>
      </w:pPr>
      <w:r>
        <w:rPr>
          <w:rFonts w:ascii="宋体" w:hAnsi="宋体" w:eastAsia="宋体" w:cs="宋体"/>
          <w:b/>
          <w:bCs/>
          <w:color w:val="auto"/>
          <w:w w:val="95"/>
          <w:sz w:val="28"/>
          <w:szCs w:val="28"/>
          <w:highlight w:val="none"/>
        </w:rPr>
        <w:t>发</w:t>
      </w:r>
      <w:r>
        <w:rPr>
          <w:rFonts w:ascii="宋体" w:hAnsi="宋体" w:eastAsia="宋体" w:cs="宋体"/>
          <w:b/>
          <w:bCs/>
          <w:color w:val="auto"/>
          <w:w w:val="95"/>
          <w:sz w:val="28"/>
          <w:szCs w:val="28"/>
          <w:highlight w:val="none"/>
        </w:rPr>
        <w:tab/>
      </w:r>
      <w:r>
        <w:rPr>
          <w:rFonts w:hint="eastAsia" w:ascii="宋体" w:hAnsi="宋体" w:eastAsia="宋体" w:cs="宋体"/>
          <w:b/>
          <w:bCs/>
          <w:color w:val="auto"/>
          <w:w w:val="95"/>
          <w:sz w:val="28"/>
          <w:szCs w:val="28"/>
          <w:highlight w:val="none"/>
          <w:lang w:val="en-US" w:eastAsia="zh-CN"/>
        </w:rPr>
        <w:t xml:space="preserve">  </w:t>
      </w:r>
      <w:r>
        <w:rPr>
          <w:rFonts w:ascii="宋体" w:hAnsi="宋体" w:eastAsia="宋体" w:cs="宋体"/>
          <w:b/>
          <w:bCs/>
          <w:color w:val="auto"/>
          <w:w w:val="95"/>
          <w:sz w:val="28"/>
          <w:szCs w:val="28"/>
          <w:highlight w:val="none"/>
        </w:rPr>
        <w:t>包</w:t>
      </w:r>
      <w:r>
        <w:rPr>
          <w:rFonts w:hint="eastAsia" w:ascii="宋体" w:hAnsi="宋体" w:eastAsia="宋体" w:cs="宋体"/>
          <w:b/>
          <w:bCs/>
          <w:color w:val="auto"/>
          <w:w w:val="95"/>
          <w:sz w:val="28"/>
          <w:szCs w:val="28"/>
          <w:highlight w:val="none"/>
          <w:lang w:val="en-US" w:eastAsia="zh-CN"/>
        </w:rPr>
        <w:t xml:space="preserve">  </w:t>
      </w:r>
      <w:r>
        <w:rPr>
          <w:rFonts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u w:val="thick"/>
          <w:lang w:val="en-US" w:eastAsia="zh-CN"/>
        </w:rPr>
        <w:t xml:space="preserve">                                   </w:t>
      </w:r>
    </w:p>
    <w:p>
      <w:pPr>
        <w:tabs>
          <w:tab w:val="left" w:pos="580"/>
          <w:tab w:val="left" w:pos="1063"/>
          <w:tab w:val="left" w:pos="1545"/>
          <w:tab w:val="left" w:pos="7707"/>
        </w:tabs>
        <w:spacing w:before="26" w:line="360" w:lineRule="auto"/>
        <w:ind w:left="0" w:leftChars="0" w:right="0" w:firstLine="787" w:firstLineChars="280"/>
        <w:jc w:val="left"/>
        <w:rPr>
          <w:rFonts w:hint="default" w:ascii="Times New Roman" w:hAnsi="Times New Roman" w:eastAsia="宋体" w:cs="Times New Roman"/>
          <w:b/>
          <w:bCs/>
          <w:color w:val="auto"/>
          <w:sz w:val="28"/>
          <w:szCs w:val="28"/>
          <w:highlight w:val="none"/>
          <w:u w:val="thick"/>
          <w:lang w:val="en-US" w:eastAsia="zh-CN"/>
        </w:rPr>
      </w:pPr>
      <w:r>
        <w:rPr>
          <w:rFonts w:ascii="宋体" w:hAnsi="宋体" w:eastAsia="宋体" w:cs="宋体"/>
          <w:b/>
          <w:bCs/>
          <w:color w:val="auto"/>
          <w:sz w:val="28"/>
          <w:szCs w:val="28"/>
          <w:highlight w:val="none"/>
        </w:rPr>
        <w:t xml:space="preserve">设 </w:t>
      </w:r>
      <w:r>
        <w:rPr>
          <w:rFonts w:hint="eastAsia" w:ascii="宋体" w:hAnsi="宋体" w:eastAsia="宋体" w:cs="宋体"/>
          <w:b/>
          <w:bCs/>
          <w:color w:val="auto"/>
          <w:sz w:val="28"/>
          <w:szCs w:val="28"/>
          <w:highlight w:val="none"/>
          <w:lang w:val="en-US" w:eastAsia="zh-CN"/>
        </w:rPr>
        <w:t xml:space="preserve"> </w:t>
      </w:r>
      <w:r>
        <w:rPr>
          <w:rFonts w:ascii="宋体" w:hAnsi="宋体" w:eastAsia="宋体" w:cs="宋体"/>
          <w:b/>
          <w:bCs/>
          <w:color w:val="auto"/>
          <w:sz w:val="28"/>
          <w:szCs w:val="28"/>
          <w:highlight w:val="none"/>
        </w:rPr>
        <w:t>计</w:t>
      </w:r>
      <w:r>
        <w:rPr>
          <w:rFonts w:hint="eastAsia" w:ascii="宋体" w:hAnsi="宋体" w:eastAsia="宋体" w:cs="宋体"/>
          <w:b/>
          <w:bCs/>
          <w:color w:val="auto"/>
          <w:spacing w:val="-4"/>
          <w:sz w:val="28"/>
          <w:szCs w:val="28"/>
          <w:highlight w:val="none"/>
          <w:lang w:val="en-US" w:eastAsia="zh-CN"/>
        </w:rPr>
        <w:t xml:space="preserve">  </w:t>
      </w:r>
      <w:r>
        <w:rPr>
          <w:rFonts w:ascii="宋体" w:hAnsi="宋体" w:eastAsia="宋体" w:cs="宋体"/>
          <w:b/>
          <w:bCs/>
          <w:color w:val="auto"/>
          <w:sz w:val="28"/>
          <w:szCs w:val="28"/>
          <w:highlight w:val="none"/>
        </w:rPr>
        <w:t>人：</w:t>
      </w:r>
      <w:r>
        <w:rPr>
          <w:rFonts w:hint="eastAsia" w:ascii="宋体" w:hAnsi="宋体" w:eastAsia="宋体" w:cs="宋体"/>
          <w:b/>
          <w:bCs/>
          <w:color w:val="auto"/>
          <w:sz w:val="28"/>
          <w:szCs w:val="28"/>
          <w:highlight w:val="none"/>
          <w:u w:val="thick"/>
          <w:lang w:val="en-US" w:eastAsia="zh-CN"/>
        </w:rPr>
        <w:t xml:space="preserve">                                   </w:t>
      </w:r>
    </w:p>
    <w:p>
      <w:pPr>
        <w:tabs>
          <w:tab w:val="left" w:pos="580"/>
          <w:tab w:val="left" w:pos="1063"/>
          <w:tab w:val="left" w:pos="1545"/>
          <w:tab w:val="left" w:pos="7707"/>
        </w:tabs>
        <w:spacing w:before="26" w:line="360" w:lineRule="auto"/>
        <w:ind w:left="0" w:leftChars="0" w:right="0" w:firstLine="748" w:firstLineChars="280"/>
        <w:jc w:val="left"/>
        <w:rPr>
          <w:rFonts w:hint="eastAsia" w:ascii="宋体" w:hAnsi="宋体" w:eastAsia="宋体" w:cs="宋体"/>
          <w:snapToGrid w:val="0"/>
          <w:color w:val="auto"/>
          <w:kern w:val="0"/>
          <w:sz w:val="31"/>
          <w:szCs w:val="31"/>
          <w:highlight w:val="none"/>
          <w:lang w:val="en-US" w:eastAsia="zh-CN" w:bidi="ar"/>
        </w:rPr>
      </w:pPr>
      <w:r>
        <w:rPr>
          <w:rFonts w:ascii="宋体" w:hAnsi="宋体" w:eastAsia="宋体" w:cs="宋体"/>
          <w:b/>
          <w:bCs/>
          <w:color w:val="auto"/>
          <w:w w:val="95"/>
          <w:sz w:val="28"/>
          <w:szCs w:val="28"/>
          <w:highlight w:val="none"/>
        </w:rPr>
        <w:t>签</w:t>
      </w:r>
      <w:r>
        <w:rPr>
          <w:rFonts w:ascii="宋体" w:hAnsi="宋体" w:eastAsia="宋体" w:cs="宋体"/>
          <w:b/>
          <w:bCs/>
          <w:color w:val="auto"/>
          <w:w w:val="95"/>
          <w:sz w:val="28"/>
          <w:szCs w:val="28"/>
          <w:highlight w:val="none"/>
        </w:rPr>
        <w:tab/>
      </w:r>
      <w:r>
        <w:rPr>
          <w:rFonts w:hint="eastAsia" w:ascii="宋体" w:hAnsi="宋体" w:eastAsia="宋体" w:cs="宋体"/>
          <w:b/>
          <w:bCs/>
          <w:color w:val="auto"/>
          <w:w w:val="95"/>
          <w:sz w:val="28"/>
          <w:szCs w:val="28"/>
          <w:highlight w:val="none"/>
          <w:lang w:val="en-US" w:eastAsia="zh-CN"/>
        </w:rPr>
        <w:t xml:space="preserve"> </w:t>
      </w:r>
      <w:r>
        <w:rPr>
          <w:rFonts w:ascii="宋体" w:hAnsi="宋体" w:eastAsia="宋体" w:cs="宋体"/>
          <w:b/>
          <w:bCs/>
          <w:color w:val="auto"/>
          <w:w w:val="95"/>
          <w:sz w:val="28"/>
          <w:szCs w:val="28"/>
          <w:highlight w:val="none"/>
        </w:rPr>
        <w:t>订</w:t>
      </w:r>
      <w:r>
        <w:rPr>
          <w:rFonts w:ascii="宋体" w:hAnsi="宋体" w:eastAsia="宋体" w:cs="宋体"/>
          <w:b/>
          <w:bCs/>
          <w:color w:val="auto"/>
          <w:w w:val="95"/>
          <w:sz w:val="28"/>
          <w:szCs w:val="28"/>
          <w:highlight w:val="none"/>
        </w:rPr>
        <w:tab/>
      </w:r>
      <w:r>
        <w:rPr>
          <w:rFonts w:ascii="宋体" w:hAnsi="宋体" w:eastAsia="宋体" w:cs="宋体"/>
          <w:b/>
          <w:bCs/>
          <w:color w:val="auto"/>
          <w:w w:val="95"/>
          <w:sz w:val="28"/>
          <w:szCs w:val="28"/>
          <w:highlight w:val="none"/>
        </w:rPr>
        <w:t>日</w:t>
      </w:r>
      <w:r>
        <w:rPr>
          <w:rFonts w:hint="eastAsia" w:ascii="宋体" w:hAnsi="宋体" w:eastAsia="宋体" w:cs="宋体"/>
          <w:b/>
          <w:bCs/>
          <w:color w:val="auto"/>
          <w:w w:val="95"/>
          <w:sz w:val="28"/>
          <w:szCs w:val="28"/>
          <w:highlight w:val="none"/>
          <w:lang w:val="en-US" w:eastAsia="zh-CN"/>
        </w:rPr>
        <w:t xml:space="preserve"> </w:t>
      </w:r>
      <w:r>
        <w:rPr>
          <w:rFonts w:ascii="宋体" w:hAnsi="宋体" w:eastAsia="宋体" w:cs="宋体"/>
          <w:b/>
          <w:bCs/>
          <w:color w:val="auto"/>
          <w:sz w:val="28"/>
          <w:szCs w:val="28"/>
          <w:highlight w:val="none"/>
        </w:rPr>
        <w:t>期：</w:t>
      </w:r>
      <w:r>
        <w:rPr>
          <w:rFonts w:hint="eastAsia" w:ascii="宋体" w:hAnsi="宋体" w:eastAsia="宋体" w:cs="宋体"/>
          <w:b/>
          <w:bCs/>
          <w:color w:val="auto"/>
          <w:sz w:val="28"/>
          <w:szCs w:val="28"/>
          <w:highlight w:val="none"/>
          <w:u w:val="thick"/>
          <w:lang w:val="en-US" w:eastAsia="zh-CN"/>
        </w:rPr>
        <w:t xml:space="preserve">                                  </w:t>
      </w:r>
    </w:p>
    <w:p>
      <w:pPr>
        <w:keepNext w:val="0"/>
        <w:keepLines w:val="0"/>
        <w:widowControl/>
        <w:suppressLineNumbers w:val="0"/>
        <w:jc w:val="left"/>
        <w:rPr>
          <w:rFonts w:hint="eastAsia" w:ascii="宋体" w:hAnsi="宋体" w:eastAsia="宋体" w:cs="宋体"/>
          <w:snapToGrid w:val="0"/>
          <w:color w:val="auto"/>
          <w:kern w:val="0"/>
          <w:sz w:val="31"/>
          <w:szCs w:val="31"/>
          <w:highlight w:val="none"/>
          <w:lang w:val="en-US" w:eastAsia="zh-CN" w:bidi="ar"/>
        </w:rPr>
      </w:pPr>
    </w:p>
    <w:p>
      <w:pPr>
        <w:keepNext w:val="0"/>
        <w:keepLines w:val="0"/>
        <w:widowControl/>
        <w:suppressLineNumbers w:val="0"/>
        <w:jc w:val="center"/>
        <w:rPr>
          <w:rFonts w:hint="eastAsia" w:ascii="宋体" w:hAnsi="宋体" w:eastAsia="宋体" w:cs="宋体"/>
          <w:snapToGrid w:val="0"/>
          <w:color w:val="auto"/>
          <w:kern w:val="0"/>
          <w:sz w:val="31"/>
          <w:szCs w:val="31"/>
          <w:highlight w:val="none"/>
          <w:lang w:val="en-US" w:eastAsia="zh-CN" w:bidi="ar"/>
        </w:rPr>
      </w:pPr>
      <w:r>
        <w:rPr>
          <w:rFonts w:hint="eastAsia" w:ascii="宋体" w:hAnsi="宋体" w:eastAsia="宋体" w:cs="宋体"/>
          <w:snapToGrid w:val="0"/>
          <w:color w:val="auto"/>
          <w:kern w:val="0"/>
          <w:sz w:val="31"/>
          <w:szCs w:val="31"/>
          <w:highlight w:val="none"/>
          <w:lang w:val="en-US" w:eastAsia="zh-CN" w:bidi="ar"/>
        </w:rPr>
        <w:t>中华人民共和国建设部</w:t>
      </w:r>
    </w:p>
    <w:p>
      <w:pPr>
        <w:keepNext w:val="0"/>
        <w:keepLines w:val="0"/>
        <w:widowControl/>
        <w:suppressLineNumbers w:val="0"/>
        <w:jc w:val="center"/>
        <w:rPr>
          <w:color w:val="auto"/>
          <w:highlight w:val="none"/>
        </w:rPr>
      </w:pPr>
      <w:r>
        <w:rPr>
          <w:rFonts w:hint="eastAsia" w:ascii="宋体" w:hAnsi="宋体" w:eastAsia="宋体" w:cs="宋体"/>
          <w:snapToGrid w:val="0"/>
          <w:color w:val="auto"/>
          <w:kern w:val="0"/>
          <w:sz w:val="31"/>
          <w:szCs w:val="31"/>
          <w:highlight w:val="none"/>
          <w:lang w:val="en-US" w:eastAsia="zh-CN" w:bidi="ar"/>
        </w:rPr>
        <w:t xml:space="preserve">                         </w:t>
      </w:r>
      <w:r>
        <w:rPr>
          <w:rFonts w:hint="eastAsia" w:ascii="宋体" w:hAnsi="宋体" w:eastAsia="宋体" w:cs="宋体"/>
          <w:snapToGrid w:val="0"/>
          <w:color w:val="auto"/>
          <w:kern w:val="0"/>
          <w:sz w:val="30"/>
          <w:szCs w:val="30"/>
          <w:highlight w:val="none"/>
          <w:lang w:val="en-US" w:eastAsia="zh-CN" w:bidi="ar"/>
        </w:rPr>
        <w:t>制定</w:t>
      </w:r>
    </w:p>
    <w:p>
      <w:pPr>
        <w:keepNext w:val="0"/>
        <w:keepLines w:val="0"/>
        <w:widowControl/>
        <w:suppressLineNumbers w:val="0"/>
        <w:jc w:val="center"/>
        <w:rPr>
          <w:color w:val="auto"/>
          <w:highlight w:val="none"/>
        </w:rPr>
      </w:pPr>
      <w:r>
        <w:rPr>
          <w:rFonts w:hint="eastAsia" w:ascii="宋体" w:hAnsi="宋体" w:eastAsia="宋体" w:cs="宋体"/>
          <w:snapToGrid w:val="0"/>
          <w:color w:val="auto"/>
          <w:kern w:val="0"/>
          <w:sz w:val="31"/>
          <w:szCs w:val="31"/>
          <w:highlight w:val="none"/>
          <w:lang w:val="en-US" w:eastAsia="zh-CN" w:bidi="ar"/>
        </w:rPr>
        <w:t>国家工商行政管理局</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sectPr>
          <w:footerReference r:id="rId8" w:type="default"/>
          <w:pgSz w:w="11906" w:h="16838"/>
          <w:pgMar w:top="1440" w:right="1080" w:bottom="1440" w:left="1080" w:header="851" w:footer="992" w:gutter="0"/>
          <w:pgNumType w:fmt="decimal"/>
          <w:cols w:space="425" w:num="1"/>
          <w:docGrid w:type="lines" w:linePitch="312" w:charSpace="0"/>
        </w:sect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b/>
          <w:bCs/>
          <w:color w:val="auto"/>
          <w:highlight w:val="none"/>
          <w:u w:val="single"/>
        </w:rPr>
      </w:pPr>
      <w:r>
        <w:rPr>
          <w:rFonts w:hint="eastAsia" w:ascii="宋体" w:hAnsi="宋体" w:eastAsia="宋体" w:cs="宋体"/>
          <w:b/>
          <w:bCs/>
          <w:snapToGrid w:val="0"/>
          <w:color w:val="auto"/>
          <w:kern w:val="0"/>
          <w:sz w:val="24"/>
          <w:szCs w:val="24"/>
          <w:highlight w:val="none"/>
          <w:lang w:val="en-US" w:eastAsia="zh-CN" w:bidi="ar"/>
        </w:rPr>
        <w:t>发包人（全称）</w:t>
      </w:r>
      <w:r>
        <w:rPr>
          <w:rFonts w:hint="eastAsia" w:ascii="宋体" w:hAnsi="宋体" w:eastAsia="宋体" w:cs="宋体"/>
          <w:b/>
          <w:bCs/>
          <w:snapToGrid w:val="0"/>
          <w:color w:val="auto"/>
          <w:kern w:val="0"/>
          <w:sz w:val="24"/>
          <w:szCs w:val="24"/>
          <w:highlight w:val="none"/>
          <w:u w:val="none"/>
          <w:lang w:val="en-US" w:eastAsia="zh-CN" w:bidi="ar"/>
        </w:rPr>
        <w:t>：</w:t>
      </w:r>
      <w:r>
        <w:rPr>
          <w:rFonts w:hint="eastAsia" w:ascii="宋体" w:hAnsi="宋体" w:eastAsia="宋体" w:cs="宋体"/>
          <w:b/>
          <w:bCs/>
          <w:snapToGrid w:val="0"/>
          <w:color w:val="auto"/>
          <w:kern w:val="0"/>
          <w:sz w:val="24"/>
          <w:szCs w:val="24"/>
          <w:highlight w:val="none"/>
          <w:u w:val="singl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2" w:firstLineChars="200"/>
        <w:jc w:val="left"/>
        <w:textAlignment w:val="baseline"/>
        <w:rPr>
          <w:b/>
          <w:bCs/>
          <w:color w:val="auto"/>
          <w:highlight w:val="none"/>
          <w:u w:val="single"/>
        </w:rPr>
      </w:pPr>
      <w:r>
        <w:rPr>
          <w:rFonts w:hint="eastAsia" w:ascii="宋体" w:hAnsi="宋体" w:eastAsia="宋体" w:cs="宋体"/>
          <w:b/>
          <w:bCs/>
          <w:snapToGrid w:val="0"/>
          <w:color w:val="auto"/>
          <w:kern w:val="0"/>
          <w:sz w:val="24"/>
          <w:szCs w:val="24"/>
          <w:highlight w:val="none"/>
          <w:lang w:val="en-US" w:eastAsia="zh-CN" w:bidi="ar"/>
        </w:rPr>
        <w:t>设计人（全称）：</w:t>
      </w:r>
      <w:r>
        <w:rPr>
          <w:rFonts w:hint="eastAsia" w:ascii="宋体" w:hAnsi="宋体" w:eastAsia="宋体" w:cs="宋体"/>
          <w:b/>
          <w:bCs/>
          <w:snapToGrid w:val="0"/>
          <w:color w:val="auto"/>
          <w:kern w:val="0"/>
          <w:sz w:val="24"/>
          <w:szCs w:val="24"/>
          <w:highlight w:val="none"/>
          <w:u w:val="singl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发包人委托设计人承担</w:t>
      </w:r>
      <w:r>
        <w:rPr>
          <w:rFonts w:hint="eastAsia" w:ascii="宋体" w:hAnsi="宋体" w:eastAsia="宋体" w:cs="宋体"/>
          <w:snapToGrid w:val="0"/>
          <w:color w:val="auto"/>
          <w:kern w:val="0"/>
          <w:sz w:val="24"/>
          <w:szCs w:val="24"/>
          <w:highlight w:val="none"/>
          <w:u w:val="single"/>
          <w:lang w:val="en-US" w:eastAsia="zh-CN" w:bidi="ar"/>
        </w:rPr>
        <w:t xml:space="preserve">   （项目名称）     </w:t>
      </w:r>
      <w:r>
        <w:rPr>
          <w:rFonts w:hint="eastAsia" w:ascii="宋体" w:hAnsi="宋体" w:eastAsia="宋体" w:cs="宋体"/>
          <w:snapToGrid w:val="0"/>
          <w:color w:val="auto"/>
          <w:kern w:val="0"/>
          <w:sz w:val="24"/>
          <w:szCs w:val="24"/>
          <w:highlight w:val="none"/>
          <w:lang w:val="en-US" w:eastAsia="zh-CN" w:bidi="ar"/>
        </w:rPr>
        <w:t>设计服务，工程地点为</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cs="宋体"/>
          <w:color w:val="auto"/>
          <w:sz w:val="24"/>
          <w:szCs w:val="24"/>
          <w:highlight w:val="none"/>
          <w:u w:val="single"/>
          <w:lang w:eastAsia="zh-CN"/>
        </w:rPr>
        <w:t>广东省潮州市饶平县汫洲镇三百门渔港</w:t>
      </w:r>
      <w:r>
        <w:rPr>
          <w:rFonts w:hint="eastAsia" w:ascii="宋体" w:hAnsi="宋体" w:eastAsia="宋体" w:cs="宋体"/>
          <w:snapToGrid w:val="0"/>
          <w:color w:val="auto"/>
          <w:kern w:val="0"/>
          <w:sz w:val="24"/>
          <w:szCs w:val="24"/>
          <w:highlight w:val="none"/>
          <w:lang w:val="en-US" w:eastAsia="zh-CN" w:bidi="ar"/>
        </w:rPr>
        <w:t xml:space="preserve">，经双方协商一致，签订本合同，共同执行。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第一条 本合同签订依据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 《中华人民共和国民法典》。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1.2国家及地方有关建设工程勘察设计管理法规和规章。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1.3 建设工程批准文件。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第二条 设计依据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2.1 发包人给设计人的委托书或设计中标文件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2.2 发包人提交的基础资料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bidi="ar"/>
        </w:rPr>
        <w:t>2.3 设计人采用的主要技术标准是：</w:t>
      </w:r>
      <w:r>
        <w:rPr>
          <w:rFonts w:hint="eastAsia" w:ascii="宋体" w:hAnsi="宋体" w:eastAsia="宋体" w:cs="宋体"/>
          <w:snapToGrid w:val="0"/>
          <w:color w:val="auto"/>
          <w:kern w:val="0"/>
          <w:sz w:val="24"/>
          <w:szCs w:val="24"/>
          <w:highlight w:val="none"/>
          <w:u w:val="single"/>
          <w:lang w:val="en-US" w:eastAsia="zh-CN" w:bidi="ar"/>
        </w:rPr>
        <w:t>国家有关标准、规范</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第三条 合同文件的优先次序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构成本合同的文件可视为是能互相说明的，如果合同文件存在歧义或不一致，则根据如下优先次序来判断：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3.1 合同书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3.2 中标通知书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3.3 发包人要求及委托书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3.4 投标书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第四条 本合同项目的名称、规模、阶段、投资及设计内容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highlight w:val="none"/>
          <w:u w:val="none"/>
        </w:rPr>
      </w:pPr>
      <w:r>
        <w:rPr>
          <w:rFonts w:hint="eastAsia" w:ascii="宋体" w:hAnsi="宋体" w:eastAsia="宋体" w:cs="宋体"/>
          <w:snapToGrid w:val="0"/>
          <w:color w:val="auto"/>
          <w:kern w:val="0"/>
          <w:sz w:val="24"/>
          <w:szCs w:val="24"/>
          <w:highlight w:val="none"/>
          <w:lang w:val="en-US" w:eastAsia="zh-CN" w:bidi="ar"/>
        </w:rPr>
        <w:t>4.1 工程名称：</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4.2 工程建设规模：</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eastAsia="宋体" w:cs="宋体"/>
          <w:snapToGrid w:val="0"/>
          <w:color w:val="auto"/>
          <w:kern w:val="0"/>
          <w:sz w:val="24"/>
          <w:szCs w:val="24"/>
          <w:highlight w:val="none"/>
          <w:lang w:val="en-US" w:eastAsia="zh-CN" w:bidi="ar"/>
        </w:rPr>
        <w:t>4.3 工程设计阶段：</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u w:val="none"/>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4.4 工程设计内容：</w:t>
      </w:r>
      <w:r>
        <w:rPr>
          <w:rFonts w:hint="eastAsia" w:ascii="宋体" w:hAnsi="宋体" w:eastAsia="宋体" w:cs="宋体"/>
          <w:snapToGrid w:val="0"/>
          <w:color w:val="auto"/>
          <w:kern w:val="0"/>
          <w:sz w:val="24"/>
          <w:szCs w:val="24"/>
          <w:highlight w:val="none"/>
          <w:u w:val="single"/>
          <w:lang w:val="en-US" w:eastAsia="zh-CN" w:bidi="ar"/>
        </w:rPr>
        <w:t xml:space="preserve"> 包括初步设计（含概算）、施工图设计、施工图预算编制并配合完成财审、施工期服务等工作。</w:t>
      </w:r>
      <w:r>
        <w:rPr>
          <w:rFonts w:hint="eastAsia" w:ascii="宋体" w:hAnsi="宋体" w:eastAsia="宋体" w:cs="宋体"/>
          <w:snapToGrid w:val="0"/>
          <w:color w:val="auto"/>
          <w:kern w:val="0"/>
          <w:sz w:val="24"/>
          <w:szCs w:val="24"/>
          <w:highlight w:val="non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第五条 发包人向设计人提交的有关资料、文件及时间</w:t>
      </w:r>
    </w:p>
    <w:tbl>
      <w:tblPr>
        <w:tblStyle w:val="2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8"/>
        <w:gridCol w:w="5186"/>
        <w:gridCol w:w="597"/>
        <w:gridCol w:w="2405"/>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7"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30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1232"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提交时间</w:t>
            </w:r>
          </w:p>
        </w:tc>
        <w:tc>
          <w:tcPr>
            <w:tcW w:w="46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37" w:type="pct"/>
            <w:vAlign w:val="center"/>
          </w:tcPr>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265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水文、气象及涉及工程范围的当地社经资料</w:t>
            </w:r>
          </w:p>
        </w:tc>
        <w:tc>
          <w:tcPr>
            <w:tcW w:w="30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2"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 7 天内</w:t>
            </w:r>
          </w:p>
        </w:tc>
        <w:tc>
          <w:tcPr>
            <w:tcW w:w="466" w:type="pct"/>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37" w:type="pct"/>
            <w:vAlign w:val="center"/>
          </w:tcPr>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265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已有的建筑物地质、地形资料(若有)</w:t>
            </w:r>
          </w:p>
        </w:tc>
        <w:tc>
          <w:tcPr>
            <w:tcW w:w="30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2"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 7 天内</w:t>
            </w:r>
          </w:p>
        </w:tc>
        <w:tc>
          <w:tcPr>
            <w:tcW w:w="466" w:type="pct"/>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37"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265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沿线建筑物原设计资料、竣工验收资料、运行观测资料(若有)</w:t>
            </w:r>
          </w:p>
        </w:tc>
        <w:tc>
          <w:tcPr>
            <w:tcW w:w="30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2"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 7 天内</w:t>
            </w:r>
          </w:p>
        </w:tc>
        <w:tc>
          <w:tcPr>
            <w:tcW w:w="466" w:type="pct"/>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37" w:type="pct"/>
            <w:vAlign w:val="center"/>
          </w:tcPr>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p>
        </w:tc>
        <w:tc>
          <w:tcPr>
            <w:tcW w:w="265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沿线的通信、供电、防汛、交通系统等资料(若有)</w:t>
            </w:r>
          </w:p>
        </w:tc>
        <w:tc>
          <w:tcPr>
            <w:tcW w:w="30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2"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 7 天内</w:t>
            </w:r>
          </w:p>
        </w:tc>
        <w:tc>
          <w:tcPr>
            <w:tcW w:w="466" w:type="pct"/>
            <w:vAlign w:val="center"/>
          </w:tcPr>
          <w:p>
            <w:pPr>
              <w:jc w:val="center"/>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337"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p>
        </w:tc>
        <w:tc>
          <w:tcPr>
            <w:tcW w:w="265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配合投资估算工作、经济评价基础资料等(若有)</w:t>
            </w:r>
          </w:p>
        </w:tc>
        <w:tc>
          <w:tcPr>
            <w:tcW w:w="306"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2" w:type="pct"/>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 7 天内</w:t>
            </w:r>
          </w:p>
        </w:tc>
        <w:tc>
          <w:tcPr>
            <w:tcW w:w="466" w:type="pct"/>
            <w:vAlign w:val="center"/>
          </w:tcPr>
          <w:p>
            <w:pPr>
              <w:jc w:val="center"/>
              <w:rPr>
                <w:rFonts w:hint="eastAsia" w:ascii="宋体" w:hAnsi="宋体" w:eastAsia="宋体" w:cs="宋体"/>
                <w:color w:val="auto"/>
                <w:sz w:val="24"/>
                <w:szCs w:val="24"/>
                <w:highlight w:val="none"/>
              </w:rPr>
            </w:pPr>
          </w:p>
        </w:tc>
      </w:tr>
    </w:tbl>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第六条 设计人向发包人交付的设计文件、份数及时间 </w:t>
      </w:r>
    </w:p>
    <w:tbl>
      <w:tblPr>
        <w:tblStyle w:val="20"/>
        <w:tblW w:w="4998" w:type="pct"/>
        <w:jc w:val="center"/>
        <w:tblLayout w:type="autofit"/>
        <w:tblCellMar>
          <w:top w:w="0" w:type="dxa"/>
          <w:left w:w="0" w:type="dxa"/>
          <w:bottom w:w="0" w:type="dxa"/>
          <w:right w:w="0" w:type="dxa"/>
        </w:tblCellMar>
      </w:tblPr>
      <w:tblGrid>
        <w:gridCol w:w="750"/>
        <w:gridCol w:w="3172"/>
        <w:gridCol w:w="779"/>
        <w:gridCol w:w="3221"/>
        <w:gridCol w:w="1840"/>
      </w:tblGrid>
      <w:tr>
        <w:tblPrEx>
          <w:tblCellMar>
            <w:top w:w="0" w:type="dxa"/>
            <w:left w:w="0" w:type="dxa"/>
            <w:bottom w:w="0" w:type="dxa"/>
            <w:right w:w="0" w:type="dxa"/>
          </w:tblCellMar>
        </w:tblPrEx>
        <w:trPr>
          <w:trHeight w:val="735" w:hRule="exact"/>
          <w:jc w:val="center"/>
        </w:trPr>
        <w:tc>
          <w:tcPr>
            <w:tcW w:w="384"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24"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设计文件名称</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和内容</w:t>
            </w:r>
          </w:p>
        </w:tc>
        <w:tc>
          <w:tcPr>
            <w:tcW w:w="399"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1649"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 交 日 期</w:t>
            </w:r>
          </w:p>
        </w:tc>
        <w:tc>
          <w:tcPr>
            <w:tcW w:w="942"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备注</w:t>
            </w:r>
          </w:p>
        </w:tc>
      </w:tr>
      <w:tr>
        <w:tblPrEx>
          <w:tblCellMar>
            <w:top w:w="0" w:type="dxa"/>
            <w:left w:w="0" w:type="dxa"/>
            <w:bottom w:w="0" w:type="dxa"/>
            <w:right w:w="0" w:type="dxa"/>
          </w:tblCellMar>
        </w:tblPrEx>
        <w:trPr>
          <w:trHeight w:val="810" w:hRule="exact"/>
          <w:jc w:val="center"/>
        </w:trPr>
        <w:tc>
          <w:tcPr>
            <w:tcW w:w="384"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初步设计报告、图纸、工程概算书</w:t>
            </w:r>
          </w:p>
        </w:tc>
        <w:tc>
          <w:tcPr>
            <w:tcW w:w="399" w:type="pct"/>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649"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合同生效后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天内完成</w:t>
            </w:r>
          </w:p>
        </w:tc>
        <w:tc>
          <w:tcPr>
            <w:tcW w:w="942"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140" w:hRule="exact"/>
          <w:jc w:val="center"/>
        </w:trPr>
        <w:tc>
          <w:tcPr>
            <w:tcW w:w="384"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624" w:type="pct"/>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施工图设计</w:t>
            </w:r>
            <w:r>
              <w:rPr>
                <w:rFonts w:hint="eastAsia" w:ascii="宋体" w:hAnsi="宋体" w:eastAsia="宋体" w:cs="宋体"/>
                <w:color w:val="auto"/>
                <w:sz w:val="24"/>
                <w:szCs w:val="24"/>
                <w:highlight w:val="none"/>
                <w:lang w:val="en-US" w:eastAsia="zh-CN"/>
              </w:rPr>
              <w:t>及预算编制</w:t>
            </w:r>
          </w:p>
        </w:tc>
        <w:tc>
          <w:tcPr>
            <w:tcW w:w="399" w:type="pct"/>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649"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审批部门完成初步设计审批后30日历天内提交</w:t>
            </w:r>
          </w:p>
        </w:tc>
        <w:tc>
          <w:tcPr>
            <w:tcW w:w="942"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p>
        </w:tc>
      </w:tr>
      <w:tr>
        <w:tblPrEx>
          <w:tblCellMar>
            <w:top w:w="0" w:type="dxa"/>
            <w:left w:w="0" w:type="dxa"/>
            <w:bottom w:w="0" w:type="dxa"/>
            <w:right w:w="0" w:type="dxa"/>
          </w:tblCellMar>
        </w:tblPrEx>
        <w:trPr>
          <w:trHeight w:val="1140" w:hRule="exact"/>
          <w:jc w:val="center"/>
        </w:trPr>
        <w:tc>
          <w:tcPr>
            <w:tcW w:w="384"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624"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以上设计文件及图纸光盘</w:t>
            </w:r>
          </w:p>
        </w:tc>
        <w:tc>
          <w:tcPr>
            <w:tcW w:w="399"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49"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数字光盘格式要求：文字采用 doc 格式，表格采用 xls 格式，图纸采用 dwg 格式</w:t>
            </w:r>
          </w:p>
          <w:p>
            <w:pPr>
              <w:jc w:val="center"/>
              <w:rPr>
                <w:rFonts w:hint="eastAsia" w:ascii="宋体" w:hAnsi="宋体" w:eastAsia="宋体" w:cs="宋体"/>
                <w:color w:val="auto"/>
                <w:sz w:val="24"/>
                <w:szCs w:val="24"/>
                <w:highlight w:val="none"/>
              </w:rPr>
            </w:pPr>
          </w:p>
        </w:tc>
        <w:tc>
          <w:tcPr>
            <w:tcW w:w="942" w:type="pct"/>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与上述设计文件及图纸同时提交</w:t>
            </w:r>
          </w:p>
        </w:tc>
      </w:tr>
    </w:tbl>
    <w:p>
      <w:pPr>
        <w:keepNext w:val="0"/>
        <w:keepLines w:val="0"/>
        <w:pageBreakBefore w:val="0"/>
        <w:widowControl/>
        <w:numPr>
          <w:ilvl w:val="0"/>
          <w:numId w:val="4"/>
        </w:numPr>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费用 </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left="251" w:leftChars="114" w:firstLine="240" w:firstLineChars="1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本项目暂定合同价：设计的中标价为人民币</w:t>
      </w:r>
      <w:r>
        <w:rPr>
          <w:rFonts w:hint="eastAsia" w:ascii="宋体" w:hAnsi="宋体" w:eastAsia="宋体" w:cs="宋体"/>
          <w:snapToGrid w:val="0"/>
          <w:color w:val="auto"/>
          <w:kern w:val="0"/>
          <w:sz w:val="24"/>
          <w:szCs w:val="24"/>
          <w:highlight w:val="none"/>
          <w:u w:val="single"/>
          <w:lang w:val="en-US" w:eastAsia="zh-CN" w:bidi="ar"/>
        </w:rPr>
        <w:t xml:space="preserve">    (小写：¥    元)</w:t>
      </w:r>
      <w:r>
        <w:rPr>
          <w:rFonts w:hint="eastAsia" w:ascii="宋体" w:hAnsi="宋体" w:eastAsia="宋体" w:cs="宋体"/>
          <w:snapToGrid w:val="0"/>
          <w:color w:val="auto"/>
          <w:kern w:val="0"/>
          <w:sz w:val="24"/>
          <w:szCs w:val="24"/>
          <w:highlight w:val="none"/>
          <w:lang w:val="en-US" w:eastAsia="zh-CN" w:bidi="ar"/>
        </w:rPr>
        <w:t>；中标下浮率</w:t>
      </w:r>
      <w:r>
        <w:rPr>
          <w:rFonts w:hint="eastAsia" w:ascii="宋体" w:hAnsi="宋体" w:eastAsia="宋体" w:cs="宋体"/>
          <w:snapToGrid w:val="0"/>
          <w:color w:val="auto"/>
          <w:kern w:val="0"/>
          <w:sz w:val="24"/>
          <w:szCs w:val="24"/>
          <w:highlight w:val="none"/>
          <w:u w:val="none"/>
          <w:lang w:val="en-US" w:eastAsia="zh-CN" w:bidi="ar"/>
        </w:rPr>
        <w:t>：</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注：①设计费合同价=设计费最高投标限价×（1-中标下浮率） </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②设计费结算时，参照国家计委、建设部发布计价格〖2002〗10号文《工程勘察设计收费管理规定》及执行《饶平县政府投资项目管理办法》（饶府规〔2021〕1号）的规定设计费下浮20%进行计费，再结合中标下浮率进行结算。结算价最终以财政部门结算审核为准（若审核价高于中标价，则以中标价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设计项目负责人为</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第八条 支付方式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8.1发包人同意按照合同中约定的数额、期限、方式、币种，向设计单位支付本项目服务费。费用按下列方式支付：</w:t>
      </w:r>
    </w:p>
    <w:p>
      <w:pPr>
        <w:keepNext w:val="0"/>
        <w:keepLines w:val="0"/>
        <w:pageBreakBefore w:val="0"/>
        <w:widowControl/>
        <w:numPr>
          <w:ilvl w:val="0"/>
          <w:numId w:val="5"/>
        </w:numPr>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合同签订后且项目资金到账提交完整的支付申请资料，经有关审批程序审批后15个工作日内支付设计合同暂定价的20%；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（2）设计完成且经有关主管部门审查合格后，设计人提出申请且项目资金到账后 ，发包人15个工作日内累计支付至设计合同总额的70%；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（3）工程竣工验收合格经财政投资审核中心定案后，设计人提出申请且项目资金到账后，经财政审核后，发包人支付至审核定案后确定的设计费的100%；</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8.2 双方委托银行代付代收有关费用，设计人在收取每期款项前应提前提供适用于发包人的等额正式发票，经发包人财经制度审核批准后付款。若设计人不能及时提供发票或提供发票不符合发包人要求的，发包人有权拒绝支付任何款项。发包人递交请款材料视为已履约。款项实际到账时间如有延迟，不属于发包人逾期。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第九条 双方责任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9.1 发包人责任：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9.1.1 发包人按本合同第五条规定的内容，在规定的时间内向设计人提交基础资料及文件，并对其完整性、正确性、及时性负责。发包人不得要求设计人违反国家有关标准进行设计。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9.1.3 在合同履行期间，发包人要求终止或解除合同，在合同履行期间，非乙方原因导致甲方提前终止或解除合同，若乙方已开始设计工作的，甲方应根据乙方已开展的实际工作量审核结算后进行支付。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9.1.4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发包人的上级或设计审批部门对设计文件不审批或本合同项目停缓建，发包人应主动与设计人协商解决。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9.1.5 发包人要求设计人比合同规定时间提前交付设计文件时，须征得设计人同意，不得严重背离合理设计周期，且发包人应支付赶工费。</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9.1.6 设计事项以及图纸属于知识产权的，则该知识产权属于发包人。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9.2 设计人责任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9.2.1 设计人应按国家规定和合同约定的技术规范、标准进行设计，按本合同第六条规定的内容、时间及份数向发包人交付设计文件（出现9.1.1、9.1.2、9.1.4 规定有关交付设计文件顺延的情况除外），并对提交的设计文件的质量负责。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9.2.2 设计合理使用年限为</w:t>
      </w:r>
      <w:r>
        <w:rPr>
          <w:rFonts w:hint="eastAsia" w:ascii="宋体" w:hAnsi="宋体" w:eastAsia="宋体" w:cs="宋体"/>
          <w:snapToGrid w:val="0"/>
          <w:color w:val="auto"/>
          <w:kern w:val="0"/>
          <w:sz w:val="24"/>
          <w:szCs w:val="24"/>
          <w:highlight w:val="none"/>
          <w:u w:val="single"/>
          <w:lang w:val="en-US" w:eastAsia="zh-CN" w:bidi="ar"/>
        </w:rPr>
        <w:t xml:space="preserve">  /   </w:t>
      </w:r>
      <w:r>
        <w:rPr>
          <w:rFonts w:hint="eastAsia" w:ascii="宋体" w:hAnsi="宋体" w:eastAsia="宋体" w:cs="宋体"/>
          <w:snapToGrid w:val="0"/>
          <w:color w:val="auto"/>
          <w:kern w:val="0"/>
          <w:sz w:val="24"/>
          <w:szCs w:val="24"/>
          <w:highlight w:val="none"/>
          <w:lang w:val="en-US" w:eastAsia="zh-CN" w:bidi="ar"/>
        </w:rPr>
        <w:t xml:space="preserve">年。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9.2.3 设计人对设计文件出现的遗漏或错误负责修改或补充。由于设计人设计错误造成工程质量事故损失，设计人除负责采取补救措施外，应免收受损失部分的设计费，并根据损失程度向发包人支付赔偿金，具体赔偿金额按相关法律法规执行，但不超过审核定案后确定的设计费总额。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9.2.4 由于设计人原因，延误了设计文件交付时间，每延误一天，应减收该项目应收设计费的千分之二，延期达30日或延期交付严重影响发包人后续工程进展，发包人除主张减收设计费外可提前解除或终止本合同，另行委托设计所涉费用由本合同设计人承担。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9.2.5 设计人交付设计文件后，按规定参加有关上级的设计审查，并根据审查结论负责不超出原定范围的内容做必要调整补充。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第十条 保密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第十一条 其他事项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11.1 本工程项目中，设计人不得指定建筑材料、设备的生产厂或供货商。发包人需要设计人配合建筑材料、设备的加工订货时，所需费用由发包人承担。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11.2 发包人委托设计人配合引进项目的设计任务，从询价、对外谈判、国内外技术考察直至建成投产的各个阶段，应吸收承担有关设计任务的设计人员参加，费用由设计人负责。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11.3 发包人委托设计人承担本合同内容以外的工作服务，另行签订协议并支付费用。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11.4 由于不可抗力因素致使合同无法履行时，双方应及时协商解决。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11.5 本合同在履行过程中发生的争议，由双方当事人协商解决，协商不成的，依法向_项目所在地_人民法院起诉。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11.6 双方认可的来往传真、电报、会议纪要等，均为合同的组成部分，与本合同具有同等法律效力。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 xml:space="preserve">11.7 未尽事宜，经双方协商一致，签订补充协议，补充协议与本合同具有同等效力。 </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第十二条 本合同一式</w:t>
      </w:r>
      <w:r>
        <w:rPr>
          <w:rFonts w:hint="eastAsia" w:ascii="宋体" w:hAnsi="宋体" w:eastAsia="宋体" w:cs="宋体"/>
          <w:i w:val="0"/>
          <w:iCs w:val="0"/>
          <w:snapToGrid w:val="0"/>
          <w:color w:val="auto"/>
          <w:kern w:val="0"/>
          <w:sz w:val="24"/>
          <w:szCs w:val="24"/>
          <w:highlight w:val="none"/>
          <w:u w:val="single"/>
          <w:lang w:val="en-US" w:eastAsia="zh-CN" w:bidi="ar"/>
        </w:rPr>
        <w:t xml:space="preserve"> 肆 </w:t>
      </w:r>
      <w:r>
        <w:rPr>
          <w:rFonts w:hint="eastAsia" w:ascii="宋体" w:hAnsi="宋体" w:eastAsia="宋体" w:cs="宋体"/>
          <w:snapToGrid w:val="0"/>
          <w:color w:val="auto"/>
          <w:kern w:val="0"/>
          <w:sz w:val="24"/>
          <w:szCs w:val="24"/>
          <w:highlight w:val="none"/>
          <w:lang w:val="en-US" w:eastAsia="zh-CN" w:bidi="ar"/>
        </w:rPr>
        <w:t>份，发包人</w:t>
      </w:r>
      <w:r>
        <w:rPr>
          <w:rFonts w:hint="eastAsia" w:ascii="宋体" w:hAnsi="宋体" w:eastAsia="宋体" w:cs="宋体"/>
          <w:snapToGrid w:val="0"/>
          <w:color w:val="auto"/>
          <w:kern w:val="0"/>
          <w:sz w:val="24"/>
          <w:szCs w:val="24"/>
          <w:highlight w:val="none"/>
          <w:u w:val="single"/>
          <w:lang w:val="en-US" w:eastAsia="zh-CN" w:bidi="ar"/>
        </w:rPr>
        <w:t xml:space="preserve">2 </w:t>
      </w:r>
      <w:r>
        <w:rPr>
          <w:rFonts w:hint="eastAsia" w:ascii="宋体" w:hAnsi="宋体" w:eastAsia="宋体" w:cs="宋体"/>
          <w:snapToGrid w:val="0"/>
          <w:color w:val="auto"/>
          <w:kern w:val="0"/>
          <w:sz w:val="24"/>
          <w:szCs w:val="24"/>
          <w:highlight w:val="none"/>
          <w:lang w:val="en-US" w:eastAsia="zh-CN" w:bidi="ar"/>
        </w:rPr>
        <w:t>份，设计人</w:t>
      </w:r>
      <w:r>
        <w:rPr>
          <w:rFonts w:hint="eastAsia" w:ascii="宋体" w:hAnsi="宋体" w:eastAsia="宋体" w:cs="宋体"/>
          <w:snapToGrid w:val="0"/>
          <w:color w:val="auto"/>
          <w:kern w:val="0"/>
          <w:sz w:val="24"/>
          <w:szCs w:val="24"/>
          <w:highlight w:val="none"/>
          <w:u w:val="single"/>
          <w:lang w:val="en-US" w:eastAsia="zh-CN" w:bidi="ar"/>
        </w:rPr>
        <w:t xml:space="preserve">2 </w:t>
      </w:r>
      <w:r>
        <w:rPr>
          <w:rFonts w:hint="eastAsia" w:ascii="宋体" w:hAnsi="宋体" w:eastAsia="宋体" w:cs="宋体"/>
          <w:snapToGrid w:val="0"/>
          <w:color w:val="auto"/>
          <w:kern w:val="0"/>
          <w:sz w:val="24"/>
          <w:szCs w:val="24"/>
          <w:highlight w:val="none"/>
          <w:lang w:val="en-US" w:eastAsia="zh-CN" w:bidi="ar"/>
        </w:rPr>
        <w:t xml:space="preserve">份。 </w:t>
      </w:r>
    </w:p>
    <w:p>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 xml:space="preserve">发包人：（盖章）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 xml:space="preserve">法定代表人：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 xml:space="preserve">开户银行：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 xml:space="preserve">帐 号： </w:t>
      </w:r>
    </w:p>
    <w:p>
      <w:pPr>
        <w:keepNext w:val="0"/>
        <w:keepLines w:val="0"/>
        <w:widowControl/>
        <w:suppressLineNumbers w:val="0"/>
        <w:spacing w:line="360" w:lineRule="auto"/>
        <w:jc w:val="left"/>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spacing w:line="360" w:lineRule="auto"/>
        <w:jc w:val="left"/>
        <w:rPr>
          <w:rFonts w:hint="eastAsia" w:ascii="宋体" w:hAnsi="宋体" w:eastAsia="宋体" w:cs="宋体"/>
          <w:snapToGrid w:val="0"/>
          <w:color w:val="auto"/>
          <w:kern w:val="0"/>
          <w:sz w:val="24"/>
          <w:szCs w:val="24"/>
          <w:highlight w:val="none"/>
          <w:lang w:val="en-US" w:eastAsia="zh-CN" w:bidi="ar"/>
        </w:rPr>
      </w:pP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 xml:space="preserve">设计人：（盖章）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 xml:space="preserve">法定代表人：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 xml:space="preserve">开户银行： </w:t>
      </w:r>
    </w:p>
    <w:p>
      <w:pPr>
        <w:keepNext w:val="0"/>
        <w:keepLines w:val="0"/>
        <w:widowControl/>
        <w:suppressLineNumbers w:val="0"/>
        <w:spacing w:line="360" w:lineRule="auto"/>
        <w:jc w:val="left"/>
        <w:rPr>
          <w:color w:val="auto"/>
          <w:sz w:val="21"/>
          <w:szCs w:val="21"/>
          <w:highlight w:val="none"/>
        </w:rPr>
      </w:pPr>
      <w:r>
        <w:rPr>
          <w:rFonts w:hint="eastAsia" w:ascii="宋体" w:hAnsi="宋体" w:eastAsia="宋体" w:cs="宋体"/>
          <w:snapToGrid w:val="0"/>
          <w:color w:val="auto"/>
          <w:kern w:val="0"/>
          <w:sz w:val="24"/>
          <w:szCs w:val="24"/>
          <w:highlight w:val="none"/>
          <w:lang w:val="en-US" w:eastAsia="zh-CN" w:bidi="ar"/>
        </w:rPr>
        <w:t>帐 号：</w:t>
      </w:r>
    </w:p>
    <w:p>
      <w:pPr>
        <w:pageBreakBefore w:val="0"/>
        <w:widowControl/>
        <w:kinsoku w:val="0"/>
        <w:wordWrap/>
        <w:overflowPunct/>
        <w:topLinePunct w:val="0"/>
        <w:autoSpaceDE w:val="0"/>
        <w:autoSpaceDN w:val="0"/>
        <w:bidi w:val="0"/>
        <w:adjustRightInd w:val="0"/>
        <w:snapToGrid w:val="0"/>
        <w:ind w:left="0" w:right="0" w:firstLine="480" w:firstLineChars="200"/>
        <w:textAlignment w:val="baseline"/>
        <w:rPr>
          <w:rFonts w:hint="eastAsia" w:ascii="宋体" w:hAnsi="宋体" w:eastAsia="宋体" w:cs="宋体"/>
          <w:color w:val="auto"/>
          <w:sz w:val="24"/>
          <w:szCs w:val="24"/>
          <w:highlight w:val="none"/>
        </w:rPr>
      </w:pPr>
    </w:p>
    <w:p>
      <w:pPr>
        <w:rPr>
          <w:color w:val="auto"/>
          <w:highlight w:val="none"/>
        </w:rPr>
      </w:pPr>
    </w:p>
    <w:p>
      <w:pPr>
        <w:spacing w:line="240" w:lineRule="auto"/>
        <w:jc w:val="left"/>
        <w:outlineLvl w:val="9"/>
        <w:rPr>
          <w:b/>
          <w:bCs/>
          <w:color w:val="auto"/>
          <w:sz w:val="40"/>
          <w:szCs w:val="40"/>
          <w:highlight w:val="none"/>
        </w:rPr>
      </w:pPr>
      <w:bookmarkStart w:id="109" w:name="_Toc18837"/>
      <w:r>
        <w:rPr>
          <w:b/>
          <w:bCs/>
          <w:color w:val="auto"/>
          <w:sz w:val="40"/>
          <w:szCs w:val="40"/>
          <w:highlight w:val="none"/>
        </w:rPr>
        <w:br w:type="page"/>
      </w:r>
    </w:p>
    <w:p>
      <w:pPr>
        <w:spacing w:line="360" w:lineRule="auto"/>
        <w:jc w:val="center"/>
        <w:outlineLvl w:val="0"/>
        <w:rPr>
          <w:b/>
          <w:bCs/>
          <w:color w:val="auto"/>
          <w:sz w:val="40"/>
          <w:szCs w:val="40"/>
          <w:highlight w:val="none"/>
        </w:rPr>
      </w:pPr>
      <w:r>
        <w:rPr>
          <w:b/>
          <w:bCs/>
          <w:color w:val="auto"/>
          <w:sz w:val="40"/>
          <w:szCs w:val="40"/>
          <w:highlight w:val="none"/>
        </w:rPr>
        <w:t>第五章发包人要求</w:t>
      </w:r>
      <w:bookmarkEnd w:id="109"/>
    </w:p>
    <w:p>
      <w:pP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br w:type="page"/>
      </w:r>
    </w:p>
    <w:p>
      <w:pPr>
        <w:pStyle w:val="3"/>
        <w:spacing w:line="360" w:lineRule="auto"/>
        <w:ind w:firstLine="0"/>
        <w:jc w:val="center"/>
        <w:rPr>
          <w:rFonts w:hint="eastAsia" w:ascii="宋体" w:hAnsi="宋体" w:eastAsia="宋体" w:cs="宋体"/>
          <w:color w:val="auto"/>
          <w:sz w:val="36"/>
          <w:szCs w:val="36"/>
          <w:highlight w:val="none"/>
        </w:rPr>
      </w:pPr>
      <w:bookmarkStart w:id="110" w:name="_Toc12724"/>
      <w:r>
        <w:rPr>
          <w:rFonts w:hint="eastAsia" w:ascii="宋体" w:hAnsi="宋体" w:eastAsia="宋体" w:cs="宋体"/>
          <w:b/>
          <w:bCs/>
          <w:color w:val="auto"/>
          <w:kern w:val="0"/>
          <w:sz w:val="36"/>
          <w:szCs w:val="36"/>
          <w:highlight w:val="none"/>
          <w:lang w:val="en-US" w:eastAsia="zh-CN"/>
        </w:rPr>
        <w:t>饶平县汫洲镇</w:t>
      </w:r>
      <w:r>
        <w:rPr>
          <w:rFonts w:hint="eastAsia" w:ascii="宋体" w:hAnsi="宋体" w:eastAsia="宋体" w:cs="宋体"/>
          <w:b/>
          <w:bCs/>
          <w:color w:val="auto"/>
          <w:kern w:val="0"/>
          <w:sz w:val="36"/>
          <w:szCs w:val="36"/>
          <w:highlight w:val="none"/>
        </w:rPr>
        <w:t>三百门渔港升级改造工程</w:t>
      </w:r>
      <w:r>
        <w:rPr>
          <w:rFonts w:hint="eastAsia" w:ascii="宋体" w:hAnsi="宋体" w:eastAsia="宋体" w:cs="宋体"/>
          <w:b/>
          <w:color w:val="auto"/>
          <w:sz w:val="36"/>
          <w:szCs w:val="36"/>
          <w:highlight w:val="none"/>
        </w:rPr>
        <w:t>设计任务书</w:t>
      </w:r>
      <w:bookmarkEnd w:id="110"/>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11" w:name="_Toc1120"/>
      <w:r>
        <w:rPr>
          <w:rFonts w:hint="eastAsia" w:ascii="宋体" w:hAnsi="宋体" w:eastAsia="宋体" w:cs="宋体"/>
          <w:color w:val="auto"/>
          <w:sz w:val="21"/>
          <w:szCs w:val="21"/>
          <w:highlight w:val="none"/>
        </w:rPr>
        <w:t>工程概况及背景</w:t>
      </w:r>
      <w:bookmarkEnd w:id="111"/>
    </w:p>
    <w:p>
      <w:pPr>
        <w:pStyle w:val="4"/>
        <w:spacing w:line="360" w:lineRule="auto"/>
        <w:rPr>
          <w:rFonts w:hint="eastAsia" w:cs="宋体"/>
          <w:color w:val="auto"/>
          <w:sz w:val="21"/>
          <w:szCs w:val="21"/>
          <w:highlight w:val="none"/>
        </w:rPr>
      </w:pPr>
      <w:bookmarkStart w:id="112" w:name="_Toc23237"/>
      <w:bookmarkStart w:id="113" w:name="_Toc32309"/>
      <w:r>
        <w:rPr>
          <w:rFonts w:hint="eastAsia" w:cs="宋体"/>
          <w:color w:val="auto"/>
          <w:sz w:val="21"/>
          <w:szCs w:val="21"/>
          <w:highlight w:val="none"/>
          <w:lang w:val="en-US" w:eastAsia="zh-CN"/>
        </w:rPr>
        <w:t>1.1</w:t>
      </w:r>
      <w:r>
        <w:rPr>
          <w:rFonts w:hint="eastAsia" w:cs="宋体"/>
          <w:color w:val="auto"/>
          <w:sz w:val="21"/>
          <w:szCs w:val="21"/>
          <w:highlight w:val="none"/>
        </w:rPr>
        <w:t>工程概况</w:t>
      </w:r>
      <w:bookmarkEnd w:id="112"/>
      <w:bookmarkEnd w:id="113"/>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新建7个渔船码头泊位（200HP渔船泊位1个，400HP渔船泊位2个，600HP渔船泊位4个）、1个休闲渔船泊位和1个300吨渔政船泊位，新建码头长度474m。新建渔港管理处200㎡；新建渔港小桥梁一座；渔港生产道路改造10750㎡；新建渔港大门一座；灯塔改造一座；以及对原有给排水、供电等配套设施进行改造。港池航道疏浚50万m³，港内锚地面积8.7万㎡；设计渔货卸港量10万吨/年。</w:t>
      </w:r>
    </w:p>
    <w:p>
      <w:pPr>
        <w:pStyle w:val="4"/>
        <w:spacing w:line="360" w:lineRule="auto"/>
        <w:rPr>
          <w:rFonts w:hint="eastAsia" w:cs="宋体"/>
          <w:color w:val="auto"/>
          <w:sz w:val="21"/>
          <w:szCs w:val="21"/>
          <w:highlight w:val="none"/>
        </w:rPr>
      </w:pPr>
      <w:bookmarkStart w:id="114" w:name="_Toc16989"/>
      <w:bookmarkStart w:id="115" w:name="_Toc127261966"/>
      <w:bookmarkStart w:id="116" w:name="_Toc25917"/>
      <w:r>
        <w:rPr>
          <w:rFonts w:hint="eastAsia" w:cs="宋体"/>
          <w:color w:val="auto"/>
          <w:sz w:val="21"/>
          <w:szCs w:val="21"/>
          <w:highlight w:val="none"/>
        </w:rPr>
        <w:t>项目背景</w:t>
      </w:r>
      <w:bookmarkEnd w:id="114"/>
      <w:bookmarkEnd w:id="115"/>
      <w:bookmarkEnd w:id="116"/>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饶平县地处闽粤交界，有各类渔船、辅助船三千多艘，全县21个镇，其中涉海（渔）镇6个、渔业村22个、人口40多万人，占全县总人口的40%。是“全国渔业百强县”、“省海水养殖先进县”和“省水产品生产先进县”、“省出口水产品质量安全示范区”。</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百门一级渔港位于汫洲镇，23°36′38″N，116°57′54″E，于1982年经省水产厅批准建设，2005年批准升级建设一级渔港。三百门一级渔港目前现有水域面积48万㎡（其中，西港池水域18万㎡，东港池水域30万㎡），防波堤1080m，码头432m，可满足1200条船停泊。目前，由于三百门渔港经营性部分设施入驻企业资金周转困难，港内装卸及渔船补给配套设施未能及时建成投入使用，渔货深加工及物流网等相对高附加值产业未能形成规模，渔港的现代化建设及多元化发展停滞不前，严重阻碍了当地渔业经济的发展。同时，长期以来，受海岸沿岸输沙的影响，渔港港池逐年淤浅，特别是外港池的避风锚地，在低潮时已有大部分区域水深不足1m，甚至少部分区域露滩，无法使用，渔船通航安全存在极大安全隐患，当地渔民生命财产受到重大威胁，本项目建设迫在眉睫。</w:t>
      </w:r>
    </w:p>
    <w:p>
      <w:pPr>
        <w:pStyle w:val="4"/>
        <w:spacing w:line="360" w:lineRule="auto"/>
        <w:rPr>
          <w:rFonts w:hint="eastAsia" w:cs="宋体"/>
          <w:color w:val="auto"/>
          <w:sz w:val="21"/>
          <w:szCs w:val="21"/>
          <w:highlight w:val="none"/>
        </w:rPr>
      </w:pPr>
      <w:bookmarkStart w:id="117" w:name="_Toc2909"/>
      <w:r>
        <w:rPr>
          <w:rFonts w:hint="eastAsia" w:cs="宋体"/>
          <w:color w:val="auto"/>
          <w:sz w:val="21"/>
          <w:szCs w:val="21"/>
          <w:highlight w:val="none"/>
          <w:lang w:val="en-US" w:eastAsia="zh-CN"/>
        </w:rPr>
        <w:t>1.2</w:t>
      </w:r>
      <w:r>
        <w:rPr>
          <w:rFonts w:hint="eastAsia" w:cs="宋体"/>
          <w:color w:val="auto"/>
          <w:sz w:val="21"/>
          <w:szCs w:val="21"/>
          <w:highlight w:val="none"/>
        </w:rPr>
        <w:t>招标范围</w:t>
      </w:r>
      <w:bookmarkEnd w:id="117"/>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包括初步设计、施工图设计、完成施工图预算编制并配合完成财审等。各项设计应满足当前相关国家规范、标准、法律法规等规定。</w:t>
      </w:r>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18" w:name="_Toc12453"/>
      <w:r>
        <w:rPr>
          <w:rFonts w:hint="eastAsia" w:ascii="宋体" w:hAnsi="宋体" w:eastAsia="宋体" w:cs="宋体"/>
          <w:color w:val="auto"/>
          <w:sz w:val="21"/>
          <w:szCs w:val="21"/>
          <w:highlight w:val="none"/>
        </w:rPr>
        <w:t>设计要求</w:t>
      </w:r>
      <w:bookmarkEnd w:id="118"/>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（1）满足相关的行业标准、规范等要求；</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（2）满足建构筑物的使用要求；</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（3）符合总体设计规划；</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（4）选择合理的技术措施；</w:t>
      </w:r>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19" w:name="_Toc15848"/>
      <w:r>
        <w:rPr>
          <w:rFonts w:hint="eastAsia" w:ascii="宋体" w:hAnsi="宋体" w:eastAsia="宋体" w:cs="宋体"/>
          <w:color w:val="auto"/>
          <w:sz w:val="21"/>
          <w:szCs w:val="21"/>
          <w:highlight w:val="none"/>
        </w:rPr>
        <w:t>地理位置图和总图</w:t>
      </w:r>
      <w:bookmarkEnd w:id="119"/>
    </w:p>
    <w:p>
      <w:pPr>
        <w:spacing w:line="360" w:lineRule="auto"/>
        <w:ind w:firstLine="4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drawing>
          <wp:inline distT="0" distB="0" distL="114300" distR="114300">
            <wp:extent cx="5551170" cy="2933700"/>
            <wp:effectExtent l="0" t="0" r="1143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rcRect t="15399"/>
                    <a:stretch>
                      <a:fillRect/>
                    </a:stretch>
                  </pic:blipFill>
                  <pic:spPr>
                    <a:xfrm>
                      <a:off x="0" y="0"/>
                      <a:ext cx="5551170" cy="2933700"/>
                    </a:xfrm>
                    <a:prstGeom prst="rect">
                      <a:avLst/>
                    </a:prstGeom>
                    <a:noFill/>
                    <a:ln>
                      <a:noFill/>
                    </a:ln>
                  </pic:spPr>
                </pic:pic>
              </a:graphicData>
            </a:graphic>
          </wp:inline>
        </w:drawing>
      </w:r>
    </w:p>
    <w:p>
      <w:pPr>
        <w:pStyle w:val="19"/>
        <w:spacing w:line="360" w:lineRule="auto"/>
        <w:ind w:firstLine="0" w:firstLineChars="0"/>
        <w:rPr>
          <w:rFonts w:hint="eastAsia" w:hAnsi="宋体" w:eastAsia="宋体" w:cs="宋体"/>
          <w:color w:val="auto"/>
          <w:sz w:val="21"/>
          <w:szCs w:val="21"/>
          <w:highlight w:val="none"/>
          <w:lang w:val="en-US"/>
        </w:rPr>
      </w:pPr>
      <w:r>
        <w:rPr>
          <w:rFonts w:hint="eastAsia" w:hAnsi="宋体" w:eastAsia="宋体" w:cs="宋体"/>
          <w:color w:val="auto"/>
          <w:sz w:val="21"/>
          <w:szCs w:val="21"/>
          <w:highlight w:val="none"/>
        </w:rPr>
        <w:drawing>
          <wp:inline distT="0" distB="0" distL="114300" distR="114300">
            <wp:extent cx="6043295" cy="5763895"/>
            <wp:effectExtent l="0" t="0" r="1460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6043295" cy="5763895"/>
                    </a:xfrm>
                    <a:prstGeom prst="rect">
                      <a:avLst/>
                    </a:prstGeom>
                    <a:noFill/>
                    <a:ln>
                      <a:noFill/>
                    </a:ln>
                  </pic:spPr>
                </pic:pic>
              </a:graphicData>
            </a:graphic>
          </wp:inline>
        </w:drawing>
      </w:r>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20" w:name="_Toc25850"/>
      <w:r>
        <w:rPr>
          <w:rFonts w:hint="eastAsia" w:ascii="宋体" w:hAnsi="宋体" w:eastAsia="宋体" w:cs="宋体"/>
          <w:color w:val="auto"/>
          <w:sz w:val="21"/>
          <w:szCs w:val="21"/>
          <w:highlight w:val="none"/>
        </w:rPr>
        <w:t>依据、文件</w:t>
      </w:r>
      <w:bookmarkEnd w:id="120"/>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（1）《全国沿海渔港建设规划（2018-2025年）》（国家发展改革委、农业农村部，2018年）；</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（2）《广东省海洋功能区划（2011-2020年）》（粤府〔2013〕9号）；</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（3）《广东省海洋主体功能区规划》（粤府函〔2017〕359号）；</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（4）《广东省现代渔港建设规划（2016-2025年）》（广东省海洋与渔业厅，中国水产科学研究院渔业工程研究所，2017年2月）；</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（5）《潮州市饶平县城总体规划（2012——2035年）》（饶平县人民政府，广东省科学院广州地理研究所，粤科城市与区域规划研究中心，2019年4月）；</w:t>
      </w:r>
    </w:p>
    <w:p>
      <w:pPr>
        <w:spacing w:line="360" w:lineRule="auto"/>
        <w:ind w:firstLine="480"/>
        <w:outlineLvl w:val="2"/>
        <w:rPr>
          <w:rFonts w:hint="eastAsia" w:ascii="宋体" w:hAnsi="宋体" w:eastAsia="宋体" w:cs="宋体"/>
          <w:color w:val="auto"/>
          <w:sz w:val="21"/>
          <w:szCs w:val="21"/>
          <w:highlight w:val="none"/>
        </w:rPr>
      </w:pPr>
      <w:bookmarkStart w:id="121" w:name="_Toc28830"/>
      <w:r>
        <w:rPr>
          <w:rFonts w:hint="eastAsia" w:ascii="宋体" w:hAnsi="宋体" w:eastAsia="宋体" w:cs="宋体"/>
          <w:color w:val="auto"/>
          <w:sz w:val="21"/>
          <w:szCs w:val="21"/>
          <w:highlight w:val="none"/>
        </w:rPr>
        <w:t>（6）《潮州港总体规划》（潮州市人民政府，2012年6月）；</w:t>
      </w:r>
      <w:bookmarkEnd w:id="121"/>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（7）《饶平县现代渔港建设总体规划（2015年-2025年）》（饶平县海洋与渔业局，2015年6月）；</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（8）《广东省潮州市饶平渔港经济区总体规划（2020~2025年）》；</w:t>
      </w:r>
    </w:p>
    <w:p>
      <w:pPr>
        <w:spacing w:line="360" w:lineRule="auto"/>
        <w:ind w:firstLine="480"/>
        <w:outlineLvl w:val="2"/>
        <w:rPr>
          <w:rFonts w:hint="eastAsia" w:ascii="宋体" w:hAnsi="宋体" w:eastAsia="宋体" w:cs="宋体"/>
          <w:color w:val="auto"/>
          <w:sz w:val="21"/>
          <w:szCs w:val="21"/>
          <w:highlight w:val="none"/>
        </w:rPr>
      </w:pPr>
      <w:bookmarkStart w:id="122" w:name="_Toc17109"/>
      <w:r>
        <w:rPr>
          <w:rFonts w:hint="eastAsia" w:ascii="宋体" w:hAnsi="宋体" w:eastAsia="宋体" w:cs="宋体"/>
          <w:color w:val="auto"/>
          <w:sz w:val="21"/>
          <w:szCs w:val="21"/>
          <w:highlight w:val="none"/>
        </w:rPr>
        <w:t>（9）《饶平渔港经济区建设规划》（2021-2030年）；</w:t>
      </w:r>
      <w:bookmarkEnd w:id="122"/>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（10）《广东省饶平县三百门国家一级渔港一期工程初步设计》（广东省海洋与渔业勘测设计院，2006年11月）；</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（11）《饶平县饶平渔港经济区前期勘察项目岩土工程勘察报告》（广东邦鑫数据科技股份有限公司，2020年12月）；</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（12）地形测量图（广东邦鑫数据科技股份有限公司，2020年7月的）；</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（13）《三百门中心渔港升级改造项目波浪专题研究报告》（广东邦鑫数据科技股份有限公司，2021年1月）；</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（14）《三百门中心渔港升级改造项目潮流泥沙数值模拟报告》（广东邦鑫数据科技股份有限公司，2021年1月）。</w:t>
      </w:r>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23" w:name="_Toc17852"/>
      <w:r>
        <w:rPr>
          <w:rFonts w:hint="eastAsia" w:ascii="宋体" w:hAnsi="宋体" w:eastAsia="宋体" w:cs="宋体"/>
          <w:color w:val="auto"/>
          <w:sz w:val="21"/>
          <w:szCs w:val="21"/>
          <w:highlight w:val="none"/>
        </w:rPr>
        <w:t>气候与地质条件</w:t>
      </w:r>
      <w:bookmarkEnd w:id="123"/>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饶平处低纬度地区，濒临南海，属亚热带海洋性季风气候，气候温和，日照充足。由于受季风影响明显，区内雨量充沛，但时空分配不均，夏秋多暴雨。</w:t>
      </w:r>
    </w:p>
    <w:p>
      <w:pPr>
        <w:pStyle w:val="4"/>
        <w:spacing w:line="360" w:lineRule="auto"/>
        <w:rPr>
          <w:rFonts w:hint="eastAsia" w:cs="宋体"/>
          <w:color w:val="auto"/>
          <w:sz w:val="21"/>
          <w:szCs w:val="21"/>
          <w:highlight w:val="none"/>
        </w:rPr>
      </w:pPr>
      <w:bookmarkStart w:id="124" w:name="_Toc1429"/>
      <w:r>
        <w:rPr>
          <w:rFonts w:hint="eastAsia" w:cs="宋体"/>
          <w:color w:val="auto"/>
          <w:sz w:val="21"/>
          <w:szCs w:val="21"/>
          <w:highlight w:val="none"/>
          <w:lang w:val="en-US" w:eastAsia="zh-CN"/>
        </w:rPr>
        <w:t>5.1</w:t>
      </w:r>
      <w:r>
        <w:rPr>
          <w:rFonts w:hint="eastAsia" w:cs="宋体"/>
          <w:color w:val="auto"/>
          <w:sz w:val="21"/>
          <w:szCs w:val="21"/>
          <w:highlight w:val="none"/>
        </w:rPr>
        <w:t>气温</w:t>
      </w:r>
      <w:bookmarkEnd w:id="124"/>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多年平均气温：21.6℃；</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最高月平均气温：28.3℃；</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最低月平均气温：13.4℃；</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历年极端最高气温：38.6℃；</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历年极端最低气温：0.5℃。</w:t>
      </w:r>
    </w:p>
    <w:p>
      <w:pPr>
        <w:pStyle w:val="4"/>
        <w:spacing w:line="360" w:lineRule="auto"/>
        <w:rPr>
          <w:rFonts w:hint="eastAsia" w:cs="宋体"/>
          <w:color w:val="auto"/>
          <w:sz w:val="21"/>
          <w:szCs w:val="21"/>
          <w:highlight w:val="none"/>
        </w:rPr>
      </w:pPr>
      <w:bookmarkStart w:id="125" w:name="_Toc3281"/>
      <w:r>
        <w:rPr>
          <w:rFonts w:hint="eastAsia" w:cs="宋体"/>
          <w:color w:val="auto"/>
          <w:sz w:val="21"/>
          <w:szCs w:val="21"/>
          <w:highlight w:val="none"/>
          <w:lang w:val="en-US" w:eastAsia="zh-CN"/>
        </w:rPr>
        <w:t>5.2</w:t>
      </w:r>
      <w:r>
        <w:rPr>
          <w:rFonts w:hint="eastAsia" w:cs="宋体"/>
          <w:color w:val="auto"/>
          <w:sz w:val="21"/>
          <w:szCs w:val="21"/>
          <w:highlight w:val="none"/>
        </w:rPr>
        <w:t>降水</w:t>
      </w:r>
      <w:bookmarkEnd w:id="125"/>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本地区雨量充沛，每年5月至8月为雨季，降水量占全年的60％，各月降水量都在200mm或以上，但年内雨量分配不均。其主要特征值如下：</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多年平均降水量：1506.5mm；</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多年日最大降水量：259.1mm；</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历年年最大降水量：2173.8mm；</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历年年最小降水量：942.0mm。</w:t>
      </w:r>
    </w:p>
    <w:p>
      <w:pPr>
        <w:pStyle w:val="4"/>
        <w:spacing w:line="360" w:lineRule="auto"/>
        <w:rPr>
          <w:rFonts w:hint="eastAsia" w:cs="宋体"/>
          <w:color w:val="auto"/>
          <w:sz w:val="21"/>
          <w:szCs w:val="21"/>
          <w:highlight w:val="none"/>
        </w:rPr>
      </w:pPr>
      <w:bookmarkStart w:id="126" w:name="_Toc373"/>
      <w:r>
        <w:rPr>
          <w:rFonts w:hint="eastAsia" w:cs="宋体"/>
          <w:color w:val="auto"/>
          <w:sz w:val="21"/>
          <w:szCs w:val="21"/>
          <w:highlight w:val="none"/>
          <w:lang w:val="en-US" w:eastAsia="zh-CN"/>
        </w:rPr>
        <w:t>5.3</w:t>
      </w:r>
      <w:r>
        <w:rPr>
          <w:rFonts w:hint="eastAsia" w:cs="宋体"/>
          <w:color w:val="auto"/>
          <w:sz w:val="21"/>
          <w:szCs w:val="21"/>
          <w:highlight w:val="none"/>
        </w:rPr>
        <w:t>风况</w:t>
      </w:r>
      <w:bookmarkEnd w:id="126"/>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澳海洋站（位于汕头南澳岛，在本项目东南约25km）地处季风区，风向和风速随季节变化明显。秋、冬季盛行东北风，春季以东东北风居多，东北风次之。风速多年平均值为6.1m/s。秋季风速较大，其中11月风速最大，多年平均值为8.2m/s。春夏季风速较小，其中7月风速最小，多年平均值为3.7m/s。历年最大风速为40.0m/s，风向SE，出现在1969年7月28日，为6903号台风所致。</w:t>
      </w:r>
    </w:p>
    <w:p>
      <w:pPr>
        <w:pStyle w:val="4"/>
        <w:spacing w:line="360" w:lineRule="auto"/>
        <w:rPr>
          <w:rFonts w:hint="eastAsia" w:cs="宋体"/>
          <w:color w:val="auto"/>
          <w:sz w:val="21"/>
          <w:szCs w:val="21"/>
          <w:highlight w:val="none"/>
        </w:rPr>
      </w:pPr>
      <w:bookmarkStart w:id="127" w:name="_Toc736"/>
      <w:bookmarkStart w:id="128" w:name="_Toc10351"/>
      <w:r>
        <w:rPr>
          <w:rFonts w:hint="eastAsia" w:cs="宋体"/>
          <w:color w:val="auto"/>
          <w:sz w:val="21"/>
          <w:szCs w:val="21"/>
          <w:highlight w:val="none"/>
          <w:lang w:val="en-US" w:eastAsia="zh-CN"/>
        </w:rPr>
        <w:t>5.4</w:t>
      </w:r>
      <w:r>
        <w:rPr>
          <w:rFonts w:hint="eastAsia" w:cs="宋体"/>
          <w:color w:val="auto"/>
          <w:sz w:val="21"/>
          <w:szCs w:val="21"/>
          <w:highlight w:val="none"/>
        </w:rPr>
        <w:t>工程地质</w:t>
      </w:r>
      <w:bookmarkEnd w:id="127"/>
      <w:bookmarkEnd w:id="128"/>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依据《饶平县饶平渔港经济区前期勘察项目岩土工程勘察报告》（广东邦鑫数据科技股份有限公司，2020年12月），本项目工程地质概述如下：</w:t>
      </w:r>
    </w:p>
    <w:p>
      <w:pPr>
        <w:pStyle w:val="4"/>
        <w:spacing w:line="360" w:lineRule="auto"/>
        <w:rPr>
          <w:rFonts w:hint="eastAsia" w:cs="宋体"/>
          <w:color w:val="auto"/>
          <w:sz w:val="21"/>
          <w:szCs w:val="21"/>
          <w:highlight w:val="none"/>
        </w:rPr>
      </w:pPr>
      <w:bookmarkStart w:id="129" w:name="_Toc30973"/>
      <w:r>
        <w:rPr>
          <w:rFonts w:hint="eastAsia" w:cs="宋体"/>
          <w:color w:val="auto"/>
          <w:sz w:val="21"/>
          <w:szCs w:val="21"/>
          <w:highlight w:val="none"/>
          <w:lang w:val="en-US" w:eastAsia="zh-CN"/>
        </w:rPr>
        <w:t>5.5</w:t>
      </w:r>
      <w:r>
        <w:rPr>
          <w:rFonts w:hint="eastAsia" w:cs="宋体"/>
          <w:color w:val="auto"/>
          <w:sz w:val="21"/>
          <w:szCs w:val="21"/>
          <w:highlight w:val="none"/>
        </w:rPr>
        <w:t>工程地质构造</w:t>
      </w:r>
      <w:bookmarkEnd w:id="129"/>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经查阅中国地质调查局地质云1：20万地质图（F5004图幅），本场区地层主要为第四系桂洲群组及花岗岩，拟建项目范围内未发现断裂带。</w:t>
      </w:r>
    </w:p>
    <w:p>
      <w:pPr>
        <w:pStyle w:val="4"/>
        <w:spacing w:line="360" w:lineRule="auto"/>
        <w:rPr>
          <w:rFonts w:hint="eastAsia" w:cs="宋体"/>
          <w:color w:val="auto"/>
          <w:sz w:val="21"/>
          <w:szCs w:val="21"/>
          <w:highlight w:val="none"/>
        </w:rPr>
      </w:pPr>
      <w:bookmarkStart w:id="130" w:name="_Toc31317"/>
      <w:r>
        <w:rPr>
          <w:rFonts w:hint="eastAsia" w:cs="宋体"/>
          <w:color w:val="auto"/>
          <w:sz w:val="21"/>
          <w:szCs w:val="21"/>
          <w:highlight w:val="none"/>
          <w:lang w:val="en-US" w:eastAsia="zh-CN"/>
        </w:rPr>
        <w:t>5.6</w:t>
      </w:r>
      <w:r>
        <w:rPr>
          <w:rFonts w:hint="eastAsia" w:cs="宋体"/>
          <w:color w:val="auto"/>
          <w:sz w:val="21"/>
          <w:szCs w:val="21"/>
          <w:highlight w:val="none"/>
        </w:rPr>
        <w:t>岩土层结构及岩土性状</w:t>
      </w:r>
      <w:bookmarkEnd w:id="130"/>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根据本次钻探揭露，工程区岩土层自上而下依次划分为第四系人工填土层（Q</w:t>
      </w:r>
      <w:r>
        <w:rPr>
          <w:rFonts w:hint="eastAsia" w:ascii="宋体" w:hAnsi="宋体" w:eastAsia="宋体" w:cs="宋体"/>
          <w:color w:val="auto"/>
          <w:sz w:val="21"/>
          <w:szCs w:val="21"/>
          <w:highlight w:val="none"/>
          <w:vertAlign w:val="subscript"/>
        </w:rPr>
        <w:t>4</w:t>
      </w:r>
      <w:r>
        <w:rPr>
          <w:rFonts w:hint="eastAsia" w:ascii="宋体" w:hAnsi="宋体" w:eastAsia="宋体" w:cs="宋体"/>
          <w:color w:val="auto"/>
          <w:sz w:val="21"/>
          <w:szCs w:val="21"/>
          <w:highlight w:val="none"/>
          <w:vertAlign w:val="superscript"/>
        </w:rPr>
        <w:t>ml</w:t>
      </w:r>
      <w:r>
        <w:rPr>
          <w:rFonts w:hint="eastAsia" w:ascii="宋体" w:hAnsi="宋体" w:eastAsia="宋体" w:cs="宋体"/>
          <w:color w:val="auto"/>
          <w:sz w:val="21"/>
          <w:szCs w:val="21"/>
          <w:highlight w:val="none"/>
        </w:rPr>
        <w:t>）、第四系海相沉积层（Q</w:t>
      </w:r>
      <w:r>
        <w:rPr>
          <w:rFonts w:hint="eastAsia" w:ascii="宋体" w:hAnsi="宋体" w:eastAsia="宋体" w:cs="宋体"/>
          <w:color w:val="auto"/>
          <w:sz w:val="21"/>
          <w:szCs w:val="21"/>
          <w:highlight w:val="none"/>
          <w:vertAlign w:val="subscript"/>
        </w:rPr>
        <w:t>4</w:t>
      </w:r>
      <w:r>
        <w:rPr>
          <w:rFonts w:hint="eastAsia" w:ascii="宋体" w:hAnsi="宋体" w:eastAsia="宋体" w:cs="宋体"/>
          <w:color w:val="auto"/>
          <w:sz w:val="21"/>
          <w:szCs w:val="21"/>
          <w:highlight w:val="none"/>
          <w:vertAlign w:val="superscript"/>
        </w:rPr>
        <w:t>m</w:t>
      </w:r>
      <w:r>
        <w:rPr>
          <w:rFonts w:hint="eastAsia" w:ascii="宋体" w:hAnsi="宋体" w:eastAsia="宋体" w:cs="宋体"/>
          <w:color w:val="auto"/>
          <w:sz w:val="21"/>
          <w:szCs w:val="21"/>
          <w:highlight w:val="none"/>
        </w:rPr>
        <w:t>）和燕山期花岗岩（K</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γ）。具体见钻孔柱状图、工程地质剖面图。场地岩土层主要分层情见下表。</w:t>
      </w:r>
    </w:p>
    <w:p>
      <w:pPr>
        <w:pStyle w:val="4"/>
        <w:spacing w:line="360" w:lineRule="auto"/>
        <w:rPr>
          <w:rFonts w:hint="eastAsia" w:cs="宋体"/>
          <w:color w:val="auto"/>
          <w:sz w:val="21"/>
          <w:szCs w:val="21"/>
          <w:highlight w:val="none"/>
        </w:rPr>
      </w:pPr>
      <w:bookmarkStart w:id="131" w:name="_Toc4854"/>
      <w:r>
        <w:rPr>
          <w:rFonts w:hint="eastAsia" w:cs="宋体"/>
          <w:color w:val="auto"/>
          <w:sz w:val="21"/>
          <w:szCs w:val="21"/>
          <w:highlight w:val="none"/>
          <w:lang w:val="en-US" w:eastAsia="zh-CN"/>
        </w:rPr>
        <w:t>5.7</w:t>
      </w:r>
      <w:r>
        <w:rPr>
          <w:rFonts w:hint="eastAsia" w:cs="宋体"/>
          <w:color w:val="auto"/>
          <w:sz w:val="21"/>
          <w:szCs w:val="21"/>
          <w:highlight w:val="none"/>
        </w:rPr>
        <w:t>工程地质条件评价</w:t>
      </w:r>
      <w:bookmarkEnd w:id="131"/>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本次勘察场地揭露到的特殊性岩土为人工填土、软土以及风化岩。</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人工填土：①</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素填土、①</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填石，稍密，不均匀，主要有砂粒及黏性土组成，表层局部夹有少量碎石。</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软土：</w:t>
      </w:r>
      <w:bookmarkStart w:id="132" w:name="OLE_LINK18"/>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淤泥、</w:t>
      </w:r>
      <w:bookmarkEnd w:id="132"/>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6</w:t>
      </w:r>
      <w:r>
        <w:rPr>
          <w:rFonts w:hint="eastAsia" w:ascii="宋体" w:hAnsi="宋体" w:eastAsia="宋体" w:cs="宋体"/>
          <w:color w:val="auto"/>
          <w:sz w:val="21"/>
          <w:szCs w:val="21"/>
          <w:highlight w:val="none"/>
        </w:rPr>
        <w:t>淤泥，流塑状为主，含少量有机质，其具有含水率高、压缩性高、孔隙比大，灵敏度高、稳定性极差，地基承载力低。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风化岩：③</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全风化花岗岩、③</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强风化花岗岩，其土质不均，遇水易软化，承载力降低等特点。</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本次勘察场区范围内除发现有液化砂土之外，未发现其它不良地质作用。</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根据钻孔揭露，拟建工程场地岩土特性，分别评价如下：</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素填土：欠压实，不均匀，以砂土及粘性土组成为主，主要分布于陆域区域，物理力学性质较差，工程特性较差，承载力较低。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填石：欠压实，不均匀，主要以中风化花岗岩岩块为主，间隙以黏性土、砂粒充填，物理力学性质较差，工程特性较差，承载力较低。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中砂：松散状，土层物理力学性质较差，孔隙较大，稳定性较差，分布较连续，厚度一般，工程特性较差，承载力低。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淤泥：流塑状，灵敏度较高，高压缩性，孔隙比较大，土层物理力学性质差，工程特性差，承载力低。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砾砂：稍密状，土层物理力学性质较差，孔隙较大，稳定性较差，分布较连续，厚度一般，工程特性较差，承载力低。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4</w:t>
      </w:r>
      <w:r>
        <w:rPr>
          <w:rFonts w:hint="eastAsia" w:ascii="宋体" w:hAnsi="宋体" w:eastAsia="宋体" w:cs="宋体"/>
          <w:color w:val="auto"/>
          <w:sz w:val="21"/>
          <w:szCs w:val="21"/>
          <w:highlight w:val="none"/>
        </w:rPr>
        <w:t>粉质黏土：可塑，土层物理力学性质一般，工程特性一般，分布较连续，厚度一般，埋藏较深，承载力一般。</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5</w:t>
      </w:r>
      <w:r>
        <w:rPr>
          <w:rFonts w:hint="eastAsia" w:ascii="宋体" w:hAnsi="宋体" w:eastAsia="宋体" w:cs="宋体"/>
          <w:color w:val="auto"/>
          <w:sz w:val="21"/>
          <w:szCs w:val="21"/>
          <w:highlight w:val="none"/>
        </w:rPr>
        <w:t>砾砂：中密状，局部稍密，土层物理力学性质较差，孔隙较大，稳定性较差，分布不连续，但厚度较厚，工程特性较好，承载力较高。</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vertAlign w:val="subscript"/>
        </w:rPr>
        <w:t>6</w:t>
      </w:r>
      <w:r>
        <w:rPr>
          <w:rFonts w:hint="eastAsia" w:ascii="宋体" w:hAnsi="宋体" w:eastAsia="宋体" w:cs="宋体"/>
          <w:color w:val="auto"/>
          <w:sz w:val="21"/>
          <w:szCs w:val="21"/>
          <w:highlight w:val="none"/>
        </w:rPr>
        <w:t>淤泥：流塑状，灵敏度较高，高压缩性，孔隙比较大，土层物理力学性质差，工程特性差，承载力低。</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vertAlign w:val="subscript"/>
        </w:rPr>
        <w:t>1</w:t>
      </w:r>
      <w:r>
        <w:rPr>
          <w:rFonts w:hint="eastAsia" w:ascii="宋体" w:hAnsi="宋体" w:eastAsia="宋体" w:cs="宋体"/>
          <w:color w:val="auto"/>
          <w:sz w:val="21"/>
          <w:szCs w:val="21"/>
          <w:highlight w:val="none"/>
        </w:rPr>
        <w:t>全风化花岗岩：坚硬土状，分布不连续，岩面起伏，土层物理力学性质较好，工程特性较好，具有遇水强度骤降等特点，在满足设计承载力及沉降变形要求时，可作为重力式基础的持力层，但需注意不连续性对工程的影响。</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vertAlign w:val="subscript"/>
        </w:rPr>
        <w:t>2</w:t>
      </w:r>
      <w:r>
        <w:rPr>
          <w:rFonts w:hint="eastAsia" w:ascii="宋体" w:hAnsi="宋体" w:eastAsia="宋体" w:cs="宋体"/>
          <w:color w:val="auto"/>
          <w:sz w:val="21"/>
          <w:szCs w:val="21"/>
          <w:highlight w:val="none"/>
        </w:rPr>
        <w:t>强风化花岗岩：半土半岩状，分布较连续，且层厚较大，土层物理力学性质较好，工程特性较好，在满足设计承载力及沉降变形要求时，可作为预制桩基础的持力层。</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vertAlign w:val="subscript"/>
        </w:rPr>
        <w:t>3</w:t>
      </w:r>
      <w:r>
        <w:rPr>
          <w:rFonts w:hint="eastAsia" w:ascii="宋体" w:hAnsi="宋体" w:eastAsia="宋体" w:cs="宋体"/>
          <w:color w:val="auto"/>
          <w:sz w:val="21"/>
          <w:szCs w:val="21"/>
          <w:highlight w:val="none"/>
        </w:rPr>
        <w:t>中风化花岗岩：短柱状，分布连续，层厚较大，土层物理力学性质好，工程特性好，可作为灌注桩基础持力层。</w:t>
      </w:r>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33" w:name="_Toc20996"/>
      <w:r>
        <w:rPr>
          <w:rFonts w:hint="eastAsia" w:ascii="宋体" w:hAnsi="宋体" w:eastAsia="宋体" w:cs="宋体"/>
          <w:color w:val="auto"/>
          <w:sz w:val="21"/>
          <w:szCs w:val="21"/>
          <w:highlight w:val="none"/>
        </w:rPr>
        <w:t>技术标准</w:t>
      </w:r>
      <w:bookmarkEnd w:id="133"/>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（1）《渔港总体设计规范》（SC/T9010－2000）；</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（2）《海港总体设计规范》（JTS165-2013）；</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（3）《港口与航道水文规范》（JTS145-2015）；</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（4）《港口工程荷载规范》（JTS144-1-2010）；</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（5）《码头结构设计规范》（JTS167-2018）；</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（6）《防波堤与护岸设计规范》（JTS154-2018）；</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（7）《疏浚与吹填工程设计规范》（JTS181－5－2012）；</w:t>
      </w:r>
    </w:p>
    <w:p>
      <w:pPr>
        <w:spacing w:line="360" w:lineRule="auto"/>
        <w:ind w:firstLine="480"/>
        <w:outlineLvl w:val="2"/>
        <w:rPr>
          <w:rFonts w:hint="eastAsia" w:ascii="宋体" w:hAnsi="宋体" w:eastAsia="宋体" w:cs="宋体"/>
          <w:color w:val="auto"/>
          <w:sz w:val="21"/>
          <w:szCs w:val="21"/>
          <w:highlight w:val="none"/>
        </w:rPr>
      </w:pPr>
      <w:bookmarkStart w:id="134" w:name="_Toc7485"/>
      <w:r>
        <w:rPr>
          <w:rFonts w:hint="eastAsia" w:ascii="宋体" w:hAnsi="宋体" w:eastAsia="宋体" w:cs="宋体"/>
          <w:color w:val="auto"/>
          <w:sz w:val="21"/>
          <w:szCs w:val="21"/>
          <w:highlight w:val="none"/>
        </w:rPr>
        <w:t>（8）《水运工程抗震设计规范》（JTS146-2012）；</w:t>
      </w:r>
      <w:bookmarkEnd w:id="134"/>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（9）《水运工程混凝土结构设计规范》（JTS151-2011）；</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（10）《水运工程环境保护设计规范》（JTS149-1-2018）；</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（11）交通运输部现行的其他港口工程技术规范及国家有关行业标准、法律、法规等。</w:t>
      </w:r>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35" w:name="_Toc30935"/>
      <w:r>
        <w:rPr>
          <w:rFonts w:hint="eastAsia" w:ascii="宋体" w:hAnsi="宋体" w:eastAsia="宋体" w:cs="宋体"/>
          <w:color w:val="auto"/>
          <w:sz w:val="21"/>
          <w:szCs w:val="21"/>
          <w:highlight w:val="none"/>
        </w:rPr>
        <w:t>设计阶段具体要求</w:t>
      </w:r>
      <w:bookmarkEnd w:id="135"/>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设计文件应根据可行性研究报告批复文件，参照《港口工程初步设计文件编制规定(JTS110-4-2008)》要求进行编制，初步设计文件中，工程建设地点、建设内容和建设规模等应符合批复要求，初步设计文件的内容和深度应起到控制和指导施工图设计的作用。</w:t>
      </w:r>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施工图文件编制必须以批复的初步设计文件为依据，参照《水运工程施工图文件编制规定(JTS110-7-2013)》要求进行编制，施工图文件的内容和深度应满足编制施工图预算、设备和材料采购、施工和安装的要求。</w:t>
      </w:r>
    </w:p>
    <w:p>
      <w:pPr>
        <w:pStyle w:val="19"/>
        <w:spacing w:line="360" w:lineRule="auto"/>
        <w:ind w:firstLine="560"/>
        <w:rPr>
          <w:rFonts w:hint="eastAsia" w:hAnsi="宋体" w:eastAsia="宋体" w:cs="宋体"/>
          <w:color w:val="auto"/>
          <w:sz w:val="21"/>
          <w:szCs w:val="21"/>
          <w:highlight w:val="none"/>
        </w:rPr>
      </w:pPr>
      <w:r>
        <w:rPr>
          <w:rFonts w:hint="eastAsia" w:hAnsi="宋体" w:eastAsia="宋体" w:cs="宋体"/>
          <w:color w:val="auto"/>
          <w:sz w:val="21"/>
          <w:szCs w:val="21"/>
          <w:highlight w:val="none"/>
          <w:lang w:val="en-US"/>
        </w:rPr>
        <w:t>施工图预算应按交通运输部现行水运工程概算预算编制办法编制。</w:t>
      </w:r>
    </w:p>
    <w:p>
      <w:pPr>
        <w:pStyle w:val="3"/>
        <w:numPr>
          <w:ilvl w:val="0"/>
          <w:numId w:val="6"/>
        </w:numPr>
        <w:spacing w:line="360" w:lineRule="auto"/>
        <w:ind w:firstLineChars="0"/>
        <w:rPr>
          <w:rFonts w:hint="eastAsia" w:ascii="宋体" w:hAnsi="宋体" w:eastAsia="宋体" w:cs="宋体"/>
          <w:color w:val="auto"/>
          <w:sz w:val="21"/>
          <w:szCs w:val="21"/>
          <w:highlight w:val="none"/>
        </w:rPr>
      </w:pPr>
      <w:bookmarkStart w:id="136" w:name="_Toc27364"/>
      <w:r>
        <w:rPr>
          <w:rFonts w:hint="eastAsia" w:ascii="宋体" w:hAnsi="宋体" w:eastAsia="宋体" w:cs="宋体"/>
          <w:color w:val="auto"/>
          <w:sz w:val="21"/>
          <w:szCs w:val="21"/>
          <w:highlight w:val="none"/>
        </w:rPr>
        <w:t>成果要求</w:t>
      </w:r>
      <w:bookmarkEnd w:id="136"/>
    </w:p>
    <w:p>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提供完整的纸质版文件和可编辑的电子文件，具体以合同要求为准。</w:t>
      </w:r>
    </w:p>
    <w:p>
      <w:pPr>
        <w:spacing w:line="360" w:lineRule="auto"/>
        <w:ind w:firstLine="480"/>
        <w:rPr>
          <w:rFonts w:hint="eastAsia" w:ascii="宋体" w:hAnsi="宋体" w:eastAsia="宋体" w:cs="宋体"/>
          <w:color w:val="auto"/>
          <w:sz w:val="21"/>
          <w:szCs w:val="21"/>
          <w:highlight w:val="none"/>
        </w:rPr>
      </w:pPr>
    </w:p>
    <w:p>
      <w:pPr>
        <w:pStyle w:val="3"/>
        <w:spacing w:line="360" w:lineRule="auto"/>
        <w:ind w:left="3116" w:right="103"/>
        <w:jc w:val="left"/>
        <w:outlineLvl w:val="9"/>
        <w:rPr>
          <w:rFonts w:ascii="黑体" w:hAnsi="黑体" w:eastAsia="黑体" w:cs="黑体"/>
          <w:b/>
          <w:bCs/>
          <w:color w:val="auto"/>
          <w:sz w:val="36"/>
          <w:szCs w:val="36"/>
          <w:highlight w:val="none"/>
        </w:rPr>
      </w:pPr>
    </w:p>
    <w:p>
      <w:pPr>
        <w:spacing w:before="6" w:line="360" w:lineRule="auto"/>
        <w:rPr>
          <w:rFonts w:ascii="黑体" w:hAnsi="黑体" w:eastAsia="黑体" w:cs="黑体"/>
          <w:b/>
          <w:bCs/>
          <w:color w:val="auto"/>
          <w:sz w:val="31"/>
          <w:szCs w:val="31"/>
          <w:highlight w:val="none"/>
        </w:rPr>
      </w:pPr>
    </w:p>
    <w:p>
      <w:pPr>
        <w:spacing w:before="12" w:line="360" w:lineRule="auto"/>
        <w:rPr>
          <w:rFonts w:ascii="宋体" w:hAnsi="宋体" w:eastAsia="宋体" w:cs="宋体"/>
          <w:color w:val="auto"/>
          <w:sz w:val="22"/>
          <w:szCs w:val="22"/>
          <w:highlight w:val="none"/>
        </w:rPr>
      </w:pPr>
    </w:p>
    <w:p>
      <w:pPr>
        <w:rPr>
          <w:color w:val="auto"/>
          <w:highlight w:val="none"/>
        </w:rPr>
      </w:pPr>
      <w:bookmarkStart w:id="137" w:name="第六章 投标文件格式"/>
      <w:bookmarkEnd w:id="137"/>
      <w:r>
        <w:rPr>
          <w:color w:val="auto"/>
          <w:highlight w:val="none"/>
        </w:rPr>
        <w:br w:type="page"/>
      </w:r>
    </w:p>
    <w:p>
      <w:pPr>
        <w:pStyle w:val="3"/>
        <w:spacing w:line="360" w:lineRule="auto"/>
        <w:ind w:left="0" w:right="0"/>
        <w:jc w:val="center"/>
        <w:outlineLvl w:val="0"/>
        <w:rPr>
          <w:rFonts w:hint="eastAsia"/>
          <w:color w:val="auto"/>
          <w:highlight w:val="none"/>
        </w:rPr>
      </w:pPr>
      <w:bookmarkStart w:id="138" w:name="_Toc4128"/>
      <w:r>
        <w:rPr>
          <w:rFonts w:hint="eastAsia"/>
          <w:color w:val="auto"/>
          <w:highlight w:val="none"/>
        </w:rPr>
        <w:t>第六章 发包人提供的资料</w:t>
      </w:r>
      <w:bookmarkEnd w:id="138"/>
    </w:p>
    <w:p>
      <w:pPr>
        <w:spacing w:line="360" w:lineRule="auto"/>
        <w:ind w:left="0" w:right="0"/>
        <w:jc w:val="center"/>
        <w:outlineLvl w:val="1"/>
        <w:rPr>
          <w:rFonts w:hint="eastAsia" w:eastAsia="宋体"/>
          <w:color w:val="auto"/>
          <w:sz w:val="36"/>
          <w:szCs w:val="36"/>
          <w:highlight w:val="none"/>
          <w:lang w:eastAsia="zh-CN"/>
        </w:rPr>
      </w:pPr>
      <w:bookmarkStart w:id="139" w:name="_Toc20596"/>
      <w:r>
        <w:rPr>
          <w:rFonts w:hint="eastAsia"/>
          <w:color w:val="auto"/>
          <w:sz w:val="36"/>
          <w:szCs w:val="36"/>
          <w:highlight w:val="none"/>
        </w:rPr>
        <w:t>另附</w:t>
      </w:r>
      <w:bookmarkEnd w:id="139"/>
    </w:p>
    <w:p>
      <w:pPr>
        <w:rPr>
          <w:color w:val="auto"/>
          <w:highlight w:val="none"/>
        </w:rPr>
      </w:pPr>
      <w:r>
        <w:rPr>
          <w:color w:val="auto"/>
          <w:highlight w:val="none"/>
        </w:rPr>
        <w:br w:type="page"/>
      </w:r>
    </w:p>
    <w:p>
      <w:pPr>
        <w:pStyle w:val="3"/>
        <w:spacing w:line="360" w:lineRule="auto"/>
        <w:ind w:left="0" w:right="0"/>
        <w:jc w:val="center"/>
        <w:outlineLvl w:val="0"/>
        <w:rPr>
          <w:b w:val="0"/>
          <w:bCs w:val="0"/>
          <w:color w:val="auto"/>
          <w:highlight w:val="none"/>
        </w:rPr>
      </w:pPr>
      <w:bookmarkStart w:id="140" w:name="_Toc22736"/>
      <w:r>
        <w:rPr>
          <w:color w:val="auto"/>
          <w:highlight w:val="none"/>
        </w:rPr>
        <w:t>第</w:t>
      </w:r>
      <w:r>
        <w:rPr>
          <w:rFonts w:hint="eastAsia"/>
          <w:color w:val="auto"/>
          <w:highlight w:val="none"/>
          <w:lang w:val="en-US" w:eastAsia="zh-CN"/>
        </w:rPr>
        <w:t>七</w:t>
      </w:r>
      <w:r>
        <w:rPr>
          <w:color w:val="auto"/>
          <w:highlight w:val="none"/>
        </w:rPr>
        <w:t>章投标文件格式</w:t>
      </w:r>
      <w:bookmarkEnd w:id="140"/>
    </w:p>
    <w:p>
      <w:pPr>
        <w:spacing w:after="0" w:line="360" w:lineRule="auto"/>
        <w:jc w:val="left"/>
        <w:rPr>
          <w:color w:val="auto"/>
          <w:highlight w:val="none"/>
        </w:rPr>
        <w:sectPr>
          <w:footerReference r:id="rId9" w:type="default"/>
          <w:pgSz w:w="11910" w:h="16840"/>
          <w:pgMar w:top="1440" w:right="1080" w:bottom="1440" w:left="1080" w:header="0" w:footer="718" w:gutter="0"/>
          <w:pgNumType w:fmt="decimal"/>
          <w:cols w:space="720" w:num="1"/>
        </w:sectPr>
      </w:pPr>
    </w:p>
    <w:p>
      <w:pPr>
        <w:spacing w:before="0" w:line="360" w:lineRule="auto"/>
        <w:rPr>
          <w:rFonts w:ascii="黑体" w:hAnsi="黑体" w:eastAsia="黑体" w:cs="黑体"/>
          <w:b/>
          <w:bCs/>
          <w:color w:val="auto"/>
          <w:sz w:val="20"/>
          <w:szCs w:val="20"/>
          <w:highlight w:val="none"/>
        </w:rPr>
      </w:pPr>
    </w:p>
    <w:p>
      <w:pPr>
        <w:spacing w:before="0" w:line="360" w:lineRule="auto"/>
        <w:rPr>
          <w:rFonts w:ascii="黑体" w:hAnsi="黑体" w:eastAsia="黑体" w:cs="黑体"/>
          <w:b/>
          <w:bCs/>
          <w:color w:val="auto"/>
          <w:sz w:val="20"/>
          <w:szCs w:val="20"/>
          <w:highlight w:val="none"/>
        </w:rPr>
      </w:pPr>
    </w:p>
    <w:p>
      <w:pPr>
        <w:spacing w:before="0" w:line="360" w:lineRule="auto"/>
        <w:rPr>
          <w:rFonts w:ascii="黑体" w:hAnsi="黑体" w:eastAsia="黑体" w:cs="黑体"/>
          <w:b/>
          <w:bCs/>
          <w:color w:val="auto"/>
          <w:sz w:val="20"/>
          <w:szCs w:val="20"/>
          <w:highlight w:val="none"/>
        </w:rPr>
      </w:pPr>
    </w:p>
    <w:p>
      <w:pPr>
        <w:spacing w:before="0" w:line="360" w:lineRule="auto"/>
        <w:rPr>
          <w:rFonts w:ascii="黑体" w:hAnsi="黑体" w:eastAsia="黑体" w:cs="黑体"/>
          <w:b/>
          <w:bCs/>
          <w:color w:val="auto"/>
          <w:sz w:val="20"/>
          <w:szCs w:val="20"/>
          <w:highlight w:val="none"/>
        </w:rPr>
      </w:pPr>
    </w:p>
    <w:p>
      <w:pPr>
        <w:spacing w:before="4" w:line="360" w:lineRule="auto"/>
        <w:rPr>
          <w:rFonts w:ascii="黑体" w:hAnsi="黑体" w:eastAsia="黑体" w:cs="黑体"/>
          <w:b/>
          <w:bCs/>
          <w:color w:val="auto"/>
          <w:sz w:val="15"/>
          <w:szCs w:val="15"/>
          <w:highlight w:val="none"/>
        </w:rPr>
      </w:pPr>
    </w:p>
    <w:p>
      <w:pPr>
        <w:spacing w:before="0" w:line="360" w:lineRule="auto"/>
        <w:ind w:left="75" w:right="75" w:firstLine="0"/>
        <w:jc w:val="center"/>
        <w:outlineLvl w:val="1"/>
        <w:rPr>
          <w:rFonts w:hint="eastAsia" w:ascii="宋体" w:hAnsi="宋体" w:eastAsia="宋体" w:cs="宋体"/>
          <w:color w:val="auto"/>
          <w:sz w:val="44"/>
          <w:szCs w:val="44"/>
          <w:highlight w:val="none"/>
          <w:lang w:eastAsia="zh-CN"/>
        </w:rPr>
      </w:pPr>
      <w:bookmarkStart w:id="141" w:name="_Toc5984"/>
      <w:r>
        <w:rPr>
          <w:rFonts w:hint="eastAsia" w:ascii="宋体" w:hAnsi="宋体" w:eastAsia="宋体" w:cs="宋体"/>
          <w:b/>
          <w:bCs/>
          <w:color w:val="auto"/>
          <w:spacing w:val="2"/>
          <w:sz w:val="44"/>
          <w:szCs w:val="44"/>
          <w:highlight w:val="none"/>
          <w:lang w:val="en-US" w:eastAsia="zh-CN"/>
        </w:rPr>
        <w:t>饶平县汫洲镇</w:t>
      </w:r>
      <w:r>
        <w:rPr>
          <w:rFonts w:hint="eastAsia" w:ascii="宋体" w:hAnsi="宋体" w:eastAsia="宋体" w:cs="宋体"/>
          <w:b/>
          <w:bCs/>
          <w:color w:val="auto"/>
          <w:spacing w:val="2"/>
          <w:sz w:val="44"/>
          <w:szCs w:val="44"/>
          <w:highlight w:val="none"/>
          <w:lang w:eastAsia="zh-CN"/>
        </w:rPr>
        <w:t>三百门渔港升级改造工程设计</w:t>
      </w:r>
      <w:bookmarkEnd w:id="141"/>
    </w:p>
    <w:p>
      <w:pPr>
        <w:spacing w:before="0" w:line="360" w:lineRule="auto"/>
        <w:rPr>
          <w:rFonts w:ascii="宋体" w:hAnsi="宋体" w:eastAsia="宋体" w:cs="宋体"/>
          <w:b/>
          <w:bCs/>
          <w:color w:val="auto"/>
          <w:sz w:val="44"/>
          <w:szCs w:val="44"/>
          <w:highlight w:val="none"/>
        </w:rPr>
      </w:pPr>
    </w:p>
    <w:p>
      <w:pPr>
        <w:spacing w:before="0" w:line="360" w:lineRule="auto"/>
        <w:rPr>
          <w:rFonts w:ascii="宋体" w:hAnsi="宋体" w:eastAsia="宋体" w:cs="宋体"/>
          <w:b/>
          <w:bCs/>
          <w:color w:val="auto"/>
          <w:sz w:val="44"/>
          <w:szCs w:val="44"/>
          <w:highlight w:val="none"/>
        </w:rPr>
      </w:pPr>
    </w:p>
    <w:p>
      <w:pPr>
        <w:spacing w:before="12" w:line="360" w:lineRule="auto"/>
        <w:rPr>
          <w:rFonts w:ascii="宋体" w:hAnsi="宋体" w:eastAsia="宋体" w:cs="宋体"/>
          <w:b/>
          <w:bCs/>
          <w:color w:val="auto"/>
          <w:sz w:val="60"/>
          <w:szCs w:val="60"/>
          <w:highlight w:val="none"/>
        </w:rPr>
      </w:pPr>
    </w:p>
    <w:p>
      <w:pPr>
        <w:spacing w:before="0" w:line="360" w:lineRule="auto"/>
        <w:ind w:left="75" w:right="75" w:firstLine="0"/>
        <w:jc w:val="center"/>
        <w:rPr>
          <w:rFonts w:ascii="宋体" w:hAnsi="宋体" w:eastAsia="宋体" w:cs="宋体"/>
          <w:color w:val="auto"/>
          <w:sz w:val="72"/>
          <w:szCs w:val="72"/>
          <w:highlight w:val="none"/>
        </w:rPr>
      </w:pPr>
      <w:r>
        <w:rPr>
          <w:rFonts w:ascii="宋体" w:hAnsi="宋体" w:eastAsia="宋体" w:cs="宋体"/>
          <w:b/>
          <w:bCs/>
          <w:color w:val="auto"/>
          <w:sz w:val="72"/>
          <w:szCs w:val="72"/>
          <w:highlight w:val="none"/>
        </w:rPr>
        <w:t>投标文件</w:t>
      </w:r>
    </w:p>
    <w:p>
      <w:pPr>
        <w:spacing w:before="0" w:line="360" w:lineRule="auto"/>
        <w:rPr>
          <w:rFonts w:ascii="宋体" w:hAnsi="宋体" w:eastAsia="宋体" w:cs="宋体"/>
          <w:b/>
          <w:bCs/>
          <w:color w:val="auto"/>
          <w:sz w:val="72"/>
          <w:szCs w:val="72"/>
          <w:highlight w:val="none"/>
        </w:rPr>
      </w:pPr>
    </w:p>
    <w:p>
      <w:pPr>
        <w:spacing w:before="0" w:line="360" w:lineRule="auto"/>
        <w:rPr>
          <w:rFonts w:ascii="宋体" w:hAnsi="宋体" w:eastAsia="宋体" w:cs="宋体"/>
          <w:b/>
          <w:bCs/>
          <w:color w:val="auto"/>
          <w:sz w:val="72"/>
          <w:szCs w:val="72"/>
          <w:highlight w:val="none"/>
        </w:rPr>
      </w:pPr>
    </w:p>
    <w:p>
      <w:pPr>
        <w:spacing w:before="6" w:line="360" w:lineRule="auto"/>
        <w:rPr>
          <w:rFonts w:ascii="宋体" w:hAnsi="宋体" w:eastAsia="宋体" w:cs="宋体"/>
          <w:b/>
          <w:bCs/>
          <w:color w:val="auto"/>
          <w:sz w:val="79"/>
          <w:szCs w:val="79"/>
          <w:highlight w:val="none"/>
        </w:rPr>
      </w:pPr>
    </w:p>
    <w:p>
      <w:pPr>
        <w:tabs>
          <w:tab w:val="left" w:pos="3091"/>
          <w:tab w:val="left" w:pos="4491"/>
          <w:tab w:val="left" w:pos="5892"/>
          <w:tab w:val="left" w:pos="6591"/>
          <w:tab w:val="left" w:pos="7152"/>
        </w:tabs>
        <w:spacing w:before="0" w:line="360" w:lineRule="auto"/>
        <w:ind w:left="1131" w:right="790" w:firstLine="0"/>
        <w:jc w:val="both"/>
        <w:rPr>
          <w:rFonts w:ascii="宋体" w:hAnsi="宋体" w:eastAsia="宋体" w:cs="宋体"/>
          <w:color w:val="auto"/>
          <w:spacing w:val="-2"/>
          <w:sz w:val="28"/>
          <w:szCs w:val="28"/>
          <w:highlight w:val="none"/>
        </w:rPr>
      </w:pPr>
      <w:r>
        <w:rPr>
          <w:rFonts w:ascii="宋体" w:hAnsi="宋体" w:eastAsia="宋体" w:cs="宋体"/>
          <w:color w:val="auto"/>
          <w:spacing w:val="-2"/>
          <w:sz w:val="28"/>
          <w:szCs w:val="28"/>
          <w:highlight w:val="none"/>
        </w:rPr>
        <w:t>投标人：</w:t>
      </w:r>
      <w:r>
        <w:rPr>
          <w:rFonts w:ascii="Times New Roman" w:hAnsi="Times New Roman" w:eastAsia="Times New Roman" w:cs="Times New Roman"/>
          <w:color w:val="auto"/>
          <w:spacing w:val="-2"/>
          <w:sz w:val="28"/>
          <w:szCs w:val="28"/>
          <w:highlight w:val="none"/>
          <w:u w:val="single" w:color="000000"/>
        </w:rPr>
        <w:tab/>
      </w:r>
      <w:r>
        <w:rPr>
          <w:rFonts w:ascii="Times New Roman" w:hAnsi="Times New Roman" w:eastAsia="Times New Roman" w:cs="Times New Roman"/>
          <w:color w:val="auto"/>
          <w:spacing w:val="-2"/>
          <w:sz w:val="28"/>
          <w:szCs w:val="28"/>
          <w:highlight w:val="none"/>
          <w:u w:val="single" w:color="000000"/>
        </w:rPr>
        <w:tab/>
      </w:r>
      <w:r>
        <w:rPr>
          <w:rFonts w:ascii="Times New Roman" w:hAnsi="Times New Roman" w:eastAsia="Times New Roman" w:cs="Times New Roman"/>
          <w:color w:val="auto"/>
          <w:spacing w:val="-2"/>
          <w:sz w:val="28"/>
          <w:szCs w:val="28"/>
          <w:highlight w:val="none"/>
          <w:u w:val="single" w:color="000000"/>
        </w:rPr>
        <w:tab/>
      </w:r>
      <w:r>
        <w:rPr>
          <w:rFonts w:ascii="Times New Roman" w:hAnsi="Times New Roman" w:eastAsia="Times New Roman" w:cs="Times New Roman"/>
          <w:color w:val="auto"/>
          <w:spacing w:val="-2"/>
          <w:sz w:val="28"/>
          <w:szCs w:val="28"/>
          <w:highlight w:val="none"/>
          <w:u w:val="single" w:color="000000"/>
        </w:rPr>
        <w:tab/>
      </w:r>
      <w:r>
        <w:rPr>
          <w:rFonts w:ascii="宋体" w:hAnsi="宋体" w:eastAsia="宋体" w:cs="宋体"/>
          <w:color w:val="auto"/>
          <w:spacing w:val="-2"/>
          <w:sz w:val="28"/>
          <w:szCs w:val="28"/>
          <w:highlight w:val="none"/>
        </w:rPr>
        <w:t>（盖单位章）</w:t>
      </w:r>
    </w:p>
    <w:p>
      <w:pPr>
        <w:tabs>
          <w:tab w:val="left" w:pos="3091"/>
          <w:tab w:val="left" w:pos="4491"/>
          <w:tab w:val="left" w:pos="5892"/>
          <w:tab w:val="left" w:pos="6591"/>
          <w:tab w:val="left" w:pos="7152"/>
        </w:tabs>
        <w:spacing w:before="0" w:line="360" w:lineRule="auto"/>
        <w:ind w:left="1131" w:right="790" w:firstLine="0"/>
        <w:jc w:val="both"/>
        <w:rPr>
          <w:rFonts w:ascii="宋体" w:hAnsi="宋体" w:eastAsia="宋体" w:cs="宋体"/>
          <w:color w:val="auto"/>
          <w:spacing w:val="-2"/>
          <w:sz w:val="28"/>
          <w:szCs w:val="28"/>
          <w:highlight w:val="none"/>
        </w:rPr>
      </w:pPr>
      <w:r>
        <w:rPr>
          <w:rFonts w:ascii="宋体" w:hAnsi="宋体" w:eastAsia="宋体" w:cs="宋体"/>
          <w:color w:val="auto"/>
          <w:spacing w:val="-2"/>
          <w:sz w:val="28"/>
          <w:szCs w:val="28"/>
          <w:highlight w:val="none"/>
        </w:rPr>
        <w:t>法定代表人或其委托代理人：</w:t>
      </w:r>
      <w:r>
        <w:rPr>
          <w:rFonts w:ascii="Times New Roman" w:hAnsi="Times New Roman" w:eastAsia="Times New Roman" w:cs="Times New Roman"/>
          <w:color w:val="auto"/>
          <w:spacing w:val="-2"/>
          <w:sz w:val="28"/>
          <w:szCs w:val="28"/>
          <w:highlight w:val="none"/>
          <w:u w:val="single" w:color="000000"/>
        </w:rPr>
        <w:tab/>
      </w:r>
      <w:r>
        <w:rPr>
          <w:rFonts w:ascii="Times New Roman" w:hAnsi="Times New Roman" w:eastAsia="Times New Roman" w:cs="Times New Roman"/>
          <w:color w:val="auto"/>
          <w:spacing w:val="-2"/>
          <w:sz w:val="28"/>
          <w:szCs w:val="28"/>
          <w:highlight w:val="none"/>
          <w:u w:val="single" w:color="000000"/>
        </w:rPr>
        <w:tab/>
      </w:r>
      <w:r>
        <w:rPr>
          <w:rFonts w:ascii="宋体" w:hAnsi="宋体" w:eastAsia="宋体" w:cs="宋体"/>
          <w:color w:val="auto"/>
          <w:spacing w:val="-2"/>
          <w:sz w:val="28"/>
          <w:szCs w:val="28"/>
          <w:highlight w:val="none"/>
        </w:rPr>
        <w:t>（签字</w:t>
      </w:r>
      <w:r>
        <w:rPr>
          <w:rFonts w:hint="eastAsia" w:ascii="宋体" w:hAnsi="宋体" w:eastAsia="宋体" w:cs="宋体"/>
          <w:color w:val="auto"/>
          <w:spacing w:val="-2"/>
          <w:sz w:val="28"/>
          <w:szCs w:val="28"/>
          <w:highlight w:val="none"/>
          <w:lang w:val="en-US" w:eastAsia="zh-CN"/>
        </w:rPr>
        <w:t>或盖章</w:t>
      </w:r>
      <w:r>
        <w:rPr>
          <w:rFonts w:ascii="宋体" w:hAnsi="宋体" w:eastAsia="宋体" w:cs="宋体"/>
          <w:color w:val="auto"/>
          <w:spacing w:val="-2"/>
          <w:sz w:val="28"/>
          <w:szCs w:val="28"/>
          <w:highlight w:val="none"/>
        </w:rPr>
        <w:t>）</w:t>
      </w:r>
    </w:p>
    <w:p>
      <w:pPr>
        <w:tabs>
          <w:tab w:val="left" w:pos="3091"/>
          <w:tab w:val="left" w:pos="4491"/>
          <w:tab w:val="left" w:pos="5892"/>
          <w:tab w:val="left" w:pos="6591"/>
          <w:tab w:val="left" w:pos="7152"/>
        </w:tabs>
        <w:spacing w:before="0" w:line="360" w:lineRule="auto"/>
        <w:ind w:left="1131" w:right="790" w:firstLine="0"/>
        <w:jc w:val="both"/>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日期：</w:t>
      </w:r>
      <w:r>
        <w:rPr>
          <w:rFonts w:ascii="Times New Roman" w:hAnsi="Times New Roman" w:eastAsia="Times New Roman" w:cs="Times New Roman"/>
          <w:color w:val="auto"/>
          <w:spacing w:val="-2"/>
          <w:sz w:val="28"/>
          <w:szCs w:val="28"/>
          <w:highlight w:val="none"/>
          <w:u w:val="single" w:color="000000"/>
        </w:rPr>
        <w:tab/>
      </w:r>
      <w:r>
        <w:rPr>
          <w:rFonts w:ascii="宋体" w:hAnsi="宋体" w:eastAsia="宋体" w:cs="宋体"/>
          <w:color w:val="auto"/>
          <w:spacing w:val="-1"/>
          <w:sz w:val="28"/>
          <w:szCs w:val="28"/>
          <w:highlight w:val="none"/>
        </w:rPr>
        <w:t>年</w:t>
      </w:r>
      <w:r>
        <w:rPr>
          <w:rFonts w:ascii="Times New Roman" w:hAnsi="Times New Roman" w:eastAsia="Times New Roman" w:cs="Times New Roman"/>
          <w:color w:val="auto"/>
          <w:spacing w:val="-1"/>
          <w:sz w:val="28"/>
          <w:szCs w:val="28"/>
          <w:highlight w:val="none"/>
          <w:u w:val="single" w:color="000000"/>
        </w:rPr>
        <w:tab/>
      </w:r>
      <w:r>
        <w:rPr>
          <w:rFonts w:ascii="宋体" w:hAnsi="宋体" w:eastAsia="宋体" w:cs="宋体"/>
          <w:color w:val="auto"/>
          <w:spacing w:val="-1"/>
          <w:sz w:val="28"/>
          <w:szCs w:val="28"/>
          <w:highlight w:val="none"/>
        </w:rPr>
        <w:t>月</w:t>
      </w:r>
      <w:r>
        <w:rPr>
          <w:rFonts w:ascii="Times New Roman" w:hAnsi="Times New Roman" w:eastAsia="Times New Roman" w:cs="Times New Roman"/>
          <w:color w:val="auto"/>
          <w:spacing w:val="-1"/>
          <w:sz w:val="28"/>
          <w:szCs w:val="28"/>
          <w:highlight w:val="none"/>
          <w:u w:val="single" w:color="000000"/>
        </w:rPr>
        <w:tab/>
      </w:r>
      <w:r>
        <w:rPr>
          <w:rFonts w:ascii="宋体" w:hAnsi="宋体" w:eastAsia="宋体" w:cs="宋体"/>
          <w:color w:val="auto"/>
          <w:sz w:val="28"/>
          <w:szCs w:val="28"/>
          <w:highlight w:val="none"/>
        </w:rPr>
        <w:t>日</w:t>
      </w:r>
    </w:p>
    <w:p>
      <w:pPr>
        <w:spacing w:after="0" w:line="360" w:lineRule="auto"/>
        <w:jc w:val="both"/>
        <w:rPr>
          <w:rFonts w:ascii="宋体" w:hAnsi="宋体" w:eastAsia="宋体" w:cs="宋体"/>
          <w:color w:val="auto"/>
          <w:sz w:val="28"/>
          <w:szCs w:val="28"/>
          <w:highlight w:val="none"/>
        </w:rPr>
        <w:sectPr>
          <w:pgSz w:w="11910" w:h="16840"/>
          <w:pgMar w:top="1440" w:right="1080" w:bottom="1440" w:left="1080" w:header="0" w:footer="718" w:gutter="0"/>
          <w:pgNumType w:fmt="decimal"/>
          <w:cols w:space="720" w:num="1"/>
        </w:sectPr>
      </w:pPr>
    </w:p>
    <w:p>
      <w:pPr>
        <w:spacing w:before="4" w:line="360" w:lineRule="auto"/>
        <w:rPr>
          <w:rFonts w:ascii="宋体" w:hAnsi="宋体" w:eastAsia="宋体" w:cs="宋体"/>
          <w:color w:val="auto"/>
          <w:sz w:val="12"/>
          <w:szCs w:val="12"/>
          <w:highlight w:val="none"/>
        </w:rPr>
      </w:pPr>
    </w:p>
    <w:p>
      <w:pPr>
        <w:spacing w:before="10" w:line="240" w:lineRule="auto"/>
        <w:rPr>
          <w:rFonts w:ascii="宋体" w:hAnsi="宋体" w:eastAsia="宋体" w:cs="宋体"/>
          <w:b/>
          <w:bCs/>
          <w:color w:val="auto"/>
          <w:sz w:val="8"/>
          <w:szCs w:val="8"/>
          <w:highlight w:val="none"/>
        </w:rPr>
      </w:pPr>
      <w:bookmarkStart w:id="142" w:name="(二)投标函附录"/>
      <w:bookmarkEnd w:id="142"/>
    </w:p>
    <w:p>
      <w:pPr>
        <w:pStyle w:val="7"/>
        <w:spacing w:line="240" w:lineRule="auto"/>
        <w:ind w:right="101"/>
        <w:jc w:val="right"/>
        <w:rPr>
          <w:b w:val="0"/>
          <w:bCs w:val="0"/>
          <w:color w:val="auto"/>
          <w:highlight w:val="none"/>
        </w:rPr>
      </w:pPr>
      <w:r>
        <w:rPr>
          <w:color w:val="auto"/>
          <w:w w:val="95"/>
          <w:highlight w:val="none"/>
        </w:rPr>
        <w:t>（正/副本）</w:t>
      </w: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11" w:line="240" w:lineRule="auto"/>
        <w:rPr>
          <w:rFonts w:ascii="宋体" w:hAnsi="宋体" w:eastAsia="宋体" w:cs="宋体"/>
          <w:b/>
          <w:bCs/>
          <w:color w:val="auto"/>
          <w:sz w:val="14"/>
          <w:szCs w:val="14"/>
          <w:highlight w:val="none"/>
        </w:rPr>
      </w:pPr>
    </w:p>
    <w:p>
      <w:pPr>
        <w:spacing w:before="0" w:line="621" w:lineRule="exact"/>
        <w:ind w:left="1551" w:right="1550" w:firstLine="0"/>
        <w:jc w:val="center"/>
        <w:rPr>
          <w:rFonts w:ascii="宋体" w:hAnsi="宋体" w:eastAsia="宋体" w:cs="宋体"/>
          <w:color w:val="auto"/>
          <w:sz w:val="52"/>
          <w:szCs w:val="52"/>
          <w:highlight w:val="none"/>
        </w:rPr>
      </w:pPr>
      <w:r>
        <w:rPr>
          <w:rFonts w:ascii="宋体" w:hAnsi="宋体" w:eastAsia="宋体" w:cs="宋体"/>
          <w:b/>
          <w:bCs/>
          <w:color w:val="auto"/>
          <w:sz w:val="52"/>
          <w:szCs w:val="52"/>
          <w:highlight w:val="none"/>
          <w:u w:val="thick" w:color="000000"/>
        </w:rPr>
        <w:t>（项目名称）</w:t>
      </w: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3" w:line="240" w:lineRule="auto"/>
        <w:rPr>
          <w:rFonts w:ascii="宋体" w:hAnsi="宋体" w:eastAsia="宋体" w:cs="宋体"/>
          <w:b/>
          <w:bCs/>
          <w:color w:val="auto"/>
          <w:sz w:val="19"/>
          <w:szCs w:val="19"/>
          <w:highlight w:val="none"/>
        </w:rPr>
      </w:pPr>
    </w:p>
    <w:p>
      <w:pPr>
        <w:spacing w:before="0" w:line="820" w:lineRule="exact"/>
        <w:ind w:left="0" w:right="0" w:firstLine="0"/>
        <w:jc w:val="center"/>
        <w:rPr>
          <w:rFonts w:ascii="宋体" w:hAnsi="宋体" w:eastAsia="宋体" w:cs="宋体"/>
          <w:color w:val="auto"/>
          <w:sz w:val="72"/>
          <w:szCs w:val="72"/>
          <w:highlight w:val="none"/>
        </w:rPr>
      </w:pPr>
      <w:r>
        <w:rPr>
          <w:rFonts w:ascii="宋体" w:hAnsi="宋体" w:eastAsia="宋体" w:cs="宋体"/>
          <w:b/>
          <w:bCs/>
          <w:color w:val="auto"/>
          <w:sz w:val="72"/>
          <w:szCs w:val="72"/>
          <w:highlight w:val="none"/>
        </w:rPr>
        <w:t>投标文件</w:t>
      </w:r>
    </w:p>
    <w:p>
      <w:pPr>
        <w:pStyle w:val="5"/>
        <w:spacing w:line="240" w:lineRule="auto"/>
        <w:ind w:right="1"/>
        <w:jc w:val="center"/>
        <w:rPr>
          <w:b w:val="0"/>
          <w:bCs w:val="0"/>
          <w:color w:val="auto"/>
          <w:highlight w:val="none"/>
        </w:rPr>
      </w:pPr>
      <w:r>
        <w:rPr>
          <w:color w:val="auto"/>
          <w:highlight w:val="none"/>
        </w:rPr>
        <w:t>（第一册：商务文件）</w:t>
      </w:r>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pStyle w:val="11"/>
        <w:tabs>
          <w:tab w:val="left" w:pos="6217"/>
          <w:tab w:val="left" w:pos="6646"/>
        </w:tabs>
        <w:spacing w:before="339" w:line="604" w:lineRule="auto"/>
        <w:ind w:left="1551" w:right="1550"/>
        <w:jc w:val="center"/>
        <w:rPr>
          <w:color w:val="auto"/>
          <w:highlight w:val="none"/>
        </w:rPr>
      </w:pPr>
      <w:r>
        <w:rPr>
          <w:color w:val="auto"/>
          <w:spacing w:val="-1"/>
          <w:highlight w:val="none"/>
        </w:rPr>
        <w:t>投标人：</w:t>
      </w:r>
      <w:r>
        <w:rPr>
          <w:rFonts w:ascii="Times New Roman" w:hAnsi="Times New Roman" w:eastAsia="Times New Roman" w:cs="Times New Roman"/>
          <w:color w:val="auto"/>
          <w:spacing w:val="-1"/>
          <w:highlight w:val="none"/>
          <w:u w:val="single" w:color="000000"/>
        </w:rPr>
        <w:tab/>
      </w:r>
      <w:r>
        <w:rPr>
          <w:color w:val="auto"/>
          <w:highlight w:val="none"/>
        </w:rPr>
        <w:t xml:space="preserve">（盖单位章） </w:t>
      </w:r>
    </w:p>
    <w:p>
      <w:pPr>
        <w:pStyle w:val="11"/>
        <w:tabs>
          <w:tab w:val="left" w:pos="6217"/>
          <w:tab w:val="left" w:pos="6646"/>
        </w:tabs>
        <w:spacing w:before="339" w:line="604" w:lineRule="auto"/>
        <w:ind w:left="1551" w:right="1550"/>
        <w:jc w:val="center"/>
        <w:rPr>
          <w:color w:val="auto"/>
          <w:highlight w:val="none"/>
        </w:rPr>
      </w:pPr>
      <w:r>
        <w:rPr>
          <w:color w:val="auto"/>
          <w:highlight w:val="none"/>
        </w:rPr>
        <w:t>法定代表人或其委托代理人：</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u w:val="single" w:color="000000"/>
        </w:rPr>
        <w:tab/>
      </w:r>
      <w:r>
        <w:rPr>
          <w:color w:val="auto"/>
          <w:highlight w:val="none"/>
        </w:rPr>
        <w:t>（签字或盖章）</w:t>
      </w:r>
    </w:p>
    <w:p>
      <w:pPr>
        <w:pStyle w:val="11"/>
        <w:tabs>
          <w:tab w:val="left" w:pos="4191"/>
          <w:tab w:val="left" w:pos="5751"/>
          <w:tab w:val="left" w:pos="7431"/>
        </w:tabs>
        <w:spacing w:before="110" w:line="240" w:lineRule="auto"/>
        <w:ind w:right="0" w:firstLine="2167"/>
        <w:jc w:val="left"/>
        <w:rPr>
          <w:color w:val="auto"/>
          <w:highlight w:val="none"/>
        </w:rPr>
      </w:pP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highlight w:val="none"/>
        </w:rPr>
        <w:t>年</w:t>
      </w:r>
      <w:r>
        <w:rPr>
          <w:rFonts w:ascii="Times New Roman" w:hAnsi="Times New Roman" w:eastAsia="Times New Roman" w:cs="Times New Roman"/>
          <w:color w:val="auto"/>
          <w:highlight w:val="none"/>
          <w:u w:val="single" w:color="000000"/>
        </w:rPr>
        <w:tab/>
      </w:r>
      <w:r>
        <w:rPr>
          <w:color w:val="auto"/>
          <w:highlight w:val="none"/>
        </w:rPr>
        <w:t>月</w:t>
      </w:r>
      <w:r>
        <w:rPr>
          <w:rFonts w:ascii="Times New Roman" w:hAnsi="Times New Roman" w:eastAsia="Times New Roman" w:cs="Times New Roman"/>
          <w:color w:val="auto"/>
          <w:highlight w:val="none"/>
          <w:u w:val="single" w:color="000000"/>
        </w:rPr>
        <w:tab/>
      </w:r>
      <w:r>
        <w:rPr>
          <w:color w:val="auto"/>
          <w:highlight w:val="none"/>
        </w:rPr>
        <w:t>日</w:t>
      </w:r>
    </w:p>
    <w:p>
      <w:pPr>
        <w:spacing w:before="0" w:line="240" w:lineRule="auto"/>
        <w:rPr>
          <w:rFonts w:ascii="宋体" w:hAnsi="宋体" w:eastAsia="宋体" w:cs="宋体"/>
          <w:color w:val="auto"/>
          <w:sz w:val="24"/>
          <w:szCs w:val="24"/>
          <w:highlight w:val="none"/>
        </w:rPr>
      </w:pPr>
    </w:p>
    <w:p>
      <w:pPr>
        <w:rPr>
          <w:color w:val="auto"/>
          <w:highlight w:val="none"/>
        </w:rPr>
      </w:pPr>
      <w:r>
        <w:rPr>
          <w:color w:val="auto"/>
          <w:highlight w:val="none"/>
        </w:rPr>
        <w:br w:type="page"/>
      </w:r>
    </w:p>
    <w:p>
      <w:pPr>
        <w:rPr>
          <w:color w:val="auto"/>
          <w:highlight w:val="none"/>
        </w:rPr>
        <w:sectPr>
          <w:pgSz w:w="11910" w:h="16840"/>
          <w:pgMar w:top="1440" w:right="1080" w:bottom="1440" w:left="1080" w:header="0" w:footer="718" w:gutter="0"/>
          <w:pgNumType w:fmt="decimal"/>
          <w:cols w:space="425" w:num="1"/>
        </w:sectPr>
      </w:pPr>
    </w:p>
    <w:p>
      <w:pPr>
        <w:spacing w:before="0" w:line="568" w:lineRule="exact"/>
        <w:ind w:left="3354" w:right="3355" w:firstLine="0"/>
        <w:jc w:val="center"/>
        <w:rPr>
          <w:rFonts w:ascii="宋体" w:hAnsi="宋体" w:eastAsia="宋体" w:cs="宋体"/>
          <w:color w:val="auto"/>
          <w:sz w:val="48"/>
          <w:szCs w:val="48"/>
          <w:highlight w:val="none"/>
        </w:rPr>
      </w:pPr>
      <w:r>
        <w:rPr>
          <w:rFonts w:ascii="宋体" w:hAnsi="宋体" w:eastAsia="宋体" w:cs="宋体"/>
          <w:b/>
          <w:bCs/>
          <w:color w:val="auto"/>
          <w:sz w:val="48"/>
          <w:szCs w:val="48"/>
          <w:highlight w:val="none"/>
        </w:rPr>
        <w:t>目录</w:t>
      </w:r>
    </w:p>
    <w:p>
      <w:pPr>
        <w:spacing w:before="158" w:line="360" w:lineRule="auto"/>
        <w:ind w:left="111" w:right="2165" w:firstLine="0"/>
        <w:jc w:val="left"/>
        <w:rPr>
          <w:rFonts w:ascii="宋体" w:hAnsi="宋体" w:eastAsia="宋体" w:cs="宋体"/>
          <w:b/>
          <w:bCs/>
          <w:color w:val="auto"/>
          <w:spacing w:val="-104"/>
          <w:sz w:val="24"/>
          <w:szCs w:val="24"/>
          <w:highlight w:val="none"/>
        </w:rPr>
      </w:pPr>
      <w:r>
        <w:rPr>
          <w:rFonts w:ascii="宋体" w:hAnsi="宋体" w:eastAsia="宋体" w:cs="宋体"/>
          <w:b/>
          <w:bCs/>
          <w:color w:val="auto"/>
          <w:spacing w:val="-1"/>
          <w:sz w:val="24"/>
          <w:szCs w:val="24"/>
          <w:highlight w:val="none"/>
        </w:rPr>
        <w:t>投标人自行编制目录及页码但内容包括（但不限于）下列内容：</w:t>
      </w:r>
      <w:r>
        <w:rPr>
          <w:rFonts w:ascii="宋体" w:hAnsi="宋体" w:eastAsia="宋体" w:cs="宋体"/>
          <w:b/>
          <w:bCs/>
          <w:color w:val="auto"/>
          <w:spacing w:val="-104"/>
          <w:sz w:val="24"/>
          <w:szCs w:val="24"/>
          <w:highlight w:val="none"/>
        </w:rPr>
        <w:t xml:space="preserve"> </w:t>
      </w:r>
    </w:p>
    <w:p>
      <w:pPr>
        <w:spacing w:before="158" w:line="360" w:lineRule="auto"/>
        <w:ind w:left="111" w:right="2165" w:firstLine="0"/>
        <w:jc w:val="left"/>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一、诚信投标承诺书</w:t>
      </w:r>
    </w:p>
    <w:p>
      <w:pPr>
        <w:spacing w:before="65" w:line="360" w:lineRule="auto"/>
        <w:ind w:left="111" w:right="2165" w:firstLine="0"/>
        <w:jc w:val="left"/>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二、投标函及投标函附录</w:t>
      </w:r>
    </w:p>
    <w:p>
      <w:pPr>
        <w:spacing w:before="0" w:line="360" w:lineRule="auto"/>
        <w:ind w:left="111" w:right="2165" w:firstLine="0"/>
        <w:jc w:val="left"/>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（一）投标函</w:t>
      </w:r>
    </w:p>
    <w:p>
      <w:pPr>
        <w:numPr>
          <w:ilvl w:val="0"/>
          <w:numId w:val="7"/>
        </w:numPr>
        <w:spacing w:before="0" w:line="360" w:lineRule="auto"/>
        <w:ind w:left="111" w:right="6276" w:firstLine="0"/>
        <w:jc w:val="left"/>
        <w:rPr>
          <w:rFonts w:ascii="宋体" w:hAnsi="宋体" w:eastAsia="宋体" w:cs="宋体"/>
          <w:b/>
          <w:bCs/>
          <w:color w:val="auto"/>
          <w:w w:val="100"/>
          <w:sz w:val="24"/>
          <w:szCs w:val="24"/>
          <w:highlight w:val="none"/>
        </w:rPr>
      </w:pPr>
      <w:r>
        <w:rPr>
          <w:rFonts w:ascii="宋体" w:hAnsi="宋体" w:eastAsia="宋体" w:cs="宋体"/>
          <w:b/>
          <w:bCs/>
          <w:color w:val="auto"/>
          <w:sz w:val="24"/>
          <w:szCs w:val="24"/>
          <w:highlight w:val="none"/>
        </w:rPr>
        <w:t>投标函附录</w:t>
      </w:r>
      <w:r>
        <w:rPr>
          <w:rFonts w:ascii="宋体" w:hAnsi="宋体" w:eastAsia="宋体" w:cs="宋体"/>
          <w:b/>
          <w:bCs/>
          <w:color w:val="auto"/>
          <w:w w:val="100"/>
          <w:sz w:val="24"/>
          <w:szCs w:val="24"/>
          <w:highlight w:val="none"/>
        </w:rPr>
        <w:t xml:space="preserve"> </w:t>
      </w:r>
    </w:p>
    <w:p>
      <w:pPr>
        <w:spacing w:before="65" w:line="360" w:lineRule="auto"/>
        <w:ind w:left="111" w:right="2165" w:firstLine="0"/>
        <w:jc w:val="left"/>
        <w:rPr>
          <w:rFonts w:ascii="宋体" w:hAnsi="宋体" w:eastAsia="宋体" w:cs="宋体"/>
          <w:b/>
          <w:bCs/>
          <w:color w:val="auto"/>
          <w:spacing w:val="-109"/>
          <w:sz w:val="24"/>
          <w:szCs w:val="24"/>
          <w:highlight w:val="none"/>
        </w:rPr>
      </w:pPr>
      <w:r>
        <w:rPr>
          <w:rFonts w:hint="eastAsia" w:ascii="宋体" w:hAnsi="宋体" w:eastAsia="宋体" w:cs="宋体"/>
          <w:b/>
          <w:bCs/>
          <w:color w:val="auto"/>
          <w:spacing w:val="-1"/>
          <w:sz w:val="24"/>
          <w:szCs w:val="24"/>
          <w:highlight w:val="none"/>
          <w:lang w:val="en-US" w:eastAsia="zh-CN"/>
        </w:rPr>
        <w:t>三、</w:t>
      </w:r>
      <w:r>
        <w:rPr>
          <w:rFonts w:ascii="宋体" w:hAnsi="宋体" w:eastAsia="宋体" w:cs="宋体"/>
          <w:b/>
          <w:bCs/>
          <w:color w:val="auto"/>
          <w:spacing w:val="-1"/>
          <w:sz w:val="24"/>
          <w:szCs w:val="24"/>
          <w:highlight w:val="none"/>
        </w:rPr>
        <w:t>法定代表人身份证明</w:t>
      </w:r>
      <w:r>
        <w:rPr>
          <w:rFonts w:ascii="宋体" w:hAnsi="宋体" w:eastAsia="宋体" w:cs="宋体"/>
          <w:b/>
          <w:bCs/>
          <w:color w:val="auto"/>
          <w:spacing w:val="-109"/>
          <w:sz w:val="24"/>
          <w:szCs w:val="24"/>
          <w:highlight w:val="none"/>
        </w:rPr>
        <w:t xml:space="preserve"> </w:t>
      </w:r>
    </w:p>
    <w:p>
      <w:pPr>
        <w:spacing w:before="65" w:line="360" w:lineRule="auto"/>
        <w:ind w:left="111" w:right="2165" w:firstLine="0"/>
        <w:jc w:val="left"/>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 xml:space="preserve">四、授权委托书 </w:t>
      </w:r>
    </w:p>
    <w:p>
      <w:pPr>
        <w:spacing w:before="65" w:line="360" w:lineRule="auto"/>
        <w:ind w:left="111" w:right="2165" w:firstLine="0"/>
        <w:jc w:val="left"/>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 xml:space="preserve">五、投标保证金 </w:t>
      </w:r>
    </w:p>
    <w:p>
      <w:pPr>
        <w:spacing w:before="65" w:line="360" w:lineRule="auto"/>
        <w:ind w:left="111" w:right="2165" w:firstLine="0"/>
        <w:jc w:val="left"/>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六、资格审查资料</w:t>
      </w:r>
    </w:p>
    <w:p>
      <w:pPr>
        <w:spacing w:before="92" w:line="360" w:lineRule="auto"/>
        <w:ind w:left="111" w:right="6276" w:firstLine="0"/>
        <w:jc w:val="left"/>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七、其他资料</w:t>
      </w:r>
    </w:p>
    <w:p>
      <w:pPr>
        <w:spacing w:line="360" w:lineRule="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br w:type="page"/>
      </w:r>
    </w:p>
    <w:p>
      <w:pPr>
        <w:pStyle w:val="18"/>
        <w:rPr>
          <w:rFonts w:hint="eastAsia"/>
          <w:color w:val="auto"/>
          <w:highlight w:val="none"/>
          <w:lang w:val="en-US" w:eastAsia="zh-CN"/>
        </w:rPr>
      </w:pPr>
    </w:p>
    <w:p>
      <w:pPr>
        <w:pStyle w:val="9"/>
        <w:spacing w:line="382" w:lineRule="exact"/>
        <w:ind w:left="3354" w:right="3355"/>
        <w:jc w:val="center"/>
        <w:outlineLvl w:val="1"/>
        <w:rPr>
          <w:b w:val="0"/>
          <w:bCs w:val="0"/>
          <w:color w:val="auto"/>
          <w:highlight w:val="none"/>
        </w:rPr>
      </w:pPr>
      <w:bookmarkStart w:id="143" w:name="_Toc31156"/>
      <w:r>
        <w:rPr>
          <w:rFonts w:hint="eastAsia"/>
          <w:color w:val="auto"/>
          <w:highlight w:val="none"/>
          <w:lang w:val="en-US" w:eastAsia="zh-CN"/>
        </w:rPr>
        <w:t>一、</w:t>
      </w:r>
      <w:r>
        <w:rPr>
          <w:color w:val="auto"/>
          <w:highlight w:val="none"/>
        </w:rPr>
        <w:t>诚信投标承诺书</w:t>
      </w:r>
      <w:bookmarkEnd w:id="143"/>
    </w:p>
    <w:p>
      <w:pPr>
        <w:spacing w:before="0" w:line="240" w:lineRule="auto"/>
        <w:rPr>
          <w:rFonts w:ascii="宋体" w:hAnsi="宋体" w:eastAsia="宋体" w:cs="宋体"/>
          <w:b/>
          <w:bCs/>
          <w:color w:val="auto"/>
          <w:sz w:val="30"/>
          <w:szCs w:val="30"/>
          <w:highlight w:val="none"/>
        </w:rPr>
      </w:pPr>
    </w:p>
    <w:p>
      <w:pPr>
        <w:spacing w:before="5" w:line="240" w:lineRule="auto"/>
        <w:rPr>
          <w:rFonts w:ascii="宋体" w:hAnsi="宋体" w:eastAsia="宋体" w:cs="宋体"/>
          <w:b/>
          <w:bCs/>
          <w:color w:val="auto"/>
          <w:sz w:val="29"/>
          <w:szCs w:val="29"/>
          <w:highlight w:val="none"/>
        </w:rPr>
      </w:pPr>
    </w:p>
    <w:p>
      <w:pPr>
        <w:pStyle w:val="11"/>
        <w:tabs>
          <w:tab w:val="left" w:pos="7811"/>
        </w:tabs>
        <w:spacing w:before="0" w:line="432" w:lineRule="auto"/>
        <w:ind w:left="651" w:right="110" w:hanging="540"/>
        <w:jc w:val="left"/>
        <w:rPr>
          <w:color w:val="auto"/>
          <w:highlight w:val="none"/>
        </w:rPr>
      </w:pPr>
      <w:r>
        <w:rPr>
          <w:rFonts w:hint="eastAsia"/>
          <w:color w:val="auto"/>
          <w:highlight w:val="none"/>
          <w:u w:val="single" w:color="000000"/>
          <w:lang w:eastAsia="zh-CN"/>
        </w:rPr>
        <w:t>饶平县汫洲镇农业农村服务中心</w:t>
      </w:r>
      <w:r>
        <w:rPr>
          <w:color w:val="auto"/>
          <w:highlight w:val="none"/>
        </w:rPr>
        <w:t>（招标人）：</w:t>
      </w:r>
    </w:p>
    <w:p>
      <w:pPr>
        <w:pStyle w:val="11"/>
        <w:tabs>
          <w:tab w:val="left" w:pos="7811"/>
        </w:tabs>
        <w:spacing w:before="0" w:line="432" w:lineRule="auto"/>
        <w:ind w:left="651" w:right="110" w:hanging="540"/>
        <w:jc w:val="left"/>
        <w:rPr>
          <w:color w:val="auto"/>
          <w:highlight w:val="none"/>
        </w:rPr>
      </w:pPr>
      <w:r>
        <w:rPr>
          <w:color w:val="auto"/>
          <w:highlight w:val="none"/>
        </w:rPr>
        <w:t xml:space="preserve"> 本人以法定代表人的身份代表本单位郑重承诺： </w:t>
      </w:r>
    </w:p>
    <w:p>
      <w:pPr>
        <w:pStyle w:val="11"/>
        <w:keepNext w:val="0"/>
        <w:keepLines w:val="0"/>
        <w:pageBreakBefore w:val="0"/>
        <w:widowControl w:val="0"/>
        <w:tabs>
          <w:tab w:val="left" w:pos="7811"/>
        </w:tabs>
        <w:kinsoku/>
        <w:wordWrap/>
        <w:overflowPunct/>
        <w:topLinePunct w:val="0"/>
        <w:autoSpaceDE/>
        <w:autoSpaceDN/>
        <w:bidi w:val="0"/>
        <w:adjustRightInd/>
        <w:snapToGrid/>
        <w:spacing w:before="0" w:line="432" w:lineRule="auto"/>
        <w:ind w:left="0" w:right="0" w:firstLine="420" w:firstLineChars="200"/>
        <w:jc w:val="left"/>
        <w:textAlignment w:val="auto"/>
        <w:rPr>
          <w:color w:val="auto"/>
          <w:highlight w:val="none"/>
        </w:rPr>
      </w:pPr>
      <w:r>
        <w:rPr>
          <w:color w:val="auto"/>
          <w:highlight w:val="none"/>
        </w:rPr>
        <w:t>一、</w:t>
      </w:r>
      <w:r>
        <w:rPr>
          <w:color w:val="auto"/>
          <w:spacing w:val="-92"/>
          <w:highlight w:val="none"/>
        </w:rPr>
        <w:t xml:space="preserve"> </w:t>
      </w:r>
      <w:r>
        <w:rPr>
          <w:color w:val="auto"/>
          <w:spacing w:val="-1"/>
          <w:highlight w:val="none"/>
        </w:rPr>
        <w:t>本单位将遵循公开、公正和诚实信用的原则参加</w:t>
      </w:r>
      <w:r>
        <w:rPr>
          <w:color w:val="auto"/>
          <w:spacing w:val="15"/>
          <w:highlight w:val="none"/>
          <w:u w:val="single" w:color="000000"/>
        </w:rPr>
        <w:t>（项目名称）</w:t>
      </w:r>
      <w:r>
        <w:rPr>
          <w:color w:val="auto"/>
          <w:highlight w:val="none"/>
        </w:rPr>
        <w:t xml:space="preserve">项目的投标。 </w:t>
      </w:r>
    </w:p>
    <w:p>
      <w:pPr>
        <w:pStyle w:val="11"/>
        <w:keepNext w:val="0"/>
        <w:keepLines w:val="0"/>
        <w:pageBreakBefore w:val="0"/>
        <w:widowControl w:val="0"/>
        <w:tabs>
          <w:tab w:val="left" w:pos="6831"/>
        </w:tabs>
        <w:kinsoku/>
        <w:wordWrap/>
        <w:overflowPunct/>
        <w:topLinePunct w:val="0"/>
        <w:autoSpaceDE/>
        <w:autoSpaceDN/>
        <w:bidi w:val="0"/>
        <w:adjustRightInd/>
        <w:snapToGrid/>
        <w:spacing w:before="0" w:line="432" w:lineRule="auto"/>
        <w:ind w:left="0" w:right="0" w:firstLine="420" w:firstLineChars="200"/>
        <w:jc w:val="left"/>
        <w:textAlignment w:val="auto"/>
        <w:rPr>
          <w:color w:val="auto"/>
          <w:highlight w:val="none"/>
        </w:rPr>
      </w:pPr>
      <w:r>
        <w:rPr>
          <w:color w:val="auto"/>
          <w:highlight w:val="none"/>
        </w:rPr>
        <w:t>二、</w:t>
      </w:r>
      <w:r>
        <w:rPr>
          <w:color w:val="auto"/>
          <w:spacing w:val="-96"/>
          <w:highlight w:val="none"/>
        </w:rPr>
        <w:t xml:space="preserve"> </w:t>
      </w:r>
      <w:r>
        <w:rPr>
          <w:color w:val="auto"/>
          <w:highlight w:val="none"/>
        </w:rPr>
        <w:t>本单位所提供的一切资料都是真实、有效、合法的，没有伪（变）造或虚假成分。</w:t>
      </w:r>
    </w:p>
    <w:p>
      <w:pPr>
        <w:pStyle w:val="11"/>
        <w:keepNext w:val="0"/>
        <w:keepLines w:val="0"/>
        <w:pageBreakBefore w:val="0"/>
        <w:widowControl w:val="0"/>
        <w:kinsoku/>
        <w:wordWrap/>
        <w:overflowPunct/>
        <w:topLinePunct w:val="0"/>
        <w:autoSpaceDE/>
        <w:autoSpaceDN/>
        <w:bidi w:val="0"/>
        <w:adjustRightInd/>
        <w:snapToGrid/>
        <w:spacing w:before="0" w:line="432" w:lineRule="auto"/>
        <w:ind w:left="0" w:right="0" w:firstLine="416" w:firstLineChars="200"/>
        <w:jc w:val="both"/>
        <w:textAlignment w:val="auto"/>
        <w:rPr>
          <w:color w:val="auto"/>
          <w:highlight w:val="none"/>
        </w:rPr>
      </w:pPr>
      <w:r>
        <w:rPr>
          <w:color w:val="auto"/>
          <w:spacing w:val="-1"/>
          <w:highlight w:val="none"/>
        </w:rPr>
        <w:t>三、本单位近三年（自招标公告发布之日上溯）没有发生围标串标、严重违约、重</w:t>
      </w:r>
      <w:r>
        <w:rPr>
          <w:color w:val="auto"/>
          <w:highlight w:val="none"/>
        </w:rPr>
        <w:t>大工程质量问题、重大安全生产事故以及贿赂等违法违规行为。</w:t>
      </w:r>
    </w:p>
    <w:p>
      <w:pPr>
        <w:pStyle w:val="11"/>
        <w:keepNext w:val="0"/>
        <w:keepLines w:val="0"/>
        <w:pageBreakBefore w:val="0"/>
        <w:widowControl w:val="0"/>
        <w:kinsoku/>
        <w:wordWrap/>
        <w:overflowPunct/>
        <w:topLinePunct w:val="0"/>
        <w:autoSpaceDE/>
        <w:autoSpaceDN/>
        <w:bidi w:val="0"/>
        <w:adjustRightInd/>
        <w:snapToGrid/>
        <w:spacing w:before="0" w:line="427" w:lineRule="auto"/>
        <w:ind w:left="0" w:right="0" w:firstLine="420" w:firstLineChars="200"/>
        <w:jc w:val="both"/>
        <w:textAlignment w:val="auto"/>
        <w:rPr>
          <w:color w:val="auto"/>
          <w:highlight w:val="none"/>
        </w:rPr>
      </w:pPr>
      <w:r>
        <w:rPr>
          <w:color w:val="auto"/>
          <w:highlight w:val="none"/>
        </w:rPr>
        <w:t>四、</w:t>
      </w:r>
      <w:r>
        <w:rPr>
          <w:color w:val="auto"/>
          <w:spacing w:val="-79"/>
          <w:highlight w:val="none"/>
        </w:rPr>
        <w:t xml:space="preserve"> </w:t>
      </w:r>
      <w:r>
        <w:rPr>
          <w:color w:val="auto"/>
          <w:spacing w:val="-2"/>
          <w:highlight w:val="none"/>
        </w:rPr>
        <w:t>自觉维护招投标市场秩序，不以他人名义投标，不出借、转让、买卖、伪造企</w:t>
      </w:r>
      <w:r>
        <w:rPr>
          <w:color w:val="auto"/>
          <w:spacing w:val="2"/>
          <w:highlight w:val="none"/>
        </w:rPr>
        <w:t>业或从业人员的资质证书、证照、业绩、获奖表彰等相关资信证明文件和印章，也不允</w:t>
      </w:r>
      <w:r>
        <w:rPr>
          <w:color w:val="auto"/>
          <w:spacing w:val="-101"/>
          <w:highlight w:val="none"/>
        </w:rPr>
        <w:t xml:space="preserve"> </w:t>
      </w:r>
      <w:r>
        <w:rPr>
          <w:color w:val="auto"/>
          <w:highlight w:val="none"/>
        </w:rPr>
        <w:t>许其他企业或个人以本单位名义投标。</w:t>
      </w:r>
    </w:p>
    <w:p>
      <w:pPr>
        <w:pStyle w:val="11"/>
        <w:keepNext w:val="0"/>
        <w:keepLines w:val="0"/>
        <w:pageBreakBefore w:val="0"/>
        <w:widowControl w:val="0"/>
        <w:kinsoku/>
        <w:wordWrap/>
        <w:overflowPunct/>
        <w:topLinePunct w:val="0"/>
        <w:autoSpaceDE/>
        <w:autoSpaceDN/>
        <w:bidi w:val="0"/>
        <w:adjustRightInd/>
        <w:snapToGrid/>
        <w:spacing w:before="0" w:line="439" w:lineRule="auto"/>
        <w:ind w:left="0" w:right="0" w:firstLine="420" w:firstLineChars="200"/>
        <w:jc w:val="both"/>
        <w:textAlignment w:val="auto"/>
        <w:rPr>
          <w:color w:val="auto"/>
          <w:highlight w:val="none"/>
        </w:rPr>
      </w:pPr>
      <w:r>
        <w:rPr>
          <w:color w:val="auto"/>
          <w:highlight w:val="none"/>
        </w:rPr>
        <w:t>五、依法公平竞争，不采取虚假或恶意投诉等不正当手段损害、侵犯招标人或其他投标人的正当利益。</w:t>
      </w:r>
    </w:p>
    <w:p>
      <w:pPr>
        <w:pStyle w:val="11"/>
        <w:spacing w:before="55" w:line="240" w:lineRule="auto"/>
        <w:ind w:left="651" w:right="0"/>
        <w:jc w:val="left"/>
        <w:rPr>
          <w:color w:val="auto"/>
          <w:highlight w:val="none"/>
        </w:rPr>
      </w:pPr>
      <w:r>
        <w:rPr>
          <w:color w:val="auto"/>
          <w:highlight w:val="none"/>
        </w:rPr>
        <w:t>本单位如违反上述承诺内容，愿意按约定接受行政监管部门处理。</w:t>
      </w: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4" w:line="240" w:lineRule="auto"/>
        <w:rPr>
          <w:rFonts w:ascii="宋体" w:hAnsi="宋体" w:eastAsia="宋体" w:cs="宋体"/>
          <w:color w:val="auto"/>
          <w:sz w:val="19"/>
          <w:szCs w:val="19"/>
          <w:highlight w:val="none"/>
        </w:rPr>
      </w:pPr>
    </w:p>
    <w:p>
      <w:pPr>
        <w:pStyle w:val="11"/>
        <w:spacing w:before="0" w:line="405" w:lineRule="auto"/>
        <w:ind w:left="5348" w:right="0" w:hanging="82"/>
        <w:jc w:val="left"/>
        <w:rPr>
          <w:color w:val="auto"/>
          <w:highlight w:val="none"/>
        </w:rPr>
      </w:pPr>
      <w:r>
        <w:rPr>
          <w:color w:val="auto"/>
          <w:highlight w:val="none"/>
        </w:rPr>
        <w:t>投标单位（公章）：</w:t>
      </w:r>
    </w:p>
    <w:p>
      <w:pPr>
        <w:pStyle w:val="11"/>
        <w:spacing w:before="0" w:line="405" w:lineRule="auto"/>
        <w:ind w:left="5348" w:right="0" w:hanging="82"/>
        <w:jc w:val="left"/>
        <w:rPr>
          <w:color w:val="auto"/>
          <w:highlight w:val="none"/>
        </w:rPr>
      </w:pPr>
      <w:r>
        <w:rPr>
          <w:color w:val="auto"/>
          <w:highlight w:val="none"/>
        </w:rPr>
        <w:t xml:space="preserve"> 法定代表人（签字或盖章）：</w:t>
      </w:r>
    </w:p>
    <w:p>
      <w:pPr>
        <w:spacing w:before="1" w:line="240" w:lineRule="auto"/>
        <w:rPr>
          <w:rFonts w:ascii="宋体" w:hAnsi="宋体" w:eastAsia="宋体" w:cs="宋体"/>
          <w:color w:val="auto"/>
          <w:sz w:val="19"/>
          <w:szCs w:val="19"/>
          <w:highlight w:val="none"/>
        </w:rPr>
      </w:pPr>
    </w:p>
    <w:p>
      <w:pPr>
        <w:pStyle w:val="11"/>
        <w:tabs>
          <w:tab w:val="left" w:pos="7748"/>
          <w:tab w:val="left" w:pos="8228"/>
        </w:tabs>
        <w:spacing w:before="0" w:line="240" w:lineRule="auto"/>
        <w:ind w:left="2440" w:right="0" w:firstLine="4708"/>
        <w:jc w:val="left"/>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spacing w:before="145" w:line="360" w:lineRule="auto"/>
        <w:ind w:right="0"/>
        <w:jc w:val="left"/>
        <w:outlineLvl w:val="9"/>
        <w:rPr>
          <w:color w:val="auto"/>
          <w:highlight w:val="none"/>
        </w:rPr>
      </w:pPr>
    </w:p>
    <w:p>
      <w:pPr>
        <w:spacing w:before="145" w:line="360" w:lineRule="auto"/>
        <w:ind w:right="0"/>
        <w:jc w:val="left"/>
        <w:outlineLvl w:val="9"/>
        <w:rPr>
          <w:color w:val="auto"/>
          <w:highlight w:val="none"/>
        </w:rPr>
      </w:pPr>
    </w:p>
    <w:p>
      <w:pPr>
        <w:spacing w:before="145" w:line="360" w:lineRule="auto"/>
        <w:ind w:right="0"/>
        <w:jc w:val="left"/>
        <w:outlineLvl w:val="9"/>
        <w:rPr>
          <w:color w:val="auto"/>
          <w:highlight w:val="none"/>
        </w:rPr>
      </w:pPr>
    </w:p>
    <w:p>
      <w:pPr>
        <w:spacing w:before="145" w:line="360" w:lineRule="auto"/>
        <w:ind w:right="0"/>
        <w:jc w:val="left"/>
        <w:outlineLvl w:val="9"/>
        <w:rPr>
          <w:color w:val="auto"/>
          <w:highlight w:val="none"/>
        </w:rPr>
      </w:pPr>
    </w:p>
    <w:p>
      <w:pPr>
        <w:spacing w:before="145" w:line="360" w:lineRule="auto"/>
        <w:ind w:right="0"/>
        <w:jc w:val="left"/>
        <w:outlineLvl w:val="9"/>
        <w:rPr>
          <w:color w:val="auto"/>
          <w:highlight w:val="none"/>
        </w:rPr>
      </w:pPr>
    </w:p>
    <w:p>
      <w:pPr>
        <w:spacing w:before="145" w:line="360" w:lineRule="auto"/>
        <w:ind w:right="0"/>
        <w:jc w:val="left"/>
        <w:outlineLvl w:val="9"/>
        <w:rPr>
          <w:color w:val="auto"/>
          <w:highlight w:val="none"/>
        </w:rPr>
      </w:pPr>
    </w:p>
    <w:p>
      <w:pPr>
        <w:spacing w:before="145" w:line="360" w:lineRule="auto"/>
        <w:ind w:right="0"/>
        <w:jc w:val="left"/>
        <w:outlineLvl w:val="9"/>
        <w:rPr>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pStyle w:val="9"/>
        <w:spacing w:line="382" w:lineRule="exact"/>
        <w:ind w:left="3354" w:right="2930" w:rightChars="0"/>
        <w:jc w:val="center"/>
        <w:outlineLvl w:val="1"/>
        <w:rPr>
          <w:rFonts w:ascii="宋体" w:hAnsi="宋体" w:eastAsia="宋体"/>
          <w:color w:val="auto"/>
          <w:highlight w:val="none"/>
        </w:rPr>
      </w:pPr>
      <w:bookmarkStart w:id="144" w:name="_Toc18913"/>
      <w:r>
        <w:rPr>
          <w:rFonts w:hint="eastAsia" w:ascii="宋体" w:hAnsi="宋体" w:eastAsia="宋体"/>
          <w:color w:val="auto"/>
          <w:highlight w:val="none"/>
          <w:lang w:val="en-US" w:eastAsia="zh-CN"/>
        </w:rPr>
        <w:t>二、</w:t>
      </w:r>
      <w:r>
        <w:rPr>
          <w:rFonts w:ascii="宋体" w:hAnsi="宋体" w:eastAsia="宋体"/>
          <w:color w:val="auto"/>
          <w:highlight w:val="none"/>
        </w:rPr>
        <w:t>投标函及投标函附录</w:t>
      </w:r>
      <w:bookmarkEnd w:id="144"/>
    </w:p>
    <w:p>
      <w:pPr>
        <w:pStyle w:val="5"/>
        <w:spacing w:before="145" w:line="360" w:lineRule="auto"/>
        <w:ind w:right="0"/>
        <w:jc w:val="center"/>
        <w:outlineLvl w:val="2"/>
        <w:rPr>
          <w:b w:val="0"/>
          <w:bCs w:val="0"/>
          <w:color w:val="auto"/>
          <w:highlight w:val="none"/>
        </w:rPr>
      </w:pPr>
      <w:bookmarkStart w:id="145" w:name="_Toc16463"/>
      <w:r>
        <w:rPr>
          <w:color w:val="auto"/>
          <w:highlight w:val="none"/>
        </w:rPr>
        <w:t>（</w:t>
      </w:r>
      <w:r>
        <w:rPr>
          <w:rFonts w:hint="eastAsia"/>
          <w:color w:val="auto"/>
          <w:highlight w:val="none"/>
          <w:lang w:val="en-US" w:eastAsia="zh-CN"/>
        </w:rPr>
        <w:t>一</w:t>
      </w:r>
      <w:r>
        <w:rPr>
          <w:color w:val="auto"/>
          <w:highlight w:val="none"/>
        </w:rPr>
        <w:t>）投标函</w:t>
      </w:r>
      <w:bookmarkEnd w:id="145"/>
    </w:p>
    <w:p>
      <w:pPr>
        <w:pStyle w:val="11"/>
        <w:keepNext w:val="0"/>
        <w:keepLines w:val="0"/>
        <w:pageBreakBefore w:val="0"/>
        <w:widowControl w:val="0"/>
        <w:tabs>
          <w:tab w:val="left" w:pos="2131"/>
        </w:tabs>
        <w:kinsoku/>
        <w:wordWrap/>
        <w:overflowPunct/>
        <w:topLinePunct w:val="0"/>
        <w:autoSpaceDE/>
        <w:autoSpaceDN/>
        <w:bidi w:val="0"/>
        <w:adjustRightInd/>
        <w:snapToGrid/>
        <w:spacing w:before="26" w:line="24" w:lineRule="atLeast"/>
        <w:ind w:left="0" w:right="548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000000"/>
        </w:rPr>
        <w:t xml:space="preserve"> </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rPr>
        <w:t>（招标人名称）</w:t>
      </w:r>
    </w:p>
    <w:p>
      <w:pPr>
        <w:pStyle w:val="11"/>
        <w:keepNext w:val="0"/>
        <w:keepLines w:val="0"/>
        <w:pageBreakBefore w:val="0"/>
        <w:widowControl w:val="0"/>
        <w:tabs>
          <w:tab w:val="left" w:pos="2031"/>
          <w:tab w:val="left" w:pos="4643"/>
          <w:tab w:val="left" w:pos="4957"/>
          <w:tab w:val="left" w:pos="7136"/>
        </w:tabs>
        <w:kinsoku/>
        <w:wordWrap/>
        <w:overflowPunct/>
        <w:topLinePunct w:val="0"/>
        <w:autoSpaceDE/>
        <w:autoSpaceDN/>
        <w:bidi w:val="0"/>
        <w:adjustRightInd/>
        <w:snapToGrid/>
        <w:spacing w:before="151" w:line="24" w:lineRule="atLeast"/>
        <w:ind w:left="111" w:right="107" w:firstLine="499"/>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1、我方已仔细研究了</w:t>
      </w:r>
      <w:r>
        <w:rPr>
          <w:rFonts w:hint="eastAsia" w:ascii="宋体" w:hAnsi="宋体" w:eastAsia="宋体" w:cs="宋体"/>
          <w:color w:val="auto"/>
          <w:spacing w:val="-1"/>
          <w:sz w:val="21"/>
          <w:szCs w:val="21"/>
          <w:highlight w:val="none"/>
          <w:u w:val="single" w:color="000000"/>
        </w:rPr>
        <w:tab/>
      </w:r>
      <w:r>
        <w:rPr>
          <w:rFonts w:hint="eastAsia" w:ascii="宋体" w:hAnsi="宋体" w:eastAsia="宋体" w:cs="宋体"/>
          <w:color w:val="auto"/>
          <w:spacing w:val="-1"/>
          <w:sz w:val="21"/>
          <w:szCs w:val="21"/>
          <w:highlight w:val="none"/>
          <w:u w:val="single" w:color="000000"/>
        </w:rPr>
        <w:t>（</w:t>
      </w:r>
      <w:r>
        <w:rPr>
          <w:rFonts w:hint="eastAsia" w:ascii="宋体" w:hAnsi="宋体" w:eastAsia="宋体" w:cs="宋体"/>
          <w:color w:val="auto"/>
          <w:spacing w:val="-1"/>
          <w:sz w:val="21"/>
          <w:szCs w:val="21"/>
          <w:highlight w:val="none"/>
        </w:rPr>
        <w:t>项目名称）招标项目招标文件的全部内容，</w:t>
      </w:r>
      <w:r>
        <w:rPr>
          <w:rFonts w:hint="eastAsia" w:ascii="宋体" w:hAnsi="宋体" w:eastAsia="宋体" w:cs="宋体"/>
          <w:color w:val="auto"/>
          <w:sz w:val="21"/>
          <w:szCs w:val="21"/>
          <w:highlight w:val="none"/>
        </w:rPr>
        <w:t>愿意以人民币（大写）</w:t>
      </w:r>
      <w:r>
        <w:rPr>
          <w:rFonts w:hint="eastAsia" w:ascii="宋体" w:hAnsi="宋体" w:eastAsia="宋体" w:cs="宋体"/>
          <w:color w:val="auto"/>
          <w:sz w:val="21"/>
          <w:szCs w:val="21"/>
          <w:highlight w:val="none"/>
          <w:u w:val="single" w:color="000000"/>
        </w:rPr>
        <w:tab/>
      </w:r>
      <w:r>
        <w:rPr>
          <w:rFonts w:hint="eastAsia" w:cs="宋体"/>
          <w:color w:val="auto"/>
          <w:sz w:val="21"/>
          <w:szCs w:val="21"/>
          <w:highlight w:val="none"/>
          <w:u w:val="single" w:color="000000"/>
          <w:lang w:val="en-US" w:eastAsia="zh-CN"/>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000000"/>
        </w:rPr>
        <w:tab/>
      </w:r>
      <w:r>
        <w:rPr>
          <w:rFonts w:hint="eastAsia" w:ascii="宋体" w:hAnsi="宋体" w:eastAsia="宋体" w:cs="宋体"/>
          <w:color w:val="auto"/>
          <w:sz w:val="21"/>
          <w:szCs w:val="21"/>
          <w:highlight w:val="none"/>
        </w:rPr>
        <w:t>）的投标总报价，投标下浮率</w:t>
      </w:r>
      <w:r>
        <w:rPr>
          <w:rFonts w:hint="eastAsia" w:ascii="宋体" w:hAnsi="宋体" w:eastAsia="宋体" w:cs="宋体"/>
          <w:color w:val="auto"/>
          <w:sz w:val="21"/>
          <w:szCs w:val="21"/>
          <w:highlight w:val="none"/>
          <w:u w:val="single" w:color="000000"/>
        </w:rPr>
        <w:tab/>
      </w:r>
      <w:r>
        <w:rPr>
          <w:rFonts w:hint="eastAsia" w:cs="宋体"/>
          <w:color w:val="auto"/>
          <w:sz w:val="21"/>
          <w:szCs w:val="21"/>
          <w:highlight w:val="none"/>
          <w:u w:val="single" w:color="000000"/>
          <w:lang w:val="en-US" w:eastAsia="zh-CN"/>
        </w:rPr>
        <w:t xml:space="preserve">       </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，服务期限：</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Style w:val="11"/>
        <w:keepNext w:val="0"/>
        <w:keepLines w:val="0"/>
        <w:pageBreakBefore w:val="0"/>
        <w:widowControl w:val="0"/>
        <w:kinsoku/>
        <w:wordWrap/>
        <w:overflowPunct/>
        <w:topLinePunct w:val="0"/>
        <w:autoSpaceDE/>
        <w:autoSpaceDN/>
        <w:bidi w:val="0"/>
        <w:adjustRightInd/>
        <w:snapToGrid/>
        <w:spacing w:before="36"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我方的投标文件包括下列内容：</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（1）诚信投标承诺书</w:t>
      </w:r>
    </w:p>
    <w:p>
      <w:pPr>
        <w:pStyle w:val="11"/>
        <w:keepNext w:val="0"/>
        <w:keepLines w:val="0"/>
        <w:pageBreakBefore w:val="0"/>
        <w:widowControl w:val="0"/>
        <w:kinsoku/>
        <w:wordWrap/>
        <w:overflowPunct/>
        <w:topLinePunct w:val="0"/>
        <w:autoSpaceDE/>
        <w:autoSpaceDN/>
        <w:bidi w:val="0"/>
        <w:adjustRightInd/>
        <w:snapToGrid/>
        <w:spacing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（2）投标函及投标函附录</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（3）法定代表人身份证明</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（4）授权委托书</w:t>
      </w:r>
    </w:p>
    <w:p>
      <w:pPr>
        <w:pStyle w:val="11"/>
        <w:keepNext w:val="0"/>
        <w:keepLines w:val="0"/>
        <w:pageBreakBefore w:val="0"/>
        <w:widowControl w:val="0"/>
        <w:kinsoku/>
        <w:wordWrap/>
        <w:overflowPunct/>
        <w:topLinePunct w:val="0"/>
        <w:autoSpaceDE/>
        <w:autoSpaceDN/>
        <w:bidi w:val="0"/>
        <w:adjustRightInd/>
        <w:snapToGrid/>
        <w:spacing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（5）投标保证金</w:t>
      </w:r>
    </w:p>
    <w:p>
      <w:pPr>
        <w:pStyle w:val="11"/>
        <w:keepNext w:val="0"/>
        <w:keepLines w:val="0"/>
        <w:pageBreakBefore w:val="0"/>
        <w:widowControl w:val="0"/>
        <w:kinsoku/>
        <w:wordWrap/>
        <w:overflowPunct/>
        <w:topLinePunct w:val="0"/>
        <w:autoSpaceDE/>
        <w:autoSpaceDN/>
        <w:bidi w:val="0"/>
        <w:adjustRightInd/>
        <w:snapToGrid/>
        <w:spacing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（6）资格审查资料</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（7）其他资料。</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投标文件的上述组成部分如存在内容不一致的，以投标函为准。 </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我方承诺在招标文件规定的投标有效期内不撤销投标文件。</w:t>
      </w:r>
    </w:p>
    <w:p>
      <w:pPr>
        <w:pStyle w:val="11"/>
        <w:keepNext w:val="0"/>
        <w:keepLines w:val="0"/>
        <w:pageBreakBefore w:val="0"/>
        <w:widowControl w:val="0"/>
        <w:kinsoku/>
        <w:wordWrap/>
        <w:overflowPunct/>
        <w:topLinePunct w:val="0"/>
        <w:autoSpaceDE/>
        <w:autoSpaceDN/>
        <w:bidi w:val="0"/>
        <w:adjustRightInd/>
        <w:snapToGrid/>
        <w:spacing w:before="36"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pacing w:val="-41"/>
          <w:sz w:val="21"/>
          <w:szCs w:val="21"/>
          <w:highlight w:val="none"/>
        </w:rPr>
        <w:t xml:space="preserve"> </w:t>
      </w:r>
      <w:r>
        <w:rPr>
          <w:rFonts w:hint="eastAsia" w:ascii="宋体" w:hAnsi="宋体" w:eastAsia="宋体" w:cs="宋体"/>
          <w:color w:val="auto"/>
          <w:sz w:val="21"/>
          <w:szCs w:val="21"/>
          <w:highlight w:val="none"/>
        </w:rPr>
        <w:t>如我方中标，我方承诺：</w:t>
      </w:r>
    </w:p>
    <w:p>
      <w:pPr>
        <w:pStyle w:val="11"/>
        <w:keepNext w:val="0"/>
        <w:keepLines w:val="0"/>
        <w:pageBreakBefore w:val="0"/>
        <w:widowControl w:val="0"/>
        <w:kinsoku/>
        <w:wordWrap/>
        <w:overflowPunct/>
        <w:topLinePunct w:val="0"/>
        <w:autoSpaceDE/>
        <w:autoSpaceDN/>
        <w:bidi w:val="0"/>
        <w:adjustRightInd/>
        <w:snapToGrid/>
        <w:spacing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（1）在收到中标通知书后，在中标通知书规定的期限内与你方签订合同；</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（2）在签订合同时不向你方提出附加条件；</w:t>
      </w:r>
    </w:p>
    <w:p>
      <w:pPr>
        <w:pStyle w:val="11"/>
        <w:keepNext w:val="0"/>
        <w:keepLines w:val="0"/>
        <w:pageBreakBefore w:val="0"/>
        <w:widowControl w:val="0"/>
        <w:kinsoku/>
        <w:wordWrap/>
        <w:overflowPunct/>
        <w:topLinePunct w:val="0"/>
        <w:autoSpaceDE/>
        <w:autoSpaceDN/>
        <w:bidi w:val="0"/>
        <w:adjustRightInd/>
        <w:snapToGrid/>
        <w:spacing w:before="151"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（3）按照招标文件要求提交履约保证金；</w:t>
      </w:r>
    </w:p>
    <w:p>
      <w:pPr>
        <w:pStyle w:val="11"/>
        <w:keepNext w:val="0"/>
        <w:keepLines w:val="0"/>
        <w:pageBreakBefore w:val="0"/>
        <w:widowControl w:val="0"/>
        <w:kinsoku/>
        <w:wordWrap/>
        <w:overflowPunct/>
        <w:topLinePunct w:val="0"/>
        <w:autoSpaceDE/>
        <w:autoSpaceDN/>
        <w:bidi w:val="0"/>
        <w:adjustRightInd/>
        <w:snapToGrid/>
        <w:spacing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（4）在合同约定的期限内完成合同规定的全部义务。</w:t>
      </w:r>
    </w:p>
    <w:p>
      <w:pPr>
        <w:pStyle w:val="11"/>
        <w:keepNext w:val="0"/>
        <w:keepLines w:val="0"/>
        <w:pageBreakBefore w:val="0"/>
        <w:widowControl w:val="0"/>
        <w:kinsoku/>
        <w:wordWrap/>
        <w:overflowPunct/>
        <w:topLinePunct w:val="0"/>
        <w:autoSpaceDE/>
        <w:autoSpaceDN/>
        <w:bidi w:val="0"/>
        <w:adjustRightInd/>
        <w:snapToGrid/>
        <w:spacing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w:t>
      </w:r>
    </w:p>
    <w:p>
      <w:pPr>
        <w:pStyle w:val="11"/>
        <w:keepNext w:val="0"/>
        <w:keepLines w:val="0"/>
        <w:pageBreakBefore w:val="0"/>
        <w:widowControl w:val="0"/>
        <w:tabs>
          <w:tab w:val="left" w:pos="4443"/>
        </w:tabs>
        <w:kinsoku/>
        <w:wordWrap/>
        <w:overflowPunct/>
        <w:topLinePunct w:val="0"/>
        <w:autoSpaceDE/>
        <w:autoSpaceDN/>
        <w:bidi w:val="0"/>
        <w:adjustRightInd/>
        <w:snapToGrid/>
        <w:spacing w:before="27" w:line="24" w:lineRule="atLeast"/>
        <w:ind w:left="611" w:right="10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rPr>
        <w:t>（其他补充说明）</w:t>
      </w:r>
      <w:r>
        <w:rPr>
          <w:rFonts w:hint="eastAsia" w:ascii="宋体" w:hAnsi="宋体" w:eastAsia="宋体" w:cs="宋体"/>
          <w:i/>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0" w:line="24" w:lineRule="atLeast"/>
        <w:textAlignment w:val="auto"/>
        <w:rPr>
          <w:rFonts w:ascii="宋体" w:hAnsi="宋体" w:eastAsia="宋体" w:cs="宋体"/>
          <w:i/>
          <w:color w:val="auto"/>
          <w:sz w:val="24"/>
          <w:szCs w:val="24"/>
          <w:highlight w:val="none"/>
        </w:rPr>
      </w:pPr>
    </w:p>
    <w:p>
      <w:pPr>
        <w:pStyle w:val="11"/>
        <w:keepNext w:val="0"/>
        <w:keepLines w:val="0"/>
        <w:pageBreakBefore w:val="0"/>
        <w:widowControl w:val="0"/>
        <w:tabs>
          <w:tab w:val="left" w:pos="7885"/>
        </w:tabs>
        <w:kinsoku/>
        <w:wordWrap/>
        <w:overflowPunct/>
        <w:topLinePunct w:val="0"/>
        <w:autoSpaceDE/>
        <w:autoSpaceDN/>
        <w:bidi w:val="0"/>
        <w:adjustRightInd/>
        <w:snapToGrid/>
        <w:spacing w:before="0" w:line="24" w:lineRule="atLeast"/>
        <w:ind w:left="3464" w:right="107"/>
        <w:jc w:val="left"/>
        <w:textAlignment w:val="auto"/>
        <w:rPr>
          <w:color w:val="auto"/>
          <w:highlight w:val="none"/>
        </w:rPr>
      </w:pPr>
      <w:r>
        <w:rPr>
          <w:color w:val="auto"/>
          <w:spacing w:val="-1"/>
          <w:highlight w:val="none"/>
        </w:rPr>
        <w:t>投标人：</w:t>
      </w:r>
      <w:r>
        <w:rPr>
          <w:rFonts w:ascii="Times New Roman" w:hAnsi="Times New Roman" w:eastAsia="Times New Roman" w:cs="Times New Roman"/>
          <w:color w:val="auto"/>
          <w:spacing w:val="-1"/>
          <w:highlight w:val="none"/>
          <w:u w:val="single" w:color="000000"/>
        </w:rPr>
        <w:tab/>
      </w:r>
      <w:r>
        <w:rPr>
          <w:color w:val="auto"/>
          <w:highlight w:val="none"/>
        </w:rPr>
        <w:t>（盖单位章）</w:t>
      </w:r>
    </w:p>
    <w:p>
      <w:pPr>
        <w:pStyle w:val="11"/>
        <w:keepNext w:val="0"/>
        <w:keepLines w:val="0"/>
        <w:pageBreakBefore w:val="0"/>
        <w:widowControl w:val="0"/>
        <w:tabs>
          <w:tab w:val="left" w:pos="7664"/>
        </w:tabs>
        <w:kinsoku/>
        <w:wordWrap/>
        <w:overflowPunct/>
        <w:topLinePunct w:val="0"/>
        <w:autoSpaceDE/>
        <w:autoSpaceDN/>
        <w:bidi w:val="0"/>
        <w:adjustRightInd/>
        <w:snapToGrid/>
        <w:spacing w:before="0" w:line="24" w:lineRule="atLeast"/>
        <w:ind w:left="3464" w:right="107"/>
        <w:jc w:val="both"/>
        <w:textAlignment w:val="auto"/>
        <w:rPr>
          <w:color w:val="auto"/>
          <w:highlight w:val="none"/>
        </w:rPr>
      </w:pPr>
      <w:r>
        <w:rPr>
          <w:color w:val="auto"/>
          <w:spacing w:val="-1"/>
          <w:highlight w:val="none"/>
        </w:rPr>
        <w:t>法定代表人或其委托代理人：</w:t>
      </w:r>
      <w:r>
        <w:rPr>
          <w:rFonts w:ascii="Times New Roman" w:hAnsi="Times New Roman" w:eastAsia="Times New Roman" w:cs="Times New Roman"/>
          <w:color w:val="auto"/>
          <w:spacing w:val="-1"/>
          <w:highlight w:val="none"/>
          <w:u w:val="single" w:color="000000"/>
        </w:rPr>
        <w:tab/>
      </w:r>
      <w:r>
        <w:rPr>
          <w:color w:val="auto"/>
          <w:highlight w:val="none"/>
        </w:rPr>
        <w:t xml:space="preserve">（签字或盖章） </w:t>
      </w:r>
    </w:p>
    <w:p>
      <w:pPr>
        <w:pStyle w:val="11"/>
        <w:keepNext w:val="0"/>
        <w:keepLines w:val="0"/>
        <w:pageBreakBefore w:val="0"/>
        <w:widowControl w:val="0"/>
        <w:tabs>
          <w:tab w:val="left" w:pos="7664"/>
        </w:tabs>
        <w:kinsoku/>
        <w:wordWrap/>
        <w:overflowPunct/>
        <w:topLinePunct w:val="0"/>
        <w:autoSpaceDE/>
        <w:autoSpaceDN/>
        <w:bidi w:val="0"/>
        <w:adjustRightInd/>
        <w:snapToGrid/>
        <w:spacing w:before="0" w:line="24" w:lineRule="atLeast"/>
        <w:ind w:left="3464" w:right="107"/>
        <w:jc w:val="both"/>
        <w:textAlignment w:val="auto"/>
        <w:rPr>
          <w:color w:val="auto"/>
          <w:highlight w:val="none"/>
        </w:rPr>
      </w:pPr>
      <w:r>
        <w:rPr>
          <w:color w:val="auto"/>
          <w:spacing w:val="-1"/>
          <w:highlight w:val="none"/>
        </w:rPr>
        <w:t>项目负责人：</w:t>
      </w:r>
      <w:r>
        <w:rPr>
          <w:rFonts w:ascii="Times New Roman" w:hAnsi="Times New Roman" w:eastAsia="Times New Roman" w:cs="Times New Roman"/>
          <w:color w:val="auto"/>
          <w:spacing w:val="-1"/>
          <w:highlight w:val="none"/>
          <w:u w:val="single" w:color="000000"/>
        </w:rPr>
        <w:tab/>
      </w:r>
      <w:r>
        <w:rPr>
          <w:color w:val="auto"/>
          <w:highlight w:val="none"/>
        </w:rPr>
        <w:t>（签字）</w:t>
      </w:r>
    </w:p>
    <w:p>
      <w:pPr>
        <w:pStyle w:val="11"/>
        <w:keepNext w:val="0"/>
        <w:keepLines w:val="0"/>
        <w:pageBreakBefore w:val="0"/>
        <w:widowControl w:val="0"/>
        <w:tabs>
          <w:tab w:val="left" w:pos="9207"/>
        </w:tabs>
        <w:kinsoku/>
        <w:wordWrap/>
        <w:overflowPunct/>
        <w:topLinePunct w:val="0"/>
        <w:autoSpaceDE/>
        <w:autoSpaceDN/>
        <w:bidi w:val="0"/>
        <w:adjustRightInd/>
        <w:snapToGrid/>
        <w:spacing w:before="38" w:line="24" w:lineRule="atLeast"/>
        <w:ind w:left="3464" w:right="174"/>
        <w:jc w:val="both"/>
        <w:textAlignment w:val="auto"/>
        <w:rPr>
          <w:rFonts w:ascii="Times New Roman" w:hAnsi="Times New Roman" w:eastAsia="Times New Roman" w:cs="Times New Roman"/>
          <w:color w:val="auto"/>
          <w:highlight w:val="none"/>
        </w:rPr>
      </w:pPr>
      <w:r>
        <w:rPr>
          <w:color w:val="auto"/>
          <w:highlight w:val="none"/>
        </w:rPr>
        <w:t>地址：</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rPr>
        <w:t xml:space="preserve"> </w:t>
      </w:r>
    </w:p>
    <w:p>
      <w:pPr>
        <w:pStyle w:val="11"/>
        <w:keepNext w:val="0"/>
        <w:keepLines w:val="0"/>
        <w:pageBreakBefore w:val="0"/>
        <w:widowControl w:val="0"/>
        <w:tabs>
          <w:tab w:val="left" w:pos="9207"/>
        </w:tabs>
        <w:kinsoku/>
        <w:wordWrap/>
        <w:overflowPunct/>
        <w:topLinePunct w:val="0"/>
        <w:autoSpaceDE/>
        <w:autoSpaceDN/>
        <w:bidi w:val="0"/>
        <w:adjustRightInd/>
        <w:snapToGrid/>
        <w:spacing w:before="38" w:line="24" w:lineRule="atLeast"/>
        <w:ind w:left="3464" w:right="174"/>
        <w:jc w:val="both"/>
        <w:textAlignment w:val="auto"/>
        <w:rPr>
          <w:rFonts w:ascii="Times New Roman" w:hAnsi="Times New Roman" w:eastAsia="Times New Roman" w:cs="Times New Roman"/>
          <w:color w:val="auto"/>
          <w:highlight w:val="none"/>
          <w:u w:val="single" w:color="000000"/>
        </w:rPr>
      </w:pPr>
      <w:r>
        <w:rPr>
          <w:color w:val="auto"/>
          <w:highlight w:val="none"/>
        </w:rPr>
        <w:t>邮箱：</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p>
    <w:p>
      <w:pPr>
        <w:pStyle w:val="11"/>
        <w:keepNext w:val="0"/>
        <w:keepLines w:val="0"/>
        <w:pageBreakBefore w:val="0"/>
        <w:widowControl w:val="0"/>
        <w:tabs>
          <w:tab w:val="left" w:pos="9207"/>
        </w:tabs>
        <w:kinsoku/>
        <w:wordWrap/>
        <w:overflowPunct/>
        <w:topLinePunct w:val="0"/>
        <w:autoSpaceDE/>
        <w:autoSpaceDN/>
        <w:bidi w:val="0"/>
        <w:adjustRightInd/>
        <w:snapToGrid/>
        <w:spacing w:before="38" w:line="24" w:lineRule="atLeast"/>
        <w:ind w:left="3464" w:right="174"/>
        <w:jc w:val="both"/>
        <w:textAlignment w:val="auto"/>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 </w:t>
      </w:r>
      <w:r>
        <w:rPr>
          <w:color w:val="auto"/>
          <w:highlight w:val="none"/>
        </w:rPr>
        <w:t>电话：</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rPr>
        <w:t xml:space="preserve"> </w:t>
      </w:r>
    </w:p>
    <w:p>
      <w:pPr>
        <w:pStyle w:val="11"/>
        <w:keepNext w:val="0"/>
        <w:keepLines w:val="0"/>
        <w:pageBreakBefore w:val="0"/>
        <w:widowControl w:val="0"/>
        <w:tabs>
          <w:tab w:val="left" w:pos="9207"/>
        </w:tabs>
        <w:kinsoku/>
        <w:wordWrap/>
        <w:overflowPunct/>
        <w:topLinePunct w:val="0"/>
        <w:autoSpaceDE/>
        <w:autoSpaceDN/>
        <w:bidi w:val="0"/>
        <w:adjustRightInd/>
        <w:snapToGrid/>
        <w:spacing w:before="38" w:line="24" w:lineRule="atLeast"/>
        <w:ind w:left="3464" w:right="174"/>
        <w:jc w:val="both"/>
        <w:textAlignment w:val="auto"/>
        <w:rPr>
          <w:rFonts w:ascii="Times New Roman" w:hAnsi="Times New Roman" w:eastAsia="Times New Roman" w:cs="Times New Roman"/>
          <w:color w:val="auto"/>
          <w:highlight w:val="none"/>
          <w:u w:val="single" w:color="000000"/>
        </w:rPr>
      </w:pPr>
      <w:r>
        <w:rPr>
          <w:color w:val="auto"/>
          <w:highlight w:val="none"/>
        </w:rPr>
        <w:t>传真：</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p>
    <w:p>
      <w:pPr>
        <w:pStyle w:val="11"/>
        <w:keepNext w:val="0"/>
        <w:keepLines w:val="0"/>
        <w:pageBreakBefore w:val="0"/>
        <w:widowControl w:val="0"/>
        <w:tabs>
          <w:tab w:val="left" w:pos="9207"/>
        </w:tabs>
        <w:kinsoku/>
        <w:wordWrap/>
        <w:overflowPunct/>
        <w:topLinePunct w:val="0"/>
        <w:autoSpaceDE/>
        <w:autoSpaceDN/>
        <w:bidi w:val="0"/>
        <w:adjustRightInd/>
        <w:snapToGrid/>
        <w:spacing w:before="38" w:line="24" w:lineRule="atLeast"/>
        <w:ind w:left="3464" w:right="174"/>
        <w:jc w:val="both"/>
        <w:textAlignment w:val="auto"/>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 </w:t>
      </w:r>
      <w:r>
        <w:rPr>
          <w:color w:val="auto"/>
          <w:highlight w:val="none"/>
        </w:rPr>
        <w:t>邮政编码：</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w w:val="126"/>
          <w:highlight w:val="none"/>
          <w:u w:val="single" w:color="000000"/>
        </w:rPr>
        <w:t xml:space="preserve"> </w:t>
      </w:r>
    </w:p>
    <w:p>
      <w:pPr>
        <w:pStyle w:val="11"/>
        <w:keepNext w:val="0"/>
        <w:keepLines w:val="0"/>
        <w:pageBreakBefore w:val="0"/>
        <w:widowControl w:val="0"/>
        <w:tabs>
          <w:tab w:val="left" w:pos="7307"/>
          <w:tab w:val="left" w:pos="8267"/>
          <w:tab w:val="left" w:pos="9107"/>
        </w:tabs>
        <w:kinsoku/>
        <w:wordWrap/>
        <w:overflowPunct/>
        <w:topLinePunct w:val="0"/>
        <w:autoSpaceDE/>
        <w:autoSpaceDN/>
        <w:bidi w:val="0"/>
        <w:adjustRightInd/>
        <w:snapToGrid/>
        <w:spacing w:before="36" w:line="24" w:lineRule="atLeast"/>
        <w:ind w:left="111" w:right="0" w:firstLine="6590"/>
        <w:jc w:val="left"/>
        <w:textAlignment w:val="auto"/>
        <w:rPr>
          <w:color w:val="auto"/>
          <w:highlight w:val="none"/>
        </w:rPr>
      </w:pP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spacing w:val="-1"/>
          <w:highlight w:val="none"/>
        </w:rPr>
        <w:t>年</w:t>
      </w:r>
      <w:r>
        <w:rPr>
          <w:rFonts w:ascii="Times New Roman" w:hAnsi="Times New Roman" w:eastAsia="Times New Roman" w:cs="Times New Roman"/>
          <w:color w:val="auto"/>
          <w:spacing w:val="-1"/>
          <w:highlight w:val="none"/>
          <w:u w:val="single" w:color="000000"/>
        </w:rPr>
        <w:tab/>
      </w:r>
      <w:r>
        <w:rPr>
          <w:color w:val="auto"/>
          <w:spacing w:val="-1"/>
          <w:highlight w:val="none"/>
        </w:rPr>
        <w:t>月</w:t>
      </w:r>
      <w:r>
        <w:rPr>
          <w:rFonts w:ascii="Times New Roman" w:hAnsi="Times New Roman" w:eastAsia="Times New Roman" w:cs="Times New Roman"/>
          <w:color w:val="auto"/>
          <w:spacing w:val="-1"/>
          <w:highlight w:val="none"/>
          <w:u w:val="single" w:color="000000"/>
        </w:rPr>
        <w:tab/>
      </w:r>
      <w:r>
        <w:rPr>
          <w:color w:val="auto"/>
          <w:highlight w:val="none"/>
        </w:rPr>
        <w:t>日</w:t>
      </w:r>
    </w:p>
    <w:p>
      <w:pPr>
        <w:spacing w:after="0" w:line="360" w:lineRule="auto"/>
        <w:jc w:val="left"/>
        <w:rPr>
          <w:rFonts w:ascii="Times New Roman" w:hAnsi="Times New Roman" w:eastAsia="Times New Roman" w:cs="Times New Roman"/>
          <w:color w:val="auto"/>
          <w:highlight w:val="none"/>
        </w:rPr>
        <w:sectPr>
          <w:footerReference r:id="rId10" w:type="default"/>
          <w:type w:val="continuous"/>
          <w:pgSz w:w="11910" w:h="16840"/>
          <w:pgMar w:top="1440" w:right="1080" w:bottom="1440" w:left="1080" w:header="720" w:footer="720" w:gutter="0"/>
          <w:pgNumType w:fmt="decimal"/>
          <w:cols w:space="720" w:num="1"/>
        </w:sectPr>
      </w:pPr>
    </w:p>
    <w:p>
      <w:pPr>
        <w:pStyle w:val="5"/>
        <w:spacing w:before="46" w:line="360" w:lineRule="auto"/>
        <w:ind w:left="115" w:right="0"/>
        <w:jc w:val="left"/>
        <w:outlineLvl w:val="2"/>
        <w:rPr>
          <w:b w:val="0"/>
          <w:bCs w:val="0"/>
          <w:color w:val="auto"/>
          <w:highlight w:val="none"/>
        </w:rPr>
      </w:pPr>
      <w:bookmarkStart w:id="146" w:name="_Toc720"/>
      <w:r>
        <w:rPr>
          <w:rFonts w:ascii="Times New Roman" w:hAnsi="Times New Roman" w:eastAsia="Times New Roman" w:cs="Times New Roman"/>
          <w:color w:val="auto"/>
          <w:highlight w:val="none"/>
        </w:rPr>
        <w:t>(</w:t>
      </w:r>
      <w:r>
        <w:rPr>
          <w:color w:val="auto"/>
          <w:highlight w:val="none"/>
        </w:rPr>
        <w:t>二</w:t>
      </w:r>
      <w:r>
        <w:rPr>
          <w:rFonts w:ascii="Times New Roman" w:hAnsi="Times New Roman" w:eastAsia="Times New Roman" w:cs="Times New Roman"/>
          <w:color w:val="auto"/>
          <w:highlight w:val="none"/>
        </w:rPr>
        <w:t>)</w:t>
      </w:r>
      <w:r>
        <w:rPr>
          <w:color w:val="auto"/>
          <w:highlight w:val="none"/>
        </w:rPr>
        <w:t>投标函附录</w:t>
      </w:r>
      <w:bookmarkEnd w:id="146"/>
    </w:p>
    <w:p>
      <w:pPr>
        <w:pStyle w:val="7"/>
        <w:spacing w:line="403" w:lineRule="exact"/>
        <w:ind w:left="168" w:right="0"/>
        <w:jc w:val="center"/>
        <w:outlineLvl w:val="1"/>
        <w:rPr>
          <w:b w:val="0"/>
          <w:bCs w:val="0"/>
          <w:color w:val="auto"/>
          <w:highlight w:val="none"/>
        </w:rPr>
      </w:pPr>
      <w:bookmarkStart w:id="147" w:name="_Toc31196"/>
      <w:r>
        <w:rPr>
          <w:color w:val="auto"/>
          <w:highlight w:val="none"/>
        </w:rPr>
        <w:t>投标函附录</w:t>
      </w:r>
      <w:bookmarkEnd w:id="147"/>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6" w:line="240" w:lineRule="auto"/>
        <w:rPr>
          <w:rFonts w:ascii="宋体" w:hAnsi="宋体" w:eastAsia="宋体" w:cs="宋体"/>
          <w:b/>
          <w:bCs/>
          <w:color w:val="auto"/>
          <w:sz w:val="21"/>
          <w:szCs w:val="21"/>
          <w:highlight w:val="none"/>
        </w:rPr>
      </w:pPr>
    </w:p>
    <w:tbl>
      <w:tblPr>
        <w:tblStyle w:val="20"/>
        <w:tblW w:w="9652" w:type="dxa"/>
        <w:tblInd w:w="114" w:type="dxa"/>
        <w:tblLayout w:type="fixed"/>
        <w:tblCellMar>
          <w:top w:w="0" w:type="dxa"/>
          <w:left w:w="0" w:type="dxa"/>
          <w:bottom w:w="0" w:type="dxa"/>
          <w:right w:w="0" w:type="dxa"/>
        </w:tblCellMar>
      </w:tblPr>
      <w:tblGrid>
        <w:gridCol w:w="998"/>
        <w:gridCol w:w="2506"/>
        <w:gridCol w:w="4349"/>
        <w:gridCol w:w="1799"/>
      </w:tblGrid>
      <w:tr>
        <w:tblPrEx>
          <w:tblCellMar>
            <w:top w:w="0" w:type="dxa"/>
            <w:left w:w="0" w:type="dxa"/>
            <w:bottom w:w="0" w:type="dxa"/>
            <w:right w:w="0" w:type="dxa"/>
          </w:tblCellMar>
        </w:tblPrEx>
        <w:trPr>
          <w:trHeight w:val="581" w:hRule="exact"/>
        </w:trPr>
        <w:tc>
          <w:tcPr>
            <w:tcW w:w="998" w:type="dxa"/>
            <w:tcBorders>
              <w:top w:val="single" w:color="000000" w:sz="4" w:space="0"/>
              <w:left w:val="single" w:color="000000" w:sz="4" w:space="0"/>
              <w:bottom w:val="single" w:color="000000" w:sz="4" w:space="0"/>
              <w:right w:val="single" w:color="000000" w:sz="4" w:space="0"/>
            </w:tcBorders>
          </w:tcPr>
          <w:p>
            <w:pPr>
              <w:pStyle w:val="27"/>
              <w:spacing w:before="91" w:line="240" w:lineRule="auto"/>
              <w:ind w:left="254"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506" w:type="dxa"/>
            <w:tcBorders>
              <w:top w:val="single" w:color="000000" w:sz="4" w:space="0"/>
              <w:left w:val="single" w:color="000000" w:sz="4" w:space="0"/>
              <w:bottom w:val="single" w:color="000000" w:sz="4" w:space="0"/>
              <w:right w:val="single" w:color="000000" w:sz="4" w:space="0"/>
            </w:tcBorders>
          </w:tcPr>
          <w:p>
            <w:pPr>
              <w:pStyle w:val="27"/>
              <w:spacing w:before="91" w:line="240" w:lineRule="auto"/>
              <w:ind w:left="76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条款名称</w:t>
            </w:r>
          </w:p>
        </w:tc>
        <w:tc>
          <w:tcPr>
            <w:tcW w:w="4349" w:type="dxa"/>
            <w:tcBorders>
              <w:top w:val="single" w:color="000000" w:sz="4" w:space="0"/>
              <w:left w:val="single" w:color="000000" w:sz="4" w:space="0"/>
              <w:bottom w:val="single" w:color="000000" w:sz="4" w:space="0"/>
              <w:right w:val="single" w:color="000000" w:sz="4" w:space="0"/>
            </w:tcBorders>
          </w:tcPr>
          <w:p>
            <w:pPr>
              <w:pStyle w:val="27"/>
              <w:spacing w:before="91" w:line="240" w:lineRule="auto"/>
              <w:ind w:right="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约定内容</w:t>
            </w:r>
          </w:p>
        </w:tc>
        <w:tc>
          <w:tcPr>
            <w:tcW w:w="1799" w:type="dxa"/>
            <w:tcBorders>
              <w:top w:val="single" w:color="000000" w:sz="4" w:space="0"/>
              <w:left w:val="single" w:color="000000" w:sz="4" w:space="0"/>
              <w:bottom w:val="single" w:color="000000" w:sz="4" w:space="0"/>
              <w:right w:val="single" w:color="000000" w:sz="4" w:space="0"/>
            </w:tcBorders>
          </w:tcPr>
          <w:p>
            <w:pPr>
              <w:pStyle w:val="27"/>
              <w:spacing w:before="91" w:line="240" w:lineRule="auto"/>
              <w:ind w:left="1" w:right="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tc>
      </w:tr>
      <w:tr>
        <w:tblPrEx>
          <w:tblCellMar>
            <w:top w:w="0" w:type="dxa"/>
            <w:left w:w="0" w:type="dxa"/>
            <w:bottom w:w="0" w:type="dxa"/>
            <w:right w:w="0" w:type="dxa"/>
          </w:tblCellMar>
        </w:tblPrEx>
        <w:trPr>
          <w:trHeight w:val="1145" w:hRule="exact"/>
        </w:trPr>
        <w:tc>
          <w:tcPr>
            <w:tcW w:w="998" w:type="dxa"/>
            <w:tcBorders>
              <w:top w:val="single" w:color="000000" w:sz="4" w:space="0"/>
              <w:left w:val="single" w:color="000000" w:sz="4" w:space="0"/>
              <w:right w:val="single" w:color="000000" w:sz="4" w:space="0"/>
            </w:tcBorders>
          </w:tcPr>
          <w:p>
            <w:pPr>
              <w:pStyle w:val="27"/>
              <w:spacing w:line="240" w:lineRule="auto"/>
              <w:ind w:right="0"/>
              <w:jc w:val="left"/>
              <w:rPr>
                <w:rFonts w:ascii="宋体" w:hAnsi="宋体" w:eastAsia="宋体" w:cs="宋体"/>
                <w:b/>
                <w:bCs/>
                <w:color w:val="auto"/>
                <w:sz w:val="24"/>
                <w:szCs w:val="24"/>
                <w:highlight w:val="none"/>
              </w:rPr>
            </w:pPr>
          </w:p>
          <w:p>
            <w:pPr>
              <w:pStyle w:val="27"/>
              <w:spacing w:line="240" w:lineRule="auto"/>
              <w:ind w:right="16"/>
              <w:jc w:val="center"/>
              <w:rPr>
                <w:rFonts w:ascii="宋体" w:hAnsi="宋体" w:eastAsia="宋体" w:cs="宋体"/>
                <w:color w:val="auto"/>
                <w:sz w:val="24"/>
                <w:szCs w:val="24"/>
                <w:highlight w:val="none"/>
              </w:rPr>
            </w:pPr>
            <w:r>
              <w:rPr>
                <w:rFonts w:ascii="宋体"/>
                <w:color w:val="auto"/>
                <w:sz w:val="24"/>
                <w:highlight w:val="none"/>
              </w:rPr>
              <w:t>1</w:t>
            </w:r>
          </w:p>
        </w:tc>
        <w:tc>
          <w:tcPr>
            <w:tcW w:w="2506" w:type="dxa"/>
            <w:tcBorders>
              <w:top w:val="single" w:color="000000" w:sz="4" w:space="0"/>
              <w:left w:val="single" w:color="000000" w:sz="4" w:space="0"/>
              <w:bottom w:val="single" w:color="000000" w:sz="4" w:space="0"/>
              <w:right w:val="single" w:color="000000" w:sz="4" w:space="0"/>
            </w:tcBorders>
          </w:tcPr>
          <w:p>
            <w:pPr>
              <w:pStyle w:val="27"/>
              <w:spacing w:before="131" w:line="310" w:lineRule="exact"/>
              <w:ind w:left="1008" w:right="45" w:hanging="96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项目负责人</w:t>
            </w:r>
          </w:p>
          <w:p>
            <w:pPr>
              <w:pStyle w:val="27"/>
              <w:spacing w:before="131" w:line="310" w:lineRule="exact"/>
              <w:ind w:left="1008" w:right="45" w:hanging="96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（设计负责人）</w:t>
            </w:r>
          </w:p>
        </w:tc>
        <w:tc>
          <w:tcPr>
            <w:tcW w:w="4349" w:type="dxa"/>
            <w:tcBorders>
              <w:top w:val="single" w:color="000000" w:sz="4" w:space="0"/>
              <w:left w:val="single" w:color="000000" w:sz="4" w:space="0"/>
              <w:bottom w:val="single" w:color="000000" w:sz="4" w:space="0"/>
              <w:right w:val="single" w:color="000000" w:sz="4" w:space="0"/>
            </w:tcBorders>
          </w:tcPr>
          <w:p>
            <w:pPr>
              <w:pStyle w:val="27"/>
              <w:spacing w:before="2" w:line="240" w:lineRule="auto"/>
              <w:ind w:right="0"/>
              <w:jc w:val="left"/>
              <w:rPr>
                <w:rFonts w:ascii="宋体" w:hAnsi="宋体" w:eastAsia="宋体" w:cs="宋体"/>
                <w:b/>
                <w:bCs/>
                <w:color w:val="auto"/>
                <w:sz w:val="19"/>
                <w:szCs w:val="19"/>
                <w:highlight w:val="none"/>
              </w:rPr>
            </w:pPr>
          </w:p>
          <w:p>
            <w:pPr>
              <w:pStyle w:val="27"/>
              <w:tabs>
                <w:tab w:val="left" w:pos="2805"/>
                <w:tab w:val="left" w:pos="4374"/>
              </w:tabs>
              <w:spacing w:line="310" w:lineRule="exact"/>
              <w:ind w:left="225" w:right="-55"/>
              <w:jc w:val="left"/>
              <w:rPr>
                <w:rFonts w:ascii="Times New Roman" w:hAnsi="Times New Roman" w:eastAsia="Times New Roman" w:cs="Times New Roman"/>
                <w:color w:val="auto"/>
                <w:sz w:val="24"/>
                <w:szCs w:val="24"/>
                <w:highlight w:val="none"/>
              </w:rPr>
            </w:pPr>
            <w:r>
              <w:rPr>
                <w:rFonts w:ascii="宋体" w:hAnsi="宋体" w:eastAsia="宋体" w:cs="宋体"/>
                <w:color w:val="auto"/>
                <w:sz w:val="24"/>
                <w:szCs w:val="24"/>
                <w:highlight w:val="none"/>
              </w:rPr>
              <w:t>姓名：</w:t>
            </w:r>
            <w:r>
              <w:rPr>
                <w:rFonts w:ascii="Times New Roman" w:hAnsi="Times New Roman" w:eastAsia="Times New Roman" w:cs="Times New Roman"/>
                <w:color w:val="auto"/>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rFonts w:ascii="宋体" w:hAnsi="宋体" w:eastAsia="宋体" w:cs="宋体"/>
                <w:color w:val="auto"/>
                <w:sz w:val="24"/>
                <w:szCs w:val="24"/>
                <w:highlight w:val="none"/>
              </w:rPr>
              <w:t>执业资格证书编号/职称证书：</w:t>
            </w:r>
            <w:r>
              <w:rPr>
                <w:rFonts w:ascii="Times New Roman" w:hAnsi="Times New Roman" w:eastAsia="Times New Roman" w:cs="Times New Roman"/>
                <w:color w:val="auto"/>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w w:val="31"/>
                <w:sz w:val="24"/>
                <w:szCs w:val="24"/>
                <w:highlight w:val="none"/>
                <w:u w:val="single" w:color="000000"/>
              </w:rPr>
              <w:t xml:space="preserve"> </w:t>
            </w: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792" w:hRule="exact"/>
        </w:trPr>
        <w:tc>
          <w:tcPr>
            <w:tcW w:w="998" w:type="dxa"/>
            <w:tcBorders>
              <w:top w:val="single" w:color="000000" w:sz="4" w:space="0"/>
              <w:left w:val="single" w:color="000000" w:sz="4" w:space="0"/>
              <w:bottom w:val="single" w:color="000000" w:sz="4" w:space="0"/>
              <w:right w:val="single" w:color="000000" w:sz="4" w:space="0"/>
            </w:tcBorders>
          </w:tcPr>
          <w:p>
            <w:pPr>
              <w:pStyle w:val="27"/>
              <w:spacing w:before="196" w:line="240" w:lineRule="auto"/>
              <w:ind w:right="16"/>
              <w:jc w:val="center"/>
              <w:rPr>
                <w:rFonts w:ascii="宋体" w:hAnsi="宋体" w:eastAsia="宋体" w:cs="宋体"/>
                <w:color w:val="auto"/>
                <w:sz w:val="24"/>
                <w:szCs w:val="24"/>
                <w:highlight w:val="none"/>
              </w:rPr>
            </w:pPr>
            <w:r>
              <w:rPr>
                <w:rFonts w:ascii="宋体"/>
                <w:color w:val="auto"/>
                <w:sz w:val="24"/>
                <w:highlight w:val="none"/>
              </w:rPr>
              <w:t>2</w:t>
            </w:r>
          </w:p>
        </w:tc>
        <w:tc>
          <w:tcPr>
            <w:tcW w:w="2506" w:type="dxa"/>
            <w:tcBorders>
              <w:top w:val="single" w:color="000000" w:sz="4" w:space="0"/>
              <w:left w:val="single" w:color="000000" w:sz="4" w:space="0"/>
              <w:bottom w:val="single" w:color="000000" w:sz="4" w:space="0"/>
              <w:right w:val="single" w:color="000000" w:sz="4" w:space="0"/>
            </w:tcBorders>
          </w:tcPr>
          <w:p>
            <w:pPr>
              <w:pStyle w:val="27"/>
              <w:spacing w:before="196" w:line="240" w:lineRule="auto"/>
              <w:ind w:left="76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服务期限</w:t>
            </w:r>
          </w:p>
        </w:tc>
        <w:tc>
          <w:tcPr>
            <w:tcW w:w="434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6" w:hRule="exact"/>
        </w:trPr>
        <w:tc>
          <w:tcPr>
            <w:tcW w:w="998" w:type="dxa"/>
            <w:tcBorders>
              <w:top w:val="single" w:color="000000" w:sz="4" w:space="0"/>
              <w:left w:val="single" w:color="000000" w:sz="4" w:space="0"/>
              <w:bottom w:val="single" w:color="000000" w:sz="4" w:space="0"/>
              <w:right w:val="single" w:color="000000" w:sz="4" w:space="0"/>
            </w:tcBorders>
          </w:tcPr>
          <w:p>
            <w:pPr>
              <w:pStyle w:val="27"/>
              <w:spacing w:before="148" w:line="240" w:lineRule="auto"/>
              <w:ind w:right="16"/>
              <w:jc w:val="center"/>
              <w:rPr>
                <w:rFonts w:ascii="宋体" w:hAnsi="宋体" w:eastAsia="宋体" w:cs="宋体"/>
                <w:color w:val="auto"/>
                <w:sz w:val="24"/>
                <w:szCs w:val="24"/>
                <w:highlight w:val="none"/>
              </w:rPr>
            </w:pPr>
            <w:r>
              <w:rPr>
                <w:rFonts w:ascii="宋体"/>
                <w:color w:val="auto"/>
                <w:sz w:val="24"/>
                <w:highlight w:val="none"/>
              </w:rPr>
              <w:t>3</w:t>
            </w:r>
          </w:p>
        </w:tc>
        <w:tc>
          <w:tcPr>
            <w:tcW w:w="2506" w:type="dxa"/>
            <w:tcBorders>
              <w:top w:val="single" w:color="000000" w:sz="4" w:space="0"/>
              <w:left w:val="single" w:color="000000" w:sz="4" w:space="0"/>
              <w:bottom w:val="single" w:color="000000" w:sz="4" w:space="0"/>
              <w:right w:val="single" w:color="000000" w:sz="4" w:space="0"/>
            </w:tcBorders>
          </w:tcPr>
          <w:p>
            <w:pPr>
              <w:pStyle w:val="27"/>
              <w:spacing w:before="148" w:line="240" w:lineRule="auto"/>
              <w:ind w:left="64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投标有效期</w:t>
            </w:r>
          </w:p>
        </w:tc>
        <w:tc>
          <w:tcPr>
            <w:tcW w:w="434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1" w:hRule="exact"/>
        </w:trPr>
        <w:tc>
          <w:tcPr>
            <w:tcW w:w="998" w:type="dxa"/>
            <w:tcBorders>
              <w:top w:val="single" w:color="000000" w:sz="4" w:space="0"/>
              <w:left w:val="single" w:color="000000" w:sz="4" w:space="0"/>
              <w:bottom w:val="single" w:color="000000" w:sz="4" w:space="0"/>
              <w:right w:val="single" w:color="000000" w:sz="4" w:space="0"/>
            </w:tcBorders>
          </w:tcPr>
          <w:p>
            <w:pPr>
              <w:pStyle w:val="27"/>
              <w:spacing w:before="146" w:line="240" w:lineRule="auto"/>
              <w:ind w:right="16"/>
              <w:jc w:val="center"/>
              <w:rPr>
                <w:rFonts w:ascii="宋体" w:hAnsi="宋体" w:eastAsia="宋体" w:cs="宋体"/>
                <w:color w:val="auto"/>
                <w:sz w:val="24"/>
                <w:szCs w:val="24"/>
                <w:highlight w:val="none"/>
              </w:rPr>
            </w:pPr>
            <w:r>
              <w:rPr>
                <w:rFonts w:ascii="宋体"/>
                <w:color w:val="auto"/>
                <w:sz w:val="24"/>
                <w:highlight w:val="none"/>
              </w:rPr>
              <w:t>4</w:t>
            </w:r>
          </w:p>
        </w:tc>
        <w:tc>
          <w:tcPr>
            <w:tcW w:w="2506" w:type="dxa"/>
            <w:tcBorders>
              <w:top w:val="single" w:color="000000" w:sz="4" w:space="0"/>
              <w:left w:val="single" w:color="000000" w:sz="4" w:space="0"/>
              <w:bottom w:val="single" w:color="000000" w:sz="4" w:space="0"/>
              <w:right w:val="single" w:color="000000" w:sz="4" w:space="0"/>
            </w:tcBorders>
          </w:tcPr>
          <w:p>
            <w:pPr>
              <w:pStyle w:val="27"/>
              <w:spacing w:before="146" w:line="240" w:lineRule="auto"/>
              <w:ind w:left="76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质量标准</w:t>
            </w:r>
          </w:p>
        </w:tc>
        <w:tc>
          <w:tcPr>
            <w:tcW w:w="434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bl>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12" w:line="240" w:lineRule="auto"/>
        <w:rPr>
          <w:rFonts w:ascii="宋体" w:hAnsi="宋体" w:eastAsia="宋体" w:cs="宋体"/>
          <w:b/>
          <w:bCs/>
          <w:color w:val="auto"/>
          <w:sz w:val="29"/>
          <w:szCs w:val="29"/>
          <w:highlight w:val="none"/>
        </w:rPr>
      </w:pPr>
    </w:p>
    <w:p>
      <w:pPr>
        <w:pStyle w:val="11"/>
        <w:tabs>
          <w:tab w:val="left" w:pos="7897"/>
          <w:tab w:val="left" w:pos="8137"/>
        </w:tabs>
        <w:spacing w:before="26" w:line="420" w:lineRule="auto"/>
        <w:ind w:right="320"/>
        <w:jc w:val="right"/>
        <w:rPr>
          <w:color w:val="auto"/>
          <w:highlight w:val="none"/>
        </w:rPr>
      </w:pPr>
      <w:r>
        <w:rPr>
          <w:color w:val="auto"/>
          <w:spacing w:val="-1"/>
          <w:highlight w:val="none"/>
        </w:rPr>
        <w:t>投标人：</w:t>
      </w:r>
      <w:r>
        <w:rPr>
          <w:rFonts w:hint="eastAsia"/>
          <w:color w:val="auto"/>
          <w:spacing w:val="-1"/>
          <w:highlight w:val="none"/>
          <w:lang w:val="en-US" w:eastAsia="zh-CN"/>
        </w:rPr>
        <w:t xml:space="preserve">     </w:t>
      </w:r>
      <w:r>
        <w:rPr>
          <w:color w:val="auto"/>
          <w:highlight w:val="none"/>
        </w:rPr>
        <w:t xml:space="preserve">（盖单位章） </w:t>
      </w:r>
    </w:p>
    <w:p>
      <w:pPr>
        <w:pStyle w:val="11"/>
        <w:tabs>
          <w:tab w:val="left" w:pos="7897"/>
          <w:tab w:val="left" w:pos="8137"/>
        </w:tabs>
        <w:spacing w:before="26" w:line="420" w:lineRule="auto"/>
        <w:ind w:right="320"/>
        <w:jc w:val="right"/>
        <w:rPr>
          <w:color w:val="auto"/>
          <w:highlight w:val="none"/>
        </w:rPr>
      </w:pPr>
      <w:r>
        <w:rPr>
          <w:color w:val="auto"/>
          <w:spacing w:val="-1"/>
          <w:highlight w:val="none"/>
        </w:rPr>
        <w:t>法定代表人或其委托代理人：</w:t>
      </w:r>
      <w:r>
        <w:rPr>
          <w:rFonts w:hint="eastAsia"/>
          <w:color w:val="auto"/>
          <w:spacing w:val="-1"/>
          <w:highlight w:val="none"/>
          <w:lang w:val="en-US" w:eastAsia="zh-CN"/>
        </w:rPr>
        <w:t xml:space="preserve">   </w:t>
      </w:r>
      <w:r>
        <w:rPr>
          <w:color w:val="auto"/>
          <w:highlight w:val="none"/>
        </w:rPr>
        <w:t>（签字或盖章）</w:t>
      </w:r>
    </w:p>
    <w:p>
      <w:pPr>
        <w:pStyle w:val="11"/>
        <w:tabs>
          <w:tab w:val="left" w:pos="8617"/>
          <w:tab w:val="left" w:pos="9337"/>
        </w:tabs>
        <w:spacing w:before="0" w:line="240" w:lineRule="auto"/>
        <w:ind w:right="0"/>
        <w:jc w:val="right"/>
        <w:rPr>
          <w:color w:val="auto"/>
          <w:highlight w:val="none"/>
        </w:rPr>
      </w:pPr>
      <w:r>
        <w:rPr>
          <w:color w:val="auto"/>
          <w:spacing w:val="-1"/>
          <w:highlight w:val="none"/>
        </w:rPr>
        <w:t>年</w:t>
      </w:r>
      <w:r>
        <w:rPr>
          <w:rFonts w:hint="eastAsia"/>
          <w:color w:val="auto"/>
          <w:spacing w:val="-1"/>
          <w:highlight w:val="none"/>
          <w:lang w:val="en-US" w:eastAsia="zh-CN"/>
        </w:rPr>
        <w:t xml:space="preserve">   </w:t>
      </w:r>
      <w:r>
        <w:rPr>
          <w:color w:val="auto"/>
          <w:spacing w:val="-1"/>
          <w:highlight w:val="none"/>
        </w:rPr>
        <w:t>月</w:t>
      </w:r>
      <w:r>
        <w:rPr>
          <w:rFonts w:hint="eastAsia"/>
          <w:color w:val="auto"/>
          <w:spacing w:val="-1"/>
          <w:highlight w:val="none"/>
          <w:lang w:val="en-US" w:eastAsia="zh-CN"/>
        </w:rPr>
        <w:t xml:space="preserve">   </w:t>
      </w:r>
      <w:r>
        <w:rPr>
          <w:color w:val="auto"/>
          <w:highlight w:val="none"/>
        </w:rPr>
        <w:t>日</w:t>
      </w:r>
    </w:p>
    <w:p>
      <w:pPr>
        <w:rPr>
          <w:color w:val="auto"/>
          <w:highlight w:val="none"/>
        </w:rPr>
      </w:pPr>
      <w:r>
        <w:rPr>
          <w:color w:val="auto"/>
          <w:highlight w:val="none"/>
        </w:rPr>
        <w:br w:type="page"/>
      </w:r>
    </w:p>
    <w:p>
      <w:pPr>
        <w:pStyle w:val="7"/>
        <w:spacing w:before="69" w:line="240" w:lineRule="auto"/>
        <w:ind w:left="2976" w:right="0"/>
        <w:jc w:val="left"/>
        <w:outlineLvl w:val="1"/>
        <w:rPr>
          <w:b w:val="0"/>
          <w:bCs w:val="0"/>
          <w:color w:val="auto"/>
          <w:highlight w:val="none"/>
        </w:rPr>
      </w:pPr>
      <w:bookmarkStart w:id="148" w:name="_Toc2366"/>
      <w:r>
        <w:rPr>
          <w:color w:val="auto"/>
          <w:highlight w:val="none"/>
        </w:rPr>
        <w:t>三、法定代表人身份证明</w:t>
      </w:r>
      <w:bookmarkEnd w:id="148"/>
    </w:p>
    <w:p>
      <w:pPr>
        <w:spacing w:before="5" w:line="240" w:lineRule="auto"/>
        <w:rPr>
          <w:rFonts w:ascii="宋体" w:hAnsi="宋体" w:eastAsia="宋体" w:cs="宋体"/>
          <w:b/>
          <w:bCs/>
          <w:color w:val="auto"/>
          <w:sz w:val="43"/>
          <w:szCs w:val="43"/>
          <w:highlight w:val="none"/>
        </w:rPr>
      </w:pPr>
    </w:p>
    <w:p>
      <w:pPr>
        <w:pStyle w:val="11"/>
        <w:keepNext w:val="0"/>
        <w:keepLines w:val="0"/>
        <w:pageBreakBefore w:val="0"/>
        <w:widowControl w:val="0"/>
        <w:tabs>
          <w:tab w:val="left" w:pos="4199"/>
        </w:tabs>
        <w:kinsoku/>
        <w:wordWrap/>
        <w:overflowPunct/>
        <w:topLinePunct w:val="0"/>
        <w:autoSpaceDE/>
        <w:autoSpaceDN/>
        <w:bidi w:val="0"/>
        <w:adjustRightInd/>
        <w:snapToGrid/>
        <w:spacing w:before="0" w:line="360" w:lineRule="auto"/>
        <w:ind w:left="0" w:right="0"/>
        <w:jc w:val="left"/>
        <w:textAlignment w:val="auto"/>
        <w:rPr>
          <w:rFonts w:ascii="Times New Roman" w:hAnsi="Times New Roman" w:eastAsia="Times New Roman" w:cs="Times New Roman"/>
          <w:color w:val="auto"/>
          <w:highlight w:val="none"/>
        </w:rPr>
      </w:pPr>
      <w:r>
        <w:rPr>
          <w:color w:val="auto"/>
          <w:highlight w:val="none"/>
        </w:rPr>
        <w:t>投标人名称：</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p>
    <w:p>
      <w:pPr>
        <w:pStyle w:val="11"/>
        <w:keepNext w:val="0"/>
        <w:keepLines w:val="0"/>
        <w:pageBreakBefore w:val="0"/>
        <w:widowControl w:val="0"/>
        <w:tabs>
          <w:tab w:val="left" w:pos="2676"/>
          <w:tab w:val="left" w:pos="4145"/>
          <w:tab w:val="left" w:pos="5614"/>
          <w:tab w:val="left" w:pos="7147"/>
        </w:tabs>
        <w:kinsoku/>
        <w:wordWrap/>
        <w:overflowPunct/>
        <w:topLinePunct w:val="0"/>
        <w:autoSpaceDE/>
        <w:autoSpaceDN/>
        <w:bidi w:val="0"/>
        <w:adjustRightInd/>
        <w:snapToGrid/>
        <w:spacing w:before="0" w:line="360" w:lineRule="auto"/>
        <w:ind w:left="0" w:right="0" w:firstLine="416" w:firstLineChars="200"/>
        <w:jc w:val="left"/>
        <w:textAlignment w:val="auto"/>
        <w:rPr>
          <w:color w:val="auto"/>
          <w:highlight w:val="none"/>
        </w:rPr>
      </w:pPr>
      <w:r>
        <w:rPr>
          <w:color w:val="auto"/>
          <w:spacing w:val="-1"/>
          <w:highlight w:val="none"/>
        </w:rPr>
        <w:t>姓名：</w:t>
      </w:r>
      <w:r>
        <w:rPr>
          <w:rFonts w:ascii="Times New Roman" w:hAnsi="Times New Roman" w:eastAsia="Times New Roman" w:cs="Times New Roman"/>
          <w:color w:val="auto"/>
          <w:spacing w:val="-1"/>
          <w:highlight w:val="none"/>
          <w:u w:val="single" w:color="000000"/>
        </w:rPr>
        <w:tab/>
      </w:r>
      <w:r>
        <w:rPr>
          <w:color w:val="auto"/>
          <w:spacing w:val="-1"/>
          <w:highlight w:val="none"/>
        </w:rPr>
        <w:t>性别：</w:t>
      </w:r>
      <w:r>
        <w:rPr>
          <w:rFonts w:ascii="Times New Roman" w:hAnsi="Times New Roman" w:eastAsia="Times New Roman" w:cs="Times New Roman"/>
          <w:color w:val="auto"/>
          <w:spacing w:val="-1"/>
          <w:highlight w:val="none"/>
          <w:u w:val="single" w:color="000000"/>
        </w:rPr>
        <w:tab/>
      </w:r>
      <w:r>
        <w:rPr>
          <w:color w:val="auto"/>
          <w:spacing w:val="-1"/>
          <w:highlight w:val="none"/>
        </w:rPr>
        <w:t>年龄：</w:t>
      </w:r>
      <w:r>
        <w:rPr>
          <w:rFonts w:ascii="Times New Roman" w:hAnsi="Times New Roman" w:eastAsia="Times New Roman" w:cs="Times New Roman"/>
          <w:color w:val="auto"/>
          <w:spacing w:val="-1"/>
          <w:highlight w:val="none"/>
          <w:u w:val="single" w:color="000000"/>
        </w:rPr>
        <w:tab/>
      </w:r>
      <w:r>
        <w:rPr>
          <w:color w:val="auto"/>
          <w:spacing w:val="-1"/>
          <w:highlight w:val="none"/>
        </w:rPr>
        <w:t>职务：</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spacing w:val="-1"/>
          <w:highlight w:val="none"/>
        </w:rPr>
        <w:t>系</w:t>
      </w:r>
      <w:r>
        <w:rPr>
          <w:rFonts w:hint="eastAsia"/>
          <w:color w:val="auto"/>
          <w:spacing w:val="-1"/>
          <w:highlight w:val="none"/>
          <w:lang w:val="en-US" w:eastAsia="zh-CN"/>
        </w:rPr>
        <w:t xml:space="preserve"> </w:t>
      </w:r>
      <w:r>
        <w:rPr>
          <w:rFonts w:hint="eastAsia"/>
          <w:color w:val="auto"/>
          <w:spacing w:val="-1"/>
          <w:highlight w:val="none"/>
          <w:u w:val="single"/>
          <w:lang w:val="en-US" w:eastAsia="zh-CN"/>
        </w:rPr>
        <w:t xml:space="preserve">  </w:t>
      </w:r>
      <w:r>
        <w:rPr>
          <w:color w:val="auto"/>
          <w:highlight w:val="none"/>
          <w:u w:val="single"/>
        </w:rPr>
        <w:t>（投标人名称）</w:t>
      </w:r>
      <w:r>
        <w:rPr>
          <w:color w:val="auto"/>
          <w:highlight w:val="none"/>
        </w:rPr>
        <w:t>的法定代表人。</w:t>
      </w:r>
    </w:p>
    <w:p>
      <w:pPr>
        <w:pStyle w:val="11"/>
        <w:keepNext w:val="0"/>
        <w:keepLines w:val="0"/>
        <w:pageBreakBefore w:val="0"/>
        <w:widowControl w:val="0"/>
        <w:tabs>
          <w:tab w:val="left" w:pos="3483"/>
        </w:tabs>
        <w:kinsoku/>
        <w:wordWrap/>
        <w:overflowPunct/>
        <w:topLinePunct w:val="0"/>
        <w:autoSpaceDE/>
        <w:autoSpaceDN/>
        <w:bidi w:val="0"/>
        <w:adjustRightInd/>
        <w:snapToGrid/>
        <w:spacing w:before="0" w:line="360" w:lineRule="auto"/>
        <w:ind w:left="0" w:right="0"/>
        <w:jc w:val="left"/>
        <w:textAlignment w:val="auto"/>
        <w:rPr>
          <w:color w:val="auto"/>
          <w:highlight w:val="none"/>
        </w:rPr>
      </w:pPr>
      <w:r>
        <w:rPr>
          <w:color w:val="auto"/>
          <w:highlight w:val="none"/>
        </w:rPr>
        <w:t>特此证明。</w:t>
      </w: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10" w:line="240" w:lineRule="auto"/>
        <w:rPr>
          <w:rFonts w:ascii="宋体" w:hAnsi="宋体" w:eastAsia="宋体" w:cs="宋体"/>
          <w:color w:val="auto"/>
          <w:sz w:val="21"/>
          <w:szCs w:val="21"/>
          <w:highlight w:val="none"/>
        </w:rPr>
      </w:pPr>
    </w:p>
    <w:p>
      <w:pPr>
        <w:pStyle w:val="11"/>
        <w:spacing w:before="0" w:line="240" w:lineRule="auto"/>
        <w:ind w:left="612" w:right="0"/>
        <w:jc w:val="left"/>
        <w:rPr>
          <w:color w:val="auto"/>
          <w:highlight w:val="none"/>
        </w:rPr>
      </w:pPr>
      <w:r>
        <w:rPr>
          <w:color w:val="auto"/>
          <w:highlight w:val="none"/>
        </w:rPr>
        <w:t>附：法定代表人身份证</w:t>
      </w:r>
      <w:r>
        <w:rPr>
          <w:rFonts w:hint="eastAsia"/>
          <w:color w:val="auto"/>
          <w:highlight w:val="none"/>
          <w:lang w:val="en-US" w:eastAsia="zh-CN"/>
        </w:rPr>
        <w:t>扫描件</w:t>
      </w:r>
      <w:r>
        <w:rPr>
          <w:color w:val="auto"/>
          <w:highlight w:val="none"/>
        </w:rPr>
        <w:t>。</w:t>
      </w:r>
    </w:p>
    <w:p>
      <w:pPr>
        <w:spacing w:before="0" w:line="240" w:lineRule="auto"/>
        <w:rPr>
          <w:rFonts w:ascii="宋体" w:hAnsi="宋体" w:eastAsia="宋体" w:cs="宋体"/>
          <w:color w:val="auto"/>
          <w:sz w:val="24"/>
          <w:szCs w:val="24"/>
          <w:highlight w:val="none"/>
        </w:rPr>
      </w:pPr>
    </w:p>
    <w:p>
      <w:pPr>
        <w:pStyle w:val="11"/>
        <w:spacing w:before="195" w:line="240" w:lineRule="auto"/>
        <w:ind w:left="612" w:right="0"/>
        <w:jc w:val="left"/>
        <w:rPr>
          <w:color w:val="auto"/>
          <w:highlight w:val="none"/>
        </w:rPr>
      </w:pPr>
      <w:r>
        <w:rPr>
          <w:color w:val="auto"/>
          <w:highlight w:val="none"/>
        </w:rPr>
        <w:t>注：本身份证明需由投标人加盖单位公章。</w:t>
      </w: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pStyle w:val="11"/>
        <w:tabs>
          <w:tab w:val="left" w:pos="7937"/>
        </w:tabs>
        <w:spacing w:before="203" w:line="240" w:lineRule="auto"/>
        <w:ind w:left="4817" w:right="0"/>
        <w:jc w:val="left"/>
        <w:rPr>
          <w:color w:val="auto"/>
          <w:highlight w:val="none"/>
        </w:rPr>
      </w:pPr>
      <w:r>
        <w:rPr>
          <w:color w:val="auto"/>
          <w:spacing w:val="-1"/>
          <w:highlight w:val="none"/>
        </w:rPr>
        <w:t>投标人：</w:t>
      </w:r>
      <w:r>
        <w:rPr>
          <w:rFonts w:ascii="Times New Roman" w:hAnsi="Times New Roman" w:eastAsia="Times New Roman" w:cs="Times New Roman"/>
          <w:color w:val="auto"/>
          <w:spacing w:val="-1"/>
          <w:highlight w:val="none"/>
          <w:u w:val="single" w:color="000000"/>
        </w:rPr>
        <w:tab/>
      </w:r>
      <w:r>
        <w:rPr>
          <w:color w:val="auto"/>
          <w:highlight w:val="none"/>
        </w:rPr>
        <w:t>（盖单位章）</w:t>
      </w:r>
    </w:p>
    <w:p>
      <w:pPr>
        <w:pStyle w:val="11"/>
        <w:tabs>
          <w:tab w:val="left" w:pos="7680"/>
          <w:tab w:val="left" w:pos="8400"/>
          <w:tab w:val="left" w:pos="9137"/>
        </w:tabs>
        <w:spacing w:line="240" w:lineRule="auto"/>
        <w:ind w:left="113" w:right="0" w:firstLine="6846"/>
        <w:jc w:val="left"/>
        <w:rPr>
          <w:color w:val="auto"/>
          <w:highlight w:val="none"/>
        </w:rPr>
      </w:pP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spacing w:val="-1"/>
          <w:highlight w:val="none"/>
        </w:rPr>
        <w:t>年</w:t>
      </w:r>
      <w:r>
        <w:rPr>
          <w:rFonts w:ascii="Times New Roman" w:hAnsi="Times New Roman" w:eastAsia="Times New Roman" w:cs="Times New Roman"/>
          <w:color w:val="auto"/>
          <w:spacing w:val="-1"/>
          <w:highlight w:val="none"/>
          <w:u w:val="single" w:color="000000"/>
        </w:rPr>
        <w:tab/>
      </w:r>
      <w:r>
        <w:rPr>
          <w:color w:val="auto"/>
          <w:spacing w:val="-1"/>
          <w:highlight w:val="none"/>
        </w:rPr>
        <w:t>月</w:t>
      </w:r>
      <w:r>
        <w:rPr>
          <w:rFonts w:ascii="Times New Roman" w:hAnsi="Times New Roman" w:eastAsia="Times New Roman" w:cs="Times New Roman"/>
          <w:color w:val="auto"/>
          <w:spacing w:val="-1"/>
          <w:highlight w:val="none"/>
          <w:u w:val="single" w:color="000000"/>
        </w:rPr>
        <w:tab/>
      </w:r>
      <w:r>
        <w:rPr>
          <w:color w:val="auto"/>
          <w:highlight w:val="none"/>
        </w:rPr>
        <w:t>日</w:t>
      </w: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after="0" w:line="240" w:lineRule="auto"/>
        <w:jc w:val="left"/>
        <w:rPr>
          <w:color w:val="auto"/>
          <w:highlight w:val="none"/>
        </w:rPr>
        <w:sectPr>
          <w:type w:val="continuous"/>
          <w:pgSz w:w="11900" w:h="16840"/>
          <w:pgMar w:top="1440" w:right="1080" w:bottom="1440" w:left="1080" w:header="0" w:footer="999" w:gutter="0"/>
          <w:pgNumType w:fmt="decimal"/>
          <w:cols w:space="720" w:num="1"/>
        </w:sectPr>
      </w:pPr>
    </w:p>
    <w:p>
      <w:pPr>
        <w:pStyle w:val="7"/>
        <w:spacing w:line="407" w:lineRule="exact"/>
        <w:ind w:left="95" w:right="330"/>
        <w:jc w:val="center"/>
        <w:outlineLvl w:val="1"/>
        <w:rPr>
          <w:b w:val="0"/>
          <w:bCs w:val="0"/>
          <w:color w:val="auto"/>
          <w:highlight w:val="none"/>
        </w:rPr>
      </w:pPr>
      <w:bookmarkStart w:id="149" w:name="_Toc11513"/>
      <w:r>
        <w:rPr>
          <w:color w:val="auto"/>
          <w:highlight w:val="none"/>
        </w:rPr>
        <w:t>四、授权委托书</w:t>
      </w:r>
      <w:bookmarkEnd w:id="149"/>
    </w:p>
    <w:p>
      <w:pPr>
        <w:pStyle w:val="11"/>
        <w:tabs>
          <w:tab w:val="left" w:pos="2667"/>
          <w:tab w:val="left" w:pos="5830"/>
          <w:tab w:val="left" w:pos="8141"/>
        </w:tabs>
        <w:spacing w:before="214" w:line="427" w:lineRule="auto"/>
        <w:ind w:left="113" w:right="116" w:firstLine="480"/>
        <w:jc w:val="left"/>
        <w:rPr>
          <w:color w:val="auto"/>
          <w:highlight w:val="none"/>
        </w:rPr>
      </w:pPr>
      <w:r>
        <w:rPr>
          <w:color w:val="auto"/>
          <w:spacing w:val="-1"/>
          <w:highlight w:val="none"/>
        </w:rPr>
        <w:t>本人</w:t>
      </w:r>
      <w:r>
        <w:rPr>
          <w:rFonts w:ascii="Times New Roman" w:hAnsi="Times New Roman" w:eastAsia="Times New Roman" w:cs="Times New Roman"/>
          <w:color w:val="auto"/>
          <w:spacing w:val="-1"/>
          <w:highlight w:val="none"/>
          <w:u w:val="single" w:color="000000"/>
        </w:rPr>
        <w:tab/>
      </w:r>
      <w:r>
        <w:rPr>
          <w:color w:val="auto"/>
          <w:spacing w:val="-1"/>
          <w:highlight w:val="none"/>
        </w:rPr>
        <w:t>（姓名）系</w:t>
      </w:r>
      <w:r>
        <w:rPr>
          <w:rFonts w:ascii="Times New Roman" w:hAnsi="Times New Roman" w:eastAsia="Times New Roman" w:cs="Times New Roman"/>
          <w:color w:val="auto"/>
          <w:spacing w:val="-1"/>
          <w:highlight w:val="none"/>
          <w:u w:val="single" w:color="000000"/>
        </w:rPr>
        <w:tab/>
      </w:r>
      <w:r>
        <w:rPr>
          <w:color w:val="auto"/>
          <w:spacing w:val="-6"/>
          <w:highlight w:val="none"/>
        </w:rPr>
        <w:t>（投标人名称）的法定代表人，现</w:t>
      </w:r>
      <w:r>
        <w:rPr>
          <w:color w:val="auto"/>
          <w:spacing w:val="-1"/>
          <w:highlight w:val="none"/>
        </w:rPr>
        <w:t>委托</w:t>
      </w:r>
      <w:r>
        <w:rPr>
          <w:rFonts w:ascii="Times New Roman" w:hAnsi="Times New Roman" w:eastAsia="Times New Roman" w:cs="Times New Roman"/>
          <w:color w:val="auto"/>
          <w:spacing w:val="-1"/>
          <w:highlight w:val="none"/>
          <w:u w:val="single" w:color="000000"/>
        </w:rPr>
        <w:tab/>
      </w:r>
      <w:r>
        <w:rPr>
          <w:color w:val="auto"/>
          <w:spacing w:val="-2"/>
          <w:highlight w:val="none"/>
        </w:rPr>
        <w:t>（姓名）为我方代理人。代理人根据授权，以我方名义签署、澄</w:t>
      </w:r>
      <w:r>
        <w:rPr>
          <w:color w:val="auto"/>
          <w:spacing w:val="-100"/>
          <w:highlight w:val="none"/>
        </w:rPr>
        <w:t xml:space="preserve"> </w:t>
      </w:r>
      <w:r>
        <w:rPr>
          <w:color w:val="auto"/>
          <w:highlight w:val="none"/>
        </w:rPr>
        <w:t>清确认、递交、撤回、修改</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u w:val="single" w:color="000000"/>
        </w:rPr>
        <w:tab/>
      </w:r>
      <w:r>
        <w:rPr>
          <w:color w:val="auto"/>
          <w:highlight w:val="none"/>
        </w:rPr>
        <w:t>（项目名称）投标文件、签订合同和处理有关事宜，其法律后果由我方承担。</w:t>
      </w:r>
    </w:p>
    <w:p>
      <w:pPr>
        <w:pStyle w:val="11"/>
        <w:tabs>
          <w:tab w:val="left" w:pos="3507"/>
        </w:tabs>
        <w:spacing w:before="58" w:line="240" w:lineRule="auto"/>
        <w:ind w:left="593" w:right="344"/>
        <w:jc w:val="left"/>
        <w:rPr>
          <w:color w:val="auto"/>
          <w:highlight w:val="none"/>
        </w:rPr>
      </w:pPr>
      <w:r>
        <w:rPr>
          <w:color w:val="auto"/>
          <w:spacing w:val="-1"/>
          <w:highlight w:val="none"/>
        </w:rPr>
        <w:t>委托期限：</w:t>
      </w:r>
      <w:r>
        <w:rPr>
          <w:rFonts w:ascii="Times New Roman" w:hAnsi="Times New Roman" w:eastAsia="Times New Roman" w:cs="Times New Roman"/>
          <w:color w:val="auto"/>
          <w:spacing w:val="-1"/>
          <w:highlight w:val="none"/>
          <w:u w:val="single" w:color="000000"/>
        </w:rPr>
        <w:tab/>
      </w:r>
      <w:r>
        <w:rPr>
          <w:color w:val="auto"/>
          <w:highlight w:val="none"/>
        </w:rPr>
        <w:t>。</w:t>
      </w:r>
    </w:p>
    <w:p>
      <w:pPr>
        <w:spacing w:before="0" w:line="240" w:lineRule="auto"/>
        <w:rPr>
          <w:rFonts w:ascii="宋体" w:hAnsi="宋体" w:eastAsia="宋体" w:cs="宋体"/>
          <w:color w:val="auto"/>
          <w:sz w:val="24"/>
          <w:szCs w:val="24"/>
          <w:highlight w:val="none"/>
        </w:rPr>
      </w:pPr>
    </w:p>
    <w:p>
      <w:pPr>
        <w:spacing w:before="3" w:line="240" w:lineRule="auto"/>
        <w:rPr>
          <w:rFonts w:ascii="宋体" w:hAnsi="宋体" w:eastAsia="宋体" w:cs="宋体"/>
          <w:color w:val="auto"/>
          <w:sz w:val="29"/>
          <w:szCs w:val="29"/>
          <w:highlight w:val="none"/>
        </w:rPr>
      </w:pPr>
    </w:p>
    <w:p>
      <w:pPr>
        <w:pStyle w:val="11"/>
        <w:spacing w:before="0" w:line="240" w:lineRule="auto"/>
        <w:ind w:left="593" w:right="344"/>
        <w:jc w:val="left"/>
        <w:rPr>
          <w:color w:val="auto"/>
          <w:highlight w:val="none"/>
        </w:rPr>
      </w:pPr>
      <w:r>
        <w:rPr>
          <w:color w:val="auto"/>
          <w:highlight w:val="none"/>
        </w:rPr>
        <w:t>代理人无转委托权。</w:t>
      </w: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pStyle w:val="11"/>
        <w:spacing w:before="181" w:line="240" w:lineRule="auto"/>
        <w:ind w:left="113" w:right="344" w:firstLine="480"/>
        <w:jc w:val="left"/>
        <w:rPr>
          <w:color w:val="auto"/>
          <w:highlight w:val="none"/>
        </w:rPr>
      </w:pPr>
      <w:r>
        <w:rPr>
          <w:color w:val="auto"/>
          <w:highlight w:val="none"/>
        </w:rPr>
        <w:t>附：委托代理人身份证正反面</w:t>
      </w:r>
      <w:r>
        <w:rPr>
          <w:rFonts w:hint="eastAsia"/>
          <w:color w:val="auto"/>
          <w:highlight w:val="none"/>
          <w:lang w:val="en-US" w:eastAsia="zh-CN"/>
        </w:rPr>
        <w:t>扫描</w:t>
      </w:r>
      <w:r>
        <w:rPr>
          <w:color w:val="auto"/>
          <w:highlight w:val="none"/>
        </w:rPr>
        <w:t>件</w:t>
      </w: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pStyle w:val="11"/>
        <w:spacing w:before="181" w:line="240" w:lineRule="auto"/>
        <w:ind w:left="95" w:right="205"/>
        <w:jc w:val="center"/>
        <w:rPr>
          <w:color w:val="auto"/>
          <w:highlight w:val="none"/>
        </w:rPr>
      </w:pPr>
      <w:r>
        <w:rPr>
          <w:color w:val="auto"/>
          <w:highlight w:val="none"/>
        </w:rPr>
        <w:t>注：本授权委托书需由投标人加盖单位公章并由其法定代表人和委托代理人签字或盖章。</w:t>
      </w:r>
    </w:p>
    <w:p>
      <w:pPr>
        <w:pStyle w:val="11"/>
        <w:tabs>
          <w:tab w:val="left" w:pos="7673"/>
          <w:tab w:val="left" w:pos="9098"/>
        </w:tabs>
        <w:spacing w:before="151" w:line="595" w:lineRule="auto"/>
        <w:ind w:left="4313" w:right="344"/>
        <w:jc w:val="left"/>
        <w:rPr>
          <w:color w:val="auto"/>
          <w:highlight w:val="none"/>
        </w:rPr>
      </w:pPr>
      <w:r>
        <w:rPr>
          <w:color w:val="auto"/>
          <w:spacing w:val="-1"/>
          <w:highlight w:val="none"/>
        </w:rPr>
        <w:t>投标人：</w:t>
      </w:r>
      <w:r>
        <w:rPr>
          <w:rFonts w:ascii="Times New Roman" w:hAnsi="Times New Roman" w:eastAsia="Times New Roman" w:cs="Times New Roman"/>
          <w:color w:val="auto"/>
          <w:spacing w:val="-1"/>
          <w:highlight w:val="none"/>
          <w:u w:val="single" w:color="000000"/>
        </w:rPr>
        <w:tab/>
      </w:r>
      <w:r>
        <w:rPr>
          <w:color w:val="auto"/>
          <w:highlight w:val="none"/>
        </w:rPr>
        <w:t>（盖单位章）</w:t>
      </w:r>
    </w:p>
    <w:p>
      <w:pPr>
        <w:pStyle w:val="11"/>
        <w:tabs>
          <w:tab w:val="left" w:pos="7673"/>
          <w:tab w:val="left" w:pos="9098"/>
        </w:tabs>
        <w:spacing w:before="151" w:line="595" w:lineRule="auto"/>
        <w:ind w:left="4313" w:right="344"/>
        <w:jc w:val="left"/>
        <w:rPr>
          <w:rFonts w:ascii="Times New Roman" w:hAnsi="Times New Roman" w:eastAsia="Times New Roman" w:cs="Times New Roman"/>
          <w:color w:val="auto"/>
          <w:highlight w:val="none"/>
        </w:rPr>
      </w:pPr>
      <w:r>
        <w:rPr>
          <w:color w:val="auto"/>
          <w:spacing w:val="-1"/>
          <w:highlight w:val="none"/>
        </w:rPr>
        <w:t>法定代表人：</w:t>
      </w:r>
      <w:r>
        <w:rPr>
          <w:rFonts w:ascii="Times New Roman" w:hAnsi="Times New Roman" w:eastAsia="Times New Roman" w:cs="Times New Roman"/>
          <w:color w:val="auto"/>
          <w:spacing w:val="-1"/>
          <w:highlight w:val="none"/>
          <w:u w:val="single" w:color="000000"/>
        </w:rPr>
        <w:tab/>
      </w:r>
      <w:r>
        <w:rPr>
          <w:color w:val="auto"/>
          <w:highlight w:val="none"/>
        </w:rPr>
        <w:t>（签字或盖章） 身份证号码：</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u w:val="single" w:color="000000"/>
        </w:rPr>
        <w:tab/>
      </w:r>
    </w:p>
    <w:p>
      <w:pPr>
        <w:pStyle w:val="11"/>
        <w:tabs>
          <w:tab w:val="left" w:pos="7464"/>
          <w:tab w:val="left" w:pos="9098"/>
        </w:tabs>
        <w:spacing w:before="108" w:line="595" w:lineRule="auto"/>
        <w:ind w:left="4313" w:right="553"/>
        <w:jc w:val="left"/>
        <w:rPr>
          <w:rFonts w:ascii="Times New Roman" w:hAnsi="Times New Roman" w:eastAsia="Times New Roman" w:cs="Times New Roman"/>
          <w:color w:val="auto"/>
          <w:spacing w:val="-1"/>
          <w:highlight w:val="none"/>
          <w:u w:val="single" w:color="000000"/>
        </w:rPr>
      </w:pPr>
      <w:r>
        <w:rPr>
          <w:color w:val="auto"/>
          <w:spacing w:val="-1"/>
          <w:highlight w:val="none"/>
        </w:rPr>
        <w:t>委托代理人：</w:t>
      </w:r>
      <w:r>
        <w:rPr>
          <w:rFonts w:ascii="Times New Roman" w:hAnsi="Times New Roman" w:eastAsia="Times New Roman" w:cs="Times New Roman"/>
          <w:color w:val="auto"/>
          <w:spacing w:val="-1"/>
          <w:highlight w:val="none"/>
          <w:u w:val="single" w:color="000000"/>
        </w:rPr>
        <w:tab/>
      </w:r>
    </w:p>
    <w:p>
      <w:pPr>
        <w:pStyle w:val="11"/>
        <w:tabs>
          <w:tab w:val="left" w:pos="7464"/>
          <w:tab w:val="left" w:pos="9098"/>
        </w:tabs>
        <w:spacing w:before="108" w:line="595" w:lineRule="auto"/>
        <w:ind w:left="4313" w:right="553"/>
        <w:jc w:val="left"/>
        <w:rPr>
          <w:rFonts w:ascii="Times New Roman" w:hAnsi="Times New Roman" w:eastAsia="Times New Roman" w:cs="Times New Roman"/>
          <w:color w:val="auto"/>
          <w:highlight w:val="none"/>
        </w:rPr>
      </w:pPr>
      <w:r>
        <w:rPr>
          <w:color w:val="auto"/>
          <w:highlight w:val="none"/>
        </w:rPr>
        <w:t>（签字或盖章） 身份证号码：</w:t>
      </w: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u w:val="single" w:color="000000"/>
        </w:rPr>
        <w:tab/>
      </w:r>
    </w:p>
    <w:p>
      <w:pPr>
        <w:pStyle w:val="11"/>
        <w:tabs>
          <w:tab w:val="left" w:pos="7553"/>
          <w:tab w:val="left" w:pos="8273"/>
          <w:tab w:val="left" w:pos="9113"/>
        </w:tabs>
        <w:spacing w:before="108" w:line="240" w:lineRule="auto"/>
        <w:ind w:left="353" w:right="0" w:firstLine="6599"/>
        <w:jc w:val="left"/>
        <w:rPr>
          <w:color w:val="auto"/>
          <w:highlight w:val="none"/>
        </w:rPr>
      </w:pP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spacing w:val="-1"/>
          <w:highlight w:val="none"/>
        </w:rPr>
        <w:t>年</w:t>
      </w:r>
      <w:r>
        <w:rPr>
          <w:rFonts w:ascii="Times New Roman" w:hAnsi="Times New Roman" w:eastAsia="Times New Roman" w:cs="Times New Roman"/>
          <w:color w:val="auto"/>
          <w:spacing w:val="-1"/>
          <w:highlight w:val="none"/>
          <w:u w:val="single" w:color="000000"/>
        </w:rPr>
        <w:tab/>
      </w:r>
      <w:r>
        <w:rPr>
          <w:color w:val="auto"/>
          <w:spacing w:val="-1"/>
          <w:highlight w:val="none"/>
        </w:rPr>
        <w:t>月</w:t>
      </w:r>
      <w:r>
        <w:rPr>
          <w:rFonts w:hint="eastAsia"/>
          <w:color w:val="auto"/>
          <w:spacing w:val="-1"/>
          <w:highlight w:val="none"/>
          <w:u w:val="single"/>
          <w:lang w:val="en-US" w:eastAsia="zh-CN"/>
        </w:rPr>
        <w:t xml:space="preserve">    </w:t>
      </w:r>
      <w:r>
        <w:rPr>
          <w:color w:val="auto"/>
          <w:highlight w:val="none"/>
        </w:rPr>
        <w:t>日</w:t>
      </w: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0" w:line="240" w:lineRule="auto"/>
        <w:rPr>
          <w:rFonts w:ascii="宋体" w:hAnsi="宋体" w:eastAsia="宋体" w:cs="宋体"/>
          <w:color w:val="auto"/>
          <w:sz w:val="24"/>
          <w:szCs w:val="24"/>
          <w:highlight w:val="none"/>
        </w:rPr>
      </w:pPr>
    </w:p>
    <w:p>
      <w:pPr>
        <w:spacing w:before="9" w:line="240" w:lineRule="auto"/>
        <w:rPr>
          <w:rFonts w:ascii="宋体" w:hAnsi="宋体" w:eastAsia="宋体" w:cs="宋体"/>
          <w:color w:val="auto"/>
          <w:sz w:val="26"/>
          <w:szCs w:val="26"/>
          <w:highlight w:val="none"/>
        </w:rPr>
      </w:pPr>
    </w:p>
    <w:p>
      <w:pPr>
        <w:pStyle w:val="11"/>
        <w:keepNext w:val="0"/>
        <w:keepLines w:val="0"/>
        <w:pageBreakBefore w:val="0"/>
        <w:widowControl w:val="0"/>
        <w:tabs>
          <w:tab w:val="left" w:pos="7464"/>
          <w:tab w:val="left" w:pos="9098"/>
        </w:tabs>
        <w:kinsoku/>
        <w:wordWrap/>
        <w:overflowPunct/>
        <w:topLinePunct w:val="0"/>
        <w:autoSpaceDE/>
        <w:autoSpaceDN/>
        <w:bidi w:val="0"/>
        <w:adjustRightInd/>
        <w:snapToGrid/>
        <w:spacing w:before="0" w:line="596" w:lineRule="auto"/>
        <w:ind w:left="0" w:right="556"/>
        <w:jc w:val="left"/>
        <w:textAlignment w:val="auto"/>
        <w:rPr>
          <w:rFonts w:ascii="宋体" w:hAnsi="宋体" w:eastAsia="宋体"/>
          <w:color w:val="auto"/>
          <w:highlight w:val="none"/>
        </w:rPr>
      </w:pPr>
      <w:r>
        <w:rPr>
          <w:rFonts w:ascii="宋体" w:hAnsi="宋体" w:eastAsia="宋体"/>
          <w:color w:val="auto"/>
          <w:highlight w:val="none"/>
        </w:rPr>
        <w:t>注：如法人参加投标，则无需提供授权委托书。</w:t>
      </w:r>
    </w:p>
    <w:p>
      <w:pPr>
        <w:pStyle w:val="9"/>
        <w:spacing w:line="385" w:lineRule="exact"/>
        <w:ind w:left="364" w:right="0"/>
        <w:jc w:val="center"/>
        <w:outlineLvl w:val="1"/>
        <w:rPr>
          <w:b w:val="0"/>
          <w:bCs w:val="0"/>
          <w:color w:val="auto"/>
          <w:highlight w:val="none"/>
        </w:rPr>
      </w:pPr>
      <w:bookmarkStart w:id="150" w:name="_Toc32213"/>
      <w:r>
        <w:rPr>
          <w:b w:val="0"/>
          <w:bCs w:val="0"/>
          <w:color w:val="auto"/>
          <w:highlight w:val="none"/>
        </w:rPr>
        <w:br w:type="column"/>
      </w:r>
      <w:r>
        <w:rPr>
          <w:color w:val="auto"/>
          <w:highlight w:val="none"/>
        </w:rPr>
        <w:t>五、投标保证金</w:t>
      </w:r>
      <w:bookmarkEnd w:id="150"/>
    </w:p>
    <w:p>
      <w:pPr>
        <w:spacing w:before="0" w:line="240" w:lineRule="auto"/>
        <w:rPr>
          <w:rFonts w:ascii="宋体" w:hAnsi="宋体" w:eastAsia="宋体" w:cs="宋体"/>
          <w:b/>
          <w:bCs/>
          <w:color w:val="auto"/>
          <w:sz w:val="30"/>
          <w:szCs w:val="30"/>
          <w:highlight w:val="none"/>
        </w:rPr>
      </w:pPr>
    </w:p>
    <w:p>
      <w:pPr>
        <w:spacing w:before="221"/>
        <w:ind w:left="113" w:right="0" w:firstLine="0"/>
        <w:jc w:val="left"/>
        <w:outlineLvl w:val="2"/>
        <w:rPr>
          <w:rFonts w:ascii="宋体" w:hAnsi="宋体" w:eastAsia="宋体" w:cs="宋体"/>
          <w:color w:val="auto"/>
          <w:sz w:val="24"/>
          <w:szCs w:val="24"/>
          <w:highlight w:val="none"/>
        </w:rPr>
      </w:pPr>
      <w:bookmarkStart w:id="151" w:name="_Toc519"/>
      <w:bookmarkStart w:id="152" w:name="_Toc20559"/>
      <w:r>
        <w:rPr>
          <w:rFonts w:ascii="宋体" w:hAnsi="宋体" w:eastAsia="宋体" w:cs="宋体"/>
          <w:b/>
          <w:bCs/>
          <w:color w:val="auto"/>
          <w:sz w:val="24"/>
          <w:szCs w:val="24"/>
          <w:highlight w:val="none"/>
        </w:rPr>
        <w:t>附：（投标人应在本项按招标文件要求提供相关证明材料。）</w:t>
      </w:r>
      <w:bookmarkEnd w:id="151"/>
    </w:p>
    <w:p>
      <w:pPr>
        <w:pStyle w:val="5"/>
        <w:spacing w:before="0" w:line="360" w:lineRule="auto"/>
        <w:ind w:left="158" w:right="0"/>
        <w:jc w:val="left"/>
        <w:outlineLvl w:val="9"/>
        <w:rPr>
          <w:b w:val="0"/>
          <w:bCs w:val="0"/>
          <w:color w:val="auto"/>
          <w:highlight w:val="none"/>
        </w:rPr>
      </w:pPr>
    </w:p>
    <w:p>
      <w:pPr>
        <w:rPr>
          <w:color w:val="auto"/>
          <w:highlight w:val="none"/>
        </w:rPr>
      </w:pPr>
      <w:r>
        <w:rPr>
          <w:color w:val="auto"/>
          <w:highlight w:val="none"/>
        </w:rPr>
        <w:br w:type="page"/>
      </w:r>
    </w:p>
    <w:p>
      <w:pPr>
        <w:pStyle w:val="9"/>
        <w:spacing w:line="385" w:lineRule="exact"/>
        <w:ind w:left="4" w:right="0"/>
        <w:jc w:val="center"/>
        <w:outlineLvl w:val="1"/>
        <w:rPr>
          <w:b w:val="0"/>
          <w:bCs w:val="0"/>
          <w:color w:val="auto"/>
          <w:highlight w:val="none"/>
        </w:rPr>
      </w:pPr>
      <w:r>
        <w:rPr>
          <w:color w:val="auto"/>
          <w:highlight w:val="none"/>
        </w:rPr>
        <w:t>六、资格审查资料</w:t>
      </w:r>
      <w:bookmarkEnd w:id="152"/>
    </w:p>
    <w:p>
      <w:pPr>
        <w:spacing w:before="12" w:line="240" w:lineRule="auto"/>
        <w:rPr>
          <w:rFonts w:ascii="宋体" w:hAnsi="宋体" w:eastAsia="宋体" w:cs="宋体"/>
          <w:b/>
          <w:bCs/>
          <w:color w:val="auto"/>
          <w:sz w:val="23"/>
          <w:szCs w:val="23"/>
          <w:highlight w:val="none"/>
        </w:rPr>
      </w:pPr>
    </w:p>
    <w:p>
      <w:pPr>
        <w:pStyle w:val="7"/>
        <w:spacing w:line="240" w:lineRule="auto"/>
        <w:ind w:left="193" w:right="0"/>
        <w:jc w:val="left"/>
        <w:outlineLvl w:val="2"/>
        <w:rPr>
          <w:b w:val="0"/>
          <w:bCs w:val="0"/>
          <w:color w:val="auto"/>
          <w:highlight w:val="none"/>
        </w:rPr>
      </w:pPr>
      <w:bookmarkStart w:id="153" w:name="_Toc22350"/>
      <w:r>
        <w:rPr>
          <w:color w:val="auto"/>
          <w:highlight w:val="none"/>
        </w:rPr>
        <w:t>（一）基本情况表</w:t>
      </w:r>
      <w:bookmarkEnd w:id="153"/>
    </w:p>
    <w:p>
      <w:pPr>
        <w:spacing w:before="11" w:line="240" w:lineRule="auto"/>
        <w:rPr>
          <w:rFonts w:ascii="宋体" w:hAnsi="宋体" w:eastAsia="宋体" w:cs="宋体"/>
          <w:b/>
          <w:bCs/>
          <w:color w:val="auto"/>
          <w:sz w:val="18"/>
          <w:szCs w:val="18"/>
          <w:highlight w:val="none"/>
        </w:rPr>
      </w:pPr>
    </w:p>
    <w:tbl>
      <w:tblPr>
        <w:tblStyle w:val="20"/>
        <w:tblW w:w="0" w:type="auto"/>
        <w:tblInd w:w="114" w:type="dxa"/>
        <w:tblLayout w:type="fixed"/>
        <w:tblCellMar>
          <w:top w:w="0" w:type="dxa"/>
          <w:left w:w="0" w:type="dxa"/>
          <w:bottom w:w="0" w:type="dxa"/>
          <w:right w:w="0" w:type="dxa"/>
        </w:tblCellMar>
      </w:tblPr>
      <w:tblGrid>
        <w:gridCol w:w="2050"/>
        <w:gridCol w:w="1020"/>
        <w:gridCol w:w="905"/>
        <w:gridCol w:w="1286"/>
        <w:gridCol w:w="418"/>
        <w:gridCol w:w="869"/>
        <w:gridCol w:w="830"/>
        <w:gridCol w:w="283"/>
        <w:gridCol w:w="1728"/>
      </w:tblGrid>
      <w:tr>
        <w:tblPrEx>
          <w:tblCellMar>
            <w:top w:w="0" w:type="dxa"/>
            <w:left w:w="0" w:type="dxa"/>
            <w:bottom w:w="0" w:type="dxa"/>
            <w:right w:w="0" w:type="dxa"/>
          </w:tblCellMar>
        </w:tblPrEx>
        <w:trPr>
          <w:trHeight w:val="576"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8" w:line="240" w:lineRule="auto"/>
              <w:ind w:left="42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投标人名称</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5" w:line="240" w:lineRule="auto"/>
              <w:ind w:left="54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注册地址</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7"/>
              <w:spacing w:before="85" w:line="240" w:lineRule="auto"/>
              <w:ind w:left="15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邮政编码</w:t>
            </w:r>
          </w:p>
        </w:tc>
        <w:tc>
          <w:tcPr>
            <w:tcW w:w="284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vMerge w:val="restart"/>
            <w:tcBorders>
              <w:top w:val="single" w:color="000000" w:sz="4" w:space="0"/>
              <w:left w:val="single" w:color="000000" w:sz="4" w:space="0"/>
              <w:right w:val="single" w:color="000000" w:sz="4" w:space="0"/>
            </w:tcBorders>
          </w:tcPr>
          <w:p>
            <w:pPr>
              <w:pStyle w:val="27"/>
              <w:spacing w:before="5" w:line="240" w:lineRule="auto"/>
              <w:ind w:right="0"/>
              <w:jc w:val="left"/>
              <w:rPr>
                <w:rFonts w:ascii="宋体" w:hAnsi="宋体" w:eastAsia="宋体" w:cs="宋体"/>
                <w:b/>
                <w:bCs/>
                <w:color w:val="auto"/>
                <w:sz w:val="28"/>
                <w:szCs w:val="28"/>
                <w:highlight w:val="none"/>
              </w:rPr>
            </w:pPr>
          </w:p>
          <w:p>
            <w:pPr>
              <w:pStyle w:val="27"/>
              <w:spacing w:line="240" w:lineRule="auto"/>
              <w:ind w:left="54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联系方式</w:t>
            </w:r>
          </w:p>
        </w:tc>
        <w:tc>
          <w:tcPr>
            <w:tcW w:w="1020" w:type="dxa"/>
            <w:tcBorders>
              <w:top w:val="single" w:color="000000" w:sz="4" w:space="0"/>
              <w:left w:val="single" w:color="000000" w:sz="4" w:space="0"/>
              <w:bottom w:val="single" w:color="000000" w:sz="4" w:space="0"/>
              <w:right w:val="single" w:color="000000" w:sz="4" w:space="0"/>
            </w:tcBorders>
          </w:tcPr>
          <w:p>
            <w:pPr>
              <w:pStyle w:val="27"/>
              <w:spacing w:before="85" w:line="240" w:lineRule="auto"/>
              <w:ind w:left="146"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联系人</w:t>
            </w:r>
          </w:p>
        </w:tc>
        <w:tc>
          <w:tcPr>
            <w:tcW w:w="219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7"/>
              <w:spacing w:before="85" w:line="240" w:lineRule="auto"/>
              <w:ind w:left="39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电话</w:t>
            </w:r>
          </w:p>
        </w:tc>
        <w:tc>
          <w:tcPr>
            <w:tcW w:w="284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vMerge w:val="continue"/>
            <w:tcBorders>
              <w:left w:val="single" w:color="000000" w:sz="4" w:space="0"/>
              <w:bottom w:val="single" w:color="000000" w:sz="4" w:space="0"/>
              <w:right w:val="single" w:color="000000" w:sz="4" w:space="0"/>
            </w:tcBorders>
          </w:tcPr>
          <w:p>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266"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传真</w:t>
            </w:r>
          </w:p>
        </w:tc>
        <w:tc>
          <w:tcPr>
            <w:tcW w:w="219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7" w:type="dxa"/>
            <w:gridSpan w:val="2"/>
            <w:tcBorders>
              <w:top w:val="single" w:color="000000" w:sz="4" w:space="0"/>
              <w:left w:val="single" w:color="000000" w:sz="4" w:space="0"/>
              <w:bottom w:val="single" w:color="000000" w:sz="4" w:space="0"/>
              <w:right w:val="single" w:color="000000" w:sz="4" w:space="0"/>
            </w:tcBorders>
          </w:tcPr>
          <w:p>
            <w:pPr>
              <w:pStyle w:val="27"/>
              <w:spacing w:before="86" w:line="240" w:lineRule="auto"/>
              <w:ind w:left="39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网址</w:t>
            </w:r>
          </w:p>
        </w:tc>
        <w:tc>
          <w:tcPr>
            <w:tcW w:w="284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42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w:t>
            </w:r>
          </w:p>
        </w:tc>
        <w:tc>
          <w:tcPr>
            <w:tcW w:w="1020"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266"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姓名</w:t>
            </w:r>
          </w:p>
        </w:tc>
        <w:tc>
          <w:tcPr>
            <w:tcW w:w="90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6"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157"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113" w:type="dxa"/>
            <w:gridSpan w:val="2"/>
            <w:tcBorders>
              <w:top w:val="single" w:color="000000" w:sz="4" w:space="0"/>
              <w:left w:val="single" w:color="000000" w:sz="4" w:space="0"/>
              <w:bottom w:val="single" w:color="000000" w:sz="4" w:space="0"/>
              <w:right w:val="single" w:color="000000" w:sz="4" w:space="0"/>
            </w:tcBorders>
          </w:tcPr>
          <w:p>
            <w:pPr>
              <w:pStyle w:val="27"/>
              <w:spacing w:before="86" w:line="240" w:lineRule="auto"/>
              <w:ind w:left="311"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电话</w:t>
            </w:r>
          </w:p>
        </w:tc>
        <w:tc>
          <w:tcPr>
            <w:tcW w:w="1728"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42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技术负责人</w:t>
            </w:r>
          </w:p>
        </w:tc>
        <w:tc>
          <w:tcPr>
            <w:tcW w:w="1020"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266"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姓名</w:t>
            </w:r>
          </w:p>
        </w:tc>
        <w:tc>
          <w:tcPr>
            <w:tcW w:w="905"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286"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157"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113" w:type="dxa"/>
            <w:gridSpan w:val="2"/>
            <w:tcBorders>
              <w:top w:val="single" w:color="000000" w:sz="4" w:space="0"/>
              <w:left w:val="single" w:color="000000" w:sz="4" w:space="0"/>
              <w:bottom w:val="single" w:color="000000" w:sz="4" w:space="0"/>
              <w:right w:val="single" w:color="000000" w:sz="4" w:space="0"/>
            </w:tcBorders>
          </w:tcPr>
          <w:p>
            <w:pPr>
              <w:pStyle w:val="27"/>
              <w:spacing w:before="86" w:line="240" w:lineRule="auto"/>
              <w:ind w:left="311"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电话</w:t>
            </w:r>
          </w:p>
        </w:tc>
        <w:tc>
          <w:tcPr>
            <w:tcW w:w="1728"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6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企业设计资质证书</w:t>
            </w:r>
          </w:p>
        </w:tc>
        <w:tc>
          <w:tcPr>
            <w:tcW w:w="7339" w:type="dxa"/>
            <w:gridSpan w:val="8"/>
            <w:tcBorders>
              <w:top w:val="single" w:color="000000" w:sz="4" w:space="0"/>
              <w:left w:val="single" w:color="000000" w:sz="4" w:space="0"/>
              <w:bottom w:val="single" w:color="000000" w:sz="4" w:space="0"/>
              <w:right w:val="single" w:color="000000" w:sz="4" w:space="0"/>
            </w:tcBorders>
          </w:tcPr>
          <w:p>
            <w:pPr>
              <w:pStyle w:val="27"/>
              <w:tabs>
                <w:tab w:val="left" w:pos="3275"/>
                <w:tab w:val="left" w:pos="4773"/>
              </w:tabs>
              <w:spacing w:before="86" w:line="240" w:lineRule="auto"/>
              <w:ind w:left="1595"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类型：</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等级：</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证书号：</w:t>
            </w: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6" w:line="240" w:lineRule="auto"/>
              <w:ind w:left="42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营业执照号</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28" w:type="dxa"/>
            <w:gridSpan w:val="5"/>
            <w:tcBorders>
              <w:top w:val="single" w:color="000000" w:sz="4" w:space="0"/>
              <w:left w:val="single" w:color="000000" w:sz="4" w:space="0"/>
              <w:bottom w:val="single" w:color="000000" w:sz="4" w:space="0"/>
              <w:right w:val="single" w:color="000000" w:sz="4" w:space="0"/>
            </w:tcBorders>
          </w:tcPr>
          <w:p>
            <w:pPr>
              <w:pStyle w:val="27"/>
              <w:spacing w:before="86" w:line="240" w:lineRule="auto"/>
              <w:ind w:left="1339"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员工总人数：</w:t>
            </w: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7" w:line="240" w:lineRule="auto"/>
              <w:ind w:left="54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注册资本</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restart"/>
            <w:tcBorders>
              <w:top w:val="single" w:color="000000" w:sz="4" w:space="0"/>
              <w:left w:val="single" w:color="000000" w:sz="4" w:space="0"/>
              <w:right w:val="single" w:color="000000" w:sz="4" w:space="0"/>
            </w:tcBorders>
          </w:tcPr>
          <w:p>
            <w:pPr>
              <w:pStyle w:val="27"/>
              <w:spacing w:line="240" w:lineRule="auto"/>
              <w:ind w:right="0"/>
              <w:jc w:val="left"/>
              <w:rPr>
                <w:rFonts w:ascii="宋体" w:hAnsi="宋体" w:eastAsia="宋体" w:cs="宋体"/>
                <w:b/>
                <w:bCs/>
                <w:color w:val="auto"/>
                <w:sz w:val="24"/>
                <w:szCs w:val="24"/>
                <w:highlight w:val="none"/>
              </w:rPr>
            </w:pPr>
          </w:p>
          <w:p>
            <w:pPr>
              <w:pStyle w:val="27"/>
              <w:spacing w:before="5" w:line="240" w:lineRule="auto"/>
              <w:ind w:right="0"/>
              <w:jc w:val="left"/>
              <w:rPr>
                <w:rFonts w:ascii="宋体" w:hAnsi="宋体" w:eastAsia="宋体" w:cs="宋体"/>
                <w:b/>
                <w:bCs/>
                <w:color w:val="auto"/>
                <w:sz w:val="25"/>
                <w:szCs w:val="25"/>
                <w:highlight w:val="none"/>
              </w:rPr>
            </w:pPr>
          </w:p>
          <w:p>
            <w:pPr>
              <w:pStyle w:val="27"/>
              <w:spacing w:line="453" w:lineRule="auto"/>
              <w:ind w:left="83" w:right="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其 中</w:t>
            </w:r>
          </w:p>
        </w:tc>
        <w:tc>
          <w:tcPr>
            <w:tcW w:w="1699" w:type="dxa"/>
            <w:gridSpan w:val="2"/>
            <w:tcBorders>
              <w:top w:val="single" w:color="000000" w:sz="4" w:space="0"/>
              <w:left w:val="single" w:color="000000" w:sz="4" w:space="0"/>
              <w:bottom w:val="single" w:color="000000" w:sz="4" w:space="0"/>
              <w:right w:val="single" w:color="000000" w:sz="4" w:space="0"/>
            </w:tcBorders>
          </w:tcPr>
          <w:p>
            <w:pPr>
              <w:pStyle w:val="27"/>
              <w:spacing w:before="87" w:line="240" w:lineRule="auto"/>
              <w:ind w:left="124"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高级职称人员</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7" w:line="240" w:lineRule="auto"/>
              <w:ind w:left="54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成立日期</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continue"/>
            <w:tcBorders>
              <w:left w:val="single" w:color="000000" w:sz="4" w:space="0"/>
              <w:right w:val="single" w:color="000000" w:sz="4" w:space="0"/>
            </w:tcBorders>
          </w:tcPr>
          <w:p>
            <w:pPr>
              <w:rPr>
                <w:color w:val="auto"/>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tcPr>
          <w:p>
            <w:pPr>
              <w:pStyle w:val="27"/>
              <w:spacing w:before="87" w:line="240" w:lineRule="auto"/>
              <w:ind w:left="124"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中级职称人员</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5" w:line="240" w:lineRule="auto"/>
              <w:ind w:left="6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基本账户开户银行</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continue"/>
            <w:tcBorders>
              <w:left w:val="single" w:color="000000" w:sz="4" w:space="0"/>
              <w:right w:val="single" w:color="000000" w:sz="4" w:space="0"/>
            </w:tcBorders>
          </w:tcPr>
          <w:p>
            <w:pPr>
              <w:rPr>
                <w:color w:val="auto"/>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tcPr>
          <w:p>
            <w:pPr>
              <w:pStyle w:val="27"/>
              <w:spacing w:before="85" w:line="240" w:lineRule="auto"/>
              <w:ind w:left="124"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技术人员数量</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5" w:line="240" w:lineRule="auto"/>
              <w:ind w:left="6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基本账户银行账号</w:t>
            </w:r>
          </w:p>
        </w:tc>
        <w:tc>
          <w:tcPr>
            <w:tcW w:w="3211"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418" w:type="dxa"/>
            <w:vMerge w:val="continue"/>
            <w:tcBorders>
              <w:left w:val="single" w:color="000000" w:sz="4" w:space="0"/>
              <w:bottom w:val="single" w:color="000000" w:sz="4" w:space="0"/>
              <w:right w:val="single" w:color="000000" w:sz="4" w:space="0"/>
            </w:tcBorders>
          </w:tcPr>
          <w:p>
            <w:pPr>
              <w:rPr>
                <w:color w:val="auto"/>
                <w:highlight w:val="none"/>
              </w:rPr>
            </w:pPr>
          </w:p>
        </w:tc>
        <w:tc>
          <w:tcPr>
            <w:tcW w:w="1699" w:type="dxa"/>
            <w:gridSpan w:val="2"/>
            <w:tcBorders>
              <w:top w:val="single" w:color="000000" w:sz="4" w:space="0"/>
              <w:left w:val="single" w:color="000000" w:sz="4" w:space="0"/>
              <w:bottom w:val="single" w:color="000000" w:sz="4" w:space="0"/>
              <w:right w:val="single" w:color="000000" w:sz="4" w:space="0"/>
            </w:tcBorders>
          </w:tcPr>
          <w:p>
            <w:pPr>
              <w:pStyle w:val="27"/>
              <w:spacing w:before="85" w:line="240" w:lineRule="auto"/>
              <w:ind w:left="124"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各类注册人员</w:t>
            </w:r>
          </w:p>
        </w:tc>
        <w:tc>
          <w:tcPr>
            <w:tcW w:w="201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1"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5" w:line="240" w:lineRule="auto"/>
              <w:ind w:left="540"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经营范围</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2650"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8" w:line="240" w:lineRule="auto"/>
              <w:ind w:right="0"/>
              <w:jc w:val="left"/>
              <w:rPr>
                <w:rFonts w:ascii="宋体" w:hAnsi="宋体" w:eastAsia="宋体" w:cs="宋体"/>
                <w:b/>
                <w:bCs/>
                <w:color w:val="auto"/>
                <w:sz w:val="16"/>
                <w:szCs w:val="16"/>
                <w:highlight w:val="none"/>
              </w:rPr>
            </w:pPr>
          </w:p>
          <w:p>
            <w:pPr>
              <w:pStyle w:val="27"/>
              <w:spacing w:line="285" w:lineRule="auto"/>
              <w:ind w:left="60" w:right="58"/>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投标人关联企业情 况（包括但不限于 与投标人法定代表 人为同一人或者存 在控股、管理关系 的不同单位）</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576" w:hRule="exact"/>
        </w:trPr>
        <w:tc>
          <w:tcPr>
            <w:tcW w:w="2050" w:type="dxa"/>
            <w:tcBorders>
              <w:top w:val="single" w:color="000000" w:sz="4" w:space="0"/>
              <w:left w:val="single" w:color="000000" w:sz="4" w:space="0"/>
              <w:bottom w:val="single" w:color="000000" w:sz="4" w:space="0"/>
              <w:right w:val="single" w:color="000000" w:sz="4" w:space="0"/>
            </w:tcBorders>
          </w:tcPr>
          <w:p>
            <w:pPr>
              <w:pStyle w:val="27"/>
              <w:spacing w:before="90" w:line="240" w:lineRule="auto"/>
              <w:ind w:right="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tc>
        <w:tc>
          <w:tcPr>
            <w:tcW w:w="7339" w:type="dxa"/>
            <w:gridSpan w:val="8"/>
            <w:tcBorders>
              <w:top w:val="single" w:color="000000" w:sz="4" w:space="0"/>
              <w:left w:val="single" w:color="000000" w:sz="4" w:space="0"/>
              <w:bottom w:val="single" w:color="000000" w:sz="4" w:space="0"/>
              <w:right w:val="single" w:color="000000" w:sz="4" w:space="0"/>
            </w:tcBorders>
          </w:tcPr>
          <w:p>
            <w:pPr>
              <w:rPr>
                <w:color w:val="auto"/>
                <w:highlight w:val="none"/>
              </w:rPr>
            </w:pPr>
          </w:p>
        </w:tc>
      </w:tr>
    </w:tbl>
    <w:p>
      <w:pPr>
        <w:spacing w:before="0" w:line="241" w:lineRule="exact"/>
        <w:ind w:left="613" w:right="0" w:hanging="420"/>
        <w:jc w:val="left"/>
        <w:rPr>
          <w:rFonts w:ascii="宋体" w:hAnsi="宋体" w:eastAsia="宋体" w:cs="宋体"/>
          <w:b/>
          <w:bCs/>
          <w:color w:val="auto"/>
          <w:sz w:val="21"/>
          <w:szCs w:val="21"/>
          <w:highlight w:val="none"/>
        </w:rPr>
      </w:pPr>
    </w:p>
    <w:p>
      <w:pPr>
        <w:spacing w:before="0" w:line="241" w:lineRule="exact"/>
        <w:ind w:left="613" w:right="0" w:hanging="420"/>
        <w:jc w:val="left"/>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注：1、投标人应根据投标人须知第</w:t>
      </w:r>
      <w:r>
        <w:rPr>
          <w:rFonts w:ascii="宋体" w:hAnsi="宋体" w:eastAsia="宋体" w:cs="宋体"/>
          <w:b/>
          <w:bCs/>
          <w:color w:val="auto"/>
          <w:spacing w:val="-61"/>
          <w:sz w:val="21"/>
          <w:szCs w:val="21"/>
          <w:highlight w:val="none"/>
        </w:rPr>
        <w:t xml:space="preserve"> </w:t>
      </w:r>
      <w:r>
        <w:rPr>
          <w:rFonts w:ascii="宋体" w:hAnsi="宋体" w:eastAsia="宋体" w:cs="宋体"/>
          <w:b/>
          <w:bCs/>
          <w:color w:val="auto"/>
          <w:sz w:val="21"/>
          <w:szCs w:val="21"/>
          <w:highlight w:val="none"/>
        </w:rPr>
        <w:t>3.5.2</w:t>
      </w:r>
      <w:r>
        <w:rPr>
          <w:rFonts w:ascii="宋体" w:hAnsi="宋体" w:eastAsia="宋体" w:cs="宋体"/>
          <w:b/>
          <w:bCs/>
          <w:color w:val="auto"/>
          <w:spacing w:val="-59"/>
          <w:sz w:val="21"/>
          <w:szCs w:val="21"/>
          <w:highlight w:val="none"/>
        </w:rPr>
        <w:t xml:space="preserve"> </w:t>
      </w:r>
      <w:r>
        <w:rPr>
          <w:rFonts w:ascii="宋体" w:hAnsi="宋体" w:eastAsia="宋体" w:cs="宋体"/>
          <w:b/>
          <w:bCs/>
          <w:color w:val="auto"/>
          <w:sz w:val="21"/>
          <w:szCs w:val="21"/>
          <w:highlight w:val="none"/>
        </w:rPr>
        <w:t>项的要求在本表后附相关证明材料</w:t>
      </w:r>
    </w:p>
    <w:p>
      <w:pPr>
        <w:spacing w:before="0" w:line="240" w:lineRule="auto"/>
        <w:rPr>
          <w:rFonts w:ascii="宋体" w:hAnsi="宋体" w:eastAsia="宋体" w:cs="宋体"/>
          <w:color w:val="auto"/>
          <w:sz w:val="32"/>
          <w:szCs w:val="32"/>
          <w:highlight w:val="none"/>
        </w:rPr>
      </w:pPr>
    </w:p>
    <w:p>
      <w:pPr>
        <w:spacing w:before="0" w:line="240" w:lineRule="auto"/>
        <w:rPr>
          <w:rFonts w:ascii="宋体" w:hAnsi="宋体" w:eastAsia="宋体" w:cs="宋体"/>
          <w:color w:val="auto"/>
          <w:sz w:val="32"/>
          <w:szCs w:val="32"/>
          <w:highlight w:val="none"/>
        </w:rPr>
      </w:pPr>
    </w:p>
    <w:p>
      <w:pPr>
        <w:spacing w:before="0" w:line="240" w:lineRule="auto"/>
        <w:rPr>
          <w:rFonts w:ascii="宋体" w:hAnsi="宋体" w:eastAsia="宋体" w:cs="宋体"/>
          <w:color w:val="auto"/>
          <w:sz w:val="32"/>
          <w:szCs w:val="32"/>
          <w:highlight w:val="none"/>
        </w:rPr>
      </w:pPr>
    </w:p>
    <w:p>
      <w:pPr>
        <w:pStyle w:val="7"/>
        <w:spacing w:line="407" w:lineRule="exact"/>
        <w:ind w:left="533" w:right="0"/>
        <w:jc w:val="center"/>
        <w:outlineLvl w:val="2"/>
        <w:rPr>
          <w:b w:val="0"/>
          <w:bCs w:val="0"/>
          <w:color w:val="auto"/>
          <w:highlight w:val="none"/>
        </w:rPr>
      </w:pPr>
      <w:bookmarkStart w:id="154" w:name="_Toc9598"/>
      <w:r>
        <w:rPr>
          <w:color w:val="auto"/>
          <w:highlight w:val="none"/>
        </w:rPr>
        <w:t>（</w:t>
      </w:r>
      <w:r>
        <w:rPr>
          <w:rFonts w:hint="eastAsia"/>
          <w:color w:val="auto"/>
          <w:highlight w:val="none"/>
          <w:lang w:val="en-US" w:eastAsia="zh-CN"/>
        </w:rPr>
        <w:t>二</w:t>
      </w:r>
      <w:r>
        <w:rPr>
          <w:color w:val="auto"/>
          <w:highlight w:val="none"/>
        </w:rPr>
        <w:t>）拟投入本项目的项目负责人简历表</w:t>
      </w:r>
      <w:bookmarkEnd w:id="154"/>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3" w:line="240" w:lineRule="auto"/>
        <w:rPr>
          <w:rFonts w:ascii="宋体" w:hAnsi="宋体" w:eastAsia="宋体" w:cs="宋体"/>
          <w:b/>
          <w:bCs/>
          <w:color w:val="auto"/>
          <w:sz w:val="20"/>
          <w:szCs w:val="20"/>
          <w:highlight w:val="none"/>
        </w:rPr>
      </w:pPr>
    </w:p>
    <w:tbl>
      <w:tblPr>
        <w:tblStyle w:val="20"/>
        <w:tblW w:w="0" w:type="auto"/>
        <w:tblInd w:w="468" w:type="dxa"/>
        <w:tblLayout w:type="fixed"/>
        <w:tblCellMar>
          <w:top w:w="0" w:type="dxa"/>
          <w:left w:w="0" w:type="dxa"/>
          <w:bottom w:w="0" w:type="dxa"/>
          <w:right w:w="0" w:type="dxa"/>
        </w:tblCellMar>
      </w:tblPr>
      <w:tblGrid>
        <w:gridCol w:w="1144"/>
        <w:gridCol w:w="280"/>
        <w:gridCol w:w="2271"/>
        <w:gridCol w:w="1038"/>
        <w:gridCol w:w="309"/>
        <w:gridCol w:w="836"/>
        <w:gridCol w:w="678"/>
        <w:gridCol w:w="400"/>
        <w:gridCol w:w="1566"/>
      </w:tblGrid>
      <w:tr>
        <w:tblPrEx>
          <w:tblCellMar>
            <w:top w:w="0" w:type="dxa"/>
            <w:left w:w="0" w:type="dxa"/>
            <w:bottom w:w="0" w:type="dxa"/>
            <w:right w:w="0" w:type="dxa"/>
          </w:tblCellMar>
        </w:tblPrEx>
        <w:trPr>
          <w:trHeight w:val="690" w:hRule="exact"/>
        </w:trPr>
        <w:tc>
          <w:tcPr>
            <w:tcW w:w="8522" w:type="dxa"/>
            <w:gridSpan w:val="9"/>
            <w:tcBorders>
              <w:top w:val="single" w:color="000000" w:sz="4" w:space="0"/>
              <w:left w:val="single" w:color="000000" w:sz="4" w:space="0"/>
              <w:bottom w:val="single" w:color="000000" w:sz="4" w:space="0"/>
              <w:right w:val="single" w:color="000000" w:sz="4" w:space="0"/>
            </w:tcBorders>
          </w:tcPr>
          <w:p>
            <w:pPr>
              <w:pStyle w:val="27"/>
              <w:spacing w:before="169" w:line="240" w:lineRule="auto"/>
              <w:ind w:left="-1" w:right="1"/>
              <w:jc w:val="center"/>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1</w:t>
            </w:r>
            <w:r>
              <w:rPr>
                <w:rFonts w:ascii="宋体" w:hAnsi="宋体" w:eastAsia="宋体" w:cs="宋体"/>
                <w:color w:val="auto"/>
                <w:sz w:val="21"/>
                <w:szCs w:val="21"/>
                <w:highlight w:val="none"/>
              </w:rPr>
              <w:t>．一般情况</w:t>
            </w:r>
          </w:p>
        </w:tc>
      </w:tr>
      <w:tr>
        <w:tblPrEx>
          <w:tblCellMar>
            <w:top w:w="0" w:type="dxa"/>
            <w:left w:w="0" w:type="dxa"/>
            <w:bottom w:w="0" w:type="dxa"/>
            <w:right w:w="0" w:type="dxa"/>
          </w:tblCellMar>
        </w:tblPrEx>
        <w:trPr>
          <w:trHeight w:val="690" w:hRule="exact"/>
        </w:trPr>
        <w:tc>
          <w:tcPr>
            <w:tcW w:w="1144" w:type="dxa"/>
            <w:tcBorders>
              <w:top w:val="single" w:color="000000" w:sz="4" w:space="0"/>
              <w:left w:val="single" w:color="000000" w:sz="4" w:space="0"/>
              <w:bottom w:val="single" w:color="000000" w:sz="4" w:space="0"/>
              <w:right w:val="single" w:color="000000" w:sz="4" w:space="0"/>
            </w:tcBorders>
          </w:tcPr>
          <w:p>
            <w:pPr>
              <w:pStyle w:val="27"/>
              <w:spacing w:before="168" w:line="240" w:lineRule="auto"/>
              <w:ind w:left="358"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姓名</w:t>
            </w:r>
          </w:p>
        </w:tc>
        <w:tc>
          <w:tcPr>
            <w:tcW w:w="2551"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038" w:type="dxa"/>
            <w:tcBorders>
              <w:top w:val="single" w:color="000000" w:sz="4" w:space="0"/>
              <w:left w:val="single" w:color="000000" w:sz="4" w:space="0"/>
              <w:bottom w:val="single" w:color="000000" w:sz="4" w:space="0"/>
              <w:right w:val="single" w:color="000000" w:sz="4" w:space="0"/>
            </w:tcBorders>
          </w:tcPr>
          <w:p>
            <w:pPr>
              <w:pStyle w:val="27"/>
              <w:spacing w:before="168" w:line="240" w:lineRule="auto"/>
              <w:ind w:left="303"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年龄</w:t>
            </w:r>
          </w:p>
        </w:tc>
        <w:tc>
          <w:tcPr>
            <w:tcW w:w="1145"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078" w:type="dxa"/>
            <w:gridSpan w:val="2"/>
            <w:tcBorders>
              <w:top w:val="single" w:color="000000" w:sz="4" w:space="0"/>
              <w:left w:val="single" w:color="000000" w:sz="4" w:space="0"/>
              <w:bottom w:val="single" w:color="000000" w:sz="4" w:space="0"/>
              <w:right w:val="single" w:color="000000" w:sz="4" w:space="0"/>
            </w:tcBorders>
          </w:tcPr>
          <w:p>
            <w:pPr>
              <w:pStyle w:val="27"/>
              <w:spacing w:before="168" w:line="240" w:lineRule="auto"/>
              <w:ind w:left="112"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技术职称</w:t>
            </w:r>
          </w:p>
        </w:tc>
        <w:tc>
          <w:tcPr>
            <w:tcW w:w="1566"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144" w:type="dxa"/>
            <w:tcBorders>
              <w:top w:val="single" w:color="000000" w:sz="4" w:space="0"/>
              <w:left w:val="single" w:color="000000" w:sz="4" w:space="0"/>
              <w:bottom w:val="single" w:color="000000" w:sz="4" w:space="0"/>
              <w:right w:val="single" w:color="000000" w:sz="4" w:space="0"/>
            </w:tcBorders>
          </w:tcPr>
          <w:p>
            <w:pPr>
              <w:pStyle w:val="27"/>
              <w:spacing w:before="60" w:line="272" w:lineRule="exact"/>
              <w:ind w:left="358" w:right="42" w:hanging="317"/>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单位名称与</w:t>
            </w:r>
            <w:r>
              <w:rPr>
                <w:rFonts w:ascii="宋体" w:hAnsi="宋体" w:eastAsia="宋体" w:cs="宋体"/>
                <w:color w:val="auto"/>
                <w:w w:val="99"/>
                <w:sz w:val="21"/>
                <w:szCs w:val="21"/>
                <w:highlight w:val="none"/>
              </w:rPr>
              <w:t xml:space="preserve"> </w:t>
            </w:r>
            <w:r>
              <w:rPr>
                <w:rFonts w:ascii="宋体" w:hAnsi="宋体" w:eastAsia="宋体" w:cs="宋体"/>
                <w:color w:val="auto"/>
                <w:sz w:val="21"/>
                <w:szCs w:val="21"/>
                <w:highlight w:val="none"/>
              </w:rPr>
              <w:t>职务</w:t>
            </w:r>
          </w:p>
        </w:tc>
        <w:tc>
          <w:tcPr>
            <w:tcW w:w="4734" w:type="dxa"/>
            <w:gridSpan w:val="5"/>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078" w:type="dxa"/>
            <w:gridSpan w:val="2"/>
            <w:tcBorders>
              <w:top w:val="single" w:color="000000" w:sz="4" w:space="0"/>
              <w:left w:val="single" w:color="000000" w:sz="4" w:space="0"/>
              <w:bottom w:val="single" w:color="000000" w:sz="4" w:space="0"/>
              <w:right w:val="single" w:color="000000" w:sz="4" w:space="0"/>
            </w:tcBorders>
          </w:tcPr>
          <w:p>
            <w:pPr>
              <w:pStyle w:val="27"/>
              <w:spacing w:before="169" w:line="240" w:lineRule="auto"/>
              <w:ind w:left="112"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拟任职务</w:t>
            </w:r>
          </w:p>
        </w:tc>
        <w:tc>
          <w:tcPr>
            <w:tcW w:w="1566" w:type="dxa"/>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8522" w:type="dxa"/>
            <w:gridSpan w:val="9"/>
            <w:tcBorders>
              <w:top w:val="single" w:color="000000" w:sz="4" w:space="0"/>
              <w:left w:val="single" w:color="000000" w:sz="4" w:space="0"/>
              <w:bottom w:val="single" w:color="000000" w:sz="4" w:space="0"/>
              <w:right w:val="single" w:color="000000" w:sz="4" w:space="0"/>
            </w:tcBorders>
          </w:tcPr>
          <w:p>
            <w:pPr>
              <w:pStyle w:val="27"/>
              <w:spacing w:before="168" w:line="240" w:lineRule="auto"/>
              <w:ind w:left="-1" w:right="0"/>
              <w:jc w:val="center"/>
              <w:rPr>
                <w:rFonts w:ascii="宋体" w:hAnsi="宋体" w:eastAsia="宋体" w:cs="宋体"/>
                <w:color w:val="auto"/>
                <w:sz w:val="21"/>
                <w:szCs w:val="21"/>
                <w:highlight w:val="none"/>
              </w:rPr>
            </w:pPr>
            <w:r>
              <w:rPr>
                <w:rFonts w:ascii="Times New Roman" w:hAnsi="Times New Roman" w:eastAsia="Times New Roman" w:cs="Times New Roman"/>
                <w:color w:val="auto"/>
                <w:sz w:val="21"/>
                <w:szCs w:val="21"/>
                <w:highlight w:val="none"/>
              </w:rPr>
              <w:t>2</w:t>
            </w:r>
            <w:r>
              <w:rPr>
                <w:rFonts w:ascii="宋体" w:hAnsi="宋体" w:eastAsia="宋体" w:cs="宋体"/>
                <w:color w:val="auto"/>
                <w:sz w:val="21"/>
                <w:szCs w:val="21"/>
                <w:highlight w:val="none"/>
              </w:rPr>
              <w:t>．经历</w:t>
            </w: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pStyle w:val="27"/>
              <w:spacing w:before="32" w:line="273" w:lineRule="exact"/>
              <w:ind w:right="1"/>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时间</w:t>
            </w:r>
          </w:p>
          <w:p>
            <w:pPr>
              <w:pStyle w:val="27"/>
              <w:tabs>
                <w:tab w:val="left" w:pos="628"/>
              </w:tabs>
              <w:spacing w:line="273" w:lineRule="exact"/>
              <w:ind w:right="1"/>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（年</w:t>
            </w:r>
            <w:r>
              <w:rPr>
                <w:rFonts w:ascii="宋体" w:hAnsi="宋体" w:eastAsia="宋体" w:cs="宋体"/>
                <w:color w:val="auto"/>
                <w:sz w:val="21"/>
                <w:szCs w:val="21"/>
                <w:highlight w:val="none"/>
              </w:rPr>
              <w:tab/>
            </w:r>
            <w:r>
              <w:rPr>
                <w:rFonts w:ascii="宋体" w:hAnsi="宋体" w:eastAsia="宋体" w:cs="宋体"/>
                <w:color w:val="auto"/>
                <w:spacing w:val="-1"/>
                <w:sz w:val="21"/>
                <w:szCs w:val="21"/>
                <w:highlight w:val="none"/>
              </w:rPr>
              <w:t>月）</w:t>
            </w:r>
          </w:p>
        </w:tc>
        <w:tc>
          <w:tcPr>
            <w:tcW w:w="3618" w:type="dxa"/>
            <w:gridSpan w:val="3"/>
            <w:tcBorders>
              <w:top w:val="single" w:color="000000" w:sz="4" w:space="0"/>
              <w:left w:val="single" w:color="000000" w:sz="4" w:space="0"/>
              <w:bottom w:val="single" w:color="000000" w:sz="4" w:space="0"/>
              <w:right w:val="single" w:color="000000" w:sz="4" w:space="0"/>
            </w:tcBorders>
          </w:tcPr>
          <w:p>
            <w:pPr>
              <w:pStyle w:val="27"/>
              <w:spacing w:before="169" w:line="240" w:lineRule="auto"/>
              <w:ind w:left="544"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负责过的主要工程（类型）</w:t>
            </w:r>
          </w:p>
        </w:tc>
        <w:tc>
          <w:tcPr>
            <w:tcW w:w="1514" w:type="dxa"/>
            <w:gridSpan w:val="2"/>
            <w:tcBorders>
              <w:top w:val="single" w:color="000000" w:sz="4" w:space="0"/>
              <w:left w:val="single" w:color="000000" w:sz="4" w:space="0"/>
              <w:bottom w:val="single" w:color="000000" w:sz="4" w:space="0"/>
              <w:right w:val="single" w:color="000000" w:sz="4" w:space="0"/>
            </w:tcBorders>
          </w:tcPr>
          <w:p>
            <w:pPr>
              <w:pStyle w:val="27"/>
              <w:spacing w:before="169" w:line="240" w:lineRule="auto"/>
              <w:ind w:left="12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该项目中任职</w:t>
            </w:r>
          </w:p>
        </w:tc>
        <w:tc>
          <w:tcPr>
            <w:tcW w:w="1966" w:type="dxa"/>
            <w:gridSpan w:val="2"/>
            <w:tcBorders>
              <w:top w:val="single" w:color="000000" w:sz="4" w:space="0"/>
              <w:left w:val="single" w:color="000000" w:sz="4" w:space="0"/>
              <w:bottom w:val="single" w:color="000000" w:sz="4" w:space="0"/>
              <w:right w:val="single" w:color="000000" w:sz="4" w:space="0"/>
            </w:tcBorders>
          </w:tcPr>
          <w:p>
            <w:pPr>
              <w:pStyle w:val="27"/>
              <w:spacing w:before="169" w:line="240" w:lineRule="auto"/>
              <w:ind w:left="138"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发包人及项目地点</w:t>
            </w: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3618"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51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3618"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51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3618" w:type="dxa"/>
            <w:gridSpan w:val="3"/>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514"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c>
          <w:tcPr>
            <w:tcW w:w="1966" w:type="dxa"/>
            <w:gridSpan w:val="2"/>
            <w:tcBorders>
              <w:top w:val="single" w:color="000000" w:sz="4" w:space="0"/>
              <w:left w:val="single" w:color="000000" w:sz="4" w:space="0"/>
              <w:bottom w:val="single" w:color="000000" w:sz="4" w:space="0"/>
              <w:right w:val="single" w:color="000000" w:sz="4" w:space="0"/>
            </w:tcBorders>
          </w:tcPr>
          <w:p>
            <w:pPr>
              <w:rPr>
                <w:color w:val="auto"/>
                <w:highlight w:val="none"/>
              </w:rPr>
            </w:pPr>
          </w:p>
        </w:tc>
      </w:tr>
      <w:tr>
        <w:tblPrEx>
          <w:tblCellMar>
            <w:top w:w="0" w:type="dxa"/>
            <w:left w:w="0" w:type="dxa"/>
            <w:bottom w:w="0" w:type="dxa"/>
            <w:right w:w="0" w:type="dxa"/>
          </w:tblCellMar>
        </w:tblPrEx>
        <w:trPr>
          <w:trHeight w:val="690" w:hRule="exact"/>
        </w:trPr>
        <w:tc>
          <w:tcPr>
            <w:tcW w:w="1424" w:type="dxa"/>
            <w:gridSpan w:val="2"/>
            <w:tcBorders>
              <w:top w:val="single" w:color="000000" w:sz="4" w:space="0"/>
              <w:left w:val="single" w:color="000000" w:sz="4" w:space="0"/>
              <w:bottom w:val="single" w:color="000000" w:sz="4" w:space="0"/>
              <w:right w:val="single" w:color="000000" w:sz="4" w:space="0"/>
            </w:tcBorders>
          </w:tcPr>
          <w:p>
            <w:pPr>
              <w:pStyle w:val="27"/>
              <w:spacing w:before="169" w:line="240" w:lineRule="auto"/>
              <w:ind w:right="1"/>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备注</w:t>
            </w:r>
          </w:p>
        </w:tc>
        <w:tc>
          <w:tcPr>
            <w:tcW w:w="7098" w:type="dxa"/>
            <w:gridSpan w:val="7"/>
            <w:tcBorders>
              <w:top w:val="single" w:color="000000" w:sz="4" w:space="0"/>
              <w:left w:val="single" w:color="000000" w:sz="4" w:space="0"/>
              <w:bottom w:val="single" w:color="000000" w:sz="4" w:space="0"/>
              <w:right w:val="single" w:color="000000" w:sz="4" w:space="0"/>
            </w:tcBorders>
          </w:tcPr>
          <w:p>
            <w:pPr>
              <w:rPr>
                <w:color w:val="auto"/>
                <w:highlight w:val="none"/>
              </w:rPr>
            </w:pPr>
          </w:p>
        </w:tc>
      </w:tr>
    </w:tbl>
    <w:p>
      <w:pPr>
        <w:spacing w:before="0" w:line="231" w:lineRule="exact"/>
        <w:ind w:left="113" w:right="0" w:firstLine="0"/>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注：本表后附相关证明材料。</w:t>
      </w:r>
    </w:p>
    <w:p>
      <w:pPr>
        <w:spacing w:after="0" w:line="231" w:lineRule="exact"/>
        <w:jc w:val="left"/>
        <w:rPr>
          <w:rFonts w:ascii="宋体" w:hAnsi="宋体" w:eastAsia="宋体" w:cs="宋体"/>
          <w:color w:val="auto"/>
          <w:sz w:val="20"/>
          <w:szCs w:val="20"/>
          <w:highlight w:val="none"/>
        </w:rPr>
        <w:sectPr>
          <w:footerReference r:id="rId11" w:type="default"/>
          <w:pgSz w:w="11900" w:h="16840"/>
          <w:pgMar w:top="1440" w:right="1080" w:bottom="1440" w:left="1080" w:header="0" w:footer="1299" w:gutter="0"/>
          <w:pgNumType w:fmt="decimal"/>
          <w:cols w:space="720" w:num="1"/>
        </w:sectPr>
      </w:pPr>
    </w:p>
    <w:p>
      <w:pPr>
        <w:pStyle w:val="2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220" w:leftChars="0" w:right="0" w:right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投标人</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已在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国家企业信用信息公示系统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登记，</w:t>
      </w:r>
      <w:r>
        <w:rPr>
          <w:rFonts w:hint="eastAsia" w:ascii="宋体" w:hAnsi="宋体" w:eastAsia="宋体" w:cs="宋体"/>
          <w:b/>
          <w:bCs/>
          <w:color w:val="auto"/>
          <w:sz w:val="21"/>
          <w:szCs w:val="21"/>
          <w:highlight w:val="none"/>
          <w:lang w:val="en-US" w:eastAsia="zh-CN"/>
        </w:rPr>
        <w:t>2020年</w:t>
      </w:r>
      <w:r>
        <w:rPr>
          <w:rFonts w:hint="eastAsia" w:ascii="宋体" w:hAnsi="宋体" w:eastAsia="宋体" w:cs="宋体"/>
          <w:b/>
          <w:bCs/>
          <w:color w:val="auto"/>
          <w:sz w:val="21"/>
          <w:szCs w:val="21"/>
          <w:highlight w:val="none"/>
        </w:rPr>
        <w:t>以来在该系统中和“信用中国”中没有出现被限制参与招投标资格的行 政处罚信息、没有出现经营异常信息（经营异常信息已移出除外）、 没有被列入严重违法失信企业名单（黑名单）不良记录、没有在“信用中国”网站(https://www.creditchina.gov.cn/)中被列入失信被执行人名单。提供网页打印件或网页截图。若投标人属于网站信息尚未覆盖的行业或单位，投标人须提供书面承诺，格式自拟。</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numPr>
          <w:ilvl w:val="0"/>
          <w:numId w:val="8"/>
        </w:numPr>
        <w:spacing w:before="10" w:line="360" w:lineRule="auto"/>
        <w:ind w:left="220" w:leftChars="0"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广东省以外的投标人须已在“进粤企业和人员诚信信息登 记平台"录入相关信息并通过数据规范检查和拟投入的人员必须在已登记人员中派出的网页打印件或截图。</w:t>
      </w:r>
    </w:p>
    <w:p>
      <w:pPr>
        <w:pStyle w:val="11"/>
        <w:widowControl w:val="0"/>
        <w:numPr>
          <w:ilvl w:val="0"/>
          <w:numId w:val="0"/>
        </w:numPr>
        <w:spacing w:before="133" w:after="0" w:line="240" w:lineRule="auto"/>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rPr>
          <w:color w:val="auto"/>
          <w:highlight w:val="none"/>
        </w:rPr>
      </w:pPr>
    </w:p>
    <w:p>
      <w:pPr>
        <w:rPr>
          <w:color w:val="auto"/>
          <w:highlight w:val="none"/>
        </w:rPr>
      </w:pPr>
      <w:bookmarkStart w:id="155" w:name="_Toc10073"/>
      <w:r>
        <w:rPr>
          <w:color w:val="auto"/>
          <w:highlight w:val="none"/>
        </w:rPr>
        <w:br w:type="page"/>
      </w:r>
    </w:p>
    <w:p>
      <w:pPr>
        <w:pStyle w:val="7"/>
        <w:spacing w:line="240" w:lineRule="auto"/>
        <w:ind w:left="2241" w:right="1125"/>
        <w:jc w:val="center"/>
        <w:outlineLvl w:val="1"/>
        <w:rPr>
          <w:b w:val="0"/>
          <w:bCs w:val="0"/>
          <w:color w:val="auto"/>
          <w:highlight w:val="none"/>
        </w:rPr>
      </w:pPr>
      <w:r>
        <w:rPr>
          <w:color w:val="auto"/>
          <w:highlight w:val="none"/>
        </w:rPr>
        <w:t>七、其他资料</w:t>
      </w:r>
      <w:bookmarkEnd w:id="155"/>
    </w:p>
    <w:p>
      <w:pPr>
        <w:spacing w:before="5" w:line="240" w:lineRule="auto"/>
        <w:rPr>
          <w:rFonts w:ascii="宋体" w:hAnsi="宋体" w:eastAsia="宋体" w:cs="宋体"/>
          <w:b/>
          <w:bCs/>
          <w:color w:val="auto"/>
          <w:sz w:val="32"/>
          <w:szCs w:val="32"/>
          <w:highlight w:val="none"/>
        </w:rPr>
      </w:pPr>
    </w:p>
    <w:p>
      <w:pPr>
        <w:pStyle w:val="11"/>
        <w:spacing w:before="0" w:line="240" w:lineRule="auto"/>
        <w:ind w:right="0"/>
        <w:jc w:val="left"/>
        <w:rPr>
          <w:color w:val="auto"/>
          <w:highlight w:val="none"/>
        </w:rPr>
      </w:pPr>
      <w:r>
        <w:rPr>
          <w:color w:val="auto"/>
          <w:highlight w:val="none"/>
        </w:rPr>
        <w:t>投标人按招标文件要求认为需要提交的其他资料。</w:t>
      </w:r>
    </w:p>
    <w:p>
      <w:pPr>
        <w:spacing w:after="0" w:line="240" w:lineRule="auto"/>
        <w:jc w:val="left"/>
        <w:rPr>
          <w:color w:val="auto"/>
          <w:highlight w:val="none"/>
        </w:rPr>
      </w:pPr>
    </w:p>
    <w:p>
      <w:pPr>
        <w:keepNext w:val="0"/>
        <w:keepLines w:val="0"/>
        <w:widowControl/>
        <w:suppressLineNumbers w:val="0"/>
        <w:spacing w:line="360" w:lineRule="auto"/>
        <w:jc w:val="left"/>
        <w:rPr>
          <w:color w:val="auto"/>
          <w:highlight w:val="none"/>
        </w:rPr>
      </w:pPr>
      <w:r>
        <w:rPr>
          <w:rFonts w:ascii="黑体" w:hAnsi="宋体" w:eastAsia="黑体" w:cs="黑体"/>
          <w:b/>
          <w:bCs/>
          <w:color w:val="auto"/>
          <w:kern w:val="0"/>
          <w:sz w:val="28"/>
          <w:szCs w:val="28"/>
          <w:highlight w:val="none"/>
          <w:lang w:val="en-US" w:eastAsia="zh-CN" w:bidi="ar"/>
        </w:rPr>
        <w:t>（一）免收投标保证金的优惠</w:t>
      </w:r>
      <w:r>
        <w:rPr>
          <w:rFonts w:hint="eastAsia" w:ascii="宋体" w:hAnsi="宋体" w:eastAsia="宋体" w:cs="宋体"/>
          <w:b/>
          <w:bCs/>
          <w:color w:val="auto"/>
          <w:kern w:val="0"/>
          <w:sz w:val="28"/>
          <w:szCs w:val="28"/>
          <w:highlight w:val="none"/>
          <w:lang w:val="en-US" w:eastAsia="zh-CN" w:bidi="ar"/>
        </w:rPr>
        <w:t xml:space="preserve"> </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1.投标人为中小微企业（包括：成员全部为中小微企业的联合体）</w:t>
      </w:r>
      <w:r>
        <w:rPr>
          <w:rFonts w:hint="eastAsia" w:ascii="宋体" w:hAnsi="宋体" w:eastAsia="宋体" w:cs="宋体"/>
          <w:color w:val="auto"/>
          <w:kern w:val="0"/>
          <w:sz w:val="19"/>
          <w:szCs w:val="19"/>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可享受免于缴纳投标保证金的评审优惠。提交如下附件 1 和附件 2 的证明资料。 </w:t>
      </w:r>
    </w:p>
    <w:p>
      <w:pPr>
        <w:keepNext w:val="0"/>
        <w:keepLines w:val="0"/>
        <w:widowControl/>
        <w:suppressLineNumbers w:val="0"/>
        <w:spacing w:line="360" w:lineRule="auto"/>
        <w:jc w:val="left"/>
        <w:rPr>
          <w:color w:val="auto"/>
          <w:highlight w:val="none"/>
        </w:rPr>
      </w:pPr>
      <w:r>
        <w:rPr>
          <w:rFonts w:hint="eastAsia" w:ascii="黑体" w:hAnsi="宋体" w:eastAsia="黑体" w:cs="黑体"/>
          <w:b/>
          <w:bCs/>
          <w:color w:val="auto"/>
          <w:kern w:val="0"/>
          <w:sz w:val="28"/>
          <w:szCs w:val="28"/>
          <w:highlight w:val="none"/>
          <w:lang w:val="en-US" w:eastAsia="zh-CN" w:bidi="ar"/>
        </w:rPr>
        <w:t xml:space="preserve">附件 </w:t>
      </w:r>
      <w:r>
        <w:rPr>
          <w:rFonts w:hint="eastAsia" w:ascii="宋体" w:hAnsi="宋体" w:eastAsia="宋体" w:cs="宋体"/>
          <w:b/>
          <w:bCs/>
          <w:color w:val="auto"/>
          <w:kern w:val="0"/>
          <w:sz w:val="28"/>
          <w:szCs w:val="28"/>
          <w:highlight w:val="none"/>
          <w:lang w:val="en-US" w:eastAsia="zh-CN" w:bidi="ar"/>
        </w:rPr>
        <w:t>1</w:t>
      </w:r>
      <w:r>
        <w:rPr>
          <w:rFonts w:hint="eastAsia" w:ascii="黑体" w:hAnsi="宋体" w:eastAsia="黑体" w:cs="黑体"/>
          <w:b/>
          <w:bCs/>
          <w:color w:val="auto"/>
          <w:kern w:val="0"/>
          <w:sz w:val="28"/>
          <w:szCs w:val="28"/>
          <w:highlight w:val="none"/>
          <w:lang w:val="en-US" w:eastAsia="zh-CN" w:bidi="ar"/>
        </w:rPr>
        <w:t>：中小企业声明函（如适用）</w:t>
      </w:r>
      <w:r>
        <w:rPr>
          <w:rFonts w:hint="eastAsia" w:ascii="宋体" w:hAnsi="宋体" w:eastAsia="宋体" w:cs="宋体"/>
          <w:b/>
          <w:bCs/>
          <w:color w:val="auto"/>
          <w:kern w:val="0"/>
          <w:sz w:val="28"/>
          <w:szCs w:val="28"/>
          <w:highlight w:val="none"/>
          <w:lang w:val="en-US" w:eastAsia="zh-CN" w:bidi="ar"/>
        </w:rPr>
        <w:t xml:space="preserve"> </w:t>
      </w:r>
    </w:p>
    <w:p>
      <w:pPr>
        <w:keepNext w:val="0"/>
        <w:keepLines w:val="0"/>
        <w:widowControl/>
        <w:suppressLineNumbers w:val="0"/>
        <w:spacing w:line="360" w:lineRule="auto"/>
        <w:jc w:val="center"/>
        <w:rPr>
          <w:color w:val="auto"/>
          <w:highlight w:val="none"/>
        </w:rPr>
      </w:pPr>
      <w:r>
        <w:rPr>
          <w:rFonts w:hint="eastAsia" w:ascii="宋体" w:hAnsi="宋体" w:eastAsia="宋体" w:cs="宋体"/>
          <w:b/>
          <w:bCs/>
          <w:color w:val="auto"/>
          <w:kern w:val="0"/>
          <w:sz w:val="31"/>
          <w:szCs w:val="31"/>
          <w:highlight w:val="none"/>
          <w:lang w:val="en-US" w:eastAsia="zh-CN" w:bidi="ar"/>
        </w:rPr>
        <w:t>中小企业声明函（免收投标保证金优惠）</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本企业郑重声明，根据《关于印发中小企业划型标准规定的通知》（工信部联企业〔2011〕300 号）的规定，本企业具体情况如下：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本企业属于建筑业行业；营业收入为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万元，资产总额为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万元，属于</w:t>
      </w:r>
      <w:r>
        <w:rPr>
          <w:rFonts w:hint="eastAsia" w:ascii="宋体" w:hAnsi="宋体" w:eastAsia="宋体" w:cs="宋体"/>
          <w:color w:val="auto"/>
          <w:kern w:val="0"/>
          <w:sz w:val="24"/>
          <w:szCs w:val="24"/>
          <w:highlight w:val="none"/>
          <w:u w:val="single"/>
          <w:lang w:val="en-US" w:eastAsia="zh-CN" w:bidi="ar"/>
        </w:rPr>
        <w:t>（中型企业、小型企业、微型企业）</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依据《政府采购促进中小企业发展管理办法》的规定，本企业不属于大企业的分支机构，不存在控股股东为大企业的情形，也不存在与大企业的负责人为同一人的情形。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企业名称（盖章）：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日 期：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1、营业收入、资产总额填报上一年度数据，无上一年度数据的新成立企业可不填报。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2、《中小企业声明函》须按照本函格式填写，否则评标委员会有权视其为非中小企业，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不享受免于提交投标保证金的优惠政策。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3、招标人、招标代理机构将按有关规定公开《中小企业声明函》。 </w:t>
      </w:r>
    </w:p>
    <w:p>
      <w:pPr>
        <w:keepNext w:val="0"/>
        <w:keepLines w:val="0"/>
        <w:widowControl/>
        <w:suppressLineNumbers w:val="0"/>
        <w:jc w:val="left"/>
        <w:rPr>
          <w:rFonts w:ascii="Calibri" w:hAnsi="Calibri" w:eastAsia="宋体" w:cs="Calibri"/>
          <w:color w:val="auto"/>
          <w:kern w:val="0"/>
          <w:sz w:val="24"/>
          <w:szCs w:val="24"/>
          <w:highlight w:val="none"/>
          <w:lang w:val="en-US" w:eastAsia="zh-CN" w:bidi="ar"/>
        </w:rPr>
      </w:pPr>
    </w:p>
    <w:p>
      <w:pPr>
        <w:keepNext w:val="0"/>
        <w:keepLines w:val="0"/>
        <w:widowControl/>
        <w:suppressLineNumbers w:val="0"/>
        <w:jc w:val="left"/>
        <w:rPr>
          <w:rFonts w:ascii="Calibri" w:hAnsi="Calibri" w:eastAsia="宋体" w:cs="Calibri"/>
          <w:color w:val="auto"/>
          <w:kern w:val="0"/>
          <w:sz w:val="24"/>
          <w:szCs w:val="24"/>
          <w:highlight w:val="none"/>
          <w:lang w:val="en-US" w:eastAsia="zh-CN" w:bidi="ar"/>
        </w:rPr>
      </w:pPr>
    </w:p>
    <w:p>
      <w:pPr>
        <w:keepNext w:val="0"/>
        <w:keepLines w:val="0"/>
        <w:widowControl/>
        <w:suppressLineNumbers w:val="0"/>
        <w:jc w:val="left"/>
        <w:rPr>
          <w:rFonts w:hint="eastAsia" w:ascii="黑体" w:hAnsi="宋体" w:eastAsia="黑体" w:cs="黑体"/>
          <w:b/>
          <w:bCs/>
          <w:color w:val="auto"/>
          <w:kern w:val="0"/>
          <w:sz w:val="24"/>
          <w:szCs w:val="24"/>
          <w:highlight w:val="none"/>
          <w:lang w:val="en-US" w:eastAsia="zh-CN" w:bidi="ar"/>
        </w:rPr>
      </w:pPr>
    </w:p>
    <w:p>
      <w:pPr>
        <w:rPr>
          <w:rFonts w:hint="eastAsia" w:ascii="黑体" w:hAnsi="宋体" w:eastAsia="黑体" w:cs="黑体"/>
          <w:b/>
          <w:bCs/>
          <w:color w:val="auto"/>
          <w:kern w:val="0"/>
          <w:sz w:val="24"/>
          <w:szCs w:val="24"/>
          <w:highlight w:val="none"/>
          <w:lang w:val="en-US" w:eastAsia="zh-CN" w:bidi="ar"/>
        </w:rPr>
      </w:pPr>
      <w:r>
        <w:rPr>
          <w:rFonts w:hint="eastAsia" w:ascii="黑体" w:hAnsi="宋体" w:eastAsia="黑体" w:cs="黑体"/>
          <w:b/>
          <w:bCs/>
          <w:color w:val="auto"/>
          <w:kern w:val="0"/>
          <w:sz w:val="24"/>
          <w:szCs w:val="24"/>
          <w:highlight w:val="none"/>
          <w:lang w:val="en-US" w:eastAsia="zh-CN" w:bidi="ar"/>
        </w:rPr>
        <w:br w:type="page"/>
      </w:r>
    </w:p>
    <w:p>
      <w:pPr>
        <w:keepNext w:val="0"/>
        <w:keepLines w:val="0"/>
        <w:widowControl/>
        <w:suppressLineNumbers w:val="0"/>
        <w:spacing w:line="360" w:lineRule="auto"/>
        <w:jc w:val="left"/>
        <w:rPr>
          <w:color w:val="auto"/>
          <w:sz w:val="24"/>
          <w:szCs w:val="24"/>
          <w:highlight w:val="none"/>
        </w:rPr>
      </w:pPr>
      <w:bookmarkStart w:id="160" w:name="_GoBack"/>
      <w:bookmarkEnd w:id="160"/>
      <w:r>
        <w:rPr>
          <w:rFonts w:hint="eastAsia" w:ascii="黑体" w:hAnsi="宋体" w:eastAsia="黑体" w:cs="黑体"/>
          <w:b/>
          <w:bCs/>
          <w:color w:val="auto"/>
          <w:kern w:val="0"/>
          <w:sz w:val="24"/>
          <w:szCs w:val="24"/>
          <w:highlight w:val="none"/>
          <w:lang w:val="en-US" w:eastAsia="zh-CN" w:bidi="ar"/>
        </w:rPr>
        <w:t xml:space="preserve">附件 </w:t>
      </w:r>
      <w:r>
        <w:rPr>
          <w:rFonts w:hint="eastAsia" w:ascii="宋体" w:hAnsi="宋体" w:eastAsia="宋体" w:cs="宋体"/>
          <w:b/>
          <w:bCs/>
          <w:color w:val="auto"/>
          <w:kern w:val="0"/>
          <w:sz w:val="24"/>
          <w:szCs w:val="24"/>
          <w:highlight w:val="none"/>
          <w:lang w:val="en-US" w:eastAsia="zh-CN" w:bidi="ar"/>
        </w:rPr>
        <w:t>2</w:t>
      </w:r>
      <w:r>
        <w:rPr>
          <w:rFonts w:hint="eastAsia" w:ascii="黑体" w:hAnsi="宋体" w:eastAsia="黑体" w:cs="黑体"/>
          <w:b/>
          <w:bCs/>
          <w:color w:val="auto"/>
          <w:kern w:val="0"/>
          <w:sz w:val="24"/>
          <w:szCs w:val="24"/>
          <w:highlight w:val="none"/>
          <w:lang w:val="en-US" w:eastAsia="zh-CN" w:bidi="ar"/>
        </w:rPr>
        <w:t>：关于投标保证金的承诺（如适用）</w:t>
      </w:r>
      <w:r>
        <w:rPr>
          <w:rFonts w:hint="eastAsia" w:ascii="宋体" w:hAnsi="宋体" w:eastAsia="宋体" w:cs="宋体"/>
          <w:b/>
          <w:bCs/>
          <w:color w:val="auto"/>
          <w:kern w:val="0"/>
          <w:sz w:val="24"/>
          <w:szCs w:val="24"/>
          <w:highlight w:val="none"/>
          <w:lang w:val="en-US" w:eastAsia="zh-CN" w:bidi="ar"/>
        </w:rPr>
        <w:t xml:space="preserve"> </w:t>
      </w:r>
    </w:p>
    <w:p>
      <w:pPr>
        <w:keepNext w:val="0"/>
        <w:keepLines w:val="0"/>
        <w:widowControl/>
        <w:suppressLineNumbers w:val="0"/>
        <w:spacing w:line="360" w:lineRule="auto"/>
        <w:jc w:val="center"/>
        <w:rPr>
          <w:rFonts w:hint="eastAsia" w:ascii="宋体" w:hAnsi="宋体" w:eastAsia="宋体" w:cs="宋体"/>
          <w:b/>
          <w:bCs/>
          <w:color w:val="auto"/>
          <w:sz w:val="31"/>
          <w:szCs w:val="31"/>
          <w:highlight w:val="none"/>
          <w:lang w:eastAsia="zh-CN" w:bidi="ar"/>
        </w:rPr>
      </w:pPr>
      <w:r>
        <w:rPr>
          <w:rFonts w:hint="eastAsia" w:ascii="宋体" w:hAnsi="宋体" w:eastAsia="宋体" w:cs="宋体"/>
          <w:b/>
          <w:bCs/>
          <w:color w:val="auto"/>
          <w:kern w:val="0"/>
          <w:sz w:val="31"/>
          <w:szCs w:val="31"/>
          <w:highlight w:val="none"/>
          <w:lang w:val="en-US" w:eastAsia="zh-CN" w:bidi="ar"/>
        </w:rPr>
        <w:t>关于投标保证金的承诺</w:t>
      </w:r>
    </w:p>
    <w:p>
      <w:pPr>
        <w:keepNext w:val="0"/>
        <w:keepLines w:val="0"/>
        <w:widowControl/>
        <w:suppressLineNumbers w:val="0"/>
        <w:spacing w:line="360" w:lineRule="auto"/>
        <w:ind w:firstLine="0" w:firstLineChars="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本招标项目招标人及招标监管机构：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本公司就参加</w:t>
      </w:r>
      <w:r>
        <w:rPr>
          <w:rFonts w:hint="eastAsia" w:ascii="宋体" w:hAnsi="宋体" w:eastAsia="宋体" w:cs="宋体"/>
          <w:color w:val="auto"/>
          <w:kern w:val="0"/>
          <w:sz w:val="24"/>
          <w:szCs w:val="24"/>
          <w:highlight w:val="none"/>
          <w:u w:val="single"/>
          <w:lang w:val="en-US" w:eastAsia="zh-CN" w:bidi="ar"/>
        </w:rPr>
        <w:t>（招标项目名称）</w:t>
      </w:r>
      <w:r>
        <w:rPr>
          <w:rFonts w:hint="eastAsia" w:ascii="宋体" w:hAnsi="宋体" w:eastAsia="宋体" w:cs="宋体"/>
          <w:color w:val="auto"/>
          <w:kern w:val="0"/>
          <w:sz w:val="24"/>
          <w:szCs w:val="24"/>
          <w:highlight w:val="none"/>
          <w:lang w:val="en-US" w:eastAsia="zh-CN" w:bidi="ar"/>
        </w:rPr>
        <w:t xml:space="preserve">项目的投标工作，作出郑重声明：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满足招标文件中免交投标保证金的相关要求，在投标时未提交投标保证金。我司理解在投标时免交投标保证金是为企业减负的举措，并未免除我司的投标义务，本公司一旦发生符合招标文件规定的不予退还投标保证金情形的，将按照招标人的要求，在规定的时间内向招标人足额补交投标保证金。 </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本公司违反上述保证的，将被视为虚假承诺，按相关规定进行信用记录。本公司对失信行为产生的一切后果已知悉，并承担由此产生的相应责任。 </w:t>
      </w:r>
    </w:p>
    <w:p>
      <w:pPr>
        <w:keepNext w:val="0"/>
        <w:keepLines w:val="0"/>
        <w:widowControl/>
        <w:suppressLineNumbers w:val="0"/>
        <w:spacing w:line="360" w:lineRule="auto"/>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特此承诺。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投标人： </w:t>
      </w:r>
    </w:p>
    <w:p>
      <w:pPr>
        <w:keepNext w:val="0"/>
        <w:keepLines w:val="0"/>
        <w:widowControl/>
        <w:suppressLineNumbers w:val="0"/>
        <w:spacing w:line="360" w:lineRule="auto"/>
        <w:jc w:val="center"/>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（盖章） </w:t>
      </w:r>
    </w:p>
    <w:p>
      <w:pPr>
        <w:pStyle w:val="34"/>
        <w:rPr>
          <w:rFonts w:hint="eastAsia"/>
          <w:color w:val="auto"/>
          <w:highlight w:val="none"/>
        </w:rPr>
      </w:pPr>
      <w:r>
        <w:rPr>
          <w:rFonts w:hint="eastAsia" w:ascii="宋体" w:hAnsi="宋体" w:eastAsia="宋体" w:cs="宋体"/>
          <w:color w:val="auto"/>
          <w:kern w:val="0"/>
          <w:sz w:val="24"/>
          <w:szCs w:val="24"/>
          <w:highlight w:val="none"/>
          <w:lang w:val="en-US" w:eastAsia="zh-CN" w:bidi="ar"/>
        </w:rPr>
        <w:t xml:space="preserve">                                                日 期： </w:t>
      </w: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pPr>
    </w:p>
    <w:p>
      <w:pPr>
        <w:pStyle w:val="15"/>
        <w:rPr>
          <w:color w:val="auto"/>
          <w:highlight w:val="none"/>
        </w:rPr>
        <w:sectPr>
          <w:footerReference r:id="rId12" w:type="default"/>
          <w:pgSz w:w="11900" w:h="16840"/>
          <w:pgMar w:top="1440" w:right="1080" w:bottom="1440" w:left="1080" w:header="0" w:footer="1057" w:gutter="0"/>
          <w:pgNumType w:fmt="decimal"/>
          <w:cols w:space="720" w:num="1"/>
        </w:sectPr>
      </w:pPr>
    </w:p>
    <w:p>
      <w:pPr>
        <w:spacing w:before="10" w:line="240" w:lineRule="auto"/>
        <w:rPr>
          <w:rFonts w:ascii="宋体" w:hAnsi="宋体" w:eastAsia="宋体" w:cs="宋体"/>
          <w:color w:val="auto"/>
          <w:sz w:val="8"/>
          <w:szCs w:val="8"/>
          <w:highlight w:val="none"/>
        </w:rPr>
      </w:pPr>
    </w:p>
    <w:p>
      <w:pPr>
        <w:pStyle w:val="7"/>
        <w:spacing w:line="240" w:lineRule="auto"/>
        <w:ind w:right="101"/>
        <w:jc w:val="right"/>
        <w:outlineLvl w:val="0"/>
        <w:rPr>
          <w:b w:val="0"/>
          <w:bCs w:val="0"/>
          <w:color w:val="auto"/>
          <w:highlight w:val="none"/>
        </w:rPr>
      </w:pPr>
      <w:bookmarkStart w:id="156" w:name="_Toc23226"/>
      <w:r>
        <w:rPr>
          <w:color w:val="auto"/>
          <w:w w:val="95"/>
          <w:highlight w:val="none"/>
        </w:rPr>
        <w:t>（正/副本）</w:t>
      </w:r>
      <w:bookmarkEnd w:id="156"/>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11" w:line="240" w:lineRule="auto"/>
        <w:rPr>
          <w:rFonts w:ascii="宋体" w:hAnsi="宋体" w:eastAsia="宋体" w:cs="宋体"/>
          <w:b/>
          <w:bCs/>
          <w:color w:val="auto"/>
          <w:sz w:val="14"/>
          <w:szCs w:val="14"/>
          <w:highlight w:val="none"/>
        </w:rPr>
      </w:pPr>
    </w:p>
    <w:p>
      <w:pPr>
        <w:spacing w:before="0" w:line="621" w:lineRule="exact"/>
        <w:ind w:left="2704" w:right="0" w:firstLine="0"/>
        <w:jc w:val="left"/>
        <w:outlineLvl w:val="0"/>
        <w:rPr>
          <w:rFonts w:ascii="宋体" w:hAnsi="宋体" w:eastAsia="宋体" w:cs="宋体"/>
          <w:color w:val="auto"/>
          <w:sz w:val="52"/>
          <w:szCs w:val="52"/>
          <w:highlight w:val="none"/>
        </w:rPr>
      </w:pPr>
      <w:bookmarkStart w:id="157" w:name="_Toc23342"/>
      <w:r>
        <w:rPr>
          <w:rFonts w:ascii="宋体" w:hAnsi="宋体" w:eastAsia="宋体" w:cs="宋体"/>
          <w:b/>
          <w:bCs/>
          <w:color w:val="auto"/>
          <w:sz w:val="52"/>
          <w:szCs w:val="52"/>
          <w:highlight w:val="none"/>
          <w:u w:val="thick" w:color="000000"/>
        </w:rPr>
        <w:t>（项目名称）</w:t>
      </w:r>
      <w:bookmarkEnd w:id="157"/>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0" w:line="240" w:lineRule="auto"/>
        <w:rPr>
          <w:rFonts w:ascii="宋体" w:hAnsi="宋体" w:eastAsia="宋体" w:cs="宋体"/>
          <w:b/>
          <w:bCs/>
          <w:color w:val="auto"/>
          <w:sz w:val="20"/>
          <w:szCs w:val="20"/>
          <w:highlight w:val="none"/>
        </w:rPr>
      </w:pPr>
    </w:p>
    <w:p>
      <w:pPr>
        <w:spacing w:before="3" w:line="240" w:lineRule="auto"/>
        <w:rPr>
          <w:rFonts w:ascii="宋体" w:hAnsi="宋体" w:eastAsia="宋体" w:cs="宋体"/>
          <w:b/>
          <w:bCs/>
          <w:color w:val="auto"/>
          <w:sz w:val="19"/>
          <w:szCs w:val="19"/>
          <w:highlight w:val="none"/>
        </w:rPr>
      </w:pPr>
    </w:p>
    <w:p>
      <w:pPr>
        <w:spacing w:before="0" w:line="820" w:lineRule="exact"/>
        <w:ind w:left="852" w:right="1550" w:firstLine="0"/>
        <w:jc w:val="center"/>
        <w:rPr>
          <w:rFonts w:ascii="宋体" w:hAnsi="宋体" w:eastAsia="宋体" w:cs="宋体"/>
          <w:color w:val="auto"/>
          <w:sz w:val="72"/>
          <w:szCs w:val="72"/>
          <w:highlight w:val="none"/>
        </w:rPr>
      </w:pPr>
      <w:r>
        <w:rPr>
          <w:rFonts w:ascii="宋体" w:hAnsi="宋体" w:eastAsia="宋体" w:cs="宋体"/>
          <w:b/>
          <w:bCs/>
          <w:color w:val="auto"/>
          <w:sz w:val="72"/>
          <w:szCs w:val="72"/>
          <w:highlight w:val="none"/>
        </w:rPr>
        <w:t>投标文件</w:t>
      </w:r>
    </w:p>
    <w:p>
      <w:pPr>
        <w:pStyle w:val="5"/>
        <w:spacing w:line="240" w:lineRule="auto"/>
        <w:ind w:left="849" w:right="1550"/>
        <w:jc w:val="center"/>
        <w:outlineLvl w:val="0"/>
        <w:rPr>
          <w:b w:val="0"/>
          <w:bCs w:val="0"/>
          <w:color w:val="auto"/>
          <w:highlight w:val="none"/>
        </w:rPr>
      </w:pPr>
      <w:bookmarkStart w:id="158" w:name="_Toc31163"/>
      <w:r>
        <w:rPr>
          <w:color w:val="auto"/>
          <w:highlight w:val="none"/>
        </w:rPr>
        <w:t>（第二册：技术文件）</w:t>
      </w:r>
      <w:bookmarkEnd w:id="158"/>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spacing w:before="0" w:line="240" w:lineRule="auto"/>
        <w:rPr>
          <w:rFonts w:ascii="宋体" w:hAnsi="宋体" w:eastAsia="宋体" w:cs="宋体"/>
          <w:b/>
          <w:bCs/>
          <w:color w:val="auto"/>
          <w:sz w:val="40"/>
          <w:szCs w:val="40"/>
          <w:highlight w:val="none"/>
        </w:rPr>
      </w:pPr>
    </w:p>
    <w:p>
      <w:pPr>
        <w:pStyle w:val="11"/>
        <w:tabs>
          <w:tab w:val="left" w:pos="5517"/>
          <w:tab w:val="left" w:pos="5946"/>
        </w:tabs>
        <w:spacing w:before="339" w:line="604" w:lineRule="auto"/>
        <w:ind w:left="851" w:right="1550"/>
        <w:jc w:val="center"/>
        <w:rPr>
          <w:color w:val="auto"/>
          <w:highlight w:val="none"/>
        </w:rPr>
      </w:pPr>
      <w:r>
        <w:rPr>
          <w:color w:val="auto"/>
          <w:spacing w:val="-1"/>
          <w:highlight w:val="none"/>
        </w:rPr>
        <w:t>投标人：</w:t>
      </w:r>
      <w:r>
        <w:rPr>
          <w:rFonts w:ascii="Times New Roman" w:hAnsi="Times New Roman" w:eastAsia="Times New Roman" w:cs="Times New Roman"/>
          <w:color w:val="auto"/>
          <w:spacing w:val="-1"/>
          <w:highlight w:val="none"/>
          <w:u w:val="single" w:color="000000"/>
        </w:rPr>
        <w:tab/>
      </w:r>
      <w:r>
        <w:rPr>
          <w:color w:val="auto"/>
          <w:highlight w:val="none"/>
        </w:rPr>
        <w:t xml:space="preserve">（盖单位章） </w:t>
      </w:r>
    </w:p>
    <w:p>
      <w:pPr>
        <w:pStyle w:val="11"/>
        <w:tabs>
          <w:tab w:val="left" w:pos="5517"/>
          <w:tab w:val="left" w:pos="5946"/>
        </w:tabs>
        <w:spacing w:before="339" w:line="604" w:lineRule="auto"/>
        <w:ind w:left="851" w:right="1550"/>
        <w:jc w:val="center"/>
        <w:rPr>
          <w:color w:val="auto"/>
          <w:highlight w:val="none"/>
        </w:rPr>
      </w:pPr>
      <w:r>
        <w:rPr>
          <w:color w:val="auto"/>
          <w:highlight w:val="none"/>
        </w:rPr>
        <w:t>法定代表人或其委托代理人：</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u w:val="single" w:color="000000"/>
        </w:rPr>
        <w:tab/>
      </w:r>
      <w:r>
        <w:rPr>
          <w:color w:val="auto"/>
          <w:highlight w:val="none"/>
        </w:rPr>
        <w:t>（签字或盖章）</w:t>
      </w:r>
    </w:p>
    <w:p>
      <w:pPr>
        <w:pStyle w:val="11"/>
        <w:tabs>
          <w:tab w:val="left" w:pos="3491"/>
          <w:tab w:val="left" w:pos="5051"/>
          <w:tab w:val="left" w:pos="6731"/>
        </w:tabs>
        <w:spacing w:before="110" w:line="240" w:lineRule="auto"/>
        <w:ind w:left="1567" w:right="0"/>
        <w:jc w:val="left"/>
        <w:rPr>
          <w:color w:val="auto"/>
          <w:highlight w:val="none"/>
        </w:rPr>
      </w:pPr>
      <w:r>
        <w:rPr>
          <w:rFonts w:ascii="Times New Roman" w:hAnsi="Times New Roman" w:eastAsia="Times New Roman" w:cs="Times New Roman"/>
          <w:color w:val="auto"/>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highlight w:val="none"/>
        </w:rPr>
        <w:t>年</w:t>
      </w:r>
      <w:r>
        <w:rPr>
          <w:rFonts w:ascii="Times New Roman" w:hAnsi="Times New Roman" w:eastAsia="Times New Roman" w:cs="Times New Roman"/>
          <w:color w:val="auto"/>
          <w:highlight w:val="none"/>
          <w:u w:val="single" w:color="000000"/>
        </w:rPr>
        <w:tab/>
      </w:r>
      <w:r>
        <w:rPr>
          <w:color w:val="auto"/>
          <w:highlight w:val="none"/>
        </w:rPr>
        <w:t>月</w:t>
      </w:r>
      <w:r>
        <w:rPr>
          <w:rFonts w:ascii="Times New Roman" w:hAnsi="Times New Roman" w:eastAsia="Times New Roman" w:cs="Times New Roman"/>
          <w:color w:val="auto"/>
          <w:highlight w:val="none"/>
          <w:u w:val="single" w:color="000000"/>
        </w:rPr>
        <w:tab/>
      </w:r>
      <w:r>
        <w:rPr>
          <w:color w:val="auto"/>
          <w:highlight w:val="none"/>
        </w:rPr>
        <w:t>日</w:t>
      </w:r>
    </w:p>
    <w:p>
      <w:pPr>
        <w:spacing w:after="0" w:line="240" w:lineRule="auto"/>
        <w:jc w:val="left"/>
        <w:rPr>
          <w:color w:val="auto"/>
          <w:highlight w:val="none"/>
        </w:rPr>
        <w:sectPr>
          <w:footerReference r:id="rId13" w:type="default"/>
          <w:pgSz w:w="11900" w:h="16840"/>
          <w:pgMar w:top="1440" w:right="1080" w:bottom="1440" w:left="1080" w:header="0" w:footer="1057" w:gutter="0"/>
          <w:pgNumType w:fmt="decimal"/>
          <w:cols w:space="720" w:num="1"/>
        </w:sectPr>
      </w:pPr>
    </w:p>
    <w:p>
      <w:pPr>
        <w:pStyle w:val="7"/>
        <w:spacing w:line="395" w:lineRule="exact"/>
        <w:ind w:left="1160" w:right="1160"/>
        <w:jc w:val="center"/>
        <w:outlineLvl w:val="0"/>
        <w:rPr>
          <w:b w:val="0"/>
          <w:bCs w:val="0"/>
          <w:color w:val="auto"/>
          <w:highlight w:val="none"/>
        </w:rPr>
      </w:pPr>
      <w:bookmarkStart w:id="159" w:name="_Toc12109"/>
      <w:r>
        <w:rPr>
          <w:color w:val="auto"/>
          <w:highlight w:val="none"/>
        </w:rPr>
        <w:t>设计方案</w:t>
      </w:r>
      <w:bookmarkEnd w:id="159"/>
    </w:p>
    <w:p>
      <w:pPr>
        <w:spacing w:before="207"/>
        <w:ind w:left="1160" w:right="1160" w:firstLine="0"/>
        <w:jc w:val="center"/>
        <w:rPr>
          <w:rFonts w:ascii="宋体" w:hAnsi="宋体" w:eastAsia="宋体" w:cs="宋体"/>
          <w:color w:val="auto"/>
          <w:sz w:val="22"/>
          <w:szCs w:val="22"/>
          <w:highlight w:val="none"/>
        </w:rPr>
      </w:pPr>
      <w:r>
        <w:rPr>
          <w:rFonts w:ascii="宋体" w:hAnsi="宋体" w:eastAsia="宋体" w:cs="宋体"/>
          <w:b/>
          <w:bCs/>
          <w:color w:val="auto"/>
          <w:sz w:val="22"/>
          <w:szCs w:val="22"/>
          <w:highlight w:val="none"/>
        </w:rPr>
        <w:t>设计方案由投标人根据技术评分标准自行进行编制。</w:t>
      </w:r>
    </w:p>
    <w:sectPr>
      <w:footerReference r:id="rId14" w:type="default"/>
      <w:pgSz w:w="11910" w:h="16840"/>
      <w:pgMar w:top="1440" w:right="1080" w:bottom="1440" w:left="1080" w:header="0" w:footer="7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9"/>
        <w:szCs w:val="19"/>
      </w:rPr>
    </w:pPr>
    <w:r>
      <w:rPr>
        <w:sz w:val="19"/>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9"/>
        <w:szCs w:val="19"/>
      </w:rPr>
    </w:pPr>
    <w:r>
      <w:rPr>
        <w:sz w:val="19"/>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firstLine="41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673E5"/>
    <w:multiLevelType w:val="singleLevel"/>
    <w:tmpl w:val="A67673E5"/>
    <w:lvl w:ilvl="0" w:tentative="0">
      <w:start w:val="4"/>
      <w:numFmt w:val="chineseCounting"/>
      <w:suff w:val="nothing"/>
      <w:lvlText w:val="（%1）"/>
      <w:lvlJc w:val="left"/>
      <w:pPr>
        <w:ind w:left="220"/>
      </w:pPr>
      <w:rPr>
        <w:rFonts w:hint="eastAsia"/>
      </w:rPr>
    </w:lvl>
  </w:abstractNum>
  <w:abstractNum w:abstractNumId="1">
    <w:nsid w:val="EBE0582E"/>
    <w:multiLevelType w:val="singleLevel"/>
    <w:tmpl w:val="EBE0582E"/>
    <w:lvl w:ilvl="0" w:tentative="0">
      <w:start w:val="1"/>
      <w:numFmt w:val="decimal"/>
      <w:lvlText w:val="(%1)"/>
      <w:lvlJc w:val="left"/>
      <w:pPr>
        <w:ind w:left="865" w:hanging="425"/>
      </w:pPr>
      <w:rPr>
        <w:rFonts w:hint="default"/>
      </w:rPr>
    </w:lvl>
  </w:abstractNum>
  <w:abstractNum w:abstractNumId="2">
    <w:nsid w:val="21A8094F"/>
    <w:multiLevelType w:val="singleLevel"/>
    <w:tmpl w:val="21A8094F"/>
    <w:lvl w:ilvl="0" w:tentative="0">
      <w:start w:val="7"/>
      <w:numFmt w:val="chineseCounting"/>
      <w:suff w:val="space"/>
      <w:lvlText w:val="第%1条"/>
      <w:lvlJc w:val="left"/>
      <w:rPr>
        <w:rFonts w:hint="eastAsia"/>
      </w:rPr>
    </w:lvl>
  </w:abstractNum>
  <w:abstractNum w:abstractNumId="3">
    <w:nsid w:val="2A836303"/>
    <w:multiLevelType w:val="singleLevel"/>
    <w:tmpl w:val="2A836303"/>
    <w:lvl w:ilvl="0" w:tentative="0">
      <w:start w:val="2"/>
      <w:numFmt w:val="decimal"/>
      <w:suff w:val="nothing"/>
      <w:lvlText w:val="（%1）"/>
      <w:lvlJc w:val="left"/>
    </w:lvl>
  </w:abstractNum>
  <w:abstractNum w:abstractNumId="4">
    <w:nsid w:val="46C04727"/>
    <w:multiLevelType w:val="singleLevel"/>
    <w:tmpl w:val="46C04727"/>
    <w:lvl w:ilvl="0" w:tentative="0">
      <w:start w:val="2"/>
      <w:numFmt w:val="chineseCounting"/>
      <w:suff w:val="nothing"/>
      <w:lvlText w:val="（%1）"/>
      <w:lvlJc w:val="left"/>
      <w:rPr>
        <w:rFonts w:hint="eastAsia"/>
      </w:rPr>
    </w:lvl>
  </w:abstractNum>
  <w:abstractNum w:abstractNumId="5">
    <w:nsid w:val="546C7278"/>
    <w:multiLevelType w:val="multilevel"/>
    <w:tmpl w:val="546C7278"/>
    <w:lvl w:ilvl="0" w:tentative="0">
      <w:start w:val="1"/>
      <w:numFmt w:val="decimal"/>
      <w:lvlText w:val="%1."/>
      <w:lvlJc w:val="left"/>
      <w:pPr>
        <w:tabs>
          <w:tab w:val="left" w:pos="420"/>
        </w:tabs>
        <w:ind w:left="0" w:firstLine="0"/>
      </w:pPr>
      <w:rPr>
        <w:rFonts w:hint="eastAsia"/>
      </w:rPr>
    </w:lvl>
    <w:lvl w:ilvl="1" w:tentative="0">
      <w:start w:val="1"/>
      <w:numFmt w:val="decimal"/>
      <w:suff w:val="space"/>
      <w:lvlText w:val="%1.%2"/>
      <w:lvlJc w:val="left"/>
      <w:pPr>
        <w:tabs>
          <w:tab w:val="left" w:pos="420"/>
        </w:tabs>
        <w:ind w:left="0" w:firstLine="0"/>
      </w:pPr>
      <w:rPr>
        <w:rFonts w:hint="default" w:ascii="Times New Roman" w:hAnsi="Times New Roman" w:eastAsia="宋体" w:cs="宋体"/>
      </w:rPr>
    </w:lvl>
    <w:lvl w:ilvl="2" w:tentative="0">
      <w:start w:val="1"/>
      <w:numFmt w:val="decimal"/>
      <w:suff w:val="space"/>
      <w:lvlText w:val="%1.%2.%3"/>
      <w:lvlJc w:val="left"/>
      <w:pPr>
        <w:tabs>
          <w:tab w:val="left" w:pos="420"/>
        </w:tabs>
        <w:ind w:left="0" w:firstLine="0"/>
      </w:pPr>
      <w:rPr>
        <w:rFonts w:hint="default" w:ascii="Times New Roman" w:hAnsi="Times New Roman" w:eastAsia="宋体" w:cs="宋体"/>
      </w:rPr>
    </w:lvl>
    <w:lvl w:ilvl="3" w:tentative="0">
      <w:start w:val="1"/>
      <w:numFmt w:val="decimal"/>
      <w:suff w:val="space"/>
      <w:lvlText w:val="%1.%2.%3.%4"/>
      <w:lvlJc w:val="left"/>
      <w:pPr>
        <w:tabs>
          <w:tab w:val="left" w:pos="420"/>
        </w:tabs>
        <w:ind w:left="720" w:firstLine="0"/>
      </w:pPr>
      <w:rPr>
        <w:rFonts w:hint="default" w:ascii="Times New Roman" w:hAnsi="Times New Roman"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63C7C03C"/>
    <w:multiLevelType w:val="singleLevel"/>
    <w:tmpl w:val="63C7C03C"/>
    <w:lvl w:ilvl="0" w:tentative="0">
      <w:start w:val="9"/>
      <w:numFmt w:val="decimal"/>
      <w:suff w:val="nothing"/>
      <w:lvlText w:val="%1、"/>
      <w:lvlJc w:val="left"/>
    </w:lvl>
  </w:abstractNum>
  <w:abstractNum w:abstractNumId="7">
    <w:nsid w:val="6C09BFA6"/>
    <w:multiLevelType w:val="singleLevel"/>
    <w:tmpl w:val="6C09BFA6"/>
    <w:lvl w:ilvl="0" w:tentative="0">
      <w:start w:val="1"/>
      <w:numFmt w:val="decimal"/>
      <w:suff w:val="nothing"/>
      <w:lvlText w:val="（%1）"/>
      <w:lvlJc w:val="left"/>
    </w:lvl>
  </w:abstractNum>
  <w:num w:numId="1">
    <w:abstractNumId w:val="3"/>
  </w:num>
  <w:num w:numId="2">
    <w:abstractNumId w:val="1"/>
  </w:num>
  <w:num w:numId="3">
    <w:abstractNumId w:val="6"/>
  </w:num>
  <w:num w:numId="4">
    <w:abstractNumId w:val="2"/>
  </w:num>
  <w:num w:numId="5">
    <w:abstractNumId w:val="7"/>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Tg5OTUxOTRhMzA5MDYxNTdmMTA2MDlmMmJkNzIifQ=="/>
  </w:docVars>
  <w:rsids>
    <w:rsidRoot w:val="00000000"/>
    <w:rsid w:val="00B2281D"/>
    <w:rsid w:val="02F8506D"/>
    <w:rsid w:val="03E55F81"/>
    <w:rsid w:val="05235A44"/>
    <w:rsid w:val="071A5EDA"/>
    <w:rsid w:val="09515E94"/>
    <w:rsid w:val="09F761F9"/>
    <w:rsid w:val="0A9D57FC"/>
    <w:rsid w:val="0AC53C18"/>
    <w:rsid w:val="0C9E694E"/>
    <w:rsid w:val="0CB16402"/>
    <w:rsid w:val="0DD40682"/>
    <w:rsid w:val="0E3C4910"/>
    <w:rsid w:val="0E912F68"/>
    <w:rsid w:val="12780412"/>
    <w:rsid w:val="15417C83"/>
    <w:rsid w:val="16177AD6"/>
    <w:rsid w:val="168455D6"/>
    <w:rsid w:val="16EC7E08"/>
    <w:rsid w:val="19A64A85"/>
    <w:rsid w:val="217D7963"/>
    <w:rsid w:val="223D7F57"/>
    <w:rsid w:val="22D32409"/>
    <w:rsid w:val="23166FD9"/>
    <w:rsid w:val="2657776F"/>
    <w:rsid w:val="26A07025"/>
    <w:rsid w:val="27407D1A"/>
    <w:rsid w:val="27507072"/>
    <w:rsid w:val="2DD44211"/>
    <w:rsid w:val="2FF118A7"/>
    <w:rsid w:val="2FFE0F64"/>
    <w:rsid w:val="33B2113D"/>
    <w:rsid w:val="34C81413"/>
    <w:rsid w:val="362A4766"/>
    <w:rsid w:val="362E4CEF"/>
    <w:rsid w:val="363E2205"/>
    <w:rsid w:val="3757031C"/>
    <w:rsid w:val="3DFA36D1"/>
    <w:rsid w:val="3F2506FC"/>
    <w:rsid w:val="412071D6"/>
    <w:rsid w:val="42FE6FA4"/>
    <w:rsid w:val="44D27C38"/>
    <w:rsid w:val="48C01FB8"/>
    <w:rsid w:val="498A1F7B"/>
    <w:rsid w:val="49C04998"/>
    <w:rsid w:val="4B750A81"/>
    <w:rsid w:val="4D371292"/>
    <w:rsid w:val="4D7711E6"/>
    <w:rsid w:val="513E3DD8"/>
    <w:rsid w:val="51DD0EB8"/>
    <w:rsid w:val="52A46018"/>
    <w:rsid w:val="5C844566"/>
    <w:rsid w:val="5CE30425"/>
    <w:rsid w:val="5D526412"/>
    <w:rsid w:val="5E731FF2"/>
    <w:rsid w:val="5E92490D"/>
    <w:rsid w:val="5FCA09F8"/>
    <w:rsid w:val="618136D7"/>
    <w:rsid w:val="62B81864"/>
    <w:rsid w:val="63284D89"/>
    <w:rsid w:val="63373F94"/>
    <w:rsid w:val="63392F42"/>
    <w:rsid w:val="6BCF735C"/>
    <w:rsid w:val="6F460AC7"/>
    <w:rsid w:val="6FE200C0"/>
    <w:rsid w:val="71797903"/>
    <w:rsid w:val="71AE65F2"/>
    <w:rsid w:val="720D67A5"/>
    <w:rsid w:val="762D5000"/>
    <w:rsid w:val="76505F47"/>
    <w:rsid w:val="769F7A79"/>
    <w:rsid w:val="785F3EDC"/>
    <w:rsid w:val="78CC0D02"/>
    <w:rsid w:val="796231CE"/>
    <w:rsid w:val="79C1649D"/>
    <w:rsid w:val="7B2A25E5"/>
    <w:rsid w:val="7B9D4D91"/>
    <w:rsid w:val="7C684C52"/>
    <w:rsid w:val="7D861AA1"/>
    <w:rsid w:val="7F4C46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qFormat="1" w:uiPriority="3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ind w:left="378"/>
      <w:outlineLvl w:val="1"/>
    </w:pPr>
    <w:rPr>
      <w:rFonts w:ascii="黑体" w:hAnsi="黑体" w:eastAsia="黑体"/>
      <w:b/>
      <w:bCs/>
      <w:sz w:val="36"/>
      <w:szCs w:val="36"/>
    </w:rPr>
  </w:style>
  <w:style w:type="paragraph" w:styleId="4">
    <w:name w:val="heading 2"/>
    <w:basedOn w:val="1"/>
    <w:next w:val="1"/>
    <w:qFormat/>
    <w:uiPriority w:val="1"/>
    <w:pPr>
      <w:outlineLvl w:val="2"/>
    </w:pPr>
    <w:rPr>
      <w:rFonts w:ascii="宋体" w:hAnsi="宋体" w:eastAsia="宋体"/>
      <w:b/>
      <w:bCs/>
      <w:sz w:val="30"/>
      <w:szCs w:val="30"/>
    </w:rPr>
  </w:style>
  <w:style w:type="paragraph" w:styleId="5">
    <w:name w:val="heading 3"/>
    <w:basedOn w:val="1"/>
    <w:next w:val="1"/>
    <w:qFormat/>
    <w:uiPriority w:val="1"/>
    <w:pPr>
      <w:spacing w:before="32"/>
      <w:ind w:left="118"/>
      <w:outlineLvl w:val="3"/>
    </w:pPr>
    <w:rPr>
      <w:rFonts w:ascii="宋体" w:hAnsi="宋体" w:eastAsia="宋体"/>
      <w:b/>
      <w:bCs/>
      <w:sz w:val="21"/>
      <w:szCs w:val="21"/>
    </w:rPr>
  </w:style>
  <w:style w:type="paragraph" w:styleId="6">
    <w:name w:val="heading 4"/>
    <w:basedOn w:val="1"/>
    <w:next w:val="1"/>
    <w:qFormat/>
    <w:uiPriority w:val="1"/>
    <w:pPr>
      <w:ind w:left="2880"/>
      <w:outlineLvl w:val="4"/>
    </w:pPr>
    <w:rPr>
      <w:rFonts w:ascii="宋体" w:hAnsi="宋体" w:eastAsia="宋体"/>
      <w:b/>
      <w:bCs/>
      <w:sz w:val="36"/>
      <w:szCs w:val="36"/>
    </w:rPr>
  </w:style>
  <w:style w:type="paragraph" w:styleId="7">
    <w:name w:val="heading 5"/>
    <w:basedOn w:val="1"/>
    <w:next w:val="1"/>
    <w:qFormat/>
    <w:uiPriority w:val="1"/>
    <w:pPr>
      <w:outlineLvl w:val="5"/>
    </w:pPr>
    <w:rPr>
      <w:rFonts w:ascii="宋体" w:hAnsi="宋体" w:eastAsia="宋体"/>
      <w:b/>
      <w:bCs/>
      <w:sz w:val="32"/>
      <w:szCs w:val="32"/>
    </w:rPr>
  </w:style>
  <w:style w:type="paragraph" w:styleId="8">
    <w:name w:val="heading 6"/>
    <w:basedOn w:val="1"/>
    <w:next w:val="1"/>
    <w:qFormat/>
    <w:uiPriority w:val="1"/>
    <w:pPr>
      <w:outlineLvl w:val="6"/>
    </w:pPr>
    <w:rPr>
      <w:rFonts w:ascii="宋体" w:hAnsi="宋体" w:eastAsia="宋体"/>
      <w:sz w:val="32"/>
      <w:szCs w:val="32"/>
    </w:rPr>
  </w:style>
  <w:style w:type="paragraph" w:styleId="9">
    <w:name w:val="heading 7"/>
    <w:basedOn w:val="1"/>
    <w:next w:val="1"/>
    <w:qFormat/>
    <w:uiPriority w:val="1"/>
    <w:pPr>
      <w:ind w:left="100"/>
      <w:outlineLvl w:val="7"/>
    </w:pPr>
    <w:rPr>
      <w:rFonts w:ascii="宋体" w:hAnsi="宋体" w:eastAsia="宋体"/>
      <w:b/>
      <w:bCs/>
      <w:sz w:val="30"/>
      <w:szCs w:val="30"/>
    </w:rPr>
  </w:style>
  <w:style w:type="character" w:default="1" w:styleId="21">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line="300" w:lineRule="auto"/>
    </w:pPr>
    <w:rPr>
      <w:rFonts w:ascii="Times" w:hAnsi="Times"/>
      <w:spacing w:val="10"/>
      <w:sz w:val="24"/>
    </w:rPr>
  </w:style>
  <w:style w:type="paragraph" w:styleId="10">
    <w:name w:val="annotation text"/>
    <w:basedOn w:val="1"/>
    <w:qFormat/>
    <w:uiPriority w:val="0"/>
    <w:pPr>
      <w:jc w:val="left"/>
    </w:pPr>
  </w:style>
  <w:style w:type="paragraph" w:styleId="11">
    <w:name w:val="Body Text"/>
    <w:basedOn w:val="1"/>
    <w:next w:val="1"/>
    <w:qFormat/>
    <w:uiPriority w:val="1"/>
    <w:pPr>
      <w:spacing w:before="133"/>
      <w:ind w:left="118"/>
    </w:pPr>
    <w:rPr>
      <w:rFonts w:ascii="宋体" w:hAnsi="宋体" w:eastAsia="宋体"/>
      <w:sz w:val="21"/>
      <w:szCs w:val="21"/>
    </w:rPr>
  </w:style>
  <w:style w:type="paragraph" w:styleId="12">
    <w:name w:val="Body Text Indent"/>
    <w:basedOn w:val="1"/>
    <w:qFormat/>
    <w:uiPriority w:val="0"/>
    <w:pPr>
      <w:ind w:firstLine="480" w:firstLineChars="200"/>
    </w:pPr>
    <w:rPr>
      <w:sz w:val="24"/>
    </w:rPr>
  </w:style>
  <w:style w:type="paragraph" w:styleId="13">
    <w:name w:val="toc 5"/>
    <w:basedOn w:val="1"/>
    <w:next w:val="1"/>
    <w:semiHidden/>
    <w:unhideWhenUsed/>
    <w:qFormat/>
    <w:uiPriority w:val="39"/>
    <w:pPr>
      <w:ind w:left="1680" w:leftChars="800"/>
    </w:pPr>
  </w:style>
  <w:style w:type="paragraph" w:styleId="14">
    <w:name w:val="Plain Text"/>
    <w:basedOn w:val="1"/>
    <w:next w:val="1"/>
    <w:qFormat/>
    <w:uiPriority w:val="0"/>
    <w:rPr>
      <w:rFonts w:ascii="宋体" w:hAnsi="Courier New"/>
      <w:szCs w:val="20"/>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1"/>
    <w:pPr>
      <w:spacing w:before="409"/>
      <w:ind w:left="10"/>
    </w:pPr>
    <w:rPr>
      <w:rFonts w:ascii="黑体" w:hAnsi="黑体" w:eastAsia="黑体"/>
      <w:b/>
      <w:bCs/>
      <w:sz w:val="24"/>
      <w:szCs w:val="24"/>
    </w:rPr>
  </w:style>
  <w:style w:type="paragraph" w:styleId="18">
    <w:name w:val="toc 2"/>
    <w:basedOn w:val="1"/>
    <w:next w:val="1"/>
    <w:qFormat/>
    <w:uiPriority w:val="1"/>
    <w:pPr>
      <w:ind w:left="100"/>
    </w:pPr>
    <w:rPr>
      <w:rFonts w:ascii="宋体" w:hAnsi="宋体" w:eastAsia="宋体"/>
      <w:sz w:val="21"/>
      <w:szCs w:val="21"/>
    </w:rPr>
  </w:style>
  <w:style w:type="paragraph" w:styleId="19">
    <w:name w:val="Body Text First Indent 2"/>
    <w:basedOn w:val="12"/>
    <w:next w:val="1"/>
    <w:qFormat/>
    <w:uiPriority w:val="0"/>
    <w:pPr>
      <w:spacing w:line="240" w:lineRule="atLeast"/>
      <w:ind w:firstLine="630"/>
    </w:pPr>
    <w:rPr>
      <w:rFonts w:ascii="宋体"/>
      <w:sz w:val="28"/>
      <w:lang w:val="zh-CN"/>
    </w:rPr>
  </w:style>
  <w:style w:type="character" w:styleId="22">
    <w:name w:val="page number"/>
    <w:basedOn w:val="21"/>
    <w:qFormat/>
    <w:uiPriority w:val="0"/>
  </w:style>
  <w:style w:type="character" w:styleId="23">
    <w:name w:val="Hyperlink"/>
    <w:basedOn w:val="21"/>
    <w:semiHidden/>
    <w:unhideWhenUsed/>
    <w:qFormat/>
    <w:uiPriority w:val="99"/>
    <w:rPr>
      <w:rFonts w:hint="eastAsia" w:ascii="微软雅黑" w:hAnsi="微软雅黑" w:eastAsia="微软雅黑" w:cs="微软雅黑"/>
      <w:color w:val="337AB7"/>
      <w:u w:val="none"/>
    </w:rPr>
  </w:style>
  <w:style w:type="paragraph" w:customStyle="1" w:styleId="24">
    <w:name w:val="样式 宋体 行距: 1.5 倍行距"/>
    <w:basedOn w:val="1"/>
    <w:qFormat/>
    <w:uiPriority w:val="0"/>
    <w:pPr>
      <w:jc w:val="center"/>
    </w:pPr>
    <w:rPr>
      <w:rFonts w:ascii="Calibri" w:hAnsi="Calibri" w:eastAsia="宋体" w:cs="Times New Roman"/>
      <w:b/>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style>
  <w:style w:type="paragraph" w:customStyle="1" w:styleId="27">
    <w:name w:val="Table Paragraph"/>
    <w:basedOn w:val="1"/>
    <w:qFormat/>
    <w:uiPriority w:val="1"/>
  </w:style>
  <w:style w:type="paragraph" w:customStyle="1" w:styleId="28">
    <w:name w:val="CM4"/>
    <w:basedOn w:val="29"/>
    <w:next w:val="29"/>
    <w:qFormat/>
    <w:uiPriority w:val="0"/>
    <w:rPr>
      <w:rFonts w:hAnsi="Times New Roman" w:cs="Times New Roman"/>
      <w:color w:val="auto"/>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paragraph" w:customStyle="1" w:styleId="32">
    <w:name w:val="WPSOffice手动目录 3"/>
    <w:qFormat/>
    <w:uiPriority w:val="0"/>
    <w:pPr>
      <w:ind w:leftChars="400"/>
    </w:pPr>
    <w:rPr>
      <w:rFonts w:ascii="Times New Roman" w:hAnsi="Times New Roman" w:eastAsia="宋体" w:cs="Times New Roman"/>
      <w:sz w:val="20"/>
      <w:szCs w:val="20"/>
    </w:rPr>
  </w:style>
  <w:style w:type="paragraph" w:customStyle="1" w:styleId="3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4">
    <w:name w:val="文一"/>
    <w:basedOn w:val="1"/>
    <w:qFormat/>
    <w:uiPriority w:val="0"/>
    <w:pPr>
      <w:topLinePunct/>
      <w:adjustRightInd w:val="0"/>
      <w:snapToGrid w:val="0"/>
      <w:spacing w:line="360" w:lineRule="auto"/>
      <w:ind w:firstLine="200" w:firstLineChars="200"/>
    </w:pPr>
    <w:rPr>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72</Pages>
  <Words>31171</Words>
  <Characters>33464</Characters>
  <TotalTime>4</TotalTime>
  <ScaleCrop>false</ScaleCrop>
  <LinksUpToDate>false</LinksUpToDate>
  <CharactersWithSpaces>34710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2023-04-14T15:01:00Z</dcterms:created>
  <dc:creator>xb21cn</dc:creator>
  <cp:lastModifiedBy>ForEver。</cp:lastModifiedBy>
  <cp:lastPrinted>2023-05-04T01:55:00Z</cp:lastPrinted>
  <dcterms:modified xsi:type="dcterms:W3CDTF">2023-05-06T07:50:17Z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WPS 文字</vt:lpwstr>
  </property>
  <property fmtid="{D5CDD505-2E9C-101B-9397-08002B2CF9AE}" pid="4" name="LastSaved">
    <vt:filetime>2023-04-14T00:00:00Z</vt:filetime>
  </property>
  <property fmtid="{D5CDD505-2E9C-101B-9397-08002B2CF9AE}" pid="5" name="KSOProductBuildVer">
    <vt:lpwstr>2052-11.1.0.14036</vt:lpwstr>
  </property>
  <property fmtid="{D5CDD505-2E9C-101B-9397-08002B2CF9AE}" pid="6" name="ICV">
    <vt:lpwstr>37D46B3D232046B794FA2CF460D71A9B</vt:lpwstr>
  </property>
</Properties>
</file>