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highlight w:val="none"/>
        </w:rPr>
      </w:pPr>
      <w:r>
        <w:rPr>
          <w:rFonts w:hint="eastAsia" w:ascii="宋体" w:hAnsi="宋体"/>
          <w:b/>
          <w:sz w:val="32"/>
          <w:szCs w:val="32"/>
          <w:highlight w:val="none"/>
        </w:rPr>
        <w:t>评标办法</w:t>
      </w:r>
    </w:p>
    <w:p>
      <w:pPr>
        <w:spacing w:line="360" w:lineRule="auto"/>
        <w:jc w:val="center"/>
        <w:rPr>
          <w:rFonts w:hint="eastAsia" w:ascii="宋体" w:hAnsi="宋体"/>
          <w:b/>
          <w:sz w:val="28"/>
          <w:szCs w:val="28"/>
          <w:highlight w:val="none"/>
        </w:rPr>
      </w:pPr>
      <w:r>
        <w:rPr>
          <w:rFonts w:hint="eastAsia" w:ascii="宋体" w:hAnsi="宋体"/>
          <w:b/>
          <w:sz w:val="28"/>
          <w:szCs w:val="28"/>
          <w:highlight w:val="none"/>
        </w:rPr>
        <w:t>（</w:t>
      </w:r>
      <w:bookmarkStart w:id="16" w:name="_GoBack"/>
      <w:bookmarkEnd w:id="16"/>
      <w:r>
        <w:rPr>
          <w:rFonts w:hint="eastAsia" w:ascii="宋体" w:hAnsi="宋体"/>
          <w:b/>
          <w:sz w:val="28"/>
          <w:szCs w:val="28"/>
          <w:highlight w:val="none"/>
        </w:rPr>
        <w:t>综合评</w:t>
      </w:r>
      <w:r>
        <w:rPr>
          <w:rFonts w:hint="eastAsia" w:ascii="宋体" w:hAnsi="宋体"/>
          <w:b/>
          <w:sz w:val="28"/>
          <w:szCs w:val="28"/>
          <w:highlight w:val="none"/>
          <w:lang w:val="en-US" w:eastAsia="zh-CN"/>
        </w:rPr>
        <w:t>分</w:t>
      </w:r>
      <w:r>
        <w:rPr>
          <w:rFonts w:hint="eastAsia" w:ascii="宋体" w:hAnsi="宋体"/>
          <w:b/>
          <w:sz w:val="28"/>
          <w:szCs w:val="28"/>
          <w:highlight w:val="none"/>
        </w:rPr>
        <w:t>法）</w:t>
      </w:r>
    </w:p>
    <w:p>
      <w:pPr>
        <w:spacing w:line="360" w:lineRule="auto"/>
        <w:ind w:right="139" w:rightChars="66"/>
        <w:outlineLvl w:val="1"/>
        <w:rPr>
          <w:rFonts w:hint="eastAsia" w:ascii="宋体" w:hAnsi="宋体"/>
          <w:b/>
          <w:spacing w:val="4"/>
          <w:sz w:val="24"/>
          <w:szCs w:val="24"/>
          <w:highlight w:val="none"/>
        </w:rPr>
      </w:pPr>
      <w:bookmarkStart w:id="0" w:name="_Toc6177"/>
      <w:r>
        <w:rPr>
          <w:rFonts w:hint="eastAsia" w:ascii="宋体" w:hAnsi="宋体"/>
          <w:b/>
          <w:spacing w:val="4"/>
          <w:sz w:val="24"/>
          <w:szCs w:val="24"/>
          <w:highlight w:val="none"/>
        </w:rPr>
        <w:t>1．总则</w:t>
      </w:r>
      <w:bookmarkEnd w:id="0"/>
    </w:p>
    <w:p>
      <w:pPr>
        <w:spacing w:line="360" w:lineRule="auto"/>
        <w:ind w:right="139" w:rightChars="66" w:firstLine="480" w:firstLineChars="200"/>
        <w:rPr>
          <w:rFonts w:hint="eastAsia" w:ascii="宋体" w:hAnsi="宋体"/>
          <w:sz w:val="24"/>
          <w:szCs w:val="24"/>
          <w:highlight w:val="none"/>
        </w:rPr>
      </w:pPr>
      <w:r>
        <w:rPr>
          <w:rFonts w:hint="eastAsia" w:ascii="宋体" w:hAnsi="宋体"/>
          <w:sz w:val="24"/>
          <w:szCs w:val="24"/>
          <w:highlight w:val="none"/>
        </w:rPr>
        <w:t>1.1为规范本项目评标工作，根据《中华人民共和国招标投标法》、《中华人民共和国招标投标法实施条例》、《评标委员会和评标方法暂行规定》（国家发改委等七部委</w:t>
      </w:r>
      <w:r>
        <w:rPr>
          <w:rFonts w:ascii="宋体" w:hAnsi="宋体"/>
          <w:sz w:val="24"/>
          <w:szCs w:val="24"/>
          <w:highlight w:val="none"/>
        </w:rPr>
        <w:t>2001</w:t>
      </w:r>
      <w:r>
        <w:rPr>
          <w:rFonts w:hint="eastAsia" w:ascii="宋体" w:hAnsi="宋体"/>
          <w:sz w:val="24"/>
          <w:szCs w:val="24"/>
          <w:highlight w:val="none"/>
        </w:rPr>
        <w:t>年第</w:t>
      </w:r>
      <w:r>
        <w:rPr>
          <w:rFonts w:ascii="宋体" w:hAnsi="宋体"/>
          <w:sz w:val="24"/>
          <w:szCs w:val="24"/>
          <w:highlight w:val="none"/>
        </w:rPr>
        <w:t>12</w:t>
      </w:r>
      <w:r>
        <w:rPr>
          <w:rFonts w:hint="eastAsia" w:ascii="宋体" w:hAnsi="宋体"/>
          <w:sz w:val="24"/>
          <w:szCs w:val="24"/>
          <w:highlight w:val="none"/>
        </w:rPr>
        <w:t>号令）、《公路工程建设项目招标投标管理办法》（交通部令</w:t>
      </w:r>
      <w:r>
        <w:rPr>
          <w:rFonts w:ascii="宋体" w:hAnsi="宋体"/>
          <w:sz w:val="24"/>
          <w:szCs w:val="24"/>
          <w:highlight w:val="none"/>
        </w:rPr>
        <w:t>2015年第24号）</w:t>
      </w:r>
      <w:r>
        <w:rPr>
          <w:rFonts w:hint="eastAsia" w:ascii="宋体" w:hAnsi="宋体"/>
          <w:sz w:val="24"/>
          <w:szCs w:val="24"/>
          <w:highlight w:val="none"/>
        </w:rPr>
        <w:t>等有关规定，并结合</w:t>
      </w:r>
      <w:r>
        <w:rPr>
          <w:rFonts w:hint="eastAsia" w:ascii="宋体" w:hAnsi="宋体"/>
          <w:sz w:val="24"/>
          <w:szCs w:val="24"/>
          <w:highlight w:val="none"/>
          <w:lang w:eastAsia="zh-CN"/>
        </w:rPr>
        <w:t>本项目</w:t>
      </w:r>
      <w:r>
        <w:rPr>
          <w:rFonts w:hint="eastAsia" w:ascii="宋体" w:hAnsi="宋体"/>
          <w:sz w:val="24"/>
          <w:szCs w:val="24"/>
          <w:highlight w:val="none"/>
        </w:rPr>
        <w:t>招标文件，制订本评标办法。</w:t>
      </w:r>
    </w:p>
    <w:p>
      <w:pPr>
        <w:spacing w:line="360" w:lineRule="auto"/>
        <w:ind w:right="139" w:rightChars="66" w:firstLine="480" w:firstLineChars="200"/>
        <w:rPr>
          <w:rFonts w:hint="eastAsia" w:ascii="宋体" w:hAnsi="宋体"/>
          <w:sz w:val="24"/>
          <w:szCs w:val="24"/>
          <w:highlight w:val="none"/>
        </w:rPr>
      </w:pPr>
      <w:r>
        <w:rPr>
          <w:rFonts w:hint="eastAsia" w:ascii="宋体" w:hAnsi="宋体"/>
          <w:sz w:val="24"/>
          <w:szCs w:val="24"/>
          <w:highlight w:val="none"/>
        </w:rPr>
        <w:t>1.2评标活动遵循公平、公正、科学、择优的原则。</w:t>
      </w:r>
    </w:p>
    <w:p>
      <w:pPr>
        <w:spacing w:line="360" w:lineRule="auto"/>
        <w:ind w:right="139" w:rightChars="66" w:firstLine="480" w:firstLineChars="200"/>
        <w:rPr>
          <w:rFonts w:hint="eastAsia" w:ascii="宋体" w:hAnsi="宋体"/>
          <w:sz w:val="24"/>
          <w:szCs w:val="24"/>
          <w:highlight w:val="none"/>
        </w:rPr>
      </w:pPr>
      <w:r>
        <w:rPr>
          <w:rFonts w:hint="eastAsia" w:ascii="宋体" w:hAnsi="宋体"/>
          <w:sz w:val="24"/>
          <w:szCs w:val="24"/>
          <w:highlight w:val="none"/>
        </w:rPr>
        <w:t>1.3评标活动应在严格保密的情况下进行。评标人员必须严格遵守保密规定，不得和投标人串通，不得泄露与评标活动有关的情况，不得索贿受贿，不得参加可能影响公正评标的任何活动。评标期间投标人不得干扰评标工作，不得采用行贿或其他不正当手段影响评标。</w:t>
      </w:r>
    </w:p>
    <w:p>
      <w:pPr>
        <w:spacing w:line="360" w:lineRule="auto"/>
        <w:ind w:right="139" w:rightChars="66" w:firstLine="488" w:firstLineChars="200"/>
        <w:rPr>
          <w:rFonts w:hint="eastAsia" w:ascii="宋体" w:hAnsi="宋体"/>
          <w:spacing w:val="2"/>
          <w:sz w:val="24"/>
          <w:szCs w:val="24"/>
          <w:highlight w:val="none"/>
        </w:rPr>
      </w:pPr>
      <w:r>
        <w:rPr>
          <w:rFonts w:hint="eastAsia" w:ascii="宋体" w:hAnsi="宋体"/>
          <w:spacing w:val="2"/>
          <w:sz w:val="24"/>
          <w:szCs w:val="24"/>
          <w:highlight w:val="none"/>
        </w:rPr>
        <w:t>1.4</w:t>
      </w:r>
      <w:r>
        <w:rPr>
          <w:rFonts w:hint="eastAsia" w:ascii="宋体" w:hAnsi="宋体"/>
          <w:spacing w:val="2"/>
          <w:sz w:val="24"/>
          <w:szCs w:val="24"/>
          <w:highlight w:val="none"/>
          <w:lang w:eastAsia="zh-CN"/>
        </w:rPr>
        <w:t>本项目</w:t>
      </w:r>
      <w:r>
        <w:rPr>
          <w:rFonts w:hint="eastAsia" w:ascii="宋体" w:hAnsi="宋体"/>
          <w:spacing w:val="2"/>
          <w:sz w:val="24"/>
          <w:szCs w:val="24"/>
          <w:highlight w:val="none"/>
        </w:rPr>
        <w:t>评标采用综合评</w:t>
      </w:r>
      <w:r>
        <w:rPr>
          <w:rFonts w:hint="eastAsia" w:ascii="宋体" w:hAnsi="宋体"/>
          <w:spacing w:val="2"/>
          <w:sz w:val="24"/>
          <w:szCs w:val="24"/>
          <w:highlight w:val="none"/>
          <w:lang w:val="en-US" w:eastAsia="zh-CN"/>
        </w:rPr>
        <w:t>分</w:t>
      </w:r>
      <w:r>
        <w:rPr>
          <w:rFonts w:hint="eastAsia" w:ascii="宋体" w:hAnsi="宋体"/>
          <w:spacing w:val="2"/>
          <w:sz w:val="24"/>
          <w:szCs w:val="24"/>
          <w:highlight w:val="none"/>
        </w:rPr>
        <w:t>法。</w:t>
      </w:r>
    </w:p>
    <w:p>
      <w:pPr>
        <w:spacing w:line="360" w:lineRule="auto"/>
        <w:ind w:right="139" w:rightChars="66"/>
        <w:outlineLvl w:val="1"/>
        <w:rPr>
          <w:rFonts w:hint="eastAsia" w:ascii="宋体" w:hAnsi="宋体"/>
          <w:b/>
          <w:spacing w:val="4"/>
          <w:sz w:val="24"/>
          <w:szCs w:val="24"/>
          <w:highlight w:val="none"/>
        </w:rPr>
      </w:pPr>
      <w:bookmarkStart w:id="1" w:name="_Toc379"/>
      <w:r>
        <w:rPr>
          <w:rFonts w:hint="eastAsia" w:ascii="宋体" w:hAnsi="宋体"/>
          <w:b/>
          <w:spacing w:val="4"/>
          <w:sz w:val="24"/>
          <w:szCs w:val="24"/>
          <w:highlight w:val="none"/>
        </w:rPr>
        <w:t>2．评标组织及职责</w:t>
      </w:r>
      <w:bookmarkEnd w:id="1"/>
    </w:p>
    <w:p>
      <w:pPr>
        <w:spacing w:line="360" w:lineRule="auto"/>
        <w:ind w:right="139" w:rightChars="66" w:firstLine="458" w:firstLineChars="200"/>
        <w:outlineLvl w:val="2"/>
        <w:rPr>
          <w:rFonts w:hint="eastAsia" w:ascii="宋体" w:hAnsi="宋体"/>
          <w:b/>
          <w:bCs/>
          <w:spacing w:val="-6"/>
          <w:sz w:val="24"/>
          <w:szCs w:val="24"/>
          <w:highlight w:val="none"/>
        </w:rPr>
      </w:pPr>
      <w:bookmarkStart w:id="2" w:name="_Toc28859"/>
      <w:r>
        <w:rPr>
          <w:rFonts w:hint="eastAsia" w:ascii="宋体" w:hAnsi="宋体"/>
          <w:b/>
          <w:bCs/>
          <w:spacing w:val="-6"/>
          <w:sz w:val="24"/>
          <w:szCs w:val="24"/>
          <w:highlight w:val="none"/>
        </w:rPr>
        <w:t>2.1评标委员会组成</w:t>
      </w:r>
      <w:bookmarkEnd w:id="2"/>
    </w:p>
    <w:p>
      <w:pPr>
        <w:spacing w:line="360" w:lineRule="auto"/>
        <w:ind w:right="139" w:rightChars="66" w:firstLine="480" w:firstLineChars="200"/>
        <w:rPr>
          <w:rFonts w:hint="eastAsia" w:ascii="宋体" w:hAnsi="宋体"/>
          <w:sz w:val="24"/>
          <w:szCs w:val="24"/>
          <w:highlight w:val="none"/>
        </w:rPr>
      </w:pPr>
      <w:r>
        <w:rPr>
          <w:rFonts w:ascii="宋体" w:hAnsi="宋体"/>
          <w:sz w:val="24"/>
          <w:szCs w:val="24"/>
          <w:highlight w:val="none"/>
        </w:rPr>
        <w:t>评标委员会由招标人</w:t>
      </w:r>
      <w:r>
        <w:rPr>
          <w:rFonts w:hint="eastAsia" w:ascii="宋体" w:hAnsi="宋体"/>
          <w:sz w:val="24"/>
          <w:szCs w:val="24"/>
          <w:highlight w:val="none"/>
        </w:rPr>
        <w:t>按国家、广东省等的有关规定组建。评标委员人数为五人或以上单数，专家人数不少于成员总人数的三分之二</w:t>
      </w:r>
      <w:r>
        <w:rPr>
          <w:rFonts w:ascii="宋体" w:hAnsi="宋体"/>
          <w:sz w:val="24"/>
          <w:szCs w:val="24"/>
          <w:highlight w:val="none"/>
        </w:rPr>
        <w:t>。评标委员会开始工作之前应由评标委员会推举产生一名主任评标委员，负责协调、组织评标委员会成员开展评标工作。</w:t>
      </w:r>
      <w:r>
        <w:rPr>
          <w:rFonts w:hint="eastAsia" w:ascii="宋体" w:hAnsi="宋体"/>
          <w:sz w:val="24"/>
          <w:szCs w:val="24"/>
          <w:highlight w:val="none"/>
        </w:rPr>
        <w:t>招标人代表不得担任评标委员会主任评标委员，不得接受评标报酬。</w:t>
      </w:r>
    </w:p>
    <w:p>
      <w:pPr>
        <w:spacing w:line="360" w:lineRule="auto"/>
        <w:ind w:right="139" w:rightChars="66" w:firstLine="458" w:firstLineChars="200"/>
        <w:outlineLvl w:val="2"/>
        <w:rPr>
          <w:rFonts w:hint="eastAsia" w:ascii="宋体" w:hAnsi="宋体"/>
          <w:b/>
          <w:bCs/>
          <w:spacing w:val="-6"/>
          <w:sz w:val="24"/>
          <w:szCs w:val="24"/>
          <w:highlight w:val="none"/>
        </w:rPr>
      </w:pPr>
      <w:bookmarkStart w:id="3" w:name="_Toc15426"/>
      <w:r>
        <w:rPr>
          <w:rFonts w:hint="eastAsia" w:ascii="宋体" w:hAnsi="宋体"/>
          <w:b/>
          <w:bCs/>
          <w:spacing w:val="-6"/>
          <w:sz w:val="24"/>
          <w:szCs w:val="24"/>
          <w:highlight w:val="none"/>
        </w:rPr>
        <w:t>2.2评标委员会职责</w:t>
      </w:r>
      <w:bookmarkEnd w:id="3"/>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(1)</w:t>
      </w:r>
      <w:r>
        <w:rPr>
          <w:rFonts w:hint="eastAsia" w:ascii="宋体" w:hAnsi="宋体"/>
          <w:sz w:val="24"/>
          <w:szCs w:val="24"/>
          <w:highlight w:val="none"/>
        </w:rPr>
        <w:t>对投标文件进行初步评审、资格审查</w:t>
      </w:r>
      <w:r>
        <w:rPr>
          <w:rFonts w:hint="eastAsia" w:ascii="宋体" w:hAnsi="宋体"/>
          <w:bCs/>
          <w:spacing w:val="-6"/>
          <w:sz w:val="24"/>
          <w:szCs w:val="24"/>
          <w:highlight w:val="none"/>
        </w:rPr>
        <w:t>；</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(2)进行</w:t>
      </w:r>
      <w:r>
        <w:rPr>
          <w:rFonts w:hint="eastAsia" w:ascii="宋体" w:hAnsi="宋体"/>
          <w:sz w:val="24"/>
          <w:szCs w:val="24"/>
          <w:highlight w:val="none"/>
        </w:rPr>
        <w:t>详细评审</w:t>
      </w:r>
      <w:r>
        <w:rPr>
          <w:rFonts w:hint="eastAsia" w:ascii="宋体" w:hAnsi="宋体"/>
          <w:bCs/>
          <w:spacing w:val="-6"/>
          <w:sz w:val="24"/>
          <w:szCs w:val="24"/>
          <w:highlight w:val="none"/>
        </w:rPr>
        <w:t>；</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(3)</w:t>
      </w:r>
      <w:r>
        <w:rPr>
          <w:rFonts w:hint="eastAsia" w:ascii="宋体" w:hAnsi="宋体"/>
          <w:sz w:val="24"/>
          <w:szCs w:val="24"/>
          <w:highlight w:val="none"/>
        </w:rPr>
        <w:t>确定评审需澄清</w:t>
      </w:r>
      <w:r>
        <w:rPr>
          <w:rFonts w:hint="eastAsia" w:ascii="宋体" w:hAnsi="宋体"/>
          <w:bCs/>
          <w:spacing w:val="-6"/>
          <w:sz w:val="24"/>
          <w:szCs w:val="24"/>
          <w:highlight w:val="none"/>
        </w:rPr>
        <w:t>、核实的内容；</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(4)</w:t>
      </w:r>
      <w:r>
        <w:rPr>
          <w:rFonts w:hint="eastAsia" w:ascii="宋体" w:hAnsi="宋体"/>
          <w:sz w:val="24"/>
          <w:szCs w:val="24"/>
          <w:highlight w:val="none"/>
        </w:rPr>
        <w:t>综合评分并推荐中标候选人</w:t>
      </w:r>
      <w:r>
        <w:rPr>
          <w:rFonts w:hint="eastAsia" w:ascii="宋体" w:hAnsi="宋体"/>
          <w:bCs/>
          <w:spacing w:val="-6"/>
          <w:sz w:val="24"/>
          <w:szCs w:val="24"/>
          <w:highlight w:val="none"/>
        </w:rPr>
        <w:t>；</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(5)</w:t>
      </w:r>
      <w:r>
        <w:rPr>
          <w:rFonts w:hint="eastAsia" w:ascii="宋体" w:hAnsi="宋体"/>
          <w:sz w:val="24"/>
          <w:szCs w:val="24"/>
          <w:highlight w:val="none"/>
        </w:rPr>
        <w:t>建议是否重新招标</w:t>
      </w:r>
      <w:r>
        <w:rPr>
          <w:rFonts w:hint="eastAsia" w:ascii="宋体" w:hAnsi="宋体"/>
          <w:bCs/>
          <w:spacing w:val="-6"/>
          <w:sz w:val="24"/>
          <w:szCs w:val="24"/>
          <w:highlight w:val="none"/>
        </w:rPr>
        <w:t>；</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(6)</w:t>
      </w:r>
      <w:r>
        <w:rPr>
          <w:rFonts w:hint="eastAsia" w:ascii="宋体" w:hAnsi="宋体"/>
          <w:sz w:val="24"/>
          <w:szCs w:val="24"/>
          <w:highlight w:val="none"/>
        </w:rPr>
        <w:t>完成书面评标报告提交招标人</w:t>
      </w:r>
      <w:r>
        <w:rPr>
          <w:rFonts w:hint="eastAsia" w:ascii="宋体" w:hAnsi="宋体"/>
          <w:bCs/>
          <w:spacing w:val="-6"/>
          <w:sz w:val="24"/>
          <w:szCs w:val="24"/>
          <w:highlight w:val="none"/>
        </w:rPr>
        <w:t>。</w:t>
      </w:r>
    </w:p>
    <w:p>
      <w:pPr>
        <w:spacing w:line="360" w:lineRule="auto"/>
        <w:ind w:right="139" w:rightChars="66" w:firstLine="458" w:firstLineChars="200"/>
        <w:outlineLvl w:val="2"/>
        <w:rPr>
          <w:rFonts w:hint="eastAsia" w:ascii="宋体" w:hAnsi="宋体"/>
          <w:b/>
          <w:bCs/>
          <w:spacing w:val="-6"/>
          <w:sz w:val="24"/>
          <w:szCs w:val="24"/>
          <w:highlight w:val="none"/>
        </w:rPr>
      </w:pPr>
      <w:bookmarkStart w:id="4" w:name="_Toc31811"/>
      <w:r>
        <w:rPr>
          <w:rFonts w:hint="eastAsia" w:ascii="宋体" w:hAnsi="宋体"/>
          <w:b/>
          <w:bCs/>
          <w:spacing w:val="-6"/>
          <w:sz w:val="24"/>
          <w:szCs w:val="24"/>
          <w:highlight w:val="none"/>
        </w:rPr>
        <w:t>2.3协助工作组</w:t>
      </w:r>
      <w:bookmarkEnd w:id="4"/>
    </w:p>
    <w:p>
      <w:pPr>
        <w:spacing w:line="360" w:lineRule="auto"/>
        <w:ind w:right="139" w:rightChars="66" w:firstLine="480" w:firstLineChars="200"/>
        <w:rPr>
          <w:rFonts w:ascii="宋体" w:hAnsi="宋体"/>
          <w:bCs/>
          <w:sz w:val="24"/>
          <w:szCs w:val="24"/>
          <w:highlight w:val="none"/>
        </w:rPr>
      </w:pPr>
      <w:r>
        <w:rPr>
          <w:rFonts w:hint="eastAsia" w:ascii="宋体" w:hAnsi="宋体"/>
          <w:bCs/>
          <w:sz w:val="24"/>
          <w:szCs w:val="24"/>
          <w:highlight w:val="none"/>
        </w:rPr>
        <w:t>协助工作组由招标代理机构在评标工作开始前选派熟悉招标工作、政治素质高的人员组成，协助评标委员会工作。</w:t>
      </w:r>
    </w:p>
    <w:p>
      <w:pPr>
        <w:spacing w:line="360" w:lineRule="auto"/>
        <w:ind w:right="139" w:rightChars="66" w:firstLine="480" w:firstLineChars="200"/>
        <w:rPr>
          <w:rFonts w:ascii="宋体" w:hAnsi="宋体"/>
          <w:bCs/>
          <w:sz w:val="24"/>
          <w:szCs w:val="24"/>
          <w:highlight w:val="none"/>
        </w:rPr>
      </w:pPr>
      <w:r>
        <w:rPr>
          <w:rFonts w:hint="eastAsia" w:ascii="宋体" w:hAnsi="宋体"/>
          <w:bCs/>
          <w:sz w:val="24"/>
          <w:szCs w:val="24"/>
          <w:highlight w:val="none"/>
        </w:rPr>
        <w:t>协助工作组应在评标委员会开始工作之前进行评标的准备工作，主要内容包括：</w:t>
      </w:r>
    </w:p>
    <w:p>
      <w:pPr>
        <w:spacing w:line="360" w:lineRule="auto"/>
        <w:ind w:right="139" w:rightChars="66" w:firstLine="480" w:firstLineChars="200"/>
        <w:rPr>
          <w:rFonts w:ascii="宋体" w:hAnsi="宋体"/>
          <w:bCs/>
          <w:sz w:val="24"/>
          <w:szCs w:val="24"/>
          <w:highlight w:val="none"/>
        </w:rPr>
      </w:pPr>
      <w:r>
        <w:rPr>
          <w:rFonts w:hint="eastAsia" w:ascii="宋体" w:hAnsi="宋体"/>
          <w:bCs/>
          <w:sz w:val="24"/>
          <w:szCs w:val="24"/>
          <w:highlight w:val="none"/>
        </w:rPr>
        <w:t>(1)根据招标文件，制定评标工作所需各种表格；</w:t>
      </w:r>
    </w:p>
    <w:p>
      <w:pPr>
        <w:spacing w:line="360" w:lineRule="auto"/>
        <w:ind w:right="139" w:rightChars="66" w:firstLine="480" w:firstLineChars="200"/>
        <w:rPr>
          <w:rFonts w:ascii="宋体" w:hAnsi="宋体"/>
          <w:bCs/>
          <w:sz w:val="24"/>
          <w:szCs w:val="24"/>
          <w:highlight w:val="none"/>
        </w:rPr>
      </w:pPr>
      <w:r>
        <w:rPr>
          <w:rFonts w:hint="eastAsia" w:ascii="宋体" w:hAnsi="宋体"/>
          <w:bCs/>
          <w:sz w:val="24"/>
          <w:szCs w:val="24"/>
          <w:highlight w:val="none"/>
        </w:rPr>
        <w:t>(2)根据招标文件，协助评委汇总评标标准、对投标文件的合格性要求；</w:t>
      </w:r>
    </w:p>
    <w:p>
      <w:pPr>
        <w:spacing w:line="360" w:lineRule="auto"/>
        <w:ind w:right="139" w:rightChars="66" w:firstLine="480" w:firstLineChars="200"/>
        <w:rPr>
          <w:rFonts w:ascii="宋体" w:hAnsi="宋体"/>
          <w:bCs/>
          <w:sz w:val="24"/>
          <w:szCs w:val="24"/>
          <w:highlight w:val="none"/>
        </w:rPr>
      </w:pPr>
      <w:r>
        <w:rPr>
          <w:rFonts w:hint="eastAsia" w:ascii="宋体" w:hAnsi="宋体"/>
          <w:bCs/>
          <w:sz w:val="24"/>
          <w:szCs w:val="24"/>
          <w:highlight w:val="none"/>
        </w:rPr>
        <w:t>(3)协助评委对投标文件响应招标文件规定的情况进行摘录，列出相对于招标文件的偏差；</w:t>
      </w:r>
    </w:p>
    <w:p>
      <w:pPr>
        <w:spacing w:line="360" w:lineRule="auto"/>
        <w:ind w:right="139" w:rightChars="66" w:firstLine="480" w:firstLineChars="200"/>
        <w:rPr>
          <w:rFonts w:hint="eastAsia" w:ascii="宋体" w:hAnsi="宋体"/>
          <w:b/>
          <w:bCs/>
          <w:spacing w:val="-6"/>
          <w:sz w:val="24"/>
          <w:szCs w:val="24"/>
          <w:highlight w:val="none"/>
        </w:rPr>
      </w:pPr>
      <w:r>
        <w:rPr>
          <w:rFonts w:hint="eastAsia" w:ascii="宋体" w:hAnsi="宋体"/>
          <w:bCs/>
          <w:sz w:val="24"/>
          <w:szCs w:val="24"/>
          <w:highlight w:val="none"/>
        </w:rPr>
        <w:t>(4)协助评委对所有投标报价进行报价修正。</w:t>
      </w:r>
    </w:p>
    <w:p>
      <w:pPr>
        <w:spacing w:line="360" w:lineRule="auto"/>
        <w:ind w:right="139" w:rightChars="66"/>
        <w:outlineLvl w:val="1"/>
        <w:rPr>
          <w:rFonts w:hint="eastAsia" w:ascii="宋体" w:hAnsi="宋体"/>
          <w:b/>
          <w:spacing w:val="4"/>
          <w:sz w:val="24"/>
          <w:szCs w:val="24"/>
          <w:highlight w:val="none"/>
        </w:rPr>
      </w:pPr>
      <w:bookmarkStart w:id="5" w:name="_Toc18737"/>
      <w:r>
        <w:rPr>
          <w:rFonts w:hint="eastAsia" w:ascii="宋体" w:hAnsi="宋体"/>
          <w:b/>
          <w:spacing w:val="4"/>
          <w:sz w:val="24"/>
          <w:szCs w:val="24"/>
          <w:highlight w:val="none"/>
        </w:rPr>
        <w:t>3．评审程序</w:t>
      </w:r>
      <w:bookmarkEnd w:id="5"/>
    </w:p>
    <w:p>
      <w:pPr>
        <w:spacing w:line="360" w:lineRule="auto"/>
        <w:ind w:right="139" w:rightChars="66" w:firstLine="458" w:firstLineChars="200"/>
        <w:outlineLvl w:val="2"/>
        <w:rPr>
          <w:rFonts w:hint="eastAsia" w:ascii="宋体" w:hAnsi="宋体"/>
          <w:b/>
          <w:bCs/>
          <w:spacing w:val="-6"/>
          <w:sz w:val="24"/>
          <w:szCs w:val="24"/>
          <w:highlight w:val="none"/>
        </w:rPr>
      </w:pPr>
      <w:bookmarkStart w:id="6" w:name="_Toc7560"/>
      <w:r>
        <w:rPr>
          <w:rFonts w:hint="eastAsia" w:ascii="宋体" w:hAnsi="宋体"/>
          <w:b/>
          <w:bCs/>
          <w:spacing w:val="-6"/>
          <w:sz w:val="24"/>
          <w:szCs w:val="24"/>
          <w:highlight w:val="none"/>
        </w:rPr>
        <w:t>3.1评标准备</w:t>
      </w:r>
      <w:bookmarkEnd w:id="6"/>
    </w:p>
    <w:p>
      <w:pPr>
        <w:spacing w:line="360" w:lineRule="auto"/>
        <w:ind w:right="139" w:rightChars="66" w:firstLine="480" w:firstLineChars="200"/>
        <w:rPr>
          <w:rFonts w:hint="eastAsia" w:ascii="宋体" w:hAnsi="宋体"/>
          <w:bCs/>
          <w:spacing w:val="-6"/>
          <w:sz w:val="24"/>
          <w:szCs w:val="24"/>
          <w:highlight w:val="none"/>
        </w:rPr>
      </w:pPr>
      <w:r>
        <w:rPr>
          <w:rFonts w:hint="eastAsia" w:ascii="宋体" w:hAnsi="宋体"/>
          <w:sz w:val="24"/>
          <w:szCs w:val="24"/>
          <w:highlight w:val="none"/>
        </w:rPr>
        <w:t>评标委员会开始评标工作之前</w:t>
      </w:r>
      <w:r>
        <w:rPr>
          <w:rFonts w:hint="eastAsia" w:ascii="宋体" w:hAnsi="宋体"/>
          <w:bCs/>
          <w:spacing w:val="-6"/>
          <w:sz w:val="24"/>
          <w:szCs w:val="24"/>
          <w:highlight w:val="none"/>
        </w:rPr>
        <w:t>，必须首先认真研读招标文件；招标人（或协助工作组）应当向评标委员会提供招标文件、评标办法和评标所需的其他重要信息与数据，协助评标委员会了解和熟悉招标项目的如下内容：</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(1)</w:t>
      </w:r>
      <w:r>
        <w:rPr>
          <w:rFonts w:hint="eastAsia" w:ascii="宋体" w:hAnsi="宋体"/>
          <w:sz w:val="24"/>
          <w:szCs w:val="24"/>
          <w:highlight w:val="none"/>
        </w:rPr>
        <w:t>招标项目的工程规模</w:t>
      </w:r>
      <w:r>
        <w:rPr>
          <w:rFonts w:hint="eastAsia" w:ascii="宋体" w:hAnsi="宋体"/>
          <w:bCs/>
          <w:spacing w:val="-6"/>
          <w:sz w:val="24"/>
          <w:szCs w:val="24"/>
          <w:highlight w:val="none"/>
        </w:rPr>
        <w:t>、标准和工程特点；</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(2)</w:t>
      </w:r>
      <w:r>
        <w:rPr>
          <w:rFonts w:hint="eastAsia" w:ascii="宋体" w:hAnsi="宋体"/>
          <w:sz w:val="24"/>
          <w:szCs w:val="24"/>
          <w:highlight w:val="none"/>
        </w:rPr>
        <w:t>招标文件规定的评标办法</w:t>
      </w:r>
      <w:r>
        <w:rPr>
          <w:rFonts w:hint="eastAsia" w:ascii="宋体" w:hAnsi="宋体"/>
          <w:bCs/>
          <w:spacing w:val="-6"/>
          <w:sz w:val="24"/>
          <w:szCs w:val="24"/>
          <w:highlight w:val="none"/>
        </w:rPr>
        <w:t>；</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(3)</w:t>
      </w:r>
      <w:r>
        <w:rPr>
          <w:rFonts w:hint="eastAsia" w:ascii="宋体" w:hAnsi="宋体"/>
          <w:sz w:val="24"/>
          <w:szCs w:val="24"/>
          <w:highlight w:val="none"/>
        </w:rPr>
        <w:t>招标文件规定的其他与评标有关的内容</w:t>
      </w:r>
      <w:r>
        <w:rPr>
          <w:rFonts w:hint="eastAsia" w:ascii="宋体" w:hAnsi="宋体"/>
          <w:bCs/>
          <w:spacing w:val="-6"/>
          <w:sz w:val="24"/>
          <w:szCs w:val="24"/>
          <w:highlight w:val="none"/>
        </w:rPr>
        <w:t>。</w:t>
      </w:r>
    </w:p>
    <w:p>
      <w:pPr>
        <w:spacing w:line="360" w:lineRule="auto"/>
        <w:ind w:right="139" w:rightChars="66" w:firstLine="458" w:firstLineChars="200"/>
        <w:outlineLvl w:val="2"/>
        <w:rPr>
          <w:rFonts w:hint="eastAsia" w:ascii="宋体" w:hAnsi="宋体"/>
          <w:b/>
          <w:bCs/>
          <w:spacing w:val="-6"/>
          <w:sz w:val="24"/>
          <w:szCs w:val="24"/>
          <w:highlight w:val="none"/>
        </w:rPr>
      </w:pPr>
      <w:bookmarkStart w:id="7" w:name="_Toc2384"/>
      <w:r>
        <w:rPr>
          <w:rFonts w:hint="eastAsia" w:ascii="宋体" w:hAnsi="宋体"/>
          <w:b/>
          <w:bCs/>
          <w:spacing w:val="-6"/>
          <w:sz w:val="24"/>
          <w:szCs w:val="24"/>
          <w:highlight w:val="none"/>
        </w:rPr>
        <w:t>3.2评审程序</w:t>
      </w:r>
      <w:bookmarkEnd w:id="7"/>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(1)初步评审；</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(2)资格审查；</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(3)详细评审；</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(4)投标文件的澄清（如果有）；</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(5)综合评分；</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(6)推荐中标候选人；</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(7)评标报告。</w:t>
      </w:r>
    </w:p>
    <w:p>
      <w:pPr>
        <w:spacing w:line="360" w:lineRule="auto"/>
        <w:ind w:right="139" w:rightChars="66"/>
        <w:outlineLvl w:val="1"/>
        <w:rPr>
          <w:rFonts w:ascii="宋体" w:hAnsi="宋体"/>
          <w:b/>
          <w:sz w:val="24"/>
          <w:szCs w:val="24"/>
          <w:highlight w:val="none"/>
        </w:rPr>
      </w:pPr>
      <w:bookmarkStart w:id="8" w:name="_Toc31999"/>
      <w:r>
        <w:rPr>
          <w:rFonts w:ascii="宋体" w:hAnsi="宋体"/>
          <w:b/>
          <w:sz w:val="24"/>
          <w:szCs w:val="24"/>
          <w:highlight w:val="none"/>
        </w:rPr>
        <w:t>4．初步评审</w:t>
      </w:r>
      <w:bookmarkEnd w:id="8"/>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评标委员会将对投标文件进行初步评审。只有通过初步评审和资格审查的投标文件才能参加详细评审。初步评审的主要条件包括：</w:t>
      </w:r>
    </w:p>
    <w:p>
      <w:pPr>
        <w:spacing w:line="360" w:lineRule="auto"/>
        <w:ind w:firstLine="456" w:firstLineChars="200"/>
        <w:rPr>
          <w:rFonts w:hint="eastAsia" w:ascii="宋体" w:hAnsi="宋体"/>
          <w:sz w:val="24"/>
          <w:szCs w:val="24"/>
          <w:highlight w:val="none"/>
        </w:rPr>
      </w:pPr>
      <w:r>
        <w:rPr>
          <w:rFonts w:hint="eastAsia" w:ascii="宋体" w:hAnsi="宋体"/>
          <w:bCs/>
          <w:spacing w:val="-6"/>
          <w:sz w:val="24"/>
          <w:szCs w:val="24"/>
          <w:highlight w:val="none"/>
        </w:rPr>
        <w:t>(1)</w:t>
      </w:r>
      <w:r>
        <w:rPr>
          <w:rFonts w:hint="eastAsia" w:ascii="宋体" w:hAnsi="宋体"/>
          <w:sz w:val="24"/>
          <w:szCs w:val="24"/>
          <w:highlight w:val="none"/>
        </w:rPr>
        <w:t>投标文件按照招标文件规定的格式、内容和要求编制，字迹清晰可辨，并按招标文件的要求提供了有效的证明材料。</w:t>
      </w:r>
    </w:p>
    <w:p>
      <w:pPr>
        <w:spacing w:line="360" w:lineRule="auto"/>
        <w:ind w:firstLine="456" w:firstLineChars="200"/>
        <w:rPr>
          <w:rFonts w:hint="eastAsia" w:ascii="宋体" w:hAnsi="宋体"/>
          <w:sz w:val="24"/>
          <w:szCs w:val="24"/>
          <w:highlight w:val="none"/>
        </w:rPr>
      </w:pPr>
      <w:r>
        <w:rPr>
          <w:rFonts w:hint="eastAsia" w:ascii="宋体" w:hAnsi="宋体"/>
          <w:bCs/>
          <w:spacing w:val="-6"/>
          <w:sz w:val="24"/>
          <w:szCs w:val="24"/>
          <w:highlight w:val="none"/>
        </w:rPr>
        <w:t>(2)</w:t>
      </w:r>
      <w:r>
        <w:rPr>
          <w:rFonts w:hint="eastAsia" w:ascii="宋体" w:hAnsi="宋体"/>
          <w:bCs/>
          <w:sz w:val="24"/>
          <w:szCs w:val="24"/>
          <w:highlight w:val="none"/>
        </w:rPr>
        <w:t>投标文件正本须由投标人的法定代表人或其委托代理人在招标文件规定的签署位置</w:t>
      </w:r>
      <w:r>
        <w:rPr>
          <w:rFonts w:hint="eastAsia" w:ascii="宋体" w:hAnsi="宋体"/>
          <w:bCs/>
          <w:sz w:val="24"/>
          <w:szCs w:val="24"/>
          <w:highlight w:val="none"/>
          <w:lang w:val="en-US" w:eastAsia="zh-CN"/>
        </w:rPr>
        <w:t>签字</w:t>
      </w:r>
      <w:r>
        <w:rPr>
          <w:rFonts w:hint="eastAsia" w:ascii="宋体" w:hAnsi="宋体"/>
          <w:bCs/>
          <w:sz w:val="24"/>
          <w:szCs w:val="24"/>
          <w:highlight w:val="none"/>
        </w:rPr>
        <w:t>及</w:t>
      </w:r>
      <w:r>
        <w:rPr>
          <w:rFonts w:hint="eastAsia" w:ascii="宋体" w:hAnsi="宋体"/>
          <w:bCs/>
          <w:sz w:val="24"/>
          <w:szCs w:val="24"/>
          <w:highlight w:val="none"/>
          <w:lang w:val="en-US" w:eastAsia="zh-CN"/>
        </w:rPr>
        <w:t>在</w:t>
      </w:r>
      <w:r>
        <w:rPr>
          <w:rFonts w:hint="eastAsia" w:ascii="宋体" w:hAnsi="宋体"/>
          <w:bCs/>
          <w:sz w:val="24"/>
          <w:szCs w:val="24"/>
          <w:highlight w:val="none"/>
        </w:rPr>
        <w:t>规定盖章处盖章。</w:t>
      </w:r>
    </w:p>
    <w:p>
      <w:pPr>
        <w:spacing w:line="360" w:lineRule="auto"/>
        <w:ind w:firstLine="456" w:firstLineChars="200"/>
        <w:rPr>
          <w:rFonts w:hint="eastAsia" w:ascii="宋体" w:hAnsi="宋体"/>
          <w:sz w:val="24"/>
          <w:szCs w:val="24"/>
          <w:highlight w:val="none"/>
        </w:rPr>
      </w:pPr>
      <w:r>
        <w:rPr>
          <w:rFonts w:hint="eastAsia" w:ascii="宋体" w:hAnsi="宋体"/>
          <w:bCs/>
          <w:spacing w:val="-6"/>
          <w:sz w:val="24"/>
          <w:szCs w:val="24"/>
          <w:highlight w:val="none"/>
        </w:rPr>
        <w:t>(3)</w:t>
      </w:r>
      <w:r>
        <w:rPr>
          <w:rFonts w:hint="eastAsia" w:ascii="宋体" w:hAnsi="宋体"/>
          <w:sz w:val="24"/>
          <w:szCs w:val="24"/>
          <w:highlight w:val="none"/>
        </w:rPr>
        <w:t>投标人按照招标文件规定的形式、时限和要求提供了投标保证金；</w:t>
      </w:r>
    </w:p>
    <w:p>
      <w:pPr>
        <w:spacing w:line="360" w:lineRule="auto"/>
        <w:ind w:firstLine="456" w:firstLineChars="200"/>
        <w:rPr>
          <w:rFonts w:hint="eastAsia" w:ascii="宋体" w:hAnsi="宋体"/>
          <w:spacing w:val="-6"/>
          <w:sz w:val="24"/>
          <w:szCs w:val="24"/>
          <w:highlight w:val="none"/>
        </w:rPr>
      </w:pPr>
      <w:r>
        <w:rPr>
          <w:rFonts w:hint="eastAsia" w:ascii="宋体" w:hAnsi="宋体"/>
          <w:bCs/>
          <w:spacing w:val="-6"/>
          <w:sz w:val="24"/>
          <w:szCs w:val="24"/>
          <w:highlight w:val="none"/>
        </w:rPr>
        <w:t>(4)</w:t>
      </w:r>
      <w:r>
        <w:rPr>
          <w:rFonts w:hint="eastAsia" w:ascii="宋体" w:hAnsi="宋体"/>
          <w:sz w:val="24"/>
          <w:szCs w:val="24"/>
          <w:highlight w:val="none"/>
        </w:rPr>
        <w:t>按照招标文件规定提供了有效的法定代表人身份证明、授权书（若法定代表人亲自签</w:t>
      </w:r>
      <w:r>
        <w:rPr>
          <w:rFonts w:hint="eastAsia" w:ascii="宋体" w:hAnsi="宋体"/>
          <w:sz w:val="24"/>
          <w:szCs w:val="24"/>
          <w:highlight w:val="none"/>
          <w:lang w:val="en-US" w:eastAsia="zh-CN"/>
        </w:rPr>
        <w:t>字，</w:t>
      </w:r>
      <w:r>
        <w:rPr>
          <w:rFonts w:hint="eastAsia" w:ascii="宋体" w:hAnsi="宋体"/>
          <w:sz w:val="24"/>
          <w:szCs w:val="24"/>
          <w:highlight w:val="none"/>
        </w:rPr>
        <w:t>投标文件的可不提供授权书）；</w:t>
      </w:r>
    </w:p>
    <w:p>
      <w:pPr>
        <w:spacing w:line="360" w:lineRule="auto"/>
        <w:ind w:firstLine="456" w:firstLineChars="200"/>
        <w:rPr>
          <w:rFonts w:hint="eastAsia" w:ascii="宋体" w:hAnsi="宋体"/>
          <w:sz w:val="24"/>
          <w:szCs w:val="24"/>
          <w:highlight w:val="none"/>
        </w:rPr>
      </w:pPr>
      <w:r>
        <w:rPr>
          <w:rFonts w:hint="eastAsia" w:ascii="宋体" w:hAnsi="宋体"/>
          <w:bCs/>
          <w:spacing w:val="-6"/>
          <w:sz w:val="24"/>
          <w:szCs w:val="24"/>
          <w:highlight w:val="none"/>
        </w:rPr>
        <w:t>(5)</w:t>
      </w:r>
      <w:r>
        <w:rPr>
          <w:rFonts w:hint="eastAsia" w:ascii="宋体" w:hAnsi="宋体"/>
          <w:sz w:val="24"/>
          <w:szCs w:val="24"/>
          <w:highlight w:val="none"/>
        </w:rPr>
        <w:t>投标文件正、副本份数符合第二章“投标人须知”第3.7.4项规定；</w:t>
      </w:r>
    </w:p>
    <w:p>
      <w:pPr>
        <w:spacing w:line="360" w:lineRule="auto"/>
        <w:ind w:firstLine="456" w:firstLineChars="200"/>
        <w:rPr>
          <w:rFonts w:hint="eastAsia" w:ascii="宋体" w:hAnsi="宋体"/>
          <w:sz w:val="24"/>
          <w:szCs w:val="24"/>
          <w:highlight w:val="none"/>
        </w:rPr>
      </w:pPr>
      <w:r>
        <w:rPr>
          <w:rFonts w:hint="eastAsia" w:ascii="宋体" w:hAnsi="宋体"/>
          <w:bCs/>
          <w:spacing w:val="-6"/>
          <w:sz w:val="24"/>
          <w:szCs w:val="24"/>
          <w:highlight w:val="none"/>
        </w:rPr>
        <w:t>(6)</w:t>
      </w:r>
      <w:r>
        <w:rPr>
          <w:rFonts w:hint="eastAsia" w:ascii="宋体" w:hAnsi="宋体"/>
          <w:sz w:val="24"/>
          <w:szCs w:val="24"/>
          <w:highlight w:val="none"/>
        </w:rPr>
        <w:t>投标人未以他人名义投标、未与他人串通投标、未以行贿手段谋取中标，以及未弄虚作假；</w:t>
      </w:r>
    </w:p>
    <w:p>
      <w:pPr>
        <w:spacing w:line="360" w:lineRule="auto"/>
        <w:ind w:firstLine="456" w:firstLineChars="200"/>
        <w:rPr>
          <w:rFonts w:hint="eastAsia" w:ascii="宋体" w:hAnsi="宋体"/>
          <w:sz w:val="24"/>
          <w:szCs w:val="24"/>
          <w:highlight w:val="none"/>
        </w:rPr>
      </w:pPr>
      <w:r>
        <w:rPr>
          <w:rFonts w:hint="eastAsia" w:ascii="宋体" w:hAnsi="宋体"/>
          <w:bCs/>
          <w:spacing w:val="-6"/>
          <w:sz w:val="24"/>
          <w:szCs w:val="24"/>
          <w:highlight w:val="none"/>
        </w:rPr>
        <w:t>(7)</w:t>
      </w:r>
      <w:r>
        <w:rPr>
          <w:rFonts w:hint="eastAsia" w:ascii="宋体" w:hAnsi="宋体"/>
          <w:sz w:val="24"/>
          <w:szCs w:val="24"/>
          <w:highlight w:val="none"/>
        </w:rPr>
        <w:t>投标人不存在</w:t>
      </w:r>
      <w:r>
        <w:rPr>
          <w:rFonts w:hint="eastAsia" w:ascii="宋体" w:hAnsi="宋体"/>
          <w:sz w:val="24"/>
          <w:szCs w:val="24"/>
          <w:highlight w:val="none"/>
          <w:lang w:eastAsia="zh-CN"/>
        </w:rPr>
        <w:t>第二章</w:t>
      </w:r>
      <w:r>
        <w:rPr>
          <w:rFonts w:hint="eastAsia" w:ascii="宋体" w:hAnsi="宋体"/>
          <w:sz w:val="24"/>
          <w:szCs w:val="24"/>
          <w:highlight w:val="none"/>
        </w:rPr>
        <w:t>投标人须知第1.4.3款和1.4.4款规定的任何一种情形；</w:t>
      </w:r>
    </w:p>
    <w:p>
      <w:pPr>
        <w:spacing w:line="360" w:lineRule="auto"/>
        <w:ind w:firstLine="456" w:firstLineChars="200"/>
        <w:rPr>
          <w:rFonts w:hint="eastAsia" w:ascii="宋体" w:hAnsi="宋体"/>
          <w:sz w:val="24"/>
          <w:highlight w:val="none"/>
        </w:rPr>
      </w:pPr>
      <w:r>
        <w:rPr>
          <w:rFonts w:hint="eastAsia" w:ascii="宋体" w:hAnsi="宋体"/>
          <w:bCs/>
          <w:spacing w:val="-6"/>
          <w:sz w:val="24"/>
          <w:szCs w:val="24"/>
          <w:highlight w:val="none"/>
        </w:rPr>
        <w:t>(8)</w:t>
      </w:r>
      <w:r>
        <w:rPr>
          <w:rFonts w:hint="eastAsia" w:ascii="宋体" w:hAnsi="宋体"/>
          <w:sz w:val="24"/>
          <w:highlight w:val="none"/>
        </w:rPr>
        <w:t>权利义务符合招标文件规定：</w:t>
      </w:r>
    </w:p>
    <w:p>
      <w:pPr>
        <w:spacing w:line="360" w:lineRule="auto"/>
        <w:ind w:firstLine="480" w:firstLineChars="200"/>
        <w:rPr>
          <w:rFonts w:hint="eastAsia" w:ascii="宋体" w:hAnsi="宋体"/>
          <w:sz w:val="24"/>
          <w:highlight w:val="none"/>
        </w:rPr>
      </w:pPr>
      <w:r>
        <w:rPr>
          <w:rFonts w:hint="eastAsia" w:ascii="宋体" w:hAnsi="宋体"/>
          <w:sz w:val="24"/>
          <w:highlight w:val="none"/>
        </w:rPr>
        <w:t>a.投标人应接受招标文件规定的风险划分原则，未提出新的风险划分办法；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b.投标人未增加发包人的责任范围，或减少投标人义务；</w:t>
      </w:r>
    </w:p>
    <w:p>
      <w:pPr>
        <w:spacing w:line="360" w:lineRule="auto"/>
        <w:ind w:firstLine="480" w:firstLineChars="200"/>
        <w:rPr>
          <w:rFonts w:hint="eastAsia" w:ascii="宋体" w:hAnsi="宋体"/>
          <w:sz w:val="24"/>
          <w:highlight w:val="none"/>
        </w:rPr>
      </w:pPr>
      <w:r>
        <w:rPr>
          <w:rFonts w:hint="eastAsia" w:ascii="宋体" w:hAnsi="宋体"/>
          <w:sz w:val="24"/>
          <w:highlight w:val="none"/>
        </w:rPr>
        <w:t>c.投标人未提出不同的计量、支付办法；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d.投标人未对合同纠纷、事故处理办法提出异议；</w:t>
      </w:r>
    </w:p>
    <w:p>
      <w:pPr>
        <w:spacing w:line="360" w:lineRule="auto"/>
        <w:ind w:firstLine="480" w:firstLineChars="200"/>
        <w:rPr>
          <w:rFonts w:hint="eastAsia" w:ascii="宋体" w:hAnsi="宋体"/>
          <w:sz w:val="24"/>
          <w:highlight w:val="none"/>
        </w:rPr>
      </w:pPr>
      <w:r>
        <w:rPr>
          <w:rFonts w:hint="eastAsia" w:ascii="宋体" w:hAnsi="宋体"/>
          <w:sz w:val="24"/>
          <w:highlight w:val="none"/>
        </w:rPr>
        <w:t>e.投标人对合同条款没有重大偏离；</w:t>
      </w:r>
    </w:p>
    <w:p>
      <w:pPr>
        <w:spacing w:line="360" w:lineRule="auto"/>
        <w:ind w:firstLine="480" w:firstLineChars="200"/>
        <w:rPr>
          <w:rFonts w:hint="eastAsia" w:ascii="宋体" w:hAnsi="宋体"/>
          <w:sz w:val="24"/>
          <w:szCs w:val="24"/>
          <w:highlight w:val="none"/>
        </w:rPr>
      </w:pPr>
      <w:r>
        <w:rPr>
          <w:rFonts w:hint="eastAsia" w:ascii="宋体" w:hAnsi="宋体"/>
          <w:sz w:val="24"/>
          <w:highlight w:val="none"/>
        </w:rPr>
        <w:t>f.满足招标文件规定的其它实质性要求；</w:t>
      </w:r>
    </w:p>
    <w:p>
      <w:pPr>
        <w:spacing w:line="360" w:lineRule="auto"/>
        <w:ind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(9)投标总报价的大写金额能够确定具体数值。</w:t>
      </w:r>
    </w:p>
    <w:p>
      <w:pPr>
        <w:spacing w:line="360" w:lineRule="auto"/>
        <w:ind w:firstLine="456" w:firstLineChars="200"/>
        <w:rPr>
          <w:rFonts w:hint="eastAsia" w:ascii="宋体" w:hAnsi="宋体"/>
          <w:sz w:val="24"/>
          <w:szCs w:val="24"/>
          <w:highlight w:val="none"/>
        </w:rPr>
      </w:pPr>
      <w:r>
        <w:rPr>
          <w:rFonts w:hint="eastAsia" w:ascii="宋体" w:hAnsi="宋体"/>
          <w:bCs/>
          <w:spacing w:val="-6"/>
          <w:sz w:val="24"/>
          <w:szCs w:val="24"/>
          <w:highlight w:val="none"/>
        </w:rPr>
        <w:t>(10)</w:t>
      </w:r>
      <w:r>
        <w:rPr>
          <w:rFonts w:hint="eastAsia" w:ascii="宋体" w:hAnsi="宋体"/>
          <w:sz w:val="24"/>
          <w:szCs w:val="24"/>
          <w:highlight w:val="none"/>
        </w:rPr>
        <w:t>投标人的报价唯一，且未高于最高投标限价；</w:t>
      </w:r>
    </w:p>
    <w:p>
      <w:pPr>
        <w:spacing w:line="360" w:lineRule="auto"/>
        <w:ind w:firstLine="456" w:firstLineChars="200"/>
        <w:rPr>
          <w:rFonts w:hint="eastAsia" w:ascii="宋体" w:hAnsi="宋体"/>
          <w:sz w:val="24"/>
          <w:szCs w:val="24"/>
          <w:highlight w:val="none"/>
        </w:rPr>
      </w:pPr>
      <w:r>
        <w:rPr>
          <w:rFonts w:hint="eastAsia" w:ascii="宋体" w:hAnsi="宋体"/>
          <w:bCs/>
          <w:spacing w:val="-6"/>
          <w:sz w:val="24"/>
          <w:szCs w:val="24"/>
          <w:highlight w:val="none"/>
        </w:rPr>
        <w:t>(11)</w:t>
      </w:r>
      <w:r>
        <w:rPr>
          <w:rFonts w:hint="eastAsia" w:ascii="宋体" w:hAnsi="宋体"/>
          <w:sz w:val="24"/>
          <w:szCs w:val="24"/>
          <w:highlight w:val="none"/>
        </w:rPr>
        <w:t>投标文件未附有招标人不能接受的其他条件。</w:t>
      </w:r>
    </w:p>
    <w:p>
      <w:pPr>
        <w:spacing w:line="360" w:lineRule="auto"/>
        <w:ind w:right="139" w:rightChars="66" w:firstLine="420"/>
        <w:rPr>
          <w:rFonts w:ascii="宋体" w:hAnsi="宋体"/>
          <w:sz w:val="24"/>
          <w:szCs w:val="24"/>
          <w:highlight w:val="none"/>
        </w:rPr>
      </w:pPr>
      <w:r>
        <w:rPr>
          <w:rFonts w:hint="eastAsia" w:ascii="宋体" w:hAnsi="宋体"/>
          <w:sz w:val="24"/>
          <w:szCs w:val="24"/>
          <w:highlight w:val="none"/>
        </w:rPr>
        <w:t>投标文件不符合以上条件之一的，属于重大偏差，不能通过的初步评审，按否决其投标处理。</w:t>
      </w:r>
    </w:p>
    <w:p>
      <w:pPr>
        <w:spacing w:line="360" w:lineRule="auto"/>
        <w:ind w:right="139" w:rightChars="66"/>
        <w:outlineLvl w:val="1"/>
        <w:rPr>
          <w:rFonts w:ascii="宋体" w:hAnsi="宋体"/>
          <w:b/>
          <w:sz w:val="24"/>
          <w:szCs w:val="24"/>
          <w:highlight w:val="none"/>
        </w:rPr>
      </w:pPr>
      <w:bookmarkStart w:id="9" w:name="_Toc26763"/>
      <w:r>
        <w:rPr>
          <w:rFonts w:ascii="宋体" w:hAnsi="宋体"/>
          <w:b/>
          <w:sz w:val="24"/>
          <w:szCs w:val="24"/>
          <w:highlight w:val="none"/>
        </w:rPr>
        <w:t>5．资格审查</w:t>
      </w:r>
      <w:bookmarkEnd w:id="9"/>
    </w:p>
    <w:p>
      <w:pPr>
        <w:spacing w:line="360" w:lineRule="auto"/>
        <w:ind w:right="139" w:rightChars="66" w:firstLine="456" w:firstLineChars="200"/>
        <w:rPr>
          <w:rFonts w:hint="eastAsia" w:ascii="宋体" w:hAnsi="宋体"/>
          <w:spacing w:val="2"/>
          <w:sz w:val="24"/>
          <w:szCs w:val="24"/>
          <w:highlight w:val="none"/>
        </w:rPr>
      </w:pPr>
      <w:r>
        <w:rPr>
          <w:rFonts w:hint="eastAsia" w:ascii="宋体" w:hAnsi="宋体"/>
          <w:bCs/>
          <w:spacing w:val="-6"/>
          <w:sz w:val="24"/>
          <w:szCs w:val="24"/>
          <w:highlight w:val="none"/>
        </w:rPr>
        <w:t>(1)</w:t>
      </w:r>
      <w:r>
        <w:rPr>
          <w:rFonts w:hint="eastAsia" w:ascii="宋体" w:hAnsi="宋体"/>
          <w:spacing w:val="2"/>
          <w:sz w:val="24"/>
          <w:szCs w:val="24"/>
          <w:highlight w:val="none"/>
        </w:rPr>
        <w:t>投标人具备合法有效的营业执照</w:t>
      </w:r>
      <w:r>
        <w:rPr>
          <w:rFonts w:hint="eastAsia" w:ascii="宋体" w:hAnsi="宋体" w:cs="宋体"/>
          <w:spacing w:val="2"/>
          <w:sz w:val="24"/>
          <w:szCs w:val="24"/>
          <w:highlight w:val="none"/>
        </w:rPr>
        <w:t>或事业单位法人证书</w:t>
      </w:r>
      <w:r>
        <w:rPr>
          <w:rFonts w:hint="eastAsia" w:ascii="宋体" w:hAnsi="宋体"/>
          <w:spacing w:val="2"/>
          <w:sz w:val="24"/>
          <w:szCs w:val="24"/>
          <w:highlight w:val="none"/>
        </w:rPr>
        <w:t>；</w:t>
      </w:r>
    </w:p>
    <w:p>
      <w:pPr>
        <w:spacing w:line="360" w:lineRule="auto"/>
        <w:ind w:right="139" w:rightChars="66" w:firstLine="456" w:firstLineChars="200"/>
        <w:rPr>
          <w:rFonts w:ascii="宋体" w:hAnsi="宋体"/>
          <w:spacing w:val="2"/>
          <w:sz w:val="24"/>
          <w:szCs w:val="24"/>
          <w:highlight w:val="none"/>
        </w:rPr>
      </w:pPr>
      <w:r>
        <w:rPr>
          <w:rFonts w:hint="eastAsia" w:ascii="宋体" w:hAnsi="宋体"/>
          <w:bCs/>
          <w:spacing w:val="-6"/>
          <w:sz w:val="24"/>
          <w:szCs w:val="24"/>
          <w:highlight w:val="none"/>
        </w:rPr>
        <w:t>(2)</w:t>
      </w:r>
      <w:r>
        <w:rPr>
          <w:rFonts w:ascii="宋体" w:hAnsi="宋体"/>
          <w:spacing w:val="2"/>
          <w:sz w:val="24"/>
          <w:szCs w:val="24"/>
          <w:highlight w:val="none"/>
        </w:rPr>
        <w:t>投标人的资质符合</w:t>
      </w:r>
      <w:r>
        <w:rPr>
          <w:rFonts w:hint="eastAsia" w:ascii="宋体" w:hAnsi="宋体"/>
          <w:spacing w:val="2"/>
          <w:sz w:val="24"/>
          <w:szCs w:val="24"/>
          <w:highlight w:val="none"/>
        </w:rPr>
        <w:t>招标文件</w:t>
      </w:r>
      <w:r>
        <w:rPr>
          <w:rFonts w:ascii="宋体" w:hAnsi="宋体"/>
          <w:spacing w:val="2"/>
          <w:sz w:val="24"/>
          <w:szCs w:val="24"/>
          <w:highlight w:val="none"/>
        </w:rPr>
        <w:t>规定；</w:t>
      </w:r>
    </w:p>
    <w:p>
      <w:pPr>
        <w:spacing w:line="360" w:lineRule="auto"/>
        <w:ind w:right="139" w:rightChars="66" w:firstLine="456" w:firstLineChars="200"/>
        <w:rPr>
          <w:rFonts w:ascii="宋体" w:hAnsi="宋体"/>
          <w:spacing w:val="2"/>
          <w:sz w:val="24"/>
          <w:szCs w:val="24"/>
          <w:highlight w:val="none"/>
        </w:rPr>
      </w:pPr>
      <w:r>
        <w:rPr>
          <w:rFonts w:hint="eastAsia" w:ascii="宋体" w:hAnsi="宋体"/>
          <w:bCs/>
          <w:spacing w:val="-6"/>
          <w:sz w:val="24"/>
          <w:szCs w:val="24"/>
          <w:highlight w:val="none"/>
        </w:rPr>
        <w:t>(3)</w:t>
      </w:r>
      <w:r>
        <w:rPr>
          <w:rFonts w:ascii="宋体" w:hAnsi="宋体"/>
          <w:spacing w:val="2"/>
          <w:sz w:val="24"/>
          <w:szCs w:val="24"/>
          <w:highlight w:val="none"/>
        </w:rPr>
        <w:t>投标人的业绩符合</w:t>
      </w:r>
      <w:r>
        <w:rPr>
          <w:rFonts w:hint="eastAsia" w:ascii="宋体" w:hAnsi="宋体"/>
          <w:spacing w:val="2"/>
          <w:sz w:val="24"/>
          <w:szCs w:val="24"/>
          <w:highlight w:val="none"/>
        </w:rPr>
        <w:t>招标文件</w:t>
      </w:r>
      <w:r>
        <w:rPr>
          <w:rFonts w:ascii="宋体" w:hAnsi="宋体"/>
          <w:spacing w:val="2"/>
          <w:sz w:val="24"/>
          <w:szCs w:val="24"/>
          <w:highlight w:val="none"/>
        </w:rPr>
        <w:t>规定；</w:t>
      </w:r>
    </w:p>
    <w:p>
      <w:pPr>
        <w:spacing w:line="360" w:lineRule="auto"/>
        <w:ind w:right="139" w:rightChars="66" w:firstLine="456" w:firstLineChars="200"/>
        <w:rPr>
          <w:rFonts w:hint="eastAsia" w:ascii="宋体" w:hAnsi="宋体"/>
          <w:bCs/>
          <w:spacing w:val="-6"/>
          <w:sz w:val="24"/>
          <w:szCs w:val="24"/>
          <w:highlight w:val="none"/>
        </w:rPr>
      </w:pPr>
      <w:r>
        <w:rPr>
          <w:rFonts w:hint="eastAsia" w:ascii="宋体" w:hAnsi="宋体"/>
          <w:bCs/>
          <w:spacing w:val="-6"/>
          <w:sz w:val="24"/>
          <w:szCs w:val="24"/>
          <w:highlight w:val="none"/>
        </w:rPr>
        <w:t>(4)</w:t>
      </w:r>
      <w:r>
        <w:rPr>
          <w:rFonts w:ascii="宋体" w:hAnsi="宋体"/>
          <w:spacing w:val="2"/>
          <w:sz w:val="24"/>
          <w:szCs w:val="24"/>
          <w:highlight w:val="none"/>
        </w:rPr>
        <w:t>投标人的</w:t>
      </w:r>
      <w:r>
        <w:rPr>
          <w:rFonts w:hint="eastAsia" w:ascii="宋体" w:hAnsi="宋体"/>
          <w:spacing w:val="2"/>
          <w:sz w:val="24"/>
          <w:szCs w:val="24"/>
          <w:highlight w:val="none"/>
          <w:lang w:eastAsia="zh-CN"/>
        </w:rPr>
        <w:t>人员</w:t>
      </w:r>
      <w:r>
        <w:rPr>
          <w:rFonts w:ascii="宋体" w:hAnsi="宋体"/>
          <w:spacing w:val="2"/>
          <w:sz w:val="24"/>
          <w:szCs w:val="24"/>
          <w:highlight w:val="none"/>
        </w:rPr>
        <w:t>符合</w:t>
      </w:r>
      <w:r>
        <w:rPr>
          <w:rFonts w:hint="eastAsia" w:ascii="宋体" w:hAnsi="宋体"/>
          <w:spacing w:val="2"/>
          <w:sz w:val="24"/>
          <w:szCs w:val="24"/>
          <w:highlight w:val="none"/>
        </w:rPr>
        <w:t>招标文件</w:t>
      </w:r>
      <w:r>
        <w:rPr>
          <w:rFonts w:ascii="宋体" w:hAnsi="宋体"/>
          <w:spacing w:val="2"/>
          <w:sz w:val="24"/>
          <w:szCs w:val="24"/>
          <w:highlight w:val="none"/>
        </w:rPr>
        <w:t>规定</w:t>
      </w:r>
      <w:r>
        <w:rPr>
          <w:rFonts w:hint="eastAsia" w:ascii="宋体" w:hAnsi="宋体"/>
          <w:spacing w:val="2"/>
          <w:sz w:val="24"/>
          <w:szCs w:val="24"/>
          <w:highlight w:val="none"/>
        </w:rPr>
        <w:t>。</w:t>
      </w:r>
    </w:p>
    <w:p>
      <w:pPr>
        <w:spacing w:line="360" w:lineRule="auto"/>
        <w:ind w:right="139" w:rightChars="66" w:firstLine="420"/>
        <w:rPr>
          <w:rFonts w:ascii="宋体" w:hAnsi="宋体"/>
          <w:sz w:val="24"/>
          <w:szCs w:val="24"/>
          <w:highlight w:val="none"/>
        </w:rPr>
      </w:pPr>
      <w:r>
        <w:rPr>
          <w:rFonts w:hint="eastAsia" w:ascii="宋体" w:hAnsi="宋体"/>
          <w:sz w:val="24"/>
          <w:szCs w:val="24"/>
          <w:highlight w:val="none"/>
        </w:rPr>
        <w:t>投标文件不符合以上条件之一的，属于重大偏差，不能通过的资格审查，按否决其投标处理。</w:t>
      </w:r>
    </w:p>
    <w:p>
      <w:pPr>
        <w:spacing w:line="360" w:lineRule="auto"/>
        <w:ind w:right="139" w:rightChars="66"/>
        <w:outlineLvl w:val="1"/>
        <w:rPr>
          <w:rFonts w:ascii="宋体" w:hAnsi="宋体"/>
          <w:b/>
          <w:sz w:val="24"/>
          <w:szCs w:val="24"/>
          <w:highlight w:val="none"/>
        </w:rPr>
      </w:pPr>
      <w:r>
        <w:rPr>
          <w:rFonts w:ascii="宋体" w:hAnsi="宋体"/>
          <w:b/>
          <w:sz w:val="24"/>
          <w:szCs w:val="24"/>
          <w:highlight w:val="none"/>
        </w:rPr>
        <w:br w:type="page"/>
      </w:r>
      <w:bookmarkStart w:id="10" w:name="_Toc20232"/>
      <w:r>
        <w:rPr>
          <w:rFonts w:ascii="宋体" w:hAnsi="宋体"/>
          <w:b/>
          <w:sz w:val="24"/>
          <w:szCs w:val="24"/>
          <w:highlight w:val="none"/>
        </w:rPr>
        <w:t>6．详细评审</w:t>
      </w:r>
      <w:bookmarkEnd w:id="10"/>
    </w:p>
    <w:p>
      <w:pPr>
        <w:spacing w:line="360" w:lineRule="auto"/>
        <w:ind w:right="139" w:rightChars="66" w:firstLine="420"/>
        <w:rPr>
          <w:rFonts w:hint="eastAsia" w:ascii="宋体" w:hAnsi="宋体"/>
          <w:sz w:val="24"/>
          <w:szCs w:val="24"/>
          <w:highlight w:val="none"/>
        </w:rPr>
      </w:pPr>
      <w:r>
        <w:rPr>
          <w:rFonts w:hint="eastAsia" w:ascii="宋体" w:hAnsi="宋体"/>
          <w:sz w:val="24"/>
          <w:szCs w:val="24"/>
          <w:highlight w:val="none"/>
        </w:rPr>
        <w:t>评标委员会对通过初步评审、资格审查的投标文件从商务、技术方案、投标报价等方面进行详细评审，并进行评审打分。</w:t>
      </w:r>
      <w:r>
        <w:rPr>
          <w:rFonts w:ascii="宋体" w:hAnsi="宋体"/>
          <w:sz w:val="24"/>
          <w:szCs w:val="24"/>
          <w:highlight w:val="none"/>
        </w:rPr>
        <w:t>商务、技术</w:t>
      </w:r>
      <w:r>
        <w:rPr>
          <w:rFonts w:hint="eastAsia" w:ascii="宋体" w:hAnsi="宋体"/>
          <w:sz w:val="24"/>
          <w:szCs w:val="24"/>
          <w:highlight w:val="none"/>
          <w:lang w:val="en-US" w:eastAsia="zh-CN"/>
        </w:rPr>
        <w:t>及</w:t>
      </w:r>
      <w:r>
        <w:rPr>
          <w:rFonts w:hint="eastAsia" w:ascii="宋体" w:hAnsi="宋体"/>
          <w:sz w:val="24"/>
          <w:szCs w:val="24"/>
          <w:highlight w:val="none"/>
        </w:rPr>
        <w:t>投标报价</w:t>
      </w:r>
      <w:r>
        <w:rPr>
          <w:rFonts w:ascii="宋体" w:hAnsi="宋体"/>
          <w:sz w:val="24"/>
          <w:szCs w:val="24"/>
          <w:highlight w:val="none"/>
        </w:rPr>
        <w:t>的评审满分分值分别为商务</w:t>
      </w:r>
      <w:r>
        <w:rPr>
          <w:rFonts w:hint="eastAsia" w:ascii="宋体" w:hAnsi="宋体"/>
          <w:sz w:val="24"/>
          <w:szCs w:val="24"/>
          <w:highlight w:val="none"/>
          <w:lang w:val="en-US" w:eastAsia="zh-CN"/>
        </w:rPr>
        <w:t>评审45</w:t>
      </w:r>
      <w:r>
        <w:rPr>
          <w:rFonts w:ascii="宋体" w:hAnsi="宋体"/>
          <w:sz w:val="24"/>
          <w:szCs w:val="24"/>
          <w:highlight w:val="none"/>
        </w:rPr>
        <w:t>分、技术</w:t>
      </w:r>
      <w:r>
        <w:rPr>
          <w:rFonts w:hint="eastAsia" w:ascii="宋体" w:hAnsi="宋体"/>
          <w:sz w:val="24"/>
          <w:szCs w:val="24"/>
          <w:highlight w:val="none"/>
          <w:lang w:val="en-US" w:eastAsia="zh-CN"/>
        </w:rPr>
        <w:t>评审35</w:t>
      </w:r>
      <w:r>
        <w:rPr>
          <w:rFonts w:ascii="宋体" w:hAnsi="宋体"/>
          <w:sz w:val="24"/>
          <w:szCs w:val="24"/>
          <w:highlight w:val="none"/>
        </w:rPr>
        <w:t>分、</w:t>
      </w:r>
      <w:r>
        <w:rPr>
          <w:rFonts w:hint="eastAsia" w:ascii="宋体" w:hAnsi="宋体"/>
          <w:sz w:val="24"/>
          <w:szCs w:val="24"/>
          <w:highlight w:val="none"/>
        </w:rPr>
        <w:t>投标报价20</w:t>
      </w:r>
      <w:r>
        <w:rPr>
          <w:rFonts w:ascii="宋体" w:hAnsi="宋体"/>
          <w:sz w:val="24"/>
          <w:szCs w:val="24"/>
          <w:highlight w:val="none"/>
        </w:rPr>
        <w:t>分，总分100分。</w:t>
      </w:r>
    </w:p>
    <w:p>
      <w:pPr>
        <w:spacing w:line="360" w:lineRule="auto"/>
        <w:ind w:right="139" w:rightChars="66" w:firstLine="420"/>
        <w:outlineLvl w:val="2"/>
        <w:rPr>
          <w:rFonts w:hint="eastAsia" w:ascii="宋体" w:hAnsi="宋体"/>
          <w:b/>
          <w:sz w:val="24"/>
          <w:szCs w:val="24"/>
          <w:highlight w:val="none"/>
        </w:rPr>
      </w:pPr>
      <w:bookmarkStart w:id="11" w:name="_Toc26976"/>
      <w:r>
        <w:rPr>
          <w:rFonts w:ascii="宋体" w:hAnsi="宋体"/>
          <w:b/>
          <w:sz w:val="24"/>
          <w:szCs w:val="24"/>
          <w:highlight w:val="none"/>
        </w:rPr>
        <w:t>6.1商务评审（</w:t>
      </w:r>
      <w:r>
        <w:rPr>
          <w:rFonts w:hint="eastAsia" w:ascii="宋体" w:hAnsi="宋体"/>
          <w:b/>
          <w:sz w:val="24"/>
          <w:szCs w:val="24"/>
          <w:highlight w:val="none"/>
        </w:rPr>
        <w:t>4</w:t>
      </w:r>
      <w:r>
        <w:rPr>
          <w:rFonts w:hint="eastAsia" w:ascii="宋体" w:hAnsi="宋体"/>
          <w:b/>
          <w:sz w:val="24"/>
          <w:szCs w:val="24"/>
          <w:highlight w:val="none"/>
          <w:lang w:val="en-US" w:eastAsia="zh-CN"/>
        </w:rPr>
        <w:t>5</w:t>
      </w:r>
      <w:r>
        <w:rPr>
          <w:rFonts w:ascii="宋体" w:hAnsi="宋体"/>
          <w:b/>
          <w:sz w:val="24"/>
          <w:szCs w:val="24"/>
          <w:highlight w:val="none"/>
        </w:rPr>
        <w:t>分）</w:t>
      </w:r>
      <w:bookmarkEnd w:id="11"/>
    </w:p>
    <w:tbl>
      <w:tblPr>
        <w:tblStyle w:val="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46"/>
        <w:gridCol w:w="1344"/>
        <w:gridCol w:w="61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749" w:type="dxa"/>
            <w:vMerge w:val="restart"/>
            <w:noWrap w:val="0"/>
            <w:vAlign w:val="center"/>
          </w:tcPr>
          <w:p>
            <w:pPr>
              <w:spacing w:line="360" w:lineRule="auto"/>
              <w:jc w:val="center"/>
              <w:rPr>
                <w:rFonts w:hint="eastAsia" w:ascii="宋体" w:hAnsi="宋体"/>
                <w:spacing w:val="-6"/>
                <w:sz w:val="24"/>
                <w:szCs w:val="24"/>
                <w:highlight w:val="none"/>
              </w:rPr>
            </w:pPr>
            <w:r>
              <w:rPr>
                <w:rFonts w:hint="eastAsia" w:ascii="宋体" w:hAnsi="宋体"/>
                <w:spacing w:val="-6"/>
                <w:sz w:val="24"/>
                <w:szCs w:val="24"/>
                <w:highlight w:val="none"/>
              </w:rPr>
              <w:t>商务评审</w:t>
            </w:r>
          </w:p>
        </w:tc>
        <w:tc>
          <w:tcPr>
            <w:tcW w:w="746" w:type="dxa"/>
            <w:vMerge w:val="restart"/>
            <w:noWrap w:val="0"/>
            <w:vAlign w:val="center"/>
          </w:tcPr>
          <w:p>
            <w:pPr>
              <w:spacing w:line="360" w:lineRule="auto"/>
              <w:rPr>
                <w:rFonts w:hint="eastAsia" w:ascii="宋体" w:hAnsi="宋体"/>
                <w:spacing w:val="-6"/>
                <w:sz w:val="24"/>
                <w:szCs w:val="24"/>
                <w:highlight w:val="none"/>
              </w:rPr>
            </w:pPr>
            <w:r>
              <w:rPr>
                <w:rFonts w:hint="eastAsia" w:ascii="宋体" w:hAnsi="宋体"/>
                <w:spacing w:val="-6"/>
                <w:sz w:val="24"/>
                <w:szCs w:val="24"/>
                <w:highlight w:val="none"/>
                <w:lang w:val="en-US" w:eastAsia="zh-CN"/>
              </w:rPr>
              <w:t>45</w:t>
            </w:r>
            <w:r>
              <w:rPr>
                <w:rFonts w:hint="eastAsia" w:ascii="宋体" w:hAnsi="宋体"/>
                <w:spacing w:val="-6"/>
                <w:sz w:val="24"/>
                <w:szCs w:val="24"/>
                <w:highlight w:val="none"/>
              </w:rPr>
              <w:t>分</w:t>
            </w:r>
          </w:p>
        </w:tc>
        <w:tc>
          <w:tcPr>
            <w:tcW w:w="1344" w:type="dxa"/>
            <w:noWrap w:val="0"/>
            <w:vAlign w:val="center"/>
          </w:tcPr>
          <w:p>
            <w:pPr>
              <w:spacing w:line="360" w:lineRule="auto"/>
              <w:jc w:val="center"/>
              <w:rPr>
                <w:rFonts w:hint="eastAsia" w:ascii="宋体" w:hAnsi="宋体"/>
                <w:spacing w:val="-6"/>
                <w:sz w:val="24"/>
                <w:szCs w:val="24"/>
                <w:highlight w:val="none"/>
              </w:rPr>
            </w:pPr>
            <w:r>
              <w:rPr>
                <w:rFonts w:hint="eastAsia" w:ascii="宋体" w:hAnsi="宋体"/>
                <w:spacing w:val="-6"/>
                <w:sz w:val="24"/>
                <w:szCs w:val="24"/>
                <w:highlight w:val="none"/>
              </w:rPr>
              <w:t>综合实力（5分）</w:t>
            </w:r>
          </w:p>
        </w:tc>
        <w:tc>
          <w:tcPr>
            <w:tcW w:w="6120" w:type="dxa"/>
            <w:noWrap w:val="0"/>
            <w:vAlign w:val="center"/>
          </w:tcPr>
          <w:p>
            <w:pPr>
              <w:spacing w:line="360" w:lineRule="auto"/>
              <w:rPr>
                <w:rFonts w:hint="eastAsia" w:ascii="宋体" w:hAnsi="宋体"/>
                <w:sz w:val="24"/>
                <w:szCs w:val="24"/>
                <w:highlight w:val="none"/>
              </w:rPr>
            </w:pPr>
            <w:r>
              <w:rPr>
                <w:rFonts w:hint="eastAsia" w:ascii="宋体" w:hAnsi="宋体"/>
                <w:sz w:val="24"/>
                <w:szCs w:val="24"/>
                <w:highlight w:val="none"/>
              </w:rPr>
              <w:t>投标人具有在有效期内的以下证书：</w:t>
            </w:r>
          </w:p>
          <w:p>
            <w:pPr>
              <w:numPr>
                <w:ilvl w:val="0"/>
                <w:numId w:val="0"/>
              </w:numPr>
              <w:spacing w:line="360" w:lineRule="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质量管理体系认证证书</w:t>
            </w:r>
          </w:p>
          <w:p>
            <w:pPr>
              <w:numPr>
                <w:ilvl w:val="0"/>
                <w:numId w:val="0"/>
              </w:num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环境管理体系认证证书</w:t>
            </w:r>
          </w:p>
          <w:p>
            <w:pPr>
              <w:numPr>
                <w:ilvl w:val="0"/>
                <w:numId w:val="0"/>
              </w:num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职业健康安全管理体系认证证书</w:t>
            </w:r>
          </w:p>
          <w:p>
            <w:pPr>
              <w:numPr>
                <w:ilvl w:val="0"/>
                <w:numId w:val="0"/>
              </w:numPr>
              <w:spacing w:line="360" w:lineRule="auto"/>
              <w:rPr>
                <w:rFonts w:hint="eastAsia" w:ascii="宋体" w:hAnsi="宋体"/>
                <w:sz w:val="24"/>
                <w:szCs w:val="24"/>
                <w:highlight w:val="none"/>
              </w:rPr>
            </w:pPr>
            <w:r>
              <w:rPr>
                <w:rFonts w:hint="eastAsia" w:ascii="宋体" w:hAnsi="宋体"/>
                <w:sz w:val="24"/>
                <w:szCs w:val="24"/>
                <w:highlight w:val="none"/>
                <w:lang w:val="en-US" w:eastAsia="zh-CN"/>
              </w:rPr>
              <w:t>（以上证书认证范围包含摄影测量与遥感、地理信息系统工程、地理信息工程测量、界线与不动产测绘、地图编制）</w:t>
            </w:r>
            <w:r>
              <w:rPr>
                <w:rFonts w:hint="eastAsia" w:ascii="宋体" w:hAnsi="宋体"/>
                <w:sz w:val="24"/>
                <w:szCs w:val="24"/>
                <w:highlight w:val="none"/>
              </w:rPr>
              <w:t>；</w:t>
            </w:r>
          </w:p>
          <w:p>
            <w:pPr>
              <w:spacing w:line="360" w:lineRule="auto"/>
              <w:rPr>
                <w:rFonts w:hint="eastAsia" w:ascii="宋体" w:hAnsi="宋体"/>
                <w:sz w:val="24"/>
                <w:szCs w:val="24"/>
                <w:highlight w:val="none"/>
              </w:rPr>
            </w:pPr>
            <w:r>
              <w:rPr>
                <w:rFonts w:hint="eastAsia" w:ascii="宋体" w:hAnsi="宋体"/>
                <w:sz w:val="24"/>
                <w:szCs w:val="24"/>
                <w:highlight w:val="none"/>
              </w:rPr>
              <w:t>投标人提供</w:t>
            </w:r>
            <w:r>
              <w:rPr>
                <w:rFonts w:hint="eastAsia" w:ascii="宋体" w:hAnsi="宋体"/>
                <w:sz w:val="24"/>
                <w:szCs w:val="24"/>
                <w:highlight w:val="none"/>
                <w:lang w:val="en-US" w:eastAsia="zh-CN"/>
              </w:rPr>
              <w:t>3</w:t>
            </w:r>
            <w:r>
              <w:rPr>
                <w:rFonts w:hint="eastAsia" w:ascii="宋体" w:hAnsi="宋体"/>
                <w:sz w:val="24"/>
                <w:szCs w:val="24"/>
                <w:highlight w:val="none"/>
              </w:rPr>
              <w:t>个证书得5分，不提供或少提供的，每缺一项扣</w:t>
            </w:r>
            <w:r>
              <w:rPr>
                <w:rFonts w:hint="eastAsia" w:ascii="宋体" w:hAnsi="宋体"/>
                <w:sz w:val="24"/>
                <w:szCs w:val="24"/>
                <w:highlight w:val="none"/>
                <w:lang w:val="en-US" w:eastAsia="zh-CN"/>
              </w:rPr>
              <w:t>2</w:t>
            </w:r>
            <w:r>
              <w:rPr>
                <w:rFonts w:hint="eastAsia" w:ascii="宋体" w:hAnsi="宋体"/>
                <w:sz w:val="24"/>
                <w:szCs w:val="24"/>
                <w:highlight w:val="none"/>
              </w:rPr>
              <w:t xml:space="preserve">分，扣完为止。 </w:t>
            </w:r>
          </w:p>
          <w:p>
            <w:pPr>
              <w:spacing w:line="360" w:lineRule="auto"/>
              <w:jc w:val="left"/>
              <w:rPr>
                <w:rFonts w:hint="eastAsia" w:ascii="宋体" w:hAnsi="宋体"/>
                <w:spacing w:val="-6"/>
                <w:sz w:val="24"/>
                <w:szCs w:val="24"/>
                <w:highlight w:val="none"/>
              </w:rPr>
            </w:pPr>
            <w:r>
              <w:rPr>
                <w:rFonts w:hint="eastAsia" w:ascii="宋体" w:hAnsi="宋体"/>
                <w:sz w:val="24"/>
                <w:szCs w:val="24"/>
                <w:highlight w:val="none"/>
              </w:rPr>
              <w:t>注：需提供认证证书复印件及全国认证认可信息公共服务平台</w:t>
            </w:r>
            <w:r>
              <w:rPr>
                <w:rFonts w:hint="eastAsia" w:ascii="宋体" w:hAnsi="宋体"/>
                <w:sz w:val="24"/>
                <w:szCs w:val="24"/>
                <w:highlight w:val="none"/>
                <w:lang w:val="en-US" w:eastAsia="zh-CN"/>
              </w:rPr>
              <w:t>截图。</w:t>
            </w:r>
            <w:r>
              <w:rPr>
                <w:rFonts w:hint="eastAsia" w:ascii="宋体" w:hAnsi="宋体"/>
                <w:sz w:val="24"/>
                <w:szCs w:val="24"/>
                <w:highlight w:val="none"/>
              </w:rPr>
              <w:t>（http://cx.cnca.cn/CertECloud/index/index/page）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49" w:type="dxa"/>
            <w:vMerge w:val="continue"/>
            <w:noWrap w:val="0"/>
            <w:vAlign w:val="center"/>
          </w:tcPr>
          <w:p>
            <w:pPr>
              <w:spacing w:line="360" w:lineRule="auto"/>
              <w:jc w:val="center"/>
              <w:rPr>
                <w:rFonts w:hint="eastAsia" w:ascii="宋体" w:hAnsi="宋体"/>
                <w:spacing w:val="-6"/>
                <w:sz w:val="24"/>
                <w:szCs w:val="24"/>
                <w:highlight w:val="none"/>
              </w:rPr>
            </w:pPr>
          </w:p>
        </w:tc>
        <w:tc>
          <w:tcPr>
            <w:tcW w:w="746" w:type="dxa"/>
            <w:vMerge w:val="continue"/>
            <w:noWrap w:val="0"/>
            <w:vAlign w:val="center"/>
          </w:tcPr>
          <w:p>
            <w:pPr>
              <w:spacing w:line="360" w:lineRule="auto"/>
              <w:rPr>
                <w:rFonts w:ascii="宋体" w:hAnsi="宋体"/>
                <w:spacing w:val="-6"/>
                <w:sz w:val="24"/>
                <w:szCs w:val="24"/>
                <w:highlight w:val="none"/>
              </w:rPr>
            </w:pPr>
          </w:p>
        </w:tc>
        <w:tc>
          <w:tcPr>
            <w:tcW w:w="1344" w:type="dxa"/>
            <w:noWrap w:val="0"/>
            <w:vAlign w:val="center"/>
          </w:tcPr>
          <w:p>
            <w:pPr>
              <w:spacing w:line="360" w:lineRule="auto"/>
              <w:jc w:val="center"/>
              <w:rPr>
                <w:rFonts w:hint="eastAsia" w:ascii="宋体" w:hAnsi="宋体"/>
                <w:spacing w:val="-6"/>
                <w:sz w:val="24"/>
                <w:szCs w:val="24"/>
                <w:highlight w:val="none"/>
              </w:rPr>
            </w:pPr>
            <w:r>
              <w:rPr>
                <w:rFonts w:hint="eastAsia" w:ascii="宋体" w:hAnsi="宋体"/>
                <w:spacing w:val="-6"/>
                <w:sz w:val="24"/>
                <w:szCs w:val="24"/>
                <w:highlight w:val="none"/>
              </w:rPr>
              <w:t>履约信誉（5分）</w:t>
            </w:r>
          </w:p>
        </w:tc>
        <w:tc>
          <w:tcPr>
            <w:tcW w:w="6120" w:type="dxa"/>
            <w:noWrap w:val="0"/>
            <w:vAlign w:val="center"/>
          </w:tcPr>
          <w:p>
            <w:pPr>
              <w:spacing w:line="360" w:lineRule="auto"/>
              <w:rPr>
                <w:rFonts w:hint="eastAsia"/>
                <w:sz w:val="24"/>
                <w:szCs w:val="24"/>
              </w:rPr>
            </w:pPr>
            <w:r>
              <w:rPr>
                <w:rFonts w:hint="eastAsia"/>
                <w:sz w:val="24"/>
                <w:szCs w:val="24"/>
              </w:rPr>
              <w:t xml:space="preserve">投标文件递交截止日前一年内，因公路工程项目测绘或测量业务从业行为、履约或招标投标问题等原因被： </w:t>
            </w:r>
          </w:p>
          <w:p>
            <w:pPr>
              <w:spacing w:line="360" w:lineRule="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 xml:space="preserve">交通运输部通报批评的，扣5分/次； </w:t>
            </w:r>
          </w:p>
          <w:p>
            <w:pPr>
              <w:spacing w:line="360" w:lineRule="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 xml:space="preserve">广东省交通运输厅通报批评的，扣4分/次； </w:t>
            </w:r>
          </w:p>
          <w:p>
            <w:pPr>
              <w:spacing w:line="360" w:lineRule="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 xml:space="preserve">广州市交通运输局、广州交通投资集团有限公司、广州市高速公路有限公司通报批评的，扣1分/次。 </w:t>
            </w:r>
          </w:p>
          <w:p>
            <w:pPr>
              <w:spacing w:line="360" w:lineRule="auto"/>
              <w:rPr>
                <w:rFonts w:hint="eastAsia"/>
              </w:rPr>
            </w:pPr>
            <w:r>
              <w:rPr>
                <w:rFonts w:hint="eastAsia"/>
                <w:sz w:val="24"/>
                <w:szCs w:val="24"/>
              </w:rPr>
              <w:t>注：</w:t>
            </w:r>
            <w:r>
              <w:rPr>
                <w:rFonts w:hint="eastAsia"/>
                <w:sz w:val="24"/>
                <w:szCs w:val="24"/>
                <w:lang w:val="en-US" w:eastAsia="zh-CN"/>
              </w:rPr>
              <w:t>1.</w:t>
            </w:r>
            <w:r>
              <w:rPr>
                <w:rFonts w:hint="eastAsia"/>
                <w:sz w:val="24"/>
                <w:szCs w:val="24"/>
              </w:rPr>
              <w:t>同一事项同时被多个部门通报批评或处罚只按最高的扣分计算1次，如果扣完本项分值，可以从总分中扣。</w:t>
            </w:r>
          </w:p>
          <w:p>
            <w:pPr>
              <w:pStyle w:val="4"/>
              <w:ind w:firstLine="0"/>
              <w:rPr>
                <w:rFonts w:hint="default" w:eastAsia="宋体"/>
                <w:lang w:val="en-US" w:eastAsia="zh-CN"/>
              </w:rPr>
            </w:pP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通报批评</w:t>
            </w:r>
            <w:r>
              <w:rPr>
                <w:rFonts w:hint="eastAsia" w:ascii="Times New Roman" w:hAnsi="Times New Roman" w:eastAsia="宋体" w:cs="Times New Roman"/>
                <w:sz w:val="24"/>
                <w:lang w:val="en-US" w:eastAsia="zh-CN"/>
              </w:rPr>
              <w:t>以正式发文为准。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49" w:type="dxa"/>
            <w:vMerge w:val="continue"/>
            <w:noWrap w:val="0"/>
            <w:vAlign w:val="center"/>
          </w:tcPr>
          <w:p>
            <w:pPr>
              <w:spacing w:line="360" w:lineRule="auto"/>
              <w:rPr>
                <w:rFonts w:hint="eastAsia" w:ascii="宋体" w:hAnsi="宋体"/>
                <w:spacing w:val="-6"/>
                <w:sz w:val="24"/>
                <w:szCs w:val="24"/>
                <w:highlight w:val="none"/>
              </w:rPr>
            </w:pPr>
          </w:p>
        </w:tc>
        <w:tc>
          <w:tcPr>
            <w:tcW w:w="746" w:type="dxa"/>
            <w:vMerge w:val="continue"/>
            <w:noWrap w:val="0"/>
            <w:vAlign w:val="center"/>
          </w:tcPr>
          <w:p>
            <w:pPr>
              <w:spacing w:line="360" w:lineRule="auto"/>
              <w:rPr>
                <w:rFonts w:hint="eastAsia" w:ascii="宋体" w:hAnsi="宋体"/>
                <w:spacing w:val="-6"/>
                <w:sz w:val="24"/>
                <w:szCs w:val="24"/>
                <w:highlight w:val="none"/>
              </w:rPr>
            </w:pPr>
          </w:p>
        </w:tc>
        <w:tc>
          <w:tcPr>
            <w:tcW w:w="1344" w:type="dxa"/>
            <w:noWrap w:val="0"/>
            <w:vAlign w:val="center"/>
          </w:tcPr>
          <w:p>
            <w:pPr>
              <w:spacing w:line="360" w:lineRule="auto"/>
              <w:jc w:val="center"/>
              <w:rPr>
                <w:rFonts w:hint="eastAsia" w:ascii="宋体" w:hAnsi="宋体" w:cs="宋体"/>
                <w:sz w:val="24"/>
                <w:szCs w:val="24"/>
                <w:highlight w:val="none"/>
              </w:rPr>
            </w:pPr>
            <w:r>
              <w:rPr>
                <w:rFonts w:hint="eastAsia" w:ascii="宋体" w:hAnsi="宋体"/>
                <w:spacing w:val="-6"/>
                <w:sz w:val="24"/>
                <w:szCs w:val="24"/>
                <w:highlight w:val="none"/>
              </w:rPr>
              <w:t>业绩情况（</w:t>
            </w:r>
            <w:r>
              <w:rPr>
                <w:rFonts w:hint="eastAsia" w:ascii="宋体" w:hAnsi="宋体"/>
                <w:spacing w:val="-6"/>
                <w:sz w:val="24"/>
                <w:szCs w:val="24"/>
                <w:highlight w:val="none"/>
                <w:lang w:val="en-US" w:eastAsia="zh-CN"/>
              </w:rPr>
              <w:t>20</w:t>
            </w:r>
            <w:r>
              <w:rPr>
                <w:rFonts w:hint="eastAsia" w:ascii="宋体" w:hAnsi="宋体"/>
                <w:spacing w:val="-6"/>
                <w:sz w:val="24"/>
                <w:szCs w:val="24"/>
                <w:highlight w:val="none"/>
              </w:rPr>
              <w:t>分）</w:t>
            </w:r>
          </w:p>
        </w:tc>
        <w:tc>
          <w:tcPr>
            <w:tcW w:w="6120" w:type="dxa"/>
            <w:noWrap w:val="0"/>
            <w:vAlign w:val="center"/>
          </w:tcPr>
          <w:p>
            <w:pPr>
              <w:widowControl/>
              <w:numPr>
                <w:ilvl w:val="0"/>
                <w:numId w:val="0"/>
              </w:numPr>
              <w:spacing w:line="360" w:lineRule="auto"/>
              <w:ind w:firstLine="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满足资格审查业绩最低要求条件的得基本分 12 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在</w:t>
            </w:r>
            <w:r>
              <w:rPr>
                <w:rFonts w:hint="eastAsia" w:ascii="宋体" w:hAnsi="宋体" w:eastAsia="宋体" w:cs="Times New Roman"/>
                <w:sz w:val="24"/>
                <w:szCs w:val="24"/>
                <w:highlight w:val="none"/>
                <w:lang w:val="en-US" w:eastAsia="zh-CN"/>
              </w:rPr>
              <w:t>此</w:t>
            </w:r>
            <w:r>
              <w:rPr>
                <w:rFonts w:hint="eastAsia" w:ascii="宋体" w:hAnsi="宋体" w:eastAsia="宋体" w:cs="Times New Roman"/>
                <w:sz w:val="24"/>
                <w:szCs w:val="24"/>
                <w:highlight w:val="none"/>
              </w:rPr>
              <w:t>基础上</w:t>
            </w:r>
            <w:r>
              <w:rPr>
                <w:rFonts w:hint="eastAsia" w:ascii="宋体" w:hAnsi="宋体" w:eastAsia="宋体" w:cs="Times New Roman"/>
                <w:sz w:val="24"/>
                <w:szCs w:val="24"/>
                <w:highlight w:val="none"/>
                <w:lang w:eastAsia="zh-CN"/>
              </w:rPr>
              <w:t>：</w:t>
            </w:r>
          </w:p>
          <w:p>
            <w:pPr>
              <w:widowControl/>
              <w:numPr>
                <w:ilvl w:val="0"/>
                <w:numId w:val="1"/>
              </w:numPr>
              <w:spacing w:line="360" w:lineRule="auto"/>
              <w:ind w:firstLine="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近五年内，</w:t>
            </w:r>
            <w:r>
              <w:rPr>
                <w:rFonts w:hint="eastAsia" w:ascii="宋体" w:hAnsi="宋体" w:eastAsia="宋体" w:cs="Times New Roman"/>
                <w:kern w:val="2"/>
                <w:sz w:val="24"/>
                <w:szCs w:val="24"/>
                <w:highlight w:val="none"/>
                <w:lang w:val="en-US" w:eastAsia="zh-CN" w:bidi="ar"/>
              </w:rPr>
              <w:t>每增加</w:t>
            </w:r>
            <w:r>
              <w:rPr>
                <w:rFonts w:hint="eastAsia" w:ascii="宋体" w:hAnsi="宋体" w:eastAsia="宋体" w:cs="Times New Roman"/>
                <w:kern w:val="2"/>
                <w:sz w:val="24"/>
                <w:szCs w:val="24"/>
                <w:highlight w:val="none"/>
                <w:lang w:bidi="ar"/>
              </w:rPr>
              <w:t>1000 亩勘测定界项目</w:t>
            </w:r>
            <w:r>
              <w:rPr>
                <w:rFonts w:hint="eastAsia" w:ascii="宋体" w:hAnsi="宋体" w:eastAsia="宋体" w:cs="Times New Roman"/>
                <w:kern w:val="2"/>
                <w:sz w:val="24"/>
                <w:szCs w:val="24"/>
                <w:highlight w:val="none"/>
                <w:lang w:val="en-US" w:eastAsia="zh-CN" w:bidi="ar"/>
              </w:rPr>
              <w:t>累计</w:t>
            </w:r>
            <w:r>
              <w:rPr>
                <w:rFonts w:hint="eastAsia" w:ascii="宋体" w:hAnsi="宋体" w:eastAsia="宋体" w:cs="Times New Roman"/>
                <w:kern w:val="2"/>
                <w:sz w:val="24"/>
                <w:szCs w:val="24"/>
                <w:highlight w:val="none"/>
                <w:lang w:bidi="ar"/>
              </w:rPr>
              <w:t>测绘面积</w:t>
            </w:r>
            <w:r>
              <w:rPr>
                <w:rFonts w:hint="eastAsia" w:ascii="宋体" w:hAnsi="宋体" w:eastAsia="宋体" w:cs="Times New Roman"/>
                <w:kern w:val="2"/>
                <w:sz w:val="24"/>
                <w:szCs w:val="24"/>
                <w:highlight w:val="none"/>
                <w:lang w:eastAsia="zh-CN" w:bidi="ar"/>
              </w:rPr>
              <w:t>，</w:t>
            </w:r>
            <w:r>
              <w:rPr>
                <w:rFonts w:hint="eastAsia" w:ascii="宋体" w:hAnsi="宋体" w:eastAsia="宋体" w:cs="Times New Roman"/>
                <w:kern w:val="2"/>
                <w:sz w:val="24"/>
                <w:szCs w:val="24"/>
                <w:highlight w:val="none"/>
                <w:lang w:val="en-US" w:eastAsia="zh-CN" w:bidi="ar"/>
              </w:rPr>
              <w:t>得1分。</w:t>
            </w:r>
          </w:p>
          <w:p>
            <w:pPr>
              <w:widowControl/>
              <w:numPr>
                <w:ilvl w:val="0"/>
                <w:numId w:val="1"/>
              </w:numPr>
              <w:spacing w:line="360" w:lineRule="auto"/>
              <w:ind w:firstLine="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近五年内，每增加30公里的新建或改（扩）建高速公路项目勘测定界测绘里程，得1分。</w:t>
            </w:r>
          </w:p>
          <w:p>
            <w:pPr>
              <w:widowControl/>
              <w:numPr>
                <w:ilvl w:val="0"/>
                <w:numId w:val="0"/>
              </w:numPr>
              <w:spacing w:line="360" w:lineRule="auto"/>
              <w:ind w:firstLine="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本项最高得8分。</w:t>
            </w:r>
          </w:p>
          <w:p>
            <w:pPr>
              <w:widowControl/>
              <w:numPr>
                <w:ilvl w:val="0"/>
                <w:numId w:val="0"/>
              </w:numPr>
              <w:spacing w:line="360" w:lineRule="auto"/>
              <w:ind w:firstLine="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注：</w:t>
            </w:r>
            <w:r>
              <w:rPr>
                <w:rFonts w:hint="eastAsia" w:ascii="宋体" w:hAnsi="宋体" w:eastAsia="宋体" w:cs="Times New Roman"/>
                <w:sz w:val="24"/>
                <w:szCs w:val="24"/>
                <w:highlight w:val="none"/>
                <w:lang w:val="en-US" w:eastAsia="zh-CN"/>
              </w:rPr>
              <w:t>1.同一项目同时满足上述两项评分的，只计算1次得分。2.</w:t>
            </w:r>
            <w:r>
              <w:rPr>
                <w:rFonts w:hint="eastAsia" w:ascii="宋体" w:hAnsi="宋体" w:eastAsia="宋体" w:cs="Times New Roman"/>
                <w:sz w:val="24"/>
                <w:szCs w:val="24"/>
                <w:highlight w:val="none"/>
              </w:rPr>
              <w:t>需按投标人须知正文第 3.5.</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 xml:space="preserve"> 项提供相关证明文件</w:t>
            </w:r>
            <w:r>
              <w:rPr>
                <w:rFonts w:hint="eastAsia" w:ascii="宋体" w:hAnsi="宋体" w:eastAsia="宋体" w:cs="Times New Roman"/>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9" w:type="dxa"/>
            <w:vMerge w:val="continue"/>
            <w:noWrap w:val="0"/>
            <w:vAlign w:val="top"/>
          </w:tcPr>
          <w:p>
            <w:pPr>
              <w:spacing w:line="360" w:lineRule="auto"/>
              <w:rPr>
                <w:rFonts w:hint="eastAsia" w:ascii="宋体" w:hAnsi="宋体"/>
                <w:spacing w:val="-6"/>
                <w:sz w:val="24"/>
                <w:szCs w:val="24"/>
                <w:highlight w:val="none"/>
              </w:rPr>
            </w:pPr>
          </w:p>
        </w:tc>
        <w:tc>
          <w:tcPr>
            <w:tcW w:w="746" w:type="dxa"/>
            <w:vMerge w:val="continue"/>
            <w:noWrap w:val="0"/>
            <w:vAlign w:val="top"/>
          </w:tcPr>
          <w:p>
            <w:pPr>
              <w:spacing w:line="360" w:lineRule="auto"/>
              <w:rPr>
                <w:rFonts w:hint="eastAsia" w:ascii="宋体" w:hAnsi="宋体"/>
                <w:spacing w:val="-6"/>
                <w:sz w:val="24"/>
                <w:szCs w:val="24"/>
                <w:highlight w:val="none"/>
              </w:rPr>
            </w:pPr>
          </w:p>
        </w:tc>
        <w:tc>
          <w:tcPr>
            <w:tcW w:w="1344" w:type="dxa"/>
            <w:noWrap w:val="0"/>
            <w:vAlign w:val="center"/>
          </w:tcPr>
          <w:p>
            <w:pPr>
              <w:spacing w:line="360" w:lineRule="auto"/>
              <w:jc w:val="center"/>
              <w:rPr>
                <w:rFonts w:hint="eastAsia" w:ascii="宋体" w:hAnsi="宋体"/>
                <w:spacing w:val="-6"/>
                <w:sz w:val="24"/>
                <w:szCs w:val="24"/>
                <w:highlight w:val="none"/>
              </w:rPr>
            </w:pPr>
            <w:r>
              <w:rPr>
                <w:rFonts w:hint="eastAsia" w:ascii="宋体" w:hAnsi="宋体"/>
                <w:spacing w:val="-6"/>
                <w:sz w:val="24"/>
                <w:szCs w:val="24"/>
                <w:highlight w:val="none"/>
              </w:rPr>
              <w:t>主要</w:t>
            </w:r>
            <w:r>
              <w:rPr>
                <w:rFonts w:hint="eastAsia" w:ascii="宋体" w:hAnsi="宋体"/>
                <w:spacing w:val="-6"/>
                <w:sz w:val="24"/>
                <w:szCs w:val="24"/>
                <w:highlight w:val="none"/>
                <w:lang w:eastAsia="zh-CN"/>
              </w:rPr>
              <w:t>人员</w:t>
            </w:r>
            <w:r>
              <w:rPr>
                <w:rFonts w:hint="eastAsia" w:ascii="宋体" w:hAnsi="宋体"/>
                <w:spacing w:val="-6"/>
                <w:sz w:val="24"/>
                <w:szCs w:val="24"/>
                <w:highlight w:val="none"/>
              </w:rPr>
              <w:t xml:space="preserve"> (15分)</w:t>
            </w:r>
          </w:p>
        </w:tc>
        <w:tc>
          <w:tcPr>
            <w:tcW w:w="6120" w:type="dxa"/>
            <w:noWrap w:val="0"/>
            <w:vAlign w:val="center"/>
          </w:tcPr>
          <w:p>
            <w:pPr>
              <w:widowControl/>
              <w:spacing w:line="360" w:lineRule="auto"/>
              <w:ind w:firstLine="0" w:firstLineChars="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满足资格审查条件的人员最低要求得9分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在满足资格审查条件的基础上：</w:t>
            </w:r>
          </w:p>
          <w:p>
            <w:pPr>
              <w:widowControl/>
              <w:numPr>
                <w:ilvl w:val="0"/>
                <w:numId w:val="0"/>
              </w:numPr>
              <w:spacing w:line="360" w:lineRule="auto"/>
              <w:ind w:firstLine="0" w:firstLineChars="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项目负责人</w:t>
            </w:r>
          </w:p>
          <w:p>
            <w:pPr>
              <w:widowControl/>
              <w:numPr>
                <w:ilvl w:val="0"/>
                <w:numId w:val="0"/>
              </w:numPr>
              <w:spacing w:line="360" w:lineRule="auto"/>
              <w:ind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①</w:t>
            </w:r>
            <w:r>
              <w:rPr>
                <w:rFonts w:hint="eastAsia" w:ascii="宋体" w:hAnsi="宋体" w:eastAsia="宋体" w:cs="Times New Roman"/>
                <w:sz w:val="24"/>
                <w:szCs w:val="24"/>
                <w:highlight w:val="none"/>
              </w:rPr>
              <w:t>参与项目获得</w:t>
            </w:r>
            <w:r>
              <w:rPr>
                <w:rFonts w:hint="eastAsia" w:ascii="宋体" w:hAnsi="宋体" w:eastAsia="宋体" w:cs="Times New Roman"/>
                <w:sz w:val="24"/>
                <w:szCs w:val="24"/>
                <w:highlight w:val="none"/>
                <w:lang w:val="en-US" w:eastAsia="zh-CN"/>
              </w:rPr>
              <w:t>省部级政府机构颁发的科学技术一等奖的，每个得2分；</w:t>
            </w:r>
            <w:r>
              <w:rPr>
                <w:rFonts w:hint="eastAsia" w:ascii="宋体" w:hAnsi="宋体" w:eastAsia="宋体" w:cs="Times New Roman"/>
                <w:sz w:val="24"/>
                <w:szCs w:val="24"/>
                <w:highlight w:val="none"/>
              </w:rPr>
              <w:t>获得</w:t>
            </w:r>
            <w:r>
              <w:rPr>
                <w:rFonts w:hint="eastAsia" w:ascii="宋体" w:hAnsi="宋体" w:eastAsia="宋体" w:cs="Times New Roman"/>
                <w:sz w:val="24"/>
                <w:szCs w:val="24"/>
                <w:highlight w:val="none"/>
                <w:lang w:val="en-US" w:eastAsia="zh-CN"/>
              </w:rPr>
              <w:t>省部级政府机构颁发的科学技术二等奖或以下的，每个得1分，</w:t>
            </w:r>
            <w:r>
              <w:rPr>
                <w:rFonts w:hint="eastAsia" w:ascii="宋体" w:hAnsi="宋体" w:eastAsia="宋体" w:cs="Times New Roman"/>
                <w:sz w:val="24"/>
                <w:szCs w:val="24"/>
                <w:highlight w:val="none"/>
              </w:rPr>
              <w:t>本</w:t>
            </w:r>
            <w:r>
              <w:rPr>
                <w:rFonts w:hint="eastAsia" w:ascii="宋体" w:hAnsi="宋体" w:eastAsia="宋体" w:cs="Times New Roman"/>
                <w:sz w:val="24"/>
                <w:szCs w:val="24"/>
                <w:highlight w:val="none"/>
                <w:lang w:val="en-US" w:eastAsia="zh-CN"/>
              </w:rPr>
              <w:t>小</w:t>
            </w:r>
            <w:r>
              <w:rPr>
                <w:rFonts w:hint="eastAsia" w:ascii="宋体" w:hAnsi="宋体" w:eastAsia="宋体" w:cs="Times New Roman"/>
                <w:sz w:val="24"/>
                <w:szCs w:val="24"/>
                <w:highlight w:val="none"/>
              </w:rPr>
              <w:t>项最高得</w:t>
            </w:r>
            <w:r>
              <w:rPr>
                <w:rFonts w:hint="eastAsia" w:ascii="宋体" w:hAnsi="宋体" w:eastAsia="宋体" w:cs="Times New Roman"/>
                <w:sz w:val="24"/>
                <w:szCs w:val="24"/>
                <w:highlight w:val="none"/>
                <w:lang w:val="en-US" w:eastAsia="zh-CN"/>
              </w:rPr>
              <w:t>2分。</w:t>
            </w:r>
          </w:p>
          <w:p>
            <w:pPr>
              <w:widowControl/>
              <w:spacing w:line="360" w:lineRule="auto"/>
              <w:ind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②项目负责人具备注册测绘师和涉密测绘成果管理人员岗位培训证书的，每个证书得1分，</w:t>
            </w:r>
            <w:r>
              <w:rPr>
                <w:rFonts w:hint="eastAsia" w:ascii="宋体" w:hAnsi="宋体" w:eastAsia="宋体" w:cs="Times New Roman"/>
                <w:sz w:val="24"/>
                <w:szCs w:val="24"/>
                <w:highlight w:val="none"/>
              </w:rPr>
              <w:t>本</w:t>
            </w:r>
            <w:r>
              <w:rPr>
                <w:rFonts w:hint="eastAsia" w:ascii="宋体" w:hAnsi="宋体" w:eastAsia="宋体" w:cs="Times New Roman"/>
                <w:sz w:val="24"/>
                <w:szCs w:val="24"/>
                <w:highlight w:val="none"/>
                <w:lang w:val="en-US" w:eastAsia="zh-CN"/>
              </w:rPr>
              <w:t>小</w:t>
            </w:r>
            <w:r>
              <w:rPr>
                <w:rFonts w:hint="eastAsia" w:ascii="宋体" w:hAnsi="宋体" w:eastAsia="宋体" w:cs="Times New Roman"/>
                <w:sz w:val="24"/>
                <w:szCs w:val="24"/>
                <w:highlight w:val="none"/>
              </w:rPr>
              <w:t>项最高得</w:t>
            </w:r>
            <w:r>
              <w:rPr>
                <w:rFonts w:hint="eastAsia" w:ascii="宋体" w:hAnsi="宋体" w:eastAsia="宋体" w:cs="Times New Roman"/>
                <w:sz w:val="24"/>
                <w:szCs w:val="24"/>
                <w:highlight w:val="none"/>
                <w:lang w:val="en-US" w:eastAsia="zh-CN"/>
              </w:rPr>
              <w:t>2分。</w:t>
            </w:r>
          </w:p>
          <w:p>
            <w:pPr>
              <w:widowControl/>
              <w:spacing w:line="360" w:lineRule="auto"/>
              <w:ind w:firstLine="0" w:firstLineChars="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本项最高得</w:t>
            </w: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分。</w:t>
            </w:r>
          </w:p>
          <w:p>
            <w:pPr>
              <w:widowControl/>
              <w:numPr>
                <w:ilvl w:val="0"/>
                <w:numId w:val="0"/>
              </w:numPr>
              <w:spacing w:line="360" w:lineRule="auto"/>
              <w:ind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项目主要技术人员</w:t>
            </w:r>
          </w:p>
          <w:p>
            <w:pPr>
              <w:widowControl/>
              <w:numPr>
                <w:ilvl w:val="0"/>
                <w:numId w:val="0"/>
              </w:numPr>
              <w:spacing w:line="360" w:lineRule="auto"/>
              <w:ind w:firstLine="0" w:firstLineChars="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除</w:t>
            </w:r>
            <w:r>
              <w:rPr>
                <w:rFonts w:hint="eastAsia" w:ascii="宋体" w:hAnsi="宋体" w:eastAsia="宋体" w:cs="Times New Roman"/>
                <w:sz w:val="24"/>
                <w:szCs w:val="24"/>
                <w:highlight w:val="none"/>
              </w:rPr>
              <w:t>资格审查</w:t>
            </w:r>
            <w:r>
              <w:rPr>
                <w:rFonts w:hint="eastAsia" w:ascii="宋体" w:hAnsi="宋体" w:eastAsia="宋体" w:cs="Times New Roman"/>
                <w:sz w:val="24"/>
                <w:szCs w:val="24"/>
                <w:highlight w:val="none"/>
                <w:lang w:val="en-US" w:eastAsia="zh-CN"/>
              </w:rPr>
              <w:t>所要求的主要技术人员外，</w:t>
            </w:r>
            <w:r>
              <w:rPr>
                <w:rFonts w:hint="eastAsia" w:ascii="宋体" w:hAnsi="宋体" w:eastAsia="宋体" w:cs="Times New Roman"/>
                <w:sz w:val="24"/>
                <w:szCs w:val="24"/>
                <w:highlight w:val="none"/>
              </w:rPr>
              <w:t>每</w:t>
            </w:r>
            <w:r>
              <w:rPr>
                <w:rFonts w:hint="eastAsia" w:ascii="宋体" w:hAnsi="宋体" w:eastAsia="宋体" w:cs="Times New Roman"/>
                <w:sz w:val="24"/>
                <w:szCs w:val="24"/>
                <w:highlight w:val="none"/>
                <w:lang w:val="en-US" w:eastAsia="zh-CN"/>
              </w:rPr>
              <w:t>增加</w:t>
            </w:r>
            <w:r>
              <w:rPr>
                <w:rFonts w:hint="eastAsia" w:ascii="宋体" w:hAnsi="宋体" w:eastAsia="宋体" w:cs="Times New Roman"/>
                <w:sz w:val="24"/>
                <w:szCs w:val="24"/>
                <w:highlight w:val="none"/>
              </w:rPr>
              <w:t xml:space="preserve"> 1 名具有</w:t>
            </w:r>
            <w:r>
              <w:rPr>
                <w:rFonts w:hint="eastAsia" w:ascii="宋体" w:hAnsi="宋体" w:eastAsia="宋体" w:cs="Times New Roman"/>
                <w:sz w:val="24"/>
                <w:szCs w:val="24"/>
                <w:highlight w:val="none"/>
                <w:lang w:val="en-US" w:eastAsia="zh-CN"/>
              </w:rPr>
              <w:t>摄影测量员资格证证书（职业资格需为测绘服务人员）</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技术人员</w:t>
            </w:r>
            <w:r>
              <w:rPr>
                <w:rFonts w:hint="eastAsia" w:ascii="宋体" w:hAnsi="宋体" w:eastAsia="宋体" w:cs="Times New Roman"/>
                <w:sz w:val="24"/>
                <w:szCs w:val="24"/>
                <w:highlight w:val="none"/>
              </w:rPr>
              <w:t>得</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分，本项最高得</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分。</w:t>
            </w:r>
          </w:p>
          <w:p>
            <w:pPr>
              <w:widowControl/>
              <w:spacing w:line="360" w:lineRule="auto"/>
              <w:ind w:firstLine="0" w:firstLineChars="0"/>
              <w:rPr>
                <w:rFonts w:hint="default" w:eastAsia="宋体"/>
                <w:highlight w:val="none"/>
                <w:lang w:val="en-US" w:eastAsia="zh-CN"/>
              </w:rPr>
            </w:pPr>
            <w:r>
              <w:rPr>
                <w:rFonts w:hint="eastAsia" w:ascii="宋体" w:hAnsi="宋体" w:eastAsia="宋体" w:cs="Times New Roman"/>
                <w:sz w:val="24"/>
                <w:szCs w:val="24"/>
                <w:highlight w:val="none"/>
              </w:rPr>
              <w:t>注：需按投标人须知正文第 3.5.4 项提供相关证明文件。</w:t>
            </w:r>
          </w:p>
        </w:tc>
      </w:tr>
    </w:tbl>
    <w:p>
      <w:pPr>
        <w:widowControl/>
        <w:spacing w:line="360" w:lineRule="auto"/>
        <w:ind w:firstLine="482" w:firstLineChars="200"/>
        <w:jc w:val="left"/>
        <w:outlineLvl w:val="2"/>
        <w:rPr>
          <w:rFonts w:hint="eastAsia" w:ascii="宋体" w:hAnsi="宋体"/>
          <w:b/>
          <w:sz w:val="24"/>
          <w:szCs w:val="24"/>
          <w:highlight w:val="none"/>
        </w:rPr>
      </w:pPr>
    </w:p>
    <w:p>
      <w:pPr>
        <w:widowControl/>
        <w:spacing w:line="360" w:lineRule="auto"/>
        <w:ind w:firstLine="482" w:firstLineChars="200"/>
        <w:jc w:val="left"/>
        <w:outlineLvl w:val="2"/>
        <w:rPr>
          <w:rFonts w:ascii="宋体" w:hAnsi="宋体"/>
          <w:spacing w:val="-6"/>
          <w:sz w:val="24"/>
          <w:szCs w:val="24"/>
          <w:highlight w:val="none"/>
        </w:rPr>
      </w:pPr>
      <w:bookmarkStart w:id="12" w:name="_Toc5471"/>
      <w:r>
        <w:rPr>
          <w:rFonts w:hint="eastAsia" w:ascii="宋体" w:hAnsi="宋体"/>
          <w:b/>
          <w:sz w:val="24"/>
          <w:szCs w:val="24"/>
          <w:highlight w:val="none"/>
        </w:rPr>
        <w:t>6.2技术评审（</w:t>
      </w:r>
      <w:r>
        <w:rPr>
          <w:rFonts w:hint="eastAsia" w:ascii="宋体" w:hAnsi="宋体"/>
          <w:b/>
          <w:sz w:val="24"/>
          <w:szCs w:val="24"/>
          <w:highlight w:val="none"/>
          <w:lang w:val="en-US" w:eastAsia="zh-CN"/>
        </w:rPr>
        <w:t>35</w:t>
      </w:r>
      <w:r>
        <w:rPr>
          <w:rFonts w:hint="eastAsia" w:ascii="宋体" w:hAnsi="宋体"/>
          <w:b/>
          <w:sz w:val="24"/>
          <w:szCs w:val="24"/>
          <w:highlight w:val="none"/>
        </w:rPr>
        <w:t>分）</w:t>
      </w:r>
      <w:bookmarkEnd w:id="12"/>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技术评审主要内容和分值范围如下：</w:t>
      </w:r>
    </w:p>
    <w:tbl>
      <w:tblPr>
        <w:tblStyle w:val="5"/>
        <w:tblW w:w="89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94"/>
        <w:gridCol w:w="6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Borders>
              <w:top w:val="single" w:color="auto" w:sz="12" w:space="0"/>
              <w:left w:val="single" w:color="auto" w:sz="12" w:space="0"/>
              <w:bottom w:val="single" w:color="auto" w:sz="4" w:space="0"/>
              <w:right w:val="single" w:color="auto" w:sz="4" w:space="0"/>
            </w:tcBorders>
            <w:noWrap w:val="0"/>
            <w:vAlign w:val="top"/>
          </w:tcPr>
          <w:p>
            <w:pPr>
              <w:spacing w:line="360" w:lineRule="auto"/>
              <w:jc w:val="center"/>
              <w:rPr>
                <w:rFonts w:ascii="宋体" w:hAnsi="宋体"/>
                <w:b/>
                <w:sz w:val="24"/>
                <w:szCs w:val="24"/>
                <w:highlight w:val="none"/>
              </w:rPr>
            </w:pPr>
            <w:r>
              <w:rPr>
                <w:rFonts w:hint="eastAsia" w:ascii="宋体" w:hAnsi="宋体"/>
                <w:b/>
                <w:sz w:val="24"/>
                <w:szCs w:val="24"/>
                <w:highlight w:val="none"/>
              </w:rPr>
              <w:t>序号</w:t>
            </w:r>
          </w:p>
        </w:tc>
        <w:tc>
          <w:tcPr>
            <w:tcW w:w="1694"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szCs w:val="24"/>
                <w:highlight w:val="none"/>
              </w:rPr>
            </w:pPr>
            <w:r>
              <w:rPr>
                <w:rFonts w:hint="eastAsia" w:ascii="宋体" w:hAnsi="宋体"/>
                <w:b/>
                <w:sz w:val="24"/>
                <w:szCs w:val="24"/>
                <w:highlight w:val="none"/>
              </w:rPr>
              <w:t>评分内容</w:t>
            </w:r>
          </w:p>
        </w:tc>
        <w:tc>
          <w:tcPr>
            <w:tcW w:w="6494" w:type="dxa"/>
            <w:tcBorders>
              <w:top w:val="single" w:color="auto" w:sz="12" w:space="0"/>
              <w:left w:val="single" w:color="auto" w:sz="4" w:space="0"/>
              <w:bottom w:val="single" w:color="auto" w:sz="4" w:space="0"/>
              <w:right w:val="single" w:color="auto" w:sz="12" w:space="0"/>
            </w:tcBorders>
            <w:noWrap w:val="0"/>
            <w:vAlign w:val="top"/>
          </w:tcPr>
          <w:p>
            <w:pPr>
              <w:spacing w:line="360" w:lineRule="auto"/>
              <w:jc w:val="center"/>
              <w:rPr>
                <w:rFonts w:ascii="宋体" w:hAnsi="宋体"/>
                <w:b/>
                <w:sz w:val="24"/>
                <w:szCs w:val="24"/>
                <w:highlight w:val="none"/>
              </w:rPr>
            </w:pPr>
            <w:r>
              <w:rPr>
                <w:rFonts w:hint="eastAsia" w:ascii="宋体" w:hAnsi="宋体"/>
                <w:b/>
                <w:sz w:val="24"/>
                <w:szCs w:val="24"/>
                <w:highlight w:val="none"/>
              </w:rPr>
              <w:t>分值范围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1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b/>
                <w:sz w:val="24"/>
                <w:szCs w:val="24"/>
                <w:highlight w:val="none"/>
              </w:rPr>
            </w:pPr>
            <w:r>
              <w:rPr>
                <w:rFonts w:hint="eastAsia" w:ascii="宋体" w:hAnsi="宋体"/>
                <w:b/>
                <w:sz w:val="24"/>
                <w:szCs w:val="24"/>
                <w:highlight w:val="none"/>
              </w:rPr>
              <w:t>1</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对项目的理解</w:t>
            </w:r>
            <w:r>
              <w:rPr>
                <w:rFonts w:hint="eastAsia" w:ascii="宋体" w:hAnsi="宋体" w:eastAsia="宋体" w:cs="Times New Roman"/>
                <w:b w:val="0"/>
                <w:bCs/>
                <w:sz w:val="24"/>
                <w:szCs w:val="24"/>
                <w:highlight w:val="none"/>
                <w:lang w:eastAsia="zh-CN"/>
              </w:rPr>
              <w:t>（</w:t>
            </w:r>
            <w:r>
              <w:rPr>
                <w:rFonts w:hint="eastAsia" w:ascii="宋体" w:hAnsi="宋体" w:eastAsia="宋体" w:cs="Times New Roman"/>
                <w:b w:val="0"/>
                <w:bCs/>
                <w:sz w:val="24"/>
                <w:szCs w:val="24"/>
                <w:highlight w:val="none"/>
                <w:lang w:val="en-US" w:eastAsia="zh-CN"/>
              </w:rPr>
              <w:t>7分</w:t>
            </w:r>
            <w:r>
              <w:rPr>
                <w:rFonts w:hint="eastAsia" w:ascii="宋体" w:hAnsi="宋体"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 xml:space="preserve"> </w:t>
            </w:r>
          </w:p>
        </w:tc>
        <w:tc>
          <w:tcPr>
            <w:tcW w:w="649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根据对本招标项目工作内容的认识、工作方案的安排及工作计划合理可行程度，对各阶段的工作重点的认识和理解，一般得4.2分，较好得4.3</w:t>
            </w:r>
            <w:r>
              <w:rPr>
                <w:rFonts w:hint="eastAsia" w:ascii="Times New Roman" w:hAnsi="Times New Roman"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5.6分，好得5.7</w:t>
            </w:r>
            <w:r>
              <w:rPr>
                <w:rFonts w:hint="eastAsia" w:ascii="Times New Roman" w:hAnsi="Times New Roman"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7.0分。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1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b/>
                <w:sz w:val="24"/>
                <w:szCs w:val="24"/>
                <w:highlight w:val="none"/>
              </w:rPr>
            </w:pPr>
            <w:r>
              <w:rPr>
                <w:rFonts w:hint="eastAsia" w:ascii="宋体" w:hAnsi="宋体"/>
                <w:b/>
                <w:sz w:val="24"/>
                <w:szCs w:val="24"/>
                <w:highlight w:val="none"/>
              </w:rPr>
              <w:t>2</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val="0"/>
                <w:bCs/>
                <w:sz w:val="24"/>
                <w:szCs w:val="24"/>
                <w:highlight w:val="none"/>
                <w:lang w:eastAsia="zh-CN"/>
              </w:rPr>
            </w:pPr>
            <w:r>
              <w:rPr>
                <w:rFonts w:hint="eastAsia" w:ascii="宋体" w:hAnsi="宋体" w:eastAsia="宋体" w:cs="Times New Roman"/>
                <w:b w:val="0"/>
                <w:bCs/>
                <w:sz w:val="24"/>
                <w:szCs w:val="24"/>
                <w:highlight w:val="none"/>
              </w:rPr>
              <w:t xml:space="preserve">重点难点分析、保密措施及应对措施等 </w:t>
            </w:r>
            <w:r>
              <w:rPr>
                <w:rFonts w:hint="eastAsia" w:ascii="宋体" w:hAnsi="宋体" w:eastAsia="宋体" w:cs="Times New Roman"/>
                <w:b w:val="0"/>
                <w:bCs/>
                <w:sz w:val="24"/>
                <w:szCs w:val="24"/>
                <w:highlight w:val="none"/>
                <w:lang w:eastAsia="zh-CN"/>
              </w:rPr>
              <w:t>（</w:t>
            </w:r>
            <w:r>
              <w:rPr>
                <w:rFonts w:hint="eastAsia" w:ascii="宋体" w:hAnsi="宋体" w:eastAsia="宋体" w:cs="Times New Roman"/>
                <w:b w:val="0"/>
                <w:bCs/>
                <w:sz w:val="24"/>
                <w:szCs w:val="24"/>
                <w:highlight w:val="none"/>
                <w:lang w:val="en-US" w:eastAsia="zh-CN"/>
              </w:rPr>
              <w:t>7分</w:t>
            </w:r>
            <w:r>
              <w:rPr>
                <w:rFonts w:hint="eastAsia" w:ascii="宋体" w:hAnsi="宋体" w:eastAsia="宋体" w:cs="Times New Roman"/>
                <w:b w:val="0"/>
                <w:bCs/>
                <w:sz w:val="24"/>
                <w:szCs w:val="24"/>
                <w:highlight w:val="none"/>
                <w:lang w:eastAsia="zh-CN"/>
              </w:rPr>
              <w:t>）</w:t>
            </w:r>
          </w:p>
        </w:tc>
        <w:tc>
          <w:tcPr>
            <w:tcW w:w="649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根据对勘测定界以及批后实施地籍调查等重点难点的认识和</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保密措施及应对措施的可行性，一般得4.2分，较好得 4.3</w:t>
            </w:r>
            <w:r>
              <w:rPr>
                <w:rFonts w:hint="eastAsia" w:ascii="Times New Roman" w:hAnsi="Times New Roman"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5.6分，好得5.7</w:t>
            </w:r>
            <w:r>
              <w:rPr>
                <w:rFonts w:hint="eastAsia" w:ascii="Times New Roman" w:hAnsi="Times New Roman"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7.0分。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b/>
                <w:sz w:val="24"/>
                <w:szCs w:val="24"/>
                <w:highlight w:val="none"/>
              </w:rPr>
            </w:pPr>
            <w:r>
              <w:rPr>
                <w:rFonts w:hint="eastAsia" w:ascii="宋体" w:hAnsi="宋体"/>
                <w:b/>
                <w:sz w:val="24"/>
                <w:szCs w:val="24"/>
                <w:highlight w:val="none"/>
              </w:rPr>
              <w:t>3</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技术方案</w:t>
            </w:r>
            <w:r>
              <w:rPr>
                <w:rFonts w:hint="eastAsia" w:ascii="宋体" w:hAnsi="宋体" w:eastAsia="宋体" w:cs="Times New Roman"/>
                <w:b w:val="0"/>
                <w:bCs/>
                <w:sz w:val="24"/>
                <w:szCs w:val="24"/>
                <w:highlight w:val="none"/>
                <w:lang w:eastAsia="zh-CN"/>
              </w:rPr>
              <w:t>（</w:t>
            </w:r>
            <w:r>
              <w:rPr>
                <w:rFonts w:hint="eastAsia" w:ascii="宋体" w:hAnsi="宋体" w:eastAsia="宋体" w:cs="Times New Roman"/>
                <w:b w:val="0"/>
                <w:bCs/>
                <w:sz w:val="24"/>
                <w:szCs w:val="24"/>
                <w:highlight w:val="none"/>
                <w:lang w:val="en-US" w:eastAsia="zh-CN"/>
              </w:rPr>
              <w:t>7分</w:t>
            </w:r>
            <w:r>
              <w:rPr>
                <w:rFonts w:hint="eastAsia" w:ascii="宋体" w:hAnsi="宋体" w:eastAsia="宋体" w:cs="Times New Roman"/>
                <w:b w:val="0"/>
                <w:bCs/>
                <w:sz w:val="24"/>
                <w:szCs w:val="24"/>
                <w:highlight w:val="none"/>
                <w:lang w:eastAsia="zh-CN"/>
              </w:rPr>
              <w:t>）</w:t>
            </w:r>
          </w:p>
        </w:tc>
        <w:tc>
          <w:tcPr>
            <w:tcW w:w="649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投标人需制定详细的技术方案，根据投标人技术路线及实施方案的完整性及可操作性：一般得4.2分，较好得4.3</w:t>
            </w:r>
            <w:r>
              <w:rPr>
                <w:rFonts w:hint="eastAsia" w:ascii="Times New Roman" w:hAnsi="Times New Roman"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5.6</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分，好得5.7</w:t>
            </w:r>
            <w:r>
              <w:rPr>
                <w:rFonts w:hint="eastAsia" w:ascii="Times New Roman" w:hAnsi="Times New Roman"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7.0分。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1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b/>
                <w:sz w:val="24"/>
                <w:szCs w:val="24"/>
                <w:highlight w:val="none"/>
              </w:rPr>
            </w:pPr>
            <w:r>
              <w:rPr>
                <w:rFonts w:hint="eastAsia" w:ascii="宋体" w:hAnsi="宋体"/>
                <w:b/>
                <w:sz w:val="24"/>
                <w:szCs w:val="24"/>
                <w:highlight w:val="none"/>
              </w:rPr>
              <w:t>4</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 xml:space="preserve">进度计划及保障措施 </w:t>
            </w:r>
            <w:r>
              <w:rPr>
                <w:rFonts w:hint="eastAsia" w:ascii="宋体" w:hAnsi="宋体" w:eastAsia="宋体" w:cs="Times New Roman"/>
                <w:b w:val="0"/>
                <w:bCs/>
                <w:sz w:val="24"/>
                <w:szCs w:val="24"/>
                <w:highlight w:val="none"/>
                <w:lang w:eastAsia="zh-CN"/>
              </w:rPr>
              <w:t>（</w:t>
            </w:r>
            <w:r>
              <w:rPr>
                <w:rFonts w:hint="eastAsia" w:ascii="宋体" w:hAnsi="宋体" w:eastAsia="宋体" w:cs="Times New Roman"/>
                <w:b w:val="0"/>
                <w:bCs/>
                <w:sz w:val="24"/>
                <w:szCs w:val="24"/>
                <w:highlight w:val="none"/>
                <w:lang w:val="en-US" w:eastAsia="zh-CN"/>
              </w:rPr>
              <w:t>7分</w:t>
            </w:r>
            <w:r>
              <w:rPr>
                <w:rFonts w:hint="eastAsia" w:ascii="宋体" w:hAnsi="宋体" w:eastAsia="宋体" w:cs="Times New Roman"/>
                <w:b w:val="0"/>
                <w:bCs/>
                <w:sz w:val="24"/>
                <w:szCs w:val="24"/>
                <w:highlight w:val="none"/>
                <w:lang w:eastAsia="zh-CN"/>
              </w:rPr>
              <w:t>）</w:t>
            </w:r>
          </w:p>
        </w:tc>
        <w:tc>
          <w:tcPr>
            <w:tcW w:w="649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投标人需制定详细的进度计划并确保实施，根据投标人计划的完整性及可操作性：一般得4.2分，较好得4.3</w:t>
            </w:r>
            <w:r>
              <w:rPr>
                <w:rFonts w:hint="eastAsia" w:ascii="Times New Roman" w:hAnsi="Times New Roman"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5.6分，</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好得5.7</w:t>
            </w:r>
            <w:r>
              <w:rPr>
                <w:rFonts w:hint="eastAsia" w:ascii="Times New Roman" w:hAnsi="Times New Roman"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7.0分。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17"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b/>
                <w:sz w:val="24"/>
                <w:szCs w:val="24"/>
                <w:highlight w:val="none"/>
              </w:rPr>
            </w:pPr>
            <w:r>
              <w:rPr>
                <w:rFonts w:hint="eastAsia" w:ascii="宋体" w:hAnsi="宋体"/>
                <w:b/>
                <w:sz w:val="24"/>
                <w:szCs w:val="24"/>
                <w:highlight w:val="none"/>
              </w:rPr>
              <w:t>5</w:t>
            </w:r>
          </w:p>
        </w:tc>
        <w:tc>
          <w:tcPr>
            <w:tcW w:w="1694"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后续服务计划</w:t>
            </w:r>
            <w:r>
              <w:rPr>
                <w:rFonts w:hint="eastAsia" w:ascii="宋体" w:hAnsi="宋体" w:eastAsia="宋体" w:cs="Times New Roman"/>
                <w:b w:val="0"/>
                <w:bCs/>
                <w:sz w:val="24"/>
                <w:szCs w:val="24"/>
                <w:highlight w:val="none"/>
                <w:lang w:eastAsia="zh-CN"/>
              </w:rPr>
              <w:t>（</w:t>
            </w:r>
            <w:r>
              <w:rPr>
                <w:rFonts w:hint="eastAsia" w:ascii="宋体" w:hAnsi="宋体" w:eastAsia="宋体" w:cs="Times New Roman"/>
                <w:b w:val="0"/>
                <w:bCs/>
                <w:sz w:val="24"/>
                <w:szCs w:val="24"/>
                <w:highlight w:val="none"/>
                <w:lang w:val="en-US" w:eastAsia="zh-CN"/>
              </w:rPr>
              <w:t>7分</w:t>
            </w:r>
            <w:r>
              <w:rPr>
                <w:rFonts w:hint="eastAsia" w:ascii="宋体" w:hAnsi="宋体" w:eastAsia="宋体" w:cs="Times New Roman"/>
                <w:b w:val="0"/>
                <w:bCs/>
                <w:sz w:val="24"/>
                <w:szCs w:val="24"/>
                <w:highlight w:val="none"/>
                <w:lang w:eastAsia="zh-CN"/>
              </w:rPr>
              <w:t>）</w:t>
            </w:r>
          </w:p>
        </w:tc>
        <w:tc>
          <w:tcPr>
            <w:tcW w:w="6494" w:type="dxa"/>
            <w:tcBorders>
              <w:top w:val="single" w:color="auto" w:sz="4" w:space="0"/>
              <w:left w:val="single" w:color="auto" w:sz="4"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根据对招标项目后续服务安排的合理性程度及保证措施合理程度，一般得4.2分，较好得4.3</w:t>
            </w:r>
            <w:r>
              <w:rPr>
                <w:rFonts w:hint="eastAsia" w:ascii="Times New Roman" w:hAnsi="Times New Roman"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5.6分，好得5.7</w:t>
            </w:r>
            <w:r>
              <w:rPr>
                <w:rFonts w:hint="default" w:ascii="Times New Roman" w:hAnsi="Times New Roman" w:eastAsia="宋体" w:cs="Times New Roman"/>
                <w:b w:val="0"/>
                <w:bCs/>
                <w:sz w:val="24"/>
                <w:szCs w:val="24"/>
                <w:highlight w:val="none"/>
                <w:lang w:eastAsia="zh-CN"/>
              </w:rPr>
              <w:t>~</w:t>
            </w:r>
            <w:r>
              <w:rPr>
                <w:rFonts w:hint="eastAsia" w:ascii="宋体" w:hAnsi="宋体" w:eastAsia="宋体" w:cs="Times New Roman"/>
                <w:b w:val="0"/>
                <w:bCs/>
                <w:sz w:val="24"/>
                <w:szCs w:val="24"/>
                <w:highlight w:val="none"/>
              </w:rPr>
              <w:t>7.0</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分。</w:t>
            </w:r>
          </w:p>
        </w:tc>
      </w:tr>
    </w:tbl>
    <w:p>
      <w:pPr>
        <w:spacing w:line="360" w:lineRule="auto"/>
        <w:ind w:firstLine="396" w:firstLineChars="200"/>
        <w:rPr>
          <w:rFonts w:ascii="宋体" w:hAnsi="宋体"/>
          <w:b/>
          <w:bCs/>
          <w:spacing w:val="-6"/>
          <w:sz w:val="21"/>
          <w:szCs w:val="21"/>
          <w:highlight w:val="none"/>
        </w:rPr>
      </w:pPr>
      <w:r>
        <w:rPr>
          <w:rFonts w:hint="eastAsia" w:ascii="宋体" w:hAnsi="宋体"/>
          <w:bCs/>
          <w:spacing w:val="-6"/>
          <w:sz w:val="21"/>
          <w:szCs w:val="21"/>
          <w:highlight w:val="none"/>
        </w:rPr>
        <w:t>注：</w:t>
      </w:r>
      <w:r>
        <w:rPr>
          <w:rFonts w:hint="eastAsia" w:ascii="宋体" w:hAnsi="宋体"/>
          <w:sz w:val="21"/>
          <w:szCs w:val="21"/>
          <w:highlight w:val="none"/>
        </w:rPr>
        <w:t>技术评审得分以各评标委员会成员对该投标人技术评审总分（保留小数点后</w:t>
      </w:r>
      <w:r>
        <w:rPr>
          <w:rFonts w:ascii="宋体" w:hAnsi="宋体"/>
          <w:sz w:val="21"/>
          <w:szCs w:val="21"/>
          <w:highlight w:val="none"/>
        </w:rPr>
        <w:t>1</w:t>
      </w:r>
      <w:r>
        <w:rPr>
          <w:rFonts w:hint="eastAsia" w:ascii="宋体" w:hAnsi="宋体"/>
          <w:sz w:val="21"/>
          <w:szCs w:val="21"/>
          <w:highlight w:val="none"/>
        </w:rPr>
        <w:t>位）的算术平均值确定（保留小数点后</w:t>
      </w:r>
      <w:r>
        <w:rPr>
          <w:rFonts w:ascii="宋体" w:hAnsi="宋体"/>
          <w:sz w:val="21"/>
          <w:szCs w:val="21"/>
          <w:highlight w:val="none"/>
        </w:rPr>
        <w:t>2</w:t>
      </w:r>
      <w:r>
        <w:rPr>
          <w:rFonts w:hint="eastAsia" w:ascii="宋体" w:hAnsi="宋体"/>
          <w:sz w:val="21"/>
          <w:szCs w:val="21"/>
          <w:highlight w:val="none"/>
        </w:rPr>
        <w:t>位）。</w:t>
      </w:r>
    </w:p>
    <w:p>
      <w:pPr>
        <w:spacing w:line="360" w:lineRule="auto"/>
        <w:outlineLvl w:val="2"/>
        <w:rPr>
          <w:rFonts w:hint="eastAsia" w:ascii="宋体" w:hAnsi="宋体"/>
          <w:b/>
          <w:sz w:val="24"/>
          <w:szCs w:val="24"/>
          <w:highlight w:val="none"/>
        </w:rPr>
      </w:pPr>
    </w:p>
    <w:p>
      <w:pPr>
        <w:spacing w:line="360" w:lineRule="auto"/>
        <w:ind w:firstLine="482" w:firstLineChars="200"/>
        <w:outlineLvl w:val="2"/>
        <w:rPr>
          <w:rFonts w:ascii="宋体" w:hAnsi="宋体"/>
          <w:b/>
          <w:sz w:val="24"/>
          <w:szCs w:val="24"/>
          <w:highlight w:val="none"/>
        </w:rPr>
      </w:pPr>
      <w:bookmarkStart w:id="13" w:name="_Toc13059"/>
      <w:r>
        <w:rPr>
          <w:rFonts w:hint="eastAsia" w:ascii="宋体" w:hAnsi="宋体"/>
          <w:b/>
          <w:sz w:val="24"/>
          <w:szCs w:val="24"/>
          <w:highlight w:val="none"/>
        </w:rPr>
        <w:t>6.3投标报价评审</w:t>
      </w:r>
      <w:r>
        <w:rPr>
          <w:rFonts w:ascii="宋体" w:hAnsi="宋体"/>
          <w:b/>
          <w:sz w:val="24"/>
          <w:szCs w:val="24"/>
          <w:highlight w:val="none"/>
        </w:rPr>
        <w:t>（</w:t>
      </w:r>
      <w:r>
        <w:rPr>
          <w:rFonts w:hint="eastAsia" w:ascii="宋体" w:hAnsi="宋体"/>
          <w:b/>
          <w:sz w:val="24"/>
          <w:szCs w:val="24"/>
          <w:highlight w:val="none"/>
        </w:rPr>
        <w:t>20</w:t>
      </w:r>
      <w:r>
        <w:rPr>
          <w:rFonts w:ascii="宋体" w:hAnsi="宋体"/>
          <w:b/>
          <w:sz w:val="24"/>
          <w:szCs w:val="24"/>
          <w:highlight w:val="none"/>
        </w:rPr>
        <w:t>分）</w:t>
      </w:r>
      <w:bookmarkEnd w:id="13"/>
    </w:p>
    <w:p>
      <w:pPr>
        <w:pStyle w:val="7"/>
        <w:spacing w:line="360" w:lineRule="auto"/>
        <w:ind w:firstLine="482"/>
        <w:rPr>
          <w:rFonts w:hint="eastAsia" w:cs="宋体"/>
          <w:b/>
          <w:color w:val="auto"/>
          <w:szCs w:val="21"/>
          <w:highlight w:val="none"/>
        </w:rPr>
      </w:pPr>
      <w:r>
        <w:rPr>
          <w:rFonts w:hint="eastAsia" w:cs="宋体"/>
          <w:b/>
          <w:color w:val="auto"/>
          <w:szCs w:val="21"/>
          <w:highlight w:val="none"/>
        </w:rPr>
        <w:t>6.3.1算术性修正</w:t>
      </w:r>
    </w:p>
    <w:p>
      <w:pPr>
        <w:pStyle w:val="7"/>
        <w:spacing w:line="360" w:lineRule="auto"/>
        <w:ind w:firstLine="480"/>
        <w:rPr>
          <w:rFonts w:hint="eastAsia" w:cs="宋体"/>
          <w:color w:val="auto"/>
          <w:szCs w:val="21"/>
          <w:highlight w:val="none"/>
        </w:rPr>
      </w:pPr>
      <w:r>
        <w:rPr>
          <w:rFonts w:hint="eastAsia" w:cs="宋体"/>
          <w:color w:val="auto"/>
          <w:szCs w:val="21"/>
          <w:highlight w:val="none"/>
        </w:rPr>
        <w:t>评标委员会对通过初步评审、资格审查的投标文件中的报价文件按下列原则进行算术性修正：</w:t>
      </w:r>
    </w:p>
    <w:p>
      <w:pPr>
        <w:pStyle w:val="7"/>
        <w:spacing w:line="360" w:lineRule="auto"/>
        <w:ind w:firstLine="480"/>
        <w:rPr>
          <w:rFonts w:hint="eastAsia" w:cs="宋体"/>
          <w:color w:val="auto"/>
          <w:szCs w:val="21"/>
          <w:highlight w:val="none"/>
        </w:rPr>
      </w:pPr>
      <w:r>
        <w:rPr>
          <w:rFonts w:hint="eastAsia" w:cs="宋体"/>
          <w:color w:val="auto"/>
          <w:szCs w:val="21"/>
          <w:highlight w:val="none"/>
        </w:rPr>
        <w:fldChar w:fldCharType="begin"/>
      </w:r>
      <w:r>
        <w:rPr>
          <w:rFonts w:hint="eastAsia" w:cs="宋体"/>
          <w:color w:val="auto"/>
          <w:szCs w:val="21"/>
          <w:highlight w:val="none"/>
        </w:rPr>
        <w:instrText xml:space="preserve"> = 1 \* GB2 </w:instrText>
      </w:r>
      <w:r>
        <w:rPr>
          <w:rFonts w:hint="eastAsia" w:cs="宋体"/>
          <w:color w:val="auto"/>
          <w:szCs w:val="21"/>
          <w:highlight w:val="none"/>
        </w:rPr>
        <w:fldChar w:fldCharType="separate"/>
      </w:r>
      <w:r>
        <w:rPr>
          <w:rFonts w:hint="eastAsia" w:cs="宋体"/>
          <w:color w:val="auto"/>
          <w:szCs w:val="21"/>
          <w:highlight w:val="none"/>
        </w:rPr>
        <w:t>⑴</w:t>
      </w:r>
      <w:r>
        <w:rPr>
          <w:rFonts w:hint="eastAsia" w:cs="宋体"/>
          <w:color w:val="auto"/>
          <w:szCs w:val="21"/>
          <w:highlight w:val="none"/>
        </w:rPr>
        <w:fldChar w:fldCharType="end"/>
      </w:r>
      <w:r>
        <w:rPr>
          <w:rFonts w:hint="eastAsia" w:cs="宋体"/>
          <w:color w:val="auto"/>
          <w:szCs w:val="21"/>
          <w:highlight w:val="none"/>
        </w:rPr>
        <w:t>投标文件中的大写金额与小写金额不一致的，以大写金额为准；</w:t>
      </w:r>
    </w:p>
    <w:p>
      <w:pPr>
        <w:pStyle w:val="7"/>
        <w:spacing w:line="360" w:lineRule="auto"/>
        <w:ind w:firstLine="480"/>
        <w:rPr>
          <w:rFonts w:hint="eastAsia" w:cs="宋体"/>
          <w:color w:val="auto"/>
          <w:szCs w:val="21"/>
          <w:highlight w:val="none"/>
        </w:rPr>
      </w:pPr>
      <w:r>
        <w:rPr>
          <w:rFonts w:hint="eastAsia" w:cs="宋体"/>
          <w:color w:val="auto"/>
          <w:szCs w:val="21"/>
          <w:highlight w:val="none"/>
        </w:rPr>
        <w:fldChar w:fldCharType="begin"/>
      </w:r>
      <w:r>
        <w:rPr>
          <w:rFonts w:hint="eastAsia" w:cs="宋体"/>
          <w:color w:val="auto"/>
          <w:szCs w:val="21"/>
          <w:highlight w:val="none"/>
        </w:rPr>
        <w:instrText xml:space="preserve"> = 2 \* GB2 </w:instrText>
      </w:r>
      <w:r>
        <w:rPr>
          <w:rFonts w:hint="eastAsia" w:cs="宋体"/>
          <w:color w:val="auto"/>
          <w:szCs w:val="21"/>
          <w:highlight w:val="none"/>
        </w:rPr>
        <w:fldChar w:fldCharType="separate"/>
      </w:r>
      <w:r>
        <w:rPr>
          <w:rFonts w:hint="eastAsia" w:cs="宋体"/>
          <w:color w:val="auto"/>
          <w:szCs w:val="21"/>
          <w:highlight w:val="none"/>
        </w:rPr>
        <w:t>⑵</w:t>
      </w:r>
      <w:r>
        <w:rPr>
          <w:rFonts w:hint="eastAsia" w:cs="宋体"/>
          <w:color w:val="auto"/>
          <w:szCs w:val="21"/>
          <w:highlight w:val="none"/>
        </w:rPr>
        <w:fldChar w:fldCharType="end"/>
      </w:r>
      <w:r>
        <w:rPr>
          <w:rFonts w:hint="eastAsia" w:cs="宋体"/>
          <w:color w:val="auto"/>
          <w:szCs w:val="21"/>
          <w:highlight w:val="none"/>
        </w:rPr>
        <w:t>投标总报价金额与依据单价计算出的结果不一致的，以投标总报价金额为准，修正单价；</w:t>
      </w:r>
    </w:p>
    <w:p>
      <w:pPr>
        <w:pStyle w:val="7"/>
        <w:spacing w:line="360" w:lineRule="auto"/>
        <w:ind w:firstLine="480"/>
        <w:rPr>
          <w:rFonts w:hint="eastAsia" w:cs="宋体"/>
          <w:color w:val="auto"/>
          <w:szCs w:val="21"/>
          <w:highlight w:val="none"/>
        </w:rPr>
      </w:pPr>
      <w:r>
        <w:rPr>
          <w:rFonts w:hint="eastAsia" w:cs="宋体"/>
          <w:color w:val="auto"/>
          <w:szCs w:val="21"/>
          <w:highlight w:val="none"/>
        </w:rPr>
        <w:fldChar w:fldCharType="begin"/>
      </w:r>
      <w:r>
        <w:rPr>
          <w:rFonts w:hint="eastAsia" w:cs="宋体"/>
          <w:color w:val="auto"/>
          <w:szCs w:val="21"/>
          <w:highlight w:val="none"/>
        </w:rPr>
        <w:instrText xml:space="preserve"> = 3 \* GB2 </w:instrText>
      </w:r>
      <w:r>
        <w:rPr>
          <w:rFonts w:hint="eastAsia" w:cs="宋体"/>
          <w:color w:val="auto"/>
          <w:szCs w:val="21"/>
          <w:highlight w:val="none"/>
        </w:rPr>
        <w:fldChar w:fldCharType="separate"/>
      </w:r>
      <w:r>
        <w:rPr>
          <w:rFonts w:hint="eastAsia" w:cs="宋体"/>
          <w:color w:val="auto"/>
          <w:szCs w:val="21"/>
          <w:highlight w:val="none"/>
        </w:rPr>
        <w:t>⑶</w:t>
      </w:r>
      <w:r>
        <w:rPr>
          <w:rFonts w:hint="eastAsia" w:cs="宋体"/>
          <w:color w:val="auto"/>
          <w:szCs w:val="21"/>
          <w:highlight w:val="none"/>
        </w:rPr>
        <w:fldChar w:fldCharType="end"/>
      </w:r>
      <w:r>
        <w:rPr>
          <w:rFonts w:hint="eastAsia" w:cs="宋体"/>
          <w:color w:val="auto"/>
          <w:szCs w:val="21"/>
          <w:highlight w:val="none"/>
        </w:rPr>
        <w:t>当各细目的合价累计不等于投标总报价时，以投标总报价为准，修正各细目合价累计数。</w:t>
      </w:r>
    </w:p>
    <w:p>
      <w:pPr>
        <w:pStyle w:val="7"/>
        <w:spacing w:line="360" w:lineRule="auto"/>
        <w:ind w:firstLine="480"/>
        <w:rPr>
          <w:rFonts w:hint="eastAsia" w:cs="宋体"/>
          <w:color w:val="auto"/>
          <w:szCs w:val="21"/>
          <w:highlight w:val="none"/>
        </w:rPr>
      </w:pPr>
      <w:r>
        <w:rPr>
          <w:rFonts w:hint="eastAsia" w:cs="宋体"/>
          <w:color w:val="auto"/>
          <w:szCs w:val="21"/>
          <w:highlight w:val="none"/>
        </w:rPr>
        <w:t>⑷当各子目的合价累计不等于总价时，应以总价不变的前提下，修正各子目合价。</w:t>
      </w:r>
    </w:p>
    <w:p>
      <w:pPr>
        <w:pStyle w:val="7"/>
        <w:spacing w:line="360" w:lineRule="auto"/>
        <w:ind w:firstLine="480"/>
        <w:rPr>
          <w:rFonts w:hint="eastAsia" w:cs="宋体"/>
          <w:color w:val="auto"/>
          <w:szCs w:val="21"/>
          <w:highlight w:val="none"/>
        </w:rPr>
      </w:pPr>
      <w:r>
        <w:rPr>
          <w:rFonts w:hint="eastAsia" w:cs="宋体"/>
          <w:color w:val="auto"/>
          <w:szCs w:val="21"/>
          <w:highlight w:val="none"/>
        </w:rPr>
        <w:t>评标委员会对算术性差错的修正结果，无需投标人在评标过程中确认，投标人必须同意其修正结果，否则否决其投标，并没收其投标担保。修正后的最终投标总报价仅作为签订合同的一个依据，不参与评标价得分的计算。修正后的最终投标总报价若超过最高投标限价，将否决其投标。</w:t>
      </w:r>
    </w:p>
    <w:p>
      <w:pPr>
        <w:pStyle w:val="7"/>
        <w:spacing w:line="360" w:lineRule="auto"/>
        <w:ind w:firstLine="482"/>
        <w:rPr>
          <w:rFonts w:hint="eastAsia" w:cs="宋体"/>
          <w:b/>
          <w:color w:val="auto"/>
          <w:szCs w:val="21"/>
          <w:highlight w:val="none"/>
        </w:rPr>
      </w:pPr>
      <w:r>
        <w:rPr>
          <w:rFonts w:hint="eastAsia" w:cs="宋体"/>
          <w:b/>
          <w:color w:val="auto"/>
          <w:szCs w:val="21"/>
          <w:highlight w:val="none"/>
        </w:rPr>
        <w:t>6.3.2评标基准价的确定</w:t>
      </w:r>
    </w:p>
    <w:p>
      <w:pPr>
        <w:pStyle w:val="7"/>
        <w:spacing w:line="360" w:lineRule="auto"/>
        <w:ind w:firstLine="480"/>
        <w:rPr>
          <w:rFonts w:hint="eastAsia" w:cs="宋体"/>
          <w:color w:val="auto"/>
          <w:szCs w:val="21"/>
          <w:highlight w:val="none"/>
        </w:rPr>
      </w:pPr>
      <w:r>
        <w:rPr>
          <w:rFonts w:hint="eastAsia" w:cs="宋体"/>
          <w:color w:val="auto"/>
          <w:szCs w:val="21"/>
          <w:highlight w:val="none"/>
        </w:rPr>
        <w:t>⑴评标价的确定</w:t>
      </w:r>
    </w:p>
    <w:p>
      <w:pPr>
        <w:pStyle w:val="7"/>
        <w:spacing w:line="360" w:lineRule="auto"/>
        <w:ind w:firstLine="480"/>
        <w:rPr>
          <w:rFonts w:hint="eastAsia" w:cs="宋体"/>
          <w:color w:val="auto"/>
          <w:szCs w:val="21"/>
          <w:highlight w:val="none"/>
        </w:rPr>
      </w:pPr>
      <w:r>
        <w:rPr>
          <w:rFonts w:hint="eastAsia" w:cs="宋体"/>
          <w:color w:val="auto"/>
          <w:szCs w:val="21"/>
          <w:highlight w:val="none"/>
        </w:rPr>
        <w:t xml:space="preserve"> 评标价=投标函文字报价</w:t>
      </w:r>
    </w:p>
    <w:p>
      <w:pPr>
        <w:pStyle w:val="7"/>
        <w:spacing w:line="360" w:lineRule="auto"/>
        <w:ind w:firstLine="480"/>
        <w:rPr>
          <w:rFonts w:hint="eastAsia" w:cs="宋体"/>
          <w:color w:val="auto"/>
          <w:szCs w:val="21"/>
          <w:highlight w:val="none"/>
        </w:rPr>
      </w:pPr>
      <w:r>
        <w:rPr>
          <w:rFonts w:hint="eastAsia" w:cs="宋体"/>
          <w:color w:val="auto"/>
          <w:szCs w:val="21"/>
          <w:highlight w:val="none"/>
        </w:rPr>
        <w:t>⑵有效评标价范围</w:t>
      </w:r>
    </w:p>
    <w:p>
      <w:pPr>
        <w:pStyle w:val="7"/>
        <w:spacing w:line="360" w:lineRule="auto"/>
        <w:ind w:firstLine="480"/>
        <w:rPr>
          <w:rFonts w:hint="eastAsia" w:cs="宋体"/>
          <w:b/>
          <w:color w:val="auto"/>
          <w:szCs w:val="21"/>
          <w:highlight w:val="none"/>
        </w:rPr>
      </w:pPr>
      <w:r>
        <w:rPr>
          <w:rFonts w:hint="eastAsia" w:cs="宋体"/>
          <w:color w:val="auto"/>
          <w:szCs w:val="21"/>
          <w:highlight w:val="none"/>
        </w:rPr>
        <w:t>通过报价评审，且满足以下报价范围的为有效评标价：有效投标</w:t>
      </w:r>
      <w:r>
        <w:rPr>
          <w:rFonts w:hint="eastAsia" w:cs="宋体"/>
          <w:color w:val="auto"/>
          <w:szCs w:val="21"/>
          <w:highlight w:val="none"/>
          <w:lang w:val="en-US" w:eastAsia="zh-CN"/>
        </w:rPr>
        <w:t>总报价</w:t>
      </w:r>
      <w:r>
        <w:rPr>
          <w:rFonts w:hint="eastAsia" w:cs="宋体"/>
          <w:color w:val="auto"/>
          <w:szCs w:val="21"/>
          <w:highlight w:val="none"/>
        </w:rPr>
        <w:t>≤最高</w:t>
      </w:r>
      <w:r>
        <w:rPr>
          <w:rFonts w:cs="宋体"/>
          <w:color w:val="auto"/>
          <w:szCs w:val="21"/>
          <w:highlight w:val="none"/>
        </w:rPr>
        <w:t>投</w:t>
      </w:r>
      <w:r>
        <w:rPr>
          <w:rFonts w:hint="eastAsia" w:cs="宋体"/>
          <w:color w:val="auto"/>
          <w:szCs w:val="21"/>
          <w:highlight w:val="none"/>
        </w:rPr>
        <w:t>标限价的100%；大于最高</w:t>
      </w:r>
      <w:r>
        <w:rPr>
          <w:rFonts w:cs="宋体"/>
          <w:color w:val="auto"/>
          <w:szCs w:val="21"/>
          <w:highlight w:val="none"/>
        </w:rPr>
        <w:t>投</w:t>
      </w:r>
      <w:r>
        <w:rPr>
          <w:rFonts w:hint="eastAsia" w:cs="宋体"/>
          <w:color w:val="auto"/>
          <w:szCs w:val="21"/>
          <w:highlight w:val="none"/>
        </w:rPr>
        <w:t>标限价的投标</w:t>
      </w:r>
      <w:r>
        <w:rPr>
          <w:rFonts w:hint="eastAsia" w:cs="宋体"/>
          <w:color w:val="auto"/>
          <w:szCs w:val="21"/>
          <w:highlight w:val="none"/>
          <w:lang w:val="en-US" w:eastAsia="zh-CN"/>
        </w:rPr>
        <w:t>总报价</w:t>
      </w:r>
      <w:r>
        <w:rPr>
          <w:rFonts w:hint="eastAsia" w:cs="宋体"/>
          <w:color w:val="auto"/>
          <w:szCs w:val="21"/>
          <w:highlight w:val="none"/>
        </w:rPr>
        <w:t>，否决其投标。</w:t>
      </w:r>
    </w:p>
    <w:p>
      <w:pPr>
        <w:pStyle w:val="7"/>
        <w:spacing w:line="360" w:lineRule="auto"/>
        <w:ind w:firstLine="480"/>
        <w:rPr>
          <w:rFonts w:hint="eastAsia" w:cs="宋体"/>
          <w:color w:val="auto"/>
          <w:szCs w:val="21"/>
          <w:highlight w:val="none"/>
        </w:rPr>
      </w:pPr>
      <w:r>
        <w:rPr>
          <w:rFonts w:hint="eastAsia" w:cs="宋体"/>
          <w:color w:val="auto"/>
          <w:szCs w:val="21"/>
          <w:highlight w:val="none"/>
        </w:rPr>
        <w:t>⑶最高评标限价的确定</w:t>
      </w:r>
    </w:p>
    <w:p>
      <w:pPr>
        <w:pStyle w:val="7"/>
        <w:spacing w:line="360" w:lineRule="auto"/>
        <w:ind w:firstLine="482"/>
        <w:rPr>
          <w:rFonts w:hint="eastAsia" w:cs="宋体"/>
          <w:b w:val="0"/>
          <w:bCs/>
          <w:color w:val="auto"/>
          <w:szCs w:val="21"/>
          <w:highlight w:val="none"/>
        </w:rPr>
      </w:pPr>
      <w:r>
        <w:rPr>
          <w:rFonts w:hint="eastAsia" w:cs="宋体"/>
          <w:b w:val="0"/>
          <w:bCs/>
          <w:color w:val="auto"/>
          <w:szCs w:val="21"/>
          <w:highlight w:val="none"/>
        </w:rPr>
        <w:t>本招标项目的最高投标限价下浮率有效范围为</w:t>
      </w:r>
      <w:r>
        <w:rPr>
          <w:rFonts w:hint="eastAsia" w:cs="宋体"/>
          <w:b w:val="0"/>
          <w:bCs/>
          <w:color w:val="auto"/>
          <w:szCs w:val="21"/>
          <w:highlight w:val="none"/>
          <w:lang w:val="en-US" w:eastAsia="zh-CN"/>
        </w:rPr>
        <w:t>9</w:t>
      </w:r>
      <w:r>
        <w:rPr>
          <w:rFonts w:hint="eastAsia" w:cs="宋体"/>
          <w:b w:val="0"/>
          <w:bCs/>
          <w:color w:val="auto"/>
          <w:szCs w:val="21"/>
          <w:highlight w:val="none"/>
        </w:rPr>
        <w:t>%～</w:t>
      </w:r>
      <w:r>
        <w:rPr>
          <w:rFonts w:hint="eastAsia" w:cs="宋体"/>
          <w:b w:val="0"/>
          <w:bCs/>
          <w:color w:val="auto"/>
          <w:szCs w:val="21"/>
          <w:highlight w:val="none"/>
          <w:lang w:val="en-US" w:eastAsia="zh-CN"/>
        </w:rPr>
        <w:t>12</w:t>
      </w:r>
      <w:r>
        <w:rPr>
          <w:rFonts w:hint="eastAsia" w:cs="宋体"/>
          <w:b w:val="0"/>
          <w:bCs/>
          <w:color w:val="auto"/>
          <w:szCs w:val="21"/>
          <w:highlight w:val="none"/>
        </w:rPr>
        <w:t>%（含界值）。</w:t>
      </w:r>
    </w:p>
    <w:p>
      <w:pPr>
        <w:pStyle w:val="7"/>
        <w:spacing w:line="360" w:lineRule="auto"/>
        <w:ind w:firstLine="480"/>
        <w:rPr>
          <w:rFonts w:hint="eastAsia" w:cs="宋体"/>
          <w:color w:val="auto"/>
          <w:szCs w:val="21"/>
          <w:highlight w:val="none"/>
        </w:rPr>
      </w:pPr>
      <w:r>
        <w:rPr>
          <w:rFonts w:hint="eastAsia" w:cs="宋体"/>
          <w:color w:val="auto"/>
          <w:szCs w:val="21"/>
          <w:highlight w:val="none"/>
        </w:rPr>
        <w:t>在开标前，采用摇珠方式确定最高投标限价下浮率（下浮率按0.1%为一档次，增序确定摇珠号码，共设31个球）。在最高投标限价下浮率有效范围内依次随机摇取3个球（摇出的球不再放回摇珠机），摇出3个球对应的下浮率的平均值（四舍五入取整到0.001％）即为本次招标的下浮率。</w:t>
      </w:r>
    </w:p>
    <w:p>
      <w:pPr>
        <w:pStyle w:val="7"/>
        <w:spacing w:line="360" w:lineRule="auto"/>
        <w:ind w:firstLine="480"/>
        <w:rPr>
          <w:rFonts w:hint="eastAsia" w:cs="宋体"/>
          <w:color w:val="auto"/>
          <w:szCs w:val="21"/>
          <w:highlight w:val="none"/>
        </w:rPr>
      </w:pPr>
      <w:r>
        <w:rPr>
          <w:rFonts w:hint="eastAsia" w:cs="宋体"/>
          <w:color w:val="auto"/>
          <w:szCs w:val="21"/>
          <w:highlight w:val="none"/>
        </w:rPr>
        <w:t>最高评标限价=最高投标限价×（1-下浮率），超过最高评标限价的，评</w:t>
      </w:r>
      <w:r>
        <w:rPr>
          <w:rFonts w:hint="eastAsia" w:cs="宋体"/>
          <w:color w:val="auto"/>
          <w:szCs w:val="21"/>
          <w:highlight w:val="none"/>
          <w:lang w:val="en-US" w:eastAsia="zh-CN"/>
        </w:rPr>
        <w:t>标</w:t>
      </w:r>
      <w:r>
        <w:rPr>
          <w:rFonts w:hint="eastAsia" w:cs="宋体"/>
          <w:color w:val="auto"/>
          <w:szCs w:val="21"/>
          <w:highlight w:val="none"/>
        </w:rPr>
        <w:t>价得0分。</w:t>
      </w:r>
    </w:p>
    <w:p>
      <w:pPr>
        <w:pStyle w:val="7"/>
        <w:spacing w:line="360" w:lineRule="auto"/>
        <w:ind w:firstLine="480"/>
        <w:rPr>
          <w:rFonts w:hint="eastAsia" w:cs="宋体"/>
          <w:color w:val="auto"/>
          <w:szCs w:val="21"/>
          <w:highlight w:val="none"/>
        </w:rPr>
      </w:pPr>
      <w:r>
        <w:rPr>
          <w:rFonts w:hint="eastAsia" w:cs="宋体"/>
          <w:color w:val="auto"/>
          <w:szCs w:val="21"/>
          <w:highlight w:val="none"/>
        </w:rPr>
        <w:t>⑷计算评标基准价</w:t>
      </w:r>
    </w:p>
    <w:p>
      <w:pPr>
        <w:pStyle w:val="7"/>
        <w:spacing w:line="360" w:lineRule="auto"/>
        <w:ind w:firstLine="480"/>
        <w:rPr>
          <w:rFonts w:hint="eastAsia" w:cs="宋体"/>
          <w:color w:val="auto"/>
          <w:szCs w:val="21"/>
          <w:highlight w:val="none"/>
        </w:rPr>
      </w:pPr>
      <w:r>
        <w:rPr>
          <w:rFonts w:hint="eastAsia" w:cs="宋体"/>
          <w:color w:val="auto"/>
          <w:szCs w:val="21"/>
          <w:highlight w:val="none"/>
        </w:rPr>
        <w:t>评标基准价=最高评标限价×98%。</w:t>
      </w:r>
    </w:p>
    <w:p>
      <w:pPr>
        <w:pStyle w:val="7"/>
        <w:spacing w:line="360" w:lineRule="auto"/>
        <w:ind w:firstLine="480"/>
        <w:rPr>
          <w:rFonts w:hint="eastAsia" w:cs="宋体"/>
          <w:color w:val="auto"/>
          <w:szCs w:val="21"/>
          <w:highlight w:val="none"/>
        </w:rPr>
      </w:pPr>
      <w:r>
        <w:rPr>
          <w:rFonts w:hint="eastAsia" w:cs="宋体"/>
          <w:color w:val="auto"/>
          <w:szCs w:val="21"/>
          <w:highlight w:val="none"/>
        </w:rPr>
        <w:t>注：最高评标限价、评标基准价四舍五入保留至个位整数元。</w:t>
      </w:r>
    </w:p>
    <w:p>
      <w:pPr>
        <w:pStyle w:val="7"/>
        <w:spacing w:line="360" w:lineRule="auto"/>
        <w:ind w:firstLine="482"/>
        <w:rPr>
          <w:rFonts w:hint="eastAsia" w:cs="宋体"/>
          <w:b/>
          <w:color w:val="auto"/>
          <w:szCs w:val="21"/>
          <w:highlight w:val="none"/>
        </w:rPr>
      </w:pPr>
      <w:r>
        <w:rPr>
          <w:rFonts w:hint="eastAsia" w:cs="宋体"/>
          <w:b/>
          <w:color w:val="auto"/>
          <w:szCs w:val="21"/>
          <w:highlight w:val="none"/>
        </w:rPr>
        <w:t>6.3.4计算报价得分</w:t>
      </w:r>
    </w:p>
    <w:p>
      <w:pPr>
        <w:pStyle w:val="7"/>
        <w:spacing w:line="360" w:lineRule="auto"/>
        <w:ind w:firstLine="480"/>
        <w:rPr>
          <w:rFonts w:hint="eastAsia" w:cs="宋体"/>
          <w:color w:val="auto"/>
          <w:szCs w:val="21"/>
          <w:highlight w:val="none"/>
        </w:rPr>
      </w:pPr>
      <w:r>
        <w:rPr>
          <w:rFonts w:hint="eastAsia" w:cs="宋体"/>
          <w:color w:val="auto"/>
          <w:szCs w:val="21"/>
          <w:highlight w:val="none"/>
        </w:rPr>
        <w:t>当报价等于评标基准价时得满分，每高于评标基准价一个百分点扣1.0分，每低于评标基准价一个百分点扣0.5分，中间值按比例内插，四舍五入，保留两位小数。</w:t>
      </w:r>
    </w:p>
    <w:p>
      <w:pPr>
        <w:pStyle w:val="7"/>
        <w:spacing w:line="360" w:lineRule="auto"/>
        <w:ind w:firstLine="480"/>
        <w:rPr>
          <w:rFonts w:hint="eastAsia" w:cs="宋体"/>
          <w:color w:val="auto"/>
          <w:szCs w:val="21"/>
          <w:highlight w:val="none"/>
        </w:rPr>
      </w:pPr>
      <w:r>
        <w:rPr>
          <w:rFonts w:hint="eastAsia" w:cs="宋体"/>
          <w:color w:val="auto"/>
          <w:szCs w:val="21"/>
          <w:highlight w:val="none"/>
        </w:rPr>
        <w:t>用公式表示如下：</w:t>
      </w:r>
    </w:p>
    <w:p>
      <w:pPr>
        <w:pStyle w:val="7"/>
        <w:spacing w:line="360" w:lineRule="auto"/>
        <w:ind w:firstLine="480"/>
        <w:rPr>
          <w:rFonts w:hint="eastAsia" w:cs="宋体"/>
          <w:color w:val="auto"/>
          <w:szCs w:val="21"/>
          <w:highlight w:val="none"/>
        </w:rPr>
      </w:pPr>
      <w:r>
        <w:rPr>
          <w:rFonts w:hint="eastAsia" w:cs="宋体"/>
          <w:color w:val="auto"/>
          <w:szCs w:val="21"/>
          <w:highlight w:val="none"/>
        </w:rPr>
        <w:drawing>
          <wp:inline distT="0" distB="0" distL="114300" distR="114300">
            <wp:extent cx="1762125" cy="35242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762125" cy="352425"/>
                    </a:xfrm>
                    <a:prstGeom prst="rect">
                      <a:avLst/>
                    </a:prstGeom>
                    <a:noFill/>
                    <a:ln>
                      <a:noFill/>
                    </a:ln>
                  </pic:spPr>
                </pic:pic>
              </a:graphicData>
            </a:graphic>
          </wp:inline>
        </w:drawing>
      </w:r>
    </w:p>
    <w:p>
      <w:pPr>
        <w:pStyle w:val="7"/>
        <w:spacing w:line="360" w:lineRule="auto"/>
        <w:ind w:firstLine="480"/>
        <w:rPr>
          <w:rFonts w:hint="eastAsia" w:cs="宋体"/>
          <w:color w:val="auto"/>
          <w:szCs w:val="21"/>
          <w:highlight w:val="none"/>
        </w:rPr>
      </w:pPr>
      <w:r>
        <w:rPr>
          <w:rFonts w:hint="eastAsia" w:cs="宋体"/>
          <w:color w:val="auto"/>
          <w:szCs w:val="21"/>
          <w:highlight w:val="none"/>
        </w:rPr>
        <w:t>式中：F1=投标人评标价得分；</w:t>
      </w:r>
    </w:p>
    <w:p>
      <w:pPr>
        <w:pStyle w:val="7"/>
        <w:spacing w:line="360" w:lineRule="auto"/>
        <w:ind w:firstLine="480"/>
        <w:rPr>
          <w:rFonts w:hint="eastAsia" w:cs="宋体"/>
          <w:color w:val="auto"/>
          <w:szCs w:val="21"/>
          <w:highlight w:val="none"/>
        </w:rPr>
      </w:pPr>
      <w:r>
        <w:rPr>
          <w:rFonts w:hint="eastAsia" w:cs="宋体"/>
          <w:color w:val="auto"/>
          <w:szCs w:val="21"/>
          <w:highlight w:val="none"/>
        </w:rPr>
        <w:t>F=评标价得分所占的百分比权重，F＝20；</w:t>
      </w:r>
    </w:p>
    <w:p>
      <w:pPr>
        <w:pStyle w:val="7"/>
        <w:spacing w:line="360" w:lineRule="auto"/>
        <w:ind w:firstLine="480"/>
        <w:rPr>
          <w:rFonts w:hint="eastAsia" w:cs="宋体"/>
          <w:color w:val="auto"/>
          <w:szCs w:val="21"/>
          <w:highlight w:val="none"/>
        </w:rPr>
      </w:pPr>
      <w:r>
        <w:rPr>
          <w:rFonts w:hint="eastAsia" w:cs="宋体"/>
          <w:color w:val="auto"/>
          <w:szCs w:val="21"/>
          <w:highlight w:val="none"/>
        </w:rPr>
        <w:t>D1=投标人的投标报价；</w:t>
      </w:r>
    </w:p>
    <w:p>
      <w:pPr>
        <w:pStyle w:val="7"/>
        <w:spacing w:line="360" w:lineRule="auto"/>
        <w:ind w:firstLine="480"/>
        <w:rPr>
          <w:rFonts w:hint="eastAsia" w:cs="宋体"/>
          <w:b/>
          <w:bCs/>
          <w:color w:val="auto"/>
          <w:szCs w:val="21"/>
          <w:highlight w:val="none"/>
        </w:rPr>
      </w:pPr>
      <w:r>
        <w:rPr>
          <w:rFonts w:hint="eastAsia" w:cs="宋体"/>
          <w:color w:val="auto"/>
          <w:szCs w:val="21"/>
          <w:highlight w:val="none"/>
        </w:rPr>
        <w:t>D=评标基准价。</w:t>
      </w:r>
    </w:p>
    <w:p>
      <w:pPr>
        <w:pStyle w:val="7"/>
        <w:spacing w:line="360" w:lineRule="auto"/>
        <w:ind w:firstLine="480"/>
        <w:rPr>
          <w:rFonts w:hint="eastAsia" w:cs="宋体"/>
          <w:color w:val="auto"/>
          <w:szCs w:val="21"/>
          <w:highlight w:val="none"/>
        </w:rPr>
      </w:pPr>
      <w:r>
        <w:rPr>
          <w:rFonts w:hint="eastAsia" w:cs="宋体"/>
          <w:color w:val="auto"/>
          <w:szCs w:val="21"/>
          <w:highlight w:val="none"/>
        </w:rPr>
        <w:t>若D1≥D，则E=1.0；若D1＜D，则E=0.5。评标价得分最低为0分。</w:t>
      </w:r>
    </w:p>
    <w:p>
      <w:pPr>
        <w:pStyle w:val="7"/>
        <w:spacing w:line="360" w:lineRule="auto"/>
        <w:ind w:firstLine="482"/>
        <w:rPr>
          <w:rFonts w:hint="eastAsia" w:cs="宋体"/>
          <w:b/>
          <w:color w:val="auto"/>
          <w:szCs w:val="21"/>
          <w:highlight w:val="none"/>
        </w:rPr>
      </w:pPr>
      <w:r>
        <w:rPr>
          <w:rFonts w:hint="eastAsia" w:cs="宋体"/>
          <w:b/>
          <w:color w:val="auto"/>
          <w:szCs w:val="21"/>
          <w:highlight w:val="none"/>
        </w:rPr>
        <w:t>7．投标文件的澄清</w:t>
      </w:r>
    </w:p>
    <w:p>
      <w:pPr>
        <w:pStyle w:val="7"/>
        <w:spacing w:line="360" w:lineRule="auto"/>
        <w:ind w:firstLine="480"/>
        <w:rPr>
          <w:rFonts w:hint="eastAsia" w:cs="宋体"/>
          <w:color w:val="auto"/>
          <w:szCs w:val="21"/>
          <w:highlight w:val="none"/>
        </w:rPr>
      </w:pPr>
      <w:r>
        <w:rPr>
          <w:rFonts w:hint="eastAsia" w:cs="宋体"/>
          <w:color w:val="auto"/>
          <w:szCs w:val="21"/>
          <w:highlight w:val="none"/>
        </w:rPr>
        <w:t>⑴除按本办法规定的重大偏差外，投标文件存在的其他问题应视为细微偏差。为了有助于投标文件的审查、评价和比较，评标委员会可以书面形式要求投标人对所提交投标文件中不明确的内容、明显文字或者计算错误进行书面澄清或说明。对此投标人不得拒绝，否则，否决其投标，并没收投标保证金。</w:t>
      </w:r>
    </w:p>
    <w:p>
      <w:pPr>
        <w:pStyle w:val="7"/>
        <w:spacing w:line="360" w:lineRule="auto"/>
        <w:ind w:firstLine="480"/>
        <w:rPr>
          <w:rFonts w:hint="eastAsia" w:cs="宋体"/>
          <w:color w:val="auto"/>
          <w:szCs w:val="21"/>
          <w:highlight w:val="none"/>
        </w:rPr>
      </w:pPr>
      <w:r>
        <w:rPr>
          <w:rFonts w:hint="eastAsia" w:cs="宋体"/>
          <w:color w:val="auto"/>
          <w:szCs w:val="21"/>
          <w:highlight w:val="none"/>
        </w:rPr>
        <w:t>⑵有关澄清、说明的要求和回答均以书面形式进行，但招标人和投标人均不得因此而提出改变招标文件或投标文件实质内容的要求。投标人的书面澄清、说明属于投标文件的组成部分。</w:t>
      </w:r>
    </w:p>
    <w:p>
      <w:pPr>
        <w:pStyle w:val="7"/>
        <w:spacing w:line="360" w:lineRule="auto"/>
        <w:ind w:firstLine="480"/>
        <w:rPr>
          <w:rFonts w:hint="eastAsia" w:cs="宋体"/>
          <w:color w:val="auto"/>
          <w:szCs w:val="21"/>
          <w:highlight w:val="none"/>
        </w:rPr>
      </w:pPr>
      <w:r>
        <w:rPr>
          <w:rFonts w:hint="eastAsia" w:cs="宋体"/>
          <w:color w:val="auto"/>
          <w:szCs w:val="21"/>
          <w:highlight w:val="none"/>
        </w:rPr>
        <w:t>⑶评标委员会不接受投标人主动提出的澄清、说明。</w:t>
      </w:r>
    </w:p>
    <w:p>
      <w:pPr>
        <w:pStyle w:val="7"/>
        <w:spacing w:line="360" w:lineRule="auto"/>
        <w:ind w:firstLine="482"/>
        <w:rPr>
          <w:rFonts w:hint="eastAsia" w:cs="宋体"/>
          <w:b/>
          <w:color w:val="auto"/>
          <w:szCs w:val="21"/>
          <w:highlight w:val="none"/>
        </w:rPr>
      </w:pPr>
      <w:r>
        <w:rPr>
          <w:rFonts w:hint="eastAsia" w:cs="宋体"/>
          <w:b/>
          <w:color w:val="auto"/>
          <w:szCs w:val="21"/>
          <w:highlight w:val="none"/>
        </w:rPr>
        <w:t>8. 综合得分</w:t>
      </w:r>
    </w:p>
    <w:p>
      <w:pPr>
        <w:pStyle w:val="7"/>
        <w:spacing w:line="360" w:lineRule="auto"/>
        <w:ind w:firstLine="480"/>
        <w:rPr>
          <w:rFonts w:hint="eastAsia" w:cs="宋体"/>
          <w:color w:val="auto"/>
          <w:szCs w:val="21"/>
          <w:highlight w:val="none"/>
        </w:rPr>
      </w:pPr>
      <w:r>
        <w:rPr>
          <w:rFonts w:hint="eastAsia" w:cs="宋体"/>
          <w:color w:val="auto"/>
          <w:szCs w:val="21"/>
          <w:highlight w:val="none"/>
        </w:rPr>
        <w:t>各投标人的综合得分等于商务得分、技术得分与评标价得分之和。得分四舍五入保留两位小数。</w:t>
      </w:r>
    </w:p>
    <w:p>
      <w:pPr>
        <w:pStyle w:val="7"/>
        <w:spacing w:line="360" w:lineRule="auto"/>
        <w:ind w:firstLine="482"/>
        <w:rPr>
          <w:rFonts w:hint="eastAsia" w:cs="宋体"/>
          <w:b/>
          <w:color w:val="auto"/>
          <w:szCs w:val="21"/>
          <w:highlight w:val="none"/>
        </w:rPr>
      </w:pPr>
      <w:r>
        <w:rPr>
          <w:rFonts w:hint="eastAsia" w:cs="宋体"/>
          <w:b/>
          <w:color w:val="auto"/>
          <w:szCs w:val="21"/>
          <w:highlight w:val="none"/>
        </w:rPr>
        <w:t>9. 推荐中标候选人</w:t>
      </w:r>
    </w:p>
    <w:p>
      <w:pPr>
        <w:pStyle w:val="7"/>
        <w:spacing w:line="360" w:lineRule="auto"/>
        <w:ind w:firstLine="480"/>
        <w:rPr>
          <w:rFonts w:hint="eastAsia" w:cs="宋体"/>
          <w:color w:val="auto"/>
          <w:szCs w:val="21"/>
          <w:highlight w:val="none"/>
        </w:rPr>
      </w:pPr>
      <w:r>
        <w:rPr>
          <w:rFonts w:hint="eastAsia" w:cs="宋体"/>
          <w:color w:val="auto"/>
          <w:szCs w:val="21"/>
          <w:highlight w:val="none"/>
        </w:rPr>
        <w:t>⑴根据综合得分由高至低排序，推荐不超过3名中标候选人。</w:t>
      </w:r>
    </w:p>
    <w:p>
      <w:pPr>
        <w:pStyle w:val="7"/>
        <w:spacing w:line="360" w:lineRule="auto"/>
        <w:ind w:firstLine="480"/>
        <w:rPr>
          <w:rFonts w:hint="eastAsia" w:cs="宋体"/>
          <w:color w:val="auto"/>
          <w:szCs w:val="21"/>
          <w:highlight w:val="none"/>
        </w:rPr>
      </w:pPr>
      <w:r>
        <w:rPr>
          <w:rFonts w:hint="eastAsia" w:cs="宋体"/>
          <w:color w:val="auto"/>
          <w:szCs w:val="21"/>
          <w:highlight w:val="none"/>
        </w:rPr>
        <w:t>⑵当综合得分相等时，由评标委员会按照以下顺序确定其名次：</w:t>
      </w:r>
    </w:p>
    <w:p>
      <w:pPr>
        <w:pStyle w:val="7"/>
        <w:spacing w:line="360" w:lineRule="auto"/>
        <w:ind w:firstLine="480"/>
        <w:rPr>
          <w:rFonts w:hint="eastAsia" w:cs="宋体"/>
          <w:color w:val="auto"/>
          <w:szCs w:val="21"/>
          <w:highlight w:val="none"/>
        </w:rPr>
      </w:pPr>
      <w:r>
        <w:rPr>
          <w:rFonts w:hint="eastAsia" w:cs="宋体"/>
          <w:color w:val="auto"/>
          <w:szCs w:val="21"/>
          <w:highlight w:val="none"/>
        </w:rPr>
        <w:t>a.技术分较高者优先；</w:t>
      </w:r>
    </w:p>
    <w:p>
      <w:pPr>
        <w:pStyle w:val="7"/>
        <w:spacing w:line="360" w:lineRule="auto"/>
        <w:ind w:firstLine="480"/>
        <w:rPr>
          <w:rFonts w:hint="eastAsia" w:cs="宋体"/>
          <w:color w:val="auto"/>
          <w:szCs w:val="21"/>
          <w:highlight w:val="none"/>
        </w:rPr>
      </w:pPr>
      <w:r>
        <w:rPr>
          <w:rFonts w:hint="eastAsia" w:cs="宋体"/>
          <w:color w:val="auto"/>
          <w:szCs w:val="21"/>
          <w:highlight w:val="none"/>
        </w:rPr>
        <w:t>b.技术分亦相同时，商务分较高者优先；</w:t>
      </w:r>
    </w:p>
    <w:p>
      <w:pPr>
        <w:pStyle w:val="7"/>
        <w:spacing w:line="360" w:lineRule="auto"/>
        <w:ind w:firstLine="480"/>
        <w:rPr>
          <w:rFonts w:hint="eastAsia" w:cs="宋体"/>
          <w:color w:val="auto"/>
          <w:szCs w:val="21"/>
          <w:highlight w:val="none"/>
        </w:rPr>
      </w:pPr>
      <w:r>
        <w:rPr>
          <w:rFonts w:hint="eastAsia" w:cs="宋体"/>
          <w:color w:val="auto"/>
          <w:szCs w:val="21"/>
          <w:highlight w:val="none"/>
        </w:rPr>
        <w:t>c.技术分、商务分均相同时，报价低者优先。</w:t>
      </w:r>
    </w:p>
    <w:p>
      <w:pPr>
        <w:pStyle w:val="7"/>
        <w:spacing w:line="360" w:lineRule="auto"/>
        <w:ind w:firstLine="480"/>
        <w:rPr>
          <w:rFonts w:hint="eastAsia" w:cs="宋体"/>
          <w:color w:val="auto"/>
          <w:szCs w:val="21"/>
          <w:highlight w:val="none"/>
        </w:rPr>
      </w:pPr>
      <w:r>
        <w:rPr>
          <w:rFonts w:hint="eastAsia" w:cs="宋体"/>
          <w:color w:val="auto"/>
          <w:szCs w:val="21"/>
          <w:highlight w:val="none"/>
        </w:rPr>
        <w:t>⑶出现其他特殊情况，由评标委员会讨论决定。</w:t>
      </w:r>
    </w:p>
    <w:p>
      <w:pPr>
        <w:pStyle w:val="7"/>
        <w:spacing w:line="360" w:lineRule="auto"/>
        <w:ind w:firstLine="482"/>
        <w:rPr>
          <w:rFonts w:hint="eastAsia" w:cs="宋体"/>
          <w:b/>
          <w:color w:val="auto"/>
          <w:szCs w:val="21"/>
          <w:highlight w:val="none"/>
        </w:rPr>
      </w:pPr>
      <w:r>
        <w:rPr>
          <w:rFonts w:hint="eastAsia" w:cs="宋体"/>
          <w:b/>
          <w:color w:val="auto"/>
          <w:szCs w:val="21"/>
          <w:highlight w:val="none"/>
        </w:rPr>
        <w:t>10. 评标报告</w:t>
      </w:r>
    </w:p>
    <w:p>
      <w:pPr>
        <w:pStyle w:val="7"/>
        <w:spacing w:line="360" w:lineRule="auto"/>
        <w:ind w:firstLine="480"/>
        <w:rPr>
          <w:rFonts w:hint="eastAsia" w:cs="宋体"/>
          <w:color w:val="auto"/>
          <w:szCs w:val="21"/>
          <w:highlight w:val="none"/>
        </w:rPr>
      </w:pPr>
      <w:r>
        <w:rPr>
          <w:rFonts w:hint="eastAsia" w:cs="宋体"/>
          <w:color w:val="auto"/>
          <w:szCs w:val="21"/>
          <w:highlight w:val="none"/>
        </w:rPr>
        <w:t>评标委员会审定评标结果后，向招标人提交书面报告。评标报告应如实记载下列内容：</w:t>
      </w:r>
    </w:p>
    <w:p>
      <w:pPr>
        <w:pStyle w:val="7"/>
        <w:spacing w:line="360" w:lineRule="auto"/>
        <w:ind w:firstLine="480"/>
        <w:rPr>
          <w:rFonts w:hint="eastAsia" w:cs="宋体"/>
          <w:color w:val="auto"/>
          <w:szCs w:val="21"/>
          <w:highlight w:val="none"/>
        </w:rPr>
      </w:pPr>
      <w:r>
        <w:rPr>
          <w:rFonts w:hint="eastAsia" w:cs="宋体"/>
          <w:color w:val="auto"/>
          <w:szCs w:val="21"/>
          <w:highlight w:val="none"/>
        </w:rPr>
        <w:t>⑴评标委员会的成员名单</w:t>
      </w:r>
    </w:p>
    <w:p>
      <w:pPr>
        <w:pStyle w:val="7"/>
        <w:spacing w:line="360" w:lineRule="auto"/>
        <w:ind w:firstLine="480"/>
        <w:rPr>
          <w:rFonts w:hint="eastAsia" w:cs="宋体"/>
          <w:color w:val="auto"/>
          <w:szCs w:val="21"/>
          <w:highlight w:val="none"/>
        </w:rPr>
      </w:pPr>
      <w:r>
        <w:rPr>
          <w:rFonts w:hint="eastAsia" w:cs="宋体"/>
          <w:color w:val="auto"/>
          <w:szCs w:val="21"/>
          <w:highlight w:val="none"/>
        </w:rPr>
        <w:t>⑵开标记录情况</w:t>
      </w:r>
    </w:p>
    <w:p>
      <w:pPr>
        <w:pStyle w:val="7"/>
        <w:spacing w:line="360" w:lineRule="auto"/>
        <w:ind w:firstLine="480"/>
        <w:rPr>
          <w:rFonts w:hint="eastAsia" w:cs="宋体"/>
          <w:color w:val="auto"/>
          <w:szCs w:val="21"/>
          <w:highlight w:val="none"/>
        </w:rPr>
      </w:pPr>
      <w:r>
        <w:rPr>
          <w:rFonts w:hint="eastAsia" w:cs="宋体"/>
          <w:color w:val="auto"/>
          <w:szCs w:val="21"/>
          <w:highlight w:val="none"/>
        </w:rPr>
        <w:t>⑶符合要求的投标人情况</w:t>
      </w:r>
    </w:p>
    <w:p>
      <w:pPr>
        <w:pStyle w:val="7"/>
        <w:spacing w:line="360" w:lineRule="auto"/>
        <w:ind w:firstLine="480"/>
        <w:rPr>
          <w:rFonts w:hint="eastAsia" w:cs="宋体"/>
          <w:color w:val="auto"/>
          <w:szCs w:val="21"/>
          <w:highlight w:val="none"/>
        </w:rPr>
      </w:pPr>
      <w:r>
        <w:rPr>
          <w:rFonts w:hint="eastAsia" w:cs="宋体"/>
          <w:color w:val="auto"/>
          <w:szCs w:val="21"/>
          <w:highlight w:val="none"/>
        </w:rPr>
        <w:t>⑷评标采用的标准、评标办法</w:t>
      </w:r>
    </w:p>
    <w:p>
      <w:pPr>
        <w:pStyle w:val="7"/>
        <w:spacing w:line="360" w:lineRule="auto"/>
        <w:ind w:firstLine="480"/>
        <w:rPr>
          <w:rFonts w:hint="eastAsia" w:cs="宋体"/>
          <w:color w:val="auto"/>
          <w:szCs w:val="21"/>
          <w:highlight w:val="none"/>
        </w:rPr>
      </w:pPr>
      <w:r>
        <w:rPr>
          <w:rFonts w:hint="eastAsia" w:cs="宋体"/>
          <w:color w:val="auto"/>
          <w:szCs w:val="21"/>
          <w:highlight w:val="none"/>
        </w:rPr>
        <w:t>⑸投标人排序</w:t>
      </w:r>
    </w:p>
    <w:p>
      <w:pPr>
        <w:pStyle w:val="7"/>
        <w:spacing w:line="360" w:lineRule="auto"/>
        <w:ind w:firstLine="480"/>
        <w:rPr>
          <w:rFonts w:hint="eastAsia" w:cs="宋体"/>
          <w:color w:val="auto"/>
          <w:szCs w:val="21"/>
          <w:highlight w:val="none"/>
        </w:rPr>
      </w:pPr>
      <w:r>
        <w:rPr>
          <w:rFonts w:hint="eastAsia" w:cs="宋体"/>
          <w:color w:val="auto"/>
          <w:szCs w:val="21"/>
          <w:highlight w:val="none"/>
        </w:rPr>
        <w:t>⑹推荐的中标候选人</w:t>
      </w:r>
    </w:p>
    <w:p>
      <w:pPr>
        <w:pStyle w:val="7"/>
        <w:spacing w:line="360" w:lineRule="auto"/>
        <w:ind w:firstLine="480"/>
        <w:rPr>
          <w:rFonts w:hint="eastAsia" w:cs="宋体"/>
          <w:color w:val="auto"/>
          <w:szCs w:val="21"/>
          <w:highlight w:val="none"/>
        </w:rPr>
      </w:pPr>
      <w:r>
        <w:rPr>
          <w:rFonts w:hint="eastAsia" w:cs="宋体"/>
          <w:color w:val="auto"/>
          <w:szCs w:val="21"/>
          <w:highlight w:val="none"/>
        </w:rPr>
        <w:t>⑺需要说明的其他事项</w:t>
      </w:r>
    </w:p>
    <w:p>
      <w:pPr>
        <w:pStyle w:val="7"/>
        <w:spacing w:line="360" w:lineRule="auto"/>
        <w:ind w:firstLine="480"/>
        <w:rPr>
          <w:rFonts w:hint="eastAsia" w:cs="宋体"/>
          <w:color w:val="auto"/>
          <w:szCs w:val="21"/>
          <w:highlight w:val="none"/>
        </w:rPr>
      </w:pPr>
      <w:r>
        <w:rPr>
          <w:rFonts w:hint="eastAsia" w:cs="宋体"/>
          <w:color w:val="auto"/>
          <w:szCs w:val="21"/>
          <w:highlight w:val="none"/>
        </w:rPr>
        <w:t>⑻附件</w:t>
      </w:r>
    </w:p>
    <w:p>
      <w:pPr>
        <w:pStyle w:val="7"/>
        <w:spacing w:line="360" w:lineRule="auto"/>
        <w:ind w:firstLine="482"/>
        <w:rPr>
          <w:rFonts w:hint="eastAsia" w:cs="宋体"/>
          <w:color w:val="auto"/>
          <w:szCs w:val="21"/>
          <w:highlight w:val="none"/>
        </w:rPr>
      </w:pPr>
      <w:r>
        <w:rPr>
          <w:rFonts w:hint="eastAsia" w:cs="宋体"/>
          <w:b/>
          <w:color w:val="auto"/>
          <w:szCs w:val="21"/>
          <w:highlight w:val="none"/>
        </w:rPr>
        <w:t>11. 定标原则</w:t>
      </w:r>
    </w:p>
    <w:p>
      <w:pPr>
        <w:pStyle w:val="7"/>
        <w:spacing w:line="360" w:lineRule="auto"/>
        <w:ind w:firstLine="480"/>
        <w:rPr>
          <w:rFonts w:hint="eastAsia" w:cs="宋体"/>
          <w:color w:val="auto"/>
          <w:szCs w:val="21"/>
          <w:highlight w:val="none"/>
        </w:rPr>
      </w:pPr>
      <w:r>
        <w:rPr>
          <w:rFonts w:hint="eastAsia" w:cs="宋体"/>
          <w:color w:val="auto"/>
          <w:szCs w:val="21"/>
          <w:highlight w:val="none"/>
        </w:rPr>
        <w:t>⑴招标人应选择评标委员会推荐的第一中标候选人为中标人。</w:t>
      </w:r>
    </w:p>
    <w:p>
      <w:pPr>
        <w:pStyle w:val="7"/>
        <w:spacing w:line="360" w:lineRule="auto"/>
        <w:ind w:firstLine="480"/>
        <w:rPr>
          <w:rFonts w:hint="eastAsia" w:cs="宋体"/>
          <w:color w:val="auto"/>
          <w:szCs w:val="21"/>
          <w:highlight w:val="none"/>
        </w:rPr>
      </w:pPr>
      <w:r>
        <w:rPr>
          <w:rFonts w:hint="eastAsia" w:cs="宋体"/>
          <w:color w:val="auto"/>
          <w:szCs w:val="21"/>
          <w:highlight w:val="none"/>
        </w:rPr>
        <w:t>⑵如果推荐的第一中标候选人放弃中标、因不可抗力提出不能履行合同，或者招标文件规定应当提交履约保证金而在规定的期限内未能提交的，招标人可以确定排名第二的中标候选人为中标人,以此类推（或重新组织招标），但第一中标候选人的投标保证金不予退还。</w:t>
      </w:r>
    </w:p>
    <w:p>
      <w:pPr>
        <w:pStyle w:val="7"/>
        <w:spacing w:line="360" w:lineRule="auto"/>
        <w:ind w:firstLine="480"/>
        <w:rPr>
          <w:rFonts w:hint="eastAsia" w:cs="宋体"/>
          <w:color w:val="auto"/>
          <w:szCs w:val="21"/>
          <w:highlight w:val="none"/>
        </w:rPr>
      </w:pPr>
      <w:r>
        <w:rPr>
          <w:rFonts w:hint="eastAsia" w:cs="宋体"/>
          <w:color w:val="auto"/>
          <w:szCs w:val="21"/>
          <w:highlight w:val="none"/>
        </w:rPr>
        <w:t>⑶如果推荐的中标候选人因公示被投诉并查证属实存在造假行为的，按否决其投标处理，且没收其投标保证金。</w:t>
      </w:r>
    </w:p>
    <w:p>
      <w:pPr>
        <w:pStyle w:val="7"/>
        <w:spacing w:line="360" w:lineRule="auto"/>
        <w:ind w:firstLine="480"/>
        <w:rPr>
          <w:rFonts w:hint="eastAsia" w:cs="宋体"/>
          <w:color w:val="auto"/>
          <w:szCs w:val="21"/>
          <w:highlight w:val="none"/>
        </w:rPr>
      </w:pPr>
      <w:r>
        <w:rPr>
          <w:rFonts w:hint="eastAsia" w:cs="宋体"/>
          <w:color w:val="auto"/>
          <w:szCs w:val="21"/>
          <w:highlight w:val="none"/>
        </w:rPr>
        <w:t>⑷如果开标后至中标通知书发出前，中标候选人被交通运输部、广东省交通运输厅通报批评而取消投标资格，则取消其中标资格，按否决其投标处理，但其投标保证金给予退回。</w:t>
      </w:r>
    </w:p>
    <w:p>
      <w:pPr>
        <w:pStyle w:val="7"/>
        <w:spacing w:line="360" w:lineRule="auto"/>
        <w:ind w:firstLine="480"/>
        <w:rPr>
          <w:rFonts w:hint="eastAsia" w:cs="宋体"/>
          <w:color w:val="auto"/>
          <w:szCs w:val="21"/>
          <w:highlight w:val="none"/>
        </w:rPr>
      </w:pPr>
      <w:r>
        <w:rPr>
          <w:rFonts w:hint="eastAsia" w:cs="宋体"/>
          <w:color w:val="auto"/>
          <w:szCs w:val="21"/>
          <w:highlight w:val="none"/>
        </w:rPr>
        <w:t>⑸通过评审的有效投标人不足3个的，评标委员会可以否决全部投标。评标委员会认为仍具有竞争性未否决全部投标的，评标委员会应当在评标报告中阐明理由并推荐中标候选人。</w:t>
      </w:r>
    </w:p>
    <w:p>
      <w:pPr>
        <w:pStyle w:val="7"/>
        <w:spacing w:line="360" w:lineRule="auto"/>
        <w:ind w:firstLine="480"/>
        <w:rPr>
          <w:rFonts w:hint="eastAsia" w:cs="宋体"/>
          <w:color w:val="auto"/>
          <w:szCs w:val="21"/>
          <w:highlight w:val="none"/>
        </w:rPr>
      </w:pPr>
      <w:r>
        <w:rPr>
          <w:rFonts w:hint="eastAsia" w:cs="宋体"/>
          <w:color w:val="auto"/>
          <w:szCs w:val="21"/>
          <w:highlight w:val="none"/>
        </w:rPr>
        <w:t>若发生以上第⑵至⑷款情况之一时，招标人按推荐中标候选人排名顺序依次确定中标人，或重新组织招标。</w:t>
      </w:r>
    </w:p>
    <w:p>
      <w:pPr>
        <w:pStyle w:val="7"/>
        <w:spacing w:line="360" w:lineRule="auto"/>
        <w:ind w:firstLine="482"/>
        <w:rPr>
          <w:rFonts w:hint="eastAsia" w:cs="宋体"/>
          <w:color w:val="auto"/>
          <w:szCs w:val="21"/>
          <w:highlight w:val="none"/>
        </w:rPr>
      </w:pPr>
      <w:r>
        <w:rPr>
          <w:rFonts w:hint="eastAsia" w:cs="宋体"/>
          <w:b/>
          <w:color w:val="auto"/>
          <w:szCs w:val="21"/>
          <w:highlight w:val="none"/>
        </w:rPr>
        <w:t>12.其他特殊情况</w:t>
      </w:r>
    </w:p>
    <w:p>
      <w:r>
        <w:rPr>
          <w:rFonts w:hint="eastAsia" w:cs="宋体"/>
          <w:color w:val="auto"/>
          <w:szCs w:val="21"/>
          <w:highlight w:val="none"/>
        </w:rPr>
        <w:t>当评标委员会</w:t>
      </w:r>
      <w:bookmarkStart w:id="14" w:name="OLE_LINK14"/>
      <w:bookmarkStart w:id="15" w:name="OLE_LINK12"/>
      <w:r>
        <w:rPr>
          <w:rFonts w:hint="eastAsia" w:cs="宋体"/>
          <w:color w:val="auto"/>
          <w:szCs w:val="21"/>
          <w:highlight w:val="none"/>
        </w:rPr>
        <w:t>对招标文件某些表述出现理解偏差，或</w:t>
      </w:r>
      <w:bookmarkEnd w:id="14"/>
      <w:bookmarkEnd w:id="15"/>
      <w:r>
        <w:rPr>
          <w:rFonts w:hint="eastAsia" w:cs="宋体"/>
          <w:color w:val="auto"/>
          <w:szCs w:val="21"/>
          <w:highlight w:val="none"/>
        </w:rPr>
        <w:t>对某一评审内容不能达成一致意见时，可采用以少数服从多数的原则用记名投票方式来确定结果。对评标结果有不同意见的评标委员会成员应当以书面的形式说明其不同意见和理由，评标报告应当注明该不同意见。评标委员会成员拒绝在评标报告上签字又不书面说明其不同意见和理由的，视为同意评标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12DFA"/>
    <w:multiLevelType w:val="singleLevel"/>
    <w:tmpl w:val="BCD12D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OTE4ZmVjZmRiYTIxNDdiNTk5YTQ5NGMyYTJkNWMifQ=="/>
  </w:docVars>
  <w:rsids>
    <w:rsidRoot w:val="78567B38"/>
    <w:rsid w:val="753262E2"/>
    <w:rsid w:val="7856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99"/>
    <w:pPr>
      <w:jc w:val="both"/>
    </w:pPr>
    <w:rPr>
      <w:rFonts w:ascii="宋体" w:hAnsi="Courier New" w:cs="Times New Roman"/>
    </w:rPr>
  </w:style>
  <w:style w:type="paragraph" w:styleId="3">
    <w:name w:val="Body Text"/>
    <w:basedOn w:val="1"/>
    <w:next w:val="1"/>
    <w:qFormat/>
    <w:uiPriority w:val="0"/>
    <w:pPr>
      <w:spacing w:after="120"/>
    </w:pPr>
    <w:rPr>
      <w:rFonts w:cs="Times New Roman"/>
      <w:szCs w:val="24"/>
    </w:rPr>
  </w:style>
  <w:style w:type="paragraph" w:styleId="4">
    <w:name w:val="Body Text First Indent"/>
    <w:basedOn w:val="3"/>
    <w:unhideWhenUsed/>
    <w:qFormat/>
    <w:uiPriority w:val="0"/>
    <w:pPr>
      <w:autoSpaceDE w:val="0"/>
      <w:autoSpaceDN w:val="0"/>
      <w:adjustRightInd w:val="0"/>
      <w:ind w:firstLine="420"/>
      <w:jc w:val="left"/>
    </w:pPr>
    <w:rPr>
      <w:rFonts w:ascii="宋体" w:cs="Times New Roman"/>
      <w:sz w:val="34"/>
    </w:rPr>
  </w:style>
  <w:style w:type="paragraph" w:customStyle="1" w:styleId="7">
    <w:name w:val="t正文"/>
    <w:basedOn w:val="1"/>
    <w:qFormat/>
    <w:uiPriority w:val="0"/>
    <w:pPr>
      <w:spacing w:line="360" w:lineRule="auto"/>
      <w:ind w:firstLine="200" w:firstLineChars="200"/>
    </w:pPr>
    <w:rPr>
      <w:rFonts w:ascii="宋体" w:hAnsi="宋体"/>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5018</Words>
  <Characters>5346</Characters>
  <Lines>0</Lines>
  <Paragraphs>0</Paragraphs>
  <TotalTime>5</TotalTime>
  <ScaleCrop>false</ScaleCrop>
  <LinksUpToDate>false</LinksUpToDate>
  <CharactersWithSpaces>5370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2023-05-05T02:03:00Z</dcterms:created>
  <dc:creator>MisL</dc:creator>
  <cp:lastModifiedBy>MisL</cp:lastModifiedBy>
  <dcterms:modified xsi:type="dcterms:W3CDTF">2023-05-05T03:55:33Z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9D6A6F89D2404611BCC79E506CB5F5DD_11</vt:lpwstr>
  </property>
</Properties>
</file>