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ind w:right="1260"/>
        <w:rPr>
          <w:rFonts w:ascii="楷体_GB2312" w:eastAsia="楷体_GB2312"/>
          <w:color w:val="auto"/>
          <w:sz w:val="21"/>
          <w:szCs w:val="21"/>
          <w:highlight w:val="none"/>
        </w:rPr>
      </w:pPr>
      <w:r>
        <w:rPr>
          <w:rFonts w:hint="eastAsia" w:ascii="楷体_GB2312" w:eastAsia="楷体_GB2312"/>
          <w:color w:val="auto"/>
          <w:sz w:val="21"/>
          <w:szCs w:val="21"/>
          <w:highlight w:val="none"/>
        </w:rPr>
        <w:t>甲方合同编号：</w:t>
      </w:r>
    </w:p>
    <w:p>
      <w:pPr>
        <w:widowControl/>
        <w:snapToGrid w:val="0"/>
        <w:spacing w:line="360" w:lineRule="auto"/>
        <w:ind w:right="1260"/>
        <w:rPr>
          <w:rFonts w:ascii="楷体_GB2312" w:eastAsia="楷体_GB2312"/>
          <w:color w:val="auto"/>
          <w:sz w:val="21"/>
          <w:szCs w:val="21"/>
          <w:highlight w:val="none"/>
        </w:rPr>
      </w:pPr>
      <w:r>
        <w:rPr>
          <w:rFonts w:hint="eastAsia" w:ascii="楷体_GB2312" w:eastAsia="楷体_GB2312"/>
          <w:color w:val="auto"/>
          <w:sz w:val="21"/>
          <w:szCs w:val="21"/>
          <w:highlight w:val="none"/>
        </w:rPr>
        <w:t>乙方合同编号：</w:t>
      </w:r>
    </w:p>
    <w:p>
      <w:pPr>
        <w:widowControl/>
        <w:snapToGrid w:val="0"/>
        <w:spacing w:before="2772" w:beforeLines="600" w:line="360" w:lineRule="auto"/>
        <w:jc w:val="center"/>
        <w:rPr>
          <w:rFonts w:ascii="楷体_GB2312" w:eastAsia="楷体_GB2312"/>
          <w:color w:val="auto"/>
          <w:sz w:val="52"/>
          <w:szCs w:val="52"/>
          <w:highlight w:val="none"/>
        </w:rPr>
      </w:pPr>
      <w:r>
        <w:rPr>
          <w:rFonts w:hint="eastAsia" w:ascii="楷体_GB2312" w:eastAsia="楷体_GB2312"/>
          <w:color w:val="auto"/>
          <w:sz w:val="52"/>
          <w:szCs w:val="52"/>
          <w:highlight w:val="none"/>
        </w:rPr>
        <w:t>佛山季华项目</w:t>
      </w:r>
      <w:bookmarkStart w:id="46" w:name="_GoBack"/>
      <w:bookmarkEnd w:id="46"/>
    </w:p>
    <w:p>
      <w:pPr>
        <w:widowControl/>
        <w:snapToGrid w:val="0"/>
        <w:spacing w:line="360" w:lineRule="auto"/>
        <w:jc w:val="center"/>
        <w:rPr>
          <w:rFonts w:ascii="楷体_GB2312" w:eastAsia="楷体_GB2312"/>
          <w:color w:val="auto"/>
          <w:sz w:val="52"/>
          <w:szCs w:val="52"/>
          <w:highlight w:val="none"/>
        </w:rPr>
      </w:pPr>
      <w:r>
        <w:rPr>
          <w:rFonts w:hint="eastAsia" w:ascii="楷体_GB2312" w:eastAsia="楷体_GB2312"/>
          <w:color w:val="auto"/>
          <w:sz w:val="52"/>
          <w:szCs w:val="52"/>
          <w:highlight w:val="none"/>
        </w:rPr>
        <w:t>电梯供货合同</w:t>
      </w:r>
    </w:p>
    <w:p>
      <w:pPr>
        <w:widowControl/>
        <w:snapToGrid w:val="0"/>
        <w:spacing w:line="360" w:lineRule="auto"/>
        <w:jc w:val="center"/>
        <w:rPr>
          <w:rFonts w:ascii="楷体_GB2312" w:eastAsia="楷体_GB2312"/>
          <w:color w:val="auto"/>
          <w:sz w:val="52"/>
          <w:szCs w:val="52"/>
          <w:highlight w:val="none"/>
        </w:rPr>
      </w:pPr>
    </w:p>
    <w:p>
      <w:pPr>
        <w:widowControl/>
        <w:snapToGrid w:val="0"/>
        <w:spacing w:line="360" w:lineRule="auto"/>
        <w:jc w:val="center"/>
        <w:rPr>
          <w:rFonts w:ascii="楷体_GB2312" w:eastAsia="楷体_GB2312"/>
          <w:color w:val="auto"/>
          <w:sz w:val="52"/>
          <w:szCs w:val="52"/>
          <w:highlight w:val="none"/>
        </w:rPr>
      </w:pPr>
    </w:p>
    <w:p>
      <w:pPr>
        <w:widowControl/>
        <w:snapToGrid w:val="0"/>
        <w:spacing w:line="360" w:lineRule="auto"/>
        <w:jc w:val="center"/>
        <w:rPr>
          <w:rFonts w:ascii="楷体_GB2312" w:eastAsia="楷体_GB2312"/>
          <w:color w:val="auto"/>
          <w:sz w:val="52"/>
          <w:szCs w:val="52"/>
          <w:highlight w:val="none"/>
        </w:rPr>
      </w:pPr>
    </w:p>
    <w:p>
      <w:pPr>
        <w:widowControl/>
        <w:snapToGrid w:val="0"/>
        <w:spacing w:line="360" w:lineRule="auto"/>
        <w:jc w:val="center"/>
        <w:rPr>
          <w:rFonts w:ascii="楷体_GB2312" w:eastAsia="楷体_GB2312"/>
          <w:color w:val="auto"/>
          <w:sz w:val="52"/>
          <w:szCs w:val="52"/>
          <w:highlight w:val="none"/>
        </w:rPr>
      </w:pPr>
    </w:p>
    <w:p>
      <w:pPr>
        <w:widowControl/>
        <w:snapToGrid w:val="0"/>
        <w:spacing w:line="360" w:lineRule="auto"/>
        <w:rPr>
          <w:rFonts w:ascii="楷体_GB2312" w:eastAsia="楷体_GB2312"/>
          <w:color w:val="auto"/>
          <w:sz w:val="28"/>
          <w:szCs w:val="28"/>
          <w:highlight w:val="none"/>
        </w:rPr>
      </w:pPr>
      <w:r>
        <w:rPr>
          <w:rFonts w:hint="eastAsia" w:ascii="楷体_GB2312" w:eastAsia="楷体_GB2312"/>
          <w:color w:val="auto"/>
          <w:sz w:val="28"/>
          <w:szCs w:val="28"/>
          <w:highlight w:val="none"/>
        </w:rPr>
        <w:t>甲方（买方）：佛山粤海置地发展有限公司</w:t>
      </w:r>
    </w:p>
    <w:p>
      <w:pPr>
        <w:widowControl/>
        <w:snapToGrid w:val="0"/>
        <w:spacing w:line="360" w:lineRule="auto"/>
        <w:rPr>
          <w:rFonts w:ascii="楷体_GB2312" w:eastAsia="楷体_GB2312"/>
          <w:color w:val="auto"/>
          <w:sz w:val="28"/>
          <w:szCs w:val="28"/>
          <w:highlight w:val="none"/>
        </w:rPr>
      </w:pPr>
      <w:r>
        <w:rPr>
          <w:rFonts w:hint="eastAsia" w:ascii="楷体_GB2312" w:eastAsia="楷体_GB2312"/>
          <w:color w:val="auto"/>
          <w:sz w:val="28"/>
          <w:szCs w:val="28"/>
          <w:highlight w:val="none"/>
        </w:rPr>
        <w:t>住所：佛山市禅城区世博金融中心1906室</w:t>
      </w:r>
    </w:p>
    <w:p>
      <w:pPr>
        <w:widowControl/>
        <w:snapToGrid w:val="0"/>
        <w:spacing w:line="360" w:lineRule="auto"/>
        <w:jc w:val="both"/>
        <w:rPr>
          <w:rFonts w:ascii="楷体_GB2312" w:eastAsia="楷体_GB2312"/>
          <w:color w:val="auto"/>
          <w:sz w:val="28"/>
          <w:szCs w:val="28"/>
          <w:highlight w:val="none"/>
        </w:rPr>
      </w:pPr>
      <w:r>
        <w:rPr>
          <w:rFonts w:hint="eastAsia" w:ascii="楷体_GB2312" w:eastAsia="楷体_GB2312"/>
          <w:color w:val="auto"/>
          <w:sz w:val="28"/>
          <w:szCs w:val="28"/>
          <w:highlight w:val="none"/>
        </w:rPr>
        <w:t>乙方（卖方）：</w:t>
      </w:r>
    </w:p>
    <w:p>
      <w:pPr>
        <w:widowControl/>
        <w:snapToGrid w:val="0"/>
        <w:spacing w:line="360" w:lineRule="auto"/>
        <w:jc w:val="both"/>
        <w:rPr>
          <w:rFonts w:ascii="楷体_GB2312" w:eastAsia="楷体_GB2312"/>
          <w:color w:val="auto"/>
          <w:sz w:val="28"/>
          <w:szCs w:val="28"/>
          <w:highlight w:val="none"/>
        </w:rPr>
      </w:pPr>
      <w:r>
        <w:rPr>
          <w:rFonts w:hint="eastAsia" w:ascii="楷体_GB2312" w:eastAsia="楷体_GB2312"/>
          <w:color w:val="auto"/>
          <w:sz w:val="28"/>
          <w:szCs w:val="28"/>
          <w:highlight w:val="none"/>
        </w:rPr>
        <w:t>住所：</w:t>
      </w:r>
    </w:p>
    <w:p>
      <w:pPr>
        <w:widowControl/>
        <w:autoSpaceDE/>
        <w:autoSpaceDN/>
        <w:adjustRightInd/>
        <w:rPr>
          <w:rFonts w:ascii="楷体_GB2312" w:eastAsia="楷体_GB2312"/>
          <w:color w:val="auto"/>
          <w:sz w:val="28"/>
          <w:szCs w:val="28"/>
          <w:highlight w:val="none"/>
        </w:rPr>
      </w:pPr>
      <w:r>
        <w:rPr>
          <w:rFonts w:ascii="楷体_GB2312" w:eastAsia="楷体_GB2312"/>
          <w:color w:val="auto"/>
          <w:sz w:val="28"/>
          <w:szCs w:val="28"/>
          <w:highlight w:val="none"/>
        </w:rPr>
        <w:br w:type="page"/>
      </w:r>
    </w:p>
    <w:p>
      <w:pPr>
        <w:pStyle w:val="31"/>
        <w:spacing w:before="0" w:beforeLines="0"/>
        <w:jc w:val="center"/>
        <w:rPr>
          <w:b/>
          <w:color w:val="auto"/>
          <w:sz w:val="32"/>
          <w:szCs w:val="32"/>
          <w:highlight w:val="none"/>
        </w:rPr>
      </w:pPr>
      <w:r>
        <w:rPr>
          <w:rFonts w:hint="eastAsia"/>
          <w:b/>
          <w:color w:val="auto"/>
          <w:sz w:val="32"/>
          <w:szCs w:val="32"/>
          <w:highlight w:val="none"/>
        </w:rPr>
        <w:t>目  录</w:t>
      </w:r>
    </w:p>
    <w:p>
      <w:pPr>
        <w:pStyle w:val="15"/>
        <w:tabs>
          <w:tab w:val="left" w:pos="630"/>
          <w:tab w:val="right" w:leader="dot" w:pos="9060"/>
        </w:tabs>
        <w:spacing w:line="560" w:lineRule="exact"/>
        <w:rPr>
          <w:rFonts w:ascii="楷体" w:hAnsi="楷体" w:eastAsia="楷体" w:cstheme="minorBidi"/>
          <w:color w:val="auto"/>
          <w:kern w:val="2"/>
          <w:sz w:val="24"/>
          <w:szCs w:val="24"/>
          <w:highlight w:val="none"/>
        </w:rPr>
      </w:pPr>
      <w:r>
        <w:rPr>
          <w:rFonts w:hint="eastAsia" w:ascii="楷体" w:hAnsi="楷体" w:eastAsia="楷体"/>
          <w:color w:val="auto"/>
          <w:sz w:val="24"/>
          <w:szCs w:val="24"/>
          <w:highlight w:val="none"/>
        </w:rPr>
        <w:fldChar w:fldCharType="begin"/>
      </w:r>
      <w:r>
        <w:rPr>
          <w:rFonts w:hint="eastAsia" w:ascii="楷体" w:hAnsi="楷体" w:eastAsia="楷体"/>
          <w:color w:val="auto"/>
          <w:sz w:val="24"/>
          <w:szCs w:val="24"/>
          <w:highlight w:val="none"/>
        </w:rPr>
        <w:instrText xml:space="preserve"> TOC \o "1-1" \h \z \u </w:instrText>
      </w:r>
      <w:r>
        <w:rPr>
          <w:rFonts w:hint="eastAsia" w:ascii="楷体" w:hAnsi="楷体" w:eastAsia="楷体"/>
          <w:color w:val="auto"/>
          <w:sz w:val="24"/>
          <w:szCs w:val="24"/>
          <w:highlight w:val="none"/>
        </w:rPr>
        <w:fldChar w:fldCharType="separate"/>
      </w:r>
      <w:r>
        <w:rPr>
          <w:color w:val="auto"/>
          <w:highlight w:val="none"/>
        </w:rPr>
        <w:fldChar w:fldCharType="begin"/>
      </w:r>
      <w:r>
        <w:rPr>
          <w:color w:val="auto"/>
          <w:highlight w:val="none"/>
        </w:rPr>
        <w:instrText xml:space="preserve"> HYPERLINK \l "_Toc126961312" </w:instrText>
      </w:r>
      <w:r>
        <w:rPr>
          <w:color w:val="auto"/>
          <w:highlight w:val="none"/>
        </w:rPr>
        <w:fldChar w:fldCharType="separate"/>
      </w:r>
      <w:r>
        <w:rPr>
          <w:rStyle w:val="21"/>
          <w:rFonts w:ascii="楷体" w:hAnsi="楷体" w:eastAsia="楷体"/>
          <w:color w:val="auto"/>
          <w:sz w:val="24"/>
          <w:szCs w:val="24"/>
          <w:highlight w:val="none"/>
        </w:rPr>
        <w:t>1.</w:t>
      </w:r>
      <w:r>
        <w:rPr>
          <w:rStyle w:val="21"/>
          <w:rFonts w:hint="eastAsia" w:ascii="楷体" w:hAnsi="楷体" w:eastAsia="楷体"/>
          <w:color w:val="auto"/>
          <w:sz w:val="24"/>
          <w:szCs w:val="24"/>
          <w:highlight w:val="none"/>
        </w:rPr>
        <w:t>合同范围</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_Toc126961312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4</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63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"_Toc126961313" </w:instrText>
      </w:r>
      <w:r>
        <w:rPr>
          <w:color w:val="auto"/>
          <w:highlight w:val="none"/>
        </w:rPr>
        <w:fldChar w:fldCharType="separate"/>
      </w:r>
      <w:r>
        <w:rPr>
          <w:rStyle w:val="21"/>
          <w:rFonts w:ascii="楷体" w:hAnsi="楷体" w:eastAsia="楷体"/>
          <w:color w:val="auto"/>
          <w:sz w:val="24"/>
          <w:szCs w:val="24"/>
          <w:highlight w:val="none"/>
        </w:rPr>
        <w:t>2.</w:t>
      </w:r>
      <w:r>
        <w:rPr>
          <w:rStyle w:val="21"/>
          <w:rFonts w:hint="eastAsia" w:ascii="楷体" w:hAnsi="楷体" w:eastAsia="楷体"/>
          <w:color w:val="auto"/>
          <w:sz w:val="24"/>
          <w:szCs w:val="24"/>
          <w:highlight w:val="none"/>
        </w:rPr>
        <w:t>合同价款</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_Toc126961313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5</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63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"_Toc126961314" </w:instrText>
      </w:r>
      <w:r>
        <w:rPr>
          <w:color w:val="auto"/>
          <w:highlight w:val="none"/>
        </w:rPr>
        <w:fldChar w:fldCharType="separate"/>
      </w:r>
      <w:r>
        <w:rPr>
          <w:rStyle w:val="21"/>
          <w:rFonts w:ascii="楷体" w:hAnsi="楷体" w:eastAsia="楷体"/>
          <w:color w:val="auto"/>
          <w:sz w:val="24"/>
          <w:szCs w:val="24"/>
          <w:highlight w:val="none"/>
        </w:rPr>
        <w:t>3.</w:t>
      </w:r>
      <w:r>
        <w:rPr>
          <w:rStyle w:val="21"/>
          <w:rFonts w:hint="eastAsia" w:ascii="楷体" w:hAnsi="楷体" w:eastAsia="楷体"/>
          <w:color w:val="auto"/>
          <w:sz w:val="24"/>
          <w:szCs w:val="24"/>
          <w:highlight w:val="none"/>
        </w:rPr>
        <w:t>付款条件</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_Toc126961314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6</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63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"_Toc126961315" </w:instrText>
      </w:r>
      <w:r>
        <w:rPr>
          <w:color w:val="auto"/>
          <w:highlight w:val="none"/>
        </w:rPr>
        <w:fldChar w:fldCharType="separate"/>
      </w:r>
      <w:r>
        <w:rPr>
          <w:rStyle w:val="21"/>
          <w:rFonts w:ascii="楷体" w:hAnsi="楷体" w:eastAsia="楷体"/>
          <w:color w:val="auto"/>
          <w:sz w:val="24"/>
          <w:szCs w:val="24"/>
          <w:highlight w:val="none"/>
        </w:rPr>
        <w:t>4.</w:t>
      </w:r>
      <w:r>
        <w:rPr>
          <w:rStyle w:val="21"/>
          <w:rFonts w:hint="eastAsia" w:ascii="楷体" w:hAnsi="楷体" w:eastAsia="楷体"/>
          <w:color w:val="auto"/>
          <w:sz w:val="24"/>
          <w:szCs w:val="24"/>
          <w:highlight w:val="none"/>
        </w:rPr>
        <w:t>竣工结算</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_Toc126961315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8</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63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"_Toc126961316" </w:instrText>
      </w:r>
      <w:r>
        <w:rPr>
          <w:color w:val="auto"/>
          <w:highlight w:val="none"/>
        </w:rPr>
        <w:fldChar w:fldCharType="separate"/>
      </w:r>
      <w:r>
        <w:rPr>
          <w:rStyle w:val="21"/>
          <w:rFonts w:ascii="楷体" w:hAnsi="楷体" w:eastAsia="楷体"/>
          <w:color w:val="auto"/>
          <w:sz w:val="24"/>
          <w:szCs w:val="24"/>
          <w:highlight w:val="none"/>
        </w:rPr>
        <w:t>5.</w:t>
      </w:r>
      <w:r>
        <w:rPr>
          <w:rStyle w:val="21"/>
          <w:rFonts w:hint="eastAsia" w:ascii="楷体" w:hAnsi="楷体" w:eastAsia="楷体"/>
          <w:color w:val="auto"/>
          <w:sz w:val="24"/>
          <w:szCs w:val="24"/>
          <w:highlight w:val="none"/>
        </w:rPr>
        <w:t>供货计划</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_Toc126961316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11</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63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"_Toc126961317" </w:instrText>
      </w:r>
      <w:r>
        <w:rPr>
          <w:color w:val="auto"/>
          <w:highlight w:val="none"/>
        </w:rPr>
        <w:fldChar w:fldCharType="separate"/>
      </w:r>
      <w:r>
        <w:rPr>
          <w:rStyle w:val="21"/>
          <w:rFonts w:ascii="楷体" w:hAnsi="楷体" w:eastAsia="楷体"/>
          <w:color w:val="auto"/>
          <w:sz w:val="24"/>
          <w:szCs w:val="24"/>
          <w:highlight w:val="none"/>
        </w:rPr>
        <w:t>6.</w:t>
      </w:r>
      <w:r>
        <w:rPr>
          <w:rStyle w:val="21"/>
          <w:rFonts w:hint="eastAsia" w:ascii="楷体" w:hAnsi="楷体" w:eastAsia="楷体"/>
          <w:color w:val="auto"/>
          <w:sz w:val="24"/>
          <w:szCs w:val="24"/>
          <w:highlight w:val="none"/>
        </w:rPr>
        <w:t>建筑物与图纸</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_Toc126961317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12</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63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"_Toc126961318" </w:instrText>
      </w:r>
      <w:r>
        <w:rPr>
          <w:color w:val="auto"/>
          <w:highlight w:val="none"/>
        </w:rPr>
        <w:fldChar w:fldCharType="separate"/>
      </w:r>
      <w:r>
        <w:rPr>
          <w:rStyle w:val="21"/>
          <w:rFonts w:ascii="楷体" w:hAnsi="楷体" w:eastAsia="楷体"/>
          <w:color w:val="auto"/>
          <w:sz w:val="24"/>
          <w:szCs w:val="24"/>
          <w:highlight w:val="none"/>
        </w:rPr>
        <w:t>7.</w:t>
      </w:r>
      <w:r>
        <w:rPr>
          <w:rStyle w:val="21"/>
          <w:rFonts w:hint="eastAsia" w:ascii="楷体" w:hAnsi="楷体" w:eastAsia="楷体"/>
          <w:color w:val="auto"/>
          <w:sz w:val="24"/>
          <w:szCs w:val="24"/>
          <w:highlight w:val="none"/>
        </w:rPr>
        <w:t>包装、运输及保险</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_Toc126961318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12</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63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"_Toc126961319" </w:instrText>
      </w:r>
      <w:r>
        <w:rPr>
          <w:color w:val="auto"/>
          <w:highlight w:val="none"/>
        </w:rPr>
        <w:fldChar w:fldCharType="separate"/>
      </w:r>
      <w:r>
        <w:rPr>
          <w:rStyle w:val="21"/>
          <w:rFonts w:ascii="楷体" w:hAnsi="楷体" w:eastAsia="楷体"/>
          <w:color w:val="auto"/>
          <w:sz w:val="24"/>
          <w:szCs w:val="24"/>
          <w:highlight w:val="none"/>
        </w:rPr>
        <w:t>8.</w:t>
      </w:r>
      <w:r>
        <w:rPr>
          <w:rStyle w:val="21"/>
          <w:rFonts w:hint="eastAsia" w:ascii="楷体" w:hAnsi="楷体" w:eastAsia="楷体"/>
          <w:color w:val="auto"/>
          <w:sz w:val="24"/>
          <w:szCs w:val="24"/>
          <w:highlight w:val="none"/>
        </w:rPr>
        <w:t>到货及保管</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_Toc126961319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13</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63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"_Toc126961320" </w:instrText>
      </w:r>
      <w:r>
        <w:rPr>
          <w:color w:val="auto"/>
          <w:highlight w:val="none"/>
        </w:rPr>
        <w:fldChar w:fldCharType="separate"/>
      </w:r>
      <w:r>
        <w:rPr>
          <w:rStyle w:val="21"/>
          <w:rFonts w:ascii="楷体" w:hAnsi="楷体" w:eastAsia="楷体"/>
          <w:color w:val="auto"/>
          <w:sz w:val="24"/>
          <w:szCs w:val="24"/>
          <w:highlight w:val="none"/>
        </w:rPr>
        <w:t>9.</w:t>
      </w:r>
      <w:r>
        <w:rPr>
          <w:rStyle w:val="21"/>
          <w:rFonts w:hint="eastAsia" w:ascii="楷体" w:hAnsi="楷体" w:eastAsia="楷体"/>
          <w:color w:val="auto"/>
          <w:sz w:val="24"/>
          <w:szCs w:val="24"/>
          <w:highlight w:val="none"/>
        </w:rPr>
        <w:t>质量保证与技术标准</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_Toc126961320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13</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84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"_Toc126961321" </w:instrText>
      </w:r>
      <w:r>
        <w:rPr>
          <w:color w:val="auto"/>
          <w:highlight w:val="none"/>
        </w:rPr>
        <w:fldChar w:fldCharType="separate"/>
      </w:r>
      <w:r>
        <w:rPr>
          <w:rStyle w:val="21"/>
          <w:rFonts w:ascii="楷体" w:hAnsi="楷体" w:eastAsia="楷体"/>
          <w:color w:val="auto"/>
          <w:sz w:val="24"/>
          <w:szCs w:val="24"/>
          <w:highlight w:val="none"/>
        </w:rPr>
        <w:t>10.</w:t>
      </w:r>
      <w:r>
        <w:rPr>
          <w:rStyle w:val="21"/>
          <w:rFonts w:hint="eastAsia" w:ascii="楷体" w:hAnsi="楷体" w:eastAsia="楷体"/>
          <w:color w:val="auto"/>
          <w:sz w:val="24"/>
          <w:szCs w:val="24"/>
          <w:highlight w:val="none"/>
        </w:rPr>
        <w:t>初步检验</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_Toc126961321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14</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84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"_Toc126961322" </w:instrText>
      </w:r>
      <w:r>
        <w:rPr>
          <w:color w:val="auto"/>
          <w:highlight w:val="none"/>
        </w:rPr>
        <w:fldChar w:fldCharType="separate"/>
      </w:r>
      <w:r>
        <w:rPr>
          <w:rStyle w:val="21"/>
          <w:rFonts w:ascii="楷体" w:hAnsi="楷体" w:eastAsia="楷体"/>
          <w:color w:val="auto"/>
          <w:sz w:val="24"/>
          <w:szCs w:val="24"/>
          <w:highlight w:val="none"/>
        </w:rPr>
        <w:t>11.</w:t>
      </w:r>
      <w:r>
        <w:rPr>
          <w:rStyle w:val="21"/>
          <w:rFonts w:hint="eastAsia" w:ascii="楷体" w:hAnsi="楷体" w:eastAsia="楷体"/>
          <w:color w:val="auto"/>
          <w:sz w:val="24"/>
          <w:szCs w:val="24"/>
          <w:highlight w:val="none"/>
        </w:rPr>
        <w:t>安装及验收交付</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_Toc126961322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15</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84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"_Toc126961323" </w:instrText>
      </w:r>
      <w:r>
        <w:rPr>
          <w:color w:val="auto"/>
          <w:highlight w:val="none"/>
        </w:rPr>
        <w:fldChar w:fldCharType="separate"/>
      </w:r>
      <w:r>
        <w:rPr>
          <w:rStyle w:val="21"/>
          <w:rFonts w:ascii="楷体" w:hAnsi="楷体" w:eastAsia="楷体"/>
          <w:color w:val="auto"/>
          <w:sz w:val="24"/>
          <w:szCs w:val="24"/>
          <w:highlight w:val="none"/>
        </w:rPr>
        <w:t>12.</w:t>
      </w:r>
      <w:r>
        <w:rPr>
          <w:rStyle w:val="21"/>
          <w:rFonts w:hint="eastAsia" w:ascii="楷体" w:hAnsi="楷体" w:eastAsia="楷体"/>
          <w:color w:val="auto"/>
          <w:sz w:val="24"/>
          <w:szCs w:val="24"/>
          <w:highlight w:val="none"/>
        </w:rPr>
        <w:t>技术文件竣工资料</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_Toc126961323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15</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84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"_Toc126961324" </w:instrText>
      </w:r>
      <w:r>
        <w:rPr>
          <w:color w:val="auto"/>
          <w:highlight w:val="none"/>
        </w:rPr>
        <w:fldChar w:fldCharType="separate"/>
      </w:r>
      <w:r>
        <w:rPr>
          <w:rStyle w:val="21"/>
          <w:rFonts w:ascii="楷体" w:hAnsi="楷体" w:eastAsia="楷体"/>
          <w:color w:val="auto"/>
          <w:sz w:val="24"/>
          <w:szCs w:val="24"/>
          <w:highlight w:val="none"/>
        </w:rPr>
        <w:t>13.</w:t>
      </w:r>
      <w:r>
        <w:rPr>
          <w:rStyle w:val="21"/>
          <w:rFonts w:hint="eastAsia" w:ascii="楷体" w:hAnsi="楷体" w:eastAsia="楷体"/>
          <w:color w:val="auto"/>
          <w:sz w:val="24"/>
          <w:szCs w:val="24"/>
          <w:highlight w:val="none"/>
        </w:rPr>
        <w:t>专用工具及备品备件</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_Toc126961324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17</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84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"_Toc126961325" </w:instrText>
      </w:r>
      <w:r>
        <w:rPr>
          <w:color w:val="auto"/>
          <w:highlight w:val="none"/>
        </w:rPr>
        <w:fldChar w:fldCharType="separate"/>
      </w:r>
      <w:r>
        <w:rPr>
          <w:rStyle w:val="21"/>
          <w:rFonts w:ascii="楷体" w:hAnsi="楷体" w:eastAsia="楷体"/>
          <w:color w:val="auto"/>
          <w:sz w:val="24"/>
          <w:szCs w:val="24"/>
          <w:highlight w:val="none"/>
        </w:rPr>
        <w:t>14.</w:t>
      </w:r>
      <w:r>
        <w:rPr>
          <w:rStyle w:val="21"/>
          <w:rFonts w:hint="eastAsia" w:ascii="楷体" w:hAnsi="楷体" w:eastAsia="楷体"/>
          <w:color w:val="auto"/>
          <w:sz w:val="24"/>
          <w:szCs w:val="24"/>
          <w:highlight w:val="none"/>
        </w:rPr>
        <w:t>保修、保养及维护</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_Toc126961325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17</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84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"_Toc126961326" </w:instrText>
      </w:r>
      <w:r>
        <w:rPr>
          <w:color w:val="auto"/>
          <w:highlight w:val="none"/>
        </w:rPr>
        <w:fldChar w:fldCharType="separate"/>
      </w:r>
      <w:r>
        <w:rPr>
          <w:rStyle w:val="21"/>
          <w:rFonts w:ascii="楷体" w:hAnsi="楷体" w:eastAsia="楷体"/>
          <w:color w:val="auto"/>
          <w:sz w:val="24"/>
          <w:szCs w:val="24"/>
          <w:highlight w:val="none"/>
        </w:rPr>
        <w:t>15.</w:t>
      </w:r>
      <w:r>
        <w:rPr>
          <w:rStyle w:val="21"/>
          <w:rFonts w:hint="eastAsia" w:ascii="楷体" w:hAnsi="楷体" w:eastAsia="楷体"/>
          <w:color w:val="auto"/>
          <w:sz w:val="24"/>
          <w:szCs w:val="24"/>
          <w:highlight w:val="none"/>
        </w:rPr>
        <w:t>知识产权</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_Toc126961326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18</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84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"_Toc126961327" </w:instrText>
      </w:r>
      <w:r>
        <w:rPr>
          <w:color w:val="auto"/>
          <w:highlight w:val="none"/>
        </w:rPr>
        <w:fldChar w:fldCharType="separate"/>
      </w:r>
      <w:r>
        <w:rPr>
          <w:rStyle w:val="21"/>
          <w:rFonts w:ascii="楷体" w:hAnsi="楷体" w:eastAsia="楷体"/>
          <w:color w:val="auto"/>
          <w:sz w:val="24"/>
          <w:szCs w:val="24"/>
          <w:highlight w:val="none"/>
        </w:rPr>
        <w:t>16.</w:t>
      </w:r>
      <w:r>
        <w:rPr>
          <w:rStyle w:val="21"/>
          <w:rFonts w:hint="eastAsia" w:ascii="楷体" w:hAnsi="楷体" w:eastAsia="楷体"/>
          <w:color w:val="auto"/>
          <w:sz w:val="24"/>
          <w:szCs w:val="24"/>
          <w:highlight w:val="none"/>
        </w:rPr>
        <w:t>履约担保</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_Toc126961327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18</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84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"_Toc126961328" </w:instrText>
      </w:r>
      <w:r>
        <w:rPr>
          <w:color w:val="auto"/>
          <w:highlight w:val="none"/>
        </w:rPr>
        <w:fldChar w:fldCharType="separate"/>
      </w:r>
      <w:r>
        <w:rPr>
          <w:rStyle w:val="21"/>
          <w:rFonts w:ascii="楷体" w:hAnsi="楷体" w:eastAsia="楷体"/>
          <w:color w:val="auto"/>
          <w:sz w:val="24"/>
          <w:szCs w:val="24"/>
          <w:highlight w:val="none"/>
        </w:rPr>
        <w:t>17.</w:t>
      </w:r>
      <w:r>
        <w:rPr>
          <w:rStyle w:val="21"/>
          <w:rFonts w:hint="eastAsia" w:ascii="楷体" w:hAnsi="楷体" w:eastAsia="楷体"/>
          <w:color w:val="auto"/>
          <w:sz w:val="24"/>
          <w:szCs w:val="24"/>
          <w:highlight w:val="none"/>
        </w:rPr>
        <w:t>违约责任</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_Toc126961328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19</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84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"_Toc126961329" </w:instrText>
      </w:r>
      <w:r>
        <w:rPr>
          <w:color w:val="auto"/>
          <w:highlight w:val="none"/>
        </w:rPr>
        <w:fldChar w:fldCharType="separate"/>
      </w:r>
      <w:r>
        <w:rPr>
          <w:rStyle w:val="21"/>
          <w:rFonts w:ascii="楷体" w:hAnsi="楷体" w:eastAsia="楷体"/>
          <w:color w:val="auto"/>
          <w:sz w:val="24"/>
          <w:szCs w:val="24"/>
          <w:highlight w:val="none"/>
        </w:rPr>
        <w:t>18.</w:t>
      </w:r>
      <w:r>
        <w:rPr>
          <w:rStyle w:val="21"/>
          <w:rFonts w:hint="eastAsia" w:ascii="楷体" w:hAnsi="楷体" w:eastAsia="楷体"/>
          <w:color w:val="auto"/>
          <w:sz w:val="24"/>
          <w:szCs w:val="24"/>
          <w:highlight w:val="none"/>
        </w:rPr>
        <w:t>不可抗力</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_Toc126961329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21</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84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"_Toc126961330" </w:instrText>
      </w:r>
      <w:r>
        <w:rPr>
          <w:color w:val="auto"/>
          <w:highlight w:val="none"/>
        </w:rPr>
        <w:fldChar w:fldCharType="separate"/>
      </w:r>
      <w:r>
        <w:rPr>
          <w:rStyle w:val="21"/>
          <w:rFonts w:ascii="楷体" w:hAnsi="楷体" w:eastAsia="楷体"/>
          <w:color w:val="auto"/>
          <w:sz w:val="24"/>
          <w:szCs w:val="24"/>
          <w:highlight w:val="none"/>
        </w:rPr>
        <w:t>19.</w:t>
      </w:r>
      <w:r>
        <w:rPr>
          <w:rStyle w:val="21"/>
          <w:rFonts w:hint="eastAsia" w:ascii="楷体" w:hAnsi="楷体" w:eastAsia="楷体"/>
          <w:color w:val="auto"/>
          <w:sz w:val="24"/>
          <w:szCs w:val="24"/>
          <w:highlight w:val="none"/>
        </w:rPr>
        <w:t>通知及送达</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_Toc126961330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21</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84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"_Toc126961331" </w:instrText>
      </w:r>
      <w:r>
        <w:rPr>
          <w:color w:val="auto"/>
          <w:highlight w:val="none"/>
        </w:rPr>
        <w:fldChar w:fldCharType="separate"/>
      </w:r>
      <w:r>
        <w:rPr>
          <w:rStyle w:val="21"/>
          <w:rFonts w:ascii="楷体" w:hAnsi="楷体" w:eastAsia="楷体"/>
          <w:color w:val="auto"/>
          <w:sz w:val="24"/>
          <w:szCs w:val="24"/>
          <w:highlight w:val="none"/>
        </w:rPr>
        <w:t>20.</w:t>
      </w:r>
      <w:r>
        <w:rPr>
          <w:rStyle w:val="21"/>
          <w:rFonts w:hint="eastAsia" w:ascii="楷体" w:hAnsi="楷体" w:eastAsia="楷体"/>
          <w:color w:val="auto"/>
          <w:sz w:val="24"/>
          <w:szCs w:val="24"/>
          <w:highlight w:val="none"/>
        </w:rPr>
        <w:t>争议的解决</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_Toc126961331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21</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84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"_Toc126961332" </w:instrText>
      </w:r>
      <w:r>
        <w:rPr>
          <w:color w:val="auto"/>
          <w:highlight w:val="none"/>
        </w:rPr>
        <w:fldChar w:fldCharType="separate"/>
      </w:r>
      <w:r>
        <w:rPr>
          <w:rStyle w:val="21"/>
          <w:rFonts w:ascii="楷体" w:hAnsi="楷体" w:eastAsia="楷体"/>
          <w:color w:val="auto"/>
          <w:sz w:val="24"/>
          <w:szCs w:val="24"/>
          <w:highlight w:val="none"/>
        </w:rPr>
        <w:t>21.</w:t>
      </w:r>
      <w:r>
        <w:rPr>
          <w:rStyle w:val="21"/>
          <w:rFonts w:hint="eastAsia" w:ascii="楷体" w:hAnsi="楷体" w:eastAsia="楷体"/>
          <w:color w:val="auto"/>
          <w:sz w:val="24"/>
          <w:szCs w:val="24"/>
          <w:highlight w:val="none"/>
        </w:rPr>
        <w:t>合同生效</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_Toc126961332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22</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left" w:pos="840"/>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"_Toc126961333" </w:instrText>
      </w:r>
      <w:r>
        <w:rPr>
          <w:color w:val="auto"/>
          <w:highlight w:val="none"/>
        </w:rPr>
        <w:fldChar w:fldCharType="separate"/>
      </w:r>
      <w:r>
        <w:rPr>
          <w:rStyle w:val="21"/>
          <w:rFonts w:ascii="楷体" w:hAnsi="楷体" w:eastAsia="楷体"/>
          <w:color w:val="auto"/>
          <w:sz w:val="24"/>
          <w:szCs w:val="24"/>
          <w:highlight w:val="none"/>
        </w:rPr>
        <w:t>22.</w:t>
      </w:r>
      <w:r>
        <w:rPr>
          <w:rStyle w:val="21"/>
          <w:rFonts w:hint="eastAsia" w:ascii="楷体" w:hAnsi="楷体" w:eastAsia="楷体"/>
          <w:color w:val="auto"/>
          <w:sz w:val="24"/>
          <w:szCs w:val="24"/>
          <w:highlight w:val="none"/>
        </w:rPr>
        <w:t>本合同组成部分：</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_Toc126961333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22</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"_Toc126961334" </w:instrText>
      </w:r>
      <w:r>
        <w:rPr>
          <w:color w:val="auto"/>
          <w:highlight w:val="none"/>
        </w:rPr>
        <w:fldChar w:fldCharType="separate"/>
      </w:r>
      <w:r>
        <w:rPr>
          <w:rStyle w:val="21"/>
          <w:rFonts w:hint="eastAsia" w:ascii="楷体" w:hAnsi="楷体" w:eastAsia="楷体" w:cs="楷体_GB2312"/>
          <w:color w:val="auto"/>
          <w:sz w:val="24"/>
          <w:szCs w:val="24"/>
          <w:highlight w:val="none"/>
        </w:rPr>
        <w:t>附件一：佛山季华项目电梯合同界面</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_Toc126961334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24</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"_Toc126961335" </w:instrText>
      </w:r>
      <w:r>
        <w:rPr>
          <w:color w:val="auto"/>
          <w:highlight w:val="none"/>
        </w:rPr>
        <w:fldChar w:fldCharType="separate"/>
      </w:r>
      <w:r>
        <w:rPr>
          <w:rStyle w:val="21"/>
          <w:rFonts w:hint="eastAsia" w:ascii="楷体" w:hAnsi="楷体" w:eastAsia="楷体" w:cs="楷体_GB2312"/>
          <w:color w:val="auto"/>
          <w:sz w:val="24"/>
          <w:szCs w:val="24"/>
          <w:highlight w:val="none"/>
        </w:rPr>
        <w:t>附件二</w:t>
      </w:r>
      <w:r>
        <w:rPr>
          <w:rStyle w:val="21"/>
          <w:rFonts w:ascii="楷体" w:hAnsi="楷体" w:eastAsia="楷体" w:cs="楷体_GB2312"/>
          <w:color w:val="auto"/>
          <w:sz w:val="24"/>
          <w:szCs w:val="24"/>
          <w:highlight w:val="none"/>
        </w:rPr>
        <w:t xml:space="preserve"> </w:t>
      </w:r>
      <w:r>
        <w:rPr>
          <w:rStyle w:val="21"/>
          <w:rFonts w:hint="eastAsia" w:ascii="楷体" w:hAnsi="楷体" w:eastAsia="楷体" w:cs="楷体_GB2312"/>
          <w:color w:val="auto"/>
          <w:sz w:val="24"/>
          <w:szCs w:val="24"/>
          <w:highlight w:val="none"/>
        </w:rPr>
        <w:t>：佛山季华项目电梯专业技术要求（另册）</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_Toc126961335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25</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"_Toc126961341" </w:instrText>
      </w:r>
      <w:r>
        <w:rPr>
          <w:color w:val="auto"/>
          <w:highlight w:val="none"/>
        </w:rPr>
        <w:fldChar w:fldCharType="separate"/>
      </w:r>
      <w:r>
        <w:rPr>
          <w:rStyle w:val="21"/>
          <w:rFonts w:hint="eastAsia" w:ascii="楷体" w:hAnsi="楷体" w:eastAsia="楷体"/>
          <w:color w:val="auto"/>
          <w:sz w:val="24"/>
          <w:szCs w:val="24"/>
          <w:highlight w:val="none"/>
        </w:rPr>
        <w:t>附件三：佛山季华项目电梯供货报价清单（另册）</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_Toc126961341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25</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"_Toc126961342" </w:instrText>
      </w:r>
      <w:r>
        <w:rPr>
          <w:color w:val="auto"/>
          <w:highlight w:val="none"/>
        </w:rPr>
        <w:fldChar w:fldCharType="separate"/>
      </w:r>
      <w:r>
        <w:rPr>
          <w:rStyle w:val="21"/>
          <w:rFonts w:hint="eastAsia" w:ascii="楷体" w:hAnsi="楷体" w:eastAsia="楷体" w:cs="楷体_GB2312"/>
          <w:color w:val="auto"/>
          <w:sz w:val="24"/>
          <w:szCs w:val="24"/>
          <w:highlight w:val="none"/>
        </w:rPr>
        <w:t>附件四：佛山季华项目施工现场管理办法</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_Toc126961342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26</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"_Toc126961343" </w:instrText>
      </w:r>
      <w:r>
        <w:rPr>
          <w:color w:val="auto"/>
          <w:highlight w:val="none"/>
        </w:rPr>
        <w:fldChar w:fldCharType="separate"/>
      </w:r>
      <w:r>
        <w:rPr>
          <w:rStyle w:val="21"/>
          <w:rFonts w:hint="eastAsia" w:ascii="楷体" w:hAnsi="楷体" w:eastAsia="楷体" w:cs="楷体_GB2312"/>
          <w:color w:val="auto"/>
          <w:sz w:val="24"/>
          <w:szCs w:val="24"/>
          <w:highlight w:val="none"/>
        </w:rPr>
        <w:t>附件五：工程建设项目廉政责任书</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_Toc126961343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39</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"_Toc126961344" </w:instrText>
      </w:r>
      <w:r>
        <w:rPr>
          <w:color w:val="auto"/>
          <w:highlight w:val="none"/>
        </w:rPr>
        <w:fldChar w:fldCharType="separate"/>
      </w:r>
      <w:r>
        <w:rPr>
          <w:rStyle w:val="21"/>
          <w:rFonts w:hint="eastAsia" w:ascii="楷体" w:hAnsi="楷体" w:eastAsia="楷体"/>
          <w:color w:val="auto"/>
          <w:sz w:val="24"/>
          <w:szCs w:val="24"/>
          <w:highlight w:val="none"/>
        </w:rPr>
        <w:t>附件六：履约保函</w:t>
      </w:r>
      <w:r>
        <w:rPr>
          <w:rStyle w:val="21"/>
          <w:rFonts w:ascii="楷体" w:hAnsi="楷体" w:eastAsia="楷体"/>
          <w:color w:val="auto"/>
          <w:sz w:val="24"/>
          <w:szCs w:val="24"/>
          <w:highlight w:val="none"/>
        </w:rPr>
        <w:t xml:space="preserve"> </w:t>
      </w:r>
      <w:r>
        <w:rPr>
          <w:rStyle w:val="21"/>
          <w:rFonts w:hint="eastAsia" w:ascii="楷体" w:hAnsi="楷体" w:eastAsia="楷体"/>
          <w:color w:val="auto"/>
          <w:sz w:val="24"/>
          <w:szCs w:val="24"/>
          <w:highlight w:val="none"/>
        </w:rPr>
        <w:t>（样式）</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_Toc126961344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42</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"_Toc126961347" </w:instrText>
      </w:r>
      <w:r>
        <w:rPr>
          <w:color w:val="auto"/>
          <w:highlight w:val="none"/>
        </w:rPr>
        <w:fldChar w:fldCharType="separate"/>
      </w:r>
      <w:r>
        <w:rPr>
          <w:rStyle w:val="21"/>
          <w:rFonts w:hint="eastAsia" w:ascii="楷体" w:hAnsi="楷体" w:eastAsia="楷体"/>
          <w:color w:val="auto"/>
          <w:sz w:val="24"/>
          <w:szCs w:val="24"/>
          <w:highlight w:val="none"/>
        </w:rPr>
        <w:t>附件七：预付款保函（样式）</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_Toc126961347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44</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"_Toc126961349" </w:instrText>
      </w:r>
      <w:r>
        <w:rPr>
          <w:color w:val="auto"/>
          <w:highlight w:val="none"/>
        </w:rPr>
        <w:fldChar w:fldCharType="separate"/>
      </w:r>
      <w:r>
        <w:rPr>
          <w:rStyle w:val="21"/>
          <w:rFonts w:hint="eastAsia" w:ascii="楷体" w:hAnsi="楷体" w:eastAsia="楷体"/>
          <w:color w:val="auto"/>
          <w:sz w:val="24"/>
          <w:szCs w:val="24"/>
          <w:highlight w:val="none"/>
        </w:rPr>
        <w:t>附件八：质量保修书</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_Toc126961349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45</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"_Toc126961350" </w:instrText>
      </w:r>
      <w:r>
        <w:rPr>
          <w:color w:val="auto"/>
          <w:highlight w:val="none"/>
        </w:rPr>
        <w:fldChar w:fldCharType="separate"/>
      </w:r>
      <w:r>
        <w:rPr>
          <w:rStyle w:val="21"/>
          <w:rFonts w:hint="eastAsia" w:ascii="楷体" w:hAnsi="楷体" w:eastAsia="楷体"/>
          <w:color w:val="auto"/>
          <w:sz w:val="24"/>
          <w:szCs w:val="24"/>
          <w:highlight w:val="none"/>
        </w:rPr>
        <w:t>附件九：土建条件图（如有）（另册）</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_Toc126961350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47</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right" w:leader="dot" w:pos="9060"/>
        </w:tabs>
        <w:spacing w:line="560" w:lineRule="exact"/>
        <w:rPr>
          <w:rFonts w:ascii="楷体" w:hAnsi="楷体" w:eastAsia="楷体" w:cstheme="minorBidi"/>
          <w:color w:val="auto"/>
          <w:kern w:val="2"/>
          <w:sz w:val="24"/>
          <w:szCs w:val="24"/>
          <w:highlight w:val="none"/>
        </w:rPr>
      </w:pPr>
      <w:r>
        <w:rPr>
          <w:color w:val="auto"/>
          <w:highlight w:val="none"/>
        </w:rPr>
        <w:fldChar w:fldCharType="begin"/>
      </w:r>
      <w:r>
        <w:rPr>
          <w:color w:val="auto"/>
          <w:highlight w:val="none"/>
        </w:rPr>
        <w:instrText xml:space="preserve"> HYPERLINK \l "_Toc126961351" </w:instrText>
      </w:r>
      <w:r>
        <w:rPr>
          <w:color w:val="auto"/>
          <w:highlight w:val="none"/>
        </w:rPr>
        <w:fldChar w:fldCharType="separate"/>
      </w:r>
      <w:r>
        <w:rPr>
          <w:rStyle w:val="21"/>
          <w:rFonts w:hint="eastAsia" w:ascii="楷体" w:hAnsi="楷体" w:eastAsia="楷体"/>
          <w:color w:val="auto"/>
          <w:sz w:val="24"/>
          <w:szCs w:val="24"/>
          <w:highlight w:val="none"/>
        </w:rPr>
        <w:t>附件十：投标文件相关承诺等（另册）</w:t>
      </w:r>
      <w:r>
        <w:rPr>
          <w:rFonts w:ascii="楷体" w:hAnsi="楷体" w:eastAsia="楷体"/>
          <w:color w:val="auto"/>
          <w:sz w:val="24"/>
          <w:szCs w:val="24"/>
          <w:highlight w:val="none"/>
        </w:rPr>
        <w:tab/>
      </w:r>
      <w:r>
        <w:rPr>
          <w:rFonts w:ascii="楷体" w:hAnsi="楷体" w:eastAsia="楷体"/>
          <w:color w:val="auto"/>
          <w:sz w:val="24"/>
          <w:szCs w:val="24"/>
          <w:highlight w:val="none"/>
        </w:rPr>
        <w:fldChar w:fldCharType="begin"/>
      </w:r>
      <w:r>
        <w:rPr>
          <w:rFonts w:ascii="楷体" w:hAnsi="楷体" w:eastAsia="楷体"/>
          <w:color w:val="auto"/>
          <w:sz w:val="24"/>
          <w:szCs w:val="24"/>
          <w:highlight w:val="none"/>
        </w:rPr>
        <w:instrText xml:space="preserve"> PAGEREF _Toc126961351 \h </w:instrText>
      </w:r>
      <w:r>
        <w:rPr>
          <w:rFonts w:ascii="楷体" w:hAnsi="楷体" w:eastAsia="楷体"/>
          <w:color w:val="auto"/>
          <w:sz w:val="24"/>
          <w:szCs w:val="24"/>
          <w:highlight w:val="none"/>
        </w:rPr>
        <w:fldChar w:fldCharType="separate"/>
      </w:r>
      <w:r>
        <w:rPr>
          <w:rFonts w:ascii="楷体" w:hAnsi="楷体" w:eastAsia="楷体"/>
          <w:color w:val="auto"/>
          <w:sz w:val="24"/>
          <w:szCs w:val="24"/>
          <w:highlight w:val="none"/>
        </w:rPr>
        <w:t>47</w:t>
      </w:r>
      <w:r>
        <w:rPr>
          <w:rFonts w:ascii="楷体" w:hAnsi="楷体" w:eastAsia="楷体"/>
          <w:color w:val="auto"/>
          <w:sz w:val="24"/>
          <w:szCs w:val="24"/>
          <w:highlight w:val="none"/>
        </w:rPr>
        <w:fldChar w:fldCharType="end"/>
      </w:r>
      <w:r>
        <w:rPr>
          <w:rFonts w:ascii="楷体" w:hAnsi="楷体" w:eastAsia="楷体"/>
          <w:color w:val="auto"/>
          <w:sz w:val="24"/>
          <w:szCs w:val="24"/>
          <w:highlight w:val="none"/>
        </w:rPr>
        <w:fldChar w:fldCharType="end"/>
      </w:r>
    </w:p>
    <w:p>
      <w:pPr>
        <w:pStyle w:val="15"/>
        <w:tabs>
          <w:tab w:val="right" w:leader="dot" w:pos="8296"/>
        </w:tabs>
        <w:rPr>
          <w:rFonts w:ascii="楷体" w:hAnsi="楷体" w:eastAsia="楷体"/>
          <w:color w:val="auto"/>
          <w:sz w:val="28"/>
          <w:szCs w:val="28"/>
          <w:highlight w:val="none"/>
        </w:rPr>
      </w:pPr>
      <w:r>
        <w:rPr>
          <w:rFonts w:hint="eastAsia" w:ascii="楷体" w:hAnsi="楷体" w:eastAsia="楷体"/>
          <w:color w:val="auto"/>
          <w:sz w:val="24"/>
          <w:szCs w:val="24"/>
          <w:highlight w:val="none"/>
        </w:rPr>
        <w:fldChar w:fldCharType="end"/>
      </w:r>
    </w:p>
    <w:p>
      <w:pPr>
        <w:widowControl/>
        <w:autoSpaceDE/>
        <w:autoSpaceDN/>
        <w:adjustRightInd/>
        <w:rPr>
          <w:rFonts w:ascii="楷体" w:hAnsi="楷体" w:eastAsia="楷体"/>
          <w:color w:val="auto"/>
          <w:sz w:val="28"/>
          <w:szCs w:val="28"/>
          <w:highlight w:val="none"/>
        </w:rPr>
      </w:pPr>
      <w:r>
        <w:rPr>
          <w:rFonts w:ascii="楷体" w:hAnsi="楷体" w:eastAsia="楷体"/>
          <w:color w:val="auto"/>
          <w:sz w:val="28"/>
          <w:szCs w:val="28"/>
          <w:highlight w:val="none"/>
        </w:rPr>
        <w:br w:type="page"/>
      </w:r>
    </w:p>
    <w:p>
      <w:pPr>
        <w:pStyle w:val="31"/>
        <w:spacing w:beforeLines="0"/>
        <w:ind w:firstLine="480" w:firstLineChars="200"/>
        <w:rPr>
          <w:color w:val="auto"/>
          <w:highlight w:val="none"/>
        </w:rPr>
      </w:pPr>
      <w:r>
        <w:rPr>
          <w:rFonts w:hint="eastAsia"/>
          <w:color w:val="auto"/>
          <w:highlight w:val="none"/>
        </w:rPr>
        <w:t>根据本合同规定的条款，甲方同意购买，乙方同意按下列约定出售电梯设备：</w:t>
      </w:r>
    </w:p>
    <w:p>
      <w:pPr>
        <w:pStyle w:val="33"/>
        <w:numPr>
          <w:ilvl w:val="0"/>
          <w:numId w:val="2"/>
        </w:numPr>
        <w:spacing w:before="0" w:beforeLines="0"/>
        <w:ind w:left="351" w:hanging="351" w:hangingChars="125"/>
        <w:rPr>
          <w:color w:val="auto"/>
          <w:highlight w:val="none"/>
        </w:rPr>
      </w:pPr>
      <w:bookmarkStart w:id="0" w:name="_Toc126961312"/>
      <w:r>
        <w:rPr>
          <w:rFonts w:hint="eastAsia"/>
          <w:color w:val="auto"/>
          <w:highlight w:val="none"/>
        </w:rPr>
        <w:t>合同范围</w:t>
      </w:r>
      <w:bookmarkEnd w:id="0"/>
    </w:p>
    <w:p>
      <w:pPr>
        <w:pStyle w:val="31"/>
        <w:numPr>
          <w:ilvl w:val="1"/>
          <w:numId w:val="3"/>
        </w:numPr>
        <w:spacing w:before="0" w:beforeLines="0"/>
        <w:ind w:left="0" w:firstLine="480" w:firstLineChars="200"/>
        <w:rPr>
          <w:color w:val="auto"/>
          <w:highlight w:val="none"/>
        </w:rPr>
      </w:pPr>
      <w:r>
        <w:rPr>
          <w:rFonts w:hint="eastAsia"/>
          <w:color w:val="auto"/>
          <w:highlight w:val="none"/>
        </w:rPr>
        <w:t>本合同范围如下：</w:t>
      </w:r>
    </w:p>
    <w:p>
      <w:pPr>
        <w:pStyle w:val="31"/>
        <w:spacing w:before="0" w:beforeLines="0"/>
        <w:ind w:firstLine="480" w:firstLineChars="200"/>
        <w:rPr>
          <w:color w:val="auto"/>
          <w:highlight w:val="none"/>
        </w:rPr>
      </w:pPr>
      <w:r>
        <w:rPr>
          <w:rFonts w:hint="eastAsia"/>
          <w:color w:val="auto"/>
          <w:highlight w:val="none"/>
        </w:rPr>
        <w:t>（1）包括位于</w:t>
      </w:r>
      <w:r>
        <w:rPr>
          <w:rFonts w:hint="eastAsia"/>
          <w:color w:val="auto"/>
          <w:highlight w:val="none"/>
          <w:u w:val="single"/>
        </w:rPr>
        <w:t>佛山季华项目</w:t>
      </w:r>
      <w:r>
        <w:rPr>
          <w:rFonts w:hint="eastAsia"/>
          <w:color w:val="auto"/>
          <w:highlight w:val="none"/>
        </w:rPr>
        <w:t>（以下简称“本项目”）的全部全新电梯设备、轿厢内信息显示系统、随机件、零部件、备品备件及专用工具等的设计、供应、进口报批（如需）、运输、保管、协助安装调试及检测（包括国家及地方法定检测部门的检测、合同规定的其他检测等）、协助报装报验、申领并保证获发检验合格报告书、安全检验合格证及电梯设备使用登记证、培训、保修期服务、技术文件交付等工作和服务。电梯设备的规格及数量</w:t>
      </w:r>
      <w:r>
        <w:rPr>
          <w:rFonts w:hint="eastAsia" w:cs="宋体"/>
          <w:color w:val="auto"/>
          <w:highlight w:val="none"/>
        </w:rPr>
        <w:t>详</w:t>
      </w:r>
      <w:r>
        <w:rPr>
          <w:rFonts w:hint="eastAsia"/>
          <w:color w:val="auto"/>
          <w:highlight w:val="none"/>
        </w:rPr>
        <w:t>见合同附件三。</w:t>
      </w:r>
    </w:p>
    <w:p>
      <w:pPr>
        <w:pStyle w:val="31"/>
        <w:spacing w:before="0" w:beforeLines="0"/>
        <w:ind w:firstLine="480" w:firstLineChars="200"/>
        <w:rPr>
          <w:color w:val="auto"/>
          <w:highlight w:val="none"/>
        </w:rPr>
      </w:pPr>
      <w:r>
        <w:rPr>
          <w:rFonts w:hint="eastAsia"/>
          <w:color w:val="auto"/>
          <w:highlight w:val="none"/>
        </w:rPr>
        <w:t>（2）乙方应为本项目所供应的电梯设备提供相应的深化设计图纸、预留预埋图、力学计算书、井道修改方案等。</w:t>
      </w:r>
    </w:p>
    <w:p>
      <w:pPr>
        <w:pStyle w:val="31"/>
        <w:spacing w:before="0" w:beforeLines="0"/>
        <w:ind w:firstLine="480" w:firstLineChars="200"/>
        <w:rPr>
          <w:color w:val="auto"/>
          <w:highlight w:val="none"/>
        </w:rPr>
      </w:pPr>
      <w:r>
        <w:rPr>
          <w:rFonts w:hint="eastAsia"/>
          <w:color w:val="auto"/>
          <w:highlight w:val="none"/>
        </w:rPr>
        <w:t>（3）乙方应配合甲方展示区开放提供相关临时电梯，临时电梯暂定如下：</w:t>
      </w:r>
    </w:p>
    <w:p>
      <w:pPr>
        <w:pStyle w:val="31"/>
        <w:spacing w:before="0" w:beforeLines="0"/>
        <w:ind w:firstLine="480" w:firstLineChars="200"/>
        <w:rPr>
          <w:color w:val="auto"/>
          <w:highlight w:val="none"/>
        </w:rPr>
      </w:pPr>
      <w:r>
        <w:rPr>
          <w:rFonts w:hint="eastAsia" w:ascii="宋体" w:hAnsi="宋体" w:eastAsia="宋体"/>
          <w:color w:val="auto"/>
          <w:highlight w:val="none"/>
        </w:rPr>
        <w:t>①</w:t>
      </w:r>
      <w:r>
        <w:rPr>
          <w:rFonts w:hint="eastAsia"/>
          <w:color w:val="auto"/>
          <w:highlight w:val="none"/>
        </w:rPr>
        <w:t>A7栋1~5层（1台），临时机房层设置在7层；</w:t>
      </w:r>
    </w:p>
    <w:p>
      <w:pPr>
        <w:pStyle w:val="31"/>
        <w:spacing w:before="0" w:beforeLines="0"/>
        <w:ind w:firstLine="480" w:firstLineChars="200"/>
        <w:rPr>
          <w:color w:val="auto"/>
          <w:highlight w:val="none"/>
        </w:rPr>
      </w:pPr>
      <w:r>
        <w:rPr>
          <w:rFonts w:hint="eastAsia" w:ascii="宋体" w:hAnsi="宋体" w:eastAsia="宋体"/>
          <w:color w:val="auto"/>
          <w:highlight w:val="none"/>
        </w:rPr>
        <w:t>②</w:t>
      </w:r>
      <w:r>
        <w:rPr>
          <w:rFonts w:hint="eastAsia"/>
          <w:color w:val="auto"/>
          <w:highlight w:val="none"/>
        </w:rPr>
        <w:t>A01栋1~8层（1台），临时机房层设置在10层；</w:t>
      </w:r>
    </w:p>
    <w:p>
      <w:pPr>
        <w:pStyle w:val="31"/>
        <w:spacing w:before="0" w:beforeLines="0"/>
        <w:ind w:firstLine="480" w:firstLineChars="200"/>
        <w:rPr>
          <w:color w:val="auto"/>
          <w:highlight w:val="none"/>
        </w:rPr>
      </w:pPr>
      <w:r>
        <w:rPr>
          <w:rFonts w:hint="eastAsia" w:ascii="宋体" w:hAnsi="宋体" w:eastAsia="宋体"/>
          <w:color w:val="auto"/>
          <w:highlight w:val="none"/>
        </w:rPr>
        <w:t>③AO2</w:t>
      </w:r>
      <w:r>
        <w:rPr>
          <w:rFonts w:hint="eastAsia"/>
          <w:color w:val="auto"/>
          <w:highlight w:val="none"/>
        </w:rPr>
        <w:t>栋1~8层（1台），临时机房层设置在10层。</w:t>
      </w:r>
    </w:p>
    <w:p>
      <w:pPr>
        <w:pStyle w:val="31"/>
        <w:numPr>
          <w:ilvl w:val="1"/>
          <w:numId w:val="3"/>
        </w:numPr>
        <w:spacing w:before="0" w:beforeLines="0"/>
        <w:ind w:left="0" w:firstLine="480" w:firstLineChars="200"/>
        <w:rPr>
          <w:color w:val="auto"/>
          <w:highlight w:val="none"/>
        </w:rPr>
      </w:pPr>
      <w:r>
        <w:rPr>
          <w:rFonts w:hint="eastAsia"/>
          <w:color w:val="auto"/>
          <w:highlight w:val="none"/>
        </w:rPr>
        <w:t>以下项目为暂定项目：</w:t>
      </w:r>
    </w:p>
    <w:p>
      <w:pPr>
        <w:pStyle w:val="31"/>
        <w:spacing w:beforeLines="0"/>
        <w:ind w:left="567"/>
        <w:rPr>
          <w:color w:val="auto"/>
          <w:highlight w:val="none"/>
        </w:rPr>
      </w:pPr>
      <w:r>
        <w:rPr>
          <w:rFonts w:hint="eastAsia"/>
          <w:color w:val="auto"/>
          <w:highlight w:val="none"/>
        </w:rPr>
        <w:t>（1）质量保修期满后</w:t>
      </w:r>
      <w:r>
        <w:rPr>
          <w:rFonts w:hint="eastAsia"/>
          <w:color w:val="auto"/>
          <w:highlight w:val="none"/>
          <w:u w:val="single"/>
        </w:rPr>
        <w:t>5</w:t>
      </w:r>
      <w:r>
        <w:rPr>
          <w:rFonts w:hint="eastAsia"/>
          <w:color w:val="auto"/>
          <w:highlight w:val="none"/>
        </w:rPr>
        <w:t>年期的全面维修保养服务。</w:t>
      </w:r>
    </w:p>
    <w:p>
      <w:pPr>
        <w:pStyle w:val="31"/>
        <w:spacing w:beforeLines="0"/>
        <w:ind w:left="567"/>
        <w:rPr>
          <w:color w:val="auto"/>
          <w:highlight w:val="none"/>
        </w:rPr>
      </w:pPr>
      <w:r>
        <w:rPr>
          <w:rFonts w:hint="eastAsia"/>
          <w:color w:val="auto"/>
          <w:highlight w:val="none"/>
        </w:rPr>
        <w:t>（2）电梯轿厢二次装修。</w:t>
      </w:r>
    </w:p>
    <w:p>
      <w:pPr>
        <w:pStyle w:val="31"/>
        <w:numPr>
          <w:ilvl w:val="1"/>
          <w:numId w:val="3"/>
        </w:numPr>
        <w:spacing w:before="0" w:beforeLines="0"/>
        <w:ind w:left="0" w:firstLine="480" w:firstLineChars="200"/>
        <w:rPr>
          <w:color w:val="auto"/>
          <w:highlight w:val="none"/>
        </w:rPr>
      </w:pPr>
      <w:r>
        <w:rPr>
          <w:rFonts w:hint="eastAsia"/>
          <w:color w:val="auto"/>
          <w:highlight w:val="none"/>
        </w:rPr>
        <w:t>甲方根据需要可决定暂定项目是否由乙方负责，若暂定项目中的一项或多项需要由乙方负责或甲方另行发包的，将相应调整本合同范围和本合同价款或调减本合同价款后另行签订合同。根据项目实际情况，甲方暂定将电梯轿厢二次装修另行发包，乙方须负责对电梯轿厢二次装修安装承包单位进行管理和协调，并对电梯设备进行相应的对重或其他相关的调整、调试，使其满足国家和厂家标准，技术指导、管理和协调费用已包含在本合同总价中。除本合同另有约定外，</w:t>
      </w:r>
      <w:r>
        <w:rPr>
          <w:rFonts w:hint="eastAsia" w:cs="宋体"/>
          <w:color w:val="auto"/>
          <w:highlight w:val="none"/>
        </w:rPr>
        <w:t>任何</w:t>
      </w:r>
      <w:r>
        <w:rPr>
          <w:rFonts w:hint="eastAsia"/>
          <w:color w:val="auto"/>
          <w:highlight w:val="none"/>
        </w:rPr>
        <w:t>电梯设备正常运作所需的电梯</w:t>
      </w:r>
      <w:r>
        <w:rPr>
          <w:rFonts w:hint="eastAsia" w:cs="宋体"/>
          <w:color w:val="auto"/>
          <w:highlight w:val="none"/>
        </w:rPr>
        <w:t>设备、零部件、专用工具、备品备件、技术资料文件、工作、服务等，即使在本合同文件、设备清单或单价细目表中未列入、未报价或所列数量不足</w:t>
      </w:r>
      <w:r>
        <w:rPr>
          <w:rFonts w:hint="eastAsia"/>
          <w:color w:val="auto"/>
          <w:highlight w:val="none"/>
        </w:rPr>
        <w:t>，也均属本合同范围，由乙方承担，其费用视为已包含在合同总价内。</w:t>
      </w:r>
    </w:p>
    <w:p>
      <w:pPr>
        <w:pStyle w:val="31"/>
        <w:numPr>
          <w:ilvl w:val="1"/>
          <w:numId w:val="3"/>
        </w:numPr>
        <w:spacing w:before="0" w:beforeLines="0"/>
        <w:ind w:left="0" w:firstLine="480" w:firstLineChars="200"/>
        <w:rPr>
          <w:color w:val="auto"/>
          <w:highlight w:val="none"/>
        </w:rPr>
      </w:pPr>
      <w:r>
        <w:rPr>
          <w:rFonts w:hint="eastAsia"/>
          <w:color w:val="auto"/>
          <w:highlight w:val="none"/>
        </w:rPr>
        <w:t xml:space="preserve">电梯供货工期要求如下：  </w:t>
      </w:r>
    </w:p>
    <w:p>
      <w:pPr>
        <w:pStyle w:val="31"/>
        <w:spacing w:before="0" w:beforeLines="0"/>
        <w:rPr>
          <w:color w:val="auto"/>
          <w:highlight w:val="none"/>
        </w:rPr>
      </w:pPr>
      <w:r>
        <w:rPr>
          <w:color w:val="auto"/>
          <w:highlight w:val="none"/>
        </w:rPr>
        <w:t>暂定开始时间为</w:t>
      </w:r>
      <w:r>
        <w:rPr>
          <w:rFonts w:hint="eastAsia"/>
          <w:color w:val="auto"/>
          <w:highlight w:val="none"/>
        </w:rPr>
        <w:t>：2023年5月25日；暂定完成时间为：2026年6月30日；暂定总工期1132日历天。</w:t>
      </w:r>
    </w:p>
    <w:tbl>
      <w:tblPr>
        <w:tblStyle w:val="18"/>
        <w:tblW w:w="9493" w:type="dxa"/>
        <w:tblInd w:w="0" w:type="dxa"/>
        <w:tblLayout w:type="fixed"/>
        <w:tblCellMar>
          <w:top w:w="0" w:type="dxa"/>
          <w:left w:w="108" w:type="dxa"/>
          <w:bottom w:w="0" w:type="dxa"/>
          <w:right w:w="108" w:type="dxa"/>
        </w:tblCellMar>
      </w:tblPr>
      <w:tblGrid>
        <w:gridCol w:w="642"/>
        <w:gridCol w:w="984"/>
        <w:gridCol w:w="1134"/>
        <w:gridCol w:w="1286"/>
        <w:gridCol w:w="1182"/>
        <w:gridCol w:w="1310"/>
        <w:gridCol w:w="1686"/>
        <w:gridCol w:w="1269"/>
      </w:tblGrid>
      <w:tr>
        <w:tblPrEx>
          <w:tblLayout w:type="fixed"/>
          <w:tblCellMar>
            <w:top w:w="0" w:type="dxa"/>
            <w:left w:w="108" w:type="dxa"/>
            <w:bottom w:w="0" w:type="dxa"/>
            <w:right w:w="108" w:type="dxa"/>
          </w:tblCellMar>
        </w:tblPrEx>
        <w:trPr>
          <w:trHeight w:val="543" w:hRule="atLeast"/>
        </w:trPr>
        <w:tc>
          <w:tcPr>
            <w:tcW w:w="642" w:type="dxa"/>
            <w:tcBorders>
              <w:top w:val="single" w:color="auto" w:sz="4" w:space="0"/>
              <w:left w:val="single" w:color="auto" w:sz="4" w:space="0"/>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序号</w:t>
            </w:r>
          </w:p>
        </w:tc>
        <w:tc>
          <w:tcPr>
            <w:tcW w:w="984"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工程名称</w:t>
            </w:r>
          </w:p>
        </w:tc>
        <w:tc>
          <w:tcPr>
            <w:tcW w:w="1134"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分区</w:t>
            </w:r>
          </w:p>
        </w:tc>
        <w:tc>
          <w:tcPr>
            <w:tcW w:w="1286"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楼栋</w:t>
            </w:r>
          </w:p>
        </w:tc>
        <w:tc>
          <w:tcPr>
            <w:tcW w:w="1182"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数量（台）</w:t>
            </w:r>
          </w:p>
        </w:tc>
        <w:tc>
          <w:tcPr>
            <w:tcW w:w="1310"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开始时间</w:t>
            </w:r>
          </w:p>
        </w:tc>
        <w:tc>
          <w:tcPr>
            <w:tcW w:w="1686"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完成时间</w:t>
            </w:r>
          </w:p>
        </w:tc>
        <w:tc>
          <w:tcPr>
            <w:tcW w:w="1269"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备注</w:t>
            </w:r>
          </w:p>
        </w:tc>
      </w:tr>
      <w:tr>
        <w:tblPrEx>
          <w:tblLayout w:type="fixed"/>
          <w:tblCellMar>
            <w:top w:w="0" w:type="dxa"/>
            <w:left w:w="108" w:type="dxa"/>
            <w:bottom w:w="0" w:type="dxa"/>
            <w:right w:w="108" w:type="dxa"/>
          </w:tblCellMar>
        </w:tblPrEx>
        <w:trPr>
          <w:trHeight w:val="645" w:hRule="atLeast"/>
        </w:trPr>
        <w:tc>
          <w:tcPr>
            <w:tcW w:w="642"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4"/>
                <w:szCs w:val="24"/>
                <w:highlight w:val="none"/>
              </w:rPr>
            </w:pPr>
            <w:r>
              <w:rPr>
                <w:rFonts w:hint="eastAsia" w:ascii="楷体" w:hAnsi="楷体" w:eastAsia="楷体" w:cs="宋体"/>
                <w:color w:val="auto"/>
                <w:sz w:val="24"/>
                <w:szCs w:val="24"/>
                <w:highlight w:val="none"/>
              </w:rPr>
              <w:t>1</w:t>
            </w:r>
          </w:p>
        </w:tc>
        <w:tc>
          <w:tcPr>
            <w:tcW w:w="984"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电梯深化图纸及样板确认</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首开区</w:t>
            </w:r>
          </w:p>
        </w:tc>
        <w:tc>
          <w:tcPr>
            <w:tcW w:w="128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A7/A8</w:t>
            </w:r>
          </w:p>
        </w:tc>
        <w:tc>
          <w:tcPr>
            <w:tcW w:w="1182"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w:t>
            </w:r>
          </w:p>
        </w:tc>
        <w:tc>
          <w:tcPr>
            <w:tcW w:w="131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w:t>
            </w:r>
            <w:r>
              <w:rPr>
                <w:rFonts w:ascii="楷体" w:hAnsi="楷体" w:eastAsia="楷体" w:cs="宋体"/>
                <w:color w:val="auto"/>
                <w:sz w:val="21"/>
                <w:szCs w:val="21"/>
                <w:highlight w:val="none"/>
              </w:rPr>
              <w:t>5</w:t>
            </w:r>
            <w:r>
              <w:rPr>
                <w:rFonts w:hint="eastAsia" w:ascii="楷体" w:hAnsi="楷体" w:eastAsia="楷体" w:cs="宋体"/>
                <w:color w:val="auto"/>
                <w:sz w:val="21"/>
                <w:szCs w:val="21"/>
                <w:highlight w:val="none"/>
              </w:rPr>
              <w:t>/2</w:t>
            </w:r>
            <w:r>
              <w:rPr>
                <w:rFonts w:ascii="楷体" w:hAnsi="楷体" w:eastAsia="楷体" w:cs="宋体"/>
                <w:color w:val="auto"/>
                <w:sz w:val="21"/>
                <w:szCs w:val="21"/>
                <w:highlight w:val="none"/>
              </w:rPr>
              <w:t>5</w:t>
            </w:r>
          </w:p>
        </w:tc>
        <w:tc>
          <w:tcPr>
            <w:tcW w:w="168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w:t>
            </w:r>
            <w:r>
              <w:rPr>
                <w:rFonts w:ascii="楷体" w:hAnsi="楷体" w:eastAsia="楷体" w:cs="宋体"/>
                <w:color w:val="auto"/>
                <w:sz w:val="21"/>
                <w:szCs w:val="21"/>
                <w:highlight w:val="none"/>
              </w:rPr>
              <w:t>6</w:t>
            </w:r>
            <w:r>
              <w:rPr>
                <w:rFonts w:hint="eastAsia" w:ascii="楷体" w:hAnsi="楷体" w:eastAsia="楷体" w:cs="宋体"/>
                <w:color w:val="auto"/>
                <w:sz w:val="21"/>
                <w:szCs w:val="21"/>
                <w:highlight w:val="none"/>
              </w:rPr>
              <w:t>/</w:t>
            </w:r>
            <w:r>
              <w:rPr>
                <w:rFonts w:ascii="楷体" w:hAnsi="楷体" w:eastAsia="楷体" w:cs="宋体"/>
                <w:color w:val="auto"/>
                <w:sz w:val="21"/>
                <w:szCs w:val="21"/>
                <w:highlight w:val="none"/>
              </w:rPr>
              <w:t>1</w:t>
            </w:r>
          </w:p>
        </w:tc>
        <w:tc>
          <w:tcPr>
            <w:tcW w:w="1269"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Times New Roman" w:eastAsia="等线"/>
                <w:color w:val="auto"/>
                <w:sz w:val="22"/>
                <w:szCs w:val="22"/>
                <w:highlight w:val="none"/>
              </w:rPr>
            </w:pPr>
            <w:r>
              <w:rPr>
                <w:rFonts w:hint="eastAsia" w:ascii="宋体" w:hAnsi="宋体" w:eastAsia="宋体"/>
                <w:color w:val="auto"/>
                <w:sz w:val="22"/>
                <w:szCs w:val="22"/>
                <w:highlight w:val="none"/>
              </w:rPr>
              <w:t>分多批次供货，每批次排产时间不超过</w:t>
            </w:r>
            <w:r>
              <w:rPr>
                <w:rFonts w:ascii="Times New Roman" w:eastAsia="等线"/>
                <w:color w:val="auto"/>
                <w:sz w:val="22"/>
                <w:szCs w:val="22"/>
                <w:highlight w:val="none"/>
              </w:rPr>
              <w:t>90</w:t>
            </w:r>
            <w:r>
              <w:rPr>
                <w:rFonts w:hint="eastAsia" w:ascii="宋体" w:hAnsi="宋体" w:eastAsia="宋体"/>
                <w:color w:val="auto"/>
                <w:sz w:val="22"/>
                <w:szCs w:val="22"/>
                <w:highlight w:val="none"/>
              </w:rPr>
              <w:t>天（首开区除外），具体供货批次及数量以甲方书面通知为准</w:t>
            </w:r>
          </w:p>
        </w:tc>
      </w:tr>
      <w:tr>
        <w:tblPrEx>
          <w:tblLayout w:type="fixed"/>
          <w:tblCellMar>
            <w:top w:w="0" w:type="dxa"/>
            <w:left w:w="108" w:type="dxa"/>
            <w:bottom w:w="0" w:type="dxa"/>
            <w:right w:w="108" w:type="dxa"/>
          </w:tblCellMar>
        </w:tblPrEx>
        <w:trPr>
          <w:trHeight w:val="645"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98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后开区</w:t>
            </w:r>
          </w:p>
        </w:tc>
        <w:tc>
          <w:tcPr>
            <w:tcW w:w="128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剩余所有梯</w:t>
            </w:r>
          </w:p>
        </w:tc>
        <w:tc>
          <w:tcPr>
            <w:tcW w:w="1182"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w:t>
            </w:r>
          </w:p>
        </w:tc>
        <w:tc>
          <w:tcPr>
            <w:tcW w:w="131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2023/8/1</w:t>
            </w:r>
          </w:p>
        </w:tc>
        <w:tc>
          <w:tcPr>
            <w:tcW w:w="168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2023/8/30</w:t>
            </w:r>
          </w:p>
        </w:tc>
        <w:tc>
          <w:tcPr>
            <w:tcW w:w="1269"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Times New Roman" w:eastAsia="等线"/>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642"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4"/>
                <w:szCs w:val="24"/>
                <w:highlight w:val="none"/>
              </w:rPr>
            </w:pPr>
            <w:r>
              <w:rPr>
                <w:rFonts w:hint="eastAsia" w:ascii="楷体" w:hAnsi="楷体" w:eastAsia="楷体" w:cs="宋体"/>
                <w:color w:val="auto"/>
                <w:sz w:val="24"/>
                <w:szCs w:val="24"/>
                <w:highlight w:val="none"/>
              </w:rPr>
              <w:t>2</w:t>
            </w:r>
          </w:p>
        </w:tc>
        <w:tc>
          <w:tcPr>
            <w:tcW w:w="984"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电梯排产</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首开区</w:t>
            </w:r>
          </w:p>
        </w:tc>
        <w:tc>
          <w:tcPr>
            <w:tcW w:w="128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A7临时梯</w:t>
            </w:r>
          </w:p>
        </w:tc>
        <w:tc>
          <w:tcPr>
            <w:tcW w:w="1182"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w:t>
            </w:r>
          </w:p>
        </w:tc>
        <w:tc>
          <w:tcPr>
            <w:tcW w:w="131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w:t>
            </w:r>
            <w:r>
              <w:rPr>
                <w:rFonts w:ascii="楷体" w:hAnsi="楷体" w:eastAsia="楷体" w:cs="宋体"/>
                <w:color w:val="auto"/>
                <w:sz w:val="21"/>
                <w:szCs w:val="21"/>
                <w:highlight w:val="none"/>
              </w:rPr>
              <w:t>6</w:t>
            </w:r>
            <w:r>
              <w:rPr>
                <w:rFonts w:hint="eastAsia" w:ascii="楷体" w:hAnsi="楷体" w:eastAsia="楷体" w:cs="宋体"/>
                <w:color w:val="auto"/>
                <w:sz w:val="21"/>
                <w:szCs w:val="21"/>
                <w:highlight w:val="none"/>
              </w:rPr>
              <w:t>/</w:t>
            </w:r>
            <w:r>
              <w:rPr>
                <w:rFonts w:ascii="楷体" w:hAnsi="楷体" w:eastAsia="楷体" w:cs="宋体"/>
                <w:color w:val="auto"/>
                <w:sz w:val="21"/>
                <w:szCs w:val="21"/>
                <w:highlight w:val="none"/>
              </w:rPr>
              <w:t>1</w:t>
            </w:r>
          </w:p>
        </w:tc>
        <w:tc>
          <w:tcPr>
            <w:tcW w:w="1686"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w:t>
            </w:r>
            <w:r>
              <w:rPr>
                <w:rFonts w:ascii="楷体" w:hAnsi="楷体" w:eastAsia="楷体" w:cs="宋体"/>
                <w:color w:val="auto"/>
                <w:sz w:val="21"/>
                <w:szCs w:val="21"/>
                <w:highlight w:val="none"/>
              </w:rPr>
              <w:t>6</w:t>
            </w:r>
            <w:r>
              <w:rPr>
                <w:rFonts w:hint="eastAsia" w:ascii="楷体" w:hAnsi="楷体" w:eastAsia="楷体" w:cs="宋体"/>
                <w:color w:val="auto"/>
                <w:sz w:val="21"/>
                <w:szCs w:val="21"/>
                <w:highlight w:val="none"/>
              </w:rPr>
              <w:t>/3</w:t>
            </w:r>
            <w:r>
              <w:rPr>
                <w:rFonts w:ascii="楷体" w:hAnsi="楷体" w:eastAsia="楷体" w:cs="宋体"/>
                <w:color w:val="auto"/>
                <w:sz w:val="21"/>
                <w:szCs w:val="21"/>
                <w:highlight w:val="none"/>
              </w:rPr>
              <w:t>0</w:t>
            </w:r>
          </w:p>
        </w:tc>
        <w:tc>
          <w:tcPr>
            <w:tcW w:w="1269"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Times New Roman" w:eastAsia="等线"/>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98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8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A8</w:t>
            </w:r>
          </w:p>
        </w:tc>
        <w:tc>
          <w:tcPr>
            <w:tcW w:w="1182"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310"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68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69"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Times New Roman" w:eastAsia="等线"/>
                <w:color w:val="auto"/>
                <w:sz w:val="22"/>
                <w:szCs w:val="22"/>
                <w:highlight w:val="none"/>
              </w:rPr>
            </w:pPr>
          </w:p>
        </w:tc>
      </w:tr>
      <w:tr>
        <w:tblPrEx>
          <w:tblLayout w:type="fixed"/>
          <w:tblCellMar>
            <w:top w:w="0" w:type="dxa"/>
            <w:left w:w="108" w:type="dxa"/>
            <w:bottom w:w="0" w:type="dxa"/>
            <w:right w:w="108" w:type="dxa"/>
          </w:tblCellMar>
        </w:tblPrEx>
        <w:trPr>
          <w:trHeight w:val="70"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98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8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p>
        </w:tc>
        <w:tc>
          <w:tcPr>
            <w:tcW w:w="1182"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310"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68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69"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Times New Roman" w:eastAsia="等线"/>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98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二开区</w:t>
            </w:r>
          </w:p>
        </w:tc>
        <w:tc>
          <w:tcPr>
            <w:tcW w:w="128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A7</w:t>
            </w:r>
          </w:p>
        </w:tc>
        <w:tc>
          <w:tcPr>
            <w:tcW w:w="1182"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3</w:t>
            </w:r>
          </w:p>
        </w:tc>
        <w:tc>
          <w:tcPr>
            <w:tcW w:w="131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2023/9/30</w:t>
            </w:r>
          </w:p>
        </w:tc>
        <w:tc>
          <w:tcPr>
            <w:tcW w:w="1686"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2023/12/30</w:t>
            </w:r>
          </w:p>
        </w:tc>
        <w:tc>
          <w:tcPr>
            <w:tcW w:w="1269"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Times New Roman" w:eastAsia="等线"/>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98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8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B1</w:t>
            </w:r>
          </w:p>
        </w:tc>
        <w:tc>
          <w:tcPr>
            <w:tcW w:w="1182"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310"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68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69"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Times New Roman" w:eastAsia="等线"/>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98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三开区</w:t>
            </w:r>
          </w:p>
        </w:tc>
        <w:tc>
          <w:tcPr>
            <w:tcW w:w="128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A1</w:t>
            </w:r>
          </w:p>
        </w:tc>
        <w:tc>
          <w:tcPr>
            <w:tcW w:w="1182"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6</w:t>
            </w:r>
          </w:p>
        </w:tc>
        <w:tc>
          <w:tcPr>
            <w:tcW w:w="131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2024/1/1</w:t>
            </w:r>
          </w:p>
        </w:tc>
        <w:tc>
          <w:tcPr>
            <w:tcW w:w="1686"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2024/</w:t>
            </w:r>
            <w:r>
              <w:rPr>
                <w:rFonts w:ascii="楷体" w:hAnsi="楷体" w:eastAsia="楷体" w:cs="宋体"/>
                <w:color w:val="auto"/>
                <w:sz w:val="21"/>
                <w:szCs w:val="21"/>
                <w:highlight w:val="none"/>
              </w:rPr>
              <w:t>3</w:t>
            </w:r>
            <w:r>
              <w:rPr>
                <w:rFonts w:hint="eastAsia" w:ascii="楷体" w:hAnsi="楷体" w:eastAsia="楷体" w:cs="宋体"/>
                <w:color w:val="auto"/>
                <w:sz w:val="21"/>
                <w:szCs w:val="21"/>
                <w:highlight w:val="none"/>
              </w:rPr>
              <w:t>/30</w:t>
            </w:r>
          </w:p>
        </w:tc>
        <w:tc>
          <w:tcPr>
            <w:tcW w:w="1269"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Times New Roman" w:eastAsia="等线"/>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98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8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A2</w:t>
            </w:r>
          </w:p>
        </w:tc>
        <w:tc>
          <w:tcPr>
            <w:tcW w:w="1182"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310"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68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69"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Times New Roman" w:eastAsia="等线"/>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98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8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B2</w:t>
            </w:r>
          </w:p>
        </w:tc>
        <w:tc>
          <w:tcPr>
            <w:tcW w:w="1182"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310"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68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69"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Times New Roman" w:eastAsia="等线"/>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98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adjustRightInd/>
              <w:jc w:val="center"/>
              <w:rPr>
                <w:rFonts w:ascii="等线" w:hAnsi="等线" w:eastAsia="等线" w:cs="宋体"/>
                <w:color w:val="auto"/>
                <w:sz w:val="22"/>
                <w:szCs w:val="22"/>
                <w:highlight w:val="none"/>
              </w:rPr>
            </w:pPr>
            <w:r>
              <w:rPr>
                <w:rFonts w:hint="eastAsia" w:ascii="等线" w:hAnsi="等线" w:eastAsia="等线" w:cs="宋体"/>
                <w:color w:val="auto"/>
                <w:sz w:val="22"/>
                <w:szCs w:val="22"/>
                <w:highlight w:val="none"/>
              </w:rPr>
              <w:t>四开区</w:t>
            </w:r>
          </w:p>
        </w:tc>
        <w:tc>
          <w:tcPr>
            <w:tcW w:w="128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A3</w:t>
            </w:r>
          </w:p>
        </w:tc>
        <w:tc>
          <w:tcPr>
            <w:tcW w:w="1182"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13</w:t>
            </w:r>
          </w:p>
        </w:tc>
        <w:tc>
          <w:tcPr>
            <w:tcW w:w="131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utoSpaceDE/>
              <w:autoSpaceDN/>
              <w:adjustRightInd/>
              <w:jc w:val="center"/>
              <w:rPr>
                <w:rFonts w:ascii="等线" w:hAnsi="等线" w:eastAsia="等线" w:cs="宋体"/>
                <w:color w:val="auto"/>
                <w:sz w:val="22"/>
                <w:szCs w:val="22"/>
                <w:highlight w:val="none"/>
              </w:rPr>
            </w:pPr>
            <w:r>
              <w:rPr>
                <w:rFonts w:hint="eastAsia" w:ascii="等线" w:hAnsi="等线" w:eastAsia="等线" w:cs="宋体"/>
                <w:color w:val="auto"/>
                <w:sz w:val="22"/>
                <w:szCs w:val="22"/>
                <w:highlight w:val="none"/>
              </w:rPr>
              <w:t>2025/11/10</w:t>
            </w:r>
          </w:p>
        </w:tc>
        <w:tc>
          <w:tcPr>
            <w:tcW w:w="168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utoSpaceDE/>
              <w:autoSpaceDN/>
              <w:adjustRightInd/>
              <w:jc w:val="center"/>
              <w:rPr>
                <w:rFonts w:ascii="等线" w:hAnsi="等线" w:eastAsia="等线" w:cs="宋体"/>
                <w:color w:val="auto"/>
                <w:sz w:val="22"/>
                <w:szCs w:val="22"/>
                <w:highlight w:val="none"/>
              </w:rPr>
            </w:pPr>
            <w:r>
              <w:rPr>
                <w:rFonts w:hint="eastAsia" w:ascii="等线" w:hAnsi="等线" w:eastAsia="等线" w:cs="宋体"/>
                <w:color w:val="auto"/>
                <w:sz w:val="22"/>
                <w:szCs w:val="22"/>
                <w:highlight w:val="none"/>
              </w:rPr>
              <w:t>202</w:t>
            </w:r>
            <w:r>
              <w:rPr>
                <w:rFonts w:ascii="等线" w:hAnsi="等线" w:eastAsia="等线" w:cs="宋体"/>
                <w:color w:val="auto"/>
                <w:sz w:val="22"/>
                <w:szCs w:val="22"/>
                <w:highlight w:val="none"/>
              </w:rPr>
              <w:t>6</w:t>
            </w:r>
            <w:r>
              <w:rPr>
                <w:rFonts w:hint="eastAsia" w:ascii="等线" w:hAnsi="等线" w:eastAsia="等线" w:cs="宋体"/>
                <w:color w:val="auto"/>
                <w:sz w:val="22"/>
                <w:szCs w:val="22"/>
                <w:highlight w:val="none"/>
              </w:rPr>
              <w:t>/2/</w:t>
            </w:r>
            <w:r>
              <w:rPr>
                <w:rFonts w:ascii="等线" w:hAnsi="等线" w:eastAsia="等线" w:cs="宋体"/>
                <w:color w:val="auto"/>
                <w:sz w:val="22"/>
                <w:szCs w:val="22"/>
                <w:highlight w:val="none"/>
              </w:rPr>
              <w:t>10</w:t>
            </w:r>
          </w:p>
        </w:tc>
        <w:tc>
          <w:tcPr>
            <w:tcW w:w="1269"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Times New Roman" w:eastAsia="等线"/>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98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28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A4</w:t>
            </w:r>
          </w:p>
        </w:tc>
        <w:tc>
          <w:tcPr>
            <w:tcW w:w="1182"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31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686"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269"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Times New Roman" w:eastAsia="等线"/>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98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28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A5</w:t>
            </w:r>
          </w:p>
        </w:tc>
        <w:tc>
          <w:tcPr>
            <w:tcW w:w="1182"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31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686"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269"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Times New Roman" w:eastAsia="等线"/>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98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28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A6</w:t>
            </w:r>
          </w:p>
        </w:tc>
        <w:tc>
          <w:tcPr>
            <w:tcW w:w="1182"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31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686"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269"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Times New Roman" w:eastAsia="等线"/>
                <w:color w:val="auto"/>
                <w:sz w:val="22"/>
                <w:szCs w:val="22"/>
                <w:highlight w:val="none"/>
              </w:rPr>
            </w:pPr>
          </w:p>
        </w:tc>
      </w:tr>
    </w:tbl>
    <w:p>
      <w:pPr>
        <w:pStyle w:val="31"/>
        <w:spacing w:before="231"/>
        <w:ind w:firstLine="480" w:firstLineChars="200"/>
        <w:rPr>
          <w:color w:val="auto"/>
          <w:highlight w:val="none"/>
        </w:rPr>
      </w:pPr>
      <w:r>
        <w:rPr>
          <w:rFonts w:hint="eastAsia"/>
          <w:color w:val="auto"/>
          <w:highlight w:val="none"/>
        </w:rPr>
        <w:t>注： 1）电梯供货开始时间暂定为2023年</w:t>
      </w:r>
      <w:r>
        <w:rPr>
          <w:color w:val="auto"/>
          <w:highlight w:val="none"/>
        </w:rPr>
        <w:t>5</w:t>
      </w:r>
      <w:r>
        <w:rPr>
          <w:rFonts w:hint="eastAsia"/>
          <w:color w:val="auto"/>
          <w:highlight w:val="none"/>
        </w:rPr>
        <w:t>月2</w:t>
      </w:r>
      <w:r>
        <w:rPr>
          <w:color w:val="auto"/>
          <w:highlight w:val="none"/>
        </w:rPr>
        <w:t>5</w:t>
      </w:r>
      <w:r>
        <w:rPr>
          <w:rFonts w:hint="eastAsia"/>
          <w:color w:val="auto"/>
          <w:highlight w:val="none"/>
        </w:rPr>
        <w:t>日，具体以甲方书面通知为准；</w:t>
      </w:r>
    </w:p>
    <w:p>
      <w:pPr>
        <w:pStyle w:val="31"/>
        <w:numPr>
          <w:ilvl w:val="255"/>
          <w:numId w:val="0"/>
        </w:numPr>
        <w:spacing w:before="231" w:beforeLines="0"/>
        <w:rPr>
          <w:color w:val="auto"/>
          <w:highlight w:val="none"/>
        </w:rPr>
      </w:pPr>
      <w:r>
        <w:rPr>
          <w:rFonts w:hint="eastAsia"/>
          <w:color w:val="auto"/>
          <w:highlight w:val="none"/>
        </w:rPr>
        <w:t xml:space="preserve">         2）乙方中标后3天内提供底坑参数确认表；</w:t>
      </w:r>
    </w:p>
    <w:p>
      <w:pPr>
        <w:pStyle w:val="31"/>
        <w:numPr>
          <w:ilvl w:val="255"/>
          <w:numId w:val="0"/>
        </w:numPr>
        <w:spacing w:before="231" w:beforeLines="0"/>
        <w:ind w:firstLine="1020" w:firstLineChars="425"/>
        <w:rPr>
          <w:color w:val="auto"/>
          <w:highlight w:val="none"/>
        </w:rPr>
      </w:pPr>
      <w:r>
        <w:rPr>
          <w:rFonts w:hint="eastAsia"/>
          <w:color w:val="auto"/>
          <w:highlight w:val="none"/>
        </w:rPr>
        <w:t>3）临时电梯的供货具体以甲方书面通知为准。</w:t>
      </w:r>
    </w:p>
    <w:p>
      <w:pPr>
        <w:pStyle w:val="31"/>
        <w:numPr>
          <w:ilvl w:val="1"/>
          <w:numId w:val="3"/>
        </w:numPr>
        <w:spacing w:before="0" w:beforeLines="0"/>
        <w:ind w:left="0" w:firstLine="480" w:firstLineChars="200"/>
        <w:rPr>
          <w:color w:val="auto"/>
          <w:highlight w:val="none"/>
        </w:rPr>
      </w:pPr>
      <w:r>
        <w:rPr>
          <w:rFonts w:hint="eastAsia"/>
          <w:color w:val="auto"/>
          <w:highlight w:val="none"/>
        </w:rPr>
        <w:t>具体的承包范围及工作界面的划分详本合同附件一。</w:t>
      </w:r>
    </w:p>
    <w:p>
      <w:pPr>
        <w:pStyle w:val="33"/>
        <w:numPr>
          <w:ilvl w:val="0"/>
          <w:numId w:val="2"/>
        </w:numPr>
        <w:spacing w:before="0" w:beforeLines="0"/>
        <w:ind w:left="351" w:hanging="351" w:hangingChars="125"/>
        <w:rPr>
          <w:color w:val="auto"/>
          <w:highlight w:val="none"/>
        </w:rPr>
      </w:pPr>
      <w:bookmarkStart w:id="1" w:name="_Toc126961313"/>
      <w:r>
        <w:rPr>
          <w:rFonts w:hint="eastAsia"/>
          <w:color w:val="auto"/>
          <w:highlight w:val="none"/>
        </w:rPr>
        <w:t>合同价款</w:t>
      </w:r>
      <w:bookmarkEnd w:id="1"/>
    </w:p>
    <w:p>
      <w:pPr>
        <w:pStyle w:val="31"/>
        <w:numPr>
          <w:ilvl w:val="1"/>
          <w:numId w:val="2"/>
        </w:numPr>
        <w:spacing w:before="0" w:beforeLines="0"/>
        <w:ind w:left="0" w:firstLine="480" w:firstLineChars="200"/>
        <w:rPr>
          <w:rFonts w:hAnsi="宋体-方正超大字符集" w:cs="宋体-方正超大字符集"/>
          <w:color w:val="auto"/>
          <w:highlight w:val="none"/>
        </w:rPr>
      </w:pPr>
      <w:r>
        <w:rPr>
          <w:rFonts w:hint="eastAsia"/>
          <w:color w:val="auto"/>
          <w:highlight w:val="none"/>
        </w:rPr>
        <w:tab/>
      </w:r>
      <w:r>
        <w:rPr>
          <w:rFonts w:hint="eastAsia"/>
          <w:color w:val="auto"/>
          <w:highlight w:val="none"/>
        </w:rPr>
        <w:t>签约合同价格暂定为￥    元，大写：人民币    其中不含税签约合同价格为￥   元，税费为￥   元，税率为     %（详附件三：佛山季华项目电梯供货报价清单）。签约合同价格已包括：本合同规定所有电梯设备及其所有零</w:t>
      </w:r>
      <w:r>
        <w:rPr>
          <w:rFonts w:hint="eastAsia" w:cs="宋体"/>
          <w:color w:val="auto"/>
          <w:highlight w:val="none"/>
        </w:rPr>
        <w:t>部件、相关配件、专用工具、</w:t>
      </w:r>
      <w:r>
        <w:rPr>
          <w:rFonts w:hint="eastAsia"/>
          <w:color w:val="auto"/>
          <w:highlight w:val="none"/>
        </w:rPr>
        <w:t>随机</w:t>
      </w:r>
      <w:r>
        <w:rPr>
          <w:rFonts w:hint="eastAsia" w:cs="宋体"/>
          <w:color w:val="auto"/>
          <w:highlight w:val="none"/>
        </w:rPr>
        <w:t>备品备件等</w:t>
      </w:r>
      <w:r>
        <w:rPr>
          <w:rFonts w:hint="eastAsia"/>
          <w:color w:val="auto"/>
          <w:highlight w:val="none"/>
        </w:rPr>
        <w:t>设备的价款、电梯深化设计费、技术服务费、</w:t>
      </w:r>
      <w:r>
        <w:rPr>
          <w:rFonts w:hint="eastAsia" w:cs="宋体"/>
          <w:color w:val="auto"/>
          <w:highlight w:val="none"/>
        </w:rPr>
        <w:t>技术资料和软件（含知识产权）费（含使用费）、</w:t>
      </w:r>
      <w:r>
        <w:rPr>
          <w:rFonts w:hint="eastAsia"/>
          <w:color w:val="auto"/>
          <w:highlight w:val="none"/>
        </w:rPr>
        <w:t>进口报批手续费、包装费、运杂费、装卸费、检验费、保管费、保险费、关税等各种税费、规费、利润等电梯设备供应及正常运作所需的全部费用并包括与本合同电梯设备相连接的其它设施、设备、装置的接口和连接所需的费用，</w:t>
      </w:r>
      <w:r>
        <w:rPr>
          <w:rFonts w:hint="eastAsia" w:hAnsi="宋体-方正超大字符集" w:cs="宋体-方正超大字符集"/>
          <w:color w:val="auto"/>
          <w:highlight w:val="none"/>
        </w:rPr>
        <w:t>满足本合同文件所有的技术要求、供货期的费用，</w:t>
      </w:r>
      <w:r>
        <w:rPr>
          <w:rFonts w:hint="eastAsia"/>
          <w:color w:val="auto"/>
          <w:highlight w:val="none"/>
        </w:rPr>
        <w:t>保修费用及质量保修期零部件更换等费用，协调、管理费以及办理有关部门规定的安装、使用电梯设备的所有许可、批准手续的费用和保证甲方取得全部电梯设备的验收证、使用证及乙方完成本合同范围内全部义务（含暂定项目）所需的全部费用。</w:t>
      </w:r>
    </w:p>
    <w:p>
      <w:pPr>
        <w:pStyle w:val="31"/>
        <w:numPr>
          <w:ilvl w:val="1"/>
          <w:numId w:val="2"/>
        </w:numPr>
        <w:spacing w:before="0" w:beforeLines="0"/>
        <w:ind w:left="0" w:firstLine="480" w:firstLineChars="200"/>
        <w:rPr>
          <w:color w:val="auto"/>
          <w:highlight w:val="none"/>
        </w:rPr>
      </w:pPr>
      <w:r>
        <w:rPr>
          <w:rFonts w:hint="eastAsia"/>
          <w:color w:val="auto"/>
          <w:highlight w:val="none"/>
        </w:rPr>
        <w:t>除甲方要求增减本合同附件三清单内的电梯设备的数量、型号、规格或服务内容而需要相应调整合同价款或增值税调整除外，本合同价款按上述价款固定总</w:t>
      </w:r>
      <w:r>
        <w:rPr>
          <w:rFonts w:hint="eastAsia" w:hAnsi="宋体-方正超大字符集" w:cs="宋体-方正超大字符集"/>
          <w:color w:val="auto"/>
          <w:highlight w:val="none"/>
        </w:rPr>
        <w:t>价</w:t>
      </w:r>
      <w:r>
        <w:rPr>
          <w:rFonts w:hint="eastAsia"/>
          <w:color w:val="auto"/>
          <w:highlight w:val="none"/>
        </w:rPr>
        <w:t>包干，不因其他任何原因而调整（增值税调整除外）。如乙方因产品升级换代等原因需要更改原电梯设备的型号、规格或技术标准的，应经甲方书面同意，且更改后的电梯设备的规格和技术要求应高于或优于原电梯设备的规格和技术要求，相关更改费用已全部包含在合同总价内,不作调整。</w:t>
      </w:r>
    </w:p>
    <w:p>
      <w:pPr>
        <w:pStyle w:val="31"/>
        <w:numPr>
          <w:ilvl w:val="1"/>
          <w:numId w:val="2"/>
        </w:numPr>
        <w:spacing w:before="0" w:beforeLines="0"/>
        <w:ind w:left="0" w:firstLine="480" w:firstLineChars="200"/>
        <w:rPr>
          <w:rFonts w:hAnsi="宋体-方正超大字符集" w:cs="宋体-方正超大字符集"/>
          <w:color w:val="auto"/>
          <w:highlight w:val="none"/>
        </w:rPr>
      </w:pPr>
      <w:r>
        <w:rPr>
          <w:rFonts w:hint="eastAsia"/>
          <w:color w:val="auto"/>
          <w:highlight w:val="none"/>
        </w:rPr>
        <w:t>甲方有权根据项目的实际情况、要求增减本合同附件三清单内的电梯设备的数量、型号、规格、装修要求、功能配置或服务内容而需要相应调整合同价款的，如原投标文件中有相应报价且为甲方认可的，则按照相应的报价执行；若原投标文件中有相应报价但不为甲方认可或无相应报价的，则乙方应重新进行报价，双方协商一致价格后作为支付和结算的依据，乙方不得要求任何额外费用及其他索赔。</w:t>
      </w:r>
    </w:p>
    <w:p>
      <w:pPr>
        <w:pStyle w:val="31"/>
        <w:numPr>
          <w:ilvl w:val="1"/>
          <w:numId w:val="2"/>
        </w:numPr>
        <w:spacing w:before="0" w:beforeLines="0"/>
        <w:ind w:left="0" w:firstLine="480" w:firstLineChars="200"/>
        <w:rPr>
          <w:rFonts w:hAnsi="宋体-方正超大字符集" w:cs="宋体-方正超大字符集"/>
          <w:color w:val="auto"/>
          <w:highlight w:val="none"/>
        </w:rPr>
      </w:pPr>
      <w:r>
        <w:rPr>
          <w:rFonts w:hint="eastAsia" w:hAnsi="宋体-方正超大字符集" w:cs="宋体-方正超大字符集"/>
          <w:color w:val="auto"/>
          <w:highlight w:val="none"/>
        </w:rPr>
        <w:t>若遇</w:t>
      </w:r>
      <w:r>
        <w:rPr>
          <w:rFonts w:hint="eastAsia"/>
          <w:color w:val="auto"/>
          <w:highlight w:val="none"/>
        </w:rPr>
        <w:t>政策性</w:t>
      </w:r>
      <w:r>
        <w:rPr>
          <w:rFonts w:hint="eastAsia" w:hAnsi="宋体-方正超大字符集" w:cs="宋体-方正超大字符集"/>
          <w:color w:val="auto"/>
          <w:highlight w:val="none"/>
        </w:rPr>
        <w:t>调整增值税税率的，乙方提供增值税专用发票的增值税税率按当期国家税务总局政策性调整后的增值税税率执行；甲方按当次应付金额对应的不含增值税价款及调整后的增值税税率计算的增值税税费进行支付。</w:t>
      </w:r>
    </w:p>
    <w:p>
      <w:pPr>
        <w:pStyle w:val="33"/>
        <w:numPr>
          <w:ilvl w:val="0"/>
          <w:numId w:val="2"/>
        </w:numPr>
        <w:spacing w:before="0" w:beforeLines="0"/>
        <w:ind w:left="351" w:hanging="351" w:hangingChars="125"/>
        <w:rPr>
          <w:color w:val="auto"/>
          <w:highlight w:val="none"/>
        </w:rPr>
      </w:pPr>
      <w:bookmarkStart w:id="2" w:name="_Toc126961314"/>
      <w:r>
        <w:rPr>
          <w:rFonts w:hint="eastAsia"/>
          <w:color w:val="auto"/>
          <w:highlight w:val="none"/>
        </w:rPr>
        <w:t>付款条件</w:t>
      </w:r>
      <w:bookmarkEnd w:id="2"/>
    </w:p>
    <w:p>
      <w:pPr>
        <w:pStyle w:val="31"/>
        <w:numPr>
          <w:ilvl w:val="1"/>
          <w:numId w:val="2"/>
        </w:numPr>
        <w:spacing w:before="0" w:beforeLines="0"/>
        <w:rPr>
          <w:color w:val="auto"/>
          <w:spacing w:val="-2"/>
          <w:highlight w:val="none"/>
        </w:rPr>
      </w:pPr>
      <w:r>
        <w:rPr>
          <w:rFonts w:hint="eastAsia"/>
          <w:color w:val="auto"/>
          <w:spacing w:val="-2"/>
          <w:highlight w:val="none"/>
        </w:rPr>
        <w:t xml:space="preserve">本合同生效后30个日历天内，乙方应按本合同所附履约保函格式向甲方提交本合同电梯货款总价10％的不可撤销的银行履约保函。 </w:t>
      </w:r>
    </w:p>
    <w:p>
      <w:pPr>
        <w:pStyle w:val="31"/>
        <w:numPr>
          <w:ilvl w:val="1"/>
          <w:numId w:val="2"/>
        </w:numPr>
        <w:spacing w:before="0" w:beforeLines="0"/>
        <w:ind w:left="0" w:firstLine="472" w:firstLineChars="200"/>
        <w:rPr>
          <w:color w:val="auto"/>
          <w:spacing w:val="-2"/>
          <w:highlight w:val="none"/>
        </w:rPr>
      </w:pPr>
      <w:r>
        <w:rPr>
          <w:rFonts w:hint="eastAsia"/>
          <w:color w:val="auto"/>
          <w:spacing w:val="-2"/>
          <w:highlight w:val="none"/>
        </w:rPr>
        <w:t>支付</w:t>
      </w:r>
      <w:r>
        <w:rPr>
          <w:rFonts w:hint="eastAsia" w:ascii="宋体" w:hAnsi="宋体" w:eastAsia="仿宋_GB2312"/>
          <w:color w:val="auto"/>
          <w:szCs w:val="24"/>
          <w:highlight w:val="none"/>
        </w:rPr>
        <w:t>方式</w:t>
      </w:r>
    </w:p>
    <w:p>
      <w:pPr>
        <w:pStyle w:val="31"/>
        <w:spacing w:before="0" w:beforeLines="0"/>
        <w:ind w:left="480"/>
        <w:rPr>
          <w:rFonts w:ascii="宋体" w:hAnsi="宋体"/>
          <w:color w:val="auto"/>
          <w:szCs w:val="24"/>
          <w:highlight w:val="none"/>
        </w:rPr>
      </w:pPr>
      <w:r>
        <w:rPr>
          <w:rFonts w:hint="eastAsia" w:ascii="宋体" w:hAnsi="宋体"/>
          <w:color w:val="auto"/>
          <w:szCs w:val="24"/>
          <w:highlight w:val="none"/>
        </w:rPr>
        <w:t>（1）合同每期含税应付货款50%采用现金支付；50%非现金支付，账期为6个月。</w:t>
      </w:r>
    </w:p>
    <w:p>
      <w:pPr>
        <w:pStyle w:val="31"/>
        <w:spacing w:before="0" w:beforeLines="0"/>
        <w:ind w:firstLine="480" w:firstLineChars="200"/>
        <w:rPr>
          <w:rFonts w:ascii="宋体" w:hAnsi="宋体"/>
          <w:color w:val="auto"/>
          <w:szCs w:val="24"/>
          <w:highlight w:val="none"/>
        </w:rPr>
      </w:pPr>
      <w:r>
        <w:rPr>
          <w:rFonts w:hint="eastAsia" w:ascii="宋体" w:hAnsi="宋体"/>
          <w:color w:val="auto"/>
          <w:szCs w:val="24"/>
          <w:highlight w:val="none"/>
        </w:rPr>
        <w:t>（2）采用非现金支付，乙方在签收、登记或确认甲方开具的商业承兑汇票、供应链票据/凭证时，视同已完成非现金支付部分合同付款，甲方对应的应付合同款转为应履行相应商业承兑汇票、供应链票据/凭证项下的兑付义务；乙方在商业承兑汇票、供应链票据/凭证到期前进行贴现的，所有贴现相关费用由乙方自行承担；乙方将上述账期内对应的应收账款转让给保理公司进行保理融资的，由乙方与保理公司另行签署保理融资协议或合同，所有保理相关费用由乙方自行承担。</w:t>
      </w:r>
    </w:p>
    <w:p>
      <w:pPr>
        <w:pStyle w:val="31"/>
        <w:spacing w:before="0" w:beforeLines="0"/>
        <w:ind w:firstLine="480" w:firstLineChars="200"/>
        <w:rPr>
          <w:rFonts w:ascii="宋体" w:hAnsi="宋体"/>
          <w:color w:val="auto"/>
          <w:szCs w:val="24"/>
          <w:highlight w:val="none"/>
        </w:rPr>
      </w:pPr>
      <w:r>
        <w:rPr>
          <w:rFonts w:hint="eastAsia" w:ascii="宋体" w:hAnsi="宋体"/>
          <w:color w:val="auto"/>
          <w:szCs w:val="24"/>
          <w:highlight w:val="none"/>
        </w:rPr>
        <w:t>（3）在甲方向乙方付款（含非现金支付部分）前，乙方须向甲方提供与经甲方审核同意的应付款等额的足额增值税专用发票（</w:t>
      </w:r>
      <w:r>
        <w:rPr>
          <w:rFonts w:hint="eastAsia"/>
          <w:color w:val="auto"/>
          <w:highlight w:val="none"/>
        </w:rPr>
        <w:t>双方完成总结算手续，甲方支付至总结算价的97%前，乙方应开具结算价款100%的增值税专用发票</w:t>
      </w:r>
      <w:r>
        <w:rPr>
          <w:rFonts w:hint="eastAsia" w:ascii="宋体" w:hAnsi="宋体"/>
          <w:color w:val="auto"/>
          <w:szCs w:val="24"/>
          <w:highlight w:val="none"/>
        </w:rPr>
        <w:t>）；甲方采用非现金支付方式的，乙方同意无条件配合办理开具商业承兑汇票、供应链票据/凭证等支付工具的相关手续，否则视同乙方违约，甲方可延后办理对应非现金付款手续且不承担任何责任。</w:t>
      </w:r>
    </w:p>
    <w:p>
      <w:pPr>
        <w:pStyle w:val="31"/>
        <w:spacing w:before="0" w:beforeLines="0"/>
        <w:ind w:firstLine="480" w:firstLineChars="200"/>
        <w:rPr>
          <w:color w:val="auto"/>
          <w:spacing w:val="-2"/>
          <w:highlight w:val="none"/>
        </w:rPr>
      </w:pPr>
      <w:r>
        <w:rPr>
          <w:rFonts w:hint="eastAsia" w:ascii="宋体" w:hAnsi="宋体"/>
          <w:color w:val="auto"/>
          <w:szCs w:val="24"/>
          <w:highlight w:val="none"/>
        </w:rPr>
        <w:t>（4）支付每期应付货款时，对50%的非现金支付合同价款：如甲方选择使用现金支付方式向乙方支付的，乙方无条件同意 ，按该50%非现金支付合同价款的97.5%支付该期应付货款的非现金支付部分，并确认该期应付货款的50%非现金支付部分已按现金支付方式足额支付。</w:t>
      </w:r>
    </w:p>
    <w:p>
      <w:pPr>
        <w:pStyle w:val="31"/>
        <w:numPr>
          <w:ilvl w:val="1"/>
          <w:numId w:val="2"/>
        </w:numPr>
        <w:spacing w:before="0" w:beforeLines="0"/>
        <w:ind w:left="0" w:firstLine="480" w:firstLineChars="200"/>
        <w:rPr>
          <w:rFonts w:ascii="宋体" w:hAnsi="宋体"/>
          <w:color w:val="auto"/>
          <w:szCs w:val="24"/>
          <w:highlight w:val="none"/>
        </w:rPr>
      </w:pPr>
      <w:r>
        <w:rPr>
          <w:rFonts w:hint="eastAsia" w:ascii="宋体" w:hAnsi="宋体"/>
          <w:color w:val="auto"/>
          <w:szCs w:val="24"/>
          <w:highlight w:val="none"/>
        </w:rPr>
        <w:t>进度款支付：</w:t>
      </w:r>
    </w:p>
    <w:p>
      <w:pPr>
        <w:pStyle w:val="31"/>
        <w:spacing w:before="0" w:beforeLines="0"/>
        <w:ind w:firstLine="472" w:firstLineChars="200"/>
        <w:rPr>
          <w:color w:val="auto"/>
          <w:spacing w:val="-2"/>
          <w:highlight w:val="none"/>
        </w:rPr>
      </w:pPr>
      <w:r>
        <w:rPr>
          <w:rFonts w:hint="eastAsia"/>
          <w:color w:val="auto"/>
          <w:spacing w:val="-2"/>
          <w:highlight w:val="none"/>
        </w:rPr>
        <w:t>（1）每批电梯排产前15个工作日，甲方向乙方发出排产通知书，乙方于排产前10个工作日提供相应货物排产周期计划表及该批次货物合同金额30%的预付款保函（详见附件七格式），甲方支付乙方该批次货物合同金额的30%；</w:t>
      </w:r>
    </w:p>
    <w:p>
      <w:pPr>
        <w:pStyle w:val="31"/>
        <w:spacing w:before="0" w:beforeLines="0"/>
        <w:ind w:firstLine="472" w:firstLineChars="200"/>
        <w:rPr>
          <w:color w:val="auto"/>
          <w:spacing w:val="-2"/>
          <w:highlight w:val="none"/>
        </w:rPr>
      </w:pPr>
      <w:r>
        <w:rPr>
          <w:rFonts w:hint="eastAsia"/>
          <w:color w:val="auto"/>
          <w:spacing w:val="-2"/>
          <w:highlight w:val="none"/>
        </w:rPr>
        <w:t>（2）每批货物发货前，甲方收到乙方提供该批货物的发货资料及该批次货物合同金额40%的预付款保函，甲方支付乙方该批货物合同金额的40%；</w:t>
      </w:r>
    </w:p>
    <w:p>
      <w:pPr>
        <w:pStyle w:val="31"/>
        <w:spacing w:before="0" w:beforeLines="0"/>
        <w:ind w:firstLine="472" w:firstLineChars="200"/>
        <w:rPr>
          <w:color w:val="auto"/>
          <w:spacing w:val="-2"/>
          <w:highlight w:val="none"/>
        </w:rPr>
      </w:pPr>
      <w:r>
        <w:rPr>
          <w:rFonts w:hint="eastAsia"/>
          <w:color w:val="auto"/>
          <w:spacing w:val="-2"/>
          <w:highlight w:val="none"/>
        </w:rPr>
        <w:t>（3）每批货物运抵工地现场，经甲方、总承包人、监理单位、电梯安装单位共同确认的《材料设备收货单》、《材料设备领料单》、《材料设备进场验收单》后，支付该批货物合同金额的10%。</w:t>
      </w:r>
    </w:p>
    <w:p>
      <w:pPr>
        <w:pStyle w:val="31"/>
        <w:spacing w:before="0" w:beforeLines="0"/>
        <w:ind w:firstLine="480" w:firstLineChars="200"/>
        <w:rPr>
          <w:color w:val="auto"/>
          <w:highlight w:val="none"/>
        </w:rPr>
      </w:pPr>
      <w:r>
        <w:rPr>
          <w:rFonts w:hint="eastAsia"/>
          <w:color w:val="auto"/>
          <w:highlight w:val="none"/>
        </w:rPr>
        <w:t>（4）本合同项下各批次全部电梯设备经甲方最终验收合格，支付至本合同签约金额的85%；分段结算完成后，可支付至该分段结算金额的90%。</w:t>
      </w:r>
    </w:p>
    <w:p>
      <w:pPr>
        <w:pStyle w:val="31"/>
        <w:spacing w:before="0" w:beforeLines="0"/>
        <w:ind w:firstLine="480" w:firstLineChars="200"/>
        <w:rPr>
          <w:color w:val="auto"/>
          <w:highlight w:val="none"/>
        </w:rPr>
      </w:pPr>
      <w:r>
        <w:rPr>
          <w:rFonts w:hint="eastAsia"/>
          <w:color w:val="auto"/>
          <w:highlight w:val="none"/>
        </w:rPr>
        <w:t>（5）双方完成总结算手续，支付至总结算价的97%，质量保证金为本合同总结算价的3%。</w:t>
      </w:r>
    </w:p>
    <w:p>
      <w:pPr>
        <w:pStyle w:val="31"/>
        <w:spacing w:before="0" w:beforeLines="0"/>
        <w:ind w:firstLine="480" w:firstLineChars="200"/>
        <w:rPr>
          <w:color w:val="auto"/>
          <w:highlight w:val="none"/>
        </w:rPr>
      </w:pPr>
      <w:r>
        <w:rPr>
          <w:rFonts w:hint="eastAsia"/>
          <w:color w:val="auto"/>
          <w:highlight w:val="none"/>
        </w:rPr>
        <w:t>（6）保修期起计满两年且电梯设备及其工程出现的质量问题得到全部解决并经甲方确认后，甲方扣除应扣款项后，一次性无息退还质量保证金；若乙方未按要求履行完毕保修义务，甲方扣除相应金额的质量保证金。</w:t>
      </w:r>
    </w:p>
    <w:p>
      <w:pPr>
        <w:pStyle w:val="31"/>
        <w:numPr>
          <w:ilvl w:val="1"/>
          <w:numId w:val="2"/>
        </w:numPr>
        <w:spacing w:before="0" w:beforeLines="0"/>
        <w:ind w:left="0" w:firstLine="480" w:firstLineChars="200"/>
        <w:rPr>
          <w:color w:val="auto"/>
          <w:highlight w:val="none"/>
        </w:rPr>
      </w:pPr>
      <w:r>
        <w:rPr>
          <w:rFonts w:hint="eastAsia"/>
          <w:color w:val="auto"/>
          <w:highlight w:val="none"/>
        </w:rPr>
        <w:t>以上各期付款，付款要求如下：</w:t>
      </w:r>
    </w:p>
    <w:p>
      <w:pPr>
        <w:pStyle w:val="31"/>
        <w:numPr>
          <w:ilvl w:val="0"/>
          <w:numId w:val="4"/>
        </w:numPr>
        <w:spacing w:before="0" w:beforeLines="0"/>
        <w:ind w:left="0" w:firstLine="480" w:firstLineChars="200"/>
        <w:rPr>
          <w:color w:val="auto"/>
          <w:highlight w:val="none"/>
        </w:rPr>
      </w:pPr>
      <w:r>
        <w:rPr>
          <w:rFonts w:hint="eastAsia"/>
          <w:color w:val="auto"/>
          <w:highlight w:val="none"/>
        </w:rPr>
        <w:t>上述付款条件成立后，乙方向甲方提出书面支付申请，并提供与应付款金额等额的税务部门验证合格的增值税专用发票，货款审批期限为28天，自乙方向甲方书面提出付款申请或经甲方要求后重新提出付款申请并附齐相关证明之日起计。若乙方未提供书面付款申请或提供非正规（不合格）增值税专用发票，甲方有权不予支付任何款项且无需承担逾期付款的违约责任。</w:t>
      </w:r>
    </w:p>
    <w:p>
      <w:pPr>
        <w:pStyle w:val="31"/>
        <w:spacing w:before="0" w:beforeLines="0"/>
        <w:ind w:firstLine="480" w:firstLineChars="200"/>
        <w:rPr>
          <w:color w:val="auto"/>
          <w:highlight w:val="none"/>
        </w:rPr>
      </w:pPr>
      <w:r>
        <w:rPr>
          <w:rFonts w:hint="eastAsia"/>
          <w:color w:val="auto"/>
          <w:highlight w:val="none"/>
        </w:rPr>
        <w:t>乙方付款申请经甲方审核确认后，甲方通知乙方本期货款应支付金额,乙方应根据甲方审核确认的应付货款金额的100%向甲方开具合规增值税专用发票，甲方在收到乙方提供的增值税专用发票且确认付款金额后28天内支付货款。对付款金额有异议的，甲方将在该期限内先支付已确认部分的款项。乙方应及时报送工程验收资料，资料不完整的视作该项工作未完成，货款中不予确认。</w:t>
      </w:r>
    </w:p>
    <w:p>
      <w:pPr>
        <w:pStyle w:val="31"/>
        <w:numPr>
          <w:ilvl w:val="0"/>
          <w:numId w:val="4"/>
        </w:numPr>
        <w:spacing w:before="0" w:beforeLines="0"/>
        <w:ind w:left="0" w:firstLine="480" w:firstLineChars="200"/>
        <w:rPr>
          <w:color w:val="auto"/>
          <w:highlight w:val="none"/>
        </w:rPr>
      </w:pPr>
      <w:r>
        <w:rPr>
          <w:rFonts w:hint="eastAsia"/>
          <w:color w:val="auto"/>
          <w:highlight w:val="none"/>
        </w:rPr>
        <w:t>乙方开具的增值税专用发票在送达甲方前如发生丢失、灭失或被盗等情况，导致相应票据未顺利送达甲方的，乙方应向甲方提供丢失发票的记账联复印件（加盖发票专用章）等税收法规规定及主管税务机关要求提供的相关资料，并确保甲方顺利获得抵扣，否则，甲方因此遭受的经济损失由乙方负责赔偿。为保证取得的发票可以及时并成功获得抵扣，乙方开具的增值税专用发票送达并经甲方签收后，若发生丢失，乙方应积极协助甲方，按照相关税收法规和规定及主管税务机关的要求提供相应资料。</w:t>
      </w:r>
    </w:p>
    <w:p>
      <w:pPr>
        <w:pStyle w:val="31"/>
        <w:numPr>
          <w:ilvl w:val="0"/>
          <w:numId w:val="4"/>
        </w:numPr>
        <w:spacing w:before="0" w:beforeLines="0"/>
        <w:ind w:left="0" w:firstLine="480" w:firstLineChars="200"/>
        <w:rPr>
          <w:color w:val="auto"/>
          <w:highlight w:val="none"/>
        </w:rPr>
      </w:pPr>
      <w:r>
        <w:rPr>
          <w:rFonts w:hint="eastAsia"/>
          <w:color w:val="auto"/>
          <w:highlight w:val="none"/>
        </w:rPr>
        <w:t>已达到付款条件的相应证明文件,其中:</w:t>
      </w:r>
    </w:p>
    <w:p>
      <w:pPr>
        <w:pStyle w:val="31"/>
        <w:spacing w:before="0" w:beforeLines="0"/>
        <w:ind w:firstLine="480" w:firstLineChars="200"/>
        <w:rPr>
          <w:color w:val="auto"/>
          <w:highlight w:val="none"/>
        </w:rPr>
      </w:pPr>
      <w:r>
        <w:rPr>
          <w:rFonts w:hint="eastAsia"/>
          <w:color w:val="auto"/>
          <w:highlight w:val="none"/>
        </w:rPr>
        <w:t>A.提交付款通知单，付款通知单中应注明应付款电梯设备的规格型号、数量。</w:t>
      </w:r>
    </w:p>
    <w:p>
      <w:pPr>
        <w:pStyle w:val="31"/>
        <w:spacing w:before="0" w:beforeLines="0"/>
        <w:ind w:firstLine="480" w:firstLineChars="200"/>
        <w:rPr>
          <w:color w:val="auto"/>
          <w:highlight w:val="none"/>
        </w:rPr>
      </w:pPr>
      <w:r>
        <w:rPr>
          <w:rFonts w:hint="eastAsia"/>
          <w:color w:val="auto"/>
          <w:highlight w:val="none"/>
        </w:rPr>
        <w:t>B.电梯设备发货后，付款应提交装箱单壹份，注明毛、净重、尺码和所装设备每项的品名数量;及按照本合同相关规定由厂家签发的质量和数量／重量证明书及检验报告各两份。</w:t>
      </w:r>
    </w:p>
    <w:p>
      <w:pPr>
        <w:pStyle w:val="31"/>
        <w:spacing w:before="0" w:beforeLines="0"/>
        <w:ind w:firstLine="480" w:firstLineChars="200"/>
        <w:rPr>
          <w:color w:val="auto"/>
          <w:highlight w:val="none"/>
        </w:rPr>
      </w:pPr>
      <w:r>
        <w:rPr>
          <w:rFonts w:hint="eastAsia"/>
          <w:color w:val="auto"/>
          <w:highlight w:val="none"/>
        </w:rPr>
        <w:t>C.招标文件要求的全套进口部件单证（若为进口电梯设备）；符合招标文件要求的电梯设备及部件品质保证书。</w:t>
      </w:r>
    </w:p>
    <w:p>
      <w:pPr>
        <w:pStyle w:val="31"/>
        <w:spacing w:before="0" w:beforeLines="0"/>
        <w:ind w:firstLine="480" w:firstLineChars="200"/>
        <w:rPr>
          <w:color w:val="auto"/>
          <w:highlight w:val="none"/>
        </w:rPr>
      </w:pPr>
      <w:r>
        <w:rPr>
          <w:rFonts w:hint="eastAsia"/>
          <w:color w:val="auto"/>
          <w:highlight w:val="none"/>
        </w:rPr>
        <w:t>D.提交电梯设备检验合格报告书、安全检验合格证和电梯设备使用登记证。</w:t>
      </w:r>
    </w:p>
    <w:p>
      <w:pPr>
        <w:pStyle w:val="31"/>
        <w:spacing w:before="0" w:beforeLines="0"/>
        <w:ind w:firstLine="480" w:firstLineChars="200"/>
        <w:rPr>
          <w:color w:val="auto"/>
          <w:highlight w:val="none"/>
        </w:rPr>
      </w:pPr>
      <w:r>
        <w:rPr>
          <w:rFonts w:hint="eastAsia"/>
          <w:color w:val="auto"/>
          <w:highlight w:val="none"/>
        </w:rPr>
        <w:t>E.提供电梯设备保险凭证。</w:t>
      </w:r>
    </w:p>
    <w:p>
      <w:pPr>
        <w:pStyle w:val="31"/>
        <w:spacing w:before="0" w:beforeLines="0"/>
        <w:ind w:firstLine="480" w:firstLineChars="200"/>
        <w:rPr>
          <w:color w:val="auto"/>
          <w:highlight w:val="none"/>
        </w:rPr>
      </w:pPr>
      <w:r>
        <w:rPr>
          <w:rFonts w:hint="eastAsia"/>
          <w:color w:val="auto"/>
          <w:highlight w:val="none"/>
        </w:rPr>
        <w:t>乙方提供资料不全的，甲方有权不予以付款，并不承担逾期付款责任。</w:t>
      </w:r>
    </w:p>
    <w:p>
      <w:pPr>
        <w:pStyle w:val="31"/>
        <w:numPr>
          <w:ilvl w:val="1"/>
          <w:numId w:val="2"/>
        </w:numPr>
        <w:spacing w:before="0" w:beforeLines="0"/>
        <w:ind w:left="0" w:firstLine="480" w:firstLineChars="200"/>
        <w:rPr>
          <w:color w:val="auto"/>
          <w:highlight w:val="none"/>
        </w:rPr>
      </w:pPr>
      <w:r>
        <w:rPr>
          <w:rFonts w:hint="eastAsia"/>
          <w:color w:val="auto"/>
          <w:highlight w:val="none"/>
        </w:rPr>
        <w:t>甲方有权在须支付乙方的任何一期款项中直接扣除或扣减任何乙方按本合同须支付或赔偿给甲方的任何款项；</w:t>
      </w:r>
      <w:r>
        <w:rPr>
          <w:rFonts w:hint="eastAsia"/>
          <w:color w:val="auto"/>
          <w:szCs w:val="24"/>
          <w:highlight w:val="none"/>
        </w:rPr>
        <w:t>若不足以抵扣的，乙方应在甲方通知之日起10个日历天内向甲方付清</w:t>
      </w:r>
      <w:r>
        <w:rPr>
          <w:rFonts w:hint="eastAsia"/>
          <w:color w:val="auto"/>
          <w:highlight w:val="none"/>
        </w:rPr>
        <w:t>。</w:t>
      </w:r>
    </w:p>
    <w:p>
      <w:pPr>
        <w:pStyle w:val="31"/>
        <w:numPr>
          <w:ilvl w:val="1"/>
          <w:numId w:val="2"/>
        </w:numPr>
        <w:spacing w:before="0" w:beforeLines="0"/>
        <w:ind w:left="0" w:firstLine="480" w:firstLineChars="200"/>
        <w:rPr>
          <w:color w:val="auto"/>
          <w:highlight w:val="none"/>
        </w:rPr>
      </w:pPr>
      <w:r>
        <w:rPr>
          <w:rFonts w:hint="eastAsia"/>
          <w:color w:val="auto"/>
          <w:highlight w:val="none"/>
        </w:rPr>
        <w:t>相对应的总承包配合服务费由甲方统一向总包支付。乙方无需再向总包支付总承包服务费。</w:t>
      </w:r>
    </w:p>
    <w:p>
      <w:pPr>
        <w:pStyle w:val="33"/>
        <w:numPr>
          <w:ilvl w:val="0"/>
          <w:numId w:val="2"/>
        </w:numPr>
        <w:spacing w:before="0" w:beforeLines="0"/>
        <w:ind w:left="351" w:hanging="351" w:hangingChars="125"/>
        <w:rPr>
          <w:color w:val="auto"/>
          <w:highlight w:val="none"/>
        </w:rPr>
      </w:pPr>
      <w:bookmarkStart w:id="3" w:name="_Toc126961315"/>
      <w:r>
        <w:rPr>
          <w:rFonts w:hint="eastAsia"/>
          <w:color w:val="auto"/>
          <w:highlight w:val="none"/>
        </w:rPr>
        <w:t>竣工结算</w:t>
      </w:r>
      <w:bookmarkEnd w:id="3"/>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4.1本合同可分期结算（具体分期以甲方书面通知为准）。</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4.2分期结算申请资料：</w:t>
      </w:r>
    </w:p>
    <w:p>
      <w:pPr>
        <w:ind w:firstLine="480" w:firstLineChars="200"/>
        <w:rPr>
          <w:color w:val="auto"/>
          <w:highlight w:val="none"/>
        </w:rPr>
      </w:pPr>
      <w:r>
        <w:rPr>
          <w:rFonts w:hint="eastAsia" w:ascii="楷体" w:hAnsi="楷体" w:eastAsia="楷体"/>
          <w:color w:val="auto"/>
          <w:sz w:val="24"/>
          <w:szCs w:val="24"/>
          <w:highlight w:val="none"/>
        </w:rPr>
        <w:t>乙方应于分期设备验收合格且完成移交后90天内向甲方提出结算申请，并提交以下结算资料</w:t>
      </w:r>
      <w:r>
        <w:rPr>
          <w:rFonts w:hint="eastAsia"/>
          <w:color w:val="auto"/>
          <w:highlight w:val="none"/>
        </w:rPr>
        <w:t>:</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（1）结算资料目录；</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（2）工程结算书，包括编制说明、结算汇总表、工程量清单计价表、结算金额与合同金额对比表及其差异分析及与结算相关的计价文件依据等；    </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（3）工程量计算书；</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（4）开工报告、竣工验收报告、竣工验收记录；</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（5）竣工结算授权委托书、竣工结算工作承诺书、工程结算申请报审表；</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（6）《材料设备收货单》、《材料设备领料单》、《材料设备进场验收单》和材料设备汇总表；</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（7）经甲方、造价咨询公司共同签名盖章确认的工程核价文件；（如有）</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（8）签证资料；（如有）</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（9）设计变更资料；（如有）</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（10）合同文件（含补充协议）；</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（11）竣工图纸，除须盖竣工图章外，还须有甲方工程安全部、承包单位、监理单位和设计院盖章；</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（12）财务对账单；</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（13）其他相关结算资料；</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以上资料需装订成册，按顺序编写连续页码，一正两副并提供U盘电子文件一份，工程量清单计价表中的工程量需与工程量计算书中的工程量做好链接。</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4.3 自本合同内容完成并在最后一个分期验收合格后，乙方应在验收之日起90天内上报完整、有效的结算书；甲方在收到乙方提交的结算书之日起90天内进行审核，给予确认或提出修改意见，并将审核结果通知乙方。乙方确认同意的，则甲方审定的价款为本工程的竣工结算价款的最终依据；如乙方不同意的，双方针对争议部分进行核对和协商；经核对协商不能解决的争议部分，按本合同关于争议的约定处理。甲方与乙方就结算问题进行的沟通、协商、确认仅为协商过程性的行为。除非甲方法定代表人签字并加盖甲方公章，任何形式的文件以及任何人的行为都不能视为甲方对本工程结算的认可。</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4.4结算审核</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乙方若对审核结果有异议的，应在收到通知后15天内与甲方积极协商，完成结算。</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4.5当实际工程量超出合同附件清单内的货物数量，且甲方认为合同附件清单中对应单价合理时，按合同附件清单内对应单价计结；若甲方认为合同附件清单中对应单价不合理时，乙方应重新进行报价，报甲方审核，则超出合同附件清单的货物数量按经甲方审批同意的单价结算。</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4.6当变更材料、设备型号、规格、功能配置或服务内容而需要相应调整合同价款，如合同附件清单中有相应单价且甲方认为是合理单价的，则按照相应单价执行；若合同附件清单中有相应单价但甲方认为是不合理单价的或合同附件清单中没有相应单价的，则乙方应重新进行报价，报甲方审核，则变更后的材料、设备按经甲方审批同意的单价结算。</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4.7 对于结算的其他约定：</w:t>
      </w:r>
    </w:p>
    <w:p>
      <w:pPr>
        <w:ind w:firstLine="482" w:firstLineChars="200"/>
        <w:rPr>
          <w:rFonts w:ascii="楷体" w:hAnsi="楷体" w:eastAsia="楷体"/>
          <w:b/>
          <w:color w:val="auto"/>
          <w:sz w:val="24"/>
          <w:szCs w:val="24"/>
          <w:highlight w:val="none"/>
        </w:rPr>
      </w:pPr>
      <w:r>
        <w:rPr>
          <w:rFonts w:hint="eastAsia" w:ascii="楷体" w:hAnsi="楷体" w:eastAsia="楷体"/>
          <w:b/>
          <w:color w:val="auto"/>
          <w:sz w:val="24"/>
          <w:szCs w:val="24"/>
          <w:highlight w:val="none"/>
        </w:rPr>
        <w:t>（1）在甲方与乙方就结算金额达成一致或生效裁判文书确定前，甲方对争议部分的支付义务不能确定，因此也无支付义务。只有在双方就结算金额达成一致或生效裁判文书确定甲方的支付义务后，甲方才有按照双方达成的一致或生效裁判文书支付结算款的义务，并在未按双方达成的一致或生效裁判文书确定的支付时间支付结算款时，才开始承担逾期支付的违约金或承担其他违约责任。</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（2）凡是涉及到工程造价增减的设计变更、工程签证均必须有甲方签字并盖章方为有效。</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（3）设计变更、工程签证及现场签证按照相应规定执行。</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（4）乙方违约金、水电费、赔偿金等相应扣款项，应扣未扣金额由甲方在应付结算价款中扣除。甲方凭收款收据及其他资料进行上述扣款。扣除部分不影响乙方应向甲方开具的发票数额。</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（5）按国家规定由乙方交纳的各种税收、劳动保险费及其他费用已包含在本工程造价内，由乙方负责向税收等部门交纳。</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（6）甲方与监理人收到乙方提交的竣工结算申请单，如经初步审核，资料不完善，乙方应在28天内补充完善并提交甲方审核，甲方审核开始时间从完整有效的结算资料收齐之日起计。</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（7）甲方复审竣工结算的，乙方应积极配合结算审核工作，因乙方提供资料不积极或者不准确、不完整造成的审核延误责任由乙方承担。最终结算金额以甲方书面确认为准。</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（8）本工程竣工结算方式为:</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竣工结算=竣工图（含设计变更）+签证+索赔+其他；</w:t>
      </w:r>
    </w:p>
    <w:p>
      <w:pPr>
        <w:ind w:firstLine="482" w:firstLineChars="200"/>
        <w:rPr>
          <w:rFonts w:ascii="楷体" w:hAnsi="楷体" w:eastAsia="楷体"/>
          <w:b/>
          <w:color w:val="auto"/>
          <w:sz w:val="24"/>
          <w:szCs w:val="24"/>
          <w:highlight w:val="none"/>
        </w:rPr>
      </w:pPr>
      <w:r>
        <w:rPr>
          <w:rFonts w:hint="eastAsia" w:ascii="楷体" w:hAnsi="楷体" w:eastAsia="楷体"/>
          <w:b/>
          <w:color w:val="auto"/>
          <w:sz w:val="24"/>
          <w:szCs w:val="24"/>
          <w:highlight w:val="none"/>
        </w:rPr>
        <w:t>乙方申报结算时不得高估冒算，乙方结算价超报率超过10%时，应承担结算超报违约责任，结算超报违约金计算原则如下：</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结算价超报率=（乙方结算送审造价－甲方结算审定价）/甲方结算审定价</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①乙方结算价超报率在10%（不含本数）~20%（含本数）时：</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违约金＝(乙方结算送审造价－甲方结算审定价×1.1)×5%。</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②乙方结算价超报率在20%以上时：</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违约金＝甲方结算审定价×0.1×5%+(乙方结算送审造价－甲方结算审定价×1.2)×10%。</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如果采用分期结算的，则各分期结算时按上述原则计算违约金，违约金在各分期结算款中扣除；最后一期结算时，计算总结算金额的违约金，取各分期结算累计超报违约金与总结算超报违约金之大值作为本合同工程的结算超报违约金。</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9）双方人员（甲方、乙方）应每次对数前都在工作签到表上签名，签到表应注明当天双方办理结算的具体工作时间、内容、范围等事项，作为双方到场办理结算的现场工作记录。双方结算人员办理结算对数时应友好合作，对经核对确认无异议的数据和资料应当共同签字确认。如有异议，应当场提出，当场核对，当场记录争议的具体内容。如乙方对所核对的数据和资料没有书面提出异议，又不签字认可，甲方可以单方签名并在经过双方核对的文件资料上注明具体情况，将当天工作签到表和核对后的资料寄发给乙方，该资料即作为双方共同对数后确认的结算资料。对于双方意见分歧的书面记录，经双方对数人员共同核对清楚并签字确认后，上报领导协商解决任何人员不得因意见分歧而发生争执、对骂，甚至侮辱、殴打对方。如发生上述事件，受害方有权向侵权方索赔，由侵权方承担一切法律责任。乙方在结算期间，不按照甲方要求的时间或期限与甲方对数的，或者经过双方共同对数但乙方不签字对数结果的，或者推翻经过双方共同确认的对数成果的，甲方办理结算的时间向后顺延，期间不须支付剩余货款，由乙方承担结算延误的违约责任。</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10）乙方延迟提供完整、有效的结算书的，每延迟1天，须向甲方支付500元/天的违约金。乙方拒不配合竣工结算的，甲方有权进行单面结算或委托第三方中介机构结算。结算结果送达乙方后15天内乙方未向甲方反馈结算书面确认信息的，视为乙方已默认并同意结算结果。该等情形下，乙方需向甲方支付签约合同价格的0.5%作为结算编制费用，同时应向甲方按签约合同价格的0.5%支付违约金，且甲方有权在应付乙方的价款中直接扣留该款项。</w:t>
      </w:r>
    </w:p>
    <w:p>
      <w:pPr>
        <w:pStyle w:val="33"/>
        <w:numPr>
          <w:ilvl w:val="0"/>
          <w:numId w:val="2"/>
        </w:numPr>
        <w:spacing w:before="0" w:beforeLines="0"/>
        <w:ind w:left="351" w:hanging="351" w:hangingChars="125"/>
        <w:rPr>
          <w:color w:val="auto"/>
          <w:highlight w:val="none"/>
        </w:rPr>
      </w:pPr>
      <w:bookmarkStart w:id="4" w:name="_Toc126961316"/>
      <w:r>
        <w:rPr>
          <w:rFonts w:hint="eastAsia"/>
          <w:color w:val="auto"/>
          <w:highlight w:val="none"/>
        </w:rPr>
        <w:t>供货计划</w:t>
      </w:r>
      <w:bookmarkEnd w:id="4"/>
    </w:p>
    <w:p>
      <w:pPr>
        <w:pStyle w:val="31"/>
        <w:numPr>
          <w:ilvl w:val="1"/>
          <w:numId w:val="2"/>
        </w:numPr>
        <w:spacing w:before="0" w:beforeLines="0"/>
        <w:ind w:left="0" w:firstLine="480" w:firstLineChars="200"/>
        <w:rPr>
          <w:rFonts w:hAnsi="宋体"/>
          <w:color w:val="auto"/>
          <w:szCs w:val="24"/>
          <w:highlight w:val="none"/>
        </w:rPr>
      </w:pPr>
      <w:r>
        <w:rPr>
          <w:rFonts w:hint="eastAsia" w:hAnsi="宋体"/>
          <w:color w:val="auto"/>
          <w:szCs w:val="24"/>
          <w:highlight w:val="none"/>
        </w:rPr>
        <w:t>本合同生效后</w:t>
      </w:r>
      <w:r>
        <w:rPr>
          <w:rFonts w:hint="eastAsia" w:hAnsi="宋体"/>
          <w:color w:val="auto"/>
          <w:szCs w:val="24"/>
          <w:highlight w:val="none"/>
          <w:u w:val="single"/>
        </w:rPr>
        <w:t>30</w:t>
      </w:r>
      <w:r>
        <w:rPr>
          <w:rFonts w:hint="eastAsia" w:hAnsi="宋体"/>
          <w:color w:val="auto"/>
          <w:szCs w:val="24"/>
          <w:highlight w:val="none"/>
        </w:rPr>
        <w:t>个日历天内，乙方应根据甲方要求制订电梯设备的排产计划和监造大纲（如需），并按监造大纲组织甲方到乙方工厂监造，甲方的差旅费用由甲方负责，乙方由此产生的费用由乙方负责。</w:t>
      </w:r>
    </w:p>
    <w:p>
      <w:pPr>
        <w:pStyle w:val="31"/>
        <w:numPr>
          <w:ilvl w:val="1"/>
          <w:numId w:val="2"/>
        </w:numPr>
        <w:spacing w:before="0" w:beforeLines="0"/>
        <w:ind w:left="0" w:firstLine="480" w:firstLineChars="200"/>
        <w:rPr>
          <w:rFonts w:hAnsi="宋体"/>
          <w:color w:val="auto"/>
          <w:szCs w:val="24"/>
          <w:highlight w:val="none"/>
        </w:rPr>
      </w:pPr>
      <w:r>
        <w:rPr>
          <w:rFonts w:hint="eastAsia"/>
          <w:color w:val="auto"/>
          <w:highlight w:val="none"/>
        </w:rPr>
        <w:t>本合同</w:t>
      </w:r>
      <w:r>
        <w:rPr>
          <w:rFonts w:hint="eastAsia" w:hAnsi="宋体"/>
          <w:color w:val="auto"/>
          <w:szCs w:val="24"/>
          <w:highlight w:val="none"/>
        </w:rPr>
        <w:t>生效</w:t>
      </w:r>
      <w:r>
        <w:rPr>
          <w:rFonts w:hint="eastAsia"/>
          <w:color w:val="auto"/>
          <w:highlight w:val="none"/>
        </w:rPr>
        <w:t>后</w:t>
      </w:r>
      <w:r>
        <w:rPr>
          <w:rFonts w:hint="eastAsia"/>
          <w:color w:val="auto"/>
          <w:highlight w:val="none"/>
          <w:u w:val="single"/>
        </w:rPr>
        <w:t>30</w:t>
      </w:r>
      <w:r>
        <w:rPr>
          <w:rFonts w:hint="eastAsia"/>
          <w:color w:val="auto"/>
          <w:highlight w:val="none"/>
        </w:rPr>
        <w:t>个日历天内，乙方应与甲方、本项目总承包人及电梯设备安装单位协调确定电梯设备的发货、到货时间，乙方的供货计划经甲方确定后，由甲方发出书面供货指令。除根据本合同第5.3条的规定外,乙方应按照甲方发出书面供货指令规定的期限将本合同项下全部电梯设备运到</w:t>
      </w:r>
      <w:r>
        <w:rPr>
          <w:rFonts w:hint="eastAsia"/>
          <w:color w:val="auto"/>
          <w:highlight w:val="none"/>
          <w:u w:val="single"/>
        </w:rPr>
        <w:t>佛山季华项目</w:t>
      </w:r>
      <w:r>
        <w:rPr>
          <w:rFonts w:hint="eastAsia"/>
          <w:color w:val="auto"/>
          <w:highlight w:val="none"/>
        </w:rPr>
        <w:t>工地现场（以下简称工地现场），搬运至甲方指定的具体位置，并交给电梯设备安装单位安装。</w:t>
      </w:r>
    </w:p>
    <w:p>
      <w:pPr>
        <w:pStyle w:val="31"/>
        <w:numPr>
          <w:ilvl w:val="1"/>
          <w:numId w:val="2"/>
        </w:numPr>
        <w:spacing w:before="0" w:beforeLines="0"/>
        <w:ind w:left="0" w:firstLine="480" w:firstLineChars="200"/>
        <w:rPr>
          <w:rFonts w:hAnsi="宋体"/>
          <w:color w:val="auto"/>
          <w:szCs w:val="24"/>
          <w:highlight w:val="none"/>
        </w:rPr>
      </w:pPr>
      <w:r>
        <w:rPr>
          <w:rFonts w:hint="eastAsia" w:hAnsi="宋体"/>
          <w:color w:val="auto"/>
          <w:szCs w:val="24"/>
          <w:highlight w:val="none"/>
        </w:rPr>
        <w:t>根据本</w:t>
      </w:r>
      <w:r>
        <w:rPr>
          <w:rFonts w:hint="eastAsia"/>
          <w:color w:val="auto"/>
          <w:highlight w:val="none"/>
        </w:rPr>
        <w:t>项目</w:t>
      </w:r>
      <w:r>
        <w:rPr>
          <w:rFonts w:hint="eastAsia" w:hAnsi="宋体"/>
          <w:color w:val="auto"/>
          <w:szCs w:val="24"/>
          <w:highlight w:val="none"/>
        </w:rPr>
        <w:t>的整体工程进度安排，甲方有权变更供货计划（提前或延期交货时间）或调整每次发货的电梯设备数量及发货、到货的时间，但须于乙方发货前</w:t>
      </w:r>
      <w:r>
        <w:rPr>
          <w:rFonts w:hint="eastAsia" w:hAnsi="宋体"/>
          <w:color w:val="auto"/>
          <w:szCs w:val="24"/>
          <w:highlight w:val="none"/>
          <w:u w:val="single"/>
        </w:rPr>
        <w:t>15</w:t>
      </w:r>
      <w:r>
        <w:rPr>
          <w:rFonts w:hint="eastAsia" w:hAnsi="宋体"/>
          <w:color w:val="auto"/>
          <w:szCs w:val="24"/>
          <w:highlight w:val="none"/>
        </w:rPr>
        <w:t>个日历天书面通知乙方；如甲方要求延期发货的，到货时间顺延，甲方要求提前发货的，到货时间相应提前；甲方变更供货计划的，乙方应按照甲方新的供货要求予以执行，本合同总价不因供货计划、发货、到货时间的调整而增加任何费用（甲乙双方就提前或延期货期签订补充协议或另行约定的除外）。</w:t>
      </w:r>
    </w:p>
    <w:p>
      <w:pPr>
        <w:pStyle w:val="31"/>
        <w:numPr>
          <w:ilvl w:val="1"/>
          <w:numId w:val="2"/>
        </w:numPr>
        <w:spacing w:before="0" w:beforeLines="0"/>
        <w:ind w:left="0" w:firstLine="480" w:firstLineChars="200"/>
        <w:rPr>
          <w:rFonts w:hAnsi="宋体"/>
          <w:color w:val="auto"/>
          <w:szCs w:val="24"/>
          <w:highlight w:val="none"/>
        </w:rPr>
      </w:pPr>
      <w:r>
        <w:rPr>
          <w:rFonts w:hint="eastAsia"/>
          <w:color w:val="auto"/>
          <w:highlight w:val="none"/>
        </w:rPr>
        <w:t>乙方如需将供货期提前，必须经甲方书面同意。未经甲方书面同意提前发货的，甲方有权拒收电梯设备，或给予堆放场地但不办理接收手续</w:t>
      </w:r>
      <w:r>
        <w:rPr>
          <w:rFonts w:hint="eastAsia"/>
          <w:color w:val="auto"/>
          <w:szCs w:val="21"/>
          <w:highlight w:val="none"/>
        </w:rPr>
        <w:t>，并且不承担电梯设备灭失、毁损的风险</w:t>
      </w:r>
      <w:r>
        <w:rPr>
          <w:rFonts w:hint="eastAsia"/>
          <w:color w:val="auto"/>
          <w:highlight w:val="none"/>
        </w:rPr>
        <w:t>，由此产生的费用由乙方自行承担。乙方如不能按计划供货，应立即书面通知甲方，同时提交新的供货计划。甲方如认为新的供货计划不能满足工程需要，有权解除本合同或指示乙方执行其他供货计划。解除本合同或按其他计划供货不免除乙方根据本合同应承担的违约责任。</w:t>
      </w:r>
    </w:p>
    <w:p>
      <w:pPr>
        <w:pStyle w:val="31"/>
        <w:numPr>
          <w:ilvl w:val="1"/>
          <w:numId w:val="2"/>
        </w:numPr>
        <w:spacing w:before="0" w:beforeLines="0"/>
        <w:ind w:left="0" w:firstLine="480" w:firstLineChars="200"/>
        <w:rPr>
          <w:rFonts w:hAnsi="宋体"/>
          <w:color w:val="auto"/>
          <w:szCs w:val="24"/>
          <w:highlight w:val="none"/>
        </w:rPr>
      </w:pPr>
      <w:r>
        <w:rPr>
          <w:rFonts w:hint="eastAsia"/>
          <w:color w:val="auto"/>
          <w:highlight w:val="none"/>
        </w:rPr>
        <w:t>每次发货前15个日历天，乙方应以书面形式通知甲方、总承包人及电梯设备安装单位发货具体时间、到货时间及拟发运电梯设备的数量及规格，并在约定的到货时间运送到甲方工地现场。</w:t>
      </w:r>
    </w:p>
    <w:p>
      <w:pPr>
        <w:pStyle w:val="33"/>
        <w:numPr>
          <w:ilvl w:val="0"/>
          <w:numId w:val="2"/>
        </w:numPr>
        <w:spacing w:before="0" w:beforeLines="0"/>
        <w:ind w:left="351" w:hanging="351" w:hangingChars="125"/>
        <w:rPr>
          <w:color w:val="auto"/>
          <w:highlight w:val="none"/>
        </w:rPr>
      </w:pPr>
      <w:bookmarkStart w:id="5" w:name="_Toc126961317"/>
      <w:r>
        <w:rPr>
          <w:rFonts w:hint="eastAsia"/>
          <w:color w:val="auto"/>
          <w:highlight w:val="none"/>
        </w:rPr>
        <w:t>建筑物与图纸</w:t>
      </w:r>
      <w:bookmarkEnd w:id="5"/>
      <w:r>
        <w:rPr>
          <w:rFonts w:hint="eastAsia"/>
          <w:color w:val="auto"/>
          <w:highlight w:val="none"/>
        </w:rPr>
        <w:t xml:space="preserve"> </w:t>
      </w:r>
    </w:p>
    <w:p>
      <w:pPr>
        <w:pStyle w:val="31"/>
        <w:numPr>
          <w:ilvl w:val="1"/>
          <w:numId w:val="2"/>
        </w:numPr>
        <w:spacing w:before="0" w:beforeLines="0"/>
        <w:ind w:left="0" w:firstLine="480" w:firstLineChars="200"/>
        <w:rPr>
          <w:color w:val="auto"/>
          <w:highlight w:val="none"/>
        </w:rPr>
      </w:pPr>
      <w:r>
        <w:rPr>
          <w:rFonts w:hint="eastAsia"/>
          <w:color w:val="auto"/>
          <w:highlight w:val="none"/>
        </w:rPr>
        <w:t>本合同</w:t>
      </w:r>
      <w:r>
        <w:rPr>
          <w:rFonts w:hint="eastAsia" w:hAnsi="宋体"/>
          <w:color w:val="auto"/>
          <w:szCs w:val="24"/>
          <w:highlight w:val="none"/>
        </w:rPr>
        <w:t>生效</w:t>
      </w:r>
      <w:r>
        <w:rPr>
          <w:rFonts w:hint="eastAsia"/>
          <w:color w:val="auto"/>
          <w:highlight w:val="none"/>
        </w:rPr>
        <w:t>之日起10个日历天内乙方应提供预埋孔、件的图纸及电梯设计图纸给甲方审核，并于收到甲方的审核意见后5个日历天内回复，如需修改图纸则于收到甲方审核意见后10个日历天内提供新修改图纸，乙方提供的电梯深化设计图纸（包括但不限于构造柱、圈梁的尺寸及定位）直至获得甲方最终书面确认后方可用于施工。</w:t>
      </w:r>
    </w:p>
    <w:p>
      <w:pPr>
        <w:pStyle w:val="31"/>
        <w:numPr>
          <w:ilvl w:val="1"/>
          <w:numId w:val="2"/>
        </w:numPr>
        <w:spacing w:before="0" w:beforeLines="0"/>
        <w:ind w:left="0" w:firstLine="480" w:firstLineChars="200"/>
        <w:rPr>
          <w:color w:val="auto"/>
          <w:highlight w:val="none"/>
        </w:rPr>
      </w:pPr>
      <w:r>
        <w:rPr>
          <w:rFonts w:hint="eastAsia"/>
          <w:color w:val="auto"/>
          <w:highlight w:val="none"/>
        </w:rPr>
        <w:t>乙方应根据总承包人按设计图纸和国家规范提供电梯井道的尺寸在供货前认真核实建筑物的实际井道尺寸及图纸所标明的尺寸，如发现两者尺寸不一致的，应立即向甲方提出，由甲方决定最终尺寸，在甲方确认前应暂停电梯设备的生产。乙方设计、生产的电梯设备与招标土建条件图标明的尺寸不符的，由乙方自费负责调整其电梯设备并满足安装和相关服务要求，并承担全部责任。</w:t>
      </w:r>
    </w:p>
    <w:p>
      <w:pPr>
        <w:pStyle w:val="33"/>
        <w:numPr>
          <w:ilvl w:val="0"/>
          <w:numId w:val="2"/>
        </w:numPr>
        <w:spacing w:before="0" w:beforeLines="0"/>
        <w:ind w:left="351" w:hanging="351" w:hangingChars="125"/>
        <w:rPr>
          <w:color w:val="auto"/>
          <w:highlight w:val="none"/>
        </w:rPr>
      </w:pPr>
      <w:bookmarkStart w:id="6" w:name="_Toc126961318"/>
      <w:r>
        <w:rPr>
          <w:rFonts w:hint="eastAsia"/>
          <w:color w:val="auto"/>
          <w:highlight w:val="none"/>
        </w:rPr>
        <w:t>包装、运输及保险</w:t>
      </w:r>
      <w:bookmarkEnd w:id="6"/>
    </w:p>
    <w:p>
      <w:pPr>
        <w:pStyle w:val="31"/>
        <w:numPr>
          <w:ilvl w:val="1"/>
          <w:numId w:val="2"/>
        </w:numPr>
        <w:spacing w:before="0" w:beforeLines="0"/>
        <w:ind w:left="0" w:firstLine="480" w:firstLineChars="200"/>
        <w:rPr>
          <w:rFonts w:hAnsi="宋体"/>
          <w:color w:val="auto"/>
          <w:szCs w:val="24"/>
          <w:highlight w:val="none"/>
        </w:rPr>
      </w:pPr>
      <w:r>
        <w:rPr>
          <w:rFonts w:hint="eastAsia" w:hAnsi="宋体"/>
          <w:color w:val="auto"/>
          <w:szCs w:val="24"/>
          <w:highlight w:val="none"/>
        </w:rPr>
        <w:t>电梯设备须用坚固的新木箱/纸箱包装，若为进口</w:t>
      </w:r>
      <w:r>
        <w:rPr>
          <w:rFonts w:hint="eastAsia"/>
          <w:color w:val="auto"/>
          <w:highlight w:val="none"/>
        </w:rPr>
        <w:t>电梯</w:t>
      </w:r>
      <w:r>
        <w:rPr>
          <w:rFonts w:hint="eastAsia" w:hAnsi="宋体"/>
          <w:color w:val="auto"/>
          <w:szCs w:val="24"/>
          <w:highlight w:val="none"/>
        </w:rPr>
        <w:t>设备，应符合中华人民共和国国家检验检疫标准及相关规定，适合长途运输、能有效防雨、防湿、防潮、防晒、防震、防锈、防爆、耐粗暴搬运。由于包装不良所发生的损失或由于采用不充分或不妥善的防护措施而造成的任何锈损，甲方有权拒绝</w:t>
      </w:r>
      <w:r>
        <w:rPr>
          <w:rFonts w:hint="eastAsia"/>
          <w:color w:val="auto"/>
          <w:highlight w:val="none"/>
        </w:rPr>
        <w:t>电梯</w:t>
      </w:r>
      <w:r>
        <w:rPr>
          <w:rFonts w:hint="eastAsia" w:hAnsi="宋体"/>
          <w:color w:val="auto"/>
          <w:szCs w:val="24"/>
          <w:highlight w:val="none"/>
        </w:rPr>
        <w:t>设备进场，乙方应负担由此而产生的一切费用和/或损失。</w:t>
      </w:r>
    </w:p>
    <w:p>
      <w:pPr>
        <w:pStyle w:val="31"/>
        <w:numPr>
          <w:ilvl w:val="1"/>
          <w:numId w:val="2"/>
        </w:numPr>
        <w:spacing w:before="0" w:beforeLines="0"/>
        <w:ind w:left="0" w:firstLine="480" w:firstLineChars="200"/>
        <w:rPr>
          <w:color w:val="auto"/>
          <w:highlight w:val="none"/>
        </w:rPr>
      </w:pPr>
      <w:r>
        <w:rPr>
          <w:rFonts w:hint="eastAsia" w:hAnsi="宋体"/>
          <w:color w:val="auto"/>
          <w:szCs w:val="24"/>
          <w:highlight w:val="none"/>
        </w:rPr>
        <w:t>乙方应在每件包装上，用不褪色油墨清楚标刷件号、尺码、毛重、净重、“此端向上”、“小心轻放”、“切勿受潮”等字样或标记，包装上并印有：</w:t>
      </w:r>
      <w:r>
        <w:rPr>
          <w:rFonts w:hint="eastAsia" w:hAnsi="宋体"/>
          <w:color w:val="auto"/>
          <w:szCs w:val="24"/>
          <w:highlight w:val="none"/>
          <w:u w:val="single"/>
        </w:rPr>
        <w:t>佛山粤海置地发展有限公司</w:t>
      </w:r>
      <w:r>
        <w:rPr>
          <w:rFonts w:hint="eastAsia" w:hAnsi="宋体"/>
          <w:color w:val="auto"/>
          <w:szCs w:val="24"/>
          <w:highlight w:val="none"/>
        </w:rPr>
        <w:t>。</w:t>
      </w:r>
    </w:p>
    <w:p>
      <w:pPr>
        <w:pStyle w:val="31"/>
        <w:numPr>
          <w:ilvl w:val="1"/>
          <w:numId w:val="2"/>
        </w:numPr>
        <w:spacing w:before="0" w:beforeLines="0"/>
        <w:ind w:left="0" w:firstLine="480" w:firstLineChars="200"/>
        <w:rPr>
          <w:rFonts w:hAnsi="宋体"/>
          <w:color w:val="auto"/>
          <w:szCs w:val="24"/>
          <w:highlight w:val="none"/>
        </w:rPr>
      </w:pPr>
      <w:r>
        <w:rPr>
          <w:rFonts w:hint="eastAsia" w:hAnsi="宋体"/>
          <w:color w:val="auto"/>
          <w:szCs w:val="24"/>
          <w:highlight w:val="none"/>
        </w:rPr>
        <w:t>运输方式由乙方自行确定，乙方负责所有电梯设备装修、运输、商检和报关手续等全部工作，并承担关税（若为进口设备）、装卸、运费、保险费、其他税费等相关的所有费用。</w:t>
      </w:r>
    </w:p>
    <w:p>
      <w:pPr>
        <w:pStyle w:val="33"/>
        <w:numPr>
          <w:ilvl w:val="0"/>
          <w:numId w:val="2"/>
        </w:numPr>
        <w:spacing w:before="0" w:beforeLines="0"/>
        <w:ind w:left="351" w:hanging="351" w:hangingChars="125"/>
        <w:rPr>
          <w:color w:val="auto"/>
          <w:highlight w:val="none"/>
        </w:rPr>
      </w:pPr>
      <w:bookmarkStart w:id="7" w:name="_Toc126961319"/>
      <w:r>
        <w:rPr>
          <w:rFonts w:hint="eastAsia"/>
          <w:color w:val="auto"/>
          <w:highlight w:val="none"/>
        </w:rPr>
        <w:t>到货及保管</w:t>
      </w:r>
      <w:bookmarkEnd w:id="7"/>
    </w:p>
    <w:p>
      <w:pPr>
        <w:pStyle w:val="31"/>
        <w:numPr>
          <w:ilvl w:val="1"/>
          <w:numId w:val="2"/>
        </w:numPr>
        <w:spacing w:before="0" w:beforeLines="0"/>
        <w:ind w:left="0" w:firstLine="480" w:firstLineChars="200"/>
        <w:rPr>
          <w:color w:val="auto"/>
          <w:highlight w:val="none"/>
        </w:rPr>
      </w:pPr>
      <w:r>
        <w:rPr>
          <w:rFonts w:hint="eastAsia"/>
          <w:color w:val="auto"/>
          <w:highlight w:val="none"/>
        </w:rPr>
        <w:t>乙方发货前应与总承包人协商各批次电梯设备到达工地现场后的停放和保管事宜，按总承包人的要求操作；如工地场地有限的，乙方应经甲方及总承包人同意后安排电梯设备分批到达。乙方未提前通知而影响电梯设备进场的全部责任由乙方承担。甲方可以协助乙方与总承包人协商电梯设备存放场地有关事宜。</w:t>
      </w:r>
    </w:p>
    <w:p>
      <w:pPr>
        <w:pStyle w:val="31"/>
        <w:numPr>
          <w:ilvl w:val="1"/>
          <w:numId w:val="2"/>
        </w:numPr>
        <w:spacing w:before="0" w:beforeLines="0"/>
        <w:ind w:left="0" w:firstLine="480" w:firstLineChars="200"/>
        <w:rPr>
          <w:rStyle w:val="22"/>
          <w:rFonts w:ascii="仿宋_GB2312" w:eastAsia="仿宋_GB2312"/>
          <w:color w:val="auto"/>
          <w:highlight w:val="none"/>
        </w:rPr>
      </w:pPr>
      <w:r>
        <w:rPr>
          <w:rFonts w:hint="eastAsia"/>
          <w:color w:val="auto"/>
          <w:highlight w:val="none"/>
        </w:rPr>
        <w:t>乙方的供货责任包括将货物卸车，搬运至甲方及总承包人指定地点。电梯设备的保管及相关费用、责任由乙方承担，乙方应对进场电梯设备进行妥善的包装、围蔽、保护等，此防护措施应包括在施工前，施工时及竣工后防止所有因为尘埃及湿气等之侵入而引致对绝缘及电源接触不良影响之方法防护措施，电梯毁损灭失的风险是在整个安装工程竣工验收合格、取得相关证照且交付甲方后才转移至甲方。除设备质量不合要求外，非经甲方书面同意，所有已进场电梯设备不能运出工地现场</w:t>
      </w:r>
      <w:r>
        <w:rPr>
          <w:rStyle w:val="22"/>
          <w:rFonts w:hint="eastAsia" w:ascii="仿宋_GB2312" w:eastAsia="仿宋_GB2312"/>
          <w:color w:val="auto"/>
          <w:highlight w:val="none"/>
        </w:rPr>
        <w:t>。</w:t>
      </w:r>
    </w:p>
    <w:p>
      <w:pPr>
        <w:pStyle w:val="31"/>
        <w:numPr>
          <w:ilvl w:val="1"/>
          <w:numId w:val="2"/>
        </w:numPr>
        <w:spacing w:before="0" w:beforeLines="0"/>
        <w:ind w:left="0" w:firstLine="480" w:firstLineChars="200"/>
        <w:rPr>
          <w:color w:val="auto"/>
          <w:highlight w:val="none"/>
        </w:rPr>
      </w:pPr>
      <w:r>
        <w:rPr>
          <w:rFonts w:hint="eastAsia"/>
          <w:color w:val="auto"/>
          <w:highlight w:val="none"/>
        </w:rPr>
        <w:t>电梯设备送达工地现场后，甲方要求开箱检查的，乙方应予以配合，但甲方的检查仅是对电梯设备外观或数量的初步查验，不视为电梯设备的验收交付，不减轻乙方按期交货责任及电梯设备质量责任。如发现电梯设备本身或其部件缺漏、损坏等，乙方应及时补齐，造成安装工期延误或其他损失的，由乙方承担全部责任。</w:t>
      </w:r>
    </w:p>
    <w:p>
      <w:pPr>
        <w:pStyle w:val="33"/>
        <w:numPr>
          <w:ilvl w:val="0"/>
          <w:numId w:val="2"/>
        </w:numPr>
        <w:spacing w:before="0" w:beforeLines="0"/>
        <w:ind w:left="351" w:hanging="351" w:hangingChars="125"/>
        <w:rPr>
          <w:color w:val="auto"/>
          <w:highlight w:val="none"/>
        </w:rPr>
      </w:pPr>
      <w:bookmarkStart w:id="8" w:name="_Toc126961320"/>
      <w:r>
        <w:rPr>
          <w:rFonts w:hint="eastAsia"/>
          <w:color w:val="auto"/>
          <w:highlight w:val="none"/>
        </w:rPr>
        <w:t>质量保证与技术标准</w:t>
      </w:r>
      <w:bookmarkEnd w:id="8"/>
    </w:p>
    <w:p>
      <w:pPr>
        <w:pStyle w:val="31"/>
        <w:numPr>
          <w:ilvl w:val="1"/>
          <w:numId w:val="2"/>
        </w:numPr>
        <w:spacing w:before="0" w:beforeLines="0"/>
        <w:ind w:left="0" w:firstLine="480" w:firstLineChars="200"/>
        <w:rPr>
          <w:color w:val="auto"/>
          <w:highlight w:val="none"/>
        </w:rPr>
      </w:pPr>
      <w:r>
        <w:rPr>
          <w:rFonts w:hint="eastAsia"/>
          <w:color w:val="auto"/>
          <w:highlight w:val="none"/>
        </w:rPr>
        <w:t>乙方应保证所提供的电梯设备及其配件均为全新的，技术优良、性能良好。在电梯设备制造、安装等方面全部符合原产地国及中华人民共和国有关电梯设备的现有国家及行业规范、标准及本合同及其附件的所有规定，符合甲方及其工程的使用要求、技术要求。乙方申请验收前，应提供厂家及甲方认可的质检机构出具的全部电梯设备整机及其主要零部件的质量合格报告，电梯设备性能指标应符合合同文件的规定。</w:t>
      </w:r>
    </w:p>
    <w:p>
      <w:pPr>
        <w:pStyle w:val="31"/>
        <w:numPr>
          <w:ilvl w:val="1"/>
          <w:numId w:val="2"/>
        </w:numPr>
        <w:spacing w:before="0" w:beforeLines="0"/>
        <w:ind w:left="0" w:firstLine="480" w:firstLineChars="200"/>
        <w:rPr>
          <w:color w:val="auto"/>
          <w:highlight w:val="none"/>
        </w:rPr>
      </w:pPr>
      <w:r>
        <w:rPr>
          <w:rFonts w:hint="eastAsia"/>
          <w:color w:val="auto"/>
          <w:highlight w:val="none"/>
        </w:rPr>
        <w:t>乙方保证全部电梯设备的主要部件在正常使用下的设计寿命不低于20年，电梯设备的主要部件包括并不限于如轿厢、导轨、曳引主机、制动装置、控制系统核心装置、驱动系统核心装置、微机电子板、门机、层门、轿门、对重、缓冲器、桁架、减速机、梯级、梯级链等。</w:t>
      </w:r>
    </w:p>
    <w:p>
      <w:pPr>
        <w:pStyle w:val="31"/>
        <w:numPr>
          <w:ilvl w:val="1"/>
          <w:numId w:val="2"/>
        </w:numPr>
        <w:spacing w:before="0" w:beforeLines="0"/>
        <w:ind w:left="0" w:firstLine="480" w:firstLineChars="200"/>
        <w:rPr>
          <w:color w:val="auto"/>
          <w:highlight w:val="none"/>
        </w:rPr>
      </w:pPr>
      <w:r>
        <w:rPr>
          <w:rFonts w:hint="eastAsia"/>
          <w:color w:val="auto"/>
          <w:highlight w:val="none"/>
        </w:rPr>
        <w:t xml:space="preserve">电梯设备应是由乙方自行生产（或是其国外母公司生产的）、使用品牌为原厂商标的先进的系统设计型设备。所有电梯设备主要部件须为本型号原设计的固定配置。 </w:t>
      </w:r>
    </w:p>
    <w:p>
      <w:pPr>
        <w:pStyle w:val="31"/>
        <w:numPr>
          <w:ilvl w:val="1"/>
          <w:numId w:val="2"/>
        </w:numPr>
        <w:spacing w:before="0" w:beforeLines="0"/>
        <w:ind w:left="0" w:firstLine="480" w:firstLineChars="200"/>
        <w:rPr>
          <w:color w:val="auto"/>
          <w:highlight w:val="none"/>
        </w:rPr>
      </w:pPr>
      <w:r>
        <w:rPr>
          <w:rFonts w:hint="eastAsia"/>
          <w:color w:val="auto"/>
          <w:highlight w:val="none"/>
        </w:rPr>
        <w:t>本合同电梯设备制造安装的测试检验的主要依据为本合同约定的标准（包括但不限于附件二）及中华人民共和国有关电梯设备的现行国家及行业规范标准，包括但不限于以下</w:t>
      </w:r>
      <w:r>
        <w:rPr>
          <w:rFonts w:hint="eastAsia"/>
          <w:b/>
          <w:color w:val="auto"/>
          <w:highlight w:val="none"/>
          <w:u w:val="single"/>
        </w:rPr>
        <w:t>（以国家公布的最新标准为准）</w:t>
      </w:r>
      <w:r>
        <w:rPr>
          <w:rFonts w:hint="eastAsia"/>
          <w:color w:val="auto"/>
          <w:highlight w:val="none"/>
        </w:rPr>
        <w:t>：</w:t>
      </w:r>
    </w:p>
    <w:p>
      <w:pPr>
        <w:pStyle w:val="31"/>
        <w:spacing w:before="0" w:beforeLines="0"/>
        <w:ind w:firstLine="480" w:firstLineChars="200"/>
        <w:rPr>
          <w:color w:val="auto"/>
          <w:highlight w:val="none"/>
        </w:rPr>
      </w:pPr>
      <w:r>
        <w:rPr>
          <w:rFonts w:hint="eastAsia"/>
          <w:color w:val="auto"/>
          <w:highlight w:val="none"/>
        </w:rPr>
        <w:t>《电梯技术条件》GB-T10058；</w:t>
      </w:r>
    </w:p>
    <w:p>
      <w:pPr>
        <w:pStyle w:val="31"/>
        <w:spacing w:before="0" w:beforeLines="0"/>
        <w:ind w:firstLine="480" w:firstLineChars="200"/>
        <w:rPr>
          <w:color w:val="auto"/>
          <w:highlight w:val="none"/>
        </w:rPr>
      </w:pPr>
      <w:r>
        <w:rPr>
          <w:rFonts w:hint="eastAsia"/>
          <w:color w:val="auto"/>
          <w:highlight w:val="none"/>
        </w:rPr>
        <w:t>《电梯制造与安装安全规范》GB7588；</w:t>
      </w:r>
    </w:p>
    <w:p>
      <w:pPr>
        <w:pStyle w:val="31"/>
        <w:spacing w:before="0" w:beforeLines="0"/>
        <w:ind w:firstLine="480" w:firstLineChars="200"/>
        <w:rPr>
          <w:color w:val="auto"/>
          <w:highlight w:val="none"/>
        </w:rPr>
      </w:pPr>
      <w:r>
        <w:rPr>
          <w:rFonts w:hint="eastAsia"/>
          <w:color w:val="auto"/>
          <w:highlight w:val="none"/>
        </w:rPr>
        <w:t>《电梯试验方法》GB-T10059；</w:t>
      </w:r>
    </w:p>
    <w:p>
      <w:pPr>
        <w:pStyle w:val="31"/>
        <w:spacing w:before="0" w:beforeLines="0"/>
        <w:ind w:firstLine="480" w:firstLineChars="200"/>
        <w:rPr>
          <w:color w:val="auto"/>
          <w:highlight w:val="none"/>
        </w:rPr>
      </w:pPr>
      <w:r>
        <w:rPr>
          <w:rFonts w:hint="eastAsia"/>
          <w:color w:val="auto"/>
          <w:highlight w:val="none"/>
        </w:rPr>
        <w:t>《电梯主要参数及轿厢、井道、机房的形式及尺寸》GB7025；</w:t>
      </w:r>
    </w:p>
    <w:p>
      <w:pPr>
        <w:pStyle w:val="31"/>
        <w:spacing w:before="0" w:beforeLines="0"/>
        <w:ind w:firstLine="480" w:firstLineChars="200"/>
        <w:rPr>
          <w:color w:val="auto"/>
          <w:highlight w:val="none"/>
        </w:rPr>
      </w:pPr>
      <w:r>
        <w:rPr>
          <w:rFonts w:hint="eastAsia"/>
          <w:color w:val="auto"/>
          <w:highlight w:val="none"/>
        </w:rPr>
        <w:t>《机械设备安装工程电梯电气装置施工及验收规范》GB50182；</w:t>
      </w:r>
    </w:p>
    <w:p>
      <w:pPr>
        <w:pStyle w:val="31"/>
        <w:spacing w:before="0" w:beforeLines="0"/>
        <w:ind w:firstLine="480" w:firstLineChars="200"/>
        <w:rPr>
          <w:color w:val="auto"/>
          <w:highlight w:val="none"/>
        </w:rPr>
      </w:pPr>
      <w:r>
        <w:rPr>
          <w:rFonts w:hint="eastAsia"/>
          <w:color w:val="auto"/>
          <w:highlight w:val="none"/>
        </w:rPr>
        <w:t>《电梯工程施工质量验收规范》GB-50310；</w:t>
      </w:r>
    </w:p>
    <w:p>
      <w:pPr>
        <w:pStyle w:val="31"/>
        <w:spacing w:before="0" w:beforeLines="0"/>
        <w:ind w:firstLine="480" w:firstLineChars="200"/>
        <w:rPr>
          <w:color w:val="auto"/>
          <w:highlight w:val="none"/>
        </w:rPr>
      </w:pPr>
      <w:r>
        <w:rPr>
          <w:rFonts w:hint="eastAsia"/>
          <w:color w:val="auto"/>
          <w:highlight w:val="none"/>
        </w:rPr>
        <w:t>《自动扶梯和自动人行道的制造与安装安全规范》GB16899；</w:t>
      </w:r>
    </w:p>
    <w:p>
      <w:pPr>
        <w:pStyle w:val="31"/>
        <w:spacing w:before="0" w:beforeLines="0"/>
        <w:ind w:firstLine="480" w:firstLineChars="200"/>
        <w:rPr>
          <w:color w:val="auto"/>
          <w:highlight w:val="none"/>
        </w:rPr>
      </w:pPr>
      <w:r>
        <w:rPr>
          <w:rFonts w:hint="eastAsia"/>
          <w:color w:val="auto"/>
          <w:highlight w:val="none"/>
        </w:rPr>
        <w:t>《消防电梯制造与安装安全规范》GB26465；</w:t>
      </w:r>
    </w:p>
    <w:p>
      <w:pPr>
        <w:pStyle w:val="31"/>
        <w:spacing w:before="0" w:beforeLines="0"/>
        <w:ind w:firstLine="480" w:firstLineChars="200"/>
        <w:rPr>
          <w:color w:val="auto"/>
          <w:highlight w:val="none"/>
        </w:rPr>
      </w:pPr>
      <w:r>
        <w:rPr>
          <w:rFonts w:hint="eastAsia"/>
          <w:color w:val="auto"/>
          <w:highlight w:val="none"/>
        </w:rPr>
        <w:t>其它与电梯设备有关的各项有关功能检验等标准规范。</w:t>
      </w:r>
    </w:p>
    <w:p>
      <w:pPr>
        <w:pStyle w:val="31"/>
        <w:spacing w:before="0" w:beforeLines="0"/>
        <w:ind w:firstLine="480" w:firstLineChars="200"/>
        <w:rPr>
          <w:color w:val="auto"/>
          <w:highlight w:val="none"/>
        </w:rPr>
      </w:pPr>
      <w:r>
        <w:rPr>
          <w:rFonts w:hint="eastAsia"/>
          <w:color w:val="auto"/>
          <w:highlight w:val="none"/>
        </w:rPr>
        <w:t>以上规范、标准及甲方的技术要求如有不一致的，乙方应向甲方提出要求澄清，除甲方另有指示外，均以较高较严者为准。</w:t>
      </w:r>
    </w:p>
    <w:p>
      <w:pPr>
        <w:pStyle w:val="31"/>
        <w:numPr>
          <w:ilvl w:val="1"/>
          <w:numId w:val="2"/>
        </w:numPr>
        <w:spacing w:before="0" w:beforeLines="0"/>
        <w:ind w:left="0" w:firstLine="480" w:firstLineChars="200"/>
        <w:rPr>
          <w:color w:val="auto"/>
          <w:highlight w:val="none"/>
        </w:rPr>
      </w:pPr>
      <w:r>
        <w:rPr>
          <w:rFonts w:hint="eastAsia"/>
          <w:color w:val="auto"/>
          <w:highlight w:val="none"/>
        </w:rPr>
        <w:t>本供货合同中所有电梯设备须完全满足招标技术要求及投标技术承诺。</w:t>
      </w:r>
    </w:p>
    <w:p>
      <w:pPr>
        <w:pStyle w:val="33"/>
        <w:numPr>
          <w:ilvl w:val="0"/>
          <w:numId w:val="2"/>
        </w:numPr>
        <w:spacing w:before="0" w:beforeLines="0"/>
        <w:ind w:left="351" w:hanging="351" w:hangingChars="125"/>
        <w:rPr>
          <w:color w:val="auto"/>
          <w:highlight w:val="none"/>
        </w:rPr>
      </w:pPr>
      <w:bookmarkStart w:id="9" w:name="_Toc126961321"/>
      <w:r>
        <w:rPr>
          <w:rFonts w:hint="eastAsia"/>
          <w:color w:val="auto"/>
          <w:highlight w:val="none"/>
        </w:rPr>
        <w:t>初步检验</w:t>
      </w:r>
      <w:bookmarkEnd w:id="9"/>
    </w:p>
    <w:p>
      <w:pPr>
        <w:pStyle w:val="31"/>
        <w:numPr>
          <w:ilvl w:val="1"/>
          <w:numId w:val="2"/>
        </w:numPr>
        <w:spacing w:before="0" w:beforeLines="0"/>
        <w:ind w:left="0" w:firstLine="480" w:firstLineChars="200"/>
        <w:rPr>
          <w:color w:val="auto"/>
          <w:highlight w:val="none"/>
        </w:rPr>
      </w:pPr>
      <w:r>
        <w:rPr>
          <w:rFonts w:hint="eastAsia"/>
          <w:color w:val="auto"/>
          <w:highlight w:val="none"/>
        </w:rPr>
        <w:t>在交货以前，乙方应就电梯设备的质量、规格、性能、数量／重量进行准确和全面的检验，并出具电梯设备与本合同规定相符的证明书，该证书为乙方要求支付货款的文件之一，但不得作为电梯设备的质量、规格、性能和数量／重量的最后验收凭证。乙方应将记载试验细节和结果的书面报告附在质量证明书内。</w:t>
      </w:r>
    </w:p>
    <w:p>
      <w:pPr>
        <w:pStyle w:val="31"/>
        <w:numPr>
          <w:ilvl w:val="1"/>
          <w:numId w:val="2"/>
        </w:numPr>
        <w:spacing w:before="0" w:beforeLines="0"/>
        <w:ind w:left="0" w:firstLine="480" w:firstLineChars="200"/>
        <w:rPr>
          <w:color w:val="auto"/>
          <w:highlight w:val="none"/>
        </w:rPr>
      </w:pPr>
      <w:r>
        <w:rPr>
          <w:rFonts w:hint="eastAsia"/>
          <w:color w:val="auto"/>
          <w:highlight w:val="none"/>
        </w:rPr>
        <w:t>电梯设备到达工地现场后，甲方与总承包单位、电梯设备安装单位对设备的规格和数量／重量进行初步检验，如发现到货的规格、数量／重量与合同不符，甲方有权要求乙方立即予以更换。</w:t>
      </w:r>
    </w:p>
    <w:p>
      <w:pPr>
        <w:pStyle w:val="31"/>
        <w:numPr>
          <w:ilvl w:val="1"/>
          <w:numId w:val="2"/>
        </w:numPr>
        <w:spacing w:before="0" w:beforeLines="0"/>
        <w:ind w:left="0" w:firstLine="480" w:firstLineChars="200"/>
        <w:rPr>
          <w:color w:val="auto"/>
          <w:highlight w:val="none"/>
        </w:rPr>
      </w:pPr>
      <w:r>
        <w:rPr>
          <w:rFonts w:hint="eastAsia"/>
          <w:color w:val="auto"/>
          <w:highlight w:val="none"/>
        </w:rPr>
        <w:t>甲方如发现电梯设备的质量及／或规格与本合同规定不符，或发现因任何原因引起的设备缺陷和质量问题，乙方应承担相关违约责任；双方就电梯设备的缺陷和质量问题有异议的，由双方认可的质检机构出具检验报告。检验合格的，检验费用由甲方承担，检验不合格的，检验费用由乙方承担。</w:t>
      </w:r>
    </w:p>
    <w:p>
      <w:pPr>
        <w:pStyle w:val="33"/>
        <w:numPr>
          <w:ilvl w:val="0"/>
          <w:numId w:val="2"/>
        </w:numPr>
        <w:spacing w:before="0" w:beforeLines="0"/>
        <w:ind w:left="351" w:hanging="351" w:hangingChars="125"/>
        <w:rPr>
          <w:color w:val="auto"/>
          <w:highlight w:val="none"/>
        </w:rPr>
      </w:pPr>
      <w:bookmarkStart w:id="10" w:name="_Toc126961322"/>
      <w:r>
        <w:rPr>
          <w:rFonts w:hint="eastAsia"/>
          <w:color w:val="auto"/>
          <w:highlight w:val="none"/>
        </w:rPr>
        <w:t>安装及验收交付</w:t>
      </w:r>
      <w:bookmarkEnd w:id="10"/>
    </w:p>
    <w:p>
      <w:pPr>
        <w:pStyle w:val="31"/>
        <w:numPr>
          <w:ilvl w:val="1"/>
          <w:numId w:val="2"/>
        </w:numPr>
        <w:spacing w:before="0" w:beforeLines="0"/>
        <w:ind w:left="0" w:firstLine="480" w:firstLineChars="200"/>
        <w:rPr>
          <w:color w:val="auto"/>
          <w:szCs w:val="24"/>
          <w:highlight w:val="none"/>
        </w:rPr>
      </w:pPr>
      <w:r>
        <w:rPr>
          <w:rFonts w:hint="eastAsia"/>
          <w:color w:val="auto"/>
          <w:szCs w:val="24"/>
          <w:highlight w:val="none"/>
          <w:u w:val="single"/>
        </w:rPr>
        <w:t xml:space="preserve">     </w:t>
      </w:r>
      <w:r>
        <w:rPr>
          <w:rFonts w:hint="eastAsia"/>
          <w:color w:val="auto"/>
          <w:szCs w:val="24"/>
          <w:highlight w:val="none"/>
        </w:rPr>
        <w:t>负责本合同项下电梯设备的安装。电梯安装工程合同由本项目的总承包单位与电梯设备安装单位签订，具体各方的权利义务约定见《佛山季华项目电梯安装工程合同》。</w:t>
      </w:r>
    </w:p>
    <w:p>
      <w:pPr>
        <w:pStyle w:val="31"/>
        <w:numPr>
          <w:ilvl w:val="1"/>
          <w:numId w:val="2"/>
        </w:numPr>
        <w:spacing w:before="0" w:beforeLines="0"/>
        <w:ind w:left="0" w:firstLine="480" w:firstLineChars="200"/>
        <w:rPr>
          <w:bCs/>
          <w:color w:val="auto"/>
          <w:szCs w:val="24"/>
          <w:highlight w:val="none"/>
        </w:rPr>
      </w:pPr>
      <w:r>
        <w:rPr>
          <w:rFonts w:hint="eastAsia"/>
          <w:bCs/>
          <w:color w:val="auto"/>
          <w:szCs w:val="24"/>
          <w:highlight w:val="none"/>
        </w:rPr>
        <w:t>电梯设备安装</w:t>
      </w:r>
      <w:r>
        <w:rPr>
          <w:rFonts w:hint="eastAsia"/>
          <w:color w:val="auto"/>
          <w:highlight w:val="none"/>
        </w:rPr>
        <w:t>期间</w:t>
      </w:r>
      <w:r>
        <w:rPr>
          <w:rFonts w:hint="eastAsia"/>
          <w:bCs/>
          <w:color w:val="auto"/>
          <w:szCs w:val="24"/>
          <w:highlight w:val="none"/>
        </w:rPr>
        <w:t>，乙方应派至少一名生产厂家的技术人员常驻现场，负责协调解决电梯设备安装过程中出现的问题及与电梯设备安装单位的沟通，以保证电梯设备安装的顺利进行。电梯设备安装期间，发现零部件有缺漏、毁损的，乙方应负责立即补足、更换。</w:t>
      </w:r>
    </w:p>
    <w:p>
      <w:pPr>
        <w:pStyle w:val="31"/>
        <w:numPr>
          <w:ilvl w:val="1"/>
          <w:numId w:val="2"/>
        </w:numPr>
        <w:spacing w:before="0" w:beforeLines="0"/>
        <w:ind w:left="0" w:firstLine="480" w:firstLineChars="200"/>
        <w:rPr>
          <w:color w:val="auto"/>
          <w:highlight w:val="none"/>
        </w:rPr>
      </w:pPr>
      <w:r>
        <w:rPr>
          <w:rFonts w:hint="eastAsia"/>
          <w:color w:val="auto"/>
          <w:highlight w:val="none"/>
        </w:rPr>
        <w:t>所有电梯安装、调试、测试、检验完毕后</w:t>
      </w:r>
      <w:r>
        <w:rPr>
          <w:rFonts w:hint="eastAsia"/>
          <w:color w:val="auto"/>
          <w:szCs w:val="22"/>
          <w:highlight w:val="none"/>
        </w:rPr>
        <w:t>7个日历天内</w:t>
      </w:r>
      <w:r>
        <w:rPr>
          <w:rFonts w:hint="eastAsia"/>
          <w:color w:val="auto"/>
          <w:highlight w:val="none"/>
        </w:rPr>
        <w:t>，乙方负责协调及配合电梯安装单位向有资质的电梯检测机构申请验收工作，取得检验合格报告书、安全检验合格证后7个日历天内，向工程所在地质量技术监督局申请电梯设备使用登记证，取得电梯设备使用登记证后7</w:t>
      </w:r>
      <w:r>
        <w:rPr>
          <w:rFonts w:hint="eastAsia"/>
          <w:color w:val="auto"/>
          <w:szCs w:val="22"/>
          <w:highlight w:val="none"/>
        </w:rPr>
        <w:t>个日历天</w:t>
      </w:r>
      <w:r>
        <w:rPr>
          <w:rFonts w:hint="eastAsia"/>
          <w:color w:val="auto"/>
          <w:highlight w:val="none"/>
        </w:rPr>
        <w:t>内向甲方申请竣工验收，经甲方最终验收合格后，并将全部电梯设备及竣工资料(含保养手册)交付给甲方。</w:t>
      </w:r>
    </w:p>
    <w:p>
      <w:pPr>
        <w:pStyle w:val="31"/>
        <w:numPr>
          <w:ilvl w:val="1"/>
          <w:numId w:val="2"/>
        </w:numPr>
        <w:spacing w:before="0" w:beforeLines="0"/>
        <w:ind w:left="0" w:firstLine="480" w:firstLineChars="200"/>
        <w:rPr>
          <w:color w:val="auto"/>
          <w:highlight w:val="none"/>
        </w:rPr>
      </w:pPr>
      <w:r>
        <w:rPr>
          <w:rFonts w:hint="eastAsia"/>
          <w:color w:val="auto"/>
          <w:highlight w:val="none"/>
        </w:rPr>
        <w:t>本合同项下电梯设备交付指：全部电梯设备安装、调试、测试、检验完毕，并取得检验合格报告书、安全检验合格证以及电梯设备使用登记证，符合附件二要求且本项目整体工程交付甲方使用。交付日期以双方签署书面交付文件为准。电梯设备交付甲方之前毁损、灭失风险由乙方承担，甲方概不负责，电梯设备交付后的毁损、灭失等风险转移给甲方。</w:t>
      </w:r>
    </w:p>
    <w:p>
      <w:pPr>
        <w:pStyle w:val="31"/>
        <w:numPr>
          <w:ilvl w:val="1"/>
          <w:numId w:val="2"/>
        </w:numPr>
        <w:spacing w:before="0" w:beforeLines="0"/>
        <w:ind w:left="0" w:firstLine="480" w:firstLineChars="200"/>
        <w:rPr>
          <w:color w:val="auto"/>
          <w:highlight w:val="none"/>
        </w:rPr>
      </w:pPr>
      <w:r>
        <w:rPr>
          <w:rFonts w:hint="eastAsia"/>
          <w:color w:val="auto"/>
          <w:szCs w:val="24"/>
          <w:highlight w:val="none"/>
        </w:rPr>
        <w:t>乙方应于本工程验收合格后或合同解除后15个日历天内</w:t>
      </w:r>
      <w:r>
        <w:rPr>
          <w:rFonts w:hint="eastAsia"/>
          <w:color w:val="auto"/>
          <w:highlight w:val="none"/>
        </w:rPr>
        <w:t>自费拆除、搬离不合格的全部电梯设备、并</w:t>
      </w:r>
      <w:r>
        <w:rPr>
          <w:rFonts w:hint="eastAsia"/>
          <w:color w:val="auto"/>
          <w:szCs w:val="24"/>
          <w:highlight w:val="none"/>
        </w:rPr>
        <w:t>将场地清理干净，从施工场地搬走或清除其设备、材料、垃圾等，保持现场和工程清洁整齐，撤离现场。</w:t>
      </w:r>
    </w:p>
    <w:p>
      <w:pPr>
        <w:pStyle w:val="33"/>
        <w:numPr>
          <w:ilvl w:val="0"/>
          <w:numId w:val="2"/>
        </w:numPr>
        <w:spacing w:before="0" w:beforeLines="0"/>
        <w:ind w:left="351" w:hanging="351" w:hangingChars="125"/>
        <w:rPr>
          <w:color w:val="auto"/>
          <w:highlight w:val="none"/>
        </w:rPr>
      </w:pPr>
      <w:bookmarkStart w:id="11" w:name="_Toc126961323"/>
      <w:r>
        <w:rPr>
          <w:rFonts w:hint="eastAsia"/>
          <w:color w:val="auto"/>
          <w:highlight w:val="none"/>
        </w:rPr>
        <w:t>技术文件竣工资料</w:t>
      </w:r>
      <w:bookmarkEnd w:id="11"/>
    </w:p>
    <w:p>
      <w:pPr>
        <w:pStyle w:val="31"/>
        <w:numPr>
          <w:ilvl w:val="1"/>
          <w:numId w:val="2"/>
        </w:numPr>
        <w:spacing w:before="0" w:beforeLines="0"/>
        <w:ind w:left="0" w:firstLine="480" w:firstLineChars="200"/>
        <w:rPr>
          <w:color w:val="auto"/>
          <w:highlight w:val="none"/>
        </w:rPr>
      </w:pPr>
      <w:r>
        <w:rPr>
          <w:rFonts w:hint="eastAsia"/>
          <w:color w:val="auto"/>
          <w:highlight w:val="none"/>
        </w:rPr>
        <w:t>电梯</w:t>
      </w:r>
      <w:r>
        <w:rPr>
          <w:rFonts w:hint="eastAsia" w:hAnsi="宋体"/>
          <w:color w:val="auto"/>
          <w:szCs w:val="24"/>
          <w:highlight w:val="none"/>
        </w:rPr>
        <w:t>设备送达工地现场时，</w:t>
      </w:r>
      <w:r>
        <w:rPr>
          <w:rFonts w:hint="eastAsia"/>
          <w:color w:val="auto"/>
          <w:highlight w:val="none"/>
        </w:rPr>
        <w:t>乙方应将下述中文技术资料（一套）与电梯设备一起装箱，运交甲方:</w:t>
      </w:r>
    </w:p>
    <w:p>
      <w:pPr>
        <w:pStyle w:val="31"/>
        <w:spacing w:before="0" w:beforeLines="0"/>
        <w:ind w:left="567"/>
        <w:rPr>
          <w:rFonts w:hAnsi="宋体"/>
          <w:color w:val="auto"/>
          <w:szCs w:val="24"/>
          <w:highlight w:val="none"/>
        </w:rPr>
      </w:pPr>
      <w:r>
        <w:rPr>
          <w:rFonts w:hint="eastAsia" w:hAnsi="宋体"/>
          <w:color w:val="auto"/>
          <w:szCs w:val="24"/>
          <w:highlight w:val="none"/>
        </w:rPr>
        <w:t>（1）详细供货清单；</w:t>
      </w:r>
    </w:p>
    <w:p>
      <w:pPr>
        <w:pStyle w:val="31"/>
        <w:spacing w:before="0" w:beforeLines="0"/>
        <w:ind w:left="567"/>
        <w:rPr>
          <w:rFonts w:hAnsi="宋体"/>
          <w:color w:val="auto"/>
          <w:spacing w:val="20"/>
          <w:szCs w:val="24"/>
          <w:highlight w:val="none"/>
        </w:rPr>
      </w:pPr>
      <w:r>
        <w:rPr>
          <w:rFonts w:hint="eastAsia" w:hAnsi="宋体"/>
          <w:color w:val="auto"/>
          <w:szCs w:val="24"/>
          <w:highlight w:val="none"/>
        </w:rPr>
        <w:t>（2）已缴交电梯设备进口关税的凭证复印件</w:t>
      </w:r>
      <w:r>
        <w:rPr>
          <w:rFonts w:hint="eastAsia" w:hAnsi="宋体"/>
          <w:color w:val="auto"/>
          <w:spacing w:val="20"/>
          <w:szCs w:val="24"/>
          <w:highlight w:val="none"/>
        </w:rPr>
        <w:t>、海关报关单复印件</w:t>
      </w:r>
      <w:r>
        <w:rPr>
          <w:rFonts w:hint="eastAsia" w:ascii="宋体" w:hAnsi="宋体" w:eastAsia="宋体" w:cs="宋体"/>
          <w:color w:val="auto"/>
          <w:spacing w:val="20"/>
          <w:szCs w:val="24"/>
          <w:highlight w:val="none"/>
        </w:rPr>
        <w:t>﹑</w:t>
      </w:r>
      <w:r>
        <w:rPr>
          <w:rFonts w:hint="eastAsia" w:hAnsi="宋体"/>
          <w:color w:val="auto"/>
          <w:spacing w:val="20"/>
          <w:szCs w:val="24"/>
          <w:highlight w:val="none"/>
        </w:rPr>
        <w:t>商检单据(若为进口</w:t>
      </w:r>
      <w:r>
        <w:rPr>
          <w:rFonts w:hint="eastAsia"/>
          <w:color w:val="auto"/>
          <w:highlight w:val="none"/>
        </w:rPr>
        <w:t>电梯</w:t>
      </w:r>
      <w:r>
        <w:rPr>
          <w:rFonts w:hint="eastAsia" w:hAnsi="宋体"/>
          <w:color w:val="auto"/>
          <w:spacing w:val="20"/>
          <w:szCs w:val="24"/>
          <w:highlight w:val="none"/>
        </w:rPr>
        <w:t>设备或零部件)，甲方有权查实原件；</w:t>
      </w:r>
    </w:p>
    <w:p>
      <w:pPr>
        <w:pStyle w:val="31"/>
        <w:spacing w:before="0" w:beforeLines="0"/>
        <w:ind w:left="567"/>
        <w:rPr>
          <w:rFonts w:hAnsi="宋体"/>
          <w:color w:val="auto"/>
          <w:szCs w:val="24"/>
          <w:highlight w:val="none"/>
        </w:rPr>
      </w:pPr>
      <w:r>
        <w:rPr>
          <w:rFonts w:hint="eastAsia" w:hAnsi="宋体"/>
          <w:color w:val="auto"/>
          <w:szCs w:val="24"/>
          <w:highlight w:val="none"/>
        </w:rPr>
        <w:t>（3）电梯设备出厂合格证、保修卡；</w:t>
      </w:r>
    </w:p>
    <w:p>
      <w:pPr>
        <w:pStyle w:val="31"/>
        <w:spacing w:before="0" w:beforeLines="0"/>
        <w:ind w:left="567"/>
        <w:rPr>
          <w:rFonts w:hAnsi="宋体"/>
          <w:color w:val="auto"/>
          <w:szCs w:val="24"/>
          <w:highlight w:val="none"/>
        </w:rPr>
      </w:pPr>
      <w:r>
        <w:rPr>
          <w:rFonts w:hint="eastAsia" w:hAnsi="宋体"/>
          <w:color w:val="auto"/>
          <w:szCs w:val="24"/>
          <w:highlight w:val="none"/>
        </w:rPr>
        <w:t>（4）由生产国商会出具的原产地证明书、</w:t>
      </w:r>
      <w:r>
        <w:rPr>
          <w:rFonts w:hint="eastAsia"/>
          <w:color w:val="auto"/>
          <w:highlight w:val="none"/>
        </w:rPr>
        <w:t>品质证明书；</w:t>
      </w:r>
    </w:p>
    <w:p>
      <w:pPr>
        <w:pStyle w:val="31"/>
        <w:spacing w:before="0" w:beforeLines="0"/>
        <w:ind w:left="567"/>
        <w:rPr>
          <w:rFonts w:hAnsi="宋体"/>
          <w:color w:val="auto"/>
          <w:szCs w:val="24"/>
          <w:highlight w:val="none"/>
        </w:rPr>
      </w:pPr>
      <w:r>
        <w:rPr>
          <w:rFonts w:hint="eastAsia" w:hAnsi="宋体"/>
          <w:color w:val="auto"/>
          <w:szCs w:val="24"/>
          <w:highlight w:val="none"/>
        </w:rPr>
        <w:t>（5）电梯设备配置证明文件；</w:t>
      </w:r>
    </w:p>
    <w:p>
      <w:pPr>
        <w:pStyle w:val="31"/>
        <w:spacing w:before="0" w:beforeLines="0"/>
        <w:ind w:left="567"/>
        <w:rPr>
          <w:color w:val="auto"/>
          <w:highlight w:val="none"/>
        </w:rPr>
      </w:pPr>
      <w:r>
        <w:rPr>
          <w:rFonts w:hint="eastAsia" w:hAnsi="宋体"/>
          <w:color w:val="auto"/>
          <w:szCs w:val="24"/>
          <w:highlight w:val="none"/>
        </w:rPr>
        <w:t>（6）电梯设备主要部件如发动机、限速器、安全钳、门锁装置、缓冲器等部件至少包含型式试验报告在内的鉴定检测报告等；</w:t>
      </w:r>
    </w:p>
    <w:p>
      <w:pPr>
        <w:pStyle w:val="31"/>
        <w:spacing w:before="0" w:beforeLines="0"/>
        <w:ind w:left="567"/>
        <w:rPr>
          <w:color w:val="auto"/>
          <w:highlight w:val="none"/>
        </w:rPr>
      </w:pPr>
      <w:r>
        <w:rPr>
          <w:rFonts w:hint="eastAsia"/>
          <w:color w:val="auto"/>
          <w:highlight w:val="none"/>
        </w:rPr>
        <w:t>（7）安装示意图；</w:t>
      </w:r>
    </w:p>
    <w:p>
      <w:pPr>
        <w:pStyle w:val="31"/>
        <w:spacing w:before="0" w:beforeLines="0"/>
        <w:ind w:left="567"/>
        <w:rPr>
          <w:color w:val="auto"/>
          <w:highlight w:val="none"/>
        </w:rPr>
      </w:pPr>
      <w:r>
        <w:rPr>
          <w:rFonts w:hint="eastAsia"/>
          <w:color w:val="auto"/>
          <w:highlight w:val="none"/>
        </w:rPr>
        <w:t>（8）布线说明，电气及／或气动及／或液压接线图；</w:t>
      </w:r>
    </w:p>
    <w:p>
      <w:pPr>
        <w:pStyle w:val="31"/>
        <w:spacing w:before="0" w:beforeLines="0"/>
        <w:ind w:left="567"/>
        <w:rPr>
          <w:color w:val="auto"/>
          <w:highlight w:val="none"/>
        </w:rPr>
      </w:pPr>
      <w:r>
        <w:rPr>
          <w:rFonts w:hint="eastAsia"/>
          <w:color w:val="auto"/>
          <w:highlight w:val="none"/>
        </w:rPr>
        <w:t>（9）电梯设备导轨、基础相关受力数据。</w:t>
      </w:r>
    </w:p>
    <w:p>
      <w:pPr>
        <w:pStyle w:val="31"/>
        <w:numPr>
          <w:ilvl w:val="1"/>
          <w:numId w:val="2"/>
        </w:numPr>
        <w:spacing w:before="0" w:beforeLines="0"/>
        <w:ind w:left="0" w:firstLine="480" w:firstLineChars="200"/>
        <w:rPr>
          <w:color w:val="auto"/>
          <w:highlight w:val="none"/>
        </w:rPr>
      </w:pPr>
      <w:r>
        <w:rPr>
          <w:rFonts w:hint="eastAsia"/>
          <w:color w:val="auto"/>
          <w:highlight w:val="none"/>
        </w:rPr>
        <w:t>在电梯设备验收交付时，乙方应向甲方提供以下中文技术文件及竣工资料（发货时已提交的除外）纸质版两份及不加密电子版两份，并保证其正确性、真实性与完整性。</w:t>
      </w:r>
    </w:p>
    <w:p>
      <w:pPr>
        <w:pStyle w:val="31"/>
        <w:spacing w:before="0" w:beforeLines="0"/>
        <w:ind w:firstLine="480" w:firstLineChars="200"/>
        <w:rPr>
          <w:color w:val="auto"/>
          <w:highlight w:val="none"/>
        </w:rPr>
      </w:pPr>
      <w:r>
        <w:rPr>
          <w:rFonts w:hint="eastAsia"/>
          <w:color w:val="auto"/>
          <w:highlight w:val="none"/>
        </w:rPr>
        <w:t>（1）电梯设备的制造、安装、调试标准及规范；</w:t>
      </w:r>
    </w:p>
    <w:p>
      <w:pPr>
        <w:pStyle w:val="31"/>
        <w:spacing w:before="0" w:beforeLines="0"/>
        <w:ind w:firstLine="480" w:firstLineChars="200"/>
        <w:rPr>
          <w:color w:val="auto"/>
          <w:highlight w:val="none"/>
        </w:rPr>
      </w:pPr>
      <w:r>
        <w:rPr>
          <w:rFonts w:hint="eastAsia"/>
          <w:color w:val="auto"/>
          <w:highlight w:val="none"/>
        </w:rPr>
        <w:t>（2）电梯设备的制造、安装、调试说明书；</w:t>
      </w:r>
    </w:p>
    <w:p>
      <w:pPr>
        <w:pStyle w:val="31"/>
        <w:spacing w:before="0" w:beforeLines="0"/>
        <w:ind w:firstLine="480" w:firstLineChars="200"/>
        <w:rPr>
          <w:color w:val="auto"/>
          <w:highlight w:val="none"/>
        </w:rPr>
      </w:pPr>
      <w:r>
        <w:rPr>
          <w:rFonts w:hint="eastAsia"/>
          <w:color w:val="auto"/>
          <w:highlight w:val="none"/>
        </w:rPr>
        <w:t>（3）电梯设备机房、井道和轿厢平面布置及电梯设备基础图；</w:t>
      </w:r>
    </w:p>
    <w:p>
      <w:pPr>
        <w:pStyle w:val="31"/>
        <w:spacing w:before="0" w:beforeLines="0"/>
        <w:ind w:firstLine="480" w:firstLineChars="200"/>
        <w:rPr>
          <w:color w:val="auto"/>
          <w:highlight w:val="none"/>
        </w:rPr>
      </w:pPr>
      <w:r>
        <w:rPr>
          <w:rFonts w:hint="eastAsia"/>
          <w:color w:val="auto"/>
          <w:highlight w:val="none"/>
        </w:rPr>
        <w:t>（4）电梯设备电气接线图、符号说明及电气控制原理说明书、动力传动系统原理图；</w:t>
      </w:r>
    </w:p>
    <w:p>
      <w:pPr>
        <w:pStyle w:val="31"/>
        <w:spacing w:before="0" w:beforeLines="0"/>
        <w:ind w:firstLine="480" w:firstLineChars="200"/>
        <w:rPr>
          <w:color w:val="auto"/>
          <w:highlight w:val="none"/>
        </w:rPr>
      </w:pPr>
      <w:r>
        <w:rPr>
          <w:rFonts w:hint="eastAsia"/>
          <w:color w:val="auto"/>
          <w:highlight w:val="none"/>
        </w:rPr>
        <w:t>（6）电梯设备部件安装图；</w:t>
      </w:r>
    </w:p>
    <w:p>
      <w:pPr>
        <w:pStyle w:val="31"/>
        <w:spacing w:before="0" w:beforeLines="0"/>
        <w:ind w:firstLine="480" w:firstLineChars="200"/>
        <w:rPr>
          <w:color w:val="auto"/>
          <w:highlight w:val="none"/>
        </w:rPr>
      </w:pPr>
      <w:r>
        <w:rPr>
          <w:rFonts w:hint="eastAsia"/>
          <w:color w:val="auto"/>
          <w:highlight w:val="none"/>
        </w:rPr>
        <w:t>（7）电梯设备检验合格报告书、安全检验合格证及电梯设备使用登记证；</w:t>
      </w:r>
    </w:p>
    <w:p>
      <w:pPr>
        <w:pStyle w:val="31"/>
        <w:spacing w:before="0" w:beforeLines="0"/>
        <w:ind w:firstLine="480" w:firstLineChars="200"/>
        <w:rPr>
          <w:color w:val="auto"/>
          <w:highlight w:val="none"/>
        </w:rPr>
      </w:pPr>
      <w:r>
        <w:rPr>
          <w:rFonts w:hint="eastAsia"/>
          <w:color w:val="auto"/>
          <w:highlight w:val="none"/>
        </w:rPr>
        <w:t>（8）电梯设备的操作维护手册和维修说明书，包括但不限于以下内容：</w:t>
      </w:r>
    </w:p>
    <w:p>
      <w:pPr>
        <w:pStyle w:val="31"/>
        <w:spacing w:before="0" w:beforeLines="0"/>
        <w:ind w:firstLine="480" w:firstLineChars="200"/>
        <w:rPr>
          <w:rFonts w:hAnsi="宋体"/>
          <w:color w:val="auto"/>
          <w:szCs w:val="24"/>
          <w:highlight w:val="none"/>
        </w:rPr>
      </w:pPr>
      <w:r>
        <w:rPr>
          <w:rFonts w:hint="eastAsia" w:hAnsi="宋体"/>
          <w:color w:val="auto"/>
          <w:szCs w:val="24"/>
          <w:highlight w:val="none"/>
        </w:rPr>
        <w:t>A. 厂家名称、地址、联系人及电话, 代理商的名称、地址、联系人及电话、报障联系方式；</w:t>
      </w:r>
    </w:p>
    <w:p>
      <w:pPr>
        <w:pStyle w:val="31"/>
        <w:spacing w:before="0" w:beforeLines="0"/>
        <w:ind w:firstLine="480" w:firstLineChars="200"/>
        <w:rPr>
          <w:rFonts w:hAnsi="宋体"/>
          <w:color w:val="auto"/>
          <w:szCs w:val="24"/>
          <w:highlight w:val="none"/>
        </w:rPr>
      </w:pPr>
      <w:r>
        <w:rPr>
          <w:rFonts w:hint="eastAsia" w:hAnsi="宋体"/>
          <w:color w:val="auto"/>
          <w:szCs w:val="24"/>
          <w:highlight w:val="none"/>
        </w:rPr>
        <w:t>B. 安装说明、局部更换及修补方法；</w:t>
      </w:r>
    </w:p>
    <w:p>
      <w:pPr>
        <w:pStyle w:val="31"/>
        <w:spacing w:before="0" w:beforeLines="0"/>
        <w:ind w:firstLine="480" w:firstLineChars="200"/>
        <w:rPr>
          <w:rFonts w:hAnsi="宋体"/>
          <w:color w:val="auto"/>
          <w:szCs w:val="24"/>
          <w:highlight w:val="none"/>
        </w:rPr>
      </w:pPr>
      <w:r>
        <w:rPr>
          <w:rFonts w:hint="eastAsia" w:hAnsi="宋体"/>
          <w:color w:val="auto"/>
          <w:szCs w:val="24"/>
          <w:highlight w:val="none"/>
        </w:rPr>
        <w:t>C. 主要设备及配件的明细资料；</w:t>
      </w:r>
    </w:p>
    <w:p>
      <w:pPr>
        <w:pStyle w:val="31"/>
        <w:spacing w:before="0" w:beforeLines="0"/>
        <w:ind w:firstLine="480" w:firstLineChars="200"/>
        <w:rPr>
          <w:rFonts w:hAnsi="宋体"/>
          <w:color w:val="auto"/>
          <w:szCs w:val="24"/>
          <w:highlight w:val="none"/>
        </w:rPr>
      </w:pPr>
      <w:r>
        <w:rPr>
          <w:rFonts w:hint="eastAsia" w:hAnsi="宋体"/>
          <w:color w:val="auto"/>
          <w:szCs w:val="24"/>
          <w:highlight w:val="none"/>
        </w:rPr>
        <w:t>D. 系统操作程序指示（包括任何自动控制系统的详细数据）；</w:t>
      </w:r>
    </w:p>
    <w:p>
      <w:pPr>
        <w:pStyle w:val="31"/>
        <w:spacing w:before="0" w:beforeLines="0"/>
        <w:ind w:firstLine="480" w:firstLineChars="200"/>
        <w:rPr>
          <w:rFonts w:hAnsi="宋体"/>
          <w:color w:val="auto"/>
          <w:szCs w:val="24"/>
          <w:highlight w:val="none"/>
        </w:rPr>
      </w:pPr>
      <w:r>
        <w:rPr>
          <w:rFonts w:hint="eastAsia" w:hAnsi="宋体"/>
          <w:color w:val="auto"/>
          <w:szCs w:val="24"/>
          <w:highlight w:val="none"/>
        </w:rPr>
        <w:t>E. 维修及错误探察指示（包括日常维修、细则）；</w:t>
      </w:r>
    </w:p>
    <w:p>
      <w:pPr>
        <w:pStyle w:val="31"/>
        <w:spacing w:before="0" w:beforeLines="0"/>
        <w:ind w:firstLine="480" w:firstLineChars="200"/>
        <w:rPr>
          <w:rFonts w:hAnsi="宋体"/>
          <w:color w:val="auto"/>
          <w:szCs w:val="24"/>
          <w:highlight w:val="none"/>
        </w:rPr>
      </w:pPr>
      <w:r>
        <w:rPr>
          <w:rFonts w:hint="eastAsia" w:hAnsi="宋体"/>
          <w:color w:val="auto"/>
          <w:szCs w:val="24"/>
          <w:highlight w:val="none"/>
        </w:rPr>
        <w:t>F. 所推荐的备用零件及润滑剂；</w:t>
      </w:r>
    </w:p>
    <w:p>
      <w:pPr>
        <w:pStyle w:val="31"/>
        <w:spacing w:before="0" w:beforeLines="0"/>
        <w:ind w:firstLine="480" w:firstLineChars="200"/>
        <w:rPr>
          <w:rFonts w:hAnsi="宋体"/>
          <w:color w:val="auto"/>
          <w:szCs w:val="24"/>
          <w:highlight w:val="none"/>
        </w:rPr>
      </w:pPr>
      <w:r>
        <w:rPr>
          <w:rFonts w:hint="eastAsia" w:hAnsi="宋体"/>
          <w:color w:val="auto"/>
          <w:szCs w:val="24"/>
          <w:highlight w:val="none"/>
        </w:rPr>
        <w:t>G. 清洁周期、清洁方式；</w:t>
      </w:r>
    </w:p>
    <w:p>
      <w:pPr>
        <w:pStyle w:val="31"/>
        <w:spacing w:before="0" w:beforeLines="0"/>
        <w:ind w:firstLine="480" w:firstLineChars="200"/>
        <w:rPr>
          <w:rFonts w:hAnsi="宋体"/>
          <w:color w:val="auto"/>
          <w:szCs w:val="24"/>
          <w:highlight w:val="none"/>
        </w:rPr>
      </w:pPr>
      <w:r>
        <w:rPr>
          <w:rFonts w:hint="eastAsia" w:hAnsi="宋体"/>
          <w:color w:val="auto"/>
          <w:szCs w:val="24"/>
          <w:highlight w:val="none"/>
        </w:rPr>
        <w:t>H. 与智能化系统接口的要求说明。</w:t>
      </w:r>
    </w:p>
    <w:p>
      <w:pPr>
        <w:pStyle w:val="31"/>
        <w:spacing w:before="0" w:beforeLines="0"/>
        <w:ind w:left="567"/>
        <w:rPr>
          <w:color w:val="auto"/>
          <w:highlight w:val="none"/>
        </w:rPr>
      </w:pPr>
      <w:r>
        <w:rPr>
          <w:rFonts w:hint="eastAsia"/>
          <w:color w:val="auto"/>
          <w:highlight w:val="none"/>
        </w:rPr>
        <w:t>（9）电梯设备装箱单。</w:t>
      </w:r>
    </w:p>
    <w:p>
      <w:pPr>
        <w:pStyle w:val="31"/>
        <w:spacing w:before="0" w:beforeLines="0"/>
        <w:ind w:firstLine="480" w:firstLineChars="200"/>
        <w:rPr>
          <w:rFonts w:hAnsi="宋体"/>
          <w:color w:val="auto"/>
          <w:szCs w:val="24"/>
          <w:highlight w:val="none"/>
        </w:rPr>
      </w:pPr>
      <w:r>
        <w:rPr>
          <w:rFonts w:hint="eastAsia"/>
          <w:color w:val="auto"/>
          <w:highlight w:val="none"/>
        </w:rPr>
        <w:t>乙方提供的操作维护</w:t>
      </w:r>
      <w:r>
        <w:rPr>
          <w:rFonts w:hint="eastAsia" w:hAnsi="宋体"/>
          <w:color w:val="auto"/>
          <w:szCs w:val="24"/>
          <w:highlight w:val="none"/>
        </w:rPr>
        <w:t>手册、说明书等不得减轻或免除乙方作为高速高危设备（特种设备）制造、安装、保修、保养者依法律、法规、规章、有关标准或本合同所应承担的任何责任、义务，不得要求甲方承担超过本合同规定的义务、责任。</w:t>
      </w:r>
    </w:p>
    <w:p>
      <w:pPr>
        <w:pStyle w:val="31"/>
        <w:numPr>
          <w:ilvl w:val="1"/>
          <w:numId w:val="2"/>
        </w:numPr>
        <w:spacing w:before="0" w:beforeLines="0"/>
        <w:ind w:left="0" w:firstLine="480" w:firstLineChars="200"/>
        <w:rPr>
          <w:rFonts w:hAnsi="宋体"/>
          <w:color w:val="auto"/>
          <w:szCs w:val="24"/>
          <w:highlight w:val="none"/>
        </w:rPr>
      </w:pPr>
      <w:r>
        <w:rPr>
          <w:rFonts w:hint="eastAsia" w:hAnsi="宋体"/>
          <w:color w:val="auto"/>
          <w:szCs w:val="24"/>
          <w:highlight w:val="none"/>
        </w:rPr>
        <w:t>乙方未及时向甲方提供上述资料的，在其全部提供之前，视为乙方未达到验收交付条件，甲方有权暂不支付合同价款，</w:t>
      </w:r>
      <w:r>
        <w:rPr>
          <w:rFonts w:hint="eastAsia"/>
          <w:color w:val="auto"/>
          <w:highlight w:val="none"/>
        </w:rPr>
        <w:t>并不承担逾期付款责任</w:t>
      </w:r>
      <w:r>
        <w:rPr>
          <w:rFonts w:hint="eastAsia" w:hAnsi="宋体"/>
          <w:color w:val="auto"/>
          <w:szCs w:val="24"/>
          <w:highlight w:val="none"/>
        </w:rPr>
        <w:t>。</w:t>
      </w:r>
    </w:p>
    <w:p>
      <w:pPr>
        <w:pStyle w:val="33"/>
        <w:numPr>
          <w:ilvl w:val="0"/>
          <w:numId w:val="2"/>
        </w:numPr>
        <w:spacing w:before="0" w:beforeLines="0"/>
        <w:ind w:left="351" w:hanging="351" w:hangingChars="125"/>
        <w:rPr>
          <w:color w:val="auto"/>
          <w:highlight w:val="none"/>
        </w:rPr>
      </w:pPr>
      <w:bookmarkStart w:id="12" w:name="_Toc126961324"/>
      <w:r>
        <w:rPr>
          <w:rFonts w:hint="eastAsia"/>
          <w:color w:val="auto"/>
          <w:highlight w:val="none"/>
        </w:rPr>
        <w:t>专用工具及备品备件</w:t>
      </w:r>
      <w:bookmarkEnd w:id="12"/>
    </w:p>
    <w:p>
      <w:pPr>
        <w:pStyle w:val="31"/>
        <w:spacing w:before="0" w:beforeLines="0"/>
        <w:ind w:firstLine="480" w:firstLineChars="200"/>
        <w:rPr>
          <w:color w:val="auto"/>
          <w:highlight w:val="none"/>
        </w:rPr>
      </w:pPr>
      <w:r>
        <w:rPr>
          <w:rFonts w:hint="eastAsia"/>
          <w:color w:val="auto"/>
          <w:highlight w:val="none"/>
        </w:rPr>
        <w:t>乙方应提供随机供应的专用工具及专用工具清单，</w:t>
      </w:r>
      <w:r>
        <w:rPr>
          <w:rFonts w:hint="eastAsia" w:hAnsi="宋体" w:cs="宋体"/>
          <w:color w:val="auto"/>
          <w:highlight w:val="none"/>
        </w:rPr>
        <w:t>该等专用工具的价格已包含在本合同总价内</w:t>
      </w:r>
      <w:r>
        <w:rPr>
          <w:rFonts w:hint="eastAsia"/>
          <w:color w:val="auto"/>
          <w:highlight w:val="none"/>
        </w:rPr>
        <w:t>。</w:t>
      </w:r>
    </w:p>
    <w:p>
      <w:pPr>
        <w:pStyle w:val="31"/>
        <w:spacing w:before="0" w:beforeLines="0"/>
        <w:ind w:firstLine="480" w:firstLineChars="200"/>
        <w:rPr>
          <w:color w:val="auto"/>
          <w:highlight w:val="none"/>
        </w:rPr>
      </w:pPr>
      <w:r>
        <w:rPr>
          <w:rFonts w:hint="eastAsia"/>
          <w:color w:val="auto"/>
          <w:highlight w:val="none"/>
        </w:rPr>
        <w:t>乙方应提供在质保期内正常运行所要求的备品备件。</w:t>
      </w:r>
    </w:p>
    <w:p>
      <w:pPr>
        <w:pStyle w:val="33"/>
        <w:numPr>
          <w:ilvl w:val="0"/>
          <w:numId w:val="2"/>
        </w:numPr>
        <w:spacing w:before="0" w:beforeLines="0"/>
        <w:ind w:left="351" w:hanging="351" w:hangingChars="125"/>
        <w:rPr>
          <w:color w:val="auto"/>
          <w:highlight w:val="none"/>
        </w:rPr>
      </w:pPr>
      <w:bookmarkStart w:id="13" w:name="_Toc126961325"/>
      <w:r>
        <w:rPr>
          <w:rFonts w:hint="eastAsia"/>
          <w:color w:val="auto"/>
          <w:highlight w:val="none"/>
        </w:rPr>
        <w:t>保修、保养及维护</w:t>
      </w:r>
      <w:bookmarkEnd w:id="13"/>
    </w:p>
    <w:p>
      <w:pPr>
        <w:pStyle w:val="31"/>
        <w:numPr>
          <w:ilvl w:val="1"/>
          <w:numId w:val="2"/>
        </w:numPr>
        <w:spacing w:before="0" w:beforeLines="0"/>
        <w:ind w:left="0" w:firstLine="480" w:firstLineChars="200"/>
        <w:rPr>
          <w:rFonts w:hAnsi="宋体"/>
          <w:color w:val="auto"/>
          <w:highlight w:val="none"/>
        </w:rPr>
      </w:pPr>
      <w:r>
        <w:rPr>
          <w:rFonts w:hint="eastAsia" w:hAnsi="宋体"/>
          <w:color w:val="auto"/>
          <w:highlight w:val="none"/>
        </w:rPr>
        <w:t>电梯设备</w:t>
      </w:r>
      <w:r>
        <w:rPr>
          <w:rFonts w:hint="eastAsia"/>
          <w:color w:val="auto"/>
          <w:highlight w:val="none"/>
        </w:rPr>
        <w:t>整机</w:t>
      </w:r>
      <w:r>
        <w:rPr>
          <w:rFonts w:hint="eastAsia" w:hAnsi="宋体"/>
          <w:color w:val="auto"/>
          <w:highlight w:val="none"/>
        </w:rPr>
        <w:t>质量保修期为24个月，质量保修期</w:t>
      </w:r>
      <w:r>
        <w:rPr>
          <w:rFonts w:hint="eastAsia"/>
          <w:color w:val="auto"/>
          <w:highlight w:val="none"/>
        </w:rPr>
        <w:t>自本合同全部电梯设备由乙方及甲方确定的电梯设备安装公司安装、调试、测试、检验完毕，乙方及电梯设备安装公司向有资质的电梯设备检测检验机构申请检验报告书，取得检验合格报告书、安全检验合格证以及</w:t>
      </w:r>
      <w:r>
        <w:rPr>
          <w:rFonts w:hint="eastAsia" w:hAnsi="宋体"/>
          <w:color w:val="auto"/>
          <w:szCs w:val="24"/>
          <w:highlight w:val="none"/>
        </w:rPr>
        <w:t>电梯设备使用登记证</w:t>
      </w:r>
      <w:r>
        <w:rPr>
          <w:rFonts w:hint="eastAsia"/>
          <w:color w:val="auto"/>
          <w:highlight w:val="none"/>
        </w:rPr>
        <w:t>之日起计算</w:t>
      </w:r>
      <w:r>
        <w:rPr>
          <w:rFonts w:hint="eastAsia" w:hAnsi="宋体"/>
          <w:color w:val="auto"/>
          <w:highlight w:val="none"/>
        </w:rPr>
        <w:t>。质量保修期内由乙方负责免费维修，免费提供所需的润滑剂、清洁剂、绳、防腐剂、配件等。质量保修期内因电梯设备质量或工程质量引起的全部费用和责任均由乙方承担。</w:t>
      </w:r>
    </w:p>
    <w:p>
      <w:pPr>
        <w:pStyle w:val="31"/>
        <w:numPr>
          <w:ilvl w:val="1"/>
          <w:numId w:val="2"/>
        </w:numPr>
        <w:spacing w:before="0" w:beforeLines="0"/>
        <w:ind w:left="0" w:firstLine="480" w:firstLineChars="200"/>
        <w:rPr>
          <w:rFonts w:hAnsi="宋体"/>
          <w:color w:val="auto"/>
          <w:highlight w:val="none"/>
        </w:rPr>
      </w:pPr>
      <w:r>
        <w:rPr>
          <w:rFonts w:hint="eastAsia" w:hAnsi="宋体"/>
          <w:color w:val="auto"/>
          <w:highlight w:val="none"/>
        </w:rPr>
        <w:t>质量保修期内重新更换的零部件的质量保修期，为更换并调试合格之日起24个月。</w:t>
      </w:r>
    </w:p>
    <w:p>
      <w:pPr>
        <w:pStyle w:val="31"/>
        <w:numPr>
          <w:ilvl w:val="1"/>
          <w:numId w:val="2"/>
        </w:numPr>
        <w:spacing w:before="0" w:beforeLines="0"/>
        <w:ind w:left="0" w:firstLine="480" w:firstLineChars="200"/>
        <w:rPr>
          <w:rFonts w:hAnsi="宋体"/>
          <w:color w:val="auto"/>
          <w:szCs w:val="24"/>
          <w:highlight w:val="none"/>
        </w:rPr>
      </w:pPr>
      <w:bookmarkStart w:id="14" w:name="_Hlk133530647"/>
      <w:r>
        <w:rPr>
          <w:rFonts w:hint="eastAsia" w:hAnsi="宋体"/>
          <w:color w:val="auto"/>
          <w:highlight w:val="none"/>
        </w:rPr>
        <w:t>乙方对电梯设备及有关设备</w:t>
      </w:r>
      <w:bookmarkEnd w:id="14"/>
      <w:r>
        <w:rPr>
          <w:rFonts w:hint="eastAsia" w:hAnsi="宋体"/>
          <w:color w:val="auto"/>
          <w:highlight w:val="none"/>
        </w:rPr>
        <w:t>、与电梯设备有关的制造、材料、安装工程  等质量缺陷的相应修复责任及因其造成的人身、财产损害的赔偿责任不因质量保修期满而终止。</w:t>
      </w:r>
    </w:p>
    <w:p>
      <w:pPr>
        <w:pStyle w:val="31"/>
        <w:numPr>
          <w:ilvl w:val="1"/>
          <w:numId w:val="2"/>
        </w:numPr>
        <w:spacing w:before="0" w:beforeLines="0"/>
        <w:ind w:left="0" w:firstLine="480" w:firstLineChars="200"/>
        <w:rPr>
          <w:rFonts w:hAnsi="宋体"/>
          <w:color w:val="auto"/>
          <w:szCs w:val="24"/>
          <w:highlight w:val="none"/>
        </w:rPr>
      </w:pPr>
      <w:r>
        <w:rPr>
          <w:rFonts w:hint="eastAsia" w:hAnsi="宋体"/>
          <w:color w:val="auto"/>
          <w:szCs w:val="24"/>
          <w:highlight w:val="none"/>
        </w:rPr>
        <w:t>乙方必须在广州市或甲方所在地附近配备或指定专业的服务机构，常设安装、维修队伍，能提供正常的技术、备品备件等服务，并提供每天24小时服务热线，保证在接到故障电话后2小时内到达现场维修。发生紧急事故和困人故障应在20分钟内到达现场处理。</w:t>
      </w:r>
    </w:p>
    <w:p>
      <w:pPr>
        <w:pStyle w:val="31"/>
        <w:numPr>
          <w:ilvl w:val="1"/>
          <w:numId w:val="2"/>
        </w:numPr>
        <w:spacing w:before="0" w:beforeLines="0"/>
        <w:ind w:left="0" w:firstLine="480" w:firstLineChars="200"/>
        <w:rPr>
          <w:rFonts w:hAnsi="宋体"/>
          <w:color w:val="auto"/>
          <w:szCs w:val="24"/>
          <w:highlight w:val="none"/>
        </w:rPr>
      </w:pPr>
      <w:r>
        <w:rPr>
          <w:rFonts w:hint="eastAsia" w:hAnsi="宋体"/>
          <w:color w:val="auto"/>
          <w:szCs w:val="24"/>
          <w:highlight w:val="none"/>
        </w:rPr>
        <w:t>质量保修期内乙方应按照国家及地方法律法规的有关规定，协助签订电梯设备免费维修保养合同，提供零配件更换服务，保证电梯设备正常安全使用，包括应对本合同电梯设备实行每天24小时的实时监控，定期派工程师到现场维护和巡查并进行必要的调校、维修、周期性测试及检查等，使电梯设备处于顺畅、安静、平稳及安全的运行状态。在每次保修及检查后应做好记录，有关记录需同时留一份给甲方存档。</w:t>
      </w:r>
    </w:p>
    <w:p>
      <w:pPr>
        <w:pStyle w:val="31"/>
        <w:numPr>
          <w:ilvl w:val="1"/>
          <w:numId w:val="2"/>
        </w:numPr>
        <w:spacing w:before="0" w:beforeLines="0"/>
        <w:ind w:left="0" w:firstLine="480" w:firstLineChars="200"/>
        <w:rPr>
          <w:rFonts w:hAnsi="宋体"/>
          <w:color w:val="auto"/>
          <w:szCs w:val="24"/>
          <w:highlight w:val="none"/>
        </w:rPr>
      </w:pPr>
      <w:r>
        <w:rPr>
          <w:rFonts w:hint="eastAsia" w:hAnsi="宋体"/>
          <w:color w:val="auto"/>
          <w:szCs w:val="24"/>
          <w:highlight w:val="none"/>
        </w:rPr>
        <w:t>在质量保修期满前一个月，乙方应对全部电梯设备进行一次全面测试，并将结果提交给甲方。</w:t>
      </w:r>
    </w:p>
    <w:p>
      <w:pPr>
        <w:pStyle w:val="31"/>
        <w:numPr>
          <w:ilvl w:val="1"/>
          <w:numId w:val="2"/>
        </w:numPr>
        <w:spacing w:before="0" w:beforeLines="0"/>
        <w:ind w:left="0" w:firstLine="480" w:firstLineChars="200"/>
        <w:rPr>
          <w:rFonts w:hAnsi="宋体"/>
          <w:color w:val="auto"/>
          <w:szCs w:val="24"/>
          <w:highlight w:val="none"/>
        </w:rPr>
      </w:pPr>
      <w:r>
        <w:rPr>
          <w:rFonts w:hint="eastAsia" w:hAnsi="宋体"/>
          <w:color w:val="auto"/>
          <w:szCs w:val="24"/>
          <w:highlight w:val="none"/>
        </w:rPr>
        <w:t>质量保修</w:t>
      </w:r>
      <w:r>
        <w:rPr>
          <w:rFonts w:hint="eastAsia"/>
          <w:color w:val="auto"/>
          <w:highlight w:val="none"/>
        </w:rPr>
        <w:t>期满</w:t>
      </w:r>
      <w:r>
        <w:rPr>
          <w:rFonts w:hint="eastAsia" w:hAnsi="宋体"/>
          <w:color w:val="auto"/>
          <w:szCs w:val="24"/>
          <w:highlight w:val="none"/>
        </w:rPr>
        <w:t>后，若有零部件出现故障，经双方认可的权威部门鉴定属于寿命异常问题（明显短于该零部件正常寿命）的，由乙方负责免费更换及维修，并承担由此引起的全部费用和责任。</w:t>
      </w:r>
    </w:p>
    <w:p>
      <w:pPr>
        <w:pStyle w:val="31"/>
        <w:numPr>
          <w:ilvl w:val="1"/>
          <w:numId w:val="2"/>
        </w:numPr>
        <w:spacing w:before="0" w:beforeLines="0"/>
        <w:ind w:left="0" w:firstLine="480" w:firstLineChars="200"/>
        <w:rPr>
          <w:rFonts w:hAnsi="宋体"/>
          <w:color w:val="auto"/>
          <w:szCs w:val="24"/>
          <w:highlight w:val="none"/>
        </w:rPr>
      </w:pPr>
      <w:r>
        <w:rPr>
          <w:rFonts w:hint="eastAsia" w:hAnsi="宋体"/>
          <w:color w:val="auto"/>
          <w:szCs w:val="24"/>
          <w:highlight w:val="none"/>
        </w:rPr>
        <w:t>乙方负责对甲方不少于</w:t>
      </w:r>
      <w:r>
        <w:rPr>
          <w:rFonts w:hint="eastAsia" w:hAnsi="宋体"/>
          <w:color w:val="auto"/>
          <w:szCs w:val="24"/>
          <w:highlight w:val="none"/>
          <w:u w:val="single"/>
        </w:rPr>
        <w:t>4</w:t>
      </w:r>
      <w:r>
        <w:rPr>
          <w:rFonts w:hint="eastAsia" w:hAnsi="宋体"/>
          <w:color w:val="auto"/>
          <w:szCs w:val="24"/>
          <w:highlight w:val="none"/>
        </w:rPr>
        <w:t>名操作人员进行电梯设备操作维修、保养的培训，免费提供培训所需的维修及指引手册、设备说明书、培训资料等，保证该等人员胜任日常维护、保养工作和一般故障的排除方法，并使受训人员在电梯设备验收合格前通过培训、取得培训合格证书（含电梯设备上岗证）。</w:t>
      </w:r>
    </w:p>
    <w:p>
      <w:pPr>
        <w:pStyle w:val="33"/>
        <w:numPr>
          <w:ilvl w:val="0"/>
          <w:numId w:val="2"/>
        </w:numPr>
        <w:spacing w:before="0" w:beforeLines="0"/>
        <w:ind w:left="351" w:hanging="351" w:hangingChars="125"/>
        <w:rPr>
          <w:color w:val="auto"/>
          <w:highlight w:val="none"/>
        </w:rPr>
      </w:pPr>
      <w:bookmarkStart w:id="15" w:name="_Toc126961326"/>
      <w:r>
        <w:rPr>
          <w:rFonts w:hint="eastAsia"/>
          <w:color w:val="auto"/>
          <w:highlight w:val="none"/>
        </w:rPr>
        <w:t>知识产权</w:t>
      </w:r>
      <w:bookmarkEnd w:id="15"/>
    </w:p>
    <w:p>
      <w:pPr>
        <w:pStyle w:val="31"/>
        <w:numPr>
          <w:ilvl w:val="1"/>
          <w:numId w:val="2"/>
        </w:numPr>
        <w:spacing w:before="0" w:beforeLines="0"/>
        <w:ind w:left="0" w:firstLine="480" w:firstLineChars="200"/>
        <w:rPr>
          <w:rFonts w:hAnsi="宋体"/>
          <w:color w:val="auto"/>
          <w:szCs w:val="24"/>
          <w:highlight w:val="none"/>
        </w:rPr>
      </w:pPr>
      <w:r>
        <w:rPr>
          <w:rFonts w:hint="eastAsia" w:hAnsi="宋体"/>
          <w:color w:val="auto"/>
          <w:szCs w:val="24"/>
          <w:highlight w:val="none"/>
        </w:rPr>
        <w:t>乙方为执行本合同而提供的技术资料、软件的使用权归甲方所有，其费用已包含在本合同价款内，如需向第三人支付，均由乙方负责支付。乙方为执行本合同而提供的技术资料、软件的知识产权属于乙方。</w:t>
      </w:r>
    </w:p>
    <w:p>
      <w:pPr>
        <w:pStyle w:val="31"/>
        <w:numPr>
          <w:ilvl w:val="1"/>
          <w:numId w:val="2"/>
        </w:numPr>
        <w:spacing w:before="0" w:beforeLines="0"/>
        <w:ind w:left="0" w:firstLine="480" w:firstLineChars="200"/>
        <w:rPr>
          <w:rFonts w:hAnsi="宋体"/>
          <w:color w:val="auto"/>
          <w:szCs w:val="24"/>
          <w:highlight w:val="none"/>
        </w:rPr>
      </w:pPr>
      <w:r>
        <w:rPr>
          <w:rFonts w:hint="eastAsia" w:hAnsi="宋体"/>
          <w:color w:val="auto"/>
          <w:szCs w:val="24"/>
          <w:highlight w:val="none"/>
        </w:rPr>
        <w:t>乙方保证其对为本项目所提供的电梯设备享有完全的、合法的专利、商标权利</w:t>
      </w:r>
      <w:r>
        <w:rPr>
          <w:rFonts w:hint="eastAsia"/>
          <w:color w:val="auto"/>
          <w:highlight w:val="none"/>
        </w:rPr>
        <w:t>及其它知识产权</w:t>
      </w:r>
      <w:r>
        <w:rPr>
          <w:rFonts w:hint="eastAsia" w:hAnsi="宋体"/>
          <w:color w:val="auto"/>
          <w:szCs w:val="24"/>
          <w:highlight w:val="none"/>
        </w:rPr>
        <w:t>，未侵犯第三方的知识产权及其他合法权益。若乙方所提供的电梯设备涉嫌侵犯第三方知识产权或其他权利的，乙方必须自费负责妥善解决，使甲方免遭任何损失及免于承担任何责任；若甲方被牵连诉讼或仲裁，法院或仲裁机构裁判甲方败诉，或任何调解、和解协议规定甲方需要向第三方支付赔偿或费用及/或承担其他法律责任的，应由乙方全额赔偿及/或承担其他法律责任；乙方须在法院或仲裁机构生效法律文书或该等协议书指定的支付期限到期前，按该等法律文件指定的款项先行赔付给甲方。</w:t>
      </w:r>
    </w:p>
    <w:p>
      <w:pPr>
        <w:pStyle w:val="31"/>
        <w:numPr>
          <w:ilvl w:val="1"/>
          <w:numId w:val="2"/>
        </w:numPr>
        <w:spacing w:before="0" w:beforeLines="0"/>
        <w:ind w:left="0" w:firstLine="480" w:firstLineChars="200"/>
        <w:rPr>
          <w:rFonts w:hAnsi="宋体"/>
          <w:color w:val="auto"/>
          <w:szCs w:val="24"/>
          <w:highlight w:val="none"/>
        </w:rPr>
      </w:pPr>
      <w:r>
        <w:rPr>
          <w:rFonts w:hint="eastAsia" w:hAnsi="宋体"/>
          <w:color w:val="auto"/>
          <w:szCs w:val="24"/>
          <w:highlight w:val="none"/>
        </w:rPr>
        <w:t>乙方还应承担如下责任：</w:t>
      </w:r>
    </w:p>
    <w:p>
      <w:pPr>
        <w:pStyle w:val="31"/>
        <w:spacing w:before="0" w:beforeLines="0"/>
        <w:ind w:firstLine="480" w:firstLineChars="200"/>
        <w:rPr>
          <w:rFonts w:hAnsi="宋体"/>
          <w:color w:val="auto"/>
          <w:szCs w:val="24"/>
          <w:highlight w:val="none"/>
        </w:rPr>
      </w:pPr>
      <w:r>
        <w:rPr>
          <w:rFonts w:hint="eastAsia" w:hAnsi="宋体"/>
          <w:color w:val="auto"/>
          <w:szCs w:val="24"/>
          <w:highlight w:val="none"/>
        </w:rPr>
        <w:t>（1）导致甲方涉入诉讼或仲裁的，诉讼或仲裁费用（包括法院受理、处理费、执行费、律师费以及甲方由此发生的额外支出）由乙方承担。</w:t>
      </w:r>
    </w:p>
    <w:p>
      <w:pPr>
        <w:pStyle w:val="31"/>
        <w:spacing w:before="0" w:beforeLines="0"/>
        <w:ind w:firstLine="480" w:firstLineChars="200"/>
        <w:rPr>
          <w:rFonts w:hAnsi="宋体"/>
          <w:color w:val="auto"/>
          <w:szCs w:val="24"/>
          <w:highlight w:val="none"/>
        </w:rPr>
      </w:pPr>
      <w:r>
        <w:rPr>
          <w:rFonts w:hint="eastAsia" w:hAnsi="宋体"/>
          <w:color w:val="auto"/>
          <w:szCs w:val="24"/>
          <w:highlight w:val="none"/>
        </w:rPr>
        <w:t>（2）导致电梯设备不能按时使用的，甲方将按延迟交货条款规定追究乙方责任。</w:t>
      </w:r>
    </w:p>
    <w:p>
      <w:pPr>
        <w:pStyle w:val="31"/>
        <w:spacing w:before="0" w:beforeLines="0"/>
        <w:ind w:firstLine="480" w:firstLineChars="200"/>
        <w:rPr>
          <w:rFonts w:hAnsi="宋体"/>
          <w:color w:val="auto"/>
          <w:szCs w:val="24"/>
          <w:highlight w:val="none"/>
        </w:rPr>
      </w:pPr>
      <w:r>
        <w:rPr>
          <w:rFonts w:hint="eastAsia" w:hAnsi="宋体"/>
          <w:color w:val="auto"/>
          <w:szCs w:val="24"/>
          <w:highlight w:val="none"/>
        </w:rPr>
        <w:t>（3）导致甲方对电梯设备的所有权、知识产权被剥夺或受到限制的，乙方应被视为不履行合同方，甲方有权解除本合同，乙方应按照第17.3条的约定承担违约责任。</w:t>
      </w:r>
    </w:p>
    <w:p>
      <w:pPr>
        <w:pStyle w:val="31"/>
        <w:spacing w:before="0" w:beforeLines="0"/>
        <w:ind w:firstLine="480" w:firstLineChars="200"/>
        <w:rPr>
          <w:rFonts w:hAnsi="宋体"/>
          <w:color w:val="auto"/>
          <w:szCs w:val="24"/>
          <w:highlight w:val="none"/>
        </w:rPr>
      </w:pPr>
      <w:r>
        <w:rPr>
          <w:rFonts w:hint="eastAsia" w:hAnsi="宋体"/>
          <w:color w:val="auto"/>
          <w:szCs w:val="24"/>
          <w:highlight w:val="none"/>
        </w:rPr>
        <w:t>（4）赔偿甲方造成的其他损失。</w:t>
      </w:r>
    </w:p>
    <w:p>
      <w:pPr>
        <w:pStyle w:val="33"/>
        <w:numPr>
          <w:ilvl w:val="0"/>
          <w:numId w:val="2"/>
        </w:numPr>
        <w:spacing w:before="0" w:beforeLines="0"/>
        <w:ind w:left="351" w:hanging="351" w:hangingChars="125"/>
        <w:rPr>
          <w:rFonts w:hAnsi="宋体"/>
          <w:color w:val="auto"/>
          <w:szCs w:val="24"/>
          <w:highlight w:val="none"/>
        </w:rPr>
      </w:pPr>
      <w:bookmarkStart w:id="16" w:name="_Toc126961327"/>
      <w:r>
        <w:rPr>
          <w:rFonts w:hint="eastAsia"/>
          <w:color w:val="auto"/>
          <w:highlight w:val="none"/>
        </w:rPr>
        <w:t>履约担保</w:t>
      </w:r>
      <w:bookmarkEnd w:id="16"/>
    </w:p>
    <w:p>
      <w:pPr>
        <w:pStyle w:val="31"/>
        <w:numPr>
          <w:ilvl w:val="1"/>
          <w:numId w:val="2"/>
        </w:numPr>
        <w:spacing w:before="0" w:beforeLines="0"/>
        <w:ind w:left="0" w:firstLine="480" w:firstLineChars="200"/>
        <w:rPr>
          <w:color w:val="auto"/>
          <w:szCs w:val="24"/>
          <w:highlight w:val="none"/>
        </w:rPr>
      </w:pPr>
      <w:r>
        <w:rPr>
          <w:rFonts w:hint="eastAsia"/>
          <w:color w:val="auto"/>
          <w:szCs w:val="24"/>
          <w:highlight w:val="none"/>
        </w:rPr>
        <w:t>乙方应按本</w:t>
      </w:r>
      <w:r>
        <w:rPr>
          <w:rFonts w:hint="eastAsia"/>
          <w:color w:val="auto"/>
          <w:highlight w:val="none"/>
        </w:rPr>
        <w:t>合同</w:t>
      </w:r>
      <w:r>
        <w:rPr>
          <w:rFonts w:hint="eastAsia"/>
          <w:color w:val="auto"/>
          <w:szCs w:val="24"/>
          <w:highlight w:val="none"/>
        </w:rPr>
        <w:t>所附履约保函格式，在本合同生效后</w:t>
      </w:r>
      <w:r>
        <w:rPr>
          <w:rFonts w:hint="eastAsia"/>
          <w:color w:val="auto"/>
          <w:szCs w:val="24"/>
          <w:highlight w:val="none"/>
          <w:u w:val="single"/>
        </w:rPr>
        <w:t>30</w:t>
      </w:r>
      <w:r>
        <w:rPr>
          <w:rFonts w:hint="eastAsia"/>
          <w:color w:val="auto"/>
          <w:szCs w:val="22"/>
          <w:highlight w:val="none"/>
        </w:rPr>
        <w:t>个日历天</w:t>
      </w:r>
      <w:r>
        <w:rPr>
          <w:rFonts w:hint="eastAsia"/>
          <w:color w:val="auto"/>
          <w:szCs w:val="24"/>
          <w:highlight w:val="none"/>
        </w:rPr>
        <w:t>内向甲方提供本合同总价</w:t>
      </w:r>
      <w:r>
        <w:rPr>
          <w:rFonts w:hint="eastAsia"/>
          <w:color w:val="auto"/>
          <w:szCs w:val="24"/>
          <w:highlight w:val="none"/>
          <w:u w:val="single"/>
        </w:rPr>
        <w:t>10</w:t>
      </w:r>
      <w:r>
        <w:rPr>
          <w:rFonts w:hint="eastAsia"/>
          <w:color w:val="auto"/>
          <w:szCs w:val="24"/>
          <w:highlight w:val="none"/>
        </w:rPr>
        <w:t>%的无条件、不挑剔、不争辩、不可撤销的见索即付的银行履约保函，其对甲方的保障不得低于合同所附履约保函格式的要求。履约保函的有效期从签发之日起至本合同全部电梯设备竣工验收符合本合同要求、</w:t>
      </w:r>
      <w:r>
        <w:rPr>
          <w:rFonts w:hint="eastAsia" w:hAnsi="宋体"/>
          <w:color w:val="auto"/>
          <w:szCs w:val="24"/>
          <w:highlight w:val="none"/>
        </w:rPr>
        <w:t>取得电梯设备使用登记证</w:t>
      </w:r>
      <w:r>
        <w:rPr>
          <w:rFonts w:hint="eastAsia"/>
          <w:color w:val="auto"/>
          <w:szCs w:val="24"/>
          <w:highlight w:val="none"/>
        </w:rPr>
        <w:t>且交付甲方使用后第30天止。</w:t>
      </w:r>
    </w:p>
    <w:p>
      <w:pPr>
        <w:pStyle w:val="31"/>
        <w:numPr>
          <w:ilvl w:val="1"/>
          <w:numId w:val="2"/>
        </w:numPr>
        <w:spacing w:before="0" w:beforeLines="0"/>
        <w:ind w:left="0" w:firstLine="480" w:firstLineChars="200"/>
        <w:rPr>
          <w:color w:val="auto"/>
          <w:szCs w:val="24"/>
          <w:highlight w:val="none"/>
        </w:rPr>
      </w:pPr>
      <w:r>
        <w:rPr>
          <w:rFonts w:hint="eastAsia"/>
          <w:color w:val="auto"/>
          <w:szCs w:val="24"/>
          <w:highlight w:val="none"/>
        </w:rPr>
        <w:t>乙方未严格按本合同规定时间和格式提供履约保函的，甲方可解除本合同。若甲方同意继续履行本合同的,可以从应付给乙方的货款中扣除本合同履约保函要求的金额作为履约担保金，直至乙方按本合同规定格式提供履约保函至履约担保有效期结束时止。若乙方提供的履约保函有效期在16.1条所要求的最长有效期前到期的，乙方应在其提供的履约保函到期日7</w:t>
      </w:r>
      <w:r>
        <w:rPr>
          <w:rFonts w:hint="eastAsia"/>
          <w:color w:val="auto"/>
          <w:szCs w:val="22"/>
          <w:highlight w:val="none"/>
        </w:rPr>
        <w:t>个日历天</w:t>
      </w:r>
      <w:r>
        <w:rPr>
          <w:rFonts w:hint="eastAsia"/>
          <w:color w:val="auto"/>
          <w:szCs w:val="24"/>
          <w:highlight w:val="none"/>
        </w:rPr>
        <w:t>前自动续期该履约保函，否则，甲方有权直接向银行索赔履约保函项下的全部金额或（和）从每一期应付的款项中扣除相当于本合同履约保函要求的金额作为履约担保金。</w:t>
      </w:r>
    </w:p>
    <w:p>
      <w:pPr>
        <w:pStyle w:val="31"/>
        <w:numPr>
          <w:ilvl w:val="1"/>
          <w:numId w:val="2"/>
        </w:numPr>
        <w:spacing w:before="0" w:beforeLines="0"/>
        <w:ind w:left="0" w:firstLine="480" w:firstLineChars="200"/>
        <w:rPr>
          <w:color w:val="auto"/>
          <w:szCs w:val="24"/>
          <w:highlight w:val="none"/>
        </w:rPr>
      </w:pPr>
      <w:r>
        <w:rPr>
          <w:rFonts w:hint="eastAsia"/>
          <w:color w:val="auto"/>
          <w:szCs w:val="24"/>
          <w:highlight w:val="none"/>
        </w:rPr>
        <w:t>甲方在乙方履约担保项下提出索赔要求时，无须另行通知乙方有关该项索赔的违约情形及索赔金额。</w:t>
      </w:r>
    </w:p>
    <w:p>
      <w:pPr>
        <w:pStyle w:val="37"/>
        <w:numPr>
          <w:ilvl w:val="1"/>
          <w:numId w:val="2"/>
        </w:numPr>
        <w:ind w:left="0" w:firstLine="480"/>
        <w:rPr>
          <w:color w:val="auto"/>
          <w:szCs w:val="24"/>
          <w:highlight w:val="none"/>
        </w:rPr>
      </w:pPr>
      <w:r>
        <w:rPr>
          <w:rFonts w:hint="eastAsia" w:ascii="楷体_GB2312" w:eastAsia="楷体_GB2312"/>
          <w:color w:val="auto"/>
          <w:sz w:val="24"/>
          <w:szCs w:val="24"/>
          <w:highlight w:val="none"/>
        </w:rPr>
        <w:t>若乙方提供的预付款保函有效期在本合同附件七所要求的最长有效期前到期的，乙方应在其提供的预付款保函到期日7个日历天前自动续期该预付款保函，否则，甲方有权直接向银行索赔预付款保函项下的全部金额或（和）从每一期应付的款项中扣除保函等同金额作为预付款担保金。</w:t>
      </w:r>
    </w:p>
    <w:p>
      <w:pPr>
        <w:pStyle w:val="33"/>
        <w:numPr>
          <w:ilvl w:val="0"/>
          <w:numId w:val="2"/>
        </w:numPr>
        <w:spacing w:before="0" w:beforeLines="0"/>
        <w:ind w:left="351" w:hanging="351" w:hangingChars="125"/>
        <w:rPr>
          <w:color w:val="auto"/>
          <w:highlight w:val="none"/>
        </w:rPr>
      </w:pPr>
      <w:bookmarkStart w:id="17" w:name="_Toc126961328"/>
      <w:r>
        <w:rPr>
          <w:rFonts w:hint="eastAsia"/>
          <w:color w:val="auto"/>
          <w:highlight w:val="none"/>
        </w:rPr>
        <w:t>违约责任</w:t>
      </w:r>
      <w:bookmarkEnd w:id="17"/>
    </w:p>
    <w:p>
      <w:pPr>
        <w:pStyle w:val="31"/>
        <w:numPr>
          <w:ilvl w:val="1"/>
          <w:numId w:val="2"/>
        </w:numPr>
        <w:spacing w:before="0" w:beforeLines="0"/>
        <w:ind w:left="0" w:firstLine="480" w:firstLineChars="200"/>
        <w:rPr>
          <w:color w:val="auto"/>
          <w:highlight w:val="none"/>
        </w:rPr>
      </w:pPr>
      <w:r>
        <w:rPr>
          <w:rFonts w:hint="eastAsia"/>
          <w:color w:val="auto"/>
          <w:highlight w:val="none"/>
        </w:rPr>
        <w:t>甲方的违约责任</w:t>
      </w:r>
    </w:p>
    <w:p>
      <w:pPr>
        <w:pStyle w:val="31"/>
        <w:spacing w:before="0" w:beforeLines="0"/>
        <w:ind w:firstLine="480" w:firstLineChars="200"/>
        <w:rPr>
          <w:color w:val="auto"/>
          <w:highlight w:val="none"/>
        </w:rPr>
      </w:pPr>
      <w:r>
        <w:rPr>
          <w:rFonts w:hint="eastAsia"/>
          <w:color w:val="auto"/>
          <w:highlight w:val="none"/>
        </w:rPr>
        <w:t>17.1.1.甲方的违约责任</w:t>
      </w:r>
    </w:p>
    <w:p>
      <w:pPr>
        <w:pStyle w:val="31"/>
        <w:spacing w:before="0" w:beforeLines="0"/>
        <w:ind w:firstLine="480" w:firstLineChars="200"/>
        <w:rPr>
          <w:color w:val="auto"/>
          <w:highlight w:val="none"/>
        </w:rPr>
      </w:pPr>
      <w:r>
        <w:rPr>
          <w:rFonts w:hint="eastAsia"/>
          <w:color w:val="auto"/>
          <w:highlight w:val="none"/>
        </w:rPr>
        <w:t>甲方无合理理由未按本合同规定的时间支付款项，经乙方书面通知后10个工作内仍未支付的，</w:t>
      </w:r>
      <w:r>
        <w:rPr>
          <w:rFonts w:hint="eastAsia"/>
          <w:color w:val="auto"/>
          <w:highlight w:val="none"/>
        </w:rPr>
        <w:t>每天按应付未付款金额的0.1%向乙方支付违约金</w:t>
      </w:r>
      <w:r>
        <w:rPr>
          <w:rFonts w:hint="eastAsia"/>
          <w:color w:val="auto"/>
          <w:highlight w:val="none"/>
        </w:rPr>
        <w:t>，甲方的责任以此为限。</w:t>
      </w:r>
    </w:p>
    <w:p>
      <w:pPr>
        <w:pStyle w:val="31"/>
        <w:numPr>
          <w:ilvl w:val="1"/>
          <w:numId w:val="2"/>
        </w:numPr>
        <w:spacing w:before="0" w:beforeLines="0"/>
        <w:ind w:left="0" w:firstLine="480" w:firstLineChars="200"/>
        <w:rPr>
          <w:color w:val="auto"/>
          <w:highlight w:val="none"/>
        </w:rPr>
      </w:pPr>
      <w:r>
        <w:rPr>
          <w:rFonts w:hint="eastAsia"/>
          <w:color w:val="auto"/>
          <w:highlight w:val="none"/>
        </w:rPr>
        <w:t>乙方的违约责任</w:t>
      </w:r>
    </w:p>
    <w:p>
      <w:pPr>
        <w:pStyle w:val="31"/>
        <w:spacing w:before="0" w:beforeLines="0"/>
        <w:ind w:firstLine="480" w:firstLineChars="200"/>
        <w:rPr>
          <w:color w:val="auto"/>
          <w:highlight w:val="none"/>
        </w:rPr>
      </w:pPr>
      <w:r>
        <w:rPr>
          <w:rFonts w:hint="eastAsia"/>
          <w:color w:val="auto"/>
          <w:highlight w:val="none"/>
        </w:rPr>
        <w:t>17.2.1乙方未按合同约定的品牌、规格、型号、质量标准向甲方供货的，甲方有权选择要求乙方承担如下违约责任：</w:t>
      </w:r>
    </w:p>
    <w:p>
      <w:pPr>
        <w:pStyle w:val="31"/>
        <w:spacing w:before="0" w:beforeLines="0"/>
        <w:ind w:firstLine="480" w:firstLineChars="200"/>
        <w:rPr>
          <w:color w:val="auto"/>
          <w:highlight w:val="none"/>
        </w:rPr>
      </w:pPr>
      <w:r>
        <w:rPr>
          <w:rFonts w:hint="eastAsia"/>
          <w:color w:val="auto"/>
          <w:highlight w:val="none"/>
        </w:rPr>
        <w:t>（1）拒绝接收并要求更换有瑕疵的电梯设备，要求乙方在指定时间内完成交货，因此造成延迟交货的，适用延迟交货条款。更换的电梯设备必须全新并符合本合同约定的品牌、规格、型号、质量和性能。乙方并承担因此而产生的一切费用和甲方遭受的一切损失。对更换后的电梯设备，乙方仍应按本合同的相关规定提供24个月的质量保修期。</w:t>
      </w:r>
    </w:p>
    <w:p>
      <w:pPr>
        <w:pStyle w:val="31"/>
        <w:spacing w:before="0" w:beforeLines="0"/>
        <w:ind w:firstLine="480" w:firstLineChars="200"/>
        <w:rPr>
          <w:color w:val="auto"/>
          <w:highlight w:val="none"/>
        </w:rPr>
      </w:pPr>
      <w:r>
        <w:rPr>
          <w:rFonts w:hint="eastAsia"/>
          <w:color w:val="auto"/>
          <w:highlight w:val="none"/>
        </w:rPr>
        <w:t>（2）要求退货并解除本合同。</w:t>
      </w:r>
    </w:p>
    <w:p>
      <w:pPr>
        <w:pStyle w:val="31"/>
        <w:spacing w:before="0" w:beforeLines="0"/>
        <w:ind w:firstLine="480" w:firstLineChars="200"/>
        <w:rPr>
          <w:color w:val="auto"/>
          <w:highlight w:val="none"/>
        </w:rPr>
      </w:pPr>
      <w:r>
        <w:rPr>
          <w:rFonts w:hint="eastAsia"/>
          <w:color w:val="auto"/>
          <w:highlight w:val="none"/>
        </w:rPr>
        <w:t>17.2.2 乙方延迟交货</w:t>
      </w:r>
    </w:p>
    <w:p>
      <w:pPr>
        <w:pStyle w:val="31"/>
        <w:spacing w:before="0" w:beforeLines="0"/>
        <w:ind w:firstLine="480" w:firstLineChars="200"/>
        <w:rPr>
          <w:color w:val="auto"/>
          <w:highlight w:val="none"/>
        </w:rPr>
      </w:pPr>
      <w:r>
        <w:rPr>
          <w:rFonts w:hint="eastAsia"/>
          <w:color w:val="auto"/>
          <w:highlight w:val="none"/>
        </w:rPr>
        <w:t>除不可抗力外，乙方延迟将满足本合同要求的电梯设备送达甲方工地现场的，每延迟一天，</w:t>
      </w:r>
      <w:r>
        <w:rPr>
          <w:rFonts w:hint="eastAsia"/>
          <w:color w:val="auto"/>
          <w:highlight w:val="none"/>
        </w:rPr>
        <w:t>应向甲方支付该批次货物合同总价款的</w:t>
      </w:r>
      <w:r>
        <w:rPr>
          <w:color w:val="auto"/>
          <w:highlight w:val="none"/>
          <w:u w:val="single"/>
        </w:rPr>
        <w:t>1</w:t>
      </w:r>
      <w:r>
        <w:rPr>
          <w:rFonts w:hint="eastAsia"/>
          <w:color w:val="auto"/>
          <w:highlight w:val="none"/>
        </w:rPr>
        <w:t>%的违约金</w:t>
      </w:r>
      <w:r>
        <w:rPr>
          <w:rFonts w:hint="eastAsia"/>
          <w:color w:val="auto"/>
          <w:highlight w:val="none"/>
        </w:rPr>
        <w:t>。如迟延交货超过</w:t>
      </w:r>
      <w:r>
        <w:rPr>
          <w:rFonts w:hint="eastAsia"/>
          <w:color w:val="auto"/>
          <w:highlight w:val="none"/>
          <w:u w:val="single"/>
        </w:rPr>
        <w:t>30</w:t>
      </w:r>
      <w:r>
        <w:rPr>
          <w:rFonts w:hint="eastAsia"/>
          <w:color w:val="auto"/>
          <w:highlight w:val="none"/>
        </w:rPr>
        <w:t>个日历天时，甲方有权解除本合同。</w:t>
      </w:r>
    </w:p>
    <w:p>
      <w:pPr>
        <w:pStyle w:val="31"/>
        <w:spacing w:before="0" w:beforeLines="0"/>
        <w:ind w:firstLine="480" w:firstLineChars="200"/>
        <w:rPr>
          <w:color w:val="auto"/>
          <w:highlight w:val="none"/>
        </w:rPr>
      </w:pPr>
      <w:r>
        <w:rPr>
          <w:rFonts w:hint="eastAsia"/>
          <w:color w:val="auto"/>
          <w:highlight w:val="none"/>
        </w:rPr>
        <w:t>17.2.3 未经甲方书面同意，乙方将本合同项下权利义务全部或部分转让给任何第三人的，甲方有权解除本合同。</w:t>
      </w:r>
    </w:p>
    <w:p>
      <w:pPr>
        <w:pStyle w:val="31"/>
        <w:spacing w:before="0" w:beforeLines="0"/>
        <w:ind w:firstLine="480" w:firstLineChars="200"/>
        <w:rPr>
          <w:color w:val="auto"/>
          <w:highlight w:val="none"/>
        </w:rPr>
      </w:pPr>
      <w:r>
        <w:rPr>
          <w:rFonts w:hint="eastAsia"/>
          <w:color w:val="auto"/>
          <w:highlight w:val="none"/>
        </w:rPr>
        <w:t>17.2.4 乙方</w:t>
      </w:r>
      <w:r>
        <w:rPr>
          <w:rFonts w:hint="eastAsia"/>
          <w:color w:val="auto"/>
          <w:szCs w:val="24"/>
          <w:highlight w:val="none"/>
        </w:rPr>
        <w:t>未能在交付甲方使用后或合同解除后15天内撤离现场，每逾期一天，应按照本合同总价款的千分之一向甲方承担违约责任。</w:t>
      </w:r>
      <w:r>
        <w:rPr>
          <w:rFonts w:hint="eastAsia" w:hAnsi="宋体"/>
          <w:color w:val="auto"/>
          <w:szCs w:val="24"/>
          <w:highlight w:val="none"/>
        </w:rPr>
        <w:t>乙方撤离现场后仍有遗留物品，视为乙方放弃，甲方留用的，无偿归甲方所有；甲方不留用的，甲方可任意处置，处置收入扣除处置费用如有剩余归甲方所有；甲方可委托他人清理，并从应付乙方的款项中扣除清理费用。处置收入或应付货款不足以扣除处置费用的，由乙方另行支付，并由乙方承担由此而产生的一切损失和后果。</w:t>
      </w:r>
    </w:p>
    <w:p>
      <w:pPr>
        <w:pStyle w:val="31"/>
        <w:spacing w:before="0" w:beforeLines="0"/>
        <w:ind w:firstLine="480" w:firstLineChars="200"/>
        <w:rPr>
          <w:color w:val="auto"/>
          <w:highlight w:val="none"/>
        </w:rPr>
      </w:pPr>
      <w:r>
        <w:rPr>
          <w:rFonts w:hint="eastAsia"/>
          <w:color w:val="auto"/>
          <w:highlight w:val="none"/>
        </w:rPr>
        <w:t>17.2.5 如乙方未履行或不完全履行本合同约定的义务，亦视同乙方违约。经甲方书面催告、在甲方规定的期限内仍未改正的，除本合同对违约责任有明确约定外，甲方有权向乙方收取违约金人民币</w:t>
      </w:r>
      <w:r>
        <w:rPr>
          <w:rFonts w:hint="eastAsia"/>
          <w:color w:val="auto"/>
          <w:highlight w:val="none"/>
          <w:u w:val="single"/>
        </w:rPr>
        <w:t>10万</w:t>
      </w:r>
      <w:r>
        <w:rPr>
          <w:rFonts w:hint="eastAsia"/>
          <w:color w:val="auto"/>
          <w:highlight w:val="none"/>
        </w:rPr>
        <w:t>元，情节严重的，甲方有权解除本合同。</w:t>
      </w:r>
    </w:p>
    <w:p>
      <w:pPr>
        <w:pStyle w:val="31"/>
        <w:spacing w:before="0" w:beforeLines="0"/>
        <w:ind w:firstLine="480" w:firstLineChars="200"/>
        <w:rPr>
          <w:color w:val="auto"/>
          <w:highlight w:val="none"/>
        </w:rPr>
      </w:pPr>
      <w:r>
        <w:rPr>
          <w:rFonts w:hint="eastAsia"/>
          <w:color w:val="auto"/>
          <w:highlight w:val="none"/>
        </w:rPr>
        <w:t>17.2.6 乙方违反本合同义务，导致甲方违反与第三方就本项目签署的其它合同之约定，而给甲方造成损失的，乙方对全部损失承担赔偿责任。</w:t>
      </w:r>
    </w:p>
    <w:p>
      <w:pPr>
        <w:pStyle w:val="31"/>
        <w:spacing w:before="0" w:beforeLines="0"/>
        <w:ind w:firstLine="480" w:firstLineChars="200"/>
        <w:rPr>
          <w:color w:val="auto"/>
          <w:highlight w:val="none"/>
        </w:rPr>
      </w:pPr>
      <w:r>
        <w:rPr>
          <w:rFonts w:hint="eastAsia"/>
          <w:color w:val="auto"/>
          <w:highlight w:val="none"/>
        </w:rPr>
        <w:t>17.2.7 如本电梯设备工程未通过验收或本电梯设备质量保修期运行中出现质量问题，但无法区分责任承担方为乙方或电梯设备安装单位的，甲方有权要求乙方与电梯安装单位共同承担连带责任。</w:t>
      </w:r>
    </w:p>
    <w:p>
      <w:pPr>
        <w:pStyle w:val="31"/>
        <w:spacing w:before="0" w:beforeLines="0"/>
        <w:ind w:firstLine="480" w:firstLineChars="200"/>
        <w:rPr>
          <w:color w:val="auto"/>
          <w:highlight w:val="none"/>
        </w:rPr>
      </w:pPr>
      <w:r>
        <w:rPr>
          <w:rFonts w:hint="eastAsia"/>
          <w:color w:val="auto"/>
          <w:highlight w:val="none"/>
        </w:rPr>
        <w:t>17.2.8 本合同中对违约金约定不一致的，甲方可按违约金中的较高者执行。违约金不足以弥补甲方损失的，甲方有权要求乙方赔偿。</w:t>
      </w:r>
    </w:p>
    <w:p>
      <w:pPr>
        <w:pStyle w:val="31"/>
        <w:numPr>
          <w:ilvl w:val="1"/>
          <w:numId w:val="2"/>
        </w:numPr>
        <w:spacing w:before="0" w:beforeLines="0"/>
        <w:ind w:left="0" w:firstLine="480" w:firstLineChars="200"/>
        <w:rPr>
          <w:color w:val="auto"/>
          <w:highlight w:val="none"/>
        </w:rPr>
      </w:pPr>
      <w:r>
        <w:rPr>
          <w:rFonts w:hint="eastAsia"/>
          <w:color w:val="auto"/>
          <w:highlight w:val="none"/>
        </w:rPr>
        <w:t xml:space="preserve">  乙方违约导致合同解除</w:t>
      </w:r>
    </w:p>
    <w:p>
      <w:pPr>
        <w:pStyle w:val="31"/>
        <w:spacing w:before="0" w:beforeLines="0"/>
        <w:ind w:firstLine="480" w:firstLineChars="200"/>
        <w:rPr>
          <w:color w:val="auto"/>
          <w:highlight w:val="none"/>
        </w:rPr>
      </w:pPr>
      <w:r>
        <w:rPr>
          <w:rFonts w:hint="eastAsia"/>
          <w:color w:val="auto"/>
          <w:highlight w:val="none"/>
        </w:rPr>
        <w:t>乙方未依合同约定单方面终止或解除合同或甲方因乙方违约解除本合同的，乙方应在收到甲方解除本合同的书面通知后10个日历天内，退回甲方已付的全部货款及利息，且甲方还有权要求乙方按照合同总价的</w:t>
      </w:r>
      <w:r>
        <w:rPr>
          <w:rFonts w:hint="eastAsia"/>
          <w:color w:val="auto"/>
          <w:highlight w:val="none"/>
          <w:u w:val="single"/>
        </w:rPr>
        <w:t>30</w:t>
      </w:r>
      <w:r>
        <w:rPr>
          <w:rFonts w:hint="eastAsia"/>
          <w:color w:val="auto"/>
          <w:highlight w:val="none"/>
        </w:rPr>
        <w:t>%支付违约金或主张履约保函项下的权利；同时乙方应承担甲方因退货和解除本合同而遭受的一切经济损失和费用，包括但不限于检验费、仓租、甲方另行购置电梯设备的合同差价、工期延误的损失等。</w:t>
      </w:r>
    </w:p>
    <w:p>
      <w:pPr>
        <w:pStyle w:val="31"/>
        <w:numPr>
          <w:ilvl w:val="1"/>
          <w:numId w:val="2"/>
        </w:numPr>
        <w:spacing w:before="0" w:beforeLines="0"/>
        <w:ind w:left="0" w:firstLine="480" w:firstLineChars="200"/>
        <w:rPr>
          <w:color w:val="auto"/>
          <w:highlight w:val="none"/>
        </w:rPr>
      </w:pPr>
      <w:r>
        <w:rPr>
          <w:color w:val="auto"/>
          <w:highlight w:val="none"/>
        </w:rPr>
        <w:t>关于违约的补充约定</w:t>
      </w:r>
      <w:r>
        <w:rPr>
          <w:rFonts w:hint="eastAsia"/>
          <w:color w:val="auto"/>
          <w:highlight w:val="none"/>
        </w:rPr>
        <w:t>：</w:t>
      </w:r>
    </w:p>
    <w:p>
      <w:pPr>
        <w:pStyle w:val="31"/>
        <w:spacing w:before="0" w:beforeLines="0"/>
        <w:ind w:firstLine="480" w:firstLineChars="200"/>
        <w:rPr>
          <w:color w:val="auto"/>
          <w:highlight w:val="none"/>
        </w:rPr>
      </w:pPr>
      <w:r>
        <w:rPr>
          <w:rFonts w:hint="eastAsia"/>
          <w:color w:val="auto"/>
          <w:highlight w:val="none"/>
        </w:rPr>
        <w:t>甲方上级单位“广东粤海控股集团有限公司”（以下简称“粤海控股集团”）将定期对乙方进行信用评价，相关评价结果将在粤海控股集团网站等渠道实时予以公布。乙方的不良行为导致其信用评价分在60分以下的，将拒绝乙方参与粤海控股集团及其附属公司工程项目的投标。出现相关情形后，甲方将书面通知乙方。</w:t>
      </w:r>
    </w:p>
    <w:p>
      <w:pPr>
        <w:pStyle w:val="33"/>
        <w:numPr>
          <w:ilvl w:val="0"/>
          <w:numId w:val="2"/>
        </w:numPr>
        <w:spacing w:before="0" w:beforeLines="0"/>
        <w:ind w:left="351" w:hanging="351" w:hangingChars="125"/>
        <w:rPr>
          <w:color w:val="auto"/>
          <w:highlight w:val="none"/>
        </w:rPr>
      </w:pPr>
      <w:bookmarkStart w:id="18" w:name="_Toc126961329"/>
      <w:r>
        <w:rPr>
          <w:rFonts w:hint="eastAsia"/>
          <w:color w:val="auto"/>
          <w:highlight w:val="none"/>
        </w:rPr>
        <w:t>不可抗力</w:t>
      </w:r>
      <w:bookmarkEnd w:id="18"/>
    </w:p>
    <w:p>
      <w:pPr>
        <w:pStyle w:val="31"/>
        <w:spacing w:before="0" w:beforeLines="0"/>
        <w:ind w:firstLine="480" w:firstLineChars="200"/>
        <w:rPr>
          <w:color w:val="auto"/>
          <w:highlight w:val="none"/>
        </w:rPr>
      </w:pPr>
      <w:r>
        <w:rPr>
          <w:rFonts w:hint="eastAsia"/>
          <w:color w:val="auto"/>
          <w:highlight w:val="none"/>
        </w:rPr>
        <w:t>由于不可抗力事件致乙方交货迟延或不能交货时，乙方应立即将该不可抗力事件通知甲方，并于该不可抗力事件发生后14个日历天内将事件发生地公证机关出具的证明书，以书面递交甲方为证，并取得甲方认可，在此情形下，乙方不须承担违约责任，乙方仍负有采取一切必要措施以从速交货、减少损失的责任。但乙方对不可抗力发生前的违约行为仍须承担违约责任。如果不可抗力事件持续超过三个月，甲方有权解除本合同。</w:t>
      </w:r>
    </w:p>
    <w:p>
      <w:pPr>
        <w:pStyle w:val="33"/>
        <w:numPr>
          <w:ilvl w:val="0"/>
          <w:numId w:val="2"/>
        </w:numPr>
        <w:spacing w:before="0" w:beforeLines="0"/>
        <w:ind w:left="351" w:hanging="351" w:hangingChars="125"/>
        <w:rPr>
          <w:color w:val="auto"/>
          <w:highlight w:val="none"/>
        </w:rPr>
      </w:pPr>
      <w:bookmarkStart w:id="19" w:name="_Toc126961330"/>
      <w:r>
        <w:rPr>
          <w:rFonts w:hint="eastAsia"/>
          <w:color w:val="auto"/>
          <w:highlight w:val="none"/>
        </w:rPr>
        <w:t>通知及送达</w:t>
      </w:r>
      <w:bookmarkEnd w:id="19"/>
    </w:p>
    <w:p>
      <w:pPr>
        <w:ind w:firstLine="480" w:firstLineChars="20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除另有约定外，任何一方就本合同发给另一方的任何通知必须以中文书面形式进行。可经专人递交，或以特快专递服务发到另一方。通知被视为送达的日期应按如下方法决定：</w:t>
      </w:r>
    </w:p>
    <w:p>
      <w:pPr>
        <w:ind w:firstLine="480" w:firstLineChars="20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（1）专人递交的通知在送达签收之日视为有效送达；</w:t>
      </w:r>
    </w:p>
    <w:p>
      <w:pPr>
        <w:ind w:firstLine="480" w:firstLineChars="20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（2）以特快专递的方式发送的通知应于交予快递服务发送后第3日视为有效送达。</w:t>
      </w:r>
    </w:p>
    <w:p>
      <w:pPr>
        <w:ind w:firstLine="480" w:firstLineChars="20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为通知的目的，双方的通讯地址如下，如有变更，变更的一方应自变更之日起3日内书面通知另一方：</w:t>
      </w:r>
    </w:p>
    <w:p>
      <w:pPr>
        <w:ind w:firstLine="480" w:firstLineChars="20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甲方：佛山粤海置地发展有限公司</w:t>
      </w:r>
    </w:p>
    <w:p>
      <w:pPr>
        <w:ind w:firstLine="480" w:firstLineChars="20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地址：佛山市禅城区世博金融中心1906室</w:t>
      </w:r>
    </w:p>
    <w:p>
      <w:pPr>
        <w:ind w:firstLine="480" w:firstLineChars="20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电话：</w:t>
      </w:r>
    </w:p>
    <w:p>
      <w:pPr>
        <w:ind w:firstLine="480" w:firstLineChars="20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乙方：</w:t>
      </w:r>
    </w:p>
    <w:p>
      <w:pPr>
        <w:ind w:firstLine="480" w:firstLineChars="20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地址：</w:t>
      </w:r>
    </w:p>
    <w:p>
      <w:pPr>
        <w:ind w:firstLine="480" w:firstLineChars="20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 xml:space="preserve">电话： </w:t>
      </w:r>
    </w:p>
    <w:p>
      <w:pPr>
        <w:pStyle w:val="33"/>
        <w:numPr>
          <w:ilvl w:val="0"/>
          <w:numId w:val="2"/>
        </w:numPr>
        <w:spacing w:before="0" w:beforeLines="0"/>
        <w:ind w:left="351" w:hanging="351" w:hangingChars="125"/>
        <w:rPr>
          <w:color w:val="auto"/>
          <w:highlight w:val="none"/>
        </w:rPr>
      </w:pPr>
      <w:bookmarkStart w:id="20" w:name="_Toc126961331"/>
      <w:r>
        <w:rPr>
          <w:rFonts w:hint="eastAsia"/>
          <w:color w:val="auto"/>
          <w:highlight w:val="none"/>
        </w:rPr>
        <w:t>争议的解决</w:t>
      </w:r>
      <w:bookmarkEnd w:id="20"/>
    </w:p>
    <w:p>
      <w:pPr>
        <w:pStyle w:val="31"/>
        <w:spacing w:before="0" w:beforeLines="0"/>
        <w:ind w:firstLine="480" w:firstLineChars="200"/>
        <w:rPr>
          <w:color w:val="auto"/>
          <w:highlight w:val="none"/>
        </w:rPr>
      </w:pPr>
      <w:r>
        <w:rPr>
          <w:rFonts w:hint="eastAsia" w:hAnsi="宋体" w:cs="Arial"/>
          <w:color w:val="auto"/>
          <w:szCs w:val="24"/>
          <w:highlight w:val="none"/>
        </w:rPr>
        <w:t>本合同的订立、效力、解释、履行和争议的解决等均适用中华人民共和国法律，</w:t>
      </w:r>
      <w:r>
        <w:rPr>
          <w:rFonts w:hint="eastAsia"/>
          <w:color w:val="auto"/>
          <w:szCs w:val="24"/>
          <w:highlight w:val="none"/>
        </w:rPr>
        <w:t>凡有</w:t>
      </w:r>
      <w:r>
        <w:rPr>
          <w:rFonts w:hint="eastAsia"/>
          <w:color w:val="auto"/>
          <w:highlight w:val="none"/>
        </w:rPr>
        <w:t>关本合同或执行本合同而发生的一切争执，应通过友好协商解决，如不能解决，则双方均可向甲方所在地法院提起诉讼。</w:t>
      </w:r>
    </w:p>
    <w:p>
      <w:pPr>
        <w:pStyle w:val="33"/>
        <w:numPr>
          <w:ilvl w:val="0"/>
          <w:numId w:val="2"/>
        </w:numPr>
        <w:spacing w:before="0" w:beforeLines="0"/>
        <w:ind w:left="351" w:hanging="351" w:hangingChars="125"/>
        <w:rPr>
          <w:color w:val="auto"/>
          <w:highlight w:val="none"/>
        </w:rPr>
      </w:pPr>
      <w:bookmarkStart w:id="21" w:name="_Toc126961332"/>
      <w:r>
        <w:rPr>
          <w:rFonts w:hint="eastAsia"/>
          <w:color w:val="auto"/>
          <w:highlight w:val="none"/>
        </w:rPr>
        <w:t>合同生效</w:t>
      </w:r>
      <w:bookmarkEnd w:id="21"/>
    </w:p>
    <w:p>
      <w:pPr>
        <w:pStyle w:val="31"/>
        <w:spacing w:before="0" w:beforeLines="0"/>
        <w:ind w:firstLine="480" w:firstLineChars="200"/>
        <w:rPr>
          <w:color w:val="auto"/>
          <w:highlight w:val="none"/>
        </w:rPr>
      </w:pPr>
      <w:r>
        <w:rPr>
          <w:rFonts w:hint="eastAsia"/>
          <w:color w:val="auto"/>
          <w:highlight w:val="none"/>
        </w:rPr>
        <w:t>本合同自甲乙双方加盖公章或合同专用章且法定代表人或授权代表签字（签章）之日起生效。</w:t>
      </w:r>
    </w:p>
    <w:p>
      <w:pPr>
        <w:pStyle w:val="31"/>
        <w:spacing w:before="0" w:beforeLines="0"/>
        <w:ind w:left="567"/>
        <w:rPr>
          <w:color w:val="auto"/>
          <w:highlight w:val="none"/>
        </w:rPr>
      </w:pPr>
      <w:r>
        <w:rPr>
          <w:rFonts w:hint="eastAsia"/>
          <w:color w:val="auto"/>
          <w:highlight w:val="none"/>
        </w:rPr>
        <w:t>本合同一式伍份，甲方执叁份，乙方执贰份，具同等法律效力。</w:t>
      </w:r>
    </w:p>
    <w:p>
      <w:pPr>
        <w:pStyle w:val="33"/>
        <w:numPr>
          <w:ilvl w:val="0"/>
          <w:numId w:val="2"/>
        </w:numPr>
        <w:spacing w:before="0" w:beforeLines="0"/>
        <w:ind w:left="351" w:hanging="351" w:hangingChars="125"/>
        <w:rPr>
          <w:color w:val="auto"/>
          <w:highlight w:val="none"/>
        </w:rPr>
      </w:pPr>
      <w:bookmarkStart w:id="22" w:name="_Toc126961333"/>
      <w:r>
        <w:rPr>
          <w:rFonts w:hint="eastAsia"/>
          <w:color w:val="auto"/>
          <w:highlight w:val="none"/>
        </w:rPr>
        <w:t>本合同组成部分：</w:t>
      </w:r>
      <w:bookmarkEnd w:id="22"/>
    </w:p>
    <w:p>
      <w:pPr>
        <w:pStyle w:val="31"/>
        <w:spacing w:before="0" w:beforeLines="0"/>
        <w:ind w:firstLine="480" w:firstLineChars="200"/>
        <w:rPr>
          <w:color w:val="auto"/>
          <w:highlight w:val="none"/>
        </w:rPr>
      </w:pPr>
      <w:r>
        <w:rPr>
          <w:rFonts w:hint="eastAsia"/>
          <w:color w:val="auto"/>
          <w:highlight w:val="none"/>
        </w:rPr>
        <w:t>（1）合同条款；</w:t>
      </w:r>
    </w:p>
    <w:p>
      <w:pPr>
        <w:pStyle w:val="31"/>
        <w:spacing w:before="0" w:beforeLines="0"/>
        <w:ind w:firstLine="480" w:firstLineChars="200"/>
        <w:rPr>
          <w:color w:val="auto"/>
          <w:szCs w:val="24"/>
          <w:highlight w:val="none"/>
        </w:rPr>
      </w:pPr>
      <w:r>
        <w:rPr>
          <w:rFonts w:hint="eastAsia"/>
          <w:color w:val="auto"/>
          <w:highlight w:val="none"/>
        </w:rPr>
        <w:t>（2）合同附件；</w:t>
      </w:r>
    </w:p>
    <w:p>
      <w:pPr>
        <w:pStyle w:val="31"/>
        <w:spacing w:before="0" w:beforeLines="0"/>
        <w:ind w:firstLine="480" w:firstLineChars="200"/>
        <w:rPr>
          <w:color w:val="auto"/>
          <w:szCs w:val="24"/>
          <w:highlight w:val="none"/>
        </w:rPr>
      </w:pPr>
      <w:r>
        <w:rPr>
          <w:rFonts w:hint="eastAsia"/>
          <w:color w:val="auto"/>
          <w:szCs w:val="24"/>
          <w:highlight w:val="none"/>
        </w:rPr>
        <w:t>附件一：</w:t>
      </w:r>
      <w:r>
        <w:rPr>
          <w:rFonts w:hint="eastAsia" w:hAnsi="楷体_GB2312" w:cs="楷体_GB2312"/>
          <w:color w:val="auto"/>
          <w:szCs w:val="24"/>
          <w:highlight w:val="none"/>
        </w:rPr>
        <w:t>佛山季华项目</w:t>
      </w:r>
      <w:r>
        <w:rPr>
          <w:rFonts w:hint="eastAsia"/>
          <w:color w:val="auto"/>
          <w:szCs w:val="24"/>
          <w:highlight w:val="none"/>
        </w:rPr>
        <w:t>电梯合同界面</w:t>
      </w:r>
    </w:p>
    <w:p>
      <w:pPr>
        <w:pStyle w:val="31"/>
        <w:spacing w:before="0" w:beforeLines="0"/>
        <w:ind w:firstLine="480" w:firstLineChars="200"/>
        <w:rPr>
          <w:rFonts w:hAnsi="楷体_GB2312" w:cs="楷体_GB2312"/>
          <w:color w:val="auto"/>
          <w:szCs w:val="24"/>
          <w:highlight w:val="none"/>
        </w:rPr>
      </w:pPr>
      <w:r>
        <w:rPr>
          <w:rFonts w:hint="eastAsia" w:hAnsi="楷体_GB2312" w:cs="楷体_GB2312"/>
          <w:color w:val="auto"/>
          <w:szCs w:val="24"/>
          <w:highlight w:val="none"/>
        </w:rPr>
        <w:t>附件二：佛山季华项目电梯专业技术要求（另册）</w:t>
      </w:r>
    </w:p>
    <w:p>
      <w:pPr>
        <w:pStyle w:val="31"/>
        <w:spacing w:before="0" w:beforeLines="0"/>
        <w:ind w:firstLine="480" w:firstLineChars="200"/>
        <w:rPr>
          <w:rFonts w:hAnsi="楷体_GB2312" w:cs="楷体_GB2312"/>
          <w:color w:val="auto"/>
          <w:szCs w:val="24"/>
          <w:highlight w:val="none"/>
        </w:rPr>
      </w:pPr>
      <w:r>
        <w:rPr>
          <w:rFonts w:hint="eastAsia" w:hAnsi="楷体_GB2312" w:cs="楷体_GB2312"/>
          <w:color w:val="auto"/>
          <w:szCs w:val="24"/>
          <w:highlight w:val="none"/>
        </w:rPr>
        <w:t>附件三：佛山季华项目电梯供货报价清单（另册）</w:t>
      </w:r>
    </w:p>
    <w:p>
      <w:pPr>
        <w:pStyle w:val="31"/>
        <w:spacing w:before="0" w:beforeLines="0"/>
        <w:ind w:firstLine="480" w:firstLineChars="200"/>
        <w:rPr>
          <w:color w:val="auto"/>
          <w:szCs w:val="24"/>
          <w:highlight w:val="none"/>
        </w:rPr>
      </w:pPr>
      <w:r>
        <w:rPr>
          <w:rFonts w:hint="eastAsia"/>
          <w:color w:val="auto"/>
          <w:szCs w:val="24"/>
          <w:highlight w:val="none"/>
        </w:rPr>
        <w:t>附件四：佛山季华项目施工现场管理办法</w:t>
      </w:r>
    </w:p>
    <w:p>
      <w:pPr>
        <w:pStyle w:val="31"/>
        <w:spacing w:before="0" w:beforeLines="0"/>
        <w:ind w:firstLine="480" w:firstLineChars="200"/>
        <w:rPr>
          <w:color w:val="auto"/>
          <w:szCs w:val="24"/>
          <w:highlight w:val="none"/>
        </w:rPr>
      </w:pPr>
      <w:r>
        <w:rPr>
          <w:rFonts w:hint="eastAsia"/>
          <w:color w:val="auto"/>
          <w:szCs w:val="24"/>
          <w:highlight w:val="none"/>
        </w:rPr>
        <w:t>附件五：工程建设项目廉政责任书</w:t>
      </w:r>
    </w:p>
    <w:p>
      <w:pPr>
        <w:pStyle w:val="31"/>
        <w:spacing w:before="0" w:beforeLines="0"/>
        <w:ind w:firstLine="480" w:firstLineChars="200"/>
        <w:rPr>
          <w:color w:val="auto"/>
          <w:szCs w:val="24"/>
          <w:highlight w:val="none"/>
        </w:rPr>
      </w:pPr>
      <w:r>
        <w:rPr>
          <w:rFonts w:hint="eastAsia"/>
          <w:color w:val="auto"/>
          <w:szCs w:val="24"/>
          <w:highlight w:val="none"/>
        </w:rPr>
        <w:t>附件六：履约保函（样式）</w:t>
      </w:r>
    </w:p>
    <w:p>
      <w:pPr>
        <w:pStyle w:val="31"/>
        <w:spacing w:before="0" w:beforeLines="0"/>
        <w:ind w:firstLine="480" w:firstLineChars="200"/>
        <w:rPr>
          <w:color w:val="auto"/>
          <w:szCs w:val="24"/>
          <w:highlight w:val="none"/>
        </w:rPr>
      </w:pPr>
      <w:r>
        <w:rPr>
          <w:rFonts w:hint="eastAsia"/>
          <w:color w:val="auto"/>
          <w:szCs w:val="24"/>
          <w:highlight w:val="none"/>
        </w:rPr>
        <w:t>附件七：预付款保函（样式）</w:t>
      </w:r>
    </w:p>
    <w:p>
      <w:pPr>
        <w:pStyle w:val="31"/>
        <w:spacing w:before="0" w:beforeLines="0"/>
        <w:ind w:firstLine="480" w:firstLineChars="200"/>
        <w:rPr>
          <w:color w:val="auto"/>
          <w:szCs w:val="24"/>
          <w:highlight w:val="none"/>
        </w:rPr>
      </w:pPr>
      <w:r>
        <w:rPr>
          <w:rFonts w:hint="eastAsia"/>
          <w:color w:val="auto"/>
          <w:szCs w:val="24"/>
          <w:highlight w:val="none"/>
        </w:rPr>
        <w:t>附件八：质量保修书</w:t>
      </w:r>
    </w:p>
    <w:p>
      <w:pPr>
        <w:pStyle w:val="31"/>
        <w:spacing w:before="0" w:beforeLines="0"/>
        <w:ind w:firstLine="480" w:firstLineChars="200"/>
        <w:rPr>
          <w:color w:val="auto"/>
          <w:szCs w:val="24"/>
          <w:highlight w:val="none"/>
        </w:rPr>
      </w:pPr>
      <w:r>
        <w:rPr>
          <w:color w:val="auto"/>
          <w:szCs w:val="24"/>
          <w:highlight w:val="none"/>
        </w:rPr>
        <w:t>附件</w:t>
      </w:r>
      <w:r>
        <w:rPr>
          <w:rFonts w:hint="eastAsia"/>
          <w:color w:val="auto"/>
          <w:szCs w:val="24"/>
          <w:highlight w:val="none"/>
        </w:rPr>
        <w:t>九：</w:t>
      </w:r>
      <w:r>
        <w:rPr>
          <w:color w:val="auto"/>
          <w:szCs w:val="24"/>
          <w:highlight w:val="none"/>
        </w:rPr>
        <w:t>土建条件图</w:t>
      </w:r>
      <w:r>
        <w:rPr>
          <w:rFonts w:hint="eastAsia"/>
          <w:color w:val="auto"/>
          <w:szCs w:val="24"/>
          <w:highlight w:val="none"/>
        </w:rPr>
        <w:t>（如有）（另册）</w:t>
      </w:r>
    </w:p>
    <w:p>
      <w:pPr>
        <w:pStyle w:val="31"/>
        <w:spacing w:before="0" w:beforeLines="0"/>
        <w:ind w:firstLine="480" w:firstLineChars="200"/>
        <w:rPr>
          <w:color w:val="auto"/>
          <w:szCs w:val="24"/>
          <w:highlight w:val="none"/>
        </w:rPr>
      </w:pPr>
      <w:r>
        <w:rPr>
          <w:rFonts w:hint="eastAsia"/>
          <w:color w:val="auto"/>
          <w:szCs w:val="24"/>
          <w:highlight w:val="none"/>
        </w:rPr>
        <w:t>附件十：投标文件相关承诺等</w:t>
      </w:r>
      <w:r>
        <w:rPr>
          <w:rFonts w:hint="eastAsia" w:hAnsi="楷体_GB2312" w:cs="楷体_GB2312"/>
          <w:color w:val="auto"/>
          <w:szCs w:val="24"/>
          <w:highlight w:val="none"/>
        </w:rPr>
        <w:t>（另册）</w:t>
      </w:r>
    </w:p>
    <w:p>
      <w:pPr>
        <w:pStyle w:val="31"/>
        <w:spacing w:before="0" w:beforeLines="0"/>
        <w:ind w:firstLine="480" w:firstLineChars="200"/>
        <w:rPr>
          <w:color w:val="auto"/>
          <w:highlight w:val="none"/>
        </w:rPr>
      </w:pPr>
      <w:r>
        <w:rPr>
          <w:rFonts w:hint="eastAsia"/>
          <w:color w:val="auto"/>
          <w:highlight w:val="none"/>
        </w:rPr>
        <w:t>（3）本合同的招标文件；</w:t>
      </w:r>
    </w:p>
    <w:p>
      <w:pPr>
        <w:pStyle w:val="31"/>
        <w:spacing w:before="0" w:beforeLines="0"/>
        <w:ind w:firstLine="480" w:firstLineChars="200"/>
        <w:rPr>
          <w:color w:val="auto"/>
          <w:highlight w:val="none"/>
        </w:rPr>
      </w:pPr>
      <w:r>
        <w:rPr>
          <w:rFonts w:hint="eastAsia"/>
          <w:color w:val="auto"/>
          <w:highlight w:val="none"/>
        </w:rPr>
        <w:t>（4）乙方的投标文件（以符合甲方招标文件或经乙方书面同意者为准，但投标文件承诺的义务、责任高于招标文件的，以对甲方有利的承诺为准）。</w:t>
      </w:r>
    </w:p>
    <w:p>
      <w:pPr>
        <w:pStyle w:val="31"/>
        <w:spacing w:before="0" w:beforeLines="0"/>
        <w:ind w:firstLine="480" w:firstLineChars="200"/>
        <w:rPr>
          <w:rFonts w:hAnsi="宋体"/>
          <w:color w:val="auto"/>
          <w:szCs w:val="24"/>
          <w:highlight w:val="none"/>
        </w:rPr>
      </w:pPr>
      <w:r>
        <w:rPr>
          <w:rFonts w:hint="eastAsia"/>
          <w:color w:val="auto"/>
          <w:highlight w:val="none"/>
        </w:rPr>
        <w:t>上述文件</w:t>
      </w:r>
      <w:r>
        <w:rPr>
          <w:rFonts w:hint="eastAsia" w:hAnsi="宋体"/>
          <w:color w:val="auto"/>
          <w:szCs w:val="24"/>
          <w:highlight w:val="none"/>
        </w:rPr>
        <w:t>出现不一致时，除本合同另有明文规定外，按排列在前者为准；同一顺序文件出现不一致的，以时间在后者为准。</w:t>
      </w:r>
    </w:p>
    <w:p>
      <w:pPr>
        <w:pStyle w:val="31"/>
        <w:spacing w:before="0" w:beforeLines="0"/>
        <w:ind w:left="567"/>
        <w:rPr>
          <w:color w:val="auto"/>
          <w:highlight w:val="none"/>
        </w:rPr>
      </w:pPr>
      <w:r>
        <w:rPr>
          <w:rFonts w:hint="eastAsia" w:hAnsi="宋体"/>
          <w:color w:val="auto"/>
          <w:szCs w:val="24"/>
          <w:highlight w:val="none"/>
        </w:rPr>
        <w:t>（以下无正文）</w:t>
      </w:r>
    </w:p>
    <w:p>
      <w:pPr>
        <w:pStyle w:val="31"/>
        <w:spacing w:before="231"/>
        <w:rPr>
          <w:color w:val="auto"/>
          <w:highlight w:val="none"/>
        </w:rPr>
      </w:pPr>
      <w:r>
        <w:rPr>
          <w:color w:val="auto"/>
          <w:highlight w:val="none"/>
        </w:rPr>
        <w:br w:type="page"/>
      </w:r>
      <w:r>
        <w:rPr>
          <w:rFonts w:hint="eastAsia"/>
          <w:color w:val="auto"/>
          <w:highlight w:val="none"/>
        </w:rPr>
        <w:t>（本页为签章页）</w:t>
      </w:r>
    </w:p>
    <w:p>
      <w:pPr>
        <w:pStyle w:val="31"/>
        <w:spacing w:before="231"/>
        <w:rPr>
          <w:color w:val="auto"/>
          <w:highlight w:val="none"/>
        </w:rPr>
      </w:pPr>
    </w:p>
    <w:p>
      <w:pPr>
        <w:pStyle w:val="31"/>
        <w:spacing w:before="231"/>
        <w:rPr>
          <w:color w:val="auto"/>
          <w:highlight w:val="none"/>
        </w:rPr>
      </w:pPr>
    </w:p>
    <w:p>
      <w:pPr>
        <w:pStyle w:val="31"/>
        <w:spacing w:before="231"/>
        <w:rPr>
          <w:color w:val="auto"/>
          <w:highlight w:val="none"/>
        </w:rPr>
      </w:pPr>
      <w:r>
        <w:rPr>
          <w:rFonts w:hint="eastAsia"/>
          <w:color w:val="auto"/>
          <w:highlight w:val="none"/>
        </w:rPr>
        <w:t>甲方（盖章）：佛山粤海置地发展有限公司</w:t>
      </w:r>
    </w:p>
    <w:p>
      <w:pPr>
        <w:pStyle w:val="31"/>
        <w:spacing w:before="231"/>
        <w:rPr>
          <w:color w:val="auto"/>
          <w:highlight w:val="none"/>
        </w:rPr>
      </w:pPr>
      <w:r>
        <w:rPr>
          <w:rFonts w:hint="eastAsia"/>
          <w:color w:val="auto"/>
          <w:highlight w:val="none"/>
        </w:rPr>
        <w:t>法定代表人签字：</w:t>
      </w:r>
    </w:p>
    <w:p>
      <w:pPr>
        <w:pStyle w:val="31"/>
        <w:spacing w:before="231"/>
        <w:rPr>
          <w:color w:val="auto"/>
          <w:highlight w:val="none"/>
        </w:rPr>
      </w:pPr>
      <w:r>
        <w:rPr>
          <w:rFonts w:hint="eastAsia"/>
          <w:color w:val="auto"/>
          <w:highlight w:val="none"/>
        </w:rPr>
        <w:t>(或授权代表)：</w:t>
      </w:r>
    </w:p>
    <w:p>
      <w:pPr>
        <w:pStyle w:val="31"/>
        <w:spacing w:before="231"/>
        <w:rPr>
          <w:color w:val="auto"/>
          <w:highlight w:val="none"/>
        </w:rPr>
      </w:pPr>
    </w:p>
    <w:p>
      <w:pPr>
        <w:pStyle w:val="31"/>
        <w:spacing w:before="231"/>
        <w:rPr>
          <w:color w:val="auto"/>
          <w:highlight w:val="none"/>
        </w:rPr>
      </w:pPr>
      <w:r>
        <w:rPr>
          <w:rFonts w:hint="eastAsia"/>
          <w:color w:val="auto"/>
          <w:highlight w:val="none"/>
        </w:rPr>
        <w:t>乙方（盖章）：</w:t>
      </w:r>
    </w:p>
    <w:p>
      <w:pPr>
        <w:pStyle w:val="31"/>
        <w:spacing w:before="231"/>
        <w:rPr>
          <w:color w:val="auto"/>
          <w:highlight w:val="none"/>
        </w:rPr>
      </w:pPr>
      <w:r>
        <w:rPr>
          <w:rFonts w:hint="eastAsia"/>
          <w:color w:val="auto"/>
          <w:highlight w:val="none"/>
        </w:rPr>
        <w:t>法定代表人签字：</w:t>
      </w:r>
    </w:p>
    <w:p>
      <w:pPr>
        <w:pStyle w:val="31"/>
        <w:spacing w:before="231"/>
        <w:rPr>
          <w:color w:val="auto"/>
          <w:highlight w:val="none"/>
        </w:rPr>
      </w:pPr>
      <w:r>
        <w:rPr>
          <w:rFonts w:hint="eastAsia"/>
          <w:color w:val="auto"/>
          <w:highlight w:val="none"/>
        </w:rPr>
        <w:t>(或授权代表)</w:t>
      </w:r>
    </w:p>
    <w:p>
      <w:pPr>
        <w:pStyle w:val="31"/>
        <w:spacing w:before="231"/>
        <w:rPr>
          <w:color w:val="auto"/>
          <w:highlight w:val="none"/>
        </w:rPr>
      </w:pPr>
      <w:r>
        <w:rPr>
          <w:rFonts w:hint="eastAsia"/>
          <w:color w:val="auto"/>
          <w:highlight w:val="none"/>
        </w:rPr>
        <w:t xml:space="preserve">开户银行: </w:t>
      </w:r>
    </w:p>
    <w:p>
      <w:pPr>
        <w:pStyle w:val="31"/>
        <w:spacing w:before="231"/>
        <w:rPr>
          <w:color w:val="auto"/>
          <w:highlight w:val="none"/>
        </w:rPr>
      </w:pPr>
      <w:r>
        <w:rPr>
          <w:color w:val="auto"/>
          <w:highlight w:val="none"/>
        </w:rPr>
        <w:t>银行账号</w:t>
      </w:r>
      <w:r>
        <w:rPr>
          <w:rFonts w:hint="eastAsia"/>
          <w:color w:val="auto"/>
          <w:highlight w:val="none"/>
        </w:rPr>
        <w:t>:</w:t>
      </w:r>
      <w:r>
        <w:rPr>
          <w:color w:val="auto"/>
          <w:highlight w:val="none"/>
        </w:rPr>
        <w:t xml:space="preserve"> </w:t>
      </w:r>
    </w:p>
    <w:p>
      <w:pPr>
        <w:pStyle w:val="31"/>
        <w:spacing w:before="231"/>
        <w:rPr>
          <w:color w:val="auto"/>
          <w:highlight w:val="none"/>
        </w:rPr>
      </w:pPr>
    </w:p>
    <w:p>
      <w:pPr>
        <w:pStyle w:val="31"/>
        <w:spacing w:before="231"/>
        <w:rPr>
          <w:color w:val="auto"/>
          <w:highlight w:val="none"/>
        </w:rPr>
      </w:pPr>
    </w:p>
    <w:p>
      <w:pPr>
        <w:pStyle w:val="31"/>
        <w:spacing w:before="231"/>
        <w:rPr>
          <w:color w:val="auto"/>
          <w:highlight w:val="none"/>
        </w:rPr>
      </w:pPr>
      <w:r>
        <w:rPr>
          <w:rFonts w:hint="eastAsia"/>
          <w:color w:val="auto"/>
          <w:highlight w:val="none"/>
        </w:rPr>
        <w:t>签约日期：2023年  月   日</w:t>
      </w:r>
    </w:p>
    <w:p>
      <w:pPr>
        <w:snapToGrid w:val="0"/>
        <w:spacing w:line="360" w:lineRule="auto"/>
        <w:rPr>
          <w:rFonts w:ascii="楷体_GB2312" w:eastAsia="楷体_GB2312"/>
          <w:color w:val="auto"/>
          <w:sz w:val="24"/>
          <w:highlight w:val="none"/>
        </w:rPr>
      </w:pPr>
    </w:p>
    <w:p>
      <w:pPr>
        <w:rPr>
          <w:rFonts w:ascii="楷体_GB2312" w:eastAsia="楷体_GB2312"/>
          <w:color w:val="auto"/>
          <w:sz w:val="24"/>
          <w:szCs w:val="24"/>
          <w:highlight w:val="none"/>
        </w:rPr>
        <w:sectPr>
          <w:headerReference r:id="rId4" w:type="first"/>
          <w:footerReference r:id="rId6" w:type="first"/>
          <w:footerReference r:id="rId5" w:type="default"/>
          <w:headerReference r:id="rId3" w:type="even"/>
          <w:type w:val="continuous"/>
          <w:pgSz w:w="11906" w:h="16838"/>
          <w:pgMar w:top="1418" w:right="1418" w:bottom="1418" w:left="1418" w:header="851" w:footer="992" w:gutter="0"/>
          <w:cols w:space="720" w:num="1"/>
          <w:titlePg/>
          <w:docGrid w:type="lines" w:linePitch="462" w:charSpace="0"/>
        </w:sectPr>
      </w:pPr>
    </w:p>
    <w:p>
      <w:pPr>
        <w:rPr>
          <w:rFonts w:ascii="楷体_GB2312" w:eastAsia="楷体_GB2312"/>
          <w:color w:val="auto"/>
          <w:sz w:val="24"/>
          <w:szCs w:val="24"/>
          <w:highlight w:val="none"/>
        </w:rPr>
        <w:sectPr>
          <w:type w:val="continuous"/>
          <w:pgSz w:w="11906" w:h="16838"/>
          <w:pgMar w:top="1418" w:right="1418" w:bottom="1418" w:left="1418" w:header="851" w:footer="992" w:gutter="0"/>
          <w:cols w:space="720" w:num="1"/>
          <w:titlePg/>
          <w:docGrid w:type="lines" w:linePitch="462" w:charSpace="0"/>
        </w:sectPr>
      </w:pPr>
    </w:p>
    <w:p>
      <w:pPr>
        <w:pStyle w:val="8"/>
        <w:snapToGrid w:val="0"/>
        <w:spacing w:after="0" w:line="360" w:lineRule="auto"/>
        <w:outlineLvl w:val="0"/>
        <w:rPr>
          <w:rFonts w:ascii="仿宋" w:hAnsi="仿宋" w:eastAsia="仿宋" w:cs="楷体_GB2312"/>
          <w:color w:val="auto"/>
          <w:sz w:val="21"/>
          <w:szCs w:val="21"/>
          <w:highlight w:val="none"/>
          <w:u w:val="none"/>
        </w:rPr>
      </w:pPr>
      <w:bookmarkStart w:id="23" w:name="_Toc126961334"/>
      <w:r>
        <w:rPr>
          <w:rFonts w:hint="eastAsia" w:ascii="仿宋" w:hAnsi="仿宋" w:eastAsia="仿宋" w:cs="楷体_GB2312"/>
          <w:color w:val="auto"/>
          <w:sz w:val="21"/>
          <w:szCs w:val="21"/>
          <w:highlight w:val="none"/>
          <w:u w:val="none"/>
        </w:rPr>
        <w:t>附件一：佛山季华项目电梯合同界面</w:t>
      </w:r>
      <w:bookmarkEnd w:id="23"/>
    </w:p>
    <w:tbl>
      <w:tblPr>
        <w:tblStyle w:val="18"/>
        <w:tblW w:w="9659" w:type="dxa"/>
        <w:tblInd w:w="93" w:type="dxa"/>
        <w:tblLayout w:type="fixed"/>
        <w:tblCellMar>
          <w:top w:w="0" w:type="dxa"/>
          <w:left w:w="108" w:type="dxa"/>
          <w:bottom w:w="0" w:type="dxa"/>
          <w:right w:w="108" w:type="dxa"/>
        </w:tblCellMar>
      </w:tblPr>
      <w:tblGrid>
        <w:gridCol w:w="382"/>
        <w:gridCol w:w="712"/>
        <w:gridCol w:w="1936"/>
        <w:gridCol w:w="1577"/>
        <w:gridCol w:w="2362"/>
        <w:gridCol w:w="1288"/>
        <w:gridCol w:w="1402"/>
      </w:tblGrid>
      <w:tr>
        <w:tblPrEx>
          <w:tblLayout w:type="fixed"/>
          <w:tblCellMar>
            <w:top w:w="0" w:type="dxa"/>
            <w:left w:w="108" w:type="dxa"/>
            <w:bottom w:w="0" w:type="dxa"/>
            <w:right w:w="108" w:type="dxa"/>
          </w:tblCellMar>
        </w:tblPrEx>
        <w:trPr>
          <w:trHeight w:val="933" w:hRule="atLeast"/>
        </w:trPr>
        <w:tc>
          <w:tcPr>
            <w:tcW w:w="382" w:type="dxa"/>
            <w:vMerge w:val="restart"/>
            <w:tcBorders>
              <w:top w:val="single" w:color="auto" w:sz="4" w:space="0"/>
              <w:left w:val="single" w:color="auto" w:sz="4" w:space="0"/>
              <w:right w:val="single" w:color="auto" w:sz="4" w:space="0"/>
            </w:tcBorders>
            <w:shd w:val="clear" w:color="auto" w:fill="auto"/>
            <w:vAlign w:val="center"/>
          </w:tcPr>
          <w:p>
            <w:pPr>
              <w:widowControl/>
              <w:autoSpaceDE/>
              <w:autoSpaceDN/>
              <w:adjustRightInd/>
              <w:jc w:val="center"/>
              <w:rPr>
                <w:rFonts w:ascii="等线" w:hAnsi="等线" w:eastAsia="等线" w:cs="宋体"/>
                <w:b/>
                <w:bCs/>
                <w:color w:val="auto"/>
                <w:sz w:val="21"/>
                <w:szCs w:val="21"/>
                <w:highlight w:val="none"/>
              </w:rPr>
            </w:pPr>
            <w:r>
              <w:rPr>
                <w:rFonts w:hint="eastAsia" w:ascii="等线" w:hAnsi="等线" w:eastAsia="等线" w:cs="宋体"/>
                <w:b/>
                <w:bCs/>
                <w:color w:val="auto"/>
                <w:sz w:val="21"/>
                <w:szCs w:val="21"/>
                <w:highlight w:val="none"/>
              </w:rPr>
              <w:t>序</w:t>
            </w:r>
          </w:p>
          <w:p>
            <w:pPr>
              <w:widowControl/>
              <w:autoSpaceDE/>
              <w:autoSpaceDN/>
              <w:adjustRightInd/>
              <w:jc w:val="center"/>
              <w:rPr>
                <w:rFonts w:ascii="等线" w:hAnsi="等线" w:eastAsia="等线" w:cs="宋体"/>
                <w:b/>
                <w:bCs/>
                <w:color w:val="auto"/>
                <w:sz w:val="21"/>
                <w:szCs w:val="21"/>
                <w:highlight w:val="none"/>
              </w:rPr>
            </w:pPr>
            <w:r>
              <w:rPr>
                <w:rFonts w:hint="eastAsia" w:ascii="等线" w:hAnsi="等线" w:eastAsia="等线" w:cs="宋体"/>
                <w:b/>
                <w:bCs/>
                <w:color w:val="auto"/>
                <w:sz w:val="21"/>
                <w:szCs w:val="21"/>
                <w:highlight w:val="none"/>
              </w:rPr>
              <w:t>号</w:t>
            </w:r>
            <w:r>
              <w:rPr>
                <w:rFonts w:hint="eastAsia" w:ascii="等线" w:hAnsi="等线" w:eastAsia="等线" w:cs="宋体"/>
                <w:color w:val="auto"/>
                <w:sz w:val="21"/>
                <w:szCs w:val="21"/>
                <w:highlight w:val="none"/>
              </w:rPr>
              <w:t>　</w:t>
            </w:r>
          </w:p>
        </w:tc>
        <w:tc>
          <w:tcPr>
            <w:tcW w:w="71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工程内容</w:t>
            </w:r>
          </w:p>
        </w:tc>
        <w:tc>
          <w:tcPr>
            <w:tcW w:w="8565" w:type="dxa"/>
            <w:gridSpan w:val="5"/>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合同界面</w:t>
            </w:r>
          </w:p>
        </w:tc>
      </w:tr>
      <w:tr>
        <w:tblPrEx>
          <w:tblLayout w:type="fixed"/>
          <w:tblCellMar>
            <w:top w:w="0" w:type="dxa"/>
            <w:left w:w="108" w:type="dxa"/>
            <w:bottom w:w="0" w:type="dxa"/>
            <w:right w:w="108" w:type="dxa"/>
          </w:tblCellMar>
        </w:tblPrEx>
        <w:trPr>
          <w:trHeight w:val="444" w:hRule="atLeast"/>
        </w:trPr>
        <w:tc>
          <w:tcPr>
            <w:tcW w:w="382" w:type="dxa"/>
            <w:vMerge w:val="continue"/>
            <w:tcBorders>
              <w:left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等线" w:hAnsi="等线" w:eastAsia="等线" w:cs="宋体"/>
                <w:color w:val="auto"/>
                <w:sz w:val="21"/>
                <w:szCs w:val="21"/>
                <w:highlight w:val="none"/>
              </w:rPr>
            </w:pPr>
          </w:p>
        </w:tc>
        <w:tc>
          <w:tcPr>
            <w:tcW w:w="712" w:type="dxa"/>
            <w:vMerge w:val="restart"/>
            <w:tcBorders>
              <w:top w:val="nil"/>
              <w:left w:val="nil"/>
              <w:right w:val="single" w:color="auto" w:sz="4" w:space="0"/>
            </w:tcBorders>
            <w:shd w:val="clear" w:color="auto" w:fill="auto"/>
            <w:vAlign w:val="center"/>
          </w:tcPr>
          <w:p>
            <w:pPr>
              <w:widowControl/>
              <w:autoSpaceDE/>
              <w:autoSpaceDN/>
              <w:adjustRightInd/>
              <w:spacing w:line="280" w:lineRule="exact"/>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电梯工程</w:t>
            </w:r>
          </w:p>
        </w:tc>
        <w:tc>
          <w:tcPr>
            <w:tcW w:w="3513"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仿宋" w:hAnsi="仿宋" w:eastAsia="仿宋" w:cs="宋体"/>
                <w:b/>
                <w:bCs/>
                <w:color w:val="auto"/>
                <w:sz w:val="21"/>
                <w:szCs w:val="21"/>
                <w:highlight w:val="none"/>
              </w:rPr>
            </w:pPr>
            <w:r>
              <w:rPr>
                <w:rFonts w:hint="eastAsia" w:ascii="仿宋" w:hAnsi="仿宋" w:eastAsia="仿宋" w:cs="宋体"/>
                <w:b/>
                <w:bCs/>
                <w:color w:val="auto"/>
                <w:szCs w:val="21"/>
                <w:highlight w:val="none"/>
              </w:rPr>
              <w:t>总包范围</w:t>
            </w:r>
          </w:p>
        </w:tc>
        <w:tc>
          <w:tcPr>
            <w:tcW w:w="2362" w:type="dxa"/>
            <w:vMerge w:val="restart"/>
            <w:tcBorders>
              <w:top w:val="nil"/>
              <w:left w:val="nil"/>
              <w:right w:val="single" w:color="auto" w:sz="4" w:space="0"/>
            </w:tcBorders>
            <w:shd w:val="clear" w:color="auto" w:fill="auto"/>
            <w:vAlign w:val="center"/>
          </w:tcPr>
          <w:p>
            <w:pPr>
              <w:widowControl/>
              <w:autoSpaceDE/>
              <w:autoSpaceDN/>
              <w:adjustRightInd/>
              <w:spacing w:line="280" w:lineRule="exact"/>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电梯设备供货、安装工程合同</w:t>
            </w:r>
          </w:p>
        </w:tc>
        <w:tc>
          <w:tcPr>
            <w:tcW w:w="1288" w:type="dxa"/>
            <w:vMerge w:val="restart"/>
            <w:tcBorders>
              <w:top w:val="nil"/>
              <w:left w:val="nil"/>
              <w:right w:val="single" w:color="auto" w:sz="4" w:space="0"/>
            </w:tcBorders>
            <w:shd w:val="clear" w:color="auto" w:fill="auto"/>
            <w:vAlign w:val="center"/>
          </w:tcPr>
          <w:p>
            <w:pPr>
              <w:widowControl/>
              <w:autoSpaceDE/>
              <w:autoSpaceDN/>
              <w:adjustRightInd/>
              <w:spacing w:line="280" w:lineRule="exact"/>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智能化合同</w:t>
            </w:r>
          </w:p>
        </w:tc>
        <w:tc>
          <w:tcPr>
            <w:tcW w:w="1402" w:type="dxa"/>
            <w:vMerge w:val="restart"/>
            <w:tcBorders>
              <w:top w:val="nil"/>
              <w:left w:val="nil"/>
              <w:right w:val="single" w:color="auto" w:sz="4" w:space="0"/>
            </w:tcBorders>
            <w:shd w:val="clear" w:color="auto" w:fill="auto"/>
            <w:vAlign w:val="center"/>
          </w:tcPr>
          <w:p>
            <w:pPr>
              <w:widowControl/>
              <w:autoSpaceDE/>
              <w:autoSpaceDN/>
              <w:adjustRightInd/>
              <w:spacing w:line="280" w:lineRule="exact"/>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精装修合同</w:t>
            </w:r>
          </w:p>
        </w:tc>
      </w:tr>
      <w:tr>
        <w:tblPrEx>
          <w:tblLayout w:type="fixed"/>
          <w:tblCellMar>
            <w:top w:w="0" w:type="dxa"/>
            <w:left w:w="108" w:type="dxa"/>
            <w:bottom w:w="0" w:type="dxa"/>
            <w:right w:w="108" w:type="dxa"/>
          </w:tblCellMar>
        </w:tblPrEx>
        <w:trPr>
          <w:trHeight w:val="335" w:hRule="atLeast"/>
        </w:trPr>
        <w:tc>
          <w:tcPr>
            <w:tcW w:w="382" w:type="dxa"/>
            <w:vMerge w:val="continue"/>
            <w:tcBorders>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auto"/>
                <w:szCs w:val="21"/>
                <w:highlight w:val="none"/>
              </w:rPr>
            </w:pPr>
          </w:p>
        </w:tc>
        <w:tc>
          <w:tcPr>
            <w:tcW w:w="712" w:type="dxa"/>
            <w:vMerge w:val="continue"/>
            <w:tcBorders>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b/>
                <w:bCs/>
                <w:color w:val="auto"/>
                <w:szCs w:val="21"/>
                <w:highlight w:val="none"/>
              </w:rPr>
            </w:pPr>
          </w:p>
        </w:tc>
        <w:tc>
          <w:tcPr>
            <w:tcW w:w="193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 w:hAnsi="仿宋" w:eastAsia="仿宋" w:cs="宋体"/>
                <w:b/>
                <w:bCs/>
                <w:color w:val="auto"/>
                <w:szCs w:val="21"/>
                <w:highlight w:val="none"/>
              </w:rPr>
            </w:pPr>
            <w:r>
              <w:rPr>
                <w:rFonts w:hint="eastAsia" w:ascii="仿宋" w:hAnsi="仿宋" w:eastAsia="仿宋" w:cs="宋体"/>
                <w:b/>
                <w:bCs/>
                <w:color w:val="auto"/>
                <w:sz w:val="21"/>
                <w:szCs w:val="21"/>
                <w:highlight w:val="none"/>
              </w:rPr>
              <w:t>土建</w:t>
            </w:r>
          </w:p>
        </w:tc>
        <w:tc>
          <w:tcPr>
            <w:tcW w:w="157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 w:hAnsi="仿宋" w:eastAsia="仿宋" w:cs="宋体"/>
                <w:b/>
                <w:bCs/>
                <w:color w:val="auto"/>
                <w:szCs w:val="21"/>
                <w:highlight w:val="none"/>
              </w:rPr>
            </w:pPr>
            <w:r>
              <w:rPr>
                <w:rFonts w:hint="eastAsia" w:ascii="仿宋" w:hAnsi="仿宋" w:eastAsia="仿宋" w:cs="宋体"/>
                <w:b/>
                <w:bCs/>
                <w:color w:val="auto"/>
                <w:sz w:val="21"/>
                <w:szCs w:val="21"/>
                <w:highlight w:val="none"/>
              </w:rPr>
              <w:t>机电</w:t>
            </w:r>
          </w:p>
        </w:tc>
        <w:tc>
          <w:tcPr>
            <w:tcW w:w="2362" w:type="dxa"/>
            <w:vMerge w:val="continue"/>
            <w:tcBorders>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b/>
                <w:bCs/>
                <w:color w:val="auto"/>
                <w:szCs w:val="21"/>
                <w:highlight w:val="none"/>
              </w:rPr>
            </w:pPr>
          </w:p>
        </w:tc>
        <w:tc>
          <w:tcPr>
            <w:tcW w:w="1288" w:type="dxa"/>
            <w:vMerge w:val="continue"/>
            <w:tcBorders>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b/>
                <w:bCs/>
                <w:color w:val="auto"/>
                <w:szCs w:val="21"/>
                <w:highlight w:val="none"/>
              </w:rPr>
            </w:pPr>
          </w:p>
        </w:tc>
        <w:tc>
          <w:tcPr>
            <w:tcW w:w="1402" w:type="dxa"/>
            <w:vMerge w:val="continue"/>
            <w:tcBorders>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b/>
                <w:bCs/>
                <w:color w:val="auto"/>
                <w:szCs w:val="21"/>
                <w:highlight w:val="none"/>
              </w:rPr>
            </w:pPr>
          </w:p>
        </w:tc>
      </w:tr>
      <w:tr>
        <w:tblPrEx>
          <w:tblLayout w:type="fixed"/>
          <w:tblCellMar>
            <w:top w:w="0" w:type="dxa"/>
            <w:left w:w="108" w:type="dxa"/>
            <w:bottom w:w="0" w:type="dxa"/>
            <w:right w:w="108" w:type="dxa"/>
          </w:tblCellMar>
        </w:tblPrEx>
        <w:trPr>
          <w:trHeight w:val="850" w:hRule="atLeast"/>
        </w:trPr>
        <w:tc>
          <w:tcPr>
            <w:tcW w:w="382" w:type="dxa"/>
            <w:vMerge w:val="restart"/>
            <w:tcBorders>
              <w:top w:val="nil"/>
              <w:left w:val="single" w:color="auto" w:sz="4" w:space="0"/>
              <w:bottom w:val="nil"/>
              <w:right w:val="single" w:color="auto" w:sz="4" w:space="0"/>
            </w:tcBorders>
            <w:shd w:val="clear" w:color="auto" w:fill="auto"/>
            <w:vAlign w:val="center"/>
          </w:tcPr>
          <w:p>
            <w:pPr>
              <w:widowControl/>
              <w:autoSpaceDE/>
              <w:autoSpaceDN/>
              <w:adjustRightInd/>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712"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电梯工程</w:t>
            </w:r>
          </w:p>
        </w:tc>
        <w:tc>
          <w:tcPr>
            <w:tcW w:w="19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主体结构上开孔、洞、凹口、凹槽等</w:t>
            </w:r>
          </w:p>
        </w:tc>
        <w:tc>
          <w:tcPr>
            <w:tcW w:w="1577"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w:t>
            </w:r>
          </w:p>
        </w:tc>
        <w:tc>
          <w:tcPr>
            <w:tcW w:w="236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电梯设备供货、安装</w:t>
            </w:r>
          </w:p>
        </w:tc>
        <w:tc>
          <w:tcPr>
            <w:tcW w:w="1288"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w:t>
            </w:r>
          </w:p>
        </w:tc>
        <w:tc>
          <w:tcPr>
            <w:tcW w:w="140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w:t>
            </w:r>
          </w:p>
        </w:tc>
      </w:tr>
      <w:tr>
        <w:tblPrEx>
          <w:tblLayout w:type="fixed"/>
          <w:tblCellMar>
            <w:top w:w="0" w:type="dxa"/>
            <w:left w:w="108" w:type="dxa"/>
            <w:bottom w:w="0" w:type="dxa"/>
            <w:right w:w="108" w:type="dxa"/>
          </w:tblCellMar>
        </w:tblPrEx>
        <w:trPr>
          <w:trHeight w:val="850" w:hRule="atLeast"/>
        </w:trPr>
        <w:tc>
          <w:tcPr>
            <w:tcW w:w="382" w:type="dxa"/>
            <w:vMerge w:val="continue"/>
            <w:tcBorders>
              <w:top w:val="nil"/>
              <w:left w:val="single" w:color="auto" w:sz="4" w:space="0"/>
              <w:bottom w:val="nil"/>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71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9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电梯机房内曳引机吊钩、钢梁、钢牛腿的预埋</w:t>
            </w:r>
          </w:p>
        </w:tc>
        <w:tc>
          <w:tcPr>
            <w:tcW w:w="1577"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236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电梯井道照明</w:t>
            </w:r>
          </w:p>
        </w:tc>
        <w:tc>
          <w:tcPr>
            <w:tcW w:w="1288"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140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r>
      <w:tr>
        <w:tblPrEx>
          <w:tblLayout w:type="fixed"/>
          <w:tblCellMar>
            <w:top w:w="0" w:type="dxa"/>
            <w:left w:w="108" w:type="dxa"/>
            <w:bottom w:w="0" w:type="dxa"/>
            <w:right w:w="108" w:type="dxa"/>
          </w:tblCellMar>
        </w:tblPrEx>
        <w:trPr>
          <w:trHeight w:val="1679" w:hRule="atLeast"/>
        </w:trPr>
        <w:tc>
          <w:tcPr>
            <w:tcW w:w="382" w:type="dxa"/>
            <w:vMerge w:val="continue"/>
            <w:tcBorders>
              <w:top w:val="nil"/>
              <w:left w:val="single" w:color="auto" w:sz="4" w:space="0"/>
              <w:bottom w:val="nil"/>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71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9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电梯井道/机房中的混凝土构件（例如：混凝土牛腿、分割梁、搁机梁等一次、二次浇筑）</w:t>
            </w:r>
          </w:p>
        </w:tc>
        <w:tc>
          <w:tcPr>
            <w:tcW w:w="1577"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236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电梯井道/机房中的钢构件（例如：钢梁、钢牛腿、承重垫板和钢平台等）</w:t>
            </w:r>
          </w:p>
        </w:tc>
        <w:tc>
          <w:tcPr>
            <w:tcW w:w="1288"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140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r>
      <w:tr>
        <w:tblPrEx>
          <w:tblLayout w:type="fixed"/>
          <w:tblCellMar>
            <w:top w:w="0" w:type="dxa"/>
            <w:left w:w="108" w:type="dxa"/>
            <w:bottom w:w="0" w:type="dxa"/>
            <w:right w:w="108" w:type="dxa"/>
          </w:tblCellMar>
        </w:tblPrEx>
        <w:trPr>
          <w:trHeight w:val="850" w:hRule="atLeast"/>
        </w:trPr>
        <w:tc>
          <w:tcPr>
            <w:tcW w:w="382" w:type="dxa"/>
            <w:vMerge w:val="continue"/>
            <w:tcBorders>
              <w:top w:val="nil"/>
              <w:left w:val="single" w:color="auto" w:sz="4" w:space="0"/>
              <w:bottom w:val="nil"/>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71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9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各设备混凝土基础一次、二次浇筑</w:t>
            </w:r>
          </w:p>
        </w:tc>
        <w:tc>
          <w:tcPr>
            <w:tcW w:w="1577"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236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cs="宋体"/>
                <w:color w:val="auto"/>
                <w:sz w:val="21"/>
                <w:szCs w:val="21"/>
                <w:highlight w:val="none"/>
              </w:rPr>
            </w:pPr>
            <w:r>
              <w:rPr>
                <w:rFonts w:hint="eastAsia"/>
                <w:color w:val="auto"/>
                <w:sz w:val="21"/>
                <w:szCs w:val="21"/>
                <w:highlight w:val="none"/>
              </w:rPr>
              <w:t>电梯空调供货、安装；轿厢内吊顶部分管道</w:t>
            </w:r>
          </w:p>
        </w:tc>
        <w:tc>
          <w:tcPr>
            <w:tcW w:w="1288"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140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电梯轿厢内灯具、风口供货及安装</w:t>
            </w:r>
          </w:p>
        </w:tc>
      </w:tr>
      <w:tr>
        <w:tblPrEx>
          <w:tblLayout w:type="fixed"/>
          <w:tblCellMar>
            <w:top w:w="0" w:type="dxa"/>
            <w:left w:w="108" w:type="dxa"/>
            <w:bottom w:w="0" w:type="dxa"/>
            <w:right w:w="108" w:type="dxa"/>
          </w:tblCellMar>
        </w:tblPrEx>
        <w:trPr>
          <w:trHeight w:val="1404" w:hRule="atLeast"/>
        </w:trPr>
        <w:tc>
          <w:tcPr>
            <w:tcW w:w="382" w:type="dxa"/>
            <w:vMerge w:val="continue"/>
            <w:tcBorders>
              <w:top w:val="nil"/>
              <w:left w:val="single" w:color="auto" w:sz="4" w:space="0"/>
              <w:bottom w:val="nil"/>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71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9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电梯井防水、楼层内厅门洞口防护及挡水</w:t>
            </w:r>
          </w:p>
        </w:tc>
        <w:tc>
          <w:tcPr>
            <w:tcW w:w="1577"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电梯集水坑排水</w:t>
            </w:r>
          </w:p>
        </w:tc>
        <w:tc>
          <w:tcPr>
            <w:tcW w:w="236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电梯轿厢前壁、住宅部分桥厢左右侧壁、厅门、轿厢门、小门套</w:t>
            </w:r>
          </w:p>
        </w:tc>
        <w:tc>
          <w:tcPr>
            <w:tcW w:w="1288"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140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cs="宋体"/>
                <w:color w:val="auto"/>
                <w:sz w:val="21"/>
                <w:szCs w:val="21"/>
                <w:highlight w:val="none"/>
              </w:rPr>
            </w:pPr>
            <w:r>
              <w:rPr>
                <w:rFonts w:hint="eastAsia"/>
                <w:color w:val="auto"/>
                <w:sz w:val="21"/>
                <w:szCs w:val="21"/>
                <w:highlight w:val="none"/>
              </w:rPr>
              <w:t>办公楼部分轿厢左右壁、桥厢后壁、天花及地面装修、大门套</w:t>
            </w:r>
          </w:p>
        </w:tc>
      </w:tr>
      <w:tr>
        <w:tblPrEx>
          <w:tblLayout w:type="fixed"/>
          <w:tblCellMar>
            <w:top w:w="0" w:type="dxa"/>
            <w:left w:w="108" w:type="dxa"/>
            <w:bottom w:w="0" w:type="dxa"/>
            <w:right w:w="108" w:type="dxa"/>
          </w:tblCellMar>
        </w:tblPrEx>
        <w:trPr>
          <w:trHeight w:val="2232" w:hRule="atLeast"/>
        </w:trPr>
        <w:tc>
          <w:tcPr>
            <w:tcW w:w="382" w:type="dxa"/>
            <w:vMerge w:val="continue"/>
            <w:tcBorders>
              <w:top w:val="nil"/>
              <w:left w:val="single" w:color="auto" w:sz="4" w:space="0"/>
              <w:bottom w:val="nil"/>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71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9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w:t>
            </w:r>
          </w:p>
        </w:tc>
        <w:tc>
          <w:tcPr>
            <w:tcW w:w="1577"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从低压配电柜引线至电梯电源箱，从电源箱至电梯控制箱之前，含线槽、电缆敷设</w:t>
            </w:r>
          </w:p>
        </w:tc>
        <w:tc>
          <w:tcPr>
            <w:tcW w:w="236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电梯轿厢与电梯机房视频监控、背景音乐、信息发布的随缆敷设</w:t>
            </w:r>
          </w:p>
        </w:tc>
        <w:tc>
          <w:tcPr>
            <w:tcW w:w="1288"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电梯轿厢、机房内监控、背景音乐、信息发布系统等末端设备供货及安装</w:t>
            </w:r>
          </w:p>
        </w:tc>
        <w:tc>
          <w:tcPr>
            <w:tcW w:w="140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w:t>
            </w:r>
          </w:p>
        </w:tc>
      </w:tr>
      <w:tr>
        <w:tblPrEx>
          <w:tblLayout w:type="fixed"/>
          <w:tblCellMar>
            <w:top w:w="0" w:type="dxa"/>
            <w:left w:w="108" w:type="dxa"/>
            <w:bottom w:w="0" w:type="dxa"/>
            <w:right w:w="108" w:type="dxa"/>
          </w:tblCellMar>
        </w:tblPrEx>
        <w:trPr>
          <w:trHeight w:val="1962" w:hRule="atLeast"/>
        </w:trPr>
        <w:tc>
          <w:tcPr>
            <w:tcW w:w="382" w:type="dxa"/>
            <w:vMerge w:val="continue"/>
            <w:tcBorders>
              <w:top w:val="nil"/>
              <w:left w:val="single" w:color="auto" w:sz="4" w:space="0"/>
              <w:bottom w:val="nil"/>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71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9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调试用电供给</w:t>
            </w:r>
          </w:p>
        </w:tc>
        <w:tc>
          <w:tcPr>
            <w:tcW w:w="1577"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电梯机房照明用电、通风空调，含配电箱、电线、开关、插座、灯具、线管、线槽、排气扇等。</w:t>
            </w:r>
          </w:p>
        </w:tc>
        <w:tc>
          <w:tcPr>
            <w:tcW w:w="236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五方通话交换机供货，提供轿箱和机房的管线及接口</w:t>
            </w:r>
          </w:p>
        </w:tc>
        <w:tc>
          <w:tcPr>
            <w:tcW w:w="1288"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机房至控制中心的五方通话管线安装</w:t>
            </w:r>
          </w:p>
        </w:tc>
        <w:tc>
          <w:tcPr>
            <w:tcW w:w="140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r>
      <w:tr>
        <w:tblPrEx>
          <w:tblLayout w:type="fixed"/>
          <w:tblCellMar>
            <w:top w:w="0" w:type="dxa"/>
            <w:left w:w="108" w:type="dxa"/>
            <w:bottom w:w="0" w:type="dxa"/>
            <w:right w:w="108" w:type="dxa"/>
          </w:tblCellMar>
        </w:tblPrEx>
        <w:trPr>
          <w:trHeight w:val="1683" w:hRule="atLeast"/>
        </w:trPr>
        <w:tc>
          <w:tcPr>
            <w:tcW w:w="382" w:type="dxa"/>
            <w:vMerge w:val="continue"/>
            <w:tcBorders>
              <w:top w:val="nil"/>
              <w:left w:val="single" w:color="auto" w:sz="4" w:space="0"/>
              <w:bottom w:val="nil"/>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71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9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color w:val="auto"/>
                <w:sz w:val="21"/>
                <w:szCs w:val="21"/>
                <w:highlight w:val="none"/>
              </w:rPr>
            </w:pPr>
          </w:p>
        </w:tc>
        <w:tc>
          <w:tcPr>
            <w:tcW w:w="1577"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color w:val="auto"/>
                <w:sz w:val="21"/>
                <w:szCs w:val="21"/>
                <w:highlight w:val="none"/>
              </w:rPr>
            </w:pPr>
          </w:p>
        </w:tc>
        <w:tc>
          <w:tcPr>
            <w:tcW w:w="236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color w:val="auto"/>
                <w:sz w:val="21"/>
                <w:szCs w:val="21"/>
                <w:highlight w:val="none"/>
              </w:rPr>
            </w:pPr>
            <w:r>
              <w:rPr>
                <w:rFonts w:hint="eastAsia"/>
                <w:color w:val="auto"/>
                <w:sz w:val="21"/>
                <w:szCs w:val="21"/>
                <w:highlight w:val="none"/>
              </w:rPr>
              <w:t>1、配置电梯楼层控制功能，实现轿厢内读卡/二维码后自动点亮对应楼层，并运送客户抵达所要到达的楼层(多楼层权限客户需手动选择楼层按键</w:t>
            </w:r>
          </w:p>
          <w:p>
            <w:pPr>
              <w:widowControl/>
              <w:autoSpaceDE/>
              <w:autoSpaceDN/>
              <w:adjustRightInd/>
              <w:spacing w:line="280" w:lineRule="exact"/>
              <w:jc w:val="center"/>
              <w:rPr>
                <w:color w:val="auto"/>
                <w:sz w:val="21"/>
                <w:szCs w:val="21"/>
                <w:highlight w:val="none"/>
              </w:rPr>
            </w:pPr>
            <w:r>
              <w:rPr>
                <w:rFonts w:ascii="Calibri" w:hAnsi="Calibri" w:cs="Calibri"/>
                <w:color w:val="auto"/>
                <w:sz w:val="21"/>
                <w:szCs w:val="21"/>
                <w:highlight w:val="none"/>
              </w:rPr>
              <w:t>①</w:t>
            </w:r>
            <w:r>
              <w:rPr>
                <w:rFonts w:hint="eastAsia"/>
                <w:color w:val="auto"/>
                <w:sz w:val="21"/>
                <w:szCs w:val="21"/>
                <w:highlight w:val="none"/>
              </w:rPr>
              <w:t>电梯机房和电梯轿厢所需的相关控制设备，以及随行电缆内所需通讯电缆，需由电梯公司配套完成；</w:t>
            </w:r>
            <w:r>
              <w:rPr>
                <w:rFonts w:ascii="Calibri" w:hAnsi="Calibri" w:cs="Calibri"/>
                <w:color w:val="auto"/>
                <w:sz w:val="21"/>
                <w:szCs w:val="21"/>
                <w:highlight w:val="none"/>
              </w:rPr>
              <w:t>②</w:t>
            </w:r>
            <w:r>
              <w:rPr>
                <w:rFonts w:hint="eastAsia"/>
                <w:color w:val="auto"/>
                <w:sz w:val="21"/>
                <w:szCs w:val="21"/>
                <w:highlight w:val="none"/>
              </w:rPr>
              <w:t>电梯轿厢顶部需预留AC220V电源插座。</w:t>
            </w:r>
          </w:p>
          <w:p>
            <w:pPr>
              <w:widowControl/>
              <w:autoSpaceDE/>
              <w:autoSpaceDN/>
              <w:adjustRightInd/>
              <w:spacing w:line="280" w:lineRule="exact"/>
              <w:jc w:val="center"/>
              <w:rPr>
                <w:color w:val="auto"/>
                <w:sz w:val="21"/>
                <w:szCs w:val="21"/>
                <w:highlight w:val="none"/>
              </w:rPr>
            </w:pPr>
            <w:r>
              <w:rPr>
                <w:rFonts w:hint="eastAsia"/>
                <w:color w:val="auto"/>
                <w:sz w:val="21"/>
                <w:szCs w:val="21"/>
                <w:highlight w:val="none"/>
              </w:rPr>
              <w:t>2、每台电梯需于电梯机房预留RS485通讯接口装置，并免费开放接口协议，与可视对讲/门禁系统的相关通讯模块进行数据对接和交换。提供包括但不限于以下信号：电梯启停状态、上下行状态、故障状态、故障类型和所处楼层信息等信号。</w:t>
            </w:r>
          </w:p>
          <w:p>
            <w:pPr>
              <w:widowControl/>
              <w:autoSpaceDE/>
              <w:autoSpaceDN/>
              <w:adjustRightInd/>
              <w:spacing w:line="280" w:lineRule="exact"/>
              <w:jc w:val="center"/>
              <w:rPr>
                <w:color w:val="auto"/>
                <w:sz w:val="21"/>
                <w:szCs w:val="21"/>
                <w:highlight w:val="none"/>
              </w:rPr>
            </w:pPr>
            <w:r>
              <w:rPr>
                <w:rFonts w:hint="eastAsia"/>
                <w:color w:val="auto"/>
                <w:sz w:val="21"/>
                <w:szCs w:val="21"/>
                <w:highlight w:val="none"/>
              </w:rPr>
              <w:t>3、实现可视对讲/门禁与电梯楼层控制系统联动：</w:t>
            </w:r>
          </w:p>
          <w:p>
            <w:pPr>
              <w:widowControl/>
              <w:autoSpaceDE/>
              <w:autoSpaceDN/>
              <w:adjustRightInd/>
              <w:spacing w:line="280" w:lineRule="exact"/>
              <w:jc w:val="center"/>
              <w:rPr>
                <w:color w:val="auto"/>
                <w:sz w:val="21"/>
                <w:szCs w:val="21"/>
                <w:highlight w:val="none"/>
              </w:rPr>
            </w:pPr>
            <w:r>
              <w:rPr>
                <w:rFonts w:hint="eastAsia"/>
                <w:color w:val="auto"/>
                <w:sz w:val="21"/>
                <w:szCs w:val="21"/>
                <w:highlight w:val="none"/>
              </w:rPr>
              <w:t>1)业主呼梯联动：业主刷脸/二维码/IC卡进单元门，同时呼叫电梯至当前门口机所在楼层，并开放业主所住楼层梯控权限；</w:t>
            </w:r>
          </w:p>
          <w:p>
            <w:pPr>
              <w:widowControl/>
              <w:autoSpaceDE/>
              <w:autoSpaceDN/>
              <w:adjustRightInd/>
              <w:spacing w:line="280" w:lineRule="exact"/>
              <w:jc w:val="center"/>
              <w:rPr>
                <w:color w:val="auto"/>
                <w:sz w:val="21"/>
                <w:szCs w:val="21"/>
                <w:highlight w:val="none"/>
              </w:rPr>
            </w:pPr>
            <w:r>
              <w:rPr>
                <w:rFonts w:hint="eastAsia"/>
                <w:color w:val="auto"/>
                <w:sz w:val="21"/>
                <w:szCs w:val="21"/>
                <w:highlight w:val="none"/>
              </w:rPr>
              <w:t>2)访客呼梯联动：访客呼叫，住户开锁，会自动呼梯至访客所在楼层，同时开放室内机所在楼层梯控权限；</w:t>
            </w:r>
          </w:p>
          <w:p>
            <w:pPr>
              <w:widowControl/>
              <w:autoSpaceDE/>
              <w:autoSpaceDN/>
              <w:adjustRightInd/>
              <w:spacing w:line="280" w:lineRule="exact"/>
              <w:jc w:val="center"/>
              <w:rPr>
                <w:color w:val="auto"/>
                <w:sz w:val="21"/>
                <w:szCs w:val="21"/>
                <w:highlight w:val="none"/>
              </w:rPr>
            </w:pPr>
            <w:r>
              <w:rPr>
                <w:rFonts w:hint="eastAsia"/>
                <w:color w:val="auto"/>
                <w:sz w:val="21"/>
                <w:szCs w:val="21"/>
                <w:highlight w:val="none"/>
              </w:rPr>
              <w:t>3)开门方向选择：电梯为贯通门时，需根据住户入户门方向自动选择开门方向。</w:t>
            </w:r>
          </w:p>
          <w:p>
            <w:pPr>
              <w:widowControl/>
              <w:autoSpaceDE/>
              <w:autoSpaceDN/>
              <w:adjustRightInd/>
              <w:spacing w:line="280" w:lineRule="exact"/>
              <w:jc w:val="center"/>
              <w:rPr>
                <w:color w:val="auto"/>
                <w:sz w:val="21"/>
                <w:szCs w:val="21"/>
                <w:highlight w:val="none"/>
              </w:rPr>
            </w:pPr>
            <w:r>
              <w:rPr>
                <w:rFonts w:hint="eastAsia"/>
                <w:color w:val="auto"/>
                <w:sz w:val="21"/>
                <w:szCs w:val="21"/>
                <w:highlight w:val="none"/>
              </w:rPr>
              <w:t>4、预留接口与第三方电瓶车检测系统对接，当电瓶车进入轿厢时，可联动电梯不关门，同时支持监控中心远程消警然后关闭电梯门。具体接口形式在深化设计时确定。</w:t>
            </w:r>
          </w:p>
        </w:tc>
        <w:tc>
          <w:tcPr>
            <w:tcW w:w="1288"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color w:val="auto"/>
                <w:sz w:val="21"/>
                <w:szCs w:val="21"/>
                <w:highlight w:val="none"/>
              </w:rPr>
            </w:pPr>
          </w:p>
        </w:tc>
        <w:tc>
          <w:tcPr>
            <w:tcW w:w="140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color w:val="auto"/>
                <w:sz w:val="21"/>
                <w:szCs w:val="21"/>
                <w:highlight w:val="none"/>
              </w:rPr>
            </w:pPr>
            <w:r>
              <w:rPr>
                <w:rFonts w:hint="eastAsia"/>
                <w:color w:val="auto"/>
                <w:sz w:val="21"/>
                <w:szCs w:val="21"/>
                <w:highlight w:val="none"/>
              </w:rPr>
              <w:t>二维码+IC卡复合读卡器由智能化专业提供</w:t>
            </w:r>
          </w:p>
        </w:tc>
      </w:tr>
      <w:tr>
        <w:tblPrEx>
          <w:tblLayout w:type="fixed"/>
          <w:tblCellMar>
            <w:top w:w="0" w:type="dxa"/>
            <w:left w:w="108" w:type="dxa"/>
            <w:bottom w:w="0" w:type="dxa"/>
            <w:right w:w="108" w:type="dxa"/>
          </w:tblCellMar>
        </w:tblPrEx>
        <w:trPr>
          <w:trHeight w:val="1679" w:hRule="atLeast"/>
        </w:trPr>
        <w:tc>
          <w:tcPr>
            <w:tcW w:w="382" w:type="dxa"/>
            <w:vMerge w:val="continue"/>
            <w:tcBorders>
              <w:top w:val="nil"/>
              <w:left w:val="single" w:color="auto" w:sz="4" w:space="0"/>
              <w:bottom w:val="nil"/>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71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9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提前投入使用前电梯内保护；提前使用电梯得临时机房土建（含基础和吊钩）建设、拆除；</w:t>
            </w:r>
          </w:p>
        </w:tc>
        <w:tc>
          <w:tcPr>
            <w:tcW w:w="1577"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提前使用电梯的临时机房供电</w:t>
            </w:r>
          </w:p>
        </w:tc>
        <w:tc>
          <w:tcPr>
            <w:tcW w:w="236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样板房临时用梯（含防护、维保等）</w:t>
            </w:r>
          </w:p>
        </w:tc>
        <w:tc>
          <w:tcPr>
            <w:tcW w:w="1288"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140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r>
      <w:tr>
        <w:tblPrEx>
          <w:tblLayout w:type="fixed"/>
          <w:tblCellMar>
            <w:top w:w="0" w:type="dxa"/>
            <w:left w:w="108" w:type="dxa"/>
            <w:bottom w:w="0" w:type="dxa"/>
            <w:right w:w="108" w:type="dxa"/>
          </w:tblCellMar>
        </w:tblPrEx>
        <w:trPr>
          <w:trHeight w:val="734" w:hRule="atLeast"/>
        </w:trPr>
        <w:tc>
          <w:tcPr>
            <w:tcW w:w="38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712"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9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1577"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236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电梯调试、验收取证</w:t>
            </w:r>
          </w:p>
        </w:tc>
        <w:tc>
          <w:tcPr>
            <w:tcW w:w="1288"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140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r>
    </w:tbl>
    <w:p>
      <w:pPr>
        <w:pStyle w:val="8"/>
        <w:snapToGrid w:val="0"/>
        <w:spacing w:after="0" w:line="360" w:lineRule="auto"/>
        <w:outlineLvl w:val="0"/>
        <w:rPr>
          <w:rFonts w:ascii="仿宋" w:hAnsi="仿宋" w:eastAsia="仿宋" w:cs="楷体_GB2312"/>
          <w:b/>
          <w:color w:val="auto"/>
          <w:sz w:val="21"/>
          <w:szCs w:val="21"/>
          <w:highlight w:val="none"/>
          <w:u w:val="none"/>
        </w:rPr>
      </w:pPr>
      <w:bookmarkStart w:id="24" w:name="_Toc126961335"/>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r>
        <w:rPr>
          <w:rFonts w:hint="eastAsia" w:ascii="仿宋" w:hAnsi="仿宋" w:eastAsia="仿宋" w:cs="楷体_GB2312"/>
          <w:b/>
          <w:color w:val="auto"/>
          <w:sz w:val="21"/>
          <w:szCs w:val="21"/>
          <w:highlight w:val="none"/>
          <w:u w:val="none"/>
        </w:rPr>
        <w:t>附件二 ：佛山季华项目电梯专业技术要求（另册）</w:t>
      </w:r>
      <w:bookmarkEnd w:id="24"/>
    </w:p>
    <w:p>
      <w:pPr>
        <w:pStyle w:val="8"/>
        <w:snapToGrid w:val="0"/>
        <w:spacing w:after="0" w:line="360" w:lineRule="auto"/>
        <w:outlineLvl w:val="0"/>
        <w:rPr>
          <w:rFonts w:ascii="仿宋" w:hAnsi="仿宋" w:eastAsia="仿宋" w:cs="楷体_GB2312"/>
          <w:b/>
          <w:color w:val="auto"/>
          <w:sz w:val="21"/>
          <w:szCs w:val="21"/>
          <w:highlight w:val="none"/>
          <w:u w:val="none"/>
        </w:rPr>
      </w:pPr>
      <w:r>
        <w:rPr>
          <w:rFonts w:hint="eastAsia" w:ascii="仿宋" w:hAnsi="仿宋" w:eastAsia="仿宋" w:cs="楷体_GB2312"/>
          <w:b/>
          <w:color w:val="auto"/>
          <w:sz w:val="21"/>
          <w:szCs w:val="21"/>
          <w:highlight w:val="none"/>
          <w:u w:val="none"/>
        </w:rPr>
        <w:t>2.1佛山季华粤海垂直电梯选型表</w:t>
      </w:r>
    </w:p>
    <w:p>
      <w:pPr>
        <w:pStyle w:val="8"/>
        <w:snapToGrid w:val="0"/>
        <w:spacing w:after="0" w:line="360" w:lineRule="auto"/>
        <w:outlineLvl w:val="0"/>
        <w:rPr>
          <w:rFonts w:ascii="仿宋" w:hAnsi="仿宋" w:eastAsia="仿宋" w:cs="楷体_GB2312"/>
          <w:b/>
          <w:color w:val="auto"/>
          <w:sz w:val="21"/>
          <w:szCs w:val="21"/>
          <w:highlight w:val="none"/>
          <w:u w:val="none"/>
        </w:rPr>
      </w:pPr>
      <w:r>
        <w:rPr>
          <w:rFonts w:hint="eastAsia" w:ascii="仿宋" w:hAnsi="仿宋" w:eastAsia="仿宋" w:cs="楷体_GB2312"/>
          <w:b/>
          <w:color w:val="auto"/>
          <w:sz w:val="21"/>
          <w:szCs w:val="21"/>
          <w:highlight w:val="none"/>
          <w:u w:val="none"/>
        </w:rPr>
        <w:t>2.2粤海佛山季华项目垂直梯专业技术规格书</w:t>
      </w: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rFonts w:ascii="仿宋" w:hAnsi="仿宋" w:eastAsia="仿宋" w:cs="楷体_GB2312"/>
          <w:b/>
          <w:color w:val="auto"/>
          <w:sz w:val="21"/>
          <w:szCs w:val="21"/>
          <w:highlight w:val="none"/>
          <w:u w:val="none"/>
        </w:rPr>
      </w:pPr>
    </w:p>
    <w:p>
      <w:pPr>
        <w:pStyle w:val="8"/>
        <w:snapToGrid w:val="0"/>
        <w:spacing w:after="0" w:line="360" w:lineRule="auto"/>
        <w:outlineLvl w:val="0"/>
        <w:rPr>
          <w:color w:val="auto"/>
          <w:highlight w:val="none"/>
          <w:u w:val="none"/>
        </w:rPr>
      </w:pPr>
      <w:bookmarkStart w:id="25" w:name="_Toc121649341"/>
      <w:bookmarkStart w:id="26" w:name="_Toc126961341"/>
      <w:r>
        <w:rPr>
          <w:rFonts w:ascii="仿宋" w:hAnsi="仿宋" w:eastAsia="仿宋"/>
          <w:b/>
          <w:color w:val="auto"/>
          <w:sz w:val="21"/>
          <w:szCs w:val="21"/>
          <w:highlight w:val="none"/>
          <w:u w:val="none"/>
        </w:rPr>
        <w:t>附件</w:t>
      </w:r>
      <w:r>
        <w:rPr>
          <w:rFonts w:hint="eastAsia" w:ascii="仿宋" w:hAnsi="仿宋" w:eastAsia="仿宋"/>
          <w:b/>
          <w:color w:val="auto"/>
          <w:sz w:val="21"/>
          <w:szCs w:val="21"/>
          <w:highlight w:val="none"/>
          <w:u w:val="none"/>
        </w:rPr>
        <w:t>三</w:t>
      </w:r>
      <w:r>
        <w:rPr>
          <w:rFonts w:ascii="仿宋" w:hAnsi="仿宋" w:eastAsia="仿宋"/>
          <w:b/>
          <w:color w:val="auto"/>
          <w:sz w:val="21"/>
          <w:szCs w:val="21"/>
          <w:highlight w:val="none"/>
          <w:u w:val="none"/>
        </w:rPr>
        <w:t>：</w:t>
      </w:r>
      <w:r>
        <w:rPr>
          <w:rFonts w:hint="eastAsia" w:ascii="仿宋" w:hAnsi="仿宋" w:eastAsia="仿宋"/>
          <w:b/>
          <w:color w:val="auto"/>
          <w:sz w:val="21"/>
          <w:szCs w:val="21"/>
          <w:highlight w:val="none"/>
          <w:u w:val="none"/>
        </w:rPr>
        <w:t>佛山季华项目电梯供货报价清单（另册）</w:t>
      </w:r>
      <w:bookmarkEnd w:id="25"/>
      <w:bookmarkEnd w:id="26"/>
    </w:p>
    <w:p>
      <w:pPr>
        <w:widowControl/>
        <w:autoSpaceDE/>
        <w:autoSpaceDN/>
        <w:adjustRightInd/>
        <w:rPr>
          <w:rFonts w:ascii="仿宋" w:hAnsi="仿宋" w:eastAsia="仿宋"/>
          <w:b/>
          <w:color w:val="auto"/>
          <w:sz w:val="21"/>
          <w:szCs w:val="21"/>
          <w:highlight w:val="none"/>
        </w:rPr>
      </w:pPr>
      <w:r>
        <w:rPr>
          <w:rFonts w:ascii="仿宋" w:hAnsi="仿宋" w:eastAsia="仿宋"/>
          <w:b/>
          <w:color w:val="auto"/>
          <w:sz w:val="21"/>
          <w:szCs w:val="21"/>
          <w:highlight w:val="none"/>
        </w:rPr>
        <w:br w:type="page"/>
      </w:r>
    </w:p>
    <w:p>
      <w:pPr>
        <w:pStyle w:val="8"/>
        <w:snapToGrid w:val="0"/>
        <w:spacing w:after="0" w:line="360" w:lineRule="auto"/>
        <w:outlineLvl w:val="0"/>
        <w:rPr>
          <w:rFonts w:ascii="仿宋" w:hAnsi="仿宋" w:eastAsia="仿宋" w:cs="楷体_GB2312"/>
          <w:b/>
          <w:color w:val="auto"/>
          <w:sz w:val="21"/>
          <w:szCs w:val="21"/>
          <w:highlight w:val="none"/>
          <w:u w:val="none"/>
        </w:rPr>
      </w:pPr>
      <w:bookmarkStart w:id="27" w:name="_Toc126961342"/>
      <w:r>
        <w:rPr>
          <w:rFonts w:hint="eastAsia" w:ascii="仿宋" w:hAnsi="仿宋" w:eastAsia="仿宋" w:cs="楷体_GB2312"/>
          <w:b/>
          <w:color w:val="auto"/>
          <w:sz w:val="21"/>
          <w:szCs w:val="21"/>
          <w:highlight w:val="none"/>
          <w:u w:val="none"/>
        </w:rPr>
        <w:t>附件四：佛山季华项目施工现场管理办法</w:t>
      </w:r>
      <w:bookmarkEnd w:id="27"/>
    </w:p>
    <w:p>
      <w:pPr>
        <w:spacing w:line="360" w:lineRule="auto"/>
        <w:jc w:val="center"/>
        <w:rPr>
          <w:b/>
          <w:color w:val="auto"/>
          <w:highlight w:val="none"/>
        </w:rPr>
      </w:pPr>
      <w:r>
        <w:rPr>
          <w:rFonts w:hint="eastAsia" w:ascii="宋体" w:hAnsi="宋体"/>
          <w:b/>
          <w:color w:val="auto"/>
          <w:sz w:val="24"/>
          <w:highlight w:val="none"/>
          <w:u w:val="single"/>
        </w:rPr>
        <w:t>佛山季华项目</w:t>
      </w:r>
      <w:r>
        <w:rPr>
          <w:rFonts w:hint="eastAsia" w:ascii="宋体" w:hAnsi="宋体"/>
          <w:b/>
          <w:color w:val="auto"/>
          <w:sz w:val="24"/>
          <w:highlight w:val="none"/>
        </w:rPr>
        <w:t>工程施工现场管理办法</w:t>
      </w:r>
    </w:p>
    <w:p>
      <w:pPr>
        <w:spacing w:line="360" w:lineRule="auto"/>
        <w:rPr>
          <w:rFonts w:ascii="仿宋" w:hAnsi="仿宋" w:eastAsia="仿宋"/>
          <w:b/>
          <w:color w:val="auto"/>
          <w:sz w:val="21"/>
          <w:szCs w:val="21"/>
          <w:highlight w:val="none"/>
        </w:rPr>
      </w:pPr>
      <w:r>
        <w:rPr>
          <w:rFonts w:hint="eastAsia" w:ascii="仿宋" w:hAnsi="仿宋" w:eastAsia="仿宋"/>
          <w:b/>
          <w:color w:val="auto"/>
          <w:sz w:val="21"/>
          <w:szCs w:val="21"/>
          <w:highlight w:val="none"/>
        </w:rPr>
        <w:t>1.目的</w:t>
      </w:r>
      <w:r>
        <w:rPr>
          <w:rFonts w:hint="eastAsia" w:ascii="宋体" w:hAnsi="宋体" w:cs="宋体"/>
          <w:b/>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为了加强对本工程总承包人、专业工程承包人、暂估价项目分包人的管理，使所选择的承包人能满足发包人的要求，以确保整个工程安全、质量和进度，并保证对承包人的管理更加规范、有效，达到统一管理,规范行动，特制订本制度。</w:t>
      </w:r>
      <w:r>
        <w:rPr>
          <w:rFonts w:hint="eastAsia" w:ascii="宋体" w:hAnsi="宋体" w:cs="宋体"/>
          <w:color w:val="auto"/>
          <w:sz w:val="21"/>
          <w:szCs w:val="21"/>
          <w:highlight w:val="none"/>
        </w:rPr>
        <w:t> </w:t>
      </w:r>
    </w:p>
    <w:p>
      <w:pPr>
        <w:rPr>
          <w:rFonts w:ascii="仿宋" w:hAnsi="仿宋" w:eastAsia="仿宋"/>
          <w:b/>
          <w:color w:val="auto"/>
          <w:sz w:val="21"/>
          <w:szCs w:val="21"/>
          <w:highlight w:val="none"/>
        </w:rPr>
      </w:pPr>
      <w:r>
        <w:rPr>
          <w:rFonts w:hint="eastAsia" w:ascii="仿宋" w:hAnsi="仿宋" w:eastAsia="仿宋"/>
          <w:b/>
          <w:color w:val="auto"/>
          <w:sz w:val="21"/>
          <w:szCs w:val="21"/>
          <w:highlight w:val="none"/>
        </w:rPr>
        <w:t>2.适用范围</w:t>
      </w:r>
      <w:r>
        <w:rPr>
          <w:rFonts w:hint="eastAsia" w:ascii="宋体" w:hAnsi="宋体" w:cs="宋体"/>
          <w:b/>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本制度适用于</w:t>
      </w:r>
      <w:r>
        <w:rPr>
          <w:rFonts w:hint="eastAsia" w:ascii="仿宋" w:hAnsi="仿宋" w:eastAsia="仿宋" w:cs="仿宋"/>
          <w:color w:val="auto"/>
          <w:sz w:val="21"/>
          <w:szCs w:val="21"/>
          <w:highlight w:val="none"/>
          <w:u w:val="single"/>
        </w:rPr>
        <w:t>佛山季华项目</w:t>
      </w:r>
      <w:r>
        <w:rPr>
          <w:rFonts w:hint="eastAsia" w:ascii="仿宋" w:hAnsi="仿宋" w:eastAsia="仿宋"/>
          <w:color w:val="auto"/>
          <w:sz w:val="21"/>
          <w:szCs w:val="21"/>
          <w:highlight w:val="none"/>
        </w:rPr>
        <w:t>。任何按合同及协议进入现场的总承包人、专业工程承包人、暂估价项目分包人以及承包人的分包人均必须遵照执行。</w:t>
      </w:r>
      <w:r>
        <w:rPr>
          <w:rFonts w:hint="eastAsia" w:ascii="宋体" w:hAnsi="宋体" w:cs="宋体"/>
          <w:color w:val="auto"/>
          <w:sz w:val="21"/>
          <w:szCs w:val="21"/>
          <w:highlight w:val="none"/>
        </w:rPr>
        <w:t> </w:t>
      </w:r>
    </w:p>
    <w:p>
      <w:pPr>
        <w:rPr>
          <w:rFonts w:ascii="仿宋" w:hAnsi="仿宋" w:eastAsia="仿宋"/>
          <w:b/>
          <w:color w:val="auto"/>
          <w:sz w:val="21"/>
          <w:szCs w:val="21"/>
          <w:highlight w:val="none"/>
        </w:rPr>
      </w:pPr>
      <w:r>
        <w:rPr>
          <w:rFonts w:hint="eastAsia" w:ascii="仿宋" w:hAnsi="仿宋" w:eastAsia="仿宋"/>
          <w:b/>
          <w:color w:val="auto"/>
          <w:sz w:val="21"/>
          <w:szCs w:val="21"/>
          <w:highlight w:val="none"/>
        </w:rPr>
        <w:t>3.发包人项目部职责</w:t>
      </w:r>
      <w:r>
        <w:rPr>
          <w:rFonts w:hint="eastAsia" w:ascii="宋体" w:hAnsi="宋体" w:cs="宋体"/>
          <w:b/>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3.1监督总承包人（含其分包）与专业工程承包人、暂估价项目分包人的质量管理、成品保护管理、资料管理、物资材料管理、工程预结算管理、环境体系管理及相关培训管理工作；</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3.2监督总承包人（含其分包）与专业工程承包人、暂估价项目分包人的现场施工管理、计划管理、技术管理、计量管理及相关培训管理工作；</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3.3监督总承包人（含其分包）与专业工程承包人、暂估价项目分包人的进场管理、教育培训管理和质量、环境、职业安全卫生体系运行管理、消防管理、现场安全生产管理、文明施工管理及相关培训管理工作；</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3.4监督总承包人（含其分包）与专业工程承包人、暂估价项目分包人的机电管理、施工机械管理、施工机具管理、施工用电管理、施工用水管理及相关培训管理工作；</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3.5监督总承包人（含其分包）与专业工程承包人、暂估价项目分包人应承担的与各参建单位、政府、各相关职能部门的协调管理工作；</w:t>
      </w:r>
      <w:r>
        <w:rPr>
          <w:rFonts w:hint="eastAsia" w:ascii="宋体" w:hAnsi="宋体" w:cs="宋体"/>
          <w:color w:val="auto"/>
          <w:sz w:val="21"/>
          <w:szCs w:val="21"/>
          <w:highlight w:val="none"/>
        </w:rPr>
        <w:t> </w:t>
      </w:r>
    </w:p>
    <w:p>
      <w:pPr>
        <w:rPr>
          <w:rFonts w:ascii="仿宋" w:hAnsi="仿宋" w:eastAsia="仿宋"/>
          <w:color w:val="auto"/>
          <w:sz w:val="21"/>
          <w:szCs w:val="21"/>
          <w:highlight w:val="none"/>
        </w:rPr>
      </w:pPr>
      <w:r>
        <w:rPr>
          <w:rFonts w:hint="eastAsia" w:ascii="仿宋" w:hAnsi="仿宋" w:eastAsia="仿宋"/>
          <w:b/>
          <w:color w:val="auto"/>
          <w:sz w:val="21"/>
          <w:szCs w:val="21"/>
          <w:highlight w:val="none"/>
        </w:rPr>
        <w:t>4. 总承包人、专业工程承包人管理</w:t>
      </w:r>
      <w:r>
        <w:rPr>
          <w:rFonts w:hint="eastAsia" w:ascii="宋体" w:hAnsi="宋体" w:cs="宋体"/>
          <w:b/>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4.1组织管理</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各承包人各自组建项目管理机构，并在开工前报发包人、监理单位，承包人所投入的工程管理人员和工程技术人员应与投标文件保持一致，发包人不要求更换时不得更换，因特殊情况需要更换的，承包人应至少提前7天以书面形式向监理单位提出意向（附前任和后任人员的详细履历资料），经监理工程师签署意见后向发包人提出申请，并征得发包人同意。承包人必须保证后任人员的资质、资历、业绩、实际工作能力不低于前任人员的素质。即使发包人同意更换，也不免除承包人应承担的违约责任。工程管理人员和工程技术人员的资格证书需报发包人、监理单位备案。</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发包人项目部、监理单位项目部每月对各承包人主要管理人员进行工作能力、协调能力、工作饱和度、积极性等综合考评，连续三次考评成绩不达标的将进行警告和通报，对综合能力不能胜任者将予以劝退及更换</w:t>
      </w:r>
      <w:r>
        <w:rPr>
          <w:rFonts w:hint="eastAsia" w:ascii="宋体" w:hAnsi="宋体" w:cs="宋体"/>
          <w:color w:val="auto"/>
          <w:sz w:val="21"/>
          <w:szCs w:val="21"/>
          <w:highlight w:val="none"/>
        </w:rPr>
        <w:t> </w:t>
      </w:r>
      <w:r>
        <w:rPr>
          <w:rFonts w:hint="eastAsia" w:ascii="仿宋" w:hAnsi="仿宋" w:eastAsia="仿宋"/>
          <w:color w:val="auto"/>
          <w:sz w:val="21"/>
          <w:szCs w:val="21"/>
          <w:highlight w:val="none"/>
        </w:rPr>
        <w:t>并按合同追究违约责任。</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4.2技术质量管理</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4.2.1施工技术管理</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必须建立技术文件管理制度，因承包人原因造成的施工错误的一切后果自负。</w:t>
      </w:r>
      <w:r>
        <w:rPr>
          <w:rFonts w:hint="eastAsia" w:ascii="宋体" w:hAnsi="宋体" w:cs="宋体"/>
          <w:color w:val="auto"/>
          <w:sz w:val="21"/>
          <w:szCs w:val="21"/>
          <w:highlight w:val="none"/>
        </w:rPr>
        <w:t> </w:t>
      </w:r>
      <w:r>
        <w:rPr>
          <w:rFonts w:hint="eastAsia" w:ascii="仿宋" w:hAnsi="仿宋" w:eastAsia="仿宋"/>
          <w:color w:val="auto"/>
          <w:sz w:val="21"/>
          <w:szCs w:val="21"/>
          <w:highlight w:val="none"/>
        </w:rPr>
        <w:t>各承包人负责编制施工组织设计及本专业各类施工方案，负责方案的落实工作。施工前，首先由承包人项目部技术负责人对施工管理人员进行技术交底及安全技术交底，由施工管理人员给作业人员进行技术交底并指导施工，安全技术交底须明确交至每位作业人员并签字确认，并需将交底书面上报承包人项目部，项目总技术负责人、项目经理审批后方可依照施工。各承包人的分包人由各承包人的技术负责人对分包人技术负责人进行技术交底及安全技术交底，分包人技术负责人给作业人员进行技术交底并指导施工，安全技术交底须明确交至每位作业人员并签字确认，并需将交底书面上报总包项目部，项目总技术负责人、项目经理审批后方可依照施工。未经批准的各类施工方案及未经安全技术交底进行施工的，除立即停止施工外，每次收取违约金1000-20000元。</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4.2.2设计变更、洽商</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施工过程中发生的图纸、设计问题，由承包人技术负责人及时向监理单位及发包人工程师或负责人反映，由发包人与设计单位联系，并办理设计变更、洽商记录。施工过程中发生的图纸更改、洽商等，均由发包人统一下发给各相关承包人施工技术负责人；</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4.2.3材料管理及施工试验</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（1）各承包人负责编制本单位的材料、设备进场计划及施工试验计划，并报监理、发包人备案；需根据项目的材料设备进场计划时间，至少提前</w:t>
      </w:r>
      <w:r>
        <w:rPr>
          <w:rFonts w:ascii="仿宋" w:hAnsi="仿宋" w:eastAsia="仿宋"/>
          <w:color w:val="auto"/>
          <w:sz w:val="21"/>
          <w:szCs w:val="21"/>
          <w:highlight w:val="none"/>
        </w:rPr>
        <w:t>60</w:t>
      </w:r>
      <w:r>
        <w:rPr>
          <w:rFonts w:hint="eastAsia" w:ascii="仿宋" w:hAnsi="仿宋" w:eastAsia="仿宋"/>
          <w:color w:val="auto"/>
          <w:sz w:val="21"/>
          <w:szCs w:val="21"/>
          <w:highlight w:val="none"/>
        </w:rPr>
        <w:t>天进行材料设备品牌、型号送审工作，所选的材料设备品牌需在发包人提供的品牌范围内；所选材料设备型号的技术参数应满足设计图纸及发包人提供的技术参数要求，</w:t>
      </w:r>
      <w:r>
        <w:rPr>
          <w:rFonts w:ascii="仿宋" w:hAnsi="仿宋" w:eastAsia="仿宋"/>
          <w:color w:val="auto"/>
          <w:sz w:val="21"/>
          <w:szCs w:val="21"/>
          <w:highlight w:val="none"/>
        </w:rPr>
        <w:t>送审的主要设备材料技术参数必须与招标文件技术要求相一致。</w:t>
      </w:r>
      <w:r>
        <w:rPr>
          <w:rFonts w:hint="eastAsia" w:ascii="仿宋" w:hAnsi="仿宋" w:eastAsia="仿宋"/>
          <w:color w:val="auto"/>
          <w:sz w:val="21"/>
          <w:szCs w:val="21"/>
          <w:highlight w:val="none"/>
        </w:rPr>
        <w:t xml:space="preserve">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（2）施工单位需提供的材料基础资料包括但不限于如下所列：</w:t>
      </w:r>
    </w:p>
    <w:p>
      <w:pPr>
        <w:ind w:firstLine="420" w:firstLineChars="200"/>
        <w:rPr>
          <w:rFonts w:ascii="仿宋" w:hAnsi="仿宋" w:eastAsia="仿宋"/>
          <w:color w:val="auto"/>
          <w:sz w:val="21"/>
          <w:szCs w:val="21"/>
          <w:highlight w:val="none"/>
        </w:rPr>
      </w:pPr>
      <w:r>
        <w:rPr>
          <w:rFonts w:ascii="仿宋" w:hAnsi="仿宋" w:eastAsia="仿宋"/>
          <w:color w:val="auto"/>
          <w:sz w:val="21"/>
          <w:szCs w:val="21"/>
          <w:highlight w:val="none"/>
        </w:rPr>
        <w:t>1</w:t>
      </w:r>
      <w:r>
        <w:rPr>
          <w:rFonts w:hint="eastAsia" w:ascii="仿宋" w:hAnsi="仿宋" w:eastAsia="仿宋"/>
          <w:color w:val="auto"/>
          <w:sz w:val="21"/>
          <w:szCs w:val="21"/>
          <w:highlight w:val="none"/>
        </w:rPr>
        <w:t>）</w:t>
      </w:r>
      <w:r>
        <w:rPr>
          <w:rFonts w:ascii="仿宋" w:hAnsi="仿宋" w:eastAsia="仿宋"/>
          <w:color w:val="auto"/>
          <w:sz w:val="21"/>
          <w:szCs w:val="21"/>
          <w:highlight w:val="none"/>
        </w:rPr>
        <w:t xml:space="preserve"> </w:t>
      </w:r>
      <w:r>
        <w:rPr>
          <w:rFonts w:hint="eastAsia" w:ascii="仿宋" w:hAnsi="仿宋" w:eastAsia="仿宋"/>
          <w:color w:val="auto"/>
          <w:sz w:val="21"/>
          <w:szCs w:val="21"/>
          <w:highlight w:val="none"/>
        </w:rPr>
        <w:t>《主要材料送审审批表》（表格按发包人提供）</w:t>
      </w:r>
    </w:p>
    <w:p>
      <w:pPr>
        <w:ind w:firstLine="420" w:firstLineChars="200"/>
        <w:rPr>
          <w:rFonts w:ascii="仿宋" w:hAnsi="仿宋" w:eastAsia="仿宋"/>
          <w:color w:val="auto"/>
          <w:sz w:val="21"/>
          <w:szCs w:val="21"/>
          <w:highlight w:val="none"/>
        </w:rPr>
      </w:pPr>
      <w:r>
        <w:rPr>
          <w:rFonts w:ascii="仿宋" w:hAnsi="仿宋" w:eastAsia="仿宋"/>
          <w:color w:val="auto"/>
          <w:sz w:val="21"/>
          <w:szCs w:val="21"/>
          <w:highlight w:val="none"/>
        </w:rPr>
        <w:t>2</w:t>
      </w:r>
      <w:r>
        <w:rPr>
          <w:rFonts w:hint="eastAsia" w:ascii="仿宋" w:hAnsi="仿宋" w:eastAsia="仿宋"/>
          <w:color w:val="auto"/>
          <w:sz w:val="21"/>
          <w:szCs w:val="21"/>
          <w:highlight w:val="none"/>
        </w:rPr>
        <w:t>）</w:t>
      </w:r>
      <w:r>
        <w:rPr>
          <w:rFonts w:ascii="仿宋" w:hAnsi="仿宋" w:eastAsia="仿宋"/>
          <w:color w:val="auto"/>
          <w:sz w:val="21"/>
          <w:szCs w:val="21"/>
          <w:highlight w:val="none"/>
        </w:rPr>
        <w:t xml:space="preserve"> </w:t>
      </w:r>
      <w:r>
        <w:rPr>
          <w:rFonts w:hint="eastAsia" w:ascii="仿宋" w:hAnsi="仿宋" w:eastAsia="仿宋"/>
          <w:color w:val="auto"/>
          <w:sz w:val="21"/>
          <w:szCs w:val="21"/>
          <w:highlight w:val="none"/>
        </w:rPr>
        <w:t>设备材料厂家、供应商的营业执照、税务登记证。</w:t>
      </w:r>
    </w:p>
    <w:p>
      <w:pPr>
        <w:ind w:firstLine="420" w:firstLineChars="200"/>
        <w:rPr>
          <w:rFonts w:ascii="仿宋" w:hAnsi="仿宋" w:eastAsia="仿宋"/>
          <w:color w:val="auto"/>
          <w:sz w:val="21"/>
          <w:szCs w:val="21"/>
          <w:highlight w:val="none"/>
        </w:rPr>
      </w:pPr>
      <w:r>
        <w:rPr>
          <w:rFonts w:ascii="仿宋" w:hAnsi="仿宋" w:eastAsia="仿宋"/>
          <w:color w:val="auto"/>
          <w:sz w:val="21"/>
          <w:szCs w:val="21"/>
          <w:highlight w:val="none"/>
        </w:rPr>
        <w:t>3</w:t>
      </w:r>
      <w:r>
        <w:rPr>
          <w:rFonts w:hint="eastAsia" w:ascii="仿宋" w:hAnsi="仿宋" w:eastAsia="仿宋"/>
          <w:color w:val="auto"/>
          <w:sz w:val="21"/>
          <w:szCs w:val="21"/>
          <w:highlight w:val="none"/>
        </w:rPr>
        <w:t>）</w:t>
      </w:r>
      <w:r>
        <w:rPr>
          <w:rFonts w:ascii="仿宋" w:hAnsi="仿宋" w:eastAsia="仿宋"/>
          <w:color w:val="auto"/>
          <w:sz w:val="21"/>
          <w:szCs w:val="21"/>
          <w:highlight w:val="none"/>
        </w:rPr>
        <w:t xml:space="preserve"> </w:t>
      </w:r>
      <w:r>
        <w:rPr>
          <w:rFonts w:hint="eastAsia" w:ascii="仿宋" w:hAnsi="仿宋" w:eastAsia="仿宋"/>
          <w:color w:val="auto"/>
          <w:sz w:val="21"/>
          <w:szCs w:val="21"/>
          <w:highlight w:val="none"/>
        </w:rPr>
        <w:t>设备材料的产品合格证</w:t>
      </w:r>
    </w:p>
    <w:p>
      <w:pPr>
        <w:ind w:firstLine="420" w:firstLineChars="200"/>
        <w:rPr>
          <w:rFonts w:ascii="仿宋" w:hAnsi="仿宋" w:eastAsia="仿宋"/>
          <w:color w:val="auto"/>
          <w:sz w:val="21"/>
          <w:szCs w:val="21"/>
          <w:highlight w:val="none"/>
        </w:rPr>
      </w:pPr>
      <w:r>
        <w:rPr>
          <w:rFonts w:ascii="仿宋" w:hAnsi="仿宋" w:eastAsia="仿宋"/>
          <w:color w:val="auto"/>
          <w:sz w:val="21"/>
          <w:szCs w:val="21"/>
          <w:highlight w:val="none"/>
        </w:rPr>
        <w:t>4</w:t>
      </w:r>
      <w:r>
        <w:rPr>
          <w:rFonts w:hint="eastAsia" w:ascii="仿宋" w:hAnsi="仿宋" w:eastAsia="仿宋"/>
          <w:color w:val="auto"/>
          <w:sz w:val="21"/>
          <w:szCs w:val="21"/>
          <w:highlight w:val="none"/>
        </w:rPr>
        <w:t>）</w:t>
      </w:r>
      <w:r>
        <w:rPr>
          <w:rFonts w:ascii="仿宋" w:hAnsi="仿宋" w:eastAsia="仿宋"/>
          <w:color w:val="auto"/>
          <w:sz w:val="21"/>
          <w:szCs w:val="21"/>
          <w:highlight w:val="none"/>
        </w:rPr>
        <w:t xml:space="preserve"> </w:t>
      </w:r>
      <w:r>
        <w:rPr>
          <w:rFonts w:hint="eastAsia" w:ascii="仿宋" w:hAnsi="仿宋" w:eastAsia="仿宋"/>
          <w:color w:val="auto"/>
          <w:sz w:val="21"/>
          <w:szCs w:val="21"/>
          <w:highlight w:val="none"/>
        </w:rPr>
        <w:t>设备材料的型式检验报告</w:t>
      </w:r>
    </w:p>
    <w:p>
      <w:pPr>
        <w:ind w:firstLine="420" w:firstLineChars="200"/>
        <w:rPr>
          <w:rFonts w:ascii="仿宋" w:hAnsi="仿宋" w:eastAsia="仿宋"/>
          <w:color w:val="auto"/>
          <w:sz w:val="21"/>
          <w:szCs w:val="21"/>
          <w:highlight w:val="none"/>
        </w:rPr>
      </w:pPr>
      <w:r>
        <w:rPr>
          <w:rFonts w:ascii="仿宋" w:hAnsi="仿宋" w:eastAsia="仿宋"/>
          <w:color w:val="auto"/>
          <w:sz w:val="21"/>
          <w:szCs w:val="21"/>
          <w:highlight w:val="none"/>
        </w:rPr>
        <w:t>5</w:t>
      </w:r>
      <w:r>
        <w:rPr>
          <w:rFonts w:hint="eastAsia" w:ascii="仿宋" w:hAnsi="仿宋" w:eastAsia="仿宋"/>
          <w:color w:val="auto"/>
          <w:sz w:val="21"/>
          <w:szCs w:val="21"/>
          <w:highlight w:val="none"/>
        </w:rPr>
        <w:t>）</w:t>
      </w:r>
      <w:r>
        <w:rPr>
          <w:rFonts w:ascii="仿宋" w:hAnsi="仿宋" w:eastAsia="仿宋"/>
          <w:color w:val="auto"/>
          <w:sz w:val="21"/>
          <w:szCs w:val="21"/>
          <w:highlight w:val="none"/>
        </w:rPr>
        <w:t xml:space="preserve"> </w:t>
      </w:r>
      <w:r>
        <w:rPr>
          <w:rFonts w:hint="eastAsia" w:ascii="仿宋" w:hAnsi="仿宋" w:eastAsia="仿宋"/>
          <w:color w:val="auto"/>
          <w:sz w:val="21"/>
          <w:szCs w:val="21"/>
          <w:highlight w:val="none"/>
        </w:rPr>
        <w:t>进口关税报单（进口产品）</w:t>
      </w:r>
    </w:p>
    <w:p>
      <w:pPr>
        <w:ind w:firstLine="420" w:firstLineChars="200"/>
        <w:rPr>
          <w:rFonts w:ascii="仿宋" w:hAnsi="仿宋" w:eastAsia="仿宋"/>
          <w:color w:val="auto"/>
          <w:sz w:val="21"/>
          <w:szCs w:val="21"/>
          <w:highlight w:val="none"/>
        </w:rPr>
      </w:pPr>
      <w:r>
        <w:rPr>
          <w:rFonts w:ascii="仿宋" w:hAnsi="仿宋" w:eastAsia="仿宋"/>
          <w:color w:val="auto"/>
          <w:sz w:val="21"/>
          <w:szCs w:val="21"/>
          <w:highlight w:val="none"/>
        </w:rPr>
        <w:t>6</w:t>
      </w:r>
      <w:r>
        <w:rPr>
          <w:rFonts w:hint="eastAsia" w:ascii="仿宋" w:hAnsi="仿宋" w:eastAsia="仿宋"/>
          <w:color w:val="auto"/>
          <w:sz w:val="21"/>
          <w:szCs w:val="21"/>
          <w:highlight w:val="none"/>
        </w:rPr>
        <w:t>）</w:t>
      </w:r>
      <w:r>
        <w:rPr>
          <w:rFonts w:ascii="仿宋" w:hAnsi="仿宋" w:eastAsia="仿宋"/>
          <w:color w:val="auto"/>
          <w:sz w:val="21"/>
          <w:szCs w:val="21"/>
          <w:highlight w:val="none"/>
        </w:rPr>
        <w:t xml:space="preserve"> </w:t>
      </w:r>
      <w:r>
        <w:rPr>
          <w:rFonts w:hint="eastAsia" w:ascii="仿宋" w:hAnsi="仿宋" w:eastAsia="仿宋"/>
          <w:color w:val="auto"/>
          <w:sz w:val="21"/>
          <w:szCs w:val="21"/>
          <w:highlight w:val="none"/>
        </w:rPr>
        <w:t>品牌</w:t>
      </w:r>
      <w:r>
        <w:rPr>
          <w:rFonts w:ascii="仿宋" w:hAnsi="仿宋" w:eastAsia="仿宋"/>
          <w:color w:val="auto"/>
          <w:sz w:val="21"/>
          <w:szCs w:val="21"/>
          <w:highlight w:val="none"/>
        </w:rPr>
        <w:t>/</w:t>
      </w:r>
      <w:r>
        <w:rPr>
          <w:rFonts w:hint="eastAsia" w:ascii="仿宋" w:hAnsi="仿宋" w:eastAsia="仿宋"/>
          <w:color w:val="auto"/>
          <w:sz w:val="21"/>
          <w:szCs w:val="21"/>
          <w:highlight w:val="none"/>
        </w:rPr>
        <w:t>厂家的授权书</w:t>
      </w:r>
    </w:p>
    <w:p>
      <w:pPr>
        <w:ind w:firstLine="420" w:firstLineChars="200"/>
        <w:rPr>
          <w:rFonts w:ascii="仿宋" w:hAnsi="仿宋" w:eastAsia="仿宋"/>
          <w:color w:val="auto"/>
          <w:sz w:val="21"/>
          <w:szCs w:val="21"/>
          <w:highlight w:val="none"/>
        </w:rPr>
      </w:pPr>
      <w:r>
        <w:rPr>
          <w:rFonts w:ascii="仿宋" w:hAnsi="仿宋" w:eastAsia="仿宋"/>
          <w:color w:val="auto"/>
          <w:sz w:val="21"/>
          <w:szCs w:val="21"/>
          <w:highlight w:val="none"/>
        </w:rPr>
        <w:t>7</w:t>
      </w:r>
      <w:r>
        <w:rPr>
          <w:rFonts w:hint="eastAsia" w:ascii="仿宋" w:hAnsi="仿宋" w:eastAsia="仿宋"/>
          <w:color w:val="auto"/>
          <w:sz w:val="21"/>
          <w:szCs w:val="21"/>
          <w:highlight w:val="none"/>
        </w:rPr>
        <w:t>）</w:t>
      </w:r>
      <w:r>
        <w:rPr>
          <w:rFonts w:ascii="仿宋" w:hAnsi="仿宋" w:eastAsia="仿宋"/>
          <w:color w:val="auto"/>
          <w:sz w:val="21"/>
          <w:szCs w:val="21"/>
          <w:highlight w:val="none"/>
        </w:rPr>
        <w:t xml:space="preserve"> </w:t>
      </w:r>
      <w:r>
        <w:rPr>
          <w:rFonts w:hint="eastAsia" w:ascii="仿宋" w:hAnsi="仿宋" w:eastAsia="仿宋"/>
          <w:color w:val="auto"/>
          <w:sz w:val="21"/>
          <w:szCs w:val="21"/>
          <w:highlight w:val="none"/>
        </w:rPr>
        <w:t>其它需要提供的证明、证书文件（如消防、认证、节能等）</w:t>
      </w:r>
    </w:p>
    <w:p>
      <w:pPr>
        <w:ind w:firstLine="420" w:firstLineChars="200"/>
        <w:rPr>
          <w:rFonts w:ascii="仿宋" w:hAnsi="仿宋" w:eastAsia="仿宋"/>
          <w:color w:val="auto"/>
          <w:sz w:val="21"/>
          <w:szCs w:val="21"/>
          <w:highlight w:val="none"/>
        </w:rPr>
      </w:pPr>
      <w:r>
        <w:rPr>
          <w:rFonts w:ascii="仿宋" w:hAnsi="仿宋" w:eastAsia="仿宋"/>
          <w:color w:val="auto"/>
          <w:sz w:val="21"/>
          <w:szCs w:val="21"/>
          <w:highlight w:val="none"/>
        </w:rPr>
        <w:t>8</w:t>
      </w:r>
      <w:r>
        <w:rPr>
          <w:rFonts w:hint="eastAsia" w:ascii="仿宋" w:hAnsi="仿宋" w:eastAsia="仿宋"/>
          <w:color w:val="auto"/>
          <w:sz w:val="21"/>
          <w:szCs w:val="21"/>
          <w:highlight w:val="none"/>
        </w:rPr>
        <w:t>）</w:t>
      </w:r>
      <w:r>
        <w:rPr>
          <w:rFonts w:ascii="仿宋" w:hAnsi="仿宋" w:eastAsia="仿宋"/>
          <w:color w:val="auto"/>
          <w:sz w:val="21"/>
          <w:szCs w:val="21"/>
          <w:highlight w:val="none"/>
        </w:rPr>
        <w:t xml:space="preserve"> </w:t>
      </w:r>
      <w:r>
        <w:rPr>
          <w:rFonts w:hint="eastAsia" w:ascii="仿宋" w:hAnsi="仿宋" w:eastAsia="仿宋"/>
          <w:color w:val="auto"/>
          <w:sz w:val="21"/>
          <w:szCs w:val="21"/>
          <w:highlight w:val="none"/>
        </w:rPr>
        <w:t>所选用产品的技术参数及对应的样本</w:t>
      </w:r>
    </w:p>
    <w:p>
      <w:pPr>
        <w:ind w:firstLine="420" w:firstLineChars="200"/>
        <w:rPr>
          <w:rFonts w:ascii="仿宋" w:hAnsi="仿宋" w:eastAsia="仿宋"/>
          <w:color w:val="auto"/>
          <w:sz w:val="21"/>
          <w:szCs w:val="21"/>
          <w:highlight w:val="none"/>
        </w:rPr>
      </w:pPr>
      <w:r>
        <w:rPr>
          <w:rFonts w:ascii="仿宋" w:hAnsi="仿宋" w:eastAsia="仿宋"/>
          <w:color w:val="auto"/>
          <w:sz w:val="21"/>
          <w:szCs w:val="21"/>
          <w:highlight w:val="none"/>
        </w:rPr>
        <w:t>9</w:t>
      </w:r>
      <w:r>
        <w:rPr>
          <w:rFonts w:hint="eastAsia" w:ascii="仿宋" w:hAnsi="仿宋" w:eastAsia="仿宋"/>
          <w:color w:val="auto"/>
          <w:sz w:val="21"/>
          <w:szCs w:val="21"/>
          <w:highlight w:val="none"/>
        </w:rPr>
        <w:t>）</w:t>
      </w:r>
      <w:r>
        <w:rPr>
          <w:rFonts w:ascii="仿宋" w:hAnsi="仿宋" w:eastAsia="仿宋"/>
          <w:color w:val="auto"/>
          <w:sz w:val="21"/>
          <w:szCs w:val="21"/>
          <w:highlight w:val="none"/>
        </w:rPr>
        <w:t xml:space="preserve"> </w:t>
      </w:r>
      <w:r>
        <w:rPr>
          <w:rFonts w:hint="eastAsia" w:ascii="仿宋" w:hAnsi="仿宋" w:eastAsia="仿宋"/>
          <w:color w:val="auto"/>
          <w:sz w:val="21"/>
          <w:szCs w:val="21"/>
          <w:highlight w:val="none"/>
        </w:rPr>
        <w:t>填写提供所选用产品型号的参数与技术文件的技术响应表、差异对比表</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3）材料、设备进场前承包人需完成进场报审工作，经发包人审批同意进场后，方可通知供应商安排材料设备进场，进场报审资料包括但不限于：承包人或其经审批的专业分包人与相关厂家或授权代理商签订的供货合同（注：授权代理商须提供项目授权或年度授权证明）、出厂合格证、各种产品质量认证证书、出厂试验报告、型式试验报告、第三方检测报告、相关保证函、厂家联系方式、验证方式、厂家确认的出货单等相关正规渠道出货证明。其中，进口材料设备还需要提供报关单、原产地证明、商检证明文件。进场后必须认真按有关标准、样板进行检验、试验，验收合格后方可报发包人，经发包人确认后方能使用。</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各承包人的材料计划、定板计划提交给监理单位审核后，报发包人。发包人根据实际情况启动材料看样定板审批程序，看样定板材料未经审批封存的不准进场投入施工需要。重点看样定板材料进场计划需提前60天报发包人项目部，予以对其在技术性能、经济指标、规格、颜色、所申报品牌/厂家是否符合发包人确定的品牌/厂家范围等方面进行审核。</w:t>
      </w:r>
    </w:p>
    <w:p>
      <w:pPr>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w:t>
      </w:r>
      <w:r>
        <w:rPr>
          <w:rFonts w:hint="eastAsia" w:ascii="仿宋" w:hAnsi="仿宋" w:eastAsia="仿宋"/>
          <w:color w:val="auto"/>
          <w:sz w:val="21"/>
          <w:szCs w:val="21"/>
          <w:highlight w:val="none"/>
        </w:rPr>
        <w:t>用于本工程上的所有</w:t>
      </w:r>
      <w:r>
        <w:rPr>
          <w:rFonts w:hint="eastAsia" w:ascii="仿宋" w:hAnsi="仿宋" w:eastAsia="仿宋" w:cs="宋体"/>
          <w:color w:val="auto"/>
          <w:sz w:val="21"/>
          <w:szCs w:val="21"/>
          <w:highlight w:val="none"/>
        </w:rPr>
        <w:t>材料、设备的品牌、供应商（含代理商、经销商）及专业安装队伍等必须预先向监理、发包人申报，申报经监理、发包人审核批准的才允许使用，未经审批的不准进行定购，不准进场，违者将材料清出现场，并收取违约金</w:t>
      </w:r>
      <w:r>
        <w:rPr>
          <w:rFonts w:ascii="仿宋" w:hAnsi="仿宋" w:eastAsia="仿宋" w:cs="宋体"/>
          <w:color w:val="auto"/>
          <w:sz w:val="21"/>
          <w:szCs w:val="21"/>
          <w:highlight w:val="none"/>
        </w:rPr>
        <w:t>1000</w:t>
      </w:r>
      <w:r>
        <w:rPr>
          <w:rFonts w:hint="eastAsia" w:ascii="仿宋" w:hAnsi="仿宋" w:eastAsia="仿宋" w:cs="宋体"/>
          <w:color w:val="auto"/>
          <w:sz w:val="21"/>
          <w:szCs w:val="21"/>
          <w:highlight w:val="none"/>
        </w:rPr>
        <w:t>-10000元</w:t>
      </w:r>
      <w:r>
        <w:rPr>
          <w:rFonts w:ascii="仿宋" w:hAnsi="仿宋" w:eastAsia="仿宋" w:cs="宋体"/>
          <w:color w:val="auto"/>
          <w:sz w:val="21"/>
          <w:szCs w:val="21"/>
          <w:highlight w:val="none"/>
        </w:rPr>
        <w:t>/</w:t>
      </w:r>
      <w:r>
        <w:rPr>
          <w:rFonts w:hint="eastAsia" w:ascii="仿宋" w:hAnsi="仿宋" w:eastAsia="仿宋" w:cs="宋体"/>
          <w:color w:val="auto"/>
          <w:sz w:val="21"/>
          <w:szCs w:val="21"/>
          <w:highlight w:val="none"/>
        </w:rPr>
        <w:t>次。</w:t>
      </w:r>
    </w:p>
    <w:p>
      <w:pPr>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（6）本工程的材料、设备在制造、运输、安装等实施过程中，监理单位、发包人有权视需要采取形式不一的监督行为，施工单位须无条件配合。</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7）物料进场及施工过程中的试验必须听从监理单位及发包人工程师安排，执行见证取样规定经监理见证取样。物料进场不及时报验，每批次收取违约金2000元，如果发生物料、设备已用到工程上或发现不合格者，除全部拆除或退场外，每发生一次收取违约金5000元。</w:t>
      </w:r>
    </w:p>
    <w:p>
      <w:pPr>
        <w:ind w:firstLine="420" w:firstLineChars="200"/>
        <w:rPr>
          <w:rFonts w:ascii="仿宋" w:hAnsi="仿宋" w:eastAsia="仿宋" w:cs="宋体"/>
          <w:color w:val="auto"/>
          <w:sz w:val="21"/>
          <w:szCs w:val="21"/>
          <w:highlight w:val="none"/>
        </w:rPr>
      </w:pPr>
      <w:r>
        <w:rPr>
          <w:rFonts w:hint="eastAsia" w:ascii="仿宋" w:hAnsi="仿宋" w:eastAsia="仿宋"/>
          <w:color w:val="auto"/>
          <w:sz w:val="21"/>
          <w:szCs w:val="21"/>
          <w:highlight w:val="none"/>
        </w:rPr>
        <w:t>（8）</w:t>
      </w:r>
      <w:r>
        <w:rPr>
          <w:rFonts w:hint="eastAsia" w:ascii="宋体" w:hAnsi="宋体" w:cs="宋体"/>
          <w:color w:val="auto"/>
          <w:sz w:val="21"/>
          <w:szCs w:val="21"/>
          <w:highlight w:val="none"/>
        </w:rPr>
        <w:t> </w:t>
      </w:r>
      <w:r>
        <w:rPr>
          <w:rFonts w:hint="eastAsia" w:ascii="仿宋" w:hAnsi="仿宋" w:eastAsia="仿宋" w:cs="宋体"/>
          <w:color w:val="auto"/>
          <w:sz w:val="21"/>
          <w:szCs w:val="21"/>
          <w:highlight w:val="none"/>
        </w:rPr>
        <w:t>本工程的材料、设备的进场报验，监理单位、发包人有权视需要聘请第三方专业检测机构进行检测，施工单位须无条件配合并承担相关费用。</w:t>
      </w:r>
    </w:p>
    <w:p>
      <w:pPr>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（9）发包人</w:t>
      </w:r>
      <w:r>
        <w:rPr>
          <w:rFonts w:hint="eastAsia" w:ascii="仿宋" w:hAnsi="仿宋" w:eastAsia="仿宋"/>
          <w:color w:val="auto"/>
          <w:sz w:val="21"/>
          <w:szCs w:val="21"/>
          <w:highlight w:val="none"/>
        </w:rPr>
        <w:t>抽检</w:t>
      </w:r>
      <w:r>
        <w:rPr>
          <w:rFonts w:hint="eastAsia" w:ascii="仿宋" w:hAnsi="仿宋" w:eastAsia="仿宋" w:cs="宋体"/>
          <w:color w:val="auto"/>
          <w:sz w:val="21"/>
          <w:szCs w:val="21"/>
          <w:highlight w:val="none"/>
        </w:rPr>
        <w:t>：除根据政策要求的第三方检测和监理相关检测外，根据工程实际情况，发包人对有疑问、高价值、对效果有重大影响、易产生不合格品的材料设备有权实施抽检，计划内的抽检不得提出工期索赔。检验的结果证明该项材料、设备不符合合同要求的，因此增加的费用和（或）工期延误由承包人承担；检验结果证明该项材料、设备符合合同要求的，由发包人承担因此增加的费用和（或）工期延误。</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4.2.4施工测量</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由发包人工程师负责向承包人提供基准线，监理单位负责对承包人所放线进行校核工作；承包人测量员负责对基准线、点进行检查、维护工作。承包人使用的测量仪器必须是在有效期内、按经检测、校准确保合格后方可使用，并将有关检测证明资料报监理单位、发包人备案。</w:t>
      </w:r>
      <w:r>
        <w:rPr>
          <w:rFonts w:hint="eastAsia" w:ascii="宋体" w:hAnsi="宋体" w:cs="宋体"/>
          <w:color w:val="auto"/>
          <w:sz w:val="21"/>
          <w:szCs w:val="21"/>
          <w:highlight w:val="none"/>
        </w:rPr>
        <w:t> </w:t>
      </w:r>
      <w:r>
        <w:rPr>
          <w:rFonts w:hint="eastAsia" w:ascii="仿宋" w:hAnsi="仿宋" w:eastAsia="仿宋"/>
          <w:color w:val="auto"/>
          <w:sz w:val="21"/>
          <w:szCs w:val="21"/>
          <w:highlight w:val="none"/>
        </w:rPr>
        <w:t>发现测量仪器不在有效期内、按经检测、校准不合格而使用，每发生一次收取违约金2000元，并重新进行测量。</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4.2.5工序验收</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各工序完成后，承包人首先进行自检，自检合格后，按照项目资料报验要求，报质检员验收，质检员验收合格后，报监理验收，监理验收合格后，报发包人验收，合格并书面签认后方可进行下道工序。分包人：首先进行自检，自检合格后，由分包人质检员按照项目资料报验要求，报总包质检员验收，质检员验收合格后，报监理验收，监理验收合格后，报发包人验收，合格并书面签认后方可进行下道工序。未经验收合格签字而进行下道工序施工的，除全部拆除返工外，每发生一次收取违约金1000-30000元</w:t>
      </w:r>
      <w:r>
        <w:rPr>
          <w:rFonts w:hint="eastAsia" w:ascii="宋体" w:hAnsi="宋体" w:cs="宋体"/>
          <w:color w:val="auto"/>
          <w:sz w:val="21"/>
          <w:szCs w:val="21"/>
          <w:highlight w:val="none"/>
        </w:rPr>
        <w:t> </w:t>
      </w:r>
      <w:r>
        <w:rPr>
          <w:rFonts w:hint="eastAsia" w:ascii="仿宋" w:hAnsi="仿宋" w:eastAsia="仿宋"/>
          <w:color w:val="auto"/>
          <w:sz w:val="21"/>
          <w:szCs w:val="21"/>
          <w:highlight w:val="none"/>
        </w:rPr>
        <w:t>。</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所有分包人人员不得直接找监理、发包人、设计报验，所有检验、试验等均由项目总包单位报验监理单位、发包人、设计单位。</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4.2.6质量管理</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本工程质量管理目标：确保合格工程，争创市样板工程奖。</w:t>
      </w:r>
    </w:p>
    <w:p>
      <w:pPr>
        <w:rPr>
          <w:rFonts w:ascii="仿宋" w:hAnsi="仿宋" w:eastAsia="仿宋"/>
          <w:color w:val="auto"/>
          <w:sz w:val="21"/>
          <w:szCs w:val="21"/>
          <w:highlight w:val="none"/>
        </w:rPr>
      </w:pPr>
      <w:r>
        <w:rPr>
          <w:rFonts w:hint="eastAsia" w:ascii="仿宋" w:hAnsi="仿宋" w:eastAsia="仿宋"/>
          <w:color w:val="auto"/>
          <w:sz w:val="21"/>
          <w:szCs w:val="21"/>
          <w:highlight w:val="none"/>
        </w:rPr>
        <w:t>（1）对此目标，各承包人必须建立质量管理体系，有明确的职责分工和管理程序，并报监理单位及发包人认可后组织实施，在实施过程中接受监理、发包人的监督管理。承包人质检员必须严格按标准规范、《建筑工程质量通病防治手册》和本单位编制的质量目标进行自检、验收，自检合格后报验收。</w:t>
      </w:r>
      <w:r>
        <w:rPr>
          <w:rFonts w:hint="eastAsia" w:ascii="宋体" w:hAnsi="宋体" w:cs="宋体"/>
          <w:color w:val="auto"/>
          <w:sz w:val="21"/>
          <w:szCs w:val="21"/>
          <w:highlight w:val="none"/>
        </w:rPr>
        <w:t> </w:t>
      </w:r>
    </w:p>
    <w:p>
      <w:pPr>
        <w:rPr>
          <w:rFonts w:ascii="仿宋" w:hAnsi="仿宋" w:eastAsia="仿宋"/>
          <w:color w:val="auto"/>
          <w:sz w:val="21"/>
          <w:szCs w:val="21"/>
          <w:highlight w:val="none"/>
        </w:rPr>
      </w:pPr>
      <w:r>
        <w:rPr>
          <w:rFonts w:hint="eastAsia" w:ascii="仿宋" w:hAnsi="仿宋" w:eastAsia="仿宋"/>
          <w:color w:val="auto"/>
          <w:sz w:val="21"/>
          <w:szCs w:val="21"/>
          <w:highlight w:val="none"/>
        </w:rPr>
        <w:t>（2）为保证工程质量，使承包人、监理单位、发包人对现场施工工艺及质量标准达成共识，实行样板制度。实行“样板先行”制度既是对施工工艺的检验，也是对分项工程施工质量标准的确定；本工程所有分项工程均需做施工样板，各分项工程施工样板的展示及施工质量标准经监理单位、发包人验收合格后方可进行大面施工，样板展示内容包括：现浇混凝土观感样板、砌筑工程的植筋样板、墙体砌筑样板、墙体抹灰样板、卫生间防水样板、墙体水电管预埋样板、外墙砖贴砖样板、屋面防水样板、门窗安装、装修样板等等。</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施工样板第一次验收不合格，进行整改并收取违约金2000元；</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施工样板第二次验收不合格，进行整改并收取违约金5000元；</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 xml:space="preserve">施工样板第三次验收不合格，施工队伍退场并收取违约金10000元； </w:t>
      </w:r>
    </w:p>
    <w:p>
      <w:pPr>
        <w:rPr>
          <w:rFonts w:ascii="仿宋" w:hAnsi="仿宋" w:eastAsia="仿宋"/>
          <w:color w:val="auto"/>
          <w:sz w:val="21"/>
          <w:szCs w:val="21"/>
          <w:highlight w:val="none"/>
        </w:rPr>
      </w:pPr>
      <w:r>
        <w:rPr>
          <w:rFonts w:hint="eastAsia" w:ascii="仿宋" w:hAnsi="仿宋" w:eastAsia="仿宋"/>
          <w:color w:val="auto"/>
          <w:sz w:val="21"/>
          <w:szCs w:val="21"/>
          <w:highlight w:val="none"/>
        </w:rPr>
        <w:t>（3）每个施工班组（队伍）在施工前均必须进行工程样板施工，样板、施工工艺经监理、发包人验收合格，该施工班组（队伍）方可进行大面积施工；经验收不合格，经整改还不达标的样板、施工工艺，该施工班组（队伍）应在2天内撤离现场，不配合或拒绝撤离现场，向责任单位收取违约金2000-10000元/天。</w:t>
      </w:r>
    </w:p>
    <w:p>
      <w:pPr>
        <w:rPr>
          <w:rFonts w:ascii="仿宋" w:hAnsi="仿宋" w:eastAsia="仿宋"/>
          <w:color w:val="auto"/>
          <w:sz w:val="21"/>
          <w:szCs w:val="21"/>
          <w:highlight w:val="none"/>
        </w:rPr>
      </w:pPr>
      <w:r>
        <w:rPr>
          <w:rFonts w:hint="eastAsia" w:ascii="仿宋" w:hAnsi="仿宋" w:eastAsia="仿宋"/>
          <w:color w:val="auto"/>
          <w:sz w:val="21"/>
          <w:szCs w:val="21"/>
          <w:highlight w:val="none"/>
        </w:rPr>
        <w:t>（4）装修、机电安装班组（队伍）必须具有类似工程经验，并在进场前提供近两年施工项目业绩，并配合项目部组织考察。考察不合格班组，不允许进场，已经进场的2天内撤离现场，不配合或拒绝撤离现场，向责任单位收取违约金2000-10000元/天。</w:t>
      </w:r>
    </w:p>
    <w:p>
      <w:pPr>
        <w:rPr>
          <w:rFonts w:ascii="仿宋" w:hAnsi="仿宋" w:eastAsia="仿宋"/>
          <w:color w:val="auto"/>
          <w:sz w:val="21"/>
          <w:szCs w:val="21"/>
          <w:highlight w:val="none"/>
        </w:rPr>
      </w:pPr>
      <w:r>
        <w:rPr>
          <w:rFonts w:hint="eastAsia" w:ascii="仿宋" w:hAnsi="仿宋" w:eastAsia="仿宋"/>
          <w:color w:val="auto"/>
          <w:sz w:val="21"/>
          <w:szCs w:val="21"/>
          <w:highlight w:val="none"/>
        </w:rPr>
        <w:t>（5）对监理、发包人提出的问题必须立即整改，局部整改或整改后仍然达不到要求的或未按规定时间整改的每次收取违约金1000元。施工过程中，必须严格遵守强制性条文，违反规范中强制性条文的必须全部整改，同时每发生一次收取违约金5000元。</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4.2.7计量管理</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每月25日前上报本月已完成工程量，经审核无误后方可上报监理单位，监理单位审核后报发包人进行审核计量计价。未经审核无误或延迟上报的完成工程量</w:t>
      </w:r>
      <w:r>
        <w:rPr>
          <w:rFonts w:hint="eastAsia" w:ascii="宋体" w:hAnsi="宋体" w:cs="宋体"/>
          <w:color w:val="auto"/>
          <w:sz w:val="21"/>
          <w:szCs w:val="21"/>
          <w:highlight w:val="none"/>
        </w:rPr>
        <w:t> </w:t>
      </w:r>
      <w:r>
        <w:rPr>
          <w:rFonts w:hint="eastAsia" w:ascii="仿宋" w:hAnsi="仿宋" w:eastAsia="仿宋"/>
          <w:color w:val="auto"/>
          <w:sz w:val="21"/>
          <w:szCs w:val="21"/>
          <w:highlight w:val="none"/>
        </w:rPr>
        <w:t>，发包人将无法按时拨付货款。(未按约定时间上报当月工程量的，将自动累计到下月上报)</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4.2.8资料管理</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本工程执行《</w:t>
      </w:r>
      <w:r>
        <w:rPr>
          <w:rFonts w:hint="eastAsia" w:ascii="仿宋" w:hAnsi="仿宋" w:eastAsia="仿宋"/>
          <w:color w:val="auto"/>
          <w:sz w:val="21"/>
          <w:szCs w:val="21"/>
          <w:highlight w:val="none"/>
          <w:u w:val="single"/>
        </w:rPr>
        <w:t>广东省</w:t>
      </w:r>
      <w:r>
        <w:rPr>
          <w:rFonts w:hint="eastAsia" w:ascii="仿宋" w:hAnsi="仿宋" w:eastAsia="仿宋"/>
          <w:color w:val="auto"/>
          <w:sz w:val="21"/>
          <w:szCs w:val="21"/>
          <w:highlight w:val="none"/>
        </w:rPr>
        <w:t>建筑工程资料规程》和全面实施的各种验收规范，各承包人应严格按监理单位及发包人规定执行资料报验，所有资料必须与工程进度同步进行，对迟报、漏报、不齐全、不真实、未与工程进度同步进行的每次收取违约金1000元。</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施工过程中各类内业资料，如工程档案、安全内业、工程签证资料、工程日志、照录相声光资料及工程竣工验收档案资料必须按照发包人、监理单位和相关档案编制要求及时进行收集整理，分类归档，按时报送有关部门，违反上述规定收取违约金1</w:t>
      </w:r>
      <w:r>
        <w:rPr>
          <w:rFonts w:ascii="仿宋" w:hAnsi="仿宋" w:eastAsia="仿宋"/>
          <w:color w:val="auto"/>
          <w:sz w:val="21"/>
          <w:szCs w:val="21"/>
          <w:highlight w:val="none"/>
        </w:rPr>
        <w:t>00</w:t>
      </w:r>
      <w:r>
        <w:rPr>
          <w:rFonts w:hint="eastAsia" w:ascii="仿宋" w:hAnsi="仿宋" w:eastAsia="仿宋"/>
          <w:color w:val="auto"/>
          <w:sz w:val="21"/>
          <w:szCs w:val="21"/>
          <w:highlight w:val="none"/>
        </w:rPr>
        <w:t>0-5000元</w:t>
      </w:r>
      <w:r>
        <w:rPr>
          <w:rFonts w:ascii="仿宋" w:hAnsi="仿宋" w:eastAsia="仿宋"/>
          <w:color w:val="auto"/>
          <w:sz w:val="21"/>
          <w:szCs w:val="21"/>
          <w:highlight w:val="none"/>
        </w:rPr>
        <w:t>/</w:t>
      </w:r>
      <w:r>
        <w:rPr>
          <w:rFonts w:hint="eastAsia" w:ascii="仿宋" w:hAnsi="仿宋" w:eastAsia="仿宋"/>
          <w:color w:val="auto"/>
          <w:sz w:val="21"/>
          <w:szCs w:val="21"/>
          <w:highlight w:val="none"/>
        </w:rPr>
        <w:t>次；经发包人、监理检查存在不到位情况的，除限期整改外收取违约金10</w:t>
      </w:r>
      <w:r>
        <w:rPr>
          <w:rFonts w:ascii="仿宋" w:hAnsi="仿宋" w:eastAsia="仿宋"/>
          <w:color w:val="auto"/>
          <w:sz w:val="21"/>
          <w:szCs w:val="21"/>
          <w:highlight w:val="none"/>
        </w:rPr>
        <w:t>00</w:t>
      </w:r>
      <w:r>
        <w:rPr>
          <w:rFonts w:hint="eastAsia" w:ascii="仿宋" w:hAnsi="仿宋" w:eastAsia="仿宋"/>
          <w:color w:val="auto"/>
          <w:sz w:val="21"/>
          <w:szCs w:val="21"/>
          <w:highlight w:val="none"/>
        </w:rPr>
        <w:t>元</w:t>
      </w:r>
      <w:r>
        <w:rPr>
          <w:rFonts w:ascii="仿宋" w:hAnsi="仿宋" w:eastAsia="仿宋"/>
          <w:color w:val="auto"/>
          <w:sz w:val="21"/>
          <w:szCs w:val="21"/>
          <w:highlight w:val="none"/>
        </w:rPr>
        <w:t>/</w:t>
      </w:r>
      <w:r>
        <w:rPr>
          <w:rFonts w:hint="eastAsia" w:ascii="仿宋" w:hAnsi="仿宋" w:eastAsia="仿宋"/>
          <w:color w:val="auto"/>
          <w:sz w:val="21"/>
          <w:szCs w:val="21"/>
          <w:highlight w:val="none"/>
        </w:rPr>
        <w:t>次。</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分包人所承包范围内资料的编制与整理按照相关规范、规程进行整理，分包人的竣工图及施工资料应在指定的期限内自行编制完成，并符合有关规定，每周每月接受总包单位、监理、发包人检查，经总包单位、监理、发包人检查合格后方可进行竣工结算。</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4.2.9例会制度</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每周二下午2点30分举行定期工程例会，各参建单位应按时参加（另：根据工程需要不定期举行专项协调会），迟到者每次收取违约金300元。</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参加会议</w:t>
      </w:r>
      <w:r>
        <w:rPr>
          <w:rFonts w:hint="eastAsia" w:ascii="宋体" w:hAnsi="宋体" w:cs="宋体"/>
          <w:color w:val="auto"/>
          <w:sz w:val="21"/>
          <w:szCs w:val="21"/>
          <w:highlight w:val="none"/>
        </w:rPr>
        <w:t> </w:t>
      </w:r>
      <w:r>
        <w:rPr>
          <w:rFonts w:hint="eastAsia" w:ascii="仿宋" w:hAnsi="仿宋" w:eastAsia="仿宋"/>
          <w:color w:val="auto"/>
          <w:sz w:val="21"/>
          <w:szCs w:val="21"/>
          <w:highlight w:val="none"/>
        </w:rPr>
        <w:t>要求至少必须有项目经理负责人、技术总负责人、质量、安全、资料各一名及发包人要求出席的人员，以上人员无故缺席每次收取违约金1000元。</w:t>
      </w:r>
    </w:p>
    <w:p>
      <w:pPr>
        <w:ind w:firstLine="315" w:firstLineChars="15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工程例会主持人员：总监理工程师。安全例会主持人员:监理安全负责人。会议纪要由项目监理部整理并报送发包人及各参建单位。各参建单位每周一下午3：00前向监理提交周报，监理将周报汇总后报发包人。</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4.2.10成品保护</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各单位在施工过程中必须采取切实有效的措施，保护自身及其他专业（单位）施工成品，如果因为施工不当对别人的成品造成破坏，除全额赔偿损失外，发包人将视影响情况收取违约金1000～10000元。</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4.2.11奖惩</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在施工过程管理中，监理工程师、发包人工程师有权在自己的权限范围内对承包人安全文明施工防护措施、技术质量活动中不正确的地方进行经济或其它方式的惩处，如因承包人提出的工艺可行而导致的节约、提高质量、加快进度的，发包人应实施奖励。惩处和奖励的额度除上述明确规定的原则上由发包人确定。</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4.3施工进度控制</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4.3.1总进度计划</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根据本工程编制的工程总体进度计划，各专业单位根据自身施工特点编制本专业施工的总进度计划，报监理、发包人审核确认，并将总计划进行量化分解，每周一下午16:00之前上报下周施工计划，每月25日上报下月施工计划，便于监理、发包人进行有效监控管理。</w:t>
      </w:r>
    </w:p>
    <w:p>
      <w:pPr>
        <w:rPr>
          <w:rFonts w:ascii="仿宋" w:hAnsi="仿宋" w:eastAsia="仿宋"/>
          <w:color w:val="auto"/>
          <w:sz w:val="21"/>
          <w:szCs w:val="21"/>
          <w:highlight w:val="none"/>
        </w:rPr>
      </w:pPr>
      <w:r>
        <w:rPr>
          <w:rFonts w:hint="eastAsia" w:ascii="仿宋" w:hAnsi="仿宋" w:eastAsia="仿宋"/>
          <w:color w:val="auto"/>
          <w:sz w:val="21"/>
          <w:szCs w:val="21"/>
          <w:highlight w:val="none"/>
        </w:rPr>
        <w:t>4.3.2管理措施</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（1）不按时上报分解计划的，每次收取违约金1000元，所报计划无量化指标者每收取违约金1000元。</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（2）施工进度与计划滞后而不采取有效措施者，监理、发包人有权视具体情况进行下列处罚： 收取违约金1000～20000元。</w:t>
      </w:r>
      <w:r>
        <w:rPr>
          <w:rFonts w:hint="eastAsia" w:ascii="宋体" w:hAnsi="宋体" w:cs="宋体"/>
          <w:color w:val="auto"/>
          <w:sz w:val="21"/>
          <w:szCs w:val="21"/>
          <w:highlight w:val="none"/>
        </w:rPr>
        <w:t> </w:t>
      </w:r>
    </w:p>
    <w:p>
      <w:pPr>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（3）严格</w:t>
      </w:r>
      <w:r>
        <w:rPr>
          <w:rFonts w:hint="eastAsia" w:ascii="仿宋" w:hAnsi="仿宋" w:eastAsia="仿宋"/>
          <w:color w:val="auto"/>
          <w:sz w:val="21"/>
          <w:szCs w:val="21"/>
          <w:highlight w:val="none"/>
        </w:rPr>
        <w:t>执行</w:t>
      </w:r>
      <w:r>
        <w:rPr>
          <w:rFonts w:hint="eastAsia" w:ascii="仿宋" w:hAnsi="仿宋" w:eastAsia="仿宋" w:cs="宋体"/>
          <w:color w:val="auto"/>
          <w:sz w:val="21"/>
          <w:szCs w:val="21"/>
          <w:highlight w:val="none"/>
        </w:rPr>
        <w:t>已经上报且经过监理、发包人审核同意的阶段性进度计划，若阶段性进度计划节点滞后，并对后续工作产生影响的，收取违约金 3</w:t>
      </w:r>
      <w:r>
        <w:rPr>
          <w:rFonts w:ascii="仿宋" w:hAnsi="仿宋" w:eastAsia="仿宋" w:cs="宋体"/>
          <w:color w:val="auto"/>
          <w:sz w:val="21"/>
          <w:szCs w:val="21"/>
          <w:highlight w:val="none"/>
        </w:rPr>
        <w:t>000</w:t>
      </w:r>
      <w:r>
        <w:rPr>
          <w:rFonts w:hint="eastAsia" w:ascii="仿宋" w:hAnsi="仿宋" w:eastAsia="仿宋" w:cs="宋体"/>
          <w:color w:val="auto"/>
          <w:sz w:val="21"/>
          <w:szCs w:val="21"/>
          <w:highlight w:val="none"/>
        </w:rPr>
        <w:t>元</w:t>
      </w:r>
      <w:r>
        <w:rPr>
          <w:rFonts w:ascii="仿宋" w:hAnsi="仿宋" w:eastAsia="仿宋" w:cs="宋体"/>
          <w:color w:val="auto"/>
          <w:sz w:val="21"/>
          <w:szCs w:val="21"/>
          <w:highlight w:val="none"/>
        </w:rPr>
        <w:t>/</w:t>
      </w:r>
      <w:r>
        <w:rPr>
          <w:rFonts w:hint="eastAsia" w:ascii="仿宋" w:hAnsi="仿宋" w:eastAsia="仿宋" w:cs="宋体"/>
          <w:color w:val="auto"/>
          <w:sz w:val="21"/>
          <w:szCs w:val="21"/>
          <w:highlight w:val="none"/>
        </w:rPr>
        <w:t>天；</w:t>
      </w:r>
    </w:p>
    <w:p>
      <w:pPr>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（4）施工</w:t>
      </w:r>
      <w:r>
        <w:rPr>
          <w:rFonts w:hint="eastAsia" w:ascii="仿宋" w:hAnsi="仿宋" w:eastAsia="仿宋"/>
          <w:color w:val="auto"/>
          <w:sz w:val="21"/>
          <w:szCs w:val="21"/>
          <w:highlight w:val="none"/>
        </w:rPr>
        <w:t>合同</w:t>
      </w:r>
      <w:r>
        <w:rPr>
          <w:rFonts w:hint="eastAsia" w:ascii="仿宋" w:hAnsi="仿宋" w:eastAsia="仿宋" w:cs="宋体"/>
          <w:color w:val="auto"/>
          <w:sz w:val="21"/>
          <w:szCs w:val="21"/>
          <w:highlight w:val="none"/>
        </w:rPr>
        <w:t>中已明确的大节点，施工单位应严格执行，若滞后将按合同有关条款收取违约金。</w:t>
      </w:r>
    </w:p>
    <w:p>
      <w:pPr>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（5）施工</w:t>
      </w:r>
      <w:r>
        <w:rPr>
          <w:rFonts w:hint="eastAsia" w:ascii="仿宋" w:hAnsi="仿宋" w:eastAsia="仿宋"/>
          <w:color w:val="auto"/>
          <w:sz w:val="21"/>
          <w:szCs w:val="21"/>
          <w:highlight w:val="none"/>
        </w:rPr>
        <w:t>单位</w:t>
      </w:r>
      <w:r>
        <w:rPr>
          <w:rFonts w:hint="eastAsia" w:ascii="仿宋" w:hAnsi="仿宋" w:eastAsia="仿宋" w:cs="宋体"/>
          <w:color w:val="auto"/>
          <w:sz w:val="21"/>
          <w:szCs w:val="21"/>
          <w:highlight w:val="none"/>
        </w:rPr>
        <w:t>因劳动人员组织不力，工程材料以及施工机具设备、周转材料等组织不到位，</w:t>
      </w:r>
    </w:p>
    <w:p>
      <w:pP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而影响工程进度或对其它施工单位的进度造成影响， 收取违约金3</w:t>
      </w:r>
      <w:r>
        <w:rPr>
          <w:rFonts w:ascii="仿宋" w:hAnsi="仿宋" w:eastAsia="仿宋" w:cs="宋体"/>
          <w:color w:val="auto"/>
          <w:sz w:val="21"/>
          <w:szCs w:val="21"/>
          <w:highlight w:val="none"/>
        </w:rPr>
        <w:t>000</w:t>
      </w:r>
      <w:r>
        <w:rPr>
          <w:rFonts w:hint="eastAsia" w:ascii="仿宋" w:hAnsi="仿宋" w:eastAsia="仿宋" w:cs="宋体"/>
          <w:color w:val="auto"/>
          <w:sz w:val="21"/>
          <w:szCs w:val="21"/>
          <w:highlight w:val="none"/>
        </w:rPr>
        <w:t>元</w:t>
      </w:r>
      <w:r>
        <w:rPr>
          <w:rFonts w:ascii="仿宋" w:hAnsi="仿宋" w:eastAsia="仿宋" w:cs="宋体"/>
          <w:color w:val="auto"/>
          <w:sz w:val="21"/>
          <w:szCs w:val="21"/>
          <w:highlight w:val="none"/>
        </w:rPr>
        <w:t>/</w:t>
      </w:r>
      <w:r>
        <w:rPr>
          <w:rFonts w:hint="eastAsia" w:ascii="仿宋" w:hAnsi="仿宋" w:eastAsia="仿宋" w:cs="宋体"/>
          <w:color w:val="auto"/>
          <w:sz w:val="21"/>
          <w:szCs w:val="21"/>
          <w:highlight w:val="none"/>
        </w:rPr>
        <w:t>天。</w:t>
      </w:r>
    </w:p>
    <w:p>
      <w:pPr>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（6）必须按发包人统一部署，确保外协单位及时进场，提供合理的工作面，对故意不执行发包人要求的，</w:t>
      </w:r>
      <w:r>
        <w:rPr>
          <w:rFonts w:ascii="仿宋" w:hAnsi="仿宋" w:eastAsia="仿宋" w:cs="宋体"/>
          <w:color w:val="auto"/>
          <w:sz w:val="21"/>
          <w:szCs w:val="21"/>
          <w:highlight w:val="none"/>
        </w:rPr>
        <w:t xml:space="preserve"> </w:t>
      </w:r>
      <w:r>
        <w:rPr>
          <w:rFonts w:hint="eastAsia" w:ascii="仿宋" w:hAnsi="仿宋" w:eastAsia="仿宋" w:cs="宋体"/>
          <w:color w:val="auto"/>
          <w:sz w:val="21"/>
          <w:szCs w:val="21"/>
          <w:highlight w:val="none"/>
        </w:rPr>
        <w:t>收取违约金</w:t>
      </w:r>
      <w:r>
        <w:rPr>
          <w:rFonts w:ascii="仿宋" w:hAnsi="仿宋" w:eastAsia="仿宋" w:cs="宋体"/>
          <w:color w:val="auto"/>
          <w:sz w:val="21"/>
          <w:szCs w:val="21"/>
          <w:highlight w:val="none"/>
        </w:rPr>
        <w:t>2000</w:t>
      </w:r>
      <w:r>
        <w:rPr>
          <w:rFonts w:hint="eastAsia" w:ascii="仿宋" w:hAnsi="仿宋" w:eastAsia="仿宋" w:cs="宋体"/>
          <w:color w:val="auto"/>
          <w:sz w:val="21"/>
          <w:szCs w:val="21"/>
          <w:highlight w:val="none"/>
        </w:rPr>
        <w:t>元</w:t>
      </w:r>
      <w:r>
        <w:rPr>
          <w:rFonts w:ascii="仿宋" w:hAnsi="仿宋" w:eastAsia="仿宋" w:cs="宋体"/>
          <w:color w:val="auto"/>
          <w:sz w:val="21"/>
          <w:szCs w:val="21"/>
          <w:highlight w:val="none"/>
        </w:rPr>
        <w:t>/</w:t>
      </w:r>
      <w:r>
        <w:rPr>
          <w:rFonts w:hint="eastAsia" w:ascii="仿宋" w:hAnsi="仿宋" w:eastAsia="仿宋" w:cs="宋体"/>
          <w:color w:val="auto"/>
          <w:sz w:val="21"/>
          <w:szCs w:val="21"/>
          <w:highlight w:val="none"/>
        </w:rPr>
        <w:t>次。</w:t>
      </w:r>
    </w:p>
    <w:p>
      <w:pPr>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（7）必须</w:t>
      </w:r>
      <w:r>
        <w:rPr>
          <w:rFonts w:hint="eastAsia" w:ascii="仿宋" w:hAnsi="仿宋" w:eastAsia="仿宋"/>
          <w:color w:val="auto"/>
          <w:sz w:val="21"/>
          <w:szCs w:val="21"/>
          <w:highlight w:val="none"/>
        </w:rPr>
        <w:t>按照</w:t>
      </w:r>
      <w:r>
        <w:rPr>
          <w:rFonts w:hint="eastAsia" w:ascii="仿宋" w:hAnsi="仿宋" w:eastAsia="仿宋" w:cs="宋体"/>
          <w:color w:val="auto"/>
          <w:sz w:val="21"/>
          <w:szCs w:val="21"/>
          <w:highlight w:val="none"/>
        </w:rPr>
        <w:t>发包人的相关要求按时上报月报、周报、进度计划等有关资料，违者收取违约金</w:t>
      </w:r>
      <w:r>
        <w:rPr>
          <w:rFonts w:ascii="仿宋" w:hAnsi="仿宋" w:eastAsia="仿宋" w:cs="宋体"/>
          <w:color w:val="auto"/>
          <w:sz w:val="21"/>
          <w:szCs w:val="21"/>
          <w:highlight w:val="none"/>
        </w:rPr>
        <w:t>1</w:t>
      </w:r>
      <w:r>
        <w:rPr>
          <w:rFonts w:hint="eastAsia" w:ascii="仿宋" w:hAnsi="仿宋" w:eastAsia="仿宋" w:cs="宋体"/>
          <w:color w:val="auto"/>
          <w:sz w:val="21"/>
          <w:szCs w:val="21"/>
          <w:highlight w:val="none"/>
        </w:rPr>
        <w:t>0</w:t>
      </w:r>
      <w:r>
        <w:rPr>
          <w:rFonts w:ascii="仿宋" w:hAnsi="仿宋" w:eastAsia="仿宋" w:cs="宋体"/>
          <w:color w:val="auto"/>
          <w:sz w:val="21"/>
          <w:szCs w:val="21"/>
          <w:highlight w:val="none"/>
        </w:rPr>
        <w:t>00</w:t>
      </w:r>
      <w:r>
        <w:rPr>
          <w:rFonts w:hint="eastAsia" w:ascii="仿宋" w:hAnsi="仿宋" w:eastAsia="仿宋" w:cs="宋体"/>
          <w:color w:val="auto"/>
          <w:sz w:val="21"/>
          <w:szCs w:val="21"/>
          <w:highlight w:val="none"/>
        </w:rPr>
        <w:t>元</w:t>
      </w:r>
      <w:r>
        <w:rPr>
          <w:rFonts w:ascii="仿宋" w:hAnsi="仿宋" w:eastAsia="仿宋" w:cs="宋体"/>
          <w:color w:val="auto"/>
          <w:sz w:val="21"/>
          <w:szCs w:val="21"/>
          <w:highlight w:val="none"/>
        </w:rPr>
        <w:t>/</w:t>
      </w:r>
      <w:r>
        <w:rPr>
          <w:rFonts w:hint="eastAsia" w:ascii="仿宋" w:hAnsi="仿宋" w:eastAsia="仿宋" w:cs="宋体"/>
          <w:color w:val="auto"/>
          <w:sz w:val="21"/>
          <w:szCs w:val="21"/>
          <w:highlight w:val="none"/>
        </w:rPr>
        <w:t>次。</w:t>
      </w:r>
    </w:p>
    <w:p>
      <w:pPr>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8）各施工单位必须遵从监理、发包人发出的指令，不得以指令所涉及费用未确定或找不到实施队伍为借口不执行或拖延执行。若施工单位未在合理时间内执行，或在收到发包人、监理催促执行的书面通知后3天内仍未执行，则发包人有权聘请第三方执行该指令所要求的工作，由此产生的费用全部由责任方承担，发包人将从其承包合同款项中直接划扣该部分费用。同时对责任单位按每次5000-50000元收取违约金。情节特别严重，发包人有权解除合同并追究施工单位违约责任。</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4.4现场管理</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（1）分包人进入现场施工人员必须统一着装、统一戴安全帽、并随身携带出入证件。</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（2）现场内的布置必须经过监理、发包人审批，所有标牌、标志的张贴悬挂，由总包单位按规定制作。</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（3）分包人施工管理人员须着装整洁，头发理顺，注意举止行为。</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（4）分包人对公司的函件必须统一格式、正式打印、有统一编号，并且有负责人签字或单位公章，否则监理、发包人将拒收。</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（5）进入施工区域戴好安全帽，并符合规定。</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（6）现场内严禁随地大小便，违者收取违约金小便200元/人</w:t>
      </w:r>
      <w:r>
        <w:rPr>
          <w:rFonts w:hint="eastAsia" w:ascii="宋体" w:hAnsi="宋体" w:cs="宋体"/>
          <w:color w:val="auto"/>
          <w:sz w:val="21"/>
          <w:szCs w:val="21"/>
          <w:highlight w:val="none"/>
        </w:rPr>
        <w:t> </w:t>
      </w:r>
      <w:r>
        <w:rPr>
          <w:rFonts w:hint="eastAsia" w:ascii="仿宋" w:hAnsi="仿宋" w:eastAsia="仿宋"/>
          <w:color w:val="auto"/>
          <w:sz w:val="21"/>
          <w:szCs w:val="21"/>
          <w:highlight w:val="none"/>
        </w:rPr>
        <w:t>次，大便300元/人次。</w:t>
      </w:r>
      <w:r>
        <w:rPr>
          <w:rFonts w:hint="eastAsia" w:ascii="宋体" w:hAnsi="宋体" w:cs="宋体"/>
          <w:color w:val="auto"/>
          <w:sz w:val="21"/>
          <w:szCs w:val="21"/>
          <w:highlight w:val="none"/>
        </w:rPr>
        <w:t> </w:t>
      </w:r>
      <w:r>
        <w:rPr>
          <w:rFonts w:hint="eastAsia" w:ascii="仿宋" w:hAnsi="仿宋" w:eastAsia="仿宋"/>
          <w:color w:val="auto"/>
          <w:sz w:val="21"/>
          <w:szCs w:val="21"/>
          <w:highlight w:val="none"/>
        </w:rPr>
        <w:t>（无法界定责任者均归咎于总包单位）</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（7）爱护现场内的安全、消防、测量、照明设施及有关标牌等，违者收取违约金200元/人，并负责赔偿损失。</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（8）现场内严禁乱抛垃圾、烟头、水果皮、废纸等，否则每起收取违约金100元/人。</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（9）施工现场、生活区严禁带有金钱性质的赌博，酗酒行为，否则对承包人负任人收取违约金1000元/次。</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4.5安全、环境、文明施工管理</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4.5.1安全管理</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（1）承包人现场成立安全文明施工防护措施领导小组，切实加强施工全过程的安全管理，确保工人在劳动过程中的安全与健康。</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（2）承包人施工管理人员、工程技术人员，操作工人必须熟悉和掌握本工种的“安全技术操作规程”，否则不许参加施工。</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（3）认真坚持安全自检制度，搞好隐患整改，并做到定人、定时间、定措施。</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（4）新入场及变换工种人员必须经过安全教育，上岗作业前必须进行安全技术交底。</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（5）特种作业人员必须经安全技术培训，考试合格持证上岗作业。</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（6）进入施工现场必须正确戴好安全帽，高处作业系牢安全带。正确使用个人防护用品。</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（7）施工现场内严禁穿高跟鞋、拖鞋，光脚，赤裸上身作业。</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8）施工中的“四口”（即楼梯口、电梯口、预留洞口、通道口），“五临边”（尚未安装好的阳台边、无外架防护的屋面周边、框架工程楼层周边、跑道（斜道）两侧边、卸料台的外侧边）必须有严密、牢固的安全防护设施，任何人不许改动和破坏。</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（9）现场的机电设备、电动工具、供电设施中持证电工操作，严禁非电气工人乱接乱动。</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（10）一切机械设备和垂直运输、超重机械的安全防护及保险装置必须齐全，灵敏可靠，严禁非机械人员随意开动机械设备。</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（11）工程中使用的易燃易爆物品，有毒、有害物品要严格保管使用。</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（12）现场道路要畅通，料具堆放要整齐、安全。危险部位和场应设置安全标志牌。夜间要设红灯示警。</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（13）非施工人员不得擅自进入现场。</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（14）施工现场禁止抽烟。</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（15）现场集水井、排水沟等易积水地方的积水要及时清理，防止疾病传播。</w:t>
      </w:r>
    </w:p>
    <w:p>
      <w:pPr>
        <w:rPr>
          <w:rFonts w:ascii="仿宋" w:hAnsi="仿宋" w:eastAsia="仿宋"/>
          <w:color w:val="auto"/>
          <w:sz w:val="21"/>
          <w:szCs w:val="21"/>
          <w:highlight w:val="none"/>
        </w:rPr>
      </w:pPr>
      <w:r>
        <w:rPr>
          <w:rFonts w:hint="eastAsia" w:ascii="仿宋" w:hAnsi="仿宋" w:eastAsia="仿宋"/>
          <w:color w:val="auto"/>
          <w:sz w:val="21"/>
          <w:szCs w:val="21"/>
          <w:highlight w:val="none"/>
        </w:rPr>
        <w:t>违反以上各条安全管理制度的，视情况每次处收取违约金100-2000元。</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安全生产是工程建设的重中之重，各参建单位必须按照安全生产的有关安全规章制度组织各项工作，建立健全安全保障体系和各项安全制度，制定专项安全施工方案，对作业人员认真作好各级安全教育和安全技术交底，若不进行安全教育与交底的，按下表进行处罚；加强对作业人员的安全保护，原则上不进行立体交叉作业，当必须进行时，应采取可靠的安全措施，违反安全生产的有关规定或疏忽管理造成重伤事故以上的收取违约金</w:t>
      </w:r>
      <w:r>
        <w:rPr>
          <w:rFonts w:ascii="仿宋" w:hAnsi="仿宋" w:eastAsia="仿宋"/>
          <w:color w:val="auto"/>
          <w:sz w:val="21"/>
          <w:szCs w:val="21"/>
          <w:highlight w:val="none"/>
        </w:rPr>
        <w:t>10000</w:t>
      </w:r>
      <w:r>
        <w:rPr>
          <w:rFonts w:hint="eastAsia" w:ascii="仿宋" w:hAnsi="仿宋" w:eastAsia="仿宋"/>
          <w:color w:val="auto"/>
          <w:sz w:val="21"/>
          <w:szCs w:val="21"/>
          <w:highlight w:val="none"/>
        </w:rPr>
        <w:t>元</w:t>
      </w:r>
      <w:r>
        <w:rPr>
          <w:rFonts w:ascii="仿宋" w:hAnsi="仿宋" w:eastAsia="仿宋"/>
          <w:color w:val="auto"/>
          <w:sz w:val="21"/>
          <w:szCs w:val="21"/>
          <w:highlight w:val="none"/>
        </w:rPr>
        <w:t>/</w:t>
      </w:r>
      <w:r>
        <w:rPr>
          <w:rFonts w:hint="eastAsia" w:ascii="仿宋" w:hAnsi="仿宋" w:eastAsia="仿宋"/>
          <w:color w:val="auto"/>
          <w:sz w:val="21"/>
          <w:szCs w:val="21"/>
          <w:highlight w:val="none"/>
        </w:rPr>
        <w:t>次；造成轻伤事故的收取违约金</w:t>
      </w:r>
      <w:r>
        <w:rPr>
          <w:rFonts w:ascii="仿宋" w:hAnsi="仿宋" w:eastAsia="仿宋"/>
          <w:color w:val="auto"/>
          <w:sz w:val="21"/>
          <w:szCs w:val="21"/>
          <w:highlight w:val="none"/>
        </w:rPr>
        <w:t>1000</w:t>
      </w:r>
      <w:r>
        <w:rPr>
          <w:rFonts w:hint="eastAsia" w:ascii="仿宋" w:hAnsi="仿宋" w:eastAsia="仿宋"/>
          <w:color w:val="auto"/>
          <w:sz w:val="21"/>
          <w:szCs w:val="21"/>
          <w:highlight w:val="none"/>
        </w:rPr>
        <w:t>元</w:t>
      </w:r>
      <w:r>
        <w:rPr>
          <w:rFonts w:ascii="仿宋" w:hAnsi="仿宋" w:eastAsia="仿宋"/>
          <w:color w:val="auto"/>
          <w:sz w:val="21"/>
          <w:szCs w:val="21"/>
          <w:highlight w:val="none"/>
        </w:rPr>
        <w:t>/</w:t>
      </w:r>
      <w:r>
        <w:rPr>
          <w:rFonts w:hint="eastAsia" w:ascii="仿宋" w:hAnsi="仿宋" w:eastAsia="仿宋"/>
          <w:color w:val="auto"/>
          <w:sz w:val="21"/>
          <w:szCs w:val="21"/>
          <w:highlight w:val="none"/>
        </w:rPr>
        <w:t>次。</w:t>
      </w:r>
    </w:p>
    <w:p>
      <w:pPr>
        <w:spacing w:line="5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A.安全管理</w:t>
      </w:r>
    </w:p>
    <w:tbl>
      <w:tblPr>
        <w:tblStyle w:val="18"/>
        <w:tblW w:w="8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266"/>
        <w:gridCol w:w="5155"/>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808" w:type="dxa"/>
            <w:vAlign w:val="center"/>
          </w:tcPr>
          <w:p>
            <w:pPr>
              <w:spacing w:line="300" w:lineRule="exact"/>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序</w:t>
            </w:r>
          </w:p>
          <w:p>
            <w:pPr>
              <w:spacing w:line="300" w:lineRule="exact"/>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号</w:t>
            </w:r>
          </w:p>
        </w:tc>
        <w:tc>
          <w:tcPr>
            <w:tcW w:w="1266" w:type="dxa"/>
            <w:vAlign w:val="center"/>
          </w:tcPr>
          <w:p>
            <w:pPr>
              <w:spacing w:line="300" w:lineRule="exact"/>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项目</w:t>
            </w:r>
          </w:p>
        </w:tc>
        <w:tc>
          <w:tcPr>
            <w:tcW w:w="5155" w:type="dxa"/>
            <w:vAlign w:val="center"/>
          </w:tcPr>
          <w:p>
            <w:pPr>
              <w:spacing w:line="300" w:lineRule="exact"/>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检查标准</w:t>
            </w:r>
          </w:p>
        </w:tc>
        <w:tc>
          <w:tcPr>
            <w:tcW w:w="1735" w:type="dxa"/>
            <w:vAlign w:val="center"/>
          </w:tcPr>
          <w:p>
            <w:pPr>
              <w:spacing w:line="300" w:lineRule="exact"/>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8" w:hRule="atLeast"/>
          <w:jc w:val="center"/>
        </w:trPr>
        <w:tc>
          <w:tcPr>
            <w:tcW w:w="808"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1</w:t>
            </w:r>
          </w:p>
        </w:tc>
        <w:tc>
          <w:tcPr>
            <w:tcW w:w="1266"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安全管理员</w:t>
            </w:r>
          </w:p>
        </w:tc>
        <w:tc>
          <w:tcPr>
            <w:tcW w:w="5155"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安全员无安全员证或安全负责人无国家认可的资格证书的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安全员不了解本身职责的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安全员不懂各工种安全技术操作规程，不能有效履职的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安全员不在岗位的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安全员对施工中的安全不能做到有效管控的</w:t>
            </w:r>
          </w:p>
        </w:tc>
        <w:tc>
          <w:tcPr>
            <w:tcW w:w="1735" w:type="dxa"/>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300-1000元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808" w:type="dxa"/>
            <w:vMerge w:val="restart"/>
            <w:vAlign w:val="center"/>
          </w:tcPr>
          <w:p>
            <w:pPr>
              <w:spacing w:line="280" w:lineRule="exact"/>
              <w:jc w:val="center"/>
              <w:rPr>
                <w:rFonts w:ascii="仿宋" w:hAnsi="仿宋" w:eastAsia="仿宋"/>
                <w:color w:val="auto"/>
                <w:sz w:val="21"/>
                <w:szCs w:val="21"/>
                <w:highlight w:val="none"/>
              </w:rPr>
            </w:pPr>
            <w:r>
              <w:rPr>
                <w:rFonts w:ascii="仿宋" w:hAnsi="仿宋" w:eastAsia="仿宋"/>
                <w:color w:val="auto"/>
                <w:sz w:val="21"/>
                <w:szCs w:val="21"/>
                <w:highlight w:val="none"/>
              </w:rPr>
              <w:t>3</w:t>
            </w:r>
          </w:p>
        </w:tc>
        <w:tc>
          <w:tcPr>
            <w:tcW w:w="1266" w:type="dxa"/>
            <w:vMerge w:val="restart"/>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安全检查</w:t>
            </w:r>
          </w:p>
        </w:tc>
        <w:tc>
          <w:tcPr>
            <w:tcW w:w="5155"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现场无定期安全检查的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安全检查无记录的</w:t>
            </w:r>
          </w:p>
        </w:tc>
        <w:tc>
          <w:tcPr>
            <w:tcW w:w="1735" w:type="dxa"/>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200--500元／人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808" w:type="dxa"/>
            <w:vMerge w:val="continue"/>
            <w:vAlign w:val="center"/>
          </w:tcPr>
          <w:p>
            <w:pPr>
              <w:spacing w:line="280" w:lineRule="exact"/>
              <w:jc w:val="center"/>
              <w:rPr>
                <w:rFonts w:ascii="仿宋" w:hAnsi="仿宋" w:eastAsia="仿宋"/>
                <w:color w:val="auto"/>
                <w:sz w:val="21"/>
                <w:szCs w:val="21"/>
                <w:highlight w:val="none"/>
              </w:rPr>
            </w:pPr>
          </w:p>
        </w:tc>
        <w:tc>
          <w:tcPr>
            <w:tcW w:w="1266" w:type="dxa"/>
            <w:vMerge w:val="continue"/>
            <w:vAlign w:val="center"/>
          </w:tcPr>
          <w:p>
            <w:pPr>
              <w:spacing w:line="280" w:lineRule="exact"/>
              <w:jc w:val="center"/>
              <w:rPr>
                <w:rFonts w:ascii="仿宋" w:hAnsi="仿宋" w:eastAsia="仿宋"/>
                <w:color w:val="auto"/>
                <w:sz w:val="21"/>
                <w:szCs w:val="21"/>
                <w:highlight w:val="none"/>
              </w:rPr>
            </w:pPr>
          </w:p>
        </w:tc>
        <w:tc>
          <w:tcPr>
            <w:tcW w:w="5155"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查出事故隐患整改做不到定时、定人、定措施的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项目经理两周内未参加安全检查的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对事故隐患整改通知书所列项目未按要求完成的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未按要求填报安全工作月报表的</w:t>
            </w:r>
          </w:p>
        </w:tc>
        <w:tc>
          <w:tcPr>
            <w:tcW w:w="1735" w:type="dxa"/>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300-1000元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808"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4</w:t>
            </w:r>
          </w:p>
        </w:tc>
        <w:tc>
          <w:tcPr>
            <w:tcW w:w="1266"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安全教育</w:t>
            </w:r>
          </w:p>
        </w:tc>
        <w:tc>
          <w:tcPr>
            <w:tcW w:w="5155"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现场施工人员中未登记备案或三证不齐的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抽考工人安全知识及安全操作规程不合格的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新进场工人未进行施工安全教育的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未存三级安全教育记录、考试卷的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工人安全培训学习每月不足两小时的</w:t>
            </w:r>
          </w:p>
        </w:tc>
        <w:tc>
          <w:tcPr>
            <w:tcW w:w="1735" w:type="dxa"/>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808" w:type="dxa"/>
            <w:vMerge w:val="restart"/>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5</w:t>
            </w:r>
          </w:p>
        </w:tc>
        <w:tc>
          <w:tcPr>
            <w:tcW w:w="1266" w:type="dxa"/>
            <w:vMerge w:val="restart"/>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特种作业</w:t>
            </w:r>
          </w:p>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人员</w:t>
            </w:r>
          </w:p>
        </w:tc>
        <w:tc>
          <w:tcPr>
            <w:tcW w:w="5155"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特种作业人员未列册登记备案的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未随身携带证件从事特种作业的</w:t>
            </w:r>
          </w:p>
        </w:tc>
        <w:tc>
          <w:tcPr>
            <w:tcW w:w="1735" w:type="dxa"/>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1000元／人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808" w:type="dxa"/>
            <w:vMerge w:val="continue"/>
            <w:vAlign w:val="center"/>
          </w:tcPr>
          <w:p>
            <w:pPr>
              <w:spacing w:line="280" w:lineRule="exact"/>
              <w:jc w:val="center"/>
              <w:rPr>
                <w:rFonts w:ascii="仿宋" w:hAnsi="仿宋" w:eastAsia="仿宋"/>
                <w:color w:val="auto"/>
                <w:sz w:val="21"/>
                <w:szCs w:val="21"/>
                <w:highlight w:val="none"/>
              </w:rPr>
            </w:pPr>
          </w:p>
        </w:tc>
        <w:tc>
          <w:tcPr>
            <w:tcW w:w="1266" w:type="dxa"/>
            <w:vMerge w:val="continue"/>
            <w:vAlign w:val="center"/>
          </w:tcPr>
          <w:p>
            <w:pPr>
              <w:spacing w:line="280" w:lineRule="exact"/>
              <w:jc w:val="center"/>
              <w:rPr>
                <w:rFonts w:ascii="仿宋" w:hAnsi="仿宋" w:eastAsia="仿宋"/>
                <w:color w:val="auto"/>
                <w:sz w:val="21"/>
                <w:szCs w:val="21"/>
                <w:highlight w:val="none"/>
              </w:rPr>
            </w:pPr>
          </w:p>
        </w:tc>
        <w:tc>
          <w:tcPr>
            <w:tcW w:w="5155"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无证从事特种作业的或者证件过期、无年审</w:t>
            </w:r>
          </w:p>
        </w:tc>
        <w:tc>
          <w:tcPr>
            <w:tcW w:w="1735" w:type="dxa"/>
            <w:vAlign w:val="center"/>
          </w:tcPr>
          <w:p>
            <w:pPr>
              <w:spacing w:line="280" w:lineRule="exact"/>
              <w:ind w:firstLine="190" w:firstLineChars="100"/>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808"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6</w:t>
            </w:r>
          </w:p>
        </w:tc>
        <w:tc>
          <w:tcPr>
            <w:tcW w:w="1266" w:type="dxa"/>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分部（分项）工程安全技术交底</w:t>
            </w:r>
          </w:p>
        </w:tc>
        <w:tc>
          <w:tcPr>
            <w:tcW w:w="5155"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无书面安全技术交底的</w:t>
            </w:r>
          </w:p>
        </w:tc>
        <w:tc>
          <w:tcPr>
            <w:tcW w:w="1735" w:type="dxa"/>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808"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7</w:t>
            </w:r>
          </w:p>
        </w:tc>
        <w:tc>
          <w:tcPr>
            <w:tcW w:w="1266"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安全标志</w:t>
            </w:r>
          </w:p>
        </w:tc>
        <w:tc>
          <w:tcPr>
            <w:tcW w:w="5155"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无现场安全标志平面图的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现场未按安全标志平面图设置安全标志的</w:t>
            </w:r>
          </w:p>
        </w:tc>
        <w:tc>
          <w:tcPr>
            <w:tcW w:w="1735" w:type="dxa"/>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808"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8</w:t>
            </w:r>
          </w:p>
        </w:tc>
        <w:tc>
          <w:tcPr>
            <w:tcW w:w="1266"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班前安全</w:t>
            </w:r>
          </w:p>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活动</w:t>
            </w:r>
          </w:p>
        </w:tc>
        <w:tc>
          <w:tcPr>
            <w:tcW w:w="5155"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未建立班前和每周安全活动制度的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班前和每周安全活动无记录或记录不全的</w:t>
            </w:r>
          </w:p>
        </w:tc>
        <w:tc>
          <w:tcPr>
            <w:tcW w:w="1735" w:type="dxa"/>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300元</w:t>
            </w:r>
          </w:p>
        </w:tc>
      </w:tr>
    </w:tbl>
    <w:p>
      <w:pPr>
        <w:spacing w:line="5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B.“三宝”、“四口”、防护管理</w:t>
      </w:r>
    </w:p>
    <w:tbl>
      <w:tblPr>
        <w:tblStyle w:val="18"/>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7"/>
        <w:gridCol w:w="5176"/>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779" w:type="dxa"/>
            <w:vAlign w:val="center"/>
          </w:tcPr>
          <w:p>
            <w:pPr>
              <w:spacing w:line="300" w:lineRule="exact"/>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序</w:t>
            </w:r>
          </w:p>
          <w:p>
            <w:pPr>
              <w:spacing w:line="300" w:lineRule="exact"/>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号</w:t>
            </w:r>
          </w:p>
        </w:tc>
        <w:tc>
          <w:tcPr>
            <w:tcW w:w="1417" w:type="dxa"/>
            <w:vAlign w:val="center"/>
          </w:tcPr>
          <w:p>
            <w:pPr>
              <w:spacing w:line="300" w:lineRule="exact"/>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项目</w:t>
            </w:r>
          </w:p>
        </w:tc>
        <w:tc>
          <w:tcPr>
            <w:tcW w:w="5176" w:type="dxa"/>
            <w:vAlign w:val="center"/>
          </w:tcPr>
          <w:p>
            <w:pPr>
              <w:spacing w:line="300" w:lineRule="exact"/>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检查标准</w:t>
            </w:r>
          </w:p>
        </w:tc>
        <w:tc>
          <w:tcPr>
            <w:tcW w:w="1554" w:type="dxa"/>
            <w:vAlign w:val="center"/>
          </w:tcPr>
          <w:p>
            <w:pPr>
              <w:spacing w:line="300" w:lineRule="exact"/>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79"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1</w:t>
            </w:r>
          </w:p>
        </w:tc>
        <w:tc>
          <w:tcPr>
            <w:tcW w:w="1417"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安全帽</w:t>
            </w:r>
          </w:p>
        </w:tc>
        <w:tc>
          <w:tcPr>
            <w:tcW w:w="5176"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不戴安全帽的; 未戴安全帽者，班组人员处罚50元/次，管理人员处罚100元/次。</w:t>
            </w:r>
          </w:p>
          <w:p>
            <w:pPr>
              <w:spacing w:line="280" w:lineRule="exact"/>
              <w:rPr>
                <w:rFonts w:ascii="仿宋" w:hAnsi="仿宋" w:eastAsia="仿宋"/>
                <w:dstrike/>
                <w:color w:val="auto"/>
                <w:sz w:val="21"/>
                <w:szCs w:val="21"/>
                <w:highlight w:val="none"/>
              </w:rPr>
            </w:pPr>
            <w:r>
              <w:rPr>
                <w:rFonts w:hint="eastAsia" w:ascii="仿宋" w:hAnsi="仿宋" w:eastAsia="仿宋"/>
                <w:color w:val="auto"/>
                <w:sz w:val="21"/>
                <w:szCs w:val="21"/>
                <w:highlight w:val="none"/>
              </w:rPr>
              <w:t>安全帽不符合标准的（有效期、合格证）</w:t>
            </w:r>
          </w:p>
        </w:tc>
        <w:tc>
          <w:tcPr>
            <w:tcW w:w="1554"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779" w:type="dxa"/>
            <w:vMerge w:val="restart"/>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2</w:t>
            </w:r>
          </w:p>
        </w:tc>
        <w:tc>
          <w:tcPr>
            <w:tcW w:w="1417" w:type="dxa"/>
            <w:vMerge w:val="restart"/>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安全网</w:t>
            </w:r>
          </w:p>
        </w:tc>
        <w:tc>
          <w:tcPr>
            <w:tcW w:w="5176"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安全网规格、材质不符合要求，安全网未取得建筑安全监督部门生产许可证的</w:t>
            </w:r>
          </w:p>
        </w:tc>
        <w:tc>
          <w:tcPr>
            <w:tcW w:w="1554" w:type="dxa"/>
            <w:vAlign w:val="center"/>
          </w:tcPr>
          <w:p>
            <w:pPr>
              <w:spacing w:line="280" w:lineRule="exact"/>
              <w:jc w:val="center"/>
              <w:rPr>
                <w:rFonts w:ascii="仿宋" w:hAnsi="仿宋" w:eastAsia="仿宋"/>
                <w:color w:val="auto"/>
                <w:sz w:val="21"/>
                <w:szCs w:val="21"/>
                <w:highlight w:val="none"/>
              </w:rPr>
            </w:pPr>
          </w:p>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2000元/项</w:t>
            </w:r>
          </w:p>
          <w:p>
            <w:pPr>
              <w:spacing w:line="280" w:lineRule="exact"/>
              <w:jc w:val="center"/>
              <w:rPr>
                <w:rFonts w:ascii="仿宋" w:hAnsi="仿宋" w:eastAsia="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jc w:val="center"/>
        </w:trPr>
        <w:tc>
          <w:tcPr>
            <w:tcW w:w="779" w:type="dxa"/>
            <w:vMerge w:val="continue"/>
            <w:vAlign w:val="center"/>
          </w:tcPr>
          <w:p>
            <w:pPr>
              <w:spacing w:line="280" w:lineRule="exact"/>
              <w:jc w:val="center"/>
              <w:rPr>
                <w:rFonts w:ascii="仿宋" w:hAnsi="仿宋" w:eastAsia="仿宋"/>
                <w:color w:val="auto"/>
                <w:sz w:val="21"/>
                <w:szCs w:val="21"/>
                <w:highlight w:val="none"/>
              </w:rPr>
            </w:pPr>
          </w:p>
        </w:tc>
        <w:tc>
          <w:tcPr>
            <w:tcW w:w="1417" w:type="dxa"/>
            <w:vMerge w:val="continue"/>
            <w:vAlign w:val="center"/>
          </w:tcPr>
          <w:p>
            <w:pPr>
              <w:spacing w:line="280" w:lineRule="exact"/>
              <w:jc w:val="center"/>
              <w:rPr>
                <w:rFonts w:ascii="仿宋" w:hAnsi="仿宋" w:eastAsia="仿宋"/>
                <w:color w:val="auto"/>
                <w:sz w:val="21"/>
                <w:szCs w:val="21"/>
                <w:highlight w:val="none"/>
              </w:rPr>
            </w:pPr>
          </w:p>
        </w:tc>
        <w:tc>
          <w:tcPr>
            <w:tcW w:w="5176"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安全网未能满足进度要求的，擅自损坏、拆除、移动安全防护装置、安全标志、警示牌的</w:t>
            </w:r>
          </w:p>
        </w:tc>
        <w:tc>
          <w:tcPr>
            <w:tcW w:w="1554"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500-1500元/次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9" w:hRule="atLeast"/>
          <w:jc w:val="center"/>
        </w:trPr>
        <w:tc>
          <w:tcPr>
            <w:tcW w:w="779" w:type="dxa"/>
            <w:tcBorders>
              <w:bottom w:val="single" w:color="auto" w:sz="4" w:space="0"/>
            </w:tcBorders>
            <w:vAlign w:val="center"/>
          </w:tcPr>
          <w:p>
            <w:pPr>
              <w:spacing w:line="280" w:lineRule="exact"/>
              <w:jc w:val="center"/>
              <w:rPr>
                <w:rFonts w:ascii="仿宋" w:hAnsi="仿宋" w:eastAsia="仿宋"/>
                <w:color w:val="auto"/>
                <w:sz w:val="21"/>
                <w:szCs w:val="21"/>
                <w:highlight w:val="none"/>
              </w:rPr>
            </w:pPr>
            <w:r>
              <w:rPr>
                <w:rFonts w:ascii="仿宋" w:hAnsi="仿宋" w:eastAsia="仿宋"/>
                <w:color w:val="auto"/>
                <w:sz w:val="21"/>
                <w:szCs w:val="21"/>
                <w:highlight w:val="none"/>
              </w:rPr>
              <w:t>3</w:t>
            </w:r>
          </w:p>
        </w:tc>
        <w:tc>
          <w:tcPr>
            <w:tcW w:w="1417" w:type="dxa"/>
            <w:tcBorders>
              <w:bottom w:val="single" w:color="auto" w:sz="4" w:space="0"/>
            </w:tcBorders>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安全带</w:t>
            </w:r>
          </w:p>
        </w:tc>
        <w:tc>
          <w:tcPr>
            <w:tcW w:w="5176" w:type="dxa"/>
            <w:tcBorders>
              <w:bottom w:val="single" w:color="auto" w:sz="4" w:space="0"/>
            </w:tcBorders>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高处作业未系安全带的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高处作业安全带系扣不符合要求的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安全带不符合生产标准要求的</w:t>
            </w:r>
          </w:p>
        </w:tc>
        <w:tc>
          <w:tcPr>
            <w:tcW w:w="1554" w:type="dxa"/>
            <w:tcBorders>
              <w:bottom w:val="single" w:color="auto" w:sz="4" w:space="0"/>
            </w:tcBorders>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3" w:hRule="atLeast"/>
          <w:jc w:val="center"/>
        </w:trPr>
        <w:tc>
          <w:tcPr>
            <w:tcW w:w="779" w:type="dxa"/>
            <w:tcBorders>
              <w:bottom w:val="single" w:color="auto" w:sz="4" w:space="0"/>
            </w:tcBorders>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4</w:t>
            </w:r>
          </w:p>
        </w:tc>
        <w:tc>
          <w:tcPr>
            <w:tcW w:w="1417" w:type="dxa"/>
            <w:tcBorders>
              <w:bottom w:val="single" w:color="auto" w:sz="4" w:space="0"/>
            </w:tcBorders>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楼梯口、电梯井口防护</w:t>
            </w:r>
          </w:p>
        </w:tc>
        <w:tc>
          <w:tcPr>
            <w:tcW w:w="5176" w:type="dxa"/>
            <w:tcBorders>
              <w:bottom w:val="single" w:color="auto" w:sz="4" w:space="0"/>
            </w:tcBorders>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楼梯口、电梯井口无安全防护</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防护措施不符合要求或不严密的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电梯井内每隔两层（不大于10m）无平网的</w:t>
            </w:r>
          </w:p>
        </w:tc>
        <w:tc>
          <w:tcPr>
            <w:tcW w:w="1554" w:type="dxa"/>
            <w:tcBorders>
              <w:bottom w:val="single" w:color="auto" w:sz="4" w:space="0"/>
            </w:tcBorders>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atLeast"/>
          <w:jc w:val="center"/>
        </w:trPr>
        <w:tc>
          <w:tcPr>
            <w:tcW w:w="779"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5</w:t>
            </w:r>
          </w:p>
        </w:tc>
        <w:tc>
          <w:tcPr>
            <w:tcW w:w="1417"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预留洞口（管</w:t>
            </w:r>
          </w:p>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井口、坑井口）防护</w:t>
            </w:r>
          </w:p>
        </w:tc>
        <w:tc>
          <w:tcPr>
            <w:tcW w:w="5176"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无有效的安全防护措施的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措施不符合要求或不严密的</w:t>
            </w:r>
          </w:p>
        </w:tc>
        <w:tc>
          <w:tcPr>
            <w:tcW w:w="1554"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6" w:hRule="atLeast"/>
          <w:jc w:val="center"/>
        </w:trPr>
        <w:tc>
          <w:tcPr>
            <w:tcW w:w="779"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6</w:t>
            </w:r>
          </w:p>
        </w:tc>
        <w:tc>
          <w:tcPr>
            <w:tcW w:w="1417" w:type="dxa"/>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通道口、提升架出入口、加工区防护</w:t>
            </w:r>
          </w:p>
        </w:tc>
        <w:tc>
          <w:tcPr>
            <w:tcW w:w="5176"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无防护棚的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防护不严的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防护棚不牢固、材质不符合要求的</w:t>
            </w:r>
          </w:p>
        </w:tc>
        <w:tc>
          <w:tcPr>
            <w:tcW w:w="1554"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8" w:hRule="atLeast"/>
          <w:jc w:val="center"/>
        </w:trPr>
        <w:tc>
          <w:tcPr>
            <w:tcW w:w="779"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7</w:t>
            </w:r>
          </w:p>
        </w:tc>
        <w:tc>
          <w:tcPr>
            <w:tcW w:w="1417"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阳台、楼板、屋面、脚手架、通道口等临边防护．</w:t>
            </w:r>
          </w:p>
        </w:tc>
        <w:tc>
          <w:tcPr>
            <w:tcW w:w="5176"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无有效安全措施的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临边防护不符合要求的</w:t>
            </w:r>
          </w:p>
        </w:tc>
        <w:tc>
          <w:tcPr>
            <w:tcW w:w="1554"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2" w:hRule="atLeast"/>
          <w:jc w:val="center"/>
        </w:trPr>
        <w:tc>
          <w:tcPr>
            <w:tcW w:w="779"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8</w:t>
            </w:r>
          </w:p>
        </w:tc>
        <w:tc>
          <w:tcPr>
            <w:tcW w:w="1417"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外脚手架</w:t>
            </w:r>
          </w:p>
        </w:tc>
        <w:tc>
          <w:tcPr>
            <w:tcW w:w="5176"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未能按照施工组织设计搭设的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外脚手架未能跟上施工进度的，脚手架未满挂安全网</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擅自拆除连墙件、大小横杆、立杆的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堆放材料，存在安全隐患或阻塞通道的</w:t>
            </w:r>
          </w:p>
        </w:tc>
        <w:tc>
          <w:tcPr>
            <w:tcW w:w="1554"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9" w:hRule="atLeast"/>
          <w:jc w:val="center"/>
        </w:trPr>
        <w:tc>
          <w:tcPr>
            <w:tcW w:w="779"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9</w:t>
            </w:r>
          </w:p>
        </w:tc>
        <w:tc>
          <w:tcPr>
            <w:tcW w:w="1417"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模板工程</w:t>
            </w:r>
          </w:p>
        </w:tc>
        <w:tc>
          <w:tcPr>
            <w:tcW w:w="5176"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未按照施工组织设计进行搭设的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擅自拆模或拆模管理不到位的</w:t>
            </w:r>
          </w:p>
        </w:tc>
        <w:tc>
          <w:tcPr>
            <w:tcW w:w="1554"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200-1000/处</w:t>
            </w:r>
          </w:p>
        </w:tc>
      </w:tr>
    </w:tbl>
    <w:p>
      <w:pPr>
        <w:spacing w:line="5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C、施工用电管理 </w:t>
      </w:r>
    </w:p>
    <w:tbl>
      <w:tblPr>
        <w:tblStyle w:val="18"/>
        <w:tblW w:w="89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17"/>
        <w:gridCol w:w="5159"/>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785" w:type="dxa"/>
            <w:vAlign w:val="center"/>
          </w:tcPr>
          <w:p>
            <w:pPr>
              <w:spacing w:line="300" w:lineRule="exact"/>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序</w:t>
            </w:r>
          </w:p>
          <w:p>
            <w:pPr>
              <w:spacing w:line="300" w:lineRule="exact"/>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号</w:t>
            </w:r>
          </w:p>
        </w:tc>
        <w:tc>
          <w:tcPr>
            <w:tcW w:w="1417" w:type="dxa"/>
            <w:vAlign w:val="center"/>
          </w:tcPr>
          <w:p>
            <w:pPr>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项目</w:t>
            </w:r>
          </w:p>
        </w:tc>
        <w:tc>
          <w:tcPr>
            <w:tcW w:w="5159" w:type="dxa"/>
            <w:vAlign w:val="center"/>
          </w:tcPr>
          <w:p>
            <w:pPr>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检查标准</w:t>
            </w:r>
          </w:p>
        </w:tc>
        <w:tc>
          <w:tcPr>
            <w:tcW w:w="1576" w:type="dxa"/>
            <w:vAlign w:val="center"/>
          </w:tcPr>
          <w:p>
            <w:pPr>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7" w:hRule="atLeast"/>
          <w:jc w:val="center"/>
        </w:trPr>
        <w:tc>
          <w:tcPr>
            <w:tcW w:w="785"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1</w:t>
            </w:r>
          </w:p>
        </w:tc>
        <w:tc>
          <w:tcPr>
            <w:tcW w:w="1417"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接地与接零保护系统</w:t>
            </w:r>
          </w:p>
        </w:tc>
        <w:tc>
          <w:tcPr>
            <w:tcW w:w="5159"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未采用三相五线制的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工作接地与重复接地不符合要求的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专用保护零线设置不符合要求的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保护零线与工作零线混合接口的</w:t>
            </w:r>
          </w:p>
        </w:tc>
        <w:tc>
          <w:tcPr>
            <w:tcW w:w="1576"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4" w:hRule="atLeast"/>
          <w:jc w:val="center"/>
        </w:trPr>
        <w:tc>
          <w:tcPr>
            <w:tcW w:w="785" w:type="dxa"/>
            <w:tcBorders>
              <w:bottom w:val="single" w:color="auto" w:sz="4" w:space="0"/>
            </w:tcBorders>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2</w:t>
            </w:r>
          </w:p>
        </w:tc>
        <w:tc>
          <w:tcPr>
            <w:tcW w:w="1417" w:type="dxa"/>
            <w:tcBorders>
              <w:bottom w:val="single" w:color="auto" w:sz="4" w:space="0"/>
            </w:tcBorders>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配电箱开关箱</w:t>
            </w:r>
          </w:p>
        </w:tc>
        <w:tc>
          <w:tcPr>
            <w:tcW w:w="5159" w:type="dxa"/>
            <w:tcBorders>
              <w:bottom w:val="single" w:color="auto" w:sz="4" w:space="0"/>
            </w:tcBorders>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不符合“三级配电两级保护”要求的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开关箱（末端）无漏电保护的或保护器失灵的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漏电保护装置参数不匹配的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电箱内无隔离开关的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违反“一闸、一漏、一箱”的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安装位置不当、周围杂物多等不便操作的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闸具损坏、闸具不符合要求或保险丝外漏的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电箱下引出线混乱的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电箱无门、无锁、无防雨措施的，无巡检或巡检滞后</w:t>
            </w:r>
          </w:p>
        </w:tc>
        <w:tc>
          <w:tcPr>
            <w:tcW w:w="1576" w:type="dxa"/>
            <w:tcBorders>
              <w:bottom w:val="single" w:color="auto" w:sz="4" w:space="0"/>
            </w:tcBorders>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9" w:hRule="atLeast"/>
          <w:jc w:val="center"/>
        </w:trPr>
        <w:tc>
          <w:tcPr>
            <w:tcW w:w="785" w:type="dxa"/>
            <w:tcBorders>
              <w:bottom w:val="single" w:color="auto" w:sz="4" w:space="0"/>
            </w:tcBorders>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3</w:t>
            </w:r>
          </w:p>
        </w:tc>
        <w:tc>
          <w:tcPr>
            <w:tcW w:w="1417" w:type="dxa"/>
            <w:tcBorders>
              <w:bottom w:val="single" w:color="auto" w:sz="4" w:space="0"/>
            </w:tcBorders>
            <w:vAlign w:val="center"/>
          </w:tcPr>
          <w:p>
            <w:pPr>
              <w:spacing w:line="280" w:lineRule="exact"/>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现场照明</w:t>
            </w:r>
          </w:p>
        </w:tc>
        <w:tc>
          <w:tcPr>
            <w:tcW w:w="5159" w:type="dxa"/>
            <w:tcBorders>
              <w:bottom w:val="single" w:color="auto" w:sz="4" w:space="0"/>
            </w:tcBorders>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照明专用回路无漏电保护的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灯具金属外壳未作接零保护或接地保护的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室内线路及灯具安装高度低于2.4m无使用安全电压供电的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潮湿场所作业未使用36v以下安全电压的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使用36v安全电压照明线路混乱和接头处未用绝缘布包扎的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手持照明灯未使用36v及以下电源供电的</w:t>
            </w:r>
          </w:p>
        </w:tc>
        <w:tc>
          <w:tcPr>
            <w:tcW w:w="1576" w:type="dxa"/>
            <w:tcBorders>
              <w:bottom w:val="single" w:color="auto" w:sz="4" w:space="0"/>
            </w:tcBorders>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3" w:hRule="atLeast"/>
          <w:jc w:val="center"/>
        </w:trPr>
        <w:tc>
          <w:tcPr>
            <w:tcW w:w="785"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4</w:t>
            </w:r>
          </w:p>
        </w:tc>
        <w:tc>
          <w:tcPr>
            <w:tcW w:w="1417"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配电线路</w:t>
            </w:r>
          </w:p>
        </w:tc>
        <w:tc>
          <w:tcPr>
            <w:tcW w:w="5159"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不按规定选用导线的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导线拖地、浸水或用光身金属线绑扎的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导线老化、破皮未包扎的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线路过道无保护的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没有将电线架空，或电线架空不符合要求的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未使用五芯（电缆）的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使用四芯电缆外加一根线替代五芯电缆的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电缆架设或埋设不符合要求的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导线乱拉乱接的</w:t>
            </w:r>
          </w:p>
        </w:tc>
        <w:tc>
          <w:tcPr>
            <w:tcW w:w="1576"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4" w:hRule="atLeast"/>
          <w:jc w:val="center"/>
        </w:trPr>
        <w:tc>
          <w:tcPr>
            <w:tcW w:w="785"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5</w:t>
            </w:r>
          </w:p>
        </w:tc>
        <w:tc>
          <w:tcPr>
            <w:tcW w:w="1417" w:type="dxa"/>
            <w:tcBorders>
              <w:left w:val="single" w:color="auto" w:sz="4" w:space="0"/>
            </w:tcBorders>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电器装置</w:t>
            </w:r>
          </w:p>
        </w:tc>
        <w:tc>
          <w:tcPr>
            <w:tcW w:w="5159"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闸具、熔断器参数与设备容量不匹配、安装不合要求的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用其他金属丝代替熔丝的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漏电开关电源侧无空气开关或闸刀开关控制的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开关接线后无盖盖的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电器、设备、导线残缺破损的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使用多用插座的</w:t>
            </w:r>
          </w:p>
        </w:tc>
        <w:tc>
          <w:tcPr>
            <w:tcW w:w="1576"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200-500元/处</w:t>
            </w:r>
          </w:p>
        </w:tc>
      </w:tr>
    </w:tbl>
    <w:p>
      <w:pPr>
        <w:spacing w:line="5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D、施工机具、设备管理 </w:t>
      </w:r>
    </w:p>
    <w:tbl>
      <w:tblPr>
        <w:tblStyle w:val="18"/>
        <w:tblW w:w="8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417"/>
        <w:gridCol w:w="5236"/>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tcBorders>
              <w:bottom w:val="single" w:color="auto" w:sz="4" w:space="0"/>
            </w:tcBorders>
            <w:vAlign w:val="center"/>
          </w:tcPr>
          <w:p>
            <w:pPr>
              <w:spacing w:line="500" w:lineRule="exact"/>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序号</w:t>
            </w:r>
          </w:p>
        </w:tc>
        <w:tc>
          <w:tcPr>
            <w:tcW w:w="1417" w:type="dxa"/>
            <w:vAlign w:val="center"/>
          </w:tcPr>
          <w:p>
            <w:pPr>
              <w:spacing w:line="500" w:lineRule="exact"/>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项目</w:t>
            </w:r>
          </w:p>
        </w:tc>
        <w:tc>
          <w:tcPr>
            <w:tcW w:w="5236" w:type="dxa"/>
            <w:vAlign w:val="center"/>
          </w:tcPr>
          <w:p>
            <w:pPr>
              <w:spacing w:line="500" w:lineRule="exact"/>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检查标准</w:t>
            </w:r>
          </w:p>
        </w:tc>
        <w:tc>
          <w:tcPr>
            <w:tcW w:w="1502" w:type="dxa"/>
            <w:vAlign w:val="center"/>
          </w:tcPr>
          <w:p>
            <w:pPr>
              <w:spacing w:line="500" w:lineRule="exact"/>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jc w:val="center"/>
        </w:trPr>
        <w:tc>
          <w:tcPr>
            <w:tcW w:w="787" w:type="dxa"/>
            <w:tcBorders>
              <w:right w:val="single" w:color="auto" w:sz="4" w:space="0"/>
            </w:tcBorders>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1</w:t>
            </w:r>
          </w:p>
        </w:tc>
        <w:tc>
          <w:tcPr>
            <w:tcW w:w="1417"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套丝机、圆盘锯等</w:t>
            </w:r>
          </w:p>
        </w:tc>
        <w:tc>
          <w:tcPr>
            <w:tcW w:w="5236"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操作人员戴手套操作的, （违反操作规程的）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锯片、传动部位防护罩缺失</w:t>
            </w:r>
          </w:p>
        </w:tc>
        <w:tc>
          <w:tcPr>
            <w:tcW w:w="1502" w:type="dxa"/>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8" w:hRule="atLeast"/>
          <w:jc w:val="center"/>
        </w:trPr>
        <w:tc>
          <w:tcPr>
            <w:tcW w:w="787" w:type="dxa"/>
            <w:tcBorders>
              <w:right w:val="single" w:color="auto" w:sz="4" w:space="0"/>
            </w:tcBorders>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2</w:t>
            </w:r>
          </w:p>
        </w:tc>
        <w:tc>
          <w:tcPr>
            <w:tcW w:w="1417"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空气压缩机</w:t>
            </w:r>
          </w:p>
        </w:tc>
        <w:tc>
          <w:tcPr>
            <w:tcW w:w="5236"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传动部位无防护罩的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自动控制器件失灵或残缺破损未更换的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1Mpa、150L以上无检测证的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周边无降噪措施</w:t>
            </w:r>
          </w:p>
        </w:tc>
        <w:tc>
          <w:tcPr>
            <w:tcW w:w="1502" w:type="dxa"/>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100-300元／项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9" w:hRule="atLeast"/>
          <w:jc w:val="center"/>
        </w:trPr>
        <w:tc>
          <w:tcPr>
            <w:tcW w:w="787" w:type="dxa"/>
            <w:tcBorders>
              <w:bottom w:val="single" w:color="auto" w:sz="4" w:space="0"/>
              <w:right w:val="single" w:color="auto" w:sz="4" w:space="0"/>
            </w:tcBorders>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3</w:t>
            </w:r>
          </w:p>
        </w:tc>
        <w:tc>
          <w:tcPr>
            <w:tcW w:w="1417" w:type="dxa"/>
            <w:tcBorders>
              <w:bottom w:val="single" w:color="auto" w:sz="4" w:space="0"/>
            </w:tcBorders>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手持电动工具</w:t>
            </w:r>
          </w:p>
        </w:tc>
        <w:tc>
          <w:tcPr>
            <w:tcW w:w="5236" w:type="dxa"/>
            <w:tcBorders>
              <w:bottom w:val="single" w:color="auto" w:sz="4" w:space="0"/>
            </w:tcBorders>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使用I类手持电动工具的</w:t>
            </w:r>
          </w:p>
        </w:tc>
        <w:tc>
          <w:tcPr>
            <w:tcW w:w="1502" w:type="dxa"/>
            <w:tcBorders>
              <w:bottom w:val="single" w:color="auto" w:sz="4" w:space="0"/>
            </w:tcBorders>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8" w:hRule="atLeast"/>
          <w:jc w:val="center"/>
        </w:trPr>
        <w:tc>
          <w:tcPr>
            <w:tcW w:w="787" w:type="dxa"/>
            <w:tcBorders>
              <w:bottom w:val="single" w:color="auto" w:sz="4" w:space="0"/>
              <w:right w:val="single" w:color="auto" w:sz="4" w:space="0"/>
            </w:tcBorders>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4</w:t>
            </w:r>
          </w:p>
        </w:tc>
        <w:tc>
          <w:tcPr>
            <w:tcW w:w="1417" w:type="dxa"/>
            <w:tcBorders>
              <w:bottom w:val="single" w:color="auto" w:sz="4" w:space="0"/>
            </w:tcBorders>
            <w:vAlign w:val="center"/>
          </w:tcPr>
          <w:p>
            <w:pPr>
              <w:spacing w:line="280" w:lineRule="exact"/>
              <w:rPr>
                <w:rFonts w:ascii="仿宋" w:hAnsi="仿宋" w:eastAsia="仿宋"/>
                <w:color w:val="auto"/>
                <w:spacing w:val="-10"/>
                <w:sz w:val="21"/>
                <w:szCs w:val="21"/>
                <w:highlight w:val="none"/>
              </w:rPr>
            </w:pPr>
            <w:r>
              <w:rPr>
                <w:rFonts w:hint="eastAsia" w:ascii="仿宋" w:hAnsi="仿宋" w:eastAsia="仿宋"/>
                <w:color w:val="auto"/>
                <w:sz w:val="21"/>
                <w:szCs w:val="21"/>
                <w:highlight w:val="none"/>
              </w:rPr>
              <w:t>电焊机</w:t>
            </w:r>
          </w:p>
        </w:tc>
        <w:tc>
          <w:tcPr>
            <w:tcW w:w="5236" w:type="dxa"/>
            <w:tcBorders>
              <w:bottom w:val="single" w:color="auto" w:sz="4" w:space="0"/>
            </w:tcBorders>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无二次空载降压保护器或防触电保护器的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一次线长度超过5米，二次焊线长度超过30米的</w:t>
            </w:r>
          </w:p>
          <w:p>
            <w:pPr>
              <w:numPr>
                <w:ilvl w:val="0"/>
                <w:numId w:val="5"/>
              </w:numPr>
              <w:autoSpaceDE/>
              <w:autoSpaceDN/>
              <w:adjustRightInd/>
              <w:spacing w:line="280" w:lineRule="exact"/>
              <w:ind w:left="0" w:firstLine="420"/>
              <w:jc w:val="both"/>
              <w:rPr>
                <w:rFonts w:ascii="仿宋" w:hAnsi="仿宋" w:eastAsia="仿宋"/>
                <w:color w:val="auto"/>
                <w:sz w:val="21"/>
                <w:szCs w:val="21"/>
                <w:highlight w:val="none"/>
              </w:rPr>
            </w:pPr>
            <w:r>
              <w:rPr>
                <w:rFonts w:hint="eastAsia" w:ascii="仿宋" w:hAnsi="仿宋" w:eastAsia="仿宋"/>
                <w:color w:val="auto"/>
                <w:sz w:val="21"/>
                <w:szCs w:val="21"/>
                <w:highlight w:val="none"/>
              </w:rPr>
              <w:t>二次侧导线不采用橡套电缆的</w:t>
            </w:r>
          </w:p>
          <w:p>
            <w:pPr>
              <w:numPr>
                <w:ilvl w:val="0"/>
                <w:numId w:val="5"/>
              </w:numPr>
              <w:autoSpaceDE/>
              <w:autoSpaceDN/>
              <w:adjustRightInd/>
              <w:spacing w:line="280" w:lineRule="exact"/>
              <w:ind w:left="0" w:firstLine="420"/>
              <w:jc w:val="both"/>
              <w:rPr>
                <w:rFonts w:ascii="仿宋" w:hAnsi="仿宋" w:eastAsia="仿宋"/>
                <w:color w:val="auto"/>
                <w:sz w:val="21"/>
                <w:szCs w:val="21"/>
                <w:highlight w:val="none"/>
              </w:rPr>
            </w:pPr>
            <w:r>
              <w:rPr>
                <w:rFonts w:hint="eastAsia" w:ascii="仿宋" w:hAnsi="仿宋" w:eastAsia="仿宋"/>
                <w:color w:val="auto"/>
                <w:sz w:val="21"/>
                <w:szCs w:val="21"/>
                <w:highlight w:val="none"/>
              </w:rPr>
              <w:t>二次侧电缆线芯截面选择不当的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二次侧电缆跨楼层焊接作业的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焊接线接头超过3处或绝缘老化的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一、二次侧两端无保护罩的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一、二次侧接线端子残缺破损的或接线不牢固的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电源不使用自动开关的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露天作业电焊机无防雨措施的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工人焊接作业无防护用具，如电渣压力焊作业无绝缘手套绝缘鞋等</w:t>
            </w:r>
          </w:p>
        </w:tc>
        <w:tc>
          <w:tcPr>
            <w:tcW w:w="1502" w:type="dxa"/>
            <w:tcBorders>
              <w:bottom w:val="single" w:color="auto" w:sz="4" w:space="0"/>
            </w:tcBorders>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100--300元／项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0" w:hRule="atLeast"/>
          <w:jc w:val="center"/>
        </w:trPr>
        <w:tc>
          <w:tcPr>
            <w:tcW w:w="787" w:type="dxa"/>
            <w:tcBorders>
              <w:right w:val="single" w:color="auto" w:sz="4" w:space="0"/>
            </w:tcBorders>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5</w:t>
            </w:r>
          </w:p>
        </w:tc>
        <w:tc>
          <w:tcPr>
            <w:tcW w:w="1417"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气瓶</w:t>
            </w:r>
          </w:p>
        </w:tc>
        <w:tc>
          <w:tcPr>
            <w:tcW w:w="5236"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各种气瓶无标准色标的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使用时气瓶间距小于5米，距明火小于10米又无间隔措施的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乙炔瓶使用或存放时平放或加热气瓶的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气瓶存放不符合要求的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气瓶使用时，减压阀、回火阀等相关配置不齐全或损坏</w:t>
            </w:r>
          </w:p>
        </w:tc>
        <w:tc>
          <w:tcPr>
            <w:tcW w:w="1502" w:type="dxa"/>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100--300元／项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6" w:hRule="atLeast"/>
          <w:jc w:val="center"/>
        </w:trPr>
        <w:tc>
          <w:tcPr>
            <w:tcW w:w="787" w:type="dxa"/>
            <w:vMerge w:val="restart"/>
            <w:tcBorders>
              <w:bottom w:val="single" w:color="auto" w:sz="4" w:space="0"/>
              <w:right w:val="single" w:color="auto" w:sz="4" w:space="0"/>
            </w:tcBorders>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6</w:t>
            </w:r>
          </w:p>
        </w:tc>
        <w:tc>
          <w:tcPr>
            <w:tcW w:w="1417" w:type="dxa"/>
            <w:vMerge w:val="restart"/>
            <w:tcBorders>
              <w:bottom w:val="single" w:color="auto" w:sz="4" w:space="0"/>
            </w:tcBorders>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施工机具通用部分</w:t>
            </w:r>
          </w:p>
        </w:tc>
        <w:tc>
          <w:tcPr>
            <w:tcW w:w="5236" w:type="dxa"/>
            <w:tcBorders>
              <w:bottom w:val="single" w:color="auto" w:sz="4" w:space="0"/>
            </w:tcBorders>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电源线无选用橡套电缆的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电源线、插头残缺破损未更换的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未作保护接零（或保护接地）的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无漏电开关保护或漏电开关动作电流选择不当的</w:t>
            </w:r>
          </w:p>
        </w:tc>
        <w:tc>
          <w:tcPr>
            <w:tcW w:w="1502" w:type="dxa"/>
            <w:vMerge w:val="restart"/>
            <w:tcBorders>
              <w:bottom w:val="single" w:color="auto" w:sz="4" w:space="0"/>
            </w:tcBorders>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100--300元／项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jc w:val="center"/>
        </w:trPr>
        <w:tc>
          <w:tcPr>
            <w:tcW w:w="787" w:type="dxa"/>
            <w:vMerge w:val="continue"/>
            <w:tcBorders>
              <w:right w:val="single" w:color="auto" w:sz="4" w:space="0"/>
            </w:tcBorders>
            <w:vAlign w:val="center"/>
          </w:tcPr>
          <w:p>
            <w:pPr>
              <w:spacing w:line="280" w:lineRule="exact"/>
              <w:jc w:val="center"/>
              <w:rPr>
                <w:rFonts w:ascii="仿宋" w:hAnsi="仿宋" w:eastAsia="仿宋"/>
                <w:color w:val="auto"/>
                <w:sz w:val="21"/>
                <w:szCs w:val="21"/>
                <w:highlight w:val="none"/>
              </w:rPr>
            </w:pPr>
          </w:p>
        </w:tc>
        <w:tc>
          <w:tcPr>
            <w:tcW w:w="1417" w:type="dxa"/>
            <w:vMerge w:val="continue"/>
            <w:vAlign w:val="center"/>
          </w:tcPr>
          <w:p>
            <w:pPr>
              <w:spacing w:line="280" w:lineRule="exact"/>
              <w:rPr>
                <w:rFonts w:ascii="仿宋" w:hAnsi="仿宋" w:eastAsia="仿宋"/>
                <w:color w:val="auto"/>
                <w:sz w:val="21"/>
                <w:szCs w:val="21"/>
                <w:highlight w:val="none"/>
              </w:rPr>
            </w:pPr>
          </w:p>
        </w:tc>
        <w:tc>
          <w:tcPr>
            <w:tcW w:w="5236"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随意接长机具电源线的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机具无人操作未切断电源的</w:t>
            </w:r>
          </w:p>
        </w:tc>
        <w:tc>
          <w:tcPr>
            <w:tcW w:w="1502" w:type="dxa"/>
            <w:vMerge w:val="continue"/>
            <w:vAlign w:val="center"/>
          </w:tcPr>
          <w:p>
            <w:pPr>
              <w:spacing w:line="280" w:lineRule="exact"/>
              <w:jc w:val="center"/>
              <w:rPr>
                <w:rFonts w:ascii="仿宋" w:hAnsi="仿宋" w:eastAsia="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787" w:type="dxa"/>
            <w:vMerge w:val="continue"/>
            <w:tcBorders>
              <w:right w:val="single" w:color="auto" w:sz="4" w:space="0"/>
            </w:tcBorders>
            <w:vAlign w:val="center"/>
          </w:tcPr>
          <w:p>
            <w:pPr>
              <w:spacing w:line="280" w:lineRule="exact"/>
              <w:jc w:val="center"/>
              <w:rPr>
                <w:rFonts w:ascii="仿宋" w:hAnsi="仿宋" w:eastAsia="仿宋"/>
                <w:color w:val="auto"/>
                <w:sz w:val="21"/>
                <w:szCs w:val="21"/>
                <w:highlight w:val="none"/>
              </w:rPr>
            </w:pPr>
          </w:p>
        </w:tc>
        <w:tc>
          <w:tcPr>
            <w:tcW w:w="1417" w:type="dxa"/>
            <w:vMerge w:val="continue"/>
            <w:vAlign w:val="center"/>
          </w:tcPr>
          <w:p>
            <w:pPr>
              <w:spacing w:line="280" w:lineRule="exact"/>
              <w:rPr>
                <w:rFonts w:ascii="仿宋" w:hAnsi="仿宋" w:eastAsia="仿宋"/>
                <w:color w:val="auto"/>
                <w:sz w:val="21"/>
                <w:szCs w:val="21"/>
                <w:highlight w:val="none"/>
              </w:rPr>
            </w:pPr>
          </w:p>
        </w:tc>
        <w:tc>
          <w:tcPr>
            <w:tcW w:w="5236"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无安全检测记录便投入使用的</w:t>
            </w:r>
          </w:p>
        </w:tc>
        <w:tc>
          <w:tcPr>
            <w:tcW w:w="1502" w:type="dxa"/>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100--300元／项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1" w:hRule="atLeast"/>
          <w:jc w:val="center"/>
        </w:trPr>
        <w:tc>
          <w:tcPr>
            <w:tcW w:w="787" w:type="dxa"/>
            <w:tcBorders>
              <w:right w:val="single" w:color="auto" w:sz="4" w:space="0"/>
            </w:tcBorders>
            <w:vAlign w:val="center"/>
          </w:tcPr>
          <w:p>
            <w:pPr>
              <w:spacing w:line="280" w:lineRule="exact"/>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7</w:t>
            </w:r>
          </w:p>
        </w:tc>
        <w:tc>
          <w:tcPr>
            <w:tcW w:w="1417"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塔吊、人货梯</w:t>
            </w:r>
          </w:p>
        </w:tc>
        <w:tc>
          <w:tcPr>
            <w:tcW w:w="5236" w:type="dxa"/>
            <w:vAlign w:val="center"/>
          </w:tcPr>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违规调物的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特种人员未持有效资格证上岗的</w:t>
            </w:r>
          </w:p>
          <w:p>
            <w:pPr>
              <w:spacing w:line="28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未定期维护保养记录的（非司索指挥塔吊的或操作人货梯）</w:t>
            </w:r>
          </w:p>
        </w:tc>
        <w:tc>
          <w:tcPr>
            <w:tcW w:w="1502" w:type="dxa"/>
            <w:vAlign w:val="center"/>
          </w:tcPr>
          <w:p>
            <w:pPr>
              <w:spacing w:line="280" w:lineRule="exact"/>
              <w:jc w:val="center"/>
              <w:rPr>
                <w:rFonts w:ascii="仿宋" w:hAnsi="仿宋" w:eastAsia="仿宋"/>
                <w:color w:val="auto"/>
                <w:spacing w:val="-10"/>
                <w:sz w:val="21"/>
                <w:szCs w:val="21"/>
                <w:highlight w:val="none"/>
              </w:rPr>
            </w:pPr>
            <w:r>
              <w:rPr>
                <w:rFonts w:hint="eastAsia" w:ascii="仿宋" w:hAnsi="仿宋" w:eastAsia="仿宋"/>
                <w:color w:val="auto"/>
                <w:spacing w:val="-10"/>
                <w:sz w:val="21"/>
                <w:szCs w:val="21"/>
                <w:highlight w:val="none"/>
              </w:rPr>
              <w:t>500-2000元/项</w:t>
            </w:r>
          </w:p>
        </w:tc>
      </w:tr>
    </w:tbl>
    <w:p>
      <w:pPr>
        <w:ind w:firstLine="420" w:firstLineChars="200"/>
        <w:rPr>
          <w:rFonts w:ascii="仿宋" w:hAnsi="仿宋" w:eastAsia="仿宋"/>
          <w:color w:val="auto"/>
          <w:sz w:val="21"/>
          <w:szCs w:val="21"/>
          <w:highlight w:val="none"/>
        </w:rPr>
      </w:pPr>
      <w:r>
        <w:rPr>
          <w:rFonts w:hint="eastAsia" w:ascii="宋体" w:hAnsi="宋体" w:cs="宋体"/>
          <w:color w:val="auto"/>
          <w:sz w:val="21"/>
          <w:szCs w:val="21"/>
          <w:highlight w:val="none"/>
        </w:rPr>
        <w:t> </w:t>
      </w:r>
      <w:r>
        <w:rPr>
          <w:rFonts w:hint="eastAsia" w:ascii="仿宋" w:hAnsi="仿宋" w:eastAsia="仿宋"/>
          <w:color w:val="auto"/>
          <w:sz w:val="21"/>
          <w:szCs w:val="21"/>
          <w:highlight w:val="none"/>
        </w:rPr>
        <w:t>4.5.2环境、文明施工管理</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（1）严格执行本项目部制定的现场卫生管理制度、文明施工管理制度、扬尘控制措施、环境管理方案，保持场容整洁卫生，杜绝扬尘污染。</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（2）认真执行环境管理方案，对噪音源进行有效控制，确保噪音达标排放。</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（3）一切垃圾（包括包装物、零碎料等施工垃圾、生活垃圾）必须通过包装物或装盛器具运到现场指定垃圾堆放点存放，不得由空中向下抛洒任何物体。</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（4）工程施工使用的材料应符合国家、当地政府的有关环保规定。材料采购合同，应明确包装的回收约定。</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（5）化学危险品采购、运输、储存、使用、包装回收应有专人负责，严格执行国家及当地政府的有关规定。</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（6）加强现场消防防火工作，避免火灾引起的环境污染。</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（7）加强施工人员教育，关心工人生活，杜绝打架斗殴、集体中毒、违法刑事案件、集体上访、拖欠农民工工资等影响本项目形象的事件发生。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（8）违反以上各条环境、文明施工管理制度的，视情况每次处收取违约金100-10000元。</w:t>
      </w:r>
    </w:p>
    <w:p>
      <w:pPr>
        <w:rPr>
          <w:rFonts w:ascii="仿宋" w:hAnsi="仿宋" w:eastAsia="仿宋"/>
          <w:color w:val="auto"/>
          <w:sz w:val="21"/>
          <w:szCs w:val="21"/>
          <w:highlight w:val="none"/>
        </w:rPr>
      </w:pPr>
      <w:r>
        <w:rPr>
          <w:rFonts w:hint="eastAsia" w:ascii="仿宋" w:hAnsi="仿宋" w:eastAsia="仿宋"/>
          <w:color w:val="auto"/>
          <w:sz w:val="21"/>
          <w:szCs w:val="21"/>
          <w:highlight w:val="none"/>
        </w:rPr>
        <w:t>4.5.3奖罚</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由监理、发包人制定安全文明施工防护措施奖罚制度，并严格按照制度实施，现场罚没的资金直接上缴至安全专项资金里，做到专款专用。</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5.纪律约束</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5.1对分包人的纪律约束</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（1）所有分包人必须严格执行国家、发包人、监理单位及总包单位的有关规定。</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（2）在工程施工中，不准有弄虚作假等欺诈行为，不准送礼行贿。</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（3）在施工中发现分包人有违法、违纪行为者，将对其清退出现场，并永不再与其合作。</w:t>
      </w:r>
      <w:r>
        <w:rPr>
          <w:rFonts w:hint="eastAsia" w:ascii="宋体" w:hAnsi="宋体" w:cs="宋体"/>
          <w:color w:val="auto"/>
          <w:sz w:val="21"/>
          <w:szCs w:val="21"/>
          <w:highlight w:val="none"/>
        </w:rPr>
        <w:t> </w:t>
      </w:r>
    </w:p>
    <w:p>
      <w:pPr>
        <w:rPr>
          <w:rFonts w:ascii="仿宋" w:hAnsi="仿宋" w:eastAsia="仿宋"/>
          <w:color w:val="auto"/>
          <w:sz w:val="21"/>
          <w:szCs w:val="21"/>
          <w:highlight w:val="none"/>
        </w:rPr>
      </w:pPr>
      <w:r>
        <w:rPr>
          <w:rFonts w:hint="eastAsia" w:ascii="仿宋" w:hAnsi="仿宋" w:eastAsia="仿宋"/>
          <w:color w:val="auto"/>
          <w:sz w:val="21"/>
          <w:szCs w:val="21"/>
          <w:highlight w:val="none"/>
        </w:rPr>
        <w:t>5.2对总包人员的纪律约束</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（1）总包各管理人员要秉公办事，坚持原则，尽职尽责。</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（2）总包人员要廉洁自律，严禁对分包人吃、拿、卡、要，索贿受贿，如有违犯者，按有关规定处理。</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（3）对在工程管理中给发包人造成损失的单位、个人，将视其情节轻重，予以经济处罚及行政处分。</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6.其他</w:t>
      </w:r>
      <w:r>
        <w:rPr>
          <w:rFonts w:hint="eastAsia" w:ascii="宋体" w:hAnsi="宋体" w:cs="宋体"/>
          <w:color w:val="auto"/>
          <w:sz w:val="21"/>
          <w:szCs w:val="21"/>
          <w:highlight w:val="none"/>
        </w:rPr>
        <w:t> </w:t>
      </w:r>
    </w:p>
    <w:p>
      <w:pPr>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（1）上述各项管理制度如与其他管理制度或合同条款约定有冲突的，按最严格的执行。</w:t>
      </w:r>
    </w:p>
    <w:p>
      <w:pPr>
        <w:widowControl/>
        <w:autoSpaceDE/>
        <w:autoSpaceDN/>
        <w:adjustRightInd/>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（2）本管理制度解释权归本项目发包人。</w:t>
      </w:r>
    </w:p>
    <w:p>
      <w:pPr>
        <w:widowControl/>
        <w:autoSpaceDE/>
        <w:autoSpaceDN/>
        <w:adjustRightInd/>
        <w:rPr>
          <w:rFonts w:ascii="仿宋" w:hAnsi="仿宋" w:eastAsia="仿宋"/>
          <w:color w:val="auto"/>
          <w:highlight w:val="none"/>
        </w:rPr>
      </w:pPr>
      <w:r>
        <w:rPr>
          <w:rFonts w:ascii="仿宋" w:hAnsi="仿宋" w:eastAsia="仿宋"/>
          <w:color w:val="auto"/>
          <w:highlight w:val="none"/>
        </w:rPr>
        <w:br w:type="page"/>
      </w:r>
    </w:p>
    <w:p>
      <w:pPr>
        <w:pStyle w:val="8"/>
        <w:snapToGrid w:val="0"/>
        <w:spacing w:after="0" w:line="360" w:lineRule="auto"/>
        <w:outlineLvl w:val="0"/>
        <w:rPr>
          <w:rFonts w:ascii="仿宋" w:hAnsi="仿宋" w:eastAsia="仿宋" w:cs="楷体_GB2312"/>
          <w:b/>
          <w:color w:val="auto"/>
          <w:sz w:val="21"/>
          <w:szCs w:val="21"/>
          <w:highlight w:val="none"/>
          <w:u w:val="none"/>
        </w:rPr>
      </w:pPr>
      <w:bookmarkStart w:id="28" w:name="_Toc126961343"/>
      <w:r>
        <w:rPr>
          <w:rFonts w:hint="eastAsia" w:ascii="仿宋" w:hAnsi="仿宋" w:eastAsia="仿宋" w:cs="楷体_GB2312"/>
          <w:b/>
          <w:color w:val="auto"/>
          <w:sz w:val="21"/>
          <w:szCs w:val="21"/>
          <w:highlight w:val="none"/>
          <w:u w:val="none"/>
        </w:rPr>
        <w:t>附件五：工程建设项目廉政责任书</w:t>
      </w:r>
      <w:bookmarkEnd w:id="28"/>
    </w:p>
    <w:p>
      <w:pPr>
        <w:jc w:val="center"/>
        <w:rPr>
          <w:rFonts w:ascii="楷体" w:hAnsi="楷体" w:eastAsia="楷体"/>
          <w:b/>
          <w:color w:val="auto"/>
          <w:highlight w:val="none"/>
        </w:rPr>
      </w:pPr>
      <w:r>
        <w:rPr>
          <w:rFonts w:hint="eastAsia" w:ascii="楷体" w:hAnsi="楷体" w:eastAsia="楷体"/>
          <w:b/>
          <w:color w:val="auto"/>
          <w:highlight w:val="none"/>
        </w:rPr>
        <w:t>工程建设项目廉政责任书书</w:t>
      </w:r>
    </w:p>
    <w:p>
      <w:pPr>
        <w:spacing w:before="231" w:beforeLines="50"/>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为加强</w:t>
      </w:r>
      <w:r>
        <w:rPr>
          <w:rFonts w:hint="eastAsia" w:ascii="楷体" w:hAnsi="楷体" w:eastAsia="楷体"/>
          <w:color w:val="auto"/>
          <w:sz w:val="24"/>
          <w:szCs w:val="24"/>
          <w:highlight w:val="none"/>
          <w:u w:val="single"/>
        </w:rPr>
        <w:t>佛山季华项目电梯供货合同</w:t>
      </w:r>
      <w:r>
        <w:rPr>
          <w:rFonts w:hint="eastAsia" w:ascii="楷体" w:hAnsi="楷体" w:eastAsia="楷体"/>
          <w:color w:val="auto"/>
          <w:sz w:val="24"/>
          <w:szCs w:val="24"/>
          <w:highlight w:val="none"/>
        </w:rPr>
        <w:t>的廉政建设，规范工程建设中双方的各项活动，防止发生各种谋取不正当利益的违法违纪行为，保护国家和当事人的合法权益，根据国家有关工程建设的法律法规和廉政建设责任制规定，特订立本廉政责任书。</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第一条　甲乙双方的责任</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（一）应严格遵守国家关于市场准入、项目招标投标、工程建设、施工安装和市场活动等有关法律、法规、政策，以及廉政建设的各项规定。</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（二）严格履行工程建设项目中所签订的所有合同文件，自觉按合同办事。</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（三）业务活动必须坚持公开、公平、公正、诚信、透明的，不得为获取不正当的利益，损害国家和对方利益，不得违反工程建设管理、施工安装的规章制度。</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（四）教育、监督本单位所有相关人员(包括担任领导职务人员，下同）廉洁、尽职地工作，制定和严格执行相关规章制度，防范和严肃查处相关人员违法、违纪利用工作便利谋取个人利益的行为。</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（五）不得向另一方的相关人员提供第二条或第三条各项所列个人利益，双方的合同另有明文规定的奖励、考察不受此限。</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第二条　甲方的责任</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甲方应教育和监督本方与该工程建设项目有关的人员，在工程建设的事前、事中、事后均严格遵守以下规定：</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（一）不准向乙方和相关单位（包括但不限于施工单位、勘察、设计单位、设备或原材料供应单位，下同）索要或接受回扣、礼金、红包、有价证券、银行卡、物品和好处费、感谢费、其他财产性利益等。</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（二）不准在乙方和相关单位报销任何应由甲方支付的费用，或借用乙方的车辆办理私事。</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（三）不准要求、暗示和接受甲方和相关单位为个人装修住房、婚丧嫁娶、配偶子女的工作安排以及出国（境）、旅游（双方相关合同所规定的考察不受此限）等提供方便。</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（四）不准参加有可能影响公正执行公务的乙方和相关单位的宴请、健身、娱乐等活动。</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五）不准向乙方介绍或为配偶、子女、亲属参与同甲方有关的设备、材料、工程分包、劳务等经济活动。不得以任何理由向乙方和相关单位推荐分包单位和要求乙方购买规定以外的材料、设备等（合同所规定的属于甲方行使的相关权利不受此限）。</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第三条　乙方的责任</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应与甲方保持正常的业务交往，按照有关法律法规和程序开展业务工作，严格执行工程建设的有关方针、政策，尤其是有关建筑施工、安装及强制性标准和规范，并教育和监督其领导和有关人员严格遵守以下规定：</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（一）不准以任何理由向甲方、相关单位及其工作人员索要、接受或赠送礼金、红包、有价证券、银行卡、物品和回扣、好处费、感谢费、其他财产性利益等。</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（二）不准以任何理由为甲方和相关单位报销应由对方或个人支付的费用，或出借车辆给甲方人员办理私事。</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（三）不准接受或暗示为甲方、相关单位或个人装修住房、婚丧嫁娶、配偶子女的工作安排以及出国（境）、旅游等提供方便。</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（四）不准以任何理由为甲方、相关单位或个人组织有可能影响公正执行公务的宴请、健身、娱乐等活动。</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第四条　法律和纪律责任</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 xml:space="preserve"> （一）甲方工作人员有违反本责任书第一、二条谋取个人利益行为的，乙方应向甲方或有关机关举报，甲方应按照管理权限调查核实，并依据有关法律法规和规定给予党纪、政纪处分或公司制度项下处分处理；涉嫌犯罪的，向司法机关举报，追究刑事责任。</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 xml:space="preserve">  （二）乙方工作人员有违反本责任书第一、三条谋取个人利益行为的，甲方应向乙方或有关机关举报，乙方应按照管理权限调查核实，并依据有关法律法规和规定给予党纪、政纪处分或公司制度项下处分处理；涉嫌犯罪的，向司法机关举报，追究刑事责任。</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三）A方（指任何一方，下同）向B方（指另一方，下同）有关人员提供前述各条所禁止提供或收受的个人利益的，无论是否依B方有关人员的要求提供，也无论通过何种方式、何人提供，均须承担全部相应的法律责任，包括但不限于赔偿B方因该等不正当收受利益人员有关失职行为所发生的全部损失。B方并有权解除合同。B方有关人员未接受A方所给付的该等利益的，或其接受后未发现其失职造成B方损失的，或B方所发生的损失或部分损失难以计算的,按提供给B方人员个人利益每人次须付50万元计算违约金。</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（四）B方有关人员因索要前述禁止的个人利益未成功或因未取得A方给付该等利益而未正常处理有关工作，造成B方违反合同的，B方须向A方承担违约责任，赔偿A方全部损失。</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第五条　本责任书作为本工程合同的附件，与工程合同具有同等法律效力。</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第六条　本责任书的有效期为双方签署之日起至该工程建设项目竣工验收符合合同要求时止。</w:t>
      </w:r>
    </w:p>
    <w:p>
      <w:pPr>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    </w:t>
      </w:r>
      <w:bookmarkStart w:id="29" w:name="_Toc324932383"/>
    </w:p>
    <w:p>
      <w:pPr>
        <w:spacing w:line="480" w:lineRule="auto"/>
        <w:ind w:left="7080" w:hanging="7080" w:hangingChars="2950"/>
        <w:rPr>
          <w:rFonts w:ascii="楷体" w:hAnsi="楷体" w:eastAsia="楷体"/>
          <w:color w:val="auto"/>
          <w:sz w:val="24"/>
          <w:szCs w:val="24"/>
          <w:highlight w:val="none"/>
        </w:rPr>
      </w:pPr>
      <w:bookmarkStart w:id="30" w:name="_Toc336355627"/>
      <w:bookmarkStart w:id="31" w:name="_Toc495321035"/>
      <w:r>
        <w:rPr>
          <w:rFonts w:hint="eastAsia" w:ascii="楷体" w:hAnsi="楷体" w:eastAsia="楷体"/>
          <w:color w:val="auto"/>
          <w:sz w:val="24"/>
          <w:szCs w:val="24"/>
          <w:highlight w:val="none"/>
        </w:rPr>
        <w:t>甲方：（盖章）佛山粤海置地发展有限公司      乙方：</w:t>
      </w:r>
      <w:bookmarkEnd w:id="29"/>
      <w:bookmarkEnd w:id="30"/>
      <w:r>
        <w:rPr>
          <w:rFonts w:hint="eastAsia" w:ascii="楷体" w:hAnsi="楷体" w:eastAsia="楷体"/>
          <w:color w:val="auto"/>
          <w:sz w:val="24"/>
          <w:szCs w:val="24"/>
          <w:highlight w:val="none"/>
        </w:rPr>
        <w:t>（盖章）</w:t>
      </w:r>
      <w:bookmarkEnd w:id="31"/>
    </w:p>
    <w:p>
      <w:pPr>
        <w:spacing w:line="480" w:lineRule="auto"/>
        <w:rPr>
          <w:rFonts w:ascii="楷体" w:hAnsi="楷体" w:eastAsia="楷体"/>
          <w:color w:val="auto"/>
          <w:sz w:val="24"/>
          <w:szCs w:val="24"/>
          <w:highlight w:val="none"/>
        </w:rPr>
      </w:pPr>
      <w:bookmarkStart w:id="32" w:name="_Toc324932385"/>
      <w:bookmarkStart w:id="33" w:name="_Toc495321036"/>
      <w:bookmarkStart w:id="34" w:name="_Toc336355628"/>
      <w:r>
        <w:rPr>
          <w:rFonts w:hint="eastAsia" w:ascii="楷体" w:hAnsi="楷体" w:eastAsia="楷体"/>
          <w:color w:val="auto"/>
          <w:sz w:val="24"/>
          <w:szCs w:val="24"/>
          <w:highlight w:val="none"/>
        </w:rPr>
        <w:t>法定代表人或授权代表人：                    法定代表人或授权代表人：</w:t>
      </w:r>
      <w:bookmarkEnd w:id="32"/>
      <w:bookmarkEnd w:id="33"/>
      <w:bookmarkEnd w:id="34"/>
    </w:p>
    <w:p>
      <w:pPr>
        <w:rPr>
          <w:rFonts w:ascii="楷体" w:hAnsi="楷体" w:eastAsia="楷体"/>
          <w:color w:val="auto"/>
          <w:sz w:val="24"/>
          <w:szCs w:val="24"/>
          <w:highlight w:val="none"/>
        </w:rPr>
      </w:pPr>
      <w:bookmarkStart w:id="35" w:name="_Toc324932386"/>
      <w:bookmarkStart w:id="36" w:name="_Toc336355629"/>
    </w:p>
    <w:p>
      <w:pPr>
        <w:rPr>
          <w:color w:val="auto"/>
          <w:sz w:val="22"/>
          <w:szCs w:val="22"/>
          <w:highlight w:val="none"/>
        </w:rPr>
      </w:pPr>
      <w:bookmarkStart w:id="37" w:name="_Toc495321037"/>
      <w:r>
        <w:rPr>
          <w:rFonts w:hint="eastAsia" w:ascii="楷体" w:hAnsi="楷体" w:eastAsia="楷体"/>
          <w:color w:val="auto"/>
          <w:sz w:val="24"/>
          <w:szCs w:val="24"/>
          <w:highlight w:val="none"/>
        </w:rPr>
        <w:t>签约日期：2023年  月  日</w:t>
      </w:r>
      <w:r>
        <w:rPr>
          <w:rFonts w:hint="eastAsia"/>
          <w:color w:val="auto"/>
          <w:sz w:val="24"/>
          <w:szCs w:val="24"/>
          <w:highlight w:val="none"/>
        </w:rPr>
        <w:t xml:space="preserve">      </w:t>
      </w:r>
      <w:r>
        <w:rPr>
          <w:rFonts w:hint="eastAsia"/>
          <w:color w:val="auto"/>
          <w:sz w:val="22"/>
          <w:szCs w:val="22"/>
          <w:highlight w:val="none"/>
        </w:rPr>
        <w:t xml:space="preserve">                           </w:t>
      </w:r>
      <w:bookmarkEnd w:id="35"/>
      <w:bookmarkEnd w:id="36"/>
      <w:bookmarkEnd w:id="37"/>
    </w:p>
    <w:p>
      <w:pPr>
        <w:snapToGrid w:val="0"/>
        <w:spacing w:line="360" w:lineRule="auto"/>
        <w:rPr>
          <w:rFonts w:ascii="楷体_GB2312" w:hAnsi="楷体_GB2312" w:eastAsia="楷体_GB2312" w:cs="楷体_GB2312"/>
          <w:b/>
          <w:color w:val="auto"/>
          <w:sz w:val="21"/>
          <w:szCs w:val="21"/>
          <w:highlight w:val="none"/>
        </w:rPr>
      </w:pPr>
    </w:p>
    <w:p>
      <w:pPr>
        <w:snapToGrid w:val="0"/>
        <w:spacing w:line="360" w:lineRule="auto"/>
        <w:rPr>
          <w:rFonts w:ascii="楷体_GB2312" w:hAnsi="楷体_GB2312" w:eastAsia="楷体_GB2312" w:cs="楷体_GB2312"/>
          <w:b/>
          <w:color w:val="auto"/>
          <w:sz w:val="21"/>
          <w:szCs w:val="21"/>
          <w:highlight w:val="none"/>
        </w:rPr>
      </w:pPr>
    </w:p>
    <w:p>
      <w:pPr>
        <w:snapToGrid w:val="0"/>
        <w:spacing w:line="360" w:lineRule="auto"/>
        <w:rPr>
          <w:rFonts w:ascii="楷体_GB2312" w:hAnsi="楷体_GB2312" w:eastAsia="楷体_GB2312" w:cs="楷体_GB2312"/>
          <w:b/>
          <w:color w:val="auto"/>
          <w:sz w:val="21"/>
          <w:szCs w:val="21"/>
          <w:highlight w:val="none"/>
        </w:rPr>
      </w:pPr>
    </w:p>
    <w:p>
      <w:pPr>
        <w:snapToGrid w:val="0"/>
        <w:spacing w:line="360" w:lineRule="auto"/>
        <w:rPr>
          <w:rFonts w:ascii="楷体_GB2312" w:hAnsi="楷体_GB2312" w:eastAsia="楷体_GB2312" w:cs="楷体_GB2312"/>
          <w:b/>
          <w:color w:val="auto"/>
          <w:sz w:val="21"/>
          <w:szCs w:val="21"/>
          <w:highlight w:val="none"/>
        </w:rPr>
      </w:pPr>
    </w:p>
    <w:p>
      <w:pPr>
        <w:snapToGrid w:val="0"/>
        <w:spacing w:line="360" w:lineRule="auto"/>
        <w:rPr>
          <w:rFonts w:ascii="楷体_GB2312" w:hAnsi="楷体_GB2312" w:eastAsia="楷体_GB2312" w:cs="楷体_GB2312"/>
          <w:b/>
          <w:color w:val="auto"/>
          <w:sz w:val="21"/>
          <w:szCs w:val="21"/>
          <w:highlight w:val="none"/>
        </w:rPr>
      </w:pPr>
    </w:p>
    <w:p>
      <w:pPr>
        <w:snapToGrid w:val="0"/>
        <w:spacing w:line="360" w:lineRule="auto"/>
        <w:rPr>
          <w:rFonts w:ascii="楷体_GB2312" w:hAnsi="楷体_GB2312" w:eastAsia="楷体_GB2312" w:cs="楷体_GB2312"/>
          <w:b/>
          <w:color w:val="auto"/>
          <w:sz w:val="21"/>
          <w:szCs w:val="21"/>
          <w:highlight w:val="none"/>
        </w:rPr>
      </w:pPr>
    </w:p>
    <w:p>
      <w:pPr>
        <w:snapToGrid w:val="0"/>
        <w:spacing w:line="360" w:lineRule="auto"/>
        <w:outlineLvl w:val="0"/>
        <w:rPr>
          <w:rFonts w:ascii="仿宋" w:hAnsi="仿宋" w:eastAsia="仿宋"/>
          <w:b/>
          <w:color w:val="auto"/>
          <w:sz w:val="21"/>
          <w:szCs w:val="21"/>
          <w:highlight w:val="none"/>
        </w:rPr>
      </w:pPr>
      <w:r>
        <w:rPr>
          <w:rFonts w:ascii="楷体_GB2312" w:eastAsia="楷体_GB2312"/>
          <w:b/>
          <w:color w:val="auto"/>
          <w:sz w:val="28"/>
          <w:szCs w:val="28"/>
          <w:highlight w:val="none"/>
        </w:rPr>
        <w:br w:type="page"/>
      </w:r>
      <w:bookmarkStart w:id="38" w:name="_Toc126961344"/>
      <w:r>
        <w:rPr>
          <w:rFonts w:hint="eastAsia" w:ascii="仿宋" w:hAnsi="仿宋" w:eastAsia="仿宋"/>
          <w:b/>
          <w:color w:val="auto"/>
          <w:sz w:val="21"/>
          <w:szCs w:val="21"/>
          <w:highlight w:val="none"/>
        </w:rPr>
        <w:t>附件六：履约保函 （样式）</w:t>
      </w:r>
      <w:bookmarkEnd w:id="38"/>
    </w:p>
    <w:p>
      <w:pPr>
        <w:pStyle w:val="9"/>
        <w:snapToGrid w:val="0"/>
        <w:spacing w:after="0"/>
        <w:ind w:left="0" w:leftChars="0"/>
        <w:jc w:val="center"/>
        <w:rPr>
          <w:rFonts w:ascii="楷体" w:hAnsi="楷体" w:eastAsia="楷体"/>
          <w:b/>
          <w:color w:val="auto"/>
          <w:sz w:val="32"/>
          <w:szCs w:val="32"/>
          <w:highlight w:val="none"/>
        </w:rPr>
      </w:pPr>
      <w:r>
        <w:rPr>
          <w:rFonts w:hint="eastAsia" w:ascii="楷体" w:hAnsi="楷体" w:eastAsia="楷体"/>
          <w:b/>
          <w:color w:val="auto"/>
          <w:sz w:val="32"/>
          <w:szCs w:val="32"/>
          <w:highlight w:val="none"/>
        </w:rPr>
        <w:t>履约保函（样式）</w:t>
      </w:r>
    </w:p>
    <w:p>
      <w:pPr>
        <w:wordWrap w:val="0"/>
        <w:spacing w:before="120" w:after="120"/>
        <w:jc w:val="right"/>
        <w:rPr>
          <w:rFonts w:ascii="华文仿宋" w:hAnsi="华文仿宋" w:eastAsia="华文仿宋"/>
          <w:color w:val="auto"/>
          <w:sz w:val="24"/>
          <w:szCs w:val="24"/>
          <w:highlight w:val="none"/>
        </w:rPr>
      </w:pPr>
      <w:r>
        <w:rPr>
          <w:rFonts w:hint="eastAsia" w:ascii="华文仿宋" w:hAnsi="华文仿宋" w:eastAsia="华文仿宋"/>
          <w:color w:val="auto"/>
          <w:sz w:val="24"/>
          <w:szCs w:val="24"/>
          <w:highlight w:val="none"/>
        </w:rPr>
        <w:t>签发日期：</w:t>
      </w:r>
      <w:r>
        <w:rPr>
          <w:rFonts w:hint="eastAsia" w:ascii="华文仿宋" w:hAnsi="华文仿宋" w:eastAsia="华文仿宋"/>
          <w:color w:val="auto"/>
          <w:sz w:val="24"/>
          <w:szCs w:val="24"/>
          <w:highlight w:val="none"/>
          <w:u w:val="single"/>
        </w:rPr>
        <w:t xml:space="preserve">  </w:t>
      </w:r>
      <w:r>
        <w:rPr>
          <w:rFonts w:hint="eastAsia" w:ascii="华文仿宋" w:hAnsi="华文仿宋" w:eastAsia="华文仿宋"/>
          <w:color w:val="auto"/>
          <w:sz w:val="24"/>
          <w:szCs w:val="24"/>
          <w:highlight w:val="none"/>
        </w:rPr>
        <w:t>年</w:t>
      </w:r>
      <w:r>
        <w:rPr>
          <w:rFonts w:hint="eastAsia" w:ascii="华文仿宋" w:hAnsi="华文仿宋" w:eastAsia="华文仿宋"/>
          <w:color w:val="auto"/>
          <w:sz w:val="24"/>
          <w:szCs w:val="24"/>
          <w:highlight w:val="none"/>
          <w:u w:val="single"/>
        </w:rPr>
        <w:t xml:space="preserve">  </w:t>
      </w:r>
      <w:r>
        <w:rPr>
          <w:rFonts w:hint="eastAsia" w:ascii="华文仿宋" w:hAnsi="华文仿宋" w:eastAsia="华文仿宋"/>
          <w:color w:val="auto"/>
          <w:sz w:val="24"/>
          <w:szCs w:val="24"/>
          <w:highlight w:val="none"/>
        </w:rPr>
        <w:t>月</w:t>
      </w:r>
      <w:r>
        <w:rPr>
          <w:rFonts w:hint="eastAsia" w:ascii="华文仿宋" w:hAnsi="华文仿宋" w:eastAsia="华文仿宋"/>
          <w:color w:val="auto"/>
          <w:sz w:val="24"/>
          <w:szCs w:val="24"/>
          <w:highlight w:val="none"/>
          <w:u w:val="single"/>
        </w:rPr>
        <w:t xml:space="preserve">  </w:t>
      </w:r>
      <w:r>
        <w:rPr>
          <w:rFonts w:hint="eastAsia" w:ascii="华文仿宋" w:hAnsi="华文仿宋" w:eastAsia="华文仿宋"/>
          <w:color w:val="auto"/>
          <w:sz w:val="24"/>
          <w:szCs w:val="24"/>
          <w:highlight w:val="none"/>
        </w:rPr>
        <w:t>日</w:t>
      </w:r>
    </w:p>
    <w:p>
      <w:pPr>
        <w:snapToGrid w:val="0"/>
        <w:spacing w:line="360" w:lineRule="auto"/>
        <w:rPr>
          <w:rFonts w:ascii="楷体" w:hAnsi="楷体" w:eastAsia="楷体"/>
          <w:color w:val="auto"/>
          <w:sz w:val="24"/>
          <w:szCs w:val="24"/>
          <w:highlight w:val="none"/>
          <w:u w:val="single"/>
        </w:rPr>
      </w:pPr>
      <w:r>
        <w:rPr>
          <w:rFonts w:hint="eastAsia" w:ascii="楷体" w:hAnsi="楷体" w:eastAsia="楷体"/>
          <w:color w:val="auto"/>
          <w:sz w:val="24"/>
          <w:szCs w:val="24"/>
          <w:highlight w:val="none"/>
        </w:rPr>
        <w:t>致：</w:t>
      </w:r>
      <w:r>
        <w:rPr>
          <w:rFonts w:hint="eastAsia" w:ascii="楷体" w:hAnsi="楷体" w:eastAsia="楷体"/>
          <w:color w:val="auto"/>
          <w:sz w:val="24"/>
          <w:szCs w:val="24"/>
          <w:highlight w:val="none"/>
          <w:u w:val="single"/>
        </w:rPr>
        <w:t xml:space="preserve">               </w:t>
      </w:r>
      <w:r>
        <w:rPr>
          <w:rFonts w:hint="eastAsia" w:ascii="楷体" w:hAnsi="楷体" w:eastAsia="楷体"/>
          <w:color w:val="auto"/>
          <w:sz w:val="24"/>
          <w:szCs w:val="24"/>
          <w:highlight w:val="none"/>
        </w:rPr>
        <w:t>（以下简称“受益人”）：</w:t>
      </w:r>
    </w:p>
    <w:p>
      <w:pPr>
        <w:snapToGrid w:val="0"/>
        <w:spacing w:line="360" w:lineRule="auto"/>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鉴于</w:t>
      </w:r>
      <w:r>
        <w:rPr>
          <w:rFonts w:hint="eastAsia" w:ascii="楷体" w:hAnsi="楷体" w:eastAsia="楷体"/>
          <w:color w:val="auto"/>
          <w:sz w:val="24"/>
          <w:szCs w:val="24"/>
          <w:highlight w:val="none"/>
          <w:u w:val="single"/>
        </w:rPr>
        <w:t xml:space="preserve">                     </w:t>
      </w:r>
      <w:r>
        <w:rPr>
          <w:rFonts w:hint="eastAsia" w:ascii="楷体" w:hAnsi="楷体" w:eastAsia="楷体"/>
          <w:color w:val="auto"/>
          <w:sz w:val="24"/>
          <w:szCs w:val="24"/>
          <w:highlight w:val="none"/>
        </w:rPr>
        <w:t>（以下简称“被担保人”）已与受益人签订了编号为</w:t>
      </w:r>
      <w:r>
        <w:rPr>
          <w:rFonts w:hint="eastAsia" w:ascii="楷体" w:hAnsi="楷体" w:eastAsia="楷体"/>
          <w:color w:val="auto"/>
          <w:sz w:val="24"/>
          <w:szCs w:val="24"/>
          <w:highlight w:val="none"/>
          <w:u w:val="single"/>
        </w:rPr>
        <w:t xml:space="preserve">            </w:t>
      </w:r>
      <w:r>
        <w:rPr>
          <w:rFonts w:hint="eastAsia" w:ascii="楷体" w:hAnsi="楷体" w:eastAsia="楷体"/>
          <w:color w:val="auto"/>
          <w:sz w:val="24"/>
          <w:szCs w:val="24"/>
          <w:highlight w:val="none"/>
        </w:rPr>
        <w:t>的《</w:t>
      </w:r>
      <w:r>
        <w:rPr>
          <w:rFonts w:hint="eastAsia" w:ascii="楷体" w:hAnsi="楷体" w:eastAsia="楷体"/>
          <w:color w:val="auto"/>
          <w:sz w:val="24"/>
          <w:szCs w:val="24"/>
          <w:highlight w:val="none"/>
          <w:u w:val="single"/>
        </w:rPr>
        <w:t>佛山季华项目电梯供货合同</w:t>
      </w:r>
      <w:r>
        <w:rPr>
          <w:rFonts w:hint="eastAsia" w:ascii="楷体" w:hAnsi="楷体" w:eastAsia="楷体"/>
          <w:color w:val="auto"/>
          <w:sz w:val="24"/>
          <w:szCs w:val="24"/>
          <w:highlight w:val="none"/>
        </w:rPr>
        <w:t>》 （以下简称“合同”），金额 （大写）：人民币</w:t>
      </w:r>
      <w:r>
        <w:rPr>
          <w:rFonts w:hint="eastAsia" w:ascii="楷体" w:hAnsi="楷体" w:eastAsia="楷体"/>
          <w:color w:val="auto"/>
          <w:sz w:val="24"/>
          <w:szCs w:val="24"/>
          <w:highlight w:val="none"/>
          <w:u w:val="single"/>
        </w:rPr>
        <w:t xml:space="preserve">             </w:t>
      </w:r>
      <w:r>
        <w:rPr>
          <w:rFonts w:hint="eastAsia" w:ascii="楷体" w:hAnsi="楷体" w:eastAsia="楷体"/>
          <w:color w:val="auto"/>
          <w:sz w:val="24"/>
          <w:szCs w:val="24"/>
          <w:highlight w:val="none"/>
        </w:rPr>
        <w:t>元（RMB</w:t>
      </w:r>
      <w:r>
        <w:rPr>
          <w:rFonts w:hint="eastAsia" w:ascii="楷体" w:hAnsi="楷体" w:eastAsia="楷体"/>
          <w:color w:val="auto"/>
          <w:sz w:val="24"/>
          <w:szCs w:val="24"/>
          <w:highlight w:val="none"/>
          <w:u w:val="single"/>
        </w:rPr>
        <w:t xml:space="preserve">        </w:t>
      </w:r>
      <w:r>
        <w:rPr>
          <w:rFonts w:hint="eastAsia" w:ascii="楷体" w:hAnsi="楷体" w:eastAsia="楷体"/>
          <w:color w:val="auto"/>
          <w:sz w:val="24"/>
          <w:szCs w:val="24"/>
          <w:highlight w:val="none"/>
        </w:rPr>
        <w:t>）。我方作为保证人，在此向受益人就被担保人履行合同提供</w:t>
      </w:r>
      <w:r>
        <w:rPr>
          <w:rFonts w:hint="eastAsia" w:ascii="楷体" w:hAnsi="楷体" w:eastAsia="楷体"/>
          <w:b/>
          <w:color w:val="auto"/>
          <w:sz w:val="24"/>
          <w:szCs w:val="24"/>
          <w:highlight w:val="none"/>
        </w:rPr>
        <w:t>不可撤销</w:t>
      </w:r>
      <w:r>
        <w:rPr>
          <w:rFonts w:hint="eastAsia" w:ascii="楷体" w:hAnsi="楷体" w:eastAsia="楷体"/>
          <w:color w:val="auto"/>
          <w:sz w:val="24"/>
          <w:szCs w:val="24"/>
          <w:highlight w:val="none"/>
        </w:rPr>
        <w:t>的</w:t>
      </w:r>
      <w:r>
        <w:rPr>
          <w:rFonts w:hint="eastAsia" w:ascii="楷体" w:hAnsi="楷体" w:eastAsia="楷体"/>
          <w:b/>
          <w:color w:val="auto"/>
          <w:sz w:val="24"/>
          <w:szCs w:val="24"/>
          <w:highlight w:val="none"/>
        </w:rPr>
        <w:t>连带责任保证担保</w:t>
      </w:r>
      <w:r>
        <w:rPr>
          <w:rFonts w:hint="eastAsia" w:ascii="楷体" w:hAnsi="楷体" w:eastAsia="楷体"/>
          <w:color w:val="auto"/>
          <w:sz w:val="24"/>
          <w:szCs w:val="24"/>
          <w:highlight w:val="none"/>
        </w:rPr>
        <w:t>：</w:t>
      </w:r>
    </w:p>
    <w:p>
      <w:pPr>
        <w:snapToGrid w:val="0"/>
        <w:spacing w:line="360" w:lineRule="auto"/>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一、本保函担保的金额为（大写）人民币</w:t>
      </w:r>
      <w:r>
        <w:rPr>
          <w:rFonts w:hint="eastAsia" w:ascii="楷体" w:hAnsi="楷体" w:eastAsia="楷体"/>
          <w:color w:val="auto"/>
          <w:sz w:val="24"/>
          <w:szCs w:val="24"/>
          <w:highlight w:val="none"/>
          <w:u w:val="single"/>
        </w:rPr>
        <w:t xml:space="preserve">    </w:t>
      </w:r>
      <w:r>
        <w:rPr>
          <w:rFonts w:hint="eastAsia" w:ascii="楷体" w:hAnsi="楷体" w:eastAsia="楷体"/>
          <w:color w:val="auto"/>
          <w:sz w:val="24"/>
          <w:szCs w:val="24"/>
          <w:highlight w:val="none"/>
        </w:rPr>
        <w:t>元（RMB</w:t>
      </w:r>
      <w:r>
        <w:rPr>
          <w:rFonts w:hint="eastAsia" w:ascii="楷体" w:hAnsi="楷体" w:eastAsia="楷体"/>
          <w:color w:val="auto"/>
          <w:sz w:val="24"/>
          <w:szCs w:val="24"/>
          <w:highlight w:val="none"/>
          <w:u w:val="single"/>
        </w:rPr>
        <w:t xml:space="preserve">   </w:t>
      </w:r>
      <w:r>
        <w:rPr>
          <w:rFonts w:hint="eastAsia" w:ascii="楷体" w:hAnsi="楷体" w:eastAsia="楷体"/>
          <w:color w:val="auto"/>
          <w:sz w:val="24"/>
          <w:szCs w:val="24"/>
          <w:highlight w:val="none"/>
        </w:rPr>
        <w:t>）。</w:t>
      </w:r>
    </w:p>
    <w:p>
      <w:pPr>
        <w:snapToGrid w:val="0"/>
        <w:spacing w:line="360" w:lineRule="auto"/>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二、本保函的有效期从签发之日起至合同的全部电梯竣工验收符合合同要求、取得电梯设备使用登记证且交付甲方使用后第30天止。本保函有效期即为本保函的担保期限。</w:t>
      </w:r>
    </w:p>
    <w:p>
      <w:pPr>
        <w:snapToGrid w:val="0"/>
        <w:spacing w:line="360" w:lineRule="auto"/>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三、本保函为</w:t>
      </w:r>
      <w:r>
        <w:rPr>
          <w:rFonts w:hint="eastAsia" w:ascii="楷体" w:hAnsi="楷体" w:eastAsia="楷体"/>
          <w:b/>
          <w:color w:val="auto"/>
          <w:sz w:val="24"/>
          <w:szCs w:val="24"/>
          <w:highlight w:val="none"/>
        </w:rPr>
        <w:t>见索即付</w:t>
      </w:r>
      <w:r>
        <w:rPr>
          <w:rFonts w:hint="eastAsia" w:ascii="楷体" w:hAnsi="楷体" w:eastAsia="楷体"/>
          <w:color w:val="auto"/>
          <w:sz w:val="24"/>
          <w:szCs w:val="24"/>
          <w:highlight w:val="none"/>
        </w:rPr>
        <w:t>保函，在本保函的担保期限内，我方将在收到受益人经法定代表人或其授权委托代理人签字并加盖公章的书面索赔通知原件后</w:t>
      </w:r>
      <w:r>
        <w:rPr>
          <w:rFonts w:hint="eastAsia" w:ascii="楷体" w:hAnsi="楷体" w:eastAsia="楷体"/>
          <w:color w:val="auto"/>
          <w:sz w:val="24"/>
          <w:szCs w:val="24"/>
          <w:highlight w:val="none"/>
          <w:u w:val="single"/>
        </w:rPr>
        <w:t xml:space="preserve">    </w:t>
      </w:r>
      <w:r>
        <w:rPr>
          <w:rFonts w:hint="eastAsia" w:ascii="楷体" w:hAnsi="楷体" w:eastAsia="楷体"/>
          <w:color w:val="auto"/>
          <w:sz w:val="24"/>
          <w:szCs w:val="24"/>
          <w:highlight w:val="none"/>
        </w:rPr>
        <w:t>个工作日内，</w:t>
      </w:r>
      <w:r>
        <w:rPr>
          <w:rFonts w:hint="eastAsia" w:ascii="楷体" w:hAnsi="楷体" w:eastAsia="楷体"/>
          <w:b/>
          <w:color w:val="auto"/>
          <w:sz w:val="24"/>
          <w:szCs w:val="24"/>
          <w:highlight w:val="none"/>
        </w:rPr>
        <w:t>不争辩、不挑剔、不可撤销</w:t>
      </w:r>
      <w:r>
        <w:rPr>
          <w:rFonts w:hint="eastAsia" w:ascii="楷体" w:hAnsi="楷体" w:eastAsia="楷体"/>
          <w:color w:val="auto"/>
          <w:sz w:val="24"/>
          <w:szCs w:val="24"/>
          <w:highlight w:val="none"/>
        </w:rPr>
        <w:t>地向受益人支付索赔款，直至本保函担保的最高金额。</w:t>
      </w:r>
      <w:r>
        <w:rPr>
          <w:rFonts w:hint="eastAsia" w:ascii="楷体" w:hAnsi="楷体" w:eastAsia="楷体"/>
          <w:b/>
          <w:color w:val="auto"/>
          <w:sz w:val="24"/>
          <w:szCs w:val="24"/>
          <w:highlight w:val="none"/>
        </w:rPr>
        <w:t>受益人出具的书面索赔通知书无需要求证明被担保人是否违约或索赔金额是否恰当</w:t>
      </w:r>
      <w:r>
        <w:rPr>
          <w:rFonts w:hint="eastAsia" w:ascii="楷体" w:hAnsi="楷体" w:eastAsia="楷体"/>
          <w:color w:val="auto"/>
          <w:sz w:val="24"/>
          <w:szCs w:val="24"/>
          <w:highlight w:val="none"/>
        </w:rPr>
        <w:t>。</w:t>
      </w:r>
    </w:p>
    <w:p>
      <w:pPr>
        <w:snapToGrid w:val="0"/>
        <w:spacing w:line="360" w:lineRule="auto"/>
        <w:ind w:firstLine="480" w:firstLineChars="200"/>
        <w:rPr>
          <w:rFonts w:ascii="楷体" w:hAnsi="楷体" w:eastAsia="楷体"/>
          <w:color w:val="auto"/>
          <w:sz w:val="24"/>
          <w:szCs w:val="24"/>
          <w:highlight w:val="none"/>
        </w:rPr>
      </w:pPr>
      <w:r>
        <w:rPr>
          <w:rFonts w:ascii="楷体" w:hAnsi="楷体" w:eastAsia="楷体"/>
          <w:color w:val="auto"/>
          <w:sz w:val="24"/>
          <w:szCs w:val="24"/>
          <w:highlight w:val="none"/>
        </w:rPr>
        <w:t>四</w:t>
      </w:r>
      <w:r>
        <w:rPr>
          <w:rFonts w:hint="eastAsia" w:ascii="楷体" w:hAnsi="楷体" w:eastAsia="楷体"/>
          <w:color w:val="auto"/>
          <w:sz w:val="24"/>
          <w:szCs w:val="24"/>
          <w:highlight w:val="none"/>
        </w:rPr>
        <w:t>、我方出具本保函后，</w:t>
      </w:r>
      <w:r>
        <w:rPr>
          <w:rFonts w:hint="eastAsia" w:ascii="楷体" w:hAnsi="楷体" w:eastAsia="楷体"/>
          <w:b/>
          <w:color w:val="auto"/>
          <w:sz w:val="24"/>
          <w:szCs w:val="24"/>
          <w:highlight w:val="none"/>
        </w:rPr>
        <w:t>受益人与被担保人对合同进行的任何修订，或受益人对合同有关事项的任何豁免或未追究皆不会解除或减轻我方于本保函担保项下的责任</w:t>
      </w:r>
      <w:r>
        <w:rPr>
          <w:rFonts w:hint="eastAsia" w:ascii="楷体" w:hAnsi="楷体" w:eastAsia="楷体"/>
          <w:color w:val="auto"/>
          <w:sz w:val="24"/>
          <w:szCs w:val="24"/>
          <w:highlight w:val="none"/>
        </w:rPr>
        <w:t>。</w:t>
      </w:r>
    </w:p>
    <w:p>
      <w:pPr>
        <w:snapToGrid w:val="0"/>
        <w:spacing w:line="360" w:lineRule="auto"/>
        <w:ind w:firstLine="480" w:firstLineChars="200"/>
        <w:rPr>
          <w:rFonts w:ascii="楷体" w:hAnsi="楷体" w:eastAsia="楷体"/>
          <w:color w:val="auto"/>
          <w:sz w:val="24"/>
          <w:szCs w:val="24"/>
          <w:highlight w:val="none"/>
        </w:rPr>
      </w:pPr>
      <w:r>
        <w:rPr>
          <w:rFonts w:ascii="楷体" w:hAnsi="楷体" w:eastAsia="楷体"/>
          <w:color w:val="auto"/>
          <w:sz w:val="24"/>
          <w:szCs w:val="24"/>
          <w:highlight w:val="none"/>
        </w:rPr>
        <w:t>五</w:t>
      </w:r>
      <w:r>
        <w:rPr>
          <w:rFonts w:hint="eastAsia" w:ascii="楷体" w:hAnsi="楷体" w:eastAsia="楷体"/>
          <w:color w:val="auto"/>
          <w:sz w:val="24"/>
          <w:szCs w:val="24"/>
          <w:highlight w:val="none"/>
        </w:rPr>
        <w:t>、本保函有效期届满，或我方向受益人支付索赔款已达本保函担保的最高金额，我方的担保责任免除，以两者中较早发生者为准。本保函到期后无论本保函原件是否退还我方，本保函到期即自动失效。</w:t>
      </w:r>
    </w:p>
    <w:p>
      <w:pPr>
        <w:snapToGrid w:val="0"/>
        <w:spacing w:line="360" w:lineRule="auto"/>
        <w:ind w:firstLine="480" w:firstLineChars="200"/>
        <w:rPr>
          <w:rFonts w:ascii="楷体" w:hAnsi="楷体" w:eastAsia="楷体"/>
          <w:color w:val="auto"/>
          <w:sz w:val="24"/>
          <w:szCs w:val="24"/>
          <w:highlight w:val="none"/>
        </w:rPr>
      </w:pPr>
      <w:r>
        <w:rPr>
          <w:rFonts w:ascii="楷体" w:hAnsi="楷体" w:eastAsia="楷体"/>
          <w:color w:val="auto"/>
          <w:sz w:val="24"/>
          <w:szCs w:val="24"/>
          <w:highlight w:val="none"/>
        </w:rPr>
        <w:t>六</w:t>
      </w:r>
      <w:r>
        <w:rPr>
          <w:rFonts w:hint="eastAsia" w:ascii="楷体" w:hAnsi="楷体" w:eastAsia="楷体"/>
          <w:color w:val="auto"/>
          <w:sz w:val="24"/>
          <w:szCs w:val="24"/>
          <w:highlight w:val="none"/>
        </w:rPr>
        <w:t>、本保函对我方及我方继受人有不可撤销的约束力，我方自愿作出上述承诺，并清楚了解本保函法律含义。</w:t>
      </w:r>
    </w:p>
    <w:p>
      <w:pPr>
        <w:snapToGrid w:val="0"/>
        <w:spacing w:line="360" w:lineRule="auto"/>
        <w:ind w:firstLine="480" w:firstLineChars="200"/>
        <w:rPr>
          <w:rFonts w:ascii="楷体" w:hAnsi="楷体" w:eastAsia="楷体"/>
          <w:color w:val="auto"/>
          <w:sz w:val="24"/>
          <w:szCs w:val="24"/>
          <w:highlight w:val="none"/>
        </w:rPr>
      </w:pPr>
      <w:r>
        <w:rPr>
          <w:rFonts w:ascii="楷体" w:hAnsi="楷体" w:eastAsia="楷体"/>
          <w:color w:val="auto"/>
          <w:sz w:val="24"/>
          <w:szCs w:val="24"/>
          <w:highlight w:val="none"/>
        </w:rPr>
        <w:t>七</w:t>
      </w:r>
      <w:r>
        <w:rPr>
          <w:rFonts w:hint="eastAsia" w:ascii="楷体" w:hAnsi="楷体" w:eastAsia="楷体"/>
          <w:color w:val="auto"/>
          <w:sz w:val="24"/>
          <w:szCs w:val="24"/>
          <w:highlight w:val="none"/>
        </w:rPr>
        <w:t>、本保函担保项下的权利不得转让或出让，但可由受益人之继承人或其受让人继承。</w:t>
      </w:r>
    </w:p>
    <w:p>
      <w:pPr>
        <w:snapToGrid w:val="0"/>
        <w:spacing w:line="360" w:lineRule="auto"/>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八、受益人提出索赔的，应按以下通讯信息向我方发出书面通知：</w:t>
      </w:r>
    </w:p>
    <w:p>
      <w:pPr>
        <w:snapToGrid w:val="0"/>
        <w:spacing w:line="360" w:lineRule="auto"/>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收件人：</w:t>
      </w:r>
    </w:p>
    <w:p>
      <w:pPr>
        <w:snapToGrid w:val="0"/>
        <w:spacing w:line="360" w:lineRule="auto"/>
        <w:ind w:firstLine="480" w:firstLineChars="200"/>
        <w:rPr>
          <w:rFonts w:ascii="楷体" w:hAnsi="楷体" w:eastAsia="楷体"/>
          <w:color w:val="auto"/>
          <w:sz w:val="24"/>
          <w:szCs w:val="24"/>
          <w:highlight w:val="none"/>
        </w:rPr>
      </w:pPr>
      <w:r>
        <w:rPr>
          <w:rFonts w:ascii="楷体" w:hAnsi="楷体" w:eastAsia="楷体"/>
          <w:color w:val="auto"/>
          <w:sz w:val="24"/>
          <w:szCs w:val="24"/>
          <w:highlight w:val="none"/>
        </w:rPr>
        <w:t>通讯地址：</w:t>
      </w:r>
    </w:p>
    <w:p>
      <w:pPr>
        <w:snapToGrid w:val="0"/>
        <w:spacing w:line="360" w:lineRule="auto"/>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联系电话</w:t>
      </w:r>
      <w:r>
        <w:rPr>
          <w:rFonts w:ascii="楷体" w:hAnsi="楷体" w:eastAsia="楷体"/>
          <w:color w:val="auto"/>
          <w:sz w:val="24"/>
          <w:szCs w:val="24"/>
          <w:highlight w:val="none"/>
        </w:rPr>
        <w:t>：</w:t>
      </w:r>
    </w:p>
    <w:p>
      <w:pPr>
        <w:snapToGrid w:val="0"/>
        <w:spacing w:line="360" w:lineRule="auto"/>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索赔通知如果通过专人送达，该通知在接收时即视为已经送达；如果通过信函邮寄方式送达，该通知在发出之日后【三】个工作日即视为已经送达。</w:t>
      </w:r>
    </w:p>
    <w:p>
      <w:pPr>
        <w:snapToGrid w:val="0"/>
        <w:spacing w:line="360" w:lineRule="auto"/>
        <w:ind w:firstLine="480" w:firstLineChars="200"/>
        <w:rPr>
          <w:rFonts w:ascii="楷体" w:hAnsi="楷体" w:eastAsia="楷体"/>
          <w:color w:val="auto"/>
          <w:sz w:val="24"/>
          <w:szCs w:val="24"/>
          <w:highlight w:val="none"/>
        </w:rPr>
      </w:pPr>
      <w:r>
        <w:rPr>
          <w:rFonts w:ascii="楷体" w:hAnsi="楷体" w:eastAsia="楷体"/>
          <w:color w:val="auto"/>
          <w:sz w:val="24"/>
          <w:szCs w:val="24"/>
          <w:highlight w:val="none"/>
        </w:rPr>
        <w:t>九</w:t>
      </w:r>
      <w:r>
        <w:rPr>
          <w:rFonts w:hint="eastAsia" w:ascii="楷体" w:hAnsi="楷体" w:eastAsia="楷体"/>
          <w:color w:val="auto"/>
          <w:sz w:val="24"/>
          <w:szCs w:val="24"/>
          <w:highlight w:val="none"/>
        </w:rPr>
        <w:t>、本保函适用中华人民共和国法律法规。</w:t>
      </w:r>
    </w:p>
    <w:p>
      <w:pPr>
        <w:pStyle w:val="9"/>
        <w:snapToGrid w:val="0"/>
        <w:spacing w:after="0" w:line="360" w:lineRule="auto"/>
        <w:ind w:left="0" w:leftChars="0"/>
        <w:outlineLvl w:val="0"/>
        <w:rPr>
          <w:rFonts w:ascii="楷体" w:hAnsi="楷体" w:eastAsia="楷体"/>
          <w:color w:val="auto"/>
          <w:sz w:val="24"/>
          <w:szCs w:val="24"/>
          <w:highlight w:val="none"/>
        </w:rPr>
      </w:pPr>
      <w:bookmarkStart w:id="39" w:name="_Toc126961345"/>
      <w:r>
        <w:rPr>
          <w:rFonts w:hint="eastAsia" w:ascii="楷体" w:hAnsi="楷体" w:eastAsia="楷体"/>
          <w:color w:val="auto"/>
          <w:sz w:val="24"/>
          <w:szCs w:val="24"/>
          <w:highlight w:val="none"/>
        </w:rPr>
        <w:t>出具银行：</w:t>
      </w:r>
      <w:bookmarkEnd w:id="39"/>
    </w:p>
    <w:p>
      <w:pPr>
        <w:pStyle w:val="9"/>
        <w:snapToGrid w:val="0"/>
        <w:spacing w:after="0" w:line="360" w:lineRule="auto"/>
        <w:ind w:left="0" w:leftChars="0"/>
        <w:outlineLvl w:val="0"/>
        <w:rPr>
          <w:rFonts w:ascii="楷体" w:hAnsi="楷体" w:eastAsia="楷体"/>
          <w:color w:val="auto"/>
          <w:sz w:val="24"/>
          <w:szCs w:val="24"/>
          <w:highlight w:val="none"/>
        </w:rPr>
      </w:pPr>
    </w:p>
    <w:p>
      <w:pPr>
        <w:pStyle w:val="9"/>
        <w:snapToGrid w:val="0"/>
        <w:spacing w:after="0" w:line="360" w:lineRule="auto"/>
        <w:ind w:left="0" w:leftChars="0"/>
        <w:outlineLvl w:val="0"/>
        <w:rPr>
          <w:rStyle w:val="32"/>
          <w:color w:val="auto"/>
          <w:highlight w:val="none"/>
        </w:rPr>
        <w:sectPr>
          <w:pgSz w:w="11906" w:h="16838"/>
          <w:pgMar w:top="1440" w:right="1418" w:bottom="1440" w:left="1418" w:header="851" w:footer="992" w:gutter="0"/>
          <w:cols w:space="720" w:num="1"/>
          <w:titlePg/>
          <w:docGrid w:type="lines" w:linePitch="462" w:charSpace="0"/>
        </w:sectPr>
      </w:pPr>
      <w:bookmarkStart w:id="40" w:name="_Toc126961346"/>
      <w:r>
        <w:rPr>
          <w:rFonts w:hint="eastAsia" w:ascii="楷体" w:hAnsi="楷体" w:eastAsia="楷体"/>
          <w:color w:val="auto"/>
          <w:sz w:val="24"/>
          <w:szCs w:val="24"/>
          <w:highlight w:val="none"/>
        </w:rPr>
        <w:t>【备注要求：根据中国人民银行、银保监会发布的我国系统重要性银行名单，系统重要性银行包括 6 家国有商业银行、9家股份制商业银行和 4家城市商业银行，按系统重要性得分从低到高分为四组：第一组：平安银行、中国光大银行、华夏银行、广发银行、宁波银行、上海银行、江苏银行、北京银行；第二组：浦发银行、中信银行、中国民生银行、中国邮政储蓄银行；第三组：交通银行、招商银行、兴业银行；第四组：中国工商银行、中国银行、中国建设银行、中国农业银行。】</w:t>
      </w:r>
      <w:bookmarkEnd w:id="40"/>
      <w:r>
        <w:rPr>
          <w:rFonts w:hint="eastAsia" w:ascii="华文仿宋" w:hAnsi="华文仿宋" w:eastAsia="华文仿宋"/>
          <w:color w:val="auto"/>
          <w:sz w:val="28"/>
          <w:szCs w:val="28"/>
          <w:highlight w:val="none"/>
        </w:rPr>
        <w:t xml:space="preserve"> </w:t>
      </w:r>
      <w:r>
        <w:rPr>
          <w:rFonts w:ascii="仿宋" w:hAnsi="仿宋" w:eastAsia="仿宋"/>
          <w:b/>
          <w:color w:val="auto"/>
          <w:sz w:val="21"/>
          <w:szCs w:val="21"/>
          <w:highlight w:val="none"/>
        </w:rPr>
        <w:br w:type="page"/>
      </w:r>
    </w:p>
    <w:p>
      <w:pPr>
        <w:snapToGrid w:val="0"/>
        <w:spacing w:line="360" w:lineRule="auto"/>
        <w:outlineLvl w:val="0"/>
        <w:rPr>
          <w:rFonts w:ascii="仿宋" w:hAnsi="仿宋" w:eastAsia="仿宋"/>
          <w:b/>
          <w:color w:val="auto"/>
          <w:sz w:val="21"/>
          <w:szCs w:val="21"/>
          <w:highlight w:val="none"/>
        </w:rPr>
      </w:pPr>
      <w:bookmarkStart w:id="41" w:name="_Toc126961347"/>
      <w:bookmarkStart w:id="42" w:name="_Toc529971250"/>
      <w:r>
        <w:rPr>
          <w:rFonts w:hint="eastAsia" w:ascii="仿宋" w:hAnsi="仿宋" w:eastAsia="仿宋"/>
          <w:b/>
          <w:color w:val="auto"/>
          <w:sz w:val="21"/>
          <w:szCs w:val="21"/>
          <w:highlight w:val="none"/>
        </w:rPr>
        <w:t>附件七：预付款保函（样式）</w:t>
      </w:r>
      <w:bookmarkEnd w:id="41"/>
      <w:bookmarkEnd w:id="42"/>
    </w:p>
    <w:p>
      <w:pPr>
        <w:pStyle w:val="9"/>
        <w:snapToGrid w:val="0"/>
        <w:spacing w:before="231" w:beforeLines="50" w:after="231" w:afterLines="50" w:line="360" w:lineRule="auto"/>
        <w:ind w:left="0" w:leftChars="0" w:firstLine="641"/>
        <w:jc w:val="center"/>
        <w:rPr>
          <w:rFonts w:ascii="楷体_GB2312" w:hAnsi="宋体" w:eastAsia="楷体_GB2312"/>
          <w:b/>
          <w:color w:val="auto"/>
          <w:sz w:val="32"/>
          <w:szCs w:val="32"/>
          <w:highlight w:val="none"/>
        </w:rPr>
      </w:pPr>
      <w:r>
        <w:rPr>
          <w:rFonts w:hint="eastAsia" w:ascii="楷体_GB2312" w:hAnsi="宋体" w:eastAsia="楷体_GB2312"/>
          <w:b/>
          <w:color w:val="auto"/>
          <w:sz w:val="32"/>
          <w:szCs w:val="32"/>
          <w:highlight w:val="none"/>
        </w:rPr>
        <w:t>预付款银行保函（样式）</w:t>
      </w:r>
    </w:p>
    <w:p>
      <w:pPr>
        <w:pStyle w:val="9"/>
        <w:snapToGrid w:val="0"/>
        <w:spacing w:after="0" w:line="360" w:lineRule="auto"/>
        <w:ind w:left="0" w:leftChars="0"/>
        <w:rPr>
          <w:rFonts w:ascii="楷体_GB2312" w:hAnsi="宋体" w:eastAsia="楷体_GB2312"/>
          <w:color w:val="auto"/>
          <w:sz w:val="24"/>
          <w:szCs w:val="24"/>
          <w:highlight w:val="none"/>
        </w:rPr>
      </w:pPr>
      <w:r>
        <w:rPr>
          <w:rFonts w:hint="eastAsia" w:ascii="楷体_GB2312" w:hAnsi="宋体" w:eastAsia="楷体_GB2312"/>
          <w:color w:val="auto"/>
          <w:sz w:val="24"/>
          <w:szCs w:val="24"/>
          <w:highlight w:val="none"/>
        </w:rPr>
        <w:t>致:佛山粤海置地发展有限公司</w:t>
      </w:r>
    </w:p>
    <w:p>
      <w:pPr>
        <w:pStyle w:val="9"/>
        <w:snapToGrid w:val="0"/>
        <w:spacing w:after="0" w:line="360" w:lineRule="auto"/>
        <w:ind w:left="0" w:leftChars="0" w:firstLine="480" w:firstLineChars="200"/>
        <w:rPr>
          <w:rFonts w:ascii="楷体_GB2312" w:hAnsi="宋体" w:eastAsia="楷体_GB2312"/>
          <w:color w:val="auto"/>
          <w:sz w:val="24"/>
          <w:szCs w:val="24"/>
          <w:highlight w:val="none"/>
        </w:rPr>
      </w:pPr>
      <w:r>
        <w:rPr>
          <w:rFonts w:hint="eastAsia" w:ascii="楷体_GB2312" w:hAnsi="宋体" w:eastAsia="楷体_GB2312"/>
          <w:color w:val="auto"/>
          <w:sz w:val="24"/>
          <w:szCs w:val="24"/>
          <w:highlight w:val="none"/>
        </w:rPr>
        <w:t>根据</w:t>
      </w:r>
      <w:r>
        <w:rPr>
          <w:rFonts w:hint="eastAsia" w:ascii="楷体_GB2312" w:hAnsi="宋体" w:eastAsia="楷体_GB2312"/>
          <w:color w:val="auto"/>
          <w:sz w:val="24"/>
          <w:szCs w:val="24"/>
          <w:highlight w:val="none"/>
          <w:u w:val="single"/>
        </w:rPr>
        <w:t xml:space="preserve">       </w:t>
      </w:r>
      <w:r>
        <w:rPr>
          <w:rFonts w:hint="eastAsia" w:ascii="楷体_GB2312" w:hAnsi="宋体" w:eastAsia="楷体_GB2312"/>
          <w:color w:val="auto"/>
          <w:sz w:val="24"/>
          <w:szCs w:val="24"/>
          <w:highlight w:val="none"/>
        </w:rPr>
        <w:t>(以下简称"乙方")与佛山粤海置地发展有限公司(以下简称"甲方")签订的粤海</w:t>
      </w:r>
      <w:r>
        <w:rPr>
          <w:rFonts w:hint="eastAsia" w:ascii="楷体" w:hAnsi="楷体" w:eastAsia="楷体"/>
          <w:color w:val="auto"/>
          <w:sz w:val="24"/>
          <w:szCs w:val="24"/>
          <w:highlight w:val="none"/>
        </w:rPr>
        <w:t>·</w:t>
      </w:r>
      <w:r>
        <w:rPr>
          <w:rFonts w:hint="eastAsia" w:ascii="楷体_GB2312" w:hAnsi="宋体" w:eastAsia="楷体_GB2312"/>
          <w:color w:val="auto"/>
          <w:sz w:val="24"/>
          <w:szCs w:val="24"/>
          <w:highlight w:val="none"/>
        </w:rPr>
        <w:t>佛山季华项目电梯设备供货合同条款相关的规定,乙方按规定的金额提交一份预付款银行保函(以下简称"保函")作为担保,乙方即有权得到甲方支付的一笔相等金额的款项。我行愿意出具保函为乙方担保,担保金额累计总额不超过人民币(大写)   元(￥   元)。</w:t>
      </w:r>
    </w:p>
    <w:p>
      <w:pPr>
        <w:pStyle w:val="9"/>
        <w:snapToGrid w:val="0"/>
        <w:spacing w:after="0" w:line="360" w:lineRule="auto"/>
        <w:ind w:left="0" w:leftChars="0" w:firstLine="480" w:firstLineChars="200"/>
        <w:rPr>
          <w:rFonts w:ascii="楷体_GB2312" w:hAnsi="宋体" w:eastAsia="楷体_GB2312"/>
          <w:color w:val="auto"/>
          <w:sz w:val="24"/>
          <w:szCs w:val="24"/>
          <w:highlight w:val="none"/>
        </w:rPr>
      </w:pPr>
      <w:r>
        <w:rPr>
          <w:rFonts w:hint="eastAsia" w:ascii="楷体_GB2312" w:hAnsi="宋体" w:eastAsia="楷体_GB2312"/>
          <w:color w:val="auto"/>
          <w:sz w:val="24"/>
          <w:szCs w:val="24"/>
          <w:highlight w:val="none"/>
        </w:rPr>
        <w:t>本保函的义务是：我行在接到甲方提出的因乙方未能履行合同规定的义务而要求收回预收款的由甲方加盖公章及法人代表签章的书面索赔通知书正本纸质原件和保函正本纸质原件后的5个工作日内,将向甲方支付该款项,无须乙方出具证明或陈述理由。</w:t>
      </w:r>
    </w:p>
    <w:p>
      <w:pPr>
        <w:pStyle w:val="9"/>
        <w:snapToGrid w:val="0"/>
        <w:spacing w:after="0" w:line="360" w:lineRule="auto"/>
        <w:ind w:left="0" w:leftChars="0" w:firstLine="480" w:firstLineChars="200"/>
        <w:rPr>
          <w:rFonts w:ascii="楷体_GB2312" w:hAnsi="宋体" w:eastAsia="楷体_GB2312"/>
          <w:color w:val="auto"/>
          <w:sz w:val="24"/>
          <w:szCs w:val="24"/>
          <w:highlight w:val="none"/>
        </w:rPr>
      </w:pPr>
      <w:r>
        <w:rPr>
          <w:rFonts w:hint="eastAsia" w:ascii="楷体_GB2312" w:hAnsi="宋体" w:eastAsia="楷体_GB2312"/>
          <w:color w:val="auto"/>
          <w:sz w:val="24"/>
          <w:szCs w:val="24"/>
          <w:highlight w:val="none"/>
        </w:rPr>
        <w:t>在向我行提出要求前,我行将不坚持要求乙方应首先向甲方索还上述款项。我们还同意,任何对合同条款所作的修改或补充都不能免除我行按本保函所应承担的义务。</w:t>
      </w:r>
    </w:p>
    <w:p>
      <w:pPr>
        <w:pStyle w:val="9"/>
        <w:snapToGrid w:val="0"/>
        <w:spacing w:after="0" w:line="360" w:lineRule="auto"/>
        <w:ind w:left="0" w:leftChars="0" w:firstLine="480" w:firstLineChars="200"/>
        <w:rPr>
          <w:rFonts w:ascii="楷体_GB2312" w:hAnsi="宋体" w:eastAsia="楷体_GB2312"/>
          <w:color w:val="auto"/>
          <w:sz w:val="24"/>
          <w:szCs w:val="24"/>
          <w:highlight w:val="none"/>
        </w:rPr>
      </w:pPr>
      <w:r>
        <w:rPr>
          <w:rFonts w:hint="eastAsia" w:ascii="楷体_GB2312" w:hAnsi="宋体" w:eastAsia="楷体_GB2312"/>
          <w:color w:val="auto"/>
          <w:sz w:val="24"/>
          <w:szCs w:val="24"/>
          <w:highlight w:val="none"/>
        </w:rPr>
        <w:t>本保函自乙方收到合同项下××××货款之日起（以甲方银行账户成功支付划出款项之日为准）生效,有效期在收到甲方及其聘请的监理单位发出的检验合格书面确认函30个工作日后止,但无论如何不超过××年×月×日（以下简称“到期日”），到期日后将原件退回我行。</w:t>
      </w:r>
    </w:p>
    <w:p>
      <w:pPr>
        <w:pStyle w:val="9"/>
        <w:snapToGrid w:val="0"/>
        <w:spacing w:after="0" w:line="360" w:lineRule="auto"/>
        <w:ind w:left="0" w:leftChars="0" w:firstLine="480" w:firstLineChars="200"/>
        <w:rPr>
          <w:rFonts w:ascii="楷体_GB2312" w:hAnsi="宋体" w:eastAsia="楷体_GB2312"/>
          <w:color w:val="auto"/>
          <w:sz w:val="24"/>
          <w:szCs w:val="24"/>
          <w:highlight w:val="none"/>
        </w:rPr>
      </w:pPr>
      <w:r>
        <w:rPr>
          <w:rFonts w:hint="eastAsia" w:ascii="楷体_GB2312" w:hAnsi="宋体" w:eastAsia="楷体_GB2312"/>
          <w:color w:val="auto"/>
          <w:sz w:val="24"/>
          <w:szCs w:val="24"/>
          <w:highlight w:val="none"/>
        </w:rPr>
        <w:t>本保函不得转让，以甲方为唯一受益人。</w:t>
      </w:r>
    </w:p>
    <w:p>
      <w:pPr>
        <w:pStyle w:val="9"/>
        <w:snapToGrid w:val="0"/>
        <w:spacing w:line="360" w:lineRule="auto"/>
        <w:ind w:left="680" w:firstLine="480" w:firstLineChars="200"/>
        <w:rPr>
          <w:rFonts w:ascii="楷体_GB2312" w:hAnsi="宋体" w:eastAsia="楷体_GB2312"/>
          <w:color w:val="auto"/>
          <w:sz w:val="24"/>
          <w:szCs w:val="24"/>
          <w:highlight w:val="none"/>
        </w:rPr>
      </w:pPr>
      <w:r>
        <w:rPr>
          <w:rFonts w:ascii="楷体_GB2312" w:hAnsi="宋体" w:eastAsia="楷体_GB2312"/>
          <w:color w:val="auto"/>
          <w:sz w:val="24"/>
          <w:szCs w:val="24"/>
          <w:highlight w:val="none"/>
        </w:rPr>
        <w:t xml:space="preserve">   </w:t>
      </w:r>
    </w:p>
    <w:p>
      <w:pPr>
        <w:pStyle w:val="9"/>
        <w:snapToGrid w:val="0"/>
        <w:spacing w:line="360" w:lineRule="auto"/>
        <w:ind w:left="0" w:leftChars="0" w:firstLine="480" w:firstLineChars="200"/>
        <w:rPr>
          <w:rFonts w:ascii="楷体_GB2312" w:hAnsi="宋体" w:eastAsia="楷体_GB2312"/>
          <w:color w:val="auto"/>
          <w:sz w:val="24"/>
          <w:szCs w:val="24"/>
          <w:highlight w:val="none"/>
        </w:rPr>
      </w:pPr>
      <w:r>
        <w:rPr>
          <w:rFonts w:hint="eastAsia" w:ascii="楷体_GB2312" w:hAnsi="宋体" w:eastAsia="楷体_GB2312"/>
          <w:color w:val="auto"/>
          <w:sz w:val="24"/>
          <w:szCs w:val="24"/>
          <w:highlight w:val="none"/>
        </w:rPr>
        <w:t>担保银行:(银行全称)(盖章)</w:t>
      </w:r>
    </w:p>
    <w:p>
      <w:pPr>
        <w:pStyle w:val="9"/>
        <w:snapToGrid w:val="0"/>
        <w:spacing w:line="360" w:lineRule="auto"/>
        <w:ind w:left="0" w:leftChars="0" w:firstLine="480" w:firstLineChars="200"/>
        <w:rPr>
          <w:rFonts w:ascii="楷体_GB2312" w:hAnsi="宋体" w:eastAsia="楷体_GB2312"/>
          <w:color w:val="auto"/>
          <w:sz w:val="24"/>
          <w:szCs w:val="24"/>
          <w:highlight w:val="none"/>
        </w:rPr>
      </w:pPr>
      <w:r>
        <w:rPr>
          <w:rFonts w:hint="eastAsia" w:ascii="楷体_GB2312" w:hAnsi="宋体" w:eastAsia="楷体_GB2312"/>
          <w:color w:val="auto"/>
          <w:sz w:val="24"/>
          <w:szCs w:val="24"/>
          <w:highlight w:val="none"/>
        </w:rPr>
        <w:t>法定代表人或其授权的代理人:(职务)(姓名)(签字)</w:t>
      </w:r>
    </w:p>
    <w:p>
      <w:pPr>
        <w:pStyle w:val="9"/>
        <w:snapToGrid w:val="0"/>
        <w:spacing w:after="0" w:line="360" w:lineRule="auto"/>
        <w:ind w:left="0" w:leftChars="0" w:firstLine="480" w:firstLineChars="200"/>
        <w:rPr>
          <w:rFonts w:ascii="楷体_GB2312" w:hAnsi="宋体" w:eastAsia="楷体_GB2312"/>
          <w:color w:val="auto"/>
          <w:sz w:val="24"/>
          <w:szCs w:val="24"/>
          <w:highlight w:val="none"/>
        </w:rPr>
      </w:pPr>
      <w:r>
        <w:rPr>
          <w:rFonts w:hint="eastAsia" w:ascii="楷体_GB2312" w:hAnsi="宋体" w:eastAsia="楷体_GB2312"/>
          <w:color w:val="auto"/>
          <w:sz w:val="24"/>
          <w:szCs w:val="24"/>
          <w:highlight w:val="none"/>
        </w:rPr>
        <w:t xml:space="preserve">    年   月   日</w:t>
      </w:r>
    </w:p>
    <w:p>
      <w:pPr>
        <w:pStyle w:val="9"/>
        <w:snapToGrid w:val="0"/>
        <w:spacing w:after="0" w:line="360" w:lineRule="auto"/>
        <w:ind w:left="0" w:leftChars="0" w:firstLine="480" w:firstLineChars="200"/>
        <w:rPr>
          <w:rFonts w:ascii="楷体_GB2312" w:hAnsi="宋体" w:eastAsia="楷体_GB2312"/>
          <w:color w:val="auto"/>
          <w:sz w:val="24"/>
          <w:szCs w:val="24"/>
          <w:highlight w:val="none"/>
        </w:rPr>
      </w:pPr>
    </w:p>
    <w:p>
      <w:pPr>
        <w:pStyle w:val="9"/>
        <w:snapToGrid w:val="0"/>
        <w:spacing w:after="0" w:line="360" w:lineRule="auto"/>
        <w:ind w:left="0" w:leftChars="0" w:firstLine="480" w:firstLineChars="200"/>
        <w:rPr>
          <w:rStyle w:val="32"/>
          <w:rFonts w:ascii="仿宋" w:hAnsi="仿宋" w:eastAsia="仿宋"/>
          <w:color w:val="auto"/>
          <w:sz w:val="21"/>
          <w:szCs w:val="21"/>
          <w:highlight w:val="none"/>
        </w:rPr>
      </w:pPr>
      <w:r>
        <w:rPr>
          <w:rFonts w:hint="eastAsia" w:ascii="楷体_GB2312" w:hAnsi="宋体" w:eastAsia="楷体_GB2312"/>
          <w:color w:val="auto"/>
          <w:sz w:val="24"/>
          <w:szCs w:val="24"/>
          <w:highlight w:val="none"/>
        </w:rPr>
        <w:t>【备注要求：根据中国人民银行、银保监会发布的我国系统重要性银行名单，系统重要性银行包括 6 家国有商业银行、9家股份制商业银行和 4家城市商业银行，按系统重要性得分从低到高分为四组：第一组：平安银行、中国光大银行、华夏银行、广发银行、宁波银行、上海银行、江苏银行、北京银行；第二组：浦发银行、中信银行、中国民生银行、中国邮政储蓄银行；第三组：交通银行、招商银行、兴业银行；第四组：中国工商银行、中国银行、中国建设银行、中国农业银行。】</w:t>
      </w:r>
      <w:r>
        <w:rPr>
          <w:rStyle w:val="32"/>
          <w:rFonts w:ascii="仿宋" w:hAnsi="仿宋" w:eastAsia="仿宋"/>
          <w:color w:val="auto"/>
          <w:sz w:val="21"/>
          <w:szCs w:val="21"/>
          <w:highlight w:val="none"/>
        </w:rPr>
        <w:br w:type="page"/>
      </w:r>
    </w:p>
    <w:p>
      <w:pPr>
        <w:pStyle w:val="9"/>
        <w:snapToGrid w:val="0"/>
        <w:spacing w:after="0" w:line="360" w:lineRule="auto"/>
        <w:ind w:left="0" w:leftChars="0"/>
        <w:outlineLvl w:val="0"/>
        <w:rPr>
          <w:rFonts w:ascii="仿宋" w:hAnsi="仿宋" w:eastAsia="仿宋"/>
          <w:b/>
          <w:color w:val="auto"/>
          <w:sz w:val="21"/>
          <w:szCs w:val="21"/>
          <w:highlight w:val="none"/>
        </w:rPr>
      </w:pPr>
      <w:bookmarkStart w:id="43" w:name="_Toc126961349"/>
      <w:r>
        <w:rPr>
          <w:rStyle w:val="32"/>
          <w:rFonts w:hint="eastAsia" w:ascii="仿宋" w:hAnsi="仿宋" w:eastAsia="仿宋"/>
          <w:color w:val="auto"/>
          <w:sz w:val="21"/>
          <w:szCs w:val="21"/>
          <w:highlight w:val="none"/>
        </w:rPr>
        <w:t>附件八：质量保修书</w:t>
      </w:r>
      <w:bookmarkEnd w:id="43"/>
    </w:p>
    <w:p>
      <w:pPr>
        <w:pStyle w:val="31"/>
        <w:spacing w:before="231"/>
        <w:jc w:val="center"/>
        <w:rPr>
          <w:b/>
          <w:color w:val="auto"/>
          <w:sz w:val="32"/>
          <w:highlight w:val="none"/>
        </w:rPr>
      </w:pPr>
      <w:r>
        <w:rPr>
          <w:rFonts w:hint="eastAsia"/>
          <w:b/>
          <w:color w:val="auto"/>
          <w:sz w:val="32"/>
          <w:highlight w:val="none"/>
        </w:rPr>
        <w:t>质量保修书</w:t>
      </w:r>
    </w:p>
    <w:p>
      <w:pPr>
        <w:pStyle w:val="31"/>
        <w:spacing w:before="0" w:beforeLines="0"/>
        <w:ind w:firstLine="480" w:firstLineChars="200"/>
        <w:rPr>
          <w:color w:val="auto"/>
          <w:highlight w:val="none"/>
        </w:rPr>
      </w:pPr>
      <w:r>
        <w:rPr>
          <w:rFonts w:hint="eastAsia"/>
          <w:color w:val="auto"/>
          <w:highlight w:val="none"/>
        </w:rPr>
        <w:t>为保证</w:t>
      </w:r>
      <w:r>
        <w:rPr>
          <w:rFonts w:hint="eastAsia"/>
          <w:color w:val="auto"/>
          <w:highlight w:val="none"/>
          <w:u w:val="single"/>
        </w:rPr>
        <w:t>佛山季华项目电梯供货</w:t>
      </w:r>
      <w:r>
        <w:rPr>
          <w:rFonts w:hint="eastAsia"/>
          <w:color w:val="auto"/>
          <w:highlight w:val="none"/>
        </w:rPr>
        <w:t>在国家规定的使用期限内正常使用，甲、乙双方一致同意签订此质量保修书。乙方在质量保修期内承担电梯设备质量保修责任。</w:t>
      </w:r>
    </w:p>
    <w:p>
      <w:pPr>
        <w:pStyle w:val="31"/>
        <w:spacing w:before="0" w:beforeLines="0"/>
        <w:ind w:firstLine="482" w:firstLineChars="200"/>
        <w:rPr>
          <w:color w:val="auto"/>
          <w:highlight w:val="none"/>
        </w:rPr>
      </w:pPr>
      <w:r>
        <w:rPr>
          <w:rFonts w:hint="eastAsia"/>
          <w:b/>
          <w:color w:val="auto"/>
          <w:highlight w:val="none"/>
        </w:rPr>
        <w:t>一、质量保修范围和内容</w:t>
      </w:r>
    </w:p>
    <w:p>
      <w:pPr>
        <w:pStyle w:val="31"/>
        <w:spacing w:before="0" w:beforeLines="0"/>
        <w:ind w:firstLine="480" w:firstLineChars="200"/>
        <w:rPr>
          <w:b/>
          <w:color w:val="auto"/>
          <w:highlight w:val="none"/>
        </w:rPr>
      </w:pPr>
      <w:r>
        <w:rPr>
          <w:rFonts w:hint="eastAsia"/>
          <w:color w:val="auto"/>
          <w:highlight w:val="none"/>
        </w:rPr>
        <w:t>乙方在质量保修期内，应按法律、法规、国家关于质量保修的有关规定及《</w:t>
      </w:r>
      <w:r>
        <w:rPr>
          <w:rFonts w:hint="eastAsia"/>
          <w:color w:val="auto"/>
          <w:highlight w:val="none"/>
          <w:u w:val="single"/>
        </w:rPr>
        <w:t>佛山季华项目电梯供货</w:t>
      </w:r>
      <w:r>
        <w:rPr>
          <w:rFonts w:hint="eastAsia"/>
          <w:color w:val="auto"/>
          <w:highlight w:val="none"/>
        </w:rPr>
        <w:t>合同》，对交付甲方使用的电梯设备承担质量保修责任及其他质量责任。</w:t>
      </w:r>
    </w:p>
    <w:p>
      <w:pPr>
        <w:pStyle w:val="31"/>
        <w:spacing w:before="0" w:beforeLines="0"/>
        <w:ind w:firstLine="482" w:firstLineChars="200"/>
        <w:rPr>
          <w:color w:val="auto"/>
          <w:highlight w:val="none"/>
        </w:rPr>
      </w:pPr>
      <w:r>
        <w:rPr>
          <w:rFonts w:hint="eastAsia"/>
          <w:b/>
          <w:color w:val="auto"/>
          <w:highlight w:val="none"/>
        </w:rPr>
        <w:t>二、质量保修期</w:t>
      </w:r>
    </w:p>
    <w:p>
      <w:pPr>
        <w:pStyle w:val="31"/>
        <w:spacing w:before="0" w:beforeLines="0"/>
        <w:ind w:firstLine="480" w:firstLineChars="200"/>
        <w:rPr>
          <w:color w:val="auto"/>
          <w:highlight w:val="none"/>
        </w:rPr>
      </w:pPr>
      <w:r>
        <w:rPr>
          <w:rFonts w:hint="eastAsia"/>
          <w:color w:val="auto"/>
          <w:highlight w:val="none"/>
        </w:rPr>
        <w:t>本合同保修期为：自</w:t>
      </w:r>
      <w:r>
        <w:rPr>
          <w:rFonts w:hint="eastAsia"/>
          <w:color w:val="auto"/>
          <w:highlight w:val="none"/>
          <w:u w:val="single"/>
        </w:rPr>
        <w:t>佛山季华项目</w:t>
      </w:r>
      <w:r>
        <w:rPr>
          <w:rFonts w:hint="eastAsia"/>
          <w:color w:val="auto"/>
          <w:highlight w:val="none"/>
        </w:rPr>
        <w:t>全部电梯设备由电梯设备安装公司安装、调试、测试、检验完毕，电梯设备安装公司向有资质的电梯设备检测检验机构申请检验报告书，取得检验合格报告书、安全检验合格证以及</w:t>
      </w:r>
      <w:r>
        <w:rPr>
          <w:rFonts w:hint="eastAsia" w:hAnsi="宋体"/>
          <w:color w:val="auto"/>
          <w:szCs w:val="24"/>
          <w:highlight w:val="none"/>
        </w:rPr>
        <w:t>电梯设备使用登记证</w:t>
      </w:r>
      <w:r>
        <w:rPr>
          <w:rFonts w:hint="eastAsia"/>
          <w:color w:val="auto"/>
          <w:highlight w:val="none"/>
        </w:rPr>
        <w:t>后之日起计算满24个月。</w:t>
      </w:r>
    </w:p>
    <w:p>
      <w:pPr>
        <w:pStyle w:val="31"/>
        <w:spacing w:before="0" w:beforeLines="0"/>
        <w:ind w:firstLine="482" w:firstLineChars="200"/>
        <w:rPr>
          <w:color w:val="auto"/>
          <w:highlight w:val="none"/>
        </w:rPr>
      </w:pPr>
      <w:r>
        <w:rPr>
          <w:rFonts w:hint="eastAsia"/>
          <w:b/>
          <w:color w:val="auto"/>
          <w:highlight w:val="none"/>
        </w:rPr>
        <w:t>三、质量保修责任</w:t>
      </w:r>
    </w:p>
    <w:p>
      <w:pPr>
        <w:pStyle w:val="31"/>
        <w:spacing w:before="0" w:beforeLines="0"/>
        <w:ind w:firstLine="480" w:firstLineChars="200"/>
        <w:rPr>
          <w:color w:val="auto"/>
          <w:highlight w:val="none"/>
        </w:rPr>
      </w:pPr>
      <w:r>
        <w:rPr>
          <w:rFonts w:hint="eastAsia"/>
          <w:color w:val="auto"/>
          <w:highlight w:val="none"/>
        </w:rPr>
        <w:t>1、质量保修期内出现的由于质量问题引起损伤和损坏，乙方应在接到维修通知2小时内安排人员免费进行更换和维修。</w:t>
      </w:r>
    </w:p>
    <w:p>
      <w:pPr>
        <w:pStyle w:val="31"/>
        <w:spacing w:before="0" w:beforeLines="0"/>
        <w:ind w:firstLine="480" w:firstLineChars="200"/>
        <w:rPr>
          <w:color w:val="auto"/>
          <w:highlight w:val="none"/>
        </w:rPr>
      </w:pPr>
      <w:r>
        <w:rPr>
          <w:rFonts w:hint="eastAsia"/>
          <w:color w:val="auto"/>
          <w:highlight w:val="none"/>
        </w:rPr>
        <w:t>2、在保修期间，乙方负责设备的维修保养和定期检测，每两个星期派专业人员进行检查、清洁及上油等，在验收符合合同要求后一年届满时，须会同甲方对本项目进行一次全面的检查，并将检查结果交甲方，检查费用由乙方承担。在保修期满后，乙方应协助甲方或物业管理公司进行日常保养。</w:t>
      </w:r>
    </w:p>
    <w:p>
      <w:pPr>
        <w:pStyle w:val="31"/>
        <w:spacing w:before="0" w:beforeLines="0"/>
        <w:ind w:firstLine="480" w:firstLineChars="200"/>
        <w:rPr>
          <w:color w:val="auto"/>
          <w:highlight w:val="none"/>
        </w:rPr>
      </w:pPr>
      <w:r>
        <w:rPr>
          <w:rFonts w:hint="eastAsia"/>
          <w:color w:val="auto"/>
          <w:highlight w:val="none"/>
        </w:rPr>
        <w:t>3、在保修期内发现任何瑕疵，甲方应通知乙方，乙方应在收到甲方通知后2小时内或甲方同意延长的时间内，进行修复，修复费用已含在合同总价内，并承担由此引起的其他责任。乙方逾期未修复的，甲方有权委托第三方进行修复，并直接从质保金中扣除该项修复费用，若有不足的，由乙方另行支付。</w:t>
      </w:r>
    </w:p>
    <w:p>
      <w:pPr>
        <w:pStyle w:val="31"/>
        <w:spacing w:before="0" w:beforeLines="0"/>
        <w:ind w:firstLine="480" w:firstLineChars="200"/>
        <w:rPr>
          <w:color w:val="auto"/>
          <w:highlight w:val="none"/>
        </w:rPr>
      </w:pPr>
      <w:r>
        <w:rPr>
          <w:rFonts w:hint="eastAsia"/>
          <w:color w:val="auto"/>
          <w:highlight w:val="none"/>
        </w:rPr>
        <w:t>4、在保修期结束后，合理的检查和试验都无法发现的隐蔽瑕疵均由乙方修复，修复费用由乙方承担。</w:t>
      </w:r>
    </w:p>
    <w:p>
      <w:pPr>
        <w:pStyle w:val="31"/>
        <w:spacing w:before="0" w:beforeLines="0"/>
        <w:ind w:firstLine="480" w:firstLineChars="200"/>
        <w:rPr>
          <w:color w:val="auto"/>
          <w:highlight w:val="none"/>
        </w:rPr>
      </w:pPr>
      <w:r>
        <w:rPr>
          <w:rFonts w:hint="eastAsia"/>
          <w:color w:val="auto"/>
          <w:highlight w:val="none"/>
        </w:rPr>
        <w:t>5、在发现重大瑕疵、多次出现同样的瑕疵，经甲方要求时，乙方应就需修复的问题向甲方提供正式报告，说明存在瑕疵或损坏的原因、所采取的补救措施、修复情况等。</w:t>
      </w:r>
    </w:p>
    <w:p>
      <w:pPr>
        <w:pStyle w:val="31"/>
        <w:spacing w:before="0" w:beforeLines="0"/>
        <w:ind w:firstLine="480" w:firstLineChars="200"/>
        <w:rPr>
          <w:b/>
          <w:color w:val="auto"/>
          <w:highlight w:val="none"/>
        </w:rPr>
      </w:pPr>
      <w:r>
        <w:rPr>
          <w:rFonts w:hint="eastAsia"/>
          <w:color w:val="auto"/>
          <w:highlight w:val="none"/>
        </w:rPr>
        <w:t>6、保修期满后，乙方也仍应按合同或国家有关规定承担电梯设备质量保证责任和因电梯设备缺陷对甲方、他人造成的人身、财产损害、损失的责任和费用，包括但不限于诉讼（仲裁）费用、律师费等法律费用。</w:t>
      </w:r>
    </w:p>
    <w:p>
      <w:pPr>
        <w:pStyle w:val="31"/>
        <w:spacing w:before="0" w:beforeLines="0"/>
        <w:ind w:firstLine="482" w:firstLineChars="200"/>
        <w:rPr>
          <w:b/>
          <w:color w:val="auto"/>
          <w:highlight w:val="none"/>
        </w:rPr>
      </w:pPr>
      <w:r>
        <w:rPr>
          <w:rFonts w:hint="eastAsia"/>
          <w:b/>
          <w:color w:val="auto"/>
          <w:highlight w:val="none"/>
        </w:rPr>
        <w:t>四、质量保证金的退还</w:t>
      </w:r>
    </w:p>
    <w:p>
      <w:pPr>
        <w:pStyle w:val="31"/>
        <w:spacing w:before="0" w:beforeLines="0"/>
        <w:ind w:firstLine="480" w:firstLineChars="200"/>
        <w:rPr>
          <w:b/>
          <w:color w:val="auto"/>
          <w:highlight w:val="none"/>
        </w:rPr>
      </w:pPr>
      <w:r>
        <w:rPr>
          <w:rFonts w:hint="eastAsia"/>
          <w:color w:val="auto"/>
          <w:highlight w:val="none"/>
        </w:rPr>
        <w:t>本工程质量保证金的具体规定详见《</w:t>
      </w:r>
      <w:r>
        <w:rPr>
          <w:rFonts w:hint="eastAsia"/>
          <w:color w:val="auto"/>
          <w:highlight w:val="none"/>
          <w:u w:val="single"/>
        </w:rPr>
        <w:t>佛山季华项目电梯供货</w:t>
      </w:r>
      <w:r>
        <w:rPr>
          <w:rFonts w:hint="eastAsia"/>
          <w:color w:val="auto"/>
          <w:highlight w:val="none"/>
        </w:rPr>
        <w:t>合同》的相关规定。</w:t>
      </w:r>
    </w:p>
    <w:p>
      <w:pPr>
        <w:pStyle w:val="31"/>
        <w:spacing w:before="0" w:beforeLines="0"/>
        <w:ind w:firstLine="482" w:firstLineChars="200"/>
        <w:rPr>
          <w:b/>
          <w:color w:val="auto"/>
          <w:highlight w:val="none"/>
        </w:rPr>
      </w:pPr>
      <w:r>
        <w:rPr>
          <w:rFonts w:hint="eastAsia"/>
          <w:b/>
          <w:color w:val="auto"/>
          <w:highlight w:val="none"/>
        </w:rPr>
        <w:t>五、其他</w:t>
      </w:r>
    </w:p>
    <w:p>
      <w:pPr>
        <w:pStyle w:val="31"/>
        <w:spacing w:before="0" w:beforeLines="0"/>
        <w:ind w:firstLine="480" w:firstLineChars="200"/>
        <w:rPr>
          <w:color w:val="auto"/>
          <w:highlight w:val="none"/>
        </w:rPr>
      </w:pPr>
      <w:r>
        <w:rPr>
          <w:rFonts w:hint="eastAsia"/>
          <w:color w:val="auto"/>
          <w:highlight w:val="none"/>
        </w:rPr>
        <w:t>若有其它质量保修事项时，双方应另行商定。</w:t>
      </w:r>
    </w:p>
    <w:p>
      <w:pPr>
        <w:pStyle w:val="31"/>
        <w:spacing w:before="0" w:beforeLines="0"/>
        <w:ind w:firstLine="480" w:firstLineChars="200"/>
        <w:rPr>
          <w:color w:val="auto"/>
          <w:highlight w:val="none"/>
        </w:rPr>
      </w:pPr>
      <w:r>
        <w:rPr>
          <w:rFonts w:hint="eastAsia"/>
          <w:color w:val="auto"/>
          <w:highlight w:val="none"/>
        </w:rPr>
        <w:t>本工程质量保修书作为《</w:t>
      </w:r>
      <w:r>
        <w:rPr>
          <w:rFonts w:hint="eastAsia"/>
          <w:color w:val="auto"/>
          <w:highlight w:val="none"/>
          <w:u w:val="single"/>
        </w:rPr>
        <w:t>佛山季华项目电梯供货</w:t>
      </w:r>
      <w:r>
        <w:rPr>
          <w:rFonts w:hint="eastAsia"/>
          <w:color w:val="auto"/>
          <w:highlight w:val="none"/>
        </w:rPr>
        <w:t>合同》的有效组成部分。</w:t>
      </w:r>
    </w:p>
    <w:p>
      <w:pPr>
        <w:pStyle w:val="9"/>
        <w:snapToGrid w:val="0"/>
        <w:spacing w:after="0" w:line="360" w:lineRule="auto"/>
        <w:ind w:left="0" w:leftChars="0"/>
        <w:outlineLvl w:val="0"/>
        <w:rPr>
          <w:rFonts w:ascii="仿宋" w:hAnsi="仿宋" w:eastAsia="仿宋"/>
          <w:b/>
          <w:color w:val="auto"/>
          <w:sz w:val="21"/>
          <w:szCs w:val="21"/>
          <w:highlight w:val="none"/>
        </w:rPr>
      </w:pPr>
      <w:r>
        <w:rPr>
          <w:rFonts w:ascii="楷体_GB2312" w:hAnsi="宋体" w:eastAsia="楷体_GB2312"/>
          <w:color w:val="auto"/>
          <w:sz w:val="24"/>
          <w:szCs w:val="24"/>
          <w:highlight w:val="none"/>
        </w:rPr>
        <w:br w:type="page"/>
      </w:r>
    </w:p>
    <w:p>
      <w:pPr>
        <w:pStyle w:val="9"/>
        <w:snapToGrid w:val="0"/>
        <w:spacing w:after="0" w:line="360" w:lineRule="auto"/>
        <w:ind w:left="0" w:leftChars="0"/>
        <w:outlineLvl w:val="0"/>
        <w:rPr>
          <w:rFonts w:ascii="仿宋" w:hAnsi="仿宋" w:eastAsia="仿宋"/>
          <w:b/>
          <w:color w:val="auto"/>
          <w:sz w:val="21"/>
          <w:szCs w:val="21"/>
          <w:highlight w:val="none"/>
        </w:rPr>
      </w:pPr>
      <w:bookmarkStart w:id="44" w:name="_Toc126961350"/>
      <w:r>
        <w:rPr>
          <w:rFonts w:hint="eastAsia" w:ascii="仿宋" w:hAnsi="仿宋" w:eastAsia="仿宋"/>
          <w:b/>
          <w:color w:val="auto"/>
          <w:sz w:val="21"/>
          <w:szCs w:val="21"/>
          <w:highlight w:val="none"/>
        </w:rPr>
        <w:t>附件九：土建条件图（如有）（另册）</w:t>
      </w:r>
      <w:bookmarkEnd w:id="44"/>
    </w:p>
    <w:p>
      <w:pPr>
        <w:pStyle w:val="9"/>
        <w:snapToGrid w:val="0"/>
        <w:spacing w:after="0" w:line="360" w:lineRule="auto"/>
        <w:ind w:left="0" w:leftChars="0"/>
        <w:outlineLvl w:val="0"/>
        <w:rPr>
          <w:rFonts w:ascii="仿宋" w:hAnsi="仿宋" w:eastAsia="仿宋"/>
          <w:b/>
          <w:color w:val="auto"/>
          <w:sz w:val="21"/>
          <w:szCs w:val="21"/>
          <w:highlight w:val="none"/>
        </w:rPr>
      </w:pPr>
      <w:bookmarkStart w:id="45" w:name="_Toc126961351"/>
      <w:r>
        <w:rPr>
          <w:rFonts w:hint="eastAsia" w:ascii="仿宋" w:hAnsi="仿宋" w:eastAsia="仿宋"/>
          <w:b/>
          <w:color w:val="auto"/>
          <w:sz w:val="21"/>
          <w:szCs w:val="21"/>
          <w:highlight w:val="none"/>
        </w:rPr>
        <w:t>附件十：投标文件相关承诺等（另册）</w:t>
      </w:r>
      <w:bookmarkEnd w:id="45"/>
    </w:p>
    <w:sectPr>
      <w:pgSz w:w="11906" w:h="16838"/>
      <w:pgMar w:top="1247" w:right="1418" w:bottom="1247" w:left="1418" w:header="851" w:footer="992" w:gutter="0"/>
      <w:cols w:space="720" w:num="1"/>
      <w:titlePg/>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创艺简仿宋">
    <w:altName w:val="黑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宋体-方正超大字符集">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51</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51</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left"/>
      <w:rPr>
        <w:color w:va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none"/>
      <w:lvlText w:val="一、"/>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684BB0"/>
    <w:multiLevelType w:val="multilevel"/>
    <w:tmpl w:val="00684BB0"/>
    <w:lvl w:ilvl="0" w:tentative="0">
      <w:start w:val="1"/>
      <w:numFmt w:val="decimal"/>
      <w:lvlText w:val="%1."/>
      <w:lvlJc w:val="left"/>
      <w:pPr>
        <w:ind w:left="425" w:hanging="425"/>
      </w:pPr>
    </w:lvl>
    <w:lvl w:ilvl="1" w:tentative="0">
      <w:start w:val="1"/>
      <w:numFmt w:val="decimal"/>
      <w:lvlText w:val="%1.%2."/>
      <w:lvlJc w:val="left"/>
      <w:pPr>
        <w:ind w:left="127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183C61D0"/>
    <w:multiLevelType w:val="multilevel"/>
    <w:tmpl w:val="183C61D0"/>
    <w:lvl w:ilvl="0" w:tentative="0">
      <w:start w:val="1"/>
      <w:numFmt w:val="decimal"/>
      <w:lvlText w:val="%1."/>
      <w:lvlJc w:val="left"/>
      <w:pPr>
        <w:ind w:left="425" w:hanging="425"/>
      </w:pPr>
    </w:lvl>
    <w:lvl w:ilvl="1" w:tentative="0">
      <w:start w:val="1"/>
      <w:numFmt w:val="decimal"/>
      <w:lvlText w:val="%1.%2."/>
      <w:lvlJc w:val="left"/>
      <w:pPr>
        <w:ind w:left="992" w:hanging="567"/>
      </w:pPr>
      <w:rPr>
        <w:rFonts w:ascii="楷体" w:hAnsi="楷体" w:eastAsia="楷体"/>
        <w:b w:val="0"/>
        <w:sz w:val="24"/>
        <w:szCs w:val="24"/>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39203F2C"/>
    <w:multiLevelType w:val="multilevel"/>
    <w:tmpl w:val="39203F2C"/>
    <w:lvl w:ilvl="0" w:tentative="0">
      <w:start w:val="1"/>
      <w:numFmt w:val="decimal"/>
      <w:pStyle w:val="35"/>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C703044"/>
    <w:multiLevelType w:val="multilevel"/>
    <w:tmpl w:val="4C703044"/>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70"/>
  <w:drawingGridVerticalSpacing w:val="23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4MDMyZTA0MzRmYTM5NzFjNmNhMGE1ZmNjZjM5M2EifQ=="/>
  </w:docVars>
  <w:rsids>
    <w:rsidRoot w:val="00703E97"/>
    <w:rsid w:val="000008B5"/>
    <w:rsid w:val="00000CF3"/>
    <w:rsid w:val="0000357E"/>
    <w:rsid w:val="00003C49"/>
    <w:rsid w:val="0000401D"/>
    <w:rsid w:val="0000535A"/>
    <w:rsid w:val="00007334"/>
    <w:rsid w:val="000142DF"/>
    <w:rsid w:val="0001449F"/>
    <w:rsid w:val="000167A4"/>
    <w:rsid w:val="00016C77"/>
    <w:rsid w:val="00016F9E"/>
    <w:rsid w:val="00020F23"/>
    <w:rsid w:val="00021199"/>
    <w:rsid w:val="000215E2"/>
    <w:rsid w:val="00023D73"/>
    <w:rsid w:val="000250E5"/>
    <w:rsid w:val="000257D4"/>
    <w:rsid w:val="00033AFF"/>
    <w:rsid w:val="0003543E"/>
    <w:rsid w:val="00035616"/>
    <w:rsid w:val="00035AD0"/>
    <w:rsid w:val="000360A3"/>
    <w:rsid w:val="00036AB9"/>
    <w:rsid w:val="000371FA"/>
    <w:rsid w:val="000378DE"/>
    <w:rsid w:val="00041C76"/>
    <w:rsid w:val="0004289A"/>
    <w:rsid w:val="00042F5A"/>
    <w:rsid w:val="0004322C"/>
    <w:rsid w:val="000443FD"/>
    <w:rsid w:val="00047086"/>
    <w:rsid w:val="0004731E"/>
    <w:rsid w:val="00047B9C"/>
    <w:rsid w:val="000517DF"/>
    <w:rsid w:val="00051E77"/>
    <w:rsid w:val="00052CB2"/>
    <w:rsid w:val="000534EB"/>
    <w:rsid w:val="000536E2"/>
    <w:rsid w:val="00054F7E"/>
    <w:rsid w:val="00055D20"/>
    <w:rsid w:val="000560D8"/>
    <w:rsid w:val="00056133"/>
    <w:rsid w:val="00063DCC"/>
    <w:rsid w:val="00065D60"/>
    <w:rsid w:val="00066031"/>
    <w:rsid w:val="00067AAD"/>
    <w:rsid w:val="00067F5A"/>
    <w:rsid w:val="00070A73"/>
    <w:rsid w:val="000715C1"/>
    <w:rsid w:val="00072394"/>
    <w:rsid w:val="0007286B"/>
    <w:rsid w:val="00072AB5"/>
    <w:rsid w:val="00072D3E"/>
    <w:rsid w:val="00074CB9"/>
    <w:rsid w:val="00075B1A"/>
    <w:rsid w:val="00076D09"/>
    <w:rsid w:val="00076EDB"/>
    <w:rsid w:val="00077DB1"/>
    <w:rsid w:val="000837D4"/>
    <w:rsid w:val="000838C6"/>
    <w:rsid w:val="00084582"/>
    <w:rsid w:val="00085808"/>
    <w:rsid w:val="00086028"/>
    <w:rsid w:val="00091396"/>
    <w:rsid w:val="00092E6B"/>
    <w:rsid w:val="00093F78"/>
    <w:rsid w:val="00094C5E"/>
    <w:rsid w:val="0009516F"/>
    <w:rsid w:val="000953C1"/>
    <w:rsid w:val="00095EE5"/>
    <w:rsid w:val="00097ADE"/>
    <w:rsid w:val="000A0DB0"/>
    <w:rsid w:val="000A2DCD"/>
    <w:rsid w:val="000A4C06"/>
    <w:rsid w:val="000A7138"/>
    <w:rsid w:val="000A7C2B"/>
    <w:rsid w:val="000B0756"/>
    <w:rsid w:val="000B1438"/>
    <w:rsid w:val="000B2A78"/>
    <w:rsid w:val="000B3D7B"/>
    <w:rsid w:val="000B5415"/>
    <w:rsid w:val="000B6EE8"/>
    <w:rsid w:val="000B7423"/>
    <w:rsid w:val="000B79F1"/>
    <w:rsid w:val="000C0EEB"/>
    <w:rsid w:val="000C1650"/>
    <w:rsid w:val="000C1A8B"/>
    <w:rsid w:val="000C1F0B"/>
    <w:rsid w:val="000C20B9"/>
    <w:rsid w:val="000D0575"/>
    <w:rsid w:val="000D2B5E"/>
    <w:rsid w:val="000D3DAF"/>
    <w:rsid w:val="000E0980"/>
    <w:rsid w:val="000E11AF"/>
    <w:rsid w:val="000E1FF4"/>
    <w:rsid w:val="000E442B"/>
    <w:rsid w:val="000E495C"/>
    <w:rsid w:val="000E5816"/>
    <w:rsid w:val="000E6C83"/>
    <w:rsid w:val="000F0767"/>
    <w:rsid w:val="000F315F"/>
    <w:rsid w:val="000F70B4"/>
    <w:rsid w:val="000F760F"/>
    <w:rsid w:val="00103B4F"/>
    <w:rsid w:val="0010422E"/>
    <w:rsid w:val="001064FA"/>
    <w:rsid w:val="00110B96"/>
    <w:rsid w:val="00110BE5"/>
    <w:rsid w:val="00114927"/>
    <w:rsid w:val="00114F60"/>
    <w:rsid w:val="00115E94"/>
    <w:rsid w:val="0011717E"/>
    <w:rsid w:val="001201BE"/>
    <w:rsid w:val="001208B1"/>
    <w:rsid w:val="0012173D"/>
    <w:rsid w:val="00124AA4"/>
    <w:rsid w:val="001261A5"/>
    <w:rsid w:val="00126F6F"/>
    <w:rsid w:val="00130D92"/>
    <w:rsid w:val="00131547"/>
    <w:rsid w:val="00131988"/>
    <w:rsid w:val="001327F6"/>
    <w:rsid w:val="00137A6F"/>
    <w:rsid w:val="00137D04"/>
    <w:rsid w:val="001402A1"/>
    <w:rsid w:val="001405FD"/>
    <w:rsid w:val="001408FC"/>
    <w:rsid w:val="00141A29"/>
    <w:rsid w:val="00142DB4"/>
    <w:rsid w:val="0014563C"/>
    <w:rsid w:val="001467EA"/>
    <w:rsid w:val="0015020F"/>
    <w:rsid w:val="001508F9"/>
    <w:rsid w:val="0015199A"/>
    <w:rsid w:val="001537F5"/>
    <w:rsid w:val="0015605C"/>
    <w:rsid w:val="00162905"/>
    <w:rsid w:val="001631C8"/>
    <w:rsid w:val="00165FBB"/>
    <w:rsid w:val="00166222"/>
    <w:rsid w:val="00166ADB"/>
    <w:rsid w:val="001700F3"/>
    <w:rsid w:val="001723CE"/>
    <w:rsid w:val="001726E3"/>
    <w:rsid w:val="00172F80"/>
    <w:rsid w:val="00174445"/>
    <w:rsid w:val="001749C3"/>
    <w:rsid w:val="00176BB0"/>
    <w:rsid w:val="00176C44"/>
    <w:rsid w:val="0017730F"/>
    <w:rsid w:val="00177FE1"/>
    <w:rsid w:val="00180385"/>
    <w:rsid w:val="00182CAC"/>
    <w:rsid w:val="0018374D"/>
    <w:rsid w:val="0018633E"/>
    <w:rsid w:val="001865A9"/>
    <w:rsid w:val="001876F6"/>
    <w:rsid w:val="00190E3E"/>
    <w:rsid w:val="0019104A"/>
    <w:rsid w:val="0019166B"/>
    <w:rsid w:val="00192B89"/>
    <w:rsid w:val="00193CD0"/>
    <w:rsid w:val="00196BEC"/>
    <w:rsid w:val="001979EC"/>
    <w:rsid w:val="001A19DB"/>
    <w:rsid w:val="001A21C4"/>
    <w:rsid w:val="001A25A4"/>
    <w:rsid w:val="001A275B"/>
    <w:rsid w:val="001A4740"/>
    <w:rsid w:val="001A4FFA"/>
    <w:rsid w:val="001A5466"/>
    <w:rsid w:val="001A5638"/>
    <w:rsid w:val="001A5F23"/>
    <w:rsid w:val="001A68B9"/>
    <w:rsid w:val="001B296F"/>
    <w:rsid w:val="001B43CE"/>
    <w:rsid w:val="001B48C7"/>
    <w:rsid w:val="001B5C7D"/>
    <w:rsid w:val="001C119B"/>
    <w:rsid w:val="001C274E"/>
    <w:rsid w:val="001C2F04"/>
    <w:rsid w:val="001C37F8"/>
    <w:rsid w:val="001C571E"/>
    <w:rsid w:val="001D2DA7"/>
    <w:rsid w:val="001D44E3"/>
    <w:rsid w:val="001D5133"/>
    <w:rsid w:val="001D5F51"/>
    <w:rsid w:val="001D6652"/>
    <w:rsid w:val="001D7FF3"/>
    <w:rsid w:val="001E3CA0"/>
    <w:rsid w:val="001E6779"/>
    <w:rsid w:val="001F1518"/>
    <w:rsid w:val="001F160B"/>
    <w:rsid w:val="001F2DC9"/>
    <w:rsid w:val="001F5947"/>
    <w:rsid w:val="001F71B4"/>
    <w:rsid w:val="002004EC"/>
    <w:rsid w:val="00201B7B"/>
    <w:rsid w:val="00201D63"/>
    <w:rsid w:val="00202D2C"/>
    <w:rsid w:val="002044B6"/>
    <w:rsid w:val="0020552C"/>
    <w:rsid w:val="00206CD3"/>
    <w:rsid w:val="00210D5A"/>
    <w:rsid w:val="0021394F"/>
    <w:rsid w:val="00215CEA"/>
    <w:rsid w:val="002165DC"/>
    <w:rsid w:val="002215E4"/>
    <w:rsid w:val="002227A1"/>
    <w:rsid w:val="002227D8"/>
    <w:rsid w:val="00223C92"/>
    <w:rsid w:val="00225520"/>
    <w:rsid w:val="002308D0"/>
    <w:rsid w:val="00231BB3"/>
    <w:rsid w:val="00233039"/>
    <w:rsid w:val="0023343C"/>
    <w:rsid w:val="002345AA"/>
    <w:rsid w:val="00234AE3"/>
    <w:rsid w:val="00236F39"/>
    <w:rsid w:val="002372A8"/>
    <w:rsid w:val="0024230C"/>
    <w:rsid w:val="0024263E"/>
    <w:rsid w:val="00244497"/>
    <w:rsid w:val="0024549D"/>
    <w:rsid w:val="00247255"/>
    <w:rsid w:val="00250C84"/>
    <w:rsid w:val="00251275"/>
    <w:rsid w:val="0025313F"/>
    <w:rsid w:val="0026127D"/>
    <w:rsid w:val="00262170"/>
    <w:rsid w:val="0026229A"/>
    <w:rsid w:val="002627A6"/>
    <w:rsid w:val="00262D08"/>
    <w:rsid w:val="00263C20"/>
    <w:rsid w:val="00264E72"/>
    <w:rsid w:val="00266EE2"/>
    <w:rsid w:val="00270129"/>
    <w:rsid w:val="0027044C"/>
    <w:rsid w:val="002705E9"/>
    <w:rsid w:val="00270FDC"/>
    <w:rsid w:val="00271ECF"/>
    <w:rsid w:val="00272431"/>
    <w:rsid w:val="00273FFC"/>
    <w:rsid w:val="002743BD"/>
    <w:rsid w:val="00274A75"/>
    <w:rsid w:val="0028010A"/>
    <w:rsid w:val="00281C39"/>
    <w:rsid w:val="002832E0"/>
    <w:rsid w:val="00284677"/>
    <w:rsid w:val="00284A3C"/>
    <w:rsid w:val="00286186"/>
    <w:rsid w:val="00287B6C"/>
    <w:rsid w:val="00291044"/>
    <w:rsid w:val="00291A33"/>
    <w:rsid w:val="00291D10"/>
    <w:rsid w:val="00291F92"/>
    <w:rsid w:val="002934AF"/>
    <w:rsid w:val="002944AB"/>
    <w:rsid w:val="00295B13"/>
    <w:rsid w:val="0029701B"/>
    <w:rsid w:val="002A005F"/>
    <w:rsid w:val="002A040B"/>
    <w:rsid w:val="002A2D83"/>
    <w:rsid w:val="002A2E01"/>
    <w:rsid w:val="002A5088"/>
    <w:rsid w:val="002A53EB"/>
    <w:rsid w:val="002A5D5C"/>
    <w:rsid w:val="002A6A7F"/>
    <w:rsid w:val="002B2BDD"/>
    <w:rsid w:val="002B30BE"/>
    <w:rsid w:val="002B3EB9"/>
    <w:rsid w:val="002B6609"/>
    <w:rsid w:val="002C096E"/>
    <w:rsid w:val="002C0A7B"/>
    <w:rsid w:val="002C192A"/>
    <w:rsid w:val="002C38D7"/>
    <w:rsid w:val="002C391C"/>
    <w:rsid w:val="002C512C"/>
    <w:rsid w:val="002C63AF"/>
    <w:rsid w:val="002C6954"/>
    <w:rsid w:val="002C6F75"/>
    <w:rsid w:val="002D1A59"/>
    <w:rsid w:val="002D1DE1"/>
    <w:rsid w:val="002D3181"/>
    <w:rsid w:val="002D36D9"/>
    <w:rsid w:val="002D528E"/>
    <w:rsid w:val="002E0223"/>
    <w:rsid w:val="002E0668"/>
    <w:rsid w:val="002E37B5"/>
    <w:rsid w:val="002E6B83"/>
    <w:rsid w:val="002E7AD4"/>
    <w:rsid w:val="002F0427"/>
    <w:rsid w:val="002F0830"/>
    <w:rsid w:val="002F0F96"/>
    <w:rsid w:val="002F195D"/>
    <w:rsid w:val="002F1E2B"/>
    <w:rsid w:val="002F3D4E"/>
    <w:rsid w:val="002F3E83"/>
    <w:rsid w:val="002F7AF5"/>
    <w:rsid w:val="0030010B"/>
    <w:rsid w:val="00300CCA"/>
    <w:rsid w:val="003010DB"/>
    <w:rsid w:val="00301B3D"/>
    <w:rsid w:val="0030230D"/>
    <w:rsid w:val="00302C88"/>
    <w:rsid w:val="003030D3"/>
    <w:rsid w:val="0030443A"/>
    <w:rsid w:val="0030481D"/>
    <w:rsid w:val="0030513F"/>
    <w:rsid w:val="003054EA"/>
    <w:rsid w:val="00310575"/>
    <w:rsid w:val="0031251C"/>
    <w:rsid w:val="00313FC5"/>
    <w:rsid w:val="00315D5B"/>
    <w:rsid w:val="00316D23"/>
    <w:rsid w:val="00316F57"/>
    <w:rsid w:val="003207C6"/>
    <w:rsid w:val="003213C5"/>
    <w:rsid w:val="0032561A"/>
    <w:rsid w:val="00326096"/>
    <w:rsid w:val="003261CD"/>
    <w:rsid w:val="00330F20"/>
    <w:rsid w:val="003312B6"/>
    <w:rsid w:val="003315E6"/>
    <w:rsid w:val="00331611"/>
    <w:rsid w:val="00332D66"/>
    <w:rsid w:val="003342AB"/>
    <w:rsid w:val="00334F47"/>
    <w:rsid w:val="00337065"/>
    <w:rsid w:val="00337C41"/>
    <w:rsid w:val="00341058"/>
    <w:rsid w:val="003419AE"/>
    <w:rsid w:val="00342B91"/>
    <w:rsid w:val="0034411B"/>
    <w:rsid w:val="00346023"/>
    <w:rsid w:val="00346B17"/>
    <w:rsid w:val="00350052"/>
    <w:rsid w:val="00350ECB"/>
    <w:rsid w:val="00350FF9"/>
    <w:rsid w:val="00351AD5"/>
    <w:rsid w:val="00351DB8"/>
    <w:rsid w:val="00352BAA"/>
    <w:rsid w:val="00352EED"/>
    <w:rsid w:val="003539DC"/>
    <w:rsid w:val="003546BE"/>
    <w:rsid w:val="00355447"/>
    <w:rsid w:val="00355496"/>
    <w:rsid w:val="003554A2"/>
    <w:rsid w:val="003558C1"/>
    <w:rsid w:val="00355EC6"/>
    <w:rsid w:val="0035661E"/>
    <w:rsid w:val="00357C3F"/>
    <w:rsid w:val="00364C39"/>
    <w:rsid w:val="00364DE3"/>
    <w:rsid w:val="00367750"/>
    <w:rsid w:val="00367905"/>
    <w:rsid w:val="00367CDF"/>
    <w:rsid w:val="00370E53"/>
    <w:rsid w:val="0037111F"/>
    <w:rsid w:val="003716AB"/>
    <w:rsid w:val="00373865"/>
    <w:rsid w:val="00374431"/>
    <w:rsid w:val="0037496B"/>
    <w:rsid w:val="00375212"/>
    <w:rsid w:val="00375647"/>
    <w:rsid w:val="00376900"/>
    <w:rsid w:val="0037700F"/>
    <w:rsid w:val="00377A64"/>
    <w:rsid w:val="00382437"/>
    <w:rsid w:val="00384837"/>
    <w:rsid w:val="003865F2"/>
    <w:rsid w:val="003873A0"/>
    <w:rsid w:val="003904CF"/>
    <w:rsid w:val="00390B96"/>
    <w:rsid w:val="00390DD8"/>
    <w:rsid w:val="0039103D"/>
    <w:rsid w:val="003935FB"/>
    <w:rsid w:val="00393F33"/>
    <w:rsid w:val="003A126C"/>
    <w:rsid w:val="003A1FF7"/>
    <w:rsid w:val="003A456C"/>
    <w:rsid w:val="003A46C8"/>
    <w:rsid w:val="003A6729"/>
    <w:rsid w:val="003A67E9"/>
    <w:rsid w:val="003B0C53"/>
    <w:rsid w:val="003B0D0D"/>
    <w:rsid w:val="003B1C22"/>
    <w:rsid w:val="003B39EC"/>
    <w:rsid w:val="003B4796"/>
    <w:rsid w:val="003B4EF1"/>
    <w:rsid w:val="003B6DDE"/>
    <w:rsid w:val="003B784D"/>
    <w:rsid w:val="003C11C1"/>
    <w:rsid w:val="003C1D63"/>
    <w:rsid w:val="003C298F"/>
    <w:rsid w:val="003C306F"/>
    <w:rsid w:val="003C359E"/>
    <w:rsid w:val="003C5DC8"/>
    <w:rsid w:val="003C6B9B"/>
    <w:rsid w:val="003C7068"/>
    <w:rsid w:val="003D11DE"/>
    <w:rsid w:val="003D123A"/>
    <w:rsid w:val="003D1D2D"/>
    <w:rsid w:val="003D3671"/>
    <w:rsid w:val="003D6508"/>
    <w:rsid w:val="003D7837"/>
    <w:rsid w:val="003E1253"/>
    <w:rsid w:val="003E12DE"/>
    <w:rsid w:val="003E3494"/>
    <w:rsid w:val="003E65C9"/>
    <w:rsid w:val="003E6D37"/>
    <w:rsid w:val="003F39B0"/>
    <w:rsid w:val="003F53EB"/>
    <w:rsid w:val="00402700"/>
    <w:rsid w:val="0040473A"/>
    <w:rsid w:val="00405F72"/>
    <w:rsid w:val="004070B7"/>
    <w:rsid w:val="00410488"/>
    <w:rsid w:val="00410EC5"/>
    <w:rsid w:val="00413673"/>
    <w:rsid w:val="00413A7B"/>
    <w:rsid w:val="00414B00"/>
    <w:rsid w:val="0041548A"/>
    <w:rsid w:val="00416021"/>
    <w:rsid w:val="00417497"/>
    <w:rsid w:val="00417501"/>
    <w:rsid w:val="00420717"/>
    <w:rsid w:val="00424310"/>
    <w:rsid w:val="004258CB"/>
    <w:rsid w:val="0042673D"/>
    <w:rsid w:val="00427948"/>
    <w:rsid w:val="00430199"/>
    <w:rsid w:val="004308CA"/>
    <w:rsid w:val="004314C1"/>
    <w:rsid w:val="004328CA"/>
    <w:rsid w:val="004329E7"/>
    <w:rsid w:val="00433AC1"/>
    <w:rsid w:val="00435B58"/>
    <w:rsid w:val="00436564"/>
    <w:rsid w:val="0044066B"/>
    <w:rsid w:val="00441601"/>
    <w:rsid w:val="00441EDC"/>
    <w:rsid w:val="004436DE"/>
    <w:rsid w:val="00443D6D"/>
    <w:rsid w:val="00443ED6"/>
    <w:rsid w:val="004448B1"/>
    <w:rsid w:val="00444EB8"/>
    <w:rsid w:val="00446455"/>
    <w:rsid w:val="00447525"/>
    <w:rsid w:val="004476F9"/>
    <w:rsid w:val="0045218A"/>
    <w:rsid w:val="004523A5"/>
    <w:rsid w:val="004531DB"/>
    <w:rsid w:val="0045392F"/>
    <w:rsid w:val="00453E14"/>
    <w:rsid w:val="00454FFE"/>
    <w:rsid w:val="00457DA8"/>
    <w:rsid w:val="004601BD"/>
    <w:rsid w:val="00460CBB"/>
    <w:rsid w:val="00461818"/>
    <w:rsid w:val="004637CB"/>
    <w:rsid w:val="0046385E"/>
    <w:rsid w:val="004675BA"/>
    <w:rsid w:val="00471ADB"/>
    <w:rsid w:val="004723F1"/>
    <w:rsid w:val="004727FC"/>
    <w:rsid w:val="00473080"/>
    <w:rsid w:val="0047329B"/>
    <w:rsid w:val="00473B87"/>
    <w:rsid w:val="00474770"/>
    <w:rsid w:val="00474D12"/>
    <w:rsid w:val="00474F4A"/>
    <w:rsid w:val="00475FA5"/>
    <w:rsid w:val="0047678A"/>
    <w:rsid w:val="00480215"/>
    <w:rsid w:val="004807D5"/>
    <w:rsid w:val="00480F72"/>
    <w:rsid w:val="004822D4"/>
    <w:rsid w:val="0048246C"/>
    <w:rsid w:val="00482C11"/>
    <w:rsid w:val="00484AAF"/>
    <w:rsid w:val="00485012"/>
    <w:rsid w:val="00486130"/>
    <w:rsid w:val="00486802"/>
    <w:rsid w:val="0048696E"/>
    <w:rsid w:val="0049027F"/>
    <w:rsid w:val="00491897"/>
    <w:rsid w:val="0049232F"/>
    <w:rsid w:val="004950B3"/>
    <w:rsid w:val="00495B0A"/>
    <w:rsid w:val="00496DBA"/>
    <w:rsid w:val="00497476"/>
    <w:rsid w:val="00497AD5"/>
    <w:rsid w:val="004A18DB"/>
    <w:rsid w:val="004A2DEB"/>
    <w:rsid w:val="004A33B2"/>
    <w:rsid w:val="004A3806"/>
    <w:rsid w:val="004A59CE"/>
    <w:rsid w:val="004A5BF2"/>
    <w:rsid w:val="004A7185"/>
    <w:rsid w:val="004B0A8F"/>
    <w:rsid w:val="004B3DE6"/>
    <w:rsid w:val="004B4516"/>
    <w:rsid w:val="004B5155"/>
    <w:rsid w:val="004B58ED"/>
    <w:rsid w:val="004B654F"/>
    <w:rsid w:val="004B6A43"/>
    <w:rsid w:val="004B6AB9"/>
    <w:rsid w:val="004C09D6"/>
    <w:rsid w:val="004C3899"/>
    <w:rsid w:val="004C3BB2"/>
    <w:rsid w:val="004C5199"/>
    <w:rsid w:val="004D2FDA"/>
    <w:rsid w:val="004D46E7"/>
    <w:rsid w:val="004D4A8E"/>
    <w:rsid w:val="004D62C3"/>
    <w:rsid w:val="004D6789"/>
    <w:rsid w:val="004E23AF"/>
    <w:rsid w:val="004E2672"/>
    <w:rsid w:val="004E5A9E"/>
    <w:rsid w:val="004E6E01"/>
    <w:rsid w:val="004E7412"/>
    <w:rsid w:val="004E7AD3"/>
    <w:rsid w:val="004F0889"/>
    <w:rsid w:val="004F2C12"/>
    <w:rsid w:val="004F2DAB"/>
    <w:rsid w:val="004F2ED3"/>
    <w:rsid w:val="004F2F40"/>
    <w:rsid w:val="004F504F"/>
    <w:rsid w:val="004F58FF"/>
    <w:rsid w:val="004F6478"/>
    <w:rsid w:val="00500067"/>
    <w:rsid w:val="0050012A"/>
    <w:rsid w:val="0050023C"/>
    <w:rsid w:val="00503707"/>
    <w:rsid w:val="00504A02"/>
    <w:rsid w:val="005078C2"/>
    <w:rsid w:val="005101F4"/>
    <w:rsid w:val="005122F8"/>
    <w:rsid w:val="0051261E"/>
    <w:rsid w:val="005128A9"/>
    <w:rsid w:val="00517434"/>
    <w:rsid w:val="00521D58"/>
    <w:rsid w:val="00522BC7"/>
    <w:rsid w:val="00522FED"/>
    <w:rsid w:val="005236D3"/>
    <w:rsid w:val="00526793"/>
    <w:rsid w:val="00526DAA"/>
    <w:rsid w:val="005306ED"/>
    <w:rsid w:val="00531478"/>
    <w:rsid w:val="00531D55"/>
    <w:rsid w:val="00532AF9"/>
    <w:rsid w:val="00532F14"/>
    <w:rsid w:val="005336D6"/>
    <w:rsid w:val="00533876"/>
    <w:rsid w:val="00536CB4"/>
    <w:rsid w:val="005410D9"/>
    <w:rsid w:val="005412C4"/>
    <w:rsid w:val="00543397"/>
    <w:rsid w:val="0054350A"/>
    <w:rsid w:val="00544CFB"/>
    <w:rsid w:val="005450F0"/>
    <w:rsid w:val="00545A81"/>
    <w:rsid w:val="00545EF5"/>
    <w:rsid w:val="005477B4"/>
    <w:rsid w:val="005504F7"/>
    <w:rsid w:val="0055079D"/>
    <w:rsid w:val="00550826"/>
    <w:rsid w:val="005512B2"/>
    <w:rsid w:val="00554C04"/>
    <w:rsid w:val="00555384"/>
    <w:rsid w:val="00555703"/>
    <w:rsid w:val="00555A2E"/>
    <w:rsid w:val="00555F05"/>
    <w:rsid w:val="00556885"/>
    <w:rsid w:val="00556BDF"/>
    <w:rsid w:val="00557A0B"/>
    <w:rsid w:val="00561161"/>
    <w:rsid w:val="00563E4E"/>
    <w:rsid w:val="005647E8"/>
    <w:rsid w:val="005650DB"/>
    <w:rsid w:val="0056714F"/>
    <w:rsid w:val="00570539"/>
    <w:rsid w:val="00571F5D"/>
    <w:rsid w:val="005726D8"/>
    <w:rsid w:val="00572792"/>
    <w:rsid w:val="00572ADB"/>
    <w:rsid w:val="0057308B"/>
    <w:rsid w:val="00573A7E"/>
    <w:rsid w:val="0057606E"/>
    <w:rsid w:val="00576B20"/>
    <w:rsid w:val="0058052A"/>
    <w:rsid w:val="00580985"/>
    <w:rsid w:val="00580BEA"/>
    <w:rsid w:val="00583D3D"/>
    <w:rsid w:val="00585266"/>
    <w:rsid w:val="0058761D"/>
    <w:rsid w:val="00587CB7"/>
    <w:rsid w:val="00590ADF"/>
    <w:rsid w:val="00592D38"/>
    <w:rsid w:val="00593A8A"/>
    <w:rsid w:val="005941BB"/>
    <w:rsid w:val="00595847"/>
    <w:rsid w:val="00596A60"/>
    <w:rsid w:val="00596A91"/>
    <w:rsid w:val="005A337A"/>
    <w:rsid w:val="005A415F"/>
    <w:rsid w:val="005A4B6D"/>
    <w:rsid w:val="005A4F75"/>
    <w:rsid w:val="005A5178"/>
    <w:rsid w:val="005A735E"/>
    <w:rsid w:val="005B1AA0"/>
    <w:rsid w:val="005B2C6C"/>
    <w:rsid w:val="005B3CC6"/>
    <w:rsid w:val="005B4BD1"/>
    <w:rsid w:val="005B604E"/>
    <w:rsid w:val="005B6317"/>
    <w:rsid w:val="005C0894"/>
    <w:rsid w:val="005C352B"/>
    <w:rsid w:val="005C3547"/>
    <w:rsid w:val="005C3726"/>
    <w:rsid w:val="005C48A2"/>
    <w:rsid w:val="005C5A18"/>
    <w:rsid w:val="005C648B"/>
    <w:rsid w:val="005C7A10"/>
    <w:rsid w:val="005D13B5"/>
    <w:rsid w:val="005D298B"/>
    <w:rsid w:val="005D4093"/>
    <w:rsid w:val="005D4ADC"/>
    <w:rsid w:val="005D5BB5"/>
    <w:rsid w:val="005D6EC0"/>
    <w:rsid w:val="005E1D7F"/>
    <w:rsid w:val="005E2069"/>
    <w:rsid w:val="005E21D3"/>
    <w:rsid w:val="005E4557"/>
    <w:rsid w:val="005E73D2"/>
    <w:rsid w:val="005E74AE"/>
    <w:rsid w:val="005F31C9"/>
    <w:rsid w:val="005F3B7D"/>
    <w:rsid w:val="005F49EB"/>
    <w:rsid w:val="005F4C5A"/>
    <w:rsid w:val="005F4DC8"/>
    <w:rsid w:val="005F5B8E"/>
    <w:rsid w:val="0060072C"/>
    <w:rsid w:val="00601E13"/>
    <w:rsid w:val="00602D5C"/>
    <w:rsid w:val="0060374A"/>
    <w:rsid w:val="00604EDB"/>
    <w:rsid w:val="006059ED"/>
    <w:rsid w:val="00607FBD"/>
    <w:rsid w:val="0061007F"/>
    <w:rsid w:val="00612DDC"/>
    <w:rsid w:val="0061301A"/>
    <w:rsid w:val="00613B30"/>
    <w:rsid w:val="0061439E"/>
    <w:rsid w:val="006143D5"/>
    <w:rsid w:val="006163BF"/>
    <w:rsid w:val="00620682"/>
    <w:rsid w:val="0062144D"/>
    <w:rsid w:val="00621CD2"/>
    <w:rsid w:val="0062269F"/>
    <w:rsid w:val="00623209"/>
    <w:rsid w:val="006232FC"/>
    <w:rsid w:val="00625332"/>
    <w:rsid w:val="00630006"/>
    <w:rsid w:val="00631743"/>
    <w:rsid w:val="006317C5"/>
    <w:rsid w:val="00632276"/>
    <w:rsid w:val="00633105"/>
    <w:rsid w:val="00633C89"/>
    <w:rsid w:val="006344A9"/>
    <w:rsid w:val="00634764"/>
    <w:rsid w:val="00637775"/>
    <w:rsid w:val="00637BA6"/>
    <w:rsid w:val="00640717"/>
    <w:rsid w:val="00641CCB"/>
    <w:rsid w:val="00643DAB"/>
    <w:rsid w:val="006451CC"/>
    <w:rsid w:val="0064582F"/>
    <w:rsid w:val="00645E39"/>
    <w:rsid w:val="00645EE0"/>
    <w:rsid w:val="00652177"/>
    <w:rsid w:val="006527C3"/>
    <w:rsid w:val="0065389C"/>
    <w:rsid w:val="006540CE"/>
    <w:rsid w:val="006556A1"/>
    <w:rsid w:val="00660945"/>
    <w:rsid w:val="006613E8"/>
    <w:rsid w:val="006619B6"/>
    <w:rsid w:val="006627EA"/>
    <w:rsid w:val="00662E99"/>
    <w:rsid w:val="006641AE"/>
    <w:rsid w:val="00664E5F"/>
    <w:rsid w:val="00664F7B"/>
    <w:rsid w:val="00670313"/>
    <w:rsid w:val="006705BE"/>
    <w:rsid w:val="006717CC"/>
    <w:rsid w:val="006739E4"/>
    <w:rsid w:val="00674DDC"/>
    <w:rsid w:val="0067625A"/>
    <w:rsid w:val="006809A7"/>
    <w:rsid w:val="006814D2"/>
    <w:rsid w:val="00681E2D"/>
    <w:rsid w:val="00681F72"/>
    <w:rsid w:val="006820D0"/>
    <w:rsid w:val="00683DA9"/>
    <w:rsid w:val="00685309"/>
    <w:rsid w:val="006853B3"/>
    <w:rsid w:val="00685EF9"/>
    <w:rsid w:val="0068625F"/>
    <w:rsid w:val="00687072"/>
    <w:rsid w:val="00687F2C"/>
    <w:rsid w:val="0069033B"/>
    <w:rsid w:val="006916A8"/>
    <w:rsid w:val="0069186E"/>
    <w:rsid w:val="00691B8C"/>
    <w:rsid w:val="00692217"/>
    <w:rsid w:val="006958B4"/>
    <w:rsid w:val="00696215"/>
    <w:rsid w:val="006A2332"/>
    <w:rsid w:val="006A296B"/>
    <w:rsid w:val="006A3AE1"/>
    <w:rsid w:val="006A48FE"/>
    <w:rsid w:val="006A5B82"/>
    <w:rsid w:val="006A5BE9"/>
    <w:rsid w:val="006A5EBD"/>
    <w:rsid w:val="006A7314"/>
    <w:rsid w:val="006B089E"/>
    <w:rsid w:val="006B1342"/>
    <w:rsid w:val="006B56CE"/>
    <w:rsid w:val="006B6EE7"/>
    <w:rsid w:val="006B7F05"/>
    <w:rsid w:val="006C0619"/>
    <w:rsid w:val="006C0BA6"/>
    <w:rsid w:val="006C1BC2"/>
    <w:rsid w:val="006C3B86"/>
    <w:rsid w:val="006C3C7F"/>
    <w:rsid w:val="006C4F55"/>
    <w:rsid w:val="006C58ED"/>
    <w:rsid w:val="006C6E20"/>
    <w:rsid w:val="006D09C3"/>
    <w:rsid w:val="006D0B95"/>
    <w:rsid w:val="006D260D"/>
    <w:rsid w:val="006D2C8E"/>
    <w:rsid w:val="006D38AE"/>
    <w:rsid w:val="006D3A75"/>
    <w:rsid w:val="006D4191"/>
    <w:rsid w:val="006D4A72"/>
    <w:rsid w:val="006D5CDF"/>
    <w:rsid w:val="006E0504"/>
    <w:rsid w:val="006E0E37"/>
    <w:rsid w:val="006E1C77"/>
    <w:rsid w:val="006E2127"/>
    <w:rsid w:val="006E2973"/>
    <w:rsid w:val="006E297F"/>
    <w:rsid w:val="006E4E90"/>
    <w:rsid w:val="006F057C"/>
    <w:rsid w:val="006F2969"/>
    <w:rsid w:val="006F305A"/>
    <w:rsid w:val="006F5466"/>
    <w:rsid w:val="006F60C4"/>
    <w:rsid w:val="006F71B8"/>
    <w:rsid w:val="00700EC0"/>
    <w:rsid w:val="00702879"/>
    <w:rsid w:val="00702CCB"/>
    <w:rsid w:val="00703316"/>
    <w:rsid w:val="00703E97"/>
    <w:rsid w:val="007042B9"/>
    <w:rsid w:val="00705201"/>
    <w:rsid w:val="00706DEA"/>
    <w:rsid w:val="0070723C"/>
    <w:rsid w:val="007075F8"/>
    <w:rsid w:val="00710332"/>
    <w:rsid w:val="0071086C"/>
    <w:rsid w:val="00710DDB"/>
    <w:rsid w:val="00711144"/>
    <w:rsid w:val="007156DB"/>
    <w:rsid w:val="0071688F"/>
    <w:rsid w:val="00720702"/>
    <w:rsid w:val="007226DE"/>
    <w:rsid w:val="0072383E"/>
    <w:rsid w:val="00724A36"/>
    <w:rsid w:val="00725029"/>
    <w:rsid w:val="00726B31"/>
    <w:rsid w:val="00726B84"/>
    <w:rsid w:val="00732005"/>
    <w:rsid w:val="00733AD6"/>
    <w:rsid w:val="00733F62"/>
    <w:rsid w:val="00734C96"/>
    <w:rsid w:val="0073518E"/>
    <w:rsid w:val="007357FA"/>
    <w:rsid w:val="00737C1B"/>
    <w:rsid w:val="00740230"/>
    <w:rsid w:val="00740606"/>
    <w:rsid w:val="0074069C"/>
    <w:rsid w:val="007428EE"/>
    <w:rsid w:val="00743DB6"/>
    <w:rsid w:val="00744656"/>
    <w:rsid w:val="00744B1F"/>
    <w:rsid w:val="00745C4B"/>
    <w:rsid w:val="00750D53"/>
    <w:rsid w:val="007512DC"/>
    <w:rsid w:val="007515C3"/>
    <w:rsid w:val="00752124"/>
    <w:rsid w:val="00752161"/>
    <w:rsid w:val="007524BF"/>
    <w:rsid w:val="007524DD"/>
    <w:rsid w:val="007553FD"/>
    <w:rsid w:val="00755451"/>
    <w:rsid w:val="0075644F"/>
    <w:rsid w:val="007609B7"/>
    <w:rsid w:val="00760D70"/>
    <w:rsid w:val="00761D8C"/>
    <w:rsid w:val="00762006"/>
    <w:rsid w:val="00762581"/>
    <w:rsid w:val="00763358"/>
    <w:rsid w:val="00767978"/>
    <w:rsid w:val="00767CC9"/>
    <w:rsid w:val="00772F86"/>
    <w:rsid w:val="007745AC"/>
    <w:rsid w:val="00774BF7"/>
    <w:rsid w:val="00775213"/>
    <w:rsid w:val="0078326B"/>
    <w:rsid w:val="007835E1"/>
    <w:rsid w:val="00784C3E"/>
    <w:rsid w:val="007864A0"/>
    <w:rsid w:val="007864F9"/>
    <w:rsid w:val="00786AC9"/>
    <w:rsid w:val="00787727"/>
    <w:rsid w:val="007910A5"/>
    <w:rsid w:val="00791C53"/>
    <w:rsid w:val="00793067"/>
    <w:rsid w:val="00794A05"/>
    <w:rsid w:val="00794EB1"/>
    <w:rsid w:val="0079555B"/>
    <w:rsid w:val="00796443"/>
    <w:rsid w:val="00796673"/>
    <w:rsid w:val="0079696C"/>
    <w:rsid w:val="007973AD"/>
    <w:rsid w:val="007A1A03"/>
    <w:rsid w:val="007A3930"/>
    <w:rsid w:val="007A43DE"/>
    <w:rsid w:val="007B0D17"/>
    <w:rsid w:val="007B1EF3"/>
    <w:rsid w:val="007B2831"/>
    <w:rsid w:val="007B4453"/>
    <w:rsid w:val="007B44EA"/>
    <w:rsid w:val="007B5328"/>
    <w:rsid w:val="007B66F7"/>
    <w:rsid w:val="007B6F8A"/>
    <w:rsid w:val="007C0CD6"/>
    <w:rsid w:val="007D017F"/>
    <w:rsid w:val="007D432E"/>
    <w:rsid w:val="007D4B77"/>
    <w:rsid w:val="007D4F63"/>
    <w:rsid w:val="007D5A39"/>
    <w:rsid w:val="007E060E"/>
    <w:rsid w:val="007E11F2"/>
    <w:rsid w:val="007E1C10"/>
    <w:rsid w:val="007E21F5"/>
    <w:rsid w:val="007E39AE"/>
    <w:rsid w:val="007E3C48"/>
    <w:rsid w:val="007E4304"/>
    <w:rsid w:val="007E45FB"/>
    <w:rsid w:val="007E7CCB"/>
    <w:rsid w:val="007F045E"/>
    <w:rsid w:val="007F2D3D"/>
    <w:rsid w:val="007F2D43"/>
    <w:rsid w:val="007F3727"/>
    <w:rsid w:val="007F4325"/>
    <w:rsid w:val="007F7F04"/>
    <w:rsid w:val="008004FE"/>
    <w:rsid w:val="008005D6"/>
    <w:rsid w:val="00800915"/>
    <w:rsid w:val="008032C0"/>
    <w:rsid w:val="0080461E"/>
    <w:rsid w:val="00804D08"/>
    <w:rsid w:val="008054D3"/>
    <w:rsid w:val="008148B3"/>
    <w:rsid w:val="00815CCF"/>
    <w:rsid w:val="008163D2"/>
    <w:rsid w:val="008204E3"/>
    <w:rsid w:val="0082089A"/>
    <w:rsid w:val="00823C17"/>
    <w:rsid w:val="008250AA"/>
    <w:rsid w:val="00825688"/>
    <w:rsid w:val="008264EA"/>
    <w:rsid w:val="0082667C"/>
    <w:rsid w:val="00826D08"/>
    <w:rsid w:val="00827D72"/>
    <w:rsid w:val="00827DEE"/>
    <w:rsid w:val="00835B4F"/>
    <w:rsid w:val="00836AE2"/>
    <w:rsid w:val="00840A6C"/>
    <w:rsid w:val="00842487"/>
    <w:rsid w:val="00843174"/>
    <w:rsid w:val="0084379D"/>
    <w:rsid w:val="0084421B"/>
    <w:rsid w:val="0084483B"/>
    <w:rsid w:val="00846285"/>
    <w:rsid w:val="00847B70"/>
    <w:rsid w:val="00850869"/>
    <w:rsid w:val="008509F0"/>
    <w:rsid w:val="008514FB"/>
    <w:rsid w:val="00851AED"/>
    <w:rsid w:val="0085286D"/>
    <w:rsid w:val="00852C3F"/>
    <w:rsid w:val="00853674"/>
    <w:rsid w:val="00854D0A"/>
    <w:rsid w:val="00855466"/>
    <w:rsid w:val="00856461"/>
    <w:rsid w:val="00856C3F"/>
    <w:rsid w:val="00856DBF"/>
    <w:rsid w:val="00857959"/>
    <w:rsid w:val="008612DF"/>
    <w:rsid w:val="008613B5"/>
    <w:rsid w:val="00864C79"/>
    <w:rsid w:val="00865C45"/>
    <w:rsid w:val="00865C59"/>
    <w:rsid w:val="00866B6C"/>
    <w:rsid w:val="008674B4"/>
    <w:rsid w:val="00871108"/>
    <w:rsid w:val="00871564"/>
    <w:rsid w:val="008746FF"/>
    <w:rsid w:val="00874AC3"/>
    <w:rsid w:val="00875BAC"/>
    <w:rsid w:val="00880BBF"/>
    <w:rsid w:val="00884D3F"/>
    <w:rsid w:val="008860B2"/>
    <w:rsid w:val="008906CD"/>
    <w:rsid w:val="008934BB"/>
    <w:rsid w:val="00894324"/>
    <w:rsid w:val="008945FD"/>
    <w:rsid w:val="0089520E"/>
    <w:rsid w:val="00897920"/>
    <w:rsid w:val="008A3BDF"/>
    <w:rsid w:val="008A50CB"/>
    <w:rsid w:val="008A5401"/>
    <w:rsid w:val="008A56E8"/>
    <w:rsid w:val="008A5B31"/>
    <w:rsid w:val="008A6059"/>
    <w:rsid w:val="008B08B2"/>
    <w:rsid w:val="008B0A23"/>
    <w:rsid w:val="008B294B"/>
    <w:rsid w:val="008B3318"/>
    <w:rsid w:val="008B3DEF"/>
    <w:rsid w:val="008B610C"/>
    <w:rsid w:val="008B7816"/>
    <w:rsid w:val="008B7B3D"/>
    <w:rsid w:val="008C114B"/>
    <w:rsid w:val="008C2F01"/>
    <w:rsid w:val="008C38BB"/>
    <w:rsid w:val="008C3B04"/>
    <w:rsid w:val="008C5FEA"/>
    <w:rsid w:val="008C70AA"/>
    <w:rsid w:val="008D123F"/>
    <w:rsid w:val="008D7B88"/>
    <w:rsid w:val="008E188E"/>
    <w:rsid w:val="008E1B47"/>
    <w:rsid w:val="008E32C1"/>
    <w:rsid w:val="008E33E3"/>
    <w:rsid w:val="008E5726"/>
    <w:rsid w:val="008E57AC"/>
    <w:rsid w:val="008E6F36"/>
    <w:rsid w:val="008F3352"/>
    <w:rsid w:val="008F4B7C"/>
    <w:rsid w:val="008F614A"/>
    <w:rsid w:val="008F70A9"/>
    <w:rsid w:val="008F7C07"/>
    <w:rsid w:val="00900312"/>
    <w:rsid w:val="0090071D"/>
    <w:rsid w:val="00901E95"/>
    <w:rsid w:val="00902BFA"/>
    <w:rsid w:val="00903B69"/>
    <w:rsid w:val="00904C4F"/>
    <w:rsid w:val="00904E7A"/>
    <w:rsid w:val="00905E6E"/>
    <w:rsid w:val="00906D23"/>
    <w:rsid w:val="00907487"/>
    <w:rsid w:val="00910C38"/>
    <w:rsid w:val="00911657"/>
    <w:rsid w:val="00911970"/>
    <w:rsid w:val="00912109"/>
    <w:rsid w:val="009128D8"/>
    <w:rsid w:val="00914871"/>
    <w:rsid w:val="00914EC3"/>
    <w:rsid w:val="00916CF5"/>
    <w:rsid w:val="00917F1A"/>
    <w:rsid w:val="00920217"/>
    <w:rsid w:val="00920380"/>
    <w:rsid w:val="00920896"/>
    <w:rsid w:val="00924EFE"/>
    <w:rsid w:val="009265B6"/>
    <w:rsid w:val="00927593"/>
    <w:rsid w:val="00931252"/>
    <w:rsid w:val="00932239"/>
    <w:rsid w:val="0093291B"/>
    <w:rsid w:val="00933160"/>
    <w:rsid w:val="00933D9A"/>
    <w:rsid w:val="00936D70"/>
    <w:rsid w:val="00940446"/>
    <w:rsid w:val="009406FF"/>
    <w:rsid w:val="009437B2"/>
    <w:rsid w:val="0094394B"/>
    <w:rsid w:val="00944377"/>
    <w:rsid w:val="00944876"/>
    <w:rsid w:val="0094548E"/>
    <w:rsid w:val="0094603F"/>
    <w:rsid w:val="00947867"/>
    <w:rsid w:val="009478F9"/>
    <w:rsid w:val="00950432"/>
    <w:rsid w:val="00950C42"/>
    <w:rsid w:val="00951269"/>
    <w:rsid w:val="00953A76"/>
    <w:rsid w:val="00956CBE"/>
    <w:rsid w:val="00957C84"/>
    <w:rsid w:val="00961625"/>
    <w:rsid w:val="00961C8F"/>
    <w:rsid w:val="00961D8A"/>
    <w:rsid w:val="009621EE"/>
    <w:rsid w:val="00962A87"/>
    <w:rsid w:val="00964920"/>
    <w:rsid w:val="00966786"/>
    <w:rsid w:val="009674F1"/>
    <w:rsid w:val="00967974"/>
    <w:rsid w:val="00967B06"/>
    <w:rsid w:val="00971A4D"/>
    <w:rsid w:val="00972B91"/>
    <w:rsid w:val="00972C70"/>
    <w:rsid w:val="0097350E"/>
    <w:rsid w:val="009738DD"/>
    <w:rsid w:val="00973A37"/>
    <w:rsid w:val="009755FA"/>
    <w:rsid w:val="00977A57"/>
    <w:rsid w:val="00980E3C"/>
    <w:rsid w:val="00981348"/>
    <w:rsid w:val="0098225F"/>
    <w:rsid w:val="00983299"/>
    <w:rsid w:val="00983F6D"/>
    <w:rsid w:val="0098402D"/>
    <w:rsid w:val="009842CC"/>
    <w:rsid w:val="0098658D"/>
    <w:rsid w:val="00990DCB"/>
    <w:rsid w:val="00991046"/>
    <w:rsid w:val="009934D5"/>
    <w:rsid w:val="00995FDB"/>
    <w:rsid w:val="009966A1"/>
    <w:rsid w:val="009A0E79"/>
    <w:rsid w:val="009A1B3E"/>
    <w:rsid w:val="009A2852"/>
    <w:rsid w:val="009A3E34"/>
    <w:rsid w:val="009A4D3C"/>
    <w:rsid w:val="009A51DC"/>
    <w:rsid w:val="009A7F45"/>
    <w:rsid w:val="009B0A6B"/>
    <w:rsid w:val="009B17D1"/>
    <w:rsid w:val="009B1D77"/>
    <w:rsid w:val="009B2CDE"/>
    <w:rsid w:val="009B3ED8"/>
    <w:rsid w:val="009B40DE"/>
    <w:rsid w:val="009B528B"/>
    <w:rsid w:val="009B7428"/>
    <w:rsid w:val="009C0EE3"/>
    <w:rsid w:val="009C1254"/>
    <w:rsid w:val="009C168A"/>
    <w:rsid w:val="009C433E"/>
    <w:rsid w:val="009C4483"/>
    <w:rsid w:val="009C55DE"/>
    <w:rsid w:val="009D0676"/>
    <w:rsid w:val="009D0FDB"/>
    <w:rsid w:val="009D1CE5"/>
    <w:rsid w:val="009D2282"/>
    <w:rsid w:val="009D2B14"/>
    <w:rsid w:val="009D43C2"/>
    <w:rsid w:val="009D4908"/>
    <w:rsid w:val="009D66AA"/>
    <w:rsid w:val="009E0C5F"/>
    <w:rsid w:val="009E1170"/>
    <w:rsid w:val="009E2422"/>
    <w:rsid w:val="009E308C"/>
    <w:rsid w:val="009E4097"/>
    <w:rsid w:val="009E588B"/>
    <w:rsid w:val="009E705E"/>
    <w:rsid w:val="009E73D3"/>
    <w:rsid w:val="009E772D"/>
    <w:rsid w:val="009E7ED7"/>
    <w:rsid w:val="009F133D"/>
    <w:rsid w:val="009F2313"/>
    <w:rsid w:val="009F2D82"/>
    <w:rsid w:val="009F36DE"/>
    <w:rsid w:val="009F3EE4"/>
    <w:rsid w:val="009F4D94"/>
    <w:rsid w:val="009F547A"/>
    <w:rsid w:val="009F6EE8"/>
    <w:rsid w:val="009F7099"/>
    <w:rsid w:val="009F70F3"/>
    <w:rsid w:val="00A00093"/>
    <w:rsid w:val="00A00C1C"/>
    <w:rsid w:val="00A01916"/>
    <w:rsid w:val="00A02D78"/>
    <w:rsid w:val="00A05006"/>
    <w:rsid w:val="00A050A7"/>
    <w:rsid w:val="00A10531"/>
    <w:rsid w:val="00A1067A"/>
    <w:rsid w:val="00A120FB"/>
    <w:rsid w:val="00A13D6C"/>
    <w:rsid w:val="00A155E0"/>
    <w:rsid w:val="00A158E9"/>
    <w:rsid w:val="00A20694"/>
    <w:rsid w:val="00A228E1"/>
    <w:rsid w:val="00A22C13"/>
    <w:rsid w:val="00A30B64"/>
    <w:rsid w:val="00A32890"/>
    <w:rsid w:val="00A3327A"/>
    <w:rsid w:val="00A338BE"/>
    <w:rsid w:val="00A346B2"/>
    <w:rsid w:val="00A34DE2"/>
    <w:rsid w:val="00A35319"/>
    <w:rsid w:val="00A36C20"/>
    <w:rsid w:val="00A37D2D"/>
    <w:rsid w:val="00A42E08"/>
    <w:rsid w:val="00A43164"/>
    <w:rsid w:val="00A43A8F"/>
    <w:rsid w:val="00A44310"/>
    <w:rsid w:val="00A4451A"/>
    <w:rsid w:val="00A45DC4"/>
    <w:rsid w:val="00A47788"/>
    <w:rsid w:val="00A505C9"/>
    <w:rsid w:val="00A535CD"/>
    <w:rsid w:val="00A53C3C"/>
    <w:rsid w:val="00A53CA7"/>
    <w:rsid w:val="00A557E6"/>
    <w:rsid w:val="00A55E20"/>
    <w:rsid w:val="00A57D0B"/>
    <w:rsid w:val="00A57D16"/>
    <w:rsid w:val="00A61F08"/>
    <w:rsid w:val="00A6215B"/>
    <w:rsid w:val="00A6248E"/>
    <w:rsid w:val="00A62567"/>
    <w:rsid w:val="00A64EFA"/>
    <w:rsid w:val="00A6521A"/>
    <w:rsid w:val="00A663D4"/>
    <w:rsid w:val="00A70989"/>
    <w:rsid w:val="00A72AB9"/>
    <w:rsid w:val="00A72D21"/>
    <w:rsid w:val="00A73196"/>
    <w:rsid w:val="00A74091"/>
    <w:rsid w:val="00A759F8"/>
    <w:rsid w:val="00A761B1"/>
    <w:rsid w:val="00A7644A"/>
    <w:rsid w:val="00A77393"/>
    <w:rsid w:val="00A77B93"/>
    <w:rsid w:val="00A77CEC"/>
    <w:rsid w:val="00A805BB"/>
    <w:rsid w:val="00A8128C"/>
    <w:rsid w:val="00A82B7F"/>
    <w:rsid w:val="00A836DD"/>
    <w:rsid w:val="00A847A3"/>
    <w:rsid w:val="00A86042"/>
    <w:rsid w:val="00A86139"/>
    <w:rsid w:val="00A865B6"/>
    <w:rsid w:val="00A86655"/>
    <w:rsid w:val="00A86A42"/>
    <w:rsid w:val="00A874EA"/>
    <w:rsid w:val="00A876A6"/>
    <w:rsid w:val="00A87CEC"/>
    <w:rsid w:val="00A90645"/>
    <w:rsid w:val="00A90BC2"/>
    <w:rsid w:val="00A91070"/>
    <w:rsid w:val="00A9243B"/>
    <w:rsid w:val="00A9412E"/>
    <w:rsid w:val="00A9415E"/>
    <w:rsid w:val="00A94A98"/>
    <w:rsid w:val="00A95CD6"/>
    <w:rsid w:val="00A95DDF"/>
    <w:rsid w:val="00A96775"/>
    <w:rsid w:val="00AA104A"/>
    <w:rsid w:val="00AA1D84"/>
    <w:rsid w:val="00AA384F"/>
    <w:rsid w:val="00AA3C67"/>
    <w:rsid w:val="00AA3EA5"/>
    <w:rsid w:val="00AA6142"/>
    <w:rsid w:val="00AA768A"/>
    <w:rsid w:val="00AA7C39"/>
    <w:rsid w:val="00AA7EE7"/>
    <w:rsid w:val="00AB0C4E"/>
    <w:rsid w:val="00AB3E7C"/>
    <w:rsid w:val="00AC095B"/>
    <w:rsid w:val="00AC16FD"/>
    <w:rsid w:val="00AC2DF8"/>
    <w:rsid w:val="00AC31EE"/>
    <w:rsid w:val="00AC4EAA"/>
    <w:rsid w:val="00AC5413"/>
    <w:rsid w:val="00AC6B21"/>
    <w:rsid w:val="00AC7A9D"/>
    <w:rsid w:val="00AC7C4C"/>
    <w:rsid w:val="00AD02D9"/>
    <w:rsid w:val="00AD2831"/>
    <w:rsid w:val="00AD2DB7"/>
    <w:rsid w:val="00AD3839"/>
    <w:rsid w:val="00AD3B75"/>
    <w:rsid w:val="00AD5147"/>
    <w:rsid w:val="00AD5C46"/>
    <w:rsid w:val="00AE0455"/>
    <w:rsid w:val="00AE0E5E"/>
    <w:rsid w:val="00AE1229"/>
    <w:rsid w:val="00AE18A8"/>
    <w:rsid w:val="00AE1D25"/>
    <w:rsid w:val="00AE2948"/>
    <w:rsid w:val="00AE3ABA"/>
    <w:rsid w:val="00AE4487"/>
    <w:rsid w:val="00AE6477"/>
    <w:rsid w:val="00AE659B"/>
    <w:rsid w:val="00AF095D"/>
    <w:rsid w:val="00AF3F50"/>
    <w:rsid w:val="00AF4698"/>
    <w:rsid w:val="00AF4B56"/>
    <w:rsid w:val="00AF52A4"/>
    <w:rsid w:val="00AF66EA"/>
    <w:rsid w:val="00B04879"/>
    <w:rsid w:val="00B04C29"/>
    <w:rsid w:val="00B04DED"/>
    <w:rsid w:val="00B04F54"/>
    <w:rsid w:val="00B060A4"/>
    <w:rsid w:val="00B07936"/>
    <w:rsid w:val="00B11F0D"/>
    <w:rsid w:val="00B12500"/>
    <w:rsid w:val="00B14654"/>
    <w:rsid w:val="00B2085A"/>
    <w:rsid w:val="00B22388"/>
    <w:rsid w:val="00B23675"/>
    <w:rsid w:val="00B2667D"/>
    <w:rsid w:val="00B26C61"/>
    <w:rsid w:val="00B34285"/>
    <w:rsid w:val="00B3446B"/>
    <w:rsid w:val="00B348A0"/>
    <w:rsid w:val="00B35F1C"/>
    <w:rsid w:val="00B362B6"/>
    <w:rsid w:val="00B36AF5"/>
    <w:rsid w:val="00B374B9"/>
    <w:rsid w:val="00B3796C"/>
    <w:rsid w:val="00B37FEC"/>
    <w:rsid w:val="00B4011A"/>
    <w:rsid w:val="00B4042C"/>
    <w:rsid w:val="00B41801"/>
    <w:rsid w:val="00B4246F"/>
    <w:rsid w:val="00B42DA7"/>
    <w:rsid w:val="00B438AD"/>
    <w:rsid w:val="00B47C9F"/>
    <w:rsid w:val="00B5003E"/>
    <w:rsid w:val="00B50229"/>
    <w:rsid w:val="00B504CA"/>
    <w:rsid w:val="00B51AF3"/>
    <w:rsid w:val="00B52995"/>
    <w:rsid w:val="00B55273"/>
    <w:rsid w:val="00B55708"/>
    <w:rsid w:val="00B5571D"/>
    <w:rsid w:val="00B55850"/>
    <w:rsid w:val="00B56975"/>
    <w:rsid w:val="00B569BE"/>
    <w:rsid w:val="00B6515B"/>
    <w:rsid w:val="00B66125"/>
    <w:rsid w:val="00B707F0"/>
    <w:rsid w:val="00B70C84"/>
    <w:rsid w:val="00B72252"/>
    <w:rsid w:val="00B728B6"/>
    <w:rsid w:val="00B7331D"/>
    <w:rsid w:val="00B73793"/>
    <w:rsid w:val="00B73A5D"/>
    <w:rsid w:val="00B73EA2"/>
    <w:rsid w:val="00B746C0"/>
    <w:rsid w:val="00B75238"/>
    <w:rsid w:val="00B75DBF"/>
    <w:rsid w:val="00B80F72"/>
    <w:rsid w:val="00B82215"/>
    <w:rsid w:val="00B8412B"/>
    <w:rsid w:val="00B86BD6"/>
    <w:rsid w:val="00B86E61"/>
    <w:rsid w:val="00B90744"/>
    <w:rsid w:val="00B91555"/>
    <w:rsid w:val="00B921CB"/>
    <w:rsid w:val="00B933A5"/>
    <w:rsid w:val="00B94959"/>
    <w:rsid w:val="00B94E58"/>
    <w:rsid w:val="00B96A3B"/>
    <w:rsid w:val="00BA04BE"/>
    <w:rsid w:val="00BA1436"/>
    <w:rsid w:val="00BA1B05"/>
    <w:rsid w:val="00BA1F45"/>
    <w:rsid w:val="00BA24C8"/>
    <w:rsid w:val="00BA2974"/>
    <w:rsid w:val="00BA2F43"/>
    <w:rsid w:val="00BA6F53"/>
    <w:rsid w:val="00BA77B1"/>
    <w:rsid w:val="00BB2409"/>
    <w:rsid w:val="00BB2ACD"/>
    <w:rsid w:val="00BB2C3C"/>
    <w:rsid w:val="00BB323D"/>
    <w:rsid w:val="00BB4138"/>
    <w:rsid w:val="00BB4D82"/>
    <w:rsid w:val="00BB5789"/>
    <w:rsid w:val="00BB6AC6"/>
    <w:rsid w:val="00BB71C8"/>
    <w:rsid w:val="00BC085F"/>
    <w:rsid w:val="00BC0BD9"/>
    <w:rsid w:val="00BC0F9C"/>
    <w:rsid w:val="00BC16B4"/>
    <w:rsid w:val="00BC1F78"/>
    <w:rsid w:val="00BC22B8"/>
    <w:rsid w:val="00BC304A"/>
    <w:rsid w:val="00BC3C8F"/>
    <w:rsid w:val="00BC5CB3"/>
    <w:rsid w:val="00BD1AFF"/>
    <w:rsid w:val="00BD24BF"/>
    <w:rsid w:val="00BD2543"/>
    <w:rsid w:val="00BD2DDF"/>
    <w:rsid w:val="00BD3FA6"/>
    <w:rsid w:val="00BD4464"/>
    <w:rsid w:val="00BD5E17"/>
    <w:rsid w:val="00BD6A91"/>
    <w:rsid w:val="00BD740D"/>
    <w:rsid w:val="00BE035D"/>
    <w:rsid w:val="00BE0CC1"/>
    <w:rsid w:val="00BE1729"/>
    <w:rsid w:val="00BE17AA"/>
    <w:rsid w:val="00BE1B8D"/>
    <w:rsid w:val="00BE4BAF"/>
    <w:rsid w:val="00BE4EAC"/>
    <w:rsid w:val="00BE792D"/>
    <w:rsid w:val="00BF0AD8"/>
    <w:rsid w:val="00BF1FC4"/>
    <w:rsid w:val="00BF2A9F"/>
    <w:rsid w:val="00BF4F09"/>
    <w:rsid w:val="00BF687F"/>
    <w:rsid w:val="00BF6B2B"/>
    <w:rsid w:val="00BF7C48"/>
    <w:rsid w:val="00C017FD"/>
    <w:rsid w:val="00C019AA"/>
    <w:rsid w:val="00C04730"/>
    <w:rsid w:val="00C04C22"/>
    <w:rsid w:val="00C04CFE"/>
    <w:rsid w:val="00C07631"/>
    <w:rsid w:val="00C07A8D"/>
    <w:rsid w:val="00C10A73"/>
    <w:rsid w:val="00C10BFF"/>
    <w:rsid w:val="00C10CAA"/>
    <w:rsid w:val="00C11FD9"/>
    <w:rsid w:val="00C157BE"/>
    <w:rsid w:val="00C15FE1"/>
    <w:rsid w:val="00C17818"/>
    <w:rsid w:val="00C23078"/>
    <w:rsid w:val="00C23D69"/>
    <w:rsid w:val="00C24A75"/>
    <w:rsid w:val="00C2525E"/>
    <w:rsid w:val="00C253AC"/>
    <w:rsid w:val="00C25D9D"/>
    <w:rsid w:val="00C2684B"/>
    <w:rsid w:val="00C26A86"/>
    <w:rsid w:val="00C3071B"/>
    <w:rsid w:val="00C30B00"/>
    <w:rsid w:val="00C335CF"/>
    <w:rsid w:val="00C3478E"/>
    <w:rsid w:val="00C3495B"/>
    <w:rsid w:val="00C36EA8"/>
    <w:rsid w:val="00C400F3"/>
    <w:rsid w:val="00C41552"/>
    <w:rsid w:val="00C430D4"/>
    <w:rsid w:val="00C43156"/>
    <w:rsid w:val="00C4753E"/>
    <w:rsid w:val="00C5122C"/>
    <w:rsid w:val="00C53382"/>
    <w:rsid w:val="00C54D9D"/>
    <w:rsid w:val="00C55D09"/>
    <w:rsid w:val="00C611D7"/>
    <w:rsid w:val="00C62EF5"/>
    <w:rsid w:val="00C72BE9"/>
    <w:rsid w:val="00C737AA"/>
    <w:rsid w:val="00C7609E"/>
    <w:rsid w:val="00C763DB"/>
    <w:rsid w:val="00C76F49"/>
    <w:rsid w:val="00C774E9"/>
    <w:rsid w:val="00C77C75"/>
    <w:rsid w:val="00C80807"/>
    <w:rsid w:val="00C80A39"/>
    <w:rsid w:val="00C8135D"/>
    <w:rsid w:val="00C8383C"/>
    <w:rsid w:val="00C8430A"/>
    <w:rsid w:val="00C862FA"/>
    <w:rsid w:val="00C8639F"/>
    <w:rsid w:val="00C87731"/>
    <w:rsid w:val="00C87DC8"/>
    <w:rsid w:val="00C909CC"/>
    <w:rsid w:val="00C93ABA"/>
    <w:rsid w:val="00C93F4F"/>
    <w:rsid w:val="00C9548A"/>
    <w:rsid w:val="00C965A0"/>
    <w:rsid w:val="00C96E8E"/>
    <w:rsid w:val="00C97017"/>
    <w:rsid w:val="00CA1A5F"/>
    <w:rsid w:val="00CA442B"/>
    <w:rsid w:val="00CA4CFA"/>
    <w:rsid w:val="00CA6B7A"/>
    <w:rsid w:val="00CA70BB"/>
    <w:rsid w:val="00CA77DA"/>
    <w:rsid w:val="00CB2312"/>
    <w:rsid w:val="00CB23FE"/>
    <w:rsid w:val="00CB3440"/>
    <w:rsid w:val="00CB4E3E"/>
    <w:rsid w:val="00CB5E03"/>
    <w:rsid w:val="00CB7B63"/>
    <w:rsid w:val="00CB7BFF"/>
    <w:rsid w:val="00CC049F"/>
    <w:rsid w:val="00CC0969"/>
    <w:rsid w:val="00CC16E0"/>
    <w:rsid w:val="00CC1B31"/>
    <w:rsid w:val="00CC3507"/>
    <w:rsid w:val="00CC3D13"/>
    <w:rsid w:val="00CC3E3F"/>
    <w:rsid w:val="00CC5080"/>
    <w:rsid w:val="00CD0ABA"/>
    <w:rsid w:val="00CD101D"/>
    <w:rsid w:val="00CD1185"/>
    <w:rsid w:val="00CD143C"/>
    <w:rsid w:val="00CD1A31"/>
    <w:rsid w:val="00CD1E75"/>
    <w:rsid w:val="00CD2915"/>
    <w:rsid w:val="00CD3D66"/>
    <w:rsid w:val="00CD3D71"/>
    <w:rsid w:val="00CD503F"/>
    <w:rsid w:val="00CD6FE9"/>
    <w:rsid w:val="00CE09B1"/>
    <w:rsid w:val="00CE0DEC"/>
    <w:rsid w:val="00CE2C1E"/>
    <w:rsid w:val="00CE4429"/>
    <w:rsid w:val="00CE447F"/>
    <w:rsid w:val="00CE7AFA"/>
    <w:rsid w:val="00CF08FA"/>
    <w:rsid w:val="00CF14F4"/>
    <w:rsid w:val="00CF274C"/>
    <w:rsid w:val="00CF2AE2"/>
    <w:rsid w:val="00CF2FE9"/>
    <w:rsid w:val="00CF4C0F"/>
    <w:rsid w:val="00CF5B9A"/>
    <w:rsid w:val="00D01214"/>
    <w:rsid w:val="00D02CCA"/>
    <w:rsid w:val="00D03254"/>
    <w:rsid w:val="00D03EB4"/>
    <w:rsid w:val="00D054E2"/>
    <w:rsid w:val="00D05662"/>
    <w:rsid w:val="00D05BC4"/>
    <w:rsid w:val="00D112A7"/>
    <w:rsid w:val="00D12F18"/>
    <w:rsid w:val="00D1308A"/>
    <w:rsid w:val="00D1322B"/>
    <w:rsid w:val="00D13903"/>
    <w:rsid w:val="00D14605"/>
    <w:rsid w:val="00D1641E"/>
    <w:rsid w:val="00D164DE"/>
    <w:rsid w:val="00D232BD"/>
    <w:rsid w:val="00D246F9"/>
    <w:rsid w:val="00D24AA9"/>
    <w:rsid w:val="00D25D9A"/>
    <w:rsid w:val="00D3363F"/>
    <w:rsid w:val="00D37C24"/>
    <w:rsid w:val="00D40DF5"/>
    <w:rsid w:val="00D41352"/>
    <w:rsid w:val="00D41D9E"/>
    <w:rsid w:val="00D4267C"/>
    <w:rsid w:val="00D43C1C"/>
    <w:rsid w:val="00D44A7B"/>
    <w:rsid w:val="00D452D7"/>
    <w:rsid w:val="00D452D9"/>
    <w:rsid w:val="00D45C98"/>
    <w:rsid w:val="00D45D7E"/>
    <w:rsid w:val="00D463BD"/>
    <w:rsid w:val="00D47AA2"/>
    <w:rsid w:val="00D50FB6"/>
    <w:rsid w:val="00D53EB5"/>
    <w:rsid w:val="00D54CDE"/>
    <w:rsid w:val="00D560BF"/>
    <w:rsid w:val="00D56743"/>
    <w:rsid w:val="00D57008"/>
    <w:rsid w:val="00D60431"/>
    <w:rsid w:val="00D6119C"/>
    <w:rsid w:val="00D663B8"/>
    <w:rsid w:val="00D677D5"/>
    <w:rsid w:val="00D70034"/>
    <w:rsid w:val="00D70089"/>
    <w:rsid w:val="00D71174"/>
    <w:rsid w:val="00D71313"/>
    <w:rsid w:val="00D74F25"/>
    <w:rsid w:val="00D77AF4"/>
    <w:rsid w:val="00D80CD8"/>
    <w:rsid w:val="00D826BD"/>
    <w:rsid w:val="00D83536"/>
    <w:rsid w:val="00D847CD"/>
    <w:rsid w:val="00D8633A"/>
    <w:rsid w:val="00D90AEE"/>
    <w:rsid w:val="00D9147A"/>
    <w:rsid w:val="00D9392C"/>
    <w:rsid w:val="00D95207"/>
    <w:rsid w:val="00D96E32"/>
    <w:rsid w:val="00D97B20"/>
    <w:rsid w:val="00DA3916"/>
    <w:rsid w:val="00DA60BF"/>
    <w:rsid w:val="00DA60FC"/>
    <w:rsid w:val="00DB072E"/>
    <w:rsid w:val="00DB0D68"/>
    <w:rsid w:val="00DB0EE6"/>
    <w:rsid w:val="00DB1ECB"/>
    <w:rsid w:val="00DB2D01"/>
    <w:rsid w:val="00DB3434"/>
    <w:rsid w:val="00DB3BEE"/>
    <w:rsid w:val="00DB3E7B"/>
    <w:rsid w:val="00DB4B5C"/>
    <w:rsid w:val="00DB4F37"/>
    <w:rsid w:val="00DB4FAC"/>
    <w:rsid w:val="00DB797D"/>
    <w:rsid w:val="00DC0CDB"/>
    <w:rsid w:val="00DC2D80"/>
    <w:rsid w:val="00DC4A94"/>
    <w:rsid w:val="00DC540E"/>
    <w:rsid w:val="00DC697A"/>
    <w:rsid w:val="00DC760A"/>
    <w:rsid w:val="00DD3128"/>
    <w:rsid w:val="00DD4673"/>
    <w:rsid w:val="00DD47AC"/>
    <w:rsid w:val="00DD5579"/>
    <w:rsid w:val="00DD7AAA"/>
    <w:rsid w:val="00DE05D8"/>
    <w:rsid w:val="00DE06E3"/>
    <w:rsid w:val="00DE3BC3"/>
    <w:rsid w:val="00DE421D"/>
    <w:rsid w:val="00DE48E8"/>
    <w:rsid w:val="00DE53E6"/>
    <w:rsid w:val="00DE5EF6"/>
    <w:rsid w:val="00DE6AE1"/>
    <w:rsid w:val="00DE7709"/>
    <w:rsid w:val="00DF3B36"/>
    <w:rsid w:val="00DF46D5"/>
    <w:rsid w:val="00E01DE9"/>
    <w:rsid w:val="00E029FC"/>
    <w:rsid w:val="00E04916"/>
    <w:rsid w:val="00E067F3"/>
    <w:rsid w:val="00E102D9"/>
    <w:rsid w:val="00E1098C"/>
    <w:rsid w:val="00E12333"/>
    <w:rsid w:val="00E128CE"/>
    <w:rsid w:val="00E12AD5"/>
    <w:rsid w:val="00E1367B"/>
    <w:rsid w:val="00E1428E"/>
    <w:rsid w:val="00E15582"/>
    <w:rsid w:val="00E15A6A"/>
    <w:rsid w:val="00E16A1A"/>
    <w:rsid w:val="00E17DD2"/>
    <w:rsid w:val="00E203F6"/>
    <w:rsid w:val="00E2120E"/>
    <w:rsid w:val="00E223FC"/>
    <w:rsid w:val="00E2311C"/>
    <w:rsid w:val="00E23340"/>
    <w:rsid w:val="00E23662"/>
    <w:rsid w:val="00E25B4E"/>
    <w:rsid w:val="00E26CDF"/>
    <w:rsid w:val="00E272A9"/>
    <w:rsid w:val="00E2756E"/>
    <w:rsid w:val="00E324D8"/>
    <w:rsid w:val="00E32A12"/>
    <w:rsid w:val="00E32D57"/>
    <w:rsid w:val="00E34A69"/>
    <w:rsid w:val="00E35D3E"/>
    <w:rsid w:val="00E366F4"/>
    <w:rsid w:val="00E37232"/>
    <w:rsid w:val="00E4134A"/>
    <w:rsid w:val="00E415BA"/>
    <w:rsid w:val="00E42336"/>
    <w:rsid w:val="00E42D78"/>
    <w:rsid w:val="00E45B41"/>
    <w:rsid w:val="00E4669D"/>
    <w:rsid w:val="00E466C7"/>
    <w:rsid w:val="00E46A1E"/>
    <w:rsid w:val="00E5092E"/>
    <w:rsid w:val="00E535D5"/>
    <w:rsid w:val="00E5498C"/>
    <w:rsid w:val="00E5525E"/>
    <w:rsid w:val="00E5756E"/>
    <w:rsid w:val="00E576CC"/>
    <w:rsid w:val="00E62352"/>
    <w:rsid w:val="00E63BC8"/>
    <w:rsid w:val="00E64E88"/>
    <w:rsid w:val="00E65579"/>
    <w:rsid w:val="00E6745D"/>
    <w:rsid w:val="00E7102E"/>
    <w:rsid w:val="00E73078"/>
    <w:rsid w:val="00E739BF"/>
    <w:rsid w:val="00E73BD8"/>
    <w:rsid w:val="00E73D48"/>
    <w:rsid w:val="00E74FB3"/>
    <w:rsid w:val="00E771C2"/>
    <w:rsid w:val="00E77380"/>
    <w:rsid w:val="00E77A4E"/>
    <w:rsid w:val="00E8076B"/>
    <w:rsid w:val="00E81BC3"/>
    <w:rsid w:val="00E81E0F"/>
    <w:rsid w:val="00E81E26"/>
    <w:rsid w:val="00E83B6B"/>
    <w:rsid w:val="00E87190"/>
    <w:rsid w:val="00E9099A"/>
    <w:rsid w:val="00E92FB6"/>
    <w:rsid w:val="00E94A58"/>
    <w:rsid w:val="00E96594"/>
    <w:rsid w:val="00E97EB8"/>
    <w:rsid w:val="00EA02BA"/>
    <w:rsid w:val="00EA11E0"/>
    <w:rsid w:val="00EA15DD"/>
    <w:rsid w:val="00EA1AB0"/>
    <w:rsid w:val="00EA1D1D"/>
    <w:rsid w:val="00EA32A9"/>
    <w:rsid w:val="00EA4A15"/>
    <w:rsid w:val="00EA6688"/>
    <w:rsid w:val="00EB0BF8"/>
    <w:rsid w:val="00EB0C8F"/>
    <w:rsid w:val="00EB131C"/>
    <w:rsid w:val="00EB1819"/>
    <w:rsid w:val="00EB2C8B"/>
    <w:rsid w:val="00EB44AE"/>
    <w:rsid w:val="00EC0B34"/>
    <w:rsid w:val="00EC2EF3"/>
    <w:rsid w:val="00EC31AB"/>
    <w:rsid w:val="00EC428D"/>
    <w:rsid w:val="00EC531D"/>
    <w:rsid w:val="00EC55EF"/>
    <w:rsid w:val="00EC6A0B"/>
    <w:rsid w:val="00ED22A1"/>
    <w:rsid w:val="00ED3AE9"/>
    <w:rsid w:val="00ED5F9C"/>
    <w:rsid w:val="00ED7E8F"/>
    <w:rsid w:val="00EE0FEB"/>
    <w:rsid w:val="00EE1BBC"/>
    <w:rsid w:val="00EE2C5F"/>
    <w:rsid w:val="00EE3FA7"/>
    <w:rsid w:val="00EE5998"/>
    <w:rsid w:val="00EE69D1"/>
    <w:rsid w:val="00EE7EB3"/>
    <w:rsid w:val="00EF0E04"/>
    <w:rsid w:val="00EF11C4"/>
    <w:rsid w:val="00EF1A68"/>
    <w:rsid w:val="00EF2258"/>
    <w:rsid w:val="00EF2465"/>
    <w:rsid w:val="00EF28C3"/>
    <w:rsid w:val="00EF31A4"/>
    <w:rsid w:val="00EF3A7E"/>
    <w:rsid w:val="00EF423A"/>
    <w:rsid w:val="00EF4C1A"/>
    <w:rsid w:val="00EF4D6D"/>
    <w:rsid w:val="00EF6E52"/>
    <w:rsid w:val="00EF7215"/>
    <w:rsid w:val="00F0002D"/>
    <w:rsid w:val="00F007EA"/>
    <w:rsid w:val="00F00C2A"/>
    <w:rsid w:val="00F019A4"/>
    <w:rsid w:val="00F01B30"/>
    <w:rsid w:val="00F02C0A"/>
    <w:rsid w:val="00F030A6"/>
    <w:rsid w:val="00F04F1B"/>
    <w:rsid w:val="00F07892"/>
    <w:rsid w:val="00F07F61"/>
    <w:rsid w:val="00F1146E"/>
    <w:rsid w:val="00F13D24"/>
    <w:rsid w:val="00F13DFE"/>
    <w:rsid w:val="00F146E1"/>
    <w:rsid w:val="00F14BB6"/>
    <w:rsid w:val="00F162A6"/>
    <w:rsid w:val="00F16CA5"/>
    <w:rsid w:val="00F171D2"/>
    <w:rsid w:val="00F207CB"/>
    <w:rsid w:val="00F20D2D"/>
    <w:rsid w:val="00F21A8B"/>
    <w:rsid w:val="00F229AF"/>
    <w:rsid w:val="00F22A11"/>
    <w:rsid w:val="00F249CB"/>
    <w:rsid w:val="00F25891"/>
    <w:rsid w:val="00F25DA2"/>
    <w:rsid w:val="00F30B44"/>
    <w:rsid w:val="00F31C77"/>
    <w:rsid w:val="00F31ECC"/>
    <w:rsid w:val="00F327C1"/>
    <w:rsid w:val="00F327E7"/>
    <w:rsid w:val="00F32E03"/>
    <w:rsid w:val="00F344E3"/>
    <w:rsid w:val="00F3467D"/>
    <w:rsid w:val="00F3617C"/>
    <w:rsid w:val="00F37DEF"/>
    <w:rsid w:val="00F4027B"/>
    <w:rsid w:val="00F41D65"/>
    <w:rsid w:val="00F42350"/>
    <w:rsid w:val="00F4381A"/>
    <w:rsid w:val="00F454D8"/>
    <w:rsid w:val="00F47878"/>
    <w:rsid w:val="00F507CC"/>
    <w:rsid w:val="00F51FEB"/>
    <w:rsid w:val="00F53293"/>
    <w:rsid w:val="00F54A99"/>
    <w:rsid w:val="00F55B18"/>
    <w:rsid w:val="00F5665F"/>
    <w:rsid w:val="00F56969"/>
    <w:rsid w:val="00F606C8"/>
    <w:rsid w:val="00F60C71"/>
    <w:rsid w:val="00F60D0D"/>
    <w:rsid w:val="00F617E4"/>
    <w:rsid w:val="00F62FEB"/>
    <w:rsid w:val="00F6309F"/>
    <w:rsid w:val="00F660C7"/>
    <w:rsid w:val="00F70B0B"/>
    <w:rsid w:val="00F7252C"/>
    <w:rsid w:val="00F753C7"/>
    <w:rsid w:val="00F75DD5"/>
    <w:rsid w:val="00F8091D"/>
    <w:rsid w:val="00F80A0C"/>
    <w:rsid w:val="00F80C32"/>
    <w:rsid w:val="00F82B77"/>
    <w:rsid w:val="00F83220"/>
    <w:rsid w:val="00F83594"/>
    <w:rsid w:val="00F83E9E"/>
    <w:rsid w:val="00F85137"/>
    <w:rsid w:val="00F90342"/>
    <w:rsid w:val="00F90F77"/>
    <w:rsid w:val="00F95814"/>
    <w:rsid w:val="00F977D9"/>
    <w:rsid w:val="00FA01C2"/>
    <w:rsid w:val="00FA074C"/>
    <w:rsid w:val="00FA1A8C"/>
    <w:rsid w:val="00FA33F1"/>
    <w:rsid w:val="00FA355D"/>
    <w:rsid w:val="00FA664A"/>
    <w:rsid w:val="00FA787A"/>
    <w:rsid w:val="00FB0323"/>
    <w:rsid w:val="00FB217E"/>
    <w:rsid w:val="00FB3C56"/>
    <w:rsid w:val="00FB3F99"/>
    <w:rsid w:val="00FB61E4"/>
    <w:rsid w:val="00FB686C"/>
    <w:rsid w:val="00FC01B2"/>
    <w:rsid w:val="00FC0F4C"/>
    <w:rsid w:val="00FC3A3C"/>
    <w:rsid w:val="00FC474C"/>
    <w:rsid w:val="00FC4801"/>
    <w:rsid w:val="00FC7A2A"/>
    <w:rsid w:val="00FD09E1"/>
    <w:rsid w:val="00FD0CFF"/>
    <w:rsid w:val="00FD15C2"/>
    <w:rsid w:val="00FD1EA7"/>
    <w:rsid w:val="00FD1FC9"/>
    <w:rsid w:val="00FD216A"/>
    <w:rsid w:val="00FD30A4"/>
    <w:rsid w:val="00FD4A69"/>
    <w:rsid w:val="00FD4D40"/>
    <w:rsid w:val="00FD61BA"/>
    <w:rsid w:val="00FE06F8"/>
    <w:rsid w:val="00FE23EC"/>
    <w:rsid w:val="00FE25F4"/>
    <w:rsid w:val="00FE2669"/>
    <w:rsid w:val="00FE2B1F"/>
    <w:rsid w:val="00FE3112"/>
    <w:rsid w:val="00FE37C9"/>
    <w:rsid w:val="00FE511C"/>
    <w:rsid w:val="00FE5245"/>
    <w:rsid w:val="00FF272C"/>
    <w:rsid w:val="00FF4FC9"/>
    <w:rsid w:val="00FF56F1"/>
    <w:rsid w:val="00FF5F0A"/>
    <w:rsid w:val="00FF695B"/>
    <w:rsid w:val="00FF70E6"/>
    <w:rsid w:val="00FF7ED9"/>
    <w:rsid w:val="180E4F46"/>
    <w:rsid w:val="5D8A2BE8"/>
    <w:rsid w:val="604006C9"/>
    <w:rsid w:val="689B084F"/>
    <w:rsid w:val="6D1F42D0"/>
    <w:rsid w:val="75894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仿宋_GB2312" w:hAnsi="Times New Roman" w:eastAsia="仿宋_GB2312" w:cs="Times New Roman"/>
      <w:sz w:val="34"/>
      <w:szCs w:val="3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7"/>
    <w:qFormat/>
    <w:uiPriority w:val="0"/>
    <w:pPr>
      <w:keepNext/>
      <w:keepLines/>
      <w:autoSpaceDE/>
      <w:autoSpaceDN/>
      <w:adjustRightInd/>
      <w:spacing w:before="260" w:after="260" w:line="416" w:lineRule="auto"/>
      <w:jc w:val="both"/>
      <w:outlineLvl w:val="2"/>
    </w:pPr>
    <w:rPr>
      <w:rFonts w:ascii="Times New Roman" w:eastAsia="宋体"/>
      <w:b/>
      <w:bCs/>
      <w:kern w:val="2"/>
      <w:sz w:val="32"/>
      <w:szCs w:val="32"/>
    </w:rPr>
  </w:style>
  <w:style w:type="paragraph" w:styleId="4">
    <w:name w:val="heading 5"/>
    <w:basedOn w:val="1"/>
    <w:next w:val="1"/>
    <w:qFormat/>
    <w:uiPriority w:val="0"/>
    <w:pPr>
      <w:keepNext/>
      <w:keepLines/>
      <w:spacing w:before="280" w:after="290" w:line="374" w:lineRule="auto"/>
      <w:outlineLvl w:val="4"/>
    </w:pPr>
    <w:rPr>
      <w:rFonts w:hAnsi="宋体" w:cs="宋体"/>
      <w:b/>
      <w:bCs/>
      <w:sz w:val="28"/>
      <w:szCs w:val="28"/>
    </w:rPr>
  </w:style>
  <w:style w:type="paragraph" w:styleId="5">
    <w:name w:val="heading 6"/>
    <w:basedOn w:val="1"/>
    <w:next w:val="1"/>
    <w:qFormat/>
    <w:uiPriority w:val="0"/>
    <w:pPr>
      <w:keepNext/>
      <w:keepLines/>
      <w:spacing w:before="240" w:after="64" w:line="319" w:lineRule="auto"/>
      <w:outlineLvl w:val="5"/>
    </w:pPr>
    <w:rPr>
      <w:rFonts w:ascii="Arial" w:hAnsi="Arial" w:eastAsia="黑体"/>
      <w:b/>
      <w:bCs/>
      <w:sz w:val="24"/>
      <w:szCs w:val="24"/>
    </w:rPr>
  </w:style>
  <w:style w:type="character" w:default="1" w:styleId="19">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6">
    <w:name w:val="Document Map"/>
    <w:basedOn w:val="1"/>
    <w:link w:val="25"/>
    <w:qFormat/>
    <w:uiPriority w:val="0"/>
    <w:rPr>
      <w:rFonts w:ascii="宋体" w:eastAsia="宋体"/>
      <w:sz w:val="18"/>
      <w:szCs w:val="18"/>
    </w:rPr>
  </w:style>
  <w:style w:type="paragraph" w:styleId="7">
    <w:name w:val="annotation text"/>
    <w:basedOn w:val="1"/>
    <w:link w:val="23"/>
    <w:qFormat/>
    <w:uiPriority w:val="0"/>
  </w:style>
  <w:style w:type="paragraph" w:styleId="8">
    <w:name w:val="Body Text"/>
    <w:basedOn w:val="1"/>
    <w:qFormat/>
    <w:uiPriority w:val="0"/>
    <w:pPr>
      <w:autoSpaceDE/>
      <w:autoSpaceDN/>
      <w:spacing w:after="120" w:line="312" w:lineRule="atLeast"/>
      <w:jc w:val="both"/>
      <w:textAlignment w:val="baseline"/>
    </w:pPr>
    <w:rPr>
      <w:rFonts w:ascii="Times New Roman" w:eastAsia="创艺简仿宋"/>
      <w:sz w:val="24"/>
      <w:szCs w:val="20"/>
      <w:u w:val="single"/>
    </w:rPr>
  </w:style>
  <w:style w:type="paragraph" w:styleId="9">
    <w:name w:val="Body Text Indent"/>
    <w:basedOn w:val="1"/>
    <w:link w:val="29"/>
    <w:qFormat/>
    <w:uiPriority w:val="0"/>
    <w:pPr>
      <w:spacing w:after="120"/>
      <w:ind w:left="420" w:leftChars="200"/>
    </w:pPr>
  </w:style>
  <w:style w:type="paragraph" w:styleId="10">
    <w:name w:val="Plain Text"/>
    <w:basedOn w:val="1"/>
    <w:qFormat/>
    <w:uiPriority w:val="0"/>
    <w:pPr>
      <w:autoSpaceDE/>
      <w:autoSpaceDN/>
      <w:adjustRightInd/>
      <w:jc w:val="both"/>
    </w:pPr>
    <w:rPr>
      <w:rFonts w:ascii="宋体" w:hAnsi="Courier New" w:eastAsia="宋体"/>
      <w:kern w:val="2"/>
      <w:sz w:val="21"/>
      <w:szCs w:val="20"/>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link w:val="28"/>
    <w:qFormat/>
    <w:uiPriority w:val="99"/>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Normal (Web)"/>
    <w:basedOn w:val="1"/>
    <w:qFormat/>
    <w:uiPriority w:val="0"/>
    <w:pPr>
      <w:widowControl/>
      <w:autoSpaceDE/>
      <w:autoSpaceDN/>
      <w:adjustRightInd/>
      <w:spacing w:before="100" w:beforeAutospacing="1" w:after="100" w:afterAutospacing="1"/>
    </w:pPr>
    <w:rPr>
      <w:rFonts w:ascii="宋体" w:hAnsi="宋体" w:eastAsia="宋体" w:cs="宋体"/>
      <w:sz w:val="24"/>
      <w:szCs w:val="24"/>
    </w:rPr>
  </w:style>
  <w:style w:type="paragraph" w:styleId="17">
    <w:name w:val="annotation subject"/>
    <w:basedOn w:val="7"/>
    <w:next w:val="7"/>
    <w:link w:val="34"/>
    <w:qFormat/>
    <w:uiPriority w:val="0"/>
    <w:rPr>
      <w:b/>
      <w:bCs/>
    </w:rPr>
  </w:style>
  <w:style w:type="character" w:styleId="20">
    <w:name w:val="page number"/>
    <w:basedOn w:val="19"/>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character" w:customStyle="1" w:styleId="23">
    <w:name w:val="批注文字 字符"/>
    <w:link w:val="7"/>
    <w:qFormat/>
    <w:uiPriority w:val="0"/>
    <w:rPr>
      <w:rFonts w:ascii="仿宋_GB2312" w:eastAsia="仿宋_GB2312"/>
      <w:sz w:val="34"/>
      <w:szCs w:val="34"/>
    </w:rPr>
  </w:style>
  <w:style w:type="character" w:customStyle="1" w:styleId="24">
    <w:name w:val="Char Char1"/>
    <w:qFormat/>
    <w:uiPriority w:val="0"/>
    <w:rPr>
      <w:b/>
      <w:kern w:val="44"/>
      <w:sz w:val="44"/>
      <w:szCs w:val="24"/>
    </w:rPr>
  </w:style>
  <w:style w:type="character" w:customStyle="1" w:styleId="25">
    <w:name w:val="文档结构图 字符"/>
    <w:link w:val="6"/>
    <w:qFormat/>
    <w:uiPriority w:val="0"/>
    <w:rPr>
      <w:rFonts w:ascii="宋体"/>
      <w:sz w:val="18"/>
      <w:szCs w:val="18"/>
    </w:rPr>
  </w:style>
  <w:style w:type="character" w:customStyle="1" w:styleId="26">
    <w:name w:val="标题 1 字符"/>
    <w:link w:val="2"/>
    <w:qFormat/>
    <w:uiPriority w:val="0"/>
    <w:rPr>
      <w:rFonts w:ascii="仿宋_GB2312" w:eastAsia="仿宋_GB2312"/>
      <w:b/>
      <w:bCs/>
      <w:kern w:val="44"/>
      <w:sz w:val="44"/>
      <w:szCs w:val="44"/>
      <w:lang w:val="en-US" w:eastAsia="zh-CN" w:bidi="ar-SA"/>
    </w:rPr>
  </w:style>
  <w:style w:type="character" w:customStyle="1" w:styleId="27">
    <w:name w:val="标题 3 字符"/>
    <w:link w:val="3"/>
    <w:qFormat/>
    <w:uiPriority w:val="0"/>
    <w:rPr>
      <w:rFonts w:eastAsia="宋体"/>
      <w:b/>
      <w:bCs/>
      <w:kern w:val="2"/>
      <w:sz w:val="32"/>
      <w:szCs w:val="32"/>
      <w:lang w:val="en-US" w:eastAsia="zh-CN" w:bidi="ar-SA"/>
    </w:rPr>
  </w:style>
  <w:style w:type="character" w:customStyle="1" w:styleId="28">
    <w:name w:val="页脚 字符"/>
    <w:link w:val="13"/>
    <w:qFormat/>
    <w:uiPriority w:val="99"/>
    <w:rPr>
      <w:rFonts w:ascii="仿宋_GB2312" w:eastAsia="仿宋_GB2312"/>
      <w:sz w:val="18"/>
      <w:szCs w:val="18"/>
    </w:rPr>
  </w:style>
  <w:style w:type="character" w:customStyle="1" w:styleId="29">
    <w:name w:val="正文文本缩进 字符"/>
    <w:link w:val="9"/>
    <w:qFormat/>
    <w:uiPriority w:val="0"/>
    <w:rPr>
      <w:rFonts w:ascii="仿宋_GB2312" w:eastAsia="仿宋_GB2312"/>
      <w:sz w:val="34"/>
      <w:szCs w:val="34"/>
    </w:rPr>
  </w:style>
  <w:style w:type="character" w:customStyle="1" w:styleId="30">
    <w:name w:val="样式1-正文 Char"/>
    <w:link w:val="31"/>
    <w:qFormat/>
    <w:uiPriority w:val="0"/>
    <w:rPr>
      <w:rFonts w:ascii="楷体_GB2312" w:eastAsia="楷体_GB2312"/>
      <w:sz w:val="24"/>
      <w:szCs w:val="34"/>
    </w:rPr>
  </w:style>
  <w:style w:type="paragraph" w:customStyle="1" w:styleId="31">
    <w:name w:val="样式1-正文"/>
    <w:basedOn w:val="1"/>
    <w:link w:val="30"/>
    <w:qFormat/>
    <w:uiPriority w:val="0"/>
    <w:pPr>
      <w:snapToGrid w:val="0"/>
      <w:spacing w:before="50" w:beforeLines="50" w:line="360" w:lineRule="auto"/>
    </w:pPr>
    <w:rPr>
      <w:rFonts w:ascii="楷体_GB2312" w:eastAsia="楷体_GB2312"/>
      <w:sz w:val="24"/>
    </w:rPr>
  </w:style>
  <w:style w:type="character" w:customStyle="1" w:styleId="32">
    <w:name w:val="样式2-标题1 Char"/>
    <w:link w:val="33"/>
    <w:qFormat/>
    <w:uiPriority w:val="0"/>
    <w:rPr>
      <w:rFonts w:ascii="楷体_GB2312" w:eastAsia="楷体_GB2312"/>
      <w:b/>
      <w:sz w:val="28"/>
      <w:szCs w:val="34"/>
    </w:rPr>
  </w:style>
  <w:style w:type="paragraph" w:customStyle="1" w:styleId="33">
    <w:name w:val="样式2-标题1"/>
    <w:basedOn w:val="31"/>
    <w:link w:val="32"/>
    <w:qFormat/>
    <w:uiPriority w:val="0"/>
    <w:pPr>
      <w:spacing w:before="100" w:beforeLines="100"/>
      <w:ind w:firstLine="200"/>
      <w:outlineLvl w:val="0"/>
    </w:pPr>
    <w:rPr>
      <w:b/>
      <w:sz w:val="28"/>
    </w:rPr>
  </w:style>
  <w:style w:type="character" w:customStyle="1" w:styleId="34">
    <w:name w:val="批注主题 字符"/>
    <w:link w:val="17"/>
    <w:qFormat/>
    <w:uiPriority w:val="0"/>
    <w:rPr>
      <w:rFonts w:ascii="仿宋_GB2312" w:eastAsia="仿宋_GB2312"/>
      <w:b/>
      <w:bCs/>
      <w:sz w:val="34"/>
      <w:szCs w:val="34"/>
    </w:rPr>
  </w:style>
  <w:style w:type="paragraph" w:customStyle="1" w:styleId="35">
    <w:name w:val="Char"/>
    <w:basedOn w:val="1"/>
    <w:qFormat/>
    <w:uiPriority w:val="0"/>
    <w:pPr>
      <w:widowControl/>
      <w:numPr>
        <w:ilvl w:val="0"/>
        <w:numId w:val="1"/>
      </w:numPr>
      <w:autoSpaceDE/>
      <w:autoSpaceDN/>
      <w:adjustRightInd/>
      <w:spacing w:after="160" w:line="240" w:lineRule="exact"/>
    </w:pPr>
    <w:rPr>
      <w:rFonts w:ascii="Verdana" w:hAnsi="Verdana" w:eastAsia="宋体"/>
      <w:sz w:val="21"/>
      <w:szCs w:val="20"/>
      <w:lang w:eastAsia="en-US"/>
    </w:rPr>
  </w:style>
  <w:style w:type="paragraph" w:customStyle="1" w:styleId="36">
    <w:name w:val="Char1"/>
    <w:basedOn w:val="1"/>
    <w:qFormat/>
    <w:uiPriority w:val="0"/>
    <w:pPr>
      <w:widowControl/>
      <w:tabs>
        <w:tab w:val="left" w:pos="360"/>
      </w:tabs>
      <w:autoSpaceDE/>
      <w:autoSpaceDN/>
      <w:adjustRightInd/>
      <w:spacing w:after="160" w:line="240" w:lineRule="exact"/>
    </w:pPr>
    <w:rPr>
      <w:rFonts w:ascii="Verdana" w:hAnsi="Verdana" w:eastAsia="宋体"/>
      <w:sz w:val="21"/>
      <w:szCs w:val="20"/>
      <w:lang w:eastAsia="en-US"/>
    </w:rPr>
  </w:style>
  <w:style w:type="paragraph" w:styleId="37">
    <w:name w:val="List Paragraph"/>
    <w:basedOn w:val="1"/>
    <w:qFormat/>
    <w:uiPriority w:val="34"/>
    <w:pPr>
      <w:ind w:firstLine="420" w:firstLineChars="200"/>
    </w:pPr>
  </w:style>
  <w:style w:type="paragraph" w:customStyle="1" w:styleId="38">
    <w:name w:val="Revision"/>
    <w:hidden/>
    <w:semiHidden/>
    <w:uiPriority w:val="99"/>
    <w:rPr>
      <w:rFonts w:ascii="仿宋_GB2312" w:hAnsi="Times New Roman" w:eastAsia="仿宋_GB2312" w:cs="Times New Roman"/>
      <w:sz w:val="34"/>
      <w:szCs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DBF1C0-45E0-4FDC-AB15-4B967A36FCAB}">
  <ds:schemaRefs/>
</ds:datastoreItem>
</file>

<file path=docProps/app.xml><?xml version="1.0" encoding="utf-8"?>
<Properties xmlns="http://schemas.openxmlformats.org/officeDocument/2006/extended-properties" xmlns:vt="http://schemas.openxmlformats.org/officeDocument/2006/docPropsVTypes">
  <Template>Normal</Template>
  <Pages>51</Pages>
  <Words>5399</Words>
  <Characters>30776</Characters>
  <Lines>256</Lines>
  <Paragraphs>72</Paragraphs>
  <TotalTime>2</TotalTime>
  <ScaleCrop>false</ScaleCrop>
  <LinksUpToDate>false</LinksUpToDate>
  <CharactersWithSpaces>36103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2023-04-28T06:17:00Z</dcterms:created>
  <dc:creator>李颖</dc:creator>
  <cp:lastModifiedBy>Gdzb</cp:lastModifiedBy>
  <cp:lastPrinted>2022-04-22T02:48:00Z</cp:lastPrinted>
  <dcterms:modified xsi:type="dcterms:W3CDTF">2023-05-04T07:05:18Z</dcterms:modified>
  <dc:title>招标编号：12-GP</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C53FA0ED175949A7A17B2F1E896D4243_12</vt:lpwstr>
  </property>
</Properties>
</file>