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auto"/>
        <w:ind w:right="840"/>
        <w:jc w:val="both"/>
        <w:rPr>
          <w:rFonts w:ascii="楷体_GB2312" w:eastAsia="楷体_GB2312"/>
          <w:color w:val="auto"/>
          <w:sz w:val="21"/>
          <w:szCs w:val="21"/>
          <w:highlight w:val="none"/>
        </w:rPr>
      </w:pPr>
      <w:r>
        <w:rPr>
          <w:rFonts w:hint="eastAsia" w:ascii="楷体_GB2312" w:eastAsia="楷体_GB2312"/>
          <w:color w:val="auto"/>
          <w:sz w:val="21"/>
          <w:szCs w:val="21"/>
          <w:highlight w:val="none"/>
        </w:rPr>
        <w:t xml:space="preserve"> 甲方合同编号：</w:t>
      </w:r>
    </w:p>
    <w:p>
      <w:pPr>
        <w:widowControl/>
        <w:snapToGrid w:val="0"/>
        <w:spacing w:line="360" w:lineRule="auto"/>
        <w:ind w:right="840" w:firstLine="105" w:firstLineChars="50"/>
        <w:jc w:val="both"/>
        <w:rPr>
          <w:rFonts w:ascii="楷体_GB2312" w:eastAsia="楷体_GB2312"/>
          <w:color w:val="auto"/>
          <w:sz w:val="21"/>
          <w:szCs w:val="21"/>
          <w:highlight w:val="none"/>
        </w:rPr>
      </w:pPr>
      <w:r>
        <w:rPr>
          <w:rFonts w:hint="eastAsia" w:ascii="楷体_GB2312" w:eastAsia="楷体_GB2312"/>
          <w:color w:val="auto"/>
          <w:sz w:val="21"/>
          <w:szCs w:val="21"/>
          <w:highlight w:val="none"/>
        </w:rPr>
        <w:t>乙方合同编号：</w:t>
      </w:r>
    </w:p>
    <w:p>
      <w:pPr>
        <w:widowControl/>
        <w:snapToGrid w:val="0"/>
        <w:spacing w:before="2772" w:beforeLines="600" w:line="360" w:lineRule="auto"/>
        <w:jc w:val="center"/>
        <w:rPr>
          <w:rFonts w:ascii="楷体_GB2312" w:eastAsia="楷体_GB2312"/>
          <w:color w:val="auto"/>
          <w:sz w:val="52"/>
          <w:szCs w:val="52"/>
          <w:highlight w:val="none"/>
        </w:rPr>
      </w:pPr>
      <w:r>
        <w:rPr>
          <w:rFonts w:hint="eastAsia" w:ascii="楷体_GB2312" w:eastAsia="楷体_GB2312"/>
          <w:color w:val="auto"/>
          <w:sz w:val="52"/>
          <w:szCs w:val="52"/>
          <w:highlight w:val="none"/>
        </w:rPr>
        <w:t>佛山季华项</w:t>
      </w:r>
      <w:bookmarkStart w:id="44" w:name="_GoBack"/>
      <w:bookmarkEnd w:id="44"/>
      <w:r>
        <w:rPr>
          <w:rFonts w:hint="eastAsia" w:ascii="楷体_GB2312" w:eastAsia="楷体_GB2312"/>
          <w:color w:val="auto"/>
          <w:sz w:val="52"/>
          <w:szCs w:val="52"/>
          <w:highlight w:val="none"/>
        </w:rPr>
        <w:t>目</w:t>
      </w:r>
    </w:p>
    <w:p>
      <w:pPr>
        <w:snapToGrid w:val="0"/>
        <w:spacing w:after="4389" w:afterLines="950" w:line="360" w:lineRule="auto"/>
        <w:jc w:val="center"/>
        <w:rPr>
          <w:rFonts w:ascii="楷体_GB2312" w:eastAsia="楷体_GB2312"/>
          <w:color w:val="auto"/>
          <w:sz w:val="52"/>
          <w:szCs w:val="52"/>
          <w:highlight w:val="none"/>
        </w:rPr>
      </w:pPr>
      <w:r>
        <w:rPr>
          <w:rFonts w:hint="eastAsia" w:ascii="楷体_GB2312" w:eastAsia="楷体_GB2312"/>
          <w:color w:val="auto"/>
          <w:sz w:val="52"/>
          <w:szCs w:val="52"/>
          <w:highlight w:val="none"/>
        </w:rPr>
        <w:t>电梯安装工程合同</w:t>
      </w:r>
    </w:p>
    <w:p>
      <w:pPr>
        <w:snapToGrid w:val="0"/>
        <w:spacing w:line="360" w:lineRule="auto"/>
        <w:ind w:firstLine="560" w:firstLineChars="200"/>
        <w:rPr>
          <w:rFonts w:ascii="楷体_GB2312" w:eastAsia="楷体_GB2312"/>
          <w:color w:val="auto"/>
          <w:sz w:val="28"/>
          <w:szCs w:val="28"/>
          <w:highlight w:val="none"/>
          <w:u w:val="single"/>
        </w:rPr>
      </w:pPr>
      <w:r>
        <w:rPr>
          <w:rFonts w:hint="eastAsia" w:ascii="楷体_GB2312" w:eastAsia="楷体_GB2312"/>
          <w:color w:val="auto"/>
          <w:sz w:val="28"/>
          <w:szCs w:val="28"/>
          <w:highlight w:val="none"/>
        </w:rPr>
        <w:t>甲方（业主）：</w:t>
      </w:r>
      <w:r>
        <w:rPr>
          <w:rFonts w:hint="eastAsia" w:ascii="楷体_GB2312" w:eastAsia="楷体_GB2312"/>
          <w:color w:val="auto"/>
          <w:sz w:val="28"/>
          <w:szCs w:val="28"/>
          <w:highlight w:val="none"/>
          <w:u w:val="single"/>
        </w:rPr>
        <w:t xml:space="preserve"> </w:t>
      </w:r>
      <w:r>
        <w:rPr>
          <w:rFonts w:ascii="楷体_GB2312" w:eastAsia="楷体_GB2312"/>
          <w:color w:val="auto"/>
          <w:sz w:val="28"/>
          <w:szCs w:val="28"/>
          <w:highlight w:val="none"/>
          <w:u w:val="single"/>
        </w:rPr>
        <w:t xml:space="preserve"> </w:t>
      </w:r>
      <w:r>
        <w:rPr>
          <w:rFonts w:hint="eastAsia" w:ascii="楷体_GB2312" w:eastAsia="楷体_GB2312"/>
          <w:color w:val="auto"/>
          <w:sz w:val="28"/>
          <w:szCs w:val="28"/>
          <w:highlight w:val="none"/>
          <w:u w:val="single"/>
        </w:rPr>
        <w:t>佛山粤海置地发展有限公司</w:t>
      </w:r>
      <w:r>
        <w:rPr>
          <w:rFonts w:ascii="楷体_GB2312" w:eastAsia="楷体_GB2312"/>
          <w:color w:val="auto"/>
          <w:sz w:val="28"/>
          <w:szCs w:val="28"/>
          <w:highlight w:val="none"/>
          <w:u w:val="single"/>
        </w:rPr>
        <w:t xml:space="preserve">                         </w:t>
      </w:r>
    </w:p>
    <w:p>
      <w:pPr>
        <w:snapToGrid w:val="0"/>
        <w:spacing w:line="360" w:lineRule="auto"/>
        <w:ind w:firstLine="560" w:firstLineChars="200"/>
        <w:rPr>
          <w:rFonts w:ascii="楷体_GB2312" w:eastAsia="楷体_GB2312"/>
          <w:color w:val="auto"/>
          <w:sz w:val="28"/>
          <w:szCs w:val="28"/>
          <w:highlight w:val="none"/>
          <w:u w:val="single"/>
        </w:rPr>
      </w:pPr>
      <w:r>
        <w:rPr>
          <w:rFonts w:hint="eastAsia" w:ascii="楷体_GB2312" w:eastAsia="楷体_GB2312"/>
          <w:color w:val="auto"/>
          <w:sz w:val="28"/>
          <w:szCs w:val="28"/>
          <w:highlight w:val="none"/>
        </w:rPr>
        <w:t>地址：</w:t>
      </w:r>
      <w:r>
        <w:rPr>
          <w:rFonts w:hint="eastAsia" w:ascii="楷体_GB2312" w:eastAsia="楷体_GB2312"/>
          <w:color w:val="auto"/>
          <w:sz w:val="28"/>
          <w:szCs w:val="28"/>
          <w:highlight w:val="none"/>
          <w:u w:val="single"/>
        </w:rPr>
        <w:t xml:space="preserve"> </w:t>
      </w:r>
      <w:r>
        <w:rPr>
          <w:rFonts w:ascii="楷体_GB2312" w:eastAsia="楷体_GB2312"/>
          <w:color w:val="auto"/>
          <w:sz w:val="28"/>
          <w:szCs w:val="28"/>
          <w:highlight w:val="none"/>
          <w:u w:val="single"/>
        </w:rPr>
        <w:t xml:space="preserve"> </w:t>
      </w:r>
      <w:r>
        <w:rPr>
          <w:rFonts w:hint="eastAsia" w:ascii="楷体_GB2312" w:eastAsia="楷体_GB2312"/>
          <w:color w:val="auto"/>
          <w:sz w:val="28"/>
          <w:szCs w:val="28"/>
          <w:highlight w:val="none"/>
          <w:u w:val="single"/>
        </w:rPr>
        <w:t>佛山市禅城区魁奇一路世博金融中心1</w:t>
      </w:r>
      <w:r>
        <w:rPr>
          <w:rFonts w:ascii="楷体_GB2312" w:eastAsia="楷体_GB2312"/>
          <w:color w:val="auto"/>
          <w:sz w:val="28"/>
          <w:szCs w:val="28"/>
          <w:highlight w:val="none"/>
          <w:u w:val="single"/>
        </w:rPr>
        <w:t xml:space="preserve">906室                                       </w:t>
      </w:r>
    </w:p>
    <w:p>
      <w:pPr>
        <w:snapToGrid w:val="0"/>
        <w:spacing w:line="360" w:lineRule="auto"/>
        <w:ind w:left="680" w:leftChars="200"/>
        <w:rPr>
          <w:rFonts w:ascii="楷体_GB2312" w:eastAsia="楷体_GB2312"/>
          <w:color w:val="auto"/>
          <w:sz w:val="28"/>
          <w:szCs w:val="28"/>
          <w:highlight w:val="none"/>
          <w:u w:val="single"/>
        </w:rPr>
      </w:pPr>
    </w:p>
    <w:p>
      <w:pPr>
        <w:snapToGrid w:val="0"/>
        <w:spacing w:line="360" w:lineRule="auto"/>
        <w:ind w:left="680" w:leftChars="200"/>
        <w:rPr>
          <w:rFonts w:ascii="楷体_GB2312" w:eastAsia="楷体_GB2312"/>
          <w:color w:val="auto"/>
          <w:sz w:val="28"/>
          <w:szCs w:val="28"/>
          <w:highlight w:val="none"/>
          <w:u w:val="single"/>
        </w:rPr>
      </w:pPr>
      <w:r>
        <w:rPr>
          <w:rFonts w:hint="eastAsia" w:ascii="楷体_GB2312" w:eastAsia="楷体_GB2312"/>
          <w:color w:val="auto"/>
          <w:sz w:val="28"/>
          <w:szCs w:val="28"/>
          <w:highlight w:val="none"/>
        </w:rPr>
        <w:t>乙方（安装单位）：</w:t>
      </w:r>
      <w:r>
        <w:rPr>
          <w:rFonts w:hint="eastAsia" w:ascii="楷体_GB2312" w:eastAsia="楷体_GB2312"/>
          <w:color w:val="auto"/>
          <w:sz w:val="28"/>
          <w:szCs w:val="28"/>
          <w:highlight w:val="none"/>
          <w:u w:val="single"/>
        </w:rPr>
        <w:t xml:space="preserve"> </w:t>
      </w:r>
      <w:r>
        <w:rPr>
          <w:rFonts w:ascii="楷体_GB2312" w:eastAsia="楷体_GB2312"/>
          <w:color w:val="auto"/>
          <w:sz w:val="28"/>
          <w:szCs w:val="28"/>
          <w:highlight w:val="none"/>
          <w:u w:val="single"/>
        </w:rPr>
        <w:t xml:space="preserve">                            </w:t>
      </w:r>
      <w:r>
        <w:rPr>
          <w:rFonts w:hint="eastAsia" w:ascii="楷体_GB2312" w:eastAsia="楷体_GB2312"/>
          <w:color w:val="auto"/>
          <w:sz w:val="28"/>
          <w:szCs w:val="28"/>
          <w:highlight w:val="none"/>
          <w:u w:val="single"/>
        </w:rPr>
        <w:t xml:space="preserve"> </w:t>
      </w:r>
    </w:p>
    <w:p>
      <w:pPr>
        <w:snapToGrid w:val="0"/>
        <w:spacing w:line="360" w:lineRule="auto"/>
        <w:ind w:left="680" w:leftChars="200"/>
        <w:rPr>
          <w:rFonts w:ascii="楷体_GB2312" w:eastAsia="楷体_GB2312"/>
          <w:color w:val="auto"/>
          <w:sz w:val="28"/>
          <w:szCs w:val="28"/>
          <w:highlight w:val="none"/>
          <w:u w:val="single"/>
        </w:rPr>
      </w:pPr>
      <w:r>
        <w:rPr>
          <w:rFonts w:hint="eastAsia" w:ascii="楷体_GB2312" w:eastAsia="楷体_GB2312"/>
          <w:color w:val="auto"/>
          <w:sz w:val="28"/>
          <w:szCs w:val="28"/>
          <w:highlight w:val="none"/>
        </w:rPr>
        <w:t>地址：</w:t>
      </w:r>
      <w:r>
        <w:rPr>
          <w:rFonts w:hint="eastAsia" w:ascii="楷体_GB2312" w:eastAsia="楷体_GB2312"/>
          <w:color w:val="auto"/>
          <w:sz w:val="28"/>
          <w:szCs w:val="28"/>
          <w:highlight w:val="none"/>
          <w:u w:val="single"/>
        </w:rPr>
        <w:t xml:space="preserve"> </w:t>
      </w:r>
      <w:r>
        <w:rPr>
          <w:rFonts w:ascii="楷体_GB2312" w:eastAsia="楷体_GB2312"/>
          <w:color w:val="auto"/>
          <w:sz w:val="28"/>
          <w:szCs w:val="28"/>
          <w:highlight w:val="none"/>
          <w:u w:val="single"/>
        </w:rPr>
        <w:t xml:space="preserve">                                             </w:t>
      </w:r>
      <w:r>
        <w:rPr>
          <w:rFonts w:hint="eastAsia" w:ascii="楷体_GB2312" w:eastAsia="楷体_GB2312"/>
          <w:color w:val="auto"/>
          <w:sz w:val="28"/>
          <w:szCs w:val="28"/>
          <w:highlight w:val="none"/>
          <w:u w:val="single"/>
        </w:rPr>
        <w:t xml:space="preserve"> </w:t>
      </w:r>
    </w:p>
    <w:p>
      <w:pPr>
        <w:snapToGrid w:val="0"/>
        <w:spacing w:line="360" w:lineRule="auto"/>
        <w:ind w:left="680" w:leftChars="200"/>
        <w:rPr>
          <w:rFonts w:ascii="楷体_GB2312" w:eastAsia="楷体_GB2312"/>
          <w:color w:val="auto"/>
          <w:sz w:val="28"/>
          <w:szCs w:val="28"/>
          <w:highlight w:val="none"/>
          <w:u w:val="single"/>
        </w:rPr>
      </w:pPr>
    </w:p>
    <w:p>
      <w:pPr>
        <w:pStyle w:val="14"/>
        <w:tabs>
          <w:tab w:val="left" w:pos="630"/>
          <w:tab w:val="right" w:leader="dot" w:pos="8296"/>
        </w:tabs>
        <w:jc w:val="center"/>
        <w:rPr>
          <w:rFonts w:ascii="楷体" w:hAnsi="楷体" w:eastAsia="楷体"/>
          <w:b/>
          <w:color w:val="auto"/>
          <w:sz w:val="36"/>
          <w:highlight w:val="none"/>
        </w:rPr>
      </w:pPr>
      <w:r>
        <w:rPr>
          <w:rFonts w:hint="eastAsia" w:ascii="楷体" w:hAnsi="楷体" w:eastAsia="楷体"/>
          <w:b/>
          <w:color w:val="auto"/>
          <w:sz w:val="36"/>
          <w:highlight w:val="none"/>
        </w:rPr>
        <w:t>目  录</w:t>
      </w:r>
    </w:p>
    <w:p>
      <w:pPr>
        <w:pStyle w:val="14"/>
        <w:tabs>
          <w:tab w:val="left" w:pos="630"/>
          <w:tab w:val="right" w:leader="dot" w:pos="8296"/>
        </w:tabs>
        <w:rPr>
          <w:rFonts w:asciiTheme="minorHAnsi" w:hAnsiTheme="minorHAnsi" w:eastAsiaTheme="minorEastAsia" w:cstheme="minorBidi"/>
          <w:color w:val="auto"/>
          <w:kern w:val="2"/>
          <w:sz w:val="24"/>
          <w:szCs w:val="24"/>
          <w:highlight w:val="none"/>
        </w:rPr>
      </w:pPr>
      <w:r>
        <w:rPr>
          <w:rFonts w:hint="eastAsia" w:ascii="仿宋" w:hAnsi="仿宋" w:eastAsia="仿宋"/>
          <w:color w:val="auto"/>
          <w:sz w:val="24"/>
          <w:szCs w:val="24"/>
          <w:highlight w:val="none"/>
        </w:rPr>
        <w:fldChar w:fldCharType="begin"/>
      </w:r>
      <w:r>
        <w:rPr>
          <w:rFonts w:ascii="仿宋" w:hAnsi="仿宋" w:eastAsia="仿宋"/>
          <w:color w:val="auto"/>
          <w:sz w:val="24"/>
          <w:szCs w:val="24"/>
          <w:highlight w:val="none"/>
        </w:rPr>
        <w:instrText xml:space="preserve"> TOC \o "1-1" \h \z \u </w:instrText>
      </w:r>
      <w:r>
        <w:rPr>
          <w:rFonts w:hint="eastAsia" w:ascii="仿宋" w:hAnsi="仿宋" w:eastAsia="仿宋"/>
          <w:color w:val="auto"/>
          <w:sz w:val="24"/>
          <w:szCs w:val="24"/>
          <w:highlight w:val="none"/>
        </w:rPr>
        <w:fldChar w:fldCharType="separate"/>
      </w:r>
      <w:r>
        <w:rPr>
          <w:color w:val="auto"/>
          <w:highlight w:val="none"/>
        </w:rPr>
        <w:fldChar w:fldCharType="begin"/>
      </w:r>
      <w:r>
        <w:rPr>
          <w:color w:val="auto"/>
          <w:highlight w:val="none"/>
        </w:rPr>
        <w:instrText xml:space="preserve"> HYPERLINK \l "_Toc529972313" </w:instrText>
      </w:r>
      <w:r>
        <w:rPr>
          <w:color w:val="auto"/>
          <w:highlight w:val="none"/>
        </w:rPr>
        <w:fldChar w:fldCharType="separate"/>
      </w:r>
      <w:r>
        <w:rPr>
          <w:rStyle w:val="21"/>
          <w:color w:val="auto"/>
          <w:sz w:val="24"/>
          <w:szCs w:val="24"/>
          <w:highlight w:val="none"/>
        </w:rPr>
        <w:t>1.</w:t>
      </w:r>
      <w:r>
        <w:rPr>
          <w:rFonts w:asciiTheme="minorHAnsi" w:hAnsiTheme="minorHAnsi" w:eastAsiaTheme="minorEastAsia" w:cstheme="minorBidi"/>
          <w:color w:val="auto"/>
          <w:kern w:val="2"/>
          <w:sz w:val="24"/>
          <w:szCs w:val="24"/>
          <w:highlight w:val="none"/>
        </w:rPr>
        <w:tab/>
      </w:r>
      <w:r>
        <w:rPr>
          <w:rStyle w:val="21"/>
          <w:rFonts w:hint="eastAsia"/>
          <w:color w:val="auto"/>
          <w:sz w:val="24"/>
          <w:szCs w:val="24"/>
          <w:highlight w:val="none"/>
        </w:rPr>
        <w:t>合同范围</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_Toc529972313 \h </w:instrText>
      </w:r>
      <w:r>
        <w:rPr>
          <w:color w:val="auto"/>
          <w:sz w:val="24"/>
          <w:szCs w:val="24"/>
          <w:highlight w:val="none"/>
        </w:rPr>
        <w:fldChar w:fldCharType="separate"/>
      </w:r>
      <w:r>
        <w:rPr>
          <w:color w:val="auto"/>
          <w:sz w:val="24"/>
          <w:szCs w:val="24"/>
          <w:highlight w:val="none"/>
        </w:rPr>
        <w:t>4</w:t>
      </w:r>
      <w:r>
        <w:rPr>
          <w:color w:val="auto"/>
          <w:sz w:val="24"/>
          <w:szCs w:val="24"/>
          <w:highlight w:val="none"/>
        </w:rPr>
        <w:fldChar w:fldCharType="end"/>
      </w:r>
      <w:r>
        <w:rPr>
          <w:color w:val="auto"/>
          <w:sz w:val="24"/>
          <w:szCs w:val="24"/>
          <w:highlight w:val="none"/>
        </w:rPr>
        <w:fldChar w:fldCharType="end"/>
      </w:r>
    </w:p>
    <w:p>
      <w:pPr>
        <w:pStyle w:val="14"/>
        <w:tabs>
          <w:tab w:val="left" w:pos="630"/>
          <w:tab w:val="right" w:leader="dot" w:pos="8296"/>
        </w:tabs>
        <w:rPr>
          <w:rFonts w:asciiTheme="minorHAnsi" w:hAnsiTheme="minorHAnsi" w:eastAsiaTheme="minorEastAsia" w:cstheme="minorBidi"/>
          <w:color w:val="auto"/>
          <w:kern w:val="2"/>
          <w:sz w:val="24"/>
          <w:szCs w:val="24"/>
          <w:highlight w:val="none"/>
        </w:rPr>
      </w:pPr>
      <w:r>
        <w:rPr>
          <w:color w:val="auto"/>
          <w:highlight w:val="none"/>
        </w:rPr>
        <w:fldChar w:fldCharType="begin"/>
      </w:r>
      <w:r>
        <w:rPr>
          <w:color w:val="auto"/>
          <w:highlight w:val="none"/>
        </w:rPr>
        <w:instrText xml:space="preserve"> HYPERLINK \l "_Toc529972314" </w:instrText>
      </w:r>
      <w:r>
        <w:rPr>
          <w:color w:val="auto"/>
          <w:highlight w:val="none"/>
        </w:rPr>
        <w:fldChar w:fldCharType="separate"/>
      </w:r>
      <w:r>
        <w:rPr>
          <w:rStyle w:val="21"/>
          <w:color w:val="auto"/>
          <w:sz w:val="24"/>
          <w:szCs w:val="24"/>
          <w:highlight w:val="none"/>
        </w:rPr>
        <w:t>2.</w:t>
      </w:r>
      <w:r>
        <w:rPr>
          <w:rFonts w:asciiTheme="minorHAnsi" w:hAnsiTheme="minorHAnsi" w:eastAsiaTheme="minorEastAsia" w:cstheme="minorBidi"/>
          <w:color w:val="auto"/>
          <w:kern w:val="2"/>
          <w:sz w:val="24"/>
          <w:szCs w:val="24"/>
          <w:highlight w:val="none"/>
        </w:rPr>
        <w:tab/>
      </w:r>
      <w:r>
        <w:rPr>
          <w:rStyle w:val="21"/>
          <w:rFonts w:hint="eastAsia"/>
          <w:color w:val="auto"/>
          <w:sz w:val="24"/>
          <w:szCs w:val="24"/>
          <w:highlight w:val="none"/>
        </w:rPr>
        <w:t>乙方具体工作内容</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_Toc529972314 \h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color w:val="auto"/>
          <w:sz w:val="24"/>
          <w:szCs w:val="24"/>
          <w:highlight w:val="none"/>
        </w:rPr>
        <w:fldChar w:fldCharType="end"/>
      </w:r>
    </w:p>
    <w:p>
      <w:pPr>
        <w:pStyle w:val="14"/>
        <w:tabs>
          <w:tab w:val="left" w:pos="630"/>
          <w:tab w:val="right" w:leader="dot" w:pos="8296"/>
        </w:tabs>
        <w:rPr>
          <w:rFonts w:asciiTheme="minorHAnsi" w:hAnsiTheme="minorHAnsi" w:eastAsiaTheme="minorEastAsia" w:cstheme="minorBidi"/>
          <w:color w:val="auto"/>
          <w:kern w:val="2"/>
          <w:sz w:val="24"/>
          <w:szCs w:val="24"/>
          <w:highlight w:val="none"/>
        </w:rPr>
      </w:pPr>
      <w:r>
        <w:rPr>
          <w:color w:val="auto"/>
          <w:highlight w:val="none"/>
        </w:rPr>
        <w:fldChar w:fldCharType="begin"/>
      </w:r>
      <w:r>
        <w:rPr>
          <w:color w:val="auto"/>
          <w:highlight w:val="none"/>
        </w:rPr>
        <w:instrText xml:space="preserve"> HYPERLINK \l "_Toc529972315" </w:instrText>
      </w:r>
      <w:r>
        <w:rPr>
          <w:color w:val="auto"/>
          <w:highlight w:val="none"/>
        </w:rPr>
        <w:fldChar w:fldCharType="separate"/>
      </w:r>
      <w:r>
        <w:rPr>
          <w:rStyle w:val="21"/>
          <w:color w:val="auto"/>
          <w:sz w:val="24"/>
          <w:szCs w:val="24"/>
          <w:highlight w:val="none"/>
        </w:rPr>
        <w:t>3.</w:t>
      </w:r>
      <w:r>
        <w:rPr>
          <w:rFonts w:asciiTheme="minorHAnsi" w:hAnsiTheme="minorHAnsi" w:eastAsiaTheme="minorEastAsia" w:cstheme="minorBidi"/>
          <w:color w:val="auto"/>
          <w:kern w:val="2"/>
          <w:sz w:val="24"/>
          <w:szCs w:val="24"/>
          <w:highlight w:val="none"/>
        </w:rPr>
        <w:tab/>
      </w:r>
      <w:r>
        <w:rPr>
          <w:rStyle w:val="21"/>
          <w:rFonts w:hint="eastAsia"/>
          <w:color w:val="auto"/>
          <w:sz w:val="24"/>
          <w:szCs w:val="24"/>
          <w:highlight w:val="none"/>
        </w:rPr>
        <w:t>合同工期</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_Toc529972315 \h </w:instrText>
      </w:r>
      <w:r>
        <w:rPr>
          <w:color w:val="auto"/>
          <w:sz w:val="24"/>
          <w:szCs w:val="24"/>
          <w:highlight w:val="none"/>
        </w:rPr>
        <w:fldChar w:fldCharType="separate"/>
      </w:r>
      <w:r>
        <w:rPr>
          <w:color w:val="auto"/>
          <w:sz w:val="24"/>
          <w:szCs w:val="24"/>
          <w:highlight w:val="none"/>
        </w:rPr>
        <w:t>9</w:t>
      </w:r>
      <w:r>
        <w:rPr>
          <w:color w:val="auto"/>
          <w:sz w:val="24"/>
          <w:szCs w:val="24"/>
          <w:highlight w:val="none"/>
        </w:rPr>
        <w:fldChar w:fldCharType="end"/>
      </w:r>
      <w:r>
        <w:rPr>
          <w:color w:val="auto"/>
          <w:sz w:val="24"/>
          <w:szCs w:val="24"/>
          <w:highlight w:val="none"/>
        </w:rPr>
        <w:fldChar w:fldCharType="end"/>
      </w:r>
    </w:p>
    <w:p>
      <w:pPr>
        <w:pStyle w:val="14"/>
        <w:tabs>
          <w:tab w:val="left" w:pos="630"/>
          <w:tab w:val="right" w:leader="dot" w:pos="8296"/>
        </w:tabs>
        <w:rPr>
          <w:rFonts w:asciiTheme="minorHAnsi" w:hAnsiTheme="minorHAnsi" w:eastAsiaTheme="minorEastAsia" w:cstheme="minorBidi"/>
          <w:color w:val="auto"/>
          <w:kern w:val="2"/>
          <w:sz w:val="24"/>
          <w:szCs w:val="24"/>
          <w:highlight w:val="none"/>
        </w:rPr>
      </w:pPr>
      <w:r>
        <w:rPr>
          <w:color w:val="auto"/>
          <w:highlight w:val="none"/>
        </w:rPr>
        <w:fldChar w:fldCharType="begin"/>
      </w:r>
      <w:r>
        <w:rPr>
          <w:color w:val="auto"/>
          <w:highlight w:val="none"/>
        </w:rPr>
        <w:instrText xml:space="preserve"> HYPERLINK \l "_Toc529972316" </w:instrText>
      </w:r>
      <w:r>
        <w:rPr>
          <w:color w:val="auto"/>
          <w:highlight w:val="none"/>
        </w:rPr>
        <w:fldChar w:fldCharType="separate"/>
      </w:r>
      <w:r>
        <w:rPr>
          <w:rStyle w:val="21"/>
          <w:color w:val="auto"/>
          <w:sz w:val="24"/>
          <w:szCs w:val="24"/>
          <w:highlight w:val="none"/>
        </w:rPr>
        <w:t>4.</w:t>
      </w:r>
      <w:r>
        <w:rPr>
          <w:rFonts w:asciiTheme="minorHAnsi" w:hAnsiTheme="minorHAnsi" w:eastAsiaTheme="minorEastAsia" w:cstheme="minorBidi"/>
          <w:color w:val="auto"/>
          <w:kern w:val="2"/>
          <w:sz w:val="24"/>
          <w:szCs w:val="24"/>
          <w:highlight w:val="none"/>
        </w:rPr>
        <w:tab/>
      </w:r>
      <w:r>
        <w:rPr>
          <w:rStyle w:val="21"/>
          <w:rFonts w:hint="eastAsia"/>
          <w:color w:val="auto"/>
          <w:sz w:val="24"/>
          <w:szCs w:val="24"/>
          <w:highlight w:val="none"/>
        </w:rPr>
        <w:t>合同价款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_Toc529972316 \h </w:instrText>
      </w:r>
      <w:r>
        <w:rPr>
          <w:color w:val="auto"/>
          <w:sz w:val="24"/>
          <w:szCs w:val="24"/>
          <w:highlight w:val="none"/>
        </w:rPr>
        <w:fldChar w:fldCharType="separate"/>
      </w:r>
      <w:r>
        <w:rPr>
          <w:color w:val="auto"/>
          <w:sz w:val="24"/>
          <w:szCs w:val="24"/>
          <w:highlight w:val="none"/>
        </w:rPr>
        <w:t>10</w:t>
      </w:r>
      <w:r>
        <w:rPr>
          <w:color w:val="auto"/>
          <w:sz w:val="24"/>
          <w:szCs w:val="24"/>
          <w:highlight w:val="none"/>
        </w:rPr>
        <w:fldChar w:fldCharType="end"/>
      </w:r>
      <w:r>
        <w:rPr>
          <w:color w:val="auto"/>
          <w:sz w:val="24"/>
          <w:szCs w:val="24"/>
          <w:highlight w:val="none"/>
        </w:rPr>
        <w:fldChar w:fldCharType="end"/>
      </w:r>
    </w:p>
    <w:p>
      <w:pPr>
        <w:pStyle w:val="14"/>
        <w:tabs>
          <w:tab w:val="left" w:pos="630"/>
          <w:tab w:val="right" w:leader="dot" w:pos="8296"/>
        </w:tabs>
        <w:rPr>
          <w:rFonts w:asciiTheme="minorHAnsi" w:hAnsiTheme="minorHAnsi" w:eastAsiaTheme="minorEastAsia" w:cstheme="minorBidi"/>
          <w:color w:val="auto"/>
          <w:kern w:val="2"/>
          <w:sz w:val="24"/>
          <w:szCs w:val="24"/>
          <w:highlight w:val="none"/>
        </w:rPr>
      </w:pPr>
      <w:r>
        <w:rPr>
          <w:color w:val="auto"/>
          <w:highlight w:val="none"/>
        </w:rPr>
        <w:fldChar w:fldCharType="begin"/>
      </w:r>
      <w:r>
        <w:rPr>
          <w:color w:val="auto"/>
          <w:highlight w:val="none"/>
        </w:rPr>
        <w:instrText xml:space="preserve"> HYPERLINK \l "_Toc529972317" </w:instrText>
      </w:r>
      <w:r>
        <w:rPr>
          <w:color w:val="auto"/>
          <w:highlight w:val="none"/>
        </w:rPr>
        <w:fldChar w:fldCharType="separate"/>
      </w:r>
      <w:r>
        <w:rPr>
          <w:rStyle w:val="21"/>
          <w:color w:val="auto"/>
          <w:sz w:val="24"/>
          <w:szCs w:val="24"/>
          <w:highlight w:val="none"/>
        </w:rPr>
        <w:t>5.</w:t>
      </w:r>
      <w:r>
        <w:rPr>
          <w:rFonts w:asciiTheme="minorHAnsi" w:hAnsiTheme="minorHAnsi" w:eastAsiaTheme="minorEastAsia" w:cstheme="minorBidi"/>
          <w:color w:val="auto"/>
          <w:kern w:val="2"/>
          <w:sz w:val="24"/>
          <w:szCs w:val="24"/>
          <w:highlight w:val="none"/>
        </w:rPr>
        <w:tab/>
      </w:r>
      <w:r>
        <w:rPr>
          <w:rStyle w:val="21"/>
          <w:rFonts w:hint="eastAsia"/>
          <w:color w:val="auto"/>
          <w:sz w:val="24"/>
          <w:szCs w:val="24"/>
          <w:highlight w:val="none"/>
        </w:rPr>
        <w:t>合同价款的支付</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_Toc529972317 \h </w:instrText>
      </w:r>
      <w:r>
        <w:rPr>
          <w:color w:val="auto"/>
          <w:sz w:val="24"/>
          <w:szCs w:val="24"/>
          <w:highlight w:val="none"/>
        </w:rPr>
        <w:fldChar w:fldCharType="separate"/>
      </w:r>
      <w:r>
        <w:rPr>
          <w:color w:val="auto"/>
          <w:sz w:val="24"/>
          <w:szCs w:val="24"/>
          <w:highlight w:val="none"/>
        </w:rPr>
        <w:t>11</w:t>
      </w:r>
      <w:r>
        <w:rPr>
          <w:color w:val="auto"/>
          <w:sz w:val="24"/>
          <w:szCs w:val="24"/>
          <w:highlight w:val="none"/>
        </w:rPr>
        <w:fldChar w:fldCharType="end"/>
      </w:r>
      <w:r>
        <w:rPr>
          <w:color w:val="auto"/>
          <w:sz w:val="24"/>
          <w:szCs w:val="24"/>
          <w:highlight w:val="none"/>
        </w:rPr>
        <w:fldChar w:fldCharType="end"/>
      </w:r>
    </w:p>
    <w:p>
      <w:pPr>
        <w:pStyle w:val="14"/>
        <w:tabs>
          <w:tab w:val="left" w:pos="630"/>
          <w:tab w:val="right" w:leader="dot" w:pos="8296"/>
        </w:tabs>
        <w:rPr>
          <w:rFonts w:asciiTheme="minorHAnsi" w:hAnsiTheme="minorHAnsi" w:eastAsiaTheme="minorEastAsia" w:cstheme="minorBidi"/>
          <w:color w:val="auto"/>
          <w:kern w:val="2"/>
          <w:sz w:val="24"/>
          <w:szCs w:val="24"/>
          <w:highlight w:val="none"/>
        </w:rPr>
      </w:pPr>
      <w:r>
        <w:rPr>
          <w:color w:val="auto"/>
          <w:highlight w:val="none"/>
        </w:rPr>
        <w:fldChar w:fldCharType="begin"/>
      </w:r>
      <w:r>
        <w:rPr>
          <w:color w:val="auto"/>
          <w:highlight w:val="none"/>
        </w:rPr>
        <w:instrText xml:space="preserve"> HYPERLINK \l "_Toc529972318" </w:instrText>
      </w:r>
      <w:r>
        <w:rPr>
          <w:color w:val="auto"/>
          <w:highlight w:val="none"/>
        </w:rPr>
        <w:fldChar w:fldCharType="separate"/>
      </w:r>
      <w:r>
        <w:rPr>
          <w:rStyle w:val="21"/>
          <w:color w:val="auto"/>
          <w:sz w:val="24"/>
          <w:szCs w:val="24"/>
          <w:highlight w:val="none"/>
        </w:rPr>
        <w:t>6.</w:t>
      </w:r>
      <w:r>
        <w:rPr>
          <w:rFonts w:asciiTheme="minorHAnsi" w:hAnsiTheme="minorHAnsi" w:eastAsiaTheme="minorEastAsia" w:cstheme="minorBidi"/>
          <w:color w:val="auto"/>
          <w:kern w:val="2"/>
          <w:sz w:val="24"/>
          <w:szCs w:val="24"/>
          <w:highlight w:val="none"/>
        </w:rPr>
        <w:tab/>
      </w:r>
      <w:r>
        <w:rPr>
          <w:rStyle w:val="21"/>
          <w:rFonts w:hint="eastAsia"/>
          <w:color w:val="auto"/>
          <w:sz w:val="24"/>
          <w:szCs w:val="24"/>
          <w:highlight w:val="none"/>
        </w:rPr>
        <w:t>乙方义务和责任</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_Toc529972318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color w:val="auto"/>
          <w:sz w:val="24"/>
          <w:szCs w:val="24"/>
          <w:highlight w:val="none"/>
        </w:rPr>
        <w:fldChar w:fldCharType="end"/>
      </w:r>
    </w:p>
    <w:p>
      <w:pPr>
        <w:pStyle w:val="14"/>
        <w:tabs>
          <w:tab w:val="left" w:pos="630"/>
          <w:tab w:val="right" w:leader="dot" w:pos="8296"/>
        </w:tabs>
        <w:rPr>
          <w:rFonts w:asciiTheme="minorHAnsi" w:hAnsiTheme="minorHAnsi" w:eastAsiaTheme="minorEastAsia" w:cstheme="minorBidi"/>
          <w:color w:val="auto"/>
          <w:kern w:val="2"/>
          <w:sz w:val="24"/>
          <w:szCs w:val="24"/>
          <w:highlight w:val="none"/>
        </w:rPr>
      </w:pPr>
      <w:r>
        <w:rPr>
          <w:color w:val="auto"/>
          <w:highlight w:val="none"/>
        </w:rPr>
        <w:fldChar w:fldCharType="begin"/>
      </w:r>
      <w:r>
        <w:rPr>
          <w:color w:val="auto"/>
          <w:highlight w:val="none"/>
        </w:rPr>
        <w:instrText xml:space="preserve"> HYPERLINK \l "_Toc529972319" </w:instrText>
      </w:r>
      <w:r>
        <w:rPr>
          <w:color w:val="auto"/>
          <w:highlight w:val="none"/>
        </w:rPr>
        <w:fldChar w:fldCharType="separate"/>
      </w:r>
      <w:r>
        <w:rPr>
          <w:rStyle w:val="21"/>
          <w:color w:val="auto"/>
          <w:sz w:val="24"/>
          <w:szCs w:val="24"/>
          <w:highlight w:val="none"/>
        </w:rPr>
        <w:t>7.</w:t>
      </w:r>
      <w:r>
        <w:rPr>
          <w:rFonts w:asciiTheme="minorHAnsi" w:hAnsiTheme="minorHAnsi" w:eastAsiaTheme="minorEastAsia" w:cstheme="minorBidi"/>
          <w:color w:val="auto"/>
          <w:kern w:val="2"/>
          <w:sz w:val="24"/>
          <w:szCs w:val="24"/>
          <w:highlight w:val="none"/>
        </w:rPr>
        <w:tab/>
      </w:r>
      <w:r>
        <w:rPr>
          <w:rStyle w:val="21"/>
          <w:rFonts w:hint="eastAsia"/>
          <w:color w:val="auto"/>
          <w:sz w:val="24"/>
          <w:szCs w:val="24"/>
          <w:highlight w:val="none"/>
        </w:rPr>
        <w:t>施工现场及资料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_Toc529972319 \h </w:instrText>
      </w:r>
      <w:r>
        <w:rPr>
          <w:color w:val="auto"/>
          <w:sz w:val="24"/>
          <w:szCs w:val="24"/>
          <w:highlight w:val="none"/>
        </w:rPr>
        <w:fldChar w:fldCharType="separate"/>
      </w:r>
      <w:r>
        <w:rPr>
          <w:color w:val="auto"/>
          <w:sz w:val="24"/>
          <w:szCs w:val="24"/>
          <w:highlight w:val="none"/>
        </w:rPr>
        <w:t>13</w:t>
      </w:r>
      <w:r>
        <w:rPr>
          <w:color w:val="auto"/>
          <w:sz w:val="24"/>
          <w:szCs w:val="24"/>
          <w:highlight w:val="none"/>
        </w:rPr>
        <w:fldChar w:fldCharType="end"/>
      </w:r>
      <w:r>
        <w:rPr>
          <w:color w:val="auto"/>
          <w:sz w:val="24"/>
          <w:szCs w:val="24"/>
          <w:highlight w:val="none"/>
        </w:rPr>
        <w:fldChar w:fldCharType="end"/>
      </w:r>
    </w:p>
    <w:p>
      <w:pPr>
        <w:pStyle w:val="14"/>
        <w:tabs>
          <w:tab w:val="left" w:pos="630"/>
          <w:tab w:val="right" w:leader="dot" w:pos="8296"/>
        </w:tabs>
        <w:rPr>
          <w:rFonts w:asciiTheme="minorHAnsi" w:hAnsiTheme="minorHAnsi" w:eastAsiaTheme="minorEastAsia" w:cstheme="minorBidi"/>
          <w:color w:val="auto"/>
          <w:kern w:val="2"/>
          <w:sz w:val="24"/>
          <w:szCs w:val="24"/>
          <w:highlight w:val="none"/>
        </w:rPr>
      </w:pPr>
      <w:r>
        <w:rPr>
          <w:color w:val="auto"/>
          <w:highlight w:val="none"/>
        </w:rPr>
        <w:fldChar w:fldCharType="begin"/>
      </w:r>
      <w:r>
        <w:rPr>
          <w:color w:val="auto"/>
          <w:highlight w:val="none"/>
        </w:rPr>
        <w:instrText xml:space="preserve"> HYPERLINK \l "_Toc529972320" </w:instrText>
      </w:r>
      <w:r>
        <w:rPr>
          <w:color w:val="auto"/>
          <w:highlight w:val="none"/>
        </w:rPr>
        <w:fldChar w:fldCharType="separate"/>
      </w:r>
      <w:r>
        <w:rPr>
          <w:rStyle w:val="21"/>
          <w:color w:val="auto"/>
          <w:sz w:val="24"/>
          <w:szCs w:val="24"/>
          <w:highlight w:val="none"/>
        </w:rPr>
        <w:t>8.</w:t>
      </w:r>
      <w:r>
        <w:rPr>
          <w:rFonts w:asciiTheme="minorHAnsi" w:hAnsiTheme="minorHAnsi" w:eastAsiaTheme="minorEastAsia" w:cstheme="minorBidi"/>
          <w:color w:val="auto"/>
          <w:kern w:val="2"/>
          <w:sz w:val="24"/>
          <w:szCs w:val="24"/>
          <w:highlight w:val="none"/>
        </w:rPr>
        <w:tab/>
      </w:r>
      <w:r>
        <w:rPr>
          <w:rStyle w:val="21"/>
          <w:rFonts w:hint="eastAsia"/>
          <w:color w:val="auto"/>
          <w:sz w:val="24"/>
          <w:szCs w:val="24"/>
          <w:highlight w:val="none"/>
        </w:rPr>
        <w:t>图纸</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_Toc529972320 \h </w:instrText>
      </w:r>
      <w:r>
        <w:rPr>
          <w:color w:val="auto"/>
          <w:sz w:val="24"/>
          <w:szCs w:val="24"/>
          <w:highlight w:val="none"/>
        </w:rPr>
        <w:fldChar w:fldCharType="separate"/>
      </w:r>
      <w:r>
        <w:rPr>
          <w:color w:val="auto"/>
          <w:sz w:val="24"/>
          <w:szCs w:val="24"/>
          <w:highlight w:val="none"/>
        </w:rPr>
        <w:t>14</w:t>
      </w:r>
      <w:r>
        <w:rPr>
          <w:color w:val="auto"/>
          <w:sz w:val="24"/>
          <w:szCs w:val="24"/>
          <w:highlight w:val="none"/>
        </w:rPr>
        <w:fldChar w:fldCharType="end"/>
      </w:r>
      <w:r>
        <w:rPr>
          <w:color w:val="auto"/>
          <w:sz w:val="24"/>
          <w:szCs w:val="24"/>
          <w:highlight w:val="none"/>
        </w:rPr>
        <w:fldChar w:fldCharType="end"/>
      </w:r>
    </w:p>
    <w:p>
      <w:pPr>
        <w:pStyle w:val="14"/>
        <w:tabs>
          <w:tab w:val="left" w:pos="630"/>
          <w:tab w:val="right" w:leader="dot" w:pos="8296"/>
        </w:tabs>
        <w:rPr>
          <w:rFonts w:asciiTheme="minorHAnsi" w:hAnsiTheme="minorHAnsi" w:eastAsiaTheme="minorEastAsia" w:cstheme="minorBidi"/>
          <w:color w:val="auto"/>
          <w:kern w:val="2"/>
          <w:sz w:val="24"/>
          <w:szCs w:val="24"/>
          <w:highlight w:val="none"/>
        </w:rPr>
      </w:pPr>
      <w:r>
        <w:rPr>
          <w:color w:val="auto"/>
          <w:highlight w:val="none"/>
        </w:rPr>
        <w:fldChar w:fldCharType="begin"/>
      </w:r>
      <w:r>
        <w:rPr>
          <w:color w:val="auto"/>
          <w:highlight w:val="none"/>
        </w:rPr>
        <w:instrText xml:space="preserve"> HYPERLINK \l "_Toc529972321" </w:instrText>
      </w:r>
      <w:r>
        <w:rPr>
          <w:color w:val="auto"/>
          <w:highlight w:val="none"/>
        </w:rPr>
        <w:fldChar w:fldCharType="separate"/>
      </w:r>
      <w:r>
        <w:rPr>
          <w:rStyle w:val="21"/>
          <w:color w:val="auto"/>
          <w:sz w:val="24"/>
          <w:szCs w:val="24"/>
          <w:highlight w:val="none"/>
        </w:rPr>
        <w:t>9.</w:t>
      </w:r>
      <w:r>
        <w:rPr>
          <w:rFonts w:asciiTheme="minorHAnsi" w:hAnsiTheme="minorHAnsi" w:eastAsiaTheme="minorEastAsia" w:cstheme="minorBidi"/>
          <w:color w:val="auto"/>
          <w:kern w:val="2"/>
          <w:sz w:val="24"/>
          <w:szCs w:val="24"/>
          <w:highlight w:val="none"/>
        </w:rPr>
        <w:tab/>
      </w:r>
      <w:r>
        <w:rPr>
          <w:rStyle w:val="21"/>
          <w:rFonts w:hint="eastAsia"/>
          <w:color w:val="auto"/>
          <w:sz w:val="24"/>
          <w:szCs w:val="24"/>
          <w:highlight w:val="none"/>
        </w:rPr>
        <w:t>涉及总包工作及统筹</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_Toc529972321 \h </w:instrText>
      </w:r>
      <w:r>
        <w:rPr>
          <w:color w:val="auto"/>
          <w:sz w:val="24"/>
          <w:szCs w:val="24"/>
          <w:highlight w:val="none"/>
        </w:rPr>
        <w:fldChar w:fldCharType="separate"/>
      </w:r>
      <w:r>
        <w:rPr>
          <w:color w:val="auto"/>
          <w:sz w:val="24"/>
          <w:szCs w:val="24"/>
          <w:highlight w:val="none"/>
        </w:rPr>
        <w:t>15</w:t>
      </w:r>
      <w:r>
        <w:rPr>
          <w:color w:val="auto"/>
          <w:sz w:val="24"/>
          <w:szCs w:val="24"/>
          <w:highlight w:val="none"/>
        </w:rPr>
        <w:fldChar w:fldCharType="end"/>
      </w:r>
      <w:r>
        <w:rPr>
          <w:color w:val="auto"/>
          <w:sz w:val="24"/>
          <w:szCs w:val="24"/>
          <w:highlight w:val="none"/>
        </w:rPr>
        <w:fldChar w:fldCharType="end"/>
      </w:r>
    </w:p>
    <w:p>
      <w:pPr>
        <w:pStyle w:val="14"/>
        <w:tabs>
          <w:tab w:val="left" w:pos="840"/>
          <w:tab w:val="right" w:leader="dot" w:pos="8296"/>
        </w:tabs>
        <w:rPr>
          <w:rFonts w:asciiTheme="minorHAnsi" w:hAnsiTheme="minorHAnsi" w:eastAsiaTheme="minorEastAsia" w:cstheme="minorBidi"/>
          <w:color w:val="auto"/>
          <w:kern w:val="2"/>
          <w:sz w:val="24"/>
          <w:szCs w:val="24"/>
          <w:highlight w:val="none"/>
        </w:rPr>
      </w:pPr>
      <w:r>
        <w:rPr>
          <w:color w:val="auto"/>
          <w:highlight w:val="none"/>
        </w:rPr>
        <w:fldChar w:fldCharType="begin"/>
      </w:r>
      <w:r>
        <w:rPr>
          <w:color w:val="auto"/>
          <w:highlight w:val="none"/>
        </w:rPr>
        <w:instrText xml:space="preserve"> HYPERLINK \l "_Toc529972322" </w:instrText>
      </w:r>
      <w:r>
        <w:rPr>
          <w:color w:val="auto"/>
          <w:highlight w:val="none"/>
        </w:rPr>
        <w:fldChar w:fldCharType="separate"/>
      </w:r>
      <w:r>
        <w:rPr>
          <w:rStyle w:val="21"/>
          <w:color w:val="auto"/>
          <w:sz w:val="24"/>
          <w:szCs w:val="24"/>
          <w:highlight w:val="none"/>
        </w:rPr>
        <w:t>10.</w:t>
      </w:r>
      <w:r>
        <w:rPr>
          <w:rFonts w:asciiTheme="minorHAnsi" w:hAnsiTheme="minorHAnsi" w:eastAsiaTheme="minorEastAsia" w:cstheme="minorBidi"/>
          <w:color w:val="auto"/>
          <w:kern w:val="2"/>
          <w:sz w:val="24"/>
          <w:szCs w:val="24"/>
          <w:highlight w:val="none"/>
        </w:rPr>
        <w:tab/>
      </w:r>
      <w:r>
        <w:rPr>
          <w:rStyle w:val="21"/>
          <w:rFonts w:hint="eastAsia"/>
          <w:color w:val="auto"/>
          <w:sz w:val="24"/>
          <w:szCs w:val="24"/>
          <w:highlight w:val="none"/>
        </w:rPr>
        <w:t>调试、测试和检验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_Toc529972322 \h </w:instrText>
      </w:r>
      <w:r>
        <w:rPr>
          <w:color w:val="auto"/>
          <w:sz w:val="24"/>
          <w:szCs w:val="24"/>
          <w:highlight w:val="none"/>
        </w:rPr>
        <w:fldChar w:fldCharType="separate"/>
      </w:r>
      <w:r>
        <w:rPr>
          <w:color w:val="auto"/>
          <w:sz w:val="24"/>
          <w:szCs w:val="24"/>
          <w:highlight w:val="none"/>
        </w:rPr>
        <w:t>18</w:t>
      </w:r>
      <w:r>
        <w:rPr>
          <w:color w:val="auto"/>
          <w:sz w:val="24"/>
          <w:szCs w:val="24"/>
          <w:highlight w:val="none"/>
        </w:rPr>
        <w:fldChar w:fldCharType="end"/>
      </w:r>
      <w:r>
        <w:rPr>
          <w:color w:val="auto"/>
          <w:sz w:val="24"/>
          <w:szCs w:val="24"/>
          <w:highlight w:val="none"/>
        </w:rPr>
        <w:fldChar w:fldCharType="end"/>
      </w:r>
    </w:p>
    <w:p>
      <w:pPr>
        <w:pStyle w:val="14"/>
        <w:tabs>
          <w:tab w:val="left" w:pos="840"/>
          <w:tab w:val="right" w:leader="dot" w:pos="8296"/>
        </w:tabs>
        <w:rPr>
          <w:rFonts w:asciiTheme="minorHAnsi" w:hAnsiTheme="minorHAnsi" w:eastAsiaTheme="minorEastAsia" w:cstheme="minorBidi"/>
          <w:color w:val="auto"/>
          <w:kern w:val="2"/>
          <w:sz w:val="24"/>
          <w:szCs w:val="24"/>
          <w:highlight w:val="none"/>
        </w:rPr>
      </w:pPr>
      <w:r>
        <w:rPr>
          <w:color w:val="auto"/>
          <w:highlight w:val="none"/>
        </w:rPr>
        <w:fldChar w:fldCharType="begin"/>
      </w:r>
      <w:r>
        <w:rPr>
          <w:color w:val="auto"/>
          <w:highlight w:val="none"/>
        </w:rPr>
        <w:instrText xml:space="preserve"> HYPERLINK \l "_Toc529972323" </w:instrText>
      </w:r>
      <w:r>
        <w:rPr>
          <w:color w:val="auto"/>
          <w:highlight w:val="none"/>
        </w:rPr>
        <w:fldChar w:fldCharType="separate"/>
      </w:r>
      <w:r>
        <w:rPr>
          <w:rStyle w:val="21"/>
          <w:color w:val="auto"/>
          <w:sz w:val="24"/>
          <w:szCs w:val="24"/>
          <w:highlight w:val="none"/>
        </w:rPr>
        <w:t>11.</w:t>
      </w:r>
      <w:r>
        <w:rPr>
          <w:rFonts w:asciiTheme="minorHAnsi" w:hAnsiTheme="minorHAnsi" w:eastAsiaTheme="minorEastAsia" w:cstheme="minorBidi"/>
          <w:color w:val="auto"/>
          <w:kern w:val="2"/>
          <w:sz w:val="24"/>
          <w:szCs w:val="24"/>
          <w:highlight w:val="none"/>
        </w:rPr>
        <w:tab/>
      </w:r>
      <w:r>
        <w:rPr>
          <w:rStyle w:val="21"/>
          <w:rFonts w:hint="eastAsia"/>
          <w:color w:val="auto"/>
          <w:sz w:val="24"/>
          <w:szCs w:val="24"/>
          <w:highlight w:val="none"/>
        </w:rPr>
        <w:t>安装及验收交付</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_Toc529972323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color w:val="auto"/>
          <w:sz w:val="24"/>
          <w:szCs w:val="24"/>
          <w:highlight w:val="none"/>
        </w:rPr>
        <w:fldChar w:fldCharType="end"/>
      </w:r>
    </w:p>
    <w:p>
      <w:pPr>
        <w:pStyle w:val="14"/>
        <w:tabs>
          <w:tab w:val="left" w:pos="840"/>
          <w:tab w:val="right" w:leader="dot" w:pos="8296"/>
        </w:tabs>
        <w:rPr>
          <w:rFonts w:asciiTheme="minorHAnsi" w:hAnsiTheme="minorHAnsi" w:eastAsiaTheme="minorEastAsia" w:cstheme="minorBidi"/>
          <w:color w:val="auto"/>
          <w:kern w:val="2"/>
          <w:sz w:val="24"/>
          <w:szCs w:val="24"/>
          <w:highlight w:val="none"/>
        </w:rPr>
      </w:pPr>
      <w:r>
        <w:rPr>
          <w:color w:val="auto"/>
          <w:highlight w:val="none"/>
        </w:rPr>
        <w:fldChar w:fldCharType="begin"/>
      </w:r>
      <w:r>
        <w:rPr>
          <w:color w:val="auto"/>
          <w:highlight w:val="none"/>
        </w:rPr>
        <w:instrText xml:space="preserve"> HYPERLINK \l "_Toc529972324" </w:instrText>
      </w:r>
      <w:r>
        <w:rPr>
          <w:color w:val="auto"/>
          <w:highlight w:val="none"/>
        </w:rPr>
        <w:fldChar w:fldCharType="separate"/>
      </w:r>
      <w:r>
        <w:rPr>
          <w:rStyle w:val="21"/>
          <w:color w:val="auto"/>
          <w:sz w:val="24"/>
          <w:szCs w:val="24"/>
          <w:highlight w:val="none"/>
        </w:rPr>
        <w:t>12.</w:t>
      </w:r>
      <w:r>
        <w:rPr>
          <w:rFonts w:asciiTheme="minorHAnsi" w:hAnsiTheme="minorHAnsi" w:eastAsiaTheme="minorEastAsia" w:cstheme="minorBidi"/>
          <w:color w:val="auto"/>
          <w:kern w:val="2"/>
          <w:sz w:val="24"/>
          <w:szCs w:val="24"/>
          <w:highlight w:val="none"/>
        </w:rPr>
        <w:tab/>
      </w:r>
      <w:r>
        <w:rPr>
          <w:rStyle w:val="21"/>
          <w:rFonts w:hint="eastAsia"/>
          <w:color w:val="auto"/>
          <w:sz w:val="24"/>
          <w:szCs w:val="24"/>
          <w:highlight w:val="none"/>
        </w:rPr>
        <w:t>技术文件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_Toc529972324 \h </w:instrText>
      </w:r>
      <w:r>
        <w:rPr>
          <w:color w:val="auto"/>
          <w:sz w:val="24"/>
          <w:szCs w:val="24"/>
          <w:highlight w:val="none"/>
        </w:rPr>
        <w:fldChar w:fldCharType="separate"/>
      </w:r>
      <w:r>
        <w:rPr>
          <w:color w:val="auto"/>
          <w:sz w:val="24"/>
          <w:szCs w:val="24"/>
          <w:highlight w:val="none"/>
        </w:rPr>
        <w:t>21</w:t>
      </w:r>
      <w:r>
        <w:rPr>
          <w:color w:val="auto"/>
          <w:sz w:val="24"/>
          <w:szCs w:val="24"/>
          <w:highlight w:val="none"/>
        </w:rPr>
        <w:fldChar w:fldCharType="end"/>
      </w:r>
      <w:r>
        <w:rPr>
          <w:color w:val="auto"/>
          <w:sz w:val="24"/>
          <w:szCs w:val="24"/>
          <w:highlight w:val="none"/>
        </w:rPr>
        <w:fldChar w:fldCharType="end"/>
      </w:r>
    </w:p>
    <w:p>
      <w:pPr>
        <w:pStyle w:val="14"/>
        <w:tabs>
          <w:tab w:val="left" w:pos="840"/>
          <w:tab w:val="right" w:leader="dot" w:pos="8296"/>
        </w:tabs>
        <w:rPr>
          <w:rFonts w:asciiTheme="minorHAnsi" w:hAnsiTheme="minorHAnsi" w:eastAsiaTheme="minorEastAsia" w:cstheme="minorBidi"/>
          <w:color w:val="auto"/>
          <w:kern w:val="2"/>
          <w:sz w:val="24"/>
          <w:szCs w:val="24"/>
          <w:highlight w:val="none"/>
        </w:rPr>
      </w:pPr>
      <w:r>
        <w:rPr>
          <w:color w:val="auto"/>
          <w:highlight w:val="none"/>
        </w:rPr>
        <w:fldChar w:fldCharType="begin"/>
      </w:r>
      <w:r>
        <w:rPr>
          <w:color w:val="auto"/>
          <w:highlight w:val="none"/>
        </w:rPr>
        <w:instrText xml:space="preserve"> HYPERLINK \l "_Toc529972325" </w:instrText>
      </w:r>
      <w:r>
        <w:rPr>
          <w:color w:val="auto"/>
          <w:highlight w:val="none"/>
        </w:rPr>
        <w:fldChar w:fldCharType="separate"/>
      </w:r>
      <w:r>
        <w:rPr>
          <w:rStyle w:val="21"/>
          <w:rFonts w:hAnsi="宋体"/>
          <w:color w:val="auto"/>
          <w:sz w:val="24"/>
          <w:szCs w:val="24"/>
          <w:highlight w:val="none"/>
        </w:rPr>
        <w:t>13.</w:t>
      </w:r>
      <w:r>
        <w:rPr>
          <w:rFonts w:asciiTheme="minorHAnsi" w:hAnsiTheme="minorHAnsi" w:eastAsiaTheme="minorEastAsia" w:cstheme="minorBidi"/>
          <w:color w:val="auto"/>
          <w:kern w:val="2"/>
          <w:sz w:val="24"/>
          <w:szCs w:val="24"/>
          <w:highlight w:val="none"/>
        </w:rPr>
        <w:tab/>
      </w:r>
      <w:r>
        <w:rPr>
          <w:rStyle w:val="21"/>
          <w:rFonts w:hint="eastAsia"/>
          <w:color w:val="auto"/>
          <w:sz w:val="24"/>
          <w:szCs w:val="24"/>
          <w:highlight w:val="none"/>
        </w:rPr>
        <w:t>保修、保养及维护</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_Toc529972325 \h </w:instrText>
      </w:r>
      <w:r>
        <w:rPr>
          <w:color w:val="auto"/>
          <w:sz w:val="24"/>
          <w:szCs w:val="24"/>
          <w:highlight w:val="none"/>
        </w:rPr>
        <w:fldChar w:fldCharType="separate"/>
      </w:r>
      <w:r>
        <w:rPr>
          <w:color w:val="auto"/>
          <w:sz w:val="24"/>
          <w:szCs w:val="24"/>
          <w:highlight w:val="none"/>
        </w:rPr>
        <w:t>21</w:t>
      </w:r>
      <w:r>
        <w:rPr>
          <w:color w:val="auto"/>
          <w:sz w:val="24"/>
          <w:szCs w:val="24"/>
          <w:highlight w:val="none"/>
        </w:rPr>
        <w:fldChar w:fldCharType="end"/>
      </w:r>
      <w:r>
        <w:rPr>
          <w:color w:val="auto"/>
          <w:sz w:val="24"/>
          <w:szCs w:val="24"/>
          <w:highlight w:val="none"/>
        </w:rPr>
        <w:fldChar w:fldCharType="end"/>
      </w:r>
    </w:p>
    <w:p>
      <w:pPr>
        <w:pStyle w:val="14"/>
        <w:tabs>
          <w:tab w:val="left" w:pos="840"/>
          <w:tab w:val="right" w:leader="dot" w:pos="8296"/>
        </w:tabs>
        <w:rPr>
          <w:rFonts w:asciiTheme="minorHAnsi" w:hAnsiTheme="minorHAnsi" w:eastAsiaTheme="minorEastAsia" w:cstheme="minorBidi"/>
          <w:color w:val="auto"/>
          <w:kern w:val="2"/>
          <w:sz w:val="24"/>
          <w:szCs w:val="24"/>
          <w:highlight w:val="none"/>
        </w:rPr>
      </w:pPr>
      <w:r>
        <w:rPr>
          <w:color w:val="auto"/>
          <w:highlight w:val="none"/>
        </w:rPr>
        <w:fldChar w:fldCharType="begin"/>
      </w:r>
      <w:r>
        <w:rPr>
          <w:color w:val="auto"/>
          <w:highlight w:val="none"/>
        </w:rPr>
        <w:instrText xml:space="preserve"> HYPERLINK \l "_Toc529972326" </w:instrText>
      </w:r>
      <w:r>
        <w:rPr>
          <w:color w:val="auto"/>
          <w:highlight w:val="none"/>
        </w:rPr>
        <w:fldChar w:fldCharType="separate"/>
      </w:r>
      <w:r>
        <w:rPr>
          <w:rStyle w:val="21"/>
          <w:rFonts w:hAnsi="宋体"/>
          <w:color w:val="auto"/>
          <w:sz w:val="24"/>
          <w:szCs w:val="24"/>
          <w:highlight w:val="none"/>
        </w:rPr>
        <w:t>14.</w:t>
      </w:r>
      <w:r>
        <w:rPr>
          <w:rFonts w:asciiTheme="minorHAnsi" w:hAnsiTheme="minorHAnsi" w:eastAsiaTheme="minorEastAsia" w:cstheme="minorBidi"/>
          <w:color w:val="auto"/>
          <w:kern w:val="2"/>
          <w:sz w:val="24"/>
          <w:szCs w:val="24"/>
          <w:highlight w:val="none"/>
        </w:rPr>
        <w:tab/>
      </w:r>
      <w:r>
        <w:rPr>
          <w:rStyle w:val="21"/>
          <w:rFonts w:hint="eastAsia"/>
          <w:color w:val="auto"/>
          <w:sz w:val="24"/>
          <w:szCs w:val="24"/>
          <w:highlight w:val="none"/>
        </w:rPr>
        <w:t>履约担保</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_Toc529972326 \h </w:instrText>
      </w:r>
      <w:r>
        <w:rPr>
          <w:color w:val="auto"/>
          <w:sz w:val="24"/>
          <w:szCs w:val="24"/>
          <w:highlight w:val="none"/>
        </w:rPr>
        <w:fldChar w:fldCharType="separate"/>
      </w:r>
      <w:r>
        <w:rPr>
          <w:color w:val="auto"/>
          <w:sz w:val="24"/>
          <w:szCs w:val="24"/>
          <w:highlight w:val="none"/>
        </w:rPr>
        <w:t>22</w:t>
      </w:r>
      <w:r>
        <w:rPr>
          <w:color w:val="auto"/>
          <w:sz w:val="24"/>
          <w:szCs w:val="24"/>
          <w:highlight w:val="none"/>
        </w:rPr>
        <w:fldChar w:fldCharType="end"/>
      </w:r>
      <w:r>
        <w:rPr>
          <w:color w:val="auto"/>
          <w:sz w:val="24"/>
          <w:szCs w:val="24"/>
          <w:highlight w:val="none"/>
        </w:rPr>
        <w:fldChar w:fldCharType="end"/>
      </w:r>
    </w:p>
    <w:p>
      <w:pPr>
        <w:pStyle w:val="14"/>
        <w:tabs>
          <w:tab w:val="left" w:pos="840"/>
          <w:tab w:val="right" w:leader="dot" w:pos="8296"/>
        </w:tabs>
        <w:rPr>
          <w:rFonts w:asciiTheme="minorHAnsi" w:hAnsiTheme="minorHAnsi" w:eastAsiaTheme="minorEastAsia" w:cstheme="minorBidi"/>
          <w:color w:val="auto"/>
          <w:kern w:val="2"/>
          <w:sz w:val="24"/>
          <w:szCs w:val="24"/>
          <w:highlight w:val="none"/>
        </w:rPr>
      </w:pPr>
      <w:r>
        <w:rPr>
          <w:color w:val="auto"/>
          <w:highlight w:val="none"/>
        </w:rPr>
        <w:fldChar w:fldCharType="begin"/>
      </w:r>
      <w:r>
        <w:rPr>
          <w:color w:val="auto"/>
          <w:highlight w:val="none"/>
        </w:rPr>
        <w:instrText xml:space="preserve"> HYPERLINK \l "_Toc529972327" </w:instrText>
      </w:r>
      <w:r>
        <w:rPr>
          <w:color w:val="auto"/>
          <w:highlight w:val="none"/>
        </w:rPr>
        <w:fldChar w:fldCharType="separate"/>
      </w:r>
      <w:r>
        <w:rPr>
          <w:rStyle w:val="21"/>
          <w:color w:val="auto"/>
          <w:sz w:val="24"/>
          <w:szCs w:val="24"/>
          <w:highlight w:val="none"/>
        </w:rPr>
        <w:t>15.</w:t>
      </w:r>
      <w:r>
        <w:rPr>
          <w:rFonts w:asciiTheme="minorHAnsi" w:hAnsiTheme="minorHAnsi" w:eastAsiaTheme="minorEastAsia" w:cstheme="minorBidi"/>
          <w:color w:val="auto"/>
          <w:kern w:val="2"/>
          <w:sz w:val="24"/>
          <w:szCs w:val="24"/>
          <w:highlight w:val="none"/>
        </w:rPr>
        <w:tab/>
      </w:r>
      <w:r>
        <w:rPr>
          <w:rStyle w:val="21"/>
          <w:rFonts w:hint="eastAsia"/>
          <w:color w:val="auto"/>
          <w:sz w:val="24"/>
          <w:szCs w:val="24"/>
          <w:highlight w:val="none"/>
        </w:rPr>
        <w:t>保险</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_Toc529972327 \h </w:instrText>
      </w:r>
      <w:r>
        <w:rPr>
          <w:color w:val="auto"/>
          <w:sz w:val="24"/>
          <w:szCs w:val="24"/>
          <w:highlight w:val="none"/>
        </w:rPr>
        <w:fldChar w:fldCharType="separate"/>
      </w:r>
      <w:r>
        <w:rPr>
          <w:color w:val="auto"/>
          <w:sz w:val="24"/>
          <w:szCs w:val="24"/>
          <w:highlight w:val="none"/>
        </w:rPr>
        <w:t>23</w:t>
      </w:r>
      <w:r>
        <w:rPr>
          <w:color w:val="auto"/>
          <w:sz w:val="24"/>
          <w:szCs w:val="24"/>
          <w:highlight w:val="none"/>
        </w:rPr>
        <w:fldChar w:fldCharType="end"/>
      </w:r>
      <w:r>
        <w:rPr>
          <w:color w:val="auto"/>
          <w:sz w:val="24"/>
          <w:szCs w:val="24"/>
          <w:highlight w:val="none"/>
        </w:rPr>
        <w:fldChar w:fldCharType="end"/>
      </w:r>
    </w:p>
    <w:p>
      <w:pPr>
        <w:pStyle w:val="14"/>
        <w:tabs>
          <w:tab w:val="left" w:pos="840"/>
          <w:tab w:val="right" w:leader="dot" w:pos="8296"/>
        </w:tabs>
        <w:rPr>
          <w:rFonts w:asciiTheme="minorHAnsi" w:hAnsiTheme="minorHAnsi" w:eastAsiaTheme="minorEastAsia" w:cstheme="minorBidi"/>
          <w:color w:val="auto"/>
          <w:kern w:val="2"/>
          <w:sz w:val="24"/>
          <w:szCs w:val="24"/>
          <w:highlight w:val="none"/>
        </w:rPr>
      </w:pPr>
      <w:r>
        <w:rPr>
          <w:color w:val="auto"/>
          <w:highlight w:val="none"/>
        </w:rPr>
        <w:fldChar w:fldCharType="begin"/>
      </w:r>
      <w:r>
        <w:rPr>
          <w:color w:val="auto"/>
          <w:highlight w:val="none"/>
        </w:rPr>
        <w:instrText xml:space="preserve"> HYPERLINK \l "_Toc529972328" </w:instrText>
      </w:r>
      <w:r>
        <w:rPr>
          <w:color w:val="auto"/>
          <w:highlight w:val="none"/>
        </w:rPr>
        <w:fldChar w:fldCharType="separate"/>
      </w:r>
      <w:r>
        <w:rPr>
          <w:rStyle w:val="21"/>
          <w:color w:val="auto"/>
          <w:sz w:val="24"/>
          <w:szCs w:val="24"/>
          <w:highlight w:val="none"/>
        </w:rPr>
        <w:t>16.</w:t>
      </w:r>
      <w:r>
        <w:rPr>
          <w:rFonts w:asciiTheme="minorHAnsi" w:hAnsiTheme="minorHAnsi" w:eastAsiaTheme="minorEastAsia" w:cstheme="minorBidi"/>
          <w:color w:val="auto"/>
          <w:kern w:val="2"/>
          <w:sz w:val="24"/>
          <w:szCs w:val="24"/>
          <w:highlight w:val="none"/>
        </w:rPr>
        <w:tab/>
      </w:r>
      <w:r>
        <w:rPr>
          <w:rStyle w:val="21"/>
          <w:rFonts w:hint="eastAsia"/>
          <w:color w:val="auto"/>
          <w:sz w:val="24"/>
          <w:szCs w:val="24"/>
          <w:highlight w:val="none"/>
        </w:rPr>
        <w:t>违约责任</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_Toc529972328 \h </w:instrText>
      </w:r>
      <w:r>
        <w:rPr>
          <w:color w:val="auto"/>
          <w:sz w:val="24"/>
          <w:szCs w:val="24"/>
          <w:highlight w:val="none"/>
        </w:rPr>
        <w:fldChar w:fldCharType="separate"/>
      </w:r>
      <w:r>
        <w:rPr>
          <w:color w:val="auto"/>
          <w:sz w:val="24"/>
          <w:szCs w:val="24"/>
          <w:highlight w:val="none"/>
        </w:rPr>
        <w:t>23</w:t>
      </w:r>
      <w:r>
        <w:rPr>
          <w:color w:val="auto"/>
          <w:sz w:val="24"/>
          <w:szCs w:val="24"/>
          <w:highlight w:val="none"/>
        </w:rPr>
        <w:fldChar w:fldCharType="end"/>
      </w:r>
      <w:r>
        <w:rPr>
          <w:color w:val="auto"/>
          <w:sz w:val="24"/>
          <w:szCs w:val="24"/>
          <w:highlight w:val="none"/>
        </w:rPr>
        <w:fldChar w:fldCharType="end"/>
      </w:r>
    </w:p>
    <w:p>
      <w:pPr>
        <w:pStyle w:val="14"/>
        <w:tabs>
          <w:tab w:val="left" w:pos="840"/>
          <w:tab w:val="right" w:leader="dot" w:pos="8296"/>
        </w:tabs>
        <w:rPr>
          <w:rFonts w:asciiTheme="minorHAnsi" w:hAnsiTheme="minorHAnsi" w:eastAsiaTheme="minorEastAsia" w:cstheme="minorBidi"/>
          <w:color w:val="auto"/>
          <w:kern w:val="2"/>
          <w:sz w:val="24"/>
          <w:szCs w:val="24"/>
          <w:highlight w:val="none"/>
        </w:rPr>
      </w:pPr>
      <w:r>
        <w:rPr>
          <w:color w:val="auto"/>
          <w:highlight w:val="none"/>
        </w:rPr>
        <w:fldChar w:fldCharType="begin"/>
      </w:r>
      <w:r>
        <w:rPr>
          <w:color w:val="auto"/>
          <w:highlight w:val="none"/>
        </w:rPr>
        <w:instrText xml:space="preserve"> HYPERLINK \l "_Toc529972329" </w:instrText>
      </w:r>
      <w:r>
        <w:rPr>
          <w:color w:val="auto"/>
          <w:highlight w:val="none"/>
        </w:rPr>
        <w:fldChar w:fldCharType="separate"/>
      </w:r>
      <w:r>
        <w:rPr>
          <w:rStyle w:val="21"/>
          <w:color w:val="auto"/>
          <w:sz w:val="24"/>
          <w:szCs w:val="24"/>
          <w:highlight w:val="none"/>
        </w:rPr>
        <w:t>17.</w:t>
      </w:r>
      <w:r>
        <w:rPr>
          <w:rFonts w:asciiTheme="minorHAnsi" w:hAnsiTheme="minorHAnsi" w:eastAsiaTheme="minorEastAsia" w:cstheme="minorBidi"/>
          <w:color w:val="auto"/>
          <w:kern w:val="2"/>
          <w:sz w:val="24"/>
          <w:szCs w:val="24"/>
          <w:highlight w:val="none"/>
        </w:rPr>
        <w:tab/>
      </w:r>
      <w:r>
        <w:rPr>
          <w:rStyle w:val="21"/>
          <w:rFonts w:hint="eastAsia"/>
          <w:color w:val="auto"/>
          <w:sz w:val="24"/>
          <w:szCs w:val="24"/>
          <w:highlight w:val="none"/>
        </w:rPr>
        <w:t>不可抗力</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_Toc529972329 \h </w:instrText>
      </w:r>
      <w:r>
        <w:rPr>
          <w:color w:val="auto"/>
          <w:sz w:val="24"/>
          <w:szCs w:val="24"/>
          <w:highlight w:val="none"/>
        </w:rPr>
        <w:fldChar w:fldCharType="separate"/>
      </w:r>
      <w:r>
        <w:rPr>
          <w:color w:val="auto"/>
          <w:sz w:val="24"/>
          <w:szCs w:val="24"/>
          <w:highlight w:val="none"/>
        </w:rPr>
        <w:t>25</w:t>
      </w:r>
      <w:r>
        <w:rPr>
          <w:color w:val="auto"/>
          <w:sz w:val="24"/>
          <w:szCs w:val="24"/>
          <w:highlight w:val="none"/>
        </w:rPr>
        <w:fldChar w:fldCharType="end"/>
      </w:r>
      <w:r>
        <w:rPr>
          <w:color w:val="auto"/>
          <w:sz w:val="24"/>
          <w:szCs w:val="24"/>
          <w:highlight w:val="none"/>
        </w:rPr>
        <w:fldChar w:fldCharType="end"/>
      </w:r>
    </w:p>
    <w:p>
      <w:pPr>
        <w:pStyle w:val="14"/>
        <w:tabs>
          <w:tab w:val="left" w:pos="840"/>
          <w:tab w:val="right" w:leader="dot" w:pos="8296"/>
        </w:tabs>
        <w:rPr>
          <w:rFonts w:asciiTheme="minorHAnsi" w:hAnsiTheme="minorHAnsi" w:eastAsiaTheme="minorEastAsia" w:cstheme="minorBidi"/>
          <w:color w:val="auto"/>
          <w:kern w:val="2"/>
          <w:sz w:val="24"/>
          <w:szCs w:val="24"/>
          <w:highlight w:val="none"/>
        </w:rPr>
      </w:pPr>
      <w:r>
        <w:rPr>
          <w:color w:val="auto"/>
          <w:highlight w:val="none"/>
        </w:rPr>
        <w:fldChar w:fldCharType="begin"/>
      </w:r>
      <w:r>
        <w:rPr>
          <w:color w:val="auto"/>
          <w:highlight w:val="none"/>
        </w:rPr>
        <w:instrText xml:space="preserve"> HYPERLINK \l "_Toc529972330" </w:instrText>
      </w:r>
      <w:r>
        <w:rPr>
          <w:color w:val="auto"/>
          <w:highlight w:val="none"/>
        </w:rPr>
        <w:fldChar w:fldCharType="separate"/>
      </w:r>
      <w:r>
        <w:rPr>
          <w:rStyle w:val="21"/>
          <w:color w:val="auto"/>
          <w:sz w:val="24"/>
          <w:szCs w:val="24"/>
          <w:highlight w:val="none"/>
        </w:rPr>
        <w:t>18.</w:t>
      </w:r>
      <w:r>
        <w:rPr>
          <w:rFonts w:asciiTheme="minorHAnsi" w:hAnsiTheme="minorHAnsi" w:eastAsiaTheme="minorEastAsia" w:cstheme="minorBidi"/>
          <w:color w:val="auto"/>
          <w:kern w:val="2"/>
          <w:sz w:val="24"/>
          <w:szCs w:val="24"/>
          <w:highlight w:val="none"/>
        </w:rPr>
        <w:tab/>
      </w:r>
      <w:r>
        <w:rPr>
          <w:rStyle w:val="21"/>
          <w:rFonts w:hint="eastAsia"/>
          <w:color w:val="auto"/>
          <w:sz w:val="24"/>
          <w:szCs w:val="24"/>
          <w:highlight w:val="none"/>
        </w:rPr>
        <w:t>通知及送达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_Toc529972330 \h </w:instrText>
      </w:r>
      <w:r>
        <w:rPr>
          <w:color w:val="auto"/>
          <w:sz w:val="24"/>
          <w:szCs w:val="24"/>
          <w:highlight w:val="none"/>
        </w:rPr>
        <w:fldChar w:fldCharType="separate"/>
      </w:r>
      <w:r>
        <w:rPr>
          <w:color w:val="auto"/>
          <w:sz w:val="24"/>
          <w:szCs w:val="24"/>
          <w:highlight w:val="none"/>
        </w:rPr>
        <w:t>26</w:t>
      </w:r>
      <w:r>
        <w:rPr>
          <w:color w:val="auto"/>
          <w:sz w:val="24"/>
          <w:szCs w:val="24"/>
          <w:highlight w:val="none"/>
        </w:rPr>
        <w:fldChar w:fldCharType="end"/>
      </w:r>
      <w:r>
        <w:rPr>
          <w:color w:val="auto"/>
          <w:sz w:val="24"/>
          <w:szCs w:val="24"/>
          <w:highlight w:val="none"/>
        </w:rPr>
        <w:fldChar w:fldCharType="end"/>
      </w:r>
    </w:p>
    <w:p>
      <w:pPr>
        <w:pStyle w:val="14"/>
        <w:tabs>
          <w:tab w:val="left" w:pos="840"/>
          <w:tab w:val="right" w:leader="dot" w:pos="8296"/>
        </w:tabs>
        <w:rPr>
          <w:rFonts w:asciiTheme="minorHAnsi" w:hAnsiTheme="minorHAnsi" w:eastAsiaTheme="minorEastAsia" w:cstheme="minorBidi"/>
          <w:color w:val="auto"/>
          <w:kern w:val="2"/>
          <w:sz w:val="24"/>
          <w:szCs w:val="24"/>
          <w:highlight w:val="none"/>
        </w:rPr>
      </w:pPr>
      <w:r>
        <w:rPr>
          <w:color w:val="auto"/>
          <w:highlight w:val="none"/>
        </w:rPr>
        <w:fldChar w:fldCharType="begin"/>
      </w:r>
      <w:r>
        <w:rPr>
          <w:color w:val="auto"/>
          <w:highlight w:val="none"/>
        </w:rPr>
        <w:instrText xml:space="preserve"> HYPERLINK \l "_Toc529972331" </w:instrText>
      </w:r>
      <w:r>
        <w:rPr>
          <w:color w:val="auto"/>
          <w:highlight w:val="none"/>
        </w:rPr>
        <w:fldChar w:fldCharType="separate"/>
      </w:r>
      <w:r>
        <w:rPr>
          <w:rStyle w:val="21"/>
          <w:color w:val="auto"/>
          <w:sz w:val="24"/>
          <w:szCs w:val="24"/>
          <w:highlight w:val="none"/>
        </w:rPr>
        <w:t>19.</w:t>
      </w:r>
      <w:r>
        <w:rPr>
          <w:rFonts w:asciiTheme="minorHAnsi" w:hAnsiTheme="minorHAnsi" w:eastAsiaTheme="minorEastAsia" w:cstheme="minorBidi"/>
          <w:color w:val="auto"/>
          <w:kern w:val="2"/>
          <w:sz w:val="24"/>
          <w:szCs w:val="24"/>
          <w:highlight w:val="none"/>
        </w:rPr>
        <w:tab/>
      </w:r>
      <w:r>
        <w:rPr>
          <w:rStyle w:val="21"/>
          <w:rFonts w:hint="eastAsia"/>
          <w:color w:val="auto"/>
          <w:sz w:val="24"/>
          <w:szCs w:val="24"/>
          <w:highlight w:val="none"/>
        </w:rPr>
        <w:t>争议的解决</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_Toc529972331 \h </w:instrText>
      </w:r>
      <w:r>
        <w:rPr>
          <w:color w:val="auto"/>
          <w:sz w:val="24"/>
          <w:szCs w:val="24"/>
          <w:highlight w:val="none"/>
        </w:rPr>
        <w:fldChar w:fldCharType="separate"/>
      </w:r>
      <w:r>
        <w:rPr>
          <w:color w:val="auto"/>
          <w:sz w:val="24"/>
          <w:szCs w:val="24"/>
          <w:highlight w:val="none"/>
        </w:rPr>
        <w:t>26</w:t>
      </w:r>
      <w:r>
        <w:rPr>
          <w:color w:val="auto"/>
          <w:sz w:val="24"/>
          <w:szCs w:val="24"/>
          <w:highlight w:val="none"/>
        </w:rPr>
        <w:fldChar w:fldCharType="end"/>
      </w:r>
      <w:r>
        <w:rPr>
          <w:color w:val="auto"/>
          <w:sz w:val="24"/>
          <w:szCs w:val="24"/>
          <w:highlight w:val="none"/>
        </w:rPr>
        <w:fldChar w:fldCharType="end"/>
      </w:r>
    </w:p>
    <w:p>
      <w:pPr>
        <w:pStyle w:val="14"/>
        <w:tabs>
          <w:tab w:val="left" w:pos="840"/>
          <w:tab w:val="right" w:leader="dot" w:pos="8296"/>
        </w:tabs>
        <w:rPr>
          <w:rFonts w:asciiTheme="minorHAnsi" w:hAnsiTheme="minorHAnsi" w:eastAsiaTheme="minorEastAsia" w:cstheme="minorBidi"/>
          <w:color w:val="auto"/>
          <w:kern w:val="2"/>
          <w:sz w:val="24"/>
          <w:szCs w:val="24"/>
          <w:highlight w:val="none"/>
        </w:rPr>
      </w:pPr>
      <w:r>
        <w:rPr>
          <w:color w:val="auto"/>
          <w:highlight w:val="none"/>
        </w:rPr>
        <w:fldChar w:fldCharType="begin"/>
      </w:r>
      <w:r>
        <w:rPr>
          <w:color w:val="auto"/>
          <w:highlight w:val="none"/>
        </w:rPr>
        <w:instrText xml:space="preserve"> HYPERLINK \l "_Toc529972332" </w:instrText>
      </w:r>
      <w:r>
        <w:rPr>
          <w:color w:val="auto"/>
          <w:highlight w:val="none"/>
        </w:rPr>
        <w:fldChar w:fldCharType="separate"/>
      </w:r>
      <w:r>
        <w:rPr>
          <w:rStyle w:val="21"/>
          <w:color w:val="auto"/>
          <w:sz w:val="24"/>
          <w:szCs w:val="24"/>
          <w:highlight w:val="none"/>
        </w:rPr>
        <w:t>20.</w:t>
      </w:r>
      <w:r>
        <w:rPr>
          <w:rFonts w:asciiTheme="minorHAnsi" w:hAnsiTheme="minorHAnsi" w:eastAsiaTheme="minorEastAsia" w:cstheme="minorBidi"/>
          <w:color w:val="auto"/>
          <w:kern w:val="2"/>
          <w:sz w:val="24"/>
          <w:szCs w:val="24"/>
          <w:highlight w:val="none"/>
        </w:rPr>
        <w:tab/>
      </w:r>
      <w:r>
        <w:rPr>
          <w:rStyle w:val="21"/>
          <w:rFonts w:hint="eastAsia"/>
          <w:color w:val="auto"/>
          <w:sz w:val="24"/>
          <w:szCs w:val="24"/>
          <w:highlight w:val="none"/>
        </w:rPr>
        <w:t>合同生效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_Toc529972332 \h </w:instrText>
      </w:r>
      <w:r>
        <w:rPr>
          <w:color w:val="auto"/>
          <w:sz w:val="24"/>
          <w:szCs w:val="24"/>
          <w:highlight w:val="none"/>
        </w:rPr>
        <w:fldChar w:fldCharType="separate"/>
      </w:r>
      <w:r>
        <w:rPr>
          <w:color w:val="auto"/>
          <w:sz w:val="24"/>
          <w:szCs w:val="24"/>
          <w:highlight w:val="none"/>
        </w:rPr>
        <w:t>27</w:t>
      </w:r>
      <w:r>
        <w:rPr>
          <w:color w:val="auto"/>
          <w:sz w:val="24"/>
          <w:szCs w:val="24"/>
          <w:highlight w:val="none"/>
        </w:rPr>
        <w:fldChar w:fldCharType="end"/>
      </w:r>
      <w:r>
        <w:rPr>
          <w:color w:val="auto"/>
          <w:sz w:val="24"/>
          <w:szCs w:val="24"/>
          <w:highlight w:val="none"/>
        </w:rPr>
        <w:fldChar w:fldCharType="end"/>
      </w:r>
    </w:p>
    <w:p>
      <w:pPr>
        <w:pStyle w:val="14"/>
        <w:tabs>
          <w:tab w:val="left" w:pos="840"/>
          <w:tab w:val="right" w:leader="dot" w:pos="8296"/>
        </w:tabs>
        <w:rPr>
          <w:rFonts w:asciiTheme="minorHAnsi" w:hAnsiTheme="minorHAnsi" w:eastAsiaTheme="minorEastAsia" w:cstheme="minorBidi"/>
          <w:color w:val="auto"/>
          <w:kern w:val="2"/>
          <w:sz w:val="24"/>
          <w:szCs w:val="24"/>
          <w:highlight w:val="none"/>
        </w:rPr>
      </w:pPr>
      <w:r>
        <w:rPr>
          <w:color w:val="auto"/>
          <w:highlight w:val="none"/>
        </w:rPr>
        <w:fldChar w:fldCharType="begin"/>
      </w:r>
      <w:r>
        <w:rPr>
          <w:color w:val="auto"/>
          <w:highlight w:val="none"/>
        </w:rPr>
        <w:instrText xml:space="preserve"> HYPERLINK \l "_Toc529972333" </w:instrText>
      </w:r>
      <w:r>
        <w:rPr>
          <w:color w:val="auto"/>
          <w:highlight w:val="none"/>
        </w:rPr>
        <w:fldChar w:fldCharType="separate"/>
      </w:r>
      <w:r>
        <w:rPr>
          <w:rStyle w:val="21"/>
          <w:color w:val="auto"/>
          <w:sz w:val="24"/>
          <w:szCs w:val="24"/>
          <w:highlight w:val="none"/>
        </w:rPr>
        <w:t>21.</w:t>
      </w:r>
      <w:r>
        <w:rPr>
          <w:rFonts w:asciiTheme="minorHAnsi" w:hAnsiTheme="minorHAnsi" w:eastAsiaTheme="minorEastAsia" w:cstheme="minorBidi"/>
          <w:color w:val="auto"/>
          <w:kern w:val="2"/>
          <w:sz w:val="24"/>
          <w:szCs w:val="24"/>
          <w:highlight w:val="none"/>
        </w:rPr>
        <w:tab/>
      </w:r>
      <w:r>
        <w:rPr>
          <w:rStyle w:val="21"/>
          <w:rFonts w:hint="eastAsia"/>
          <w:color w:val="auto"/>
          <w:sz w:val="24"/>
          <w:szCs w:val="24"/>
          <w:highlight w:val="none"/>
        </w:rPr>
        <w:t>下列文件均为本合同不可分割部分：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_Toc529972333 \h </w:instrText>
      </w:r>
      <w:r>
        <w:rPr>
          <w:color w:val="auto"/>
          <w:sz w:val="24"/>
          <w:szCs w:val="24"/>
          <w:highlight w:val="none"/>
        </w:rPr>
        <w:fldChar w:fldCharType="separate"/>
      </w:r>
      <w:r>
        <w:rPr>
          <w:color w:val="auto"/>
          <w:sz w:val="24"/>
          <w:szCs w:val="24"/>
          <w:highlight w:val="none"/>
        </w:rPr>
        <w:t>27</w:t>
      </w:r>
      <w:r>
        <w:rPr>
          <w:color w:val="auto"/>
          <w:sz w:val="24"/>
          <w:szCs w:val="24"/>
          <w:highlight w:val="none"/>
        </w:rPr>
        <w:fldChar w:fldCharType="end"/>
      </w:r>
      <w:r>
        <w:rPr>
          <w:color w:val="auto"/>
          <w:sz w:val="24"/>
          <w:szCs w:val="24"/>
          <w:highlight w:val="none"/>
        </w:rPr>
        <w:fldChar w:fldCharType="end"/>
      </w:r>
    </w:p>
    <w:p>
      <w:pPr>
        <w:pStyle w:val="14"/>
        <w:tabs>
          <w:tab w:val="right" w:leader="dot" w:pos="8296"/>
        </w:tabs>
        <w:rPr>
          <w:rFonts w:asciiTheme="minorHAnsi" w:hAnsiTheme="minorHAnsi" w:eastAsiaTheme="minorEastAsia" w:cstheme="minorBidi"/>
          <w:color w:val="auto"/>
          <w:kern w:val="2"/>
          <w:sz w:val="24"/>
          <w:szCs w:val="24"/>
          <w:highlight w:val="none"/>
        </w:rPr>
      </w:pPr>
      <w:r>
        <w:rPr>
          <w:color w:val="auto"/>
          <w:highlight w:val="none"/>
        </w:rPr>
        <w:fldChar w:fldCharType="begin"/>
      </w:r>
      <w:r>
        <w:rPr>
          <w:color w:val="auto"/>
          <w:highlight w:val="none"/>
        </w:rPr>
        <w:instrText xml:space="preserve"> HYPERLINK \l "_Toc529972334" </w:instrText>
      </w:r>
      <w:r>
        <w:rPr>
          <w:color w:val="auto"/>
          <w:highlight w:val="none"/>
        </w:rPr>
        <w:fldChar w:fldCharType="separate"/>
      </w:r>
      <w:r>
        <w:rPr>
          <w:rStyle w:val="21"/>
          <w:rFonts w:hint="eastAsia" w:ascii="仿宋" w:hAnsi="仿宋" w:eastAsia="仿宋"/>
          <w:b/>
          <w:color w:val="auto"/>
          <w:sz w:val="24"/>
          <w:szCs w:val="24"/>
          <w:highlight w:val="none"/>
        </w:rPr>
        <w:t>附件一：佛山季华项目电梯设备安装报价明细清单（另册）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_Toc529972334 \h </w:instrText>
      </w:r>
      <w:r>
        <w:rPr>
          <w:color w:val="auto"/>
          <w:sz w:val="24"/>
          <w:szCs w:val="24"/>
          <w:highlight w:val="none"/>
        </w:rPr>
        <w:fldChar w:fldCharType="separate"/>
      </w:r>
      <w:r>
        <w:rPr>
          <w:color w:val="auto"/>
          <w:sz w:val="24"/>
          <w:szCs w:val="24"/>
          <w:highlight w:val="none"/>
        </w:rPr>
        <w:t>30</w:t>
      </w:r>
      <w:r>
        <w:rPr>
          <w:color w:val="auto"/>
          <w:sz w:val="24"/>
          <w:szCs w:val="24"/>
          <w:highlight w:val="none"/>
        </w:rPr>
        <w:fldChar w:fldCharType="end"/>
      </w:r>
      <w:r>
        <w:rPr>
          <w:color w:val="auto"/>
          <w:sz w:val="24"/>
          <w:szCs w:val="24"/>
          <w:highlight w:val="none"/>
        </w:rPr>
        <w:fldChar w:fldCharType="end"/>
      </w:r>
    </w:p>
    <w:p>
      <w:pPr>
        <w:pStyle w:val="14"/>
        <w:tabs>
          <w:tab w:val="right" w:leader="dot" w:pos="8296"/>
        </w:tabs>
        <w:rPr>
          <w:rFonts w:asciiTheme="minorHAnsi" w:hAnsiTheme="minorHAnsi" w:eastAsiaTheme="minorEastAsia" w:cstheme="minorBidi"/>
          <w:color w:val="auto"/>
          <w:kern w:val="2"/>
          <w:sz w:val="24"/>
          <w:szCs w:val="24"/>
          <w:highlight w:val="none"/>
        </w:rPr>
      </w:pPr>
      <w:r>
        <w:rPr>
          <w:color w:val="auto"/>
          <w:highlight w:val="none"/>
        </w:rPr>
        <w:fldChar w:fldCharType="begin"/>
      </w:r>
      <w:r>
        <w:rPr>
          <w:color w:val="auto"/>
          <w:highlight w:val="none"/>
        </w:rPr>
        <w:instrText xml:space="preserve"> HYPERLINK \l "_Toc529972335" </w:instrText>
      </w:r>
      <w:r>
        <w:rPr>
          <w:color w:val="auto"/>
          <w:highlight w:val="none"/>
        </w:rPr>
        <w:fldChar w:fldCharType="separate"/>
      </w:r>
      <w:r>
        <w:rPr>
          <w:rStyle w:val="21"/>
          <w:rFonts w:hint="eastAsia" w:ascii="仿宋" w:hAnsi="仿宋" w:eastAsia="仿宋"/>
          <w:b/>
          <w:color w:val="auto"/>
          <w:sz w:val="24"/>
          <w:szCs w:val="24"/>
          <w:highlight w:val="none"/>
        </w:rPr>
        <w:t>附件二：佛山季华项目垂直梯专业技术要求（另册）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_Toc529972335 \h </w:instrText>
      </w:r>
      <w:r>
        <w:rPr>
          <w:color w:val="auto"/>
          <w:sz w:val="24"/>
          <w:szCs w:val="24"/>
          <w:highlight w:val="none"/>
        </w:rPr>
        <w:fldChar w:fldCharType="separate"/>
      </w:r>
      <w:r>
        <w:rPr>
          <w:color w:val="auto"/>
          <w:sz w:val="24"/>
          <w:szCs w:val="24"/>
          <w:highlight w:val="none"/>
        </w:rPr>
        <w:t>30</w:t>
      </w:r>
      <w:r>
        <w:rPr>
          <w:color w:val="auto"/>
          <w:sz w:val="24"/>
          <w:szCs w:val="24"/>
          <w:highlight w:val="none"/>
        </w:rPr>
        <w:fldChar w:fldCharType="end"/>
      </w:r>
      <w:r>
        <w:rPr>
          <w:color w:val="auto"/>
          <w:sz w:val="24"/>
          <w:szCs w:val="24"/>
          <w:highlight w:val="none"/>
        </w:rPr>
        <w:fldChar w:fldCharType="end"/>
      </w:r>
    </w:p>
    <w:p>
      <w:pPr>
        <w:pStyle w:val="14"/>
        <w:tabs>
          <w:tab w:val="right" w:leader="dot" w:pos="8296"/>
        </w:tabs>
        <w:rPr>
          <w:rFonts w:asciiTheme="minorHAnsi" w:hAnsiTheme="minorHAnsi" w:eastAsiaTheme="minorEastAsia" w:cstheme="minorBidi"/>
          <w:color w:val="auto"/>
          <w:kern w:val="2"/>
          <w:sz w:val="24"/>
          <w:szCs w:val="24"/>
          <w:highlight w:val="none"/>
        </w:rPr>
      </w:pPr>
      <w:r>
        <w:rPr>
          <w:color w:val="auto"/>
          <w:highlight w:val="none"/>
        </w:rPr>
        <w:fldChar w:fldCharType="begin"/>
      </w:r>
      <w:r>
        <w:rPr>
          <w:color w:val="auto"/>
          <w:highlight w:val="none"/>
        </w:rPr>
        <w:instrText xml:space="preserve"> HYPERLINK \l "_Toc529972340" </w:instrText>
      </w:r>
      <w:r>
        <w:rPr>
          <w:color w:val="auto"/>
          <w:highlight w:val="none"/>
        </w:rPr>
        <w:fldChar w:fldCharType="separate"/>
      </w:r>
      <w:r>
        <w:rPr>
          <w:rStyle w:val="21"/>
          <w:rFonts w:hint="eastAsia" w:ascii="仿宋" w:hAnsi="仿宋" w:eastAsia="仿宋"/>
          <w:b/>
          <w:color w:val="auto"/>
          <w:sz w:val="24"/>
          <w:szCs w:val="24"/>
          <w:highlight w:val="none"/>
        </w:rPr>
        <w:t>附件三：佛山季华项目工程施工现场管理办法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_Toc529972340 \h </w:instrText>
      </w:r>
      <w:r>
        <w:rPr>
          <w:color w:val="auto"/>
          <w:sz w:val="24"/>
          <w:szCs w:val="24"/>
          <w:highlight w:val="none"/>
        </w:rPr>
        <w:fldChar w:fldCharType="separate"/>
      </w:r>
      <w:r>
        <w:rPr>
          <w:color w:val="auto"/>
          <w:sz w:val="24"/>
          <w:szCs w:val="24"/>
          <w:highlight w:val="none"/>
        </w:rPr>
        <w:t>30</w:t>
      </w:r>
      <w:r>
        <w:rPr>
          <w:color w:val="auto"/>
          <w:sz w:val="24"/>
          <w:szCs w:val="24"/>
          <w:highlight w:val="none"/>
        </w:rPr>
        <w:fldChar w:fldCharType="end"/>
      </w:r>
      <w:r>
        <w:rPr>
          <w:color w:val="auto"/>
          <w:sz w:val="24"/>
          <w:szCs w:val="24"/>
          <w:highlight w:val="none"/>
        </w:rPr>
        <w:fldChar w:fldCharType="end"/>
      </w:r>
    </w:p>
    <w:p>
      <w:pPr>
        <w:pStyle w:val="14"/>
        <w:tabs>
          <w:tab w:val="right" w:leader="dot" w:pos="8296"/>
        </w:tabs>
        <w:rPr>
          <w:rFonts w:asciiTheme="minorHAnsi" w:hAnsiTheme="minorHAnsi" w:eastAsiaTheme="minorEastAsia" w:cstheme="minorBidi"/>
          <w:color w:val="auto"/>
          <w:kern w:val="2"/>
          <w:sz w:val="24"/>
          <w:szCs w:val="24"/>
          <w:highlight w:val="none"/>
        </w:rPr>
      </w:pPr>
      <w:r>
        <w:rPr>
          <w:color w:val="auto"/>
          <w:highlight w:val="none"/>
        </w:rPr>
        <w:fldChar w:fldCharType="begin"/>
      </w:r>
      <w:r>
        <w:rPr>
          <w:color w:val="auto"/>
          <w:highlight w:val="none"/>
        </w:rPr>
        <w:instrText xml:space="preserve"> HYPERLINK \l "_Toc529972341" </w:instrText>
      </w:r>
      <w:r>
        <w:rPr>
          <w:color w:val="auto"/>
          <w:highlight w:val="none"/>
        </w:rPr>
        <w:fldChar w:fldCharType="separate"/>
      </w:r>
      <w:r>
        <w:rPr>
          <w:rStyle w:val="21"/>
          <w:rFonts w:hint="eastAsia" w:ascii="仿宋" w:hAnsi="仿宋" w:eastAsia="仿宋"/>
          <w:b/>
          <w:color w:val="auto"/>
          <w:sz w:val="24"/>
          <w:szCs w:val="24"/>
          <w:highlight w:val="none"/>
        </w:rPr>
        <w:t>附件四：施工界面划分表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_Toc529972341 \h </w:instrText>
      </w:r>
      <w:r>
        <w:rPr>
          <w:color w:val="auto"/>
          <w:sz w:val="24"/>
          <w:szCs w:val="24"/>
          <w:highlight w:val="none"/>
        </w:rPr>
        <w:fldChar w:fldCharType="separate"/>
      </w:r>
      <w:r>
        <w:rPr>
          <w:color w:val="auto"/>
          <w:sz w:val="24"/>
          <w:szCs w:val="24"/>
          <w:highlight w:val="none"/>
        </w:rPr>
        <w:t>30</w:t>
      </w:r>
      <w:r>
        <w:rPr>
          <w:color w:val="auto"/>
          <w:sz w:val="24"/>
          <w:szCs w:val="24"/>
          <w:highlight w:val="none"/>
        </w:rPr>
        <w:fldChar w:fldCharType="end"/>
      </w:r>
      <w:r>
        <w:rPr>
          <w:color w:val="auto"/>
          <w:sz w:val="24"/>
          <w:szCs w:val="24"/>
          <w:highlight w:val="none"/>
        </w:rPr>
        <w:fldChar w:fldCharType="end"/>
      </w:r>
    </w:p>
    <w:p>
      <w:pPr>
        <w:pStyle w:val="14"/>
        <w:tabs>
          <w:tab w:val="right" w:leader="dot" w:pos="8296"/>
        </w:tabs>
        <w:rPr>
          <w:rFonts w:asciiTheme="minorHAnsi" w:hAnsiTheme="minorHAnsi" w:eastAsiaTheme="minorEastAsia" w:cstheme="minorBidi"/>
          <w:color w:val="auto"/>
          <w:kern w:val="2"/>
          <w:sz w:val="24"/>
          <w:szCs w:val="24"/>
          <w:highlight w:val="none"/>
        </w:rPr>
      </w:pPr>
      <w:r>
        <w:rPr>
          <w:color w:val="auto"/>
          <w:highlight w:val="none"/>
        </w:rPr>
        <w:fldChar w:fldCharType="begin"/>
      </w:r>
      <w:r>
        <w:rPr>
          <w:color w:val="auto"/>
          <w:highlight w:val="none"/>
        </w:rPr>
        <w:instrText xml:space="preserve"> HYPERLINK \l "_Toc529972342" </w:instrText>
      </w:r>
      <w:r>
        <w:rPr>
          <w:color w:val="auto"/>
          <w:highlight w:val="none"/>
        </w:rPr>
        <w:fldChar w:fldCharType="separate"/>
      </w:r>
      <w:r>
        <w:rPr>
          <w:rStyle w:val="21"/>
          <w:rFonts w:hint="eastAsia" w:ascii="仿宋" w:hAnsi="仿宋" w:eastAsia="仿宋"/>
          <w:b/>
          <w:color w:val="auto"/>
          <w:sz w:val="24"/>
          <w:szCs w:val="24"/>
          <w:highlight w:val="none"/>
        </w:rPr>
        <w:t>附件五：履约保函（样式）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_Toc529972342 \h </w:instrText>
      </w:r>
      <w:r>
        <w:rPr>
          <w:color w:val="auto"/>
          <w:sz w:val="24"/>
          <w:szCs w:val="24"/>
          <w:highlight w:val="none"/>
        </w:rPr>
        <w:fldChar w:fldCharType="separate"/>
      </w:r>
      <w:r>
        <w:rPr>
          <w:color w:val="auto"/>
          <w:sz w:val="24"/>
          <w:szCs w:val="24"/>
          <w:highlight w:val="none"/>
        </w:rPr>
        <w:t>31</w:t>
      </w:r>
      <w:r>
        <w:rPr>
          <w:color w:val="auto"/>
          <w:sz w:val="24"/>
          <w:szCs w:val="24"/>
          <w:highlight w:val="none"/>
        </w:rPr>
        <w:fldChar w:fldCharType="end"/>
      </w:r>
      <w:r>
        <w:rPr>
          <w:color w:val="auto"/>
          <w:sz w:val="24"/>
          <w:szCs w:val="24"/>
          <w:highlight w:val="none"/>
        </w:rPr>
        <w:fldChar w:fldCharType="end"/>
      </w:r>
    </w:p>
    <w:p>
      <w:pPr>
        <w:pStyle w:val="14"/>
        <w:tabs>
          <w:tab w:val="right" w:leader="dot" w:pos="8296"/>
        </w:tabs>
        <w:rPr>
          <w:rFonts w:asciiTheme="minorHAnsi" w:hAnsiTheme="minorHAnsi" w:eastAsiaTheme="minorEastAsia" w:cstheme="minorBidi"/>
          <w:color w:val="auto"/>
          <w:kern w:val="2"/>
          <w:sz w:val="24"/>
          <w:szCs w:val="24"/>
          <w:highlight w:val="none"/>
        </w:rPr>
      </w:pPr>
      <w:r>
        <w:rPr>
          <w:color w:val="auto"/>
          <w:highlight w:val="none"/>
        </w:rPr>
        <w:fldChar w:fldCharType="begin"/>
      </w:r>
      <w:r>
        <w:rPr>
          <w:color w:val="auto"/>
          <w:highlight w:val="none"/>
        </w:rPr>
        <w:instrText xml:space="preserve"> HYPERLINK \l "_Toc529972344" </w:instrText>
      </w:r>
      <w:r>
        <w:rPr>
          <w:color w:val="auto"/>
          <w:highlight w:val="none"/>
        </w:rPr>
        <w:fldChar w:fldCharType="separate"/>
      </w:r>
      <w:r>
        <w:rPr>
          <w:rStyle w:val="21"/>
          <w:rFonts w:hint="eastAsia" w:ascii="仿宋" w:hAnsi="仿宋" w:eastAsia="仿宋"/>
          <w:b/>
          <w:color w:val="auto"/>
          <w:sz w:val="24"/>
          <w:szCs w:val="24"/>
          <w:highlight w:val="none"/>
        </w:rPr>
        <w:t>附件六：质量保函（样式）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_Toc529972344 \h </w:instrText>
      </w:r>
      <w:r>
        <w:rPr>
          <w:color w:val="auto"/>
          <w:sz w:val="24"/>
          <w:szCs w:val="24"/>
          <w:highlight w:val="none"/>
        </w:rPr>
        <w:fldChar w:fldCharType="separate"/>
      </w:r>
      <w:r>
        <w:rPr>
          <w:color w:val="auto"/>
          <w:sz w:val="24"/>
          <w:szCs w:val="24"/>
          <w:highlight w:val="none"/>
        </w:rPr>
        <w:t>33</w:t>
      </w:r>
      <w:r>
        <w:rPr>
          <w:color w:val="auto"/>
          <w:sz w:val="24"/>
          <w:szCs w:val="24"/>
          <w:highlight w:val="none"/>
        </w:rPr>
        <w:fldChar w:fldCharType="end"/>
      </w:r>
      <w:r>
        <w:rPr>
          <w:color w:val="auto"/>
          <w:sz w:val="24"/>
          <w:szCs w:val="24"/>
          <w:highlight w:val="none"/>
        </w:rPr>
        <w:fldChar w:fldCharType="end"/>
      </w:r>
    </w:p>
    <w:p>
      <w:pPr>
        <w:pStyle w:val="14"/>
        <w:tabs>
          <w:tab w:val="right" w:leader="dot" w:pos="8296"/>
        </w:tabs>
        <w:rPr>
          <w:rFonts w:asciiTheme="minorHAnsi" w:hAnsiTheme="minorHAnsi" w:eastAsiaTheme="minorEastAsia" w:cstheme="minorBidi"/>
          <w:b/>
          <w:color w:val="auto"/>
          <w:kern w:val="2"/>
          <w:sz w:val="24"/>
          <w:szCs w:val="24"/>
          <w:highlight w:val="none"/>
        </w:rPr>
      </w:pPr>
      <w:r>
        <w:rPr>
          <w:color w:val="auto"/>
          <w:highlight w:val="none"/>
        </w:rPr>
        <w:fldChar w:fldCharType="begin"/>
      </w:r>
      <w:r>
        <w:rPr>
          <w:color w:val="auto"/>
          <w:highlight w:val="none"/>
        </w:rPr>
        <w:instrText xml:space="preserve"> HYPERLINK \l "_Toc529972345" </w:instrText>
      </w:r>
      <w:r>
        <w:rPr>
          <w:color w:val="auto"/>
          <w:highlight w:val="none"/>
        </w:rPr>
        <w:fldChar w:fldCharType="separate"/>
      </w:r>
      <w:r>
        <w:rPr>
          <w:rStyle w:val="21"/>
          <w:rFonts w:hint="eastAsia" w:ascii="仿宋" w:hAnsi="仿宋" w:eastAsia="仿宋"/>
          <w:b/>
          <w:color w:val="auto"/>
          <w:sz w:val="24"/>
          <w:szCs w:val="24"/>
          <w:highlight w:val="none"/>
        </w:rPr>
        <w:t>附件七：工程质量保修书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_Toc529972345 \h </w:instrText>
      </w:r>
      <w:r>
        <w:rPr>
          <w:color w:val="auto"/>
          <w:sz w:val="24"/>
          <w:szCs w:val="24"/>
          <w:highlight w:val="none"/>
        </w:rPr>
        <w:fldChar w:fldCharType="separate"/>
      </w:r>
      <w:r>
        <w:rPr>
          <w:color w:val="auto"/>
          <w:sz w:val="24"/>
          <w:szCs w:val="24"/>
          <w:highlight w:val="none"/>
        </w:rPr>
        <w:t>34</w:t>
      </w:r>
      <w:r>
        <w:rPr>
          <w:color w:val="auto"/>
          <w:sz w:val="24"/>
          <w:szCs w:val="24"/>
          <w:highlight w:val="none"/>
        </w:rPr>
        <w:fldChar w:fldCharType="end"/>
      </w:r>
      <w:r>
        <w:rPr>
          <w:color w:val="auto"/>
          <w:sz w:val="24"/>
          <w:szCs w:val="24"/>
          <w:highlight w:val="none"/>
        </w:rPr>
        <w:fldChar w:fldCharType="end"/>
      </w:r>
    </w:p>
    <w:p>
      <w:pPr>
        <w:pStyle w:val="14"/>
        <w:tabs>
          <w:tab w:val="right" w:leader="dot" w:pos="8296"/>
        </w:tabs>
        <w:rPr>
          <w:rFonts w:asciiTheme="minorHAnsi" w:hAnsiTheme="minorHAnsi" w:eastAsiaTheme="minorEastAsia" w:cstheme="minorBidi"/>
          <w:color w:val="auto"/>
          <w:kern w:val="2"/>
          <w:sz w:val="24"/>
          <w:szCs w:val="24"/>
          <w:highlight w:val="none"/>
        </w:rPr>
      </w:pPr>
      <w:r>
        <w:rPr>
          <w:color w:val="auto"/>
          <w:highlight w:val="none"/>
        </w:rPr>
        <w:fldChar w:fldCharType="begin"/>
      </w:r>
      <w:r>
        <w:rPr>
          <w:color w:val="auto"/>
          <w:highlight w:val="none"/>
        </w:rPr>
        <w:instrText xml:space="preserve"> HYPERLINK \l "_Toc529972346" </w:instrText>
      </w:r>
      <w:r>
        <w:rPr>
          <w:color w:val="auto"/>
          <w:highlight w:val="none"/>
        </w:rPr>
        <w:fldChar w:fldCharType="separate"/>
      </w:r>
      <w:r>
        <w:rPr>
          <w:rStyle w:val="21"/>
          <w:rFonts w:hint="eastAsia" w:ascii="仿宋" w:hAnsi="仿宋" w:eastAsia="仿宋"/>
          <w:b/>
          <w:color w:val="auto"/>
          <w:sz w:val="24"/>
          <w:szCs w:val="24"/>
          <w:highlight w:val="none"/>
        </w:rPr>
        <w:t>附件八：工程建设项目廉政责任书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_Toc529972346 \h </w:instrText>
      </w:r>
      <w:r>
        <w:rPr>
          <w:color w:val="auto"/>
          <w:sz w:val="24"/>
          <w:szCs w:val="24"/>
          <w:highlight w:val="none"/>
        </w:rPr>
        <w:fldChar w:fldCharType="separate"/>
      </w:r>
      <w:r>
        <w:rPr>
          <w:color w:val="auto"/>
          <w:sz w:val="24"/>
          <w:szCs w:val="24"/>
          <w:highlight w:val="none"/>
        </w:rPr>
        <w:t>36</w:t>
      </w:r>
      <w:r>
        <w:rPr>
          <w:color w:val="auto"/>
          <w:sz w:val="24"/>
          <w:szCs w:val="24"/>
          <w:highlight w:val="none"/>
        </w:rPr>
        <w:fldChar w:fldCharType="end"/>
      </w:r>
      <w:r>
        <w:rPr>
          <w:color w:val="auto"/>
          <w:sz w:val="24"/>
          <w:szCs w:val="24"/>
          <w:highlight w:val="none"/>
        </w:rPr>
        <w:fldChar w:fldCharType="end"/>
      </w:r>
    </w:p>
    <w:p>
      <w:pPr>
        <w:pStyle w:val="14"/>
        <w:tabs>
          <w:tab w:val="right" w:leader="dot" w:pos="8296"/>
        </w:tabs>
        <w:rPr>
          <w:rFonts w:asciiTheme="minorHAnsi" w:hAnsiTheme="minorHAnsi" w:eastAsiaTheme="minorEastAsia" w:cstheme="minorBidi"/>
          <w:color w:val="auto"/>
          <w:kern w:val="2"/>
          <w:sz w:val="24"/>
          <w:szCs w:val="24"/>
          <w:highlight w:val="none"/>
        </w:rPr>
      </w:pPr>
      <w:r>
        <w:rPr>
          <w:color w:val="auto"/>
          <w:highlight w:val="none"/>
        </w:rPr>
        <w:fldChar w:fldCharType="begin"/>
      </w:r>
      <w:r>
        <w:rPr>
          <w:color w:val="auto"/>
          <w:highlight w:val="none"/>
        </w:rPr>
        <w:instrText xml:space="preserve"> HYPERLINK \l "_Toc529972347" </w:instrText>
      </w:r>
      <w:r>
        <w:rPr>
          <w:color w:val="auto"/>
          <w:highlight w:val="none"/>
        </w:rPr>
        <w:fldChar w:fldCharType="separate"/>
      </w:r>
      <w:r>
        <w:rPr>
          <w:rStyle w:val="21"/>
          <w:rFonts w:hint="eastAsia" w:ascii="仿宋" w:hAnsi="仿宋" w:eastAsia="仿宋"/>
          <w:b/>
          <w:color w:val="auto"/>
          <w:sz w:val="24"/>
          <w:szCs w:val="24"/>
          <w:highlight w:val="none"/>
        </w:rPr>
        <w:t>附件九：电梯防护与运行管理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_Toc529972347 \h </w:instrText>
      </w:r>
      <w:r>
        <w:rPr>
          <w:color w:val="auto"/>
          <w:sz w:val="24"/>
          <w:szCs w:val="24"/>
          <w:highlight w:val="none"/>
        </w:rPr>
        <w:fldChar w:fldCharType="separate"/>
      </w:r>
      <w:r>
        <w:rPr>
          <w:color w:val="auto"/>
          <w:sz w:val="24"/>
          <w:szCs w:val="24"/>
          <w:highlight w:val="none"/>
        </w:rPr>
        <w:t>39</w:t>
      </w:r>
      <w:r>
        <w:rPr>
          <w:color w:val="auto"/>
          <w:sz w:val="24"/>
          <w:szCs w:val="24"/>
          <w:highlight w:val="none"/>
        </w:rPr>
        <w:fldChar w:fldCharType="end"/>
      </w:r>
      <w:r>
        <w:rPr>
          <w:color w:val="auto"/>
          <w:sz w:val="24"/>
          <w:szCs w:val="24"/>
          <w:highlight w:val="none"/>
        </w:rPr>
        <w:fldChar w:fldCharType="end"/>
      </w:r>
    </w:p>
    <w:p>
      <w:pPr>
        <w:pStyle w:val="14"/>
        <w:tabs>
          <w:tab w:val="right" w:leader="dot" w:pos="8296"/>
        </w:tabs>
        <w:rPr>
          <w:rFonts w:asciiTheme="minorHAnsi" w:hAnsiTheme="minorHAnsi" w:eastAsiaTheme="minorEastAsia" w:cstheme="minorBidi"/>
          <w:color w:val="auto"/>
          <w:kern w:val="2"/>
          <w:sz w:val="24"/>
          <w:szCs w:val="24"/>
          <w:highlight w:val="none"/>
        </w:rPr>
      </w:pPr>
      <w:r>
        <w:rPr>
          <w:color w:val="auto"/>
          <w:highlight w:val="none"/>
        </w:rPr>
        <w:fldChar w:fldCharType="begin"/>
      </w:r>
      <w:r>
        <w:rPr>
          <w:color w:val="auto"/>
          <w:highlight w:val="none"/>
        </w:rPr>
        <w:instrText xml:space="preserve"> HYPERLINK \l "_Toc529972348" </w:instrText>
      </w:r>
      <w:r>
        <w:rPr>
          <w:color w:val="auto"/>
          <w:highlight w:val="none"/>
        </w:rPr>
        <w:fldChar w:fldCharType="separate"/>
      </w:r>
      <w:r>
        <w:rPr>
          <w:rStyle w:val="21"/>
          <w:rFonts w:hint="eastAsia" w:ascii="仿宋" w:hAnsi="仿宋" w:eastAsia="仿宋"/>
          <w:b/>
          <w:color w:val="auto"/>
          <w:sz w:val="24"/>
          <w:szCs w:val="24"/>
          <w:highlight w:val="none"/>
        </w:rPr>
        <w:t>附件十：乙方人员目录及资格清单</w:t>
      </w:r>
      <w:r>
        <w:rPr>
          <w:rStyle w:val="21"/>
          <w:rFonts w:ascii="仿宋" w:hAnsi="仿宋" w:eastAsia="仿宋"/>
          <w:b/>
          <w:color w:val="auto"/>
          <w:sz w:val="24"/>
          <w:szCs w:val="24"/>
          <w:highlight w:val="none"/>
        </w:rPr>
        <w:t>(</w:t>
      </w:r>
      <w:r>
        <w:rPr>
          <w:rStyle w:val="21"/>
          <w:rFonts w:hint="eastAsia" w:ascii="仿宋" w:hAnsi="仿宋" w:eastAsia="仿宋"/>
          <w:b/>
          <w:color w:val="auto"/>
          <w:sz w:val="24"/>
          <w:szCs w:val="24"/>
          <w:highlight w:val="none"/>
        </w:rPr>
        <w:t>另册</w:t>
      </w:r>
      <w:r>
        <w:rPr>
          <w:rStyle w:val="21"/>
          <w:rFonts w:ascii="仿宋" w:hAnsi="仿宋" w:eastAsia="仿宋"/>
          <w:b/>
          <w:color w:val="auto"/>
          <w:sz w:val="24"/>
          <w:szCs w:val="24"/>
          <w:highlight w:val="none"/>
        </w:rPr>
        <w:t>)</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_Toc529972348 \h </w:instrText>
      </w:r>
      <w:r>
        <w:rPr>
          <w:color w:val="auto"/>
          <w:sz w:val="24"/>
          <w:szCs w:val="24"/>
          <w:highlight w:val="none"/>
        </w:rPr>
        <w:fldChar w:fldCharType="separate"/>
      </w:r>
      <w:r>
        <w:rPr>
          <w:color w:val="auto"/>
          <w:sz w:val="24"/>
          <w:szCs w:val="24"/>
          <w:highlight w:val="none"/>
        </w:rPr>
        <w:t>42</w:t>
      </w:r>
      <w:r>
        <w:rPr>
          <w:color w:val="auto"/>
          <w:sz w:val="24"/>
          <w:szCs w:val="24"/>
          <w:highlight w:val="none"/>
        </w:rPr>
        <w:fldChar w:fldCharType="end"/>
      </w:r>
      <w:r>
        <w:rPr>
          <w:color w:val="auto"/>
          <w:sz w:val="24"/>
          <w:szCs w:val="24"/>
          <w:highlight w:val="none"/>
        </w:rPr>
        <w:fldChar w:fldCharType="end"/>
      </w:r>
    </w:p>
    <w:p>
      <w:pPr>
        <w:pStyle w:val="14"/>
        <w:tabs>
          <w:tab w:val="right" w:leader="dot" w:pos="8296"/>
        </w:tabs>
        <w:rPr>
          <w:rFonts w:asciiTheme="minorHAnsi" w:hAnsiTheme="minorHAnsi" w:eastAsiaTheme="minorEastAsia" w:cstheme="minorBidi"/>
          <w:color w:val="auto"/>
          <w:kern w:val="2"/>
          <w:sz w:val="24"/>
          <w:szCs w:val="24"/>
          <w:highlight w:val="none"/>
        </w:rPr>
      </w:pPr>
      <w:r>
        <w:rPr>
          <w:color w:val="auto"/>
          <w:highlight w:val="none"/>
        </w:rPr>
        <w:fldChar w:fldCharType="begin"/>
      </w:r>
      <w:r>
        <w:rPr>
          <w:color w:val="auto"/>
          <w:highlight w:val="none"/>
        </w:rPr>
        <w:instrText xml:space="preserve"> HYPERLINK \l "_Toc529972349" </w:instrText>
      </w:r>
      <w:r>
        <w:rPr>
          <w:color w:val="auto"/>
          <w:highlight w:val="none"/>
        </w:rPr>
        <w:fldChar w:fldCharType="separate"/>
      </w:r>
      <w:r>
        <w:rPr>
          <w:rStyle w:val="21"/>
          <w:rFonts w:hint="eastAsia" w:ascii="仿宋" w:hAnsi="仿宋" w:eastAsia="仿宋"/>
          <w:b/>
          <w:color w:val="auto"/>
          <w:sz w:val="24"/>
          <w:szCs w:val="24"/>
          <w:highlight w:val="none"/>
        </w:rPr>
        <w:t>附件十一土建条件图（如有另册）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_Toc529972349 \h </w:instrText>
      </w:r>
      <w:r>
        <w:rPr>
          <w:color w:val="auto"/>
          <w:sz w:val="24"/>
          <w:szCs w:val="24"/>
          <w:highlight w:val="none"/>
        </w:rPr>
        <w:fldChar w:fldCharType="separate"/>
      </w:r>
      <w:r>
        <w:rPr>
          <w:color w:val="auto"/>
          <w:sz w:val="24"/>
          <w:szCs w:val="24"/>
          <w:highlight w:val="none"/>
        </w:rPr>
        <w:t>42</w:t>
      </w:r>
      <w:r>
        <w:rPr>
          <w:color w:val="auto"/>
          <w:sz w:val="24"/>
          <w:szCs w:val="24"/>
          <w:highlight w:val="none"/>
        </w:rPr>
        <w:fldChar w:fldCharType="end"/>
      </w:r>
      <w:r>
        <w:rPr>
          <w:color w:val="auto"/>
          <w:sz w:val="24"/>
          <w:szCs w:val="24"/>
          <w:highlight w:val="none"/>
        </w:rPr>
        <w:fldChar w:fldCharType="end"/>
      </w:r>
    </w:p>
    <w:p>
      <w:pPr>
        <w:pStyle w:val="14"/>
        <w:tabs>
          <w:tab w:val="right" w:leader="dot" w:pos="8296"/>
        </w:tabs>
        <w:rPr>
          <w:rFonts w:asciiTheme="minorHAnsi" w:hAnsiTheme="minorHAnsi" w:eastAsiaTheme="minorEastAsia" w:cstheme="minorBidi"/>
          <w:color w:val="auto"/>
          <w:kern w:val="2"/>
          <w:sz w:val="24"/>
          <w:szCs w:val="24"/>
          <w:highlight w:val="none"/>
        </w:rPr>
      </w:pPr>
      <w:r>
        <w:rPr>
          <w:color w:val="auto"/>
          <w:highlight w:val="none"/>
        </w:rPr>
        <w:fldChar w:fldCharType="begin"/>
      </w:r>
      <w:r>
        <w:rPr>
          <w:color w:val="auto"/>
          <w:highlight w:val="none"/>
        </w:rPr>
        <w:instrText xml:space="preserve"> HYPERLINK \l "_Toc529972350" </w:instrText>
      </w:r>
      <w:r>
        <w:rPr>
          <w:color w:val="auto"/>
          <w:highlight w:val="none"/>
        </w:rPr>
        <w:fldChar w:fldCharType="separate"/>
      </w:r>
      <w:r>
        <w:rPr>
          <w:rStyle w:val="21"/>
          <w:rFonts w:hint="eastAsia" w:ascii="仿宋" w:hAnsi="仿宋" w:eastAsia="仿宋"/>
          <w:b/>
          <w:color w:val="auto"/>
          <w:sz w:val="24"/>
          <w:szCs w:val="24"/>
          <w:highlight w:val="none"/>
        </w:rPr>
        <w:t>附件十二：投标文件关键页（另册）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_Toc529972350 \h </w:instrText>
      </w:r>
      <w:r>
        <w:rPr>
          <w:color w:val="auto"/>
          <w:sz w:val="24"/>
          <w:szCs w:val="24"/>
          <w:highlight w:val="none"/>
        </w:rPr>
        <w:fldChar w:fldCharType="separate"/>
      </w:r>
      <w:r>
        <w:rPr>
          <w:color w:val="auto"/>
          <w:sz w:val="24"/>
          <w:szCs w:val="24"/>
          <w:highlight w:val="none"/>
        </w:rPr>
        <w:t>42</w:t>
      </w:r>
      <w:r>
        <w:rPr>
          <w:color w:val="auto"/>
          <w:sz w:val="24"/>
          <w:szCs w:val="24"/>
          <w:highlight w:val="none"/>
        </w:rPr>
        <w:fldChar w:fldCharType="end"/>
      </w:r>
      <w:r>
        <w:rPr>
          <w:color w:val="auto"/>
          <w:sz w:val="24"/>
          <w:szCs w:val="24"/>
          <w:highlight w:val="none"/>
        </w:rPr>
        <w:fldChar w:fldCharType="end"/>
      </w:r>
    </w:p>
    <w:p>
      <w:pPr>
        <w:pStyle w:val="14"/>
        <w:tabs>
          <w:tab w:val="right" w:leader="dot" w:pos="8296"/>
        </w:tabs>
        <w:spacing w:line="360" w:lineRule="auto"/>
        <w:rPr>
          <w:rFonts w:ascii="Calibri" w:hAnsi="Calibri" w:eastAsia="宋体"/>
          <w:color w:val="auto"/>
          <w:kern w:val="2"/>
          <w:sz w:val="21"/>
          <w:szCs w:val="22"/>
          <w:highlight w:val="none"/>
        </w:rPr>
      </w:pPr>
      <w:r>
        <w:rPr>
          <w:rFonts w:hint="eastAsia" w:ascii="仿宋" w:hAnsi="仿宋" w:eastAsia="仿宋"/>
          <w:color w:val="auto"/>
          <w:sz w:val="24"/>
          <w:szCs w:val="24"/>
          <w:highlight w:val="none"/>
        </w:rPr>
        <w:fldChar w:fldCharType="end"/>
      </w:r>
    </w:p>
    <w:p>
      <w:pPr>
        <w:pStyle w:val="30"/>
        <w:spacing w:before="231"/>
        <w:ind w:firstLine="480" w:firstLineChars="200"/>
        <w:rPr>
          <w:color w:val="auto"/>
          <w:highlight w:val="none"/>
        </w:rPr>
      </w:pPr>
      <w:r>
        <w:rPr>
          <w:color w:val="auto"/>
          <w:highlight w:val="none"/>
        </w:rPr>
        <w:br w:type="page"/>
      </w:r>
      <w:r>
        <w:rPr>
          <w:rFonts w:hint="eastAsia"/>
          <w:color w:val="auto"/>
          <w:highlight w:val="none"/>
        </w:rPr>
        <w:t>本合同于</w:t>
      </w:r>
      <w:r>
        <w:rPr>
          <w:rFonts w:hint="eastAsia"/>
          <w:color w:val="auto"/>
          <w:highlight w:val="none"/>
          <w:u w:val="single"/>
        </w:rPr>
        <w:t xml:space="preserve">  </w:t>
      </w:r>
      <w:r>
        <w:rPr>
          <w:rFonts w:hint="eastAsia"/>
          <w:color w:val="auto"/>
          <w:highlight w:val="none"/>
        </w:rPr>
        <w:t>年</w:t>
      </w:r>
      <w:r>
        <w:rPr>
          <w:color w:val="auto"/>
          <w:highlight w:val="none"/>
          <w:u w:val="single"/>
        </w:rPr>
        <w:t xml:space="preserve">   </w:t>
      </w:r>
      <w:r>
        <w:rPr>
          <w:rFonts w:hint="eastAsia"/>
          <w:color w:val="auto"/>
          <w:highlight w:val="none"/>
        </w:rPr>
        <w:t>月</w:t>
      </w:r>
      <w:r>
        <w:rPr>
          <w:color w:val="auto"/>
          <w:highlight w:val="none"/>
          <w:u w:val="single"/>
        </w:rPr>
        <w:t xml:space="preserve">    </w:t>
      </w:r>
      <w:r>
        <w:rPr>
          <w:rFonts w:hint="eastAsia"/>
          <w:color w:val="auto"/>
          <w:highlight w:val="none"/>
        </w:rPr>
        <w:t>日由</w:t>
      </w:r>
      <w:r>
        <w:rPr>
          <w:color w:val="auto"/>
          <w:highlight w:val="none"/>
          <w:u w:val="single"/>
        </w:rPr>
        <w:t xml:space="preserve"> </w:t>
      </w:r>
      <w:r>
        <w:rPr>
          <w:rFonts w:hint="eastAsia"/>
          <w:color w:val="auto"/>
          <w:highlight w:val="none"/>
          <w:u w:val="single"/>
        </w:rPr>
        <w:t>佛山粤海置地发展有限公司</w:t>
      </w:r>
      <w:r>
        <w:rPr>
          <w:color w:val="auto"/>
          <w:highlight w:val="none"/>
          <w:u w:val="single"/>
        </w:rPr>
        <w:t xml:space="preserve"> </w:t>
      </w:r>
      <w:r>
        <w:rPr>
          <w:rFonts w:hint="eastAsia"/>
          <w:color w:val="auto"/>
          <w:highlight w:val="none"/>
        </w:rPr>
        <w:t>(以下简称甲方)与</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(以下简称乙方)共同签订。</w:t>
      </w:r>
    </w:p>
    <w:p>
      <w:pPr>
        <w:pStyle w:val="29"/>
        <w:numPr>
          <w:ilvl w:val="0"/>
          <w:numId w:val="2"/>
        </w:numPr>
        <w:spacing w:before="231" w:beforeLines="50"/>
        <w:ind w:left="351" w:hanging="351" w:hangingChars="125"/>
        <w:rPr>
          <w:color w:val="auto"/>
          <w:highlight w:val="none"/>
        </w:rPr>
      </w:pPr>
      <w:bookmarkStart w:id="0" w:name="_Toc529972313"/>
      <w:r>
        <w:rPr>
          <w:rFonts w:hint="eastAsia"/>
          <w:color w:val="auto"/>
          <w:highlight w:val="none"/>
        </w:rPr>
        <w:t>合同范围</w:t>
      </w:r>
      <w:bookmarkEnd w:id="0"/>
    </w:p>
    <w:p>
      <w:pPr>
        <w:pStyle w:val="30"/>
        <w:numPr>
          <w:ilvl w:val="1"/>
          <w:numId w:val="3"/>
        </w:numPr>
        <w:spacing w:before="231"/>
        <w:rPr>
          <w:b/>
          <w:color w:val="auto"/>
          <w:sz w:val="52"/>
          <w:szCs w:val="52"/>
          <w:highlight w:val="none"/>
        </w:rPr>
      </w:pPr>
      <w:r>
        <w:rPr>
          <w:rFonts w:hint="eastAsia"/>
          <w:color w:val="auto"/>
          <w:highlight w:val="none"/>
        </w:rPr>
        <w:t xml:space="preserve"> 甲方与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（电梯设备供货单位名称）于</w:t>
      </w:r>
      <w:r>
        <w:rPr>
          <w:color w:val="auto"/>
          <w:highlight w:val="none"/>
          <w:u w:val="single"/>
        </w:rPr>
        <w:t xml:space="preserve">   </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月</w:t>
      </w:r>
      <w:r>
        <w:rPr>
          <w:color w:val="auto"/>
          <w:highlight w:val="none"/>
          <w:u w:val="single"/>
        </w:rPr>
        <w:t xml:space="preserve">    </w:t>
      </w:r>
      <w:r>
        <w:rPr>
          <w:rFonts w:hint="eastAsia"/>
          <w:color w:val="auto"/>
          <w:highlight w:val="none"/>
        </w:rPr>
        <w:t>日所签订的《佛山季华项目电梯设备合同》（甲方合同编号： ），供应甲方佛山季华项目（以下简称“本项目”）垂直电梯设备，乙方负责上述所有电梯设备的报装、安</w:t>
      </w:r>
      <w:r>
        <w:rPr>
          <w:rFonts w:hint="eastAsia" w:hAnsi="宋体" w:cs="宋体"/>
          <w:color w:val="auto"/>
          <w:highlight w:val="none"/>
        </w:rPr>
        <w:t>装、调试、辅助、验收等全部工作和服务（以下简称“本工程”）。电梯</w:t>
      </w:r>
      <w:r>
        <w:rPr>
          <w:rFonts w:hint="eastAsia"/>
          <w:color w:val="auto"/>
          <w:highlight w:val="none"/>
        </w:rPr>
        <w:t>设备</w:t>
      </w:r>
      <w:r>
        <w:rPr>
          <w:rFonts w:hint="eastAsia" w:hAnsi="宋体" w:cs="宋体"/>
          <w:color w:val="auto"/>
          <w:highlight w:val="none"/>
        </w:rPr>
        <w:t>的规格、数量等详见本合同附件及</w:t>
      </w:r>
      <w:r>
        <w:rPr>
          <w:rFonts w:hint="eastAsia"/>
          <w:color w:val="auto"/>
          <w:highlight w:val="none"/>
        </w:rPr>
        <w:t>《佛山季华项目电梯设备合同》及其附件的相关规定（以下统称《供货合同》），乙方签订本合同时确认已仔细查阅《供货合同》的相关内容。</w:t>
      </w:r>
    </w:p>
    <w:p>
      <w:pPr>
        <w:pStyle w:val="30"/>
        <w:numPr>
          <w:ilvl w:val="1"/>
          <w:numId w:val="3"/>
        </w:numPr>
        <w:spacing w:before="231"/>
        <w:rPr>
          <w:rFonts w:hAnsi="宋体" w:cs="宋体"/>
          <w:color w:val="auto"/>
          <w:highlight w:val="none"/>
        </w:rPr>
      </w:pPr>
      <w:r>
        <w:rPr>
          <w:rFonts w:hint="eastAsia" w:hAnsi="宋体" w:cs="宋体"/>
          <w:color w:val="auto"/>
          <w:highlight w:val="none"/>
        </w:rPr>
        <w:t>关于本项目实施的特别说明：</w:t>
      </w:r>
    </w:p>
    <w:p>
      <w:pPr>
        <w:pStyle w:val="30"/>
        <w:spacing w:before="231"/>
        <w:ind w:left="567"/>
        <w:rPr>
          <w:color w:val="auto"/>
          <w:highlight w:val="none"/>
        </w:rPr>
      </w:pPr>
      <w:r>
        <w:rPr>
          <w:rFonts w:hint="eastAsia"/>
          <w:color w:val="auto"/>
          <w:highlight w:val="none"/>
        </w:rPr>
        <w:t xml:space="preserve">（1）第一批到货安装电梯： </w:t>
      </w:r>
      <w:r>
        <w:rPr>
          <w:color w:val="auto"/>
          <w:highlight w:val="none"/>
        </w:rPr>
        <w:t>A7</w:t>
      </w:r>
      <w:r>
        <w:rPr>
          <w:rFonts w:hint="eastAsia"/>
          <w:color w:val="auto"/>
          <w:highlight w:val="none"/>
        </w:rPr>
        <w:t>栋</w:t>
      </w:r>
      <w:r>
        <w:rPr>
          <w:color w:val="auto"/>
          <w:highlight w:val="none"/>
        </w:rPr>
        <w:t>KT</w:t>
      </w:r>
      <w:r>
        <w:rPr>
          <w:rFonts w:hint="eastAsia"/>
          <w:color w:val="auto"/>
          <w:highlight w:val="none"/>
        </w:rPr>
        <w:t>-1电梯,</w:t>
      </w:r>
      <w:r>
        <w:rPr>
          <w:color w:val="auto"/>
          <w:highlight w:val="none"/>
        </w:rPr>
        <w:t>A8</w:t>
      </w:r>
      <w:r>
        <w:rPr>
          <w:rFonts w:hint="eastAsia"/>
          <w:color w:val="auto"/>
          <w:highlight w:val="none"/>
        </w:rPr>
        <w:t>栋D</w:t>
      </w:r>
      <w:r>
        <w:rPr>
          <w:color w:val="auto"/>
          <w:highlight w:val="none"/>
        </w:rPr>
        <w:t>T-1</w:t>
      </w:r>
      <w:r>
        <w:rPr>
          <w:rFonts w:hint="eastAsia"/>
          <w:color w:val="auto"/>
          <w:highlight w:val="none"/>
        </w:rPr>
        <w:t>。</w:t>
      </w:r>
    </w:p>
    <w:p>
      <w:pPr>
        <w:pStyle w:val="30"/>
        <w:spacing w:before="231"/>
        <w:ind w:left="567"/>
        <w:rPr>
          <w:color w:val="auto"/>
          <w:highlight w:val="none"/>
        </w:rPr>
      </w:pPr>
      <w:r>
        <w:rPr>
          <w:rFonts w:hint="eastAsia"/>
          <w:color w:val="auto"/>
          <w:highlight w:val="none"/>
        </w:rPr>
        <w:t>（</w:t>
      </w:r>
      <w:r>
        <w:rPr>
          <w:color w:val="auto"/>
          <w:highlight w:val="none"/>
        </w:rPr>
        <w:t>2</w:t>
      </w:r>
      <w:r>
        <w:rPr>
          <w:rFonts w:hint="eastAsia"/>
          <w:color w:val="auto"/>
          <w:highlight w:val="none"/>
        </w:rPr>
        <w:t>）工期节点要求如下：</w:t>
      </w:r>
    </w:p>
    <w:tbl>
      <w:tblPr>
        <w:tblStyle w:val="17"/>
        <w:tblW w:w="9776" w:type="dxa"/>
        <w:tblInd w:w="0" w:type="dxa"/>
        <w:tblLayout w:type="fixed"/>
        <w:tblCellMar>
          <w:top w:w="0" w:type="dxa"/>
          <w:left w:w="108" w:type="dxa"/>
          <w:bottom w:w="0" w:type="dxa"/>
          <w:right w:w="108" w:type="dxa"/>
        </w:tblCellMar>
      </w:tblPr>
      <w:tblGrid>
        <w:gridCol w:w="704"/>
        <w:gridCol w:w="1134"/>
        <w:gridCol w:w="1418"/>
        <w:gridCol w:w="1559"/>
        <w:gridCol w:w="850"/>
        <w:gridCol w:w="1276"/>
        <w:gridCol w:w="1418"/>
        <w:gridCol w:w="1417"/>
      </w:tblGrid>
      <w:tr>
        <w:tblPrEx>
          <w:tblLayout w:type="fixed"/>
          <w:tblCellMar>
            <w:top w:w="0" w:type="dxa"/>
            <w:left w:w="108" w:type="dxa"/>
            <w:bottom w:w="0" w:type="dxa"/>
            <w:right w:w="108" w:type="dxa"/>
          </w:tblCellMar>
        </w:tblPrEx>
        <w:trPr>
          <w:trHeight w:val="285" w:hRule="atLeast"/>
        </w:trPr>
        <w:tc>
          <w:tcPr>
            <w:tcW w:w="704" w:type="dxa"/>
            <w:tcBorders>
              <w:top w:val="single" w:color="auto" w:sz="4" w:space="0"/>
              <w:left w:val="single" w:color="auto" w:sz="4" w:space="0"/>
              <w:bottom w:val="single" w:color="auto" w:sz="4" w:space="0"/>
              <w:right w:val="single" w:color="auto" w:sz="4" w:space="0"/>
            </w:tcBorders>
            <w:shd w:val="clear" w:color="000000" w:fill="D6DCE4"/>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序号</w:t>
            </w:r>
          </w:p>
        </w:tc>
        <w:tc>
          <w:tcPr>
            <w:tcW w:w="1134" w:type="dxa"/>
            <w:tcBorders>
              <w:top w:val="single" w:color="auto" w:sz="4" w:space="0"/>
              <w:left w:val="nil"/>
              <w:bottom w:val="single" w:color="auto" w:sz="4" w:space="0"/>
              <w:right w:val="single" w:color="auto" w:sz="4" w:space="0"/>
            </w:tcBorders>
            <w:shd w:val="clear" w:color="000000" w:fill="D6DCE4"/>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工程名称</w:t>
            </w:r>
          </w:p>
        </w:tc>
        <w:tc>
          <w:tcPr>
            <w:tcW w:w="1418" w:type="dxa"/>
            <w:tcBorders>
              <w:top w:val="single" w:color="auto" w:sz="4" w:space="0"/>
              <w:left w:val="nil"/>
              <w:bottom w:val="single" w:color="auto" w:sz="4" w:space="0"/>
              <w:right w:val="single" w:color="auto" w:sz="4" w:space="0"/>
            </w:tcBorders>
            <w:shd w:val="clear" w:color="000000" w:fill="D6DCE4"/>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分区</w:t>
            </w:r>
          </w:p>
        </w:tc>
        <w:tc>
          <w:tcPr>
            <w:tcW w:w="1559" w:type="dxa"/>
            <w:tcBorders>
              <w:top w:val="single" w:color="auto" w:sz="4" w:space="0"/>
              <w:left w:val="nil"/>
              <w:bottom w:val="single" w:color="auto" w:sz="4" w:space="0"/>
              <w:right w:val="single" w:color="auto" w:sz="4" w:space="0"/>
            </w:tcBorders>
            <w:shd w:val="clear" w:color="000000" w:fill="D6DCE4"/>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楼栋</w:t>
            </w:r>
          </w:p>
        </w:tc>
        <w:tc>
          <w:tcPr>
            <w:tcW w:w="850" w:type="dxa"/>
            <w:tcBorders>
              <w:top w:val="single" w:color="auto" w:sz="4" w:space="0"/>
              <w:left w:val="nil"/>
              <w:bottom w:val="single" w:color="auto" w:sz="4" w:space="0"/>
              <w:right w:val="single" w:color="auto" w:sz="4" w:space="0"/>
            </w:tcBorders>
            <w:shd w:val="clear" w:color="000000" w:fill="D6DCE4"/>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数量（台）</w:t>
            </w:r>
          </w:p>
        </w:tc>
        <w:tc>
          <w:tcPr>
            <w:tcW w:w="1276" w:type="dxa"/>
            <w:tcBorders>
              <w:top w:val="single" w:color="auto" w:sz="4" w:space="0"/>
              <w:left w:val="nil"/>
              <w:bottom w:val="single" w:color="auto" w:sz="4" w:space="0"/>
              <w:right w:val="single" w:color="auto" w:sz="4" w:space="0"/>
            </w:tcBorders>
            <w:shd w:val="clear" w:color="000000" w:fill="D6DCE4"/>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开始时间</w:t>
            </w:r>
          </w:p>
        </w:tc>
        <w:tc>
          <w:tcPr>
            <w:tcW w:w="1418" w:type="dxa"/>
            <w:tcBorders>
              <w:top w:val="single" w:color="auto" w:sz="4" w:space="0"/>
              <w:left w:val="nil"/>
              <w:bottom w:val="single" w:color="auto" w:sz="4" w:space="0"/>
              <w:right w:val="single" w:color="auto" w:sz="4" w:space="0"/>
            </w:tcBorders>
            <w:shd w:val="clear" w:color="000000" w:fill="D6DCE4"/>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完工时间</w:t>
            </w:r>
          </w:p>
        </w:tc>
        <w:tc>
          <w:tcPr>
            <w:tcW w:w="1417" w:type="dxa"/>
            <w:tcBorders>
              <w:top w:val="single" w:color="auto" w:sz="4" w:space="0"/>
              <w:left w:val="nil"/>
              <w:bottom w:val="single" w:color="auto" w:sz="4" w:space="0"/>
              <w:right w:val="single" w:color="auto" w:sz="4" w:space="0"/>
            </w:tcBorders>
            <w:shd w:val="clear" w:color="000000" w:fill="D6DCE4"/>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备注</w:t>
            </w:r>
          </w:p>
        </w:tc>
      </w:tr>
      <w:tr>
        <w:tblPrEx>
          <w:tblLayout w:type="fixed"/>
          <w:tblCellMar>
            <w:top w:w="0" w:type="dxa"/>
            <w:left w:w="108" w:type="dxa"/>
            <w:bottom w:w="0" w:type="dxa"/>
            <w:right w:w="108" w:type="dxa"/>
          </w:tblCellMar>
        </w:tblPrEx>
        <w:trPr>
          <w:trHeight w:val="675" w:hRule="atLeast"/>
        </w:trPr>
        <w:tc>
          <w:tcPr>
            <w:tcW w:w="704"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4"/>
                <w:szCs w:val="24"/>
                <w:highlight w:val="none"/>
              </w:rPr>
            </w:pPr>
            <w:r>
              <w:rPr>
                <w:rFonts w:hint="eastAsia" w:ascii="楷体" w:hAnsi="楷体" w:eastAsia="楷体" w:cs="宋体"/>
                <w:color w:val="auto"/>
                <w:sz w:val="24"/>
                <w:szCs w:val="24"/>
                <w:highlight w:val="none"/>
              </w:rPr>
              <w:t>1</w:t>
            </w: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电梯安装</w:t>
            </w: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首开区</w:t>
            </w:r>
          </w:p>
        </w:tc>
        <w:tc>
          <w:tcPr>
            <w:tcW w:w="1559"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A7</w:t>
            </w:r>
          </w:p>
        </w:tc>
        <w:tc>
          <w:tcPr>
            <w:tcW w:w="850" w:type="dxa"/>
            <w:vMerge w:val="restart"/>
            <w:tcBorders>
              <w:top w:val="nil"/>
              <w:left w:val="single" w:color="auto" w:sz="4" w:space="0"/>
              <w:bottom w:val="single" w:color="000000"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ascii="楷体" w:hAnsi="楷体" w:eastAsia="楷体" w:cs="宋体"/>
                <w:color w:val="auto"/>
                <w:sz w:val="21"/>
                <w:szCs w:val="21"/>
                <w:highlight w:val="none"/>
              </w:rPr>
              <w:t>2</w:t>
            </w:r>
          </w:p>
        </w:tc>
        <w:tc>
          <w:tcPr>
            <w:tcW w:w="1276" w:type="dxa"/>
            <w:vMerge w:val="restart"/>
            <w:tcBorders>
              <w:top w:val="nil"/>
              <w:left w:val="single" w:color="auto" w:sz="4" w:space="0"/>
              <w:bottom w:val="single" w:color="000000"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2023/</w:t>
            </w:r>
            <w:r>
              <w:rPr>
                <w:rFonts w:ascii="楷体" w:hAnsi="楷体" w:eastAsia="楷体" w:cs="宋体"/>
                <w:color w:val="auto"/>
                <w:sz w:val="21"/>
                <w:szCs w:val="21"/>
                <w:highlight w:val="none"/>
              </w:rPr>
              <w:t>7</w:t>
            </w:r>
            <w:r>
              <w:rPr>
                <w:rFonts w:hint="eastAsia" w:ascii="楷体" w:hAnsi="楷体" w:eastAsia="楷体" w:cs="宋体"/>
                <w:color w:val="auto"/>
                <w:sz w:val="21"/>
                <w:szCs w:val="21"/>
                <w:highlight w:val="none"/>
              </w:rPr>
              <w:t>/</w:t>
            </w:r>
            <w:r>
              <w:rPr>
                <w:rFonts w:ascii="楷体" w:hAnsi="楷体" w:eastAsia="楷体" w:cs="宋体"/>
                <w:color w:val="auto"/>
                <w:sz w:val="21"/>
                <w:szCs w:val="21"/>
                <w:highlight w:val="none"/>
              </w:rPr>
              <w:t>1</w:t>
            </w:r>
          </w:p>
        </w:tc>
        <w:tc>
          <w:tcPr>
            <w:tcW w:w="1418" w:type="dxa"/>
            <w:tcBorders>
              <w:top w:val="nil"/>
              <w:left w:val="single" w:color="auto" w:sz="4" w:space="0"/>
              <w:bottom w:val="single" w:color="000000"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2023/</w:t>
            </w:r>
            <w:r>
              <w:rPr>
                <w:rFonts w:ascii="楷体" w:hAnsi="楷体" w:eastAsia="楷体" w:cs="宋体"/>
                <w:color w:val="auto"/>
                <w:sz w:val="21"/>
                <w:szCs w:val="21"/>
                <w:highlight w:val="none"/>
              </w:rPr>
              <w:t>8</w:t>
            </w:r>
            <w:r>
              <w:rPr>
                <w:rFonts w:hint="eastAsia" w:ascii="楷体" w:hAnsi="楷体" w:eastAsia="楷体" w:cs="宋体"/>
                <w:color w:val="auto"/>
                <w:sz w:val="21"/>
                <w:szCs w:val="21"/>
                <w:highlight w:val="none"/>
              </w:rPr>
              <w:t>/</w:t>
            </w:r>
            <w:r>
              <w:rPr>
                <w:rFonts w:ascii="楷体" w:hAnsi="楷体" w:eastAsia="楷体" w:cs="宋体"/>
                <w:color w:val="auto"/>
                <w:sz w:val="21"/>
                <w:szCs w:val="21"/>
                <w:highlight w:val="none"/>
              </w:rPr>
              <w:t>20</w:t>
            </w:r>
          </w:p>
        </w:tc>
        <w:tc>
          <w:tcPr>
            <w:tcW w:w="1417" w:type="dxa"/>
            <w:vMerge w:val="restart"/>
            <w:tcBorders>
              <w:top w:val="nil"/>
              <w:left w:val="single" w:color="auto" w:sz="4" w:space="0"/>
              <w:bottom w:val="single" w:color="000000"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2"/>
                <w:szCs w:val="22"/>
                <w:highlight w:val="none"/>
              </w:rPr>
            </w:pPr>
            <w:r>
              <w:rPr>
                <w:rFonts w:hint="eastAsia" w:ascii="楷体" w:hAnsi="楷体" w:eastAsia="楷体" w:cs="宋体"/>
                <w:color w:val="auto"/>
                <w:sz w:val="22"/>
                <w:szCs w:val="22"/>
                <w:highlight w:val="none"/>
              </w:rPr>
              <w:t>　首开区为甲方营销示范区临时用梯。</w:t>
            </w:r>
          </w:p>
          <w:p>
            <w:pPr>
              <w:widowControl/>
              <w:autoSpaceDE/>
              <w:autoSpaceDN/>
              <w:adjustRightInd/>
              <w:jc w:val="center"/>
              <w:rPr>
                <w:rFonts w:ascii="楷体" w:hAnsi="楷体" w:eastAsia="楷体" w:cs="宋体"/>
                <w:color w:val="auto"/>
                <w:sz w:val="22"/>
                <w:szCs w:val="22"/>
                <w:highlight w:val="none"/>
              </w:rPr>
            </w:pPr>
            <w:r>
              <w:rPr>
                <w:rFonts w:hint="eastAsia" w:ascii="楷体" w:hAnsi="楷体" w:eastAsia="楷体" w:cs="宋体"/>
                <w:color w:val="auto"/>
                <w:sz w:val="22"/>
                <w:szCs w:val="22"/>
                <w:highlight w:val="none"/>
              </w:rPr>
              <w:t>具体开工时间以建设单位书面通知为准</w:t>
            </w:r>
          </w:p>
        </w:tc>
      </w:tr>
      <w:tr>
        <w:tblPrEx>
          <w:tblLayout w:type="fixed"/>
          <w:tblCellMar>
            <w:top w:w="0" w:type="dxa"/>
            <w:left w:w="108" w:type="dxa"/>
            <w:bottom w:w="0" w:type="dxa"/>
            <w:right w:w="108" w:type="dxa"/>
          </w:tblCellMar>
        </w:tblPrEx>
        <w:trPr>
          <w:trHeight w:val="285"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4"/>
                <w:szCs w:val="24"/>
                <w:highlight w:val="none"/>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418"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A8</w:t>
            </w:r>
          </w:p>
        </w:tc>
        <w:tc>
          <w:tcPr>
            <w:tcW w:w="850"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418"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2023/7/</w:t>
            </w:r>
            <w:r>
              <w:rPr>
                <w:rFonts w:ascii="楷体" w:hAnsi="楷体" w:eastAsia="楷体" w:cs="宋体"/>
                <w:color w:val="auto"/>
                <w:sz w:val="21"/>
                <w:szCs w:val="21"/>
                <w:highlight w:val="none"/>
              </w:rPr>
              <w:t>30</w:t>
            </w:r>
          </w:p>
        </w:tc>
        <w:tc>
          <w:tcPr>
            <w:tcW w:w="1417"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2"/>
                <w:szCs w:val="22"/>
                <w:highlight w:val="none"/>
              </w:rPr>
            </w:pPr>
          </w:p>
        </w:tc>
      </w:tr>
      <w:tr>
        <w:tblPrEx>
          <w:tblLayout w:type="fixed"/>
          <w:tblCellMar>
            <w:top w:w="0" w:type="dxa"/>
            <w:left w:w="108" w:type="dxa"/>
            <w:bottom w:w="0" w:type="dxa"/>
            <w:right w:w="108" w:type="dxa"/>
          </w:tblCellMar>
        </w:tblPrEx>
        <w:trPr>
          <w:trHeight w:val="285"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4"/>
                <w:szCs w:val="24"/>
                <w:highlight w:val="none"/>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二开区</w:t>
            </w:r>
          </w:p>
        </w:tc>
        <w:tc>
          <w:tcPr>
            <w:tcW w:w="1559"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A7</w:t>
            </w:r>
          </w:p>
        </w:tc>
        <w:tc>
          <w:tcPr>
            <w:tcW w:w="850" w:type="dxa"/>
            <w:vMerge w:val="restart"/>
            <w:tcBorders>
              <w:top w:val="nil"/>
              <w:left w:val="single" w:color="auto" w:sz="4" w:space="0"/>
              <w:bottom w:val="single" w:color="000000"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3</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2023/12/30</w:t>
            </w: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2024/5/1</w:t>
            </w:r>
          </w:p>
        </w:tc>
        <w:tc>
          <w:tcPr>
            <w:tcW w:w="1417"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2"/>
                <w:szCs w:val="22"/>
                <w:highlight w:val="none"/>
              </w:rPr>
            </w:pPr>
          </w:p>
        </w:tc>
      </w:tr>
      <w:tr>
        <w:tblPrEx>
          <w:tblLayout w:type="fixed"/>
          <w:tblCellMar>
            <w:top w:w="0" w:type="dxa"/>
            <w:left w:w="108" w:type="dxa"/>
            <w:bottom w:w="0" w:type="dxa"/>
            <w:right w:w="108" w:type="dxa"/>
          </w:tblCellMar>
        </w:tblPrEx>
        <w:trPr>
          <w:trHeight w:val="285"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4"/>
                <w:szCs w:val="24"/>
                <w:highlight w:val="none"/>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418"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559"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B1</w:t>
            </w:r>
          </w:p>
        </w:tc>
        <w:tc>
          <w:tcPr>
            <w:tcW w:w="850"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418"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417"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2"/>
                <w:szCs w:val="22"/>
                <w:highlight w:val="none"/>
              </w:rPr>
            </w:pPr>
          </w:p>
        </w:tc>
      </w:tr>
      <w:tr>
        <w:tblPrEx>
          <w:tblLayout w:type="fixed"/>
          <w:tblCellMar>
            <w:top w:w="0" w:type="dxa"/>
            <w:left w:w="108" w:type="dxa"/>
            <w:bottom w:w="0" w:type="dxa"/>
            <w:right w:w="108" w:type="dxa"/>
          </w:tblCellMar>
        </w:tblPrEx>
        <w:trPr>
          <w:trHeight w:val="285"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4"/>
                <w:szCs w:val="24"/>
                <w:highlight w:val="none"/>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三开区</w:t>
            </w:r>
          </w:p>
        </w:tc>
        <w:tc>
          <w:tcPr>
            <w:tcW w:w="1559"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A1</w:t>
            </w:r>
          </w:p>
        </w:tc>
        <w:tc>
          <w:tcPr>
            <w:tcW w:w="850" w:type="dxa"/>
            <w:vMerge w:val="restart"/>
            <w:tcBorders>
              <w:top w:val="nil"/>
              <w:left w:val="single" w:color="auto" w:sz="4" w:space="0"/>
              <w:bottom w:val="single" w:color="000000"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6</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2024/4/30</w:t>
            </w: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2024/8/1</w:t>
            </w:r>
          </w:p>
        </w:tc>
        <w:tc>
          <w:tcPr>
            <w:tcW w:w="1417"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2"/>
                <w:szCs w:val="22"/>
                <w:highlight w:val="none"/>
              </w:rPr>
            </w:pPr>
          </w:p>
        </w:tc>
      </w:tr>
      <w:tr>
        <w:tblPrEx>
          <w:tblLayout w:type="fixed"/>
          <w:tblCellMar>
            <w:top w:w="0" w:type="dxa"/>
            <w:left w:w="108" w:type="dxa"/>
            <w:bottom w:w="0" w:type="dxa"/>
            <w:right w:w="108" w:type="dxa"/>
          </w:tblCellMar>
        </w:tblPrEx>
        <w:trPr>
          <w:trHeight w:val="285"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4"/>
                <w:szCs w:val="24"/>
                <w:highlight w:val="none"/>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418"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559"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A2</w:t>
            </w:r>
          </w:p>
        </w:tc>
        <w:tc>
          <w:tcPr>
            <w:tcW w:w="850"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418"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417"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2"/>
                <w:szCs w:val="22"/>
                <w:highlight w:val="none"/>
              </w:rPr>
            </w:pPr>
          </w:p>
        </w:tc>
      </w:tr>
      <w:tr>
        <w:tblPrEx>
          <w:tblLayout w:type="fixed"/>
          <w:tblCellMar>
            <w:top w:w="0" w:type="dxa"/>
            <w:left w:w="108" w:type="dxa"/>
            <w:bottom w:w="0" w:type="dxa"/>
            <w:right w:w="108" w:type="dxa"/>
          </w:tblCellMar>
        </w:tblPrEx>
        <w:trPr>
          <w:trHeight w:val="285"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4"/>
                <w:szCs w:val="24"/>
                <w:highlight w:val="none"/>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418"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559"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B2</w:t>
            </w:r>
          </w:p>
        </w:tc>
        <w:tc>
          <w:tcPr>
            <w:tcW w:w="850"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418"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417"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2"/>
                <w:szCs w:val="22"/>
                <w:highlight w:val="none"/>
              </w:rPr>
            </w:pPr>
          </w:p>
        </w:tc>
      </w:tr>
      <w:tr>
        <w:tblPrEx>
          <w:tblLayout w:type="fixed"/>
          <w:tblCellMar>
            <w:top w:w="0" w:type="dxa"/>
            <w:left w:w="108" w:type="dxa"/>
            <w:bottom w:w="0" w:type="dxa"/>
            <w:right w:w="108" w:type="dxa"/>
          </w:tblCellMar>
        </w:tblPrEx>
        <w:trPr>
          <w:trHeight w:val="285"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4"/>
                <w:szCs w:val="24"/>
                <w:highlight w:val="none"/>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41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adjustRightInd/>
              <w:jc w:val="center"/>
              <w:rPr>
                <w:rFonts w:ascii="等线" w:hAnsi="等线" w:eastAsia="等线" w:cs="宋体"/>
                <w:color w:val="auto"/>
                <w:sz w:val="22"/>
                <w:szCs w:val="22"/>
                <w:highlight w:val="none"/>
              </w:rPr>
            </w:pPr>
            <w:r>
              <w:rPr>
                <w:rFonts w:hint="eastAsia" w:ascii="等线" w:hAnsi="等线" w:eastAsia="等线" w:cs="宋体"/>
                <w:color w:val="auto"/>
                <w:sz w:val="22"/>
                <w:szCs w:val="22"/>
                <w:highlight w:val="none"/>
              </w:rPr>
              <w:t>四开区</w:t>
            </w:r>
          </w:p>
        </w:tc>
        <w:tc>
          <w:tcPr>
            <w:tcW w:w="1559"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A3</w:t>
            </w:r>
          </w:p>
        </w:tc>
        <w:tc>
          <w:tcPr>
            <w:tcW w:w="850" w:type="dxa"/>
            <w:vMerge w:val="restart"/>
            <w:tcBorders>
              <w:top w:val="nil"/>
              <w:left w:val="single" w:color="auto" w:sz="4" w:space="0"/>
              <w:bottom w:val="single" w:color="000000"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13</w:t>
            </w:r>
          </w:p>
        </w:tc>
        <w:tc>
          <w:tcPr>
            <w:tcW w:w="127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utoSpaceDE/>
              <w:autoSpaceDN/>
              <w:adjustRightInd/>
              <w:jc w:val="center"/>
              <w:rPr>
                <w:rFonts w:ascii="等线" w:hAnsi="等线" w:eastAsia="等线" w:cs="宋体"/>
                <w:color w:val="auto"/>
                <w:sz w:val="22"/>
                <w:szCs w:val="22"/>
                <w:highlight w:val="none"/>
              </w:rPr>
            </w:pPr>
            <w:r>
              <w:rPr>
                <w:rFonts w:hint="eastAsia" w:ascii="等线" w:hAnsi="等线" w:eastAsia="等线" w:cs="宋体"/>
                <w:color w:val="auto"/>
                <w:sz w:val="22"/>
                <w:szCs w:val="22"/>
                <w:highlight w:val="none"/>
              </w:rPr>
              <w:t>2025/2/28</w:t>
            </w:r>
          </w:p>
        </w:tc>
        <w:tc>
          <w:tcPr>
            <w:tcW w:w="141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utoSpaceDE/>
              <w:autoSpaceDN/>
              <w:adjustRightInd/>
              <w:jc w:val="center"/>
              <w:rPr>
                <w:rFonts w:ascii="等线" w:hAnsi="等线" w:eastAsia="等线" w:cs="宋体"/>
                <w:color w:val="auto"/>
                <w:sz w:val="22"/>
                <w:szCs w:val="22"/>
                <w:highlight w:val="none"/>
              </w:rPr>
            </w:pPr>
            <w:r>
              <w:rPr>
                <w:rFonts w:hint="eastAsia" w:ascii="等线" w:hAnsi="等线" w:eastAsia="等线" w:cs="宋体"/>
                <w:color w:val="auto"/>
                <w:sz w:val="22"/>
                <w:szCs w:val="22"/>
                <w:highlight w:val="none"/>
              </w:rPr>
              <w:t>2025/6/1</w:t>
            </w:r>
          </w:p>
        </w:tc>
        <w:tc>
          <w:tcPr>
            <w:tcW w:w="1417"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2"/>
                <w:szCs w:val="22"/>
                <w:highlight w:val="none"/>
              </w:rPr>
            </w:pPr>
          </w:p>
        </w:tc>
      </w:tr>
      <w:tr>
        <w:tblPrEx>
          <w:tblLayout w:type="fixed"/>
          <w:tblCellMar>
            <w:top w:w="0" w:type="dxa"/>
            <w:left w:w="108" w:type="dxa"/>
            <w:bottom w:w="0" w:type="dxa"/>
            <w:right w:w="108" w:type="dxa"/>
          </w:tblCellMar>
        </w:tblPrEx>
        <w:trPr>
          <w:trHeight w:val="285"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4"/>
                <w:szCs w:val="24"/>
                <w:highlight w:val="none"/>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418"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等线" w:hAnsi="等线" w:eastAsia="等线" w:cs="宋体"/>
                <w:color w:val="auto"/>
                <w:sz w:val="22"/>
                <w:szCs w:val="22"/>
                <w:highlight w:val="none"/>
              </w:rPr>
            </w:pPr>
          </w:p>
        </w:tc>
        <w:tc>
          <w:tcPr>
            <w:tcW w:w="1559"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A4</w:t>
            </w:r>
          </w:p>
        </w:tc>
        <w:tc>
          <w:tcPr>
            <w:tcW w:w="850"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等线" w:hAnsi="等线" w:eastAsia="等线" w:cs="宋体"/>
                <w:color w:val="auto"/>
                <w:sz w:val="22"/>
                <w:szCs w:val="22"/>
                <w:highlight w:val="none"/>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等线" w:hAnsi="等线" w:eastAsia="等线" w:cs="宋体"/>
                <w:color w:val="auto"/>
                <w:sz w:val="22"/>
                <w:szCs w:val="22"/>
                <w:highlight w:val="none"/>
              </w:rPr>
            </w:pPr>
          </w:p>
        </w:tc>
        <w:tc>
          <w:tcPr>
            <w:tcW w:w="1417"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2"/>
                <w:szCs w:val="22"/>
                <w:highlight w:val="none"/>
              </w:rPr>
            </w:pPr>
          </w:p>
        </w:tc>
      </w:tr>
      <w:tr>
        <w:tblPrEx>
          <w:tblLayout w:type="fixed"/>
          <w:tblCellMar>
            <w:top w:w="0" w:type="dxa"/>
            <w:left w:w="108" w:type="dxa"/>
            <w:bottom w:w="0" w:type="dxa"/>
            <w:right w:w="108" w:type="dxa"/>
          </w:tblCellMar>
        </w:tblPrEx>
        <w:trPr>
          <w:trHeight w:val="285"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4"/>
                <w:szCs w:val="24"/>
                <w:highlight w:val="none"/>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418"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等线" w:hAnsi="等线" w:eastAsia="等线" w:cs="宋体"/>
                <w:color w:val="auto"/>
                <w:sz w:val="22"/>
                <w:szCs w:val="22"/>
                <w:highlight w:val="none"/>
              </w:rPr>
            </w:pPr>
          </w:p>
        </w:tc>
        <w:tc>
          <w:tcPr>
            <w:tcW w:w="1559"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A5</w:t>
            </w:r>
          </w:p>
        </w:tc>
        <w:tc>
          <w:tcPr>
            <w:tcW w:w="850"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等线" w:hAnsi="等线" w:eastAsia="等线" w:cs="宋体"/>
                <w:color w:val="auto"/>
                <w:sz w:val="22"/>
                <w:szCs w:val="22"/>
                <w:highlight w:val="none"/>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等线" w:hAnsi="等线" w:eastAsia="等线" w:cs="宋体"/>
                <w:color w:val="auto"/>
                <w:sz w:val="22"/>
                <w:szCs w:val="22"/>
                <w:highlight w:val="none"/>
              </w:rPr>
            </w:pPr>
          </w:p>
        </w:tc>
        <w:tc>
          <w:tcPr>
            <w:tcW w:w="1417"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2"/>
                <w:szCs w:val="22"/>
                <w:highlight w:val="none"/>
              </w:rPr>
            </w:pPr>
          </w:p>
        </w:tc>
      </w:tr>
      <w:tr>
        <w:tblPrEx>
          <w:tblLayout w:type="fixed"/>
          <w:tblCellMar>
            <w:top w:w="0" w:type="dxa"/>
            <w:left w:w="108" w:type="dxa"/>
            <w:bottom w:w="0" w:type="dxa"/>
            <w:right w:w="108" w:type="dxa"/>
          </w:tblCellMar>
        </w:tblPrEx>
        <w:trPr>
          <w:trHeight w:val="285"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4"/>
                <w:szCs w:val="24"/>
                <w:highlight w:val="none"/>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418"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等线" w:hAnsi="等线" w:eastAsia="等线" w:cs="宋体"/>
                <w:color w:val="auto"/>
                <w:sz w:val="22"/>
                <w:szCs w:val="22"/>
                <w:highlight w:val="none"/>
              </w:rPr>
            </w:pPr>
          </w:p>
        </w:tc>
        <w:tc>
          <w:tcPr>
            <w:tcW w:w="1559"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A6</w:t>
            </w:r>
          </w:p>
        </w:tc>
        <w:tc>
          <w:tcPr>
            <w:tcW w:w="850"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等线" w:hAnsi="等线" w:eastAsia="等线" w:cs="宋体"/>
                <w:color w:val="auto"/>
                <w:sz w:val="22"/>
                <w:szCs w:val="22"/>
                <w:highlight w:val="none"/>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等线" w:hAnsi="等线" w:eastAsia="等线" w:cs="宋体"/>
                <w:color w:val="auto"/>
                <w:sz w:val="22"/>
                <w:szCs w:val="22"/>
                <w:highlight w:val="none"/>
              </w:rPr>
            </w:pPr>
          </w:p>
        </w:tc>
        <w:tc>
          <w:tcPr>
            <w:tcW w:w="1417"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2"/>
                <w:szCs w:val="22"/>
                <w:highlight w:val="none"/>
              </w:rPr>
            </w:pPr>
          </w:p>
        </w:tc>
      </w:tr>
    </w:tbl>
    <w:p>
      <w:pPr>
        <w:pStyle w:val="30"/>
        <w:spacing w:before="231" w:line="240" w:lineRule="auto"/>
        <w:rPr>
          <w:rFonts w:ascii="楷体" w:hAnsi="楷体" w:eastAsia="楷体"/>
          <w:color w:val="auto"/>
          <w:highlight w:val="none"/>
        </w:rPr>
      </w:pPr>
      <w:r>
        <w:rPr>
          <w:rFonts w:hint="eastAsia"/>
          <w:color w:val="auto"/>
          <w:highlight w:val="none"/>
        </w:rPr>
        <w:t>注：</w:t>
      </w:r>
      <w:r>
        <w:rPr>
          <w:rFonts w:hint="eastAsia" w:ascii="楷体" w:hAnsi="楷体" w:eastAsia="楷体"/>
          <w:color w:val="auto"/>
          <w:highlight w:val="none"/>
        </w:rPr>
        <w:t>①完工时间为电梯完成安装并取得电梯使用登记证时间。</w:t>
      </w:r>
    </w:p>
    <w:p>
      <w:pPr>
        <w:pStyle w:val="30"/>
        <w:spacing w:before="231" w:line="240" w:lineRule="auto"/>
        <w:ind w:firstLine="480" w:firstLineChars="200"/>
        <w:rPr>
          <w:rFonts w:ascii="楷体" w:hAnsi="楷体" w:eastAsia="楷体"/>
          <w:color w:val="auto"/>
          <w:highlight w:val="none"/>
        </w:rPr>
      </w:pPr>
      <w:r>
        <w:rPr>
          <w:rFonts w:hint="eastAsia" w:ascii="楷体" w:hAnsi="楷体" w:eastAsia="楷体"/>
          <w:color w:val="auto"/>
          <w:highlight w:val="none"/>
        </w:rPr>
        <w:t>②乙方需配合甲方关于示范区营建所需客梯提前使用事项。</w:t>
      </w:r>
    </w:p>
    <w:p>
      <w:pPr>
        <w:pStyle w:val="30"/>
        <w:spacing w:before="231" w:line="240" w:lineRule="auto"/>
        <w:ind w:firstLine="480" w:firstLineChars="200"/>
        <w:rPr>
          <w:rFonts w:ascii="楷体" w:hAnsi="楷体" w:eastAsia="楷体"/>
          <w:color w:val="auto"/>
          <w:highlight w:val="none"/>
        </w:rPr>
      </w:pPr>
      <w:r>
        <w:rPr>
          <w:rFonts w:hint="eastAsia" w:ascii="楷体" w:hAnsi="楷体" w:eastAsia="楷体"/>
          <w:color w:val="auto"/>
          <w:highlight w:val="none"/>
        </w:rPr>
        <w:t>③开工时间以甲方书面通知为准。</w:t>
      </w:r>
    </w:p>
    <w:p>
      <w:pPr>
        <w:pStyle w:val="30"/>
        <w:spacing w:before="231" w:line="240" w:lineRule="auto"/>
        <w:ind w:firstLine="480" w:firstLineChars="200"/>
        <w:rPr>
          <w:rFonts w:ascii="楷体" w:hAnsi="楷体" w:eastAsia="楷体"/>
          <w:color w:val="auto"/>
          <w:highlight w:val="none"/>
        </w:rPr>
      </w:pPr>
      <w:r>
        <w:rPr>
          <w:rFonts w:hint="eastAsia" w:ascii="楷体" w:hAnsi="楷体" w:eastAsia="楷体"/>
          <w:color w:val="auto"/>
          <w:highlight w:val="none"/>
        </w:rPr>
        <w:t>（</w:t>
      </w:r>
      <w:r>
        <w:rPr>
          <w:rFonts w:ascii="楷体" w:hAnsi="楷体" w:eastAsia="楷体"/>
          <w:color w:val="auto"/>
          <w:highlight w:val="none"/>
        </w:rPr>
        <w:t>3）提前用梯需求</w:t>
      </w:r>
    </w:p>
    <w:p>
      <w:pPr>
        <w:pStyle w:val="30"/>
        <w:spacing w:before="231" w:line="240" w:lineRule="auto"/>
        <w:ind w:firstLine="480" w:firstLineChars="200"/>
        <w:rPr>
          <w:rFonts w:ascii="楷体" w:hAnsi="楷体" w:eastAsia="楷体"/>
          <w:color w:val="auto"/>
          <w:highlight w:val="none"/>
        </w:rPr>
      </w:pPr>
      <w:r>
        <w:rPr>
          <w:rFonts w:ascii="楷体" w:hAnsi="楷体" w:eastAsia="楷体"/>
          <w:color w:val="auto"/>
          <w:highlight w:val="none"/>
        </w:rPr>
        <w:fldChar w:fldCharType="begin"/>
      </w:r>
      <w:r>
        <w:rPr>
          <w:rFonts w:ascii="楷体" w:hAnsi="楷体" w:eastAsia="楷体"/>
          <w:color w:val="auto"/>
          <w:highlight w:val="none"/>
        </w:rPr>
        <w:instrText xml:space="preserve"> eq \o\ac(○,</w:instrText>
      </w:r>
      <w:r>
        <w:rPr>
          <w:rFonts w:ascii="楷体" w:hAnsi="楷体" w:eastAsia="楷体"/>
          <w:color w:val="auto"/>
          <w:position w:val="3"/>
          <w:sz w:val="16"/>
          <w:highlight w:val="none"/>
        </w:rPr>
        <w:instrText xml:space="preserve">1</w:instrText>
      </w:r>
      <w:r>
        <w:rPr>
          <w:rFonts w:ascii="楷体" w:hAnsi="楷体" w:eastAsia="楷体"/>
          <w:color w:val="auto"/>
          <w:highlight w:val="none"/>
        </w:rPr>
        <w:instrText xml:space="preserve">)</w:instrText>
      </w:r>
      <w:r>
        <w:rPr>
          <w:rFonts w:ascii="楷体" w:hAnsi="楷体" w:eastAsia="楷体"/>
          <w:color w:val="auto"/>
          <w:highlight w:val="none"/>
        </w:rPr>
        <w:fldChar w:fldCharType="end"/>
      </w:r>
      <w:r>
        <w:rPr>
          <w:rFonts w:ascii="楷体" w:hAnsi="楷体" w:eastAsia="楷体"/>
          <w:color w:val="auto"/>
          <w:highlight w:val="none"/>
        </w:rPr>
        <w:t xml:space="preserve"> 提前使用电梯的钢丝绳、随行电缆、内操纵箱及相关控制程序及电路板等不符合后期改造使用需求的设备、备件的准备。</w:t>
      </w:r>
    </w:p>
    <w:p>
      <w:pPr>
        <w:pStyle w:val="30"/>
        <w:spacing w:before="231" w:line="240" w:lineRule="auto"/>
        <w:ind w:firstLine="480" w:firstLineChars="200"/>
        <w:rPr>
          <w:rFonts w:ascii="楷体" w:hAnsi="楷体" w:eastAsia="楷体"/>
          <w:color w:val="auto"/>
          <w:highlight w:val="none"/>
        </w:rPr>
      </w:pPr>
      <w:r>
        <w:rPr>
          <w:rFonts w:ascii="楷体" w:hAnsi="楷体" w:eastAsia="楷体"/>
          <w:color w:val="auto"/>
          <w:highlight w:val="none"/>
        </w:rPr>
        <w:fldChar w:fldCharType="begin"/>
      </w:r>
      <w:r>
        <w:rPr>
          <w:rFonts w:ascii="楷体" w:hAnsi="楷体" w:eastAsia="楷体"/>
          <w:color w:val="auto"/>
          <w:highlight w:val="none"/>
        </w:rPr>
        <w:instrText xml:space="preserve"> eq \o\ac(○,</w:instrText>
      </w:r>
      <w:r>
        <w:rPr>
          <w:rFonts w:ascii="楷体" w:hAnsi="楷体" w:eastAsia="楷体"/>
          <w:color w:val="auto"/>
          <w:position w:val="3"/>
          <w:sz w:val="16"/>
          <w:highlight w:val="none"/>
        </w:rPr>
        <w:instrText xml:space="preserve">2</w:instrText>
      </w:r>
      <w:r>
        <w:rPr>
          <w:rFonts w:ascii="楷体" w:hAnsi="楷体" w:eastAsia="楷体"/>
          <w:color w:val="auto"/>
          <w:highlight w:val="none"/>
        </w:rPr>
        <w:instrText xml:space="preserve">)</w:instrText>
      </w:r>
      <w:r>
        <w:rPr>
          <w:rFonts w:ascii="楷体" w:hAnsi="楷体" w:eastAsia="楷体"/>
          <w:color w:val="auto"/>
          <w:highlight w:val="none"/>
        </w:rPr>
        <w:fldChar w:fldCharType="end"/>
      </w:r>
      <w:r>
        <w:rPr>
          <w:rFonts w:ascii="楷体" w:hAnsi="楷体" w:eastAsia="楷体"/>
          <w:color w:val="auto"/>
          <w:highlight w:val="none"/>
        </w:rPr>
        <w:t xml:space="preserve"> 提前使用电梯的报装、报备、安装、验收工作。</w:t>
      </w:r>
    </w:p>
    <w:p>
      <w:pPr>
        <w:pStyle w:val="30"/>
        <w:spacing w:before="231" w:line="240" w:lineRule="auto"/>
        <w:ind w:firstLine="480" w:firstLineChars="200"/>
        <w:rPr>
          <w:rFonts w:ascii="楷体" w:hAnsi="楷体" w:eastAsia="楷体"/>
          <w:color w:val="auto"/>
          <w:highlight w:val="none"/>
        </w:rPr>
      </w:pPr>
      <w:r>
        <w:rPr>
          <w:rFonts w:ascii="楷体" w:hAnsi="楷体" w:eastAsia="楷体"/>
          <w:color w:val="auto"/>
          <w:highlight w:val="none"/>
        </w:rPr>
        <w:fldChar w:fldCharType="begin"/>
      </w:r>
      <w:r>
        <w:rPr>
          <w:rFonts w:ascii="楷体" w:hAnsi="楷体" w:eastAsia="楷体"/>
          <w:color w:val="auto"/>
          <w:highlight w:val="none"/>
        </w:rPr>
        <w:instrText xml:space="preserve"> eq \o\ac(○,</w:instrText>
      </w:r>
      <w:r>
        <w:rPr>
          <w:rFonts w:ascii="楷体" w:hAnsi="楷体" w:eastAsia="楷体"/>
          <w:color w:val="auto"/>
          <w:position w:val="3"/>
          <w:sz w:val="16"/>
          <w:highlight w:val="none"/>
        </w:rPr>
        <w:instrText xml:space="preserve">3</w:instrText>
      </w:r>
      <w:r>
        <w:rPr>
          <w:rFonts w:ascii="楷体" w:hAnsi="楷体" w:eastAsia="楷体"/>
          <w:color w:val="auto"/>
          <w:highlight w:val="none"/>
        </w:rPr>
        <w:instrText xml:space="preserve">)</w:instrText>
      </w:r>
      <w:r>
        <w:rPr>
          <w:rFonts w:ascii="楷体" w:hAnsi="楷体" w:eastAsia="楷体"/>
          <w:color w:val="auto"/>
          <w:highlight w:val="none"/>
        </w:rPr>
        <w:fldChar w:fldCharType="end"/>
      </w:r>
      <w:r>
        <w:rPr>
          <w:rFonts w:ascii="楷体" w:hAnsi="楷体" w:eastAsia="楷体"/>
          <w:color w:val="auto"/>
          <w:highlight w:val="none"/>
        </w:rPr>
        <w:t xml:space="preserve"> 提前使用电梯的前期深化图纸以及最终深化图纸。</w:t>
      </w:r>
    </w:p>
    <w:p>
      <w:pPr>
        <w:pStyle w:val="30"/>
        <w:spacing w:before="231" w:line="240" w:lineRule="auto"/>
        <w:ind w:firstLine="480" w:firstLineChars="200"/>
        <w:rPr>
          <w:rFonts w:ascii="楷体" w:hAnsi="楷体" w:eastAsia="楷体"/>
          <w:color w:val="auto"/>
          <w:highlight w:val="none"/>
        </w:rPr>
      </w:pPr>
      <w:r>
        <w:rPr>
          <w:rFonts w:ascii="楷体" w:hAnsi="楷体" w:eastAsia="楷体"/>
          <w:color w:val="auto"/>
          <w:highlight w:val="none"/>
        </w:rPr>
        <w:fldChar w:fldCharType="begin"/>
      </w:r>
      <w:r>
        <w:rPr>
          <w:rFonts w:ascii="楷体" w:hAnsi="楷体" w:eastAsia="楷体"/>
          <w:color w:val="auto"/>
          <w:highlight w:val="none"/>
        </w:rPr>
        <w:instrText xml:space="preserve"> eq \o\ac(○,</w:instrText>
      </w:r>
      <w:r>
        <w:rPr>
          <w:rFonts w:ascii="楷体" w:hAnsi="楷体" w:eastAsia="楷体"/>
          <w:color w:val="auto"/>
          <w:position w:val="3"/>
          <w:sz w:val="16"/>
          <w:highlight w:val="none"/>
        </w:rPr>
        <w:instrText xml:space="preserve">4</w:instrText>
      </w:r>
      <w:r>
        <w:rPr>
          <w:rFonts w:ascii="楷体" w:hAnsi="楷体" w:eastAsia="楷体"/>
          <w:color w:val="auto"/>
          <w:highlight w:val="none"/>
        </w:rPr>
        <w:instrText xml:space="preserve">)</w:instrText>
      </w:r>
      <w:r>
        <w:rPr>
          <w:rFonts w:ascii="楷体" w:hAnsi="楷体" w:eastAsia="楷体"/>
          <w:color w:val="auto"/>
          <w:highlight w:val="none"/>
        </w:rPr>
        <w:fldChar w:fldCharType="end"/>
      </w:r>
      <w:r>
        <w:rPr>
          <w:rFonts w:ascii="楷体" w:hAnsi="楷体" w:eastAsia="楷体"/>
          <w:color w:val="auto"/>
          <w:highlight w:val="none"/>
        </w:rPr>
        <w:t>提前使用电梯的正常维保工作。</w:t>
      </w:r>
    </w:p>
    <w:p>
      <w:pPr>
        <w:pStyle w:val="30"/>
        <w:spacing w:before="231" w:line="240" w:lineRule="auto"/>
        <w:ind w:firstLine="480" w:firstLineChars="200"/>
        <w:rPr>
          <w:rFonts w:ascii="楷体" w:hAnsi="楷体" w:eastAsia="楷体"/>
          <w:color w:val="auto"/>
          <w:highlight w:val="none"/>
        </w:rPr>
      </w:pPr>
      <w:r>
        <w:rPr>
          <w:rFonts w:ascii="楷体" w:hAnsi="楷体" w:eastAsia="楷体"/>
          <w:color w:val="auto"/>
          <w:highlight w:val="none"/>
        </w:rPr>
        <w:fldChar w:fldCharType="begin"/>
      </w:r>
      <w:r>
        <w:rPr>
          <w:rFonts w:ascii="楷体" w:hAnsi="楷体" w:eastAsia="楷体"/>
          <w:color w:val="auto"/>
          <w:highlight w:val="none"/>
        </w:rPr>
        <w:instrText xml:space="preserve"> eq \o\ac(○,</w:instrText>
      </w:r>
      <w:r>
        <w:rPr>
          <w:rFonts w:ascii="楷体" w:hAnsi="楷体" w:eastAsia="楷体"/>
          <w:color w:val="auto"/>
          <w:position w:val="3"/>
          <w:sz w:val="16"/>
          <w:highlight w:val="none"/>
        </w:rPr>
        <w:instrText xml:space="preserve">5</w:instrText>
      </w:r>
      <w:r>
        <w:rPr>
          <w:rFonts w:ascii="楷体" w:hAnsi="楷体" w:eastAsia="楷体"/>
          <w:color w:val="auto"/>
          <w:highlight w:val="none"/>
        </w:rPr>
        <w:instrText xml:space="preserve">)</w:instrText>
      </w:r>
      <w:r>
        <w:rPr>
          <w:rFonts w:ascii="楷体" w:hAnsi="楷体" w:eastAsia="楷体"/>
          <w:color w:val="auto"/>
          <w:highlight w:val="none"/>
        </w:rPr>
        <w:fldChar w:fldCharType="end"/>
      </w:r>
      <w:r>
        <w:rPr>
          <w:rFonts w:ascii="楷体" w:hAnsi="楷体" w:eastAsia="楷体"/>
          <w:color w:val="auto"/>
          <w:highlight w:val="none"/>
        </w:rPr>
        <w:t>提前使用电梯后期改造的报装、报备工作。</w:t>
      </w:r>
    </w:p>
    <w:p>
      <w:pPr>
        <w:pStyle w:val="30"/>
        <w:spacing w:before="231" w:line="240" w:lineRule="auto"/>
        <w:ind w:firstLine="480" w:firstLineChars="200"/>
        <w:rPr>
          <w:rFonts w:ascii="楷体" w:hAnsi="楷体" w:eastAsia="楷体"/>
          <w:color w:val="auto"/>
          <w:highlight w:val="none"/>
        </w:rPr>
      </w:pPr>
      <w:r>
        <w:rPr>
          <w:rFonts w:ascii="楷体" w:hAnsi="楷体" w:eastAsia="楷体"/>
          <w:color w:val="auto"/>
          <w:highlight w:val="none"/>
        </w:rPr>
        <w:fldChar w:fldCharType="begin"/>
      </w:r>
      <w:r>
        <w:rPr>
          <w:rFonts w:ascii="楷体" w:hAnsi="楷体" w:eastAsia="楷体"/>
          <w:color w:val="auto"/>
          <w:highlight w:val="none"/>
        </w:rPr>
        <w:instrText xml:space="preserve"> eq \o\ac(○,</w:instrText>
      </w:r>
      <w:r>
        <w:rPr>
          <w:rFonts w:ascii="楷体" w:hAnsi="楷体" w:eastAsia="楷体"/>
          <w:color w:val="auto"/>
          <w:position w:val="3"/>
          <w:sz w:val="16"/>
          <w:highlight w:val="none"/>
        </w:rPr>
        <w:instrText xml:space="preserve">6</w:instrText>
      </w:r>
      <w:r>
        <w:rPr>
          <w:rFonts w:ascii="楷体" w:hAnsi="楷体" w:eastAsia="楷体"/>
          <w:color w:val="auto"/>
          <w:highlight w:val="none"/>
        </w:rPr>
        <w:instrText xml:space="preserve">)</w:instrText>
      </w:r>
      <w:r>
        <w:rPr>
          <w:rFonts w:ascii="楷体" w:hAnsi="楷体" w:eastAsia="楷体"/>
          <w:color w:val="auto"/>
          <w:highlight w:val="none"/>
        </w:rPr>
        <w:fldChar w:fldCharType="end"/>
      </w:r>
      <w:r>
        <w:rPr>
          <w:rFonts w:ascii="楷体" w:hAnsi="楷体" w:eastAsia="楷体"/>
          <w:color w:val="auto"/>
          <w:highlight w:val="none"/>
        </w:rPr>
        <w:t xml:space="preserve"> 提前使用电梯临时电梯机房设备迁移至永久电梯机房的拆卸、安装、调试工作。</w:t>
      </w:r>
    </w:p>
    <w:p>
      <w:pPr>
        <w:pStyle w:val="30"/>
        <w:spacing w:before="231" w:line="240" w:lineRule="auto"/>
        <w:ind w:firstLine="480" w:firstLineChars="200"/>
        <w:rPr>
          <w:rFonts w:ascii="楷体" w:hAnsi="楷体" w:eastAsia="楷体"/>
          <w:color w:val="auto"/>
          <w:highlight w:val="none"/>
        </w:rPr>
      </w:pPr>
      <w:r>
        <w:rPr>
          <w:rFonts w:ascii="楷体" w:hAnsi="楷体" w:eastAsia="楷体"/>
          <w:color w:val="auto"/>
          <w:highlight w:val="none"/>
        </w:rPr>
        <w:fldChar w:fldCharType="begin"/>
      </w:r>
      <w:r>
        <w:rPr>
          <w:rFonts w:ascii="楷体" w:hAnsi="楷体" w:eastAsia="楷体"/>
          <w:color w:val="auto"/>
          <w:highlight w:val="none"/>
        </w:rPr>
        <w:instrText xml:space="preserve"> eq \o\ac(○,</w:instrText>
      </w:r>
      <w:r>
        <w:rPr>
          <w:rFonts w:ascii="楷体" w:hAnsi="楷体" w:eastAsia="楷体"/>
          <w:color w:val="auto"/>
          <w:position w:val="3"/>
          <w:sz w:val="16"/>
          <w:highlight w:val="none"/>
        </w:rPr>
        <w:instrText xml:space="preserve">7</w:instrText>
      </w:r>
      <w:r>
        <w:rPr>
          <w:rFonts w:ascii="楷体" w:hAnsi="楷体" w:eastAsia="楷体"/>
          <w:color w:val="auto"/>
          <w:highlight w:val="none"/>
        </w:rPr>
        <w:instrText xml:space="preserve">)</w:instrText>
      </w:r>
      <w:r>
        <w:rPr>
          <w:rFonts w:ascii="楷体" w:hAnsi="楷体" w:eastAsia="楷体"/>
          <w:color w:val="auto"/>
          <w:highlight w:val="none"/>
        </w:rPr>
        <w:fldChar w:fldCharType="end"/>
      </w:r>
      <w:r>
        <w:rPr>
          <w:rFonts w:ascii="楷体" w:hAnsi="楷体" w:eastAsia="楷体"/>
          <w:color w:val="auto"/>
          <w:highlight w:val="none"/>
        </w:rPr>
        <w:t xml:space="preserve"> 提前使用电梯后期改造施工的电梯保护措施（包括但不限于电梯轿厢整体的保护、电梯井道设备的保护等措施），防止拆临时机房楼板对电梯设备的损坏。</w:t>
      </w:r>
    </w:p>
    <w:p>
      <w:pPr>
        <w:pStyle w:val="30"/>
        <w:spacing w:before="231" w:line="240" w:lineRule="auto"/>
        <w:ind w:firstLine="480" w:firstLineChars="200"/>
        <w:rPr>
          <w:rFonts w:ascii="楷体" w:hAnsi="楷体" w:eastAsia="楷体"/>
          <w:color w:val="auto"/>
          <w:highlight w:val="none"/>
        </w:rPr>
      </w:pPr>
    </w:p>
    <w:p>
      <w:pPr>
        <w:pStyle w:val="29"/>
        <w:numPr>
          <w:ilvl w:val="0"/>
          <w:numId w:val="2"/>
        </w:numPr>
        <w:spacing w:before="231" w:beforeLines="50"/>
        <w:ind w:left="351" w:hanging="351" w:hangingChars="125"/>
        <w:rPr>
          <w:rStyle w:val="33"/>
          <w:color w:val="auto"/>
          <w:highlight w:val="none"/>
        </w:rPr>
      </w:pPr>
      <w:bookmarkStart w:id="1" w:name="_Toc529972314"/>
      <w:r>
        <w:rPr>
          <w:rFonts w:hint="eastAsia"/>
          <w:color w:val="auto"/>
          <w:highlight w:val="none"/>
        </w:rPr>
        <w:t>乙方具体工作内容</w:t>
      </w:r>
      <w:bookmarkEnd w:id="1"/>
    </w:p>
    <w:p>
      <w:pPr>
        <w:pStyle w:val="30"/>
        <w:numPr>
          <w:ilvl w:val="1"/>
          <w:numId w:val="2"/>
        </w:numPr>
        <w:spacing w:before="231"/>
        <w:rPr>
          <w:color w:val="auto"/>
          <w:highlight w:val="none"/>
        </w:rPr>
      </w:pPr>
      <w:r>
        <w:rPr>
          <w:rFonts w:hint="eastAsia"/>
          <w:color w:val="auto"/>
          <w:highlight w:val="none"/>
        </w:rPr>
        <w:t>本工程包括但不限于：</w:t>
      </w:r>
    </w:p>
    <w:p>
      <w:pPr>
        <w:pStyle w:val="30"/>
        <w:spacing w:before="0" w:beforeLines="0"/>
        <w:ind w:left="567"/>
        <w:rPr>
          <w:color w:val="auto"/>
          <w:highlight w:val="none"/>
        </w:rPr>
      </w:pPr>
      <w:r>
        <w:rPr>
          <w:rFonts w:hint="eastAsia"/>
          <w:color w:val="auto"/>
          <w:highlight w:val="none"/>
        </w:rPr>
        <w:t>（1）提供具有适当资格的人员按合同文件要求安装、试验、调校本</w:t>
      </w:r>
      <w:r>
        <w:rPr>
          <w:rFonts w:hint="eastAsia" w:hAnsi="楷体_GB2312" w:cs="楷体_GB2312"/>
          <w:color w:val="auto"/>
          <w:szCs w:val="24"/>
          <w:highlight w:val="none"/>
        </w:rPr>
        <w:t>项目</w:t>
      </w:r>
      <w:r>
        <w:rPr>
          <w:rFonts w:hint="eastAsia"/>
          <w:color w:val="auto"/>
          <w:highlight w:val="none"/>
        </w:rPr>
        <w:t>全部电梯系统。</w:t>
      </w:r>
    </w:p>
    <w:p>
      <w:pPr>
        <w:pStyle w:val="30"/>
        <w:spacing w:before="0" w:beforeLines="0"/>
        <w:ind w:left="567"/>
        <w:rPr>
          <w:color w:val="auto"/>
          <w:highlight w:val="none"/>
        </w:rPr>
      </w:pPr>
      <w:r>
        <w:rPr>
          <w:rFonts w:hint="eastAsia"/>
          <w:color w:val="auto"/>
          <w:highlight w:val="none"/>
        </w:rPr>
        <w:t>（2）负责安装井道范围内脚手架搭建及拆卸。</w:t>
      </w:r>
    </w:p>
    <w:p>
      <w:pPr>
        <w:pStyle w:val="30"/>
        <w:spacing w:before="0" w:beforeLines="0"/>
        <w:ind w:left="567"/>
        <w:rPr>
          <w:color w:val="auto"/>
          <w:highlight w:val="none"/>
        </w:rPr>
      </w:pPr>
      <w:r>
        <w:rPr>
          <w:rFonts w:hint="eastAsia"/>
          <w:color w:val="auto"/>
          <w:highlight w:val="none"/>
        </w:rPr>
        <w:t>（3）支承机械室内设备的钢梁、座板及垫板。</w:t>
      </w:r>
    </w:p>
    <w:p>
      <w:pPr>
        <w:pStyle w:val="30"/>
        <w:spacing w:before="0" w:beforeLines="0"/>
        <w:ind w:left="567"/>
        <w:rPr>
          <w:color w:val="auto"/>
          <w:highlight w:val="none"/>
        </w:rPr>
      </w:pPr>
      <w:r>
        <w:rPr>
          <w:rFonts w:hint="eastAsia"/>
          <w:color w:val="auto"/>
          <w:highlight w:val="none"/>
        </w:rPr>
        <w:t>（4）电梯坑内平衡重的保护遮板。</w:t>
      </w:r>
    </w:p>
    <w:p>
      <w:pPr>
        <w:pStyle w:val="30"/>
        <w:spacing w:before="0" w:beforeLines="0"/>
        <w:ind w:left="567"/>
        <w:rPr>
          <w:color w:val="auto"/>
          <w:highlight w:val="none"/>
        </w:rPr>
      </w:pPr>
      <w:r>
        <w:rPr>
          <w:rFonts w:hint="eastAsia"/>
          <w:color w:val="auto"/>
          <w:highlight w:val="none"/>
        </w:rPr>
        <w:t>（5）分隔电梯坑的保护间壁。</w:t>
      </w:r>
    </w:p>
    <w:p>
      <w:pPr>
        <w:pStyle w:val="30"/>
        <w:spacing w:before="0" w:beforeLines="0"/>
        <w:ind w:left="567"/>
        <w:rPr>
          <w:color w:val="auto"/>
          <w:highlight w:val="none"/>
        </w:rPr>
      </w:pPr>
      <w:r>
        <w:rPr>
          <w:rFonts w:hint="eastAsia"/>
          <w:color w:val="auto"/>
          <w:highlight w:val="none"/>
        </w:rPr>
        <w:t>（6）支承导轨支架。</w:t>
      </w:r>
    </w:p>
    <w:p>
      <w:pPr>
        <w:pStyle w:val="30"/>
        <w:spacing w:before="0" w:beforeLines="0"/>
        <w:ind w:left="567"/>
        <w:rPr>
          <w:color w:val="auto"/>
          <w:highlight w:val="none"/>
        </w:rPr>
      </w:pPr>
      <w:r>
        <w:rPr>
          <w:rFonts w:hint="eastAsia"/>
          <w:color w:val="auto"/>
          <w:highlight w:val="none"/>
        </w:rPr>
        <w:t>（7）支承机器及缓冲器的钢站台。</w:t>
      </w:r>
    </w:p>
    <w:p>
      <w:pPr>
        <w:pStyle w:val="30"/>
        <w:spacing w:before="0" w:beforeLines="0"/>
        <w:ind w:left="567"/>
        <w:rPr>
          <w:color w:val="auto"/>
          <w:highlight w:val="none"/>
        </w:rPr>
      </w:pPr>
      <w:r>
        <w:rPr>
          <w:rFonts w:hint="eastAsia"/>
          <w:color w:val="auto"/>
          <w:highlight w:val="none"/>
        </w:rPr>
        <w:t>（8）所有上述工程所需的面层涂料。</w:t>
      </w:r>
    </w:p>
    <w:p>
      <w:pPr>
        <w:pStyle w:val="30"/>
        <w:spacing w:before="0" w:beforeLines="0"/>
        <w:ind w:left="567"/>
        <w:rPr>
          <w:color w:val="auto"/>
          <w:highlight w:val="none"/>
        </w:rPr>
      </w:pPr>
      <w:r>
        <w:rPr>
          <w:rFonts w:hint="eastAsia"/>
          <w:color w:val="auto"/>
          <w:highlight w:val="none"/>
        </w:rPr>
        <w:t>（9）由前述独立开关至机器、控制板等之间所需的电线管及电线安装。</w:t>
      </w:r>
    </w:p>
    <w:p>
      <w:pPr>
        <w:pStyle w:val="30"/>
        <w:spacing w:before="0" w:beforeLines="0"/>
        <w:ind w:left="567"/>
        <w:rPr>
          <w:color w:val="auto"/>
          <w:highlight w:val="none"/>
        </w:rPr>
      </w:pPr>
      <w:r>
        <w:rPr>
          <w:rFonts w:hint="eastAsia"/>
          <w:color w:val="auto"/>
          <w:highlight w:val="none"/>
        </w:rPr>
        <w:t>（10）用认可的胶合料填充外露电线、电线管、管道、管道槽及电缆的周边及上涂料，修复受影响工程。</w:t>
      </w:r>
    </w:p>
    <w:p>
      <w:pPr>
        <w:pStyle w:val="30"/>
        <w:spacing w:before="0" w:beforeLines="0"/>
        <w:ind w:left="567"/>
        <w:rPr>
          <w:color w:val="auto"/>
          <w:highlight w:val="none"/>
        </w:rPr>
      </w:pPr>
      <w:r>
        <w:rPr>
          <w:rFonts w:hint="eastAsia"/>
          <w:color w:val="auto"/>
          <w:highlight w:val="none"/>
        </w:rPr>
        <w:t>（11）负责安装电梯井口保护栏，配合其他专业施工交叉作业时的安全保护措施。</w:t>
      </w:r>
    </w:p>
    <w:p>
      <w:pPr>
        <w:pStyle w:val="30"/>
        <w:spacing w:before="0" w:beforeLines="0"/>
        <w:ind w:left="567"/>
        <w:rPr>
          <w:color w:val="auto"/>
          <w:highlight w:val="none"/>
        </w:rPr>
      </w:pPr>
      <w:r>
        <w:rPr>
          <w:rFonts w:hint="eastAsia"/>
          <w:color w:val="auto"/>
          <w:highlight w:val="none"/>
        </w:rPr>
        <w:t>（12）在机房内，用以支承电梯机件的钢铁及金属工程、托座等(如需)；提供本工程所涉及的全部预埋件及预埋位置数据及图纸，由乙方在土建施工时预埋（特殊预埋件由乙方制作及安装）。</w:t>
      </w:r>
    </w:p>
    <w:p>
      <w:pPr>
        <w:pStyle w:val="30"/>
        <w:spacing w:before="0" w:beforeLines="0"/>
        <w:ind w:left="567"/>
        <w:rPr>
          <w:color w:val="auto"/>
          <w:highlight w:val="none"/>
        </w:rPr>
      </w:pPr>
      <w:r>
        <w:rPr>
          <w:rFonts w:hint="eastAsia"/>
          <w:color w:val="auto"/>
          <w:highlight w:val="none"/>
        </w:rPr>
        <w:t>（13）其它用以支撑升降机轨道的金属托座工程等。</w:t>
      </w:r>
    </w:p>
    <w:p>
      <w:pPr>
        <w:pStyle w:val="30"/>
        <w:spacing w:before="0" w:beforeLines="0"/>
        <w:ind w:left="567"/>
        <w:rPr>
          <w:color w:val="auto"/>
          <w:highlight w:val="none"/>
        </w:rPr>
      </w:pPr>
      <w:r>
        <w:rPr>
          <w:rFonts w:hint="eastAsia"/>
          <w:color w:val="auto"/>
          <w:highlight w:val="none"/>
        </w:rPr>
        <w:t>（14）完成的指定承包工程范围作出保护以防损坏，并作出防水防风雨的措施，包括但不限于为电梯门边线条板提供临时木板保护角及为电梯里面提供临时保护木板。</w:t>
      </w:r>
    </w:p>
    <w:p>
      <w:pPr>
        <w:pStyle w:val="30"/>
        <w:spacing w:before="0" w:beforeLines="0"/>
        <w:ind w:left="567"/>
        <w:rPr>
          <w:color w:val="auto"/>
          <w:highlight w:val="none"/>
        </w:rPr>
      </w:pPr>
      <w:r>
        <w:rPr>
          <w:rFonts w:hint="eastAsia"/>
          <w:color w:val="auto"/>
          <w:highlight w:val="none"/>
        </w:rPr>
        <w:t>（1</w:t>
      </w:r>
      <w:r>
        <w:rPr>
          <w:color w:val="auto"/>
          <w:highlight w:val="none"/>
        </w:rPr>
        <w:t>5</w:t>
      </w:r>
      <w:r>
        <w:rPr>
          <w:rFonts w:hint="eastAsia"/>
          <w:color w:val="auto"/>
          <w:highlight w:val="none"/>
        </w:rPr>
        <w:t>）其它为安装所必须的辅助工程。</w:t>
      </w:r>
    </w:p>
    <w:p>
      <w:pPr>
        <w:pStyle w:val="30"/>
        <w:spacing w:before="0" w:beforeLines="0"/>
        <w:ind w:left="567"/>
        <w:rPr>
          <w:color w:val="auto"/>
          <w:highlight w:val="none"/>
        </w:rPr>
      </w:pPr>
      <w:r>
        <w:rPr>
          <w:rFonts w:hint="eastAsia"/>
          <w:color w:val="auto"/>
          <w:highlight w:val="none"/>
        </w:rPr>
        <w:t>（1</w:t>
      </w:r>
      <w:r>
        <w:rPr>
          <w:color w:val="auto"/>
          <w:highlight w:val="none"/>
        </w:rPr>
        <w:t>6</w:t>
      </w:r>
      <w:r>
        <w:rPr>
          <w:rFonts w:hint="eastAsia"/>
          <w:color w:val="auto"/>
          <w:highlight w:val="none"/>
        </w:rPr>
        <w:t>）在本工程竣工交付甲方使用之前，乙方应响应和配合甲方提出的施工和销售临时用梯的需求。在电梯提前使用期间，乙方负责对电梯进行临时保护、运营管理、维保服务、急修服务、大修服务以及相应的损坏零部件更换等，销售临时用梯相关费用都已包含在本合同的电梯提前使用费中。乙方承诺在甲方要求的规定时间内修复电梯达到正常使用状态，不影响临时用梯和项目整体施工进度。关于电梯提前使用相关保护及运行管理具体详合同附件十。</w:t>
      </w:r>
    </w:p>
    <w:p>
      <w:pPr>
        <w:pStyle w:val="30"/>
        <w:spacing w:before="0" w:beforeLines="0"/>
        <w:ind w:left="567"/>
        <w:rPr>
          <w:color w:val="auto"/>
          <w:highlight w:val="none"/>
        </w:rPr>
      </w:pPr>
      <w:r>
        <w:rPr>
          <w:rFonts w:hint="eastAsia"/>
          <w:color w:val="auto"/>
          <w:highlight w:val="none"/>
        </w:rPr>
        <w:t>（1</w:t>
      </w:r>
      <w:r>
        <w:rPr>
          <w:color w:val="auto"/>
          <w:highlight w:val="none"/>
        </w:rPr>
        <w:t>7</w:t>
      </w:r>
      <w:r>
        <w:rPr>
          <w:rFonts w:hint="eastAsia"/>
          <w:color w:val="auto"/>
          <w:highlight w:val="none"/>
        </w:rPr>
        <w:t>）具体的承包范围及工作界面的划分详本合同附件四。</w:t>
      </w:r>
    </w:p>
    <w:p>
      <w:pPr>
        <w:pStyle w:val="30"/>
        <w:numPr>
          <w:ilvl w:val="1"/>
          <w:numId w:val="2"/>
        </w:numPr>
        <w:spacing w:before="231"/>
        <w:rPr>
          <w:color w:val="auto"/>
          <w:highlight w:val="none"/>
        </w:rPr>
      </w:pPr>
      <w:r>
        <w:rPr>
          <w:rFonts w:hint="eastAsia"/>
          <w:color w:val="auto"/>
          <w:highlight w:val="none"/>
        </w:rPr>
        <w:t>收货及保管</w:t>
      </w:r>
    </w:p>
    <w:p>
      <w:pPr>
        <w:pStyle w:val="30"/>
        <w:spacing w:before="231" w:beforeLines="0"/>
        <w:ind w:left="567"/>
        <w:rPr>
          <w:color w:val="auto"/>
          <w:highlight w:val="none"/>
        </w:rPr>
      </w:pPr>
      <w:r>
        <w:rPr>
          <w:color w:val="auto"/>
          <w:highlight w:val="none"/>
        </w:rPr>
        <w:t>2.2.1</w:t>
      </w:r>
      <w:r>
        <w:rPr>
          <w:rFonts w:hint="eastAsia"/>
          <w:color w:val="auto"/>
          <w:highlight w:val="none"/>
        </w:rPr>
        <w:t xml:space="preserve"> 所有电梯设备由</w:t>
      </w:r>
      <w:r>
        <w:rPr>
          <w:rFonts w:hint="eastAsia" w:hAnsi="宋体"/>
          <w:color w:val="auto"/>
          <w:szCs w:val="24"/>
          <w:highlight w:val="none"/>
        </w:rPr>
        <w:t>电梯设备供货单位</w:t>
      </w:r>
      <w:r>
        <w:rPr>
          <w:rFonts w:hint="eastAsia"/>
          <w:color w:val="auto"/>
          <w:highlight w:val="none"/>
        </w:rPr>
        <w:t>运抵本项目工地现场后，由甲方组织乙方对电梯设备的外观和数量进行初步检验后交由乙方保管，并由乙方对电梯设备交付（交付标准以全部电梯设备安装、调试、测试、检验完毕，并取得检验合格报告书、安全检验合格证以及电梯设备使用登记证，且本项目整体工程交付甲方使用为标准）甲方之前毁损、灭失的风险承担责任。乙方须负责其工程防护工作直至工程竣工交付甲方后才结束。</w:t>
      </w:r>
      <w:r>
        <w:rPr>
          <w:rFonts w:hint="eastAsia" w:hAnsi="宋体"/>
          <w:color w:val="auto"/>
          <w:szCs w:val="24"/>
          <w:highlight w:val="none"/>
        </w:rPr>
        <w:t>乙方应对进场电梯设备进行妥善的包装、围蔽、保护、储藏等，</w:t>
      </w:r>
      <w:r>
        <w:rPr>
          <w:rFonts w:hint="eastAsia"/>
          <w:color w:val="auto"/>
          <w:highlight w:val="none"/>
        </w:rPr>
        <w:t>此防护措施应包括在施工前，施工时及竣工后防止所有因为尘埃及湿气等的侵入而引致对绝缘及电源接触不良影响的方法，本合同总价已包含供应符合上述要求所有物料的价款，乙方不能据此要求增加任何费用。</w:t>
      </w:r>
    </w:p>
    <w:p>
      <w:pPr>
        <w:pStyle w:val="30"/>
        <w:spacing w:before="0" w:beforeLines="0"/>
        <w:ind w:left="567"/>
        <w:rPr>
          <w:color w:val="auto"/>
          <w:highlight w:val="none"/>
        </w:rPr>
      </w:pPr>
      <w:r>
        <w:rPr>
          <w:rFonts w:hint="eastAsia" w:hAnsi="宋体"/>
          <w:color w:val="auto"/>
          <w:szCs w:val="24"/>
          <w:highlight w:val="none"/>
        </w:rPr>
        <w:t>2.2.2</w:t>
      </w:r>
      <w:r>
        <w:rPr>
          <w:rFonts w:hint="eastAsia"/>
          <w:color w:val="auto"/>
          <w:highlight w:val="none"/>
        </w:rPr>
        <w:t xml:space="preserve"> 所有组合配件在运送至工地现场前皆不可随意堆放以避免导致不必要的拉力、变质等影响，乙方应确保那些经粉饰过的表面不受损坏、刮花。</w:t>
      </w:r>
    </w:p>
    <w:p>
      <w:pPr>
        <w:pStyle w:val="30"/>
        <w:spacing w:before="0" w:beforeLines="0"/>
        <w:ind w:left="567"/>
        <w:rPr>
          <w:color w:val="auto"/>
          <w:highlight w:val="none"/>
        </w:rPr>
      </w:pPr>
      <w:r>
        <w:rPr>
          <w:rFonts w:hint="eastAsia"/>
          <w:color w:val="auto"/>
          <w:highlight w:val="none"/>
        </w:rPr>
        <w:t>2.2.3 乙方须征得甲方准许后，才可在物料上加上其它标记。甲方有权指示在电梯设备及物料安装后，要求乙方除去所有标记而无需支付任何额外费用。</w:t>
      </w:r>
    </w:p>
    <w:p>
      <w:pPr>
        <w:pStyle w:val="30"/>
        <w:numPr>
          <w:ilvl w:val="1"/>
          <w:numId w:val="2"/>
        </w:numPr>
        <w:spacing w:before="231"/>
        <w:rPr>
          <w:color w:val="auto"/>
          <w:highlight w:val="none"/>
        </w:rPr>
      </w:pPr>
      <w:r>
        <w:rPr>
          <w:rFonts w:hint="eastAsia"/>
          <w:color w:val="auto"/>
          <w:highlight w:val="none"/>
        </w:rPr>
        <w:t>办理手续</w:t>
      </w:r>
    </w:p>
    <w:p>
      <w:pPr>
        <w:pStyle w:val="30"/>
        <w:spacing w:before="0" w:beforeLines="0"/>
        <w:ind w:left="567"/>
        <w:rPr>
          <w:color w:val="auto"/>
          <w:highlight w:val="none"/>
        </w:rPr>
      </w:pPr>
      <w:r>
        <w:rPr>
          <w:rFonts w:hint="eastAsia"/>
          <w:color w:val="auto"/>
          <w:highlight w:val="none"/>
        </w:rPr>
        <w:t>负责按工程所在地特种设备检验检测机构、质量技术监督局、消防部门的要求办理电梯安装施工报批及有关安全施工手续及竣工后的验收工作，保证取得电梯检验合格报告书、安全检验合格证、使用登记证及政府部门要求的其他证照，相关费用已全部包含在本合同价款内。</w:t>
      </w:r>
    </w:p>
    <w:p>
      <w:pPr>
        <w:pStyle w:val="30"/>
        <w:numPr>
          <w:ilvl w:val="1"/>
          <w:numId w:val="2"/>
        </w:numPr>
        <w:spacing w:before="231"/>
        <w:rPr>
          <w:color w:val="auto"/>
          <w:highlight w:val="none"/>
        </w:rPr>
      </w:pPr>
      <w:r>
        <w:rPr>
          <w:rFonts w:hint="eastAsia"/>
          <w:color w:val="auto"/>
          <w:highlight w:val="none"/>
        </w:rPr>
        <w:t>人员配合</w:t>
      </w:r>
    </w:p>
    <w:p>
      <w:pPr>
        <w:pStyle w:val="30"/>
        <w:spacing w:before="0" w:beforeLines="0"/>
        <w:ind w:left="567"/>
        <w:rPr>
          <w:color w:val="auto"/>
          <w:highlight w:val="none"/>
        </w:rPr>
      </w:pPr>
      <w:r>
        <w:rPr>
          <w:color w:val="auto"/>
          <w:highlight w:val="none"/>
        </w:rPr>
        <w:t xml:space="preserve">2.4.1 </w:t>
      </w:r>
      <w:r>
        <w:rPr>
          <w:rFonts w:hint="eastAsia"/>
          <w:color w:val="auto"/>
          <w:highlight w:val="none"/>
        </w:rPr>
        <w:t>乙方现场派</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任工程技术负责人，对整个工程的安装质量负完全责任。</w:t>
      </w:r>
    </w:p>
    <w:p>
      <w:pPr>
        <w:pStyle w:val="30"/>
        <w:spacing w:before="0" w:beforeLines="0"/>
        <w:ind w:left="567"/>
        <w:rPr>
          <w:color w:val="auto"/>
          <w:highlight w:val="none"/>
        </w:rPr>
      </w:pPr>
      <w:r>
        <w:rPr>
          <w:rFonts w:hint="eastAsia"/>
          <w:color w:val="auto"/>
          <w:highlight w:val="none"/>
        </w:rPr>
        <w:t>2.4.2 在工程安装期间，乙方须派</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为驻现场项目经理，对整个工程施工过程负全部责任，包括施工安全及现场消防安全。</w:t>
      </w:r>
    </w:p>
    <w:p>
      <w:pPr>
        <w:pStyle w:val="30"/>
        <w:spacing w:before="0" w:beforeLines="0"/>
        <w:ind w:left="567"/>
        <w:rPr>
          <w:rFonts w:hAnsi="宋体"/>
          <w:color w:val="auto"/>
          <w:szCs w:val="24"/>
          <w:highlight w:val="none"/>
        </w:rPr>
      </w:pPr>
      <w:r>
        <w:rPr>
          <w:rFonts w:hint="eastAsia" w:hAnsi="宋体"/>
          <w:color w:val="auto"/>
          <w:szCs w:val="24"/>
          <w:highlight w:val="none"/>
        </w:rPr>
        <w:t>2.4.3 乙方项目经理/技术负责人、主要安装人员及调试人员应具备相关的特种设备作业人员资格、专业知识及技术水平，熟悉本合同所需电梯设备的规格、技术指标及工艺，有足够能力安装、调试本合同的电梯设备。乙方投标时所提交项目经理</w:t>
      </w:r>
      <w:r>
        <w:rPr>
          <w:rFonts w:hAnsi="宋体"/>
          <w:color w:val="auto"/>
          <w:szCs w:val="24"/>
          <w:highlight w:val="none"/>
        </w:rPr>
        <w:t>/技术负责人、主要安装人员及调试人员目录及</w:t>
      </w:r>
      <w:r>
        <w:rPr>
          <w:rFonts w:hint="eastAsia" w:hAnsi="宋体"/>
          <w:color w:val="auto"/>
          <w:szCs w:val="24"/>
          <w:highlight w:val="none"/>
        </w:rPr>
        <w:t>资格清单，未经甲方书面同意不得变更，人员目录及资格清单详见本合同附件十一。上述人员在电梯安装期间须全职在现场，不得兼任其他项目的工作。因特殊情况需短暂离岗的，应当事先报甲方及监理单位书面批准，并妥善安排工地现场的工作交接。上述人员的实际工作能力和工作表现达不到合同要求、工作态度存在严重不足、不适应现场工作需要的，甲方有权向乙方提出更换。乙方可以提出整改意见；如甲方不予接受，或认为整改效果不明显的，则乙方必须在7天内无条件更换。</w:t>
      </w:r>
    </w:p>
    <w:p>
      <w:pPr>
        <w:pStyle w:val="30"/>
        <w:spacing w:before="0" w:beforeLines="0"/>
        <w:ind w:left="567"/>
        <w:rPr>
          <w:rFonts w:hAnsi="宋体"/>
          <w:color w:val="auto"/>
          <w:szCs w:val="24"/>
          <w:highlight w:val="none"/>
        </w:rPr>
      </w:pPr>
      <w:r>
        <w:rPr>
          <w:rFonts w:hint="eastAsia" w:hAnsi="宋体"/>
          <w:color w:val="auto"/>
          <w:szCs w:val="24"/>
          <w:highlight w:val="none"/>
        </w:rPr>
        <w:t>2.4.4 经甲方、监理单位通知，项目经理/技术负责人须出席与本项目有关的会议。</w:t>
      </w:r>
    </w:p>
    <w:p>
      <w:pPr>
        <w:pStyle w:val="30"/>
        <w:spacing w:before="0" w:beforeLines="0"/>
        <w:ind w:left="567"/>
        <w:rPr>
          <w:rFonts w:hAnsi="宋体"/>
          <w:color w:val="auto"/>
          <w:szCs w:val="24"/>
          <w:highlight w:val="none"/>
        </w:rPr>
      </w:pPr>
      <w:r>
        <w:rPr>
          <w:rFonts w:hint="eastAsia" w:hAnsi="宋体"/>
          <w:color w:val="auto"/>
          <w:szCs w:val="24"/>
          <w:highlight w:val="none"/>
        </w:rPr>
        <w:t>2.4.5 乙方应指定至少一人负责与甲方、监理单位及其他施工单位的配合协调工作，协调好与各施工单位的关系，以并保证相互间的资料、信息等能及时传递，以保证项目顺利、按时完工。乙方应于本合同生效后10个日历天内将该等人员的姓名、联系方式书面通知甲方。</w:t>
      </w:r>
    </w:p>
    <w:p>
      <w:pPr>
        <w:pStyle w:val="30"/>
        <w:numPr>
          <w:ilvl w:val="1"/>
          <w:numId w:val="2"/>
        </w:numPr>
        <w:spacing w:before="231"/>
        <w:rPr>
          <w:color w:val="auto"/>
          <w:highlight w:val="none"/>
        </w:rPr>
      </w:pPr>
      <w:r>
        <w:rPr>
          <w:rFonts w:hint="eastAsia"/>
          <w:color w:val="auto"/>
          <w:highlight w:val="none"/>
        </w:rPr>
        <w:t>其他</w:t>
      </w:r>
    </w:p>
    <w:p>
      <w:pPr>
        <w:pStyle w:val="30"/>
        <w:spacing w:before="0" w:beforeLines="0"/>
        <w:ind w:left="567"/>
        <w:rPr>
          <w:color w:val="auto"/>
          <w:highlight w:val="none"/>
        </w:rPr>
      </w:pPr>
      <w:r>
        <w:rPr>
          <w:rFonts w:hint="eastAsia"/>
          <w:color w:val="auto"/>
          <w:highlight w:val="none"/>
        </w:rPr>
        <w:t>2.5.1 除上述所列，乙方负责的工程范围还包括完成整个工程所必须的物料、机械、设备、工具、附件等。</w:t>
      </w:r>
    </w:p>
    <w:p>
      <w:pPr>
        <w:pStyle w:val="30"/>
        <w:spacing w:before="0" w:beforeLines="0"/>
        <w:ind w:left="567"/>
        <w:rPr>
          <w:color w:val="auto"/>
          <w:highlight w:val="none"/>
        </w:rPr>
      </w:pPr>
      <w:r>
        <w:rPr>
          <w:rFonts w:hint="eastAsia"/>
          <w:color w:val="auto"/>
          <w:highlight w:val="none"/>
        </w:rPr>
        <w:t>2.5.2 为安装电梯设备而须使用的任何物料均由乙方提供且费用已包含在合同总价中，而所使用物料必须是全新的物料并符合一切设计、有关规范及本合同的要求。</w:t>
      </w:r>
    </w:p>
    <w:p>
      <w:pPr>
        <w:pStyle w:val="30"/>
        <w:spacing w:before="0" w:beforeLines="0"/>
        <w:ind w:left="567"/>
        <w:rPr>
          <w:color w:val="auto"/>
          <w:highlight w:val="none"/>
        </w:rPr>
      </w:pPr>
      <w:r>
        <w:rPr>
          <w:rFonts w:hint="eastAsia"/>
          <w:color w:val="auto"/>
          <w:highlight w:val="none"/>
        </w:rPr>
        <w:t xml:space="preserve">2.5.3 电梯设备安装期间，如出现任何零部件不足或毁损的，由乙方免费予以补充或更换。  </w:t>
      </w:r>
    </w:p>
    <w:p>
      <w:pPr>
        <w:pStyle w:val="30"/>
        <w:spacing w:before="0" w:beforeLines="0"/>
        <w:ind w:left="567"/>
        <w:rPr>
          <w:color w:val="auto"/>
          <w:highlight w:val="none"/>
        </w:rPr>
      </w:pPr>
      <w:r>
        <w:rPr>
          <w:rFonts w:hint="eastAsia"/>
          <w:color w:val="auto"/>
          <w:highlight w:val="none"/>
        </w:rPr>
        <w:t>2.5.4 乙方须对所有安装材料进行试验。其试验方案包括次数，方法及程序等均须符合工程所在地政府及有关单位规范、规定等，同时须符合甲方要求，相关费用已包含在合同价款内。</w:t>
      </w:r>
    </w:p>
    <w:p>
      <w:pPr>
        <w:pStyle w:val="30"/>
        <w:spacing w:before="0" w:beforeLines="0"/>
        <w:ind w:left="567"/>
        <w:rPr>
          <w:color w:val="auto"/>
          <w:highlight w:val="none"/>
        </w:rPr>
      </w:pPr>
      <w:r>
        <w:rPr>
          <w:rFonts w:hint="eastAsia"/>
          <w:color w:val="auto"/>
          <w:highlight w:val="none"/>
        </w:rPr>
        <w:t>2.5.5 若试验未能满足上述要求，乙方须负责更换物料及重新试验直至甲方满意为止，所有因此导致的费用、损失及工期延迟由乙方自行负责。</w:t>
      </w:r>
    </w:p>
    <w:p>
      <w:pPr>
        <w:pStyle w:val="30"/>
        <w:spacing w:before="0" w:beforeLines="0"/>
        <w:ind w:left="567"/>
        <w:rPr>
          <w:color w:val="auto"/>
          <w:highlight w:val="none"/>
        </w:rPr>
      </w:pPr>
      <w:r>
        <w:rPr>
          <w:rFonts w:hint="eastAsia"/>
          <w:color w:val="auto"/>
          <w:highlight w:val="none"/>
        </w:rPr>
        <w:t>2.5.6 乙方须确保所有选用的机械、物料及设备等的设计、制造及安装均适合工地现场的环境并能有效地运作。</w:t>
      </w:r>
    </w:p>
    <w:p>
      <w:pPr>
        <w:pStyle w:val="30"/>
        <w:spacing w:before="0" w:beforeLines="0"/>
        <w:ind w:left="567"/>
        <w:rPr>
          <w:color w:val="auto"/>
          <w:highlight w:val="none"/>
        </w:rPr>
      </w:pPr>
      <w:r>
        <w:rPr>
          <w:rFonts w:hint="eastAsia"/>
          <w:color w:val="auto"/>
          <w:highlight w:val="none"/>
        </w:rPr>
        <w:t>2.5.7 若甲方将电梯轿厢二次装修另行发包的，乙方须负责对电梯轿厢二次装修安装承包单位进行技术指导、管理、协调，并对电梯进行相应的对重或其它相关的调整、调试，使其满足国家和厂家标准，技术指导、管理、协调和相关工程费用均已包含在本合同总价中。</w:t>
      </w:r>
    </w:p>
    <w:p>
      <w:pPr>
        <w:pStyle w:val="29"/>
        <w:numPr>
          <w:ilvl w:val="0"/>
          <w:numId w:val="2"/>
        </w:numPr>
        <w:spacing w:before="231" w:beforeLines="50"/>
        <w:ind w:left="351" w:hanging="351" w:hangingChars="125"/>
        <w:rPr>
          <w:color w:val="auto"/>
          <w:highlight w:val="none"/>
        </w:rPr>
      </w:pPr>
      <w:bookmarkStart w:id="2" w:name="_Toc529972315"/>
      <w:r>
        <w:rPr>
          <w:rFonts w:hint="eastAsia"/>
          <w:color w:val="auto"/>
          <w:highlight w:val="none"/>
        </w:rPr>
        <w:t>合同工期</w:t>
      </w:r>
      <w:bookmarkEnd w:id="2"/>
    </w:p>
    <w:p>
      <w:pPr>
        <w:pStyle w:val="30"/>
        <w:numPr>
          <w:ilvl w:val="1"/>
          <w:numId w:val="2"/>
        </w:numPr>
        <w:spacing w:before="231"/>
        <w:rPr>
          <w:color w:val="auto"/>
          <w:highlight w:val="none"/>
        </w:rPr>
      </w:pPr>
      <w:r>
        <w:rPr>
          <w:rFonts w:hint="eastAsia"/>
          <w:color w:val="auto"/>
          <w:highlight w:val="none"/>
        </w:rPr>
        <w:t>乙方应在本合同生效后依据有关规范及图纸，立刻开始设计工作，并在本合同生效后7个日历天内向甲方提供第8.2条约定的图纸。</w:t>
      </w:r>
    </w:p>
    <w:p>
      <w:pPr>
        <w:pStyle w:val="30"/>
        <w:numPr>
          <w:ilvl w:val="1"/>
          <w:numId w:val="2"/>
        </w:numPr>
        <w:spacing w:before="231"/>
        <w:rPr>
          <w:color w:val="auto"/>
          <w:highlight w:val="none"/>
        </w:rPr>
      </w:pPr>
      <w:r>
        <w:rPr>
          <w:rFonts w:hint="eastAsia"/>
          <w:color w:val="auto"/>
          <w:highlight w:val="none"/>
        </w:rPr>
        <w:t>工期节点要求如下：</w:t>
      </w:r>
    </w:p>
    <w:tbl>
      <w:tblPr>
        <w:tblStyle w:val="17"/>
        <w:tblW w:w="9776" w:type="dxa"/>
        <w:tblInd w:w="0" w:type="dxa"/>
        <w:tblLayout w:type="fixed"/>
        <w:tblCellMar>
          <w:top w:w="0" w:type="dxa"/>
          <w:left w:w="108" w:type="dxa"/>
          <w:bottom w:w="0" w:type="dxa"/>
          <w:right w:w="108" w:type="dxa"/>
        </w:tblCellMar>
      </w:tblPr>
      <w:tblGrid>
        <w:gridCol w:w="704"/>
        <w:gridCol w:w="1134"/>
        <w:gridCol w:w="1418"/>
        <w:gridCol w:w="1559"/>
        <w:gridCol w:w="850"/>
        <w:gridCol w:w="1276"/>
        <w:gridCol w:w="1418"/>
        <w:gridCol w:w="1417"/>
      </w:tblGrid>
      <w:tr>
        <w:tblPrEx>
          <w:tblLayout w:type="fixed"/>
          <w:tblCellMar>
            <w:top w:w="0" w:type="dxa"/>
            <w:left w:w="108" w:type="dxa"/>
            <w:bottom w:w="0" w:type="dxa"/>
            <w:right w:w="108" w:type="dxa"/>
          </w:tblCellMar>
        </w:tblPrEx>
        <w:trPr>
          <w:trHeight w:val="285" w:hRule="atLeast"/>
        </w:trPr>
        <w:tc>
          <w:tcPr>
            <w:tcW w:w="704" w:type="dxa"/>
            <w:tcBorders>
              <w:top w:val="single" w:color="auto" w:sz="4" w:space="0"/>
              <w:left w:val="single" w:color="auto" w:sz="4" w:space="0"/>
              <w:bottom w:val="single" w:color="auto" w:sz="4" w:space="0"/>
              <w:right w:val="single" w:color="auto" w:sz="4" w:space="0"/>
            </w:tcBorders>
            <w:shd w:val="clear" w:color="000000" w:fill="D6DCE4"/>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序号</w:t>
            </w:r>
          </w:p>
        </w:tc>
        <w:tc>
          <w:tcPr>
            <w:tcW w:w="1134" w:type="dxa"/>
            <w:tcBorders>
              <w:top w:val="single" w:color="auto" w:sz="4" w:space="0"/>
              <w:left w:val="nil"/>
              <w:bottom w:val="single" w:color="auto" w:sz="4" w:space="0"/>
              <w:right w:val="single" w:color="auto" w:sz="4" w:space="0"/>
            </w:tcBorders>
            <w:shd w:val="clear" w:color="000000" w:fill="D6DCE4"/>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工程名称</w:t>
            </w:r>
          </w:p>
        </w:tc>
        <w:tc>
          <w:tcPr>
            <w:tcW w:w="1418" w:type="dxa"/>
            <w:tcBorders>
              <w:top w:val="single" w:color="auto" w:sz="4" w:space="0"/>
              <w:left w:val="nil"/>
              <w:bottom w:val="single" w:color="auto" w:sz="4" w:space="0"/>
              <w:right w:val="single" w:color="auto" w:sz="4" w:space="0"/>
            </w:tcBorders>
            <w:shd w:val="clear" w:color="000000" w:fill="D6DCE4"/>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分区</w:t>
            </w:r>
          </w:p>
        </w:tc>
        <w:tc>
          <w:tcPr>
            <w:tcW w:w="1559" w:type="dxa"/>
            <w:tcBorders>
              <w:top w:val="single" w:color="auto" w:sz="4" w:space="0"/>
              <w:left w:val="nil"/>
              <w:bottom w:val="single" w:color="auto" w:sz="4" w:space="0"/>
              <w:right w:val="single" w:color="auto" w:sz="4" w:space="0"/>
            </w:tcBorders>
            <w:shd w:val="clear" w:color="000000" w:fill="D6DCE4"/>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楼栋</w:t>
            </w:r>
          </w:p>
        </w:tc>
        <w:tc>
          <w:tcPr>
            <w:tcW w:w="850" w:type="dxa"/>
            <w:tcBorders>
              <w:top w:val="single" w:color="auto" w:sz="4" w:space="0"/>
              <w:left w:val="nil"/>
              <w:bottom w:val="single" w:color="auto" w:sz="4" w:space="0"/>
              <w:right w:val="single" w:color="auto" w:sz="4" w:space="0"/>
            </w:tcBorders>
            <w:shd w:val="clear" w:color="000000" w:fill="D6DCE4"/>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数量（台）</w:t>
            </w:r>
          </w:p>
        </w:tc>
        <w:tc>
          <w:tcPr>
            <w:tcW w:w="1276" w:type="dxa"/>
            <w:tcBorders>
              <w:top w:val="single" w:color="auto" w:sz="4" w:space="0"/>
              <w:left w:val="nil"/>
              <w:bottom w:val="single" w:color="auto" w:sz="4" w:space="0"/>
              <w:right w:val="single" w:color="auto" w:sz="4" w:space="0"/>
            </w:tcBorders>
            <w:shd w:val="clear" w:color="000000" w:fill="D6DCE4"/>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开始时间</w:t>
            </w:r>
          </w:p>
        </w:tc>
        <w:tc>
          <w:tcPr>
            <w:tcW w:w="1418" w:type="dxa"/>
            <w:tcBorders>
              <w:top w:val="single" w:color="auto" w:sz="4" w:space="0"/>
              <w:left w:val="nil"/>
              <w:bottom w:val="single" w:color="auto" w:sz="4" w:space="0"/>
              <w:right w:val="single" w:color="auto" w:sz="4" w:space="0"/>
            </w:tcBorders>
            <w:shd w:val="clear" w:color="000000" w:fill="D6DCE4"/>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完工时间</w:t>
            </w:r>
          </w:p>
        </w:tc>
        <w:tc>
          <w:tcPr>
            <w:tcW w:w="1417" w:type="dxa"/>
            <w:tcBorders>
              <w:top w:val="single" w:color="auto" w:sz="4" w:space="0"/>
              <w:left w:val="nil"/>
              <w:bottom w:val="single" w:color="auto" w:sz="4" w:space="0"/>
              <w:right w:val="single" w:color="auto" w:sz="4" w:space="0"/>
            </w:tcBorders>
            <w:shd w:val="clear" w:color="000000" w:fill="D6DCE4"/>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备注</w:t>
            </w:r>
          </w:p>
        </w:tc>
      </w:tr>
      <w:tr>
        <w:tblPrEx>
          <w:tblLayout w:type="fixed"/>
          <w:tblCellMar>
            <w:top w:w="0" w:type="dxa"/>
            <w:left w:w="108" w:type="dxa"/>
            <w:bottom w:w="0" w:type="dxa"/>
            <w:right w:w="108" w:type="dxa"/>
          </w:tblCellMar>
        </w:tblPrEx>
        <w:trPr>
          <w:trHeight w:val="675" w:hRule="atLeast"/>
        </w:trPr>
        <w:tc>
          <w:tcPr>
            <w:tcW w:w="704"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4"/>
                <w:szCs w:val="24"/>
                <w:highlight w:val="none"/>
              </w:rPr>
            </w:pPr>
            <w:r>
              <w:rPr>
                <w:rFonts w:hint="eastAsia" w:ascii="楷体" w:hAnsi="楷体" w:eastAsia="楷体" w:cs="宋体"/>
                <w:color w:val="auto"/>
                <w:sz w:val="24"/>
                <w:szCs w:val="24"/>
                <w:highlight w:val="none"/>
              </w:rPr>
              <w:t>1</w:t>
            </w: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电梯安装</w:t>
            </w: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首开区</w:t>
            </w:r>
          </w:p>
        </w:tc>
        <w:tc>
          <w:tcPr>
            <w:tcW w:w="1559"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A7</w:t>
            </w:r>
          </w:p>
        </w:tc>
        <w:tc>
          <w:tcPr>
            <w:tcW w:w="850" w:type="dxa"/>
            <w:vMerge w:val="restart"/>
            <w:tcBorders>
              <w:top w:val="nil"/>
              <w:left w:val="single" w:color="auto" w:sz="4" w:space="0"/>
              <w:bottom w:val="single" w:color="000000"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ascii="楷体" w:hAnsi="楷体" w:eastAsia="楷体" w:cs="宋体"/>
                <w:color w:val="auto"/>
                <w:sz w:val="21"/>
                <w:szCs w:val="21"/>
                <w:highlight w:val="none"/>
              </w:rPr>
              <w:t>2</w:t>
            </w:r>
          </w:p>
        </w:tc>
        <w:tc>
          <w:tcPr>
            <w:tcW w:w="1276" w:type="dxa"/>
            <w:vMerge w:val="restart"/>
            <w:tcBorders>
              <w:top w:val="nil"/>
              <w:left w:val="single" w:color="auto" w:sz="4" w:space="0"/>
              <w:bottom w:val="single" w:color="000000"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2023/</w:t>
            </w:r>
            <w:r>
              <w:rPr>
                <w:rFonts w:ascii="楷体" w:hAnsi="楷体" w:eastAsia="楷体" w:cs="宋体"/>
                <w:color w:val="auto"/>
                <w:sz w:val="21"/>
                <w:szCs w:val="21"/>
                <w:highlight w:val="none"/>
              </w:rPr>
              <w:t>7</w:t>
            </w:r>
            <w:r>
              <w:rPr>
                <w:rFonts w:hint="eastAsia" w:ascii="楷体" w:hAnsi="楷体" w:eastAsia="楷体" w:cs="宋体"/>
                <w:color w:val="auto"/>
                <w:sz w:val="21"/>
                <w:szCs w:val="21"/>
                <w:highlight w:val="none"/>
              </w:rPr>
              <w:t>/</w:t>
            </w:r>
            <w:r>
              <w:rPr>
                <w:rFonts w:ascii="楷体" w:hAnsi="楷体" w:eastAsia="楷体" w:cs="宋体"/>
                <w:color w:val="auto"/>
                <w:sz w:val="21"/>
                <w:szCs w:val="21"/>
                <w:highlight w:val="none"/>
              </w:rPr>
              <w:t>1</w:t>
            </w:r>
          </w:p>
        </w:tc>
        <w:tc>
          <w:tcPr>
            <w:tcW w:w="1418" w:type="dxa"/>
            <w:tcBorders>
              <w:top w:val="nil"/>
              <w:left w:val="single" w:color="auto" w:sz="4" w:space="0"/>
              <w:bottom w:val="single" w:color="000000"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2023/</w:t>
            </w:r>
            <w:r>
              <w:rPr>
                <w:rFonts w:ascii="楷体" w:hAnsi="楷体" w:eastAsia="楷体" w:cs="宋体"/>
                <w:color w:val="auto"/>
                <w:sz w:val="21"/>
                <w:szCs w:val="21"/>
                <w:highlight w:val="none"/>
              </w:rPr>
              <w:t>8</w:t>
            </w:r>
            <w:r>
              <w:rPr>
                <w:rFonts w:hint="eastAsia" w:ascii="楷体" w:hAnsi="楷体" w:eastAsia="楷体" w:cs="宋体"/>
                <w:color w:val="auto"/>
                <w:sz w:val="21"/>
                <w:szCs w:val="21"/>
                <w:highlight w:val="none"/>
              </w:rPr>
              <w:t>/</w:t>
            </w:r>
            <w:r>
              <w:rPr>
                <w:rFonts w:ascii="楷体" w:hAnsi="楷体" w:eastAsia="楷体" w:cs="宋体"/>
                <w:color w:val="auto"/>
                <w:sz w:val="21"/>
                <w:szCs w:val="21"/>
                <w:highlight w:val="none"/>
              </w:rPr>
              <w:t>20</w:t>
            </w:r>
          </w:p>
        </w:tc>
        <w:tc>
          <w:tcPr>
            <w:tcW w:w="1417" w:type="dxa"/>
            <w:vMerge w:val="restart"/>
            <w:tcBorders>
              <w:top w:val="nil"/>
              <w:left w:val="single" w:color="auto" w:sz="4" w:space="0"/>
              <w:bottom w:val="single" w:color="000000"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2"/>
                <w:szCs w:val="22"/>
                <w:highlight w:val="none"/>
              </w:rPr>
            </w:pPr>
            <w:r>
              <w:rPr>
                <w:rFonts w:hint="eastAsia" w:ascii="楷体" w:hAnsi="楷体" w:eastAsia="楷体" w:cs="宋体"/>
                <w:color w:val="auto"/>
                <w:sz w:val="22"/>
                <w:szCs w:val="22"/>
                <w:highlight w:val="none"/>
              </w:rPr>
              <w:t>　首开区为甲方营销示范区临时用梯。</w:t>
            </w:r>
          </w:p>
          <w:p>
            <w:pPr>
              <w:widowControl/>
              <w:autoSpaceDE/>
              <w:autoSpaceDN/>
              <w:adjustRightInd/>
              <w:jc w:val="center"/>
              <w:rPr>
                <w:rFonts w:ascii="楷体" w:hAnsi="楷体" w:eastAsia="楷体" w:cs="宋体"/>
                <w:color w:val="auto"/>
                <w:sz w:val="22"/>
                <w:szCs w:val="22"/>
                <w:highlight w:val="none"/>
              </w:rPr>
            </w:pPr>
            <w:r>
              <w:rPr>
                <w:rFonts w:hint="eastAsia" w:ascii="楷体" w:hAnsi="楷体" w:eastAsia="楷体" w:cs="宋体"/>
                <w:color w:val="auto"/>
                <w:sz w:val="22"/>
                <w:szCs w:val="22"/>
                <w:highlight w:val="none"/>
              </w:rPr>
              <w:t>具体开工时间以甲方书面通知为准</w:t>
            </w:r>
          </w:p>
        </w:tc>
      </w:tr>
      <w:tr>
        <w:tblPrEx>
          <w:tblLayout w:type="fixed"/>
          <w:tblCellMar>
            <w:top w:w="0" w:type="dxa"/>
            <w:left w:w="108" w:type="dxa"/>
            <w:bottom w:w="0" w:type="dxa"/>
            <w:right w:w="108" w:type="dxa"/>
          </w:tblCellMar>
        </w:tblPrEx>
        <w:trPr>
          <w:trHeight w:val="285"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4"/>
                <w:szCs w:val="24"/>
                <w:highlight w:val="none"/>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418"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A8</w:t>
            </w:r>
          </w:p>
        </w:tc>
        <w:tc>
          <w:tcPr>
            <w:tcW w:w="850"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418"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2023/7/</w:t>
            </w:r>
            <w:r>
              <w:rPr>
                <w:rFonts w:ascii="楷体" w:hAnsi="楷体" w:eastAsia="楷体" w:cs="宋体"/>
                <w:color w:val="auto"/>
                <w:sz w:val="21"/>
                <w:szCs w:val="21"/>
                <w:highlight w:val="none"/>
              </w:rPr>
              <w:t>30</w:t>
            </w:r>
          </w:p>
        </w:tc>
        <w:tc>
          <w:tcPr>
            <w:tcW w:w="1417"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2"/>
                <w:szCs w:val="22"/>
                <w:highlight w:val="none"/>
              </w:rPr>
            </w:pPr>
          </w:p>
        </w:tc>
      </w:tr>
      <w:tr>
        <w:tblPrEx>
          <w:tblLayout w:type="fixed"/>
          <w:tblCellMar>
            <w:top w:w="0" w:type="dxa"/>
            <w:left w:w="108" w:type="dxa"/>
            <w:bottom w:w="0" w:type="dxa"/>
            <w:right w:w="108" w:type="dxa"/>
          </w:tblCellMar>
        </w:tblPrEx>
        <w:trPr>
          <w:trHeight w:val="285"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4"/>
                <w:szCs w:val="24"/>
                <w:highlight w:val="none"/>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二开区</w:t>
            </w:r>
          </w:p>
        </w:tc>
        <w:tc>
          <w:tcPr>
            <w:tcW w:w="1559"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A7</w:t>
            </w:r>
          </w:p>
        </w:tc>
        <w:tc>
          <w:tcPr>
            <w:tcW w:w="850" w:type="dxa"/>
            <w:vMerge w:val="restart"/>
            <w:tcBorders>
              <w:top w:val="nil"/>
              <w:left w:val="single" w:color="auto" w:sz="4" w:space="0"/>
              <w:bottom w:val="single" w:color="000000"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3</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2023/12/30</w:t>
            </w: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2024/5/1</w:t>
            </w:r>
          </w:p>
        </w:tc>
        <w:tc>
          <w:tcPr>
            <w:tcW w:w="1417"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2"/>
                <w:szCs w:val="22"/>
                <w:highlight w:val="none"/>
              </w:rPr>
            </w:pPr>
          </w:p>
        </w:tc>
      </w:tr>
      <w:tr>
        <w:tblPrEx>
          <w:tblLayout w:type="fixed"/>
          <w:tblCellMar>
            <w:top w:w="0" w:type="dxa"/>
            <w:left w:w="108" w:type="dxa"/>
            <w:bottom w:w="0" w:type="dxa"/>
            <w:right w:w="108" w:type="dxa"/>
          </w:tblCellMar>
        </w:tblPrEx>
        <w:trPr>
          <w:trHeight w:val="285"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4"/>
                <w:szCs w:val="24"/>
                <w:highlight w:val="none"/>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418"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559"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B1</w:t>
            </w:r>
          </w:p>
        </w:tc>
        <w:tc>
          <w:tcPr>
            <w:tcW w:w="850"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418"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417"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2"/>
                <w:szCs w:val="22"/>
                <w:highlight w:val="none"/>
              </w:rPr>
            </w:pPr>
          </w:p>
        </w:tc>
      </w:tr>
      <w:tr>
        <w:tblPrEx>
          <w:tblLayout w:type="fixed"/>
          <w:tblCellMar>
            <w:top w:w="0" w:type="dxa"/>
            <w:left w:w="108" w:type="dxa"/>
            <w:bottom w:w="0" w:type="dxa"/>
            <w:right w:w="108" w:type="dxa"/>
          </w:tblCellMar>
        </w:tblPrEx>
        <w:trPr>
          <w:trHeight w:val="285"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4"/>
                <w:szCs w:val="24"/>
                <w:highlight w:val="none"/>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三开区</w:t>
            </w:r>
          </w:p>
        </w:tc>
        <w:tc>
          <w:tcPr>
            <w:tcW w:w="1559"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A1</w:t>
            </w:r>
          </w:p>
        </w:tc>
        <w:tc>
          <w:tcPr>
            <w:tcW w:w="850" w:type="dxa"/>
            <w:vMerge w:val="restart"/>
            <w:tcBorders>
              <w:top w:val="nil"/>
              <w:left w:val="single" w:color="auto" w:sz="4" w:space="0"/>
              <w:bottom w:val="single" w:color="000000"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6</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2024/4/30</w:t>
            </w: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2024/8/1</w:t>
            </w:r>
          </w:p>
        </w:tc>
        <w:tc>
          <w:tcPr>
            <w:tcW w:w="1417"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2"/>
                <w:szCs w:val="22"/>
                <w:highlight w:val="none"/>
              </w:rPr>
            </w:pPr>
          </w:p>
        </w:tc>
      </w:tr>
      <w:tr>
        <w:tblPrEx>
          <w:tblLayout w:type="fixed"/>
          <w:tblCellMar>
            <w:top w:w="0" w:type="dxa"/>
            <w:left w:w="108" w:type="dxa"/>
            <w:bottom w:w="0" w:type="dxa"/>
            <w:right w:w="108" w:type="dxa"/>
          </w:tblCellMar>
        </w:tblPrEx>
        <w:trPr>
          <w:trHeight w:val="285"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4"/>
                <w:szCs w:val="24"/>
                <w:highlight w:val="none"/>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418"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559"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A2</w:t>
            </w:r>
          </w:p>
        </w:tc>
        <w:tc>
          <w:tcPr>
            <w:tcW w:w="850"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418"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417"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2"/>
                <w:szCs w:val="22"/>
                <w:highlight w:val="none"/>
              </w:rPr>
            </w:pPr>
          </w:p>
        </w:tc>
      </w:tr>
      <w:tr>
        <w:tblPrEx>
          <w:tblLayout w:type="fixed"/>
          <w:tblCellMar>
            <w:top w:w="0" w:type="dxa"/>
            <w:left w:w="108" w:type="dxa"/>
            <w:bottom w:w="0" w:type="dxa"/>
            <w:right w:w="108" w:type="dxa"/>
          </w:tblCellMar>
        </w:tblPrEx>
        <w:trPr>
          <w:trHeight w:val="285"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4"/>
                <w:szCs w:val="24"/>
                <w:highlight w:val="none"/>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418"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559"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B2</w:t>
            </w:r>
          </w:p>
        </w:tc>
        <w:tc>
          <w:tcPr>
            <w:tcW w:w="850"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418"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417"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2"/>
                <w:szCs w:val="22"/>
                <w:highlight w:val="none"/>
              </w:rPr>
            </w:pPr>
          </w:p>
        </w:tc>
      </w:tr>
      <w:tr>
        <w:tblPrEx>
          <w:tblLayout w:type="fixed"/>
          <w:tblCellMar>
            <w:top w:w="0" w:type="dxa"/>
            <w:left w:w="108" w:type="dxa"/>
            <w:bottom w:w="0" w:type="dxa"/>
            <w:right w:w="108" w:type="dxa"/>
          </w:tblCellMar>
        </w:tblPrEx>
        <w:trPr>
          <w:trHeight w:val="285"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4"/>
                <w:szCs w:val="24"/>
                <w:highlight w:val="none"/>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41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adjustRightInd/>
              <w:jc w:val="center"/>
              <w:rPr>
                <w:rFonts w:ascii="等线" w:hAnsi="等线" w:eastAsia="等线" w:cs="宋体"/>
                <w:color w:val="auto"/>
                <w:sz w:val="22"/>
                <w:szCs w:val="22"/>
                <w:highlight w:val="none"/>
              </w:rPr>
            </w:pPr>
            <w:r>
              <w:rPr>
                <w:rFonts w:hint="eastAsia" w:ascii="等线" w:hAnsi="等线" w:eastAsia="等线" w:cs="宋体"/>
                <w:color w:val="auto"/>
                <w:sz w:val="22"/>
                <w:szCs w:val="22"/>
                <w:highlight w:val="none"/>
              </w:rPr>
              <w:t>四开区</w:t>
            </w:r>
          </w:p>
        </w:tc>
        <w:tc>
          <w:tcPr>
            <w:tcW w:w="1559"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A3</w:t>
            </w:r>
          </w:p>
        </w:tc>
        <w:tc>
          <w:tcPr>
            <w:tcW w:w="850" w:type="dxa"/>
            <w:vMerge w:val="restart"/>
            <w:tcBorders>
              <w:top w:val="nil"/>
              <w:left w:val="single" w:color="auto" w:sz="4" w:space="0"/>
              <w:bottom w:val="single" w:color="000000"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13</w:t>
            </w:r>
          </w:p>
        </w:tc>
        <w:tc>
          <w:tcPr>
            <w:tcW w:w="127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utoSpaceDE/>
              <w:autoSpaceDN/>
              <w:adjustRightInd/>
              <w:jc w:val="center"/>
              <w:rPr>
                <w:rFonts w:ascii="等线" w:hAnsi="等线" w:eastAsia="等线" w:cs="宋体"/>
                <w:color w:val="auto"/>
                <w:sz w:val="22"/>
                <w:szCs w:val="22"/>
                <w:highlight w:val="none"/>
              </w:rPr>
            </w:pPr>
            <w:r>
              <w:rPr>
                <w:rFonts w:hint="eastAsia" w:ascii="等线" w:hAnsi="等线" w:eastAsia="等线" w:cs="宋体"/>
                <w:color w:val="auto"/>
                <w:sz w:val="22"/>
                <w:szCs w:val="22"/>
                <w:highlight w:val="none"/>
              </w:rPr>
              <w:t>2025/2/28</w:t>
            </w:r>
          </w:p>
        </w:tc>
        <w:tc>
          <w:tcPr>
            <w:tcW w:w="141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utoSpaceDE/>
              <w:autoSpaceDN/>
              <w:adjustRightInd/>
              <w:jc w:val="center"/>
              <w:rPr>
                <w:rFonts w:ascii="等线" w:hAnsi="等线" w:eastAsia="等线" w:cs="宋体"/>
                <w:color w:val="auto"/>
                <w:sz w:val="22"/>
                <w:szCs w:val="22"/>
                <w:highlight w:val="none"/>
              </w:rPr>
            </w:pPr>
            <w:r>
              <w:rPr>
                <w:rFonts w:hint="eastAsia" w:ascii="等线" w:hAnsi="等线" w:eastAsia="等线" w:cs="宋体"/>
                <w:color w:val="auto"/>
                <w:sz w:val="22"/>
                <w:szCs w:val="22"/>
                <w:highlight w:val="none"/>
              </w:rPr>
              <w:t>2025/6/1</w:t>
            </w:r>
          </w:p>
        </w:tc>
        <w:tc>
          <w:tcPr>
            <w:tcW w:w="1417"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2"/>
                <w:szCs w:val="22"/>
                <w:highlight w:val="none"/>
              </w:rPr>
            </w:pPr>
          </w:p>
        </w:tc>
      </w:tr>
      <w:tr>
        <w:tblPrEx>
          <w:tblLayout w:type="fixed"/>
          <w:tblCellMar>
            <w:top w:w="0" w:type="dxa"/>
            <w:left w:w="108" w:type="dxa"/>
            <w:bottom w:w="0" w:type="dxa"/>
            <w:right w:w="108" w:type="dxa"/>
          </w:tblCellMar>
        </w:tblPrEx>
        <w:trPr>
          <w:trHeight w:val="285"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4"/>
                <w:szCs w:val="24"/>
                <w:highlight w:val="none"/>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418"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等线" w:hAnsi="等线" w:eastAsia="等线" w:cs="宋体"/>
                <w:color w:val="auto"/>
                <w:sz w:val="22"/>
                <w:szCs w:val="22"/>
                <w:highlight w:val="none"/>
              </w:rPr>
            </w:pPr>
          </w:p>
        </w:tc>
        <w:tc>
          <w:tcPr>
            <w:tcW w:w="1559"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A4</w:t>
            </w:r>
          </w:p>
        </w:tc>
        <w:tc>
          <w:tcPr>
            <w:tcW w:w="850"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等线" w:hAnsi="等线" w:eastAsia="等线" w:cs="宋体"/>
                <w:color w:val="auto"/>
                <w:sz w:val="22"/>
                <w:szCs w:val="22"/>
                <w:highlight w:val="none"/>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等线" w:hAnsi="等线" w:eastAsia="等线" w:cs="宋体"/>
                <w:color w:val="auto"/>
                <w:sz w:val="22"/>
                <w:szCs w:val="22"/>
                <w:highlight w:val="none"/>
              </w:rPr>
            </w:pPr>
          </w:p>
        </w:tc>
        <w:tc>
          <w:tcPr>
            <w:tcW w:w="1417"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2"/>
                <w:szCs w:val="22"/>
                <w:highlight w:val="none"/>
              </w:rPr>
            </w:pPr>
          </w:p>
        </w:tc>
      </w:tr>
      <w:tr>
        <w:tblPrEx>
          <w:tblLayout w:type="fixed"/>
          <w:tblCellMar>
            <w:top w:w="0" w:type="dxa"/>
            <w:left w:w="108" w:type="dxa"/>
            <w:bottom w:w="0" w:type="dxa"/>
            <w:right w:w="108" w:type="dxa"/>
          </w:tblCellMar>
        </w:tblPrEx>
        <w:trPr>
          <w:trHeight w:val="285"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4"/>
                <w:szCs w:val="24"/>
                <w:highlight w:val="none"/>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418"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等线" w:hAnsi="等线" w:eastAsia="等线" w:cs="宋体"/>
                <w:color w:val="auto"/>
                <w:sz w:val="22"/>
                <w:szCs w:val="22"/>
                <w:highlight w:val="none"/>
              </w:rPr>
            </w:pPr>
          </w:p>
        </w:tc>
        <w:tc>
          <w:tcPr>
            <w:tcW w:w="1559"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A5</w:t>
            </w:r>
          </w:p>
        </w:tc>
        <w:tc>
          <w:tcPr>
            <w:tcW w:w="850"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等线" w:hAnsi="等线" w:eastAsia="等线" w:cs="宋体"/>
                <w:color w:val="auto"/>
                <w:sz w:val="22"/>
                <w:szCs w:val="22"/>
                <w:highlight w:val="none"/>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等线" w:hAnsi="等线" w:eastAsia="等线" w:cs="宋体"/>
                <w:color w:val="auto"/>
                <w:sz w:val="22"/>
                <w:szCs w:val="22"/>
                <w:highlight w:val="none"/>
              </w:rPr>
            </w:pPr>
          </w:p>
        </w:tc>
        <w:tc>
          <w:tcPr>
            <w:tcW w:w="1417"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2"/>
                <w:szCs w:val="22"/>
                <w:highlight w:val="none"/>
              </w:rPr>
            </w:pPr>
          </w:p>
        </w:tc>
      </w:tr>
      <w:tr>
        <w:tblPrEx>
          <w:tblLayout w:type="fixed"/>
          <w:tblCellMar>
            <w:top w:w="0" w:type="dxa"/>
            <w:left w:w="108" w:type="dxa"/>
            <w:bottom w:w="0" w:type="dxa"/>
            <w:right w:w="108" w:type="dxa"/>
          </w:tblCellMar>
        </w:tblPrEx>
        <w:trPr>
          <w:trHeight w:val="285"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4"/>
                <w:szCs w:val="24"/>
                <w:highlight w:val="none"/>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418"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等线" w:hAnsi="等线" w:eastAsia="等线" w:cs="宋体"/>
                <w:color w:val="auto"/>
                <w:sz w:val="22"/>
                <w:szCs w:val="22"/>
                <w:highlight w:val="none"/>
              </w:rPr>
            </w:pPr>
          </w:p>
        </w:tc>
        <w:tc>
          <w:tcPr>
            <w:tcW w:w="1559"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A6</w:t>
            </w:r>
          </w:p>
        </w:tc>
        <w:tc>
          <w:tcPr>
            <w:tcW w:w="850"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等线" w:hAnsi="等线" w:eastAsia="等线" w:cs="宋体"/>
                <w:color w:val="auto"/>
                <w:sz w:val="22"/>
                <w:szCs w:val="22"/>
                <w:highlight w:val="none"/>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等线" w:hAnsi="等线" w:eastAsia="等线" w:cs="宋体"/>
                <w:color w:val="auto"/>
                <w:sz w:val="22"/>
                <w:szCs w:val="22"/>
                <w:highlight w:val="none"/>
              </w:rPr>
            </w:pPr>
          </w:p>
        </w:tc>
        <w:tc>
          <w:tcPr>
            <w:tcW w:w="1417"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2"/>
                <w:szCs w:val="22"/>
                <w:highlight w:val="none"/>
              </w:rPr>
            </w:pPr>
          </w:p>
        </w:tc>
      </w:tr>
    </w:tbl>
    <w:p>
      <w:pPr>
        <w:pStyle w:val="30"/>
        <w:spacing w:before="231" w:line="240" w:lineRule="auto"/>
        <w:ind w:left="425"/>
        <w:rPr>
          <w:rFonts w:ascii="楷体" w:hAnsi="楷体" w:eastAsia="楷体"/>
          <w:color w:val="auto"/>
          <w:highlight w:val="none"/>
        </w:rPr>
      </w:pPr>
      <w:r>
        <w:rPr>
          <w:rFonts w:hint="eastAsia"/>
          <w:color w:val="auto"/>
          <w:highlight w:val="none"/>
        </w:rPr>
        <w:t>乙方保证在本合同生效且在电梯设备到货后</w:t>
      </w:r>
      <w:r>
        <w:rPr>
          <w:color w:val="auto"/>
          <w:highlight w:val="none"/>
          <w:u w:val="single"/>
        </w:rPr>
        <w:t xml:space="preserve"> </w:t>
      </w:r>
      <w:r>
        <w:rPr>
          <w:color w:val="auto"/>
          <w:highlight w:val="none"/>
          <w:u w:val="single"/>
        </w:rPr>
        <w:t xml:space="preserve">60 </w:t>
      </w:r>
      <w:r>
        <w:rPr>
          <w:rFonts w:hint="eastAsia"/>
          <w:color w:val="auto"/>
          <w:highlight w:val="none"/>
        </w:rPr>
        <w:t>个日历天内完成全部电梯设备的安装调试（电梯如分批到货，则第一批垂直电梯到货后须在</w:t>
      </w:r>
      <w:r>
        <w:rPr>
          <w:color w:val="auto"/>
          <w:highlight w:val="none"/>
        </w:rPr>
        <w:t>60</w:t>
      </w:r>
      <w:r>
        <w:rPr>
          <w:rFonts w:hint="eastAsia"/>
          <w:color w:val="auto"/>
          <w:highlight w:val="none"/>
        </w:rPr>
        <w:t>个日历天内完成安装调试，具体发货时间以甲方通知为准；其余批次垂直电梯到货后须在【6</w:t>
      </w:r>
      <w:r>
        <w:rPr>
          <w:color w:val="auto"/>
          <w:highlight w:val="none"/>
        </w:rPr>
        <w:t>0</w:t>
      </w:r>
      <w:r>
        <w:rPr>
          <w:rFonts w:hint="eastAsia"/>
          <w:color w:val="auto"/>
          <w:highlight w:val="none"/>
        </w:rPr>
        <w:t>】个日历天内完成安装调试，具体发货时间以甲方通知为准），报相关政府主管部门进行验收，并取得有资质的电梯检测检验机构或政府主管部门颁发的电梯检验合格报告书、安全检验合格证和电梯设备使用登记证。同时，乙方应在总承包工程竣工验收合格前取得本合同项下所有电梯设备的检验合格报告书、安全检验合格证和电梯设备使用登记证。</w:t>
      </w:r>
    </w:p>
    <w:p>
      <w:pPr>
        <w:pStyle w:val="30"/>
        <w:spacing w:before="231"/>
        <w:ind w:left="517" w:leftChars="152"/>
        <w:rPr>
          <w:color w:val="auto"/>
          <w:highlight w:val="none"/>
        </w:rPr>
      </w:pPr>
      <w:r>
        <w:rPr>
          <w:rFonts w:hint="eastAsia"/>
          <w:color w:val="auto"/>
          <w:highlight w:val="none"/>
        </w:rPr>
        <w:t>如收到整改要求，若该整改属于乙方原因，乙方确保在收到整改要求后按照甲方规定期限内整改完成。同时须负责因上述原因引起的一切费用、损失及延长工期时间的赔偿责任。</w:t>
      </w:r>
    </w:p>
    <w:p>
      <w:pPr>
        <w:pStyle w:val="30"/>
        <w:numPr>
          <w:ilvl w:val="1"/>
          <w:numId w:val="2"/>
        </w:numPr>
        <w:spacing w:before="231"/>
        <w:rPr>
          <w:color w:val="auto"/>
          <w:highlight w:val="none"/>
        </w:rPr>
      </w:pPr>
      <w:r>
        <w:rPr>
          <w:rFonts w:hint="eastAsia"/>
          <w:color w:val="auto"/>
          <w:highlight w:val="none"/>
        </w:rPr>
        <w:t>电梯设备安装工期必须满足总包工程进度及工程总进度要求，若需要随总包的工程进度作调整的，具体安装开始时间或安装过程中的时间调整以甲方发出的书面通知为准，安装工期作相应的顺延调整，但总承包工程的总工期不变，乙方必须无条件配合且不调整合同价款、也不得提出任何索赔或增加任何费用。若本工程因</w:t>
      </w:r>
      <w:r>
        <w:rPr>
          <w:rFonts w:hint="eastAsia" w:hAnsi="宋体"/>
          <w:color w:val="auto"/>
          <w:szCs w:val="24"/>
          <w:highlight w:val="none"/>
        </w:rPr>
        <w:t>总包</w:t>
      </w:r>
      <w:r>
        <w:rPr>
          <w:rFonts w:hint="eastAsia"/>
          <w:color w:val="auto"/>
          <w:highlight w:val="none"/>
        </w:rPr>
        <w:t>责任而有可能延误时，乙方或会被指示先完成某部分工程。乙方于接到指示后，应遵从指示完成指定部分及所余下工程，所延误工期根据实际延长时间而顺延，乙方不得提出其他任何索赔或增加任何费用。</w:t>
      </w:r>
    </w:p>
    <w:p>
      <w:pPr>
        <w:pStyle w:val="30"/>
        <w:numPr>
          <w:ilvl w:val="1"/>
          <w:numId w:val="2"/>
        </w:numPr>
        <w:spacing w:before="231"/>
        <w:rPr>
          <w:color w:val="auto"/>
          <w:highlight w:val="none"/>
        </w:rPr>
      </w:pPr>
      <w:r>
        <w:rPr>
          <w:rFonts w:hint="eastAsia"/>
          <w:color w:val="auto"/>
          <w:highlight w:val="none"/>
        </w:rPr>
        <w:t>如果甲方或监理单位认为本合同工程进度过慢，可能不能按预定的工期竣工时，监理单位经甲方同意后可以要求乙方采取加快进度的措施，以使工程能在预定的工期内竣工。因此发生的费用已包含在合同总价内，乙方不能据此要求增加任何费用。</w:t>
      </w:r>
    </w:p>
    <w:p>
      <w:pPr>
        <w:pStyle w:val="30"/>
        <w:numPr>
          <w:ilvl w:val="1"/>
          <w:numId w:val="2"/>
        </w:numPr>
        <w:spacing w:before="231"/>
        <w:rPr>
          <w:color w:val="auto"/>
          <w:highlight w:val="none"/>
        </w:rPr>
      </w:pPr>
      <w:r>
        <w:rPr>
          <w:rFonts w:hint="eastAsia"/>
          <w:color w:val="auto"/>
          <w:highlight w:val="none"/>
        </w:rPr>
        <w:t>若本工程进度受阻时，乙方应立刻书面通知甲方并说明本工程或其中部分工程进度受阻的原因。若甲方收到上述通知后，认为工程进度受阻原因是由于甲方、总包或其他施工单位引起的，则甲方与乙方根据实际情况进行磋商，甲方最终书面同意适当延长乙方工期的，合同价款不作任何调整，乙方也不得提出任何索赔或增加任何费用。</w:t>
      </w:r>
    </w:p>
    <w:p>
      <w:pPr>
        <w:pStyle w:val="29"/>
        <w:numPr>
          <w:ilvl w:val="0"/>
          <w:numId w:val="2"/>
        </w:numPr>
        <w:spacing w:before="231" w:beforeLines="50"/>
        <w:ind w:left="351" w:hanging="351" w:hangingChars="125"/>
        <w:rPr>
          <w:color w:val="auto"/>
          <w:highlight w:val="none"/>
        </w:rPr>
      </w:pPr>
      <w:bookmarkStart w:id="3" w:name="_Toc529972316"/>
      <w:r>
        <w:rPr>
          <w:rFonts w:hint="eastAsia"/>
          <w:color w:val="auto"/>
          <w:highlight w:val="none"/>
        </w:rPr>
        <w:t>合同价款</w:t>
      </w:r>
      <w:bookmarkEnd w:id="3"/>
    </w:p>
    <w:p>
      <w:pPr>
        <w:pStyle w:val="30"/>
        <w:numPr>
          <w:ilvl w:val="1"/>
          <w:numId w:val="2"/>
        </w:numPr>
        <w:spacing w:before="231"/>
        <w:rPr>
          <w:rFonts w:hAnsi="宋体"/>
          <w:color w:val="auto"/>
          <w:szCs w:val="24"/>
          <w:highlight w:val="none"/>
        </w:rPr>
      </w:pPr>
      <w:r>
        <w:rPr>
          <w:rFonts w:hint="eastAsia"/>
          <w:color w:val="auto"/>
          <w:highlight w:val="none"/>
        </w:rPr>
        <w:t>签约合同价格暂定为￥    元，大写：人民币    其中不含税签约合同价格为￥   元，税费为￥   元，税率为     %（详附件3：佛山季华项目电梯安装报价明细清单）。签约</w:t>
      </w:r>
      <w:r>
        <w:rPr>
          <w:rFonts w:hint="eastAsia" w:hAnsi="宋体"/>
          <w:color w:val="auto"/>
          <w:szCs w:val="24"/>
          <w:highlight w:val="none"/>
        </w:rPr>
        <w:t>合同价格包括但不限于：安装人工费、管理费、安装耗材费、机械设备使用费、培训费、测试调试费、报装报验费（包括政府有关部门、甲方、乙方提出并经甲方书面同意的有资质的电梯检测机构的检验测试）、施工措施费、赶工费、保修费用、电梯提前使用费（包括电梯提前使用的维修、维保费用等）、其他工程费用、规费、税费、劳保基金、利润等从电梯安装到验收符合合同要求、交付发包人合法使用、保修期内所需的产品、其零部件及服务等的全部费用。</w:t>
      </w:r>
      <w:r>
        <w:rPr>
          <w:rFonts w:hint="eastAsia"/>
          <w:color w:val="auto"/>
          <w:highlight w:val="none"/>
        </w:rPr>
        <w:t>一切有关本工程及与本工程有关的一切配合，衔接、返工、修复、遗漏等工程费用，亦被视为已包括在合同价内。本合同按综合单价包干不调整，按经发包人确认的数量结算。</w:t>
      </w:r>
    </w:p>
    <w:p>
      <w:pPr>
        <w:pStyle w:val="30"/>
        <w:numPr>
          <w:ilvl w:val="1"/>
          <w:numId w:val="2"/>
        </w:numPr>
        <w:spacing w:before="231"/>
        <w:rPr>
          <w:color w:val="auto"/>
          <w:highlight w:val="none"/>
        </w:rPr>
      </w:pPr>
      <w:r>
        <w:rPr>
          <w:rFonts w:hint="eastAsia"/>
          <w:color w:val="auto"/>
          <w:highlight w:val="none"/>
        </w:rPr>
        <w:t>合同总价已包括所有为完成本工程所必需的费用，不论有关工程是否在规范、图纸或本合同里有无特别说明。</w:t>
      </w:r>
    </w:p>
    <w:p>
      <w:pPr>
        <w:pStyle w:val="30"/>
        <w:numPr>
          <w:ilvl w:val="1"/>
          <w:numId w:val="2"/>
        </w:numPr>
        <w:spacing w:before="231"/>
        <w:rPr>
          <w:color w:val="auto"/>
          <w:highlight w:val="none"/>
        </w:rPr>
      </w:pPr>
      <w:r>
        <w:rPr>
          <w:rFonts w:hint="eastAsia"/>
          <w:color w:val="auto"/>
          <w:highlight w:val="none"/>
        </w:rPr>
        <w:t>各批次电梯安装价款、计算标准及计算方法，详见附件一。</w:t>
      </w:r>
    </w:p>
    <w:p>
      <w:pPr>
        <w:pStyle w:val="30"/>
        <w:numPr>
          <w:ilvl w:val="1"/>
          <w:numId w:val="2"/>
        </w:numPr>
        <w:spacing w:before="231"/>
        <w:rPr>
          <w:color w:val="auto"/>
          <w:highlight w:val="none"/>
        </w:rPr>
      </w:pPr>
      <w:r>
        <w:rPr>
          <w:rFonts w:hint="eastAsia"/>
          <w:color w:val="auto"/>
          <w:highlight w:val="none"/>
        </w:rPr>
        <w:t>乙方须对报价的错误估计所导致的损失负责。</w:t>
      </w:r>
    </w:p>
    <w:p>
      <w:pPr>
        <w:pStyle w:val="30"/>
        <w:numPr>
          <w:ilvl w:val="1"/>
          <w:numId w:val="2"/>
        </w:numPr>
        <w:spacing w:before="231"/>
        <w:rPr>
          <w:color w:val="auto"/>
          <w:highlight w:val="none"/>
        </w:rPr>
      </w:pPr>
      <w:r>
        <w:rPr>
          <w:rFonts w:hint="eastAsia"/>
          <w:color w:val="auto"/>
          <w:highlight w:val="none"/>
        </w:rPr>
        <w:t>乙方须注意本工程招标图纸及规范绘示及说明中的基本设计概念，在合同总价中已包括所有为完成整个本工程的全部费用。因乙方原因造成的工程质量不及格或不符合规范/图纸的要求，所产生的费用均由乙方负完全责任，与甲方无关。工期不因乙方返工而顺延。</w:t>
      </w:r>
    </w:p>
    <w:p>
      <w:pPr>
        <w:pStyle w:val="30"/>
        <w:numPr>
          <w:ilvl w:val="1"/>
          <w:numId w:val="2"/>
        </w:numPr>
        <w:spacing w:before="231"/>
        <w:rPr>
          <w:color w:val="auto"/>
          <w:highlight w:val="none"/>
        </w:rPr>
      </w:pPr>
      <w:r>
        <w:rPr>
          <w:rFonts w:hint="eastAsia"/>
          <w:color w:val="auto"/>
          <w:highlight w:val="none"/>
        </w:rPr>
        <w:t>因设计变更、</w:t>
      </w:r>
      <w:r>
        <w:rPr>
          <w:rFonts w:hint="eastAsia"/>
          <w:color w:val="auto"/>
          <w:szCs w:val="22"/>
          <w:highlight w:val="none"/>
        </w:rPr>
        <w:t>电梯数量增减、</w:t>
      </w:r>
      <w:r>
        <w:rPr>
          <w:rFonts w:hint="eastAsia"/>
          <w:color w:val="auto"/>
          <w:highlight w:val="none"/>
        </w:rPr>
        <w:t>甲方单方面增减工程量而引起的工程量增减，如本合同工程量清单中有相同适用项目的，则采用该项目综合单价；合同工程量清单中无相同适用项目的，则采用类似适用项目综合单价。如不属于本合同工程综合单价范围内的工程内容的，双方参照经甲方合理确定的市场公允价格。</w:t>
      </w:r>
    </w:p>
    <w:p>
      <w:pPr>
        <w:pStyle w:val="30"/>
        <w:numPr>
          <w:ilvl w:val="1"/>
          <w:numId w:val="2"/>
        </w:numPr>
        <w:spacing w:before="231"/>
        <w:rPr>
          <w:color w:val="auto"/>
          <w:highlight w:val="none"/>
        </w:rPr>
      </w:pPr>
      <w:r>
        <w:rPr>
          <w:rFonts w:hint="eastAsia"/>
          <w:color w:val="auto"/>
          <w:highlight w:val="none"/>
        </w:rPr>
        <w:t>若遇政策性调整增值税税率的，乙方提供增值税专用发票的增值税税率按当期国家税务总局政策性调整后的增值税税率执行；甲方按当次应付金额对应的不含增值税价款及调整后的增值税税率计算的增值税税费进行支付。</w:t>
      </w:r>
    </w:p>
    <w:p>
      <w:pPr>
        <w:pStyle w:val="30"/>
        <w:numPr>
          <w:ilvl w:val="1"/>
          <w:numId w:val="2"/>
        </w:numPr>
        <w:spacing w:before="231"/>
        <w:rPr>
          <w:color w:val="auto"/>
          <w:highlight w:val="none"/>
        </w:rPr>
      </w:pPr>
      <w:r>
        <w:rPr>
          <w:rFonts w:hint="eastAsia"/>
          <w:color w:val="auto"/>
          <w:highlight w:val="none"/>
        </w:rPr>
        <w:t>相对应的总承包配合服务费由甲方统一向总包支付。乙方无需再向总包支付总承包服务费。</w:t>
      </w:r>
    </w:p>
    <w:p>
      <w:pPr>
        <w:pStyle w:val="29"/>
        <w:numPr>
          <w:ilvl w:val="0"/>
          <w:numId w:val="2"/>
        </w:numPr>
        <w:spacing w:before="231" w:beforeLines="50"/>
        <w:ind w:left="351" w:hanging="351" w:hangingChars="125"/>
        <w:rPr>
          <w:color w:val="auto"/>
          <w:highlight w:val="none"/>
        </w:rPr>
      </w:pPr>
      <w:bookmarkStart w:id="4" w:name="_Toc529972317"/>
      <w:r>
        <w:rPr>
          <w:rFonts w:hint="eastAsia"/>
          <w:color w:val="auto"/>
          <w:highlight w:val="none"/>
        </w:rPr>
        <w:t>合同价款的支付</w:t>
      </w:r>
      <w:bookmarkEnd w:id="4"/>
    </w:p>
    <w:p>
      <w:pPr>
        <w:pStyle w:val="30"/>
        <w:numPr>
          <w:ilvl w:val="1"/>
          <w:numId w:val="2"/>
        </w:numPr>
        <w:spacing w:before="0" w:beforeLines="0"/>
        <w:rPr>
          <w:color w:val="auto"/>
          <w:szCs w:val="24"/>
          <w:highlight w:val="none"/>
        </w:rPr>
      </w:pPr>
      <w:r>
        <w:rPr>
          <w:rFonts w:hint="eastAsia"/>
          <w:color w:val="auto"/>
          <w:szCs w:val="24"/>
          <w:highlight w:val="none"/>
        </w:rPr>
        <w:t>在乙方进场检查验收电梯安装现场，提出书面整改意见，并按照本合同的样式和条件向甲方提交本合同电梯安装总价10％的不可撤销的银行履约保函（乙方提交的履约保函应为甲方认可的银行开具的履约保函）。</w:t>
      </w:r>
    </w:p>
    <w:p>
      <w:pPr>
        <w:pStyle w:val="30"/>
        <w:numPr>
          <w:ilvl w:val="1"/>
          <w:numId w:val="2"/>
        </w:numPr>
        <w:spacing w:before="0" w:beforeLines="0"/>
        <w:ind w:left="0" w:firstLine="480" w:firstLineChars="200"/>
        <w:rPr>
          <w:color w:val="auto"/>
          <w:szCs w:val="24"/>
          <w:highlight w:val="none"/>
        </w:rPr>
      </w:pPr>
      <w:r>
        <w:rPr>
          <w:rFonts w:hint="eastAsia"/>
          <w:color w:val="auto"/>
          <w:szCs w:val="24"/>
          <w:highlight w:val="none"/>
        </w:rPr>
        <w:t>支付方式：</w:t>
      </w:r>
    </w:p>
    <w:p>
      <w:pPr>
        <w:pStyle w:val="30"/>
        <w:spacing w:before="0" w:beforeLines="0"/>
        <w:ind w:firstLine="480" w:firstLineChars="200"/>
        <w:rPr>
          <w:color w:val="auto"/>
          <w:szCs w:val="24"/>
          <w:highlight w:val="none"/>
        </w:rPr>
      </w:pPr>
      <w:r>
        <w:rPr>
          <w:rFonts w:hint="eastAsia"/>
          <w:color w:val="auto"/>
          <w:szCs w:val="24"/>
          <w:highlight w:val="none"/>
        </w:rPr>
        <w:t>（1）合同每期含税应付货款50%采用现金支付；50%非现金支付，账期为6个月。</w:t>
      </w:r>
    </w:p>
    <w:p>
      <w:pPr>
        <w:pStyle w:val="30"/>
        <w:spacing w:before="0" w:beforeLines="0"/>
        <w:ind w:firstLine="480" w:firstLineChars="200"/>
        <w:rPr>
          <w:color w:val="auto"/>
          <w:szCs w:val="24"/>
          <w:highlight w:val="none"/>
        </w:rPr>
      </w:pPr>
      <w:r>
        <w:rPr>
          <w:rFonts w:hint="eastAsia"/>
          <w:color w:val="auto"/>
          <w:szCs w:val="24"/>
          <w:highlight w:val="none"/>
        </w:rPr>
        <w:t>（2）采用非现金支付，乙方在签收、登记或确认甲方开具的商业承兑汇票、供应链票据</w:t>
      </w:r>
      <w:r>
        <w:rPr>
          <w:color w:val="auto"/>
          <w:szCs w:val="24"/>
          <w:highlight w:val="none"/>
        </w:rPr>
        <w:t>/</w:t>
      </w:r>
      <w:r>
        <w:rPr>
          <w:rFonts w:hint="eastAsia"/>
          <w:color w:val="auto"/>
          <w:szCs w:val="24"/>
          <w:highlight w:val="none"/>
        </w:rPr>
        <w:t>凭证时，视同已完成非现金支付部分合同付款，甲方对应的应付合同款转为应履行相应商业承兑汇票、供应链票据</w:t>
      </w:r>
      <w:r>
        <w:rPr>
          <w:color w:val="auto"/>
          <w:szCs w:val="24"/>
          <w:highlight w:val="none"/>
        </w:rPr>
        <w:t>/</w:t>
      </w:r>
      <w:r>
        <w:rPr>
          <w:rFonts w:hint="eastAsia"/>
          <w:color w:val="auto"/>
          <w:szCs w:val="24"/>
          <w:highlight w:val="none"/>
        </w:rPr>
        <w:t>凭证项下的兑付义务；乙方在商业承兑汇票、供应链票据</w:t>
      </w:r>
      <w:r>
        <w:rPr>
          <w:color w:val="auto"/>
          <w:szCs w:val="24"/>
          <w:highlight w:val="none"/>
        </w:rPr>
        <w:t>/</w:t>
      </w:r>
      <w:r>
        <w:rPr>
          <w:rFonts w:hint="eastAsia"/>
          <w:color w:val="auto"/>
          <w:szCs w:val="24"/>
          <w:highlight w:val="none"/>
        </w:rPr>
        <w:t>凭证到期前进行贴现的，所有贴现相关费用由乙方自行承担；乙方将上述账期内对应的应收账款转让给保理公司进行保理融资的，由乙方与保理公司另行签署保理融资协议或合同，所有保理相关费用由乙方自行承担。</w:t>
      </w:r>
    </w:p>
    <w:p>
      <w:pPr>
        <w:pStyle w:val="30"/>
        <w:spacing w:before="0" w:beforeLines="0"/>
        <w:ind w:firstLine="480" w:firstLineChars="200"/>
        <w:rPr>
          <w:color w:val="auto"/>
          <w:szCs w:val="24"/>
          <w:highlight w:val="none"/>
        </w:rPr>
      </w:pPr>
      <w:r>
        <w:rPr>
          <w:rFonts w:hint="eastAsia"/>
          <w:color w:val="auto"/>
          <w:szCs w:val="24"/>
          <w:highlight w:val="none"/>
        </w:rPr>
        <w:t>（3）在甲方向乙方付款（含非现金支付部分）前，乙方须向甲方提供与经甲方审核同意的应付款等额的足额增值税专用发票（双方完成总结算手续，甲方支付至总结算价的</w:t>
      </w:r>
      <w:r>
        <w:rPr>
          <w:color w:val="auto"/>
          <w:szCs w:val="24"/>
          <w:highlight w:val="none"/>
        </w:rPr>
        <w:t>97%</w:t>
      </w:r>
      <w:r>
        <w:rPr>
          <w:rFonts w:hint="eastAsia"/>
          <w:color w:val="auto"/>
          <w:szCs w:val="24"/>
          <w:highlight w:val="none"/>
        </w:rPr>
        <w:t>前，乙方应开具结算价款</w:t>
      </w:r>
      <w:r>
        <w:rPr>
          <w:color w:val="auto"/>
          <w:szCs w:val="24"/>
          <w:highlight w:val="none"/>
        </w:rPr>
        <w:t>100%</w:t>
      </w:r>
      <w:r>
        <w:rPr>
          <w:rFonts w:hint="eastAsia"/>
          <w:color w:val="auto"/>
          <w:szCs w:val="24"/>
          <w:highlight w:val="none"/>
        </w:rPr>
        <w:t>的增值税专用发票）；甲方采用非现金支付方式的，乙方同意无条件配合办理开具商业承兑汇票、供应链票据</w:t>
      </w:r>
      <w:r>
        <w:rPr>
          <w:color w:val="auto"/>
          <w:szCs w:val="24"/>
          <w:highlight w:val="none"/>
        </w:rPr>
        <w:t>/</w:t>
      </w:r>
      <w:r>
        <w:rPr>
          <w:rFonts w:hint="eastAsia"/>
          <w:color w:val="auto"/>
          <w:szCs w:val="24"/>
          <w:highlight w:val="none"/>
        </w:rPr>
        <w:t>凭证等支付工具的相关手续，否则视同乙方违约，甲方可延后办理对应非现金付款手续且不承担任何责任。</w:t>
      </w:r>
    </w:p>
    <w:p>
      <w:pPr>
        <w:pStyle w:val="30"/>
        <w:spacing w:before="0" w:beforeLines="0"/>
        <w:ind w:firstLine="480" w:firstLineChars="200"/>
        <w:rPr>
          <w:color w:val="auto"/>
          <w:szCs w:val="24"/>
          <w:highlight w:val="none"/>
        </w:rPr>
      </w:pPr>
      <w:r>
        <w:rPr>
          <w:rFonts w:hint="eastAsia"/>
          <w:color w:val="auto"/>
          <w:szCs w:val="24"/>
          <w:highlight w:val="none"/>
        </w:rPr>
        <w:t>（4）支付每期应付货款时，对</w:t>
      </w:r>
      <w:r>
        <w:rPr>
          <w:color w:val="auto"/>
          <w:szCs w:val="24"/>
          <w:highlight w:val="none"/>
        </w:rPr>
        <w:t>50%</w:t>
      </w:r>
      <w:r>
        <w:rPr>
          <w:rFonts w:hint="eastAsia"/>
          <w:color w:val="auto"/>
          <w:szCs w:val="24"/>
          <w:highlight w:val="none"/>
        </w:rPr>
        <w:t>的非现金支付合同价款：如甲方选择使用现金支付方式向乙方支付的，乙方无条件同意</w:t>
      </w:r>
      <w:r>
        <w:rPr>
          <w:color w:val="auto"/>
          <w:szCs w:val="24"/>
          <w:highlight w:val="none"/>
        </w:rPr>
        <w:t xml:space="preserve"> </w:t>
      </w:r>
      <w:r>
        <w:rPr>
          <w:rFonts w:hint="eastAsia"/>
          <w:color w:val="auto"/>
          <w:szCs w:val="24"/>
          <w:highlight w:val="none"/>
        </w:rPr>
        <w:t>，按该</w:t>
      </w:r>
      <w:r>
        <w:rPr>
          <w:color w:val="auto"/>
          <w:szCs w:val="24"/>
          <w:highlight w:val="none"/>
        </w:rPr>
        <w:t>50%</w:t>
      </w:r>
      <w:r>
        <w:rPr>
          <w:rFonts w:hint="eastAsia"/>
          <w:color w:val="auto"/>
          <w:szCs w:val="24"/>
          <w:highlight w:val="none"/>
        </w:rPr>
        <w:t>非现金支付合同价款的</w:t>
      </w:r>
      <w:r>
        <w:rPr>
          <w:color w:val="auto"/>
          <w:szCs w:val="24"/>
          <w:highlight w:val="none"/>
        </w:rPr>
        <w:t>97.5%</w:t>
      </w:r>
      <w:r>
        <w:rPr>
          <w:rFonts w:hint="eastAsia"/>
          <w:color w:val="auto"/>
          <w:szCs w:val="24"/>
          <w:highlight w:val="none"/>
        </w:rPr>
        <w:t>支付该期应付货款的非现金支付部分，并确认该期应付货款的</w:t>
      </w:r>
      <w:r>
        <w:rPr>
          <w:color w:val="auto"/>
          <w:szCs w:val="24"/>
          <w:highlight w:val="none"/>
        </w:rPr>
        <w:t>50%</w:t>
      </w:r>
      <w:r>
        <w:rPr>
          <w:rFonts w:hint="eastAsia"/>
          <w:color w:val="auto"/>
          <w:szCs w:val="24"/>
          <w:highlight w:val="none"/>
        </w:rPr>
        <w:t>非现金支付部分已按现金支付方式足额支付。</w:t>
      </w:r>
    </w:p>
    <w:p>
      <w:pPr>
        <w:pStyle w:val="30"/>
        <w:numPr>
          <w:ilvl w:val="1"/>
          <w:numId w:val="2"/>
        </w:numPr>
        <w:spacing w:before="0" w:beforeLines="0"/>
        <w:ind w:left="0" w:firstLine="480" w:firstLineChars="200"/>
        <w:rPr>
          <w:color w:val="auto"/>
          <w:szCs w:val="24"/>
          <w:highlight w:val="none"/>
        </w:rPr>
      </w:pPr>
      <w:r>
        <w:rPr>
          <w:rFonts w:hint="eastAsia"/>
          <w:color w:val="auto"/>
          <w:szCs w:val="24"/>
          <w:highlight w:val="none"/>
        </w:rPr>
        <w:t>进度款支付</w:t>
      </w:r>
    </w:p>
    <w:p>
      <w:pPr>
        <w:pStyle w:val="30"/>
        <w:spacing w:before="0" w:beforeLines="0"/>
        <w:ind w:firstLine="480" w:firstLineChars="200"/>
        <w:rPr>
          <w:color w:val="auto"/>
          <w:szCs w:val="24"/>
          <w:highlight w:val="none"/>
        </w:rPr>
      </w:pPr>
      <w:r>
        <w:rPr>
          <w:rFonts w:hint="eastAsia"/>
          <w:color w:val="auto"/>
          <w:szCs w:val="24"/>
          <w:highlight w:val="none"/>
        </w:rPr>
        <w:t>（1）甲方确认各批电梯安装、调试、测试完毕，乙方提交发票后向乙方支付至该批次电梯对应的安装价款的</w:t>
      </w:r>
      <w:r>
        <w:rPr>
          <w:rFonts w:hint="eastAsia"/>
          <w:color w:val="auto"/>
          <w:szCs w:val="24"/>
          <w:highlight w:val="none"/>
          <w:u w:val="single"/>
        </w:rPr>
        <w:t>70</w:t>
      </w:r>
      <w:r>
        <w:rPr>
          <w:rFonts w:hint="eastAsia"/>
          <w:color w:val="auto"/>
          <w:szCs w:val="24"/>
          <w:highlight w:val="none"/>
        </w:rPr>
        <w:t>%。</w:t>
      </w:r>
    </w:p>
    <w:p>
      <w:pPr>
        <w:pStyle w:val="30"/>
        <w:spacing w:before="0" w:beforeLines="0"/>
        <w:ind w:firstLine="480" w:firstLineChars="200"/>
        <w:rPr>
          <w:color w:val="auto"/>
          <w:szCs w:val="24"/>
          <w:highlight w:val="none"/>
        </w:rPr>
      </w:pPr>
      <w:r>
        <w:rPr>
          <w:rFonts w:hint="eastAsia"/>
          <w:color w:val="auto"/>
          <w:szCs w:val="24"/>
          <w:highlight w:val="none"/>
        </w:rPr>
        <w:t>（2）本合同实施的各批次全部电梯设备安装、调试、测试完毕并通过甲方和相关部门验收，且实施的各批次全部电梯设备检验合格报告书、安全检验合格证、电梯设备使用登记证递交甲方且本项目整体工程交付甲方使用，支付至各批次电梯对应的安装价款的85%；分段结算完成后，可支付至该分段结算金额的90%。</w:t>
      </w:r>
    </w:p>
    <w:p>
      <w:pPr>
        <w:pStyle w:val="30"/>
        <w:spacing w:before="0" w:beforeLines="0"/>
        <w:ind w:firstLine="480" w:firstLineChars="200"/>
        <w:rPr>
          <w:color w:val="auto"/>
          <w:szCs w:val="24"/>
          <w:highlight w:val="none"/>
        </w:rPr>
      </w:pPr>
      <w:r>
        <w:rPr>
          <w:rFonts w:hint="eastAsia"/>
          <w:color w:val="auto"/>
          <w:szCs w:val="24"/>
          <w:highlight w:val="none"/>
        </w:rPr>
        <w:t>（3）乙方将本工程的竣工资料和结算资料一并交付给甲方，甲方在审核确认、双方办理完毕总结算手续，乙方向甲方书面提出结算款申请支付，甲方向乙方支付至总结算价的97%，质量保证金为本合同总结算价的3%。</w:t>
      </w:r>
    </w:p>
    <w:p>
      <w:pPr>
        <w:pStyle w:val="30"/>
        <w:numPr>
          <w:ilvl w:val="1"/>
          <w:numId w:val="2"/>
        </w:numPr>
        <w:spacing w:before="0" w:beforeLines="0"/>
        <w:ind w:left="0" w:firstLine="480" w:firstLineChars="200"/>
        <w:rPr>
          <w:color w:val="auto"/>
          <w:highlight w:val="none"/>
        </w:rPr>
      </w:pPr>
      <w:r>
        <w:rPr>
          <w:rFonts w:hint="eastAsia"/>
          <w:color w:val="auto"/>
          <w:highlight w:val="none"/>
        </w:rPr>
        <w:t>保修期起计满两年且电梯设备及其工程出现的质量问题得到全部解决并经甲方确认后，甲方扣除应扣款项后，一次性无息退还质量保证金；若乙方未按要求履行完毕保修义务，甲方将扣除相应金额的质量保证金。</w:t>
      </w:r>
    </w:p>
    <w:p>
      <w:pPr>
        <w:pStyle w:val="30"/>
        <w:numPr>
          <w:ilvl w:val="1"/>
          <w:numId w:val="2"/>
        </w:numPr>
        <w:spacing w:before="0" w:beforeLines="0"/>
        <w:ind w:left="0" w:firstLine="480" w:firstLineChars="200"/>
        <w:rPr>
          <w:color w:val="auto"/>
          <w:highlight w:val="none"/>
        </w:rPr>
      </w:pPr>
      <w:r>
        <w:rPr>
          <w:rFonts w:hint="eastAsia"/>
          <w:color w:val="auto"/>
          <w:highlight w:val="none"/>
        </w:rPr>
        <w:t>以上各期付款，付款要求如下：</w:t>
      </w:r>
    </w:p>
    <w:p>
      <w:pPr>
        <w:pStyle w:val="30"/>
        <w:numPr>
          <w:ilvl w:val="0"/>
          <w:numId w:val="4"/>
        </w:numPr>
        <w:spacing w:before="0" w:beforeLines="0"/>
        <w:ind w:left="0" w:firstLine="480" w:firstLineChars="200"/>
        <w:rPr>
          <w:color w:val="auto"/>
          <w:highlight w:val="none"/>
        </w:rPr>
      </w:pPr>
      <w:r>
        <w:rPr>
          <w:rFonts w:hint="eastAsia"/>
          <w:color w:val="auto"/>
          <w:highlight w:val="none"/>
        </w:rPr>
        <w:t>上述付款条件成立后，乙方向甲方提出书面支付申请，并提供与应付款金额等额的税务部门验证合格的增值税专用发票。工程进度款审批期限为28天，自乙方向甲方书面提出付款申请或经甲方要求后重新提出付款申请并附齐相关证明之日起计。若乙方未提供书面付款申请或提供非正规（不合格）增值税专用发票，甲方有权不予支付任何款项且无需承担逾期付款的违约责任。</w:t>
      </w:r>
    </w:p>
    <w:p>
      <w:pPr>
        <w:pStyle w:val="29"/>
        <w:numPr>
          <w:ilvl w:val="0"/>
          <w:numId w:val="2"/>
        </w:numPr>
        <w:spacing w:before="0" w:beforeLines="0"/>
        <w:rPr>
          <w:color w:val="auto"/>
          <w:highlight w:val="none"/>
        </w:rPr>
      </w:pPr>
      <w:r>
        <w:rPr>
          <w:rFonts w:hint="eastAsia"/>
          <w:color w:val="auto"/>
          <w:highlight w:val="none"/>
        </w:rPr>
        <w:tab/>
      </w:r>
      <w:bookmarkStart w:id="5" w:name="_Toc126962028"/>
      <w:r>
        <w:rPr>
          <w:rFonts w:hint="eastAsia"/>
          <w:color w:val="auto"/>
          <w:highlight w:val="none"/>
        </w:rPr>
        <w:t>竣工结算</w:t>
      </w:r>
      <w:bookmarkEnd w:id="5"/>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6.1本合同可分期结算（具体分期以甲方书面通知为准）</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6.2分期结算申请资料：</w:t>
      </w:r>
    </w:p>
    <w:p>
      <w:pPr>
        <w:ind w:firstLine="480" w:firstLineChars="200"/>
        <w:rPr>
          <w:color w:val="auto"/>
          <w:highlight w:val="none"/>
        </w:rPr>
      </w:pPr>
      <w:r>
        <w:rPr>
          <w:rFonts w:hint="eastAsia" w:ascii="楷体" w:hAnsi="楷体" w:eastAsia="楷体"/>
          <w:color w:val="auto"/>
          <w:sz w:val="24"/>
          <w:szCs w:val="24"/>
          <w:highlight w:val="none"/>
        </w:rPr>
        <w:t>乙方应于分期设备验收合格且完成移交后90天内向甲方提出结算申请，并提交以下结算资料</w:t>
      </w:r>
      <w:r>
        <w:rPr>
          <w:rFonts w:hint="eastAsia"/>
          <w:color w:val="auto"/>
          <w:highlight w:val="none"/>
        </w:rPr>
        <w:t>:</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（1）结算资料目录；</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 xml:space="preserve">（2）工程结算书，包括编制说明、结算汇总表、工程量清单计价表、结算金额与合同金额对比表及其差异分析及与结算相关的计价文件依据等；    </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（3）工程量计算书；</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（4）开工报告、竣工验收报告、竣工验收记录；</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（5）竣工结算授权委托书、竣工结算工作承诺书、工程结算申请报审表；</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（6）《材料设备收货单》、《材料设备领料单》、《材料设备进场验收单》和材料设备汇总表；</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（7）经甲方、造价咨询公司共同签名盖章确认的工程核价文件；（如有）</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（8）签证资料；（如有）</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（9）设计变更资料；（如有）</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（10）合同文件（含补充协议）；</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（11）竣工图纸，除须盖竣工图章外，还须有甲方工程安全部、承包单位、监理单位和设计院盖章；</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（12）财务对账单；</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（13）其他相关结算资料；</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以上资料需装订成册，按顺序编写连续页码，一正两副并提供U盘电子文件一份，工程量清单计价表中的工程量需与工程量计算书中的工程量做好链接。</w:t>
      </w:r>
    </w:p>
    <w:p>
      <w:pPr>
        <w:ind w:firstLine="482" w:firstLineChars="200"/>
        <w:rPr>
          <w:rFonts w:ascii="楷体" w:hAnsi="楷体" w:eastAsia="楷体"/>
          <w:b/>
          <w:color w:val="auto"/>
          <w:sz w:val="24"/>
          <w:szCs w:val="24"/>
          <w:highlight w:val="none"/>
        </w:rPr>
      </w:pPr>
      <w:r>
        <w:rPr>
          <w:rFonts w:ascii="楷体" w:hAnsi="楷体" w:eastAsia="楷体"/>
          <w:b/>
          <w:color w:val="auto"/>
          <w:sz w:val="24"/>
          <w:szCs w:val="24"/>
          <w:highlight w:val="none"/>
        </w:rPr>
        <w:t xml:space="preserve">6.3 </w:t>
      </w:r>
      <w:r>
        <w:rPr>
          <w:rFonts w:hint="eastAsia" w:ascii="楷体" w:hAnsi="楷体" w:eastAsia="楷体"/>
          <w:b/>
          <w:color w:val="auto"/>
          <w:sz w:val="24"/>
          <w:szCs w:val="24"/>
          <w:highlight w:val="none"/>
        </w:rPr>
        <w:t>自本合同内容完成并在最后一个分期验收合格后，乙方应在验收之日起</w:t>
      </w:r>
      <w:r>
        <w:rPr>
          <w:rFonts w:ascii="楷体" w:hAnsi="楷体" w:eastAsia="楷体"/>
          <w:b/>
          <w:color w:val="auto"/>
          <w:sz w:val="24"/>
          <w:szCs w:val="24"/>
          <w:highlight w:val="none"/>
        </w:rPr>
        <w:t>90天内上报完整、有效的结算书；甲方在收到乙方提交的结算书之日起90天内进行审核，给予确认或提出修改意见，并将审核结果通知乙方。乙方确认同</w:t>
      </w:r>
      <w:r>
        <w:rPr>
          <w:rFonts w:hint="eastAsia" w:ascii="楷体" w:hAnsi="楷体" w:eastAsia="楷体"/>
          <w:b/>
          <w:color w:val="auto"/>
          <w:sz w:val="24"/>
          <w:szCs w:val="24"/>
          <w:highlight w:val="none"/>
        </w:rPr>
        <w:t>意的，则甲方审定的价款为本工程的竣工结算价款的最终依据；如乙方不同意的，双方针对争议部分进行核对和协商；经核对协商不能解决的争议部分，按本合同关于争议的约定处理。甲方与乙方就结算问题进行的沟通、协商、确认仅为协商过程性的行为。除非甲方法定代表人签字并加盖甲方公章，任何形式的文件以及任何人的行为都不能视为甲方对本工程结算的认可。</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6.4结算审核</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乙方若对审核结果有异议的，应在收到通知后15天内与甲方积极协商，完成结算。</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6.5当实际工程量超出合同附件清单内的货物数量，且甲方认为合同附件清单中对应单价合理时，按合同附件清单内对应单价计结；若甲方认为合同附件清单中对应单价不合理时，乙方应重新进行报价，报甲方审核，则超出合同附件清单的货物数量按经甲方审批同意的单价结算。</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6.6当变更材料、设备型号、规格、功能配置或服务内容而需要相应调整合同价款，如合同附件清单中有相应单价且甲方认为是合理单价的，则按照相应单价执行；若合同附件清单中有相应单价但甲方认为是不合理单价的或合同附件清单中没有相应单价的，则乙方应重新进行报价，报甲方审核，则变更后的材料、设备按经甲方审批同意的单价结算。</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6.7 对于结算的其他约定：</w:t>
      </w:r>
    </w:p>
    <w:p>
      <w:pPr>
        <w:ind w:firstLine="482" w:firstLineChars="200"/>
        <w:rPr>
          <w:rFonts w:ascii="楷体" w:hAnsi="楷体" w:eastAsia="楷体"/>
          <w:b/>
          <w:color w:val="auto"/>
          <w:sz w:val="24"/>
          <w:szCs w:val="24"/>
          <w:highlight w:val="none"/>
        </w:rPr>
      </w:pPr>
      <w:r>
        <w:rPr>
          <w:rFonts w:hint="eastAsia" w:ascii="楷体" w:hAnsi="楷体" w:eastAsia="楷体"/>
          <w:b/>
          <w:color w:val="auto"/>
          <w:sz w:val="24"/>
          <w:szCs w:val="24"/>
          <w:highlight w:val="none"/>
        </w:rPr>
        <w:t>（</w:t>
      </w:r>
      <w:r>
        <w:rPr>
          <w:rFonts w:ascii="楷体" w:hAnsi="楷体" w:eastAsia="楷体"/>
          <w:b/>
          <w:color w:val="auto"/>
          <w:sz w:val="24"/>
          <w:szCs w:val="24"/>
          <w:highlight w:val="none"/>
        </w:rPr>
        <w:t>1）在甲方与乙方就结算金额达成一致或生效裁判文书确定前，甲方对争议部分的支付义务不能确定，因此也无支付义务。只有在双方就结算金额达成一致或生效裁判文书确定甲方的支付义务后，甲方才有按照双方达成的一致或生效裁判文书支付结算款的义务，并在未按</w:t>
      </w:r>
      <w:r>
        <w:rPr>
          <w:rFonts w:hint="eastAsia" w:ascii="楷体" w:hAnsi="楷体" w:eastAsia="楷体"/>
          <w:b/>
          <w:color w:val="auto"/>
          <w:sz w:val="24"/>
          <w:szCs w:val="24"/>
          <w:highlight w:val="none"/>
        </w:rPr>
        <w:t>双方达成的一致或生效裁判文书确定的支付时间支付结算款时，才开始承担逾期支付的违约金或承担其他违约责任。</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（2）凡是涉及到工程造价增减的设计变更、工程签证均必须有甲方签字并盖章方为有效。</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（3）设计变更、工程签证及现场签证按照相应规定执行。</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（4）乙方违约金、水电费、赔偿金等相应扣款项，应扣未扣金额由甲方在应付结算价款中扣除。甲方凭收款收据及其他资料进行上述扣款。扣除部分不影响乙方应向甲方开具的发票数额。</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（5）按国家规定由乙方交纳的各种税收、劳动保险费及其他费用已包含在本工程造价内，由乙方负责向税收等部门交纳。</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（6）甲方与监理人收到乙方提交的竣工结算申请单，如经初步审核，资料不完善，乙方应在28天内补充完善并提交甲方审核，甲方审核开始时间从完整有效的结算资料收齐之日起计。</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（7）甲方复审竣工结算的，乙方应积极配合结算审核工作，因乙方提供资料不积极或者不准确、不完整造成的审核延误责任由乙方承担。最终结算金额以甲方书面确认为准。</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（8）本工程竣工结算方式为:</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竣工结算=竣工图（含设计变更）+签证+索赔+其他；</w:t>
      </w:r>
    </w:p>
    <w:p>
      <w:pPr>
        <w:ind w:firstLine="482" w:firstLineChars="200"/>
        <w:rPr>
          <w:rFonts w:ascii="楷体" w:hAnsi="楷体" w:eastAsia="楷体"/>
          <w:b/>
          <w:color w:val="auto"/>
          <w:sz w:val="24"/>
          <w:szCs w:val="24"/>
          <w:highlight w:val="none"/>
        </w:rPr>
      </w:pPr>
      <w:r>
        <w:rPr>
          <w:rFonts w:hint="eastAsia" w:ascii="楷体" w:hAnsi="楷体" w:eastAsia="楷体"/>
          <w:b/>
          <w:color w:val="auto"/>
          <w:sz w:val="24"/>
          <w:szCs w:val="24"/>
          <w:highlight w:val="none"/>
        </w:rPr>
        <w:t>乙方申报结算时不得高估冒算，乙方结算价超报率超过</w:t>
      </w:r>
      <w:r>
        <w:rPr>
          <w:rFonts w:ascii="楷体" w:hAnsi="楷体" w:eastAsia="楷体"/>
          <w:b/>
          <w:color w:val="auto"/>
          <w:sz w:val="24"/>
          <w:szCs w:val="24"/>
          <w:highlight w:val="none"/>
        </w:rPr>
        <w:t>10%时，应承担结算超报违约责任，结算超报违约金计算原则如下：</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结算价超报率=（乙方结算送审造价－甲方结算审定价）/甲方结算审定价</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①乙方结算价超报率在10%（不含本数）~20%（含本数）时：</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违约金＝(乙方结算送审造价－甲方结算审定价×1.1)×5%。</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②乙方结算价超报率在20%以上时：</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违约金＝甲方结算审定价×0.1×5%+(乙方结算送审造价－甲方结算审定价×1.2)×10%。</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如果采用分期结算的，则各分期结算时按上述原则计算违约金，违约金在各分期结算款中扣除；最后一期结算时，计算总结算金额的违约金，取各分期结算累计超报违约金与总结算超报违约金之大值作为本合同工程的结算超报违约金。</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9）双方人员（甲方、乙方）应每次对数前都在工作签到表上签名，签到表应注明当天双方办理结算的具体工作时间、内容、范围等事项，作为双方到场办理结算的现场工作记录。双方结算人员办理结算对数时应友好合作，对经核对确认无异议的数据和资料应当共同签字确认。如有异议，应当场提出，当场核对，当场记录争议的具体内容。如乙方对所核对的数据和资料没有书面提出异议，又不签字认可，甲方可以单方签名并在经过双方核对的文件资料上注明具体情况，将当天工作签到表和核对后的资料寄发给乙方，该资料即作为双方共同对数后确认的结算资料。对于双方意见分歧的书面记录，经双方对数人员共同核对清楚并签字确认后，上报领导协商解决任何人员不得因意见分歧而发生争执、对骂，甚至侮辱、殴打对方。如发生上述事件，受害方有权向侵权方索赔，由侵权方承担一切法律责任。乙方在结算期间，不按照甲方要求的时间或期限与甲方对数的，或者经过双方共同对数但乙方不签字对数结果的，或者推翻经过双方共同确认的对数成果的，甲方办理结算的时间向后顺延，期间不须支付剩余货款，由乙方承担结算延误的违约责任。</w:t>
      </w:r>
    </w:p>
    <w:p>
      <w:pPr>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10）乙方延迟提供完整、有效的结算书的，每延迟1天，须向甲方支付500元/天的违约金。乙方拒不配合竣工结算的，甲方有权进行单面结算或委托第三方中介机构结算。结算结果送达乙方后15天内乙方未向甲方反馈结算书面确认信息的，视为乙方已默认并同意结算结果。该等情形下，乙方需向甲方支付签约合同价格的0.5%作为结算编制费用，同时应向甲方按签约合同价格的0.5%支付违约金，且甲方有权在应付乙方的价款中直接扣留该款项。</w:t>
      </w:r>
    </w:p>
    <w:p>
      <w:pPr>
        <w:pStyle w:val="29"/>
        <w:numPr>
          <w:ilvl w:val="0"/>
          <w:numId w:val="2"/>
        </w:numPr>
        <w:spacing w:before="231" w:beforeLines="50"/>
        <w:ind w:left="351" w:hanging="351" w:hangingChars="125"/>
        <w:rPr>
          <w:color w:val="auto"/>
          <w:highlight w:val="none"/>
        </w:rPr>
      </w:pPr>
      <w:bookmarkStart w:id="6" w:name="_Toc500630645"/>
      <w:bookmarkEnd w:id="6"/>
      <w:bookmarkStart w:id="7" w:name="_Toc529972318"/>
      <w:r>
        <w:rPr>
          <w:rFonts w:hint="eastAsia"/>
          <w:color w:val="auto"/>
          <w:highlight w:val="none"/>
        </w:rPr>
        <w:t>乙方义务和责任</w:t>
      </w:r>
      <w:bookmarkEnd w:id="7"/>
    </w:p>
    <w:p>
      <w:pPr>
        <w:pStyle w:val="30"/>
        <w:numPr>
          <w:ilvl w:val="1"/>
          <w:numId w:val="2"/>
        </w:numPr>
        <w:spacing w:before="231"/>
        <w:rPr>
          <w:color w:val="auto"/>
          <w:highlight w:val="none"/>
        </w:rPr>
      </w:pPr>
      <w:r>
        <w:rPr>
          <w:rFonts w:hint="eastAsia"/>
          <w:color w:val="auto"/>
          <w:highlight w:val="none"/>
        </w:rPr>
        <w:t>乙方必须</w:t>
      </w:r>
      <w:r>
        <w:rPr>
          <w:rFonts w:hint="eastAsia" w:hAnsi="宋体"/>
          <w:color w:val="auto"/>
          <w:szCs w:val="24"/>
          <w:highlight w:val="none"/>
        </w:rPr>
        <w:t>根据本</w:t>
      </w:r>
      <w:r>
        <w:rPr>
          <w:rFonts w:hint="eastAsia"/>
          <w:color w:val="auto"/>
          <w:highlight w:val="none"/>
        </w:rPr>
        <w:t>合同文件所规定的工程施工承包内容，在本合同约定的工期内完工，直至工程竣工调试完毕、交付使用并应在各方面达到国家验收规范的标准及甲方明确指明的特殊规范标准。</w:t>
      </w:r>
    </w:p>
    <w:p>
      <w:pPr>
        <w:pStyle w:val="30"/>
        <w:numPr>
          <w:ilvl w:val="1"/>
          <w:numId w:val="2"/>
        </w:numPr>
        <w:spacing w:before="231"/>
        <w:rPr>
          <w:color w:val="auto"/>
          <w:highlight w:val="none"/>
        </w:rPr>
      </w:pPr>
      <w:r>
        <w:rPr>
          <w:rFonts w:hint="eastAsia"/>
          <w:color w:val="auto"/>
          <w:highlight w:val="none"/>
        </w:rPr>
        <w:t>如果乙方</w:t>
      </w:r>
      <w:r>
        <w:rPr>
          <w:rFonts w:hint="eastAsia" w:hAnsi="宋体"/>
          <w:color w:val="auto"/>
          <w:szCs w:val="24"/>
          <w:highlight w:val="none"/>
        </w:rPr>
        <w:t>发现</w:t>
      </w:r>
      <w:r>
        <w:rPr>
          <w:rFonts w:hint="eastAsia"/>
          <w:color w:val="auto"/>
          <w:highlight w:val="none"/>
        </w:rPr>
        <w:t>合同文件内各部分之间标准不一致时，应立即书面通知甲方要求澄清，除甲方另有指示外，均以要求最高最严者为准，此类指示不属工程变更，乙方不得因此提出有关工程及费用的任何索赔，且工期不予顺延。</w:t>
      </w:r>
    </w:p>
    <w:p>
      <w:pPr>
        <w:pStyle w:val="30"/>
        <w:numPr>
          <w:ilvl w:val="1"/>
          <w:numId w:val="2"/>
        </w:numPr>
        <w:spacing w:before="231"/>
        <w:rPr>
          <w:color w:val="auto"/>
          <w:highlight w:val="none"/>
        </w:rPr>
      </w:pPr>
      <w:r>
        <w:rPr>
          <w:rFonts w:hint="eastAsia"/>
          <w:color w:val="auto"/>
          <w:highlight w:val="none"/>
        </w:rPr>
        <w:t xml:space="preserve">乙方已了解甲方与总包签订的施工总承包合同相关条款， </w:t>
      </w:r>
      <w:r>
        <w:rPr>
          <w:rFonts w:hint="eastAsia" w:hAnsi="宋体" w:cs="宋体"/>
          <w:color w:val="auto"/>
          <w:highlight w:val="none"/>
        </w:rPr>
        <w:t>并应</w:t>
      </w:r>
      <w:r>
        <w:rPr>
          <w:rFonts w:hint="eastAsia"/>
          <w:color w:val="auto"/>
          <w:highlight w:val="none"/>
        </w:rPr>
        <w:t>遵循施工总承包合同中与本工程有关所有条款(或任何条款的一部分)。</w:t>
      </w:r>
    </w:p>
    <w:p>
      <w:pPr>
        <w:pStyle w:val="30"/>
        <w:numPr>
          <w:ilvl w:val="1"/>
          <w:numId w:val="2"/>
        </w:numPr>
        <w:spacing w:before="231"/>
        <w:rPr>
          <w:rFonts w:hAnsi="宋体"/>
          <w:color w:val="auto"/>
          <w:szCs w:val="24"/>
          <w:highlight w:val="none"/>
        </w:rPr>
      </w:pPr>
      <w:r>
        <w:rPr>
          <w:rFonts w:hint="eastAsia" w:hAnsi="宋体"/>
          <w:color w:val="auto"/>
          <w:szCs w:val="24"/>
          <w:highlight w:val="none"/>
        </w:rPr>
        <w:t>由甲方发出与本工程有关的任何指示(不论是书面指示，或经甲方书面确认口头指示)后，乙方须遵循及履行指示，乙方不得自行变更本合同项下的工程内容。否则，给甲方造成损失的，乙方应承担全部赔偿责任。</w:t>
      </w:r>
    </w:p>
    <w:p>
      <w:pPr>
        <w:pStyle w:val="30"/>
        <w:numPr>
          <w:ilvl w:val="1"/>
          <w:numId w:val="2"/>
        </w:numPr>
        <w:spacing w:before="231"/>
        <w:rPr>
          <w:color w:val="auto"/>
          <w:highlight w:val="none"/>
        </w:rPr>
      </w:pPr>
      <w:r>
        <w:rPr>
          <w:rFonts w:hint="eastAsia"/>
          <w:color w:val="auto"/>
          <w:highlight w:val="none"/>
        </w:rPr>
        <w:t>乙方不得将本工程转包或未经甲方书面同意将本工程的其中任何部分进行分包。</w:t>
      </w:r>
    </w:p>
    <w:p>
      <w:pPr>
        <w:pStyle w:val="30"/>
        <w:numPr>
          <w:ilvl w:val="1"/>
          <w:numId w:val="2"/>
        </w:numPr>
        <w:spacing w:before="231"/>
        <w:rPr>
          <w:color w:val="auto"/>
          <w:highlight w:val="none"/>
        </w:rPr>
      </w:pPr>
      <w:r>
        <w:rPr>
          <w:rFonts w:hint="eastAsia"/>
          <w:color w:val="auto"/>
          <w:highlight w:val="none"/>
        </w:rPr>
        <w:t>乙方不可影响第三方设备运行，乙方及其人员不可影响第三方机械、走道、脚手架、临时工程、用具或其它设备，亦不可在使用上述设备时违反政府及有关部门法规或规定。</w:t>
      </w:r>
    </w:p>
    <w:p>
      <w:pPr>
        <w:pStyle w:val="30"/>
        <w:spacing w:before="231"/>
        <w:ind w:left="567"/>
        <w:rPr>
          <w:color w:val="auto"/>
          <w:highlight w:val="none"/>
        </w:rPr>
      </w:pPr>
      <w:r>
        <w:rPr>
          <w:rFonts w:hint="eastAsia"/>
          <w:color w:val="auto"/>
          <w:highlight w:val="none"/>
        </w:rPr>
        <w:t>电梯设备、本工程其他成品、半成品、乙方及其人员的机械、工具、设备或其它财产须由乙方自行保管并承担全部费用及风险。任何因乙方及其人员的机械、工具、设备或其它财产造成的损失或损坏由乙方负全部责任，且乙方须保障甲方免负任何有关损失、索偿或追讨的责任。</w:t>
      </w:r>
    </w:p>
    <w:p>
      <w:pPr>
        <w:pStyle w:val="30"/>
        <w:numPr>
          <w:ilvl w:val="1"/>
          <w:numId w:val="2"/>
        </w:numPr>
        <w:spacing w:before="231"/>
        <w:rPr>
          <w:color w:val="auto"/>
          <w:highlight w:val="none"/>
        </w:rPr>
      </w:pPr>
      <w:r>
        <w:rPr>
          <w:rFonts w:hint="eastAsia"/>
          <w:color w:val="auto"/>
          <w:highlight w:val="none"/>
        </w:rPr>
        <w:t>乙方须遵守政府有关法律法规，支付法律法规规定的对本工程所征收所有费用，包括国家税法所规定的各种税项。乙方负责在工程施工过程中与政府行业主管部门等进行联络与沟通，接待与配合政府有关部门的质量、安全、环保、文明施工、公安执法等各项检查与监督，负责办理相关手续与批文。上述与政府有关部门沟通、联络费用等均已包含在合同总价中，结算时不作任何调整。</w:t>
      </w:r>
    </w:p>
    <w:p>
      <w:pPr>
        <w:pStyle w:val="30"/>
        <w:numPr>
          <w:ilvl w:val="1"/>
          <w:numId w:val="2"/>
        </w:numPr>
        <w:spacing w:before="231"/>
        <w:rPr>
          <w:color w:val="auto"/>
          <w:highlight w:val="none"/>
        </w:rPr>
      </w:pPr>
      <w:r>
        <w:rPr>
          <w:rFonts w:hint="eastAsia"/>
          <w:color w:val="auto"/>
          <w:highlight w:val="none"/>
        </w:rPr>
        <w:t>乙方履行上述各项义务、责任的费用均已包括在合同总价中。乙方未依据本合同的相应规定按期履行该等义务、责任的，在其履行前，甲方有权拒付或暂停支付工程款，并按本合同的相关规定追究乙方的违约责任。</w:t>
      </w:r>
    </w:p>
    <w:p>
      <w:pPr>
        <w:pStyle w:val="29"/>
        <w:numPr>
          <w:ilvl w:val="0"/>
          <w:numId w:val="2"/>
        </w:numPr>
        <w:spacing w:before="231" w:beforeLines="50"/>
        <w:ind w:left="351" w:hanging="351" w:hangingChars="125"/>
        <w:rPr>
          <w:color w:val="auto"/>
          <w:highlight w:val="none"/>
        </w:rPr>
      </w:pPr>
      <w:bookmarkStart w:id="8" w:name="_Toc529972319"/>
      <w:r>
        <w:rPr>
          <w:rFonts w:hint="eastAsia"/>
          <w:color w:val="auto"/>
          <w:highlight w:val="none"/>
        </w:rPr>
        <w:t>施工现场及资料</w:t>
      </w:r>
      <w:bookmarkEnd w:id="8"/>
    </w:p>
    <w:p>
      <w:pPr>
        <w:pStyle w:val="30"/>
        <w:numPr>
          <w:ilvl w:val="1"/>
          <w:numId w:val="2"/>
        </w:numPr>
        <w:spacing w:before="231"/>
        <w:rPr>
          <w:color w:val="auto"/>
          <w:highlight w:val="none"/>
        </w:rPr>
      </w:pPr>
      <w:r>
        <w:rPr>
          <w:rFonts w:hint="eastAsia"/>
          <w:color w:val="auto"/>
          <w:highlight w:val="none"/>
        </w:rPr>
        <w:t>施工现场为</w:t>
      </w:r>
      <w:r>
        <w:rPr>
          <w:rFonts w:hint="eastAsia" w:hAnsi="宋体"/>
          <w:bCs/>
          <w:color w:val="auto"/>
          <w:kern w:val="2"/>
          <w:szCs w:val="24"/>
          <w:highlight w:val="none"/>
        </w:rPr>
        <w:t>：</w:t>
      </w:r>
      <w:r>
        <w:rPr>
          <w:rFonts w:hint="eastAsia" w:hAnsi="楷体_GB2312" w:cs="楷体_GB2312"/>
          <w:color w:val="auto"/>
          <w:highlight w:val="none"/>
          <w:u w:val="single"/>
        </w:rPr>
        <w:t>佛山季华项目</w:t>
      </w:r>
      <w:r>
        <w:rPr>
          <w:rFonts w:hint="eastAsia" w:hAnsi="宋体"/>
          <w:bCs/>
          <w:color w:val="auto"/>
          <w:kern w:val="2"/>
          <w:szCs w:val="24"/>
          <w:highlight w:val="none"/>
        </w:rPr>
        <w:t xml:space="preserve">工地 </w:t>
      </w:r>
      <w:r>
        <w:rPr>
          <w:rFonts w:hint="eastAsia"/>
          <w:color w:val="auto"/>
          <w:highlight w:val="none"/>
        </w:rPr>
        <w:t>。</w:t>
      </w:r>
    </w:p>
    <w:p>
      <w:pPr>
        <w:pStyle w:val="30"/>
        <w:numPr>
          <w:ilvl w:val="1"/>
          <w:numId w:val="2"/>
        </w:numPr>
        <w:spacing w:before="231"/>
        <w:rPr>
          <w:color w:val="auto"/>
          <w:highlight w:val="none"/>
        </w:rPr>
      </w:pPr>
      <w:r>
        <w:rPr>
          <w:rFonts w:hint="eastAsia"/>
          <w:color w:val="auto"/>
          <w:highlight w:val="none"/>
        </w:rPr>
        <w:t>乙方已视察施工现场及其邻近地区及了解任何影响其施工、储藏的因素,本合同签订后，乙方以不了解现场情况为由而提出的费用或工期的索赔将不予考虑。</w:t>
      </w:r>
    </w:p>
    <w:p>
      <w:pPr>
        <w:pStyle w:val="30"/>
        <w:numPr>
          <w:ilvl w:val="1"/>
          <w:numId w:val="2"/>
        </w:numPr>
        <w:spacing w:before="231"/>
        <w:rPr>
          <w:color w:val="auto"/>
          <w:highlight w:val="none"/>
        </w:rPr>
      </w:pPr>
      <w:r>
        <w:rPr>
          <w:rFonts w:hint="eastAsia"/>
          <w:color w:val="auto"/>
          <w:highlight w:val="none"/>
        </w:rPr>
        <w:t>施工场地的出入口及场地内的通道由总包决定，乙方须遵照总包的安排及配合甲方及其它分包人及专业乙方的需要。</w:t>
      </w:r>
    </w:p>
    <w:p>
      <w:pPr>
        <w:pStyle w:val="30"/>
        <w:numPr>
          <w:ilvl w:val="1"/>
          <w:numId w:val="2"/>
        </w:numPr>
        <w:spacing w:before="231"/>
        <w:rPr>
          <w:color w:val="auto"/>
          <w:highlight w:val="none"/>
        </w:rPr>
      </w:pPr>
      <w:r>
        <w:rPr>
          <w:rFonts w:hint="eastAsia"/>
          <w:color w:val="auto"/>
          <w:highlight w:val="none"/>
        </w:rPr>
        <w:t>乙方必须遵从总包对整个工程现场设备材料安置，施工用水、用电、垂直运输、临时设施等方面的统一协调与管理。乙方须与总包在工程进度上紧密联系，以使总包能根据乙方的施工需要及时提供给乙方所需的施工场地。</w:t>
      </w:r>
    </w:p>
    <w:p>
      <w:pPr>
        <w:pStyle w:val="30"/>
        <w:numPr>
          <w:ilvl w:val="1"/>
          <w:numId w:val="2"/>
        </w:numPr>
        <w:spacing w:before="231"/>
        <w:rPr>
          <w:color w:val="auto"/>
          <w:highlight w:val="none"/>
        </w:rPr>
      </w:pPr>
      <w:r>
        <w:rPr>
          <w:rFonts w:hint="eastAsia"/>
          <w:color w:val="auto"/>
          <w:highlight w:val="none"/>
        </w:rPr>
        <w:t>乙方须特别留意，除更改工程项目外，所有甲方提供的资料、文件和数据已包括在此合同文件内，乙方须自己搜集所需要的数据以完成整个工程并达到甲方的要求。</w:t>
      </w:r>
    </w:p>
    <w:p>
      <w:pPr>
        <w:pStyle w:val="30"/>
        <w:numPr>
          <w:ilvl w:val="1"/>
          <w:numId w:val="2"/>
        </w:numPr>
        <w:spacing w:before="231"/>
        <w:rPr>
          <w:color w:val="auto"/>
          <w:highlight w:val="none"/>
        </w:rPr>
      </w:pPr>
      <w:r>
        <w:rPr>
          <w:rFonts w:hint="eastAsia"/>
          <w:color w:val="auto"/>
          <w:highlight w:val="none"/>
        </w:rPr>
        <w:t>规范、图纸及技术要求是甲方提供给乙方的本合同工程数据及细节；其它任何必需的工料项目，必须完全符合本合同所需的保证及要求，或能使本工程正常操作，并能达到甲方满意要求及取得工程所在地所有有关政府部门或单位发出的验收合格及使用证明等文件。虽然本合同文件内未有提及，但亦应由乙方负责及包括在此承包工程内，本合同总价亦已包括此等费用。</w:t>
      </w:r>
    </w:p>
    <w:p>
      <w:pPr>
        <w:pStyle w:val="29"/>
        <w:numPr>
          <w:ilvl w:val="0"/>
          <w:numId w:val="2"/>
        </w:numPr>
        <w:spacing w:before="231" w:beforeLines="50"/>
        <w:ind w:left="351" w:hanging="351" w:hangingChars="125"/>
        <w:rPr>
          <w:color w:val="auto"/>
          <w:highlight w:val="none"/>
        </w:rPr>
      </w:pPr>
      <w:bookmarkStart w:id="9" w:name="_Toc529972320"/>
      <w:r>
        <w:rPr>
          <w:rFonts w:hint="eastAsia"/>
          <w:color w:val="auto"/>
          <w:highlight w:val="none"/>
        </w:rPr>
        <w:t>图纸</w:t>
      </w:r>
      <w:bookmarkEnd w:id="9"/>
    </w:p>
    <w:p>
      <w:pPr>
        <w:pStyle w:val="30"/>
        <w:numPr>
          <w:ilvl w:val="1"/>
          <w:numId w:val="2"/>
        </w:numPr>
        <w:spacing w:before="231"/>
        <w:rPr>
          <w:color w:val="auto"/>
          <w:highlight w:val="none"/>
        </w:rPr>
      </w:pPr>
      <w:r>
        <w:rPr>
          <w:rFonts w:hint="eastAsia"/>
          <w:color w:val="auto"/>
          <w:highlight w:val="none"/>
        </w:rPr>
        <w:t>乙方须在现场存放一整套施工图纸、规范、所有甲方指示及附加图纸。</w:t>
      </w:r>
    </w:p>
    <w:p>
      <w:pPr>
        <w:pStyle w:val="30"/>
        <w:numPr>
          <w:ilvl w:val="1"/>
          <w:numId w:val="2"/>
        </w:numPr>
        <w:spacing w:before="231"/>
        <w:rPr>
          <w:color w:val="auto"/>
          <w:highlight w:val="none"/>
        </w:rPr>
      </w:pPr>
      <w:r>
        <w:rPr>
          <w:rFonts w:hint="eastAsia"/>
          <w:color w:val="auto"/>
          <w:highlight w:val="none"/>
        </w:rPr>
        <w:t>乙方应按总包的要求提供所有必需数据及其设备工程图纸给总包以供其完成制订设备综合图，以配合所有其它设备工程项目正确次序及位置。乙方需留意这些次序及位置必须配合其它设备工程。甲方及总包可拒绝，认可或更改这些资料或图纸，乙方应照其要求予以修改。</w:t>
      </w:r>
    </w:p>
    <w:p>
      <w:pPr>
        <w:pStyle w:val="30"/>
        <w:numPr>
          <w:ilvl w:val="1"/>
          <w:numId w:val="2"/>
        </w:numPr>
        <w:spacing w:before="231"/>
        <w:rPr>
          <w:color w:val="auto"/>
          <w:highlight w:val="none"/>
        </w:rPr>
      </w:pPr>
      <w:r>
        <w:rPr>
          <w:rFonts w:hint="eastAsia"/>
          <w:color w:val="auto"/>
          <w:highlight w:val="none"/>
        </w:rPr>
        <w:t>任何图纸退回给乙方作修改，乙方应在退回图纸后的七天内，将修改好的图纸再呈交给甲方及有关政府部门、单位审批。</w:t>
      </w:r>
    </w:p>
    <w:p>
      <w:pPr>
        <w:pStyle w:val="30"/>
        <w:numPr>
          <w:ilvl w:val="1"/>
          <w:numId w:val="2"/>
        </w:numPr>
        <w:spacing w:before="231"/>
        <w:rPr>
          <w:color w:val="auto"/>
          <w:highlight w:val="none"/>
        </w:rPr>
      </w:pPr>
      <w:r>
        <w:rPr>
          <w:rFonts w:hint="eastAsia"/>
          <w:color w:val="auto"/>
          <w:highlight w:val="none"/>
        </w:rPr>
        <w:t>甲方及总包及有关政府部门、单位对图纸的认可与批准不减轻或解除乙方在本合同项下任何义务及责任,乙方对电梯的质量及安全承担一切责任。</w:t>
      </w:r>
    </w:p>
    <w:p>
      <w:pPr>
        <w:pStyle w:val="30"/>
        <w:numPr>
          <w:ilvl w:val="1"/>
          <w:numId w:val="2"/>
        </w:numPr>
        <w:spacing w:before="231"/>
        <w:rPr>
          <w:color w:val="auto"/>
          <w:highlight w:val="none"/>
        </w:rPr>
      </w:pPr>
      <w:r>
        <w:rPr>
          <w:rFonts w:hint="eastAsia"/>
          <w:color w:val="auto"/>
          <w:highlight w:val="none"/>
        </w:rPr>
        <w:t>图纸标准及要求应符合本工程所在地的需求及习惯，并保证通过甲方及有关政府部门的审批。</w:t>
      </w:r>
    </w:p>
    <w:p>
      <w:pPr>
        <w:pStyle w:val="30"/>
        <w:numPr>
          <w:ilvl w:val="1"/>
          <w:numId w:val="2"/>
        </w:numPr>
        <w:spacing w:before="231"/>
        <w:rPr>
          <w:color w:val="auto"/>
          <w:highlight w:val="none"/>
        </w:rPr>
      </w:pPr>
      <w:r>
        <w:rPr>
          <w:rFonts w:hint="eastAsia"/>
          <w:color w:val="auto"/>
          <w:highlight w:val="none"/>
        </w:rPr>
        <w:t>乙方须在其施工计划表内，估计充足的时间以便下列情况出现时合同工期不被延误：图纸被否决或修改或再呈交经修改的图纸及表格所需时间，为制订图纸及表格而必须与甲方联系的工作时间，甲方或有关政府部门或单位审批的时间等等。</w:t>
      </w:r>
    </w:p>
    <w:p>
      <w:pPr>
        <w:pStyle w:val="30"/>
        <w:spacing w:before="231"/>
        <w:ind w:left="567"/>
        <w:rPr>
          <w:color w:val="auto"/>
          <w:highlight w:val="none"/>
        </w:rPr>
      </w:pPr>
      <w:r>
        <w:rPr>
          <w:rFonts w:hint="eastAsia"/>
          <w:color w:val="auto"/>
          <w:highlight w:val="none"/>
        </w:rPr>
        <w:t>因上述图纸被否决或修改及再审批而提出的索偿（包括时间、费用上的索偿）将不被接纳。图纸审批通过后，乙方将十二份副本及两份符合比例、准确及可复印的图纸电子文档，自费呈交予甲方及总包。</w:t>
      </w:r>
    </w:p>
    <w:p>
      <w:pPr>
        <w:pStyle w:val="30"/>
        <w:numPr>
          <w:ilvl w:val="1"/>
          <w:numId w:val="2"/>
        </w:numPr>
        <w:spacing w:before="231"/>
        <w:rPr>
          <w:color w:val="auto"/>
          <w:highlight w:val="none"/>
        </w:rPr>
      </w:pPr>
      <w:r>
        <w:rPr>
          <w:rFonts w:hint="eastAsia"/>
          <w:color w:val="auto"/>
          <w:highlight w:val="none"/>
        </w:rPr>
        <w:t>对所有甲方的指示或更改工程指示，乙方须负责核对此等指示对图纸或总设备综合图纸等的影响及作出适当修改。</w:t>
      </w:r>
    </w:p>
    <w:p>
      <w:pPr>
        <w:pStyle w:val="30"/>
        <w:numPr>
          <w:ilvl w:val="1"/>
          <w:numId w:val="2"/>
        </w:numPr>
        <w:spacing w:before="231"/>
        <w:rPr>
          <w:color w:val="auto"/>
          <w:highlight w:val="none"/>
        </w:rPr>
      </w:pPr>
      <w:r>
        <w:rPr>
          <w:rFonts w:hint="eastAsia"/>
          <w:color w:val="auto"/>
          <w:highlight w:val="none"/>
        </w:rPr>
        <w:t>在本工程竣工验收后、交付前，乙方须呈交给甲方符合国家标准及佛山市《建设工程档案编制规范》规定的比例、准确的竣工图纸十二份及电子文档两份。</w:t>
      </w:r>
    </w:p>
    <w:p>
      <w:pPr>
        <w:pStyle w:val="29"/>
        <w:numPr>
          <w:ilvl w:val="0"/>
          <w:numId w:val="2"/>
        </w:numPr>
        <w:spacing w:before="231" w:beforeLines="50"/>
        <w:ind w:left="351" w:hanging="351" w:hangingChars="125"/>
        <w:rPr>
          <w:color w:val="auto"/>
          <w:highlight w:val="none"/>
        </w:rPr>
      </w:pPr>
      <w:bookmarkStart w:id="10" w:name="_Toc529972321"/>
      <w:r>
        <w:rPr>
          <w:rFonts w:hint="eastAsia"/>
          <w:color w:val="auto"/>
          <w:highlight w:val="none"/>
        </w:rPr>
        <w:t>涉及总包工作及统筹</w:t>
      </w:r>
      <w:bookmarkEnd w:id="10"/>
    </w:p>
    <w:p>
      <w:pPr>
        <w:pStyle w:val="30"/>
        <w:numPr>
          <w:ilvl w:val="1"/>
          <w:numId w:val="2"/>
        </w:numPr>
        <w:spacing w:before="231"/>
        <w:rPr>
          <w:color w:val="auto"/>
          <w:highlight w:val="none"/>
        </w:rPr>
      </w:pPr>
      <w:r>
        <w:rPr>
          <w:rFonts w:hint="eastAsia"/>
          <w:color w:val="auto"/>
          <w:highlight w:val="none"/>
        </w:rPr>
        <w:t>由总包提供的设施</w:t>
      </w:r>
    </w:p>
    <w:p>
      <w:pPr>
        <w:pStyle w:val="30"/>
        <w:spacing w:before="231"/>
        <w:ind w:left="567"/>
        <w:rPr>
          <w:color w:val="auto"/>
          <w:highlight w:val="none"/>
        </w:rPr>
      </w:pPr>
      <w:r>
        <w:rPr>
          <w:rFonts w:hint="eastAsia"/>
          <w:color w:val="auto"/>
          <w:highlight w:val="none"/>
        </w:rPr>
        <w:t>乙方为完成本工程须与总包协商要求为其提供所有合理设施包括：</w:t>
      </w:r>
    </w:p>
    <w:p>
      <w:pPr>
        <w:pStyle w:val="30"/>
        <w:spacing w:before="0" w:beforeLines="0"/>
        <w:ind w:left="567"/>
        <w:rPr>
          <w:color w:val="auto"/>
          <w:highlight w:val="none"/>
        </w:rPr>
      </w:pPr>
      <w:r>
        <w:rPr>
          <w:rFonts w:hint="eastAsia"/>
          <w:color w:val="auto"/>
          <w:highlight w:val="none"/>
        </w:rPr>
        <w:t>（1）在施工场地内提供辅助设施及贮存仓予乙方使用，或在工地上或在建建筑物内提供地方给乙方架设自己的办公室、辅助设施及贮仓。</w:t>
      </w:r>
    </w:p>
    <w:p>
      <w:pPr>
        <w:pStyle w:val="30"/>
        <w:spacing w:before="0" w:beforeLines="0"/>
        <w:ind w:left="567"/>
        <w:rPr>
          <w:color w:val="auto"/>
          <w:highlight w:val="none"/>
        </w:rPr>
      </w:pPr>
      <w:r>
        <w:rPr>
          <w:rFonts w:hint="eastAsia"/>
          <w:color w:val="auto"/>
          <w:highlight w:val="none"/>
        </w:rPr>
        <w:t>（2）使用施工场地上通道，及经甲方考虑承包工程的性质后认为合理的施工空间及通道。乙方应负责修补由于施工所导致在施工场地上通道所造成的损毁。</w:t>
      </w:r>
    </w:p>
    <w:p>
      <w:pPr>
        <w:pStyle w:val="30"/>
        <w:spacing w:before="0" w:beforeLines="0"/>
        <w:ind w:left="567"/>
        <w:rPr>
          <w:color w:val="auto"/>
          <w:highlight w:val="none"/>
        </w:rPr>
      </w:pPr>
      <w:r>
        <w:rPr>
          <w:rFonts w:hint="eastAsia"/>
          <w:color w:val="auto"/>
          <w:highlight w:val="none"/>
        </w:rPr>
        <w:t>（3）使用任何属于总包或由总包在施工场地上架设而仍未拆除的梯子及脚手架。</w:t>
      </w:r>
    </w:p>
    <w:p>
      <w:pPr>
        <w:pStyle w:val="30"/>
        <w:spacing w:before="0" w:beforeLines="0"/>
        <w:ind w:left="567"/>
        <w:rPr>
          <w:color w:val="auto"/>
          <w:highlight w:val="none"/>
        </w:rPr>
      </w:pPr>
      <w:r>
        <w:rPr>
          <w:rFonts w:hint="eastAsia"/>
          <w:color w:val="auto"/>
          <w:highlight w:val="none"/>
        </w:rPr>
        <w:t>（4）使用卫生设施。</w:t>
      </w:r>
    </w:p>
    <w:p>
      <w:pPr>
        <w:pStyle w:val="30"/>
        <w:spacing w:before="0" w:beforeLines="0"/>
        <w:ind w:left="567"/>
        <w:rPr>
          <w:color w:val="auto"/>
          <w:highlight w:val="none"/>
        </w:rPr>
      </w:pPr>
      <w:r>
        <w:rPr>
          <w:rFonts w:hint="eastAsia"/>
          <w:color w:val="auto"/>
          <w:highlight w:val="none"/>
        </w:rPr>
        <w:t>（5）使用总包电话，但通讯费用由乙方支付。</w:t>
      </w:r>
    </w:p>
    <w:p>
      <w:pPr>
        <w:pStyle w:val="30"/>
        <w:spacing w:before="0" w:beforeLines="0"/>
        <w:ind w:left="567"/>
        <w:rPr>
          <w:color w:val="auto"/>
          <w:highlight w:val="none"/>
        </w:rPr>
      </w:pPr>
      <w:r>
        <w:rPr>
          <w:rFonts w:hint="eastAsia"/>
          <w:color w:val="auto"/>
          <w:highlight w:val="none"/>
        </w:rPr>
        <w:t>（6）提供临时照明，相关费用已包含在总包合同中，乙方不需要额外支付。</w:t>
      </w:r>
    </w:p>
    <w:p>
      <w:pPr>
        <w:pStyle w:val="30"/>
        <w:spacing w:before="0" w:beforeLines="0"/>
        <w:ind w:left="567"/>
        <w:rPr>
          <w:color w:val="auto"/>
          <w:highlight w:val="none"/>
        </w:rPr>
      </w:pPr>
      <w:r>
        <w:rPr>
          <w:rFonts w:hint="eastAsia"/>
          <w:color w:val="auto"/>
          <w:highlight w:val="none"/>
        </w:rPr>
        <w:t>（7）提供工程用水，相关费用已包含在总包合同中，乙方不需要额外支付。</w:t>
      </w:r>
    </w:p>
    <w:p>
      <w:pPr>
        <w:pStyle w:val="30"/>
        <w:spacing w:before="0" w:beforeLines="0"/>
        <w:ind w:left="567"/>
        <w:rPr>
          <w:color w:val="auto"/>
          <w:highlight w:val="none"/>
        </w:rPr>
      </w:pPr>
      <w:r>
        <w:rPr>
          <w:rFonts w:hint="eastAsia"/>
          <w:color w:val="auto"/>
          <w:highlight w:val="none"/>
        </w:rPr>
        <w:t>（8）使用已在施工场地的机械及设备，包括机械操作人员，以便卸下施工单位的物料及起吊至不同位置。(乙方仍须对卸下及起吊负责)。</w:t>
      </w:r>
    </w:p>
    <w:p>
      <w:pPr>
        <w:pStyle w:val="30"/>
        <w:spacing w:before="0" w:beforeLines="0"/>
        <w:ind w:left="567"/>
        <w:rPr>
          <w:color w:val="auto"/>
          <w:highlight w:val="none"/>
        </w:rPr>
      </w:pPr>
      <w:r>
        <w:rPr>
          <w:rFonts w:hint="eastAsia"/>
          <w:color w:val="auto"/>
          <w:highlight w:val="none"/>
        </w:rPr>
        <w:t>（9）供乙方使用场地上其它已有的设施。</w:t>
      </w:r>
    </w:p>
    <w:p>
      <w:pPr>
        <w:pStyle w:val="30"/>
        <w:numPr>
          <w:ilvl w:val="1"/>
          <w:numId w:val="2"/>
        </w:numPr>
        <w:spacing w:before="231"/>
        <w:rPr>
          <w:color w:val="auto"/>
          <w:highlight w:val="none"/>
        </w:rPr>
      </w:pPr>
      <w:r>
        <w:rPr>
          <w:rFonts w:hint="eastAsia"/>
          <w:color w:val="auto"/>
          <w:highlight w:val="none"/>
        </w:rPr>
        <w:t>下列工程由总包或其它专业进行，不包括在本合同内：</w:t>
      </w:r>
    </w:p>
    <w:p>
      <w:pPr>
        <w:pStyle w:val="30"/>
        <w:spacing w:before="0" w:beforeLines="0"/>
        <w:ind w:left="567"/>
        <w:rPr>
          <w:color w:val="auto"/>
          <w:highlight w:val="none"/>
        </w:rPr>
      </w:pPr>
      <w:r>
        <w:rPr>
          <w:rFonts w:hint="eastAsia"/>
          <w:color w:val="auto"/>
          <w:highlight w:val="none"/>
        </w:rPr>
        <w:t>（1）建造的电梯井，须有正确的结构及护墙、井道分隔梁、分隔墙，电梯坑须有适当深度、排水及防水(若需要)，有通风及足够尺寸的机械室，包括混凝土楼板，进门，爬梯及护栏等。若供应的电梯须改变电梯井，电梯坑及机房大小尺寸超过图纸上所示的结构限制，则须在合同签订时说明，否则一切修改补救工程的费用，概由乙方承担。</w:t>
      </w:r>
    </w:p>
    <w:p>
      <w:pPr>
        <w:pStyle w:val="30"/>
        <w:spacing w:before="0" w:beforeLines="0"/>
        <w:ind w:left="567"/>
        <w:rPr>
          <w:color w:val="auto"/>
          <w:highlight w:val="none"/>
        </w:rPr>
      </w:pPr>
      <w:r>
        <w:rPr>
          <w:rFonts w:hint="eastAsia"/>
          <w:color w:val="auto"/>
          <w:highlight w:val="none"/>
        </w:rPr>
        <w:t>（2）在电梯井预留适当入口以便安装电梯门。</w:t>
      </w:r>
    </w:p>
    <w:p>
      <w:pPr>
        <w:pStyle w:val="30"/>
        <w:spacing w:before="0" w:beforeLines="0"/>
        <w:ind w:left="567"/>
        <w:rPr>
          <w:color w:val="auto"/>
          <w:highlight w:val="none"/>
        </w:rPr>
      </w:pPr>
      <w:r>
        <w:rPr>
          <w:rFonts w:hint="eastAsia"/>
          <w:color w:val="auto"/>
          <w:highlight w:val="none"/>
        </w:rPr>
        <w:t>（3）用水泥及／或混凝土灌结托座、螺栓、框边、门坎、孔洞边等。</w:t>
      </w:r>
    </w:p>
    <w:p>
      <w:pPr>
        <w:pStyle w:val="30"/>
        <w:spacing w:before="0" w:beforeLines="0"/>
        <w:ind w:left="567"/>
        <w:rPr>
          <w:color w:val="auto"/>
          <w:highlight w:val="none"/>
        </w:rPr>
      </w:pPr>
      <w:r>
        <w:rPr>
          <w:rFonts w:hint="eastAsia"/>
          <w:color w:val="auto"/>
          <w:highlight w:val="none"/>
        </w:rPr>
        <w:t>（4）为机械室内线路板、主线开关、电梯、自动扶梯及其它施工地点提供三相电源及单相照明电力接驳点。</w:t>
      </w:r>
    </w:p>
    <w:p>
      <w:pPr>
        <w:pStyle w:val="30"/>
        <w:spacing w:before="0" w:beforeLines="0"/>
        <w:ind w:left="567"/>
        <w:rPr>
          <w:color w:val="auto"/>
          <w:highlight w:val="none"/>
        </w:rPr>
      </w:pPr>
      <w:r>
        <w:rPr>
          <w:rFonts w:hint="eastAsia"/>
          <w:color w:val="auto"/>
          <w:highlight w:val="none"/>
        </w:rPr>
        <w:t>（5）按要求在机械室及电梯大堂安装独立电源箱以提供临时电源或照明，以</w:t>
      </w:r>
      <w:r>
        <w:rPr>
          <w:color w:val="auto"/>
          <w:highlight w:val="none"/>
        </w:rPr>
        <w:t xml:space="preserve"> </w:t>
      </w:r>
      <w:r>
        <w:rPr>
          <w:rFonts w:hint="eastAsia"/>
          <w:color w:val="auto"/>
          <w:highlight w:val="none"/>
        </w:rPr>
        <w:t>供喷涂料、施工地点照明，试验及调整电梯装置等使用。</w:t>
      </w:r>
    </w:p>
    <w:p>
      <w:pPr>
        <w:pStyle w:val="30"/>
        <w:spacing w:before="0" w:beforeLines="0"/>
        <w:ind w:left="567"/>
        <w:rPr>
          <w:color w:val="auto"/>
          <w:highlight w:val="none"/>
        </w:rPr>
      </w:pPr>
      <w:r>
        <w:rPr>
          <w:rFonts w:hint="eastAsia"/>
          <w:color w:val="auto"/>
          <w:highlight w:val="none"/>
        </w:rPr>
        <w:t>（6）在电梯坑内附近提供电源。</w:t>
      </w:r>
    </w:p>
    <w:p>
      <w:pPr>
        <w:pStyle w:val="30"/>
        <w:spacing w:before="0" w:beforeLines="0"/>
        <w:ind w:left="567"/>
        <w:rPr>
          <w:color w:val="auto"/>
          <w:highlight w:val="none"/>
        </w:rPr>
      </w:pPr>
      <w:r>
        <w:rPr>
          <w:rFonts w:hint="eastAsia"/>
          <w:color w:val="auto"/>
          <w:highlight w:val="none"/>
        </w:rPr>
        <w:t>（7）提供电梯设备安装所需的孔洞，管子槽，底座，气孔。</w:t>
      </w:r>
    </w:p>
    <w:p>
      <w:pPr>
        <w:pStyle w:val="30"/>
        <w:spacing w:before="0" w:beforeLines="0"/>
        <w:ind w:left="567"/>
        <w:rPr>
          <w:color w:val="auto"/>
          <w:highlight w:val="none"/>
        </w:rPr>
      </w:pPr>
      <w:r>
        <w:rPr>
          <w:rFonts w:hint="eastAsia"/>
          <w:color w:val="auto"/>
          <w:highlight w:val="none"/>
        </w:rPr>
        <w:t>（8）提供电力供应及试验所需负荷，相关电费由乙方支付。</w:t>
      </w:r>
    </w:p>
    <w:p>
      <w:pPr>
        <w:pStyle w:val="30"/>
        <w:numPr>
          <w:ilvl w:val="1"/>
          <w:numId w:val="2"/>
        </w:numPr>
        <w:spacing w:before="231"/>
        <w:rPr>
          <w:color w:val="auto"/>
          <w:highlight w:val="none"/>
        </w:rPr>
      </w:pPr>
      <w:r>
        <w:rPr>
          <w:rFonts w:hint="eastAsia"/>
          <w:color w:val="auto"/>
          <w:highlight w:val="none"/>
        </w:rPr>
        <w:t>其它在图纸上没有列明而乙方要求的额外孔洞、隔墙、混凝土底座及支承、管道等，都会由总包提供。附带条件为乙方必须预先提供有关数据及要求给甲方和总包认可，及能让总包在展开有关工程前预先计划。</w:t>
      </w:r>
    </w:p>
    <w:p>
      <w:pPr>
        <w:pStyle w:val="30"/>
        <w:numPr>
          <w:ilvl w:val="1"/>
          <w:numId w:val="2"/>
        </w:numPr>
        <w:spacing w:before="231"/>
        <w:rPr>
          <w:color w:val="auto"/>
          <w:highlight w:val="none"/>
        </w:rPr>
      </w:pPr>
      <w:r>
        <w:rPr>
          <w:rFonts w:hint="eastAsia"/>
          <w:color w:val="auto"/>
          <w:highlight w:val="none"/>
        </w:rPr>
        <w:t>在甲方及总包认可后，乙方须负责在总包进行有关工程时，提供及标示此等工程的正确位置，尺寸及其它数据。乙方须负责因其未有遵从以上规定所引起的一切费用及相关责任。</w:t>
      </w:r>
    </w:p>
    <w:p>
      <w:pPr>
        <w:pStyle w:val="30"/>
        <w:numPr>
          <w:ilvl w:val="1"/>
          <w:numId w:val="2"/>
        </w:numPr>
        <w:spacing w:before="231"/>
        <w:rPr>
          <w:color w:val="auto"/>
          <w:highlight w:val="none"/>
        </w:rPr>
      </w:pPr>
      <w:r>
        <w:rPr>
          <w:rFonts w:hint="eastAsia"/>
          <w:color w:val="auto"/>
          <w:highlight w:val="none"/>
        </w:rPr>
        <w:t>上述各条所涉及乙方的工作项目是基于乙方对有关本工程项目的一般要求及责任的分担。任何其它未提及且为本工程所必须完成的工作，乙方须按要求提供完成。</w:t>
      </w:r>
    </w:p>
    <w:p>
      <w:pPr>
        <w:pStyle w:val="30"/>
        <w:numPr>
          <w:ilvl w:val="1"/>
          <w:numId w:val="2"/>
        </w:numPr>
        <w:spacing w:before="231"/>
        <w:rPr>
          <w:color w:val="auto"/>
          <w:highlight w:val="none"/>
        </w:rPr>
      </w:pPr>
      <w:r>
        <w:rPr>
          <w:rFonts w:hint="eastAsia"/>
          <w:color w:val="auto"/>
          <w:highlight w:val="none"/>
        </w:rPr>
        <w:t>乙方应尽量减少切除及修补工作，乙方应负责由于自己直接或间接的错误或遗漏而影响他人所进行工程，或因此而导致他人需要进行修改或修复等工作，一切费用，概由乙方负责。</w:t>
      </w:r>
    </w:p>
    <w:p>
      <w:pPr>
        <w:pStyle w:val="30"/>
        <w:numPr>
          <w:ilvl w:val="1"/>
          <w:numId w:val="2"/>
        </w:numPr>
        <w:spacing w:before="231"/>
        <w:rPr>
          <w:color w:val="auto"/>
          <w:highlight w:val="none"/>
        </w:rPr>
      </w:pPr>
      <w:r>
        <w:rPr>
          <w:rFonts w:hint="eastAsia"/>
          <w:color w:val="auto"/>
          <w:highlight w:val="none"/>
        </w:rPr>
        <w:t>施工前，乙方须向总包提供有关其工程的施工次序，及要求的管子槽、孔洞、榫眼等位置。未能与总包做好联系而导致有额外工程，增加的费用由乙方承担。</w:t>
      </w:r>
    </w:p>
    <w:p>
      <w:pPr>
        <w:pStyle w:val="30"/>
        <w:numPr>
          <w:ilvl w:val="1"/>
          <w:numId w:val="2"/>
        </w:numPr>
        <w:spacing w:before="231"/>
        <w:rPr>
          <w:color w:val="auto"/>
          <w:highlight w:val="none"/>
        </w:rPr>
      </w:pPr>
      <w:r>
        <w:rPr>
          <w:rFonts w:hint="eastAsia"/>
          <w:color w:val="auto"/>
          <w:highlight w:val="none"/>
        </w:rPr>
        <w:t>乙方应与总包联系获知其灌浇钢筋混凝土时间，以便给予他们足够时间安放预留在钢筋混凝土内的物件。</w:t>
      </w:r>
    </w:p>
    <w:p>
      <w:pPr>
        <w:pStyle w:val="30"/>
        <w:numPr>
          <w:ilvl w:val="1"/>
          <w:numId w:val="2"/>
        </w:numPr>
        <w:spacing w:before="231"/>
        <w:rPr>
          <w:color w:val="auto"/>
          <w:highlight w:val="none"/>
        </w:rPr>
      </w:pPr>
      <w:r>
        <w:rPr>
          <w:rFonts w:hint="eastAsia"/>
          <w:color w:val="auto"/>
          <w:highlight w:val="none"/>
        </w:rPr>
        <w:t>乙方须雇用合格工地测量员进行工程定位及须检查所有本工程的定位以达到甲方要求，并自行承担相关费用。定位基准及参考线由总包提供。乙方在工程开始前要核实所有尺寸和标高。如发现此等尺寸和标高与图纸有差异须立刻通知总包予以澄清。总包提供所需仪器及人力供甲方进行检查。甲方对定位检查，不会减轻或解除乙方对是否正确定位的责任。在本工程进行中，若发现位置、标高、尺寸及排列有错误时，乙方须按甲方要求，自费改正以上错误至符合本合同和甲方要求。</w:t>
      </w:r>
    </w:p>
    <w:p>
      <w:pPr>
        <w:pStyle w:val="30"/>
        <w:numPr>
          <w:ilvl w:val="1"/>
          <w:numId w:val="2"/>
        </w:numPr>
        <w:spacing w:before="231"/>
        <w:rPr>
          <w:color w:val="auto"/>
          <w:highlight w:val="none"/>
        </w:rPr>
      </w:pPr>
      <w:r>
        <w:rPr>
          <w:rFonts w:hint="eastAsia"/>
          <w:color w:val="auto"/>
          <w:highlight w:val="none"/>
        </w:rPr>
        <w:t>乙方在工程开始前，须检查有关已由其它人完成的工程项目，并考虑其位置、尺寸及其他影响本工程的项目(包括所有与本工程有关的地方)是否符合本工程需要。若此等已完成工程有错误或不符合本工程的需要，乙方须立刻以书面通知总包及甲方，否则即被认为乙方对已完的工程予以认可。</w:t>
      </w:r>
    </w:p>
    <w:p>
      <w:pPr>
        <w:pStyle w:val="30"/>
        <w:numPr>
          <w:ilvl w:val="1"/>
          <w:numId w:val="2"/>
        </w:numPr>
        <w:spacing w:before="231"/>
        <w:rPr>
          <w:color w:val="auto"/>
          <w:highlight w:val="none"/>
        </w:rPr>
      </w:pPr>
      <w:r>
        <w:rPr>
          <w:rFonts w:hint="eastAsia"/>
          <w:color w:val="auto"/>
          <w:highlight w:val="none"/>
        </w:rPr>
        <w:t>在适当的时间，乙方须书面向总包要求所需要的指示、水平或其它数据。若由于本合同工程的进行而影响总包及其它的工程，乙方有责任向总包提供有关遵从本合同规定的依据或资料，否则视为乙方违约，乙方需承担有关责任及费用。</w:t>
      </w:r>
    </w:p>
    <w:p>
      <w:pPr>
        <w:pStyle w:val="30"/>
        <w:numPr>
          <w:ilvl w:val="1"/>
          <w:numId w:val="2"/>
        </w:numPr>
        <w:spacing w:before="231"/>
        <w:rPr>
          <w:color w:val="auto"/>
          <w:highlight w:val="none"/>
        </w:rPr>
      </w:pPr>
      <w:r>
        <w:rPr>
          <w:rFonts w:hint="eastAsia"/>
          <w:color w:val="auto"/>
          <w:highlight w:val="none"/>
        </w:rPr>
        <w:t>关于用水用电，由乙方提出使用计划，总包供给本工程水源、电源点到现场，水电费用由乙方承担。乙方须自行提供上述以外一切所需事项，至于乙方对实际施工中的电源容量需求、保护开关的要求，配电盘具体设置楼层和位置以及要求配电盘中专用插头的指定，可在今后电梯施工专项协调会议上与总包进一步予以商谈明确。</w:t>
      </w:r>
    </w:p>
    <w:p>
      <w:pPr>
        <w:pStyle w:val="30"/>
        <w:numPr>
          <w:ilvl w:val="1"/>
          <w:numId w:val="2"/>
        </w:numPr>
        <w:spacing w:before="231"/>
        <w:rPr>
          <w:color w:val="auto"/>
          <w:highlight w:val="none"/>
        </w:rPr>
      </w:pPr>
      <w:r>
        <w:rPr>
          <w:rFonts w:hint="eastAsia"/>
          <w:color w:val="auto"/>
          <w:highlight w:val="none"/>
        </w:rPr>
        <w:t>除施工总承包合同中已有提供者外，乙方须自费提供及架设一切所需车间、储存仓或其它建筑物供本身雇员及工人使用。架设地点由总包指示。</w:t>
      </w:r>
    </w:p>
    <w:p>
      <w:pPr>
        <w:pStyle w:val="29"/>
        <w:numPr>
          <w:ilvl w:val="0"/>
          <w:numId w:val="2"/>
        </w:numPr>
        <w:spacing w:before="231" w:beforeLines="50"/>
        <w:ind w:left="351" w:hanging="351" w:hangingChars="125"/>
        <w:rPr>
          <w:color w:val="auto"/>
          <w:highlight w:val="none"/>
        </w:rPr>
      </w:pPr>
      <w:bookmarkStart w:id="11" w:name="_Toc529972322"/>
      <w:r>
        <w:rPr>
          <w:rFonts w:hint="eastAsia"/>
          <w:color w:val="auto"/>
          <w:highlight w:val="none"/>
        </w:rPr>
        <w:t>调试、测试和检验</w:t>
      </w:r>
      <w:bookmarkEnd w:id="11"/>
    </w:p>
    <w:p>
      <w:pPr>
        <w:pStyle w:val="30"/>
        <w:numPr>
          <w:ilvl w:val="1"/>
          <w:numId w:val="2"/>
        </w:numPr>
        <w:spacing w:before="231"/>
        <w:rPr>
          <w:color w:val="auto"/>
          <w:highlight w:val="none"/>
        </w:rPr>
      </w:pPr>
      <w:r>
        <w:rPr>
          <w:rFonts w:hint="eastAsia"/>
          <w:color w:val="auto"/>
          <w:highlight w:val="none"/>
        </w:rPr>
        <w:t>调试测试的质量及费用</w:t>
      </w:r>
    </w:p>
    <w:p>
      <w:pPr>
        <w:pStyle w:val="30"/>
        <w:spacing w:before="0" w:beforeLines="0"/>
        <w:ind w:left="567"/>
        <w:rPr>
          <w:color w:val="auto"/>
          <w:highlight w:val="none"/>
        </w:rPr>
      </w:pPr>
      <w:r>
        <w:rPr>
          <w:rFonts w:hint="eastAsia"/>
          <w:color w:val="auto"/>
          <w:highlight w:val="none"/>
        </w:rPr>
        <w:t>本工程电梯由乙方负责调试及各项测试，检验标准应符合合同技术规格书，经本工程所在地技术监督部门验收合格并经甲方验收合格后交付使用。调试过程中，确系产品质量与规定不符或系统服务不佳(包括辅料漏供等)，乙方在接到甲方通知后7个日历天内派员进行技术论证，并负责解决质量问题,且其间往返的交通、食宿等一切费用均由乙方自行承担。</w:t>
      </w:r>
    </w:p>
    <w:p>
      <w:pPr>
        <w:pStyle w:val="30"/>
        <w:numPr>
          <w:ilvl w:val="1"/>
          <w:numId w:val="2"/>
        </w:numPr>
        <w:spacing w:before="231"/>
        <w:rPr>
          <w:color w:val="auto"/>
          <w:highlight w:val="none"/>
        </w:rPr>
      </w:pPr>
      <w:r>
        <w:rPr>
          <w:rFonts w:hint="eastAsia"/>
          <w:color w:val="auto"/>
          <w:highlight w:val="none"/>
        </w:rPr>
        <w:t>调试检验内容：</w:t>
      </w:r>
    </w:p>
    <w:p>
      <w:pPr>
        <w:pStyle w:val="30"/>
        <w:spacing w:before="0" w:beforeLines="0"/>
        <w:ind w:left="567"/>
        <w:rPr>
          <w:color w:val="auto"/>
          <w:highlight w:val="none"/>
        </w:rPr>
      </w:pPr>
      <w:r>
        <w:rPr>
          <w:rFonts w:hint="eastAsia"/>
          <w:color w:val="auto"/>
          <w:highlight w:val="none"/>
        </w:rPr>
        <w:t>(1) 运行试验(包括电动机制动器和提升机械)；</w:t>
      </w:r>
    </w:p>
    <w:p>
      <w:pPr>
        <w:pStyle w:val="30"/>
        <w:spacing w:before="0" w:beforeLines="0"/>
        <w:ind w:left="567"/>
        <w:rPr>
          <w:color w:val="auto"/>
          <w:highlight w:val="none"/>
        </w:rPr>
      </w:pPr>
      <w:r>
        <w:rPr>
          <w:rFonts w:hint="eastAsia"/>
          <w:color w:val="auto"/>
          <w:highlight w:val="none"/>
        </w:rPr>
        <w:t>(2) 荷载试验；</w:t>
      </w:r>
    </w:p>
    <w:p>
      <w:pPr>
        <w:pStyle w:val="30"/>
        <w:spacing w:before="0" w:beforeLines="0"/>
        <w:ind w:left="567"/>
        <w:rPr>
          <w:color w:val="auto"/>
          <w:highlight w:val="none"/>
        </w:rPr>
      </w:pPr>
      <w:r>
        <w:rPr>
          <w:rFonts w:hint="eastAsia"/>
          <w:color w:val="auto"/>
          <w:highlight w:val="none"/>
        </w:rPr>
        <w:t>(3) 调速限速试验；</w:t>
      </w:r>
    </w:p>
    <w:p>
      <w:pPr>
        <w:pStyle w:val="30"/>
        <w:spacing w:before="0" w:beforeLines="0"/>
        <w:ind w:left="567"/>
        <w:rPr>
          <w:color w:val="auto"/>
          <w:highlight w:val="none"/>
        </w:rPr>
      </w:pPr>
      <w:r>
        <w:rPr>
          <w:rFonts w:hint="eastAsia"/>
          <w:color w:val="auto"/>
          <w:highlight w:val="none"/>
        </w:rPr>
        <w:t>(4) 安全保护试验(包括门的安全开关、落底、冲顶安全装置等)；</w:t>
      </w:r>
    </w:p>
    <w:p>
      <w:pPr>
        <w:pStyle w:val="30"/>
        <w:spacing w:before="0" w:beforeLines="0"/>
        <w:ind w:left="567"/>
        <w:rPr>
          <w:color w:val="auto"/>
          <w:highlight w:val="none"/>
        </w:rPr>
      </w:pPr>
      <w:r>
        <w:rPr>
          <w:rFonts w:hint="eastAsia"/>
          <w:color w:val="auto"/>
          <w:highlight w:val="none"/>
        </w:rPr>
        <w:t>(5) 其它各项有关功能试验：</w:t>
      </w:r>
    </w:p>
    <w:p>
      <w:pPr>
        <w:pStyle w:val="30"/>
        <w:numPr>
          <w:ilvl w:val="1"/>
          <w:numId w:val="2"/>
        </w:numPr>
        <w:spacing w:before="231"/>
        <w:rPr>
          <w:color w:val="auto"/>
          <w:highlight w:val="none"/>
        </w:rPr>
      </w:pPr>
      <w:r>
        <w:rPr>
          <w:rFonts w:hint="eastAsia"/>
          <w:color w:val="auto"/>
          <w:highlight w:val="none"/>
        </w:rPr>
        <w:t>有关电梯制造安装的测试、检验的主要依据及工程质量标准应为本合同约定的标准（包括但不限于附件二）及中华人民共和国有关电梯的现行国家规范标准，包括但不限于以下：</w:t>
      </w:r>
    </w:p>
    <w:p>
      <w:pPr>
        <w:pStyle w:val="30"/>
        <w:spacing w:before="0" w:beforeLines="0"/>
        <w:ind w:left="567"/>
        <w:rPr>
          <w:color w:val="auto"/>
          <w:highlight w:val="none"/>
        </w:rPr>
      </w:pPr>
      <w:r>
        <w:rPr>
          <w:rFonts w:hint="eastAsia"/>
          <w:color w:val="auto"/>
          <w:highlight w:val="none"/>
        </w:rPr>
        <w:t>《电梯技术条件》GB10058；</w:t>
      </w:r>
    </w:p>
    <w:p>
      <w:pPr>
        <w:pStyle w:val="30"/>
        <w:spacing w:before="0" w:beforeLines="0"/>
        <w:ind w:left="567"/>
        <w:rPr>
          <w:color w:val="auto"/>
          <w:highlight w:val="none"/>
        </w:rPr>
      </w:pPr>
      <w:r>
        <w:rPr>
          <w:rFonts w:hint="eastAsia"/>
          <w:color w:val="auto"/>
          <w:highlight w:val="none"/>
        </w:rPr>
        <w:t>《电梯制造与安装安全规范》GB7588；</w:t>
      </w:r>
    </w:p>
    <w:p>
      <w:pPr>
        <w:pStyle w:val="30"/>
        <w:spacing w:before="0" w:beforeLines="0"/>
        <w:ind w:left="567"/>
        <w:rPr>
          <w:color w:val="auto"/>
          <w:highlight w:val="none"/>
        </w:rPr>
      </w:pPr>
      <w:r>
        <w:rPr>
          <w:rFonts w:hint="eastAsia"/>
          <w:color w:val="auto"/>
          <w:highlight w:val="none"/>
        </w:rPr>
        <w:t>《电梯试验方法》GB10059；</w:t>
      </w:r>
    </w:p>
    <w:p>
      <w:pPr>
        <w:pStyle w:val="30"/>
        <w:spacing w:before="0" w:beforeLines="0"/>
        <w:ind w:left="567"/>
        <w:rPr>
          <w:color w:val="auto"/>
          <w:highlight w:val="none"/>
        </w:rPr>
      </w:pPr>
      <w:r>
        <w:rPr>
          <w:rFonts w:hint="eastAsia"/>
          <w:color w:val="auto"/>
          <w:highlight w:val="none"/>
        </w:rPr>
        <w:t>《电梯主要参数及轿厢、井道、机房的形式及尺寸》GB7025；</w:t>
      </w:r>
    </w:p>
    <w:p>
      <w:pPr>
        <w:pStyle w:val="30"/>
        <w:spacing w:before="0" w:beforeLines="0"/>
        <w:ind w:left="567"/>
        <w:rPr>
          <w:color w:val="auto"/>
          <w:highlight w:val="none"/>
        </w:rPr>
      </w:pPr>
      <w:r>
        <w:rPr>
          <w:rFonts w:hint="eastAsia"/>
          <w:color w:val="auto"/>
          <w:highlight w:val="none"/>
        </w:rPr>
        <w:t>《机械设备安装工程电梯电气装置施工及验收规范》GB50182 ；</w:t>
      </w:r>
    </w:p>
    <w:p>
      <w:pPr>
        <w:pStyle w:val="30"/>
        <w:spacing w:before="0" w:beforeLines="0"/>
        <w:ind w:left="567"/>
        <w:rPr>
          <w:color w:val="auto"/>
          <w:highlight w:val="none"/>
        </w:rPr>
      </w:pPr>
      <w:r>
        <w:rPr>
          <w:rFonts w:hint="eastAsia"/>
          <w:color w:val="auto"/>
          <w:highlight w:val="none"/>
        </w:rPr>
        <w:t>《电梯工程施工质量验收规范》GB50310；</w:t>
      </w:r>
    </w:p>
    <w:p>
      <w:pPr>
        <w:pStyle w:val="30"/>
        <w:spacing w:before="0" w:beforeLines="0"/>
        <w:ind w:left="567"/>
        <w:rPr>
          <w:color w:val="auto"/>
          <w:highlight w:val="none"/>
        </w:rPr>
      </w:pPr>
      <w:r>
        <w:rPr>
          <w:rFonts w:hint="eastAsia"/>
          <w:color w:val="auto"/>
          <w:highlight w:val="none"/>
        </w:rPr>
        <w:t>《自动扶梯和自动人行道的制造与安装安全规范》GB16899；</w:t>
      </w:r>
    </w:p>
    <w:p>
      <w:pPr>
        <w:pStyle w:val="30"/>
        <w:spacing w:before="0" w:beforeLines="0"/>
        <w:ind w:left="567"/>
        <w:rPr>
          <w:color w:val="auto"/>
          <w:highlight w:val="none"/>
        </w:rPr>
      </w:pPr>
      <w:r>
        <w:rPr>
          <w:rFonts w:hint="eastAsia"/>
          <w:color w:val="auto"/>
          <w:highlight w:val="none"/>
        </w:rPr>
        <w:t>《消防电梯制造与安装安全规范》GB26465。</w:t>
      </w:r>
    </w:p>
    <w:p>
      <w:pPr>
        <w:pStyle w:val="30"/>
        <w:spacing w:before="0" w:beforeLines="0"/>
        <w:ind w:left="567"/>
        <w:rPr>
          <w:color w:val="auto"/>
          <w:highlight w:val="none"/>
        </w:rPr>
      </w:pPr>
      <w:r>
        <w:rPr>
          <w:rFonts w:hint="eastAsia"/>
          <w:color w:val="auto"/>
          <w:highlight w:val="none"/>
        </w:rPr>
        <w:t>其它各项有关功能检验。</w:t>
      </w:r>
    </w:p>
    <w:p>
      <w:pPr>
        <w:pStyle w:val="30"/>
        <w:spacing w:before="0" w:beforeLines="0"/>
        <w:ind w:left="567"/>
        <w:rPr>
          <w:color w:val="auto"/>
          <w:highlight w:val="none"/>
        </w:rPr>
      </w:pPr>
      <w:r>
        <w:rPr>
          <w:rFonts w:hint="eastAsia"/>
          <w:color w:val="auto"/>
          <w:highlight w:val="none"/>
        </w:rPr>
        <w:t>以上规范应以最新公布的版本为准，标准不一致的以标准高者或严者为准。</w:t>
      </w:r>
    </w:p>
    <w:p>
      <w:pPr>
        <w:pStyle w:val="29"/>
        <w:numPr>
          <w:ilvl w:val="0"/>
          <w:numId w:val="2"/>
        </w:numPr>
        <w:spacing w:before="231" w:beforeLines="50"/>
        <w:ind w:left="351" w:hanging="351" w:hangingChars="125"/>
        <w:rPr>
          <w:color w:val="auto"/>
          <w:highlight w:val="none"/>
        </w:rPr>
      </w:pPr>
      <w:bookmarkStart w:id="12" w:name="_Toc529972323"/>
      <w:r>
        <w:rPr>
          <w:rFonts w:hint="eastAsia"/>
          <w:color w:val="auto"/>
          <w:highlight w:val="none"/>
        </w:rPr>
        <w:t>安装及验收交付</w:t>
      </w:r>
      <w:bookmarkEnd w:id="12"/>
    </w:p>
    <w:p>
      <w:pPr>
        <w:pStyle w:val="30"/>
        <w:numPr>
          <w:ilvl w:val="1"/>
          <w:numId w:val="2"/>
        </w:numPr>
        <w:spacing w:before="231"/>
        <w:rPr>
          <w:color w:val="auto"/>
          <w:highlight w:val="none"/>
        </w:rPr>
      </w:pPr>
      <w:r>
        <w:rPr>
          <w:rFonts w:hint="eastAsia" w:hAnsi="宋体"/>
          <w:color w:val="auto"/>
          <w:szCs w:val="24"/>
          <w:highlight w:val="none"/>
        </w:rPr>
        <w:t>乙方负责检查电梯井道尺寸及标高偏差，超出允许偏差的及时协调甲方、总包进行修正，确保电梯安装顺利进行。</w:t>
      </w:r>
    </w:p>
    <w:p>
      <w:pPr>
        <w:pStyle w:val="30"/>
        <w:numPr>
          <w:ilvl w:val="1"/>
          <w:numId w:val="2"/>
        </w:numPr>
        <w:spacing w:before="231"/>
        <w:rPr>
          <w:rFonts w:hAnsi="宋体"/>
          <w:color w:val="auto"/>
          <w:szCs w:val="24"/>
          <w:highlight w:val="none"/>
        </w:rPr>
      </w:pPr>
      <w:r>
        <w:rPr>
          <w:rFonts w:hint="eastAsia" w:hAnsi="宋体"/>
          <w:color w:val="auto"/>
          <w:szCs w:val="24"/>
          <w:highlight w:val="none"/>
        </w:rPr>
        <w:t>乙方须负责本工程、与本工程有关、附近的所有临时或永久建筑物、设备、市政配套设施、消防通道或其它财产的保护工作，施工期间做好井道及门洞的遮挡、屏蔽等防护措施，确保现场所有人员和物品的安全，保护其管辖范围内的人身、财物和工程处于良好的状态。乙方须承担与本工程有关或本工程所致的任何人身、财产损害的费用和责任，发生损坏、造成甲方和他人损失的由乙方承担全部责任和费用，并由乙方自费修复、赔偿等；若甲方因有关程序或法律规定因此需先行或共同承担责任或遭受损失的，由乙方予以赔偿（甲方可从应付的本合同的合同价款中抵扣）。</w:t>
      </w:r>
    </w:p>
    <w:p>
      <w:pPr>
        <w:pStyle w:val="30"/>
        <w:spacing w:before="231"/>
        <w:ind w:left="567"/>
        <w:rPr>
          <w:rFonts w:hAnsi="宋体"/>
          <w:color w:val="auto"/>
          <w:szCs w:val="24"/>
          <w:highlight w:val="none"/>
        </w:rPr>
      </w:pPr>
      <w:r>
        <w:rPr>
          <w:rFonts w:hint="eastAsia" w:hAnsi="宋体"/>
          <w:color w:val="auto"/>
          <w:szCs w:val="24"/>
          <w:highlight w:val="none"/>
        </w:rPr>
        <w:t>在全部工程竣工验收前，乙方应采取适当的措施，对电梯及其所施工或管理的设备、工具、管件、绝缘体等进行保护，防止建筑施工、恶劣天气或其它原因对其造成损坏。在工程施工期间，管件、管道等的一切管端均应适当的加上盖面，以防止有异物进入。</w:t>
      </w:r>
    </w:p>
    <w:p>
      <w:pPr>
        <w:pStyle w:val="30"/>
        <w:numPr>
          <w:ilvl w:val="1"/>
          <w:numId w:val="2"/>
        </w:numPr>
        <w:spacing w:before="231"/>
        <w:rPr>
          <w:rFonts w:hAnsi="宋体"/>
          <w:color w:val="auto"/>
          <w:szCs w:val="24"/>
          <w:highlight w:val="none"/>
        </w:rPr>
      </w:pPr>
      <w:r>
        <w:rPr>
          <w:rFonts w:hint="eastAsia" w:hAnsi="宋体"/>
          <w:color w:val="auto"/>
          <w:szCs w:val="24"/>
          <w:highlight w:val="none"/>
        </w:rPr>
        <w:t>乙方接受进场施工时的现场状况，自费负责现场的清理、搬迁等工作，并服从总包对整个工程的管理和协调工作，配合其他施工单位的施工。在施工全过程中，配合总包做好施工现场的安全文明施工，服从总包的安全文明施工管理。</w:t>
      </w:r>
    </w:p>
    <w:p>
      <w:pPr>
        <w:pStyle w:val="30"/>
        <w:numPr>
          <w:ilvl w:val="1"/>
          <w:numId w:val="2"/>
        </w:numPr>
        <w:spacing w:before="231"/>
        <w:rPr>
          <w:rFonts w:hAnsi="宋体"/>
          <w:color w:val="auto"/>
          <w:szCs w:val="24"/>
          <w:highlight w:val="none"/>
        </w:rPr>
      </w:pPr>
      <w:r>
        <w:rPr>
          <w:rFonts w:hint="eastAsia" w:hAnsi="宋体"/>
          <w:color w:val="auto"/>
          <w:szCs w:val="24"/>
          <w:highlight w:val="none"/>
        </w:rPr>
        <w:t>因乙方的工作错漏而直接或间接地导致其他施工单位未能很好地配合,或导致其他工程需要进行更改或修复的，全部费用和责任由乙方承担。</w:t>
      </w:r>
    </w:p>
    <w:p>
      <w:pPr>
        <w:pStyle w:val="30"/>
        <w:numPr>
          <w:ilvl w:val="1"/>
          <w:numId w:val="2"/>
        </w:numPr>
        <w:spacing w:before="231"/>
        <w:rPr>
          <w:color w:val="auto"/>
          <w:highlight w:val="none"/>
        </w:rPr>
      </w:pPr>
      <w:r>
        <w:rPr>
          <w:rFonts w:hint="eastAsia" w:hAnsi="宋体"/>
          <w:color w:val="auto"/>
          <w:szCs w:val="24"/>
          <w:highlight w:val="none"/>
        </w:rPr>
        <w:t>乙方必须按照本合同及附件、甲方确认的施工图纸、技术文件、施工规范及甲方指令严格进行施工，确保施工质量。</w:t>
      </w:r>
      <w:r>
        <w:rPr>
          <w:rFonts w:hint="eastAsia"/>
          <w:color w:val="auto"/>
          <w:highlight w:val="none"/>
        </w:rPr>
        <w:t>若电梯设备的安装与其它施工单位存在交叉或接口界面工程时，乙方有义务按照相关国家标准和验收规范做出相应的技术指导和配合，必要时乙方应提供清晰的书面指引或澄清，否则由此产生的电梯复检、相关整改费用由乙方负责。</w:t>
      </w:r>
    </w:p>
    <w:p>
      <w:pPr>
        <w:pStyle w:val="30"/>
        <w:numPr>
          <w:ilvl w:val="1"/>
          <w:numId w:val="2"/>
        </w:numPr>
        <w:spacing w:before="231"/>
        <w:rPr>
          <w:color w:val="auto"/>
          <w:highlight w:val="none"/>
        </w:rPr>
      </w:pPr>
      <w:r>
        <w:rPr>
          <w:rFonts w:hint="eastAsia"/>
          <w:color w:val="auto"/>
          <w:highlight w:val="none"/>
        </w:rPr>
        <w:t>本合同所有电梯安装、调试、测试、检验完毕后</w:t>
      </w:r>
      <w:r>
        <w:rPr>
          <w:rFonts w:hint="eastAsia"/>
          <w:color w:val="auto"/>
          <w:szCs w:val="22"/>
          <w:highlight w:val="none"/>
        </w:rPr>
        <w:t>7个日历天内</w:t>
      </w:r>
      <w:r>
        <w:rPr>
          <w:rFonts w:hint="eastAsia"/>
          <w:color w:val="auto"/>
          <w:highlight w:val="none"/>
        </w:rPr>
        <w:t>，乙方应向有资质的电梯检测机构申请验收工作，取得检验合格报告书、安全检验合格证后7个日历天内，向工程所在地质量技术监督局申请电梯设备使用登记证，取得电梯设备使用登记证后7个日历天内向甲方申请竣工验收，经甲方最终验收合格后将全部电梯及竣工资料(含保养手册)于本</w:t>
      </w:r>
      <w:r>
        <w:rPr>
          <w:rFonts w:hint="eastAsia" w:hAnsi="楷体_GB2312" w:cs="楷体_GB2312"/>
          <w:color w:val="auto"/>
          <w:highlight w:val="none"/>
        </w:rPr>
        <w:t>工程</w:t>
      </w:r>
      <w:r>
        <w:rPr>
          <w:rFonts w:hint="eastAsia"/>
          <w:color w:val="auto"/>
          <w:highlight w:val="none"/>
        </w:rPr>
        <w:t>交付甲方使用时一并交付给甲方。</w:t>
      </w:r>
    </w:p>
    <w:p>
      <w:pPr>
        <w:pStyle w:val="30"/>
        <w:numPr>
          <w:ilvl w:val="1"/>
          <w:numId w:val="2"/>
        </w:numPr>
        <w:spacing w:before="231"/>
        <w:rPr>
          <w:color w:val="auto"/>
          <w:highlight w:val="none"/>
        </w:rPr>
      </w:pPr>
      <w:r>
        <w:rPr>
          <w:rFonts w:hint="eastAsia"/>
          <w:color w:val="auto"/>
          <w:highlight w:val="none"/>
        </w:rPr>
        <w:t>电梯设备的交付以全部电梯设备安装、调试、测试、检验完毕，并取得检验合格报告书、安全检验合格证以及电梯设备使用登记证，且本项目整体工程交付甲方使用为标准。</w:t>
      </w:r>
    </w:p>
    <w:p>
      <w:pPr>
        <w:pStyle w:val="30"/>
        <w:numPr>
          <w:ilvl w:val="1"/>
          <w:numId w:val="2"/>
        </w:numPr>
        <w:spacing w:before="231"/>
        <w:rPr>
          <w:color w:val="auto"/>
          <w:highlight w:val="none"/>
        </w:rPr>
      </w:pPr>
      <w:r>
        <w:rPr>
          <w:rFonts w:hint="eastAsia"/>
          <w:color w:val="auto"/>
          <w:highlight w:val="none"/>
        </w:rPr>
        <w:t>在电梯交付前，乙方应对电梯做好成品保护措施以保证电梯免遭破坏、毁损和刮花。在取得电梯设备使用登记证后，乙方有义务应甲方要求对电梯进行进一步调试，确保电梯正常运行（包括本项目装修阶段及甲方装修阶段）。在电梯未正式移交甲方之前，乙方对电梯负有完全保护责任。如因乙方保护不力而造成损坏，由乙方无条件负责修复，并承担相应的损失。</w:t>
      </w:r>
    </w:p>
    <w:p>
      <w:pPr>
        <w:pStyle w:val="30"/>
        <w:numPr>
          <w:ilvl w:val="1"/>
          <w:numId w:val="2"/>
        </w:numPr>
        <w:spacing w:before="231"/>
        <w:rPr>
          <w:color w:val="auto"/>
          <w:highlight w:val="none"/>
        </w:rPr>
      </w:pPr>
      <w:r>
        <w:rPr>
          <w:rFonts w:hint="eastAsia"/>
          <w:color w:val="auto"/>
          <w:highlight w:val="none"/>
        </w:rPr>
        <w:t>乙方应于本工程验收合格后15个日历天内自费拆除、搬离不合格的全部电梯设备、并将场地清理干净，从施工场地搬走或清除其设备、材料、垃圾等，保持现场和工程清洁整齐，撤离现场。</w:t>
      </w:r>
    </w:p>
    <w:p>
      <w:pPr>
        <w:pStyle w:val="29"/>
        <w:numPr>
          <w:ilvl w:val="0"/>
          <w:numId w:val="2"/>
        </w:numPr>
        <w:spacing w:before="231" w:beforeLines="50"/>
        <w:ind w:left="351" w:hanging="351" w:hangingChars="125"/>
        <w:rPr>
          <w:color w:val="auto"/>
          <w:highlight w:val="none"/>
        </w:rPr>
      </w:pPr>
      <w:bookmarkStart w:id="13" w:name="_Toc529972324"/>
      <w:r>
        <w:rPr>
          <w:rFonts w:hint="eastAsia"/>
          <w:color w:val="auto"/>
          <w:highlight w:val="none"/>
        </w:rPr>
        <w:t>技术文件</w:t>
      </w:r>
      <w:bookmarkEnd w:id="13"/>
    </w:p>
    <w:p>
      <w:pPr>
        <w:pStyle w:val="30"/>
        <w:spacing w:before="231"/>
        <w:ind w:left="567"/>
        <w:rPr>
          <w:color w:val="auto"/>
          <w:highlight w:val="none"/>
        </w:rPr>
      </w:pPr>
      <w:r>
        <w:rPr>
          <w:rFonts w:hint="eastAsia"/>
          <w:color w:val="auto"/>
          <w:highlight w:val="none"/>
        </w:rPr>
        <w:t>乙方在交付电梯时应向甲方提供以下中文技术文件，并保证其正确性、合法有效性。</w:t>
      </w:r>
    </w:p>
    <w:p>
      <w:pPr>
        <w:pStyle w:val="30"/>
        <w:spacing w:before="0" w:beforeLines="0"/>
        <w:ind w:left="567"/>
        <w:rPr>
          <w:color w:val="auto"/>
          <w:highlight w:val="none"/>
        </w:rPr>
      </w:pPr>
      <w:r>
        <w:rPr>
          <w:rFonts w:hint="eastAsia"/>
          <w:color w:val="auto"/>
          <w:highlight w:val="none"/>
        </w:rPr>
        <w:t>（1）电梯的安装、调试、验收规范；</w:t>
      </w:r>
    </w:p>
    <w:p>
      <w:pPr>
        <w:pStyle w:val="30"/>
        <w:spacing w:before="0" w:beforeLines="0"/>
        <w:ind w:left="567"/>
        <w:rPr>
          <w:color w:val="auto"/>
          <w:highlight w:val="none"/>
        </w:rPr>
      </w:pPr>
      <w:r>
        <w:rPr>
          <w:rFonts w:hint="eastAsia"/>
          <w:color w:val="auto"/>
          <w:highlight w:val="none"/>
        </w:rPr>
        <w:t>（2）电梯的安装、调试说明书；</w:t>
      </w:r>
    </w:p>
    <w:p>
      <w:pPr>
        <w:pStyle w:val="30"/>
        <w:spacing w:before="0" w:beforeLines="0"/>
        <w:ind w:left="567"/>
        <w:rPr>
          <w:color w:val="auto"/>
          <w:highlight w:val="none"/>
        </w:rPr>
      </w:pPr>
      <w:r>
        <w:rPr>
          <w:rFonts w:hint="eastAsia"/>
          <w:color w:val="auto"/>
          <w:highlight w:val="none"/>
        </w:rPr>
        <w:t>（3）电梯机房、井道和轿厢平面布置及设备基础图、安装图；</w:t>
      </w:r>
    </w:p>
    <w:p>
      <w:pPr>
        <w:pStyle w:val="30"/>
        <w:spacing w:before="0" w:beforeLines="0"/>
        <w:ind w:left="567"/>
        <w:rPr>
          <w:color w:val="auto"/>
          <w:highlight w:val="none"/>
        </w:rPr>
      </w:pPr>
      <w:r>
        <w:rPr>
          <w:rFonts w:hint="eastAsia"/>
          <w:color w:val="auto"/>
          <w:highlight w:val="none"/>
        </w:rPr>
        <w:t>（4）电梯部件安装图；</w:t>
      </w:r>
    </w:p>
    <w:p>
      <w:pPr>
        <w:pStyle w:val="30"/>
        <w:spacing w:before="0" w:beforeLines="0"/>
        <w:ind w:left="567"/>
        <w:rPr>
          <w:color w:val="auto"/>
          <w:highlight w:val="none"/>
        </w:rPr>
      </w:pPr>
      <w:r>
        <w:rPr>
          <w:rFonts w:hint="eastAsia"/>
          <w:color w:val="auto"/>
          <w:highlight w:val="none"/>
        </w:rPr>
        <w:t>（5）设备基础图、安装图及技术要求；</w:t>
      </w:r>
    </w:p>
    <w:p>
      <w:pPr>
        <w:pStyle w:val="30"/>
        <w:spacing w:before="0" w:beforeLines="0"/>
        <w:ind w:left="567"/>
        <w:rPr>
          <w:color w:val="auto"/>
          <w:highlight w:val="none"/>
        </w:rPr>
      </w:pPr>
      <w:r>
        <w:rPr>
          <w:rFonts w:hint="eastAsia"/>
          <w:color w:val="auto"/>
          <w:highlight w:val="none"/>
        </w:rPr>
        <w:t>（6）电梯电气原理图。</w:t>
      </w:r>
    </w:p>
    <w:p>
      <w:pPr>
        <w:pStyle w:val="29"/>
        <w:numPr>
          <w:ilvl w:val="0"/>
          <w:numId w:val="2"/>
        </w:numPr>
        <w:spacing w:before="231" w:beforeLines="50"/>
        <w:ind w:left="351" w:hanging="351" w:hangingChars="125"/>
        <w:rPr>
          <w:rFonts w:hAnsi="宋体"/>
          <w:color w:val="auto"/>
          <w:szCs w:val="24"/>
          <w:highlight w:val="none"/>
        </w:rPr>
      </w:pPr>
      <w:bookmarkStart w:id="14" w:name="_Toc529972325"/>
      <w:bookmarkStart w:id="15" w:name="_Toc390178029"/>
      <w:r>
        <w:rPr>
          <w:rFonts w:hint="eastAsia"/>
          <w:color w:val="auto"/>
          <w:highlight w:val="none"/>
        </w:rPr>
        <w:t>保修、保养及维护</w:t>
      </w:r>
      <w:bookmarkEnd w:id="14"/>
    </w:p>
    <w:p>
      <w:pPr>
        <w:pStyle w:val="30"/>
        <w:numPr>
          <w:ilvl w:val="1"/>
          <w:numId w:val="2"/>
        </w:numPr>
        <w:spacing w:before="231"/>
        <w:rPr>
          <w:rFonts w:hAnsi="宋体"/>
          <w:color w:val="auto"/>
          <w:szCs w:val="24"/>
          <w:highlight w:val="none"/>
        </w:rPr>
      </w:pPr>
      <w:r>
        <w:rPr>
          <w:rFonts w:hint="eastAsia" w:hAnsi="宋体"/>
          <w:color w:val="auto"/>
          <w:szCs w:val="24"/>
          <w:highlight w:val="none"/>
        </w:rPr>
        <w:t>本工程质量保修期为24个月，自</w:t>
      </w:r>
      <w:r>
        <w:rPr>
          <w:rFonts w:hint="eastAsia"/>
          <w:color w:val="auto"/>
          <w:highlight w:val="none"/>
        </w:rPr>
        <w:t>电梯安装、调试、测试、检验完毕，</w:t>
      </w:r>
      <w:r>
        <w:rPr>
          <w:rFonts w:hint="eastAsia" w:hAnsi="宋体"/>
          <w:color w:val="auto"/>
          <w:szCs w:val="24"/>
          <w:highlight w:val="none"/>
        </w:rPr>
        <w:t>乙方及电梯设备供货单位向有资质的电梯设备检测检验机构申请检验报告书，工程竣工验收合格</w:t>
      </w:r>
      <w:r>
        <w:rPr>
          <w:rFonts w:hint="eastAsia" w:ascii="Calibri" w:hAnsi="Calibri"/>
          <w:color w:val="auto"/>
          <w:szCs w:val="24"/>
          <w:highlight w:val="none"/>
        </w:rPr>
        <w:t>、</w:t>
      </w:r>
      <w:r>
        <w:rPr>
          <w:rFonts w:hint="eastAsia"/>
          <w:color w:val="auto"/>
          <w:highlight w:val="none"/>
        </w:rPr>
        <w:t>取得检验合格报告书、安全检验合格证及电梯设备使用登记证</w:t>
      </w:r>
      <w:r>
        <w:rPr>
          <w:rFonts w:hint="eastAsia" w:hAnsi="宋体"/>
          <w:color w:val="auto"/>
          <w:szCs w:val="24"/>
          <w:highlight w:val="none"/>
        </w:rPr>
        <w:t>，且本工程</w:t>
      </w:r>
      <w:r>
        <w:rPr>
          <w:rFonts w:hint="eastAsia"/>
          <w:color w:val="auto"/>
          <w:highlight w:val="none"/>
        </w:rPr>
        <w:t>竣工资料</w:t>
      </w:r>
      <w:r>
        <w:rPr>
          <w:rFonts w:hint="eastAsia" w:hAnsi="宋体"/>
          <w:color w:val="auto"/>
          <w:szCs w:val="24"/>
          <w:highlight w:val="none"/>
        </w:rPr>
        <w:t>交付甲方使用之日起计算。</w:t>
      </w:r>
    </w:p>
    <w:p>
      <w:pPr>
        <w:pStyle w:val="30"/>
        <w:numPr>
          <w:ilvl w:val="1"/>
          <w:numId w:val="2"/>
        </w:numPr>
        <w:spacing w:before="231"/>
        <w:rPr>
          <w:rFonts w:hAnsi="宋体"/>
          <w:color w:val="auto"/>
          <w:szCs w:val="24"/>
          <w:highlight w:val="none"/>
        </w:rPr>
      </w:pPr>
      <w:r>
        <w:rPr>
          <w:rFonts w:hint="eastAsia" w:hAnsi="宋体"/>
          <w:color w:val="auto"/>
          <w:szCs w:val="24"/>
          <w:highlight w:val="none"/>
        </w:rPr>
        <w:t>乙方对电梯设备安装工程承担保修、保养及维护责任。</w:t>
      </w:r>
    </w:p>
    <w:p>
      <w:pPr>
        <w:pStyle w:val="30"/>
        <w:numPr>
          <w:ilvl w:val="1"/>
          <w:numId w:val="2"/>
        </w:numPr>
        <w:spacing w:before="231"/>
        <w:rPr>
          <w:color w:val="auto"/>
          <w:highlight w:val="none"/>
        </w:rPr>
      </w:pPr>
      <w:r>
        <w:rPr>
          <w:rFonts w:hint="eastAsia"/>
          <w:color w:val="auto"/>
          <w:highlight w:val="none"/>
        </w:rPr>
        <w:t>乙方须于电梯移交给甲方使用时呈交三份电梯的保养手册副本予甲方，该手册需详述电梯的保养要求。若乙方未能呈交甲方满意的保养手册予甲方，甲方有权暂不支付合同款项。甲方不承担因此延期付款的违约责任。</w:t>
      </w:r>
    </w:p>
    <w:p>
      <w:pPr>
        <w:pStyle w:val="30"/>
        <w:spacing w:before="231"/>
        <w:ind w:left="567"/>
        <w:rPr>
          <w:color w:val="auto"/>
          <w:highlight w:val="none"/>
        </w:rPr>
      </w:pPr>
      <w:r>
        <w:rPr>
          <w:rFonts w:hint="eastAsia"/>
          <w:color w:val="auto"/>
          <w:highlight w:val="none"/>
        </w:rPr>
        <w:t>此保养手册需详述电梯所有部件及操作及保养要求，以保证其正当保养程序。保养手册亦须包括下列各点：</w:t>
      </w:r>
    </w:p>
    <w:p>
      <w:pPr>
        <w:pStyle w:val="30"/>
        <w:spacing w:before="0" w:beforeLines="0"/>
        <w:ind w:left="567"/>
        <w:rPr>
          <w:color w:val="auto"/>
          <w:highlight w:val="none"/>
        </w:rPr>
      </w:pPr>
      <w:r>
        <w:rPr>
          <w:rFonts w:hint="eastAsia" w:hAnsi="宋体"/>
          <w:color w:val="auto"/>
          <w:highlight w:val="none"/>
        </w:rPr>
        <w:t>（1）</w:t>
      </w:r>
      <w:r>
        <w:rPr>
          <w:rFonts w:hint="eastAsia"/>
          <w:color w:val="auto"/>
          <w:highlight w:val="none"/>
        </w:rPr>
        <w:t>该系统及其设计基础的简介说明。</w:t>
      </w:r>
    </w:p>
    <w:p>
      <w:pPr>
        <w:pStyle w:val="30"/>
        <w:spacing w:before="0" w:beforeLines="0"/>
        <w:ind w:left="567"/>
        <w:rPr>
          <w:color w:val="auto"/>
          <w:highlight w:val="none"/>
        </w:rPr>
      </w:pPr>
      <w:r>
        <w:rPr>
          <w:rFonts w:hint="eastAsia"/>
          <w:color w:val="auto"/>
          <w:highlight w:val="none"/>
        </w:rPr>
        <w:t>（2）各部份配件清单说明，详述其大小，功能及/或功率，清单须包括</w:t>
      </w:r>
    </w:p>
    <w:p>
      <w:pPr>
        <w:pStyle w:val="30"/>
        <w:spacing w:before="0" w:beforeLines="0"/>
        <w:ind w:left="567"/>
        <w:rPr>
          <w:color w:val="auto"/>
          <w:highlight w:val="none"/>
        </w:rPr>
      </w:pPr>
      <w:r>
        <w:rPr>
          <w:rFonts w:hint="eastAsia"/>
          <w:color w:val="auto"/>
          <w:highlight w:val="none"/>
        </w:rPr>
        <w:t>此等备用配件售卖及服务单位的地址。</w:t>
      </w:r>
    </w:p>
    <w:p>
      <w:pPr>
        <w:pStyle w:val="30"/>
        <w:spacing w:before="0" w:beforeLines="0"/>
        <w:ind w:left="567"/>
        <w:rPr>
          <w:color w:val="auto"/>
          <w:highlight w:val="none"/>
        </w:rPr>
      </w:pPr>
      <w:r>
        <w:rPr>
          <w:rFonts w:hint="eastAsia"/>
          <w:color w:val="auto"/>
          <w:highlight w:val="none"/>
        </w:rPr>
        <w:t>（3）系统操作介绍。</w:t>
      </w:r>
    </w:p>
    <w:p>
      <w:pPr>
        <w:pStyle w:val="30"/>
        <w:spacing w:before="0" w:beforeLines="0"/>
        <w:ind w:left="567"/>
        <w:rPr>
          <w:color w:val="auto"/>
          <w:highlight w:val="none"/>
        </w:rPr>
      </w:pPr>
      <w:r>
        <w:rPr>
          <w:rFonts w:hint="eastAsia"/>
          <w:color w:val="auto"/>
          <w:highlight w:val="none"/>
        </w:rPr>
        <w:t>（4）保养清单-包括提议的备用配件清单。</w:t>
      </w:r>
    </w:p>
    <w:p>
      <w:pPr>
        <w:pStyle w:val="30"/>
        <w:spacing w:before="0" w:beforeLines="0"/>
        <w:ind w:left="567"/>
        <w:rPr>
          <w:color w:val="auto"/>
          <w:highlight w:val="none"/>
        </w:rPr>
      </w:pPr>
      <w:r>
        <w:rPr>
          <w:rFonts w:hint="eastAsia"/>
          <w:color w:val="auto"/>
          <w:highlight w:val="none"/>
        </w:rPr>
        <w:t>（5）乙方须在本工程完成后在现场提供技术人员，指导甲方雇员正确及有效地进行操作。</w:t>
      </w:r>
    </w:p>
    <w:p>
      <w:pPr>
        <w:pStyle w:val="30"/>
        <w:spacing w:before="0" w:beforeLines="0"/>
        <w:ind w:left="567"/>
        <w:rPr>
          <w:color w:val="auto"/>
          <w:highlight w:val="none"/>
        </w:rPr>
      </w:pPr>
      <w:r>
        <w:rPr>
          <w:rFonts w:hint="eastAsia"/>
          <w:color w:val="auto"/>
          <w:highlight w:val="none"/>
        </w:rPr>
        <w:t>（6）若采用专用机械或设备，则该专用机械或设备供应单位的技术人员或代表亦应包括在以上现场提供技术人员内。</w:t>
      </w:r>
    </w:p>
    <w:p>
      <w:pPr>
        <w:pStyle w:val="30"/>
        <w:numPr>
          <w:ilvl w:val="1"/>
          <w:numId w:val="2"/>
        </w:numPr>
        <w:spacing w:before="231"/>
        <w:rPr>
          <w:color w:val="auto"/>
          <w:highlight w:val="none"/>
        </w:rPr>
      </w:pPr>
      <w:r>
        <w:rPr>
          <w:rFonts w:hint="eastAsia"/>
          <w:color w:val="auto"/>
          <w:highlight w:val="none"/>
        </w:rPr>
        <w:t>保修期内，电梯部件故障或损坏需要送修时，乙方须同时提供相同部件供甲方使用，且临时替用部件应与送修部件版本相同，保证电梯的正常安全使用。</w:t>
      </w:r>
    </w:p>
    <w:p>
      <w:pPr>
        <w:pStyle w:val="30"/>
        <w:numPr>
          <w:ilvl w:val="1"/>
          <w:numId w:val="2"/>
        </w:numPr>
        <w:spacing w:before="231"/>
        <w:rPr>
          <w:color w:val="auto"/>
          <w:highlight w:val="none"/>
        </w:rPr>
      </w:pPr>
      <w:r>
        <w:rPr>
          <w:rFonts w:hint="eastAsia"/>
          <w:color w:val="auto"/>
          <w:highlight w:val="none"/>
        </w:rPr>
        <w:t>质量保修期内乙方应按照国家及地方法律法规的有关规定，签订电梯设备免费维修保养合同，提供专业的维修保养服务和零配件更换服务，保证电梯设备正常安全使用，包括应对本合同电梯设备实行每天24小时的实时监控，定期派工程师到现场维护和巡查，进行必要的调校、维护、保养、进行周期性测试及检查等，使电梯设备处于顺畅、安静、平稳及安全的运行状态。在每次保修及检查后应做好记录，有关记录需同时留一份给甲方存档。若电梯设备免费维修保养合同约定与本合同约定不一致的，以对维修保养要求更高、更严的约定为准。</w:t>
      </w:r>
    </w:p>
    <w:p>
      <w:pPr>
        <w:pStyle w:val="29"/>
        <w:numPr>
          <w:ilvl w:val="0"/>
          <w:numId w:val="2"/>
        </w:numPr>
        <w:spacing w:before="231" w:beforeLines="50"/>
        <w:ind w:left="351" w:hanging="351" w:hangingChars="125"/>
        <w:rPr>
          <w:rFonts w:hAnsi="宋体"/>
          <w:color w:val="auto"/>
          <w:szCs w:val="24"/>
          <w:highlight w:val="none"/>
        </w:rPr>
      </w:pPr>
      <w:bookmarkStart w:id="16" w:name="_Toc529972326"/>
      <w:r>
        <w:rPr>
          <w:rFonts w:hint="eastAsia"/>
          <w:color w:val="auto"/>
          <w:highlight w:val="none"/>
        </w:rPr>
        <w:t>履约担保</w:t>
      </w:r>
      <w:bookmarkEnd w:id="15"/>
      <w:bookmarkEnd w:id="16"/>
    </w:p>
    <w:p>
      <w:pPr>
        <w:pStyle w:val="30"/>
        <w:numPr>
          <w:ilvl w:val="1"/>
          <w:numId w:val="2"/>
        </w:numPr>
        <w:spacing w:before="231"/>
        <w:rPr>
          <w:color w:val="auto"/>
          <w:szCs w:val="24"/>
          <w:highlight w:val="none"/>
        </w:rPr>
      </w:pPr>
      <w:r>
        <w:rPr>
          <w:rFonts w:hint="eastAsia"/>
          <w:color w:val="auto"/>
          <w:szCs w:val="24"/>
          <w:highlight w:val="none"/>
        </w:rPr>
        <w:t>乙方应按本合同所附履约保函格式，在本合同签订后</w:t>
      </w:r>
      <w:r>
        <w:rPr>
          <w:color w:val="auto"/>
          <w:szCs w:val="24"/>
          <w:highlight w:val="none"/>
        </w:rPr>
        <w:t>3</w:t>
      </w:r>
      <w:r>
        <w:rPr>
          <w:rFonts w:hint="eastAsia"/>
          <w:color w:val="auto"/>
          <w:szCs w:val="24"/>
          <w:highlight w:val="none"/>
        </w:rPr>
        <w:t>0个日历天内向甲方提供本合同电梯安装总价</w:t>
      </w:r>
      <w:r>
        <w:rPr>
          <w:rFonts w:hint="eastAsia"/>
          <w:color w:val="auto"/>
          <w:szCs w:val="24"/>
          <w:highlight w:val="none"/>
          <w:u w:val="single"/>
        </w:rPr>
        <w:t>10</w:t>
      </w:r>
      <w:r>
        <w:rPr>
          <w:rFonts w:hint="eastAsia"/>
          <w:color w:val="auto"/>
          <w:szCs w:val="24"/>
          <w:highlight w:val="none"/>
        </w:rPr>
        <w:t>%的无条件、不挑剔、不争辩、不可撤销的见索即付的银行履约保函，其对甲方的保障不得低于合同所附履约保函格式的要求。履约保函的有效期从签发之日起至全部电梯竣工验收符合本合同要求、取得</w:t>
      </w:r>
      <w:r>
        <w:rPr>
          <w:rFonts w:hint="eastAsia"/>
          <w:color w:val="auto"/>
          <w:highlight w:val="none"/>
        </w:rPr>
        <w:t>电梯设备使用登记证</w:t>
      </w:r>
      <w:r>
        <w:rPr>
          <w:rFonts w:hint="eastAsia"/>
          <w:color w:val="auto"/>
          <w:szCs w:val="24"/>
          <w:highlight w:val="none"/>
        </w:rPr>
        <w:t>且交付甲方使用后第</w:t>
      </w:r>
      <w:r>
        <w:rPr>
          <w:color w:val="auto"/>
          <w:szCs w:val="24"/>
          <w:highlight w:val="none"/>
        </w:rPr>
        <w:t>30</w:t>
      </w:r>
      <w:r>
        <w:rPr>
          <w:rFonts w:hint="eastAsia"/>
          <w:color w:val="auto"/>
          <w:szCs w:val="24"/>
          <w:highlight w:val="none"/>
        </w:rPr>
        <w:t>天止。</w:t>
      </w:r>
    </w:p>
    <w:p>
      <w:pPr>
        <w:pStyle w:val="30"/>
        <w:numPr>
          <w:ilvl w:val="1"/>
          <w:numId w:val="2"/>
        </w:numPr>
        <w:spacing w:before="231"/>
        <w:rPr>
          <w:color w:val="auto"/>
          <w:szCs w:val="24"/>
          <w:highlight w:val="none"/>
        </w:rPr>
      </w:pPr>
      <w:r>
        <w:rPr>
          <w:rFonts w:hint="eastAsia"/>
          <w:color w:val="auto"/>
          <w:szCs w:val="24"/>
          <w:highlight w:val="none"/>
        </w:rPr>
        <w:t>乙方未严格按本合同规定时间和格式提供履约保函的，甲方可解除本合同。若甲方同意继续履行本合同的,可以从应付给乙方的货款中扣除本合同履约保函要求的金额作为履约担保金，直至乙方按本合同规定格式提供履约保函至履约担保有效期结束时止。若乙方提供的履约保函有效期在1</w:t>
      </w:r>
      <w:r>
        <w:rPr>
          <w:color w:val="auto"/>
          <w:szCs w:val="24"/>
          <w:highlight w:val="none"/>
        </w:rPr>
        <w:t>5</w:t>
      </w:r>
      <w:r>
        <w:rPr>
          <w:rFonts w:hint="eastAsia"/>
          <w:color w:val="auto"/>
          <w:szCs w:val="24"/>
          <w:highlight w:val="none"/>
        </w:rPr>
        <w:t>.1条所要求的最长有效期前到期的，乙方应在其提供的履约保函到期日7个日历天前自动续期该履约保函，否则，甲方有权直接向银行索赔履约保函项下的全部金额或（和）从应付的款项中扣除相当于本合同履约保函要求的金额作为履约担保金。</w:t>
      </w:r>
    </w:p>
    <w:p>
      <w:pPr>
        <w:pStyle w:val="30"/>
        <w:numPr>
          <w:ilvl w:val="1"/>
          <w:numId w:val="2"/>
        </w:numPr>
        <w:spacing w:before="231"/>
        <w:rPr>
          <w:color w:val="auto"/>
          <w:szCs w:val="24"/>
          <w:highlight w:val="none"/>
        </w:rPr>
      </w:pPr>
      <w:r>
        <w:rPr>
          <w:rFonts w:hint="eastAsia"/>
          <w:color w:val="auto"/>
          <w:szCs w:val="24"/>
          <w:highlight w:val="none"/>
        </w:rPr>
        <w:t>甲方在乙方履约担保项下提出索赔要求时，无须通知乙方有关该项索赔的违约情形及索赔金额。</w:t>
      </w:r>
    </w:p>
    <w:p>
      <w:pPr>
        <w:pStyle w:val="29"/>
        <w:numPr>
          <w:ilvl w:val="0"/>
          <w:numId w:val="2"/>
        </w:numPr>
        <w:spacing w:before="231" w:beforeLines="50"/>
        <w:ind w:left="351" w:hanging="351" w:hangingChars="125"/>
        <w:rPr>
          <w:color w:val="auto"/>
          <w:highlight w:val="none"/>
        </w:rPr>
      </w:pPr>
      <w:bookmarkStart w:id="17" w:name="_Toc529972327"/>
      <w:r>
        <w:rPr>
          <w:rFonts w:hint="eastAsia"/>
          <w:color w:val="auto"/>
          <w:highlight w:val="none"/>
        </w:rPr>
        <w:t>保险</w:t>
      </w:r>
      <w:bookmarkEnd w:id="17"/>
    </w:p>
    <w:p>
      <w:pPr>
        <w:pStyle w:val="30"/>
        <w:spacing w:before="231"/>
        <w:ind w:left="567"/>
        <w:rPr>
          <w:color w:val="auto"/>
          <w:highlight w:val="none"/>
        </w:rPr>
      </w:pPr>
      <w:r>
        <w:rPr>
          <w:rFonts w:hint="eastAsia"/>
          <w:color w:val="auto"/>
          <w:highlight w:val="none"/>
        </w:rPr>
        <w:t>乙方须负责为其工程投保安装工程一切险及投保有关属下员工工伤赔偿、现场所有材料、设备的损失或损毁等所需保险费用。其保险费用均由乙方承担，其保险期限为本工程，暂定开工日期2</w:t>
      </w:r>
      <w:r>
        <w:rPr>
          <w:color w:val="auto"/>
          <w:highlight w:val="none"/>
        </w:rPr>
        <w:t>023</w:t>
      </w:r>
      <w:r>
        <w:rPr>
          <w:rFonts w:hint="eastAsia"/>
          <w:color w:val="auto"/>
          <w:highlight w:val="none"/>
        </w:rPr>
        <w:t>年7月1日（具体以甲方下发开工令为准）至竣工之日止的整个安装调试施工期。乙方未按照本条规定投保的，所发生的一切责任须由乙方自行承担，同时甲方有权根据本合同项目工程实际情况购买相应的保险，所发生的一切费用由乙方承担，甲方有权直接从应付给乙方的合同价款中扣除。</w:t>
      </w:r>
    </w:p>
    <w:p>
      <w:pPr>
        <w:pStyle w:val="29"/>
        <w:numPr>
          <w:ilvl w:val="0"/>
          <w:numId w:val="2"/>
        </w:numPr>
        <w:spacing w:before="231" w:beforeLines="50"/>
        <w:ind w:left="351" w:hanging="351" w:hangingChars="125"/>
        <w:rPr>
          <w:color w:val="auto"/>
          <w:highlight w:val="none"/>
        </w:rPr>
      </w:pPr>
      <w:bookmarkStart w:id="18" w:name="_Toc529972328"/>
      <w:r>
        <w:rPr>
          <w:rFonts w:hint="eastAsia"/>
          <w:color w:val="auto"/>
          <w:highlight w:val="none"/>
        </w:rPr>
        <w:t>违约责任</w:t>
      </w:r>
      <w:bookmarkEnd w:id="18"/>
    </w:p>
    <w:p>
      <w:pPr>
        <w:pStyle w:val="30"/>
        <w:numPr>
          <w:ilvl w:val="1"/>
          <w:numId w:val="2"/>
        </w:numPr>
        <w:spacing w:before="231"/>
        <w:rPr>
          <w:color w:val="auto"/>
          <w:highlight w:val="none"/>
        </w:rPr>
      </w:pPr>
      <w:r>
        <w:rPr>
          <w:rFonts w:hint="eastAsia"/>
          <w:color w:val="auto"/>
          <w:highlight w:val="none"/>
        </w:rPr>
        <w:t>甲方的违约责任</w:t>
      </w:r>
    </w:p>
    <w:p>
      <w:pPr>
        <w:pStyle w:val="30"/>
        <w:spacing w:before="0" w:beforeLines="0"/>
        <w:ind w:left="567"/>
        <w:rPr>
          <w:color w:val="auto"/>
          <w:highlight w:val="none"/>
        </w:rPr>
      </w:pPr>
      <w:r>
        <w:rPr>
          <w:rFonts w:hint="eastAsia"/>
          <w:color w:val="auto"/>
          <w:highlight w:val="none"/>
        </w:rPr>
        <w:t>甲方无合理理由，未按本合同规定的时间支付合同价款的，经乙方书面通知后10个工作内仍未支付的，每天按应付未付金额的</w:t>
      </w:r>
      <w:r>
        <w:rPr>
          <w:rFonts w:hint="eastAsia"/>
          <w:color w:val="auto"/>
          <w:highlight w:val="none"/>
          <w:u w:val="single"/>
        </w:rPr>
        <w:t>0.05</w:t>
      </w:r>
      <w:r>
        <w:rPr>
          <w:rFonts w:hint="eastAsia"/>
          <w:color w:val="auto"/>
          <w:highlight w:val="none"/>
        </w:rPr>
        <w:t xml:space="preserve"> %向乙方支付违约金，甲方的责任以此为限。</w:t>
      </w:r>
    </w:p>
    <w:p>
      <w:pPr>
        <w:pStyle w:val="30"/>
        <w:numPr>
          <w:ilvl w:val="1"/>
          <w:numId w:val="2"/>
        </w:numPr>
        <w:spacing w:before="231"/>
        <w:rPr>
          <w:color w:val="auto"/>
          <w:highlight w:val="none"/>
        </w:rPr>
      </w:pPr>
      <w:r>
        <w:rPr>
          <w:rFonts w:hint="eastAsia"/>
          <w:color w:val="auto"/>
          <w:highlight w:val="none"/>
        </w:rPr>
        <w:t>乙方的违约责任</w:t>
      </w:r>
    </w:p>
    <w:p>
      <w:pPr>
        <w:pStyle w:val="30"/>
        <w:spacing w:before="231"/>
        <w:ind w:left="394" w:leftChars="116"/>
        <w:rPr>
          <w:color w:val="auto"/>
          <w:highlight w:val="none"/>
        </w:rPr>
      </w:pPr>
      <w:r>
        <w:rPr>
          <w:rFonts w:hint="eastAsia"/>
          <w:color w:val="auto"/>
          <w:highlight w:val="none"/>
        </w:rPr>
        <w:t>1</w:t>
      </w:r>
      <w:r>
        <w:rPr>
          <w:color w:val="auto"/>
          <w:highlight w:val="none"/>
        </w:rPr>
        <w:t>7</w:t>
      </w:r>
      <w:r>
        <w:rPr>
          <w:rFonts w:hint="eastAsia"/>
          <w:color w:val="auto"/>
          <w:highlight w:val="none"/>
        </w:rPr>
        <w:t xml:space="preserve">.2.1如乙方工程质量不符合本合同11条的约定，甲方有权拒绝验收，且乙方应按照每次人民币 </w:t>
      </w:r>
      <w:r>
        <w:rPr>
          <w:rFonts w:hint="eastAsia"/>
          <w:color w:val="auto"/>
          <w:highlight w:val="none"/>
          <w:u w:val="single"/>
        </w:rPr>
        <w:t>2万</w:t>
      </w:r>
      <w:r>
        <w:rPr>
          <w:rFonts w:hint="eastAsia"/>
          <w:color w:val="auto"/>
          <w:highlight w:val="none"/>
        </w:rPr>
        <w:t>元的标准向甲方支付违约金。同时乙方必须在甲方要求的时间内整改完毕，并按照第1</w:t>
      </w:r>
      <w:r>
        <w:rPr>
          <w:color w:val="auto"/>
          <w:highlight w:val="none"/>
        </w:rPr>
        <w:t>7</w:t>
      </w:r>
      <w:r>
        <w:rPr>
          <w:rFonts w:hint="eastAsia"/>
          <w:color w:val="auto"/>
          <w:highlight w:val="none"/>
        </w:rPr>
        <w:t>.2.2条承担逾期交付的违约责任。若乙方在甲方规定时间内无法完成整改或整改后验收仍不合格的，甲方有权解除本合同。</w:t>
      </w:r>
    </w:p>
    <w:p>
      <w:pPr>
        <w:pStyle w:val="30"/>
        <w:spacing w:before="231"/>
        <w:ind w:firstLine="480" w:firstLineChars="200"/>
        <w:rPr>
          <w:color w:val="auto"/>
          <w:highlight w:val="none"/>
        </w:rPr>
      </w:pPr>
      <w:r>
        <w:rPr>
          <w:rFonts w:hint="eastAsia"/>
          <w:color w:val="auto"/>
          <w:highlight w:val="none"/>
        </w:rPr>
        <w:t>1</w:t>
      </w:r>
      <w:r>
        <w:rPr>
          <w:color w:val="auto"/>
          <w:highlight w:val="none"/>
        </w:rPr>
        <w:t>7</w:t>
      </w:r>
      <w:r>
        <w:rPr>
          <w:rFonts w:hint="eastAsia"/>
          <w:color w:val="auto"/>
          <w:highlight w:val="none"/>
        </w:rPr>
        <w:t>.2.2 乙方逾期交付</w:t>
      </w:r>
    </w:p>
    <w:p>
      <w:pPr>
        <w:pStyle w:val="30"/>
        <w:spacing w:before="231"/>
        <w:ind w:left="567"/>
        <w:rPr>
          <w:color w:val="auto"/>
          <w:highlight w:val="none"/>
        </w:rPr>
      </w:pPr>
      <w:r>
        <w:rPr>
          <w:rFonts w:hint="eastAsia"/>
          <w:color w:val="auto"/>
          <w:highlight w:val="none"/>
        </w:rPr>
        <w:t>除不可抗力外，乙方逾期完成电梯安装、验收合格、取得电梯设备使用登记证并交付甲方使用的，每延迟一天，乙方应向甲方支付合同总价的</w:t>
      </w:r>
      <w:r>
        <w:rPr>
          <w:color w:val="auto"/>
          <w:highlight w:val="none"/>
          <w:u w:val="single"/>
        </w:rPr>
        <w:t>1</w:t>
      </w:r>
      <w:r>
        <w:rPr>
          <w:rFonts w:hint="eastAsia"/>
          <w:color w:val="auto"/>
          <w:highlight w:val="none"/>
          <w:u w:val="single"/>
        </w:rPr>
        <w:t xml:space="preserve"> </w:t>
      </w:r>
      <w:r>
        <w:rPr>
          <w:rFonts w:hint="eastAsia"/>
          <w:color w:val="auto"/>
          <w:highlight w:val="none"/>
        </w:rPr>
        <w:t>%违约金。如逾期交付超过</w:t>
      </w:r>
      <w:r>
        <w:rPr>
          <w:rFonts w:hint="eastAsia"/>
          <w:color w:val="auto"/>
          <w:highlight w:val="none"/>
          <w:u w:val="single"/>
        </w:rPr>
        <w:t>30</w:t>
      </w:r>
      <w:r>
        <w:rPr>
          <w:rFonts w:hint="eastAsia"/>
          <w:color w:val="auto"/>
          <w:highlight w:val="none"/>
        </w:rPr>
        <w:t>天的，甲方有权要求解除本合同。</w:t>
      </w:r>
    </w:p>
    <w:p>
      <w:pPr>
        <w:pStyle w:val="30"/>
        <w:spacing w:before="231"/>
        <w:ind w:left="394" w:leftChars="116"/>
        <w:rPr>
          <w:color w:val="auto"/>
          <w:highlight w:val="none"/>
        </w:rPr>
      </w:pPr>
      <w:r>
        <w:rPr>
          <w:rFonts w:hint="eastAsia"/>
          <w:color w:val="auto"/>
          <w:highlight w:val="none"/>
        </w:rPr>
        <w:t>1</w:t>
      </w:r>
      <w:r>
        <w:rPr>
          <w:color w:val="auto"/>
          <w:highlight w:val="none"/>
        </w:rPr>
        <w:t>7</w:t>
      </w:r>
      <w:r>
        <w:rPr>
          <w:rFonts w:hint="eastAsia"/>
          <w:color w:val="auto"/>
          <w:highlight w:val="none"/>
        </w:rPr>
        <w:t>.2.3如本合同项下电梯设备未通过验收，或本合同项下电梯设备质量保修期运行中出现质量问题，但无法区分责任承担方为乙方或电梯设备供货单位的，甲方有权要求乙方与</w:t>
      </w:r>
      <w:r>
        <w:rPr>
          <w:rFonts w:hint="eastAsia" w:hAnsi="宋体"/>
          <w:color w:val="auto"/>
          <w:szCs w:val="24"/>
          <w:highlight w:val="none"/>
        </w:rPr>
        <w:t>电梯供货单位</w:t>
      </w:r>
      <w:r>
        <w:rPr>
          <w:rFonts w:hint="eastAsia"/>
          <w:color w:val="auto"/>
          <w:highlight w:val="none"/>
        </w:rPr>
        <w:t>共同承担连带责任。</w:t>
      </w:r>
    </w:p>
    <w:p>
      <w:pPr>
        <w:pStyle w:val="30"/>
        <w:spacing w:before="231"/>
        <w:ind w:left="340" w:leftChars="100"/>
        <w:rPr>
          <w:color w:val="auto"/>
          <w:highlight w:val="none"/>
        </w:rPr>
      </w:pPr>
      <w:r>
        <w:rPr>
          <w:rFonts w:hint="eastAsia"/>
          <w:color w:val="auto"/>
          <w:highlight w:val="none"/>
        </w:rPr>
        <w:t>1</w:t>
      </w:r>
      <w:r>
        <w:rPr>
          <w:color w:val="auto"/>
          <w:highlight w:val="none"/>
        </w:rPr>
        <w:t>7</w:t>
      </w:r>
      <w:r>
        <w:rPr>
          <w:rFonts w:hint="eastAsia"/>
          <w:color w:val="auto"/>
          <w:highlight w:val="none"/>
        </w:rPr>
        <w:t>.2.4 如未经甲方书面同意，乙方更换项目经理/技术负责人，应按每人每次人民币</w:t>
      </w:r>
      <w:r>
        <w:rPr>
          <w:rFonts w:hint="eastAsia"/>
          <w:color w:val="auto"/>
          <w:highlight w:val="none"/>
          <w:u w:val="single"/>
        </w:rPr>
        <w:t>5万</w:t>
      </w:r>
      <w:r>
        <w:rPr>
          <w:rFonts w:hint="eastAsia"/>
          <w:color w:val="auto"/>
          <w:highlight w:val="none"/>
        </w:rPr>
        <w:t>元的标准向甲方支付违约金。</w:t>
      </w:r>
    </w:p>
    <w:p>
      <w:pPr>
        <w:pStyle w:val="30"/>
        <w:spacing w:before="231"/>
        <w:ind w:left="580" w:leftChars="100" w:hanging="240" w:hangingChars="100"/>
        <w:rPr>
          <w:color w:val="auto"/>
          <w:highlight w:val="none"/>
        </w:rPr>
      </w:pPr>
      <w:r>
        <w:rPr>
          <w:rFonts w:hint="eastAsia"/>
          <w:color w:val="auto"/>
          <w:highlight w:val="none"/>
        </w:rPr>
        <w:t>1</w:t>
      </w:r>
      <w:r>
        <w:rPr>
          <w:color w:val="auto"/>
          <w:highlight w:val="none"/>
        </w:rPr>
        <w:t>7</w:t>
      </w:r>
      <w:r>
        <w:rPr>
          <w:rFonts w:hint="eastAsia"/>
          <w:color w:val="auto"/>
          <w:highlight w:val="none"/>
        </w:rPr>
        <w:t>.2.5 未经甲方书面同意，乙方将本合同项下权利义务全部或部分转让给任何第三人的，甲方有权解除本合同。</w:t>
      </w:r>
    </w:p>
    <w:p>
      <w:pPr>
        <w:pStyle w:val="30"/>
        <w:spacing w:before="231"/>
        <w:ind w:left="530" w:leftChars="50" w:hanging="360" w:hangingChars="150"/>
        <w:rPr>
          <w:color w:val="auto"/>
          <w:highlight w:val="none"/>
        </w:rPr>
      </w:pPr>
      <w:r>
        <w:rPr>
          <w:rFonts w:hint="eastAsia"/>
          <w:color w:val="auto"/>
          <w:highlight w:val="none"/>
        </w:rPr>
        <w:t>1</w:t>
      </w:r>
      <w:r>
        <w:rPr>
          <w:color w:val="auto"/>
          <w:highlight w:val="none"/>
        </w:rPr>
        <w:t>7</w:t>
      </w:r>
      <w:r>
        <w:rPr>
          <w:rFonts w:hint="eastAsia"/>
          <w:color w:val="auto"/>
          <w:highlight w:val="none"/>
        </w:rPr>
        <w:t>.2.6 如乙方未履行或不完全履行本合同约定的义务，亦视同乙方违约。经甲方书面催告、乙方在甲方规定期限内仍未改正的，除本合同对违约责任有明确约定外，甲方有权向乙方收取违约金人民币</w:t>
      </w:r>
      <w:r>
        <w:rPr>
          <w:rFonts w:hint="eastAsia"/>
          <w:color w:val="auto"/>
          <w:highlight w:val="none"/>
          <w:u w:val="single"/>
        </w:rPr>
        <w:t>10万</w:t>
      </w:r>
      <w:r>
        <w:rPr>
          <w:rFonts w:hint="eastAsia"/>
          <w:color w:val="auto"/>
          <w:highlight w:val="none"/>
        </w:rPr>
        <w:t>元，情节严重的，甲方有权解除本合同。</w:t>
      </w:r>
    </w:p>
    <w:p>
      <w:pPr>
        <w:pStyle w:val="30"/>
        <w:spacing w:before="231"/>
        <w:ind w:left="530" w:leftChars="50" w:hanging="360" w:hangingChars="150"/>
        <w:rPr>
          <w:rFonts w:hAnsi="宋体"/>
          <w:color w:val="auto"/>
          <w:szCs w:val="24"/>
          <w:highlight w:val="none"/>
        </w:rPr>
      </w:pPr>
      <w:r>
        <w:rPr>
          <w:rFonts w:hint="eastAsia"/>
          <w:color w:val="auto"/>
          <w:highlight w:val="none"/>
        </w:rPr>
        <w:t>1</w:t>
      </w:r>
      <w:r>
        <w:rPr>
          <w:color w:val="auto"/>
          <w:highlight w:val="none"/>
        </w:rPr>
        <w:t>7</w:t>
      </w:r>
      <w:r>
        <w:rPr>
          <w:rFonts w:hint="eastAsia"/>
          <w:color w:val="auto"/>
          <w:highlight w:val="none"/>
        </w:rPr>
        <w:t xml:space="preserve">.2.7 </w:t>
      </w:r>
      <w:r>
        <w:rPr>
          <w:rFonts w:hint="eastAsia"/>
          <w:color w:val="auto"/>
          <w:szCs w:val="24"/>
          <w:highlight w:val="none"/>
        </w:rPr>
        <w:t>乙方未能在本工程验收合格后或合同解除后15天内撤离现场，每逾期一天，应按照本合同总价款的千分之一向甲方承担违约责任。</w:t>
      </w:r>
      <w:r>
        <w:rPr>
          <w:rFonts w:hint="eastAsia" w:hAnsi="宋体"/>
          <w:color w:val="auto"/>
          <w:szCs w:val="24"/>
          <w:highlight w:val="none"/>
        </w:rPr>
        <w:t>乙方撤离现场后仍有遗留物品，视为乙方放弃，甲方留用的，无偿归甲方所有；甲方不留用的，甲方可任意处置，处置收入扣除处置费用如有剩余归甲方所有；甲方可委托他人清理，并从应付乙方的款项中扣除清理费用。处置收入或应付工程款不足以扣除处置费用的，由乙方另行支付，并由乙方承担由此而产生的一切损失和后果。</w:t>
      </w:r>
    </w:p>
    <w:p>
      <w:pPr>
        <w:pStyle w:val="30"/>
        <w:spacing w:before="231"/>
        <w:ind w:left="720" w:hanging="720" w:hangingChars="300"/>
        <w:rPr>
          <w:color w:val="auto"/>
          <w:highlight w:val="none"/>
        </w:rPr>
      </w:pPr>
      <w:r>
        <w:rPr>
          <w:rFonts w:hint="eastAsia"/>
          <w:color w:val="auto"/>
          <w:highlight w:val="none"/>
        </w:rPr>
        <w:t>16.3  乙方违约导致合同解除</w:t>
      </w:r>
    </w:p>
    <w:p>
      <w:pPr>
        <w:pStyle w:val="30"/>
        <w:spacing w:before="231"/>
        <w:ind w:left="850" w:leftChars="250"/>
        <w:rPr>
          <w:color w:val="auto"/>
          <w:szCs w:val="24"/>
          <w:highlight w:val="none"/>
        </w:rPr>
      </w:pPr>
      <w:r>
        <w:rPr>
          <w:rFonts w:hint="eastAsia"/>
          <w:color w:val="auto"/>
          <w:highlight w:val="none"/>
        </w:rPr>
        <w:t>乙方未依合同约定单方面终止或解除合同及甲方因乙方违约解除本合同的，</w:t>
      </w:r>
      <w:r>
        <w:rPr>
          <w:rFonts w:hint="eastAsia"/>
          <w:color w:val="auto"/>
          <w:szCs w:val="24"/>
          <w:highlight w:val="none"/>
        </w:rPr>
        <w:t>若甲方需要乙方已完成的部分工作成果的，乙方应在收到甲方解除本合同的书面通知后10个日历天内与甲方按该部分工作成果进行结算，乙方应在结算后的10个日历天内将甲方多付的款项退回甲方；若甲方不需要乙方已完成的任何工作成果的，则乙方应在甲方通知之日起10个日历天内退还甲方全部的已付款项及利息，若乙方逾期向甲方退回上述款项的，每逾期一天，须向甲方支付相当于该部分款项的千分之一的违约金。同时，甲方还有权要求乙方按照合同总价的</w:t>
      </w:r>
      <w:r>
        <w:rPr>
          <w:rFonts w:hint="eastAsia"/>
          <w:color w:val="auto"/>
          <w:szCs w:val="24"/>
          <w:highlight w:val="none"/>
          <w:u w:val="single"/>
        </w:rPr>
        <w:t>10</w:t>
      </w:r>
      <w:r>
        <w:rPr>
          <w:rFonts w:hint="eastAsia"/>
          <w:color w:val="auto"/>
          <w:szCs w:val="24"/>
          <w:highlight w:val="none"/>
        </w:rPr>
        <w:t>%支付违约金或主张履约保函项下的权利，乙方还应承担甲方因退货和解除本合同而遭受的一切经济损失和费用，包括但不限于检验费、仓租、甲方另行购置电梯设备的合同差价、工期延误的损失等。</w:t>
      </w:r>
    </w:p>
    <w:p>
      <w:pPr>
        <w:pStyle w:val="30"/>
        <w:spacing w:before="231"/>
        <w:ind w:left="811" w:leftChars="62" w:hanging="600" w:hangingChars="250"/>
        <w:rPr>
          <w:color w:val="auto"/>
          <w:szCs w:val="24"/>
          <w:highlight w:val="none"/>
        </w:rPr>
      </w:pPr>
      <w:r>
        <w:rPr>
          <w:rFonts w:hint="eastAsia"/>
          <w:color w:val="auto"/>
          <w:szCs w:val="24"/>
          <w:highlight w:val="none"/>
        </w:rPr>
        <w:t>16.4  本合同中对违约金约定不一致的，甲方可按违约金中的较高者执行。本合同所述违约金不足以弥补甲方损失的，甲方有权要求乙方赔偿。乙方基于本合同的规定应向甲方支付的违约金及经济损失赔偿，甲方有权直接从须支付给乙方的任何一期款项中直接抵扣，若不足以抵扣的，乙方应在甲方通知之日起10个日历天内向甲方付清。</w:t>
      </w:r>
    </w:p>
    <w:p>
      <w:pPr>
        <w:pStyle w:val="30"/>
        <w:spacing w:before="231"/>
        <w:ind w:left="811" w:leftChars="62" w:hanging="600" w:hangingChars="250"/>
        <w:rPr>
          <w:rFonts w:hAnsi="宋体"/>
          <w:color w:val="auto"/>
          <w:szCs w:val="24"/>
          <w:highlight w:val="none"/>
        </w:rPr>
      </w:pPr>
      <w:r>
        <w:rPr>
          <w:rFonts w:hint="eastAsia"/>
          <w:color w:val="auto"/>
          <w:szCs w:val="24"/>
          <w:highlight w:val="none"/>
        </w:rPr>
        <w:t>16.5 乙方承担本合同的各种违约损害赔偿责任总和最高不超过本合同总金额的100%。</w:t>
      </w:r>
    </w:p>
    <w:p>
      <w:pPr>
        <w:pStyle w:val="29"/>
        <w:numPr>
          <w:ilvl w:val="0"/>
          <w:numId w:val="2"/>
        </w:numPr>
        <w:spacing w:before="231" w:beforeLines="50"/>
        <w:ind w:left="351" w:hanging="351" w:hangingChars="125"/>
        <w:rPr>
          <w:color w:val="auto"/>
          <w:highlight w:val="none"/>
        </w:rPr>
      </w:pPr>
      <w:bookmarkStart w:id="19" w:name="_Toc500630657"/>
      <w:bookmarkEnd w:id="19"/>
      <w:bookmarkStart w:id="20" w:name="_Toc529972329"/>
      <w:r>
        <w:rPr>
          <w:rFonts w:hint="eastAsia"/>
          <w:color w:val="auto"/>
          <w:highlight w:val="none"/>
        </w:rPr>
        <w:t>不可抗力</w:t>
      </w:r>
      <w:bookmarkEnd w:id="20"/>
    </w:p>
    <w:p>
      <w:pPr>
        <w:pStyle w:val="30"/>
        <w:spacing w:before="231"/>
        <w:ind w:left="567"/>
        <w:rPr>
          <w:b/>
          <w:color w:val="auto"/>
          <w:highlight w:val="none"/>
        </w:rPr>
      </w:pPr>
      <w:r>
        <w:rPr>
          <w:rFonts w:hint="eastAsia"/>
          <w:color w:val="auto"/>
          <w:highlight w:val="none"/>
        </w:rPr>
        <w:t>由于不可抗力事件致乙方不能按照合同约定的时间完成电梯安装和验收时，乙方应立即将该不可抗力事件通知甲方，并于该不可抗力事件发生后14个日历天内将事件发生地公证机关出具的证明书，以书面递交甲方为证，并取得甲方认可，在此情形下，乙方不须承担违约责任，乙方仍负有采取一切必要措施以从速交付、减少损失的责任。但乙方对不可抗力发生前的违约行为仍须承担违约责任。如果不可抗力事件持续超过三个月，甲方有权解除本合同，双方互不承担违约责任。</w:t>
      </w:r>
    </w:p>
    <w:p>
      <w:pPr>
        <w:pStyle w:val="29"/>
        <w:numPr>
          <w:ilvl w:val="0"/>
          <w:numId w:val="2"/>
        </w:numPr>
        <w:spacing w:before="231" w:beforeLines="50"/>
        <w:ind w:left="351" w:hanging="351" w:hangingChars="125"/>
        <w:rPr>
          <w:color w:val="auto"/>
          <w:highlight w:val="none"/>
        </w:rPr>
      </w:pPr>
      <w:bookmarkStart w:id="21" w:name="_Toc529972330"/>
      <w:r>
        <w:rPr>
          <w:rFonts w:hint="eastAsia"/>
          <w:color w:val="auto"/>
          <w:highlight w:val="none"/>
        </w:rPr>
        <w:t>通知及送达</w:t>
      </w:r>
      <w:bookmarkEnd w:id="21"/>
    </w:p>
    <w:p>
      <w:pPr>
        <w:spacing w:before="231" w:beforeLines="50"/>
        <w:ind w:left="476" w:leftChars="140"/>
        <w:rPr>
          <w:rFonts w:ascii="楷体_GB2312" w:hAnsi="宋体" w:eastAsia="楷体_GB2312" w:cs="Arial"/>
          <w:color w:val="auto"/>
          <w:sz w:val="24"/>
          <w:szCs w:val="24"/>
          <w:highlight w:val="none"/>
        </w:rPr>
      </w:pPr>
      <w:r>
        <w:rPr>
          <w:rFonts w:hint="eastAsia" w:ascii="楷体_GB2312" w:hAnsi="宋体" w:eastAsia="楷体_GB2312" w:cs="Arial"/>
          <w:color w:val="auto"/>
          <w:sz w:val="24"/>
          <w:szCs w:val="24"/>
          <w:highlight w:val="none"/>
        </w:rPr>
        <w:t>任何一方就本合同发给另一方的任何通知必须以中文书面形式进行。可经专人递交，或以特快专递服务发到另一方。通知被视为送达的日期应按如下方法决定：</w:t>
      </w:r>
    </w:p>
    <w:p>
      <w:pPr>
        <w:spacing w:before="231" w:beforeLines="50"/>
        <w:ind w:firstLine="480" w:firstLineChars="200"/>
        <w:rPr>
          <w:rFonts w:ascii="楷体_GB2312" w:hAnsi="宋体" w:eastAsia="楷体_GB2312" w:cs="Arial"/>
          <w:color w:val="auto"/>
          <w:sz w:val="24"/>
          <w:szCs w:val="24"/>
          <w:highlight w:val="none"/>
        </w:rPr>
      </w:pPr>
      <w:r>
        <w:rPr>
          <w:rFonts w:hint="eastAsia" w:ascii="楷体_GB2312" w:hAnsi="宋体" w:eastAsia="楷体_GB2312" w:cs="Arial"/>
          <w:color w:val="auto"/>
          <w:sz w:val="24"/>
          <w:szCs w:val="24"/>
          <w:highlight w:val="none"/>
        </w:rPr>
        <w:t>（1）专人递交的通知在送达签收之日视为有效送达；</w:t>
      </w:r>
    </w:p>
    <w:p>
      <w:pPr>
        <w:spacing w:before="231" w:beforeLines="50"/>
        <w:ind w:left="716" w:leftChars="140" w:hanging="240" w:hangingChars="100"/>
        <w:rPr>
          <w:rFonts w:ascii="楷体_GB2312" w:hAnsi="宋体" w:eastAsia="楷体_GB2312" w:cs="Arial"/>
          <w:color w:val="auto"/>
          <w:sz w:val="24"/>
          <w:szCs w:val="24"/>
          <w:highlight w:val="none"/>
        </w:rPr>
      </w:pPr>
      <w:r>
        <w:rPr>
          <w:rFonts w:hint="eastAsia" w:ascii="楷体_GB2312" w:hAnsi="宋体" w:eastAsia="楷体_GB2312" w:cs="Arial"/>
          <w:color w:val="auto"/>
          <w:sz w:val="24"/>
          <w:szCs w:val="24"/>
          <w:highlight w:val="none"/>
        </w:rPr>
        <w:t>（2）以特快专递的方式发送的通知应于交予快递服务发送后第3日视为有效送达（签收较早的，以签收日为准）。</w:t>
      </w:r>
    </w:p>
    <w:p>
      <w:pPr>
        <w:spacing w:before="231" w:beforeLines="50"/>
        <w:ind w:left="476" w:leftChars="140"/>
        <w:rPr>
          <w:rFonts w:ascii="楷体_GB2312" w:hAnsi="宋体" w:eastAsia="楷体_GB2312" w:cs="Arial"/>
          <w:color w:val="auto"/>
          <w:sz w:val="24"/>
          <w:szCs w:val="24"/>
          <w:highlight w:val="none"/>
        </w:rPr>
      </w:pPr>
      <w:r>
        <w:rPr>
          <w:rFonts w:hint="eastAsia" w:ascii="楷体_GB2312" w:hAnsi="宋体" w:eastAsia="楷体_GB2312" w:cs="Arial"/>
          <w:color w:val="auto"/>
          <w:sz w:val="24"/>
          <w:szCs w:val="24"/>
          <w:highlight w:val="none"/>
        </w:rPr>
        <w:t>为通知的目的，双方的通讯地址如下，如有变更，变更的一方应自变更之日起3日内书面通知另一方，未履行通知义务的，另一方按原地址邮寄相关材料即视为已履行送达义务：</w:t>
      </w:r>
    </w:p>
    <w:p>
      <w:pPr>
        <w:spacing w:before="231" w:beforeLines="50"/>
        <w:ind w:left="476" w:leftChars="140"/>
        <w:rPr>
          <w:rFonts w:ascii="楷体_GB2312" w:hAnsi="宋体" w:eastAsia="楷体_GB2312" w:cs="Arial"/>
          <w:color w:val="auto"/>
          <w:sz w:val="24"/>
          <w:szCs w:val="24"/>
          <w:highlight w:val="none"/>
        </w:rPr>
      </w:pPr>
      <w:r>
        <w:rPr>
          <w:rFonts w:hint="eastAsia" w:ascii="楷体_GB2312" w:hAnsi="宋体" w:eastAsia="楷体_GB2312" w:cs="Arial"/>
          <w:color w:val="auto"/>
          <w:sz w:val="24"/>
          <w:szCs w:val="24"/>
          <w:highlight w:val="none"/>
        </w:rPr>
        <w:t>甲方： 佛山粤海置地发展有限公司</w:t>
      </w:r>
    </w:p>
    <w:p>
      <w:pPr>
        <w:spacing w:before="231" w:beforeLines="50"/>
        <w:ind w:left="476" w:leftChars="140"/>
        <w:rPr>
          <w:rFonts w:ascii="楷体_GB2312" w:hAnsi="宋体" w:eastAsia="楷体_GB2312" w:cs="Arial"/>
          <w:color w:val="auto"/>
          <w:sz w:val="24"/>
          <w:szCs w:val="24"/>
          <w:highlight w:val="none"/>
        </w:rPr>
      </w:pPr>
      <w:r>
        <w:rPr>
          <w:rFonts w:hint="eastAsia" w:ascii="楷体_GB2312" w:hAnsi="宋体" w:eastAsia="楷体_GB2312" w:cs="Arial"/>
          <w:color w:val="auto"/>
          <w:sz w:val="24"/>
          <w:szCs w:val="24"/>
          <w:highlight w:val="none"/>
        </w:rPr>
        <w:t>地址： 佛山市禅城区魁奇一路世博金融中心1906室</w:t>
      </w:r>
    </w:p>
    <w:p>
      <w:pPr>
        <w:spacing w:before="231" w:beforeLines="50"/>
        <w:ind w:firstLine="480" w:firstLineChars="200"/>
        <w:rPr>
          <w:rFonts w:ascii="楷体_GB2312" w:hAnsi="宋体" w:eastAsia="楷体_GB2312" w:cs="Arial"/>
          <w:color w:val="auto"/>
          <w:sz w:val="24"/>
          <w:szCs w:val="24"/>
          <w:highlight w:val="none"/>
        </w:rPr>
      </w:pPr>
      <w:r>
        <w:rPr>
          <w:rFonts w:hint="eastAsia" w:ascii="楷体_GB2312" w:hAnsi="宋体" w:eastAsia="楷体_GB2312" w:cs="Arial"/>
          <w:color w:val="auto"/>
          <w:sz w:val="24"/>
          <w:szCs w:val="24"/>
          <w:highlight w:val="none"/>
        </w:rPr>
        <w:t xml:space="preserve">电话： 0757-82965910 </w:t>
      </w:r>
      <w:r>
        <w:rPr>
          <w:rFonts w:ascii="楷体_GB2312" w:hAnsi="宋体" w:eastAsia="楷体_GB2312" w:cs="Arial"/>
          <w:color w:val="auto"/>
          <w:sz w:val="24"/>
          <w:szCs w:val="24"/>
          <w:highlight w:val="none"/>
        </w:rPr>
        <w:t xml:space="preserve"> </w:t>
      </w:r>
    </w:p>
    <w:p>
      <w:pPr>
        <w:spacing w:before="231" w:beforeLines="50"/>
        <w:ind w:firstLine="480" w:firstLineChars="200"/>
        <w:rPr>
          <w:rFonts w:eastAsia="楷体_GB2312" w:cs="Arial" w:asciiTheme="minorHAnsi" w:hAnsiTheme="minorHAnsi"/>
          <w:color w:val="auto"/>
          <w:sz w:val="24"/>
          <w:szCs w:val="24"/>
          <w:highlight w:val="none"/>
        </w:rPr>
      </w:pPr>
      <w:r>
        <w:rPr>
          <w:rFonts w:hint="eastAsia" w:ascii="楷体_GB2312" w:hAnsi="宋体" w:eastAsia="楷体_GB2312" w:cs="Arial"/>
          <w:color w:val="auto"/>
          <w:sz w:val="24"/>
          <w:szCs w:val="24"/>
          <w:highlight w:val="none"/>
        </w:rPr>
        <w:t xml:space="preserve">乙方： </w:t>
      </w:r>
    </w:p>
    <w:p>
      <w:pPr>
        <w:spacing w:before="231" w:beforeLines="50"/>
        <w:ind w:firstLine="480" w:firstLineChars="200"/>
        <w:rPr>
          <w:rFonts w:ascii="楷体_GB2312" w:hAnsi="宋体" w:eastAsia="楷体_GB2312" w:cs="Arial"/>
          <w:color w:val="auto"/>
          <w:sz w:val="24"/>
          <w:szCs w:val="24"/>
          <w:highlight w:val="none"/>
        </w:rPr>
      </w:pPr>
      <w:r>
        <w:rPr>
          <w:rFonts w:hint="eastAsia" w:ascii="楷体_GB2312" w:hAnsi="宋体" w:eastAsia="楷体_GB2312" w:cs="Arial"/>
          <w:color w:val="auto"/>
          <w:sz w:val="24"/>
          <w:szCs w:val="24"/>
          <w:highlight w:val="none"/>
        </w:rPr>
        <w:t xml:space="preserve">地址： </w:t>
      </w:r>
    </w:p>
    <w:p>
      <w:pPr>
        <w:pStyle w:val="30"/>
        <w:spacing w:before="231"/>
        <w:ind w:firstLine="480" w:firstLineChars="200"/>
        <w:rPr>
          <w:color w:val="auto"/>
          <w:highlight w:val="none"/>
        </w:rPr>
      </w:pPr>
      <w:r>
        <w:rPr>
          <w:rFonts w:hint="eastAsia"/>
          <w:color w:val="auto"/>
          <w:highlight w:val="none"/>
        </w:rPr>
        <w:t>电话：</w:t>
      </w:r>
      <w:r>
        <w:rPr>
          <w:color w:val="auto"/>
          <w:highlight w:val="none"/>
        </w:rPr>
        <w:t xml:space="preserve"> </w:t>
      </w:r>
    </w:p>
    <w:p>
      <w:pPr>
        <w:pStyle w:val="29"/>
        <w:numPr>
          <w:ilvl w:val="0"/>
          <w:numId w:val="2"/>
        </w:numPr>
        <w:spacing w:before="231" w:beforeLines="50"/>
        <w:ind w:left="351" w:hanging="351" w:hangingChars="125"/>
        <w:rPr>
          <w:color w:val="auto"/>
          <w:highlight w:val="none"/>
        </w:rPr>
      </w:pPr>
      <w:bookmarkStart w:id="22" w:name="_Toc529972331"/>
      <w:r>
        <w:rPr>
          <w:rFonts w:hint="eastAsia"/>
          <w:color w:val="auto"/>
          <w:highlight w:val="none"/>
        </w:rPr>
        <w:t>争议的解决</w:t>
      </w:r>
      <w:bookmarkEnd w:id="22"/>
    </w:p>
    <w:p>
      <w:pPr>
        <w:pStyle w:val="30"/>
        <w:spacing w:before="231"/>
        <w:ind w:left="476" w:leftChars="140"/>
        <w:rPr>
          <w:color w:val="auto"/>
          <w:highlight w:val="none"/>
        </w:rPr>
      </w:pPr>
      <w:r>
        <w:rPr>
          <w:rFonts w:hint="eastAsia"/>
          <w:color w:val="auto"/>
          <w:highlight w:val="none"/>
        </w:rPr>
        <w:t>本合同的订立、效力、解释、履行和争议的解决等均适用中华人民共和国法律。凡有关本合同或执行本合同而发生的一切争执，应通过友好协商解决，如不能解决，则双方均可向甲方所在地法院提起诉讼。</w:t>
      </w:r>
    </w:p>
    <w:p>
      <w:pPr>
        <w:pStyle w:val="29"/>
        <w:numPr>
          <w:ilvl w:val="0"/>
          <w:numId w:val="2"/>
        </w:numPr>
        <w:spacing w:before="462"/>
        <w:rPr>
          <w:color w:val="auto"/>
          <w:highlight w:val="none"/>
        </w:rPr>
      </w:pPr>
      <w:bookmarkStart w:id="23" w:name="_Toc529972332"/>
      <w:r>
        <w:rPr>
          <w:rFonts w:hint="eastAsia"/>
          <w:color w:val="auto"/>
          <w:highlight w:val="none"/>
        </w:rPr>
        <w:t>合同生效</w:t>
      </w:r>
      <w:bookmarkEnd w:id="23"/>
    </w:p>
    <w:p>
      <w:pPr>
        <w:pStyle w:val="30"/>
        <w:spacing w:before="231"/>
        <w:ind w:firstLine="360" w:firstLineChars="150"/>
        <w:rPr>
          <w:color w:val="auto"/>
          <w:highlight w:val="none"/>
        </w:rPr>
      </w:pPr>
      <w:r>
        <w:rPr>
          <w:rFonts w:hint="eastAsia"/>
          <w:color w:val="auto"/>
          <w:highlight w:val="none"/>
        </w:rPr>
        <w:t>本合同自甲乙双方法定代表人或授权代表签字（签章）并加盖公章或合同专用章之日起生效。</w:t>
      </w:r>
    </w:p>
    <w:p>
      <w:pPr>
        <w:pStyle w:val="30"/>
        <w:spacing w:before="231"/>
        <w:ind w:firstLine="360" w:firstLineChars="150"/>
        <w:rPr>
          <w:color w:val="auto"/>
          <w:highlight w:val="none"/>
        </w:rPr>
      </w:pPr>
      <w:r>
        <w:rPr>
          <w:rFonts w:hint="eastAsia"/>
          <w:color w:val="auto"/>
          <w:highlight w:val="none"/>
        </w:rPr>
        <w:t>本合同一式柒份，甲方执伍份，乙方执贰份，具同等法律效力。</w:t>
      </w:r>
    </w:p>
    <w:p>
      <w:pPr>
        <w:pStyle w:val="29"/>
        <w:numPr>
          <w:ilvl w:val="0"/>
          <w:numId w:val="2"/>
        </w:numPr>
        <w:spacing w:before="231" w:beforeLines="50"/>
        <w:ind w:left="351" w:hanging="351" w:hangingChars="125"/>
        <w:rPr>
          <w:color w:val="auto"/>
          <w:highlight w:val="none"/>
        </w:rPr>
      </w:pPr>
      <w:bookmarkStart w:id="24" w:name="_Toc529972333"/>
      <w:r>
        <w:rPr>
          <w:rFonts w:hint="eastAsia"/>
          <w:color w:val="auto"/>
          <w:highlight w:val="none"/>
        </w:rPr>
        <w:t>下列文件均为本合同不可分割部分：</w:t>
      </w:r>
      <w:bookmarkEnd w:id="24"/>
    </w:p>
    <w:p>
      <w:pPr>
        <w:pStyle w:val="30"/>
        <w:spacing w:before="0" w:beforeLines="0"/>
        <w:ind w:left="567"/>
        <w:rPr>
          <w:color w:val="auto"/>
          <w:highlight w:val="none"/>
        </w:rPr>
      </w:pPr>
      <w:r>
        <w:rPr>
          <w:rFonts w:hint="eastAsia"/>
          <w:color w:val="auto"/>
          <w:highlight w:val="none"/>
        </w:rPr>
        <w:t>（1）电梯安装合同条款；</w:t>
      </w:r>
    </w:p>
    <w:p>
      <w:pPr>
        <w:pStyle w:val="30"/>
        <w:spacing w:before="0" w:beforeLines="0"/>
        <w:ind w:left="567"/>
        <w:rPr>
          <w:color w:val="auto"/>
          <w:highlight w:val="none"/>
        </w:rPr>
      </w:pPr>
      <w:r>
        <w:rPr>
          <w:rFonts w:hint="eastAsia"/>
          <w:color w:val="auto"/>
          <w:highlight w:val="none"/>
        </w:rPr>
        <w:t>（2）电梯安装合同附件；</w:t>
      </w:r>
    </w:p>
    <w:p>
      <w:pPr>
        <w:pStyle w:val="30"/>
        <w:spacing w:before="0" w:beforeLines="0"/>
        <w:ind w:left="1248" w:leftChars="367"/>
        <w:rPr>
          <w:color w:val="auto"/>
          <w:szCs w:val="24"/>
          <w:highlight w:val="none"/>
        </w:rPr>
      </w:pPr>
      <w:r>
        <w:rPr>
          <w:rFonts w:hint="eastAsia"/>
          <w:color w:val="auto"/>
          <w:szCs w:val="24"/>
          <w:highlight w:val="none"/>
        </w:rPr>
        <w:t>附件一：佛山季华项目电梯设备安装报价明细清单（另册）</w:t>
      </w:r>
    </w:p>
    <w:p>
      <w:pPr>
        <w:pStyle w:val="30"/>
        <w:spacing w:before="0" w:beforeLines="0"/>
        <w:ind w:left="1248" w:leftChars="367"/>
        <w:rPr>
          <w:color w:val="auto"/>
          <w:szCs w:val="24"/>
          <w:highlight w:val="none"/>
        </w:rPr>
      </w:pPr>
      <w:r>
        <w:rPr>
          <w:rFonts w:hint="eastAsia"/>
          <w:color w:val="auto"/>
          <w:szCs w:val="24"/>
          <w:highlight w:val="none"/>
        </w:rPr>
        <w:t>附件二：佛山季华项目垂直梯专业技术要求（另册）</w:t>
      </w:r>
    </w:p>
    <w:p>
      <w:pPr>
        <w:pStyle w:val="30"/>
        <w:spacing w:before="0" w:beforeLines="0"/>
        <w:ind w:left="1248" w:leftChars="367"/>
        <w:rPr>
          <w:color w:val="auto"/>
          <w:szCs w:val="24"/>
          <w:highlight w:val="none"/>
        </w:rPr>
      </w:pPr>
      <w:r>
        <w:rPr>
          <w:rFonts w:hint="eastAsia"/>
          <w:color w:val="auto"/>
          <w:szCs w:val="24"/>
          <w:highlight w:val="none"/>
        </w:rPr>
        <w:t>附件三：佛山季华项目工程施工现场管理办法</w:t>
      </w:r>
    </w:p>
    <w:p>
      <w:pPr>
        <w:pStyle w:val="30"/>
        <w:spacing w:before="0" w:beforeLines="0"/>
        <w:ind w:left="1248" w:leftChars="367"/>
        <w:rPr>
          <w:color w:val="auto"/>
          <w:szCs w:val="24"/>
          <w:highlight w:val="none"/>
        </w:rPr>
      </w:pPr>
      <w:r>
        <w:rPr>
          <w:rFonts w:hint="eastAsia"/>
          <w:color w:val="auto"/>
          <w:szCs w:val="24"/>
          <w:highlight w:val="none"/>
        </w:rPr>
        <w:t>附件四：施工界面划分表</w:t>
      </w:r>
    </w:p>
    <w:p>
      <w:pPr>
        <w:pStyle w:val="30"/>
        <w:spacing w:before="0" w:beforeLines="0"/>
        <w:ind w:left="1248" w:leftChars="367"/>
        <w:rPr>
          <w:color w:val="auto"/>
          <w:szCs w:val="24"/>
          <w:highlight w:val="none"/>
        </w:rPr>
      </w:pPr>
      <w:r>
        <w:rPr>
          <w:rFonts w:hint="eastAsia"/>
          <w:color w:val="auto"/>
          <w:szCs w:val="24"/>
          <w:highlight w:val="none"/>
        </w:rPr>
        <w:t>附件五：履约保函（样式）</w:t>
      </w:r>
    </w:p>
    <w:p>
      <w:pPr>
        <w:pStyle w:val="30"/>
        <w:spacing w:before="0" w:beforeLines="0"/>
        <w:ind w:left="1248" w:leftChars="367"/>
        <w:rPr>
          <w:color w:val="auto"/>
          <w:szCs w:val="24"/>
          <w:highlight w:val="none"/>
        </w:rPr>
      </w:pPr>
      <w:r>
        <w:rPr>
          <w:rFonts w:hint="eastAsia"/>
          <w:color w:val="auto"/>
          <w:szCs w:val="24"/>
          <w:highlight w:val="none"/>
        </w:rPr>
        <w:t>附件六：质量保函（样式）</w:t>
      </w:r>
    </w:p>
    <w:p>
      <w:pPr>
        <w:pStyle w:val="30"/>
        <w:spacing w:before="0" w:beforeLines="0"/>
        <w:ind w:left="1248" w:leftChars="367"/>
        <w:rPr>
          <w:color w:val="auto"/>
          <w:szCs w:val="24"/>
          <w:highlight w:val="none"/>
        </w:rPr>
      </w:pPr>
      <w:r>
        <w:rPr>
          <w:rFonts w:hint="eastAsia"/>
          <w:color w:val="auto"/>
          <w:szCs w:val="24"/>
          <w:highlight w:val="none"/>
        </w:rPr>
        <w:t>附件七：工程质量保修书</w:t>
      </w:r>
    </w:p>
    <w:p>
      <w:pPr>
        <w:pStyle w:val="30"/>
        <w:spacing w:before="0" w:beforeLines="0"/>
        <w:ind w:left="1248" w:leftChars="367"/>
        <w:rPr>
          <w:color w:val="auto"/>
          <w:szCs w:val="24"/>
          <w:highlight w:val="none"/>
        </w:rPr>
      </w:pPr>
      <w:r>
        <w:rPr>
          <w:rFonts w:hint="eastAsia"/>
          <w:color w:val="auto"/>
          <w:szCs w:val="24"/>
          <w:highlight w:val="none"/>
        </w:rPr>
        <w:t>附件八：工程建设项目廉政责任书</w:t>
      </w:r>
    </w:p>
    <w:p>
      <w:pPr>
        <w:pStyle w:val="30"/>
        <w:spacing w:before="0" w:beforeLines="0"/>
        <w:ind w:left="1248" w:leftChars="367"/>
        <w:rPr>
          <w:color w:val="auto"/>
          <w:szCs w:val="24"/>
          <w:highlight w:val="none"/>
        </w:rPr>
      </w:pPr>
      <w:r>
        <w:rPr>
          <w:rFonts w:hint="eastAsia"/>
          <w:color w:val="auto"/>
          <w:szCs w:val="24"/>
          <w:highlight w:val="none"/>
        </w:rPr>
        <w:t>附件九：电梯防护与运行管理</w:t>
      </w:r>
    </w:p>
    <w:p>
      <w:pPr>
        <w:pStyle w:val="30"/>
        <w:spacing w:before="0" w:beforeLines="0"/>
        <w:ind w:left="1248" w:leftChars="367"/>
        <w:rPr>
          <w:color w:val="auto"/>
          <w:szCs w:val="24"/>
          <w:highlight w:val="none"/>
        </w:rPr>
      </w:pPr>
      <w:r>
        <w:rPr>
          <w:rFonts w:hint="eastAsia"/>
          <w:color w:val="auto"/>
          <w:szCs w:val="24"/>
          <w:highlight w:val="none"/>
        </w:rPr>
        <w:t>附件十：乙方人员目录及资格清单</w:t>
      </w:r>
    </w:p>
    <w:p>
      <w:pPr>
        <w:pStyle w:val="30"/>
        <w:spacing w:before="0" w:beforeLines="0"/>
        <w:ind w:left="1248" w:leftChars="367"/>
        <w:rPr>
          <w:color w:val="auto"/>
          <w:szCs w:val="24"/>
          <w:highlight w:val="none"/>
        </w:rPr>
      </w:pPr>
      <w:r>
        <w:rPr>
          <w:rFonts w:hint="eastAsia"/>
          <w:color w:val="auto"/>
          <w:szCs w:val="24"/>
          <w:highlight w:val="none"/>
        </w:rPr>
        <w:t>附件十一：土建条件图（如有）</w:t>
      </w:r>
    </w:p>
    <w:p>
      <w:pPr>
        <w:pStyle w:val="30"/>
        <w:spacing w:before="0" w:beforeLines="0"/>
        <w:ind w:left="1248" w:leftChars="367"/>
        <w:rPr>
          <w:color w:val="auto"/>
          <w:szCs w:val="24"/>
          <w:highlight w:val="none"/>
        </w:rPr>
      </w:pPr>
      <w:r>
        <w:rPr>
          <w:rFonts w:hint="eastAsia"/>
          <w:color w:val="auto"/>
          <w:szCs w:val="24"/>
          <w:highlight w:val="none"/>
        </w:rPr>
        <w:t>附件十二：投标文件相关承诺等（另册）</w:t>
      </w:r>
    </w:p>
    <w:p>
      <w:pPr>
        <w:pStyle w:val="30"/>
        <w:spacing w:before="0" w:beforeLines="0"/>
        <w:ind w:left="1248" w:leftChars="367"/>
        <w:rPr>
          <w:rFonts w:ascii="仿宋" w:hAnsi="仿宋" w:eastAsia="仿宋"/>
          <w:color w:val="auto"/>
          <w:sz w:val="21"/>
          <w:szCs w:val="21"/>
          <w:highlight w:val="none"/>
        </w:rPr>
      </w:pPr>
      <w:r>
        <w:rPr>
          <w:rFonts w:hint="eastAsia" w:ascii="仿宋" w:hAnsi="仿宋" w:eastAsia="仿宋"/>
          <w:color w:val="auto"/>
          <w:sz w:val="21"/>
          <w:szCs w:val="21"/>
          <w:highlight w:val="none"/>
        </w:rPr>
        <w:t>1</w:t>
      </w:r>
      <w:r>
        <w:rPr>
          <w:rFonts w:ascii="仿宋" w:hAnsi="仿宋" w:eastAsia="仿宋"/>
          <w:color w:val="auto"/>
          <w:sz w:val="21"/>
          <w:szCs w:val="21"/>
          <w:highlight w:val="none"/>
        </w:rPr>
        <w:t>2</w:t>
      </w:r>
      <w:r>
        <w:rPr>
          <w:rFonts w:hint="eastAsia" w:ascii="仿宋" w:hAnsi="仿宋" w:eastAsia="仿宋"/>
          <w:color w:val="auto"/>
          <w:sz w:val="21"/>
          <w:szCs w:val="21"/>
          <w:highlight w:val="none"/>
        </w:rPr>
        <w:t>.</w:t>
      </w:r>
      <w:r>
        <w:rPr>
          <w:rFonts w:ascii="仿宋" w:hAnsi="仿宋" w:eastAsia="仿宋"/>
          <w:color w:val="auto"/>
          <w:sz w:val="21"/>
          <w:szCs w:val="21"/>
          <w:highlight w:val="none"/>
        </w:rPr>
        <w:t>1</w:t>
      </w:r>
      <w:r>
        <w:rPr>
          <w:rFonts w:hint="eastAsia" w:ascii="仿宋" w:hAnsi="仿宋" w:eastAsia="仿宋"/>
          <w:color w:val="auto"/>
          <w:sz w:val="21"/>
          <w:szCs w:val="21"/>
          <w:highlight w:val="none"/>
        </w:rPr>
        <w:t xml:space="preserve"> 电梯货物备品备件清单（另册）</w:t>
      </w:r>
    </w:p>
    <w:p>
      <w:pPr>
        <w:pStyle w:val="30"/>
        <w:spacing w:before="0" w:beforeLines="0"/>
        <w:ind w:left="1248" w:leftChars="367"/>
        <w:rPr>
          <w:color w:val="auto"/>
          <w:szCs w:val="24"/>
          <w:highlight w:val="none"/>
        </w:rPr>
      </w:pPr>
      <w:r>
        <w:rPr>
          <w:rFonts w:hint="eastAsia" w:ascii="仿宋" w:hAnsi="仿宋" w:eastAsia="仿宋"/>
          <w:color w:val="auto"/>
          <w:sz w:val="21"/>
          <w:szCs w:val="21"/>
          <w:highlight w:val="none"/>
        </w:rPr>
        <w:t>1</w:t>
      </w:r>
      <w:r>
        <w:rPr>
          <w:rFonts w:ascii="仿宋" w:hAnsi="仿宋" w:eastAsia="仿宋"/>
          <w:color w:val="auto"/>
          <w:sz w:val="21"/>
          <w:szCs w:val="21"/>
          <w:highlight w:val="none"/>
        </w:rPr>
        <w:t>2</w:t>
      </w:r>
      <w:r>
        <w:rPr>
          <w:rFonts w:hint="eastAsia" w:ascii="仿宋" w:hAnsi="仿宋" w:eastAsia="仿宋"/>
          <w:color w:val="auto"/>
          <w:sz w:val="21"/>
          <w:szCs w:val="21"/>
          <w:highlight w:val="none"/>
        </w:rPr>
        <w:t>.</w:t>
      </w:r>
      <w:r>
        <w:rPr>
          <w:rFonts w:ascii="仿宋" w:hAnsi="仿宋" w:eastAsia="仿宋"/>
          <w:color w:val="auto"/>
          <w:sz w:val="21"/>
          <w:szCs w:val="21"/>
          <w:highlight w:val="none"/>
        </w:rPr>
        <w:t>2</w:t>
      </w:r>
      <w:r>
        <w:rPr>
          <w:rFonts w:hint="eastAsia" w:ascii="仿宋" w:hAnsi="仿宋" w:eastAsia="仿宋"/>
          <w:color w:val="auto"/>
          <w:sz w:val="21"/>
          <w:szCs w:val="21"/>
          <w:highlight w:val="none"/>
        </w:rPr>
        <w:t>质保期后五年的维修保养费用（另册）</w:t>
      </w:r>
    </w:p>
    <w:p>
      <w:pPr>
        <w:pStyle w:val="30"/>
        <w:spacing w:before="0" w:beforeLines="0"/>
        <w:ind w:left="567"/>
        <w:rPr>
          <w:color w:val="auto"/>
          <w:highlight w:val="none"/>
        </w:rPr>
      </w:pPr>
      <w:r>
        <w:rPr>
          <w:rFonts w:hint="eastAsia"/>
          <w:color w:val="auto"/>
          <w:highlight w:val="none"/>
        </w:rPr>
        <w:t>（3）甲方的招标文件；</w:t>
      </w:r>
    </w:p>
    <w:p>
      <w:pPr>
        <w:pStyle w:val="30"/>
        <w:spacing w:before="0" w:beforeLines="0"/>
        <w:ind w:left="567"/>
        <w:rPr>
          <w:color w:val="auto"/>
          <w:highlight w:val="none"/>
        </w:rPr>
      </w:pPr>
      <w:r>
        <w:rPr>
          <w:rFonts w:hint="eastAsia"/>
          <w:color w:val="auto"/>
          <w:highlight w:val="none"/>
        </w:rPr>
        <w:t>（4）乙方的投标文件（以符合甲方招标文件或经乙方书面同意者为准，但投标文件承诺的义务、责任高于招标文件的，以对甲方有利的承诺为准）。</w:t>
      </w:r>
    </w:p>
    <w:p>
      <w:pPr>
        <w:pStyle w:val="30"/>
        <w:spacing w:before="231"/>
        <w:ind w:left="567"/>
        <w:rPr>
          <w:rFonts w:hAnsi="宋体"/>
          <w:color w:val="auto"/>
          <w:szCs w:val="24"/>
          <w:highlight w:val="none"/>
        </w:rPr>
      </w:pPr>
      <w:r>
        <w:rPr>
          <w:rFonts w:hint="eastAsia"/>
          <w:color w:val="auto"/>
          <w:highlight w:val="none"/>
        </w:rPr>
        <w:t>上述文件</w:t>
      </w:r>
      <w:r>
        <w:rPr>
          <w:rFonts w:hint="eastAsia" w:hAnsi="宋体"/>
          <w:color w:val="auto"/>
          <w:szCs w:val="24"/>
          <w:highlight w:val="none"/>
        </w:rPr>
        <w:t>出现不一致时，除本合同另有明文规定外，按排列在前者为准；同一顺序文件出现不一致的，以时间在后者为准。</w:t>
      </w:r>
    </w:p>
    <w:p>
      <w:pPr>
        <w:pStyle w:val="30"/>
        <w:spacing w:before="231"/>
        <w:ind w:left="567"/>
        <w:rPr>
          <w:rFonts w:hAnsi="宋体"/>
          <w:color w:val="auto"/>
          <w:szCs w:val="24"/>
          <w:highlight w:val="none"/>
        </w:rPr>
      </w:pPr>
    </w:p>
    <w:p>
      <w:pPr>
        <w:pStyle w:val="30"/>
        <w:spacing w:before="231"/>
        <w:ind w:left="567"/>
        <w:rPr>
          <w:rFonts w:hAnsi="宋体"/>
          <w:color w:val="auto"/>
          <w:szCs w:val="24"/>
          <w:highlight w:val="none"/>
        </w:rPr>
      </w:pPr>
    </w:p>
    <w:p>
      <w:pPr>
        <w:pStyle w:val="30"/>
        <w:spacing w:before="231"/>
        <w:ind w:left="567"/>
        <w:rPr>
          <w:rFonts w:hAnsi="宋体"/>
          <w:color w:val="auto"/>
          <w:szCs w:val="24"/>
          <w:highlight w:val="none"/>
        </w:rPr>
      </w:pPr>
    </w:p>
    <w:p>
      <w:pPr>
        <w:pStyle w:val="30"/>
        <w:spacing w:before="231"/>
        <w:rPr>
          <w:color w:val="auto"/>
          <w:highlight w:val="none"/>
        </w:rPr>
      </w:pPr>
      <w:r>
        <w:rPr>
          <w:rFonts w:hint="eastAsia"/>
          <w:color w:val="auto"/>
          <w:highlight w:val="none"/>
        </w:rPr>
        <w:t>（本页为签章页）</w:t>
      </w:r>
    </w:p>
    <w:p>
      <w:pPr>
        <w:pStyle w:val="30"/>
        <w:spacing w:before="231"/>
        <w:rPr>
          <w:color w:val="auto"/>
          <w:highlight w:val="none"/>
        </w:rPr>
      </w:pPr>
    </w:p>
    <w:p>
      <w:pPr>
        <w:pStyle w:val="30"/>
        <w:spacing w:before="231"/>
        <w:rPr>
          <w:color w:val="auto"/>
          <w:highlight w:val="none"/>
        </w:rPr>
      </w:pPr>
    </w:p>
    <w:p>
      <w:pPr>
        <w:snapToGrid w:val="0"/>
        <w:spacing w:line="360" w:lineRule="auto"/>
        <w:jc w:val="both"/>
        <w:rPr>
          <w:rFonts w:ascii="楷体_GB2312" w:eastAsia="楷体_GB2312"/>
          <w:color w:val="auto"/>
          <w:sz w:val="24"/>
          <w:highlight w:val="none"/>
        </w:rPr>
      </w:pPr>
    </w:p>
    <w:p>
      <w:pPr>
        <w:snapToGrid w:val="0"/>
        <w:spacing w:line="360" w:lineRule="auto"/>
        <w:jc w:val="both"/>
        <w:rPr>
          <w:rFonts w:ascii="楷体_GB2312" w:eastAsia="楷体_GB2312"/>
          <w:color w:val="auto"/>
          <w:sz w:val="24"/>
          <w:highlight w:val="none"/>
        </w:rPr>
      </w:pPr>
    </w:p>
    <w:p>
      <w:pPr>
        <w:snapToGrid w:val="0"/>
        <w:spacing w:line="360" w:lineRule="auto"/>
        <w:jc w:val="both"/>
        <w:rPr>
          <w:rFonts w:ascii="楷体_GB2312" w:eastAsia="楷体_GB2312"/>
          <w:color w:val="auto"/>
          <w:sz w:val="24"/>
          <w:highlight w:val="none"/>
        </w:rPr>
      </w:pPr>
      <w:r>
        <w:rPr>
          <w:rFonts w:hint="eastAsia" w:ascii="楷体_GB2312" w:eastAsia="楷体_GB2312"/>
          <w:color w:val="auto"/>
          <w:sz w:val="24"/>
          <w:highlight w:val="none"/>
        </w:rPr>
        <w:t xml:space="preserve">甲方（盖章）           </w:t>
      </w:r>
    </w:p>
    <w:p>
      <w:pPr>
        <w:snapToGrid w:val="0"/>
        <w:spacing w:line="360" w:lineRule="auto"/>
        <w:jc w:val="both"/>
        <w:rPr>
          <w:rFonts w:ascii="楷体_GB2312" w:eastAsia="楷体_GB2312"/>
          <w:color w:val="auto"/>
          <w:sz w:val="24"/>
          <w:highlight w:val="none"/>
        </w:rPr>
      </w:pPr>
      <w:r>
        <w:rPr>
          <w:rFonts w:hint="eastAsia" w:ascii="楷体_GB2312" w:eastAsia="楷体_GB2312"/>
          <w:color w:val="auto"/>
          <w:sz w:val="24"/>
          <w:highlight w:val="none"/>
        </w:rPr>
        <w:t>法定代表人签字：</w:t>
      </w:r>
    </w:p>
    <w:p>
      <w:pPr>
        <w:snapToGrid w:val="0"/>
        <w:spacing w:line="360" w:lineRule="auto"/>
        <w:jc w:val="both"/>
        <w:rPr>
          <w:rFonts w:ascii="楷体_GB2312" w:eastAsia="楷体_GB2312"/>
          <w:color w:val="auto"/>
          <w:sz w:val="24"/>
          <w:highlight w:val="none"/>
        </w:rPr>
      </w:pPr>
      <w:r>
        <w:rPr>
          <w:rFonts w:hint="eastAsia" w:ascii="楷体_GB2312" w:eastAsia="楷体_GB2312"/>
          <w:color w:val="auto"/>
          <w:sz w:val="24"/>
          <w:highlight w:val="none"/>
        </w:rPr>
        <w:t xml:space="preserve"> (或授权代表)</w:t>
      </w:r>
    </w:p>
    <w:p>
      <w:pPr>
        <w:snapToGrid w:val="0"/>
        <w:spacing w:line="360" w:lineRule="auto"/>
        <w:jc w:val="both"/>
        <w:rPr>
          <w:rFonts w:ascii="楷体_GB2312" w:eastAsia="楷体_GB2312"/>
          <w:color w:val="auto"/>
          <w:sz w:val="24"/>
          <w:highlight w:val="none"/>
        </w:rPr>
      </w:pPr>
      <w:r>
        <w:rPr>
          <w:rFonts w:hint="eastAsia" w:ascii="楷体_GB2312" w:eastAsia="楷体_GB2312"/>
          <w:color w:val="auto"/>
          <w:sz w:val="24"/>
          <w:highlight w:val="none"/>
        </w:rPr>
        <w:t>日期：   年    月    日</w:t>
      </w:r>
    </w:p>
    <w:p>
      <w:pPr>
        <w:snapToGrid w:val="0"/>
        <w:spacing w:line="360" w:lineRule="auto"/>
        <w:ind w:firstLine="5280" w:firstLineChars="2200"/>
        <w:jc w:val="both"/>
        <w:rPr>
          <w:rFonts w:ascii="楷体_GB2312" w:eastAsia="楷体_GB2312"/>
          <w:color w:val="auto"/>
          <w:sz w:val="24"/>
          <w:highlight w:val="none"/>
        </w:rPr>
      </w:pPr>
    </w:p>
    <w:p>
      <w:pPr>
        <w:snapToGrid w:val="0"/>
        <w:spacing w:line="360" w:lineRule="auto"/>
        <w:ind w:firstLine="5280" w:firstLineChars="2200"/>
        <w:jc w:val="both"/>
        <w:rPr>
          <w:rFonts w:ascii="楷体_GB2312" w:eastAsia="楷体_GB2312"/>
          <w:color w:val="auto"/>
          <w:sz w:val="24"/>
          <w:highlight w:val="none"/>
        </w:rPr>
      </w:pPr>
    </w:p>
    <w:p>
      <w:pPr>
        <w:snapToGrid w:val="0"/>
        <w:spacing w:line="360" w:lineRule="auto"/>
        <w:jc w:val="both"/>
        <w:rPr>
          <w:rFonts w:ascii="楷体_GB2312" w:eastAsia="楷体_GB2312"/>
          <w:color w:val="auto"/>
          <w:sz w:val="24"/>
          <w:szCs w:val="24"/>
          <w:highlight w:val="none"/>
        </w:rPr>
      </w:pPr>
      <w:r>
        <w:rPr>
          <w:rFonts w:hint="eastAsia" w:ascii="楷体_GB2312" w:eastAsia="楷体_GB2312"/>
          <w:color w:val="auto"/>
          <w:sz w:val="24"/>
          <w:highlight w:val="none"/>
        </w:rPr>
        <w:t xml:space="preserve">乙方（盖章）： </w:t>
      </w:r>
    </w:p>
    <w:p>
      <w:pPr>
        <w:snapToGrid w:val="0"/>
        <w:spacing w:line="360" w:lineRule="auto"/>
        <w:jc w:val="both"/>
        <w:rPr>
          <w:rFonts w:ascii="楷体_GB2312" w:eastAsia="楷体_GB2312"/>
          <w:color w:val="auto"/>
          <w:sz w:val="24"/>
          <w:highlight w:val="none"/>
        </w:rPr>
      </w:pPr>
      <w:r>
        <w:rPr>
          <w:rFonts w:hint="eastAsia" w:ascii="楷体_GB2312" w:eastAsia="楷体_GB2312"/>
          <w:color w:val="auto"/>
          <w:sz w:val="24"/>
          <w:highlight w:val="none"/>
        </w:rPr>
        <w:t>法定代表人签字：</w:t>
      </w:r>
    </w:p>
    <w:p>
      <w:pPr>
        <w:snapToGrid w:val="0"/>
        <w:spacing w:line="360" w:lineRule="auto"/>
        <w:jc w:val="both"/>
        <w:rPr>
          <w:rFonts w:ascii="楷体_GB2312" w:eastAsia="楷体_GB2312"/>
          <w:color w:val="auto"/>
          <w:sz w:val="24"/>
          <w:highlight w:val="none"/>
        </w:rPr>
      </w:pPr>
      <w:r>
        <w:rPr>
          <w:rFonts w:hint="eastAsia" w:ascii="楷体_GB2312" w:eastAsia="楷体_GB2312"/>
          <w:color w:val="auto"/>
          <w:sz w:val="24"/>
          <w:highlight w:val="none"/>
        </w:rPr>
        <w:t xml:space="preserve"> (或授权代表)</w:t>
      </w:r>
    </w:p>
    <w:p>
      <w:pPr>
        <w:snapToGrid w:val="0"/>
        <w:spacing w:line="360" w:lineRule="auto"/>
        <w:jc w:val="both"/>
        <w:rPr>
          <w:rFonts w:ascii="楷体_GB2312" w:eastAsia="楷体_GB2312"/>
          <w:color w:val="auto"/>
          <w:sz w:val="24"/>
          <w:highlight w:val="none"/>
        </w:rPr>
      </w:pPr>
      <w:r>
        <w:rPr>
          <w:rFonts w:hint="eastAsia" w:ascii="楷体_GB2312" w:eastAsia="楷体_GB2312"/>
          <w:color w:val="auto"/>
          <w:sz w:val="24"/>
          <w:highlight w:val="none"/>
        </w:rPr>
        <w:t>日期：   年    月    日</w:t>
      </w:r>
    </w:p>
    <w:p>
      <w:pPr>
        <w:snapToGrid w:val="0"/>
        <w:spacing w:line="360" w:lineRule="auto"/>
        <w:ind w:firstLine="5280" w:firstLineChars="2200"/>
        <w:jc w:val="both"/>
        <w:rPr>
          <w:rFonts w:ascii="楷体_GB2312" w:eastAsia="楷体_GB2312"/>
          <w:color w:val="auto"/>
          <w:sz w:val="24"/>
          <w:highlight w:val="none"/>
        </w:rPr>
      </w:pPr>
    </w:p>
    <w:p>
      <w:pPr>
        <w:overflowPunct w:val="0"/>
        <w:snapToGrid w:val="0"/>
        <w:spacing w:line="360" w:lineRule="auto"/>
        <w:outlineLvl w:val="0"/>
        <w:rPr>
          <w:rFonts w:ascii="仿宋" w:hAnsi="仿宋" w:eastAsia="仿宋"/>
          <w:color w:val="auto"/>
          <w:sz w:val="21"/>
          <w:szCs w:val="21"/>
          <w:highlight w:val="none"/>
        </w:rPr>
      </w:pPr>
      <w:r>
        <w:rPr>
          <w:rFonts w:ascii="楷体_GB2312" w:eastAsia="楷体_GB2312"/>
          <w:color w:val="auto"/>
          <w:sz w:val="24"/>
          <w:highlight w:val="none"/>
        </w:rPr>
        <w:br w:type="page"/>
      </w:r>
      <w:bookmarkStart w:id="25" w:name="_Toc529972334"/>
      <w:r>
        <w:rPr>
          <w:rFonts w:hint="eastAsia" w:ascii="仿宋" w:hAnsi="仿宋" w:eastAsia="仿宋"/>
          <w:b/>
          <w:color w:val="auto"/>
          <w:sz w:val="21"/>
          <w:szCs w:val="21"/>
          <w:highlight w:val="none"/>
        </w:rPr>
        <w:t>附件一：佛山季华项目电梯设备安装报价明细清单（另册）</w:t>
      </w:r>
      <w:bookmarkEnd w:id="25"/>
    </w:p>
    <w:p>
      <w:pPr>
        <w:pStyle w:val="29"/>
        <w:spacing w:before="0" w:beforeLines="0"/>
        <w:rPr>
          <w:color w:val="auto"/>
          <w:sz w:val="21"/>
          <w:szCs w:val="21"/>
          <w:highlight w:val="none"/>
        </w:rPr>
      </w:pPr>
    </w:p>
    <w:p>
      <w:pPr>
        <w:overflowPunct w:val="0"/>
        <w:snapToGrid w:val="0"/>
        <w:spacing w:line="360" w:lineRule="auto"/>
        <w:outlineLvl w:val="0"/>
        <w:rPr>
          <w:rFonts w:ascii="仿宋" w:hAnsi="仿宋" w:eastAsia="仿宋"/>
          <w:color w:val="auto"/>
          <w:sz w:val="21"/>
          <w:szCs w:val="21"/>
          <w:highlight w:val="none"/>
        </w:rPr>
      </w:pPr>
      <w:bookmarkStart w:id="26" w:name="_Toc529972335"/>
      <w:r>
        <w:rPr>
          <w:rFonts w:hint="eastAsia" w:ascii="仿宋" w:hAnsi="仿宋" w:eastAsia="仿宋"/>
          <w:b/>
          <w:color w:val="auto"/>
          <w:sz w:val="21"/>
          <w:szCs w:val="21"/>
          <w:highlight w:val="none"/>
        </w:rPr>
        <w:t>附件二：</w:t>
      </w:r>
      <w:bookmarkEnd w:id="26"/>
      <w:bookmarkStart w:id="27" w:name="_Toc529972336"/>
      <w:r>
        <w:rPr>
          <w:rFonts w:hint="eastAsia" w:ascii="仿宋" w:hAnsi="仿宋" w:eastAsia="仿宋"/>
          <w:b/>
          <w:color w:val="auto"/>
          <w:sz w:val="21"/>
          <w:szCs w:val="21"/>
          <w:highlight w:val="none"/>
        </w:rPr>
        <w:t>佛山季华项目垂直梯专业技术要求（另册）</w:t>
      </w:r>
      <w:bookmarkEnd w:id="27"/>
    </w:p>
    <w:p>
      <w:pPr>
        <w:overflowPunct w:val="0"/>
        <w:snapToGrid w:val="0"/>
        <w:spacing w:line="360" w:lineRule="auto"/>
        <w:outlineLvl w:val="0"/>
        <w:rPr>
          <w:rFonts w:ascii="仿宋" w:hAnsi="仿宋" w:eastAsia="仿宋"/>
          <w:b/>
          <w:color w:val="auto"/>
          <w:sz w:val="21"/>
          <w:szCs w:val="21"/>
          <w:highlight w:val="none"/>
        </w:rPr>
      </w:pPr>
    </w:p>
    <w:p>
      <w:pPr>
        <w:pStyle w:val="9"/>
        <w:snapToGrid w:val="0"/>
        <w:spacing w:after="0" w:line="360" w:lineRule="auto"/>
        <w:ind w:left="0" w:leftChars="0"/>
        <w:outlineLvl w:val="0"/>
        <w:rPr>
          <w:rFonts w:ascii="仿宋" w:hAnsi="仿宋" w:eastAsia="仿宋"/>
          <w:b/>
          <w:color w:val="auto"/>
          <w:sz w:val="21"/>
          <w:szCs w:val="21"/>
          <w:highlight w:val="none"/>
        </w:rPr>
      </w:pPr>
      <w:bookmarkStart w:id="28" w:name="_Toc529972340"/>
      <w:r>
        <w:rPr>
          <w:rFonts w:hint="eastAsia" w:ascii="仿宋" w:hAnsi="仿宋" w:eastAsia="仿宋"/>
          <w:b/>
          <w:color w:val="auto"/>
          <w:sz w:val="21"/>
          <w:szCs w:val="21"/>
          <w:highlight w:val="none"/>
        </w:rPr>
        <w:t>2.1佛山季华粤海垂直电梯选型表</w:t>
      </w:r>
    </w:p>
    <w:p>
      <w:pPr>
        <w:pStyle w:val="9"/>
        <w:snapToGrid w:val="0"/>
        <w:spacing w:after="0" w:line="360" w:lineRule="auto"/>
        <w:ind w:left="0" w:leftChars="0"/>
        <w:outlineLvl w:val="0"/>
        <w:rPr>
          <w:rFonts w:ascii="仿宋" w:hAnsi="仿宋" w:eastAsia="仿宋"/>
          <w:b/>
          <w:color w:val="auto"/>
          <w:sz w:val="21"/>
          <w:szCs w:val="21"/>
          <w:highlight w:val="none"/>
        </w:rPr>
      </w:pPr>
      <w:r>
        <w:rPr>
          <w:rFonts w:hint="eastAsia" w:ascii="仿宋" w:hAnsi="仿宋" w:eastAsia="仿宋"/>
          <w:b/>
          <w:color w:val="auto"/>
          <w:sz w:val="21"/>
          <w:szCs w:val="21"/>
          <w:highlight w:val="none"/>
        </w:rPr>
        <w:t>2.2粤海佛山季华项目垂直梯专业技术规格书</w:t>
      </w:r>
    </w:p>
    <w:p>
      <w:pPr>
        <w:pStyle w:val="9"/>
        <w:snapToGrid w:val="0"/>
        <w:spacing w:after="0" w:line="360" w:lineRule="auto"/>
        <w:ind w:left="0" w:leftChars="0"/>
        <w:outlineLvl w:val="0"/>
        <w:rPr>
          <w:rFonts w:ascii="仿宋" w:hAnsi="仿宋" w:eastAsia="仿宋"/>
          <w:b/>
          <w:color w:val="auto"/>
          <w:sz w:val="21"/>
          <w:szCs w:val="21"/>
          <w:highlight w:val="none"/>
        </w:rPr>
      </w:pPr>
    </w:p>
    <w:p>
      <w:pPr>
        <w:pStyle w:val="9"/>
        <w:snapToGrid w:val="0"/>
        <w:spacing w:after="0" w:line="360" w:lineRule="auto"/>
        <w:ind w:left="0" w:leftChars="0"/>
        <w:outlineLvl w:val="0"/>
        <w:rPr>
          <w:rFonts w:ascii="仿宋" w:hAnsi="仿宋" w:eastAsia="仿宋"/>
          <w:b/>
          <w:color w:val="auto"/>
          <w:sz w:val="21"/>
          <w:szCs w:val="21"/>
          <w:highlight w:val="none"/>
        </w:rPr>
      </w:pPr>
    </w:p>
    <w:p>
      <w:pPr>
        <w:pStyle w:val="9"/>
        <w:snapToGrid w:val="0"/>
        <w:spacing w:after="0" w:line="360" w:lineRule="auto"/>
        <w:ind w:left="0" w:leftChars="0"/>
        <w:outlineLvl w:val="0"/>
        <w:rPr>
          <w:rFonts w:ascii="仿宋" w:hAnsi="仿宋" w:eastAsia="仿宋"/>
          <w:b/>
          <w:color w:val="auto"/>
          <w:sz w:val="21"/>
          <w:szCs w:val="21"/>
          <w:highlight w:val="none"/>
        </w:rPr>
      </w:pPr>
    </w:p>
    <w:p>
      <w:pPr>
        <w:pStyle w:val="9"/>
        <w:snapToGrid w:val="0"/>
        <w:spacing w:after="0" w:line="360" w:lineRule="auto"/>
        <w:ind w:left="0" w:leftChars="0"/>
        <w:outlineLvl w:val="0"/>
        <w:rPr>
          <w:rFonts w:ascii="仿宋" w:hAnsi="仿宋" w:eastAsia="仿宋"/>
          <w:b/>
          <w:color w:val="auto"/>
          <w:sz w:val="21"/>
          <w:szCs w:val="21"/>
          <w:highlight w:val="none"/>
        </w:rPr>
      </w:pPr>
    </w:p>
    <w:p>
      <w:pPr>
        <w:pStyle w:val="9"/>
        <w:snapToGrid w:val="0"/>
        <w:spacing w:after="0" w:line="360" w:lineRule="auto"/>
        <w:ind w:left="0" w:leftChars="0"/>
        <w:outlineLvl w:val="0"/>
        <w:rPr>
          <w:rFonts w:ascii="仿宋" w:hAnsi="仿宋" w:eastAsia="仿宋"/>
          <w:b/>
          <w:color w:val="auto"/>
          <w:sz w:val="21"/>
          <w:szCs w:val="21"/>
          <w:highlight w:val="none"/>
        </w:rPr>
      </w:pPr>
    </w:p>
    <w:p>
      <w:pPr>
        <w:pStyle w:val="9"/>
        <w:snapToGrid w:val="0"/>
        <w:spacing w:after="0" w:line="360" w:lineRule="auto"/>
        <w:ind w:left="0" w:leftChars="0"/>
        <w:outlineLvl w:val="0"/>
        <w:rPr>
          <w:rFonts w:ascii="仿宋" w:hAnsi="仿宋" w:eastAsia="仿宋"/>
          <w:b/>
          <w:color w:val="auto"/>
          <w:sz w:val="21"/>
          <w:szCs w:val="21"/>
          <w:highlight w:val="none"/>
        </w:rPr>
      </w:pPr>
    </w:p>
    <w:p>
      <w:pPr>
        <w:pStyle w:val="9"/>
        <w:snapToGrid w:val="0"/>
        <w:spacing w:after="0" w:line="360" w:lineRule="auto"/>
        <w:ind w:left="0" w:leftChars="0"/>
        <w:outlineLvl w:val="0"/>
        <w:rPr>
          <w:rFonts w:ascii="仿宋" w:hAnsi="仿宋" w:eastAsia="仿宋"/>
          <w:b/>
          <w:color w:val="auto"/>
          <w:sz w:val="21"/>
          <w:szCs w:val="21"/>
          <w:highlight w:val="none"/>
        </w:rPr>
      </w:pPr>
    </w:p>
    <w:p>
      <w:pPr>
        <w:pStyle w:val="9"/>
        <w:snapToGrid w:val="0"/>
        <w:spacing w:after="0" w:line="360" w:lineRule="auto"/>
        <w:ind w:left="0" w:leftChars="0"/>
        <w:outlineLvl w:val="0"/>
        <w:rPr>
          <w:rFonts w:ascii="仿宋" w:hAnsi="仿宋" w:eastAsia="仿宋"/>
          <w:b/>
          <w:color w:val="auto"/>
          <w:sz w:val="21"/>
          <w:szCs w:val="21"/>
          <w:highlight w:val="none"/>
        </w:rPr>
      </w:pPr>
    </w:p>
    <w:p>
      <w:pPr>
        <w:pStyle w:val="9"/>
        <w:snapToGrid w:val="0"/>
        <w:spacing w:after="0" w:line="360" w:lineRule="auto"/>
        <w:ind w:left="0" w:leftChars="0"/>
        <w:outlineLvl w:val="0"/>
        <w:rPr>
          <w:rFonts w:ascii="仿宋" w:hAnsi="仿宋" w:eastAsia="仿宋"/>
          <w:b/>
          <w:color w:val="auto"/>
          <w:sz w:val="21"/>
          <w:szCs w:val="21"/>
          <w:highlight w:val="none"/>
        </w:rPr>
      </w:pPr>
    </w:p>
    <w:p>
      <w:pPr>
        <w:pStyle w:val="9"/>
        <w:snapToGrid w:val="0"/>
        <w:spacing w:after="0" w:line="360" w:lineRule="auto"/>
        <w:ind w:left="0" w:leftChars="0"/>
        <w:outlineLvl w:val="0"/>
        <w:rPr>
          <w:rFonts w:ascii="仿宋" w:hAnsi="仿宋" w:eastAsia="仿宋"/>
          <w:b/>
          <w:color w:val="auto"/>
          <w:sz w:val="21"/>
          <w:szCs w:val="21"/>
          <w:highlight w:val="none"/>
        </w:rPr>
      </w:pPr>
    </w:p>
    <w:p>
      <w:pPr>
        <w:pStyle w:val="9"/>
        <w:snapToGrid w:val="0"/>
        <w:spacing w:after="0" w:line="360" w:lineRule="auto"/>
        <w:ind w:left="0" w:leftChars="0"/>
        <w:outlineLvl w:val="0"/>
        <w:rPr>
          <w:rFonts w:ascii="仿宋" w:hAnsi="仿宋" w:eastAsia="仿宋"/>
          <w:b/>
          <w:color w:val="auto"/>
          <w:sz w:val="21"/>
          <w:szCs w:val="21"/>
          <w:highlight w:val="none"/>
        </w:rPr>
      </w:pPr>
    </w:p>
    <w:p>
      <w:pPr>
        <w:pStyle w:val="9"/>
        <w:snapToGrid w:val="0"/>
        <w:spacing w:after="0" w:line="360" w:lineRule="auto"/>
        <w:ind w:left="0" w:leftChars="0"/>
        <w:outlineLvl w:val="0"/>
        <w:rPr>
          <w:rFonts w:ascii="仿宋" w:hAnsi="仿宋" w:eastAsia="仿宋"/>
          <w:b/>
          <w:color w:val="auto"/>
          <w:sz w:val="21"/>
          <w:szCs w:val="21"/>
          <w:highlight w:val="none"/>
        </w:rPr>
      </w:pPr>
    </w:p>
    <w:p>
      <w:pPr>
        <w:pStyle w:val="9"/>
        <w:snapToGrid w:val="0"/>
        <w:spacing w:after="0" w:line="360" w:lineRule="auto"/>
        <w:ind w:left="0" w:leftChars="0"/>
        <w:outlineLvl w:val="0"/>
        <w:rPr>
          <w:rFonts w:ascii="仿宋" w:hAnsi="仿宋" w:eastAsia="仿宋"/>
          <w:b/>
          <w:color w:val="auto"/>
          <w:sz w:val="21"/>
          <w:szCs w:val="21"/>
          <w:highlight w:val="none"/>
        </w:rPr>
      </w:pPr>
    </w:p>
    <w:p>
      <w:pPr>
        <w:pStyle w:val="9"/>
        <w:snapToGrid w:val="0"/>
        <w:spacing w:after="0" w:line="360" w:lineRule="auto"/>
        <w:ind w:left="0" w:leftChars="0"/>
        <w:outlineLvl w:val="0"/>
        <w:rPr>
          <w:rFonts w:ascii="仿宋" w:hAnsi="仿宋" w:eastAsia="仿宋"/>
          <w:b/>
          <w:color w:val="auto"/>
          <w:sz w:val="21"/>
          <w:szCs w:val="21"/>
          <w:highlight w:val="none"/>
        </w:rPr>
      </w:pPr>
    </w:p>
    <w:p>
      <w:pPr>
        <w:pStyle w:val="9"/>
        <w:snapToGrid w:val="0"/>
        <w:spacing w:after="0" w:line="360" w:lineRule="auto"/>
        <w:ind w:left="0" w:leftChars="0"/>
        <w:outlineLvl w:val="0"/>
        <w:rPr>
          <w:rFonts w:ascii="仿宋" w:hAnsi="仿宋" w:eastAsia="仿宋"/>
          <w:b/>
          <w:color w:val="auto"/>
          <w:sz w:val="21"/>
          <w:szCs w:val="21"/>
          <w:highlight w:val="none"/>
        </w:rPr>
      </w:pPr>
    </w:p>
    <w:p>
      <w:pPr>
        <w:pStyle w:val="9"/>
        <w:snapToGrid w:val="0"/>
        <w:spacing w:after="0" w:line="360" w:lineRule="auto"/>
        <w:ind w:left="0" w:leftChars="0"/>
        <w:outlineLvl w:val="0"/>
        <w:rPr>
          <w:rFonts w:ascii="仿宋" w:hAnsi="仿宋" w:eastAsia="仿宋"/>
          <w:b/>
          <w:color w:val="auto"/>
          <w:sz w:val="21"/>
          <w:szCs w:val="21"/>
          <w:highlight w:val="none"/>
        </w:rPr>
      </w:pPr>
    </w:p>
    <w:p>
      <w:pPr>
        <w:pStyle w:val="9"/>
        <w:snapToGrid w:val="0"/>
        <w:spacing w:after="0" w:line="360" w:lineRule="auto"/>
        <w:ind w:left="0" w:leftChars="0"/>
        <w:outlineLvl w:val="0"/>
        <w:rPr>
          <w:rFonts w:ascii="仿宋" w:hAnsi="仿宋" w:eastAsia="仿宋"/>
          <w:b/>
          <w:color w:val="auto"/>
          <w:sz w:val="21"/>
          <w:szCs w:val="21"/>
          <w:highlight w:val="none"/>
        </w:rPr>
      </w:pPr>
    </w:p>
    <w:p>
      <w:pPr>
        <w:pStyle w:val="9"/>
        <w:snapToGrid w:val="0"/>
        <w:spacing w:after="0" w:line="360" w:lineRule="auto"/>
        <w:ind w:left="0" w:leftChars="0"/>
        <w:outlineLvl w:val="0"/>
        <w:rPr>
          <w:rFonts w:ascii="仿宋" w:hAnsi="仿宋" w:eastAsia="仿宋"/>
          <w:b/>
          <w:color w:val="auto"/>
          <w:sz w:val="21"/>
          <w:szCs w:val="21"/>
          <w:highlight w:val="none"/>
        </w:rPr>
      </w:pPr>
    </w:p>
    <w:p>
      <w:pPr>
        <w:pStyle w:val="9"/>
        <w:snapToGrid w:val="0"/>
        <w:spacing w:after="0" w:line="360" w:lineRule="auto"/>
        <w:ind w:left="0" w:leftChars="0"/>
        <w:outlineLvl w:val="0"/>
        <w:rPr>
          <w:rFonts w:ascii="仿宋" w:hAnsi="仿宋" w:eastAsia="仿宋"/>
          <w:b/>
          <w:color w:val="auto"/>
          <w:sz w:val="21"/>
          <w:szCs w:val="21"/>
          <w:highlight w:val="none"/>
        </w:rPr>
      </w:pPr>
    </w:p>
    <w:p>
      <w:pPr>
        <w:pStyle w:val="9"/>
        <w:snapToGrid w:val="0"/>
        <w:spacing w:after="0" w:line="360" w:lineRule="auto"/>
        <w:ind w:left="0" w:leftChars="0"/>
        <w:outlineLvl w:val="0"/>
        <w:rPr>
          <w:rFonts w:ascii="仿宋" w:hAnsi="仿宋" w:eastAsia="仿宋"/>
          <w:b/>
          <w:color w:val="auto"/>
          <w:sz w:val="21"/>
          <w:szCs w:val="21"/>
          <w:highlight w:val="none"/>
        </w:rPr>
      </w:pPr>
    </w:p>
    <w:p>
      <w:pPr>
        <w:pStyle w:val="9"/>
        <w:snapToGrid w:val="0"/>
        <w:spacing w:after="0" w:line="360" w:lineRule="auto"/>
        <w:ind w:left="0" w:leftChars="0"/>
        <w:outlineLvl w:val="0"/>
        <w:rPr>
          <w:rFonts w:ascii="仿宋" w:hAnsi="仿宋" w:eastAsia="仿宋"/>
          <w:b/>
          <w:color w:val="auto"/>
          <w:sz w:val="21"/>
          <w:szCs w:val="21"/>
          <w:highlight w:val="none"/>
        </w:rPr>
      </w:pPr>
    </w:p>
    <w:p>
      <w:pPr>
        <w:pStyle w:val="9"/>
        <w:snapToGrid w:val="0"/>
        <w:spacing w:after="0" w:line="360" w:lineRule="auto"/>
        <w:ind w:left="0" w:leftChars="0"/>
        <w:outlineLvl w:val="0"/>
        <w:rPr>
          <w:rFonts w:ascii="仿宋" w:hAnsi="仿宋" w:eastAsia="仿宋"/>
          <w:b/>
          <w:color w:val="auto"/>
          <w:sz w:val="21"/>
          <w:szCs w:val="21"/>
          <w:highlight w:val="none"/>
        </w:rPr>
      </w:pPr>
    </w:p>
    <w:p>
      <w:pPr>
        <w:pStyle w:val="9"/>
        <w:snapToGrid w:val="0"/>
        <w:spacing w:after="0" w:line="360" w:lineRule="auto"/>
        <w:ind w:left="0" w:leftChars="0"/>
        <w:outlineLvl w:val="0"/>
        <w:rPr>
          <w:rFonts w:ascii="仿宋" w:hAnsi="仿宋" w:eastAsia="仿宋"/>
          <w:b/>
          <w:color w:val="auto"/>
          <w:sz w:val="21"/>
          <w:szCs w:val="21"/>
          <w:highlight w:val="none"/>
        </w:rPr>
      </w:pPr>
    </w:p>
    <w:p>
      <w:pPr>
        <w:pStyle w:val="9"/>
        <w:snapToGrid w:val="0"/>
        <w:spacing w:after="0" w:line="360" w:lineRule="auto"/>
        <w:ind w:left="0" w:leftChars="0"/>
        <w:outlineLvl w:val="0"/>
        <w:rPr>
          <w:rFonts w:ascii="仿宋" w:hAnsi="仿宋" w:eastAsia="仿宋"/>
          <w:b/>
          <w:color w:val="auto"/>
          <w:sz w:val="21"/>
          <w:szCs w:val="21"/>
          <w:highlight w:val="none"/>
        </w:rPr>
      </w:pPr>
    </w:p>
    <w:p>
      <w:pPr>
        <w:pStyle w:val="9"/>
        <w:snapToGrid w:val="0"/>
        <w:spacing w:after="0" w:line="360" w:lineRule="auto"/>
        <w:ind w:left="0" w:leftChars="0"/>
        <w:outlineLvl w:val="0"/>
        <w:rPr>
          <w:rFonts w:ascii="仿宋" w:hAnsi="仿宋" w:eastAsia="仿宋"/>
          <w:b/>
          <w:color w:val="auto"/>
          <w:sz w:val="21"/>
          <w:szCs w:val="21"/>
          <w:highlight w:val="none"/>
        </w:rPr>
      </w:pPr>
    </w:p>
    <w:p>
      <w:pPr>
        <w:pStyle w:val="9"/>
        <w:snapToGrid w:val="0"/>
        <w:spacing w:after="0" w:line="360" w:lineRule="auto"/>
        <w:ind w:left="0" w:leftChars="0"/>
        <w:outlineLvl w:val="0"/>
        <w:rPr>
          <w:rFonts w:ascii="仿宋" w:hAnsi="仿宋" w:eastAsia="仿宋"/>
          <w:b/>
          <w:color w:val="auto"/>
          <w:sz w:val="21"/>
          <w:szCs w:val="21"/>
          <w:highlight w:val="none"/>
        </w:rPr>
      </w:pPr>
    </w:p>
    <w:p>
      <w:pPr>
        <w:pStyle w:val="9"/>
        <w:snapToGrid w:val="0"/>
        <w:spacing w:after="0" w:line="360" w:lineRule="auto"/>
        <w:ind w:left="0" w:leftChars="0"/>
        <w:outlineLvl w:val="0"/>
        <w:rPr>
          <w:rFonts w:ascii="仿宋" w:hAnsi="仿宋" w:eastAsia="仿宋"/>
          <w:b/>
          <w:color w:val="auto"/>
          <w:sz w:val="21"/>
          <w:szCs w:val="21"/>
          <w:highlight w:val="none"/>
        </w:rPr>
      </w:pPr>
    </w:p>
    <w:p>
      <w:pPr>
        <w:pStyle w:val="9"/>
        <w:snapToGrid w:val="0"/>
        <w:spacing w:after="0" w:line="360" w:lineRule="auto"/>
        <w:ind w:left="0" w:leftChars="0"/>
        <w:outlineLvl w:val="0"/>
        <w:rPr>
          <w:rFonts w:ascii="仿宋" w:hAnsi="仿宋" w:eastAsia="仿宋"/>
          <w:b/>
          <w:color w:val="auto"/>
          <w:sz w:val="21"/>
          <w:szCs w:val="21"/>
          <w:highlight w:val="none"/>
        </w:rPr>
      </w:pPr>
    </w:p>
    <w:p>
      <w:pPr>
        <w:pStyle w:val="9"/>
        <w:snapToGrid w:val="0"/>
        <w:spacing w:after="0" w:line="360" w:lineRule="auto"/>
        <w:ind w:left="0" w:leftChars="0"/>
        <w:outlineLvl w:val="0"/>
        <w:rPr>
          <w:rFonts w:ascii="仿宋" w:hAnsi="仿宋" w:eastAsia="仿宋"/>
          <w:b/>
          <w:color w:val="auto"/>
          <w:sz w:val="21"/>
          <w:szCs w:val="21"/>
          <w:highlight w:val="none"/>
        </w:rPr>
      </w:pPr>
    </w:p>
    <w:p>
      <w:pPr>
        <w:pStyle w:val="9"/>
        <w:snapToGrid w:val="0"/>
        <w:spacing w:after="0" w:line="360" w:lineRule="auto"/>
        <w:ind w:left="0" w:leftChars="0"/>
        <w:outlineLvl w:val="0"/>
        <w:rPr>
          <w:rFonts w:ascii="仿宋" w:hAnsi="仿宋" w:eastAsia="仿宋"/>
          <w:b/>
          <w:color w:val="auto"/>
          <w:sz w:val="21"/>
          <w:szCs w:val="21"/>
          <w:highlight w:val="none"/>
        </w:rPr>
      </w:pPr>
      <w:r>
        <w:rPr>
          <w:rFonts w:hint="eastAsia" w:ascii="仿宋" w:hAnsi="仿宋" w:eastAsia="仿宋"/>
          <w:b/>
          <w:color w:val="auto"/>
          <w:sz w:val="21"/>
          <w:szCs w:val="21"/>
          <w:highlight w:val="none"/>
        </w:rPr>
        <w:t>附件三：</w:t>
      </w:r>
      <w:bookmarkEnd w:id="28"/>
      <w:r>
        <w:rPr>
          <w:rFonts w:hint="eastAsia" w:ascii="仿宋" w:hAnsi="仿宋" w:eastAsia="仿宋"/>
          <w:b/>
          <w:color w:val="auto"/>
          <w:sz w:val="21"/>
          <w:szCs w:val="21"/>
          <w:highlight w:val="none"/>
        </w:rPr>
        <w:t>佛山季华项目工程施工现场管理办法</w:t>
      </w:r>
    </w:p>
    <w:p>
      <w:pPr>
        <w:autoSpaceDE/>
        <w:autoSpaceDN/>
        <w:adjustRightInd/>
        <w:spacing w:line="360" w:lineRule="auto"/>
        <w:jc w:val="center"/>
        <w:rPr>
          <w:rFonts w:ascii="Calibri" w:hAnsi="Calibri" w:eastAsia="宋体"/>
          <w:b/>
          <w:color w:val="auto"/>
          <w:kern w:val="2"/>
          <w:sz w:val="28"/>
          <w:szCs w:val="28"/>
          <w:highlight w:val="none"/>
        </w:rPr>
      </w:pPr>
      <w:r>
        <w:rPr>
          <w:rFonts w:hint="eastAsia" w:ascii="宋体" w:hAnsi="宋体" w:eastAsia="宋体"/>
          <w:b/>
          <w:color w:val="auto"/>
          <w:kern w:val="2"/>
          <w:sz w:val="28"/>
          <w:szCs w:val="28"/>
          <w:highlight w:val="none"/>
        </w:rPr>
        <w:t>佛山季华项目工程施工现场管理办法</w:t>
      </w:r>
    </w:p>
    <w:p>
      <w:pPr>
        <w:autoSpaceDE/>
        <w:autoSpaceDN/>
        <w:adjustRightInd/>
        <w:spacing w:line="360" w:lineRule="auto"/>
        <w:jc w:val="both"/>
        <w:rPr>
          <w:rFonts w:ascii="Times New Roman" w:eastAsia="宋体"/>
          <w:b/>
          <w:color w:val="auto"/>
          <w:kern w:val="2"/>
          <w:sz w:val="21"/>
          <w:szCs w:val="22"/>
          <w:highlight w:val="none"/>
        </w:rPr>
      </w:pPr>
      <w:r>
        <w:rPr>
          <w:rFonts w:hint="eastAsia" w:ascii="Times New Roman" w:eastAsia="宋体"/>
          <w:b/>
          <w:color w:val="auto"/>
          <w:kern w:val="2"/>
          <w:sz w:val="21"/>
          <w:szCs w:val="22"/>
          <w:highlight w:val="none"/>
        </w:rPr>
        <w:t>1.目的 </w:t>
      </w:r>
    </w:p>
    <w:p>
      <w:pPr>
        <w:autoSpaceDE/>
        <w:autoSpaceDN/>
        <w:adjustRightInd/>
        <w:spacing w:line="360" w:lineRule="auto"/>
        <w:ind w:firstLine="420" w:firstLineChars="200"/>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为了加强对本工程总包、专业工程乙方的管理，使所选择的乙方能满足甲方的要求，以确保整个工程安全、质量和进度，并保证对乙方的管理更加规范、有效，达到统一管理,规范行动，特制订本制度。 </w:t>
      </w:r>
    </w:p>
    <w:p>
      <w:pPr>
        <w:autoSpaceDE/>
        <w:autoSpaceDN/>
        <w:adjustRightInd/>
        <w:spacing w:line="360" w:lineRule="auto"/>
        <w:jc w:val="both"/>
        <w:rPr>
          <w:rFonts w:ascii="Times New Roman" w:eastAsia="宋体"/>
          <w:b/>
          <w:color w:val="auto"/>
          <w:kern w:val="2"/>
          <w:sz w:val="21"/>
          <w:szCs w:val="22"/>
          <w:highlight w:val="none"/>
        </w:rPr>
      </w:pPr>
      <w:r>
        <w:rPr>
          <w:rFonts w:hint="eastAsia" w:ascii="Times New Roman" w:eastAsia="宋体"/>
          <w:b/>
          <w:color w:val="auto"/>
          <w:kern w:val="2"/>
          <w:sz w:val="21"/>
          <w:szCs w:val="22"/>
          <w:highlight w:val="none"/>
        </w:rPr>
        <w:t>2.适用范围 </w:t>
      </w:r>
    </w:p>
    <w:p>
      <w:pPr>
        <w:autoSpaceDE/>
        <w:autoSpaceDN/>
        <w:adjustRightInd/>
        <w:spacing w:line="360" w:lineRule="auto"/>
        <w:ind w:firstLine="420" w:firstLineChars="200"/>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本制度适用于</w:t>
      </w:r>
      <w:r>
        <w:rPr>
          <w:rFonts w:hint="eastAsia" w:ascii="Times New Roman" w:eastAsia="宋体"/>
          <w:color w:val="auto"/>
          <w:kern w:val="2"/>
          <w:sz w:val="21"/>
          <w:szCs w:val="22"/>
          <w:highlight w:val="none"/>
          <w:u w:val="single"/>
        </w:rPr>
        <w:t xml:space="preserve"> 佛山季华项目工程施工总承包 </w:t>
      </w:r>
      <w:r>
        <w:rPr>
          <w:rFonts w:hint="eastAsia" w:ascii="Times New Roman" w:eastAsia="宋体"/>
          <w:color w:val="auto"/>
          <w:kern w:val="2"/>
          <w:sz w:val="21"/>
          <w:szCs w:val="22"/>
          <w:highlight w:val="none"/>
        </w:rPr>
        <w:t>项目。任何按合同及协议进入现场的总包、专业工程乙方以及乙方的分包人均必须遵照执行。</w:t>
      </w:r>
    </w:p>
    <w:p>
      <w:pPr>
        <w:autoSpaceDE/>
        <w:autoSpaceDN/>
        <w:adjustRightInd/>
        <w:spacing w:line="360" w:lineRule="auto"/>
        <w:jc w:val="both"/>
        <w:rPr>
          <w:rFonts w:ascii="Times New Roman" w:eastAsia="宋体"/>
          <w:b/>
          <w:color w:val="auto"/>
          <w:kern w:val="2"/>
          <w:sz w:val="21"/>
          <w:szCs w:val="22"/>
          <w:highlight w:val="none"/>
        </w:rPr>
      </w:pPr>
      <w:r>
        <w:rPr>
          <w:rFonts w:hint="eastAsia" w:ascii="Times New Roman" w:eastAsia="宋体"/>
          <w:b/>
          <w:color w:val="auto"/>
          <w:kern w:val="2"/>
          <w:sz w:val="21"/>
          <w:szCs w:val="22"/>
          <w:highlight w:val="none"/>
        </w:rPr>
        <w:t>3.甲方项目部职责</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3.1监督总包（含其分包）与专业工程乙方的质量管理、成品保护管理、资料管理、物资材料管理、工程预结算管理、环境体系管理及相关培训管理工作；</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3.2监督总包（含其分包）与专业工程乙方的现场施工管理、计划管理、技术管理、计量管理及相关培训管理工作；</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3.3监督总包（含其分包）与专业工程乙方的进场管理、教育培训管理和质量、环境、职业安全卫生体系运行管理、消防管理、现场安全生产管理、文明施工管理及相关培训管理工作；</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3.4监督总包（含其分包）与专业工程乙方的机电管理、施工机械管理、施工机具管理、施工用电管理、施工用水管理及相关培训管理工作；</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3.5监督总包（含其分包）与专业工程乙方应承担的与各参建单位、政府、各相关职能部门的协调管理工作；</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b/>
          <w:color w:val="auto"/>
          <w:kern w:val="2"/>
          <w:sz w:val="21"/>
          <w:szCs w:val="22"/>
          <w:highlight w:val="none"/>
        </w:rPr>
        <w:t>4. 总包、专业工程乙方管理</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4.1组织管理</w:t>
      </w:r>
    </w:p>
    <w:p>
      <w:pPr>
        <w:autoSpaceDE/>
        <w:autoSpaceDN/>
        <w:adjustRightInd/>
        <w:spacing w:line="360" w:lineRule="auto"/>
        <w:ind w:firstLine="420" w:firstLineChars="200"/>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各乙方各自组建项目管理机构，并在开工前报甲方、监理单位，乙方所投入的工程管理人员和工程技术人员应与投标文件保持一致，甲方不要求更换时不得更换，因特殊情况需要更换的，乙方应至少提前7天以书面形式向监理单位提出意向（附前任和后任人员的详细履历资料），经监理工程师签署意见后向甲方提出申请，并征得甲方同意。乙方必须保证后任人员的资质、资历、业绩、实际工作能力不低于前任人员的素质。即使甲方同意更换，也不免除乙方应承担的违约责任。工程管理人员和工程技术人员的资格证书需报甲方、监理单位备案。</w:t>
      </w:r>
    </w:p>
    <w:p>
      <w:pPr>
        <w:autoSpaceDE/>
        <w:autoSpaceDN/>
        <w:adjustRightInd/>
        <w:spacing w:line="360" w:lineRule="auto"/>
        <w:ind w:firstLine="420" w:firstLineChars="200"/>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甲方项目部、监理单位项目部每月对各乙方主要管理人员进行工作能力、协调能力、工作饱和度、积极性等综合考评，连续三次考评成绩不达标的将进行警告和通报，对综合能力不能胜任者将予以劝退及更换 并按合同追究违约责任。</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4.2技术质量管理</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4.2.1施工技术管理</w:t>
      </w:r>
    </w:p>
    <w:p>
      <w:pPr>
        <w:autoSpaceDE/>
        <w:autoSpaceDN/>
        <w:adjustRightInd/>
        <w:spacing w:line="360" w:lineRule="auto"/>
        <w:ind w:firstLine="420" w:firstLineChars="200"/>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必须建立技术文件管理制度，因乙方原因造成的施工错误的一切后果自负。各乙方负责编制施工组织设计及本专业各类施工方案，负责方案的落实工作。施工前，首先由乙方项目部技术负责人对施工管理人员进行技术交底及安全技术交底，由施工管理人员给作业人员进行技术交底并指导施工，安全技术交底须明确交至每位作业人员并签字确认，并需将交底书面上报乙方项目部，项目总技术负责人、项目经理审批后方可依照施工。各乙方的分包人由各乙方的技术负责人对分包人技术负责人进行技术交底及安全技术交底，分包人技术负责人给作业人员进行技术交底并指导施工，安全技术交底须明确交至每位作业人员并签字确认，并需将交底书面上报总包项目部，项目总技术负责人、项目经理审批后方可依照施工。未经批准的各类施工方案及未经安全技术交底进行施工的，除立即停止施工外，每次收取违约金1000-20000元。</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4.2.2设计变更、洽商</w:t>
      </w:r>
    </w:p>
    <w:p>
      <w:pPr>
        <w:autoSpaceDE/>
        <w:autoSpaceDN/>
        <w:adjustRightInd/>
        <w:spacing w:line="360" w:lineRule="auto"/>
        <w:ind w:firstLine="420" w:firstLineChars="200"/>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施工过程中发生的图纸、设计问题，由乙方技术负责人及时向监理单位及甲方工程师或负责人反映，由甲方与设计单位联系，并办理设计变更、洽商记录。施工过程中发生的图纸更改、洽商等，均由甲方统一下发给各相关乙方施工技术负责人；</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4.2.3材料管理及施工试验 </w:t>
      </w:r>
    </w:p>
    <w:p>
      <w:pPr>
        <w:autoSpaceDE/>
        <w:autoSpaceDN/>
        <w:adjustRightInd/>
        <w:spacing w:line="360" w:lineRule="auto"/>
        <w:ind w:firstLine="140" w:firstLineChars="67"/>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（1）各乙方负责编制本单位的材料、设备进场计划及施工试验计划，并报监理、甲方备案；需根据项目的材料设备进场计划时间，至少提前</w:t>
      </w:r>
      <w:r>
        <w:rPr>
          <w:rFonts w:ascii="Times New Roman" w:eastAsia="宋体"/>
          <w:color w:val="auto"/>
          <w:kern w:val="2"/>
          <w:sz w:val="21"/>
          <w:szCs w:val="22"/>
          <w:highlight w:val="none"/>
        </w:rPr>
        <w:t>60</w:t>
      </w:r>
      <w:r>
        <w:rPr>
          <w:rFonts w:hint="eastAsia" w:ascii="Times New Roman" w:eastAsia="宋体"/>
          <w:color w:val="auto"/>
          <w:kern w:val="2"/>
          <w:sz w:val="21"/>
          <w:szCs w:val="22"/>
          <w:highlight w:val="none"/>
        </w:rPr>
        <w:t>天进行材料设备品牌、型号送审工作，所选的材料设备品牌需在甲方提供的品牌范围内；所选材料设备型号的技术参数应满足设计图纸及甲方提供的技术参数要求，</w:t>
      </w:r>
      <w:r>
        <w:rPr>
          <w:rFonts w:ascii="Times New Roman" w:eastAsia="宋体"/>
          <w:color w:val="auto"/>
          <w:kern w:val="2"/>
          <w:sz w:val="21"/>
          <w:szCs w:val="22"/>
          <w:highlight w:val="none"/>
        </w:rPr>
        <w:t>送审的主要设备材料技术参数必须与招标文件技术要求相一致。</w:t>
      </w:r>
      <w:r>
        <w:rPr>
          <w:rFonts w:hint="eastAsia" w:ascii="Times New Roman" w:eastAsia="宋体"/>
          <w:color w:val="auto"/>
          <w:kern w:val="2"/>
          <w:sz w:val="21"/>
          <w:szCs w:val="22"/>
          <w:highlight w:val="none"/>
        </w:rPr>
        <w:t xml:space="preserve"> </w:t>
      </w:r>
    </w:p>
    <w:p>
      <w:pPr>
        <w:autoSpaceDE/>
        <w:autoSpaceDN/>
        <w:adjustRightInd/>
        <w:spacing w:line="360" w:lineRule="auto"/>
        <w:ind w:firstLine="140" w:firstLineChars="67"/>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（2）施工单位需提供的材料基础资料包括但不限于如下所列：</w:t>
      </w:r>
    </w:p>
    <w:p>
      <w:pPr>
        <w:autoSpaceDE/>
        <w:autoSpaceDN/>
        <w:adjustRightInd/>
        <w:spacing w:line="360" w:lineRule="auto"/>
        <w:ind w:firstLine="140" w:firstLineChars="67"/>
        <w:jc w:val="both"/>
        <w:rPr>
          <w:rFonts w:ascii="Times New Roman" w:eastAsia="宋体"/>
          <w:color w:val="auto"/>
          <w:kern w:val="2"/>
          <w:sz w:val="21"/>
          <w:szCs w:val="22"/>
          <w:highlight w:val="none"/>
        </w:rPr>
      </w:pPr>
      <w:r>
        <w:rPr>
          <w:rFonts w:ascii="Times New Roman" w:eastAsia="宋体"/>
          <w:color w:val="auto"/>
          <w:kern w:val="2"/>
          <w:sz w:val="21"/>
          <w:szCs w:val="22"/>
          <w:highlight w:val="none"/>
        </w:rPr>
        <w:t>1</w:t>
      </w:r>
      <w:r>
        <w:rPr>
          <w:rFonts w:hint="eastAsia" w:ascii="Times New Roman" w:eastAsia="宋体"/>
          <w:color w:val="auto"/>
          <w:kern w:val="2"/>
          <w:sz w:val="21"/>
          <w:szCs w:val="22"/>
          <w:highlight w:val="none"/>
        </w:rPr>
        <w:t>）</w:t>
      </w:r>
      <w:r>
        <w:rPr>
          <w:rFonts w:ascii="Times New Roman" w:eastAsia="宋体"/>
          <w:color w:val="auto"/>
          <w:kern w:val="2"/>
          <w:sz w:val="21"/>
          <w:szCs w:val="22"/>
          <w:highlight w:val="none"/>
        </w:rPr>
        <w:t xml:space="preserve"> </w:t>
      </w:r>
      <w:r>
        <w:rPr>
          <w:rFonts w:hint="eastAsia" w:ascii="Times New Roman" w:eastAsia="宋体"/>
          <w:color w:val="auto"/>
          <w:kern w:val="2"/>
          <w:sz w:val="21"/>
          <w:szCs w:val="22"/>
          <w:highlight w:val="none"/>
        </w:rPr>
        <w:t>《主要材料送审审批表》（表格按甲方提供）</w:t>
      </w:r>
    </w:p>
    <w:p>
      <w:pPr>
        <w:autoSpaceDE/>
        <w:autoSpaceDN/>
        <w:adjustRightInd/>
        <w:spacing w:line="360" w:lineRule="auto"/>
        <w:ind w:firstLine="140" w:firstLineChars="67"/>
        <w:jc w:val="both"/>
        <w:rPr>
          <w:rFonts w:ascii="Times New Roman" w:eastAsia="宋体"/>
          <w:color w:val="auto"/>
          <w:kern w:val="2"/>
          <w:sz w:val="21"/>
          <w:szCs w:val="22"/>
          <w:highlight w:val="none"/>
        </w:rPr>
      </w:pPr>
      <w:r>
        <w:rPr>
          <w:rFonts w:ascii="Times New Roman" w:eastAsia="宋体"/>
          <w:color w:val="auto"/>
          <w:kern w:val="2"/>
          <w:sz w:val="21"/>
          <w:szCs w:val="22"/>
          <w:highlight w:val="none"/>
        </w:rPr>
        <w:t>2</w:t>
      </w:r>
      <w:r>
        <w:rPr>
          <w:rFonts w:hint="eastAsia" w:ascii="Times New Roman" w:eastAsia="宋体"/>
          <w:color w:val="auto"/>
          <w:kern w:val="2"/>
          <w:sz w:val="21"/>
          <w:szCs w:val="22"/>
          <w:highlight w:val="none"/>
        </w:rPr>
        <w:t>）</w:t>
      </w:r>
      <w:r>
        <w:rPr>
          <w:rFonts w:ascii="Times New Roman" w:eastAsia="宋体"/>
          <w:color w:val="auto"/>
          <w:kern w:val="2"/>
          <w:sz w:val="21"/>
          <w:szCs w:val="22"/>
          <w:highlight w:val="none"/>
        </w:rPr>
        <w:t xml:space="preserve"> </w:t>
      </w:r>
      <w:r>
        <w:rPr>
          <w:rFonts w:hint="eastAsia" w:ascii="Times New Roman" w:eastAsia="宋体"/>
          <w:color w:val="auto"/>
          <w:kern w:val="2"/>
          <w:sz w:val="21"/>
          <w:szCs w:val="22"/>
          <w:highlight w:val="none"/>
        </w:rPr>
        <w:t>设备材料厂家、供应商的营业执照、税务登记证。</w:t>
      </w:r>
    </w:p>
    <w:p>
      <w:pPr>
        <w:autoSpaceDE/>
        <w:autoSpaceDN/>
        <w:adjustRightInd/>
        <w:spacing w:line="360" w:lineRule="auto"/>
        <w:ind w:firstLine="140" w:firstLineChars="67"/>
        <w:jc w:val="both"/>
        <w:rPr>
          <w:rFonts w:ascii="Times New Roman" w:eastAsia="宋体"/>
          <w:color w:val="auto"/>
          <w:kern w:val="2"/>
          <w:sz w:val="21"/>
          <w:szCs w:val="22"/>
          <w:highlight w:val="none"/>
        </w:rPr>
      </w:pPr>
      <w:r>
        <w:rPr>
          <w:rFonts w:ascii="Times New Roman" w:eastAsia="宋体"/>
          <w:color w:val="auto"/>
          <w:kern w:val="2"/>
          <w:sz w:val="21"/>
          <w:szCs w:val="22"/>
          <w:highlight w:val="none"/>
        </w:rPr>
        <w:t>3</w:t>
      </w:r>
      <w:r>
        <w:rPr>
          <w:rFonts w:hint="eastAsia" w:ascii="Times New Roman" w:eastAsia="宋体"/>
          <w:color w:val="auto"/>
          <w:kern w:val="2"/>
          <w:sz w:val="21"/>
          <w:szCs w:val="22"/>
          <w:highlight w:val="none"/>
        </w:rPr>
        <w:t>）</w:t>
      </w:r>
      <w:r>
        <w:rPr>
          <w:rFonts w:ascii="Times New Roman" w:eastAsia="宋体"/>
          <w:color w:val="auto"/>
          <w:kern w:val="2"/>
          <w:sz w:val="21"/>
          <w:szCs w:val="22"/>
          <w:highlight w:val="none"/>
        </w:rPr>
        <w:t xml:space="preserve"> </w:t>
      </w:r>
      <w:r>
        <w:rPr>
          <w:rFonts w:hint="eastAsia" w:ascii="Times New Roman" w:eastAsia="宋体"/>
          <w:color w:val="auto"/>
          <w:kern w:val="2"/>
          <w:sz w:val="21"/>
          <w:szCs w:val="22"/>
          <w:highlight w:val="none"/>
        </w:rPr>
        <w:t>设备材料的产品合格证</w:t>
      </w:r>
    </w:p>
    <w:p>
      <w:pPr>
        <w:autoSpaceDE/>
        <w:autoSpaceDN/>
        <w:adjustRightInd/>
        <w:spacing w:line="360" w:lineRule="auto"/>
        <w:ind w:firstLine="140" w:firstLineChars="67"/>
        <w:jc w:val="both"/>
        <w:rPr>
          <w:rFonts w:ascii="Times New Roman" w:eastAsia="宋体"/>
          <w:color w:val="auto"/>
          <w:kern w:val="2"/>
          <w:sz w:val="21"/>
          <w:szCs w:val="22"/>
          <w:highlight w:val="none"/>
        </w:rPr>
      </w:pPr>
      <w:r>
        <w:rPr>
          <w:rFonts w:ascii="Times New Roman" w:eastAsia="宋体"/>
          <w:color w:val="auto"/>
          <w:kern w:val="2"/>
          <w:sz w:val="21"/>
          <w:szCs w:val="22"/>
          <w:highlight w:val="none"/>
        </w:rPr>
        <w:t>4</w:t>
      </w:r>
      <w:r>
        <w:rPr>
          <w:rFonts w:hint="eastAsia" w:ascii="Times New Roman" w:eastAsia="宋体"/>
          <w:color w:val="auto"/>
          <w:kern w:val="2"/>
          <w:sz w:val="21"/>
          <w:szCs w:val="22"/>
          <w:highlight w:val="none"/>
        </w:rPr>
        <w:t>）</w:t>
      </w:r>
      <w:r>
        <w:rPr>
          <w:rFonts w:ascii="Times New Roman" w:eastAsia="宋体"/>
          <w:color w:val="auto"/>
          <w:kern w:val="2"/>
          <w:sz w:val="21"/>
          <w:szCs w:val="22"/>
          <w:highlight w:val="none"/>
        </w:rPr>
        <w:t xml:space="preserve"> </w:t>
      </w:r>
      <w:r>
        <w:rPr>
          <w:rFonts w:hint="eastAsia" w:ascii="Times New Roman" w:eastAsia="宋体"/>
          <w:color w:val="auto"/>
          <w:kern w:val="2"/>
          <w:sz w:val="21"/>
          <w:szCs w:val="22"/>
          <w:highlight w:val="none"/>
        </w:rPr>
        <w:t>设备材料的型式检验报告</w:t>
      </w:r>
    </w:p>
    <w:p>
      <w:pPr>
        <w:autoSpaceDE/>
        <w:autoSpaceDN/>
        <w:adjustRightInd/>
        <w:spacing w:line="360" w:lineRule="auto"/>
        <w:ind w:firstLine="140" w:firstLineChars="67"/>
        <w:jc w:val="both"/>
        <w:rPr>
          <w:rFonts w:ascii="Times New Roman" w:eastAsia="宋体"/>
          <w:color w:val="auto"/>
          <w:kern w:val="2"/>
          <w:sz w:val="21"/>
          <w:szCs w:val="22"/>
          <w:highlight w:val="none"/>
        </w:rPr>
      </w:pPr>
      <w:r>
        <w:rPr>
          <w:rFonts w:ascii="Times New Roman" w:eastAsia="宋体"/>
          <w:color w:val="auto"/>
          <w:kern w:val="2"/>
          <w:sz w:val="21"/>
          <w:szCs w:val="22"/>
          <w:highlight w:val="none"/>
        </w:rPr>
        <w:t>5</w:t>
      </w:r>
      <w:r>
        <w:rPr>
          <w:rFonts w:hint="eastAsia" w:ascii="Times New Roman" w:eastAsia="宋体"/>
          <w:color w:val="auto"/>
          <w:kern w:val="2"/>
          <w:sz w:val="21"/>
          <w:szCs w:val="22"/>
          <w:highlight w:val="none"/>
        </w:rPr>
        <w:t>）</w:t>
      </w:r>
      <w:r>
        <w:rPr>
          <w:rFonts w:ascii="Times New Roman" w:eastAsia="宋体"/>
          <w:color w:val="auto"/>
          <w:kern w:val="2"/>
          <w:sz w:val="21"/>
          <w:szCs w:val="22"/>
          <w:highlight w:val="none"/>
        </w:rPr>
        <w:t xml:space="preserve"> </w:t>
      </w:r>
      <w:r>
        <w:rPr>
          <w:rFonts w:hint="eastAsia" w:ascii="Times New Roman" w:eastAsia="宋体"/>
          <w:color w:val="auto"/>
          <w:kern w:val="2"/>
          <w:sz w:val="21"/>
          <w:szCs w:val="22"/>
          <w:highlight w:val="none"/>
        </w:rPr>
        <w:t>进口关税报单（进口产品）</w:t>
      </w:r>
    </w:p>
    <w:p>
      <w:pPr>
        <w:autoSpaceDE/>
        <w:autoSpaceDN/>
        <w:adjustRightInd/>
        <w:spacing w:line="360" w:lineRule="auto"/>
        <w:ind w:firstLine="140" w:firstLineChars="67"/>
        <w:jc w:val="both"/>
        <w:rPr>
          <w:rFonts w:ascii="Times New Roman" w:eastAsia="宋体"/>
          <w:color w:val="auto"/>
          <w:kern w:val="2"/>
          <w:sz w:val="21"/>
          <w:szCs w:val="22"/>
          <w:highlight w:val="none"/>
        </w:rPr>
      </w:pPr>
      <w:r>
        <w:rPr>
          <w:rFonts w:ascii="Times New Roman" w:eastAsia="宋体"/>
          <w:color w:val="auto"/>
          <w:kern w:val="2"/>
          <w:sz w:val="21"/>
          <w:szCs w:val="22"/>
          <w:highlight w:val="none"/>
        </w:rPr>
        <w:t>6</w:t>
      </w:r>
      <w:r>
        <w:rPr>
          <w:rFonts w:hint="eastAsia" w:ascii="Times New Roman" w:eastAsia="宋体"/>
          <w:color w:val="auto"/>
          <w:kern w:val="2"/>
          <w:sz w:val="21"/>
          <w:szCs w:val="22"/>
          <w:highlight w:val="none"/>
        </w:rPr>
        <w:t>）</w:t>
      </w:r>
      <w:r>
        <w:rPr>
          <w:rFonts w:ascii="Times New Roman" w:eastAsia="宋体"/>
          <w:color w:val="auto"/>
          <w:kern w:val="2"/>
          <w:sz w:val="21"/>
          <w:szCs w:val="22"/>
          <w:highlight w:val="none"/>
        </w:rPr>
        <w:t xml:space="preserve"> </w:t>
      </w:r>
      <w:r>
        <w:rPr>
          <w:rFonts w:hint="eastAsia" w:ascii="Times New Roman" w:eastAsia="宋体"/>
          <w:color w:val="auto"/>
          <w:kern w:val="2"/>
          <w:sz w:val="21"/>
          <w:szCs w:val="22"/>
          <w:highlight w:val="none"/>
        </w:rPr>
        <w:t>品牌</w:t>
      </w:r>
      <w:r>
        <w:rPr>
          <w:rFonts w:ascii="Times New Roman" w:eastAsia="宋体"/>
          <w:color w:val="auto"/>
          <w:kern w:val="2"/>
          <w:sz w:val="21"/>
          <w:szCs w:val="22"/>
          <w:highlight w:val="none"/>
        </w:rPr>
        <w:t>/</w:t>
      </w:r>
      <w:r>
        <w:rPr>
          <w:rFonts w:hint="eastAsia" w:ascii="Times New Roman" w:eastAsia="宋体"/>
          <w:color w:val="auto"/>
          <w:kern w:val="2"/>
          <w:sz w:val="21"/>
          <w:szCs w:val="22"/>
          <w:highlight w:val="none"/>
        </w:rPr>
        <w:t>厂家的授权书</w:t>
      </w:r>
    </w:p>
    <w:p>
      <w:pPr>
        <w:autoSpaceDE/>
        <w:autoSpaceDN/>
        <w:adjustRightInd/>
        <w:spacing w:line="360" w:lineRule="auto"/>
        <w:ind w:firstLine="140" w:firstLineChars="67"/>
        <w:jc w:val="both"/>
        <w:rPr>
          <w:rFonts w:ascii="Times New Roman" w:eastAsia="宋体"/>
          <w:color w:val="auto"/>
          <w:kern w:val="2"/>
          <w:sz w:val="21"/>
          <w:szCs w:val="22"/>
          <w:highlight w:val="none"/>
        </w:rPr>
      </w:pPr>
      <w:r>
        <w:rPr>
          <w:rFonts w:ascii="Times New Roman" w:eastAsia="宋体"/>
          <w:color w:val="auto"/>
          <w:kern w:val="2"/>
          <w:sz w:val="21"/>
          <w:szCs w:val="22"/>
          <w:highlight w:val="none"/>
        </w:rPr>
        <w:t>7</w:t>
      </w:r>
      <w:r>
        <w:rPr>
          <w:rFonts w:hint="eastAsia" w:ascii="Times New Roman" w:eastAsia="宋体"/>
          <w:color w:val="auto"/>
          <w:kern w:val="2"/>
          <w:sz w:val="21"/>
          <w:szCs w:val="22"/>
          <w:highlight w:val="none"/>
        </w:rPr>
        <w:t>）</w:t>
      </w:r>
      <w:r>
        <w:rPr>
          <w:rFonts w:ascii="Times New Roman" w:eastAsia="宋体"/>
          <w:color w:val="auto"/>
          <w:kern w:val="2"/>
          <w:sz w:val="21"/>
          <w:szCs w:val="22"/>
          <w:highlight w:val="none"/>
        </w:rPr>
        <w:t xml:space="preserve"> </w:t>
      </w:r>
      <w:r>
        <w:rPr>
          <w:rFonts w:hint="eastAsia" w:ascii="Times New Roman" w:eastAsia="宋体"/>
          <w:color w:val="auto"/>
          <w:kern w:val="2"/>
          <w:sz w:val="21"/>
          <w:szCs w:val="22"/>
          <w:highlight w:val="none"/>
        </w:rPr>
        <w:t>其它需要提供的证明、证书文件（如消防、认证、节能等）</w:t>
      </w:r>
    </w:p>
    <w:p>
      <w:pPr>
        <w:autoSpaceDE/>
        <w:autoSpaceDN/>
        <w:adjustRightInd/>
        <w:spacing w:line="360" w:lineRule="auto"/>
        <w:ind w:firstLine="140" w:firstLineChars="67"/>
        <w:jc w:val="both"/>
        <w:rPr>
          <w:rFonts w:ascii="Times New Roman" w:eastAsia="宋体"/>
          <w:color w:val="auto"/>
          <w:kern w:val="2"/>
          <w:sz w:val="21"/>
          <w:szCs w:val="22"/>
          <w:highlight w:val="none"/>
        </w:rPr>
      </w:pPr>
      <w:r>
        <w:rPr>
          <w:rFonts w:ascii="Times New Roman" w:eastAsia="宋体"/>
          <w:color w:val="auto"/>
          <w:kern w:val="2"/>
          <w:sz w:val="21"/>
          <w:szCs w:val="22"/>
          <w:highlight w:val="none"/>
        </w:rPr>
        <w:t>8</w:t>
      </w:r>
      <w:r>
        <w:rPr>
          <w:rFonts w:hint="eastAsia" w:ascii="Times New Roman" w:eastAsia="宋体"/>
          <w:color w:val="auto"/>
          <w:kern w:val="2"/>
          <w:sz w:val="21"/>
          <w:szCs w:val="22"/>
          <w:highlight w:val="none"/>
        </w:rPr>
        <w:t>）</w:t>
      </w:r>
      <w:r>
        <w:rPr>
          <w:rFonts w:ascii="Times New Roman" w:eastAsia="宋体"/>
          <w:color w:val="auto"/>
          <w:kern w:val="2"/>
          <w:sz w:val="21"/>
          <w:szCs w:val="22"/>
          <w:highlight w:val="none"/>
        </w:rPr>
        <w:t xml:space="preserve"> </w:t>
      </w:r>
      <w:r>
        <w:rPr>
          <w:rFonts w:hint="eastAsia" w:ascii="Times New Roman" w:eastAsia="宋体"/>
          <w:color w:val="auto"/>
          <w:kern w:val="2"/>
          <w:sz w:val="21"/>
          <w:szCs w:val="22"/>
          <w:highlight w:val="none"/>
        </w:rPr>
        <w:t>所选用产品的技术参数及对应的样本</w:t>
      </w:r>
    </w:p>
    <w:p>
      <w:pPr>
        <w:autoSpaceDE/>
        <w:autoSpaceDN/>
        <w:adjustRightInd/>
        <w:spacing w:line="360" w:lineRule="auto"/>
        <w:ind w:firstLine="140" w:firstLineChars="67"/>
        <w:jc w:val="both"/>
        <w:rPr>
          <w:rFonts w:ascii="Times New Roman" w:eastAsia="宋体"/>
          <w:color w:val="auto"/>
          <w:kern w:val="2"/>
          <w:sz w:val="21"/>
          <w:szCs w:val="22"/>
          <w:highlight w:val="none"/>
        </w:rPr>
      </w:pPr>
      <w:r>
        <w:rPr>
          <w:rFonts w:ascii="Times New Roman" w:eastAsia="宋体"/>
          <w:color w:val="auto"/>
          <w:kern w:val="2"/>
          <w:sz w:val="21"/>
          <w:szCs w:val="22"/>
          <w:highlight w:val="none"/>
        </w:rPr>
        <w:t>9</w:t>
      </w:r>
      <w:r>
        <w:rPr>
          <w:rFonts w:hint="eastAsia" w:ascii="Times New Roman" w:eastAsia="宋体"/>
          <w:color w:val="auto"/>
          <w:kern w:val="2"/>
          <w:sz w:val="21"/>
          <w:szCs w:val="22"/>
          <w:highlight w:val="none"/>
        </w:rPr>
        <w:t>）</w:t>
      </w:r>
      <w:r>
        <w:rPr>
          <w:rFonts w:ascii="Times New Roman" w:eastAsia="宋体"/>
          <w:color w:val="auto"/>
          <w:kern w:val="2"/>
          <w:sz w:val="21"/>
          <w:szCs w:val="22"/>
          <w:highlight w:val="none"/>
        </w:rPr>
        <w:t xml:space="preserve"> </w:t>
      </w:r>
      <w:r>
        <w:rPr>
          <w:rFonts w:hint="eastAsia" w:ascii="Times New Roman" w:eastAsia="宋体"/>
          <w:color w:val="auto"/>
          <w:kern w:val="2"/>
          <w:sz w:val="21"/>
          <w:szCs w:val="22"/>
          <w:highlight w:val="none"/>
        </w:rPr>
        <w:t>填写提供所选用产品型号的参数与技术文件的技术响应表、差异对比表</w:t>
      </w:r>
    </w:p>
    <w:p>
      <w:pPr>
        <w:autoSpaceDE/>
        <w:autoSpaceDN/>
        <w:adjustRightInd/>
        <w:spacing w:line="360" w:lineRule="auto"/>
        <w:ind w:firstLine="140" w:firstLineChars="67"/>
        <w:jc w:val="both"/>
        <w:rPr>
          <w:rFonts w:ascii="Times New Roman" w:eastAsia="宋体"/>
          <w:color w:val="auto"/>
          <w:kern w:val="2"/>
          <w:sz w:val="21"/>
          <w:szCs w:val="22"/>
          <w:highlight w:val="none"/>
        </w:rPr>
      </w:pPr>
    </w:p>
    <w:p>
      <w:pPr>
        <w:autoSpaceDE/>
        <w:autoSpaceDN/>
        <w:adjustRightInd/>
        <w:spacing w:line="360" w:lineRule="auto"/>
        <w:ind w:firstLine="140" w:firstLineChars="67"/>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3）材料、设备进场前乙方需完成进场报审工作，经甲方审批同意进场后，方可通知供应商安排材料设备进场，进场报审资料包括但不限于：乙方或其经审批的专业分包人与相关厂家或授权代理商签订的供货合同（注：授权代理商须提供项目授权或年度授权证明）、出厂合格证、各种产品质量认证证书、出厂试验报告、型式试验报告、第三方检测报告、相关保证函、厂家联系方式、验证方式、厂家确认的出货单等相关正规渠道出货证明。其中，进口材料设备还需要提供报关单、原产地证明、商检证明文件。进场后必须认真按有关标准、样板进行检验、试验，验收合格后方可报甲方，经甲方确认后方能使用。</w:t>
      </w:r>
    </w:p>
    <w:p>
      <w:pPr>
        <w:autoSpaceDE/>
        <w:autoSpaceDN/>
        <w:adjustRightInd/>
        <w:spacing w:line="360" w:lineRule="auto"/>
        <w:ind w:firstLine="140" w:firstLineChars="67"/>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4）各乙方的材料计划、定板计划提交给监理单位审核后，报甲方。甲方根据实际情况启动材料看样定板审批程序，看样定板材料未经审批封存的不准进场投入施工需要。重点看样定板材料进场计划需提前60天报甲方项目部，予以对其在技术性能、经济指标、规格、颜色、所申报品牌/厂家是否符合甲方确定的品牌/厂家范围等方面进行审核。</w:t>
      </w:r>
    </w:p>
    <w:p>
      <w:pPr>
        <w:spacing w:line="500" w:lineRule="exact"/>
        <w:ind w:firstLine="105" w:firstLineChars="50"/>
        <w:rPr>
          <w:rFonts w:ascii="宋体" w:eastAsia="宋体" w:cs="宋体"/>
          <w:color w:val="auto"/>
          <w:sz w:val="21"/>
          <w:szCs w:val="21"/>
          <w:highlight w:val="none"/>
        </w:rPr>
      </w:pPr>
      <w:r>
        <w:rPr>
          <w:rFonts w:hint="eastAsia" w:ascii="宋体" w:eastAsia="宋体" w:cs="宋体"/>
          <w:color w:val="auto"/>
          <w:sz w:val="21"/>
          <w:szCs w:val="21"/>
          <w:highlight w:val="none"/>
        </w:rPr>
        <w:t>（5）</w:t>
      </w:r>
      <w:r>
        <w:rPr>
          <w:rFonts w:hint="eastAsia" w:ascii="Times New Roman" w:eastAsia="宋体"/>
          <w:color w:val="auto"/>
          <w:kern w:val="2"/>
          <w:sz w:val="21"/>
          <w:szCs w:val="22"/>
          <w:highlight w:val="none"/>
        </w:rPr>
        <w:t>用于本工程上的所有</w:t>
      </w:r>
      <w:r>
        <w:rPr>
          <w:rFonts w:hint="eastAsia" w:ascii="宋体" w:eastAsia="宋体" w:cs="宋体"/>
          <w:color w:val="auto"/>
          <w:sz w:val="21"/>
          <w:szCs w:val="21"/>
          <w:highlight w:val="none"/>
        </w:rPr>
        <w:t>材料、设备的品牌、供应商（含代理商、经销商）及专业安装队伍等必须预先向监理、甲方申报，申报经监理、甲方审核批准的才允许使用，未经审批的不准进行定购，不准进场，违者将材料清出现场，并收取违约金</w:t>
      </w:r>
      <w:r>
        <w:rPr>
          <w:rFonts w:ascii="宋体" w:eastAsia="宋体" w:cs="宋体"/>
          <w:color w:val="auto"/>
          <w:sz w:val="21"/>
          <w:szCs w:val="21"/>
          <w:highlight w:val="none"/>
        </w:rPr>
        <w:t>1000</w:t>
      </w:r>
      <w:r>
        <w:rPr>
          <w:rFonts w:hint="eastAsia" w:ascii="宋体" w:eastAsia="宋体" w:cs="宋体"/>
          <w:color w:val="auto"/>
          <w:sz w:val="21"/>
          <w:szCs w:val="21"/>
          <w:highlight w:val="none"/>
        </w:rPr>
        <w:t>-10000元</w:t>
      </w:r>
      <w:r>
        <w:rPr>
          <w:rFonts w:ascii="宋体" w:eastAsia="宋体" w:cs="宋体"/>
          <w:color w:val="auto"/>
          <w:sz w:val="21"/>
          <w:szCs w:val="21"/>
          <w:highlight w:val="none"/>
        </w:rPr>
        <w:t>/</w:t>
      </w:r>
      <w:r>
        <w:rPr>
          <w:rFonts w:hint="eastAsia" w:ascii="宋体" w:eastAsia="宋体" w:cs="宋体"/>
          <w:color w:val="auto"/>
          <w:sz w:val="21"/>
          <w:szCs w:val="21"/>
          <w:highlight w:val="none"/>
        </w:rPr>
        <w:t>次。</w:t>
      </w:r>
    </w:p>
    <w:p>
      <w:pPr>
        <w:spacing w:line="500" w:lineRule="exact"/>
        <w:ind w:firstLine="105" w:firstLineChars="50"/>
        <w:rPr>
          <w:rFonts w:ascii="宋体" w:eastAsia="宋体" w:cs="宋体"/>
          <w:color w:val="auto"/>
          <w:sz w:val="21"/>
          <w:szCs w:val="21"/>
          <w:highlight w:val="none"/>
        </w:rPr>
      </w:pPr>
      <w:r>
        <w:rPr>
          <w:rFonts w:hint="eastAsia" w:ascii="宋体" w:eastAsia="宋体" w:cs="宋体"/>
          <w:color w:val="auto"/>
          <w:sz w:val="21"/>
          <w:szCs w:val="21"/>
          <w:highlight w:val="none"/>
        </w:rPr>
        <w:t>（6）本工程的材料、设备在制造、运输、安装等实施过程中，监理单位、甲方有权视需要采取形式不一的监督行为，施工单位须无条件配合。</w:t>
      </w:r>
    </w:p>
    <w:p>
      <w:pPr>
        <w:autoSpaceDE/>
        <w:autoSpaceDN/>
        <w:adjustRightInd/>
        <w:spacing w:line="360" w:lineRule="auto"/>
        <w:ind w:firstLine="105" w:firstLineChars="50"/>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7）物料进场及施工过程中的试验必须听从监理单位及甲方工程师安排，执行见证取样规定经监理见证取样。物料进场不及时报验，每批次收取违约金2000元，如果发生物料、设备已用到工程上或发现不合格者，除全部拆除或退场外，每发生一次收取违约金5000元。</w:t>
      </w:r>
    </w:p>
    <w:p>
      <w:pPr>
        <w:autoSpaceDE/>
        <w:autoSpaceDN/>
        <w:adjustRightInd/>
        <w:spacing w:line="360" w:lineRule="auto"/>
        <w:ind w:firstLine="105" w:firstLineChars="50"/>
        <w:jc w:val="both"/>
        <w:rPr>
          <w:rFonts w:ascii="宋体" w:eastAsia="宋体" w:cs="宋体"/>
          <w:color w:val="auto"/>
          <w:sz w:val="21"/>
          <w:szCs w:val="21"/>
          <w:highlight w:val="none"/>
        </w:rPr>
      </w:pPr>
      <w:r>
        <w:rPr>
          <w:rFonts w:hint="eastAsia" w:ascii="Times New Roman" w:eastAsia="宋体"/>
          <w:color w:val="auto"/>
          <w:kern w:val="2"/>
          <w:sz w:val="21"/>
          <w:szCs w:val="22"/>
          <w:highlight w:val="none"/>
        </w:rPr>
        <w:t>（8）</w:t>
      </w:r>
      <w:bookmarkStart w:id="29" w:name="_Hlk115424747"/>
      <w:r>
        <w:rPr>
          <w:rFonts w:hint="eastAsia" w:ascii="宋体" w:eastAsia="宋体" w:cs="宋体"/>
          <w:color w:val="auto"/>
          <w:sz w:val="21"/>
          <w:szCs w:val="21"/>
          <w:highlight w:val="none"/>
        </w:rPr>
        <w:t>本工程的材料、设备的进场报验，监理单位、甲方有权视需要聘请第三方专业检测机构进行检测，施工单位须无条件配合并承担相关费用。</w:t>
      </w:r>
      <w:bookmarkEnd w:id="29"/>
    </w:p>
    <w:p>
      <w:pPr>
        <w:autoSpaceDE/>
        <w:autoSpaceDN/>
        <w:adjustRightInd/>
        <w:spacing w:line="360" w:lineRule="auto"/>
        <w:ind w:firstLine="105" w:firstLineChars="50"/>
        <w:jc w:val="both"/>
        <w:rPr>
          <w:rFonts w:ascii="宋体" w:eastAsia="宋体" w:cs="宋体"/>
          <w:color w:val="auto"/>
          <w:sz w:val="21"/>
          <w:szCs w:val="21"/>
          <w:highlight w:val="none"/>
        </w:rPr>
      </w:pPr>
      <w:r>
        <w:rPr>
          <w:rFonts w:hint="eastAsia" w:ascii="宋体" w:eastAsia="宋体" w:cs="宋体"/>
          <w:color w:val="auto"/>
          <w:sz w:val="21"/>
          <w:szCs w:val="21"/>
          <w:highlight w:val="none"/>
        </w:rPr>
        <w:t>（9）甲方抽检：除根据政策要求的第三方检测和监理相关检测外，根据工程实际情况，甲方对有疑问、高价值、对效果有重大影响、易产生不合格品的材料设备有权实施抽检，计划内的抽检不得提出工期索赔。检验的结果证明该项材料、设备不符合合同要求的，因此增加的费用和（或）工期延误由乙方承担；检验结果证明该项材料、设备符合合同要求的，由甲方承担因此增加的费用和（或）工期延误。</w:t>
      </w:r>
    </w:p>
    <w:p>
      <w:pPr>
        <w:autoSpaceDE/>
        <w:autoSpaceDN/>
        <w:adjustRightInd/>
        <w:spacing w:line="360" w:lineRule="auto"/>
        <w:ind w:firstLine="105" w:firstLineChars="50"/>
        <w:jc w:val="both"/>
        <w:rPr>
          <w:rFonts w:ascii="Times New Roman" w:eastAsia="宋体"/>
          <w:color w:val="auto"/>
          <w:kern w:val="2"/>
          <w:sz w:val="21"/>
          <w:szCs w:val="22"/>
          <w:highlight w:val="none"/>
        </w:rPr>
      </w:pP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4.2.4施工测量 </w:t>
      </w:r>
    </w:p>
    <w:p>
      <w:pPr>
        <w:autoSpaceDE/>
        <w:autoSpaceDN/>
        <w:adjustRightInd/>
        <w:spacing w:line="360" w:lineRule="auto"/>
        <w:ind w:firstLine="420" w:firstLineChars="200"/>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由甲方工程师负责向乙方提供基准线，监理单位负责对乙方所放线进行校核工作；乙方测量员负责对基准线、点进行检查、维护工作。乙方使用的测量仪器必须是在有效期内、按经检测、校准确保合格后方可使用，并将有关检测证明资料报监理单位、甲方备案。 发现测量仪器不在有效期内、按经检测、校准不合格而使用，每发生一次收取违约金2000元，并重新进行测量。</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4.2.5工序验收 </w:t>
      </w:r>
    </w:p>
    <w:p>
      <w:pPr>
        <w:autoSpaceDE/>
        <w:autoSpaceDN/>
        <w:adjustRightInd/>
        <w:spacing w:line="360" w:lineRule="auto"/>
        <w:ind w:firstLine="420" w:firstLineChars="200"/>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各工序完成后，乙方首先进行自检，自检合格后，按照项目资料报验要求，报质检员验收，质检员验收合格后，报监理验收，监理验收合格后，报甲方验收，合格并书面签认后方可进行下道工序。分包人：首先进行自检，自检合格后，由分包人质检员按照项目资料报验要求，报总包质检员验收，质检员验收合格后，报监理验收，监理验收合格后，报甲方验收，合格并书面签认后方可进行下道工序。未经验收合格签字而进行下道工序施工的，除全部拆除返工外，每发生一次收取违约金1000-30000元 。</w:t>
      </w:r>
    </w:p>
    <w:p>
      <w:pPr>
        <w:autoSpaceDE/>
        <w:autoSpaceDN/>
        <w:adjustRightInd/>
        <w:spacing w:line="360" w:lineRule="auto"/>
        <w:ind w:firstLine="420" w:firstLineChars="200"/>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所有分包人人员不得直接找监理、甲方、设计报验，所有检验、试验等均由项目总包单位报验监理单位、甲方、设计单位。 </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4.2.6质量管理</w:t>
      </w:r>
    </w:p>
    <w:p>
      <w:pPr>
        <w:autoSpaceDE/>
        <w:autoSpaceDN/>
        <w:adjustRightInd/>
        <w:spacing w:line="360" w:lineRule="auto"/>
        <w:ind w:firstLine="420" w:firstLineChars="200"/>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本工程质量管理目标：确保</w:t>
      </w:r>
      <w:r>
        <w:rPr>
          <w:rFonts w:hint="eastAsia" w:ascii="Times New Roman" w:eastAsia="宋体"/>
          <w:color w:val="auto"/>
          <w:kern w:val="2"/>
          <w:sz w:val="21"/>
          <w:szCs w:val="22"/>
          <w:highlight w:val="none"/>
          <w:u w:val="single"/>
        </w:rPr>
        <w:t xml:space="preserve"> </w:t>
      </w:r>
      <w:r>
        <w:rPr>
          <w:rFonts w:ascii="Times New Roman" w:eastAsia="宋体"/>
          <w:color w:val="auto"/>
          <w:kern w:val="2"/>
          <w:sz w:val="21"/>
          <w:szCs w:val="22"/>
          <w:highlight w:val="none"/>
          <w:u w:val="single"/>
        </w:rPr>
        <w:t xml:space="preserve"> </w:t>
      </w:r>
      <w:r>
        <w:rPr>
          <w:rFonts w:hint="eastAsia" w:ascii="Times New Roman" w:eastAsia="宋体"/>
          <w:color w:val="auto"/>
          <w:kern w:val="2"/>
          <w:sz w:val="21"/>
          <w:szCs w:val="22"/>
          <w:highlight w:val="none"/>
          <w:u w:val="single"/>
        </w:rPr>
        <w:t>/</w:t>
      </w:r>
      <w:r>
        <w:rPr>
          <w:rFonts w:ascii="Times New Roman" w:eastAsia="宋体"/>
          <w:color w:val="auto"/>
          <w:kern w:val="2"/>
          <w:sz w:val="21"/>
          <w:szCs w:val="22"/>
          <w:highlight w:val="none"/>
          <w:u w:val="single"/>
        </w:rPr>
        <w:t xml:space="preserve">  </w:t>
      </w:r>
      <w:r>
        <w:rPr>
          <w:rFonts w:hint="eastAsia" w:ascii="Times New Roman" w:eastAsia="宋体"/>
          <w:color w:val="auto"/>
          <w:kern w:val="2"/>
          <w:sz w:val="21"/>
          <w:szCs w:val="22"/>
          <w:highlight w:val="none"/>
        </w:rPr>
        <w:t>优质合格工程，争创市样板工程奖。</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1）对此目标，各乙方必须建立质量管理体系，有明确的职责分工和管理程序，并报监理单位及甲方认可后组织实施，在实施过程中接受监理、甲方的监督管理。乙方质检员必须严格按标准规范、《建筑工程质量通病防治手册》和本单位编制的质量目标进行自检、验收，自检合格后报验收。 </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2）为保证工程质量，使乙方、监理单位、甲方对现场施工工艺及质量标准达成共识，实行样板制度。实行“样板先行”制度既是对施工工艺的检验，也是对分项工程施工质量标准的确定；本工程所有分项工程均需做施工样板，各分项工程施工样板的展示及施工质量标准经监理单位、甲方验收合格后方可进行大面施工，样板展示内容包括：现浇混凝土观感样板、砌筑工程的植筋样板、墙体砌筑样板、墙体抹灰样板、卫生间防水样板、墙体水电管预埋样板、外墙砖贴砖样板、屋面防水样板、门窗安装、装修样板等等。</w:t>
      </w:r>
    </w:p>
    <w:p>
      <w:pPr>
        <w:autoSpaceDE/>
        <w:autoSpaceDN/>
        <w:adjustRightInd/>
        <w:spacing w:line="360" w:lineRule="auto"/>
        <w:ind w:firstLine="420" w:firstLineChars="200"/>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施工样板第一次验收不合格，进行整改并收取违约金2000元；</w:t>
      </w:r>
    </w:p>
    <w:p>
      <w:pPr>
        <w:autoSpaceDE/>
        <w:autoSpaceDN/>
        <w:adjustRightInd/>
        <w:spacing w:line="360" w:lineRule="auto"/>
        <w:ind w:firstLine="420" w:firstLineChars="200"/>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施工样板第二次验收不合格，进行整改并收取违约金5000元；</w:t>
      </w:r>
    </w:p>
    <w:p>
      <w:pPr>
        <w:autoSpaceDE/>
        <w:autoSpaceDN/>
        <w:adjustRightInd/>
        <w:spacing w:line="360" w:lineRule="auto"/>
        <w:ind w:firstLine="420" w:firstLineChars="200"/>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 xml:space="preserve">施工样板第三次验收不合格，施工队伍退场并收取违约金10000元； </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3）每个施工班组（队伍）在施工前均必须进行工程样板施工，样板、施工工艺经监理、甲方验收合格，该施工班组（队伍）方可进行大面积施工；经验收不合格，经整改还不达标的样板、施工工艺，该施工班组（队伍）应在2天内撤离现场，不配合或拒绝撤离现场，向责任单位收取违约金2000-10000元/天。</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4）装修、机电安装班组（队伍）必须具有类似工程经验，并在进场前提供近两年施工项目业绩，并配合项目部组织考察。考察不合格班组，不允许进场，已经进场的2天内撤离现场，不配合或拒绝撤离现场，向责任单位收取违约金2000-10000元/天。</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5）对监理、甲方提出的问题必须立即整改，局部整改或整改后仍然达不到要求的或未按规定时间整改的每次收取违约金1000元。施工过程中，必须严格遵守强制性条文，违反规范中强制性条文的必须全部整改，同时每发生一次收取违约金5000元。 </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4.2.7计量管理 </w:t>
      </w:r>
    </w:p>
    <w:p>
      <w:pPr>
        <w:autoSpaceDE/>
        <w:autoSpaceDN/>
        <w:adjustRightInd/>
        <w:spacing w:line="360" w:lineRule="auto"/>
        <w:ind w:firstLine="420" w:firstLineChars="200"/>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每月25日前上报本月已完成工程量，经审核无误后方可上报监理单位，监理单位审核后报甲方进行审核计量计价。未经审核无误或延迟上报的完成工程量 ，甲方将无法按时拨付工程款。(未按约定时间上报当月工程量的，将自动累计到下月上报)</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4.2.8资料管理 </w:t>
      </w:r>
    </w:p>
    <w:p>
      <w:pPr>
        <w:autoSpaceDE/>
        <w:autoSpaceDN/>
        <w:adjustRightInd/>
        <w:spacing w:line="360" w:lineRule="auto"/>
        <w:ind w:firstLine="420" w:firstLineChars="200"/>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本工程执行《</w:t>
      </w:r>
      <w:r>
        <w:rPr>
          <w:rFonts w:hint="eastAsia" w:ascii="Times New Roman" w:eastAsia="宋体"/>
          <w:color w:val="auto"/>
          <w:kern w:val="2"/>
          <w:sz w:val="21"/>
          <w:szCs w:val="22"/>
          <w:highlight w:val="none"/>
          <w:u w:val="single"/>
        </w:rPr>
        <w:t>广东省</w:t>
      </w:r>
      <w:r>
        <w:rPr>
          <w:rFonts w:hint="eastAsia" w:ascii="Times New Roman" w:eastAsia="宋体"/>
          <w:color w:val="auto"/>
          <w:kern w:val="2"/>
          <w:sz w:val="21"/>
          <w:szCs w:val="22"/>
          <w:highlight w:val="none"/>
        </w:rPr>
        <w:t>建筑工程资料规程》【备注：若非广东工程需注意相应调整】和全面实施的各种验收规范，各乙方应严格按监理单位及甲方规定执行资料报验，所有资料必须与工程进度同步进行，对迟报、漏报、不齐全、不真实、未与工程进度同步进行的每次收取违约金1000元。 </w:t>
      </w:r>
    </w:p>
    <w:p>
      <w:pPr>
        <w:autoSpaceDE/>
        <w:autoSpaceDN/>
        <w:adjustRightInd/>
        <w:spacing w:line="360" w:lineRule="auto"/>
        <w:ind w:firstLine="420" w:firstLineChars="200"/>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施工过程中各类内业资料，如工程档案、安全内业、工程签证资料、工程日志、照录相声光资料及工程竣工验收档案资料必须按照甲方、监理单位和相关档案编制要求及时进行收集整理，分类归档，按时报送有关部门，违反上述规定收取违约金1</w:t>
      </w:r>
      <w:r>
        <w:rPr>
          <w:rFonts w:ascii="Times New Roman" w:eastAsia="宋体"/>
          <w:color w:val="auto"/>
          <w:kern w:val="2"/>
          <w:sz w:val="21"/>
          <w:szCs w:val="22"/>
          <w:highlight w:val="none"/>
        </w:rPr>
        <w:t>00</w:t>
      </w:r>
      <w:r>
        <w:rPr>
          <w:rFonts w:hint="eastAsia" w:ascii="Times New Roman" w:eastAsia="宋体"/>
          <w:color w:val="auto"/>
          <w:kern w:val="2"/>
          <w:sz w:val="21"/>
          <w:szCs w:val="22"/>
          <w:highlight w:val="none"/>
        </w:rPr>
        <w:t>0-5000元</w:t>
      </w:r>
      <w:r>
        <w:rPr>
          <w:rFonts w:ascii="Times New Roman" w:eastAsia="宋体"/>
          <w:color w:val="auto"/>
          <w:kern w:val="2"/>
          <w:sz w:val="21"/>
          <w:szCs w:val="22"/>
          <w:highlight w:val="none"/>
        </w:rPr>
        <w:t>/</w:t>
      </w:r>
      <w:r>
        <w:rPr>
          <w:rFonts w:hint="eastAsia" w:ascii="Times New Roman" w:eastAsia="宋体"/>
          <w:color w:val="auto"/>
          <w:kern w:val="2"/>
          <w:sz w:val="21"/>
          <w:szCs w:val="22"/>
          <w:highlight w:val="none"/>
        </w:rPr>
        <w:t>次；经甲方、监理检查存在不到位情况的，除限期整改外收取违约金10</w:t>
      </w:r>
      <w:r>
        <w:rPr>
          <w:rFonts w:ascii="Times New Roman" w:eastAsia="宋体"/>
          <w:color w:val="auto"/>
          <w:kern w:val="2"/>
          <w:sz w:val="21"/>
          <w:szCs w:val="22"/>
          <w:highlight w:val="none"/>
        </w:rPr>
        <w:t>00</w:t>
      </w:r>
      <w:r>
        <w:rPr>
          <w:rFonts w:hint="eastAsia" w:ascii="Times New Roman" w:eastAsia="宋体"/>
          <w:color w:val="auto"/>
          <w:kern w:val="2"/>
          <w:sz w:val="21"/>
          <w:szCs w:val="22"/>
          <w:highlight w:val="none"/>
        </w:rPr>
        <w:t>元</w:t>
      </w:r>
      <w:r>
        <w:rPr>
          <w:rFonts w:ascii="Times New Roman" w:eastAsia="宋体"/>
          <w:color w:val="auto"/>
          <w:kern w:val="2"/>
          <w:sz w:val="21"/>
          <w:szCs w:val="22"/>
          <w:highlight w:val="none"/>
        </w:rPr>
        <w:t>/</w:t>
      </w:r>
      <w:r>
        <w:rPr>
          <w:rFonts w:hint="eastAsia" w:ascii="Times New Roman" w:eastAsia="宋体"/>
          <w:color w:val="auto"/>
          <w:kern w:val="2"/>
          <w:sz w:val="21"/>
          <w:szCs w:val="22"/>
          <w:highlight w:val="none"/>
        </w:rPr>
        <w:t>次。</w:t>
      </w:r>
    </w:p>
    <w:p>
      <w:pPr>
        <w:autoSpaceDE/>
        <w:autoSpaceDN/>
        <w:adjustRightInd/>
        <w:spacing w:line="360" w:lineRule="auto"/>
        <w:ind w:firstLine="420" w:firstLineChars="200"/>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分包人所承包范围内资料的编制与整理按照相关规范、规程进行整理，分包人的竣工图及施工资料应在指定的期限内自行编制完成，并符合有关规定，每周每月接受总包单位、监理、甲方检查，经总包单位、监理、甲方检查合格后方可进行竣工结算。 </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4.2.9例会制度 </w:t>
      </w:r>
    </w:p>
    <w:p>
      <w:pPr>
        <w:autoSpaceDE/>
        <w:autoSpaceDN/>
        <w:adjustRightInd/>
        <w:spacing w:line="360" w:lineRule="auto"/>
        <w:ind w:firstLine="420" w:firstLineChars="200"/>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每周二下午2点30分举行定期工程例会，各参建单位应按时参加（另：根据工程需要不定期举行专项协调会），迟到者每次收取违约金300元。</w:t>
      </w:r>
    </w:p>
    <w:p>
      <w:pPr>
        <w:autoSpaceDE/>
        <w:autoSpaceDN/>
        <w:adjustRightInd/>
        <w:spacing w:line="360" w:lineRule="auto"/>
        <w:ind w:firstLine="420" w:firstLineChars="200"/>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参加会议 要求至少必须有项目经理负责人、技术总负责人、质量、安全、资料各一名及甲方要求出席的人员，以上人员无故缺席每次收取违约金1000元。</w:t>
      </w:r>
    </w:p>
    <w:p>
      <w:pPr>
        <w:spacing w:line="500" w:lineRule="exact"/>
        <w:ind w:firstLine="315" w:firstLineChars="150"/>
        <w:rPr>
          <w:rFonts w:ascii="宋体" w:eastAsia="宋体" w:cs="宋体"/>
          <w:color w:val="auto"/>
          <w:sz w:val="21"/>
          <w:szCs w:val="21"/>
          <w:highlight w:val="none"/>
        </w:rPr>
      </w:pPr>
      <w:r>
        <w:rPr>
          <w:rFonts w:hint="eastAsia" w:ascii="宋体" w:eastAsia="宋体" w:cs="宋体"/>
          <w:color w:val="auto"/>
          <w:sz w:val="21"/>
          <w:szCs w:val="21"/>
          <w:highlight w:val="none"/>
        </w:rPr>
        <w:t>工程例会主持人员：总监理工程师。安全例会主持人员:监理安全负责人。会议纪要由项目监理部整理并报送甲方及各参建单位。各参建单位每周一下午3：00前向监理提交周报，监理将周报汇总后报甲方。</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4.2.10成品保护 </w:t>
      </w:r>
    </w:p>
    <w:p>
      <w:pPr>
        <w:autoSpaceDE/>
        <w:autoSpaceDN/>
        <w:adjustRightInd/>
        <w:spacing w:line="360" w:lineRule="auto"/>
        <w:ind w:firstLine="420" w:firstLineChars="200"/>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各单位在施工过程中必须采取切实有效的措施，保护自身及其他专业（单位）施工成品，如果因为施工不当对别人的成品造成破坏，除全额赔偿损失外，甲方将视影响情况收取违约金1000～10000元。 </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4.2.11奖惩 </w:t>
      </w:r>
    </w:p>
    <w:p>
      <w:pPr>
        <w:autoSpaceDE/>
        <w:autoSpaceDN/>
        <w:adjustRightInd/>
        <w:spacing w:line="360" w:lineRule="auto"/>
        <w:ind w:firstLine="420" w:firstLineChars="200"/>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在施工过程管理中，监理工程师、甲方工程师有权在自己的权限范围内对乙方安全文明施工防护措施、技术质量活动中不正确的地方进行经济或其它方式的惩处，如因乙方提出的工艺可行而导致的节约、提高质量、加快进度的，甲方应实施奖励。惩处和奖励的额度除上述明确规定的原则上由甲方确定。 </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4.3施工进度控制 </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4.3.1总进度计划 </w:t>
      </w:r>
    </w:p>
    <w:p>
      <w:pPr>
        <w:autoSpaceDE/>
        <w:autoSpaceDN/>
        <w:adjustRightInd/>
        <w:spacing w:line="360" w:lineRule="auto"/>
        <w:ind w:firstLine="420" w:firstLineChars="200"/>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根据本工程编制的工程总体进度计划，各专业单位根据自身施工特点编制本专业施工的总进度计划，报监理、甲方审核确认，并将总计划进行量化分解，每周一下午16:00之前上报下周施工计划，每月25日上报下月施工计划，便于监理、甲方进行有效监控管理。</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4.3.2管理措施 </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（1）不按时上报分解计划的，每次收取违约金1000元，所报计划无量化指标者每收取违约金1000元。</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（2）施工进度与计划滞后而不采取有效措施者，监理、甲方有权视具体情况进行下列处罚： 收取违约金1000～20000元。 </w:t>
      </w:r>
    </w:p>
    <w:p>
      <w:pPr>
        <w:spacing w:line="500" w:lineRule="exact"/>
        <w:rPr>
          <w:rFonts w:ascii="宋体" w:eastAsia="宋体" w:cs="宋体"/>
          <w:color w:val="auto"/>
          <w:sz w:val="21"/>
          <w:szCs w:val="21"/>
          <w:highlight w:val="none"/>
        </w:rPr>
      </w:pPr>
      <w:r>
        <w:rPr>
          <w:rFonts w:hint="eastAsia" w:ascii="宋体" w:eastAsia="宋体" w:cs="宋体"/>
          <w:color w:val="auto"/>
          <w:sz w:val="21"/>
          <w:szCs w:val="21"/>
          <w:highlight w:val="none"/>
        </w:rPr>
        <w:t>（3）严格执行已经上报且经过监理、甲方审核同意的阶段性进度计划，若阶段性进度计划节点滞后，并对后续工作产生影响的，收取违约金 3</w:t>
      </w:r>
      <w:r>
        <w:rPr>
          <w:rFonts w:ascii="宋体" w:eastAsia="宋体" w:cs="宋体"/>
          <w:color w:val="auto"/>
          <w:sz w:val="21"/>
          <w:szCs w:val="21"/>
          <w:highlight w:val="none"/>
        </w:rPr>
        <w:t>000</w:t>
      </w:r>
      <w:r>
        <w:rPr>
          <w:rFonts w:hint="eastAsia" w:ascii="宋体" w:eastAsia="宋体" w:cs="宋体"/>
          <w:color w:val="auto"/>
          <w:sz w:val="21"/>
          <w:szCs w:val="21"/>
          <w:highlight w:val="none"/>
        </w:rPr>
        <w:t>元</w:t>
      </w:r>
      <w:r>
        <w:rPr>
          <w:rFonts w:ascii="宋体" w:eastAsia="宋体" w:cs="宋体"/>
          <w:color w:val="auto"/>
          <w:sz w:val="21"/>
          <w:szCs w:val="21"/>
          <w:highlight w:val="none"/>
        </w:rPr>
        <w:t>/</w:t>
      </w:r>
      <w:r>
        <w:rPr>
          <w:rFonts w:hint="eastAsia" w:ascii="宋体" w:eastAsia="宋体" w:cs="宋体"/>
          <w:color w:val="auto"/>
          <w:sz w:val="21"/>
          <w:szCs w:val="21"/>
          <w:highlight w:val="none"/>
        </w:rPr>
        <w:t>天；</w:t>
      </w:r>
    </w:p>
    <w:p>
      <w:pPr>
        <w:spacing w:line="500" w:lineRule="exact"/>
        <w:rPr>
          <w:rFonts w:ascii="宋体" w:eastAsia="宋体" w:cs="宋体"/>
          <w:color w:val="auto"/>
          <w:sz w:val="21"/>
          <w:szCs w:val="21"/>
          <w:highlight w:val="none"/>
        </w:rPr>
      </w:pPr>
      <w:r>
        <w:rPr>
          <w:rFonts w:hint="eastAsia" w:ascii="宋体" w:eastAsia="宋体" w:cs="宋体"/>
          <w:color w:val="auto"/>
          <w:sz w:val="21"/>
          <w:szCs w:val="21"/>
          <w:highlight w:val="none"/>
        </w:rPr>
        <w:t>（4）施工合同中已明确的大节点，施工单位应严格执行，若滞后将按合同有关条款收取违约金。</w:t>
      </w:r>
    </w:p>
    <w:p>
      <w:pPr>
        <w:spacing w:line="500" w:lineRule="exact"/>
        <w:rPr>
          <w:rFonts w:ascii="宋体" w:eastAsia="宋体" w:cs="宋体"/>
          <w:color w:val="auto"/>
          <w:sz w:val="21"/>
          <w:szCs w:val="21"/>
          <w:highlight w:val="none"/>
        </w:rPr>
      </w:pPr>
      <w:r>
        <w:rPr>
          <w:rFonts w:hint="eastAsia" w:ascii="宋体" w:eastAsia="宋体" w:cs="宋体"/>
          <w:color w:val="auto"/>
          <w:sz w:val="21"/>
          <w:szCs w:val="21"/>
          <w:highlight w:val="none"/>
        </w:rPr>
        <w:t>（5）施工单位因劳动人员组织不力，工程材料以及施工机具设备、周转材料等组织不到位，</w:t>
      </w:r>
    </w:p>
    <w:p>
      <w:pPr>
        <w:spacing w:line="500" w:lineRule="exact"/>
        <w:rPr>
          <w:rFonts w:ascii="宋体" w:eastAsia="宋体" w:cs="宋体"/>
          <w:color w:val="auto"/>
          <w:sz w:val="21"/>
          <w:szCs w:val="21"/>
          <w:highlight w:val="none"/>
        </w:rPr>
      </w:pPr>
      <w:r>
        <w:rPr>
          <w:rFonts w:hint="eastAsia" w:ascii="宋体" w:eastAsia="宋体" w:cs="宋体"/>
          <w:color w:val="auto"/>
          <w:sz w:val="21"/>
          <w:szCs w:val="21"/>
          <w:highlight w:val="none"/>
        </w:rPr>
        <w:t>而影响工程进度或对其它施工单位的进度造成影响， 收取违约金3</w:t>
      </w:r>
      <w:r>
        <w:rPr>
          <w:rFonts w:ascii="宋体" w:eastAsia="宋体" w:cs="宋体"/>
          <w:color w:val="auto"/>
          <w:sz w:val="21"/>
          <w:szCs w:val="21"/>
          <w:highlight w:val="none"/>
        </w:rPr>
        <w:t>000</w:t>
      </w:r>
      <w:r>
        <w:rPr>
          <w:rFonts w:hint="eastAsia" w:ascii="宋体" w:eastAsia="宋体" w:cs="宋体"/>
          <w:color w:val="auto"/>
          <w:sz w:val="21"/>
          <w:szCs w:val="21"/>
          <w:highlight w:val="none"/>
        </w:rPr>
        <w:t>元</w:t>
      </w:r>
      <w:r>
        <w:rPr>
          <w:rFonts w:ascii="宋体" w:eastAsia="宋体" w:cs="宋体"/>
          <w:color w:val="auto"/>
          <w:sz w:val="21"/>
          <w:szCs w:val="21"/>
          <w:highlight w:val="none"/>
        </w:rPr>
        <w:t>/</w:t>
      </w:r>
      <w:r>
        <w:rPr>
          <w:rFonts w:hint="eastAsia" w:ascii="宋体" w:eastAsia="宋体" w:cs="宋体"/>
          <w:color w:val="auto"/>
          <w:sz w:val="21"/>
          <w:szCs w:val="21"/>
          <w:highlight w:val="none"/>
        </w:rPr>
        <w:t>天。</w:t>
      </w:r>
    </w:p>
    <w:p>
      <w:pPr>
        <w:spacing w:line="500" w:lineRule="exact"/>
        <w:rPr>
          <w:rFonts w:ascii="宋体" w:eastAsia="宋体" w:cs="宋体"/>
          <w:color w:val="auto"/>
          <w:sz w:val="21"/>
          <w:szCs w:val="21"/>
          <w:highlight w:val="none"/>
        </w:rPr>
      </w:pPr>
      <w:r>
        <w:rPr>
          <w:rFonts w:hint="eastAsia" w:ascii="宋体" w:eastAsia="宋体" w:cs="宋体"/>
          <w:color w:val="auto"/>
          <w:sz w:val="21"/>
          <w:szCs w:val="21"/>
          <w:highlight w:val="none"/>
        </w:rPr>
        <w:t>（6）必须按甲方统一部署，确保外协单位及时进场，提供合理的工作面，对故意不执行甲方要求的，</w:t>
      </w:r>
      <w:r>
        <w:rPr>
          <w:rFonts w:ascii="宋体" w:eastAsia="宋体" w:cs="宋体"/>
          <w:color w:val="auto"/>
          <w:sz w:val="21"/>
          <w:szCs w:val="21"/>
          <w:highlight w:val="none"/>
        </w:rPr>
        <w:t xml:space="preserve"> </w:t>
      </w:r>
      <w:r>
        <w:rPr>
          <w:rFonts w:hint="eastAsia" w:ascii="宋体" w:eastAsia="宋体" w:cs="宋体"/>
          <w:color w:val="auto"/>
          <w:sz w:val="21"/>
          <w:szCs w:val="21"/>
          <w:highlight w:val="none"/>
        </w:rPr>
        <w:t>收取违约金</w:t>
      </w:r>
      <w:r>
        <w:rPr>
          <w:rFonts w:ascii="宋体" w:eastAsia="宋体" w:cs="宋体"/>
          <w:color w:val="auto"/>
          <w:sz w:val="21"/>
          <w:szCs w:val="21"/>
          <w:highlight w:val="none"/>
        </w:rPr>
        <w:t>2000</w:t>
      </w:r>
      <w:r>
        <w:rPr>
          <w:rFonts w:hint="eastAsia" w:ascii="宋体" w:eastAsia="宋体" w:cs="宋体"/>
          <w:color w:val="auto"/>
          <w:sz w:val="21"/>
          <w:szCs w:val="21"/>
          <w:highlight w:val="none"/>
        </w:rPr>
        <w:t>元</w:t>
      </w:r>
      <w:r>
        <w:rPr>
          <w:rFonts w:ascii="宋体" w:eastAsia="宋体" w:cs="宋体"/>
          <w:color w:val="auto"/>
          <w:sz w:val="21"/>
          <w:szCs w:val="21"/>
          <w:highlight w:val="none"/>
        </w:rPr>
        <w:t>/</w:t>
      </w:r>
      <w:r>
        <w:rPr>
          <w:rFonts w:hint="eastAsia" w:ascii="宋体" w:eastAsia="宋体" w:cs="宋体"/>
          <w:color w:val="auto"/>
          <w:sz w:val="21"/>
          <w:szCs w:val="21"/>
          <w:highlight w:val="none"/>
        </w:rPr>
        <w:t>次。</w:t>
      </w:r>
    </w:p>
    <w:p>
      <w:pPr>
        <w:spacing w:line="500" w:lineRule="exact"/>
        <w:rPr>
          <w:rFonts w:ascii="宋体" w:eastAsia="宋体" w:cs="宋体"/>
          <w:color w:val="auto"/>
          <w:sz w:val="21"/>
          <w:szCs w:val="21"/>
          <w:highlight w:val="none"/>
        </w:rPr>
      </w:pPr>
      <w:r>
        <w:rPr>
          <w:rFonts w:hint="eastAsia" w:ascii="宋体" w:eastAsia="宋体" w:cs="宋体"/>
          <w:color w:val="auto"/>
          <w:sz w:val="21"/>
          <w:szCs w:val="21"/>
          <w:highlight w:val="none"/>
        </w:rPr>
        <w:t>（7）必须按照甲方的相关要求按时上报月报、周报、进度计划等有关资料，违者收取违约金</w:t>
      </w:r>
      <w:r>
        <w:rPr>
          <w:rFonts w:ascii="宋体" w:eastAsia="宋体" w:cs="宋体"/>
          <w:color w:val="auto"/>
          <w:sz w:val="21"/>
          <w:szCs w:val="21"/>
          <w:highlight w:val="none"/>
        </w:rPr>
        <w:t>1</w:t>
      </w:r>
      <w:r>
        <w:rPr>
          <w:rFonts w:hint="eastAsia" w:ascii="宋体" w:eastAsia="宋体" w:cs="宋体"/>
          <w:color w:val="auto"/>
          <w:sz w:val="21"/>
          <w:szCs w:val="21"/>
          <w:highlight w:val="none"/>
        </w:rPr>
        <w:t>0</w:t>
      </w:r>
      <w:r>
        <w:rPr>
          <w:rFonts w:ascii="宋体" w:eastAsia="宋体" w:cs="宋体"/>
          <w:color w:val="auto"/>
          <w:sz w:val="21"/>
          <w:szCs w:val="21"/>
          <w:highlight w:val="none"/>
        </w:rPr>
        <w:t>00</w:t>
      </w:r>
      <w:r>
        <w:rPr>
          <w:rFonts w:hint="eastAsia" w:ascii="宋体" w:eastAsia="宋体" w:cs="宋体"/>
          <w:color w:val="auto"/>
          <w:sz w:val="21"/>
          <w:szCs w:val="21"/>
          <w:highlight w:val="none"/>
        </w:rPr>
        <w:t>元</w:t>
      </w:r>
      <w:r>
        <w:rPr>
          <w:rFonts w:ascii="宋体" w:eastAsia="宋体" w:cs="宋体"/>
          <w:color w:val="auto"/>
          <w:sz w:val="21"/>
          <w:szCs w:val="21"/>
          <w:highlight w:val="none"/>
        </w:rPr>
        <w:t>/</w:t>
      </w:r>
      <w:r>
        <w:rPr>
          <w:rFonts w:hint="eastAsia" w:ascii="宋体" w:eastAsia="宋体" w:cs="宋体"/>
          <w:color w:val="auto"/>
          <w:sz w:val="21"/>
          <w:szCs w:val="21"/>
          <w:highlight w:val="none"/>
        </w:rPr>
        <w:t>次。</w:t>
      </w:r>
    </w:p>
    <w:p>
      <w:pPr>
        <w:spacing w:line="500" w:lineRule="exact"/>
        <w:rPr>
          <w:rFonts w:ascii="宋体" w:eastAsia="宋体" w:cs="宋体"/>
          <w:color w:val="auto"/>
          <w:sz w:val="24"/>
          <w:szCs w:val="24"/>
          <w:highlight w:val="none"/>
        </w:rPr>
      </w:pPr>
      <w:r>
        <w:rPr>
          <w:rFonts w:hint="eastAsia" w:ascii="宋体" w:eastAsia="宋体" w:cs="宋体"/>
          <w:color w:val="auto"/>
          <w:sz w:val="21"/>
          <w:szCs w:val="21"/>
          <w:highlight w:val="none"/>
        </w:rPr>
        <w:t>（8）各施工单位必须遵从监理、甲方发出的指令，不得以指令所涉及费用未确定或找不到实施队伍为借口不执行或拖延执行。若施工单位未在合理时间内执行，或在收到甲方、监理催促执行的书面通知后3天内仍未执行，则甲方有权聘请第三方执行该指令所要求的工作，由此产生的费用全部由责任方承担，甲方将从其承包合同款项中直接划扣该部分费用。同时对责任单位按每次5000-50000元收取违约金。情节特别严重，甲方有权解除合同并追究施工单位违约责任。</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4.4现场管理 </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（1）分包人进入现场施工人员必须统一着装、统一戴安全帽、并随身携带出入证件。 </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（2）现场内的布置必须经过监理、甲方审批，所有标牌、标志的张贴悬挂，由总包单位按规定制作。 </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（3）分包人施工管理人员须着装整洁，头发理顺，注意举止行为。 </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（4）分包人对公司的函件必须统一格式、正式打印、有统一编号，并且有负责人签字或单位公章，否则监理、甲方将拒收。 </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（5）进入施工区域戴好安全帽，并符合规定。 </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（6）现场内严禁随地大小便，违者收取违约金小便200元/人 次，大便300元/人次。 （无法界定责任者均归咎于总包单位）</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（7）爱护现场内的安全、消防、测量、照明设施及有关标牌等，违者收取违约金200元/人，并负责赔偿损失。 </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（8）现场内严禁乱抛垃圾、烟头、水果皮、废纸等，否则每起收取违约金100元/人。 </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（9）施工现场、生活区严禁带有金钱性质的赌博，酗酒行为，否则对乙方负任人收取违约金1000元/次。 </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4.5安全、环境、文明施工管理 </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4.5.1安全管理 </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（1）乙方现场成立安全文明施工防护措施领导小组，切实加强施工全过程的安全管理，确保工人在劳动过程中的安全与健康。 </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（2）乙方施工管理人员、工程技术人员，操作工人必须熟悉和掌握本工种的“安全技术操作规程”，否则不许参加施工。 </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（3）认真坚持安全自检制度，搞好隐患整改，并做到定人、定时间、定措施。 </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（4）新入场及变换工种人员必须经过安全教育，上岗作业前必须进行安全技术交底。 </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（5）特种作业人员必须经安全技术培训，考试合格持证上岗作业。 </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（6）进入施工现场必须正确戴好安全帽，高处作业系牢安全带。正确使用个人防护用品。 </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（7）施工现场内严禁穿高跟鞋、拖鞋，光脚，赤裸上身作业。 </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8）施工中的“四口”（即楼梯口、电梯口、预留洞口、通道口），“五临边”（尚未安装好的阳台边、无外架防护的屋面周边、框架工程楼层周边、跑道（斜道）两侧边、卸料台的外侧边）必须有严密、牢固的安全防护设施，任何人不许改动和破坏。 </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（9）现场的机电设备、电动工具、供电设施中持证电工操作，严禁非电气工人乱接乱动。 </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（10）一切机械设备和垂直运输、超重机械的安全防护及保险装置必须齐全，灵敏可靠，严禁非机械人员随意开动机械设备。 </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（11）工程中使用的易燃易爆物品，有毒、有害物品要严格保管使用。 </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（12）现场道路要畅通，料具堆放要整齐、安全。危险部位和场应设置安全标志牌。夜间要设红灯示警。</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（13）非施工人员不得擅自进入现场。 </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（14）施工现场禁止抽烟。</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（15）现场集水井、排水沟等易积水地方的积水要及时清理，防止疾病传播。</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违反以上各条安全管理制度的，视情况每次处收取违约金100-2000元。 </w:t>
      </w:r>
    </w:p>
    <w:p>
      <w:pPr>
        <w:spacing w:line="500" w:lineRule="exact"/>
        <w:ind w:firstLine="420" w:firstLineChars="200"/>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安全生产是工程建设的重中之重，各参建单位必须按照安全生产的有关安全规章制度组织各项工作，建立健全安全保障体系和各项安全制度，制定专项安全施工方案，对作业人员认真作好各级安全教育和安全技术交底，若不进行安全教育与交底的，按下表进行处罚；加强对作业人员的安全保护，原则上不进行立体交叉作业，当必须进行时，应采取可靠的安全措施，违反安全生产的有关规定或疏忽管理造成重伤事故以上的收取违约金</w:t>
      </w:r>
      <w:r>
        <w:rPr>
          <w:rFonts w:ascii="Times New Roman" w:eastAsia="宋体"/>
          <w:color w:val="auto"/>
          <w:kern w:val="2"/>
          <w:sz w:val="21"/>
          <w:szCs w:val="22"/>
          <w:highlight w:val="none"/>
        </w:rPr>
        <w:t>10000</w:t>
      </w:r>
      <w:r>
        <w:rPr>
          <w:rFonts w:hint="eastAsia" w:ascii="Times New Roman" w:eastAsia="宋体"/>
          <w:color w:val="auto"/>
          <w:kern w:val="2"/>
          <w:sz w:val="21"/>
          <w:szCs w:val="22"/>
          <w:highlight w:val="none"/>
        </w:rPr>
        <w:t>元</w:t>
      </w:r>
      <w:r>
        <w:rPr>
          <w:rFonts w:ascii="Times New Roman" w:eastAsia="宋体"/>
          <w:color w:val="auto"/>
          <w:kern w:val="2"/>
          <w:sz w:val="21"/>
          <w:szCs w:val="22"/>
          <w:highlight w:val="none"/>
        </w:rPr>
        <w:t>/</w:t>
      </w:r>
      <w:r>
        <w:rPr>
          <w:rFonts w:hint="eastAsia" w:ascii="Times New Roman" w:eastAsia="宋体"/>
          <w:color w:val="auto"/>
          <w:kern w:val="2"/>
          <w:sz w:val="21"/>
          <w:szCs w:val="22"/>
          <w:highlight w:val="none"/>
        </w:rPr>
        <w:t>次；造成轻伤事故的收取违约金</w:t>
      </w:r>
      <w:r>
        <w:rPr>
          <w:rFonts w:ascii="Times New Roman" w:eastAsia="宋体"/>
          <w:color w:val="auto"/>
          <w:kern w:val="2"/>
          <w:sz w:val="21"/>
          <w:szCs w:val="22"/>
          <w:highlight w:val="none"/>
        </w:rPr>
        <w:t>1000</w:t>
      </w:r>
      <w:r>
        <w:rPr>
          <w:rFonts w:hint="eastAsia" w:ascii="Times New Roman" w:eastAsia="宋体"/>
          <w:color w:val="auto"/>
          <w:kern w:val="2"/>
          <w:sz w:val="21"/>
          <w:szCs w:val="22"/>
          <w:highlight w:val="none"/>
        </w:rPr>
        <w:t>元</w:t>
      </w:r>
      <w:r>
        <w:rPr>
          <w:rFonts w:ascii="Times New Roman" w:eastAsia="宋体"/>
          <w:color w:val="auto"/>
          <w:kern w:val="2"/>
          <w:sz w:val="21"/>
          <w:szCs w:val="22"/>
          <w:highlight w:val="none"/>
        </w:rPr>
        <w:t>/</w:t>
      </w:r>
      <w:r>
        <w:rPr>
          <w:rFonts w:hint="eastAsia" w:ascii="Times New Roman" w:eastAsia="宋体"/>
          <w:color w:val="auto"/>
          <w:kern w:val="2"/>
          <w:sz w:val="21"/>
          <w:szCs w:val="22"/>
          <w:highlight w:val="none"/>
        </w:rPr>
        <w:t>次。</w:t>
      </w:r>
    </w:p>
    <w:p>
      <w:pPr>
        <w:spacing w:line="500" w:lineRule="exact"/>
        <w:rPr>
          <w:rFonts w:ascii="宋体" w:eastAsia="宋体" w:cs="宋体"/>
          <w:color w:val="auto"/>
          <w:sz w:val="24"/>
          <w:szCs w:val="24"/>
          <w:highlight w:val="none"/>
        </w:rPr>
      </w:pPr>
      <w:r>
        <w:rPr>
          <w:rFonts w:hint="eastAsia" w:ascii="宋体" w:eastAsia="宋体" w:cs="宋体"/>
          <w:color w:val="auto"/>
          <w:sz w:val="24"/>
          <w:szCs w:val="24"/>
          <w:highlight w:val="none"/>
        </w:rPr>
        <w:t>A.安全管理</w:t>
      </w:r>
    </w:p>
    <w:tbl>
      <w:tblPr>
        <w:tblStyle w:val="17"/>
        <w:tblW w:w="84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417"/>
        <w:gridCol w:w="4678"/>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489" w:type="dxa"/>
            <w:vAlign w:val="center"/>
          </w:tcPr>
          <w:p>
            <w:pPr>
              <w:autoSpaceDE/>
              <w:autoSpaceDN/>
              <w:adjustRightInd/>
              <w:spacing w:line="500" w:lineRule="exact"/>
              <w:jc w:val="center"/>
              <w:rPr>
                <w:rFonts w:ascii="宋体" w:hAnsi="宋体" w:eastAsia="宋体"/>
                <w:b/>
                <w:color w:val="auto"/>
                <w:kern w:val="2"/>
                <w:sz w:val="24"/>
                <w:szCs w:val="22"/>
                <w:highlight w:val="none"/>
              </w:rPr>
            </w:pPr>
            <w:r>
              <w:rPr>
                <w:rFonts w:hint="eastAsia" w:ascii="宋体" w:hAnsi="宋体" w:eastAsia="宋体"/>
                <w:b/>
                <w:color w:val="auto"/>
                <w:kern w:val="2"/>
                <w:sz w:val="24"/>
                <w:szCs w:val="22"/>
                <w:highlight w:val="none"/>
              </w:rPr>
              <w:t>序</w:t>
            </w:r>
          </w:p>
          <w:p>
            <w:pPr>
              <w:autoSpaceDE/>
              <w:autoSpaceDN/>
              <w:adjustRightInd/>
              <w:spacing w:line="500" w:lineRule="exact"/>
              <w:jc w:val="center"/>
              <w:rPr>
                <w:rFonts w:ascii="宋体" w:hAnsi="宋体" w:eastAsia="宋体"/>
                <w:b/>
                <w:color w:val="auto"/>
                <w:kern w:val="2"/>
                <w:sz w:val="24"/>
                <w:szCs w:val="22"/>
                <w:highlight w:val="none"/>
              </w:rPr>
            </w:pPr>
            <w:r>
              <w:rPr>
                <w:rFonts w:hint="eastAsia" w:ascii="宋体" w:hAnsi="宋体" w:eastAsia="宋体"/>
                <w:b/>
                <w:color w:val="auto"/>
                <w:kern w:val="2"/>
                <w:sz w:val="24"/>
                <w:szCs w:val="22"/>
                <w:highlight w:val="none"/>
              </w:rPr>
              <w:t>号</w:t>
            </w:r>
          </w:p>
        </w:tc>
        <w:tc>
          <w:tcPr>
            <w:tcW w:w="1417" w:type="dxa"/>
            <w:vAlign w:val="center"/>
          </w:tcPr>
          <w:p>
            <w:pPr>
              <w:autoSpaceDE/>
              <w:autoSpaceDN/>
              <w:adjustRightInd/>
              <w:spacing w:line="500" w:lineRule="exact"/>
              <w:jc w:val="center"/>
              <w:rPr>
                <w:rFonts w:ascii="宋体" w:hAnsi="宋体" w:eastAsia="宋体"/>
                <w:b/>
                <w:color w:val="auto"/>
                <w:kern w:val="2"/>
                <w:sz w:val="24"/>
                <w:szCs w:val="22"/>
                <w:highlight w:val="none"/>
              </w:rPr>
            </w:pPr>
            <w:r>
              <w:rPr>
                <w:rFonts w:hint="eastAsia" w:ascii="宋体" w:hAnsi="宋体" w:eastAsia="宋体"/>
                <w:b/>
                <w:color w:val="auto"/>
                <w:kern w:val="2"/>
                <w:sz w:val="24"/>
                <w:szCs w:val="22"/>
                <w:highlight w:val="none"/>
              </w:rPr>
              <w:t>项目</w:t>
            </w:r>
          </w:p>
        </w:tc>
        <w:tc>
          <w:tcPr>
            <w:tcW w:w="4678" w:type="dxa"/>
            <w:vAlign w:val="center"/>
          </w:tcPr>
          <w:p>
            <w:pPr>
              <w:autoSpaceDE/>
              <w:autoSpaceDN/>
              <w:adjustRightInd/>
              <w:spacing w:line="500" w:lineRule="exact"/>
              <w:jc w:val="center"/>
              <w:rPr>
                <w:rFonts w:ascii="宋体" w:hAnsi="宋体" w:eastAsia="宋体"/>
                <w:b/>
                <w:color w:val="auto"/>
                <w:kern w:val="2"/>
                <w:sz w:val="24"/>
                <w:szCs w:val="22"/>
                <w:highlight w:val="none"/>
              </w:rPr>
            </w:pPr>
            <w:r>
              <w:rPr>
                <w:rFonts w:hint="eastAsia" w:ascii="宋体" w:hAnsi="宋体" w:eastAsia="宋体"/>
                <w:b/>
                <w:color w:val="auto"/>
                <w:kern w:val="2"/>
                <w:sz w:val="24"/>
                <w:szCs w:val="22"/>
                <w:highlight w:val="none"/>
              </w:rPr>
              <w:t>检查标准</w:t>
            </w:r>
          </w:p>
        </w:tc>
        <w:tc>
          <w:tcPr>
            <w:tcW w:w="1848" w:type="dxa"/>
            <w:vAlign w:val="center"/>
          </w:tcPr>
          <w:p>
            <w:pPr>
              <w:autoSpaceDE/>
              <w:autoSpaceDN/>
              <w:adjustRightInd/>
              <w:spacing w:line="500" w:lineRule="exact"/>
              <w:jc w:val="center"/>
              <w:rPr>
                <w:rFonts w:ascii="宋体" w:hAnsi="宋体" w:eastAsia="宋体"/>
                <w:b/>
                <w:color w:val="auto"/>
                <w:kern w:val="2"/>
                <w:sz w:val="24"/>
                <w:szCs w:val="22"/>
                <w:highlight w:val="none"/>
              </w:rPr>
            </w:pPr>
            <w:r>
              <w:rPr>
                <w:rFonts w:hint="eastAsia" w:ascii="宋体" w:hAnsi="宋体" w:eastAsia="宋体"/>
                <w:b/>
                <w:color w:val="auto"/>
                <w:kern w:val="2"/>
                <w:sz w:val="24"/>
                <w:szCs w:val="22"/>
                <w:highlight w:val="none"/>
              </w:rPr>
              <w:t>违约金标准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8" w:hRule="atLeast"/>
          <w:jc w:val="center"/>
        </w:trPr>
        <w:tc>
          <w:tcPr>
            <w:tcW w:w="489" w:type="dxa"/>
            <w:vAlign w:val="center"/>
          </w:tcPr>
          <w:p>
            <w:pPr>
              <w:autoSpaceDE/>
              <w:autoSpaceDN/>
              <w:adjustRightInd/>
              <w:spacing w:line="500" w:lineRule="exact"/>
              <w:jc w:val="center"/>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1</w:t>
            </w:r>
          </w:p>
        </w:tc>
        <w:tc>
          <w:tcPr>
            <w:tcW w:w="1417" w:type="dxa"/>
            <w:vAlign w:val="center"/>
          </w:tcPr>
          <w:p>
            <w:pPr>
              <w:autoSpaceDE/>
              <w:autoSpaceDN/>
              <w:adjustRightInd/>
              <w:spacing w:line="500" w:lineRule="exact"/>
              <w:jc w:val="center"/>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安全管理员</w:t>
            </w:r>
          </w:p>
        </w:tc>
        <w:tc>
          <w:tcPr>
            <w:tcW w:w="4678" w:type="dxa"/>
            <w:vAlign w:val="center"/>
          </w:tcPr>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安全员无安全员证或安全负责人无国家认可的资格证书的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安全员不了解本身职责的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安全员不懂各工种安全技术操作规程，不能有效履职的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安全员不在岗位的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安全员对施工中的安全不能做到有效管控的</w:t>
            </w:r>
          </w:p>
        </w:tc>
        <w:tc>
          <w:tcPr>
            <w:tcW w:w="1848" w:type="dxa"/>
            <w:vAlign w:val="center"/>
          </w:tcPr>
          <w:p>
            <w:pPr>
              <w:autoSpaceDE/>
              <w:autoSpaceDN/>
              <w:adjustRightInd/>
              <w:spacing w:line="500" w:lineRule="exact"/>
              <w:jc w:val="center"/>
              <w:rPr>
                <w:rFonts w:ascii="宋体" w:hAnsi="宋体" w:eastAsia="宋体"/>
                <w:color w:val="auto"/>
                <w:spacing w:val="-10"/>
                <w:kern w:val="2"/>
                <w:sz w:val="18"/>
                <w:szCs w:val="22"/>
                <w:highlight w:val="none"/>
              </w:rPr>
            </w:pPr>
            <w:r>
              <w:rPr>
                <w:rFonts w:hint="eastAsia" w:ascii="宋体" w:hAnsi="宋体" w:eastAsia="宋体"/>
                <w:color w:val="auto"/>
                <w:spacing w:val="-10"/>
                <w:kern w:val="2"/>
                <w:sz w:val="18"/>
                <w:szCs w:val="22"/>
                <w:highlight w:val="none"/>
              </w:rPr>
              <w:t>300-1000元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0" w:hRule="atLeast"/>
          <w:jc w:val="center"/>
        </w:trPr>
        <w:tc>
          <w:tcPr>
            <w:tcW w:w="489" w:type="dxa"/>
            <w:vMerge w:val="restart"/>
            <w:vAlign w:val="center"/>
          </w:tcPr>
          <w:p>
            <w:pPr>
              <w:autoSpaceDE/>
              <w:autoSpaceDN/>
              <w:adjustRightInd/>
              <w:spacing w:line="500" w:lineRule="exact"/>
              <w:jc w:val="center"/>
              <w:rPr>
                <w:rFonts w:ascii="宋体" w:hAnsi="宋体" w:eastAsia="宋体"/>
                <w:color w:val="auto"/>
                <w:kern w:val="2"/>
                <w:sz w:val="21"/>
                <w:szCs w:val="22"/>
                <w:highlight w:val="none"/>
              </w:rPr>
            </w:pPr>
            <w:r>
              <w:rPr>
                <w:rFonts w:ascii="宋体" w:hAnsi="宋体" w:eastAsia="宋体"/>
                <w:color w:val="auto"/>
                <w:kern w:val="2"/>
                <w:sz w:val="21"/>
                <w:szCs w:val="22"/>
                <w:highlight w:val="none"/>
              </w:rPr>
              <w:t>3</w:t>
            </w:r>
          </w:p>
        </w:tc>
        <w:tc>
          <w:tcPr>
            <w:tcW w:w="1417" w:type="dxa"/>
            <w:vMerge w:val="restart"/>
            <w:vAlign w:val="center"/>
          </w:tcPr>
          <w:p>
            <w:pPr>
              <w:autoSpaceDE/>
              <w:autoSpaceDN/>
              <w:adjustRightInd/>
              <w:spacing w:line="500" w:lineRule="exact"/>
              <w:jc w:val="center"/>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安全检查</w:t>
            </w:r>
          </w:p>
        </w:tc>
        <w:tc>
          <w:tcPr>
            <w:tcW w:w="4678" w:type="dxa"/>
            <w:vAlign w:val="center"/>
          </w:tcPr>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现场无定期安全检查的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安全检查无记录的</w:t>
            </w:r>
          </w:p>
        </w:tc>
        <w:tc>
          <w:tcPr>
            <w:tcW w:w="1848" w:type="dxa"/>
            <w:vAlign w:val="center"/>
          </w:tcPr>
          <w:p>
            <w:pPr>
              <w:autoSpaceDE/>
              <w:autoSpaceDN/>
              <w:adjustRightInd/>
              <w:spacing w:line="500" w:lineRule="exact"/>
              <w:jc w:val="center"/>
              <w:rPr>
                <w:rFonts w:ascii="宋体" w:hAnsi="宋体" w:eastAsia="宋体"/>
                <w:color w:val="auto"/>
                <w:spacing w:val="-10"/>
                <w:kern w:val="2"/>
                <w:sz w:val="18"/>
                <w:szCs w:val="22"/>
                <w:highlight w:val="none"/>
              </w:rPr>
            </w:pPr>
            <w:r>
              <w:rPr>
                <w:rFonts w:hint="eastAsia" w:ascii="宋体" w:hAnsi="宋体" w:eastAsia="宋体"/>
                <w:color w:val="auto"/>
                <w:spacing w:val="-10"/>
                <w:kern w:val="2"/>
                <w:sz w:val="18"/>
                <w:szCs w:val="22"/>
                <w:highlight w:val="none"/>
              </w:rPr>
              <w:t>200--500元／人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0" w:hRule="atLeast"/>
          <w:jc w:val="center"/>
        </w:trPr>
        <w:tc>
          <w:tcPr>
            <w:tcW w:w="489" w:type="dxa"/>
            <w:vMerge w:val="continue"/>
            <w:vAlign w:val="center"/>
          </w:tcPr>
          <w:p>
            <w:pPr>
              <w:autoSpaceDE/>
              <w:autoSpaceDN/>
              <w:adjustRightInd/>
              <w:spacing w:line="500" w:lineRule="exact"/>
              <w:jc w:val="center"/>
              <w:rPr>
                <w:rFonts w:ascii="宋体" w:hAnsi="宋体" w:eastAsia="宋体"/>
                <w:color w:val="auto"/>
                <w:kern w:val="2"/>
                <w:sz w:val="21"/>
                <w:szCs w:val="22"/>
                <w:highlight w:val="none"/>
              </w:rPr>
            </w:pPr>
          </w:p>
        </w:tc>
        <w:tc>
          <w:tcPr>
            <w:tcW w:w="1417" w:type="dxa"/>
            <w:vMerge w:val="continue"/>
            <w:vAlign w:val="center"/>
          </w:tcPr>
          <w:p>
            <w:pPr>
              <w:autoSpaceDE/>
              <w:autoSpaceDN/>
              <w:adjustRightInd/>
              <w:spacing w:line="500" w:lineRule="exact"/>
              <w:jc w:val="center"/>
              <w:rPr>
                <w:rFonts w:ascii="宋体" w:hAnsi="宋体" w:eastAsia="宋体"/>
                <w:color w:val="auto"/>
                <w:kern w:val="2"/>
                <w:sz w:val="21"/>
                <w:szCs w:val="22"/>
                <w:highlight w:val="none"/>
              </w:rPr>
            </w:pPr>
          </w:p>
        </w:tc>
        <w:tc>
          <w:tcPr>
            <w:tcW w:w="4678" w:type="dxa"/>
            <w:vAlign w:val="center"/>
          </w:tcPr>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查出事故隐患整改做不到定时、定人、定措施的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项目经理两周内未参加安全检查的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对事故隐患整改通知书所列项目未按要求完成的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未按要求填报安全工作月报表的</w:t>
            </w:r>
          </w:p>
        </w:tc>
        <w:tc>
          <w:tcPr>
            <w:tcW w:w="1848" w:type="dxa"/>
            <w:vAlign w:val="center"/>
          </w:tcPr>
          <w:p>
            <w:pPr>
              <w:autoSpaceDE/>
              <w:autoSpaceDN/>
              <w:adjustRightInd/>
              <w:spacing w:line="500" w:lineRule="exact"/>
              <w:jc w:val="center"/>
              <w:rPr>
                <w:rFonts w:ascii="宋体" w:hAnsi="宋体" w:eastAsia="宋体"/>
                <w:color w:val="auto"/>
                <w:spacing w:val="-10"/>
                <w:kern w:val="2"/>
                <w:sz w:val="18"/>
                <w:szCs w:val="22"/>
                <w:highlight w:val="none"/>
              </w:rPr>
            </w:pPr>
            <w:r>
              <w:rPr>
                <w:rFonts w:hint="eastAsia" w:ascii="宋体" w:hAnsi="宋体" w:eastAsia="宋体"/>
                <w:color w:val="auto"/>
                <w:spacing w:val="-10"/>
                <w:kern w:val="2"/>
                <w:sz w:val="18"/>
                <w:szCs w:val="22"/>
                <w:highlight w:val="none"/>
              </w:rPr>
              <w:t>300-1000元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0" w:hRule="atLeast"/>
          <w:jc w:val="center"/>
        </w:trPr>
        <w:tc>
          <w:tcPr>
            <w:tcW w:w="489" w:type="dxa"/>
            <w:vAlign w:val="center"/>
          </w:tcPr>
          <w:p>
            <w:pPr>
              <w:autoSpaceDE/>
              <w:autoSpaceDN/>
              <w:adjustRightInd/>
              <w:spacing w:line="500" w:lineRule="exact"/>
              <w:jc w:val="center"/>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4</w:t>
            </w:r>
          </w:p>
        </w:tc>
        <w:tc>
          <w:tcPr>
            <w:tcW w:w="1417" w:type="dxa"/>
            <w:vAlign w:val="center"/>
          </w:tcPr>
          <w:p>
            <w:pPr>
              <w:autoSpaceDE/>
              <w:autoSpaceDN/>
              <w:adjustRightInd/>
              <w:spacing w:line="500" w:lineRule="exact"/>
              <w:jc w:val="center"/>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安全教育</w:t>
            </w:r>
          </w:p>
        </w:tc>
        <w:tc>
          <w:tcPr>
            <w:tcW w:w="4678" w:type="dxa"/>
            <w:vAlign w:val="center"/>
          </w:tcPr>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现场施工人员中未登记备案或三证不齐的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抽考工人安全知识及安全操作规程不合格的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新进场工人未进行施工安全教育的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未存三级安全教育记录、考试卷的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工人安全培训学习每月不足两小时的</w:t>
            </w:r>
          </w:p>
        </w:tc>
        <w:tc>
          <w:tcPr>
            <w:tcW w:w="1848" w:type="dxa"/>
            <w:vAlign w:val="center"/>
          </w:tcPr>
          <w:p>
            <w:pPr>
              <w:autoSpaceDE/>
              <w:autoSpaceDN/>
              <w:adjustRightInd/>
              <w:spacing w:line="500" w:lineRule="exact"/>
              <w:jc w:val="center"/>
              <w:rPr>
                <w:rFonts w:ascii="宋体" w:hAnsi="宋体" w:eastAsia="宋体"/>
                <w:color w:val="auto"/>
                <w:spacing w:val="-10"/>
                <w:kern w:val="2"/>
                <w:sz w:val="18"/>
                <w:szCs w:val="22"/>
                <w:highlight w:val="none"/>
              </w:rPr>
            </w:pPr>
            <w:r>
              <w:rPr>
                <w:rFonts w:hint="eastAsia" w:ascii="宋体" w:hAnsi="宋体" w:eastAsia="宋体"/>
                <w:color w:val="auto"/>
                <w:spacing w:val="-10"/>
                <w:kern w:val="2"/>
                <w:sz w:val="18"/>
                <w:szCs w:val="22"/>
                <w:highlight w:val="none"/>
              </w:rPr>
              <w:t>200元／人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0" w:hRule="atLeast"/>
          <w:jc w:val="center"/>
        </w:trPr>
        <w:tc>
          <w:tcPr>
            <w:tcW w:w="489" w:type="dxa"/>
            <w:vMerge w:val="restart"/>
            <w:vAlign w:val="center"/>
          </w:tcPr>
          <w:p>
            <w:pPr>
              <w:autoSpaceDE/>
              <w:autoSpaceDN/>
              <w:adjustRightInd/>
              <w:spacing w:line="500" w:lineRule="exact"/>
              <w:jc w:val="center"/>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5</w:t>
            </w:r>
          </w:p>
        </w:tc>
        <w:tc>
          <w:tcPr>
            <w:tcW w:w="1417" w:type="dxa"/>
            <w:vMerge w:val="restart"/>
            <w:vAlign w:val="center"/>
          </w:tcPr>
          <w:p>
            <w:pPr>
              <w:autoSpaceDE/>
              <w:autoSpaceDN/>
              <w:adjustRightInd/>
              <w:spacing w:line="500" w:lineRule="exact"/>
              <w:jc w:val="center"/>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特种作业</w:t>
            </w:r>
          </w:p>
          <w:p>
            <w:pPr>
              <w:autoSpaceDE/>
              <w:autoSpaceDN/>
              <w:adjustRightInd/>
              <w:spacing w:line="500" w:lineRule="exact"/>
              <w:jc w:val="center"/>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人员</w:t>
            </w:r>
          </w:p>
        </w:tc>
        <w:tc>
          <w:tcPr>
            <w:tcW w:w="4678" w:type="dxa"/>
            <w:vAlign w:val="center"/>
          </w:tcPr>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特种作业人员未列册登记备案的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未随身携带证件从事特种作业的</w:t>
            </w:r>
          </w:p>
        </w:tc>
        <w:tc>
          <w:tcPr>
            <w:tcW w:w="1848" w:type="dxa"/>
            <w:vAlign w:val="center"/>
          </w:tcPr>
          <w:p>
            <w:pPr>
              <w:autoSpaceDE/>
              <w:autoSpaceDN/>
              <w:adjustRightInd/>
              <w:spacing w:line="500" w:lineRule="exact"/>
              <w:jc w:val="center"/>
              <w:rPr>
                <w:rFonts w:ascii="宋体" w:hAnsi="宋体" w:eastAsia="宋体"/>
                <w:color w:val="auto"/>
                <w:spacing w:val="-10"/>
                <w:kern w:val="2"/>
                <w:sz w:val="18"/>
                <w:szCs w:val="22"/>
                <w:highlight w:val="none"/>
              </w:rPr>
            </w:pPr>
            <w:r>
              <w:rPr>
                <w:rFonts w:hint="eastAsia" w:ascii="宋体" w:hAnsi="宋体" w:eastAsia="宋体"/>
                <w:color w:val="auto"/>
                <w:spacing w:val="-10"/>
                <w:kern w:val="2"/>
                <w:sz w:val="18"/>
                <w:szCs w:val="22"/>
                <w:highlight w:val="none"/>
              </w:rPr>
              <w:t>1000元／人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0" w:hRule="atLeast"/>
          <w:jc w:val="center"/>
        </w:trPr>
        <w:tc>
          <w:tcPr>
            <w:tcW w:w="489" w:type="dxa"/>
            <w:vMerge w:val="continue"/>
            <w:vAlign w:val="center"/>
          </w:tcPr>
          <w:p>
            <w:pPr>
              <w:autoSpaceDE/>
              <w:autoSpaceDN/>
              <w:adjustRightInd/>
              <w:spacing w:line="500" w:lineRule="exact"/>
              <w:jc w:val="center"/>
              <w:rPr>
                <w:rFonts w:ascii="宋体" w:hAnsi="宋体" w:eastAsia="宋体"/>
                <w:color w:val="auto"/>
                <w:kern w:val="2"/>
                <w:sz w:val="21"/>
                <w:szCs w:val="22"/>
                <w:highlight w:val="none"/>
              </w:rPr>
            </w:pPr>
          </w:p>
        </w:tc>
        <w:tc>
          <w:tcPr>
            <w:tcW w:w="1417" w:type="dxa"/>
            <w:vMerge w:val="continue"/>
            <w:vAlign w:val="center"/>
          </w:tcPr>
          <w:p>
            <w:pPr>
              <w:autoSpaceDE/>
              <w:autoSpaceDN/>
              <w:adjustRightInd/>
              <w:spacing w:line="500" w:lineRule="exact"/>
              <w:jc w:val="center"/>
              <w:rPr>
                <w:rFonts w:ascii="宋体" w:hAnsi="宋体" w:eastAsia="宋体"/>
                <w:color w:val="auto"/>
                <w:kern w:val="2"/>
                <w:sz w:val="21"/>
                <w:szCs w:val="22"/>
                <w:highlight w:val="none"/>
              </w:rPr>
            </w:pPr>
          </w:p>
        </w:tc>
        <w:tc>
          <w:tcPr>
            <w:tcW w:w="4678" w:type="dxa"/>
            <w:vAlign w:val="center"/>
          </w:tcPr>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无证从事特种作业的或者证件过期、无年审</w:t>
            </w:r>
          </w:p>
        </w:tc>
        <w:tc>
          <w:tcPr>
            <w:tcW w:w="1848" w:type="dxa"/>
            <w:vAlign w:val="center"/>
          </w:tcPr>
          <w:p>
            <w:pPr>
              <w:autoSpaceDE/>
              <w:autoSpaceDN/>
              <w:adjustRightInd/>
              <w:spacing w:line="500" w:lineRule="exact"/>
              <w:ind w:firstLine="160" w:firstLineChars="100"/>
              <w:jc w:val="center"/>
              <w:rPr>
                <w:rFonts w:ascii="宋体" w:hAnsi="宋体" w:eastAsia="宋体"/>
                <w:color w:val="auto"/>
                <w:spacing w:val="-10"/>
                <w:kern w:val="2"/>
                <w:sz w:val="18"/>
                <w:szCs w:val="22"/>
                <w:highlight w:val="none"/>
              </w:rPr>
            </w:pPr>
            <w:r>
              <w:rPr>
                <w:rFonts w:hint="eastAsia" w:ascii="宋体" w:hAnsi="宋体" w:eastAsia="宋体"/>
                <w:color w:val="auto"/>
                <w:spacing w:val="-10"/>
                <w:kern w:val="2"/>
                <w:sz w:val="18"/>
                <w:szCs w:val="22"/>
                <w:highlight w:val="none"/>
              </w:rPr>
              <w:t>200元/人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89" w:type="dxa"/>
            <w:vAlign w:val="center"/>
          </w:tcPr>
          <w:p>
            <w:pPr>
              <w:autoSpaceDE/>
              <w:autoSpaceDN/>
              <w:adjustRightInd/>
              <w:spacing w:line="500" w:lineRule="exact"/>
              <w:jc w:val="center"/>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6</w:t>
            </w:r>
          </w:p>
        </w:tc>
        <w:tc>
          <w:tcPr>
            <w:tcW w:w="1417" w:type="dxa"/>
            <w:vAlign w:val="center"/>
          </w:tcPr>
          <w:p>
            <w:pPr>
              <w:autoSpaceDE/>
              <w:autoSpaceDN/>
              <w:adjustRightInd/>
              <w:spacing w:line="500" w:lineRule="exact"/>
              <w:jc w:val="center"/>
              <w:rPr>
                <w:rFonts w:ascii="宋体" w:hAnsi="宋体" w:eastAsia="宋体"/>
                <w:color w:val="auto"/>
                <w:spacing w:val="-10"/>
                <w:kern w:val="2"/>
                <w:sz w:val="18"/>
                <w:szCs w:val="22"/>
                <w:highlight w:val="none"/>
              </w:rPr>
            </w:pPr>
            <w:r>
              <w:rPr>
                <w:rFonts w:hint="eastAsia" w:ascii="宋体" w:hAnsi="宋体" w:eastAsia="宋体"/>
                <w:color w:val="auto"/>
                <w:spacing w:val="-10"/>
                <w:kern w:val="2"/>
                <w:sz w:val="18"/>
                <w:szCs w:val="22"/>
                <w:highlight w:val="none"/>
              </w:rPr>
              <w:t>分部（分项）工程安全技术交底</w:t>
            </w:r>
          </w:p>
        </w:tc>
        <w:tc>
          <w:tcPr>
            <w:tcW w:w="4678" w:type="dxa"/>
            <w:vAlign w:val="center"/>
          </w:tcPr>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无书面安全技术交底的</w:t>
            </w:r>
          </w:p>
        </w:tc>
        <w:tc>
          <w:tcPr>
            <w:tcW w:w="1848" w:type="dxa"/>
            <w:vAlign w:val="center"/>
          </w:tcPr>
          <w:p>
            <w:pPr>
              <w:autoSpaceDE/>
              <w:autoSpaceDN/>
              <w:adjustRightInd/>
              <w:spacing w:line="500" w:lineRule="exact"/>
              <w:jc w:val="center"/>
              <w:rPr>
                <w:rFonts w:ascii="宋体" w:hAnsi="宋体" w:eastAsia="宋体"/>
                <w:color w:val="auto"/>
                <w:spacing w:val="-10"/>
                <w:kern w:val="2"/>
                <w:sz w:val="18"/>
                <w:szCs w:val="22"/>
                <w:highlight w:val="none"/>
              </w:rPr>
            </w:pPr>
            <w:r>
              <w:rPr>
                <w:rFonts w:hint="eastAsia" w:ascii="宋体" w:hAnsi="宋体" w:eastAsia="宋体"/>
                <w:color w:val="auto"/>
                <w:spacing w:val="-10"/>
                <w:kern w:val="2"/>
                <w:sz w:val="18"/>
                <w:szCs w:val="22"/>
                <w:highlight w:val="none"/>
              </w:rPr>
              <w:t>200元／人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0" w:hRule="atLeast"/>
          <w:jc w:val="center"/>
        </w:trPr>
        <w:tc>
          <w:tcPr>
            <w:tcW w:w="489" w:type="dxa"/>
            <w:vAlign w:val="center"/>
          </w:tcPr>
          <w:p>
            <w:pPr>
              <w:autoSpaceDE/>
              <w:autoSpaceDN/>
              <w:adjustRightInd/>
              <w:spacing w:line="500" w:lineRule="exact"/>
              <w:jc w:val="center"/>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7</w:t>
            </w:r>
          </w:p>
        </w:tc>
        <w:tc>
          <w:tcPr>
            <w:tcW w:w="1417" w:type="dxa"/>
            <w:vAlign w:val="center"/>
          </w:tcPr>
          <w:p>
            <w:pPr>
              <w:autoSpaceDE/>
              <w:autoSpaceDN/>
              <w:adjustRightInd/>
              <w:spacing w:line="500" w:lineRule="exact"/>
              <w:jc w:val="center"/>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安全标志</w:t>
            </w:r>
          </w:p>
        </w:tc>
        <w:tc>
          <w:tcPr>
            <w:tcW w:w="4678" w:type="dxa"/>
            <w:vAlign w:val="center"/>
          </w:tcPr>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无现场安全标志平面图的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现场未按安全标志平面图设置安全标志的</w:t>
            </w:r>
          </w:p>
        </w:tc>
        <w:tc>
          <w:tcPr>
            <w:tcW w:w="1848" w:type="dxa"/>
            <w:vAlign w:val="center"/>
          </w:tcPr>
          <w:p>
            <w:pPr>
              <w:autoSpaceDE/>
              <w:autoSpaceDN/>
              <w:adjustRightInd/>
              <w:spacing w:line="500" w:lineRule="exact"/>
              <w:jc w:val="center"/>
              <w:rPr>
                <w:rFonts w:ascii="宋体" w:hAnsi="宋体" w:eastAsia="宋体"/>
                <w:color w:val="auto"/>
                <w:spacing w:val="-10"/>
                <w:kern w:val="2"/>
                <w:sz w:val="18"/>
                <w:szCs w:val="22"/>
                <w:highlight w:val="none"/>
              </w:rPr>
            </w:pPr>
            <w:r>
              <w:rPr>
                <w:rFonts w:hint="eastAsia" w:ascii="宋体" w:hAnsi="宋体" w:eastAsia="宋体"/>
                <w:color w:val="auto"/>
                <w:spacing w:val="-10"/>
                <w:kern w:val="2"/>
                <w:sz w:val="18"/>
                <w:szCs w:val="22"/>
                <w:highlight w:val="none"/>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0" w:hRule="atLeast"/>
          <w:jc w:val="center"/>
        </w:trPr>
        <w:tc>
          <w:tcPr>
            <w:tcW w:w="489" w:type="dxa"/>
            <w:vAlign w:val="center"/>
          </w:tcPr>
          <w:p>
            <w:pPr>
              <w:autoSpaceDE/>
              <w:autoSpaceDN/>
              <w:adjustRightInd/>
              <w:spacing w:line="500" w:lineRule="exact"/>
              <w:jc w:val="center"/>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8</w:t>
            </w:r>
          </w:p>
        </w:tc>
        <w:tc>
          <w:tcPr>
            <w:tcW w:w="1417" w:type="dxa"/>
            <w:vAlign w:val="center"/>
          </w:tcPr>
          <w:p>
            <w:pPr>
              <w:autoSpaceDE/>
              <w:autoSpaceDN/>
              <w:adjustRightInd/>
              <w:spacing w:line="500" w:lineRule="exact"/>
              <w:jc w:val="center"/>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班前安全</w:t>
            </w:r>
          </w:p>
          <w:p>
            <w:pPr>
              <w:autoSpaceDE/>
              <w:autoSpaceDN/>
              <w:adjustRightInd/>
              <w:spacing w:line="500" w:lineRule="exact"/>
              <w:jc w:val="center"/>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活动</w:t>
            </w:r>
          </w:p>
        </w:tc>
        <w:tc>
          <w:tcPr>
            <w:tcW w:w="4678" w:type="dxa"/>
            <w:vAlign w:val="center"/>
          </w:tcPr>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未建立班前和每周安全活动制度的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班前和每周安全活动无记录或记录不全的</w:t>
            </w:r>
          </w:p>
        </w:tc>
        <w:tc>
          <w:tcPr>
            <w:tcW w:w="1848" w:type="dxa"/>
            <w:vAlign w:val="center"/>
          </w:tcPr>
          <w:p>
            <w:pPr>
              <w:autoSpaceDE/>
              <w:autoSpaceDN/>
              <w:adjustRightInd/>
              <w:spacing w:line="500" w:lineRule="exact"/>
              <w:jc w:val="center"/>
              <w:rPr>
                <w:rFonts w:ascii="宋体" w:hAnsi="宋体" w:eastAsia="宋体"/>
                <w:color w:val="auto"/>
                <w:spacing w:val="-10"/>
                <w:kern w:val="2"/>
                <w:sz w:val="18"/>
                <w:szCs w:val="22"/>
                <w:highlight w:val="none"/>
              </w:rPr>
            </w:pPr>
            <w:r>
              <w:rPr>
                <w:rFonts w:hint="eastAsia" w:ascii="宋体" w:hAnsi="宋体" w:eastAsia="宋体"/>
                <w:color w:val="auto"/>
                <w:spacing w:val="-10"/>
                <w:kern w:val="2"/>
                <w:sz w:val="18"/>
                <w:szCs w:val="22"/>
                <w:highlight w:val="none"/>
              </w:rPr>
              <w:t>300元</w:t>
            </w:r>
          </w:p>
        </w:tc>
      </w:tr>
    </w:tbl>
    <w:p>
      <w:pPr>
        <w:autoSpaceDE/>
        <w:autoSpaceDN/>
        <w:adjustRightInd/>
        <w:spacing w:line="500" w:lineRule="exact"/>
        <w:jc w:val="both"/>
        <w:rPr>
          <w:rFonts w:ascii="宋体" w:hAnsi="宋体" w:eastAsia="宋体"/>
          <w:b/>
          <w:bCs/>
          <w:color w:val="auto"/>
          <w:kern w:val="2"/>
          <w:sz w:val="32"/>
          <w:szCs w:val="22"/>
          <w:highlight w:val="none"/>
        </w:rPr>
      </w:pPr>
    </w:p>
    <w:p>
      <w:pPr>
        <w:spacing w:line="500" w:lineRule="exact"/>
        <w:rPr>
          <w:rFonts w:ascii="宋体" w:eastAsia="宋体" w:cs="宋体"/>
          <w:color w:val="auto"/>
          <w:sz w:val="24"/>
          <w:szCs w:val="24"/>
          <w:highlight w:val="none"/>
        </w:rPr>
      </w:pPr>
      <w:r>
        <w:rPr>
          <w:rFonts w:hint="eastAsia" w:ascii="宋体" w:eastAsia="宋体" w:cs="宋体"/>
          <w:color w:val="auto"/>
          <w:sz w:val="24"/>
          <w:szCs w:val="24"/>
          <w:highlight w:val="none"/>
        </w:rPr>
        <w:t>B.“三宝”、“四口”、防护管理</w:t>
      </w:r>
    </w:p>
    <w:tbl>
      <w:tblPr>
        <w:tblStyle w:val="17"/>
        <w:tblW w:w="84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1417"/>
        <w:gridCol w:w="4724"/>
        <w:gridCol w:w="1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jc w:val="center"/>
        </w:trPr>
        <w:tc>
          <w:tcPr>
            <w:tcW w:w="522" w:type="dxa"/>
            <w:vAlign w:val="center"/>
          </w:tcPr>
          <w:p>
            <w:pPr>
              <w:autoSpaceDE/>
              <w:autoSpaceDN/>
              <w:adjustRightInd/>
              <w:spacing w:line="500" w:lineRule="exact"/>
              <w:jc w:val="center"/>
              <w:rPr>
                <w:rFonts w:ascii="宋体" w:hAnsi="宋体" w:eastAsia="宋体"/>
                <w:b/>
                <w:color w:val="auto"/>
                <w:kern w:val="2"/>
                <w:sz w:val="24"/>
                <w:szCs w:val="22"/>
                <w:highlight w:val="none"/>
              </w:rPr>
            </w:pPr>
            <w:r>
              <w:rPr>
                <w:rFonts w:hint="eastAsia" w:ascii="宋体" w:hAnsi="宋体" w:eastAsia="宋体"/>
                <w:b/>
                <w:color w:val="auto"/>
                <w:kern w:val="2"/>
                <w:sz w:val="24"/>
                <w:szCs w:val="22"/>
                <w:highlight w:val="none"/>
              </w:rPr>
              <w:t>序</w:t>
            </w:r>
          </w:p>
          <w:p>
            <w:pPr>
              <w:autoSpaceDE/>
              <w:autoSpaceDN/>
              <w:adjustRightInd/>
              <w:spacing w:line="500" w:lineRule="exact"/>
              <w:jc w:val="center"/>
              <w:rPr>
                <w:rFonts w:ascii="宋体" w:hAnsi="宋体" w:eastAsia="宋体"/>
                <w:b/>
                <w:color w:val="auto"/>
                <w:kern w:val="2"/>
                <w:sz w:val="24"/>
                <w:szCs w:val="22"/>
                <w:highlight w:val="none"/>
              </w:rPr>
            </w:pPr>
            <w:r>
              <w:rPr>
                <w:rFonts w:hint="eastAsia" w:ascii="宋体" w:hAnsi="宋体" w:eastAsia="宋体"/>
                <w:b/>
                <w:color w:val="auto"/>
                <w:kern w:val="2"/>
                <w:sz w:val="24"/>
                <w:szCs w:val="22"/>
                <w:highlight w:val="none"/>
              </w:rPr>
              <w:t>号</w:t>
            </w:r>
          </w:p>
        </w:tc>
        <w:tc>
          <w:tcPr>
            <w:tcW w:w="1417" w:type="dxa"/>
            <w:vAlign w:val="center"/>
          </w:tcPr>
          <w:p>
            <w:pPr>
              <w:autoSpaceDE/>
              <w:autoSpaceDN/>
              <w:adjustRightInd/>
              <w:spacing w:line="500" w:lineRule="exact"/>
              <w:jc w:val="center"/>
              <w:rPr>
                <w:rFonts w:ascii="宋体" w:hAnsi="宋体" w:eastAsia="宋体"/>
                <w:b/>
                <w:color w:val="auto"/>
                <w:kern w:val="2"/>
                <w:sz w:val="24"/>
                <w:szCs w:val="22"/>
                <w:highlight w:val="none"/>
              </w:rPr>
            </w:pPr>
            <w:r>
              <w:rPr>
                <w:rFonts w:hint="eastAsia" w:ascii="宋体" w:hAnsi="宋体" w:eastAsia="宋体"/>
                <w:b/>
                <w:color w:val="auto"/>
                <w:kern w:val="2"/>
                <w:sz w:val="24"/>
                <w:szCs w:val="22"/>
                <w:highlight w:val="none"/>
              </w:rPr>
              <w:t>项目</w:t>
            </w:r>
          </w:p>
        </w:tc>
        <w:tc>
          <w:tcPr>
            <w:tcW w:w="4724" w:type="dxa"/>
            <w:vAlign w:val="center"/>
          </w:tcPr>
          <w:p>
            <w:pPr>
              <w:autoSpaceDE/>
              <w:autoSpaceDN/>
              <w:adjustRightInd/>
              <w:spacing w:line="500" w:lineRule="exact"/>
              <w:jc w:val="center"/>
              <w:rPr>
                <w:rFonts w:ascii="宋体" w:hAnsi="宋体" w:eastAsia="宋体"/>
                <w:b/>
                <w:color w:val="auto"/>
                <w:kern w:val="2"/>
                <w:sz w:val="24"/>
                <w:szCs w:val="22"/>
                <w:highlight w:val="none"/>
              </w:rPr>
            </w:pPr>
            <w:r>
              <w:rPr>
                <w:rFonts w:hint="eastAsia" w:ascii="宋体" w:hAnsi="宋体" w:eastAsia="宋体"/>
                <w:b/>
                <w:color w:val="auto"/>
                <w:kern w:val="2"/>
                <w:sz w:val="24"/>
                <w:szCs w:val="22"/>
                <w:highlight w:val="none"/>
              </w:rPr>
              <w:t>检查标准</w:t>
            </w:r>
          </w:p>
        </w:tc>
        <w:tc>
          <w:tcPr>
            <w:tcW w:w="1834" w:type="dxa"/>
            <w:vAlign w:val="center"/>
          </w:tcPr>
          <w:p>
            <w:pPr>
              <w:autoSpaceDE/>
              <w:autoSpaceDN/>
              <w:adjustRightInd/>
              <w:spacing w:line="500" w:lineRule="exact"/>
              <w:jc w:val="center"/>
              <w:rPr>
                <w:rFonts w:ascii="宋体" w:hAnsi="宋体" w:eastAsia="宋体"/>
                <w:b/>
                <w:color w:val="auto"/>
                <w:kern w:val="2"/>
                <w:sz w:val="24"/>
                <w:szCs w:val="22"/>
                <w:highlight w:val="none"/>
              </w:rPr>
            </w:pPr>
            <w:r>
              <w:rPr>
                <w:rFonts w:hint="eastAsia" w:ascii="宋体" w:hAnsi="宋体" w:eastAsia="宋体"/>
                <w:b/>
                <w:color w:val="auto"/>
                <w:kern w:val="2"/>
                <w:sz w:val="24"/>
                <w:szCs w:val="22"/>
                <w:highlight w:val="none"/>
              </w:rPr>
              <w:t>违约金标准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522" w:type="dxa"/>
            <w:vAlign w:val="center"/>
          </w:tcPr>
          <w:p>
            <w:pPr>
              <w:autoSpaceDE/>
              <w:autoSpaceDN/>
              <w:adjustRightInd/>
              <w:spacing w:line="500" w:lineRule="exact"/>
              <w:jc w:val="center"/>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1</w:t>
            </w:r>
          </w:p>
        </w:tc>
        <w:tc>
          <w:tcPr>
            <w:tcW w:w="1417" w:type="dxa"/>
            <w:vAlign w:val="center"/>
          </w:tcPr>
          <w:p>
            <w:pPr>
              <w:autoSpaceDE/>
              <w:autoSpaceDN/>
              <w:adjustRightInd/>
              <w:spacing w:line="500" w:lineRule="exact"/>
              <w:jc w:val="center"/>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安全帽</w:t>
            </w:r>
          </w:p>
        </w:tc>
        <w:tc>
          <w:tcPr>
            <w:tcW w:w="4724" w:type="dxa"/>
            <w:vAlign w:val="center"/>
          </w:tcPr>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不戴安全帽的;</w:t>
            </w:r>
            <w:r>
              <w:rPr>
                <w:rFonts w:hint="eastAsia" w:ascii="Times New Roman" w:eastAsia="宋体"/>
                <w:color w:val="auto"/>
                <w:kern w:val="2"/>
                <w:sz w:val="21"/>
                <w:szCs w:val="22"/>
                <w:highlight w:val="none"/>
              </w:rPr>
              <w:t xml:space="preserve"> 未戴安全帽者，班组人员处罚50元/次，管理人员处罚100元/次。</w:t>
            </w:r>
          </w:p>
          <w:p>
            <w:pPr>
              <w:autoSpaceDE/>
              <w:autoSpaceDN/>
              <w:adjustRightInd/>
              <w:spacing w:line="500" w:lineRule="exact"/>
              <w:jc w:val="both"/>
              <w:rPr>
                <w:rFonts w:ascii="宋体" w:hAnsi="宋体" w:eastAsia="宋体"/>
                <w:dstrike/>
                <w:color w:val="auto"/>
                <w:kern w:val="2"/>
                <w:sz w:val="21"/>
                <w:szCs w:val="22"/>
                <w:highlight w:val="none"/>
              </w:rPr>
            </w:pPr>
            <w:r>
              <w:rPr>
                <w:rFonts w:hint="eastAsia" w:ascii="宋体" w:hAnsi="宋体" w:eastAsia="宋体"/>
                <w:color w:val="auto"/>
                <w:kern w:val="2"/>
                <w:sz w:val="21"/>
                <w:szCs w:val="22"/>
                <w:highlight w:val="none"/>
              </w:rPr>
              <w:t>安全帽不符合标准的（有效期、合格证）</w:t>
            </w:r>
          </w:p>
        </w:tc>
        <w:tc>
          <w:tcPr>
            <w:tcW w:w="1834" w:type="dxa"/>
            <w:vAlign w:val="center"/>
          </w:tcPr>
          <w:p>
            <w:pPr>
              <w:autoSpaceDE/>
              <w:autoSpaceDN/>
              <w:adjustRightInd/>
              <w:spacing w:line="500" w:lineRule="exact"/>
              <w:jc w:val="center"/>
              <w:rPr>
                <w:rFonts w:ascii="宋体" w:hAnsi="宋体" w:eastAsia="宋体"/>
                <w:color w:val="auto"/>
                <w:kern w:val="2"/>
                <w:sz w:val="18"/>
                <w:szCs w:val="22"/>
                <w:highlight w:val="none"/>
              </w:rPr>
            </w:pPr>
            <w:r>
              <w:rPr>
                <w:rFonts w:hint="eastAsia" w:ascii="宋体" w:hAnsi="宋体" w:eastAsia="宋体"/>
                <w:color w:val="auto"/>
                <w:kern w:val="2"/>
                <w:sz w:val="18"/>
                <w:szCs w:val="22"/>
                <w:highlight w:val="none"/>
              </w:rPr>
              <w:t>100元／人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4" w:hRule="atLeast"/>
          <w:jc w:val="center"/>
        </w:trPr>
        <w:tc>
          <w:tcPr>
            <w:tcW w:w="522" w:type="dxa"/>
            <w:vMerge w:val="restart"/>
            <w:vAlign w:val="center"/>
          </w:tcPr>
          <w:p>
            <w:pPr>
              <w:autoSpaceDE/>
              <w:autoSpaceDN/>
              <w:adjustRightInd/>
              <w:spacing w:line="500" w:lineRule="exact"/>
              <w:jc w:val="center"/>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2</w:t>
            </w:r>
          </w:p>
        </w:tc>
        <w:tc>
          <w:tcPr>
            <w:tcW w:w="1417" w:type="dxa"/>
            <w:vMerge w:val="restart"/>
            <w:vAlign w:val="center"/>
          </w:tcPr>
          <w:p>
            <w:pPr>
              <w:autoSpaceDE/>
              <w:autoSpaceDN/>
              <w:adjustRightInd/>
              <w:spacing w:line="500" w:lineRule="exact"/>
              <w:jc w:val="center"/>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安全网</w:t>
            </w:r>
          </w:p>
        </w:tc>
        <w:tc>
          <w:tcPr>
            <w:tcW w:w="4724" w:type="dxa"/>
            <w:vAlign w:val="center"/>
          </w:tcPr>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安全网规格、材质不符合要求，安全网未取得建筑安全监督部门生产许可证的</w:t>
            </w:r>
          </w:p>
        </w:tc>
        <w:tc>
          <w:tcPr>
            <w:tcW w:w="1834" w:type="dxa"/>
            <w:vAlign w:val="center"/>
          </w:tcPr>
          <w:p>
            <w:pPr>
              <w:autoSpaceDE/>
              <w:autoSpaceDN/>
              <w:adjustRightInd/>
              <w:spacing w:line="500" w:lineRule="exact"/>
              <w:jc w:val="center"/>
              <w:rPr>
                <w:rFonts w:ascii="宋体" w:hAnsi="宋体" w:eastAsia="宋体"/>
                <w:color w:val="auto"/>
                <w:kern w:val="2"/>
                <w:sz w:val="18"/>
                <w:szCs w:val="22"/>
                <w:highlight w:val="none"/>
              </w:rPr>
            </w:pPr>
          </w:p>
          <w:p>
            <w:pPr>
              <w:autoSpaceDE/>
              <w:autoSpaceDN/>
              <w:adjustRightInd/>
              <w:spacing w:line="500" w:lineRule="exact"/>
              <w:jc w:val="center"/>
              <w:rPr>
                <w:rFonts w:ascii="宋体" w:hAnsi="宋体" w:eastAsia="宋体"/>
                <w:color w:val="auto"/>
                <w:kern w:val="2"/>
                <w:sz w:val="18"/>
                <w:szCs w:val="22"/>
                <w:highlight w:val="none"/>
              </w:rPr>
            </w:pPr>
            <w:r>
              <w:rPr>
                <w:rFonts w:hint="eastAsia" w:ascii="宋体" w:hAnsi="宋体" w:eastAsia="宋体"/>
                <w:color w:val="auto"/>
                <w:kern w:val="2"/>
                <w:sz w:val="18"/>
                <w:szCs w:val="22"/>
                <w:highlight w:val="none"/>
              </w:rPr>
              <w:t>2000元/项</w:t>
            </w:r>
          </w:p>
          <w:p>
            <w:pPr>
              <w:autoSpaceDE/>
              <w:autoSpaceDN/>
              <w:adjustRightInd/>
              <w:spacing w:line="500" w:lineRule="exact"/>
              <w:jc w:val="center"/>
              <w:rPr>
                <w:rFonts w:ascii="宋体" w:hAnsi="宋体" w:eastAsia="宋体"/>
                <w:color w:val="auto"/>
                <w:kern w:val="2"/>
                <w:sz w:val="18"/>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1" w:hRule="atLeast"/>
          <w:jc w:val="center"/>
        </w:trPr>
        <w:tc>
          <w:tcPr>
            <w:tcW w:w="522" w:type="dxa"/>
            <w:vMerge w:val="continue"/>
            <w:vAlign w:val="center"/>
          </w:tcPr>
          <w:p>
            <w:pPr>
              <w:autoSpaceDE/>
              <w:autoSpaceDN/>
              <w:adjustRightInd/>
              <w:spacing w:line="500" w:lineRule="exact"/>
              <w:jc w:val="center"/>
              <w:rPr>
                <w:rFonts w:ascii="宋体" w:hAnsi="宋体" w:eastAsia="宋体"/>
                <w:color w:val="auto"/>
                <w:kern w:val="2"/>
                <w:sz w:val="21"/>
                <w:szCs w:val="22"/>
                <w:highlight w:val="none"/>
              </w:rPr>
            </w:pPr>
          </w:p>
        </w:tc>
        <w:tc>
          <w:tcPr>
            <w:tcW w:w="1417" w:type="dxa"/>
            <w:vMerge w:val="continue"/>
            <w:vAlign w:val="center"/>
          </w:tcPr>
          <w:p>
            <w:pPr>
              <w:autoSpaceDE/>
              <w:autoSpaceDN/>
              <w:adjustRightInd/>
              <w:spacing w:line="500" w:lineRule="exact"/>
              <w:jc w:val="center"/>
              <w:rPr>
                <w:rFonts w:ascii="宋体" w:hAnsi="宋体" w:eastAsia="宋体"/>
                <w:color w:val="auto"/>
                <w:kern w:val="2"/>
                <w:sz w:val="21"/>
                <w:szCs w:val="22"/>
                <w:highlight w:val="none"/>
              </w:rPr>
            </w:pPr>
          </w:p>
        </w:tc>
        <w:tc>
          <w:tcPr>
            <w:tcW w:w="4724" w:type="dxa"/>
            <w:vAlign w:val="center"/>
          </w:tcPr>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安全网未能满足进度要求的，擅自损坏、拆除、移动安全防护装置、安全标志、警示牌的</w:t>
            </w:r>
          </w:p>
        </w:tc>
        <w:tc>
          <w:tcPr>
            <w:tcW w:w="1834" w:type="dxa"/>
            <w:vAlign w:val="center"/>
          </w:tcPr>
          <w:p>
            <w:pPr>
              <w:autoSpaceDE/>
              <w:autoSpaceDN/>
              <w:adjustRightInd/>
              <w:spacing w:line="500" w:lineRule="exact"/>
              <w:jc w:val="center"/>
              <w:rPr>
                <w:rFonts w:ascii="宋体" w:hAnsi="宋体" w:eastAsia="宋体"/>
                <w:color w:val="auto"/>
                <w:kern w:val="2"/>
                <w:sz w:val="18"/>
                <w:szCs w:val="22"/>
                <w:highlight w:val="none"/>
              </w:rPr>
            </w:pPr>
            <w:r>
              <w:rPr>
                <w:rFonts w:hint="eastAsia" w:ascii="宋体" w:hAnsi="宋体" w:eastAsia="宋体"/>
                <w:color w:val="auto"/>
                <w:kern w:val="2"/>
                <w:sz w:val="18"/>
                <w:szCs w:val="22"/>
                <w:highlight w:val="none"/>
              </w:rPr>
              <w:t>500-1500元/次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02" w:hRule="atLeast"/>
          <w:jc w:val="center"/>
        </w:trPr>
        <w:tc>
          <w:tcPr>
            <w:tcW w:w="522" w:type="dxa"/>
            <w:tcBorders>
              <w:bottom w:val="single" w:color="auto" w:sz="4" w:space="0"/>
            </w:tcBorders>
            <w:vAlign w:val="center"/>
          </w:tcPr>
          <w:p>
            <w:pPr>
              <w:autoSpaceDE/>
              <w:autoSpaceDN/>
              <w:adjustRightInd/>
              <w:spacing w:line="500" w:lineRule="exact"/>
              <w:jc w:val="center"/>
              <w:rPr>
                <w:rFonts w:ascii="宋体" w:hAnsi="宋体" w:eastAsia="宋体"/>
                <w:color w:val="auto"/>
                <w:kern w:val="2"/>
                <w:sz w:val="21"/>
                <w:szCs w:val="22"/>
                <w:highlight w:val="none"/>
              </w:rPr>
            </w:pPr>
            <w:r>
              <w:rPr>
                <w:rFonts w:ascii="宋体" w:hAnsi="宋体" w:eastAsia="宋体"/>
                <w:color w:val="auto"/>
                <w:kern w:val="2"/>
                <w:sz w:val="21"/>
                <w:szCs w:val="22"/>
                <w:highlight w:val="none"/>
              </w:rPr>
              <w:t>3</w:t>
            </w:r>
          </w:p>
        </w:tc>
        <w:tc>
          <w:tcPr>
            <w:tcW w:w="1417" w:type="dxa"/>
            <w:tcBorders>
              <w:bottom w:val="single" w:color="auto" w:sz="4" w:space="0"/>
            </w:tcBorders>
            <w:vAlign w:val="center"/>
          </w:tcPr>
          <w:p>
            <w:pPr>
              <w:autoSpaceDE/>
              <w:autoSpaceDN/>
              <w:adjustRightInd/>
              <w:spacing w:line="500" w:lineRule="exact"/>
              <w:jc w:val="center"/>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安全带</w:t>
            </w:r>
          </w:p>
        </w:tc>
        <w:tc>
          <w:tcPr>
            <w:tcW w:w="4724" w:type="dxa"/>
            <w:tcBorders>
              <w:bottom w:val="single" w:color="auto" w:sz="4" w:space="0"/>
            </w:tcBorders>
            <w:vAlign w:val="center"/>
          </w:tcPr>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高处作业未系安全带的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高处作业安全带系扣不符合要求的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安全带不符合生产标准要求的</w:t>
            </w:r>
          </w:p>
        </w:tc>
        <w:tc>
          <w:tcPr>
            <w:tcW w:w="1834" w:type="dxa"/>
            <w:tcBorders>
              <w:bottom w:val="single" w:color="auto" w:sz="4" w:space="0"/>
            </w:tcBorders>
            <w:vAlign w:val="center"/>
          </w:tcPr>
          <w:p>
            <w:pPr>
              <w:autoSpaceDE/>
              <w:autoSpaceDN/>
              <w:adjustRightInd/>
              <w:spacing w:line="500" w:lineRule="exact"/>
              <w:jc w:val="center"/>
              <w:rPr>
                <w:rFonts w:ascii="宋体" w:hAnsi="宋体" w:eastAsia="宋体"/>
                <w:color w:val="auto"/>
                <w:kern w:val="2"/>
                <w:sz w:val="18"/>
                <w:szCs w:val="22"/>
                <w:highlight w:val="none"/>
              </w:rPr>
            </w:pPr>
            <w:r>
              <w:rPr>
                <w:rFonts w:hint="eastAsia" w:ascii="宋体" w:hAnsi="宋体" w:eastAsia="宋体"/>
                <w:color w:val="auto"/>
                <w:kern w:val="2"/>
                <w:sz w:val="18"/>
                <w:szCs w:val="22"/>
                <w:highlight w:val="none"/>
              </w:rPr>
              <w:t>200元／人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60" w:hRule="atLeast"/>
          <w:jc w:val="center"/>
        </w:trPr>
        <w:tc>
          <w:tcPr>
            <w:tcW w:w="522" w:type="dxa"/>
            <w:tcBorders>
              <w:bottom w:val="single" w:color="auto" w:sz="4" w:space="0"/>
            </w:tcBorders>
            <w:vAlign w:val="center"/>
          </w:tcPr>
          <w:p>
            <w:pPr>
              <w:autoSpaceDE/>
              <w:autoSpaceDN/>
              <w:adjustRightInd/>
              <w:spacing w:line="500" w:lineRule="exact"/>
              <w:jc w:val="center"/>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4</w:t>
            </w:r>
          </w:p>
        </w:tc>
        <w:tc>
          <w:tcPr>
            <w:tcW w:w="1417" w:type="dxa"/>
            <w:tcBorders>
              <w:bottom w:val="single" w:color="auto" w:sz="4" w:space="0"/>
            </w:tcBorders>
            <w:vAlign w:val="center"/>
          </w:tcPr>
          <w:p>
            <w:pPr>
              <w:autoSpaceDE/>
              <w:autoSpaceDN/>
              <w:adjustRightInd/>
              <w:spacing w:line="500" w:lineRule="exact"/>
              <w:jc w:val="center"/>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楼梯口、电梯井口防护</w:t>
            </w:r>
          </w:p>
        </w:tc>
        <w:tc>
          <w:tcPr>
            <w:tcW w:w="4724" w:type="dxa"/>
            <w:tcBorders>
              <w:bottom w:val="single" w:color="auto" w:sz="4" w:space="0"/>
            </w:tcBorders>
            <w:vAlign w:val="center"/>
          </w:tcPr>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楼梯口、电梯井口无安全防护</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防护措施不符合要求或不严密的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电梯井内每隔两层（不大于10m）无平网的</w:t>
            </w:r>
          </w:p>
        </w:tc>
        <w:tc>
          <w:tcPr>
            <w:tcW w:w="1834" w:type="dxa"/>
            <w:tcBorders>
              <w:bottom w:val="single" w:color="auto" w:sz="4" w:space="0"/>
            </w:tcBorders>
            <w:vAlign w:val="center"/>
          </w:tcPr>
          <w:p>
            <w:pPr>
              <w:autoSpaceDE/>
              <w:autoSpaceDN/>
              <w:adjustRightInd/>
              <w:spacing w:line="500" w:lineRule="exact"/>
              <w:jc w:val="center"/>
              <w:rPr>
                <w:rFonts w:ascii="宋体" w:hAnsi="宋体" w:eastAsia="宋体"/>
                <w:color w:val="auto"/>
                <w:kern w:val="2"/>
                <w:sz w:val="18"/>
                <w:szCs w:val="22"/>
                <w:highlight w:val="none"/>
              </w:rPr>
            </w:pPr>
            <w:r>
              <w:rPr>
                <w:rFonts w:hint="eastAsia" w:ascii="宋体" w:hAnsi="宋体" w:eastAsia="宋体"/>
                <w:color w:val="auto"/>
                <w:kern w:val="2"/>
                <w:sz w:val="18"/>
                <w:szCs w:val="22"/>
                <w:highlight w:val="none"/>
              </w:rPr>
              <w:t>200-500元/处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58" w:hRule="atLeast"/>
          <w:jc w:val="center"/>
        </w:trPr>
        <w:tc>
          <w:tcPr>
            <w:tcW w:w="522" w:type="dxa"/>
            <w:vAlign w:val="center"/>
          </w:tcPr>
          <w:p>
            <w:pPr>
              <w:autoSpaceDE/>
              <w:autoSpaceDN/>
              <w:adjustRightInd/>
              <w:spacing w:line="500" w:lineRule="exact"/>
              <w:jc w:val="center"/>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5</w:t>
            </w:r>
          </w:p>
        </w:tc>
        <w:tc>
          <w:tcPr>
            <w:tcW w:w="1417" w:type="dxa"/>
            <w:vAlign w:val="center"/>
          </w:tcPr>
          <w:p>
            <w:pPr>
              <w:autoSpaceDE/>
              <w:autoSpaceDN/>
              <w:adjustRightInd/>
              <w:spacing w:line="500" w:lineRule="exact"/>
              <w:jc w:val="center"/>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预留洞口（管</w:t>
            </w:r>
          </w:p>
          <w:p>
            <w:pPr>
              <w:autoSpaceDE/>
              <w:autoSpaceDN/>
              <w:adjustRightInd/>
              <w:spacing w:line="500" w:lineRule="exact"/>
              <w:jc w:val="center"/>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井口、坑井口）防护</w:t>
            </w:r>
          </w:p>
        </w:tc>
        <w:tc>
          <w:tcPr>
            <w:tcW w:w="4724" w:type="dxa"/>
            <w:vAlign w:val="center"/>
          </w:tcPr>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无有效的安全防护措施的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措施不符合要求或不严密的</w:t>
            </w:r>
          </w:p>
        </w:tc>
        <w:tc>
          <w:tcPr>
            <w:tcW w:w="1834" w:type="dxa"/>
            <w:vAlign w:val="center"/>
          </w:tcPr>
          <w:p>
            <w:pPr>
              <w:autoSpaceDE/>
              <w:autoSpaceDN/>
              <w:adjustRightInd/>
              <w:spacing w:line="500" w:lineRule="exact"/>
              <w:jc w:val="center"/>
              <w:rPr>
                <w:rFonts w:ascii="宋体" w:hAnsi="宋体" w:eastAsia="宋体"/>
                <w:color w:val="auto"/>
                <w:kern w:val="2"/>
                <w:sz w:val="18"/>
                <w:szCs w:val="22"/>
                <w:highlight w:val="none"/>
              </w:rPr>
            </w:pPr>
            <w:r>
              <w:rPr>
                <w:rFonts w:hint="eastAsia" w:ascii="宋体" w:hAnsi="宋体" w:eastAsia="宋体"/>
                <w:color w:val="auto"/>
                <w:kern w:val="2"/>
                <w:sz w:val="18"/>
                <w:szCs w:val="22"/>
                <w:highlight w:val="none"/>
              </w:rPr>
              <w:t>200-500元/处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96" w:hRule="atLeast"/>
          <w:jc w:val="center"/>
        </w:trPr>
        <w:tc>
          <w:tcPr>
            <w:tcW w:w="522" w:type="dxa"/>
            <w:vAlign w:val="center"/>
          </w:tcPr>
          <w:p>
            <w:pPr>
              <w:autoSpaceDE/>
              <w:autoSpaceDN/>
              <w:adjustRightInd/>
              <w:spacing w:line="500" w:lineRule="exact"/>
              <w:jc w:val="center"/>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6</w:t>
            </w:r>
          </w:p>
        </w:tc>
        <w:tc>
          <w:tcPr>
            <w:tcW w:w="1417" w:type="dxa"/>
            <w:vAlign w:val="center"/>
          </w:tcPr>
          <w:p>
            <w:pPr>
              <w:autoSpaceDE/>
              <w:autoSpaceDN/>
              <w:adjustRightInd/>
              <w:spacing w:line="500" w:lineRule="exact"/>
              <w:jc w:val="center"/>
              <w:rPr>
                <w:rFonts w:ascii="宋体" w:hAnsi="宋体" w:eastAsia="宋体"/>
                <w:color w:val="auto"/>
                <w:spacing w:val="-10"/>
                <w:kern w:val="2"/>
                <w:sz w:val="21"/>
                <w:szCs w:val="22"/>
                <w:highlight w:val="none"/>
              </w:rPr>
            </w:pPr>
            <w:r>
              <w:rPr>
                <w:rFonts w:hint="eastAsia" w:ascii="宋体" w:hAnsi="宋体" w:eastAsia="宋体"/>
                <w:color w:val="auto"/>
                <w:spacing w:val="-10"/>
                <w:kern w:val="2"/>
                <w:sz w:val="21"/>
                <w:szCs w:val="22"/>
                <w:highlight w:val="none"/>
              </w:rPr>
              <w:t>通道口、提升架出入口、加工区防护</w:t>
            </w:r>
          </w:p>
        </w:tc>
        <w:tc>
          <w:tcPr>
            <w:tcW w:w="4724" w:type="dxa"/>
            <w:vAlign w:val="center"/>
          </w:tcPr>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无防护棚的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防护不严的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防护棚不牢固、材质不符合要求的</w:t>
            </w:r>
          </w:p>
        </w:tc>
        <w:tc>
          <w:tcPr>
            <w:tcW w:w="1834" w:type="dxa"/>
            <w:vAlign w:val="center"/>
          </w:tcPr>
          <w:p>
            <w:pPr>
              <w:autoSpaceDE/>
              <w:autoSpaceDN/>
              <w:adjustRightInd/>
              <w:spacing w:line="500" w:lineRule="exact"/>
              <w:jc w:val="center"/>
              <w:rPr>
                <w:rFonts w:ascii="宋体" w:hAnsi="宋体" w:eastAsia="宋体"/>
                <w:color w:val="auto"/>
                <w:kern w:val="2"/>
                <w:sz w:val="18"/>
                <w:szCs w:val="22"/>
                <w:highlight w:val="none"/>
              </w:rPr>
            </w:pPr>
            <w:r>
              <w:rPr>
                <w:rFonts w:hint="eastAsia" w:ascii="宋体" w:hAnsi="宋体" w:eastAsia="宋体"/>
                <w:color w:val="auto"/>
                <w:kern w:val="2"/>
                <w:sz w:val="18"/>
                <w:szCs w:val="22"/>
                <w:highlight w:val="none"/>
              </w:rPr>
              <w:t>200-500元/处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6" w:hRule="atLeast"/>
          <w:jc w:val="center"/>
        </w:trPr>
        <w:tc>
          <w:tcPr>
            <w:tcW w:w="522" w:type="dxa"/>
            <w:vAlign w:val="center"/>
          </w:tcPr>
          <w:p>
            <w:pPr>
              <w:autoSpaceDE/>
              <w:autoSpaceDN/>
              <w:adjustRightInd/>
              <w:spacing w:line="500" w:lineRule="exact"/>
              <w:jc w:val="center"/>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7</w:t>
            </w:r>
          </w:p>
        </w:tc>
        <w:tc>
          <w:tcPr>
            <w:tcW w:w="1417" w:type="dxa"/>
            <w:vAlign w:val="center"/>
          </w:tcPr>
          <w:p>
            <w:pPr>
              <w:autoSpaceDE/>
              <w:autoSpaceDN/>
              <w:adjustRightInd/>
              <w:spacing w:line="500" w:lineRule="exact"/>
              <w:jc w:val="center"/>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阳台、楼板、屋面、脚手架、通道口等临边防护．</w:t>
            </w:r>
          </w:p>
        </w:tc>
        <w:tc>
          <w:tcPr>
            <w:tcW w:w="4724" w:type="dxa"/>
            <w:vAlign w:val="center"/>
          </w:tcPr>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无有效安全措施的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临边防护不符合要求的</w:t>
            </w:r>
          </w:p>
        </w:tc>
        <w:tc>
          <w:tcPr>
            <w:tcW w:w="1834" w:type="dxa"/>
            <w:vAlign w:val="center"/>
          </w:tcPr>
          <w:p>
            <w:pPr>
              <w:autoSpaceDE/>
              <w:autoSpaceDN/>
              <w:adjustRightInd/>
              <w:spacing w:line="500" w:lineRule="exact"/>
              <w:jc w:val="center"/>
              <w:rPr>
                <w:rFonts w:ascii="宋体" w:hAnsi="宋体" w:eastAsia="宋体"/>
                <w:color w:val="auto"/>
                <w:kern w:val="2"/>
                <w:sz w:val="18"/>
                <w:szCs w:val="22"/>
                <w:highlight w:val="none"/>
              </w:rPr>
            </w:pPr>
            <w:r>
              <w:rPr>
                <w:rFonts w:hint="eastAsia" w:ascii="宋体" w:hAnsi="宋体" w:eastAsia="宋体"/>
                <w:color w:val="auto"/>
                <w:kern w:val="2"/>
                <w:sz w:val="18"/>
                <w:szCs w:val="22"/>
                <w:highlight w:val="none"/>
              </w:rPr>
              <w:t>200-500元/处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07" w:hRule="atLeast"/>
          <w:jc w:val="center"/>
        </w:trPr>
        <w:tc>
          <w:tcPr>
            <w:tcW w:w="522" w:type="dxa"/>
            <w:vAlign w:val="center"/>
          </w:tcPr>
          <w:p>
            <w:pPr>
              <w:autoSpaceDE/>
              <w:autoSpaceDN/>
              <w:adjustRightInd/>
              <w:spacing w:line="500" w:lineRule="exact"/>
              <w:jc w:val="center"/>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8</w:t>
            </w:r>
          </w:p>
        </w:tc>
        <w:tc>
          <w:tcPr>
            <w:tcW w:w="1417" w:type="dxa"/>
            <w:vAlign w:val="center"/>
          </w:tcPr>
          <w:p>
            <w:pPr>
              <w:autoSpaceDE/>
              <w:autoSpaceDN/>
              <w:adjustRightInd/>
              <w:spacing w:line="500" w:lineRule="exact"/>
              <w:jc w:val="center"/>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外脚手架</w:t>
            </w:r>
          </w:p>
        </w:tc>
        <w:tc>
          <w:tcPr>
            <w:tcW w:w="4724" w:type="dxa"/>
            <w:vAlign w:val="center"/>
          </w:tcPr>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未能按照施工组织设计搭设的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外脚手架未能跟上施工进度的，脚手架未满挂安全网</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擅自拆除连墙件、大小横杆、立杆的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堆放材料，存在安全隐患或阻塞通道的</w:t>
            </w:r>
          </w:p>
        </w:tc>
        <w:tc>
          <w:tcPr>
            <w:tcW w:w="1834" w:type="dxa"/>
            <w:vAlign w:val="center"/>
          </w:tcPr>
          <w:p>
            <w:pPr>
              <w:autoSpaceDE/>
              <w:autoSpaceDN/>
              <w:adjustRightInd/>
              <w:spacing w:line="500" w:lineRule="exact"/>
              <w:jc w:val="center"/>
              <w:rPr>
                <w:rFonts w:ascii="宋体" w:hAnsi="宋体" w:eastAsia="宋体"/>
                <w:color w:val="auto"/>
                <w:kern w:val="2"/>
                <w:sz w:val="18"/>
                <w:szCs w:val="22"/>
                <w:highlight w:val="none"/>
              </w:rPr>
            </w:pPr>
            <w:r>
              <w:rPr>
                <w:rFonts w:hint="eastAsia" w:ascii="宋体" w:hAnsi="宋体" w:eastAsia="宋体"/>
                <w:color w:val="auto"/>
                <w:kern w:val="2"/>
                <w:sz w:val="18"/>
                <w:szCs w:val="22"/>
                <w:highlight w:val="none"/>
              </w:rPr>
              <w:t>200-500元/处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7" w:hRule="atLeast"/>
          <w:jc w:val="center"/>
        </w:trPr>
        <w:tc>
          <w:tcPr>
            <w:tcW w:w="522" w:type="dxa"/>
            <w:vAlign w:val="center"/>
          </w:tcPr>
          <w:p>
            <w:pPr>
              <w:autoSpaceDE/>
              <w:autoSpaceDN/>
              <w:adjustRightInd/>
              <w:spacing w:line="500" w:lineRule="exact"/>
              <w:jc w:val="center"/>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9</w:t>
            </w:r>
          </w:p>
        </w:tc>
        <w:tc>
          <w:tcPr>
            <w:tcW w:w="1417" w:type="dxa"/>
            <w:vAlign w:val="center"/>
          </w:tcPr>
          <w:p>
            <w:pPr>
              <w:autoSpaceDE/>
              <w:autoSpaceDN/>
              <w:adjustRightInd/>
              <w:spacing w:line="500" w:lineRule="exact"/>
              <w:jc w:val="center"/>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模板工程</w:t>
            </w:r>
          </w:p>
        </w:tc>
        <w:tc>
          <w:tcPr>
            <w:tcW w:w="4724" w:type="dxa"/>
            <w:vAlign w:val="center"/>
          </w:tcPr>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未按照施工组织设计进行搭设的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擅自拆模或拆模管理不到位的</w:t>
            </w:r>
          </w:p>
        </w:tc>
        <w:tc>
          <w:tcPr>
            <w:tcW w:w="1834" w:type="dxa"/>
            <w:vAlign w:val="center"/>
          </w:tcPr>
          <w:p>
            <w:pPr>
              <w:autoSpaceDE/>
              <w:autoSpaceDN/>
              <w:adjustRightInd/>
              <w:spacing w:line="500" w:lineRule="exact"/>
              <w:jc w:val="center"/>
              <w:rPr>
                <w:rFonts w:ascii="宋体" w:hAnsi="宋体" w:eastAsia="宋体"/>
                <w:color w:val="auto"/>
                <w:kern w:val="2"/>
                <w:sz w:val="18"/>
                <w:szCs w:val="22"/>
                <w:highlight w:val="none"/>
              </w:rPr>
            </w:pPr>
            <w:r>
              <w:rPr>
                <w:rFonts w:hint="eastAsia" w:ascii="宋体" w:hAnsi="宋体" w:eastAsia="宋体"/>
                <w:color w:val="auto"/>
                <w:kern w:val="2"/>
                <w:sz w:val="18"/>
                <w:szCs w:val="22"/>
                <w:highlight w:val="none"/>
              </w:rPr>
              <w:t>200-1000/处</w:t>
            </w:r>
          </w:p>
        </w:tc>
      </w:tr>
    </w:tbl>
    <w:p>
      <w:pPr>
        <w:autoSpaceDE/>
        <w:autoSpaceDN/>
        <w:adjustRightInd/>
        <w:spacing w:line="500" w:lineRule="exact"/>
        <w:jc w:val="both"/>
        <w:rPr>
          <w:rFonts w:ascii="宋体" w:hAnsi="宋体" w:eastAsia="宋体"/>
          <w:b/>
          <w:bCs/>
          <w:color w:val="auto"/>
          <w:kern w:val="2"/>
          <w:sz w:val="32"/>
          <w:szCs w:val="22"/>
          <w:highlight w:val="none"/>
        </w:rPr>
      </w:pPr>
    </w:p>
    <w:p>
      <w:pPr>
        <w:spacing w:line="500" w:lineRule="exact"/>
        <w:rPr>
          <w:rFonts w:ascii="宋体" w:eastAsia="宋体" w:cs="宋体"/>
          <w:color w:val="auto"/>
          <w:sz w:val="24"/>
          <w:szCs w:val="24"/>
          <w:highlight w:val="none"/>
        </w:rPr>
      </w:pPr>
      <w:r>
        <w:rPr>
          <w:rFonts w:hint="eastAsia" w:ascii="宋体" w:eastAsia="宋体" w:cs="宋体"/>
          <w:color w:val="auto"/>
          <w:sz w:val="24"/>
          <w:szCs w:val="24"/>
          <w:highlight w:val="none"/>
        </w:rPr>
        <w:t xml:space="preserve">C、施工用电管理 </w:t>
      </w:r>
    </w:p>
    <w:tbl>
      <w:tblPr>
        <w:tblStyle w:val="17"/>
        <w:tblW w:w="85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417"/>
        <w:gridCol w:w="4781"/>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jc w:val="center"/>
        </w:trPr>
        <w:tc>
          <w:tcPr>
            <w:tcW w:w="544" w:type="dxa"/>
            <w:vAlign w:val="center"/>
          </w:tcPr>
          <w:p>
            <w:pPr>
              <w:autoSpaceDE/>
              <w:autoSpaceDN/>
              <w:adjustRightInd/>
              <w:spacing w:line="500" w:lineRule="exact"/>
              <w:jc w:val="center"/>
              <w:rPr>
                <w:rFonts w:ascii="宋体" w:hAnsi="宋体" w:eastAsia="宋体"/>
                <w:b/>
                <w:color w:val="auto"/>
                <w:kern w:val="2"/>
                <w:sz w:val="24"/>
                <w:szCs w:val="22"/>
                <w:highlight w:val="none"/>
              </w:rPr>
            </w:pPr>
            <w:r>
              <w:rPr>
                <w:rFonts w:hint="eastAsia" w:ascii="宋体" w:hAnsi="宋体" w:eastAsia="宋体"/>
                <w:b/>
                <w:color w:val="auto"/>
                <w:kern w:val="2"/>
                <w:sz w:val="24"/>
                <w:szCs w:val="22"/>
                <w:highlight w:val="none"/>
              </w:rPr>
              <w:t>序</w:t>
            </w:r>
          </w:p>
          <w:p>
            <w:pPr>
              <w:autoSpaceDE/>
              <w:autoSpaceDN/>
              <w:adjustRightInd/>
              <w:spacing w:line="500" w:lineRule="exact"/>
              <w:jc w:val="center"/>
              <w:rPr>
                <w:rFonts w:ascii="宋体" w:hAnsi="宋体" w:eastAsia="宋体"/>
                <w:color w:val="auto"/>
                <w:kern w:val="2"/>
                <w:sz w:val="21"/>
                <w:szCs w:val="22"/>
                <w:highlight w:val="none"/>
              </w:rPr>
            </w:pPr>
            <w:r>
              <w:rPr>
                <w:rFonts w:hint="eastAsia" w:ascii="宋体" w:hAnsi="宋体" w:eastAsia="宋体"/>
                <w:b/>
                <w:color w:val="auto"/>
                <w:kern w:val="2"/>
                <w:sz w:val="24"/>
                <w:szCs w:val="22"/>
                <w:highlight w:val="none"/>
              </w:rPr>
              <w:t>号</w:t>
            </w:r>
          </w:p>
        </w:tc>
        <w:tc>
          <w:tcPr>
            <w:tcW w:w="1417" w:type="dxa"/>
            <w:vAlign w:val="center"/>
          </w:tcPr>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b/>
                <w:color w:val="auto"/>
                <w:kern w:val="2"/>
                <w:sz w:val="24"/>
                <w:szCs w:val="22"/>
                <w:highlight w:val="none"/>
              </w:rPr>
              <w:t>项目</w:t>
            </w:r>
          </w:p>
        </w:tc>
        <w:tc>
          <w:tcPr>
            <w:tcW w:w="4781" w:type="dxa"/>
            <w:vAlign w:val="center"/>
          </w:tcPr>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b/>
                <w:color w:val="auto"/>
                <w:kern w:val="2"/>
                <w:sz w:val="24"/>
                <w:szCs w:val="22"/>
                <w:highlight w:val="none"/>
              </w:rPr>
              <w:t>检查标准</w:t>
            </w:r>
          </w:p>
        </w:tc>
        <w:tc>
          <w:tcPr>
            <w:tcW w:w="1799" w:type="dxa"/>
            <w:vAlign w:val="center"/>
          </w:tcPr>
          <w:p>
            <w:pPr>
              <w:autoSpaceDE/>
              <w:autoSpaceDN/>
              <w:adjustRightInd/>
              <w:spacing w:line="500" w:lineRule="exact"/>
              <w:jc w:val="center"/>
              <w:rPr>
                <w:rFonts w:ascii="宋体" w:hAnsi="宋体" w:eastAsia="宋体"/>
                <w:color w:val="auto"/>
                <w:kern w:val="2"/>
                <w:sz w:val="18"/>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5" w:hRule="atLeast"/>
          <w:jc w:val="center"/>
        </w:trPr>
        <w:tc>
          <w:tcPr>
            <w:tcW w:w="544" w:type="dxa"/>
            <w:vAlign w:val="center"/>
          </w:tcPr>
          <w:p>
            <w:pPr>
              <w:autoSpaceDE/>
              <w:autoSpaceDN/>
              <w:adjustRightInd/>
              <w:spacing w:line="500" w:lineRule="exact"/>
              <w:jc w:val="center"/>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1</w:t>
            </w:r>
          </w:p>
        </w:tc>
        <w:tc>
          <w:tcPr>
            <w:tcW w:w="1417" w:type="dxa"/>
            <w:vAlign w:val="center"/>
          </w:tcPr>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接地与接零保护系统</w:t>
            </w:r>
          </w:p>
        </w:tc>
        <w:tc>
          <w:tcPr>
            <w:tcW w:w="4781" w:type="dxa"/>
            <w:vAlign w:val="center"/>
          </w:tcPr>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未采用三相五线制的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工作接地与重复接地不符合要求的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专用保护零线设置不符合要求的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保护零线与工作零线混合接口的</w:t>
            </w:r>
          </w:p>
        </w:tc>
        <w:tc>
          <w:tcPr>
            <w:tcW w:w="1799" w:type="dxa"/>
            <w:vAlign w:val="center"/>
          </w:tcPr>
          <w:p>
            <w:pPr>
              <w:autoSpaceDE/>
              <w:autoSpaceDN/>
              <w:adjustRightInd/>
              <w:spacing w:line="500" w:lineRule="exact"/>
              <w:jc w:val="center"/>
              <w:rPr>
                <w:rFonts w:ascii="宋体" w:hAnsi="宋体" w:eastAsia="宋体"/>
                <w:color w:val="auto"/>
                <w:kern w:val="2"/>
                <w:sz w:val="18"/>
                <w:szCs w:val="22"/>
                <w:highlight w:val="none"/>
              </w:rPr>
            </w:pPr>
            <w:r>
              <w:rPr>
                <w:rFonts w:hint="eastAsia" w:ascii="宋体" w:hAnsi="宋体" w:eastAsia="宋体"/>
                <w:color w:val="auto"/>
                <w:kern w:val="2"/>
                <w:sz w:val="18"/>
                <w:szCs w:val="22"/>
                <w:highlight w:val="none"/>
              </w:rPr>
              <w:t>200-500元/处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05" w:hRule="atLeast"/>
          <w:jc w:val="center"/>
        </w:trPr>
        <w:tc>
          <w:tcPr>
            <w:tcW w:w="544" w:type="dxa"/>
            <w:tcBorders>
              <w:bottom w:val="single" w:color="auto" w:sz="4" w:space="0"/>
            </w:tcBorders>
            <w:vAlign w:val="center"/>
          </w:tcPr>
          <w:p>
            <w:pPr>
              <w:autoSpaceDE/>
              <w:autoSpaceDN/>
              <w:adjustRightInd/>
              <w:spacing w:line="500" w:lineRule="exact"/>
              <w:jc w:val="center"/>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2</w:t>
            </w:r>
          </w:p>
        </w:tc>
        <w:tc>
          <w:tcPr>
            <w:tcW w:w="1417" w:type="dxa"/>
            <w:tcBorders>
              <w:bottom w:val="single" w:color="auto" w:sz="4" w:space="0"/>
            </w:tcBorders>
            <w:vAlign w:val="center"/>
          </w:tcPr>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配电箱开关箱</w:t>
            </w:r>
          </w:p>
        </w:tc>
        <w:tc>
          <w:tcPr>
            <w:tcW w:w="4781" w:type="dxa"/>
            <w:tcBorders>
              <w:bottom w:val="single" w:color="auto" w:sz="4" w:space="0"/>
            </w:tcBorders>
            <w:vAlign w:val="center"/>
          </w:tcPr>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不符合“三级配电两级保护”要求的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开关箱（末端）无漏电保护的或保护器失灵的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漏电保护装置参数不匹配的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电箱内无隔离开关的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违反“一闸、一漏、一箱”的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安装位置不当、周围杂物多等不便操作的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闸具损坏、闸具不符合要求或保险丝外漏的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电箱下引出线混乱的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电箱无门、无锁、无防雨措施的，无巡检或巡检滞后</w:t>
            </w:r>
          </w:p>
        </w:tc>
        <w:tc>
          <w:tcPr>
            <w:tcW w:w="1799" w:type="dxa"/>
            <w:tcBorders>
              <w:bottom w:val="single" w:color="auto" w:sz="4" w:space="0"/>
            </w:tcBorders>
            <w:vAlign w:val="center"/>
          </w:tcPr>
          <w:p>
            <w:pPr>
              <w:autoSpaceDE/>
              <w:autoSpaceDN/>
              <w:adjustRightInd/>
              <w:spacing w:line="500" w:lineRule="exact"/>
              <w:jc w:val="center"/>
              <w:rPr>
                <w:rFonts w:ascii="宋体" w:hAnsi="宋体" w:eastAsia="宋体"/>
                <w:color w:val="auto"/>
                <w:kern w:val="2"/>
                <w:sz w:val="18"/>
                <w:szCs w:val="22"/>
                <w:highlight w:val="none"/>
              </w:rPr>
            </w:pPr>
            <w:r>
              <w:rPr>
                <w:rFonts w:hint="eastAsia" w:ascii="宋体" w:hAnsi="宋体" w:eastAsia="宋体"/>
                <w:color w:val="auto"/>
                <w:kern w:val="2"/>
                <w:sz w:val="18"/>
                <w:szCs w:val="22"/>
                <w:highlight w:val="none"/>
              </w:rPr>
              <w:t>200-500元/处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42" w:hRule="atLeast"/>
          <w:jc w:val="center"/>
        </w:trPr>
        <w:tc>
          <w:tcPr>
            <w:tcW w:w="544" w:type="dxa"/>
            <w:tcBorders>
              <w:bottom w:val="single" w:color="auto" w:sz="4" w:space="0"/>
            </w:tcBorders>
            <w:vAlign w:val="center"/>
          </w:tcPr>
          <w:p>
            <w:pPr>
              <w:autoSpaceDE/>
              <w:autoSpaceDN/>
              <w:adjustRightInd/>
              <w:spacing w:line="500" w:lineRule="exact"/>
              <w:jc w:val="center"/>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3</w:t>
            </w:r>
          </w:p>
        </w:tc>
        <w:tc>
          <w:tcPr>
            <w:tcW w:w="1417" w:type="dxa"/>
            <w:tcBorders>
              <w:bottom w:val="single" w:color="auto" w:sz="4" w:space="0"/>
            </w:tcBorders>
            <w:vAlign w:val="center"/>
          </w:tcPr>
          <w:p>
            <w:pPr>
              <w:autoSpaceDE/>
              <w:autoSpaceDN/>
              <w:adjustRightInd/>
              <w:spacing w:line="500" w:lineRule="exact"/>
              <w:jc w:val="both"/>
              <w:rPr>
                <w:rFonts w:ascii="宋体" w:hAnsi="宋体" w:eastAsia="宋体"/>
                <w:color w:val="auto"/>
                <w:spacing w:val="-10"/>
                <w:kern w:val="2"/>
                <w:sz w:val="21"/>
                <w:szCs w:val="22"/>
                <w:highlight w:val="none"/>
              </w:rPr>
            </w:pPr>
            <w:r>
              <w:rPr>
                <w:rFonts w:hint="eastAsia" w:ascii="宋体" w:hAnsi="宋体" w:eastAsia="宋体"/>
                <w:color w:val="auto"/>
                <w:spacing w:val="-10"/>
                <w:kern w:val="2"/>
                <w:sz w:val="21"/>
                <w:szCs w:val="22"/>
                <w:highlight w:val="none"/>
              </w:rPr>
              <w:t>现场照明</w:t>
            </w:r>
          </w:p>
        </w:tc>
        <w:tc>
          <w:tcPr>
            <w:tcW w:w="4781" w:type="dxa"/>
            <w:tcBorders>
              <w:bottom w:val="single" w:color="auto" w:sz="4" w:space="0"/>
            </w:tcBorders>
            <w:vAlign w:val="center"/>
          </w:tcPr>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照明专用回路无漏电保护的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灯具金属外壳未作接零保护或接地保护的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室内线路及灯具安装高度低于2.4m无使用安全电压供电的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潮湿场所作业未使用36v以下安全电压的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使用36v安全电压照明线路混乱和接头处未用绝缘布包扎的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手持照明灯未使用36v及以下电源供电的</w:t>
            </w:r>
          </w:p>
        </w:tc>
        <w:tc>
          <w:tcPr>
            <w:tcW w:w="1799" w:type="dxa"/>
            <w:tcBorders>
              <w:bottom w:val="single" w:color="auto" w:sz="4" w:space="0"/>
            </w:tcBorders>
            <w:vAlign w:val="center"/>
          </w:tcPr>
          <w:p>
            <w:pPr>
              <w:autoSpaceDE/>
              <w:autoSpaceDN/>
              <w:adjustRightInd/>
              <w:spacing w:line="500" w:lineRule="exact"/>
              <w:jc w:val="center"/>
              <w:rPr>
                <w:rFonts w:ascii="宋体" w:hAnsi="宋体" w:eastAsia="宋体"/>
                <w:color w:val="auto"/>
                <w:kern w:val="2"/>
                <w:sz w:val="18"/>
                <w:szCs w:val="22"/>
                <w:highlight w:val="none"/>
              </w:rPr>
            </w:pPr>
            <w:r>
              <w:rPr>
                <w:rFonts w:hint="eastAsia" w:ascii="宋体" w:hAnsi="宋体" w:eastAsia="宋体"/>
                <w:color w:val="auto"/>
                <w:kern w:val="2"/>
                <w:sz w:val="18"/>
                <w:szCs w:val="22"/>
                <w:highlight w:val="none"/>
              </w:rPr>
              <w:t>200-500元/处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20" w:hRule="atLeast"/>
          <w:jc w:val="center"/>
        </w:trPr>
        <w:tc>
          <w:tcPr>
            <w:tcW w:w="544" w:type="dxa"/>
            <w:vAlign w:val="center"/>
          </w:tcPr>
          <w:p>
            <w:pPr>
              <w:autoSpaceDE/>
              <w:autoSpaceDN/>
              <w:adjustRightInd/>
              <w:spacing w:line="500" w:lineRule="exact"/>
              <w:jc w:val="center"/>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4</w:t>
            </w:r>
          </w:p>
        </w:tc>
        <w:tc>
          <w:tcPr>
            <w:tcW w:w="1417" w:type="dxa"/>
            <w:vAlign w:val="center"/>
          </w:tcPr>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配电线路</w:t>
            </w:r>
          </w:p>
        </w:tc>
        <w:tc>
          <w:tcPr>
            <w:tcW w:w="4781" w:type="dxa"/>
            <w:vAlign w:val="center"/>
          </w:tcPr>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不按规定选用导线的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导线拖地、浸水或用光身金属线绑扎的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导线老化、破皮未包扎的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线路过道无保护的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没有将电线架空，或电线架空不符合要求的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未使用五芯（电缆）的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使用四芯电缆外加一根线替代五芯电缆的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电缆架设或埋设不符合要求的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导线乱拉乱接的</w:t>
            </w:r>
          </w:p>
        </w:tc>
        <w:tc>
          <w:tcPr>
            <w:tcW w:w="1799" w:type="dxa"/>
            <w:vAlign w:val="center"/>
          </w:tcPr>
          <w:p>
            <w:pPr>
              <w:autoSpaceDE/>
              <w:autoSpaceDN/>
              <w:adjustRightInd/>
              <w:spacing w:line="500" w:lineRule="exact"/>
              <w:jc w:val="center"/>
              <w:rPr>
                <w:rFonts w:ascii="宋体" w:hAnsi="宋体" w:eastAsia="宋体"/>
                <w:color w:val="auto"/>
                <w:kern w:val="2"/>
                <w:sz w:val="18"/>
                <w:szCs w:val="22"/>
                <w:highlight w:val="none"/>
              </w:rPr>
            </w:pPr>
            <w:r>
              <w:rPr>
                <w:rFonts w:hint="eastAsia" w:ascii="宋体" w:hAnsi="宋体" w:eastAsia="宋体"/>
                <w:color w:val="auto"/>
                <w:kern w:val="2"/>
                <w:sz w:val="18"/>
                <w:szCs w:val="22"/>
                <w:highlight w:val="none"/>
              </w:rPr>
              <w:t>200-500元/处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88" w:hRule="atLeast"/>
          <w:jc w:val="center"/>
        </w:trPr>
        <w:tc>
          <w:tcPr>
            <w:tcW w:w="544" w:type="dxa"/>
            <w:vAlign w:val="center"/>
          </w:tcPr>
          <w:p>
            <w:pPr>
              <w:autoSpaceDE/>
              <w:autoSpaceDN/>
              <w:adjustRightInd/>
              <w:spacing w:line="500" w:lineRule="exact"/>
              <w:jc w:val="center"/>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5</w:t>
            </w:r>
          </w:p>
        </w:tc>
        <w:tc>
          <w:tcPr>
            <w:tcW w:w="1417" w:type="dxa"/>
            <w:tcBorders>
              <w:left w:val="single" w:color="auto" w:sz="4" w:space="0"/>
            </w:tcBorders>
            <w:vAlign w:val="center"/>
          </w:tcPr>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电器装置</w:t>
            </w:r>
          </w:p>
        </w:tc>
        <w:tc>
          <w:tcPr>
            <w:tcW w:w="4781" w:type="dxa"/>
            <w:vAlign w:val="center"/>
          </w:tcPr>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闸具、熔断器参数与设备容量不匹配、安装不合要求的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用其他金属丝代替熔丝的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漏电开关电源侧无空气开关或闸刀开关控制的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开关接线后无盖盖的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电器、设备、导线残缺破损的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使用多用插座的</w:t>
            </w:r>
          </w:p>
        </w:tc>
        <w:tc>
          <w:tcPr>
            <w:tcW w:w="1799" w:type="dxa"/>
            <w:vAlign w:val="center"/>
          </w:tcPr>
          <w:p>
            <w:pPr>
              <w:autoSpaceDE/>
              <w:autoSpaceDN/>
              <w:adjustRightInd/>
              <w:spacing w:line="500" w:lineRule="exact"/>
              <w:jc w:val="center"/>
              <w:rPr>
                <w:rFonts w:ascii="宋体" w:hAnsi="宋体" w:eastAsia="宋体"/>
                <w:color w:val="auto"/>
                <w:kern w:val="2"/>
                <w:sz w:val="18"/>
                <w:szCs w:val="22"/>
                <w:highlight w:val="none"/>
              </w:rPr>
            </w:pPr>
            <w:r>
              <w:rPr>
                <w:rFonts w:hint="eastAsia" w:ascii="宋体" w:hAnsi="宋体" w:eastAsia="宋体"/>
                <w:color w:val="auto"/>
                <w:kern w:val="2"/>
                <w:sz w:val="18"/>
                <w:szCs w:val="22"/>
                <w:highlight w:val="none"/>
              </w:rPr>
              <w:t>200-500元/处</w:t>
            </w:r>
          </w:p>
        </w:tc>
      </w:tr>
    </w:tbl>
    <w:p>
      <w:pPr>
        <w:autoSpaceDE/>
        <w:autoSpaceDN/>
        <w:adjustRightInd/>
        <w:spacing w:line="500" w:lineRule="exact"/>
        <w:jc w:val="both"/>
        <w:rPr>
          <w:rFonts w:ascii="宋体" w:hAnsi="宋体" w:eastAsia="宋体"/>
          <w:b/>
          <w:bCs/>
          <w:color w:val="auto"/>
          <w:kern w:val="2"/>
          <w:sz w:val="32"/>
          <w:szCs w:val="22"/>
          <w:highlight w:val="none"/>
        </w:rPr>
      </w:pPr>
    </w:p>
    <w:p>
      <w:pPr>
        <w:autoSpaceDE/>
        <w:autoSpaceDN/>
        <w:adjustRightInd/>
        <w:spacing w:line="500" w:lineRule="exact"/>
        <w:jc w:val="both"/>
        <w:rPr>
          <w:rFonts w:ascii="宋体" w:hAnsi="宋体" w:eastAsia="宋体"/>
          <w:b/>
          <w:bCs/>
          <w:color w:val="auto"/>
          <w:kern w:val="2"/>
          <w:sz w:val="32"/>
          <w:szCs w:val="22"/>
          <w:highlight w:val="none"/>
        </w:rPr>
      </w:pPr>
    </w:p>
    <w:p>
      <w:pPr>
        <w:autoSpaceDE/>
        <w:autoSpaceDN/>
        <w:adjustRightInd/>
        <w:spacing w:line="500" w:lineRule="exact"/>
        <w:jc w:val="both"/>
        <w:rPr>
          <w:rFonts w:ascii="宋体" w:hAnsi="宋体" w:eastAsia="宋体"/>
          <w:b/>
          <w:bCs/>
          <w:color w:val="auto"/>
          <w:kern w:val="2"/>
          <w:sz w:val="32"/>
          <w:szCs w:val="22"/>
          <w:highlight w:val="none"/>
        </w:rPr>
      </w:pPr>
    </w:p>
    <w:p>
      <w:pPr>
        <w:spacing w:line="500" w:lineRule="exact"/>
        <w:rPr>
          <w:rFonts w:ascii="宋体" w:eastAsia="宋体" w:cs="宋体"/>
          <w:color w:val="auto"/>
          <w:sz w:val="24"/>
          <w:szCs w:val="24"/>
          <w:highlight w:val="none"/>
        </w:rPr>
      </w:pPr>
      <w:r>
        <w:rPr>
          <w:rFonts w:hint="eastAsia" w:ascii="宋体" w:eastAsia="宋体" w:cs="宋体"/>
          <w:color w:val="auto"/>
          <w:sz w:val="24"/>
          <w:szCs w:val="24"/>
          <w:highlight w:val="none"/>
        </w:rPr>
        <w:t xml:space="preserve">D、施工机具、设备管理 </w:t>
      </w:r>
    </w:p>
    <w:tbl>
      <w:tblPr>
        <w:tblStyle w:val="17"/>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1464"/>
        <w:gridCol w:w="5040"/>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53" w:type="dxa"/>
            <w:tcBorders>
              <w:bottom w:val="single" w:color="auto" w:sz="4" w:space="0"/>
            </w:tcBorders>
            <w:vAlign w:val="center"/>
          </w:tcPr>
          <w:p>
            <w:pPr>
              <w:autoSpaceDE/>
              <w:autoSpaceDN/>
              <w:adjustRightInd/>
              <w:spacing w:line="500" w:lineRule="exact"/>
              <w:jc w:val="center"/>
              <w:rPr>
                <w:rFonts w:ascii="宋体" w:hAnsi="宋体" w:eastAsia="宋体"/>
                <w:b/>
                <w:color w:val="auto"/>
                <w:kern w:val="2"/>
                <w:sz w:val="24"/>
                <w:szCs w:val="22"/>
                <w:highlight w:val="none"/>
              </w:rPr>
            </w:pPr>
            <w:r>
              <w:rPr>
                <w:rFonts w:hint="eastAsia" w:ascii="宋体" w:hAnsi="宋体" w:eastAsia="宋体"/>
                <w:b/>
                <w:color w:val="auto"/>
                <w:kern w:val="2"/>
                <w:sz w:val="24"/>
                <w:szCs w:val="22"/>
                <w:highlight w:val="none"/>
              </w:rPr>
              <w:t>序</w:t>
            </w:r>
          </w:p>
          <w:p>
            <w:pPr>
              <w:autoSpaceDE/>
              <w:autoSpaceDN/>
              <w:adjustRightInd/>
              <w:spacing w:line="500" w:lineRule="exact"/>
              <w:jc w:val="center"/>
              <w:rPr>
                <w:rFonts w:ascii="宋体" w:hAnsi="宋体" w:eastAsia="宋体"/>
                <w:b/>
                <w:color w:val="auto"/>
                <w:kern w:val="2"/>
                <w:sz w:val="24"/>
                <w:szCs w:val="22"/>
                <w:highlight w:val="none"/>
              </w:rPr>
            </w:pPr>
            <w:r>
              <w:rPr>
                <w:rFonts w:hint="eastAsia" w:ascii="宋体" w:hAnsi="宋体" w:eastAsia="宋体"/>
                <w:b/>
                <w:color w:val="auto"/>
                <w:kern w:val="2"/>
                <w:sz w:val="24"/>
                <w:szCs w:val="22"/>
                <w:highlight w:val="none"/>
              </w:rPr>
              <w:t>号</w:t>
            </w:r>
          </w:p>
        </w:tc>
        <w:tc>
          <w:tcPr>
            <w:tcW w:w="1464" w:type="dxa"/>
            <w:vAlign w:val="center"/>
          </w:tcPr>
          <w:p>
            <w:pPr>
              <w:autoSpaceDE/>
              <w:autoSpaceDN/>
              <w:adjustRightInd/>
              <w:spacing w:line="500" w:lineRule="exact"/>
              <w:jc w:val="center"/>
              <w:rPr>
                <w:rFonts w:ascii="宋体" w:hAnsi="宋体" w:eastAsia="宋体"/>
                <w:b/>
                <w:color w:val="auto"/>
                <w:kern w:val="2"/>
                <w:sz w:val="24"/>
                <w:szCs w:val="22"/>
                <w:highlight w:val="none"/>
              </w:rPr>
            </w:pPr>
            <w:r>
              <w:rPr>
                <w:rFonts w:hint="eastAsia" w:ascii="宋体" w:hAnsi="宋体" w:eastAsia="宋体"/>
                <w:b/>
                <w:color w:val="auto"/>
                <w:kern w:val="2"/>
                <w:sz w:val="24"/>
                <w:szCs w:val="22"/>
                <w:highlight w:val="none"/>
              </w:rPr>
              <w:t>项目</w:t>
            </w:r>
          </w:p>
        </w:tc>
        <w:tc>
          <w:tcPr>
            <w:tcW w:w="5040" w:type="dxa"/>
            <w:vAlign w:val="center"/>
          </w:tcPr>
          <w:p>
            <w:pPr>
              <w:autoSpaceDE/>
              <w:autoSpaceDN/>
              <w:adjustRightInd/>
              <w:spacing w:line="500" w:lineRule="exact"/>
              <w:jc w:val="center"/>
              <w:rPr>
                <w:rFonts w:ascii="宋体" w:hAnsi="宋体" w:eastAsia="宋体"/>
                <w:b/>
                <w:color w:val="auto"/>
                <w:kern w:val="2"/>
                <w:sz w:val="24"/>
                <w:szCs w:val="22"/>
                <w:highlight w:val="none"/>
              </w:rPr>
            </w:pPr>
            <w:r>
              <w:rPr>
                <w:rFonts w:hint="eastAsia" w:ascii="宋体" w:hAnsi="宋体" w:eastAsia="宋体"/>
                <w:b/>
                <w:color w:val="auto"/>
                <w:kern w:val="2"/>
                <w:sz w:val="24"/>
                <w:szCs w:val="22"/>
                <w:highlight w:val="none"/>
              </w:rPr>
              <w:t>检查标准</w:t>
            </w:r>
          </w:p>
        </w:tc>
        <w:tc>
          <w:tcPr>
            <w:tcW w:w="1502" w:type="dxa"/>
            <w:vAlign w:val="center"/>
          </w:tcPr>
          <w:p>
            <w:pPr>
              <w:autoSpaceDE/>
              <w:autoSpaceDN/>
              <w:adjustRightInd/>
              <w:spacing w:line="500" w:lineRule="exact"/>
              <w:jc w:val="center"/>
              <w:rPr>
                <w:rFonts w:ascii="宋体" w:hAnsi="宋体" w:eastAsia="宋体"/>
                <w:b/>
                <w:color w:val="auto"/>
                <w:kern w:val="2"/>
                <w:sz w:val="24"/>
                <w:szCs w:val="22"/>
                <w:highlight w:val="none"/>
              </w:rPr>
            </w:pPr>
            <w:r>
              <w:rPr>
                <w:rFonts w:hint="eastAsia" w:ascii="宋体" w:hAnsi="宋体" w:eastAsia="宋体"/>
                <w:b/>
                <w:color w:val="auto"/>
                <w:kern w:val="2"/>
                <w:sz w:val="24"/>
                <w:szCs w:val="22"/>
                <w:highlight w:val="none"/>
              </w:rPr>
              <w:t>违约金标准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1" w:hRule="atLeast"/>
          <w:jc w:val="center"/>
        </w:trPr>
        <w:tc>
          <w:tcPr>
            <w:tcW w:w="553" w:type="dxa"/>
            <w:tcBorders>
              <w:right w:val="single" w:color="auto" w:sz="4" w:space="0"/>
            </w:tcBorders>
            <w:vAlign w:val="center"/>
          </w:tcPr>
          <w:p>
            <w:pPr>
              <w:autoSpaceDE/>
              <w:autoSpaceDN/>
              <w:adjustRightInd/>
              <w:spacing w:line="500" w:lineRule="exact"/>
              <w:jc w:val="center"/>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1</w:t>
            </w:r>
          </w:p>
        </w:tc>
        <w:tc>
          <w:tcPr>
            <w:tcW w:w="1464" w:type="dxa"/>
            <w:vAlign w:val="center"/>
          </w:tcPr>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套丝机、圆盘锯等</w:t>
            </w:r>
          </w:p>
        </w:tc>
        <w:tc>
          <w:tcPr>
            <w:tcW w:w="5040" w:type="dxa"/>
            <w:vAlign w:val="center"/>
          </w:tcPr>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操作人员戴手套操作的, （违反操作规程的）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锯片、传动部位防护罩缺失</w:t>
            </w:r>
          </w:p>
        </w:tc>
        <w:tc>
          <w:tcPr>
            <w:tcW w:w="1502" w:type="dxa"/>
            <w:vAlign w:val="center"/>
          </w:tcPr>
          <w:p>
            <w:pPr>
              <w:autoSpaceDE/>
              <w:autoSpaceDN/>
              <w:adjustRightInd/>
              <w:spacing w:line="500" w:lineRule="exact"/>
              <w:jc w:val="center"/>
              <w:rPr>
                <w:rFonts w:ascii="宋体" w:hAnsi="宋体" w:eastAsia="宋体"/>
                <w:color w:val="auto"/>
                <w:kern w:val="2"/>
                <w:sz w:val="18"/>
                <w:szCs w:val="22"/>
                <w:highlight w:val="none"/>
              </w:rPr>
            </w:pPr>
            <w:r>
              <w:rPr>
                <w:rFonts w:hint="eastAsia" w:ascii="宋体" w:hAnsi="宋体" w:eastAsia="宋体"/>
                <w:color w:val="auto"/>
                <w:kern w:val="2"/>
                <w:sz w:val="18"/>
                <w:szCs w:val="22"/>
                <w:highlight w:val="none"/>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98" w:hRule="atLeast"/>
          <w:jc w:val="center"/>
        </w:trPr>
        <w:tc>
          <w:tcPr>
            <w:tcW w:w="553" w:type="dxa"/>
            <w:tcBorders>
              <w:right w:val="single" w:color="auto" w:sz="4" w:space="0"/>
            </w:tcBorders>
            <w:vAlign w:val="center"/>
          </w:tcPr>
          <w:p>
            <w:pPr>
              <w:autoSpaceDE/>
              <w:autoSpaceDN/>
              <w:adjustRightInd/>
              <w:spacing w:line="500" w:lineRule="exact"/>
              <w:jc w:val="center"/>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2</w:t>
            </w:r>
          </w:p>
        </w:tc>
        <w:tc>
          <w:tcPr>
            <w:tcW w:w="1464" w:type="dxa"/>
            <w:vAlign w:val="center"/>
          </w:tcPr>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空气压缩机</w:t>
            </w:r>
          </w:p>
        </w:tc>
        <w:tc>
          <w:tcPr>
            <w:tcW w:w="5040" w:type="dxa"/>
            <w:vAlign w:val="center"/>
          </w:tcPr>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传动部位无防护罩的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自动控制器件失灵或残缺破损未更换的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1Mpa、150L以上无检测证的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周边无降噪措施</w:t>
            </w:r>
          </w:p>
        </w:tc>
        <w:tc>
          <w:tcPr>
            <w:tcW w:w="1502" w:type="dxa"/>
            <w:vAlign w:val="center"/>
          </w:tcPr>
          <w:p>
            <w:pPr>
              <w:autoSpaceDE/>
              <w:autoSpaceDN/>
              <w:adjustRightInd/>
              <w:spacing w:line="500" w:lineRule="exact"/>
              <w:jc w:val="center"/>
              <w:rPr>
                <w:rFonts w:ascii="宋体" w:hAnsi="宋体" w:eastAsia="宋体"/>
                <w:color w:val="auto"/>
                <w:spacing w:val="-10"/>
                <w:kern w:val="2"/>
                <w:sz w:val="18"/>
                <w:szCs w:val="22"/>
                <w:highlight w:val="none"/>
              </w:rPr>
            </w:pPr>
            <w:r>
              <w:rPr>
                <w:rFonts w:hint="eastAsia" w:ascii="宋体" w:hAnsi="宋体" w:eastAsia="宋体"/>
                <w:color w:val="auto"/>
                <w:spacing w:val="-10"/>
                <w:kern w:val="2"/>
                <w:sz w:val="18"/>
                <w:szCs w:val="22"/>
                <w:highlight w:val="none"/>
              </w:rPr>
              <w:t>100-300元／项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5" w:hRule="atLeast"/>
          <w:jc w:val="center"/>
        </w:trPr>
        <w:tc>
          <w:tcPr>
            <w:tcW w:w="553" w:type="dxa"/>
            <w:tcBorders>
              <w:bottom w:val="single" w:color="auto" w:sz="4" w:space="0"/>
              <w:right w:val="single" w:color="auto" w:sz="4" w:space="0"/>
            </w:tcBorders>
            <w:vAlign w:val="center"/>
          </w:tcPr>
          <w:p>
            <w:pPr>
              <w:autoSpaceDE/>
              <w:autoSpaceDN/>
              <w:adjustRightInd/>
              <w:spacing w:line="500" w:lineRule="exact"/>
              <w:jc w:val="center"/>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3</w:t>
            </w:r>
          </w:p>
        </w:tc>
        <w:tc>
          <w:tcPr>
            <w:tcW w:w="1464" w:type="dxa"/>
            <w:tcBorders>
              <w:bottom w:val="single" w:color="auto" w:sz="4" w:space="0"/>
            </w:tcBorders>
            <w:vAlign w:val="center"/>
          </w:tcPr>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手持电动工具</w:t>
            </w:r>
          </w:p>
        </w:tc>
        <w:tc>
          <w:tcPr>
            <w:tcW w:w="5040" w:type="dxa"/>
            <w:tcBorders>
              <w:bottom w:val="single" w:color="auto" w:sz="4" w:space="0"/>
            </w:tcBorders>
            <w:vAlign w:val="center"/>
          </w:tcPr>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使用I类手持电动工具的</w:t>
            </w:r>
          </w:p>
        </w:tc>
        <w:tc>
          <w:tcPr>
            <w:tcW w:w="1502" w:type="dxa"/>
            <w:tcBorders>
              <w:bottom w:val="single" w:color="auto" w:sz="4" w:space="0"/>
            </w:tcBorders>
            <w:vAlign w:val="center"/>
          </w:tcPr>
          <w:p>
            <w:pPr>
              <w:autoSpaceDE/>
              <w:autoSpaceDN/>
              <w:adjustRightInd/>
              <w:spacing w:line="500" w:lineRule="exact"/>
              <w:jc w:val="center"/>
              <w:rPr>
                <w:rFonts w:ascii="宋体" w:hAnsi="宋体" w:eastAsia="宋体"/>
                <w:color w:val="auto"/>
                <w:spacing w:val="-10"/>
                <w:kern w:val="2"/>
                <w:sz w:val="18"/>
                <w:szCs w:val="22"/>
                <w:highlight w:val="none"/>
              </w:rPr>
            </w:pPr>
            <w:r>
              <w:rPr>
                <w:rFonts w:hint="eastAsia" w:ascii="宋体" w:hAnsi="宋体" w:eastAsia="宋体"/>
                <w:color w:val="auto"/>
                <w:spacing w:val="-10"/>
                <w:kern w:val="2"/>
                <w:sz w:val="18"/>
                <w:szCs w:val="22"/>
                <w:highlight w:val="none"/>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38" w:hRule="atLeast"/>
          <w:jc w:val="center"/>
        </w:trPr>
        <w:tc>
          <w:tcPr>
            <w:tcW w:w="553" w:type="dxa"/>
            <w:tcBorders>
              <w:bottom w:val="single" w:color="auto" w:sz="4" w:space="0"/>
              <w:right w:val="single" w:color="auto" w:sz="4" w:space="0"/>
            </w:tcBorders>
            <w:vAlign w:val="center"/>
          </w:tcPr>
          <w:p>
            <w:pPr>
              <w:autoSpaceDE/>
              <w:autoSpaceDN/>
              <w:adjustRightInd/>
              <w:spacing w:line="500" w:lineRule="exact"/>
              <w:jc w:val="center"/>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4</w:t>
            </w:r>
          </w:p>
        </w:tc>
        <w:tc>
          <w:tcPr>
            <w:tcW w:w="1464" w:type="dxa"/>
            <w:tcBorders>
              <w:bottom w:val="single" w:color="auto" w:sz="4" w:space="0"/>
            </w:tcBorders>
            <w:vAlign w:val="center"/>
          </w:tcPr>
          <w:p>
            <w:pPr>
              <w:autoSpaceDE/>
              <w:autoSpaceDN/>
              <w:adjustRightInd/>
              <w:spacing w:line="500" w:lineRule="exact"/>
              <w:jc w:val="both"/>
              <w:rPr>
                <w:rFonts w:ascii="宋体" w:hAnsi="宋体" w:eastAsia="宋体"/>
                <w:color w:val="auto"/>
                <w:spacing w:val="-10"/>
                <w:kern w:val="2"/>
                <w:sz w:val="18"/>
                <w:szCs w:val="22"/>
                <w:highlight w:val="none"/>
              </w:rPr>
            </w:pPr>
            <w:r>
              <w:rPr>
                <w:rFonts w:hint="eastAsia" w:ascii="宋体" w:hAnsi="宋体" w:eastAsia="宋体"/>
                <w:color w:val="auto"/>
                <w:kern w:val="2"/>
                <w:sz w:val="21"/>
                <w:szCs w:val="22"/>
                <w:highlight w:val="none"/>
              </w:rPr>
              <w:t>电焊机</w:t>
            </w:r>
          </w:p>
        </w:tc>
        <w:tc>
          <w:tcPr>
            <w:tcW w:w="5040" w:type="dxa"/>
            <w:tcBorders>
              <w:bottom w:val="single" w:color="auto" w:sz="4" w:space="0"/>
            </w:tcBorders>
            <w:vAlign w:val="center"/>
          </w:tcPr>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无二次空载降压保护器或防触电保护器的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一次线长度超过5米，二次焊线长度超过30米的</w:t>
            </w:r>
          </w:p>
          <w:p>
            <w:pPr>
              <w:numPr>
                <w:ilvl w:val="0"/>
                <w:numId w:val="5"/>
              </w:numPr>
              <w:autoSpaceDE/>
              <w:autoSpaceDN/>
              <w:adjustRightInd/>
              <w:spacing w:line="500" w:lineRule="exact"/>
              <w:ind w:left="0" w:firstLine="0"/>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二次侧导线不采用橡套电缆的</w:t>
            </w:r>
          </w:p>
          <w:p>
            <w:pPr>
              <w:numPr>
                <w:ilvl w:val="0"/>
                <w:numId w:val="5"/>
              </w:numPr>
              <w:autoSpaceDE/>
              <w:autoSpaceDN/>
              <w:adjustRightInd/>
              <w:spacing w:line="500" w:lineRule="exact"/>
              <w:ind w:left="0" w:firstLine="0"/>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二次侧电缆线芯截面选择不当的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二次侧电缆跨楼层焊接作业的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焊接线接头超过3处或绝缘老化的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一、二次侧两端无保护罩的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一、二次侧接线端子残缺破损的或接线不牢固的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电源不使用自动开关的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露天作业电焊机无防雨措施的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工人焊接作业无防护用具，如电渣压力焊作业无绝缘手套绝缘鞋等</w:t>
            </w:r>
          </w:p>
        </w:tc>
        <w:tc>
          <w:tcPr>
            <w:tcW w:w="1502" w:type="dxa"/>
            <w:tcBorders>
              <w:bottom w:val="single" w:color="auto" w:sz="4" w:space="0"/>
            </w:tcBorders>
            <w:vAlign w:val="center"/>
          </w:tcPr>
          <w:p>
            <w:pPr>
              <w:autoSpaceDE/>
              <w:autoSpaceDN/>
              <w:adjustRightInd/>
              <w:spacing w:line="500" w:lineRule="exact"/>
              <w:jc w:val="center"/>
              <w:rPr>
                <w:rFonts w:ascii="宋体" w:hAnsi="宋体" w:eastAsia="宋体"/>
                <w:color w:val="auto"/>
                <w:spacing w:val="-10"/>
                <w:kern w:val="2"/>
                <w:sz w:val="18"/>
                <w:szCs w:val="22"/>
                <w:highlight w:val="none"/>
              </w:rPr>
            </w:pPr>
            <w:r>
              <w:rPr>
                <w:rFonts w:hint="eastAsia" w:ascii="宋体" w:hAnsi="宋体" w:eastAsia="宋体"/>
                <w:color w:val="auto"/>
                <w:spacing w:val="-10"/>
                <w:kern w:val="2"/>
                <w:sz w:val="18"/>
                <w:szCs w:val="22"/>
                <w:highlight w:val="none"/>
              </w:rPr>
              <w:t>100--300元／项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0" w:hRule="atLeast"/>
          <w:jc w:val="center"/>
        </w:trPr>
        <w:tc>
          <w:tcPr>
            <w:tcW w:w="553" w:type="dxa"/>
            <w:tcBorders>
              <w:right w:val="single" w:color="auto" w:sz="4" w:space="0"/>
            </w:tcBorders>
            <w:vAlign w:val="center"/>
          </w:tcPr>
          <w:p>
            <w:pPr>
              <w:autoSpaceDE/>
              <w:autoSpaceDN/>
              <w:adjustRightInd/>
              <w:spacing w:line="500" w:lineRule="exact"/>
              <w:jc w:val="center"/>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5</w:t>
            </w:r>
          </w:p>
        </w:tc>
        <w:tc>
          <w:tcPr>
            <w:tcW w:w="1464" w:type="dxa"/>
            <w:vAlign w:val="center"/>
          </w:tcPr>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气瓶</w:t>
            </w:r>
          </w:p>
        </w:tc>
        <w:tc>
          <w:tcPr>
            <w:tcW w:w="5040" w:type="dxa"/>
            <w:vAlign w:val="center"/>
          </w:tcPr>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各种气瓶无标准色标的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使用时气瓶间距小于5米，距明火小于10米又无间隔措施的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乙炔瓶使用或存放时平放或加热气瓶的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气瓶存放不符合要求的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气瓶使用时，减压阀、回火阀等相关配置不齐全或损坏</w:t>
            </w:r>
          </w:p>
        </w:tc>
        <w:tc>
          <w:tcPr>
            <w:tcW w:w="1502" w:type="dxa"/>
            <w:vAlign w:val="center"/>
          </w:tcPr>
          <w:p>
            <w:pPr>
              <w:autoSpaceDE/>
              <w:autoSpaceDN/>
              <w:adjustRightInd/>
              <w:spacing w:line="500" w:lineRule="exact"/>
              <w:jc w:val="center"/>
              <w:rPr>
                <w:rFonts w:ascii="宋体" w:hAnsi="宋体" w:eastAsia="宋体"/>
                <w:color w:val="auto"/>
                <w:spacing w:val="-10"/>
                <w:kern w:val="2"/>
                <w:sz w:val="18"/>
                <w:szCs w:val="22"/>
                <w:highlight w:val="none"/>
              </w:rPr>
            </w:pPr>
            <w:r>
              <w:rPr>
                <w:rFonts w:hint="eastAsia" w:ascii="宋体" w:hAnsi="宋体" w:eastAsia="宋体"/>
                <w:color w:val="auto"/>
                <w:spacing w:val="-10"/>
                <w:kern w:val="2"/>
                <w:sz w:val="18"/>
                <w:szCs w:val="22"/>
                <w:highlight w:val="none"/>
              </w:rPr>
              <w:t>100--300元／项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3" w:hRule="atLeast"/>
          <w:jc w:val="center"/>
        </w:trPr>
        <w:tc>
          <w:tcPr>
            <w:tcW w:w="553" w:type="dxa"/>
            <w:vMerge w:val="restart"/>
            <w:tcBorders>
              <w:bottom w:val="single" w:color="auto" w:sz="4" w:space="0"/>
              <w:right w:val="single" w:color="auto" w:sz="4" w:space="0"/>
            </w:tcBorders>
            <w:vAlign w:val="center"/>
          </w:tcPr>
          <w:p>
            <w:pPr>
              <w:autoSpaceDE/>
              <w:autoSpaceDN/>
              <w:adjustRightInd/>
              <w:spacing w:line="500" w:lineRule="exact"/>
              <w:jc w:val="center"/>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6</w:t>
            </w:r>
          </w:p>
        </w:tc>
        <w:tc>
          <w:tcPr>
            <w:tcW w:w="1464" w:type="dxa"/>
            <w:vMerge w:val="restart"/>
            <w:tcBorders>
              <w:bottom w:val="single" w:color="auto" w:sz="4" w:space="0"/>
            </w:tcBorders>
            <w:vAlign w:val="center"/>
          </w:tcPr>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施工机具通用部分</w:t>
            </w:r>
          </w:p>
        </w:tc>
        <w:tc>
          <w:tcPr>
            <w:tcW w:w="5040" w:type="dxa"/>
            <w:tcBorders>
              <w:bottom w:val="single" w:color="auto" w:sz="4" w:space="0"/>
            </w:tcBorders>
            <w:vAlign w:val="center"/>
          </w:tcPr>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电源线无选用橡套电缆的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电源线、插头残缺破损未更换的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未作保护接零（或保护接地）的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无漏电开关保护或漏电开关动作电流选择不当的</w:t>
            </w:r>
          </w:p>
        </w:tc>
        <w:tc>
          <w:tcPr>
            <w:tcW w:w="1502" w:type="dxa"/>
            <w:vMerge w:val="restart"/>
            <w:tcBorders>
              <w:bottom w:val="single" w:color="auto" w:sz="4" w:space="0"/>
            </w:tcBorders>
            <w:vAlign w:val="center"/>
          </w:tcPr>
          <w:p>
            <w:pPr>
              <w:autoSpaceDE/>
              <w:autoSpaceDN/>
              <w:adjustRightInd/>
              <w:spacing w:line="500" w:lineRule="exact"/>
              <w:jc w:val="center"/>
              <w:rPr>
                <w:rFonts w:ascii="宋体" w:hAnsi="宋体" w:eastAsia="宋体"/>
                <w:color w:val="auto"/>
                <w:spacing w:val="-10"/>
                <w:kern w:val="2"/>
                <w:sz w:val="18"/>
                <w:szCs w:val="22"/>
                <w:highlight w:val="none"/>
              </w:rPr>
            </w:pPr>
            <w:r>
              <w:rPr>
                <w:rFonts w:hint="eastAsia" w:ascii="宋体" w:hAnsi="宋体" w:eastAsia="宋体"/>
                <w:color w:val="auto"/>
                <w:spacing w:val="-10"/>
                <w:kern w:val="2"/>
                <w:sz w:val="18"/>
                <w:szCs w:val="22"/>
                <w:highlight w:val="none"/>
              </w:rPr>
              <w:t>100--300元／项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2" w:hRule="atLeast"/>
          <w:jc w:val="center"/>
        </w:trPr>
        <w:tc>
          <w:tcPr>
            <w:tcW w:w="553" w:type="dxa"/>
            <w:vMerge w:val="continue"/>
            <w:tcBorders>
              <w:right w:val="single" w:color="auto" w:sz="4" w:space="0"/>
            </w:tcBorders>
            <w:vAlign w:val="center"/>
          </w:tcPr>
          <w:p>
            <w:pPr>
              <w:autoSpaceDE/>
              <w:autoSpaceDN/>
              <w:adjustRightInd/>
              <w:spacing w:line="500" w:lineRule="exact"/>
              <w:jc w:val="center"/>
              <w:rPr>
                <w:rFonts w:ascii="宋体" w:hAnsi="宋体" w:eastAsia="宋体"/>
                <w:color w:val="auto"/>
                <w:kern w:val="2"/>
                <w:sz w:val="21"/>
                <w:szCs w:val="22"/>
                <w:highlight w:val="none"/>
              </w:rPr>
            </w:pPr>
          </w:p>
        </w:tc>
        <w:tc>
          <w:tcPr>
            <w:tcW w:w="1464" w:type="dxa"/>
            <w:vMerge w:val="continue"/>
            <w:vAlign w:val="center"/>
          </w:tcPr>
          <w:p>
            <w:pPr>
              <w:autoSpaceDE/>
              <w:autoSpaceDN/>
              <w:adjustRightInd/>
              <w:spacing w:line="500" w:lineRule="exact"/>
              <w:jc w:val="both"/>
              <w:rPr>
                <w:rFonts w:ascii="宋体" w:hAnsi="宋体" w:eastAsia="宋体"/>
                <w:color w:val="auto"/>
                <w:kern w:val="2"/>
                <w:sz w:val="21"/>
                <w:szCs w:val="22"/>
                <w:highlight w:val="none"/>
              </w:rPr>
            </w:pPr>
          </w:p>
        </w:tc>
        <w:tc>
          <w:tcPr>
            <w:tcW w:w="5040" w:type="dxa"/>
            <w:vAlign w:val="center"/>
          </w:tcPr>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随意接长机具电源线的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机具无人操作未切断电源的</w:t>
            </w:r>
          </w:p>
        </w:tc>
        <w:tc>
          <w:tcPr>
            <w:tcW w:w="1502" w:type="dxa"/>
            <w:vMerge w:val="continue"/>
            <w:vAlign w:val="center"/>
          </w:tcPr>
          <w:p>
            <w:pPr>
              <w:autoSpaceDE/>
              <w:autoSpaceDN/>
              <w:adjustRightInd/>
              <w:spacing w:line="500" w:lineRule="exact"/>
              <w:jc w:val="center"/>
              <w:rPr>
                <w:rFonts w:ascii="宋体" w:hAnsi="宋体" w:eastAsia="宋体"/>
                <w:color w:val="auto"/>
                <w:kern w:val="2"/>
                <w:sz w:val="18"/>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9" w:hRule="atLeast"/>
          <w:jc w:val="center"/>
        </w:trPr>
        <w:tc>
          <w:tcPr>
            <w:tcW w:w="553" w:type="dxa"/>
            <w:vMerge w:val="continue"/>
            <w:tcBorders>
              <w:right w:val="single" w:color="auto" w:sz="4" w:space="0"/>
            </w:tcBorders>
            <w:vAlign w:val="center"/>
          </w:tcPr>
          <w:p>
            <w:pPr>
              <w:autoSpaceDE/>
              <w:autoSpaceDN/>
              <w:adjustRightInd/>
              <w:spacing w:line="500" w:lineRule="exact"/>
              <w:jc w:val="center"/>
              <w:rPr>
                <w:rFonts w:ascii="宋体" w:hAnsi="宋体" w:eastAsia="宋体"/>
                <w:color w:val="auto"/>
                <w:kern w:val="2"/>
                <w:sz w:val="21"/>
                <w:szCs w:val="22"/>
                <w:highlight w:val="none"/>
              </w:rPr>
            </w:pPr>
          </w:p>
        </w:tc>
        <w:tc>
          <w:tcPr>
            <w:tcW w:w="1464" w:type="dxa"/>
            <w:vMerge w:val="continue"/>
            <w:vAlign w:val="center"/>
          </w:tcPr>
          <w:p>
            <w:pPr>
              <w:autoSpaceDE/>
              <w:autoSpaceDN/>
              <w:adjustRightInd/>
              <w:spacing w:line="500" w:lineRule="exact"/>
              <w:jc w:val="both"/>
              <w:rPr>
                <w:rFonts w:ascii="宋体" w:hAnsi="宋体" w:eastAsia="宋体"/>
                <w:color w:val="auto"/>
                <w:kern w:val="2"/>
                <w:sz w:val="21"/>
                <w:szCs w:val="22"/>
                <w:highlight w:val="none"/>
              </w:rPr>
            </w:pPr>
          </w:p>
        </w:tc>
        <w:tc>
          <w:tcPr>
            <w:tcW w:w="5040" w:type="dxa"/>
            <w:vAlign w:val="center"/>
          </w:tcPr>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无安全检测记录便投入使用的</w:t>
            </w:r>
          </w:p>
        </w:tc>
        <w:tc>
          <w:tcPr>
            <w:tcW w:w="1502" w:type="dxa"/>
            <w:vAlign w:val="center"/>
          </w:tcPr>
          <w:p>
            <w:pPr>
              <w:autoSpaceDE/>
              <w:autoSpaceDN/>
              <w:adjustRightInd/>
              <w:spacing w:line="500" w:lineRule="exact"/>
              <w:jc w:val="center"/>
              <w:rPr>
                <w:rFonts w:ascii="宋体" w:hAnsi="宋体" w:eastAsia="宋体"/>
                <w:color w:val="auto"/>
                <w:spacing w:val="-10"/>
                <w:kern w:val="2"/>
                <w:sz w:val="18"/>
                <w:szCs w:val="22"/>
                <w:highlight w:val="none"/>
              </w:rPr>
            </w:pPr>
            <w:r>
              <w:rPr>
                <w:rFonts w:hint="eastAsia" w:ascii="宋体" w:hAnsi="宋体" w:eastAsia="宋体"/>
                <w:color w:val="auto"/>
                <w:spacing w:val="-10"/>
                <w:kern w:val="2"/>
                <w:sz w:val="18"/>
                <w:szCs w:val="22"/>
                <w:highlight w:val="none"/>
              </w:rPr>
              <w:t>100--300元／项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1" w:hRule="atLeast"/>
          <w:jc w:val="center"/>
        </w:trPr>
        <w:tc>
          <w:tcPr>
            <w:tcW w:w="553" w:type="dxa"/>
            <w:tcBorders>
              <w:right w:val="single" w:color="auto" w:sz="4" w:space="0"/>
            </w:tcBorders>
            <w:vAlign w:val="center"/>
          </w:tcPr>
          <w:p>
            <w:pPr>
              <w:autoSpaceDE/>
              <w:autoSpaceDN/>
              <w:adjustRightInd/>
              <w:spacing w:line="500" w:lineRule="exact"/>
              <w:jc w:val="center"/>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7</w:t>
            </w:r>
          </w:p>
        </w:tc>
        <w:tc>
          <w:tcPr>
            <w:tcW w:w="1464" w:type="dxa"/>
            <w:vAlign w:val="center"/>
          </w:tcPr>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塔吊、人货梯</w:t>
            </w:r>
          </w:p>
        </w:tc>
        <w:tc>
          <w:tcPr>
            <w:tcW w:w="5040" w:type="dxa"/>
            <w:vAlign w:val="center"/>
          </w:tcPr>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违规调物的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特种人员未持有效资格证上岗的</w:t>
            </w:r>
          </w:p>
          <w:p>
            <w:pPr>
              <w:autoSpaceDE/>
              <w:autoSpaceDN/>
              <w:adjustRightInd/>
              <w:spacing w:line="500" w:lineRule="exact"/>
              <w:jc w:val="both"/>
              <w:rPr>
                <w:rFonts w:ascii="宋体" w:hAnsi="宋体" w:eastAsia="宋体"/>
                <w:color w:val="auto"/>
                <w:kern w:val="2"/>
                <w:sz w:val="21"/>
                <w:szCs w:val="22"/>
                <w:highlight w:val="none"/>
              </w:rPr>
            </w:pPr>
            <w:r>
              <w:rPr>
                <w:rFonts w:hint="eastAsia" w:ascii="宋体" w:hAnsi="宋体" w:eastAsia="宋体"/>
                <w:color w:val="auto"/>
                <w:kern w:val="2"/>
                <w:sz w:val="21"/>
                <w:szCs w:val="22"/>
                <w:highlight w:val="none"/>
              </w:rPr>
              <w:t>未定期维护保养记录的（非司索指挥塔吊的或操作人货梯）</w:t>
            </w:r>
          </w:p>
        </w:tc>
        <w:tc>
          <w:tcPr>
            <w:tcW w:w="1502" w:type="dxa"/>
            <w:vAlign w:val="center"/>
          </w:tcPr>
          <w:p>
            <w:pPr>
              <w:autoSpaceDE/>
              <w:autoSpaceDN/>
              <w:adjustRightInd/>
              <w:spacing w:line="500" w:lineRule="exact"/>
              <w:jc w:val="center"/>
              <w:rPr>
                <w:rFonts w:ascii="宋体" w:hAnsi="宋体" w:eastAsia="宋体"/>
                <w:color w:val="auto"/>
                <w:spacing w:val="-10"/>
                <w:kern w:val="2"/>
                <w:sz w:val="18"/>
                <w:szCs w:val="22"/>
                <w:highlight w:val="none"/>
              </w:rPr>
            </w:pPr>
            <w:r>
              <w:rPr>
                <w:rFonts w:hint="eastAsia" w:ascii="宋体" w:hAnsi="宋体" w:eastAsia="宋体"/>
                <w:color w:val="auto"/>
                <w:spacing w:val="-10"/>
                <w:kern w:val="2"/>
                <w:sz w:val="18"/>
                <w:szCs w:val="22"/>
                <w:highlight w:val="none"/>
              </w:rPr>
              <w:t>500-2000元/项</w:t>
            </w:r>
          </w:p>
        </w:tc>
      </w:tr>
    </w:tbl>
    <w:p>
      <w:pPr>
        <w:spacing w:line="500" w:lineRule="exact"/>
        <w:rPr>
          <w:rFonts w:ascii="宋体" w:eastAsia="宋体" w:cs="宋体"/>
          <w:color w:val="auto"/>
          <w:sz w:val="24"/>
          <w:szCs w:val="24"/>
          <w:highlight w:val="none"/>
        </w:rPr>
      </w:pPr>
    </w:p>
    <w:p>
      <w:pPr>
        <w:autoSpaceDE/>
        <w:autoSpaceDN/>
        <w:adjustRightInd/>
        <w:spacing w:line="360" w:lineRule="auto"/>
        <w:jc w:val="both"/>
        <w:rPr>
          <w:rFonts w:ascii="Times New Roman" w:eastAsia="宋体"/>
          <w:color w:val="auto"/>
          <w:kern w:val="2"/>
          <w:sz w:val="21"/>
          <w:szCs w:val="22"/>
          <w:highlight w:val="none"/>
        </w:rPr>
      </w:pP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 4.5.2环境、文明施工管理 </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（1）严格执行本项目部制定的现场卫生管理制度、文明施工管理制度、扬尘控制措施、环境管理方案，保持场容整洁卫生，杜绝扬尘污染。 </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（2）认真执行环境管理方案，对噪音源进行有效控制，确保噪音达标排放。 </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（3）</w:t>
      </w:r>
      <w:bookmarkStart w:id="30" w:name="_Hlk115425284"/>
      <w:r>
        <w:rPr>
          <w:rFonts w:hint="eastAsia" w:ascii="Times New Roman" w:eastAsia="宋体"/>
          <w:color w:val="auto"/>
          <w:kern w:val="2"/>
          <w:sz w:val="21"/>
          <w:szCs w:val="22"/>
          <w:highlight w:val="none"/>
        </w:rPr>
        <w:t>一切垃圾（包括包装物、零碎料等施工垃圾、生活垃圾）必须通过包装物或装盛器具运到现场指定垃圾堆放点存放，不得由空中向下抛洒任何物体。 </w:t>
      </w:r>
      <w:bookmarkEnd w:id="30"/>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（4）工程施工使用的材料应符合国家、当地政府的有关环保规定。材料采购合同，应明确包装的回收约定。 </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（5）化学危险品采购、运输、储存、使用、包装回收应有专人负责，严格执行国家及当地政府的有关规定。 </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（6）加强现场消防防火工作，避免火灾引起的环境污染。 </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（7）加强施工人员教育，关心工人生活，杜绝打架斗殴、集体中毒、违法刑事案件、集体上访、拖欠农民工工资等影响本项目形象的事件发生。 </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（8）违反以上各条环境、文明施工管理制度的，视情况每次处收取违约金100-10000元。</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4.5.3奖罚 </w:t>
      </w:r>
    </w:p>
    <w:p>
      <w:pPr>
        <w:autoSpaceDE/>
        <w:autoSpaceDN/>
        <w:adjustRightInd/>
        <w:spacing w:line="360" w:lineRule="auto"/>
        <w:ind w:firstLine="420" w:firstLineChars="200"/>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由监理、甲方制定安全文明施工防护措施奖罚制度，并严格按照制度实施，现场罚没的资金直接上缴至安全专项资金里，做到专款专用。 </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5.纪律约束 </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5.1对分包人的纪律约束 </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（1）所有分包人必须严格执行国家、甲方、监理单位及总包单位的有关规定。 </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（2）在工程施工中，不准有弄虚作假等欺诈行为，不准送礼行贿。 </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（3）在施工中发现分包人有违法、违纪行为者，将对其清退出现场，并永不再与其合作。 </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5.2对总包人员的纪律约束 </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（1）总包各管理人员要秉公办事，坚持原则，尽职尽责。</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（2）总包人员要廉洁自律，严禁对分包人吃、拿、卡、要，索贿受贿，如有违犯者，按有关规定处理。 </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（3）对在工程管理中给甲方造成损失的单位、个人，将视其情节轻重，予以经济处罚及行政处分。 </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6.其他 </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（1）上述各项管理制度如与其他管理制度或合同条款约定有冲突的，按最严格的执行。</w:t>
      </w:r>
    </w:p>
    <w:p>
      <w:pPr>
        <w:autoSpaceDE/>
        <w:autoSpaceDN/>
        <w:adjustRightInd/>
        <w:spacing w:line="360" w:lineRule="auto"/>
        <w:jc w:val="both"/>
        <w:rPr>
          <w:rFonts w:ascii="Times New Roman" w:eastAsia="宋体"/>
          <w:color w:val="auto"/>
          <w:kern w:val="2"/>
          <w:sz w:val="21"/>
          <w:szCs w:val="22"/>
          <w:highlight w:val="none"/>
        </w:rPr>
      </w:pPr>
      <w:r>
        <w:rPr>
          <w:rFonts w:hint="eastAsia" w:ascii="Times New Roman" w:eastAsia="宋体"/>
          <w:color w:val="auto"/>
          <w:kern w:val="2"/>
          <w:sz w:val="21"/>
          <w:szCs w:val="22"/>
          <w:highlight w:val="none"/>
        </w:rPr>
        <w:t>（2）本管理制度解释权归本项目甲方。</w:t>
      </w:r>
    </w:p>
    <w:p>
      <w:pPr>
        <w:autoSpaceDE/>
        <w:autoSpaceDN/>
        <w:adjustRightInd/>
        <w:spacing w:line="360" w:lineRule="auto"/>
        <w:jc w:val="both"/>
        <w:rPr>
          <w:rFonts w:ascii="宋体" w:hAnsi="宋体" w:eastAsia="宋体"/>
          <w:b/>
          <w:color w:val="auto"/>
          <w:kern w:val="2"/>
          <w:sz w:val="21"/>
          <w:szCs w:val="22"/>
          <w:highlight w:val="none"/>
        </w:rPr>
      </w:pPr>
    </w:p>
    <w:p>
      <w:pPr>
        <w:autoSpaceDE/>
        <w:autoSpaceDN/>
        <w:adjustRightInd/>
        <w:spacing w:line="360" w:lineRule="auto"/>
        <w:ind w:firstLine="340" w:firstLineChars="100"/>
        <w:jc w:val="both"/>
        <w:rPr>
          <w:color w:val="auto"/>
          <w:highlight w:val="none"/>
        </w:rPr>
        <w:sectPr>
          <w:footerReference r:id="rId4" w:type="first"/>
          <w:footerReference r:id="rId3" w:type="default"/>
          <w:pgSz w:w="11906" w:h="16838"/>
          <w:pgMar w:top="1440" w:right="1800" w:bottom="1440" w:left="1800" w:header="851" w:footer="992" w:gutter="0"/>
          <w:cols w:space="720" w:num="1"/>
          <w:titlePg/>
          <w:docGrid w:type="lines" w:linePitch="462" w:charSpace="0"/>
        </w:sectPr>
      </w:pPr>
      <w:bookmarkStart w:id="31" w:name="_Toc529972341"/>
    </w:p>
    <w:p>
      <w:pPr>
        <w:pStyle w:val="9"/>
        <w:snapToGrid w:val="0"/>
        <w:spacing w:after="0" w:line="360" w:lineRule="auto"/>
        <w:ind w:left="0" w:leftChars="0"/>
        <w:outlineLvl w:val="0"/>
        <w:rPr>
          <w:rFonts w:ascii="仿宋" w:hAnsi="仿宋" w:eastAsia="仿宋"/>
          <w:b/>
          <w:color w:val="auto"/>
          <w:sz w:val="21"/>
          <w:szCs w:val="21"/>
          <w:highlight w:val="none"/>
        </w:rPr>
      </w:pPr>
    </w:p>
    <w:p>
      <w:pPr>
        <w:pStyle w:val="9"/>
        <w:snapToGrid w:val="0"/>
        <w:spacing w:after="0" w:line="360" w:lineRule="auto"/>
        <w:ind w:left="0" w:leftChars="0"/>
        <w:outlineLvl w:val="0"/>
        <w:rPr>
          <w:rFonts w:ascii="仿宋" w:hAnsi="仿宋" w:eastAsia="仿宋"/>
          <w:b/>
          <w:color w:val="auto"/>
          <w:sz w:val="21"/>
          <w:szCs w:val="21"/>
          <w:highlight w:val="none"/>
        </w:rPr>
      </w:pPr>
      <w:r>
        <w:rPr>
          <w:rFonts w:hint="eastAsia" w:ascii="仿宋" w:hAnsi="仿宋" w:eastAsia="仿宋"/>
          <w:b/>
          <w:color w:val="auto"/>
          <w:sz w:val="21"/>
          <w:szCs w:val="21"/>
          <w:highlight w:val="none"/>
        </w:rPr>
        <w:t>附件四：</w:t>
      </w:r>
      <w:bookmarkEnd w:id="31"/>
      <w:r>
        <w:rPr>
          <w:rFonts w:hint="eastAsia" w:ascii="仿宋" w:hAnsi="仿宋" w:eastAsia="仿宋"/>
          <w:b/>
          <w:color w:val="auto"/>
          <w:sz w:val="21"/>
          <w:szCs w:val="21"/>
          <w:highlight w:val="none"/>
        </w:rPr>
        <w:t>施工界面划分表</w:t>
      </w:r>
    </w:p>
    <w:tbl>
      <w:tblPr>
        <w:tblStyle w:val="17"/>
        <w:tblW w:w="14049" w:type="dxa"/>
        <w:tblInd w:w="93" w:type="dxa"/>
        <w:tblLayout w:type="fixed"/>
        <w:tblCellMar>
          <w:top w:w="0" w:type="dxa"/>
          <w:left w:w="108" w:type="dxa"/>
          <w:bottom w:w="0" w:type="dxa"/>
          <w:right w:w="108" w:type="dxa"/>
        </w:tblCellMar>
      </w:tblPr>
      <w:tblGrid>
        <w:gridCol w:w="555"/>
        <w:gridCol w:w="1036"/>
        <w:gridCol w:w="2816"/>
        <w:gridCol w:w="2294"/>
        <w:gridCol w:w="3436"/>
        <w:gridCol w:w="1873"/>
        <w:gridCol w:w="2039"/>
      </w:tblGrid>
      <w:tr>
        <w:tblPrEx>
          <w:tblLayout w:type="fixed"/>
          <w:tblCellMar>
            <w:top w:w="0" w:type="dxa"/>
            <w:left w:w="108" w:type="dxa"/>
            <w:bottom w:w="0" w:type="dxa"/>
            <w:right w:w="108" w:type="dxa"/>
          </w:tblCellMar>
        </w:tblPrEx>
        <w:trPr>
          <w:trHeight w:val="933" w:hRule="atLeast"/>
        </w:trPr>
        <w:tc>
          <w:tcPr>
            <w:tcW w:w="555" w:type="dxa"/>
            <w:vMerge w:val="restart"/>
            <w:tcBorders>
              <w:top w:val="single" w:color="auto" w:sz="4" w:space="0"/>
              <w:left w:val="single" w:color="auto" w:sz="4" w:space="0"/>
              <w:right w:val="single" w:color="auto" w:sz="4" w:space="0"/>
            </w:tcBorders>
            <w:shd w:val="clear" w:color="auto" w:fill="auto"/>
            <w:vAlign w:val="center"/>
          </w:tcPr>
          <w:p>
            <w:pPr>
              <w:widowControl/>
              <w:autoSpaceDE/>
              <w:autoSpaceDN/>
              <w:adjustRightInd/>
              <w:jc w:val="center"/>
              <w:rPr>
                <w:rFonts w:ascii="等线" w:hAnsi="等线" w:eastAsia="等线" w:cs="宋体"/>
                <w:b/>
                <w:bCs/>
                <w:color w:val="auto"/>
                <w:sz w:val="21"/>
                <w:szCs w:val="21"/>
                <w:highlight w:val="none"/>
              </w:rPr>
            </w:pPr>
            <w:r>
              <w:rPr>
                <w:rFonts w:hint="eastAsia" w:ascii="等线" w:hAnsi="等线" w:eastAsia="等线" w:cs="宋体"/>
                <w:b/>
                <w:bCs/>
                <w:color w:val="auto"/>
                <w:sz w:val="21"/>
                <w:szCs w:val="21"/>
                <w:highlight w:val="none"/>
              </w:rPr>
              <w:t>序</w:t>
            </w:r>
          </w:p>
          <w:p>
            <w:pPr>
              <w:widowControl/>
              <w:autoSpaceDE/>
              <w:autoSpaceDN/>
              <w:adjustRightInd/>
              <w:jc w:val="center"/>
              <w:rPr>
                <w:rFonts w:ascii="等线" w:hAnsi="等线" w:eastAsia="等线" w:cs="宋体"/>
                <w:b/>
                <w:bCs/>
                <w:color w:val="auto"/>
                <w:sz w:val="21"/>
                <w:szCs w:val="21"/>
                <w:highlight w:val="none"/>
              </w:rPr>
            </w:pPr>
            <w:r>
              <w:rPr>
                <w:rFonts w:hint="eastAsia" w:ascii="等线" w:hAnsi="等线" w:eastAsia="等线" w:cs="宋体"/>
                <w:b/>
                <w:bCs/>
                <w:color w:val="auto"/>
                <w:sz w:val="21"/>
                <w:szCs w:val="21"/>
                <w:highlight w:val="none"/>
              </w:rPr>
              <w:t>号</w:t>
            </w:r>
            <w:r>
              <w:rPr>
                <w:rFonts w:hint="eastAsia" w:ascii="等线" w:hAnsi="等线" w:eastAsia="等线" w:cs="宋体"/>
                <w:color w:val="auto"/>
                <w:sz w:val="21"/>
                <w:szCs w:val="21"/>
                <w:highlight w:val="none"/>
              </w:rPr>
              <w:t>　</w:t>
            </w:r>
          </w:p>
        </w:tc>
        <w:tc>
          <w:tcPr>
            <w:tcW w:w="1036"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jc w:val="center"/>
              <w:rPr>
                <w:rFonts w:ascii="仿宋" w:hAnsi="仿宋" w:eastAsia="仿宋" w:cs="宋体"/>
                <w:b/>
                <w:bCs/>
                <w:color w:val="auto"/>
                <w:sz w:val="21"/>
                <w:szCs w:val="21"/>
                <w:highlight w:val="none"/>
              </w:rPr>
            </w:pPr>
            <w:r>
              <w:rPr>
                <w:rFonts w:hint="eastAsia" w:ascii="仿宋" w:hAnsi="仿宋" w:eastAsia="仿宋" w:cs="宋体"/>
                <w:b/>
                <w:bCs/>
                <w:color w:val="auto"/>
                <w:sz w:val="21"/>
                <w:szCs w:val="21"/>
                <w:highlight w:val="none"/>
              </w:rPr>
              <w:t>工程内容</w:t>
            </w:r>
          </w:p>
        </w:tc>
        <w:tc>
          <w:tcPr>
            <w:tcW w:w="12458" w:type="dxa"/>
            <w:gridSpan w:val="5"/>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jc w:val="center"/>
              <w:rPr>
                <w:rFonts w:ascii="仿宋" w:hAnsi="仿宋" w:eastAsia="仿宋" w:cs="宋体"/>
                <w:b/>
                <w:bCs/>
                <w:color w:val="auto"/>
                <w:sz w:val="21"/>
                <w:szCs w:val="21"/>
                <w:highlight w:val="none"/>
              </w:rPr>
            </w:pPr>
            <w:r>
              <w:rPr>
                <w:rFonts w:hint="eastAsia" w:ascii="仿宋" w:hAnsi="仿宋" w:eastAsia="仿宋" w:cs="宋体"/>
                <w:b/>
                <w:bCs/>
                <w:color w:val="auto"/>
                <w:sz w:val="21"/>
                <w:szCs w:val="21"/>
                <w:highlight w:val="none"/>
              </w:rPr>
              <w:t>合同界面</w:t>
            </w:r>
          </w:p>
        </w:tc>
      </w:tr>
      <w:tr>
        <w:tblPrEx>
          <w:tblLayout w:type="fixed"/>
          <w:tblCellMar>
            <w:top w:w="0" w:type="dxa"/>
            <w:left w:w="108" w:type="dxa"/>
            <w:bottom w:w="0" w:type="dxa"/>
            <w:right w:w="108" w:type="dxa"/>
          </w:tblCellMar>
        </w:tblPrEx>
        <w:trPr>
          <w:trHeight w:val="444" w:hRule="atLeast"/>
        </w:trPr>
        <w:tc>
          <w:tcPr>
            <w:tcW w:w="555" w:type="dxa"/>
            <w:vMerge w:val="continue"/>
            <w:tcBorders>
              <w:left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等线" w:hAnsi="等线" w:eastAsia="等线" w:cs="宋体"/>
                <w:color w:val="auto"/>
                <w:sz w:val="21"/>
                <w:szCs w:val="21"/>
                <w:highlight w:val="none"/>
              </w:rPr>
            </w:pPr>
          </w:p>
        </w:tc>
        <w:tc>
          <w:tcPr>
            <w:tcW w:w="1036" w:type="dxa"/>
            <w:vMerge w:val="restart"/>
            <w:tcBorders>
              <w:top w:val="nil"/>
              <w:left w:val="nil"/>
              <w:right w:val="single" w:color="auto" w:sz="4" w:space="0"/>
            </w:tcBorders>
            <w:shd w:val="clear" w:color="auto" w:fill="auto"/>
            <w:vAlign w:val="center"/>
          </w:tcPr>
          <w:p>
            <w:pPr>
              <w:widowControl/>
              <w:autoSpaceDE/>
              <w:autoSpaceDN/>
              <w:adjustRightInd/>
              <w:spacing w:line="280" w:lineRule="exact"/>
              <w:jc w:val="center"/>
              <w:rPr>
                <w:rFonts w:ascii="仿宋" w:hAnsi="仿宋" w:eastAsia="仿宋" w:cs="宋体"/>
                <w:b/>
                <w:bCs/>
                <w:color w:val="auto"/>
                <w:sz w:val="21"/>
                <w:szCs w:val="21"/>
                <w:highlight w:val="none"/>
              </w:rPr>
            </w:pPr>
            <w:r>
              <w:rPr>
                <w:rFonts w:hint="eastAsia" w:ascii="仿宋" w:hAnsi="仿宋" w:eastAsia="仿宋" w:cs="宋体"/>
                <w:b/>
                <w:bCs/>
                <w:color w:val="auto"/>
                <w:sz w:val="21"/>
                <w:szCs w:val="21"/>
                <w:highlight w:val="none"/>
              </w:rPr>
              <w:t>电梯工程</w:t>
            </w:r>
          </w:p>
        </w:tc>
        <w:tc>
          <w:tcPr>
            <w:tcW w:w="5110" w:type="dxa"/>
            <w:gridSpan w:val="2"/>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仿宋" w:hAnsi="仿宋" w:eastAsia="仿宋" w:cs="宋体"/>
                <w:b/>
                <w:bCs/>
                <w:color w:val="auto"/>
                <w:sz w:val="21"/>
                <w:szCs w:val="21"/>
                <w:highlight w:val="none"/>
              </w:rPr>
            </w:pPr>
            <w:r>
              <w:rPr>
                <w:rFonts w:hint="eastAsia" w:ascii="仿宋" w:hAnsi="仿宋" w:eastAsia="仿宋" w:cs="宋体"/>
                <w:b/>
                <w:bCs/>
                <w:color w:val="auto"/>
                <w:szCs w:val="21"/>
                <w:highlight w:val="none"/>
              </w:rPr>
              <w:t>总包范围</w:t>
            </w:r>
          </w:p>
        </w:tc>
        <w:tc>
          <w:tcPr>
            <w:tcW w:w="3436" w:type="dxa"/>
            <w:vMerge w:val="restart"/>
            <w:tcBorders>
              <w:top w:val="nil"/>
              <w:left w:val="nil"/>
              <w:right w:val="single" w:color="auto" w:sz="4" w:space="0"/>
            </w:tcBorders>
            <w:shd w:val="clear" w:color="auto" w:fill="auto"/>
            <w:vAlign w:val="center"/>
          </w:tcPr>
          <w:p>
            <w:pPr>
              <w:widowControl/>
              <w:autoSpaceDE/>
              <w:autoSpaceDN/>
              <w:adjustRightInd/>
              <w:spacing w:line="280" w:lineRule="exact"/>
              <w:jc w:val="center"/>
              <w:rPr>
                <w:rFonts w:ascii="仿宋" w:hAnsi="仿宋" w:eastAsia="仿宋" w:cs="宋体"/>
                <w:b/>
                <w:bCs/>
                <w:color w:val="auto"/>
                <w:sz w:val="21"/>
                <w:szCs w:val="21"/>
                <w:highlight w:val="none"/>
              </w:rPr>
            </w:pPr>
            <w:r>
              <w:rPr>
                <w:rFonts w:hint="eastAsia" w:ascii="仿宋" w:hAnsi="仿宋" w:eastAsia="仿宋" w:cs="宋体"/>
                <w:b/>
                <w:bCs/>
                <w:color w:val="auto"/>
                <w:sz w:val="21"/>
                <w:szCs w:val="21"/>
                <w:highlight w:val="none"/>
              </w:rPr>
              <w:t>电梯设备供货、安装工程合同</w:t>
            </w:r>
          </w:p>
        </w:tc>
        <w:tc>
          <w:tcPr>
            <w:tcW w:w="1873" w:type="dxa"/>
            <w:vMerge w:val="restart"/>
            <w:tcBorders>
              <w:top w:val="nil"/>
              <w:left w:val="nil"/>
              <w:right w:val="single" w:color="auto" w:sz="4" w:space="0"/>
            </w:tcBorders>
            <w:shd w:val="clear" w:color="auto" w:fill="auto"/>
            <w:vAlign w:val="center"/>
          </w:tcPr>
          <w:p>
            <w:pPr>
              <w:widowControl/>
              <w:autoSpaceDE/>
              <w:autoSpaceDN/>
              <w:adjustRightInd/>
              <w:spacing w:line="280" w:lineRule="exact"/>
              <w:jc w:val="center"/>
              <w:rPr>
                <w:rFonts w:ascii="仿宋" w:hAnsi="仿宋" w:eastAsia="仿宋" w:cs="宋体"/>
                <w:b/>
                <w:bCs/>
                <w:color w:val="auto"/>
                <w:sz w:val="21"/>
                <w:szCs w:val="21"/>
                <w:highlight w:val="none"/>
              </w:rPr>
            </w:pPr>
            <w:r>
              <w:rPr>
                <w:rFonts w:hint="eastAsia" w:ascii="仿宋" w:hAnsi="仿宋" w:eastAsia="仿宋" w:cs="宋体"/>
                <w:b/>
                <w:bCs/>
                <w:color w:val="auto"/>
                <w:sz w:val="21"/>
                <w:szCs w:val="21"/>
                <w:highlight w:val="none"/>
              </w:rPr>
              <w:t>智能化合同</w:t>
            </w:r>
          </w:p>
        </w:tc>
        <w:tc>
          <w:tcPr>
            <w:tcW w:w="2039" w:type="dxa"/>
            <w:vMerge w:val="restart"/>
            <w:tcBorders>
              <w:top w:val="nil"/>
              <w:left w:val="nil"/>
              <w:right w:val="single" w:color="auto" w:sz="4" w:space="0"/>
            </w:tcBorders>
            <w:shd w:val="clear" w:color="auto" w:fill="auto"/>
            <w:vAlign w:val="center"/>
          </w:tcPr>
          <w:p>
            <w:pPr>
              <w:widowControl/>
              <w:autoSpaceDE/>
              <w:autoSpaceDN/>
              <w:adjustRightInd/>
              <w:spacing w:line="280" w:lineRule="exact"/>
              <w:jc w:val="center"/>
              <w:rPr>
                <w:rFonts w:ascii="仿宋" w:hAnsi="仿宋" w:eastAsia="仿宋" w:cs="宋体"/>
                <w:b/>
                <w:bCs/>
                <w:color w:val="auto"/>
                <w:sz w:val="21"/>
                <w:szCs w:val="21"/>
                <w:highlight w:val="none"/>
              </w:rPr>
            </w:pPr>
            <w:r>
              <w:rPr>
                <w:rFonts w:hint="eastAsia" w:ascii="仿宋" w:hAnsi="仿宋" w:eastAsia="仿宋" w:cs="宋体"/>
                <w:b/>
                <w:bCs/>
                <w:color w:val="auto"/>
                <w:sz w:val="21"/>
                <w:szCs w:val="21"/>
                <w:highlight w:val="none"/>
              </w:rPr>
              <w:t>精装修合同</w:t>
            </w:r>
          </w:p>
        </w:tc>
      </w:tr>
      <w:tr>
        <w:tblPrEx>
          <w:tblLayout w:type="fixed"/>
          <w:tblCellMar>
            <w:top w:w="0" w:type="dxa"/>
            <w:left w:w="108" w:type="dxa"/>
            <w:bottom w:w="0" w:type="dxa"/>
            <w:right w:w="108" w:type="dxa"/>
          </w:tblCellMar>
        </w:tblPrEx>
        <w:trPr>
          <w:trHeight w:val="335" w:hRule="atLeast"/>
        </w:trPr>
        <w:tc>
          <w:tcPr>
            <w:tcW w:w="555" w:type="dxa"/>
            <w:vMerge w:val="continue"/>
            <w:tcBorders>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等线" w:hAnsi="等线" w:eastAsia="等线" w:cs="宋体"/>
                <w:color w:val="auto"/>
                <w:szCs w:val="21"/>
                <w:highlight w:val="none"/>
              </w:rPr>
            </w:pPr>
          </w:p>
        </w:tc>
        <w:tc>
          <w:tcPr>
            <w:tcW w:w="1036" w:type="dxa"/>
            <w:vMerge w:val="continue"/>
            <w:tcBorders>
              <w:left w:val="nil"/>
              <w:bottom w:val="single" w:color="auto" w:sz="4" w:space="0"/>
              <w:right w:val="single" w:color="auto" w:sz="4" w:space="0"/>
            </w:tcBorders>
            <w:shd w:val="clear" w:color="auto" w:fill="auto"/>
            <w:vAlign w:val="center"/>
          </w:tcPr>
          <w:p>
            <w:pPr>
              <w:widowControl/>
              <w:spacing w:line="280" w:lineRule="exact"/>
              <w:jc w:val="center"/>
              <w:rPr>
                <w:rFonts w:ascii="仿宋" w:hAnsi="仿宋" w:eastAsia="仿宋" w:cs="宋体"/>
                <w:b/>
                <w:bCs/>
                <w:color w:val="auto"/>
                <w:szCs w:val="21"/>
                <w:highlight w:val="none"/>
              </w:rPr>
            </w:pPr>
          </w:p>
        </w:tc>
        <w:tc>
          <w:tcPr>
            <w:tcW w:w="2816"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 w:hAnsi="仿宋" w:eastAsia="仿宋" w:cs="宋体"/>
                <w:b/>
                <w:bCs/>
                <w:color w:val="auto"/>
                <w:szCs w:val="21"/>
                <w:highlight w:val="none"/>
              </w:rPr>
            </w:pPr>
            <w:r>
              <w:rPr>
                <w:rFonts w:hint="eastAsia" w:ascii="仿宋" w:hAnsi="仿宋" w:eastAsia="仿宋" w:cs="宋体"/>
                <w:b/>
                <w:bCs/>
                <w:color w:val="auto"/>
                <w:sz w:val="21"/>
                <w:szCs w:val="21"/>
                <w:highlight w:val="none"/>
              </w:rPr>
              <w:t>土建</w:t>
            </w:r>
          </w:p>
        </w:tc>
        <w:tc>
          <w:tcPr>
            <w:tcW w:w="2294"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 w:hAnsi="仿宋" w:eastAsia="仿宋" w:cs="宋体"/>
                <w:b/>
                <w:bCs/>
                <w:color w:val="auto"/>
                <w:szCs w:val="21"/>
                <w:highlight w:val="none"/>
              </w:rPr>
            </w:pPr>
            <w:r>
              <w:rPr>
                <w:rFonts w:hint="eastAsia" w:ascii="仿宋" w:hAnsi="仿宋" w:eastAsia="仿宋" w:cs="宋体"/>
                <w:b/>
                <w:bCs/>
                <w:color w:val="auto"/>
                <w:sz w:val="21"/>
                <w:szCs w:val="21"/>
                <w:highlight w:val="none"/>
              </w:rPr>
              <w:t>机电</w:t>
            </w:r>
          </w:p>
        </w:tc>
        <w:tc>
          <w:tcPr>
            <w:tcW w:w="3436" w:type="dxa"/>
            <w:vMerge w:val="continue"/>
            <w:tcBorders>
              <w:left w:val="nil"/>
              <w:bottom w:val="single" w:color="auto" w:sz="4" w:space="0"/>
              <w:right w:val="single" w:color="auto" w:sz="4" w:space="0"/>
            </w:tcBorders>
            <w:shd w:val="clear" w:color="auto" w:fill="auto"/>
            <w:vAlign w:val="center"/>
          </w:tcPr>
          <w:p>
            <w:pPr>
              <w:widowControl/>
              <w:spacing w:line="280" w:lineRule="exact"/>
              <w:jc w:val="center"/>
              <w:rPr>
                <w:rFonts w:ascii="仿宋" w:hAnsi="仿宋" w:eastAsia="仿宋" w:cs="宋体"/>
                <w:b/>
                <w:bCs/>
                <w:color w:val="auto"/>
                <w:szCs w:val="21"/>
                <w:highlight w:val="none"/>
              </w:rPr>
            </w:pPr>
          </w:p>
        </w:tc>
        <w:tc>
          <w:tcPr>
            <w:tcW w:w="1873" w:type="dxa"/>
            <w:vMerge w:val="continue"/>
            <w:tcBorders>
              <w:left w:val="nil"/>
              <w:bottom w:val="single" w:color="auto" w:sz="4" w:space="0"/>
              <w:right w:val="single" w:color="auto" w:sz="4" w:space="0"/>
            </w:tcBorders>
            <w:shd w:val="clear" w:color="auto" w:fill="auto"/>
            <w:vAlign w:val="center"/>
          </w:tcPr>
          <w:p>
            <w:pPr>
              <w:widowControl/>
              <w:spacing w:line="280" w:lineRule="exact"/>
              <w:jc w:val="center"/>
              <w:rPr>
                <w:rFonts w:ascii="仿宋" w:hAnsi="仿宋" w:eastAsia="仿宋" w:cs="宋体"/>
                <w:b/>
                <w:bCs/>
                <w:color w:val="auto"/>
                <w:szCs w:val="21"/>
                <w:highlight w:val="none"/>
              </w:rPr>
            </w:pPr>
          </w:p>
        </w:tc>
        <w:tc>
          <w:tcPr>
            <w:tcW w:w="2039" w:type="dxa"/>
            <w:vMerge w:val="continue"/>
            <w:tcBorders>
              <w:left w:val="nil"/>
              <w:bottom w:val="single" w:color="auto" w:sz="4" w:space="0"/>
              <w:right w:val="single" w:color="auto" w:sz="4" w:space="0"/>
            </w:tcBorders>
            <w:shd w:val="clear" w:color="auto" w:fill="auto"/>
            <w:vAlign w:val="center"/>
          </w:tcPr>
          <w:p>
            <w:pPr>
              <w:widowControl/>
              <w:spacing w:line="280" w:lineRule="exact"/>
              <w:jc w:val="center"/>
              <w:rPr>
                <w:rFonts w:ascii="仿宋" w:hAnsi="仿宋" w:eastAsia="仿宋" w:cs="宋体"/>
                <w:b/>
                <w:bCs/>
                <w:color w:val="auto"/>
                <w:szCs w:val="21"/>
                <w:highlight w:val="none"/>
              </w:rPr>
            </w:pPr>
          </w:p>
        </w:tc>
      </w:tr>
      <w:tr>
        <w:tblPrEx>
          <w:tblLayout w:type="fixed"/>
          <w:tblCellMar>
            <w:top w:w="0" w:type="dxa"/>
            <w:left w:w="108" w:type="dxa"/>
            <w:bottom w:w="0" w:type="dxa"/>
            <w:right w:w="108" w:type="dxa"/>
          </w:tblCellMar>
        </w:tblPrEx>
        <w:trPr>
          <w:trHeight w:val="850" w:hRule="atLeast"/>
        </w:trPr>
        <w:tc>
          <w:tcPr>
            <w:tcW w:w="555" w:type="dxa"/>
            <w:vMerge w:val="restart"/>
            <w:tcBorders>
              <w:top w:val="nil"/>
              <w:left w:val="single" w:color="auto" w:sz="4" w:space="0"/>
              <w:bottom w:val="nil"/>
              <w:right w:val="single" w:color="auto" w:sz="4" w:space="0"/>
            </w:tcBorders>
            <w:shd w:val="clear" w:color="auto" w:fill="auto"/>
            <w:vAlign w:val="center"/>
          </w:tcPr>
          <w:p>
            <w:pPr>
              <w:widowControl/>
              <w:autoSpaceDE/>
              <w:autoSpaceDN/>
              <w:adjustRightInd/>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1036"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电梯工程</w:t>
            </w:r>
          </w:p>
        </w:tc>
        <w:tc>
          <w:tcPr>
            <w:tcW w:w="2816"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rFonts w:hint="eastAsia"/>
                <w:color w:val="auto"/>
                <w:sz w:val="21"/>
                <w:szCs w:val="21"/>
                <w:highlight w:val="none"/>
              </w:rPr>
              <w:t>主体结构上开孔、洞、凹口、凹槽等</w:t>
            </w:r>
          </w:p>
        </w:tc>
        <w:tc>
          <w:tcPr>
            <w:tcW w:w="2294"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rFonts w:hint="eastAsia"/>
                <w:color w:val="auto"/>
                <w:sz w:val="21"/>
                <w:szCs w:val="21"/>
                <w:highlight w:val="none"/>
              </w:rPr>
              <w:t>/</w:t>
            </w:r>
          </w:p>
        </w:tc>
        <w:tc>
          <w:tcPr>
            <w:tcW w:w="3436"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rFonts w:hint="eastAsia"/>
                <w:color w:val="auto"/>
                <w:sz w:val="21"/>
                <w:szCs w:val="21"/>
                <w:highlight w:val="none"/>
              </w:rPr>
              <w:t>电梯设备供货、安装</w:t>
            </w:r>
          </w:p>
        </w:tc>
        <w:tc>
          <w:tcPr>
            <w:tcW w:w="1873"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rFonts w:hint="eastAsia"/>
                <w:color w:val="auto"/>
                <w:sz w:val="21"/>
                <w:szCs w:val="21"/>
                <w:highlight w:val="none"/>
              </w:rPr>
              <w:t>/</w:t>
            </w:r>
          </w:p>
        </w:tc>
        <w:tc>
          <w:tcPr>
            <w:tcW w:w="2039"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rFonts w:hint="eastAsia"/>
                <w:color w:val="auto"/>
                <w:sz w:val="21"/>
                <w:szCs w:val="21"/>
                <w:highlight w:val="none"/>
              </w:rPr>
              <w:t>/</w:t>
            </w:r>
          </w:p>
        </w:tc>
      </w:tr>
      <w:tr>
        <w:tblPrEx>
          <w:tblLayout w:type="fixed"/>
          <w:tblCellMar>
            <w:top w:w="0" w:type="dxa"/>
            <w:left w:w="108" w:type="dxa"/>
            <w:bottom w:w="0" w:type="dxa"/>
            <w:right w:w="108" w:type="dxa"/>
          </w:tblCellMar>
        </w:tblPrEx>
        <w:trPr>
          <w:trHeight w:val="850" w:hRule="atLeast"/>
        </w:trPr>
        <w:tc>
          <w:tcPr>
            <w:tcW w:w="555" w:type="dxa"/>
            <w:vMerge w:val="continue"/>
            <w:tcBorders>
              <w:top w:val="nil"/>
              <w:left w:val="single" w:color="auto" w:sz="4" w:space="0"/>
              <w:bottom w:val="nil"/>
              <w:right w:val="single" w:color="auto" w:sz="4" w:space="0"/>
            </w:tcBorders>
            <w:vAlign w:val="center"/>
          </w:tcPr>
          <w:p>
            <w:pPr>
              <w:widowControl/>
              <w:autoSpaceDE/>
              <w:autoSpaceDN/>
              <w:adjustRightInd/>
              <w:rPr>
                <w:rFonts w:ascii="宋体" w:hAnsi="宋体" w:eastAsia="宋体" w:cs="宋体"/>
                <w:color w:val="auto"/>
                <w:sz w:val="20"/>
                <w:szCs w:val="20"/>
                <w:highlight w:val="none"/>
              </w:rPr>
            </w:pPr>
          </w:p>
        </w:tc>
        <w:tc>
          <w:tcPr>
            <w:tcW w:w="1036"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宋体" w:hAnsi="宋体" w:eastAsia="宋体" w:cs="宋体"/>
                <w:color w:val="auto"/>
                <w:sz w:val="20"/>
                <w:szCs w:val="20"/>
                <w:highlight w:val="none"/>
              </w:rPr>
            </w:pPr>
          </w:p>
        </w:tc>
        <w:tc>
          <w:tcPr>
            <w:tcW w:w="2816"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rFonts w:hint="eastAsia"/>
                <w:color w:val="auto"/>
                <w:sz w:val="21"/>
                <w:szCs w:val="21"/>
                <w:highlight w:val="none"/>
              </w:rPr>
              <w:t>电梯机房内曳引机吊钩、钢梁、钢牛腿的预埋</w:t>
            </w:r>
          </w:p>
        </w:tc>
        <w:tc>
          <w:tcPr>
            <w:tcW w:w="2294"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color w:val="auto"/>
                <w:sz w:val="21"/>
                <w:szCs w:val="21"/>
                <w:highlight w:val="none"/>
              </w:rPr>
              <w:t>/</w:t>
            </w:r>
          </w:p>
        </w:tc>
        <w:tc>
          <w:tcPr>
            <w:tcW w:w="3436"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rFonts w:hint="eastAsia"/>
                <w:color w:val="auto"/>
                <w:sz w:val="21"/>
                <w:szCs w:val="21"/>
                <w:highlight w:val="none"/>
              </w:rPr>
              <w:t>电梯井道照明</w:t>
            </w:r>
          </w:p>
        </w:tc>
        <w:tc>
          <w:tcPr>
            <w:tcW w:w="1873"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color w:val="auto"/>
                <w:sz w:val="21"/>
                <w:szCs w:val="21"/>
                <w:highlight w:val="none"/>
              </w:rPr>
              <w:t>/</w:t>
            </w:r>
          </w:p>
        </w:tc>
        <w:tc>
          <w:tcPr>
            <w:tcW w:w="2039"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color w:val="auto"/>
                <w:sz w:val="21"/>
                <w:szCs w:val="21"/>
                <w:highlight w:val="none"/>
              </w:rPr>
              <w:t>/</w:t>
            </w:r>
          </w:p>
        </w:tc>
      </w:tr>
      <w:tr>
        <w:tblPrEx>
          <w:tblLayout w:type="fixed"/>
          <w:tblCellMar>
            <w:top w:w="0" w:type="dxa"/>
            <w:left w:w="108" w:type="dxa"/>
            <w:bottom w:w="0" w:type="dxa"/>
            <w:right w:w="108" w:type="dxa"/>
          </w:tblCellMar>
        </w:tblPrEx>
        <w:trPr>
          <w:trHeight w:val="1679" w:hRule="atLeast"/>
        </w:trPr>
        <w:tc>
          <w:tcPr>
            <w:tcW w:w="555" w:type="dxa"/>
            <w:vMerge w:val="continue"/>
            <w:tcBorders>
              <w:top w:val="nil"/>
              <w:left w:val="single" w:color="auto" w:sz="4" w:space="0"/>
              <w:bottom w:val="nil"/>
              <w:right w:val="single" w:color="auto" w:sz="4" w:space="0"/>
            </w:tcBorders>
            <w:vAlign w:val="center"/>
          </w:tcPr>
          <w:p>
            <w:pPr>
              <w:widowControl/>
              <w:autoSpaceDE/>
              <w:autoSpaceDN/>
              <w:adjustRightInd/>
              <w:rPr>
                <w:rFonts w:ascii="宋体" w:hAnsi="宋体" w:eastAsia="宋体" w:cs="宋体"/>
                <w:color w:val="auto"/>
                <w:sz w:val="20"/>
                <w:szCs w:val="20"/>
                <w:highlight w:val="none"/>
              </w:rPr>
            </w:pPr>
          </w:p>
        </w:tc>
        <w:tc>
          <w:tcPr>
            <w:tcW w:w="1036"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宋体" w:hAnsi="宋体" w:eastAsia="宋体" w:cs="宋体"/>
                <w:color w:val="auto"/>
                <w:sz w:val="20"/>
                <w:szCs w:val="20"/>
                <w:highlight w:val="none"/>
              </w:rPr>
            </w:pPr>
          </w:p>
        </w:tc>
        <w:tc>
          <w:tcPr>
            <w:tcW w:w="2816"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rFonts w:hint="eastAsia"/>
                <w:color w:val="auto"/>
                <w:sz w:val="21"/>
                <w:szCs w:val="21"/>
                <w:highlight w:val="none"/>
              </w:rPr>
              <w:t>电梯井道/机房中的混凝土构件（例如：混凝土牛腿、分割梁、搁机梁等一次、二次浇筑）</w:t>
            </w:r>
          </w:p>
        </w:tc>
        <w:tc>
          <w:tcPr>
            <w:tcW w:w="2294"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color w:val="auto"/>
                <w:sz w:val="21"/>
                <w:szCs w:val="21"/>
                <w:highlight w:val="none"/>
              </w:rPr>
              <w:t>/</w:t>
            </w:r>
          </w:p>
        </w:tc>
        <w:tc>
          <w:tcPr>
            <w:tcW w:w="3436"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rFonts w:hint="eastAsia"/>
                <w:color w:val="auto"/>
                <w:sz w:val="21"/>
                <w:szCs w:val="21"/>
                <w:highlight w:val="none"/>
              </w:rPr>
              <w:t>电梯井道/机房中的钢构件（例如：钢梁、钢牛腿、承重垫板和钢平台等）</w:t>
            </w:r>
          </w:p>
        </w:tc>
        <w:tc>
          <w:tcPr>
            <w:tcW w:w="1873"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color w:val="auto"/>
                <w:sz w:val="21"/>
                <w:szCs w:val="21"/>
                <w:highlight w:val="none"/>
              </w:rPr>
              <w:t>/</w:t>
            </w:r>
          </w:p>
        </w:tc>
        <w:tc>
          <w:tcPr>
            <w:tcW w:w="2039"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color w:val="auto"/>
                <w:sz w:val="21"/>
                <w:szCs w:val="21"/>
                <w:highlight w:val="none"/>
              </w:rPr>
              <w:t>/</w:t>
            </w:r>
          </w:p>
        </w:tc>
      </w:tr>
      <w:tr>
        <w:tblPrEx>
          <w:tblLayout w:type="fixed"/>
          <w:tblCellMar>
            <w:top w:w="0" w:type="dxa"/>
            <w:left w:w="108" w:type="dxa"/>
            <w:bottom w:w="0" w:type="dxa"/>
            <w:right w:w="108" w:type="dxa"/>
          </w:tblCellMar>
        </w:tblPrEx>
        <w:trPr>
          <w:trHeight w:val="850" w:hRule="atLeast"/>
        </w:trPr>
        <w:tc>
          <w:tcPr>
            <w:tcW w:w="555" w:type="dxa"/>
            <w:vMerge w:val="continue"/>
            <w:tcBorders>
              <w:top w:val="nil"/>
              <w:left w:val="single" w:color="auto" w:sz="4" w:space="0"/>
              <w:bottom w:val="nil"/>
              <w:right w:val="single" w:color="auto" w:sz="4" w:space="0"/>
            </w:tcBorders>
            <w:vAlign w:val="center"/>
          </w:tcPr>
          <w:p>
            <w:pPr>
              <w:widowControl/>
              <w:autoSpaceDE/>
              <w:autoSpaceDN/>
              <w:adjustRightInd/>
              <w:rPr>
                <w:rFonts w:ascii="宋体" w:hAnsi="宋体" w:eastAsia="宋体" w:cs="宋体"/>
                <w:color w:val="auto"/>
                <w:sz w:val="20"/>
                <w:szCs w:val="20"/>
                <w:highlight w:val="none"/>
              </w:rPr>
            </w:pPr>
          </w:p>
        </w:tc>
        <w:tc>
          <w:tcPr>
            <w:tcW w:w="1036"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宋体" w:hAnsi="宋体" w:eastAsia="宋体" w:cs="宋体"/>
                <w:color w:val="auto"/>
                <w:sz w:val="20"/>
                <w:szCs w:val="20"/>
                <w:highlight w:val="none"/>
              </w:rPr>
            </w:pPr>
          </w:p>
        </w:tc>
        <w:tc>
          <w:tcPr>
            <w:tcW w:w="2816"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rFonts w:hint="eastAsia"/>
                <w:color w:val="auto"/>
                <w:sz w:val="21"/>
                <w:szCs w:val="21"/>
                <w:highlight w:val="none"/>
              </w:rPr>
              <w:t>各设备混凝土基础一次、二次浇筑</w:t>
            </w:r>
          </w:p>
        </w:tc>
        <w:tc>
          <w:tcPr>
            <w:tcW w:w="2294"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color w:val="auto"/>
                <w:sz w:val="21"/>
                <w:szCs w:val="21"/>
                <w:highlight w:val="none"/>
              </w:rPr>
              <w:t>/</w:t>
            </w:r>
          </w:p>
        </w:tc>
        <w:tc>
          <w:tcPr>
            <w:tcW w:w="3436"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cs="宋体"/>
                <w:color w:val="auto"/>
                <w:sz w:val="21"/>
                <w:szCs w:val="21"/>
                <w:highlight w:val="none"/>
              </w:rPr>
            </w:pPr>
            <w:r>
              <w:rPr>
                <w:rFonts w:hint="eastAsia"/>
                <w:color w:val="auto"/>
                <w:sz w:val="21"/>
                <w:szCs w:val="21"/>
                <w:highlight w:val="none"/>
              </w:rPr>
              <w:t>电梯空调供货、安装；轿厢内吊顶部分管道</w:t>
            </w:r>
          </w:p>
        </w:tc>
        <w:tc>
          <w:tcPr>
            <w:tcW w:w="1873"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color w:val="auto"/>
                <w:sz w:val="21"/>
                <w:szCs w:val="21"/>
                <w:highlight w:val="none"/>
              </w:rPr>
              <w:t>/</w:t>
            </w:r>
          </w:p>
        </w:tc>
        <w:tc>
          <w:tcPr>
            <w:tcW w:w="2039"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rFonts w:hint="eastAsia"/>
                <w:color w:val="auto"/>
                <w:sz w:val="21"/>
                <w:szCs w:val="21"/>
                <w:highlight w:val="none"/>
              </w:rPr>
              <w:t>电梯轿厢内灯具、风口供货及安装</w:t>
            </w:r>
          </w:p>
        </w:tc>
      </w:tr>
      <w:tr>
        <w:tblPrEx>
          <w:tblLayout w:type="fixed"/>
          <w:tblCellMar>
            <w:top w:w="0" w:type="dxa"/>
            <w:left w:w="108" w:type="dxa"/>
            <w:bottom w:w="0" w:type="dxa"/>
            <w:right w:w="108" w:type="dxa"/>
          </w:tblCellMar>
        </w:tblPrEx>
        <w:trPr>
          <w:trHeight w:val="1404" w:hRule="atLeast"/>
        </w:trPr>
        <w:tc>
          <w:tcPr>
            <w:tcW w:w="555" w:type="dxa"/>
            <w:vMerge w:val="continue"/>
            <w:tcBorders>
              <w:top w:val="nil"/>
              <w:left w:val="single" w:color="auto" w:sz="4" w:space="0"/>
              <w:bottom w:val="nil"/>
              <w:right w:val="single" w:color="auto" w:sz="4" w:space="0"/>
            </w:tcBorders>
            <w:vAlign w:val="center"/>
          </w:tcPr>
          <w:p>
            <w:pPr>
              <w:widowControl/>
              <w:autoSpaceDE/>
              <w:autoSpaceDN/>
              <w:adjustRightInd/>
              <w:rPr>
                <w:rFonts w:ascii="宋体" w:hAnsi="宋体" w:eastAsia="宋体" w:cs="宋体"/>
                <w:color w:val="auto"/>
                <w:sz w:val="20"/>
                <w:szCs w:val="20"/>
                <w:highlight w:val="none"/>
              </w:rPr>
            </w:pPr>
          </w:p>
        </w:tc>
        <w:tc>
          <w:tcPr>
            <w:tcW w:w="1036"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宋体" w:hAnsi="宋体" w:eastAsia="宋体" w:cs="宋体"/>
                <w:color w:val="auto"/>
                <w:sz w:val="20"/>
                <w:szCs w:val="20"/>
                <w:highlight w:val="none"/>
              </w:rPr>
            </w:pPr>
          </w:p>
        </w:tc>
        <w:tc>
          <w:tcPr>
            <w:tcW w:w="2816"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rFonts w:hint="eastAsia"/>
                <w:color w:val="auto"/>
                <w:sz w:val="21"/>
                <w:szCs w:val="21"/>
                <w:highlight w:val="none"/>
              </w:rPr>
              <w:t>电梯井防水、楼层内厅门洞口防护及挡水</w:t>
            </w:r>
          </w:p>
        </w:tc>
        <w:tc>
          <w:tcPr>
            <w:tcW w:w="2294"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rFonts w:hint="eastAsia"/>
                <w:color w:val="auto"/>
                <w:sz w:val="21"/>
                <w:szCs w:val="21"/>
                <w:highlight w:val="none"/>
              </w:rPr>
              <w:t>电梯集水坑排水</w:t>
            </w:r>
          </w:p>
        </w:tc>
        <w:tc>
          <w:tcPr>
            <w:tcW w:w="3436"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rFonts w:hint="eastAsia"/>
                <w:color w:val="auto"/>
                <w:sz w:val="21"/>
                <w:szCs w:val="21"/>
                <w:highlight w:val="none"/>
              </w:rPr>
              <w:t>电梯轿厢前壁、住宅部分桥厢左右侧壁、厅门、轿厢门、小门套</w:t>
            </w:r>
          </w:p>
        </w:tc>
        <w:tc>
          <w:tcPr>
            <w:tcW w:w="1873"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color w:val="auto"/>
                <w:sz w:val="21"/>
                <w:szCs w:val="21"/>
                <w:highlight w:val="none"/>
              </w:rPr>
              <w:t>/</w:t>
            </w:r>
          </w:p>
        </w:tc>
        <w:tc>
          <w:tcPr>
            <w:tcW w:w="2039"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cs="宋体"/>
                <w:color w:val="auto"/>
                <w:sz w:val="21"/>
                <w:szCs w:val="21"/>
                <w:highlight w:val="none"/>
              </w:rPr>
            </w:pPr>
            <w:r>
              <w:rPr>
                <w:rFonts w:hint="eastAsia"/>
                <w:color w:val="auto"/>
                <w:sz w:val="21"/>
                <w:szCs w:val="21"/>
                <w:highlight w:val="none"/>
              </w:rPr>
              <w:t>办公楼部分轿厢左右壁、桥厢后壁、天花及地面装修、大门套</w:t>
            </w:r>
          </w:p>
        </w:tc>
      </w:tr>
      <w:tr>
        <w:tblPrEx>
          <w:tblLayout w:type="fixed"/>
          <w:tblCellMar>
            <w:top w:w="0" w:type="dxa"/>
            <w:left w:w="108" w:type="dxa"/>
            <w:bottom w:w="0" w:type="dxa"/>
            <w:right w:w="108" w:type="dxa"/>
          </w:tblCellMar>
        </w:tblPrEx>
        <w:trPr>
          <w:trHeight w:val="2232" w:hRule="atLeast"/>
        </w:trPr>
        <w:tc>
          <w:tcPr>
            <w:tcW w:w="555" w:type="dxa"/>
            <w:vMerge w:val="continue"/>
            <w:tcBorders>
              <w:top w:val="nil"/>
              <w:left w:val="single" w:color="auto" w:sz="4" w:space="0"/>
              <w:bottom w:val="nil"/>
              <w:right w:val="single" w:color="auto" w:sz="4" w:space="0"/>
            </w:tcBorders>
            <w:vAlign w:val="center"/>
          </w:tcPr>
          <w:p>
            <w:pPr>
              <w:widowControl/>
              <w:autoSpaceDE/>
              <w:autoSpaceDN/>
              <w:adjustRightInd/>
              <w:rPr>
                <w:rFonts w:ascii="宋体" w:hAnsi="宋体" w:eastAsia="宋体" w:cs="宋体"/>
                <w:color w:val="auto"/>
                <w:sz w:val="20"/>
                <w:szCs w:val="20"/>
                <w:highlight w:val="none"/>
              </w:rPr>
            </w:pPr>
          </w:p>
        </w:tc>
        <w:tc>
          <w:tcPr>
            <w:tcW w:w="1036"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宋体" w:hAnsi="宋体" w:eastAsia="宋体" w:cs="宋体"/>
                <w:color w:val="auto"/>
                <w:sz w:val="20"/>
                <w:szCs w:val="20"/>
                <w:highlight w:val="none"/>
              </w:rPr>
            </w:pPr>
          </w:p>
        </w:tc>
        <w:tc>
          <w:tcPr>
            <w:tcW w:w="2816"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rFonts w:hint="eastAsia"/>
                <w:color w:val="auto"/>
                <w:sz w:val="21"/>
                <w:szCs w:val="21"/>
                <w:highlight w:val="none"/>
              </w:rPr>
              <w:t>/</w:t>
            </w:r>
          </w:p>
        </w:tc>
        <w:tc>
          <w:tcPr>
            <w:tcW w:w="2294"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rFonts w:hint="eastAsia"/>
                <w:color w:val="auto"/>
                <w:sz w:val="21"/>
                <w:szCs w:val="21"/>
                <w:highlight w:val="none"/>
              </w:rPr>
              <w:t>从低压配电柜引线至电梯电源箱，从电源箱至电梯控制箱之前，含线槽、电缆敷设</w:t>
            </w:r>
          </w:p>
        </w:tc>
        <w:tc>
          <w:tcPr>
            <w:tcW w:w="3436"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rFonts w:hint="eastAsia"/>
                <w:color w:val="auto"/>
                <w:sz w:val="21"/>
                <w:szCs w:val="21"/>
                <w:highlight w:val="none"/>
              </w:rPr>
              <w:t>电梯轿厢与电梯机房视频监控、背景音乐、信息发布的随缆敷设</w:t>
            </w:r>
          </w:p>
        </w:tc>
        <w:tc>
          <w:tcPr>
            <w:tcW w:w="1873"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rFonts w:hint="eastAsia"/>
                <w:color w:val="auto"/>
                <w:sz w:val="21"/>
                <w:szCs w:val="21"/>
                <w:highlight w:val="none"/>
              </w:rPr>
              <w:t>电梯轿厢、机房内监控、背景音乐、信息发布系统等末端设备供货及安装</w:t>
            </w:r>
          </w:p>
        </w:tc>
        <w:tc>
          <w:tcPr>
            <w:tcW w:w="2039"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rFonts w:hint="eastAsia"/>
                <w:color w:val="auto"/>
                <w:sz w:val="21"/>
                <w:szCs w:val="21"/>
                <w:highlight w:val="none"/>
              </w:rPr>
              <w:t>/</w:t>
            </w:r>
          </w:p>
        </w:tc>
      </w:tr>
      <w:tr>
        <w:tblPrEx>
          <w:tblLayout w:type="fixed"/>
          <w:tblCellMar>
            <w:top w:w="0" w:type="dxa"/>
            <w:left w:w="108" w:type="dxa"/>
            <w:bottom w:w="0" w:type="dxa"/>
            <w:right w:w="108" w:type="dxa"/>
          </w:tblCellMar>
        </w:tblPrEx>
        <w:trPr>
          <w:trHeight w:val="1962" w:hRule="atLeast"/>
        </w:trPr>
        <w:tc>
          <w:tcPr>
            <w:tcW w:w="555" w:type="dxa"/>
            <w:vMerge w:val="continue"/>
            <w:tcBorders>
              <w:top w:val="nil"/>
              <w:left w:val="single" w:color="auto" w:sz="4" w:space="0"/>
              <w:bottom w:val="nil"/>
              <w:right w:val="single" w:color="auto" w:sz="4" w:space="0"/>
            </w:tcBorders>
            <w:vAlign w:val="center"/>
          </w:tcPr>
          <w:p>
            <w:pPr>
              <w:widowControl/>
              <w:autoSpaceDE/>
              <w:autoSpaceDN/>
              <w:adjustRightInd/>
              <w:rPr>
                <w:rFonts w:ascii="宋体" w:hAnsi="宋体" w:eastAsia="宋体" w:cs="宋体"/>
                <w:color w:val="auto"/>
                <w:sz w:val="20"/>
                <w:szCs w:val="20"/>
                <w:highlight w:val="none"/>
              </w:rPr>
            </w:pPr>
          </w:p>
        </w:tc>
        <w:tc>
          <w:tcPr>
            <w:tcW w:w="1036"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宋体" w:hAnsi="宋体" w:eastAsia="宋体" w:cs="宋体"/>
                <w:color w:val="auto"/>
                <w:sz w:val="20"/>
                <w:szCs w:val="20"/>
                <w:highlight w:val="none"/>
              </w:rPr>
            </w:pPr>
          </w:p>
        </w:tc>
        <w:tc>
          <w:tcPr>
            <w:tcW w:w="2816"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rFonts w:hint="eastAsia"/>
                <w:color w:val="auto"/>
                <w:sz w:val="21"/>
                <w:szCs w:val="21"/>
                <w:highlight w:val="none"/>
              </w:rPr>
              <w:t>调试用电供给</w:t>
            </w:r>
          </w:p>
        </w:tc>
        <w:tc>
          <w:tcPr>
            <w:tcW w:w="2294"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rFonts w:hint="eastAsia"/>
                <w:color w:val="auto"/>
                <w:sz w:val="21"/>
                <w:szCs w:val="21"/>
                <w:highlight w:val="none"/>
              </w:rPr>
              <w:t>电梯机房照明用电、通风空调，含配电箱、电线、开关、插座、灯具、线管、线槽、排气扇等。</w:t>
            </w:r>
          </w:p>
        </w:tc>
        <w:tc>
          <w:tcPr>
            <w:tcW w:w="3436"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rFonts w:hint="eastAsia"/>
                <w:color w:val="auto"/>
                <w:sz w:val="21"/>
                <w:szCs w:val="21"/>
                <w:highlight w:val="none"/>
              </w:rPr>
              <w:t>五方通话交换机供货，提供轿箱和机房的管线及接口</w:t>
            </w:r>
          </w:p>
        </w:tc>
        <w:tc>
          <w:tcPr>
            <w:tcW w:w="1873"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rFonts w:hint="eastAsia"/>
                <w:color w:val="auto"/>
                <w:sz w:val="21"/>
                <w:szCs w:val="21"/>
                <w:highlight w:val="none"/>
              </w:rPr>
              <w:t>机房至控制中心的五方通话管线安装</w:t>
            </w:r>
          </w:p>
        </w:tc>
        <w:tc>
          <w:tcPr>
            <w:tcW w:w="2039"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color w:val="auto"/>
                <w:sz w:val="21"/>
                <w:szCs w:val="21"/>
                <w:highlight w:val="none"/>
              </w:rPr>
              <w:t>/</w:t>
            </w:r>
          </w:p>
        </w:tc>
      </w:tr>
      <w:tr>
        <w:tblPrEx>
          <w:tblLayout w:type="fixed"/>
          <w:tblCellMar>
            <w:top w:w="0" w:type="dxa"/>
            <w:left w:w="108" w:type="dxa"/>
            <w:bottom w:w="0" w:type="dxa"/>
            <w:right w:w="108" w:type="dxa"/>
          </w:tblCellMar>
        </w:tblPrEx>
        <w:trPr>
          <w:trHeight w:val="1683" w:hRule="atLeast"/>
        </w:trPr>
        <w:tc>
          <w:tcPr>
            <w:tcW w:w="555" w:type="dxa"/>
            <w:vMerge w:val="continue"/>
            <w:tcBorders>
              <w:top w:val="nil"/>
              <w:left w:val="single" w:color="auto" w:sz="4" w:space="0"/>
              <w:bottom w:val="nil"/>
              <w:right w:val="single" w:color="auto" w:sz="4" w:space="0"/>
            </w:tcBorders>
            <w:vAlign w:val="center"/>
          </w:tcPr>
          <w:p>
            <w:pPr>
              <w:widowControl/>
              <w:autoSpaceDE/>
              <w:autoSpaceDN/>
              <w:adjustRightInd/>
              <w:rPr>
                <w:rFonts w:ascii="宋体" w:hAnsi="宋体" w:eastAsia="宋体" w:cs="宋体"/>
                <w:color w:val="auto"/>
                <w:sz w:val="20"/>
                <w:szCs w:val="20"/>
                <w:highlight w:val="none"/>
              </w:rPr>
            </w:pPr>
          </w:p>
        </w:tc>
        <w:tc>
          <w:tcPr>
            <w:tcW w:w="1036"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宋体" w:hAnsi="宋体" w:eastAsia="宋体" w:cs="宋体"/>
                <w:color w:val="auto"/>
                <w:sz w:val="20"/>
                <w:szCs w:val="20"/>
                <w:highlight w:val="none"/>
              </w:rPr>
            </w:pPr>
          </w:p>
        </w:tc>
        <w:tc>
          <w:tcPr>
            <w:tcW w:w="2816"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color w:val="auto"/>
                <w:sz w:val="21"/>
                <w:szCs w:val="21"/>
                <w:highlight w:val="none"/>
              </w:rPr>
            </w:pPr>
          </w:p>
        </w:tc>
        <w:tc>
          <w:tcPr>
            <w:tcW w:w="2294"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color w:val="auto"/>
                <w:sz w:val="21"/>
                <w:szCs w:val="21"/>
                <w:highlight w:val="none"/>
              </w:rPr>
            </w:pPr>
          </w:p>
        </w:tc>
        <w:tc>
          <w:tcPr>
            <w:tcW w:w="3436"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color w:val="auto"/>
                <w:sz w:val="21"/>
                <w:szCs w:val="21"/>
                <w:highlight w:val="none"/>
              </w:rPr>
            </w:pPr>
            <w:r>
              <w:rPr>
                <w:rFonts w:hint="eastAsia"/>
                <w:color w:val="auto"/>
                <w:sz w:val="21"/>
                <w:szCs w:val="21"/>
                <w:highlight w:val="none"/>
              </w:rPr>
              <w:t>1、配置电梯楼层控制功能，实现轿厢内读卡/二维码后自动点亮对应楼层，并运送客户抵达所要到达的楼层(多楼层权限客户需手动选择楼层按键</w:t>
            </w:r>
          </w:p>
          <w:p>
            <w:pPr>
              <w:widowControl/>
              <w:autoSpaceDE/>
              <w:autoSpaceDN/>
              <w:adjustRightInd/>
              <w:spacing w:line="280" w:lineRule="exact"/>
              <w:jc w:val="center"/>
              <w:rPr>
                <w:color w:val="auto"/>
                <w:sz w:val="21"/>
                <w:szCs w:val="21"/>
                <w:highlight w:val="none"/>
              </w:rPr>
            </w:pPr>
            <w:r>
              <w:rPr>
                <w:rFonts w:ascii="Calibri" w:hAnsi="Calibri" w:cs="Calibri"/>
                <w:color w:val="auto"/>
                <w:sz w:val="21"/>
                <w:szCs w:val="21"/>
                <w:highlight w:val="none"/>
              </w:rPr>
              <w:t>①</w:t>
            </w:r>
            <w:r>
              <w:rPr>
                <w:rFonts w:hint="eastAsia"/>
                <w:color w:val="auto"/>
                <w:sz w:val="21"/>
                <w:szCs w:val="21"/>
                <w:highlight w:val="none"/>
              </w:rPr>
              <w:t>电梯机房和电梯轿厢所需的相关控制设备，以及随行电缆内所需通讯电缆，需由电梯公司配套完成；</w:t>
            </w:r>
            <w:r>
              <w:rPr>
                <w:rFonts w:ascii="Calibri" w:hAnsi="Calibri" w:cs="Calibri"/>
                <w:color w:val="auto"/>
                <w:sz w:val="21"/>
                <w:szCs w:val="21"/>
                <w:highlight w:val="none"/>
              </w:rPr>
              <w:t>②</w:t>
            </w:r>
            <w:r>
              <w:rPr>
                <w:rFonts w:hint="eastAsia"/>
                <w:color w:val="auto"/>
                <w:sz w:val="21"/>
                <w:szCs w:val="21"/>
                <w:highlight w:val="none"/>
              </w:rPr>
              <w:t>电梯轿厢顶部需预留AC220V电源插座。</w:t>
            </w:r>
          </w:p>
          <w:p>
            <w:pPr>
              <w:widowControl/>
              <w:autoSpaceDE/>
              <w:autoSpaceDN/>
              <w:adjustRightInd/>
              <w:spacing w:line="280" w:lineRule="exact"/>
              <w:jc w:val="center"/>
              <w:rPr>
                <w:color w:val="auto"/>
                <w:sz w:val="21"/>
                <w:szCs w:val="21"/>
                <w:highlight w:val="none"/>
              </w:rPr>
            </w:pPr>
            <w:r>
              <w:rPr>
                <w:rFonts w:hint="eastAsia"/>
                <w:color w:val="auto"/>
                <w:sz w:val="21"/>
                <w:szCs w:val="21"/>
                <w:highlight w:val="none"/>
              </w:rPr>
              <w:t>2、每台电梯需于电梯机房预留RS485通讯接口装置，并免费开放接口协议，与可视对讲/门禁系统的相关通讯模块进行数据对接和交换。提供包括但不限于以下信号：电梯启停状态、上下行状态、故障状态、故障类型和所处楼层信息等信号。</w:t>
            </w:r>
          </w:p>
          <w:p>
            <w:pPr>
              <w:widowControl/>
              <w:autoSpaceDE/>
              <w:autoSpaceDN/>
              <w:adjustRightInd/>
              <w:spacing w:line="280" w:lineRule="exact"/>
              <w:jc w:val="center"/>
              <w:rPr>
                <w:color w:val="auto"/>
                <w:sz w:val="21"/>
                <w:szCs w:val="21"/>
                <w:highlight w:val="none"/>
              </w:rPr>
            </w:pPr>
            <w:r>
              <w:rPr>
                <w:rFonts w:hint="eastAsia"/>
                <w:color w:val="auto"/>
                <w:sz w:val="21"/>
                <w:szCs w:val="21"/>
                <w:highlight w:val="none"/>
              </w:rPr>
              <w:t>3、实现可视对讲/门禁与电梯楼层控制系统联动：</w:t>
            </w:r>
          </w:p>
          <w:p>
            <w:pPr>
              <w:widowControl/>
              <w:autoSpaceDE/>
              <w:autoSpaceDN/>
              <w:adjustRightInd/>
              <w:spacing w:line="280" w:lineRule="exact"/>
              <w:jc w:val="center"/>
              <w:rPr>
                <w:color w:val="auto"/>
                <w:sz w:val="21"/>
                <w:szCs w:val="21"/>
                <w:highlight w:val="none"/>
              </w:rPr>
            </w:pPr>
            <w:r>
              <w:rPr>
                <w:rFonts w:hint="eastAsia"/>
                <w:color w:val="auto"/>
                <w:sz w:val="21"/>
                <w:szCs w:val="21"/>
                <w:highlight w:val="none"/>
              </w:rPr>
              <w:t>1)业主呼梯联动：业主刷脸/二维码/IC卡进单元门，同时呼叫电梯至当前门口机所在楼层，并开放业主所住楼层梯控权限；</w:t>
            </w:r>
          </w:p>
          <w:p>
            <w:pPr>
              <w:widowControl/>
              <w:autoSpaceDE/>
              <w:autoSpaceDN/>
              <w:adjustRightInd/>
              <w:spacing w:line="280" w:lineRule="exact"/>
              <w:jc w:val="center"/>
              <w:rPr>
                <w:color w:val="auto"/>
                <w:sz w:val="21"/>
                <w:szCs w:val="21"/>
                <w:highlight w:val="none"/>
              </w:rPr>
            </w:pPr>
            <w:r>
              <w:rPr>
                <w:rFonts w:hint="eastAsia"/>
                <w:color w:val="auto"/>
                <w:sz w:val="21"/>
                <w:szCs w:val="21"/>
                <w:highlight w:val="none"/>
              </w:rPr>
              <w:t>2)访客呼梯联动：访客呼叫，住户开锁，会自动呼梯至访客所在楼层，同时开放室内机所在楼层梯控权限；</w:t>
            </w:r>
          </w:p>
          <w:p>
            <w:pPr>
              <w:widowControl/>
              <w:autoSpaceDE/>
              <w:autoSpaceDN/>
              <w:adjustRightInd/>
              <w:spacing w:line="280" w:lineRule="exact"/>
              <w:jc w:val="center"/>
              <w:rPr>
                <w:color w:val="auto"/>
                <w:sz w:val="21"/>
                <w:szCs w:val="21"/>
                <w:highlight w:val="none"/>
              </w:rPr>
            </w:pPr>
            <w:r>
              <w:rPr>
                <w:rFonts w:hint="eastAsia"/>
                <w:color w:val="auto"/>
                <w:sz w:val="21"/>
                <w:szCs w:val="21"/>
                <w:highlight w:val="none"/>
              </w:rPr>
              <w:t>3)开门方向选择：电梯为贯通门时，需根据住户入户门方向自动选择开门方向。</w:t>
            </w:r>
          </w:p>
          <w:p>
            <w:pPr>
              <w:widowControl/>
              <w:autoSpaceDE/>
              <w:autoSpaceDN/>
              <w:adjustRightInd/>
              <w:spacing w:line="280" w:lineRule="exact"/>
              <w:jc w:val="center"/>
              <w:rPr>
                <w:color w:val="auto"/>
                <w:sz w:val="21"/>
                <w:szCs w:val="21"/>
                <w:highlight w:val="none"/>
              </w:rPr>
            </w:pPr>
            <w:r>
              <w:rPr>
                <w:rFonts w:hint="eastAsia"/>
                <w:color w:val="auto"/>
                <w:sz w:val="21"/>
                <w:szCs w:val="21"/>
                <w:highlight w:val="none"/>
              </w:rPr>
              <w:t>4、预留接口与第三方电瓶车检测系统对接，当电瓶车进入轿厢时，可联动电梯不关门，同时支持监控中心远程消警然后关闭电梯门。具体接口形式在深化设计时确定。</w:t>
            </w:r>
          </w:p>
        </w:tc>
        <w:tc>
          <w:tcPr>
            <w:tcW w:w="1873"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color w:val="auto"/>
                <w:sz w:val="21"/>
                <w:szCs w:val="21"/>
                <w:highlight w:val="none"/>
              </w:rPr>
            </w:pPr>
          </w:p>
        </w:tc>
        <w:tc>
          <w:tcPr>
            <w:tcW w:w="2039"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color w:val="auto"/>
                <w:sz w:val="21"/>
                <w:szCs w:val="21"/>
                <w:highlight w:val="none"/>
              </w:rPr>
            </w:pPr>
            <w:r>
              <w:rPr>
                <w:rFonts w:hint="eastAsia"/>
                <w:color w:val="auto"/>
                <w:sz w:val="21"/>
                <w:szCs w:val="21"/>
                <w:highlight w:val="none"/>
              </w:rPr>
              <w:t>二维码+IC卡复合读卡器由智能化专业提供</w:t>
            </w:r>
          </w:p>
        </w:tc>
      </w:tr>
      <w:tr>
        <w:tblPrEx>
          <w:tblLayout w:type="fixed"/>
          <w:tblCellMar>
            <w:top w:w="0" w:type="dxa"/>
            <w:left w:w="108" w:type="dxa"/>
            <w:bottom w:w="0" w:type="dxa"/>
            <w:right w:w="108" w:type="dxa"/>
          </w:tblCellMar>
        </w:tblPrEx>
        <w:trPr>
          <w:trHeight w:val="1679" w:hRule="atLeast"/>
        </w:trPr>
        <w:tc>
          <w:tcPr>
            <w:tcW w:w="555" w:type="dxa"/>
            <w:vMerge w:val="continue"/>
            <w:tcBorders>
              <w:top w:val="nil"/>
              <w:left w:val="single" w:color="auto" w:sz="4" w:space="0"/>
              <w:bottom w:val="nil"/>
              <w:right w:val="single" w:color="auto" w:sz="4" w:space="0"/>
            </w:tcBorders>
            <w:vAlign w:val="center"/>
          </w:tcPr>
          <w:p>
            <w:pPr>
              <w:widowControl/>
              <w:autoSpaceDE/>
              <w:autoSpaceDN/>
              <w:adjustRightInd/>
              <w:rPr>
                <w:rFonts w:ascii="宋体" w:hAnsi="宋体" w:eastAsia="宋体" w:cs="宋体"/>
                <w:color w:val="auto"/>
                <w:sz w:val="20"/>
                <w:szCs w:val="20"/>
                <w:highlight w:val="none"/>
              </w:rPr>
            </w:pPr>
          </w:p>
        </w:tc>
        <w:tc>
          <w:tcPr>
            <w:tcW w:w="1036"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宋体" w:hAnsi="宋体" w:eastAsia="宋体" w:cs="宋体"/>
                <w:color w:val="auto"/>
                <w:sz w:val="20"/>
                <w:szCs w:val="20"/>
                <w:highlight w:val="none"/>
              </w:rPr>
            </w:pPr>
          </w:p>
        </w:tc>
        <w:tc>
          <w:tcPr>
            <w:tcW w:w="2816"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rFonts w:hint="eastAsia"/>
                <w:color w:val="auto"/>
                <w:sz w:val="21"/>
                <w:szCs w:val="21"/>
                <w:highlight w:val="none"/>
              </w:rPr>
              <w:t>提前投入使用前电梯内保护；提前使用电梯得临时机房土建（含基础和吊钩）建设、拆除；</w:t>
            </w:r>
          </w:p>
        </w:tc>
        <w:tc>
          <w:tcPr>
            <w:tcW w:w="2294"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rFonts w:hint="eastAsia"/>
                <w:color w:val="auto"/>
                <w:sz w:val="21"/>
                <w:szCs w:val="21"/>
                <w:highlight w:val="none"/>
              </w:rPr>
              <w:t>提前使用电梯的临时机房供电</w:t>
            </w:r>
          </w:p>
        </w:tc>
        <w:tc>
          <w:tcPr>
            <w:tcW w:w="3436"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rFonts w:hint="eastAsia"/>
                <w:color w:val="auto"/>
                <w:sz w:val="21"/>
                <w:szCs w:val="21"/>
                <w:highlight w:val="none"/>
              </w:rPr>
              <w:t>样板房临时用梯（含防护、维保等）</w:t>
            </w:r>
          </w:p>
        </w:tc>
        <w:tc>
          <w:tcPr>
            <w:tcW w:w="1873"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color w:val="auto"/>
                <w:sz w:val="21"/>
                <w:szCs w:val="21"/>
                <w:highlight w:val="none"/>
              </w:rPr>
              <w:t>/</w:t>
            </w:r>
          </w:p>
        </w:tc>
        <w:tc>
          <w:tcPr>
            <w:tcW w:w="2039"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color w:val="auto"/>
                <w:sz w:val="21"/>
                <w:szCs w:val="21"/>
                <w:highlight w:val="none"/>
              </w:rPr>
              <w:t>/</w:t>
            </w:r>
          </w:p>
        </w:tc>
      </w:tr>
      <w:tr>
        <w:tblPrEx>
          <w:tblLayout w:type="fixed"/>
          <w:tblCellMar>
            <w:top w:w="0" w:type="dxa"/>
            <w:left w:w="108" w:type="dxa"/>
            <w:bottom w:w="0" w:type="dxa"/>
            <w:right w:w="108" w:type="dxa"/>
          </w:tblCellMar>
        </w:tblPrEx>
        <w:trPr>
          <w:trHeight w:val="734" w:hRule="atLeast"/>
        </w:trPr>
        <w:tc>
          <w:tcPr>
            <w:tcW w:w="555"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宋体" w:hAnsi="宋体" w:eastAsia="宋体" w:cs="宋体"/>
                <w:color w:val="auto"/>
                <w:sz w:val="20"/>
                <w:szCs w:val="20"/>
                <w:highlight w:val="none"/>
              </w:rPr>
            </w:pPr>
          </w:p>
        </w:tc>
        <w:tc>
          <w:tcPr>
            <w:tcW w:w="1036"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宋体" w:hAnsi="宋体" w:eastAsia="宋体" w:cs="宋体"/>
                <w:color w:val="auto"/>
                <w:sz w:val="20"/>
                <w:szCs w:val="20"/>
                <w:highlight w:val="none"/>
              </w:rPr>
            </w:pPr>
          </w:p>
        </w:tc>
        <w:tc>
          <w:tcPr>
            <w:tcW w:w="2816"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color w:val="auto"/>
                <w:sz w:val="21"/>
                <w:szCs w:val="21"/>
                <w:highlight w:val="none"/>
              </w:rPr>
              <w:t>/</w:t>
            </w:r>
          </w:p>
        </w:tc>
        <w:tc>
          <w:tcPr>
            <w:tcW w:w="2294"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color w:val="auto"/>
                <w:sz w:val="21"/>
                <w:szCs w:val="21"/>
                <w:highlight w:val="none"/>
              </w:rPr>
              <w:t>/</w:t>
            </w:r>
          </w:p>
        </w:tc>
        <w:tc>
          <w:tcPr>
            <w:tcW w:w="3436"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rFonts w:hint="eastAsia"/>
                <w:color w:val="auto"/>
                <w:sz w:val="21"/>
                <w:szCs w:val="21"/>
                <w:highlight w:val="none"/>
              </w:rPr>
              <w:t>电梯调试、验收取证</w:t>
            </w:r>
          </w:p>
        </w:tc>
        <w:tc>
          <w:tcPr>
            <w:tcW w:w="1873"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color w:val="auto"/>
                <w:sz w:val="21"/>
                <w:szCs w:val="21"/>
                <w:highlight w:val="none"/>
              </w:rPr>
              <w:t>/</w:t>
            </w:r>
          </w:p>
        </w:tc>
        <w:tc>
          <w:tcPr>
            <w:tcW w:w="2039" w:type="dxa"/>
            <w:tcBorders>
              <w:top w:val="nil"/>
              <w:left w:val="nil"/>
              <w:bottom w:val="single" w:color="auto" w:sz="4" w:space="0"/>
              <w:right w:val="single" w:color="auto" w:sz="4" w:space="0"/>
            </w:tcBorders>
            <w:shd w:val="clear" w:color="auto" w:fill="auto"/>
            <w:vAlign w:val="center"/>
          </w:tcPr>
          <w:p>
            <w:pPr>
              <w:widowControl/>
              <w:autoSpaceDE/>
              <w:autoSpaceDN/>
              <w:adjustRightInd/>
              <w:spacing w:line="280" w:lineRule="exact"/>
              <w:jc w:val="center"/>
              <w:rPr>
                <w:rFonts w:ascii="宋体" w:hAnsi="宋体" w:eastAsia="宋体" w:cs="宋体"/>
                <w:color w:val="auto"/>
                <w:sz w:val="21"/>
                <w:szCs w:val="21"/>
                <w:highlight w:val="none"/>
              </w:rPr>
            </w:pPr>
            <w:r>
              <w:rPr>
                <w:color w:val="auto"/>
                <w:sz w:val="21"/>
                <w:szCs w:val="21"/>
                <w:highlight w:val="none"/>
              </w:rPr>
              <w:t>/</w:t>
            </w:r>
          </w:p>
        </w:tc>
      </w:tr>
    </w:tbl>
    <w:p>
      <w:pPr>
        <w:pStyle w:val="9"/>
        <w:snapToGrid w:val="0"/>
        <w:spacing w:after="0" w:line="360" w:lineRule="auto"/>
        <w:ind w:left="0" w:leftChars="0"/>
        <w:outlineLvl w:val="0"/>
        <w:rPr>
          <w:rFonts w:ascii="仿宋" w:hAnsi="仿宋" w:eastAsia="仿宋"/>
          <w:b/>
          <w:color w:val="auto"/>
          <w:sz w:val="21"/>
          <w:szCs w:val="21"/>
          <w:highlight w:val="none"/>
        </w:rPr>
      </w:pPr>
    </w:p>
    <w:p>
      <w:pPr>
        <w:pStyle w:val="9"/>
        <w:snapToGrid w:val="0"/>
        <w:spacing w:after="0" w:line="360" w:lineRule="auto"/>
        <w:ind w:left="0" w:leftChars="0"/>
        <w:outlineLvl w:val="0"/>
        <w:rPr>
          <w:rFonts w:ascii="仿宋" w:hAnsi="仿宋" w:eastAsia="仿宋"/>
          <w:b/>
          <w:color w:val="auto"/>
          <w:sz w:val="21"/>
          <w:szCs w:val="21"/>
          <w:highlight w:val="none"/>
        </w:rPr>
        <w:sectPr>
          <w:pgSz w:w="16838" w:h="11906" w:orient="landscape"/>
          <w:pgMar w:top="1797" w:right="1440" w:bottom="1797" w:left="1440" w:header="851" w:footer="992" w:gutter="0"/>
          <w:cols w:space="720" w:num="1"/>
          <w:titlePg/>
          <w:docGrid w:type="linesAndChars" w:linePitch="462" w:charSpace="0"/>
        </w:sectPr>
      </w:pPr>
      <w:bookmarkStart w:id="32" w:name="_Toc529972342"/>
    </w:p>
    <w:p>
      <w:pPr>
        <w:pStyle w:val="9"/>
        <w:snapToGrid w:val="0"/>
        <w:spacing w:after="0" w:line="360" w:lineRule="auto"/>
        <w:ind w:left="0" w:leftChars="0"/>
        <w:outlineLvl w:val="0"/>
        <w:rPr>
          <w:rFonts w:ascii="仿宋" w:hAnsi="仿宋" w:eastAsia="仿宋"/>
          <w:b/>
          <w:color w:val="auto"/>
          <w:sz w:val="21"/>
          <w:szCs w:val="21"/>
          <w:highlight w:val="none"/>
        </w:rPr>
      </w:pPr>
      <w:r>
        <w:rPr>
          <w:rFonts w:hint="eastAsia" w:ascii="仿宋" w:hAnsi="仿宋" w:eastAsia="仿宋"/>
          <w:b/>
          <w:color w:val="auto"/>
          <w:sz w:val="21"/>
          <w:szCs w:val="21"/>
          <w:highlight w:val="none"/>
        </w:rPr>
        <w:t>附件五：履约保函（样式）</w:t>
      </w:r>
      <w:bookmarkEnd w:id="32"/>
    </w:p>
    <w:p>
      <w:pPr>
        <w:pStyle w:val="9"/>
        <w:snapToGrid w:val="0"/>
        <w:spacing w:after="0"/>
        <w:ind w:left="0" w:leftChars="0"/>
        <w:jc w:val="center"/>
        <w:rPr>
          <w:rFonts w:ascii="楷体" w:hAnsi="楷体" w:eastAsia="楷体"/>
          <w:b/>
          <w:color w:val="auto"/>
          <w:sz w:val="32"/>
          <w:szCs w:val="32"/>
          <w:highlight w:val="none"/>
        </w:rPr>
      </w:pPr>
      <w:r>
        <w:rPr>
          <w:rFonts w:hint="eastAsia" w:ascii="楷体" w:hAnsi="楷体" w:eastAsia="楷体"/>
          <w:b/>
          <w:color w:val="auto"/>
          <w:sz w:val="32"/>
          <w:szCs w:val="32"/>
          <w:highlight w:val="none"/>
        </w:rPr>
        <w:t>履约保函（样式）</w:t>
      </w:r>
    </w:p>
    <w:p>
      <w:pPr>
        <w:wordWrap w:val="0"/>
        <w:spacing w:before="120" w:after="120"/>
        <w:jc w:val="right"/>
        <w:rPr>
          <w:rFonts w:ascii="华文仿宋" w:hAnsi="华文仿宋" w:eastAsia="华文仿宋"/>
          <w:color w:val="auto"/>
          <w:sz w:val="24"/>
          <w:szCs w:val="24"/>
          <w:highlight w:val="none"/>
        </w:rPr>
      </w:pPr>
      <w:r>
        <w:rPr>
          <w:rFonts w:hint="eastAsia" w:ascii="华文仿宋" w:hAnsi="华文仿宋" w:eastAsia="华文仿宋"/>
          <w:color w:val="auto"/>
          <w:sz w:val="24"/>
          <w:szCs w:val="24"/>
          <w:highlight w:val="none"/>
        </w:rPr>
        <w:t>签发日期：</w:t>
      </w:r>
      <w:r>
        <w:rPr>
          <w:rFonts w:hint="eastAsia" w:ascii="华文仿宋" w:hAnsi="华文仿宋" w:eastAsia="华文仿宋"/>
          <w:color w:val="auto"/>
          <w:sz w:val="24"/>
          <w:szCs w:val="24"/>
          <w:highlight w:val="none"/>
          <w:u w:val="single"/>
        </w:rPr>
        <w:t xml:space="preserve">  </w:t>
      </w:r>
      <w:r>
        <w:rPr>
          <w:rFonts w:hint="eastAsia" w:ascii="华文仿宋" w:hAnsi="华文仿宋" w:eastAsia="华文仿宋"/>
          <w:color w:val="auto"/>
          <w:sz w:val="24"/>
          <w:szCs w:val="24"/>
          <w:highlight w:val="none"/>
        </w:rPr>
        <w:t>年</w:t>
      </w:r>
      <w:r>
        <w:rPr>
          <w:rFonts w:hint="eastAsia" w:ascii="华文仿宋" w:hAnsi="华文仿宋" w:eastAsia="华文仿宋"/>
          <w:color w:val="auto"/>
          <w:sz w:val="24"/>
          <w:szCs w:val="24"/>
          <w:highlight w:val="none"/>
          <w:u w:val="single"/>
        </w:rPr>
        <w:t xml:space="preserve">  </w:t>
      </w:r>
      <w:r>
        <w:rPr>
          <w:rFonts w:hint="eastAsia" w:ascii="华文仿宋" w:hAnsi="华文仿宋" w:eastAsia="华文仿宋"/>
          <w:color w:val="auto"/>
          <w:sz w:val="24"/>
          <w:szCs w:val="24"/>
          <w:highlight w:val="none"/>
        </w:rPr>
        <w:t>月</w:t>
      </w:r>
      <w:r>
        <w:rPr>
          <w:rFonts w:hint="eastAsia" w:ascii="华文仿宋" w:hAnsi="华文仿宋" w:eastAsia="华文仿宋"/>
          <w:color w:val="auto"/>
          <w:sz w:val="24"/>
          <w:szCs w:val="24"/>
          <w:highlight w:val="none"/>
          <w:u w:val="single"/>
        </w:rPr>
        <w:t xml:space="preserve">  </w:t>
      </w:r>
      <w:r>
        <w:rPr>
          <w:rFonts w:hint="eastAsia" w:ascii="华文仿宋" w:hAnsi="华文仿宋" w:eastAsia="华文仿宋"/>
          <w:color w:val="auto"/>
          <w:sz w:val="24"/>
          <w:szCs w:val="24"/>
          <w:highlight w:val="none"/>
        </w:rPr>
        <w:t>日</w:t>
      </w:r>
    </w:p>
    <w:p>
      <w:pPr>
        <w:snapToGrid w:val="0"/>
        <w:spacing w:line="360" w:lineRule="auto"/>
        <w:rPr>
          <w:rFonts w:ascii="楷体" w:hAnsi="楷体" w:eastAsia="楷体"/>
          <w:color w:val="auto"/>
          <w:sz w:val="24"/>
          <w:szCs w:val="24"/>
          <w:highlight w:val="none"/>
          <w:u w:val="single"/>
        </w:rPr>
      </w:pPr>
      <w:r>
        <w:rPr>
          <w:rFonts w:hint="eastAsia" w:ascii="楷体" w:hAnsi="楷体" w:eastAsia="楷体"/>
          <w:color w:val="auto"/>
          <w:sz w:val="24"/>
          <w:szCs w:val="24"/>
          <w:highlight w:val="none"/>
        </w:rPr>
        <w:t>致：</w:t>
      </w:r>
      <w:r>
        <w:rPr>
          <w:rFonts w:hint="eastAsia" w:ascii="楷体" w:hAnsi="楷体" w:eastAsia="楷体"/>
          <w:color w:val="auto"/>
          <w:sz w:val="24"/>
          <w:szCs w:val="24"/>
          <w:highlight w:val="none"/>
          <w:u w:val="single"/>
        </w:rPr>
        <w:t xml:space="preserve">               </w:t>
      </w:r>
      <w:r>
        <w:rPr>
          <w:rFonts w:hint="eastAsia" w:ascii="楷体" w:hAnsi="楷体" w:eastAsia="楷体"/>
          <w:color w:val="auto"/>
          <w:sz w:val="24"/>
          <w:szCs w:val="24"/>
          <w:highlight w:val="none"/>
        </w:rPr>
        <w:t>（以下简称“受益人”）：</w:t>
      </w:r>
    </w:p>
    <w:p>
      <w:pPr>
        <w:snapToGrid w:val="0"/>
        <w:spacing w:line="360" w:lineRule="auto"/>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鉴于</w:t>
      </w:r>
      <w:r>
        <w:rPr>
          <w:rFonts w:hint="eastAsia" w:ascii="楷体" w:hAnsi="楷体" w:eastAsia="楷体"/>
          <w:color w:val="auto"/>
          <w:sz w:val="24"/>
          <w:szCs w:val="24"/>
          <w:highlight w:val="none"/>
          <w:u w:val="single"/>
        </w:rPr>
        <w:t xml:space="preserve">                     </w:t>
      </w:r>
      <w:r>
        <w:rPr>
          <w:rFonts w:hint="eastAsia" w:ascii="楷体" w:hAnsi="楷体" w:eastAsia="楷体"/>
          <w:color w:val="auto"/>
          <w:sz w:val="24"/>
          <w:szCs w:val="24"/>
          <w:highlight w:val="none"/>
        </w:rPr>
        <w:t>（以下简称“被担保人”）已与受益人签订了编号为</w:t>
      </w:r>
      <w:r>
        <w:rPr>
          <w:rFonts w:hint="eastAsia" w:ascii="楷体" w:hAnsi="楷体" w:eastAsia="楷体"/>
          <w:color w:val="auto"/>
          <w:sz w:val="24"/>
          <w:szCs w:val="24"/>
          <w:highlight w:val="none"/>
          <w:u w:val="single"/>
        </w:rPr>
        <w:t xml:space="preserve">            </w:t>
      </w:r>
      <w:r>
        <w:rPr>
          <w:rFonts w:hint="eastAsia" w:ascii="楷体" w:hAnsi="楷体" w:eastAsia="楷体"/>
          <w:color w:val="auto"/>
          <w:sz w:val="24"/>
          <w:szCs w:val="24"/>
          <w:highlight w:val="none"/>
        </w:rPr>
        <w:t>的《</w:t>
      </w:r>
      <w:r>
        <w:rPr>
          <w:rFonts w:hint="eastAsia" w:ascii="楷体" w:hAnsi="楷体" w:eastAsia="楷体"/>
          <w:color w:val="auto"/>
          <w:sz w:val="24"/>
          <w:szCs w:val="24"/>
          <w:highlight w:val="none"/>
          <w:u w:val="single"/>
        </w:rPr>
        <w:t>佛山季华项目电梯安装工程合同</w:t>
      </w:r>
      <w:r>
        <w:rPr>
          <w:rFonts w:hint="eastAsia" w:ascii="楷体" w:hAnsi="楷体" w:eastAsia="楷体"/>
          <w:color w:val="auto"/>
          <w:sz w:val="24"/>
          <w:szCs w:val="24"/>
          <w:highlight w:val="none"/>
        </w:rPr>
        <w:t>》 （以下简称“合同”），金额 （大写）：人民币</w:t>
      </w:r>
      <w:r>
        <w:rPr>
          <w:rFonts w:hint="eastAsia" w:ascii="楷体" w:hAnsi="楷体" w:eastAsia="楷体"/>
          <w:color w:val="auto"/>
          <w:sz w:val="24"/>
          <w:szCs w:val="24"/>
          <w:highlight w:val="none"/>
          <w:u w:val="single"/>
        </w:rPr>
        <w:t xml:space="preserve">             </w:t>
      </w:r>
      <w:r>
        <w:rPr>
          <w:rFonts w:hint="eastAsia" w:ascii="楷体" w:hAnsi="楷体" w:eastAsia="楷体"/>
          <w:color w:val="auto"/>
          <w:sz w:val="24"/>
          <w:szCs w:val="24"/>
          <w:highlight w:val="none"/>
        </w:rPr>
        <w:t>元（RMB</w:t>
      </w:r>
      <w:r>
        <w:rPr>
          <w:rFonts w:hint="eastAsia" w:ascii="楷体" w:hAnsi="楷体" w:eastAsia="楷体"/>
          <w:color w:val="auto"/>
          <w:sz w:val="24"/>
          <w:szCs w:val="24"/>
          <w:highlight w:val="none"/>
          <w:u w:val="single"/>
        </w:rPr>
        <w:t xml:space="preserve">        </w:t>
      </w:r>
      <w:r>
        <w:rPr>
          <w:rFonts w:hint="eastAsia" w:ascii="楷体" w:hAnsi="楷体" w:eastAsia="楷体"/>
          <w:color w:val="auto"/>
          <w:sz w:val="24"/>
          <w:szCs w:val="24"/>
          <w:highlight w:val="none"/>
        </w:rPr>
        <w:t>）。我方作为保证人，在此向受益人就被担保人履行合同提供</w:t>
      </w:r>
      <w:r>
        <w:rPr>
          <w:rFonts w:hint="eastAsia" w:ascii="楷体" w:hAnsi="楷体" w:eastAsia="楷体"/>
          <w:b/>
          <w:color w:val="auto"/>
          <w:sz w:val="24"/>
          <w:szCs w:val="24"/>
          <w:highlight w:val="none"/>
        </w:rPr>
        <w:t>不可撤销</w:t>
      </w:r>
      <w:r>
        <w:rPr>
          <w:rFonts w:hint="eastAsia" w:ascii="楷体" w:hAnsi="楷体" w:eastAsia="楷体"/>
          <w:color w:val="auto"/>
          <w:sz w:val="24"/>
          <w:szCs w:val="24"/>
          <w:highlight w:val="none"/>
        </w:rPr>
        <w:t>的</w:t>
      </w:r>
      <w:r>
        <w:rPr>
          <w:rFonts w:hint="eastAsia" w:ascii="楷体" w:hAnsi="楷体" w:eastAsia="楷体"/>
          <w:b/>
          <w:color w:val="auto"/>
          <w:sz w:val="24"/>
          <w:szCs w:val="24"/>
          <w:highlight w:val="none"/>
        </w:rPr>
        <w:t>连带责任保证担保</w:t>
      </w:r>
      <w:r>
        <w:rPr>
          <w:rFonts w:hint="eastAsia" w:ascii="楷体" w:hAnsi="楷体" w:eastAsia="楷体"/>
          <w:color w:val="auto"/>
          <w:sz w:val="24"/>
          <w:szCs w:val="24"/>
          <w:highlight w:val="none"/>
        </w:rPr>
        <w:t>：</w:t>
      </w:r>
    </w:p>
    <w:p>
      <w:pPr>
        <w:snapToGrid w:val="0"/>
        <w:spacing w:line="360" w:lineRule="auto"/>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一、本保函担保的金额为（大写）人民币</w:t>
      </w:r>
      <w:r>
        <w:rPr>
          <w:rFonts w:hint="eastAsia" w:ascii="楷体" w:hAnsi="楷体" w:eastAsia="楷体"/>
          <w:color w:val="auto"/>
          <w:sz w:val="24"/>
          <w:szCs w:val="24"/>
          <w:highlight w:val="none"/>
          <w:u w:val="single"/>
        </w:rPr>
        <w:t xml:space="preserve">    </w:t>
      </w:r>
      <w:r>
        <w:rPr>
          <w:rFonts w:hint="eastAsia" w:ascii="楷体" w:hAnsi="楷体" w:eastAsia="楷体"/>
          <w:color w:val="auto"/>
          <w:sz w:val="24"/>
          <w:szCs w:val="24"/>
          <w:highlight w:val="none"/>
        </w:rPr>
        <w:t>元（RMB</w:t>
      </w:r>
      <w:r>
        <w:rPr>
          <w:rFonts w:hint="eastAsia" w:ascii="楷体" w:hAnsi="楷体" w:eastAsia="楷体"/>
          <w:color w:val="auto"/>
          <w:sz w:val="24"/>
          <w:szCs w:val="24"/>
          <w:highlight w:val="none"/>
          <w:u w:val="single"/>
        </w:rPr>
        <w:t xml:space="preserve">   </w:t>
      </w:r>
      <w:r>
        <w:rPr>
          <w:rFonts w:hint="eastAsia" w:ascii="楷体" w:hAnsi="楷体" w:eastAsia="楷体"/>
          <w:color w:val="auto"/>
          <w:sz w:val="24"/>
          <w:szCs w:val="24"/>
          <w:highlight w:val="none"/>
        </w:rPr>
        <w:t>）。</w:t>
      </w:r>
    </w:p>
    <w:p>
      <w:pPr>
        <w:snapToGrid w:val="0"/>
        <w:spacing w:line="360" w:lineRule="auto"/>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二、本保函的有效期从签发之日起至合同的全部电梯竣工验收符合合同要求、取得电梯设备使用登记证且交付甲方使用后第30天止。本保函有效期即为本保函的担保期限。</w:t>
      </w:r>
    </w:p>
    <w:p>
      <w:pPr>
        <w:snapToGrid w:val="0"/>
        <w:spacing w:line="360" w:lineRule="auto"/>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三、本保函为</w:t>
      </w:r>
      <w:r>
        <w:rPr>
          <w:rFonts w:hint="eastAsia" w:ascii="楷体" w:hAnsi="楷体" w:eastAsia="楷体"/>
          <w:b/>
          <w:color w:val="auto"/>
          <w:sz w:val="24"/>
          <w:szCs w:val="24"/>
          <w:highlight w:val="none"/>
        </w:rPr>
        <w:t>见索即付</w:t>
      </w:r>
      <w:r>
        <w:rPr>
          <w:rFonts w:hint="eastAsia" w:ascii="楷体" w:hAnsi="楷体" w:eastAsia="楷体"/>
          <w:color w:val="auto"/>
          <w:sz w:val="24"/>
          <w:szCs w:val="24"/>
          <w:highlight w:val="none"/>
        </w:rPr>
        <w:t>保函，在本保函的担保期限内，我方将在收到受益人经法定代表人或其授权委托代理人签字并加盖公章的书面索赔通知原件后</w:t>
      </w:r>
      <w:r>
        <w:rPr>
          <w:rFonts w:hint="eastAsia" w:ascii="楷体" w:hAnsi="楷体" w:eastAsia="楷体"/>
          <w:color w:val="auto"/>
          <w:sz w:val="24"/>
          <w:szCs w:val="24"/>
          <w:highlight w:val="none"/>
          <w:u w:val="single"/>
        </w:rPr>
        <w:t xml:space="preserve">    </w:t>
      </w:r>
      <w:r>
        <w:rPr>
          <w:rFonts w:hint="eastAsia" w:ascii="楷体" w:hAnsi="楷体" w:eastAsia="楷体"/>
          <w:color w:val="auto"/>
          <w:sz w:val="24"/>
          <w:szCs w:val="24"/>
          <w:highlight w:val="none"/>
        </w:rPr>
        <w:t>个工作日内，</w:t>
      </w:r>
      <w:r>
        <w:rPr>
          <w:rFonts w:hint="eastAsia" w:ascii="楷体" w:hAnsi="楷体" w:eastAsia="楷体"/>
          <w:b/>
          <w:color w:val="auto"/>
          <w:sz w:val="24"/>
          <w:szCs w:val="24"/>
          <w:highlight w:val="none"/>
        </w:rPr>
        <w:t>不争辩、不挑剔、不可撤销</w:t>
      </w:r>
      <w:r>
        <w:rPr>
          <w:rFonts w:hint="eastAsia" w:ascii="楷体" w:hAnsi="楷体" w:eastAsia="楷体"/>
          <w:color w:val="auto"/>
          <w:sz w:val="24"/>
          <w:szCs w:val="24"/>
          <w:highlight w:val="none"/>
        </w:rPr>
        <w:t>地向受益人支付索赔款，直至本保函担保的最高金额。</w:t>
      </w:r>
      <w:r>
        <w:rPr>
          <w:rFonts w:hint="eastAsia" w:ascii="楷体" w:hAnsi="楷体" w:eastAsia="楷体"/>
          <w:b/>
          <w:color w:val="auto"/>
          <w:sz w:val="24"/>
          <w:szCs w:val="24"/>
          <w:highlight w:val="none"/>
        </w:rPr>
        <w:t>受益人出具的书面索赔通知书无需要求证明被担保人是否违约或索赔金额是否恰当</w:t>
      </w:r>
      <w:r>
        <w:rPr>
          <w:rFonts w:hint="eastAsia" w:ascii="楷体" w:hAnsi="楷体" w:eastAsia="楷体"/>
          <w:color w:val="auto"/>
          <w:sz w:val="24"/>
          <w:szCs w:val="24"/>
          <w:highlight w:val="none"/>
        </w:rPr>
        <w:t>。</w:t>
      </w:r>
    </w:p>
    <w:p>
      <w:pPr>
        <w:snapToGrid w:val="0"/>
        <w:spacing w:line="360" w:lineRule="auto"/>
        <w:ind w:firstLine="480" w:firstLineChars="200"/>
        <w:rPr>
          <w:rFonts w:ascii="楷体" w:hAnsi="楷体" w:eastAsia="楷体"/>
          <w:color w:val="auto"/>
          <w:sz w:val="24"/>
          <w:szCs w:val="24"/>
          <w:highlight w:val="none"/>
        </w:rPr>
      </w:pPr>
      <w:r>
        <w:rPr>
          <w:rFonts w:ascii="楷体" w:hAnsi="楷体" w:eastAsia="楷体"/>
          <w:color w:val="auto"/>
          <w:sz w:val="24"/>
          <w:szCs w:val="24"/>
          <w:highlight w:val="none"/>
        </w:rPr>
        <w:t>四</w:t>
      </w:r>
      <w:r>
        <w:rPr>
          <w:rFonts w:hint="eastAsia" w:ascii="楷体" w:hAnsi="楷体" w:eastAsia="楷体"/>
          <w:color w:val="auto"/>
          <w:sz w:val="24"/>
          <w:szCs w:val="24"/>
          <w:highlight w:val="none"/>
        </w:rPr>
        <w:t>、我方出具本保函后，</w:t>
      </w:r>
      <w:r>
        <w:rPr>
          <w:rFonts w:hint="eastAsia" w:ascii="楷体" w:hAnsi="楷体" w:eastAsia="楷体"/>
          <w:b/>
          <w:color w:val="auto"/>
          <w:sz w:val="24"/>
          <w:szCs w:val="24"/>
          <w:highlight w:val="none"/>
        </w:rPr>
        <w:t>受益人与被担保人对合同进行的任何修订，或受益人对合同有关事项的任何豁免或未追究皆不会解除或减轻我方于本保函担保项下的责任</w:t>
      </w:r>
      <w:r>
        <w:rPr>
          <w:rFonts w:hint="eastAsia" w:ascii="楷体" w:hAnsi="楷体" w:eastAsia="楷体"/>
          <w:color w:val="auto"/>
          <w:sz w:val="24"/>
          <w:szCs w:val="24"/>
          <w:highlight w:val="none"/>
        </w:rPr>
        <w:t>。</w:t>
      </w:r>
    </w:p>
    <w:p>
      <w:pPr>
        <w:snapToGrid w:val="0"/>
        <w:spacing w:line="360" w:lineRule="auto"/>
        <w:ind w:firstLine="480" w:firstLineChars="200"/>
        <w:rPr>
          <w:rFonts w:ascii="楷体" w:hAnsi="楷体" w:eastAsia="楷体"/>
          <w:color w:val="auto"/>
          <w:sz w:val="24"/>
          <w:szCs w:val="24"/>
          <w:highlight w:val="none"/>
        </w:rPr>
      </w:pPr>
      <w:r>
        <w:rPr>
          <w:rFonts w:ascii="楷体" w:hAnsi="楷体" w:eastAsia="楷体"/>
          <w:color w:val="auto"/>
          <w:sz w:val="24"/>
          <w:szCs w:val="24"/>
          <w:highlight w:val="none"/>
        </w:rPr>
        <w:t>五</w:t>
      </w:r>
      <w:r>
        <w:rPr>
          <w:rFonts w:hint="eastAsia" w:ascii="楷体" w:hAnsi="楷体" w:eastAsia="楷体"/>
          <w:color w:val="auto"/>
          <w:sz w:val="24"/>
          <w:szCs w:val="24"/>
          <w:highlight w:val="none"/>
        </w:rPr>
        <w:t>、本保函有效期届满，或我方向受益人支付索赔款已达本保函担保的最高金额，我方的担保责任免除，以两者中较早发生者为准。本保函到期后无论本保函原件是否退还我方，本保函到期即自动失效。</w:t>
      </w:r>
    </w:p>
    <w:p>
      <w:pPr>
        <w:snapToGrid w:val="0"/>
        <w:spacing w:line="360" w:lineRule="auto"/>
        <w:ind w:firstLine="480" w:firstLineChars="200"/>
        <w:rPr>
          <w:rFonts w:ascii="楷体" w:hAnsi="楷体" w:eastAsia="楷体"/>
          <w:color w:val="auto"/>
          <w:sz w:val="24"/>
          <w:szCs w:val="24"/>
          <w:highlight w:val="none"/>
        </w:rPr>
      </w:pPr>
      <w:r>
        <w:rPr>
          <w:rFonts w:ascii="楷体" w:hAnsi="楷体" w:eastAsia="楷体"/>
          <w:color w:val="auto"/>
          <w:sz w:val="24"/>
          <w:szCs w:val="24"/>
          <w:highlight w:val="none"/>
        </w:rPr>
        <w:t>六</w:t>
      </w:r>
      <w:r>
        <w:rPr>
          <w:rFonts w:hint="eastAsia" w:ascii="楷体" w:hAnsi="楷体" w:eastAsia="楷体"/>
          <w:color w:val="auto"/>
          <w:sz w:val="24"/>
          <w:szCs w:val="24"/>
          <w:highlight w:val="none"/>
        </w:rPr>
        <w:t>、本保函对我方及我方继受人有不可撤销的约束力，我方自愿作出上述承诺，并清楚了解本保函法律含义。</w:t>
      </w:r>
    </w:p>
    <w:p>
      <w:pPr>
        <w:snapToGrid w:val="0"/>
        <w:spacing w:line="360" w:lineRule="auto"/>
        <w:ind w:firstLine="480" w:firstLineChars="200"/>
        <w:rPr>
          <w:rFonts w:ascii="楷体" w:hAnsi="楷体" w:eastAsia="楷体"/>
          <w:color w:val="auto"/>
          <w:sz w:val="24"/>
          <w:szCs w:val="24"/>
          <w:highlight w:val="none"/>
        </w:rPr>
      </w:pPr>
      <w:r>
        <w:rPr>
          <w:rFonts w:ascii="楷体" w:hAnsi="楷体" w:eastAsia="楷体"/>
          <w:color w:val="auto"/>
          <w:sz w:val="24"/>
          <w:szCs w:val="24"/>
          <w:highlight w:val="none"/>
        </w:rPr>
        <w:t>七</w:t>
      </w:r>
      <w:r>
        <w:rPr>
          <w:rFonts w:hint="eastAsia" w:ascii="楷体" w:hAnsi="楷体" w:eastAsia="楷体"/>
          <w:color w:val="auto"/>
          <w:sz w:val="24"/>
          <w:szCs w:val="24"/>
          <w:highlight w:val="none"/>
        </w:rPr>
        <w:t>、本保函担保项下的权利不得转让或出让，但可由受益人之继承人或其受让人继承。</w:t>
      </w:r>
    </w:p>
    <w:p>
      <w:pPr>
        <w:snapToGrid w:val="0"/>
        <w:spacing w:line="360" w:lineRule="auto"/>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八、受益人提出索赔的，应按以下通讯信息向我方发出书面通知：</w:t>
      </w:r>
    </w:p>
    <w:p>
      <w:pPr>
        <w:snapToGrid w:val="0"/>
        <w:spacing w:line="360" w:lineRule="auto"/>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收件人：</w:t>
      </w:r>
    </w:p>
    <w:p>
      <w:pPr>
        <w:snapToGrid w:val="0"/>
        <w:spacing w:line="360" w:lineRule="auto"/>
        <w:ind w:firstLine="480" w:firstLineChars="200"/>
        <w:rPr>
          <w:rFonts w:ascii="楷体" w:hAnsi="楷体" w:eastAsia="楷体"/>
          <w:color w:val="auto"/>
          <w:sz w:val="24"/>
          <w:szCs w:val="24"/>
          <w:highlight w:val="none"/>
        </w:rPr>
      </w:pPr>
      <w:r>
        <w:rPr>
          <w:rFonts w:ascii="楷体" w:hAnsi="楷体" w:eastAsia="楷体"/>
          <w:color w:val="auto"/>
          <w:sz w:val="24"/>
          <w:szCs w:val="24"/>
          <w:highlight w:val="none"/>
        </w:rPr>
        <w:t>通讯地址：</w:t>
      </w:r>
    </w:p>
    <w:p>
      <w:pPr>
        <w:snapToGrid w:val="0"/>
        <w:spacing w:line="360" w:lineRule="auto"/>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联系电话</w:t>
      </w:r>
      <w:r>
        <w:rPr>
          <w:rFonts w:ascii="楷体" w:hAnsi="楷体" w:eastAsia="楷体"/>
          <w:color w:val="auto"/>
          <w:sz w:val="24"/>
          <w:szCs w:val="24"/>
          <w:highlight w:val="none"/>
        </w:rPr>
        <w:t>：</w:t>
      </w:r>
    </w:p>
    <w:p>
      <w:pPr>
        <w:snapToGrid w:val="0"/>
        <w:spacing w:line="360" w:lineRule="auto"/>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索赔通知如果通过专人送达，该通知在接收时即视为已经送达；如果通过信函邮寄方式送达，该通知在发出之日后【三】个工作日即视为已经送达。</w:t>
      </w:r>
    </w:p>
    <w:p>
      <w:pPr>
        <w:snapToGrid w:val="0"/>
        <w:spacing w:line="360" w:lineRule="auto"/>
        <w:ind w:firstLine="480" w:firstLineChars="200"/>
        <w:rPr>
          <w:rFonts w:ascii="楷体" w:hAnsi="楷体" w:eastAsia="楷体"/>
          <w:color w:val="auto"/>
          <w:sz w:val="24"/>
          <w:szCs w:val="24"/>
          <w:highlight w:val="none"/>
        </w:rPr>
      </w:pPr>
      <w:r>
        <w:rPr>
          <w:rFonts w:ascii="楷体" w:hAnsi="楷体" w:eastAsia="楷体"/>
          <w:color w:val="auto"/>
          <w:sz w:val="24"/>
          <w:szCs w:val="24"/>
          <w:highlight w:val="none"/>
        </w:rPr>
        <w:t>九</w:t>
      </w:r>
      <w:r>
        <w:rPr>
          <w:rFonts w:hint="eastAsia" w:ascii="楷体" w:hAnsi="楷体" w:eastAsia="楷体"/>
          <w:color w:val="auto"/>
          <w:sz w:val="24"/>
          <w:szCs w:val="24"/>
          <w:highlight w:val="none"/>
        </w:rPr>
        <w:t>、本保函适用中华人民共和国法律法规。</w:t>
      </w:r>
    </w:p>
    <w:p>
      <w:pPr>
        <w:pStyle w:val="9"/>
        <w:snapToGrid w:val="0"/>
        <w:spacing w:after="0" w:line="360" w:lineRule="auto"/>
        <w:ind w:left="0" w:leftChars="0"/>
        <w:outlineLvl w:val="0"/>
        <w:rPr>
          <w:rFonts w:ascii="楷体" w:hAnsi="楷体" w:eastAsia="楷体"/>
          <w:color w:val="auto"/>
          <w:sz w:val="24"/>
          <w:szCs w:val="24"/>
          <w:highlight w:val="none"/>
        </w:rPr>
      </w:pPr>
      <w:bookmarkStart w:id="33" w:name="_Toc126961345"/>
      <w:r>
        <w:rPr>
          <w:rFonts w:hint="eastAsia" w:ascii="楷体" w:hAnsi="楷体" w:eastAsia="楷体"/>
          <w:color w:val="auto"/>
          <w:sz w:val="24"/>
          <w:szCs w:val="24"/>
          <w:highlight w:val="none"/>
        </w:rPr>
        <w:t>出具银行：</w:t>
      </w:r>
      <w:bookmarkEnd w:id="33"/>
    </w:p>
    <w:p>
      <w:pPr>
        <w:pStyle w:val="9"/>
        <w:snapToGrid w:val="0"/>
        <w:spacing w:after="0" w:line="360" w:lineRule="auto"/>
        <w:ind w:left="0" w:leftChars="0"/>
        <w:outlineLvl w:val="0"/>
        <w:rPr>
          <w:rFonts w:ascii="楷体" w:hAnsi="楷体" w:eastAsia="楷体"/>
          <w:color w:val="auto"/>
          <w:sz w:val="24"/>
          <w:szCs w:val="24"/>
          <w:highlight w:val="none"/>
        </w:rPr>
      </w:pPr>
    </w:p>
    <w:p>
      <w:pPr>
        <w:pStyle w:val="9"/>
        <w:snapToGrid w:val="0"/>
        <w:spacing w:after="0" w:line="336" w:lineRule="auto"/>
        <w:ind w:left="0" w:leftChars="0" w:firstLine="567"/>
        <w:rPr>
          <w:rFonts w:ascii="楷体_GB2312" w:hAnsi="宋体" w:eastAsia="楷体_GB2312"/>
          <w:color w:val="auto"/>
          <w:sz w:val="24"/>
          <w:szCs w:val="24"/>
          <w:highlight w:val="none"/>
        </w:rPr>
      </w:pPr>
      <w:bookmarkStart w:id="34" w:name="_Toc126961346"/>
      <w:r>
        <w:rPr>
          <w:rFonts w:hint="eastAsia" w:ascii="楷体" w:hAnsi="楷体" w:eastAsia="楷体"/>
          <w:color w:val="auto"/>
          <w:sz w:val="24"/>
          <w:szCs w:val="24"/>
          <w:highlight w:val="none"/>
        </w:rPr>
        <w:t>【备注要求：根据中国人民银行、银保监会发布的我国系统重要性银行名单，系统重要性银行包括 6 家国有商业银行、9家股份制商业银行和 4家城市商业银行，按系统重要性得分从低到高分为四组：第一组：平安银行、中国光大银行、华夏银行、广发银行、宁波银行、上海银行、江苏银行、北京银行；第二组：浦发银行、中信银行、中国民生银行、中国邮政储蓄银行；第三组：交通银行、招商银行、兴业银行；第四组：中国工商银行、中国银行、中国建设银行、中国农业银行。】</w:t>
      </w:r>
      <w:bookmarkEnd w:id="34"/>
      <w:r>
        <w:rPr>
          <w:rFonts w:hint="eastAsia" w:ascii="华文仿宋" w:hAnsi="华文仿宋" w:eastAsia="华文仿宋"/>
          <w:color w:val="auto"/>
          <w:sz w:val="28"/>
          <w:szCs w:val="28"/>
          <w:highlight w:val="none"/>
        </w:rPr>
        <w:t xml:space="preserve"> </w:t>
      </w:r>
      <w:r>
        <w:rPr>
          <w:rFonts w:hint="eastAsia" w:hAnsi="宋体"/>
          <w:color w:val="auto"/>
          <w:sz w:val="24"/>
          <w:szCs w:val="24"/>
          <w:highlight w:val="none"/>
        </w:rPr>
        <w:t xml:space="preserve"> 日</w:t>
      </w:r>
    </w:p>
    <w:p>
      <w:pPr>
        <w:widowControl/>
        <w:autoSpaceDE/>
        <w:autoSpaceDN/>
        <w:adjustRightInd/>
        <w:rPr>
          <w:rFonts w:ascii="仿宋" w:hAnsi="仿宋" w:eastAsia="仿宋"/>
          <w:b/>
          <w:color w:val="auto"/>
          <w:sz w:val="21"/>
          <w:szCs w:val="21"/>
          <w:highlight w:val="none"/>
        </w:rPr>
      </w:pPr>
      <w:bookmarkStart w:id="35" w:name="_Toc510172987"/>
      <w:r>
        <w:rPr>
          <w:rFonts w:ascii="仿宋" w:hAnsi="仿宋" w:eastAsia="仿宋"/>
          <w:b/>
          <w:color w:val="auto"/>
          <w:sz w:val="21"/>
          <w:szCs w:val="21"/>
          <w:highlight w:val="none"/>
        </w:rPr>
        <w:br w:type="page"/>
      </w:r>
    </w:p>
    <w:bookmarkEnd w:id="35"/>
    <w:p>
      <w:pPr>
        <w:pStyle w:val="9"/>
        <w:snapToGrid w:val="0"/>
        <w:spacing w:after="0" w:line="360" w:lineRule="auto"/>
        <w:ind w:left="0" w:leftChars="0"/>
        <w:outlineLvl w:val="0"/>
        <w:rPr>
          <w:rStyle w:val="28"/>
          <w:rFonts w:ascii="仿宋" w:hAnsi="仿宋" w:eastAsia="仿宋"/>
          <w:color w:val="auto"/>
          <w:sz w:val="21"/>
          <w:szCs w:val="21"/>
          <w:highlight w:val="none"/>
        </w:rPr>
      </w:pPr>
      <w:bookmarkStart w:id="36" w:name="_Toc510195853"/>
      <w:bookmarkStart w:id="37" w:name="_Toc529972344"/>
      <w:r>
        <w:rPr>
          <w:rStyle w:val="28"/>
          <w:rFonts w:hint="eastAsia" w:ascii="仿宋" w:hAnsi="仿宋" w:eastAsia="仿宋"/>
          <w:color w:val="auto"/>
          <w:sz w:val="21"/>
          <w:szCs w:val="21"/>
          <w:highlight w:val="none"/>
        </w:rPr>
        <w:t>附件六：质量保函</w:t>
      </w:r>
      <w:bookmarkEnd w:id="36"/>
      <w:r>
        <w:rPr>
          <w:rStyle w:val="28"/>
          <w:rFonts w:hint="eastAsia" w:ascii="仿宋" w:hAnsi="仿宋" w:eastAsia="仿宋"/>
          <w:color w:val="auto"/>
          <w:sz w:val="21"/>
          <w:szCs w:val="21"/>
          <w:highlight w:val="none"/>
        </w:rPr>
        <w:t>（样式）</w:t>
      </w:r>
      <w:bookmarkEnd w:id="37"/>
    </w:p>
    <w:p>
      <w:pPr>
        <w:rPr>
          <w:color w:val="auto"/>
          <w:highlight w:val="none"/>
        </w:rPr>
      </w:pPr>
    </w:p>
    <w:p>
      <w:pPr>
        <w:pStyle w:val="30"/>
        <w:spacing w:before="231"/>
        <w:jc w:val="center"/>
        <w:rPr>
          <w:b/>
          <w:color w:val="auto"/>
          <w:sz w:val="32"/>
          <w:highlight w:val="none"/>
        </w:rPr>
      </w:pPr>
      <w:r>
        <w:rPr>
          <w:rFonts w:hint="eastAsia"/>
          <w:b/>
          <w:color w:val="auto"/>
          <w:sz w:val="32"/>
          <w:highlight w:val="none"/>
        </w:rPr>
        <w:t>质量保函（样式）</w:t>
      </w:r>
    </w:p>
    <w:p>
      <w:pPr>
        <w:snapToGrid w:val="0"/>
        <w:spacing w:line="360" w:lineRule="auto"/>
        <w:ind w:firstLine="567"/>
        <w:rPr>
          <w:rFonts w:ascii="楷体_GB2312" w:hAnsi="宋体"/>
          <w:color w:val="auto"/>
          <w:sz w:val="24"/>
          <w:szCs w:val="24"/>
          <w:highlight w:val="none"/>
        </w:rPr>
      </w:pPr>
    </w:p>
    <w:p>
      <w:pPr>
        <w:snapToGrid w:val="0"/>
        <w:spacing w:line="360" w:lineRule="auto"/>
        <w:ind w:firstLine="567"/>
        <w:rPr>
          <w:rFonts w:ascii="楷体_GB2312" w:eastAsia="楷体_GB2312"/>
          <w:color w:val="auto"/>
          <w:sz w:val="24"/>
          <w:highlight w:val="none"/>
        </w:rPr>
      </w:pPr>
      <w:r>
        <w:rPr>
          <w:rFonts w:hint="eastAsia" w:ascii="楷体_GB2312" w:eastAsia="楷体_GB2312"/>
          <w:color w:val="auto"/>
          <w:sz w:val="24"/>
          <w:highlight w:val="none"/>
        </w:rPr>
        <w:t>保函编号：</w:t>
      </w:r>
    </w:p>
    <w:p>
      <w:pPr>
        <w:snapToGrid w:val="0"/>
        <w:spacing w:line="360" w:lineRule="auto"/>
        <w:ind w:firstLine="567"/>
        <w:rPr>
          <w:rFonts w:ascii="楷体_GB2312" w:eastAsia="楷体_GB2312"/>
          <w:color w:val="auto"/>
          <w:sz w:val="24"/>
          <w:highlight w:val="none"/>
        </w:rPr>
      </w:pPr>
      <w:r>
        <w:rPr>
          <w:rFonts w:hint="eastAsia" w:ascii="楷体_GB2312" w:eastAsia="楷体_GB2312"/>
          <w:color w:val="auto"/>
          <w:sz w:val="24"/>
          <w:highlight w:val="none"/>
        </w:rPr>
        <w:t>开立日期：</w:t>
      </w:r>
    </w:p>
    <w:p>
      <w:pPr>
        <w:snapToGrid w:val="0"/>
        <w:spacing w:line="360" w:lineRule="auto"/>
        <w:ind w:firstLine="567"/>
        <w:rPr>
          <w:rFonts w:ascii="楷体_GB2312" w:eastAsia="楷体_GB2312"/>
          <w:color w:val="auto"/>
          <w:sz w:val="24"/>
          <w:highlight w:val="none"/>
        </w:rPr>
      </w:pPr>
      <w:r>
        <w:rPr>
          <w:rFonts w:hint="eastAsia" w:ascii="楷体_GB2312" w:eastAsia="楷体_GB2312"/>
          <w:color w:val="auto"/>
          <w:sz w:val="24"/>
          <w:highlight w:val="none"/>
        </w:rPr>
        <w:t xml:space="preserve">致： </w:t>
      </w:r>
    </w:p>
    <w:p>
      <w:pPr>
        <w:snapToGrid w:val="0"/>
        <w:spacing w:line="360" w:lineRule="auto"/>
        <w:ind w:firstLine="567"/>
        <w:rPr>
          <w:rFonts w:ascii="楷体_GB2312" w:eastAsia="楷体_GB2312"/>
          <w:color w:val="auto"/>
          <w:sz w:val="24"/>
          <w:highlight w:val="none"/>
        </w:rPr>
      </w:pPr>
      <w:r>
        <w:rPr>
          <w:rFonts w:hint="eastAsia" w:ascii="楷体_GB2312" w:eastAsia="楷体_GB2312"/>
          <w:color w:val="auto"/>
          <w:sz w:val="24"/>
          <w:highlight w:val="none"/>
        </w:rPr>
        <w:t>本保函的开立谨作为              （以下称卖方）于      年     月与        （以下称贵司）签署电梯设备买卖合同，合同编号为     （以下称合同），应卖方申请，   （银行名称)   以贵司为受益人的不可撤销的质量保函，担保金额累计总额不超过人民币     （RMB      ）。</w:t>
      </w:r>
    </w:p>
    <w:p>
      <w:pPr>
        <w:snapToGrid w:val="0"/>
        <w:spacing w:line="360" w:lineRule="auto"/>
        <w:ind w:firstLine="567"/>
        <w:rPr>
          <w:rFonts w:ascii="楷体_GB2312" w:eastAsia="楷体_GB2312"/>
          <w:color w:val="auto"/>
          <w:sz w:val="24"/>
          <w:highlight w:val="none"/>
        </w:rPr>
      </w:pPr>
      <w:r>
        <w:rPr>
          <w:rFonts w:hint="eastAsia" w:ascii="楷体_GB2312" w:eastAsia="楷体_GB2312"/>
          <w:color w:val="auto"/>
          <w:sz w:val="24"/>
          <w:highlight w:val="none"/>
        </w:rPr>
        <w:t xml:space="preserve">    我行在此担保卖方将严格执行合同有关质量保修条款，确保质量，并按合同规定履行其质量保修期内应尽的义务。</w:t>
      </w:r>
    </w:p>
    <w:p>
      <w:pPr>
        <w:snapToGrid w:val="0"/>
        <w:spacing w:line="360" w:lineRule="auto"/>
        <w:ind w:firstLine="567"/>
        <w:rPr>
          <w:rFonts w:ascii="楷体_GB2312" w:eastAsia="楷体_GB2312"/>
          <w:color w:val="auto"/>
          <w:sz w:val="24"/>
          <w:highlight w:val="none"/>
        </w:rPr>
      </w:pPr>
      <w:r>
        <w:rPr>
          <w:rFonts w:hint="eastAsia" w:ascii="楷体_GB2312" w:eastAsia="楷体_GB2312"/>
          <w:color w:val="auto"/>
          <w:sz w:val="24"/>
          <w:highlight w:val="none"/>
        </w:rPr>
        <w:t>若卖方不能正常执行上述保证，贵司有权凭由贵司法人代表签字并加盖贵司公章的书面索赔书正本及本保函正本直接向本银行要求累计不高于人民币     （RMB      ）的赔偿，我行在5个工作日内将无条件地向贵司支付上述索赔金额。</w:t>
      </w:r>
    </w:p>
    <w:p>
      <w:pPr>
        <w:snapToGrid w:val="0"/>
        <w:spacing w:line="360" w:lineRule="auto"/>
        <w:ind w:firstLine="567"/>
        <w:rPr>
          <w:rFonts w:ascii="楷体_GB2312" w:eastAsia="楷体_GB2312"/>
          <w:color w:val="auto"/>
          <w:sz w:val="24"/>
          <w:highlight w:val="none"/>
        </w:rPr>
      </w:pPr>
      <w:r>
        <w:rPr>
          <w:rFonts w:hint="eastAsia" w:ascii="楷体_GB2312" w:eastAsia="楷体_GB2312"/>
          <w:color w:val="auto"/>
          <w:sz w:val="24"/>
          <w:highlight w:val="none"/>
        </w:rPr>
        <w:t>本保函为连带责任保函，我行无权要求贵司应先向卖方要求赔偿上述金额后再向我行提出索偿要求。</w:t>
      </w:r>
    </w:p>
    <w:p>
      <w:pPr>
        <w:snapToGrid w:val="0"/>
        <w:spacing w:line="360" w:lineRule="auto"/>
        <w:ind w:firstLine="567"/>
        <w:rPr>
          <w:rFonts w:ascii="楷体_GB2312" w:eastAsia="楷体_GB2312"/>
          <w:color w:val="auto"/>
          <w:sz w:val="24"/>
          <w:highlight w:val="none"/>
        </w:rPr>
      </w:pPr>
      <w:r>
        <w:rPr>
          <w:rFonts w:hint="eastAsia" w:ascii="楷体_GB2312" w:eastAsia="楷体_GB2312"/>
          <w:color w:val="auto"/>
          <w:sz w:val="24"/>
          <w:highlight w:val="none"/>
        </w:rPr>
        <w:t>本保函保证期自开立之日起至      年     月        日止。本保函到期后，请将正本保函退回我行注销，但无论正本是否退回，本保函均告失效。</w:t>
      </w:r>
    </w:p>
    <w:p>
      <w:pPr>
        <w:snapToGrid w:val="0"/>
        <w:spacing w:line="360" w:lineRule="auto"/>
        <w:ind w:firstLine="567"/>
        <w:rPr>
          <w:rFonts w:ascii="楷体_GB2312" w:eastAsia="楷体_GB2312"/>
          <w:color w:val="auto"/>
          <w:sz w:val="24"/>
          <w:highlight w:val="none"/>
        </w:rPr>
      </w:pPr>
      <w:r>
        <w:rPr>
          <w:rFonts w:hint="eastAsia" w:ascii="楷体_GB2312" w:eastAsia="楷体_GB2312"/>
          <w:color w:val="auto"/>
          <w:sz w:val="24"/>
          <w:highlight w:val="none"/>
        </w:rPr>
        <w:t>任何索赔要求务必于本保函到期日之前送达我行。</w:t>
      </w:r>
    </w:p>
    <w:p>
      <w:pPr>
        <w:snapToGrid w:val="0"/>
        <w:spacing w:line="360" w:lineRule="auto"/>
        <w:ind w:firstLine="567"/>
        <w:rPr>
          <w:rFonts w:ascii="楷体_GB2312" w:eastAsia="楷体_GB2312"/>
          <w:color w:val="auto"/>
          <w:sz w:val="24"/>
          <w:highlight w:val="none"/>
        </w:rPr>
      </w:pPr>
      <w:r>
        <w:rPr>
          <w:rFonts w:hint="eastAsia" w:ascii="楷体_GB2312" w:eastAsia="楷体_GB2312"/>
          <w:color w:val="auto"/>
          <w:sz w:val="24"/>
          <w:highlight w:val="none"/>
        </w:rPr>
        <w:t>本保函不可转让。</w:t>
      </w:r>
    </w:p>
    <w:p>
      <w:pPr>
        <w:snapToGrid w:val="0"/>
        <w:spacing w:line="360" w:lineRule="auto"/>
        <w:ind w:firstLine="567"/>
        <w:rPr>
          <w:rFonts w:ascii="楷体_GB2312" w:eastAsia="楷体_GB2312"/>
          <w:color w:val="auto"/>
          <w:sz w:val="24"/>
          <w:highlight w:val="none"/>
        </w:rPr>
      </w:pPr>
      <w:r>
        <w:rPr>
          <w:rFonts w:hint="eastAsia" w:ascii="楷体_GB2312" w:eastAsia="楷体_GB2312"/>
          <w:color w:val="auto"/>
          <w:sz w:val="24"/>
          <w:highlight w:val="none"/>
        </w:rPr>
        <w:t xml:space="preserve">             开具银行名称(盖章)：</w:t>
      </w:r>
    </w:p>
    <w:p>
      <w:pPr>
        <w:snapToGrid w:val="0"/>
        <w:spacing w:line="360" w:lineRule="auto"/>
        <w:ind w:firstLine="567"/>
        <w:rPr>
          <w:rFonts w:ascii="楷体_GB2312" w:eastAsia="楷体_GB2312"/>
          <w:color w:val="auto"/>
          <w:sz w:val="24"/>
          <w:highlight w:val="none"/>
        </w:rPr>
      </w:pPr>
      <w:r>
        <w:rPr>
          <w:rFonts w:hint="eastAsia" w:ascii="楷体_GB2312" w:eastAsia="楷体_GB2312"/>
          <w:color w:val="auto"/>
          <w:sz w:val="24"/>
          <w:highlight w:val="none"/>
        </w:rPr>
        <w:t xml:space="preserve">       负责人(签名):</w:t>
      </w:r>
    </w:p>
    <w:p>
      <w:pPr>
        <w:snapToGrid w:val="0"/>
        <w:spacing w:line="360" w:lineRule="auto"/>
        <w:ind w:firstLine="567"/>
        <w:rPr>
          <w:rFonts w:ascii="楷体_GB2312" w:eastAsia="楷体_GB2312"/>
          <w:color w:val="auto"/>
          <w:sz w:val="24"/>
          <w:highlight w:val="none"/>
        </w:rPr>
      </w:pPr>
      <w:r>
        <w:rPr>
          <w:rFonts w:hint="eastAsia" w:ascii="楷体_GB2312" w:eastAsia="楷体_GB2312"/>
          <w:color w:val="auto"/>
          <w:sz w:val="24"/>
          <w:highlight w:val="none"/>
        </w:rPr>
        <w:t xml:space="preserve">                开立时间:   年   月   日</w:t>
      </w:r>
    </w:p>
    <w:p>
      <w:pPr>
        <w:widowControl/>
        <w:autoSpaceDE/>
        <w:autoSpaceDN/>
        <w:adjustRightInd/>
        <w:rPr>
          <w:rFonts w:ascii="仿宋" w:hAnsi="仿宋" w:eastAsia="仿宋"/>
          <w:b/>
          <w:color w:val="auto"/>
          <w:sz w:val="21"/>
          <w:szCs w:val="21"/>
          <w:highlight w:val="none"/>
        </w:rPr>
      </w:pPr>
      <w:r>
        <w:rPr>
          <w:rFonts w:ascii="仿宋" w:hAnsi="仿宋" w:eastAsia="仿宋"/>
          <w:color w:val="auto"/>
          <w:sz w:val="21"/>
          <w:szCs w:val="21"/>
          <w:highlight w:val="none"/>
        </w:rPr>
        <w:br w:type="page"/>
      </w:r>
    </w:p>
    <w:p>
      <w:pPr>
        <w:pStyle w:val="29"/>
        <w:spacing w:before="462"/>
        <w:rPr>
          <w:rFonts w:ascii="仿宋" w:hAnsi="仿宋" w:eastAsia="仿宋"/>
          <w:color w:val="auto"/>
          <w:sz w:val="21"/>
          <w:szCs w:val="21"/>
          <w:highlight w:val="none"/>
        </w:rPr>
      </w:pPr>
      <w:bookmarkStart w:id="38" w:name="_Toc529972345"/>
      <w:r>
        <w:rPr>
          <w:rFonts w:hint="eastAsia" w:ascii="仿宋" w:hAnsi="仿宋" w:eastAsia="仿宋"/>
          <w:color w:val="auto"/>
          <w:sz w:val="21"/>
          <w:szCs w:val="21"/>
          <w:highlight w:val="none"/>
        </w:rPr>
        <w:t>附件七：工程质量保修书</w:t>
      </w:r>
      <w:bookmarkEnd w:id="38"/>
    </w:p>
    <w:p>
      <w:pPr>
        <w:pStyle w:val="30"/>
        <w:spacing w:before="231"/>
        <w:jc w:val="center"/>
        <w:rPr>
          <w:b/>
          <w:color w:val="auto"/>
          <w:sz w:val="32"/>
          <w:highlight w:val="none"/>
        </w:rPr>
      </w:pPr>
      <w:r>
        <w:rPr>
          <w:rFonts w:hint="eastAsia"/>
          <w:b/>
          <w:color w:val="auto"/>
          <w:sz w:val="32"/>
          <w:highlight w:val="none"/>
        </w:rPr>
        <w:t>工程质量保修书</w:t>
      </w:r>
    </w:p>
    <w:p>
      <w:pPr>
        <w:pStyle w:val="30"/>
        <w:spacing w:before="0" w:beforeLines="0"/>
        <w:ind w:firstLine="480" w:firstLineChars="200"/>
        <w:rPr>
          <w:color w:val="auto"/>
          <w:highlight w:val="none"/>
        </w:rPr>
      </w:pPr>
      <w:r>
        <w:rPr>
          <w:color w:val="auto"/>
          <w:highlight w:val="none"/>
        </w:rPr>
        <w:t>为保证</w:t>
      </w:r>
      <w:r>
        <w:rPr>
          <w:rFonts w:hint="eastAsia" w:hAnsi="楷体_GB2312" w:cs="楷体_GB2312"/>
          <w:color w:val="auto"/>
          <w:highlight w:val="none"/>
          <w:u w:val="single"/>
        </w:rPr>
        <w:t>佛山季华项目</w:t>
      </w:r>
      <w:r>
        <w:rPr>
          <w:rFonts w:hint="eastAsia"/>
          <w:color w:val="auto"/>
          <w:highlight w:val="none"/>
        </w:rPr>
        <w:t>电梯设备安装工程</w:t>
      </w:r>
      <w:r>
        <w:rPr>
          <w:color w:val="auto"/>
          <w:highlight w:val="none"/>
        </w:rPr>
        <w:t>在国家规定的建设工程使用期限内正常使用，甲、乙双方一致同意签订此工程质量保修书。乙方在质量保修期内承担工程质量保修责任。</w:t>
      </w:r>
      <w:r>
        <w:rPr>
          <w:rFonts w:hint="eastAsia"/>
          <w:b/>
          <w:color w:val="auto"/>
          <w:highlight w:val="none"/>
        </w:rPr>
        <w:t xml:space="preserve"> </w:t>
      </w:r>
    </w:p>
    <w:p>
      <w:pPr>
        <w:pStyle w:val="30"/>
        <w:spacing w:before="0" w:beforeLines="0"/>
        <w:ind w:firstLine="482" w:firstLineChars="200"/>
        <w:rPr>
          <w:b/>
          <w:color w:val="auto"/>
          <w:highlight w:val="none"/>
        </w:rPr>
      </w:pPr>
      <w:r>
        <w:rPr>
          <w:rFonts w:hint="eastAsia"/>
          <w:b/>
          <w:color w:val="auto"/>
          <w:highlight w:val="none"/>
        </w:rPr>
        <w:t>一、工程质量保修范围和内容</w:t>
      </w:r>
    </w:p>
    <w:p>
      <w:pPr>
        <w:pStyle w:val="30"/>
        <w:spacing w:before="0" w:beforeLines="0"/>
        <w:ind w:firstLine="480" w:firstLineChars="200"/>
        <w:rPr>
          <w:b/>
          <w:color w:val="auto"/>
          <w:highlight w:val="none"/>
        </w:rPr>
      </w:pPr>
      <w:r>
        <w:rPr>
          <w:rFonts w:hint="eastAsia"/>
          <w:color w:val="auto"/>
          <w:highlight w:val="none"/>
        </w:rPr>
        <w:t>乙方在质量保修期内，</w:t>
      </w:r>
      <w:r>
        <w:rPr>
          <w:color w:val="auto"/>
          <w:highlight w:val="none"/>
        </w:rPr>
        <w:t>应按法律、法规</w:t>
      </w:r>
      <w:r>
        <w:rPr>
          <w:rFonts w:hint="eastAsia"/>
          <w:color w:val="auto"/>
          <w:highlight w:val="none"/>
        </w:rPr>
        <w:t>、</w:t>
      </w:r>
      <w:r>
        <w:rPr>
          <w:color w:val="auto"/>
          <w:highlight w:val="none"/>
        </w:rPr>
        <w:t>国家关于工程质量保修的</w:t>
      </w:r>
      <w:r>
        <w:rPr>
          <w:rFonts w:hint="eastAsia"/>
          <w:color w:val="auto"/>
          <w:highlight w:val="none"/>
        </w:rPr>
        <w:t>有</w:t>
      </w:r>
      <w:r>
        <w:rPr>
          <w:color w:val="auto"/>
          <w:highlight w:val="none"/>
        </w:rPr>
        <w:t>关规定</w:t>
      </w:r>
      <w:r>
        <w:rPr>
          <w:rFonts w:hint="eastAsia"/>
          <w:color w:val="auto"/>
          <w:highlight w:val="none"/>
        </w:rPr>
        <w:t>及《</w:t>
      </w:r>
      <w:r>
        <w:rPr>
          <w:rFonts w:hint="eastAsia" w:hAnsi="楷体_GB2312" w:cs="楷体_GB2312"/>
          <w:color w:val="auto"/>
          <w:highlight w:val="none"/>
          <w:u w:val="single"/>
        </w:rPr>
        <w:t>佛山季华项目</w:t>
      </w:r>
      <w:r>
        <w:rPr>
          <w:rFonts w:hint="eastAsia"/>
          <w:color w:val="auto"/>
          <w:highlight w:val="none"/>
        </w:rPr>
        <w:t>电梯设备安装合同》</w:t>
      </w:r>
      <w:r>
        <w:rPr>
          <w:color w:val="auto"/>
          <w:highlight w:val="none"/>
        </w:rPr>
        <w:t>，对交付甲方使用的工程承担质量保修责任</w:t>
      </w:r>
      <w:r>
        <w:rPr>
          <w:rFonts w:hint="eastAsia"/>
          <w:color w:val="auto"/>
          <w:highlight w:val="none"/>
        </w:rPr>
        <w:t>及其他质量责任</w:t>
      </w:r>
      <w:r>
        <w:rPr>
          <w:color w:val="auto"/>
          <w:highlight w:val="none"/>
        </w:rPr>
        <w:t>。</w:t>
      </w:r>
    </w:p>
    <w:p>
      <w:pPr>
        <w:pStyle w:val="30"/>
        <w:spacing w:before="0" w:beforeLines="0"/>
        <w:ind w:firstLine="482" w:firstLineChars="200"/>
        <w:rPr>
          <w:b/>
          <w:color w:val="auto"/>
          <w:highlight w:val="none"/>
        </w:rPr>
      </w:pPr>
      <w:r>
        <w:rPr>
          <w:rFonts w:hint="eastAsia"/>
          <w:b/>
          <w:color w:val="auto"/>
          <w:highlight w:val="none"/>
        </w:rPr>
        <w:t>二、质量保修期</w:t>
      </w:r>
    </w:p>
    <w:p>
      <w:pPr>
        <w:pStyle w:val="30"/>
        <w:spacing w:before="0" w:beforeLines="0"/>
        <w:ind w:firstLine="480" w:firstLineChars="200"/>
        <w:rPr>
          <w:color w:val="auto"/>
          <w:highlight w:val="none"/>
        </w:rPr>
      </w:pPr>
      <w:r>
        <w:rPr>
          <w:color w:val="auto"/>
          <w:highlight w:val="none"/>
        </w:rPr>
        <w:t>本工程</w:t>
      </w:r>
      <w:r>
        <w:rPr>
          <w:rFonts w:hint="eastAsia"/>
          <w:color w:val="auto"/>
          <w:highlight w:val="none"/>
        </w:rPr>
        <w:t>质量</w:t>
      </w:r>
      <w:r>
        <w:rPr>
          <w:color w:val="auto"/>
          <w:highlight w:val="none"/>
        </w:rPr>
        <w:t>保修期为：</w:t>
      </w:r>
      <w:r>
        <w:rPr>
          <w:rFonts w:hint="eastAsia"/>
          <w:color w:val="auto"/>
          <w:highlight w:val="none"/>
        </w:rPr>
        <w:t>自</w:t>
      </w:r>
      <w:r>
        <w:rPr>
          <w:rFonts w:hint="eastAsia"/>
          <w:color w:val="auto"/>
          <w:highlight w:val="none"/>
          <w:u w:val="single"/>
        </w:rPr>
        <w:t>《</w:t>
      </w:r>
      <w:r>
        <w:rPr>
          <w:rFonts w:hint="eastAsia" w:hAnsi="楷体_GB2312" w:cs="楷体_GB2312"/>
          <w:color w:val="auto"/>
          <w:highlight w:val="none"/>
          <w:u w:val="single"/>
        </w:rPr>
        <w:t>佛山季华项目</w:t>
      </w:r>
      <w:r>
        <w:rPr>
          <w:rFonts w:hint="eastAsia"/>
          <w:color w:val="auto"/>
          <w:highlight w:val="none"/>
        </w:rPr>
        <w:t>电梯设备安装合同》全部电梯由乙方安装、调试、测试、检验完毕，乙方及电梯供货单位向有资质的电梯检测检验机构申请检验报告书，取得检验合格报告书、安全检验合格证及电梯设备使用登记证后，且</w:t>
      </w:r>
      <w:r>
        <w:rPr>
          <w:rFonts w:hint="eastAsia"/>
          <w:color w:val="auto"/>
          <w:highlight w:val="none"/>
          <w:u w:val="single"/>
        </w:rPr>
        <w:t>佛山季华项目</w:t>
      </w:r>
      <w:r>
        <w:rPr>
          <w:rFonts w:hint="eastAsia"/>
          <w:color w:val="auto"/>
          <w:highlight w:val="none"/>
        </w:rPr>
        <w:t>整体工程交付甲方使用之日起计算满24个月。</w:t>
      </w:r>
    </w:p>
    <w:p>
      <w:pPr>
        <w:pStyle w:val="30"/>
        <w:spacing w:before="0" w:beforeLines="0"/>
        <w:ind w:firstLine="482" w:firstLineChars="200"/>
        <w:rPr>
          <w:color w:val="auto"/>
          <w:highlight w:val="none"/>
        </w:rPr>
      </w:pPr>
      <w:r>
        <w:rPr>
          <w:rFonts w:hint="eastAsia"/>
          <w:b/>
          <w:color w:val="auto"/>
          <w:highlight w:val="none"/>
        </w:rPr>
        <w:t>三、质量保修责任</w:t>
      </w:r>
    </w:p>
    <w:p>
      <w:pPr>
        <w:pStyle w:val="30"/>
        <w:spacing w:before="0" w:beforeLines="0"/>
        <w:ind w:firstLine="480" w:firstLineChars="200"/>
        <w:rPr>
          <w:color w:val="auto"/>
          <w:highlight w:val="none"/>
        </w:rPr>
      </w:pPr>
      <w:r>
        <w:rPr>
          <w:rFonts w:hint="eastAsia"/>
          <w:color w:val="auto"/>
          <w:highlight w:val="none"/>
        </w:rPr>
        <w:t>1、质量保修期内出现的由于质量问题引起的损伤和损坏，乙方应在接到维修通知24小时内安排人员免费进行更换和维修。</w:t>
      </w:r>
    </w:p>
    <w:p>
      <w:pPr>
        <w:pStyle w:val="30"/>
        <w:spacing w:before="0" w:beforeLines="0"/>
        <w:ind w:firstLine="480" w:firstLineChars="200"/>
        <w:rPr>
          <w:color w:val="auto"/>
          <w:highlight w:val="none"/>
        </w:rPr>
      </w:pPr>
      <w:r>
        <w:rPr>
          <w:rFonts w:hint="eastAsia"/>
          <w:color w:val="auto"/>
          <w:highlight w:val="none"/>
        </w:rPr>
        <w:t>2、在质量保修期间，乙方负责设备的维修保养和定期检测，每月派专业人员进行检查，在验收符合合同要求后一年届满时，须会同甲方对本项目进行一次全面的检查，并将检查结果交甲方，检查费用由乙方承担。在质量保修期满后，乙方应协助甲方或物业管理公司进行日常保养。</w:t>
      </w:r>
    </w:p>
    <w:p>
      <w:pPr>
        <w:pStyle w:val="30"/>
        <w:spacing w:before="0" w:beforeLines="0"/>
        <w:ind w:firstLine="480" w:firstLineChars="200"/>
        <w:rPr>
          <w:color w:val="auto"/>
          <w:highlight w:val="none"/>
        </w:rPr>
      </w:pPr>
      <w:r>
        <w:rPr>
          <w:rFonts w:hint="eastAsia"/>
          <w:color w:val="auto"/>
          <w:highlight w:val="none"/>
        </w:rPr>
        <w:t>3、在质量保修期内发现任何瑕疵，甲方可在验收合格之日起至质量保修期终止后7天内的期间书面通知乙方，乙方应在收到通知后24小时内或甲方同意延长的时间内，进行修复，修复费用已含在合同价内，并承担由此引起的其他责任。乙方逾期未修复的，甲方有权委托第三方进行修复，并直接从应付给乙方的价款中扣除该项修复费用，不足扣除的，由乙方另行支付。</w:t>
      </w:r>
    </w:p>
    <w:p>
      <w:pPr>
        <w:pStyle w:val="30"/>
        <w:spacing w:before="0" w:beforeLines="0"/>
        <w:ind w:firstLine="480" w:firstLineChars="200"/>
        <w:rPr>
          <w:color w:val="auto"/>
          <w:highlight w:val="none"/>
        </w:rPr>
      </w:pPr>
      <w:r>
        <w:rPr>
          <w:rFonts w:hint="eastAsia"/>
          <w:color w:val="auto"/>
          <w:highlight w:val="none"/>
        </w:rPr>
        <w:t>4、在质量保修期结束后，合理的检查和试验都无法发现的隐蔽瑕疵均由乙方修复，修复费用已含在合同价内。</w:t>
      </w:r>
    </w:p>
    <w:p>
      <w:pPr>
        <w:pStyle w:val="30"/>
        <w:spacing w:before="0" w:beforeLines="0"/>
        <w:ind w:firstLine="480" w:firstLineChars="200"/>
        <w:rPr>
          <w:color w:val="auto"/>
          <w:highlight w:val="none"/>
        </w:rPr>
      </w:pPr>
      <w:r>
        <w:rPr>
          <w:rFonts w:hint="eastAsia"/>
          <w:color w:val="auto"/>
          <w:highlight w:val="none"/>
        </w:rPr>
        <w:t>5、在发现重大瑕疵、多次出现同样的瑕疵，经甲方要求时，乙方应就需修复的问题向甲方提供正式报告，说明存在瑕疵或损坏的原因、所采取的补救措施、修复情况等。</w:t>
      </w:r>
    </w:p>
    <w:p>
      <w:pPr>
        <w:pStyle w:val="30"/>
        <w:spacing w:before="0" w:beforeLines="0"/>
        <w:ind w:firstLine="480" w:firstLineChars="200"/>
        <w:rPr>
          <w:b/>
          <w:color w:val="auto"/>
          <w:highlight w:val="none"/>
        </w:rPr>
      </w:pPr>
      <w:r>
        <w:rPr>
          <w:rFonts w:hint="eastAsia"/>
          <w:color w:val="auto"/>
          <w:highlight w:val="none"/>
        </w:rPr>
        <w:t>6、质量保修期满后，乙方也仍应按合同或国家有关规定承担工程质量保证责任和因工程缺陷对甲方、他人造成的人身、财产损害、损失的责任和费用，包括但不限于诉讼（仲裁）费用、律师费等法律费用。</w:t>
      </w:r>
    </w:p>
    <w:p>
      <w:pPr>
        <w:pStyle w:val="30"/>
        <w:spacing w:before="0" w:beforeLines="0"/>
        <w:ind w:firstLine="482" w:firstLineChars="200"/>
        <w:rPr>
          <w:b/>
          <w:color w:val="auto"/>
          <w:highlight w:val="none"/>
        </w:rPr>
      </w:pPr>
      <w:r>
        <w:rPr>
          <w:rFonts w:hint="eastAsia"/>
          <w:b/>
          <w:color w:val="auto"/>
          <w:highlight w:val="none"/>
        </w:rPr>
        <w:t>四、质量保函</w:t>
      </w:r>
    </w:p>
    <w:p>
      <w:pPr>
        <w:pStyle w:val="30"/>
        <w:spacing w:before="0" w:beforeLines="0"/>
        <w:ind w:firstLine="480" w:firstLineChars="200"/>
        <w:rPr>
          <w:b/>
          <w:color w:val="auto"/>
          <w:highlight w:val="none"/>
        </w:rPr>
      </w:pPr>
      <w:r>
        <w:rPr>
          <w:rFonts w:hint="eastAsia"/>
          <w:color w:val="auto"/>
          <w:highlight w:val="none"/>
        </w:rPr>
        <w:t>本工程质量保函的具体规定详见《佛山季华项目电梯安装工程合同》的相关规定。</w:t>
      </w:r>
    </w:p>
    <w:p>
      <w:pPr>
        <w:pStyle w:val="30"/>
        <w:spacing w:before="0" w:beforeLines="0"/>
        <w:ind w:firstLine="482" w:firstLineChars="200"/>
        <w:rPr>
          <w:b/>
          <w:color w:val="auto"/>
          <w:highlight w:val="none"/>
        </w:rPr>
      </w:pPr>
      <w:r>
        <w:rPr>
          <w:rFonts w:hint="eastAsia"/>
          <w:b/>
          <w:color w:val="auto"/>
          <w:highlight w:val="none"/>
        </w:rPr>
        <w:t>五、其他</w:t>
      </w:r>
    </w:p>
    <w:p>
      <w:pPr>
        <w:pStyle w:val="30"/>
        <w:spacing w:before="0" w:beforeLines="0"/>
        <w:ind w:firstLine="480" w:firstLineChars="200"/>
        <w:rPr>
          <w:color w:val="auto"/>
          <w:highlight w:val="none"/>
        </w:rPr>
      </w:pPr>
      <w:r>
        <w:rPr>
          <w:color w:val="auto"/>
          <w:highlight w:val="none"/>
        </w:rPr>
        <w:t>当甲、乙双方有其它质量保修事项商定时，另行商定。</w:t>
      </w:r>
    </w:p>
    <w:p>
      <w:pPr>
        <w:pStyle w:val="30"/>
        <w:spacing w:before="0" w:beforeLines="0"/>
        <w:ind w:firstLine="480" w:firstLineChars="200"/>
        <w:rPr>
          <w:color w:val="auto"/>
          <w:highlight w:val="none"/>
        </w:rPr>
      </w:pPr>
      <w:r>
        <w:rPr>
          <w:color w:val="auto"/>
          <w:highlight w:val="none"/>
        </w:rPr>
        <w:t>本工程质量保修书作为</w:t>
      </w:r>
      <w:r>
        <w:rPr>
          <w:rFonts w:hint="eastAsia"/>
          <w:color w:val="auto"/>
          <w:highlight w:val="none"/>
        </w:rPr>
        <w:t>《 佛山季华项目电梯安装工程合同》的</w:t>
      </w:r>
      <w:r>
        <w:rPr>
          <w:color w:val="auto"/>
          <w:highlight w:val="none"/>
        </w:rPr>
        <w:t>组成部分。</w:t>
      </w:r>
    </w:p>
    <w:p>
      <w:pPr>
        <w:pStyle w:val="9"/>
        <w:snapToGrid w:val="0"/>
        <w:spacing w:line="360" w:lineRule="auto"/>
        <w:ind w:left="680" w:firstLine="480"/>
        <w:rPr>
          <w:rFonts w:ascii="楷体_GB2312" w:hAnsi="宋体" w:eastAsia="楷体_GB2312"/>
          <w:color w:val="auto"/>
          <w:sz w:val="24"/>
          <w:szCs w:val="24"/>
          <w:highlight w:val="none"/>
        </w:rPr>
      </w:pPr>
    </w:p>
    <w:p>
      <w:pPr>
        <w:pStyle w:val="9"/>
        <w:snapToGrid w:val="0"/>
        <w:spacing w:after="0" w:line="360" w:lineRule="auto"/>
        <w:ind w:left="0" w:leftChars="0"/>
        <w:outlineLvl w:val="0"/>
        <w:rPr>
          <w:rFonts w:ascii="仿宋" w:hAnsi="仿宋" w:eastAsia="仿宋"/>
          <w:b/>
          <w:color w:val="auto"/>
          <w:sz w:val="21"/>
          <w:szCs w:val="21"/>
          <w:highlight w:val="none"/>
        </w:rPr>
      </w:pPr>
      <w:r>
        <w:rPr>
          <w:rFonts w:ascii="楷体_GB2312" w:hAnsi="宋体" w:eastAsia="楷体_GB2312"/>
          <w:color w:val="auto"/>
          <w:sz w:val="24"/>
          <w:szCs w:val="24"/>
          <w:highlight w:val="none"/>
        </w:rPr>
        <w:br w:type="page"/>
      </w:r>
      <w:bookmarkStart w:id="39" w:name="_Toc529972346"/>
      <w:r>
        <w:rPr>
          <w:rFonts w:hint="eastAsia" w:ascii="仿宋" w:hAnsi="仿宋" w:eastAsia="仿宋"/>
          <w:b/>
          <w:color w:val="auto"/>
          <w:sz w:val="21"/>
          <w:szCs w:val="21"/>
          <w:highlight w:val="none"/>
        </w:rPr>
        <w:t>附件八：工程建设项目廉政责任书</w:t>
      </w:r>
      <w:bookmarkEnd w:id="39"/>
    </w:p>
    <w:p>
      <w:pPr>
        <w:snapToGrid w:val="0"/>
        <w:spacing w:before="231" w:beforeLines="50" w:after="231" w:afterLines="50" w:line="360" w:lineRule="auto"/>
        <w:jc w:val="center"/>
        <w:rPr>
          <w:rFonts w:ascii="楷体_GB2312" w:hAnsi="宋体" w:eastAsia="楷体_GB2312"/>
          <w:b/>
          <w:bCs/>
          <w:color w:val="auto"/>
          <w:sz w:val="32"/>
          <w:szCs w:val="32"/>
          <w:highlight w:val="none"/>
        </w:rPr>
      </w:pPr>
      <w:r>
        <w:rPr>
          <w:rFonts w:hint="eastAsia" w:ascii="楷体_GB2312" w:hAnsi="宋体" w:eastAsia="楷体_GB2312"/>
          <w:b/>
          <w:bCs/>
          <w:color w:val="auto"/>
          <w:sz w:val="32"/>
          <w:szCs w:val="32"/>
          <w:highlight w:val="none"/>
        </w:rPr>
        <w:t>工程建设项目廉政责任书</w:t>
      </w:r>
    </w:p>
    <w:p>
      <w:pPr>
        <w:pStyle w:val="30"/>
        <w:spacing w:before="231"/>
        <w:ind w:firstLine="360" w:firstLineChars="150"/>
        <w:rPr>
          <w:color w:val="auto"/>
          <w:highlight w:val="none"/>
        </w:rPr>
      </w:pPr>
      <w:r>
        <w:rPr>
          <w:rFonts w:hint="eastAsia"/>
          <w:color w:val="auto"/>
          <w:highlight w:val="none"/>
        </w:rPr>
        <w:t>为加强佛山季华项目电梯设备安装施工工程建设过程的廉政建设，规范工程建设中双方的各项活动，防止发生各种谋取不正当利益的违法违纪行为，保护国家和当事人的合法权益，根据国家有关工程建设的法律法规和廉政建设责任制规定，特订立本廉政责任书。</w:t>
      </w:r>
    </w:p>
    <w:p>
      <w:pPr>
        <w:pStyle w:val="30"/>
        <w:spacing w:before="0" w:beforeLines="0"/>
        <w:rPr>
          <w:color w:val="auto"/>
          <w:highlight w:val="none"/>
        </w:rPr>
      </w:pPr>
      <w:r>
        <w:rPr>
          <w:rFonts w:hint="eastAsia"/>
          <w:color w:val="auto"/>
          <w:highlight w:val="none"/>
        </w:rPr>
        <w:t xml:space="preserve">    第一条　甲乙双方的责任</w:t>
      </w:r>
    </w:p>
    <w:p>
      <w:pPr>
        <w:pStyle w:val="30"/>
        <w:spacing w:before="0" w:beforeLines="0"/>
        <w:rPr>
          <w:color w:val="auto"/>
          <w:highlight w:val="none"/>
        </w:rPr>
      </w:pPr>
      <w:r>
        <w:rPr>
          <w:rFonts w:hint="eastAsia"/>
          <w:color w:val="auto"/>
          <w:highlight w:val="none"/>
        </w:rPr>
        <w:t xml:space="preserve">   （一）应严格遵守国家关于市场准入、项目招标投标、工程建设、施工安装和市场活动等有关法律、法规、政策，以及廉政建设的各项规定。</w:t>
      </w:r>
    </w:p>
    <w:p>
      <w:pPr>
        <w:pStyle w:val="30"/>
        <w:spacing w:before="0" w:beforeLines="0"/>
        <w:rPr>
          <w:color w:val="auto"/>
          <w:highlight w:val="none"/>
        </w:rPr>
      </w:pPr>
      <w:r>
        <w:rPr>
          <w:rFonts w:hint="eastAsia"/>
          <w:color w:val="auto"/>
          <w:highlight w:val="none"/>
        </w:rPr>
        <w:t xml:space="preserve">   （二）严格履行工程建设项目中所签订的所有合同文件，自觉按合同办事。</w:t>
      </w:r>
    </w:p>
    <w:p>
      <w:pPr>
        <w:pStyle w:val="30"/>
        <w:spacing w:before="0" w:beforeLines="0"/>
        <w:rPr>
          <w:color w:val="auto"/>
          <w:highlight w:val="none"/>
        </w:rPr>
      </w:pPr>
      <w:r>
        <w:rPr>
          <w:rFonts w:hint="eastAsia"/>
          <w:color w:val="auto"/>
          <w:highlight w:val="none"/>
        </w:rPr>
        <w:t xml:space="preserve">   （三）业务活动必须坚持公开、公平、公正、诚信、透明的原则（除法律法规另有规定者外），不得为获取不正当的利益，损害国家和对方利益，不得违反工程建设管理、施工安装的规章制度。</w:t>
      </w:r>
    </w:p>
    <w:p>
      <w:pPr>
        <w:pStyle w:val="30"/>
        <w:spacing w:before="0" w:beforeLines="0"/>
        <w:rPr>
          <w:color w:val="auto"/>
          <w:highlight w:val="none"/>
        </w:rPr>
      </w:pPr>
      <w:r>
        <w:rPr>
          <w:rFonts w:hint="eastAsia"/>
          <w:color w:val="auto"/>
          <w:highlight w:val="none"/>
        </w:rPr>
        <w:t xml:space="preserve">   （四）教育、监督本单位所有相关人员(包括担任领导职务人员，下同）廉洁、尽职地工作，制定和严格执行相关规章制度，防范和严肃查处相关人员违法、违纪利用工作便利谋取个人利益的行为。</w:t>
      </w:r>
    </w:p>
    <w:p>
      <w:pPr>
        <w:pStyle w:val="30"/>
        <w:spacing w:before="0" w:beforeLines="0"/>
        <w:rPr>
          <w:color w:val="auto"/>
          <w:highlight w:val="none"/>
        </w:rPr>
      </w:pPr>
      <w:r>
        <w:rPr>
          <w:rFonts w:hint="eastAsia"/>
          <w:color w:val="auto"/>
          <w:highlight w:val="none"/>
        </w:rPr>
        <w:t>（五）不得向另一方的相关人员提供第二条或第三条各项所列个人利益，三方的合同另有明文规定的奖励、考察不受此限。</w:t>
      </w:r>
    </w:p>
    <w:p>
      <w:pPr>
        <w:pStyle w:val="30"/>
        <w:spacing w:before="0" w:beforeLines="0"/>
        <w:rPr>
          <w:color w:val="auto"/>
          <w:highlight w:val="none"/>
        </w:rPr>
      </w:pPr>
      <w:r>
        <w:rPr>
          <w:rFonts w:hint="eastAsia"/>
          <w:color w:val="auto"/>
          <w:highlight w:val="none"/>
        </w:rPr>
        <w:t>(六)发现另一方或其有关人员在业务活动中有违规、违纪、违法行为的，应及时提醒、告知另一方，另一方应依照法律法规、相关合同，认真调查并处理。另一方或其有关人员该等行为情节严重的，任何一方均应向其上级主管部门或纪检监察、司法等有关机关举报。</w:t>
      </w:r>
    </w:p>
    <w:p>
      <w:pPr>
        <w:pStyle w:val="30"/>
        <w:spacing w:before="0" w:beforeLines="0"/>
        <w:rPr>
          <w:color w:val="auto"/>
          <w:highlight w:val="none"/>
        </w:rPr>
      </w:pPr>
      <w:r>
        <w:rPr>
          <w:rFonts w:hint="eastAsia"/>
          <w:color w:val="auto"/>
          <w:highlight w:val="none"/>
        </w:rPr>
        <w:t xml:space="preserve">    第二条　甲方的责任</w:t>
      </w:r>
    </w:p>
    <w:p>
      <w:pPr>
        <w:pStyle w:val="30"/>
        <w:spacing w:before="0" w:beforeLines="0"/>
        <w:rPr>
          <w:color w:val="auto"/>
          <w:highlight w:val="none"/>
        </w:rPr>
      </w:pPr>
      <w:r>
        <w:rPr>
          <w:rFonts w:hint="eastAsia"/>
          <w:color w:val="auto"/>
          <w:highlight w:val="none"/>
        </w:rPr>
        <w:t xml:space="preserve">    甲方应教育和监督本方与该工程建设项目有关的人员，在工程建设的事前、事中、事后均严格遵守以下规定：</w:t>
      </w:r>
    </w:p>
    <w:p>
      <w:pPr>
        <w:pStyle w:val="30"/>
        <w:spacing w:before="0" w:beforeLines="0"/>
        <w:rPr>
          <w:color w:val="auto"/>
          <w:highlight w:val="none"/>
        </w:rPr>
      </w:pPr>
      <w:r>
        <w:rPr>
          <w:rFonts w:hint="eastAsia"/>
          <w:color w:val="auto"/>
          <w:highlight w:val="none"/>
        </w:rPr>
        <w:t xml:space="preserve">   （一）不准向乙方和相关单位（包括但不限于施工单位、勘察、设计单位、设备或原材料供应单位，下同）索要或接受回扣、礼金、红包、有价证券、银行卡、物品和好处费、感谢费、其他财产性利益等。</w:t>
      </w:r>
    </w:p>
    <w:p>
      <w:pPr>
        <w:pStyle w:val="30"/>
        <w:spacing w:before="0" w:beforeLines="0"/>
        <w:rPr>
          <w:color w:val="auto"/>
          <w:highlight w:val="none"/>
        </w:rPr>
      </w:pPr>
      <w:r>
        <w:rPr>
          <w:rFonts w:hint="eastAsia"/>
          <w:color w:val="auto"/>
          <w:highlight w:val="none"/>
        </w:rPr>
        <w:t xml:space="preserve">   （二）不准在乙方和相关单位报销任何应由甲方支付的费用，或借用乙方的车辆办理私事。</w:t>
      </w:r>
    </w:p>
    <w:p>
      <w:pPr>
        <w:pStyle w:val="30"/>
        <w:spacing w:before="0" w:beforeLines="0"/>
        <w:rPr>
          <w:color w:val="auto"/>
          <w:highlight w:val="none"/>
        </w:rPr>
      </w:pPr>
      <w:r>
        <w:rPr>
          <w:rFonts w:hint="eastAsia"/>
          <w:color w:val="auto"/>
          <w:highlight w:val="none"/>
        </w:rPr>
        <w:t xml:space="preserve">   （三）不准要求、暗示和接受甲方和相关单位为个人装修住房、婚丧嫁娶、配偶子女的工作安排以及出国（境）、旅游（双方相关合同所规定的考察不受此限）等提供方便。</w:t>
      </w:r>
    </w:p>
    <w:p>
      <w:pPr>
        <w:pStyle w:val="30"/>
        <w:spacing w:before="0" w:beforeLines="0"/>
        <w:rPr>
          <w:color w:val="auto"/>
          <w:highlight w:val="none"/>
        </w:rPr>
      </w:pPr>
      <w:r>
        <w:rPr>
          <w:rFonts w:hint="eastAsia"/>
          <w:color w:val="auto"/>
          <w:highlight w:val="none"/>
        </w:rPr>
        <w:t xml:space="preserve">   （四）不准参加有可能影响公正执行公务的乙方和相关单位的宴请、健身、娱乐等活动。</w:t>
      </w:r>
    </w:p>
    <w:p>
      <w:pPr>
        <w:pStyle w:val="30"/>
        <w:spacing w:before="0" w:beforeLines="0"/>
        <w:rPr>
          <w:color w:val="auto"/>
          <w:highlight w:val="none"/>
        </w:rPr>
      </w:pPr>
      <w:r>
        <w:rPr>
          <w:rFonts w:hint="eastAsia"/>
          <w:color w:val="auto"/>
          <w:highlight w:val="none"/>
        </w:rPr>
        <w:t xml:space="preserve">   （五）不准向乙方介绍或为配偶、子女、亲属参与同甲方有关的设备、材料、工程分包、劳务等经济活动。不得以任何理由向乙方和相关单位推荐分包单位和要求乙方购买规定以外的材料、设备等（合同所规定的属于甲方行使的相关权利不受此限）。</w:t>
      </w:r>
    </w:p>
    <w:p>
      <w:pPr>
        <w:pStyle w:val="30"/>
        <w:spacing w:before="0" w:beforeLines="0"/>
        <w:rPr>
          <w:color w:val="auto"/>
          <w:highlight w:val="none"/>
        </w:rPr>
      </w:pPr>
      <w:r>
        <w:rPr>
          <w:rFonts w:hint="eastAsia"/>
          <w:color w:val="auto"/>
          <w:highlight w:val="none"/>
        </w:rPr>
        <w:t xml:space="preserve">    第三条　乙方的责任</w:t>
      </w:r>
    </w:p>
    <w:p>
      <w:pPr>
        <w:pStyle w:val="30"/>
        <w:spacing w:before="0" w:beforeLines="0"/>
        <w:rPr>
          <w:color w:val="auto"/>
          <w:highlight w:val="none"/>
        </w:rPr>
      </w:pPr>
      <w:r>
        <w:rPr>
          <w:rFonts w:hint="eastAsia"/>
          <w:color w:val="auto"/>
          <w:highlight w:val="none"/>
        </w:rPr>
        <w:t xml:space="preserve">    应与甲方保持正常的业务交往，按照有关法律法规和程序开展业务工作，严格执行工程建设的有关方针、政策，尤其是有关建筑施工、安装及强制性标准和规范，并教育和监督其领导和有关人员严格遵守以下规定：</w:t>
      </w:r>
    </w:p>
    <w:p>
      <w:pPr>
        <w:pStyle w:val="30"/>
        <w:spacing w:before="0" w:beforeLines="0"/>
        <w:rPr>
          <w:color w:val="auto"/>
          <w:highlight w:val="none"/>
        </w:rPr>
      </w:pPr>
      <w:r>
        <w:rPr>
          <w:rFonts w:hint="eastAsia"/>
          <w:color w:val="auto"/>
          <w:highlight w:val="none"/>
        </w:rPr>
        <w:t xml:space="preserve">   （一）不准以任何理由向甲方、相关单位及其工作人员索要、接受或赠送礼金、红包、有价证券、银行卡、物品和回扣、好处费、感谢费、其他财产性利益等。</w:t>
      </w:r>
    </w:p>
    <w:p>
      <w:pPr>
        <w:pStyle w:val="30"/>
        <w:spacing w:before="0" w:beforeLines="0"/>
        <w:rPr>
          <w:color w:val="auto"/>
          <w:highlight w:val="none"/>
        </w:rPr>
      </w:pPr>
      <w:r>
        <w:rPr>
          <w:rFonts w:hint="eastAsia"/>
          <w:color w:val="auto"/>
          <w:highlight w:val="none"/>
        </w:rPr>
        <w:t xml:space="preserve">   （二）不准以任何理由为甲方和相关单位报销应由对方或个人支付的费用，或出借车辆给甲方人员办理私事。</w:t>
      </w:r>
    </w:p>
    <w:p>
      <w:pPr>
        <w:pStyle w:val="30"/>
        <w:spacing w:before="0" w:beforeLines="0"/>
        <w:rPr>
          <w:color w:val="auto"/>
          <w:highlight w:val="none"/>
        </w:rPr>
      </w:pPr>
      <w:r>
        <w:rPr>
          <w:rFonts w:hint="eastAsia"/>
          <w:color w:val="auto"/>
          <w:highlight w:val="none"/>
        </w:rPr>
        <w:t xml:space="preserve">   （三）不准接受或暗示为甲方、相关单位或个人装修住房、婚丧嫁娶、配偶子女的工作安排以及出国（境）、旅游等提供方便。</w:t>
      </w:r>
    </w:p>
    <w:p>
      <w:pPr>
        <w:pStyle w:val="30"/>
        <w:spacing w:before="0" w:beforeLines="0"/>
        <w:rPr>
          <w:color w:val="auto"/>
          <w:highlight w:val="none"/>
        </w:rPr>
      </w:pPr>
      <w:r>
        <w:rPr>
          <w:rFonts w:hint="eastAsia"/>
          <w:color w:val="auto"/>
          <w:highlight w:val="none"/>
        </w:rPr>
        <w:t xml:space="preserve">   （四）不准以任何理由为甲方、相关单位或个人组织有可能影响公正执行公务的宴请、健身、娱乐等活动。</w:t>
      </w:r>
    </w:p>
    <w:p>
      <w:pPr>
        <w:pStyle w:val="30"/>
        <w:spacing w:before="0" w:beforeLines="0"/>
        <w:ind w:firstLine="480" w:firstLineChars="200"/>
        <w:rPr>
          <w:color w:val="auto"/>
          <w:highlight w:val="none"/>
        </w:rPr>
      </w:pPr>
      <w:r>
        <w:rPr>
          <w:rFonts w:hint="eastAsia"/>
          <w:color w:val="auto"/>
          <w:highlight w:val="none"/>
        </w:rPr>
        <w:t>第四条　法律和纪律责任</w:t>
      </w:r>
    </w:p>
    <w:p>
      <w:pPr>
        <w:pStyle w:val="30"/>
        <w:spacing w:before="0" w:beforeLines="0"/>
        <w:rPr>
          <w:color w:val="auto"/>
          <w:highlight w:val="none"/>
        </w:rPr>
      </w:pPr>
      <w:r>
        <w:rPr>
          <w:rFonts w:hint="eastAsia"/>
          <w:color w:val="auto"/>
          <w:highlight w:val="none"/>
        </w:rPr>
        <w:t xml:space="preserve">   （一）甲方工作人员有违反本责任书第一、二条谋取个人利益行为的，乙方应向甲方或有关机关举报，甲方应按照管理权限调查核实，并依据有关法律法规和规定给予党纪、政纪处分或公司制度项下处分处理；涉嫌犯罪的，向司法机关举报，追究刑事责任。</w:t>
      </w:r>
    </w:p>
    <w:p>
      <w:pPr>
        <w:pStyle w:val="30"/>
        <w:spacing w:before="0" w:beforeLines="0"/>
        <w:rPr>
          <w:color w:val="auto"/>
          <w:highlight w:val="none"/>
        </w:rPr>
      </w:pPr>
      <w:r>
        <w:rPr>
          <w:rFonts w:hint="eastAsia"/>
          <w:color w:val="auto"/>
          <w:highlight w:val="none"/>
        </w:rPr>
        <w:t xml:space="preserve">   （二）乙方工作人员有违反本责任书第一、三条谋取个人利益行为的，甲方应向乙方或有关机关举报，乙方应按照管理权限调查核实，并依据有关法律法规和规定给予党纪、政纪处分或公司制度项下处分处理；涉嫌犯罪的，向司法机关举报，追究刑事责任。</w:t>
      </w:r>
    </w:p>
    <w:p>
      <w:pPr>
        <w:pStyle w:val="30"/>
        <w:spacing w:before="0" w:beforeLines="0"/>
        <w:ind w:firstLine="360" w:firstLineChars="150"/>
        <w:rPr>
          <w:color w:val="auto"/>
          <w:highlight w:val="none"/>
        </w:rPr>
      </w:pPr>
      <w:r>
        <w:rPr>
          <w:rFonts w:hint="eastAsia"/>
          <w:color w:val="auto"/>
          <w:highlight w:val="none"/>
        </w:rPr>
        <w:t>（三）A方（指任何一方，下同）向B方（指另一方，下同）有关人员提供前述各条所禁止提供或收受的个人利益的，无论是否依B方有关人员的要求提供，也无论通过何种方式、何人提供，均须承担全部相应的法律责任，包括但不限于赔偿B方因该等不正当收受利益人员有关失职行为所发生的全部损失。B方并有权解除合同。B方有关人员未接受A方所给付的该等利益的，或其接受后未发现其失职造成B方损失的，或B方所发生的损失或部分损失难以计算的,按提供给B方人员个人利益每人次须付50万元计算违约金。</w:t>
      </w:r>
    </w:p>
    <w:p>
      <w:pPr>
        <w:pStyle w:val="30"/>
        <w:spacing w:before="0" w:beforeLines="0"/>
        <w:ind w:firstLine="360" w:firstLineChars="150"/>
        <w:rPr>
          <w:color w:val="auto"/>
          <w:highlight w:val="none"/>
        </w:rPr>
      </w:pPr>
      <w:r>
        <w:rPr>
          <w:rFonts w:hint="eastAsia"/>
          <w:color w:val="auto"/>
          <w:highlight w:val="none"/>
        </w:rPr>
        <w:t>（四）B方有关人员因索要前述禁止的个人利益未成功或因未取得A方给付该等利益而未正常处理有关工作，造成B方违反合同的，B方须向A方承担违约责任，赔偿A方全部损失。</w:t>
      </w:r>
    </w:p>
    <w:p>
      <w:pPr>
        <w:pStyle w:val="30"/>
        <w:spacing w:before="0" w:beforeLines="0"/>
        <w:ind w:firstLine="480" w:firstLineChars="200"/>
        <w:rPr>
          <w:color w:val="auto"/>
          <w:highlight w:val="none"/>
        </w:rPr>
      </w:pPr>
      <w:r>
        <w:rPr>
          <w:rFonts w:hint="eastAsia"/>
          <w:color w:val="auto"/>
          <w:highlight w:val="none"/>
        </w:rPr>
        <w:t>第五条　本责任书作为本工程合同的附件，与工程合同具有同等法律效力。</w:t>
      </w:r>
    </w:p>
    <w:p>
      <w:pPr>
        <w:pStyle w:val="30"/>
        <w:spacing w:before="0" w:beforeLines="0"/>
        <w:ind w:firstLine="480" w:firstLineChars="200"/>
        <w:rPr>
          <w:color w:val="auto"/>
          <w:highlight w:val="none"/>
        </w:rPr>
      </w:pPr>
      <w:r>
        <w:rPr>
          <w:rFonts w:hint="eastAsia"/>
          <w:color w:val="auto"/>
          <w:highlight w:val="none"/>
        </w:rPr>
        <w:t>第六条　本责任书的有效期为双方签署之日起至该工程建设项目竣工验收符合合同要求时止。</w:t>
      </w:r>
    </w:p>
    <w:p>
      <w:pPr>
        <w:pStyle w:val="30"/>
        <w:spacing w:before="231"/>
        <w:rPr>
          <w:color w:val="auto"/>
          <w:highlight w:val="none"/>
        </w:rPr>
      </w:pPr>
      <w:r>
        <w:rPr>
          <w:color w:val="auto"/>
          <w:highlight w:val="none"/>
        </w:rPr>
        <w:t xml:space="preserve">    </w:t>
      </w:r>
    </w:p>
    <w:p>
      <w:pPr>
        <w:pStyle w:val="30"/>
        <w:spacing w:before="231"/>
        <w:ind w:left="720" w:hanging="720" w:hangingChars="300"/>
        <w:rPr>
          <w:color w:val="auto"/>
          <w:highlight w:val="none"/>
        </w:rPr>
      </w:pPr>
      <w:r>
        <w:rPr>
          <w:rFonts w:hint="eastAsia"/>
          <w:color w:val="auto"/>
          <w:highlight w:val="none"/>
        </w:rPr>
        <w:t xml:space="preserve">甲方：（盖章）                          乙方：（盖章）                            </w:t>
      </w:r>
    </w:p>
    <w:p>
      <w:pPr>
        <w:pStyle w:val="30"/>
        <w:spacing w:before="231"/>
        <w:rPr>
          <w:color w:val="auto"/>
          <w:highlight w:val="none"/>
        </w:rPr>
      </w:pPr>
      <w:r>
        <w:rPr>
          <w:rFonts w:hint="eastAsia"/>
          <w:color w:val="auto"/>
          <w:highlight w:val="none"/>
        </w:rPr>
        <w:t>法定代表人或授权代表人：                法定代表人或授权代表人：</w:t>
      </w:r>
    </w:p>
    <w:p>
      <w:pPr>
        <w:pStyle w:val="30"/>
        <w:spacing w:before="231"/>
        <w:rPr>
          <w:color w:val="auto"/>
          <w:highlight w:val="none"/>
        </w:rPr>
      </w:pPr>
      <w:r>
        <w:rPr>
          <w:rFonts w:hint="eastAsia"/>
          <w:color w:val="auto"/>
          <w:highlight w:val="none"/>
        </w:rPr>
        <w:t>签约日期：                              签约日期：</w:t>
      </w:r>
    </w:p>
    <w:p>
      <w:pPr>
        <w:pStyle w:val="30"/>
        <w:spacing w:before="231"/>
        <w:rPr>
          <w:color w:val="auto"/>
          <w:highlight w:val="none"/>
        </w:rPr>
      </w:pPr>
    </w:p>
    <w:p>
      <w:pPr>
        <w:pStyle w:val="30"/>
        <w:spacing w:before="0" w:beforeLines="0"/>
        <w:rPr>
          <w:color w:val="auto"/>
          <w:highlight w:val="none"/>
        </w:rPr>
      </w:pPr>
    </w:p>
    <w:p>
      <w:pPr>
        <w:pStyle w:val="30"/>
        <w:spacing w:before="0" w:beforeLines="0"/>
        <w:rPr>
          <w:color w:val="auto"/>
          <w:highlight w:val="none"/>
        </w:rPr>
      </w:pPr>
    </w:p>
    <w:p>
      <w:pPr>
        <w:pStyle w:val="30"/>
        <w:spacing w:before="0" w:beforeLines="0"/>
        <w:rPr>
          <w:color w:val="auto"/>
          <w:highlight w:val="none"/>
        </w:rPr>
      </w:pPr>
    </w:p>
    <w:p>
      <w:pPr>
        <w:pStyle w:val="30"/>
        <w:spacing w:before="0" w:beforeLines="0"/>
        <w:rPr>
          <w:color w:val="auto"/>
          <w:highlight w:val="none"/>
        </w:rPr>
      </w:pPr>
    </w:p>
    <w:p>
      <w:pPr>
        <w:pStyle w:val="30"/>
        <w:spacing w:before="0" w:beforeLines="0"/>
        <w:rPr>
          <w:color w:val="auto"/>
          <w:highlight w:val="none"/>
        </w:rPr>
      </w:pPr>
    </w:p>
    <w:p>
      <w:pPr>
        <w:widowControl/>
        <w:autoSpaceDE/>
        <w:autoSpaceDN/>
        <w:adjustRightInd/>
        <w:rPr>
          <w:rFonts w:ascii="仿宋" w:hAnsi="仿宋" w:eastAsia="仿宋"/>
          <w:b/>
          <w:color w:val="auto"/>
          <w:sz w:val="21"/>
          <w:szCs w:val="21"/>
          <w:highlight w:val="none"/>
        </w:rPr>
      </w:pPr>
      <w:bookmarkStart w:id="40" w:name="_Toc529972347"/>
      <w:r>
        <w:rPr>
          <w:rFonts w:ascii="仿宋" w:hAnsi="仿宋" w:eastAsia="仿宋"/>
          <w:b/>
          <w:color w:val="auto"/>
          <w:sz w:val="21"/>
          <w:szCs w:val="21"/>
          <w:highlight w:val="none"/>
        </w:rPr>
        <w:br w:type="page"/>
      </w:r>
      <w:r>
        <w:rPr>
          <w:rFonts w:hint="eastAsia" w:ascii="仿宋" w:hAnsi="仿宋" w:eastAsia="仿宋"/>
          <w:b/>
          <w:color w:val="auto"/>
          <w:sz w:val="21"/>
          <w:szCs w:val="21"/>
          <w:highlight w:val="none"/>
        </w:rPr>
        <w:t>附件九：电梯防护与运行管理</w:t>
      </w:r>
      <w:bookmarkEnd w:id="40"/>
    </w:p>
    <w:p>
      <w:pPr>
        <w:ind w:firstLine="2570" w:firstLineChars="800"/>
        <w:rPr>
          <w:rFonts w:ascii="宋体" w:hAnsi="宋体" w:eastAsia="宋体"/>
          <w:color w:val="auto"/>
          <w:sz w:val="24"/>
          <w:highlight w:val="none"/>
        </w:rPr>
      </w:pPr>
      <w:r>
        <w:rPr>
          <w:rFonts w:hint="eastAsia" w:ascii="宋体" w:hAnsi="宋体" w:eastAsia="宋体"/>
          <w:b/>
          <w:bCs/>
          <w:color w:val="auto"/>
          <w:sz w:val="32"/>
          <w:szCs w:val="32"/>
          <w:highlight w:val="none"/>
        </w:rPr>
        <w:t>电梯防护与运行管理</w:t>
      </w:r>
    </w:p>
    <w:p>
      <w:pPr>
        <w:rPr>
          <w:rFonts w:ascii="宋体" w:hAnsi="宋体" w:eastAsia="宋体"/>
          <w:bCs/>
          <w:color w:val="auto"/>
          <w:sz w:val="28"/>
          <w:szCs w:val="28"/>
          <w:highlight w:val="none"/>
        </w:rPr>
      </w:pPr>
      <w:r>
        <w:rPr>
          <w:rFonts w:hint="eastAsia" w:ascii="Calibri-Bold" w:hAnsi="Calibri-Bold" w:eastAsia="宋体"/>
          <w:bCs/>
          <w:color w:val="auto"/>
          <w:sz w:val="28"/>
          <w:szCs w:val="28"/>
          <w:highlight w:val="none"/>
        </w:rPr>
        <w:t>一、</w:t>
      </w:r>
      <w:r>
        <w:rPr>
          <w:rFonts w:hint="eastAsia" w:ascii="宋体" w:hAnsi="宋体" w:eastAsia="宋体"/>
          <w:bCs/>
          <w:color w:val="auto"/>
          <w:sz w:val="28"/>
          <w:szCs w:val="28"/>
          <w:highlight w:val="none"/>
        </w:rPr>
        <w:t>电梯防护措施</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szCs w:val="24"/>
          <w:highlight w:val="none"/>
        </w:rPr>
        <w:t>在永久电梯投入临时施工使用过程中，总包和电梯安装单位需对电梯的重点部位有针对性的采取以下措施，以保护电梯设备。</w:t>
      </w:r>
    </w:p>
    <w:p>
      <w:pPr>
        <w:spacing w:line="360" w:lineRule="auto"/>
        <w:rPr>
          <w:rFonts w:ascii="宋体" w:hAnsi="宋体" w:eastAsia="宋体"/>
          <w:b/>
          <w:bCs/>
          <w:color w:val="auto"/>
          <w:sz w:val="24"/>
          <w:highlight w:val="none"/>
        </w:rPr>
      </w:pPr>
      <w:r>
        <w:rPr>
          <w:rFonts w:hint="eastAsia" w:ascii="宋体" w:hAnsi="宋体" w:eastAsia="宋体"/>
          <w:b/>
          <w:bCs/>
          <w:color w:val="auto"/>
          <w:sz w:val="24"/>
          <w:szCs w:val="24"/>
          <w:highlight w:val="none"/>
        </w:rPr>
        <w:t>（1）电梯轿厢及控制面板防护：</w:t>
      </w:r>
    </w:p>
    <w:p>
      <w:pPr>
        <w:spacing w:line="360" w:lineRule="auto"/>
        <w:rPr>
          <w:rFonts w:ascii="宋体" w:hAnsi="宋体" w:eastAsia="宋体"/>
          <w:color w:val="auto"/>
          <w:sz w:val="24"/>
          <w:highlight w:val="none"/>
        </w:rPr>
      </w:pPr>
      <w:r>
        <w:rPr>
          <w:rFonts w:hint="eastAsia" w:ascii="宋体" w:hAnsi="宋体" w:eastAsia="宋体"/>
          <w:b/>
          <w:bCs/>
          <w:color w:val="auto"/>
          <w:sz w:val="24"/>
          <w:szCs w:val="24"/>
          <w:highlight w:val="none"/>
        </w:rPr>
        <w:t>电梯厅门：</w:t>
      </w:r>
      <w:r>
        <w:rPr>
          <w:rFonts w:hint="eastAsia" w:ascii="宋体" w:hAnsi="宋体" w:eastAsia="宋体"/>
          <w:color w:val="auto"/>
          <w:sz w:val="24"/>
          <w:szCs w:val="24"/>
          <w:highlight w:val="none"/>
        </w:rPr>
        <w:t>粘贴新保护膜进行保护；（电梯安装单位负责）</w:t>
      </w:r>
    </w:p>
    <w:p>
      <w:pPr>
        <w:spacing w:line="360" w:lineRule="auto"/>
        <w:rPr>
          <w:rFonts w:ascii="宋体" w:hAnsi="宋体" w:eastAsia="宋体"/>
          <w:color w:val="auto"/>
          <w:sz w:val="24"/>
          <w:highlight w:val="none"/>
        </w:rPr>
      </w:pPr>
      <w:r>
        <w:rPr>
          <w:rFonts w:hint="eastAsia" w:ascii="宋体" w:hAnsi="宋体" w:eastAsia="宋体"/>
          <w:b/>
          <w:bCs/>
          <w:color w:val="auto"/>
          <w:sz w:val="24"/>
          <w:szCs w:val="24"/>
          <w:highlight w:val="none"/>
        </w:rPr>
        <w:t>外呼按钮、外呼面板：</w:t>
      </w:r>
      <w:r>
        <w:rPr>
          <w:rFonts w:hint="eastAsia" w:ascii="宋体" w:hAnsi="宋体" w:eastAsia="宋体"/>
          <w:color w:val="auto"/>
          <w:sz w:val="24"/>
          <w:szCs w:val="24"/>
          <w:highlight w:val="none"/>
        </w:rPr>
        <w:t>在临时使用期间安装临时面板及呼叫按钮；（电梯安装单位负责）</w:t>
      </w:r>
    </w:p>
    <w:p>
      <w:pPr>
        <w:spacing w:line="360" w:lineRule="auto"/>
        <w:rPr>
          <w:rFonts w:ascii="宋体" w:hAnsi="宋体" w:eastAsia="宋体"/>
          <w:color w:val="auto"/>
          <w:sz w:val="24"/>
          <w:highlight w:val="none"/>
        </w:rPr>
      </w:pPr>
      <w:r>
        <w:rPr>
          <w:rFonts w:hint="eastAsia" w:ascii="宋体" w:hAnsi="宋体" w:eastAsia="宋体"/>
          <w:b/>
          <w:bCs/>
          <w:color w:val="auto"/>
          <w:sz w:val="24"/>
          <w:szCs w:val="24"/>
          <w:highlight w:val="none"/>
        </w:rPr>
        <w:t>轿门：</w:t>
      </w:r>
      <w:r>
        <w:rPr>
          <w:rFonts w:hint="eastAsia" w:ascii="宋体" w:hAnsi="宋体" w:eastAsia="宋体"/>
          <w:color w:val="auto"/>
          <w:sz w:val="24"/>
          <w:szCs w:val="24"/>
          <w:highlight w:val="none"/>
        </w:rPr>
        <w:t>粘贴新保护膜进行保护；（电梯安装单位负责）</w:t>
      </w:r>
    </w:p>
    <w:p>
      <w:pPr>
        <w:spacing w:line="360" w:lineRule="auto"/>
        <w:rPr>
          <w:rFonts w:ascii="宋体" w:hAnsi="宋体" w:eastAsia="宋体"/>
          <w:color w:val="auto"/>
          <w:sz w:val="24"/>
          <w:highlight w:val="none"/>
        </w:rPr>
      </w:pPr>
      <w:r>
        <w:rPr>
          <w:rFonts w:hint="eastAsia" w:ascii="宋体" w:hAnsi="宋体" w:eastAsia="宋体"/>
          <w:b/>
          <w:bCs/>
          <w:color w:val="auto"/>
          <w:sz w:val="24"/>
          <w:szCs w:val="24"/>
          <w:highlight w:val="none"/>
        </w:rPr>
        <w:t>操作面板：</w:t>
      </w:r>
      <w:r>
        <w:rPr>
          <w:rFonts w:hint="eastAsia" w:ascii="宋体" w:hAnsi="宋体" w:eastAsia="宋体"/>
          <w:color w:val="auto"/>
          <w:sz w:val="24"/>
          <w:szCs w:val="24"/>
          <w:highlight w:val="none"/>
        </w:rPr>
        <w:t>安装临时操作面板；（电梯安装单位负责）</w:t>
      </w:r>
    </w:p>
    <w:p>
      <w:pPr>
        <w:spacing w:line="360" w:lineRule="auto"/>
        <w:rPr>
          <w:rFonts w:ascii="宋体" w:hAnsi="宋体" w:eastAsia="宋体"/>
          <w:color w:val="auto"/>
          <w:sz w:val="24"/>
          <w:highlight w:val="none"/>
        </w:rPr>
      </w:pPr>
      <w:r>
        <w:rPr>
          <w:rFonts w:hint="eastAsia" w:ascii="宋体" w:hAnsi="宋体" w:eastAsia="宋体"/>
          <w:b/>
          <w:bCs/>
          <w:color w:val="auto"/>
          <w:sz w:val="24"/>
          <w:szCs w:val="24"/>
          <w:highlight w:val="none"/>
        </w:rPr>
        <w:t>吊顶：</w:t>
      </w:r>
      <w:r>
        <w:rPr>
          <w:rFonts w:hint="eastAsia" w:ascii="宋体" w:hAnsi="宋体" w:eastAsia="宋体"/>
          <w:color w:val="auto"/>
          <w:sz w:val="24"/>
          <w:szCs w:val="24"/>
          <w:highlight w:val="none"/>
        </w:rPr>
        <w:t>采用临时材料；（总包负责）</w:t>
      </w:r>
    </w:p>
    <w:p>
      <w:pPr>
        <w:spacing w:line="360" w:lineRule="auto"/>
        <w:rPr>
          <w:rFonts w:ascii="宋体" w:hAnsi="宋体" w:eastAsia="宋体"/>
          <w:color w:val="auto"/>
          <w:sz w:val="24"/>
          <w:highlight w:val="none"/>
        </w:rPr>
      </w:pPr>
      <w:r>
        <w:rPr>
          <w:rFonts w:hint="eastAsia" w:ascii="宋体" w:hAnsi="宋体" w:eastAsia="宋体"/>
          <w:b/>
          <w:bCs/>
          <w:color w:val="auto"/>
          <w:sz w:val="24"/>
          <w:szCs w:val="24"/>
          <w:highlight w:val="none"/>
        </w:rPr>
        <w:t>门槛：</w:t>
      </w:r>
      <w:r>
        <w:rPr>
          <w:rFonts w:hint="eastAsia" w:ascii="宋体" w:hAnsi="宋体" w:eastAsia="宋体"/>
          <w:color w:val="auto"/>
          <w:sz w:val="24"/>
          <w:szCs w:val="24"/>
          <w:highlight w:val="none"/>
        </w:rPr>
        <w:t>设置专门的保护装置进行保护；（总包负责）</w:t>
      </w:r>
    </w:p>
    <w:p>
      <w:pPr>
        <w:spacing w:line="360" w:lineRule="auto"/>
        <w:ind w:firstLine="723"/>
        <w:rPr>
          <w:rFonts w:ascii="宋体" w:hAnsi="宋体" w:eastAsia="宋体"/>
          <w:color w:val="auto"/>
          <w:sz w:val="24"/>
          <w:highlight w:val="none"/>
        </w:rPr>
      </w:pPr>
      <w:r>
        <w:rPr>
          <w:rFonts w:hint="eastAsia" w:ascii="宋体" w:hAnsi="宋体" w:eastAsia="宋体"/>
          <w:b/>
          <w:color w:val="auto"/>
          <w:sz w:val="24"/>
          <w:szCs w:val="24"/>
          <w:highlight w:val="none"/>
        </w:rPr>
        <w:t>轿厢面板、地面、电梯厅门</w:t>
      </w:r>
      <w:r>
        <w:rPr>
          <w:rFonts w:hint="eastAsia" w:ascii="宋体" w:hAnsi="宋体" w:eastAsia="宋体"/>
          <w:color w:val="auto"/>
          <w:sz w:val="24"/>
          <w:szCs w:val="24"/>
          <w:highlight w:val="none"/>
        </w:rPr>
        <w:t>：采用专门的材料及方法进行保护具体保护措施（总包负责），具体如下图所示：</w:t>
      </w:r>
    </w:p>
    <w:tbl>
      <w:tblPr>
        <w:tblStyle w:val="18"/>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8"/>
        <w:gridCol w:w="4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58" w:type="dxa"/>
          </w:tcPr>
          <w:p>
            <w:pPr>
              <w:spacing w:line="360" w:lineRule="auto"/>
              <w:jc w:val="center"/>
              <w:rPr>
                <w:rFonts w:ascii="宋体" w:hAnsi="宋体" w:eastAsia="宋体" w:cstheme="minorBidi"/>
                <w:color w:val="auto"/>
                <w:sz w:val="24"/>
                <w:highlight w:val="none"/>
              </w:rPr>
            </w:pPr>
            <w:r>
              <w:rPr>
                <w:rFonts w:hAnsiTheme="minorHAnsi" w:cstheme="minorBidi"/>
                <w:color w:val="auto"/>
                <w:highlight w:val="none"/>
              </w:rPr>
              <w:drawing>
                <wp:inline distT="0" distB="0" distL="114300" distR="114300">
                  <wp:extent cx="2564130" cy="1911350"/>
                  <wp:effectExtent l="0" t="0" r="762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2564130" cy="1911350"/>
                          </a:xfrm>
                          <a:prstGeom prst="rect">
                            <a:avLst/>
                          </a:prstGeom>
                          <a:noFill/>
                          <a:ln w="9525">
                            <a:noFill/>
                          </a:ln>
                        </pic:spPr>
                      </pic:pic>
                    </a:graphicData>
                  </a:graphic>
                </wp:inline>
              </w:drawing>
            </w:r>
          </w:p>
        </w:tc>
        <w:tc>
          <w:tcPr>
            <w:tcW w:w="4258" w:type="dxa"/>
          </w:tcPr>
          <w:p>
            <w:pPr>
              <w:spacing w:line="360" w:lineRule="auto"/>
              <w:jc w:val="center"/>
              <w:rPr>
                <w:rFonts w:ascii="宋体" w:hAnsi="宋体" w:eastAsia="宋体" w:cstheme="minorBidi"/>
                <w:color w:val="auto"/>
                <w:sz w:val="24"/>
                <w:highlight w:val="none"/>
              </w:rPr>
            </w:pPr>
            <w:r>
              <w:rPr>
                <w:rFonts w:hAnsiTheme="minorHAnsi" w:cstheme="minorBidi"/>
                <w:color w:val="auto"/>
                <w:highlight w:val="none"/>
              </w:rPr>
              <w:drawing>
                <wp:inline distT="0" distB="0" distL="114300" distR="114300">
                  <wp:extent cx="2564765" cy="1864360"/>
                  <wp:effectExtent l="0" t="0" r="6985" b="254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7"/>
                          <a:stretch>
                            <a:fillRect/>
                          </a:stretch>
                        </pic:blipFill>
                        <pic:spPr>
                          <a:xfrm>
                            <a:off x="0" y="0"/>
                            <a:ext cx="2564765" cy="186436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58" w:type="dxa"/>
          </w:tcPr>
          <w:p>
            <w:pPr>
              <w:spacing w:line="360" w:lineRule="auto"/>
              <w:ind w:firstLine="1050" w:firstLineChars="500"/>
              <w:jc w:val="both"/>
              <w:rPr>
                <w:rFonts w:ascii="宋体" w:hAnsi="宋体" w:eastAsia="宋体" w:cstheme="minorBidi"/>
                <w:color w:val="auto"/>
                <w:sz w:val="24"/>
                <w:highlight w:val="none"/>
              </w:rPr>
            </w:pPr>
            <w:r>
              <w:rPr>
                <w:rFonts w:hint="eastAsia" w:ascii="宋体" w:hAnsi="宋体" w:eastAsia="宋体" w:cstheme="minorBidi"/>
                <w:color w:val="auto"/>
                <w:sz w:val="21"/>
                <w:highlight w:val="none"/>
              </w:rPr>
              <w:t>电梯轿厢内壁的保护</w:t>
            </w:r>
          </w:p>
        </w:tc>
        <w:tc>
          <w:tcPr>
            <w:tcW w:w="4258" w:type="dxa"/>
          </w:tcPr>
          <w:p>
            <w:pPr>
              <w:spacing w:line="360" w:lineRule="auto"/>
              <w:jc w:val="center"/>
              <w:rPr>
                <w:rFonts w:ascii="宋体" w:hAnsi="宋体" w:eastAsia="宋体" w:cstheme="minorBidi"/>
                <w:color w:val="auto"/>
                <w:sz w:val="24"/>
                <w:highlight w:val="none"/>
              </w:rPr>
            </w:pPr>
            <w:r>
              <w:rPr>
                <w:rFonts w:hint="eastAsia" w:ascii="宋体" w:hAnsi="宋体" w:eastAsia="宋体" w:cstheme="minorBidi"/>
                <w:color w:val="auto"/>
                <w:sz w:val="21"/>
                <w:highlight w:val="none"/>
              </w:rPr>
              <w:t>电梯轿厢地板的保护以及翻板的设置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58" w:type="dxa"/>
          </w:tcPr>
          <w:p>
            <w:pPr>
              <w:spacing w:line="360" w:lineRule="auto"/>
              <w:jc w:val="center"/>
              <w:rPr>
                <w:rFonts w:ascii="宋体" w:hAnsi="宋体" w:eastAsia="宋体" w:cstheme="minorBidi"/>
                <w:color w:val="auto"/>
                <w:sz w:val="24"/>
                <w:highlight w:val="none"/>
              </w:rPr>
            </w:pPr>
            <w:r>
              <w:rPr>
                <w:rFonts w:hAnsiTheme="minorHAnsi" w:cstheme="minorBidi"/>
                <w:color w:val="auto"/>
                <w:highlight w:val="none"/>
              </w:rPr>
              <w:drawing>
                <wp:inline distT="0" distB="0" distL="114300" distR="114300">
                  <wp:extent cx="2564765" cy="1905635"/>
                  <wp:effectExtent l="0" t="0" r="6985" b="18415"/>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8"/>
                          <a:stretch>
                            <a:fillRect/>
                          </a:stretch>
                        </pic:blipFill>
                        <pic:spPr>
                          <a:xfrm>
                            <a:off x="0" y="0"/>
                            <a:ext cx="2564765" cy="1905635"/>
                          </a:xfrm>
                          <a:prstGeom prst="rect">
                            <a:avLst/>
                          </a:prstGeom>
                          <a:noFill/>
                          <a:ln w="9525">
                            <a:noFill/>
                          </a:ln>
                        </pic:spPr>
                      </pic:pic>
                    </a:graphicData>
                  </a:graphic>
                </wp:inline>
              </w:drawing>
            </w:r>
          </w:p>
        </w:tc>
        <w:tc>
          <w:tcPr>
            <w:tcW w:w="4258" w:type="dxa"/>
          </w:tcPr>
          <w:p>
            <w:pPr>
              <w:spacing w:line="360" w:lineRule="auto"/>
              <w:jc w:val="center"/>
              <w:rPr>
                <w:rFonts w:ascii="宋体" w:hAnsi="宋体" w:eastAsia="宋体" w:cstheme="minorBidi"/>
                <w:color w:val="auto"/>
                <w:sz w:val="24"/>
                <w:highlight w:val="none"/>
              </w:rPr>
            </w:pPr>
            <w:r>
              <w:rPr>
                <w:rFonts w:hAnsiTheme="minorHAnsi" w:cstheme="minorBidi"/>
                <w:color w:val="auto"/>
                <w:highlight w:val="none"/>
              </w:rPr>
              <w:drawing>
                <wp:inline distT="0" distB="0" distL="114300" distR="114300">
                  <wp:extent cx="2565400" cy="1913890"/>
                  <wp:effectExtent l="0" t="0" r="6350" b="10160"/>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9"/>
                          <a:stretch>
                            <a:fillRect/>
                          </a:stretch>
                        </pic:blipFill>
                        <pic:spPr>
                          <a:xfrm>
                            <a:off x="0" y="0"/>
                            <a:ext cx="2565400" cy="191389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58" w:type="dxa"/>
          </w:tcPr>
          <w:p>
            <w:pPr>
              <w:spacing w:line="360" w:lineRule="auto"/>
              <w:jc w:val="center"/>
              <w:rPr>
                <w:rFonts w:ascii="宋体" w:hAnsi="宋体" w:eastAsia="宋体" w:cstheme="minorBidi"/>
                <w:color w:val="auto"/>
                <w:sz w:val="24"/>
                <w:highlight w:val="none"/>
              </w:rPr>
            </w:pPr>
            <w:r>
              <w:rPr>
                <w:rFonts w:hint="eastAsia" w:ascii="宋体" w:hAnsi="宋体" w:eastAsia="宋体" w:cstheme="minorBidi"/>
                <w:color w:val="auto"/>
                <w:sz w:val="21"/>
                <w:highlight w:val="none"/>
              </w:rPr>
              <w:t>电梯厅门、门套、门楣处的保护</w:t>
            </w:r>
          </w:p>
        </w:tc>
        <w:tc>
          <w:tcPr>
            <w:tcW w:w="4258" w:type="dxa"/>
          </w:tcPr>
          <w:p>
            <w:pPr>
              <w:spacing w:line="360" w:lineRule="auto"/>
              <w:jc w:val="center"/>
              <w:rPr>
                <w:rFonts w:ascii="宋体" w:hAnsi="宋体" w:eastAsia="宋体" w:cstheme="minorBidi"/>
                <w:color w:val="auto"/>
                <w:sz w:val="24"/>
                <w:highlight w:val="none"/>
              </w:rPr>
            </w:pPr>
            <w:r>
              <w:rPr>
                <w:rFonts w:hint="eastAsia" w:ascii="宋体" w:hAnsi="宋体" w:eastAsia="宋体" w:cstheme="minorBidi"/>
                <w:color w:val="auto"/>
                <w:sz w:val="21"/>
                <w:highlight w:val="none"/>
              </w:rPr>
              <w:t>电梯厅外按钮的保护</w:t>
            </w:r>
          </w:p>
        </w:tc>
      </w:tr>
    </w:tbl>
    <w:p>
      <w:pPr>
        <w:spacing w:line="360" w:lineRule="auto"/>
        <w:ind w:firstLine="241" w:firstLineChars="100"/>
        <w:rPr>
          <w:rFonts w:ascii="宋体" w:hAnsi="宋体" w:eastAsia="宋体"/>
          <w:b/>
          <w:bCs/>
          <w:color w:val="auto"/>
          <w:sz w:val="24"/>
          <w:highlight w:val="none"/>
        </w:rPr>
      </w:pPr>
      <w:r>
        <w:rPr>
          <w:rFonts w:hint="eastAsia" w:ascii="宋体" w:hAnsi="宋体" w:eastAsia="宋体"/>
          <w:b/>
          <w:bCs/>
          <w:color w:val="auto"/>
          <w:sz w:val="24"/>
          <w:szCs w:val="24"/>
          <w:highlight w:val="none"/>
        </w:rPr>
        <w:t>备注：设置当电梯载重达到设计正常使用载重量的80%时超重报警，以防止永久电梯超载损坏。</w:t>
      </w:r>
    </w:p>
    <w:p>
      <w:pPr>
        <w:spacing w:line="360" w:lineRule="auto"/>
        <w:rPr>
          <w:rFonts w:ascii="宋体" w:hAnsi="宋体" w:eastAsia="宋体"/>
          <w:b/>
          <w:bCs/>
          <w:color w:val="auto"/>
          <w:sz w:val="24"/>
          <w:highlight w:val="none"/>
        </w:rPr>
      </w:pPr>
      <w:r>
        <w:rPr>
          <w:rFonts w:hint="eastAsia" w:ascii="宋体" w:hAnsi="宋体" w:eastAsia="宋体"/>
          <w:b/>
          <w:bCs/>
          <w:color w:val="auto"/>
          <w:sz w:val="24"/>
          <w:szCs w:val="24"/>
          <w:highlight w:val="none"/>
        </w:rPr>
        <w:t>（2）电梯井口防水</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永久电梯在设计时未考虑井口防水，作为施工电梯使用时，需要在电梯井口用混凝土设置一条20mm 高的隔水带，防止楼面积水流入电梯井道对电梯造成影响</w:t>
      </w:r>
      <w:r>
        <w:rPr>
          <w:rFonts w:ascii="宋体" w:hAnsi="宋体" w:eastAsia="宋体"/>
          <w:color w:val="auto"/>
          <w:sz w:val="24"/>
          <w:highlight w:val="none"/>
        </w:rPr>
        <w:t>，</w:t>
      </w:r>
      <w:r>
        <w:rPr>
          <w:rFonts w:hint="eastAsia" w:ascii="宋体" w:hAnsi="宋体" w:eastAsia="宋体"/>
          <w:color w:val="auto"/>
          <w:sz w:val="24"/>
          <w:highlight w:val="none"/>
        </w:rPr>
        <w:t>由总包负责</w:t>
      </w:r>
    </w:p>
    <w:p>
      <w:pPr>
        <w:spacing w:line="360" w:lineRule="auto"/>
        <w:rPr>
          <w:rFonts w:ascii="宋体" w:hAnsi="宋体" w:eastAsia="宋体"/>
          <w:b/>
          <w:bCs/>
          <w:color w:val="auto"/>
          <w:sz w:val="24"/>
          <w:highlight w:val="none"/>
        </w:rPr>
      </w:pPr>
      <w:r>
        <w:rPr>
          <w:rFonts w:hint="eastAsia" w:ascii="宋体" w:hAnsi="宋体" w:eastAsia="宋体"/>
          <w:b/>
          <w:bCs/>
          <w:color w:val="auto"/>
          <w:sz w:val="24"/>
          <w:highlight w:val="none"/>
        </w:rPr>
        <w:t>（3）电梯机房的通风散热</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在施工过程中，尤其是上下班的高峰期，电梯的频繁使用使电梯机房温度过热，需要对电梯机房的通风系统进行提前启动，如通风系统无法完成安装，在必要的情况下考虑在电梯机房</w:t>
      </w:r>
      <w:r>
        <w:rPr>
          <w:rFonts w:hint="eastAsia" w:ascii="宋体" w:hAnsi="宋体" w:eastAsia="宋体"/>
          <w:b/>
          <w:bCs/>
          <w:color w:val="auto"/>
          <w:sz w:val="24"/>
          <w:highlight w:val="none"/>
        </w:rPr>
        <w:t>设置临时空调</w:t>
      </w:r>
      <w:r>
        <w:rPr>
          <w:rFonts w:hint="eastAsia" w:ascii="宋体" w:hAnsi="宋体" w:eastAsia="宋体"/>
          <w:color w:val="auto"/>
          <w:sz w:val="24"/>
          <w:highlight w:val="none"/>
        </w:rPr>
        <w:t>以对电梯机房进行降温，保证电梯的高效安全运行。</w:t>
      </w:r>
    </w:p>
    <w:p>
      <w:pPr>
        <w:rPr>
          <w:rFonts w:ascii="宋体" w:hAnsi="宋体" w:eastAsia="宋体"/>
          <w:bCs/>
          <w:color w:val="auto"/>
          <w:sz w:val="28"/>
          <w:szCs w:val="28"/>
          <w:highlight w:val="none"/>
        </w:rPr>
      </w:pPr>
      <w:r>
        <w:rPr>
          <w:rFonts w:hint="eastAsia" w:ascii="宋体" w:hAnsi="宋体" w:eastAsia="宋体"/>
          <w:bCs/>
          <w:color w:val="auto"/>
          <w:sz w:val="28"/>
          <w:szCs w:val="28"/>
          <w:highlight w:val="none"/>
        </w:rPr>
        <w:t>二、电梯运行操作</w:t>
      </w:r>
    </w:p>
    <w:p>
      <w:pPr>
        <w:spacing w:line="360" w:lineRule="auto"/>
        <w:rPr>
          <w:rFonts w:ascii="宋体" w:hAnsi="宋体" w:eastAsia="宋体"/>
          <w:color w:val="auto"/>
          <w:sz w:val="24"/>
          <w:highlight w:val="none"/>
        </w:rPr>
      </w:pPr>
      <w:r>
        <w:rPr>
          <w:rFonts w:hint="eastAsia" w:ascii="宋体" w:hAnsi="宋体" w:eastAsia="宋体"/>
          <w:color w:val="auto"/>
          <w:sz w:val="24"/>
          <w:highlight w:val="none"/>
        </w:rPr>
        <w:t>2.1派专业操作人员对正式电梯进行操作，操作人员上岗前要进行该正式电梯使用的专项培训，掌握正式电梯的使用规程，考核合格后方可上岗，严禁非专业操作人员对电梯进行操作。电梯使用过程中电梯生产厂家派专人进行日常维护、保养，发现问题及时解决。</w:t>
      </w:r>
    </w:p>
    <w:p>
      <w:pPr>
        <w:spacing w:line="360" w:lineRule="auto"/>
        <w:rPr>
          <w:rFonts w:ascii="宋体" w:hAnsi="宋体" w:eastAsia="宋体"/>
          <w:color w:val="auto"/>
          <w:sz w:val="24"/>
          <w:highlight w:val="none"/>
        </w:rPr>
      </w:pPr>
      <w:r>
        <w:rPr>
          <w:rFonts w:ascii="宋体" w:hAnsi="宋体" w:eastAsia="宋体"/>
          <w:color w:val="auto"/>
          <w:sz w:val="24"/>
          <w:highlight w:val="none"/>
        </w:rPr>
        <w:t>2.2电梯运行时间</w:t>
      </w:r>
    </w:p>
    <w:p>
      <w:pPr>
        <w:spacing w:line="360" w:lineRule="auto"/>
        <w:rPr>
          <w:rFonts w:asciiTheme="minorEastAsia" w:hAnsiTheme="minorEastAsia" w:cstheme="minorEastAsia"/>
          <w:b/>
          <w:bCs/>
          <w:color w:val="auto"/>
          <w:sz w:val="24"/>
          <w:highlight w:val="none"/>
        </w:rPr>
      </w:pPr>
      <w:r>
        <w:rPr>
          <w:rFonts w:asciiTheme="minorEastAsia" w:hAnsiTheme="minorEastAsia" w:cstheme="minorEastAsia"/>
          <w:b/>
          <w:bCs/>
          <w:color w:val="auto"/>
          <w:sz w:val="24"/>
          <w:highlight w:val="none"/>
        </w:rPr>
        <w:t xml:space="preserve"> </w:t>
      </w:r>
      <w:r>
        <w:rPr>
          <w:rFonts w:hint="eastAsia" w:asciiTheme="minorEastAsia" w:hAnsiTheme="minorEastAsia" w:cstheme="minorEastAsia"/>
          <w:color w:val="auto"/>
          <w:sz w:val="24"/>
          <w:highlight w:val="none"/>
        </w:rPr>
        <w:t>根据项目使用需求情况，电梯运行时间如下表：</w:t>
      </w:r>
    </w:p>
    <w:tbl>
      <w:tblPr>
        <w:tblStyle w:val="17"/>
        <w:tblW w:w="9776" w:type="dxa"/>
        <w:tblInd w:w="0" w:type="dxa"/>
        <w:tblLayout w:type="fixed"/>
        <w:tblCellMar>
          <w:top w:w="0" w:type="dxa"/>
          <w:left w:w="108" w:type="dxa"/>
          <w:bottom w:w="0" w:type="dxa"/>
          <w:right w:w="108" w:type="dxa"/>
        </w:tblCellMar>
      </w:tblPr>
      <w:tblGrid>
        <w:gridCol w:w="704"/>
        <w:gridCol w:w="1134"/>
        <w:gridCol w:w="1418"/>
        <w:gridCol w:w="1559"/>
        <w:gridCol w:w="850"/>
        <w:gridCol w:w="1276"/>
        <w:gridCol w:w="1418"/>
        <w:gridCol w:w="1417"/>
      </w:tblGrid>
      <w:tr>
        <w:tblPrEx>
          <w:tblLayout w:type="fixed"/>
          <w:tblCellMar>
            <w:top w:w="0" w:type="dxa"/>
            <w:left w:w="108" w:type="dxa"/>
            <w:bottom w:w="0" w:type="dxa"/>
            <w:right w:w="108" w:type="dxa"/>
          </w:tblCellMar>
        </w:tblPrEx>
        <w:trPr>
          <w:trHeight w:val="285" w:hRule="atLeast"/>
        </w:trPr>
        <w:tc>
          <w:tcPr>
            <w:tcW w:w="704" w:type="dxa"/>
            <w:tcBorders>
              <w:top w:val="single" w:color="auto" w:sz="4" w:space="0"/>
              <w:left w:val="single" w:color="auto" w:sz="4" w:space="0"/>
              <w:bottom w:val="single" w:color="auto" w:sz="4" w:space="0"/>
              <w:right w:val="single" w:color="auto" w:sz="4" w:space="0"/>
            </w:tcBorders>
            <w:shd w:val="clear" w:color="000000" w:fill="D6DCE4"/>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序号</w:t>
            </w:r>
          </w:p>
        </w:tc>
        <w:tc>
          <w:tcPr>
            <w:tcW w:w="1134" w:type="dxa"/>
            <w:tcBorders>
              <w:top w:val="single" w:color="auto" w:sz="4" w:space="0"/>
              <w:left w:val="nil"/>
              <w:bottom w:val="single" w:color="auto" w:sz="4" w:space="0"/>
              <w:right w:val="single" w:color="auto" w:sz="4" w:space="0"/>
            </w:tcBorders>
            <w:shd w:val="clear" w:color="000000" w:fill="D6DCE4"/>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工程名称</w:t>
            </w:r>
          </w:p>
        </w:tc>
        <w:tc>
          <w:tcPr>
            <w:tcW w:w="1418" w:type="dxa"/>
            <w:tcBorders>
              <w:top w:val="single" w:color="auto" w:sz="4" w:space="0"/>
              <w:left w:val="nil"/>
              <w:bottom w:val="single" w:color="auto" w:sz="4" w:space="0"/>
              <w:right w:val="single" w:color="auto" w:sz="4" w:space="0"/>
            </w:tcBorders>
            <w:shd w:val="clear" w:color="000000" w:fill="D6DCE4"/>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分区</w:t>
            </w:r>
          </w:p>
        </w:tc>
        <w:tc>
          <w:tcPr>
            <w:tcW w:w="1559" w:type="dxa"/>
            <w:tcBorders>
              <w:top w:val="single" w:color="auto" w:sz="4" w:space="0"/>
              <w:left w:val="nil"/>
              <w:bottom w:val="single" w:color="auto" w:sz="4" w:space="0"/>
              <w:right w:val="single" w:color="auto" w:sz="4" w:space="0"/>
            </w:tcBorders>
            <w:shd w:val="clear" w:color="000000" w:fill="D6DCE4"/>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楼栋</w:t>
            </w:r>
          </w:p>
        </w:tc>
        <w:tc>
          <w:tcPr>
            <w:tcW w:w="850" w:type="dxa"/>
            <w:tcBorders>
              <w:top w:val="single" w:color="auto" w:sz="4" w:space="0"/>
              <w:left w:val="nil"/>
              <w:bottom w:val="single" w:color="auto" w:sz="4" w:space="0"/>
              <w:right w:val="single" w:color="auto" w:sz="4" w:space="0"/>
            </w:tcBorders>
            <w:shd w:val="clear" w:color="000000" w:fill="D6DCE4"/>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数量（台）</w:t>
            </w:r>
          </w:p>
        </w:tc>
        <w:tc>
          <w:tcPr>
            <w:tcW w:w="1276" w:type="dxa"/>
            <w:tcBorders>
              <w:top w:val="single" w:color="auto" w:sz="4" w:space="0"/>
              <w:left w:val="nil"/>
              <w:bottom w:val="single" w:color="auto" w:sz="4" w:space="0"/>
              <w:right w:val="single" w:color="auto" w:sz="4" w:space="0"/>
            </w:tcBorders>
            <w:shd w:val="clear" w:color="000000" w:fill="D6DCE4"/>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开始时间</w:t>
            </w:r>
          </w:p>
        </w:tc>
        <w:tc>
          <w:tcPr>
            <w:tcW w:w="1418" w:type="dxa"/>
            <w:tcBorders>
              <w:top w:val="single" w:color="auto" w:sz="4" w:space="0"/>
              <w:left w:val="nil"/>
              <w:bottom w:val="single" w:color="auto" w:sz="4" w:space="0"/>
              <w:right w:val="single" w:color="auto" w:sz="4" w:space="0"/>
            </w:tcBorders>
            <w:shd w:val="clear" w:color="000000" w:fill="D6DCE4"/>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完工时间</w:t>
            </w:r>
          </w:p>
        </w:tc>
        <w:tc>
          <w:tcPr>
            <w:tcW w:w="1417" w:type="dxa"/>
            <w:tcBorders>
              <w:top w:val="single" w:color="auto" w:sz="4" w:space="0"/>
              <w:left w:val="nil"/>
              <w:bottom w:val="single" w:color="auto" w:sz="4" w:space="0"/>
              <w:right w:val="single" w:color="auto" w:sz="4" w:space="0"/>
            </w:tcBorders>
            <w:shd w:val="clear" w:color="000000" w:fill="D6DCE4"/>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备注</w:t>
            </w:r>
          </w:p>
        </w:tc>
      </w:tr>
      <w:tr>
        <w:tblPrEx>
          <w:tblLayout w:type="fixed"/>
          <w:tblCellMar>
            <w:top w:w="0" w:type="dxa"/>
            <w:left w:w="108" w:type="dxa"/>
            <w:bottom w:w="0" w:type="dxa"/>
            <w:right w:w="108" w:type="dxa"/>
          </w:tblCellMar>
        </w:tblPrEx>
        <w:trPr>
          <w:trHeight w:val="675" w:hRule="atLeast"/>
        </w:trPr>
        <w:tc>
          <w:tcPr>
            <w:tcW w:w="704"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4"/>
                <w:szCs w:val="24"/>
                <w:highlight w:val="none"/>
              </w:rPr>
            </w:pPr>
            <w:r>
              <w:rPr>
                <w:rFonts w:hint="eastAsia" w:ascii="楷体" w:hAnsi="楷体" w:eastAsia="楷体" w:cs="宋体"/>
                <w:color w:val="auto"/>
                <w:sz w:val="24"/>
                <w:szCs w:val="24"/>
                <w:highlight w:val="none"/>
              </w:rPr>
              <w:t>1</w:t>
            </w: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电梯安装</w:t>
            </w: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首开区</w:t>
            </w:r>
          </w:p>
        </w:tc>
        <w:tc>
          <w:tcPr>
            <w:tcW w:w="1559"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A7</w:t>
            </w:r>
          </w:p>
        </w:tc>
        <w:tc>
          <w:tcPr>
            <w:tcW w:w="850" w:type="dxa"/>
            <w:vMerge w:val="restart"/>
            <w:tcBorders>
              <w:top w:val="nil"/>
              <w:left w:val="single" w:color="auto" w:sz="4" w:space="0"/>
              <w:bottom w:val="single" w:color="000000"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ascii="楷体" w:hAnsi="楷体" w:eastAsia="楷体" w:cs="宋体"/>
                <w:color w:val="auto"/>
                <w:sz w:val="21"/>
                <w:szCs w:val="21"/>
                <w:highlight w:val="none"/>
              </w:rPr>
              <w:t>2</w:t>
            </w:r>
          </w:p>
        </w:tc>
        <w:tc>
          <w:tcPr>
            <w:tcW w:w="1276" w:type="dxa"/>
            <w:vMerge w:val="restart"/>
            <w:tcBorders>
              <w:top w:val="nil"/>
              <w:left w:val="single" w:color="auto" w:sz="4" w:space="0"/>
              <w:bottom w:val="single" w:color="000000"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2023/</w:t>
            </w:r>
            <w:r>
              <w:rPr>
                <w:rFonts w:ascii="楷体" w:hAnsi="楷体" w:eastAsia="楷体" w:cs="宋体"/>
                <w:color w:val="auto"/>
                <w:sz w:val="21"/>
                <w:szCs w:val="21"/>
                <w:highlight w:val="none"/>
              </w:rPr>
              <w:t>7</w:t>
            </w:r>
            <w:r>
              <w:rPr>
                <w:rFonts w:hint="eastAsia" w:ascii="楷体" w:hAnsi="楷体" w:eastAsia="楷体" w:cs="宋体"/>
                <w:color w:val="auto"/>
                <w:sz w:val="21"/>
                <w:szCs w:val="21"/>
                <w:highlight w:val="none"/>
              </w:rPr>
              <w:t>/</w:t>
            </w:r>
            <w:r>
              <w:rPr>
                <w:rFonts w:ascii="楷体" w:hAnsi="楷体" w:eastAsia="楷体" w:cs="宋体"/>
                <w:color w:val="auto"/>
                <w:sz w:val="21"/>
                <w:szCs w:val="21"/>
                <w:highlight w:val="none"/>
              </w:rPr>
              <w:t>1</w:t>
            </w:r>
          </w:p>
        </w:tc>
        <w:tc>
          <w:tcPr>
            <w:tcW w:w="1418" w:type="dxa"/>
            <w:tcBorders>
              <w:top w:val="nil"/>
              <w:left w:val="single" w:color="auto" w:sz="4" w:space="0"/>
              <w:bottom w:val="single" w:color="000000"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2023/</w:t>
            </w:r>
            <w:r>
              <w:rPr>
                <w:rFonts w:ascii="楷体" w:hAnsi="楷体" w:eastAsia="楷体" w:cs="宋体"/>
                <w:color w:val="auto"/>
                <w:sz w:val="21"/>
                <w:szCs w:val="21"/>
                <w:highlight w:val="none"/>
              </w:rPr>
              <w:t>8</w:t>
            </w:r>
            <w:r>
              <w:rPr>
                <w:rFonts w:hint="eastAsia" w:ascii="楷体" w:hAnsi="楷体" w:eastAsia="楷体" w:cs="宋体"/>
                <w:color w:val="auto"/>
                <w:sz w:val="21"/>
                <w:szCs w:val="21"/>
                <w:highlight w:val="none"/>
              </w:rPr>
              <w:t>/</w:t>
            </w:r>
            <w:r>
              <w:rPr>
                <w:rFonts w:ascii="楷体" w:hAnsi="楷体" w:eastAsia="楷体" w:cs="宋体"/>
                <w:color w:val="auto"/>
                <w:sz w:val="21"/>
                <w:szCs w:val="21"/>
                <w:highlight w:val="none"/>
              </w:rPr>
              <w:t>20</w:t>
            </w:r>
          </w:p>
        </w:tc>
        <w:tc>
          <w:tcPr>
            <w:tcW w:w="1417" w:type="dxa"/>
            <w:vMerge w:val="restart"/>
            <w:tcBorders>
              <w:top w:val="nil"/>
              <w:left w:val="single" w:color="auto" w:sz="4" w:space="0"/>
              <w:bottom w:val="single" w:color="000000"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2"/>
                <w:szCs w:val="22"/>
                <w:highlight w:val="none"/>
              </w:rPr>
            </w:pPr>
            <w:r>
              <w:rPr>
                <w:rFonts w:hint="eastAsia" w:ascii="楷体" w:hAnsi="楷体" w:eastAsia="楷体" w:cs="宋体"/>
                <w:color w:val="auto"/>
                <w:sz w:val="22"/>
                <w:szCs w:val="22"/>
                <w:highlight w:val="none"/>
              </w:rPr>
              <w:t>　首开区为甲方营销示范区临时用梯。</w:t>
            </w:r>
          </w:p>
          <w:p>
            <w:pPr>
              <w:widowControl/>
              <w:autoSpaceDE/>
              <w:autoSpaceDN/>
              <w:adjustRightInd/>
              <w:jc w:val="center"/>
              <w:rPr>
                <w:rFonts w:ascii="楷体" w:hAnsi="楷体" w:eastAsia="楷体" w:cs="宋体"/>
                <w:color w:val="auto"/>
                <w:sz w:val="22"/>
                <w:szCs w:val="22"/>
                <w:highlight w:val="none"/>
              </w:rPr>
            </w:pPr>
            <w:r>
              <w:rPr>
                <w:rFonts w:hint="eastAsia" w:ascii="楷体" w:hAnsi="楷体" w:eastAsia="楷体" w:cs="宋体"/>
                <w:color w:val="auto"/>
                <w:sz w:val="22"/>
                <w:szCs w:val="22"/>
                <w:highlight w:val="none"/>
              </w:rPr>
              <w:t>具体开工时间以建设单位书面通知为准</w:t>
            </w:r>
          </w:p>
        </w:tc>
      </w:tr>
      <w:tr>
        <w:tblPrEx>
          <w:tblLayout w:type="fixed"/>
          <w:tblCellMar>
            <w:top w:w="0" w:type="dxa"/>
            <w:left w:w="108" w:type="dxa"/>
            <w:bottom w:w="0" w:type="dxa"/>
            <w:right w:w="108" w:type="dxa"/>
          </w:tblCellMar>
        </w:tblPrEx>
        <w:trPr>
          <w:trHeight w:val="285"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4"/>
                <w:szCs w:val="24"/>
                <w:highlight w:val="none"/>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418"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A8</w:t>
            </w:r>
          </w:p>
        </w:tc>
        <w:tc>
          <w:tcPr>
            <w:tcW w:w="850"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418"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2023/7/</w:t>
            </w:r>
            <w:r>
              <w:rPr>
                <w:rFonts w:ascii="楷体" w:hAnsi="楷体" w:eastAsia="楷体" w:cs="宋体"/>
                <w:color w:val="auto"/>
                <w:sz w:val="21"/>
                <w:szCs w:val="21"/>
                <w:highlight w:val="none"/>
              </w:rPr>
              <w:t>30</w:t>
            </w:r>
          </w:p>
        </w:tc>
        <w:tc>
          <w:tcPr>
            <w:tcW w:w="1417"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2"/>
                <w:szCs w:val="22"/>
                <w:highlight w:val="none"/>
              </w:rPr>
            </w:pPr>
          </w:p>
        </w:tc>
      </w:tr>
      <w:tr>
        <w:tblPrEx>
          <w:tblLayout w:type="fixed"/>
          <w:tblCellMar>
            <w:top w:w="0" w:type="dxa"/>
            <w:left w:w="108" w:type="dxa"/>
            <w:bottom w:w="0" w:type="dxa"/>
            <w:right w:w="108" w:type="dxa"/>
          </w:tblCellMar>
        </w:tblPrEx>
        <w:trPr>
          <w:trHeight w:val="285"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4"/>
                <w:szCs w:val="24"/>
                <w:highlight w:val="none"/>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二开区</w:t>
            </w:r>
          </w:p>
        </w:tc>
        <w:tc>
          <w:tcPr>
            <w:tcW w:w="1559"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A7</w:t>
            </w:r>
          </w:p>
        </w:tc>
        <w:tc>
          <w:tcPr>
            <w:tcW w:w="850" w:type="dxa"/>
            <w:vMerge w:val="restart"/>
            <w:tcBorders>
              <w:top w:val="nil"/>
              <w:left w:val="single" w:color="auto" w:sz="4" w:space="0"/>
              <w:bottom w:val="single" w:color="000000"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3</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2023/12/30</w:t>
            </w: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2024/5/1</w:t>
            </w:r>
          </w:p>
        </w:tc>
        <w:tc>
          <w:tcPr>
            <w:tcW w:w="1417"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2"/>
                <w:szCs w:val="22"/>
                <w:highlight w:val="none"/>
              </w:rPr>
            </w:pPr>
          </w:p>
        </w:tc>
      </w:tr>
      <w:tr>
        <w:tblPrEx>
          <w:tblLayout w:type="fixed"/>
          <w:tblCellMar>
            <w:top w:w="0" w:type="dxa"/>
            <w:left w:w="108" w:type="dxa"/>
            <w:bottom w:w="0" w:type="dxa"/>
            <w:right w:w="108" w:type="dxa"/>
          </w:tblCellMar>
        </w:tblPrEx>
        <w:trPr>
          <w:trHeight w:val="285"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4"/>
                <w:szCs w:val="24"/>
                <w:highlight w:val="none"/>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418"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559"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B1</w:t>
            </w:r>
          </w:p>
        </w:tc>
        <w:tc>
          <w:tcPr>
            <w:tcW w:w="850"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418"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417"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2"/>
                <w:szCs w:val="22"/>
                <w:highlight w:val="none"/>
              </w:rPr>
            </w:pPr>
          </w:p>
        </w:tc>
      </w:tr>
      <w:tr>
        <w:tblPrEx>
          <w:tblLayout w:type="fixed"/>
          <w:tblCellMar>
            <w:top w:w="0" w:type="dxa"/>
            <w:left w:w="108" w:type="dxa"/>
            <w:bottom w:w="0" w:type="dxa"/>
            <w:right w:w="108" w:type="dxa"/>
          </w:tblCellMar>
        </w:tblPrEx>
        <w:trPr>
          <w:trHeight w:val="285"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4"/>
                <w:szCs w:val="24"/>
                <w:highlight w:val="none"/>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三开区</w:t>
            </w:r>
          </w:p>
        </w:tc>
        <w:tc>
          <w:tcPr>
            <w:tcW w:w="1559"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A1</w:t>
            </w:r>
          </w:p>
        </w:tc>
        <w:tc>
          <w:tcPr>
            <w:tcW w:w="850" w:type="dxa"/>
            <w:vMerge w:val="restart"/>
            <w:tcBorders>
              <w:top w:val="nil"/>
              <w:left w:val="single" w:color="auto" w:sz="4" w:space="0"/>
              <w:bottom w:val="single" w:color="000000"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6</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2024/4/30</w:t>
            </w: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2024/8/1</w:t>
            </w:r>
          </w:p>
        </w:tc>
        <w:tc>
          <w:tcPr>
            <w:tcW w:w="1417"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2"/>
                <w:szCs w:val="22"/>
                <w:highlight w:val="none"/>
              </w:rPr>
            </w:pPr>
          </w:p>
        </w:tc>
      </w:tr>
      <w:tr>
        <w:tblPrEx>
          <w:tblLayout w:type="fixed"/>
          <w:tblCellMar>
            <w:top w:w="0" w:type="dxa"/>
            <w:left w:w="108" w:type="dxa"/>
            <w:bottom w:w="0" w:type="dxa"/>
            <w:right w:w="108" w:type="dxa"/>
          </w:tblCellMar>
        </w:tblPrEx>
        <w:trPr>
          <w:trHeight w:val="285"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4"/>
                <w:szCs w:val="24"/>
                <w:highlight w:val="none"/>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418"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559"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A2</w:t>
            </w:r>
          </w:p>
        </w:tc>
        <w:tc>
          <w:tcPr>
            <w:tcW w:w="850"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418"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417"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2"/>
                <w:szCs w:val="22"/>
                <w:highlight w:val="none"/>
              </w:rPr>
            </w:pPr>
          </w:p>
        </w:tc>
      </w:tr>
      <w:tr>
        <w:tblPrEx>
          <w:tblLayout w:type="fixed"/>
          <w:tblCellMar>
            <w:top w:w="0" w:type="dxa"/>
            <w:left w:w="108" w:type="dxa"/>
            <w:bottom w:w="0" w:type="dxa"/>
            <w:right w:w="108" w:type="dxa"/>
          </w:tblCellMar>
        </w:tblPrEx>
        <w:trPr>
          <w:trHeight w:val="285"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4"/>
                <w:szCs w:val="24"/>
                <w:highlight w:val="none"/>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418"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559"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B2</w:t>
            </w:r>
          </w:p>
        </w:tc>
        <w:tc>
          <w:tcPr>
            <w:tcW w:w="850"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418"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417"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2"/>
                <w:szCs w:val="22"/>
                <w:highlight w:val="none"/>
              </w:rPr>
            </w:pPr>
          </w:p>
        </w:tc>
      </w:tr>
      <w:tr>
        <w:tblPrEx>
          <w:tblLayout w:type="fixed"/>
          <w:tblCellMar>
            <w:top w:w="0" w:type="dxa"/>
            <w:left w:w="108" w:type="dxa"/>
            <w:bottom w:w="0" w:type="dxa"/>
            <w:right w:w="108" w:type="dxa"/>
          </w:tblCellMar>
        </w:tblPrEx>
        <w:trPr>
          <w:trHeight w:val="285"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4"/>
                <w:szCs w:val="24"/>
                <w:highlight w:val="none"/>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41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adjustRightInd/>
              <w:jc w:val="center"/>
              <w:rPr>
                <w:rFonts w:ascii="等线" w:hAnsi="等线" w:eastAsia="等线" w:cs="宋体"/>
                <w:color w:val="auto"/>
                <w:sz w:val="22"/>
                <w:szCs w:val="22"/>
                <w:highlight w:val="none"/>
              </w:rPr>
            </w:pPr>
            <w:r>
              <w:rPr>
                <w:rFonts w:hint="eastAsia" w:ascii="等线" w:hAnsi="等线" w:eastAsia="等线" w:cs="宋体"/>
                <w:color w:val="auto"/>
                <w:sz w:val="22"/>
                <w:szCs w:val="22"/>
                <w:highlight w:val="none"/>
              </w:rPr>
              <w:t>四开区</w:t>
            </w:r>
          </w:p>
        </w:tc>
        <w:tc>
          <w:tcPr>
            <w:tcW w:w="1559"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A3</w:t>
            </w:r>
          </w:p>
        </w:tc>
        <w:tc>
          <w:tcPr>
            <w:tcW w:w="850" w:type="dxa"/>
            <w:vMerge w:val="restart"/>
            <w:tcBorders>
              <w:top w:val="nil"/>
              <w:left w:val="single" w:color="auto" w:sz="4" w:space="0"/>
              <w:bottom w:val="single" w:color="000000"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13</w:t>
            </w:r>
          </w:p>
        </w:tc>
        <w:tc>
          <w:tcPr>
            <w:tcW w:w="127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utoSpaceDE/>
              <w:autoSpaceDN/>
              <w:adjustRightInd/>
              <w:jc w:val="center"/>
              <w:rPr>
                <w:rFonts w:ascii="等线" w:hAnsi="等线" w:eastAsia="等线" w:cs="宋体"/>
                <w:color w:val="auto"/>
                <w:sz w:val="22"/>
                <w:szCs w:val="22"/>
                <w:highlight w:val="none"/>
              </w:rPr>
            </w:pPr>
            <w:r>
              <w:rPr>
                <w:rFonts w:hint="eastAsia" w:ascii="等线" w:hAnsi="等线" w:eastAsia="等线" w:cs="宋体"/>
                <w:color w:val="auto"/>
                <w:sz w:val="22"/>
                <w:szCs w:val="22"/>
                <w:highlight w:val="none"/>
              </w:rPr>
              <w:t>2025/2/28</w:t>
            </w:r>
          </w:p>
        </w:tc>
        <w:tc>
          <w:tcPr>
            <w:tcW w:w="141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utoSpaceDE/>
              <w:autoSpaceDN/>
              <w:adjustRightInd/>
              <w:jc w:val="center"/>
              <w:rPr>
                <w:rFonts w:ascii="等线" w:hAnsi="等线" w:eastAsia="等线" w:cs="宋体"/>
                <w:color w:val="auto"/>
                <w:sz w:val="22"/>
                <w:szCs w:val="22"/>
                <w:highlight w:val="none"/>
              </w:rPr>
            </w:pPr>
            <w:r>
              <w:rPr>
                <w:rFonts w:hint="eastAsia" w:ascii="等线" w:hAnsi="等线" w:eastAsia="等线" w:cs="宋体"/>
                <w:color w:val="auto"/>
                <w:sz w:val="22"/>
                <w:szCs w:val="22"/>
                <w:highlight w:val="none"/>
              </w:rPr>
              <w:t>2025/6/1</w:t>
            </w:r>
          </w:p>
        </w:tc>
        <w:tc>
          <w:tcPr>
            <w:tcW w:w="1417"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2"/>
                <w:szCs w:val="22"/>
                <w:highlight w:val="none"/>
              </w:rPr>
            </w:pPr>
          </w:p>
        </w:tc>
      </w:tr>
      <w:tr>
        <w:tblPrEx>
          <w:tblLayout w:type="fixed"/>
          <w:tblCellMar>
            <w:top w:w="0" w:type="dxa"/>
            <w:left w:w="108" w:type="dxa"/>
            <w:bottom w:w="0" w:type="dxa"/>
            <w:right w:w="108" w:type="dxa"/>
          </w:tblCellMar>
        </w:tblPrEx>
        <w:trPr>
          <w:trHeight w:val="285"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4"/>
                <w:szCs w:val="24"/>
                <w:highlight w:val="none"/>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418"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等线" w:hAnsi="等线" w:eastAsia="等线" w:cs="宋体"/>
                <w:color w:val="auto"/>
                <w:sz w:val="22"/>
                <w:szCs w:val="22"/>
                <w:highlight w:val="none"/>
              </w:rPr>
            </w:pPr>
          </w:p>
        </w:tc>
        <w:tc>
          <w:tcPr>
            <w:tcW w:w="1559"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A4</w:t>
            </w:r>
          </w:p>
        </w:tc>
        <w:tc>
          <w:tcPr>
            <w:tcW w:w="850"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等线" w:hAnsi="等线" w:eastAsia="等线" w:cs="宋体"/>
                <w:color w:val="auto"/>
                <w:sz w:val="22"/>
                <w:szCs w:val="22"/>
                <w:highlight w:val="none"/>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等线" w:hAnsi="等线" w:eastAsia="等线" w:cs="宋体"/>
                <w:color w:val="auto"/>
                <w:sz w:val="22"/>
                <w:szCs w:val="22"/>
                <w:highlight w:val="none"/>
              </w:rPr>
            </w:pPr>
          </w:p>
        </w:tc>
        <w:tc>
          <w:tcPr>
            <w:tcW w:w="1417"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2"/>
                <w:szCs w:val="22"/>
                <w:highlight w:val="none"/>
              </w:rPr>
            </w:pPr>
          </w:p>
        </w:tc>
      </w:tr>
      <w:tr>
        <w:tblPrEx>
          <w:tblLayout w:type="fixed"/>
          <w:tblCellMar>
            <w:top w:w="0" w:type="dxa"/>
            <w:left w:w="108" w:type="dxa"/>
            <w:bottom w:w="0" w:type="dxa"/>
            <w:right w:w="108" w:type="dxa"/>
          </w:tblCellMar>
        </w:tblPrEx>
        <w:trPr>
          <w:trHeight w:val="285"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4"/>
                <w:szCs w:val="24"/>
                <w:highlight w:val="none"/>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418"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等线" w:hAnsi="等线" w:eastAsia="等线" w:cs="宋体"/>
                <w:color w:val="auto"/>
                <w:sz w:val="22"/>
                <w:szCs w:val="22"/>
                <w:highlight w:val="none"/>
              </w:rPr>
            </w:pPr>
          </w:p>
        </w:tc>
        <w:tc>
          <w:tcPr>
            <w:tcW w:w="1559"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A5</w:t>
            </w:r>
          </w:p>
        </w:tc>
        <w:tc>
          <w:tcPr>
            <w:tcW w:w="850"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等线" w:hAnsi="等线" w:eastAsia="等线" w:cs="宋体"/>
                <w:color w:val="auto"/>
                <w:sz w:val="22"/>
                <w:szCs w:val="22"/>
                <w:highlight w:val="none"/>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等线" w:hAnsi="等线" w:eastAsia="等线" w:cs="宋体"/>
                <w:color w:val="auto"/>
                <w:sz w:val="22"/>
                <w:szCs w:val="22"/>
                <w:highlight w:val="none"/>
              </w:rPr>
            </w:pPr>
          </w:p>
        </w:tc>
        <w:tc>
          <w:tcPr>
            <w:tcW w:w="1417"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2"/>
                <w:szCs w:val="22"/>
                <w:highlight w:val="none"/>
              </w:rPr>
            </w:pPr>
          </w:p>
        </w:tc>
      </w:tr>
      <w:tr>
        <w:tblPrEx>
          <w:tblLayout w:type="fixed"/>
          <w:tblCellMar>
            <w:top w:w="0" w:type="dxa"/>
            <w:left w:w="108" w:type="dxa"/>
            <w:bottom w:w="0" w:type="dxa"/>
            <w:right w:w="108" w:type="dxa"/>
          </w:tblCellMar>
        </w:tblPrEx>
        <w:trPr>
          <w:trHeight w:val="285"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4"/>
                <w:szCs w:val="24"/>
                <w:highlight w:val="none"/>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418"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rPr>
                <w:rFonts w:ascii="等线" w:hAnsi="等线" w:eastAsia="等线" w:cs="宋体"/>
                <w:color w:val="auto"/>
                <w:sz w:val="22"/>
                <w:szCs w:val="22"/>
                <w:highlight w:val="none"/>
              </w:rPr>
            </w:pPr>
          </w:p>
        </w:tc>
        <w:tc>
          <w:tcPr>
            <w:tcW w:w="1559"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A6</w:t>
            </w:r>
          </w:p>
        </w:tc>
        <w:tc>
          <w:tcPr>
            <w:tcW w:w="850"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1"/>
                <w:szCs w:val="21"/>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等线" w:hAnsi="等线" w:eastAsia="等线" w:cs="宋体"/>
                <w:color w:val="auto"/>
                <w:sz w:val="22"/>
                <w:szCs w:val="22"/>
                <w:highlight w:val="none"/>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等线" w:hAnsi="等线" w:eastAsia="等线" w:cs="宋体"/>
                <w:color w:val="auto"/>
                <w:sz w:val="22"/>
                <w:szCs w:val="22"/>
                <w:highlight w:val="none"/>
              </w:rPr>
            </w:pPr>
          </w:p>
        </w:tc>
        <w:tc>
          <w:tcPr>
            <w:tcW w:w="1417" w:type="dxa"/>
            <w:vMerge w:val="continue"/>
            <w:tcBorders>
              <w:top w:val="nil"/>
              <w:left w:val="single" w:color="auto" w:sz="4" w:space="0"/>
              <w:bottom w:val="single" w:color="000000" w:sz="4" w:space="0"/>
              <w:right w:val="single" w:color="auto" w:sz="4" w:space="0"/>
            </w:tcBorders>
            <w:vAlign w:val="center"/>
          </w:tcPr>
          <w:p>
            <w:pPr>
              <w:widowControl/>
              <w:autoSpaceDE/>
              <w:autoSpaceDN/>
              <w:adjustRightInd/>
              <w:rPr>
                <w:rFonts w:ascii="楷体" w:hAnsi="楷体" w:eastAsia="楷体" w:cs="宋体"/>
                <w:color w:val="auto"/>
                <w:sz w:val="22"/>
                <w:szCs w:val="22"/>
                <w:highlight w:val="none"/>
              </w:rPr>
            </w:pPr>
          </w:p>
        </w:tc>
      </w:tr>
    </w:tbl>
    <w:p>
      <w:pPr>
        <w:spacing w:line="360" w:lineRule="auto"/>
        <w:rPr>
          <w:rFonts w:asciiTheme="minorEastAsia" w:hAnsiTheme="minorEastAsia" w:eastAsiaTheme="minorEastAsia" w:cstheme="minorEastAsia"/>
          <w:color w:val="auto"/>
          <w:sz w:val="21"/>
          <w:szCs w:val="21"/>
          <w:highlight w:val="none"/>
        </w:rPr>
      </w:pPr>
    </w:p>
    <w:p>
      <w:pPr>
        <w:rPr>
          <w:rFonts w:ascii="宋体" w:hAnsi="宋体" w:eastAsia="宋体"/>
          <w:b/>
          <w:bCs/>
          <w:color w:val="auto"/>
          <w:sz w:val="24"/>
          <w:highlight w:val="none"/>
        </w:rPr>
      </w:pPr>
      <w:r>
        <w:rPr>
          <w:rFonts w:hint="eastAsia" w:ascii="宋体" w:hAnsi="宋体" w:eastAsia="宋体"/>
          <w:b/>
          <w:bCs/>
          <w:color w:val="auto"/>
          <w:sz w:val="24"/>
          <w:highlight w:val="none"/>
        </w:rPr>
        <w:t>备注：甲方可根据现场实际施工情况调整电梯运行时间</w:t>
      </w:r>
    </w:p>
    <w:p>
      <w:pPr>
        <w:rPr>
          <w:rFonts w:ascii="宋体" w:hAnsi="宋体" w:eastAsia="宋体"/>
          <w:b/>
          <w:bCs/>
          <w:color w:val="auto"/>
          <w:sz w:val="24"/>
          <w:highlight w:val="none"/>
        </w:rPr>
      </w:pPr>
    </w:p>
    <w:p>
      <w:pPr>
        <w:rPr>
          <w:rFonts w:ascii="宋体" w:hAnsi="宋体" w:eastAsia="宋体"/>
          <w:b/>
          <w:bCs/>
          <w:color w:val="auto"/>
          <w:sz w:val="24"/>
          <w:highlight w:val="none"/>
        </w:rPr>
      </w:pPr>
    </w:p>
    <w:p>
      <w:pPr>
        <w:pStyle w:val="9"/>
        <w:snapToGrid w:val="0"/>
        <w:spacing w:after="0" w:line="360" w:lineRule="auto"/>
        <w:ind w:left="0" w:leftChars="0"/>
        <w:outlineLvl w:val="0"/>
        <w:rPr>
          <w:rFonts w:ascii="仿宋" w:hAnsi="仿宋" w:eastAsia="仿宋"/>
          <w:b/>
          <w:color w:val="auto"/>
          <w:sz w:val="21"/>
          <w:szCs w:val="21"/>
          <w:highlight w:val="none"/>
        </w:rPr>
      </w:pPr>
      <w:bookmarkStart w:id="41" w:name="_Toc529972348"/>
      <w:r>
        <w:rPr>
          <w:rFonts w:hint="eastAsia" w:ascii="仿宋" w:hAnsi="仿宋" w:eastAsia="仿宋"/>
          <w:b/>
          <w:color w:val="auto"/>
          <w:sz w:val="21"/>
          <w:szCs w:val="21"/>
          <w:highlight w:val="none"/>
        </w:rPr>
        <w:t>附件十：乙方人员目录及资格清单</w:t>
      </w:r>
      <w:r>
        <w:rPr>
          <w:rFonts w:ascii="仿宋" w:hAnsi="仿宋" w:eastAsia="仿宋"/>
          <w:b/>
          <w:color w:val="auto"/>
          <w:sz w:val="21"/>
          <w:szCs w:val="21"/>
          <w:highlight w:val="none"/>
        </w:rPr>
        <w:t>(另册)</w:t>
      </w:r>
      <w:bookmarkEnd w:id="41"/>
    </w:p>
    <w:p>
      <w:pPr>
        <w:rPr>
          <w:color w:val="auto"/>
          <w:highlight w:val="none"/>
        </w:rPr>
      </w:pPr>
    </w:p>
    <w:p>
      <w:pPr>
        <w:pStyle w:val="9"/>
        <w:snapToGrid w:val="0"/>
        <w:spacing w:after="0" w:line="360" w:lineRule="auto"/>
        <w:ind w:left="0" w:leftChars="0"/>
        <w:outlineLvl w:val="0"/>
        <w:rPr>
          <w:rFonts w:ascii="仿宋" w:hAnsi="仿宋" w:eastAsia="仿宋"/>
          <w:b/>
          <w:color w:val="auto"/>
          <w:sz w:val="21"/>
          <w:szCs w:val="21"/>
          <w:highlight w:val="none"/>
        </w:rPr>
      </w:pPr>
      <w:bookmarkStart w:id="42" w:name="_Toc529972349"/>
      <w:r>
        <w:rPr>
          <w:rFonts w:hint="eastAsia" w:ascii="仿宋" w:hAnsi="仿宋" w:eastAsia="仿宋"/>
          <w:b/>
          <w:color w:val="auto"/>
          <w:sz w:val="21"/>
          <w:szCs w:val="21"/>
          <w:highlight w:val="none"/>
        </w:rPr>
        <w:t>附件十一：土建条件图（如有）（另册）</w:t>
      </w:r>
      <w:bookmarkEnd w:id="42"/>
    </w:p>
    <w:p>
      <w:pPr>
        <w:rPr>
          <w:rFonts w:ascii="仿宋" w:hAnsi="仿宋" w:eastAsia="仿宋"/>
          <w:b/>
          <w:color w:val="auto"/>
          <w:sz w:val="21"/>
          <w:szCs w:val="21"/>
          <w:highlight w:val="none"/>
        </w:rPr>
      </w:pPr>
    </w:p>
    <w:p>
      <w:pPr>
        <w:pStyle w:val="9"/>
        <w:snapToGrid w:val="0"/>
        <w:spacing w:after="0" w:line="360" w:lineRule="auto"/>
        <w:ind w:left="0" w:leftChars="0"/>
        <w:outlineLvl w:val="0"/>
        <w:rPr>
          <w:color w:val="auto"/>
          <w:highlight w:val="none"/>
        </w:rPr>
      </w:pPr>
      <w:bookmarkStart w:id="43" w:name="_Toc529972350"/>
      <w:r>
        <w:rPr>
          <w:rFonts w:hint="eastAsia" w:ascii="仿宋" w:hAnsi="仿宋" w:eastAsia="仿宋"/>
          <w:b/>
          <w:color w:val="auto"/>
          <w:sz w:val="21"/>
          <w:szCs w:val="21"/>
          <w:highlight w:val="none"/>
        </w:rPr>
        <w:t>附件十二：投标文件（另册）</w:t>
      </w:r>
      <w:bookmarkEnd w:id="43"/>
    </w:p>
    <w:sectPr>
      <w:pgSz w:w="11906" w:h="16838"/>
      <w:pgMar w:top="1440" w:right="1797" w:bottom="1440" w:left="1797" w:header="851" w:footer="992" w:gutter="0"/>
      <w:cols w:space="720" w:num="1"/>
      <w:titlePg/>
      <w:docGrid w:type="lines"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roma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创艺简仿宋">
    <w:altName w:val="黑体"/>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Calibri-Bold">
    <w:altName w:val="Segoe Print"/>
    <w:panose1 w:val="00000000000000000000"/>
    <w:charset w:val="00"/>
    <w:family w:val="swiss"/>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69</w:t>
    </w:r>
    <w:r>
      <w:rPr>
        <w:b/>
        <w:bCs/>
        <w:sz w:val="24"/>
        <w:szCs w:val="24"/>
      </w:rP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b/>
        <w:bCs/>
        <w:sz w:val="24"/>
        <w:szCs w:val="24"/>
      </w:rPr>
      <w:fldChar w:fldCharType="begin"/>
    </w:r>
    <w:r>
      <w:rPr>
        <w:b/>
        <w:bCs/>
      </w:rPr>
      <w:instrText xml:space="preserve">PAGE</w:instrText>
    </w:r>
    <w:r>
      <w:rPr>
        <w:b/>
        <w:bCs/>
        <w:sz w:val="24"/>
        <w:szCs w:val="24"/>
      </w:rPr>
      <w:fldChar w:fldCharType="separate"/>
    </w:r>
    <w:r>
      <w:rPr>
        <w:b/>
        <w:bCs/>
      </w:rPr>
      <w:t>58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69</w:t>
    </w:r>
    <w:r>
      <w:rPr>
        <w:b/>
        <w:bCs/>
        <w:sz w:val="24"/>
        <w:szCs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none"/>
      <w:lvlText w:val="一、"/>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9203F2C"/>
    <w:multiLevelType w:val="multilevel"/>
    <w:tmpl w:val="39203F2C"/>
    <w:lvl w:ilvl="0" w:tentative="0">
      <w:start w:val="1"/>
      <w:numFmt w:val="decimal"/>
      <w:pStyle w:val="36"/>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17E460F"/>
    <w:multiLevelType w:val="multilevel"/>
    <w:tmpl w:val="417E460F"/>
    <w:lvl w:ilvl="0" w:tentative="0">
      <w:start w:val="1"/>
      <w:numFmt w:val="decimal"/>
      <w:lvlText w:val="1.%1"/>
      <w:lvlJc w:val="left"/>
      <w:pPr>
        <w:ind w:left="425" w:hanging="425"/>
      </w:pPr>
      <w:rPr>
        <w:rFonts w:hint="eastAsia"/>
      </w:rPr>
    </w:lvl>
    <w:lvl w:ilvl="1" w:tentative="0">
      <w:start w:val="1"/>
      <w:numFmt w:val="decimal"/>
      <w:lvlText w:val="%1.%2."/>
      <w:lvlJc w:val="left"/>
      <w:pPr>
        <w:ind w:left="567" w:hanging="567"/>
      </w:pPr>
      <w:rPr>
        <w:b w:val="0"/>
        <w:sz w:val="24"/>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
    <w:nsid w:val="4E803EC1"/>
    <w:multiLevelType w:val="multilevel"/>
    <w:tmpl w:val="4E803EC1"/>
    <w:lvl w:ilvl="0" w:tentative="0">
      <w:start w:val="1"/>
      <w:numFmt w:val="decimal"/>
      <w:lvlText w:val="（%1）"/>
      <w:lvlJc w:val="left"/>
      <w:pPr>
        <w:ind w:left="900" w:hanging="420"/>
      </w:pPr>
      <w:rPr>
        <w:rFonts w:hint="default"/>
      </w:rPr>
    </w:lvl>
    <w:lvl w:ilvl="1" w:tentative="0">
      <w:start w:val="17"/>
      <w:numFmt w:val="decimal"/>
      <w:lvlText w:val="%2、"/>
      <w:lvlJc w:val="left"/>
      <w:pPr>
        <w:ind w:left="1368" w:hanging="468"/>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4EFF5D01"/>
    <w:multiLevelType w:val="multilevel"/>
    <w:tmpl w:val="4EFF5D01"/>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70"/>
  <w:drawingGridVerticalSpacing w:val="231"/>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4MDMyZTA0MzRmYTM5NzFjNmNhMGE1ZmNjZjM5M2EifQ=="/>
  </w:docVars>
  <w:rsids>
    <w:rsidRoot w:val="00703E97"/>
    <w:rsid w:val="00000CF3"/>
    <w:rsid w:val="0000357E"/>
    <w:rsid w:val="000040ED"/>
    <w:rsid w:val="0000450E"/>
    <w:rsid w:val="00005061"/>
    <w:rsid w:val="00005F5B"/>
    <w:rsid w:val="00006472"/>
    <w:rsid w:val="00010386"/>
    <w:rsid w:val="00010D4A"/>
    <w:rsid w:val="00012512"/>
    <w:rsid w:val="0001270F"/>
    <w:rsid w:val="00012B23"/>
    <w:rsid w:val="0001327B"/>
    <w:rsid w:val="00013F88"/>
    <w:rsid w:val="000145C7"/>
    <w:rsid w:val="00015969"/>
    <w:rsid w:val="00020615"/>
    <w:rsid w:val="00023E2C"/>
    <w:rsid w:val="00026E87"/>
    <w:rsid w:val="00030434"/>
    <w:rsid w:val="00030AA9"/>
    <w:rsid w:val="000323B1"/>
    <w:rsid w:val="0003251E"/>
    <w:rsid w:val="00032A84"/>
    <w:rsid w:val="00035087"/>
    <w:rsid w:val="0003587B"/>
    <w:rsid w:val="000371FA"/>
    <w:rsid w:val="000400C5"/>
    <w:rsid w:val="00041C76"/>
    <w:rsid w:val="00044258"/>
    <w:rsid w:val="00045D9C"/>
    <w:rsid w:val="00047086"/>
    <w:rsid w:val="00047B9C"/>
    <w:rsid w:val="0005165E"/>
    <w:rsid w:val="0005226B"/>
    <w:rsid w:val="0005309B"/>
    <w:rsid w:val="0005355F"/>
    <w:rsid w:val="00055A0A"/>
    <w:rsid w:val="00056964"/>
    <w:rsid w:val="00056982"/>
    <w:rsid w:val="00061437"/>
    <w:rsid w:val="00063D74"/>
    <w:rsid w:val="00064EFF"/>
    <w:rsid w:val="0006585A"/>
    <w:rsid w:val="00065D60"/>
    <w:rsid w:val="00066031"/>
    <w:rsid w:val="00066CAF"/>
    <w:rsid w:val="00067AAD"/>
    <w:rsid w:val="00070547"/>
    <w:rsid w:val="00071FAA"/>
    <w:rsid w:val="00072394"/>
    <w:rsid w:val="00072962"/>
    <w:rsid w:val="00072AB5"/>
    <w:rsid w:val="000732A9"/>
    <w:rsid w:val="0007347D"/>
    <w:rsid w:val="000813E0"/>
    <w:rsid w:val="00082662"/>
    <w:rsid w:val="000830C1"/>
    <w:rsid w:val="0008735F"/>
    <w:rsid w:val="00087A2E"/>
    <w:rsid w:val="00090BD5"/>
    <w:rsid w:val="000911C5"/>
    <w:rsid w:val="00091396"/>
    <w:rsid w:val="0009516F"/>
    <w:rsid w:val="00095EE5"/>
    <w:rsid w:val="00096FA4"/>
    <w:rsid w:val="000A0DB0"/>
    <w:rsid w:val="000A5483"/>
    <w:rsid w:val="000B0B1B"/>
    <w:rsid w:val="000B1438"/>
    <w:rsid w:val="000B17AF"/>
    <w:rsid w:val="000B2E65"/>
    <w:rsid w:val="000B779B"/>
    <w:rsid w:val="000B7B04"/>
    <w:rsid w:val="000C13A7"/>
    <w:rsid w:val="000C1488"/>
    <w:rsid w:val="000C2A84"/>
    <w:rsid w:val="000D0BD8"/>
    <w:rsid w:val="000D1ECF"/>
    <w:rsid w:val="000D26AC"/>
    <w:rsid w:val="000D2B5E"/>
    <w:rsid w:val="000D3DAF"/>
    <w:rsid w:val="000D455F"/>
    <w:rsid w:val="000D5121"/>
    <w:rsid w:val="000D67D7"/>
    <w:rsid w:val="000D7CF7"/>
    <w:rsid w:val="000E1073"/>
    <w:rsid w:val="000E1FF4"/>
    <w:rsid w:val="000E495C"/>
    <w:rsid w:val="000E4E31"/>
    <w:rsid w:val="000E4E88"/>
    <w:rsid w:val="000E6E8E"/>
    <w:rsid w:val="000E715D"/>
    <w:rsid w:val="000E76B0"/>
    <w:rsid w:val="000F0767"/>
    <w:rsid w:val="000F2D8A"/>
    <w:rsid w:val="000F2E84"/>
    <w:rsid w:val="000F403B"/>
    <w:rsid w:val="000F54BA"/>
    <w:rsid w:val="000F57A2"/>
    <w:rsid w:val="000F64D8"/>
    <w:rsid w:val="000F680D"/>
    <w:rsid w:val="000F6F22"/>
    <w:rsid w:val="000F70B4"/>
    <w:rsid w:val="00101B34"/>
    <w:rsid w:val="001035CF"/>
    <w:rsid w:val="0010492E"/>
    <w:rsid w:val="00106795"/>
    <w:rsid w:val="001072A9"/>
    <w:rsid w:val="00107E58"/>
    <w:rsid w:val="001110E6"/>
    <w:rsid w:val="00111703"/>
    <w:rsid w:val="001119DD"/>
    <w:rsid w:val="0011221E"/>
    <w:rsid w:val="0011349A"/>
    <w:rsid w:val="001150A8"/>
    <w:rsid w:val="00115654"/>
    <w:rsid w:val="00121F63"/>
    <w:rsid w:val="00122571"/>
    <w:rsid w:val="001249FF"/>
    <w:rsid w:val="001305D5"/>
    <w:rsid w:val="00132F60"/>
    <w:rsid w:val="001357CE"/>
    <w:rsid w:val="00135A53"/>
    <w:rsid w:val="001362E5"/>
    <w:rsid w:val="001364B3"/>
    <w:rsid w:val="00136CBC"/>
    <w:rsid w:val="00137C75"/>
    <w:rsid w:val="00137FA1"/>
    <w:rsid w:val="00140702"/>
    <w:rsid w:val="00142443"/>
    <w:rsid w:val="00142DB4"/>
    <w:rsid w:val="00143DED"/>
    <w:rsid w:val="00144A73"/>
    <w:rsid w:val="00144DF1"/>
    <w:rsid w:val="0014563C"/>
    <w:rsid w:val="00145AF7"/>
    <w:rsid w:val="00146485"/>
    <w:rsid w:val="00147C9D"/>
    <w:rsid w:val="00147F20"/>
    <w:rsid w:val="0015009B"/>
    <w:rsid w:val="00150401"/>
    <w:rsid w:val="00151974"/>
    <w:rsid w:val="00151C53"/>
    <w:rsid w:val="00152D04"/>
    <w:rsid w:val="0015307F"/>
    <w:rsid w:val="001544DF"/>
    <w:rsid w:val="00154FD5"/>
    <w:rsid w:val="00161B22"/>
    <w:rsid w:val="0016243A"/>
    <w:rsid w:val="001627E4"/>
    <w:rsid w:val="00163769"/>
    <w:rsid w:val="00163BF6"/>
    <w:rsid w:val="00164FE5"/>
    <w:rsid w:val="001668EE"/>
    <w:rsid w:val="00166AE7"/>
    <w:rsid w:val="00166B20"/>
    <w:rsid w:val="00167335"/>
    <w:rsid w:val="00170CCC"/>
    <w:rsid w:val="00176778"/>
    <w:rsid w:val="00176BB0"/>
    <w:rsid w:val="00180437"/>
    <w:rsid w:val="001815C9"/>
    <w:rsid w:val="00182815"/>
    <w:rsid w:val="00182C2F"/>
    <w:rsid w:val="00183157"/>
    <w:rsid w:val="00183B8A"/>
    <w:rsid w:val="00183DDB"/>
    <w:rsid w:val="00183EB1"/>
    <w:rsid w:val="00184796"/>
    <w:rsid w:val="00186BB6"/>
    <w:rsid w:val="00187898"/>
    <w:rsid w:val="00187AEF"/>
    <w:rsid w:val="001904C6"/>
    <w:rsid w:val="00190E3E"/>
    <w:rsid w:val="001933E0"/>
    <w:rsid w:val="00194E92"/>
    <w:rsid w:val="0019788C"/>
    <w:rsid w:val="001A18EA"/>
    <w:rsid w:val="001A5466"/>
    <w:rsid w:val="001A606B"/>
    <w:rsid w:val="001B4FF3"/>
    <w:rsid w:val="001B5A0E"/>
    <w:rsid w:val="001B799F"/>
    <w:rsid w:val="001C0319"/>
    <w:rsid w:val="001C0A03"/>
    <w:rsid w:val="001C19C4"/>
    <w:rsid w:val="001C2F04"/>
    <w:rsid w:val="001C3E22"/>
    <w:rsid w:val="001D27A4"/>
    <w:rsid w:val="001D37F5"/>
    <w:rsid w:val="001D3D5B"/>
    <w:rsid w:val="001D4A61"/>
    <w:rsid w:val="001D6006"/>
    <w:rsid w:val="001D6905"/>
    <w:rsid w:val="001E538A"/>
    <w:rsid w:val="001E6537"/>
    <w:rsid w:val="001E6A4F"/>
    <w:rsid w:val="001E76EF"/>
    <w:rsid w:val="001F127C"/>
    <w:rsid w:val="001F226E"/>
    <w:rsid w:val="001F22A0"/>
    <w:rsid w:val="001F3AC6"/>
    <w:rsid w:val="001F4ACE"/>
    <w:rsid w:val="001F529D"/>
    <w:rsid w:val="001F5497"/>
    <w:rsid w:val="001F5620"/>
    <w:rsid w:val="001F6D9F"/>
    <w:rsid w:val="002005A7"/>
    <w:rsid w:val="0020067A"/>
    <w:rsid w:val="00200FF6"/>
    <w:rsid w:val="00204FF9"/>
    <w:rsid w:val="0020509D"/>
    <w:rsid w:val="0020552C"/>
    <w:rsid w:val="00206219"/>
    <w:rsid w:val="0020642D"/>
    <w:rsid w:val="0020790A"/>
    <w:rsid w:val="00210866"/>
    <w:rsid w:val="002111D6"/>
    <w:rsid w:val="0021123C"/>
    <w:rsid w:val="00212697"/>
    <w:rsid w:val="00214240"/>
    <w:rsid w:val="00215E43"/>
    <w:rsid w:val="00217898"/>
    <w:rsid w:val="002202B6"/>
    <w:rsid w:val="00220355"/>
    <w:rsid w:val="0022063F"/>
    <w:rsid w:val="00220BBB"/>
    <w:rsid w:val="00223252"/>
    <w:rsid w:val="002308D0"/>
    <w:rsid w:val="002312BD"/>
    <w:rsid w:val="0023297A"/>
    <w:rsid w:val="00232BC4"/>
    <w:rsid w:val="002334CF"/>
    <w:rsid w:val="002342FC"/>
    <w:rsid w:val="00235A3A"/>
    <w:rsid w:val="00236EA1"/>
    <w:rsid w:val="00236EE2"/>
    <w:rsid w:val="00237D0C"/>
    <w:rsid w:val="00240B2E"/>
    <w:rsid w:val="002414B6"/>
    <w:rsid w:val="0024230C"/>
    <w:rsid w:val="002437C9"/>
    <w:rsid w:val="00250C84"/>
    <w:rsid w:val="00250F8E"/>
    <w:rsid w:val="002559D3"/>
    <w:rsid w:val="00256918"/>
    <w:rsid w:val="00256D0F"/>
    <w:rsid w:val="00257F32"/>
    <w:rsid w:val="00260C4A"/>
    <w:rsid w:val="00262DAE"/>
    <w:rsid w:val="0026622A"/>
    <w:rsid w:val="00266DA3"/>
    <w:rsid w:val="00267B75"/>
    <w:rsid w:val="00270129"/>
    <w:rsid w:val="00270FDC"/>
    <w:rsid w:val="0027135D"/>
    <w:rsid w:val="00272640"/>
    <w:rsid w:val="002729CD"/>
    <w:rsid w:val="00272EA9"/>
    <w:rsid w:val="00274CA9"/>
    <w:rsid w:val="00280B7C"/>
    <w:rsid w:val="0028127C"/>
    <w:rsid w:val="002819F1"/>
    <w:rsid w:val="00281E22"/>
    <w:rsid w:val="00285B83"/>
    <w:rsid w:val="00286FE9"/>
    <w:rsid w:val="002877BB"/>
    <w:rsid w:val="00290D0A"/>
    <w:rsid w:val="00291399"/>
    <w:rsid w:val="00291EBE"/>
    <w:rsid w:val="002931DB"/>
    <w:rsid w:val="00296339"/>
    <w:rsid w:val="00296975"/>
    <w:rsid w:val="002A25EB"/>
    <w:rsid w:val="002A2CF8"/>
    <w:rsid w:val="002A2E01"/>
    <w:rsid w:val="002A5D5C"/>
    <w:rsid w:val="002A741B"/>
    <w:rsid w:val="002A7672"/>
    <w:rsid w:val="002B230A"/>
    <w:rsid w:val="002B2B4B"/>
    <w:rsid w:val="002B3566"/>
    <w:rsid w:val="002B51A0"/>
    <w:rsid w:val="002B5A77"/>
    <w:rsid w:val="002B5FAC"/>
    <w:rsid w:val="002B67E8"/>
    <w:rsid w:val="002B6878"/>
    <w:rsid w:val="002B6DF7"/>
    <w:rsid w:val="002B6E2A"/>
    <w:rsid w:val="002B7DF3"/>
    <w:rsid w:val="002B7E8C"/>
    <w:rsid w:val="002C0B7A"/>
    <w:rsid w:val="002C1E61"/>
    <w:rsid w:val="002C5EEE"/>
    <w:rsid w:val="002D0058"/>
    <w:rsid w:val="002D072F"/>
    <w:rsid w:val="002D0D33"/>
    <w:rsid w:val="002D2711"/>
    <w:rsid w:val="002D3283"/>
    <w:rsid w:val="002D4660"/>
    <w:rsid w:val="002D50F3"/>
    <w:rsid w:val="002E0124"/>
    <w:rsid w:val="002E032F"/>
    <w:rsid w:val="002E036E"/>
    <w:rsid w:val="002E092B"/>
    <w:rsid w:val="002E157A"/>
    <w:rsid w:val="002E481E"/>
    <w:rsid w:val="002E57F1"/>
    <w:rsid w:val="002E688A"/>
    <w:rsid w:val="002E7AD4"/>
    <w:rsid w:val="002F10D2"/>
    <w:rsid w:val="002F115E"/>
    <w:rsid w:val="002F202B"/>
    <w:rsid w:val="002F3ACB"/>
    <w:rsid w:val="002F402D"/>
    <w:rsid w:val="002F5182"/>
    <w:rsid w:val="00300BAD"/>
    <w:rsid w:val="003010DB"/>
    <w:rsid w:val="0030230D"/>
    <w:rsid w:val="003030D3"/>
    <w:rsid w:val="00307BFD"/>
    <w:rsid w:val="00311BB6"/>
    <w:rsid w:val="00311FCE"/>
    <w:rsid w:val="00312942"/>
    <w:rsid w:val="00315C15"/>
    <w:rsid w:val="00315D5B"/>
    <w:rsid w:val="00316965"/>
    <w:rsid w:val="00316FAF"/>
    <w:rsid w:val="0032252A"/>
    <w:rsid w:val="0032561A"/>
    <w:rsid w:val="003261CD"/>
    <w:rsid w:val="00327303"/>
    <w:rsid w:val="00327E81"/>
    <w:rsid w:val="00330258"/>
    <w:rsid w:val="00330314"/>
    <w:rsid w:val="00330F20"/>
    <w:rsid w:val="00335B70"/>
    <w:rsid w:val="00336A88"/>
    <w:rsid w:val="00337065"/>
    <w:rsid w:val="00345DAC"/>
    <w:rsid w:val="00347A6D"/>
    <w:rsid w:val="0035085F"/>
    <w:rsid w:val="003546BE"/>
    <w:rsid w:val="0035508E"/>
    <w:rsid w:val="00355496"/>
    <w:rsid w:val="00355714"/>
    <w:rsid w:val="00355ED7"/>
    <w:rsid w:val="00357EA9"/>
    <w:rsid w:val="00357FF3"/>
    <w:rsid w:val="00361D47"/>
    <w:rsid w:val="00361F5A"/>
    <w:rsid w:val="00362A31"/>
    <w:rsid w:val="0036477A"/>
    <w:rsid w:val="00367750"/>
    <w:rsid w:val="0037111F"/>
    <w:rsid w:val="00371607"/>
    <w:rsid w:val="0037496B"/>
    <w:rsid w:val="00375647"/>
    <w:rsid w:val="003760A1"/>
    <w:rsid w:val="00377363"/>
    <w:rsid w:val="00377A64"/>
    <w:rsid w:val="00386745"/>
    <w:rsid w:val="00387D2D"/>
    <w:rsid w:val="00391D10"/>
    <w:rsid w:val="003947DB"/>
    <w:rsid w:val="003955AA"/>
    <w:rsid w:val="003A1AD9"/>
    <w:rsid w:val="003A22B7"/>
    <w:rsid w:val="003A4FF6"/>
    <w:rsid w:val="003B0F24"/>
    <w:rsid w:val="003B15AB"/>
    <w:rsid w:val="003B2F29"/>
    <w:rsid w:val="003B4134"/>
    <w:rsid w:val="003C298F"/>
    <w:rsid w:val="003C2BBA"/>
    <w:rsid w:val="003C3F8E"/>
    <w:rsid w:val="003C491A"/>
    <w:rsid w:val="003C4AA3"/>
    <w:rsid w:val="003C5B4B"/>
    <w:rsid w:val="003C6213"/>
    <w:rsid w:val="003C7644"/>
    <w:rsid w:val="003D11DE"/>
    <w:rsid w:val="003D32CB"/>
    <w:rsid w:val="003D4350"/>
    <w:rsid w:val="003D6508"/>
    <w:rsid w:val="003E0AD0"/>
    <w:rsid w:val="003E3597"/>
    <w:rsid w:val="003E4BD5"/>
    <w:rsid w:val="003E62B1"/>
    <w:rsid w:val="003F4B83"/>
    <w:rsid w:val="004003FF"/>
    <w:rsid w:val="0040473A"/>
    <w:rsid w:val="00404C29"/>
    <w:rsid w:val="0040502C"/>
    <w:rsid w:val="00405618"/>
    <w:rsid w:val="00407F9D"/>
    <w:rsid w:val="004149FA"/>
    <w:rsid w:val="004167EB"/>
    <w:rsid w:val="004171CF"/>
    <w:rsid w:val="00417D33"/>
    <w:rsid w:val="0042027C"/>
    <w:rsid w:val="004238B9"/>
    <w:rsid w:val="00424950"/>
    <w:rsid w:val="0042621A"/>
    <w:rsid w:val="0042626F"/>
    <w:rsid w:val="0042654F"/>
    <w:rsid w:val="0042743A"/>
    <w:rsid w:val="00430B2B"/>
    <w:rsid w:val="00430DE3"/>
    <w:rsid w:val="0043223B"/>
    <w:rsid w:val="00432687"/>
    <w:rsid w:val="004363D6"/>
    <w:rsid w:val="00436564"/>
    <w:rsid w:val="00441A93"/>
    <w:rsid w:val="00442AB4"/>
    <w:rsid w:val="00442D79"/>
    <w:rsid w:val="00442FB3"/>
    <w:rsid w:val="004435B6"/>
    <w:rsid w:val="00443D6D"/>
    <w:rsid w:val="00450123"/>
    <w:rsid w:val="00452234"/>
    <w:rsid w:val="004531D7"/>
    <w:rsid w:val="00454FFE"/>
    <w:rsid w:val="004574C8"/>
    <w:rsid w:val="004577D8"/>
    <w:rsid w:val="00457FB3"/>
    <w:rsid w:val="004601BD"/>
    <w:rsid w:val="00461BFE"/>
    <w:rsid w:val="00461D00"/>
    <w:rsid w:val="004622D0"/>
    <w:rsid w:val="00462DC6"/>
    <w:rsid w:val="004637CB"/>
    <w:rsid w:val="00467D2F"/>
    <w:rsid w:val="00471131"/>
    <w:rsid w:val="004714E4"/>
    <w:rsid w:val="00471C20"/>
    <w:rsid w:val="004754A5"/>
    <w:rsid w:val="004772C1"/>
    <w:rsid w:val="00477AE7"/>
    <w:rsid w:val="00484BB8"/>
    <w:rsid w:val="004855E1"/>
    <w:rsid w:val="00485931"/>
    <w:rsid w:val="00485FE2"/>
    <w:rsid w:val="00486130"/>
    <w:rsid w:val="0048696E"/>
    <w:rsid w:val="00490CFB"/>
    <w:rsid w:val="00492192"/>
    <w:rsid w:val="00494AD0"/>
    <w:rsid w:val="004950B3"/>
    <w:rsid w:val="004955DE"/>
    <w:rsid w:val="00495D59"/>
    <w:rsid w:val="00496DAB"/>
    <w:rsid w:val="004A00B7"/>
    <w:rsid w:val="004A035F"/>
    <w:rsid w:val="004A0C53"/>
    <w:rsid w:val="004A18DB"/>
    <w:rsid w:val="004A5BF2"/>
    <w:rsid w:val="004B6390"/>
    <w:rsid w:val="004B654F"/>
    <w:rsid w:val="004B70C8"/>
    <w:rsid w:val="004C3350"/>
    <w:rsid w:val="004C5E4A"/>
    <w:rsid w:val="004D12C1"/>
    <w:rsid w:val="004D1322"/>
    <w:rsid w:val="004D3BC3"/>
    <w:rsid w:val="004D3F50"/>
    <w:rsid w:val="004D41F8"/>
    <w:rsid w:val="004D7246"/>
    <w:rsid w:val="004E08EC"/>
    <w:rsid w:val="004E1D82"/>
    <w:rsid w:val="004E78C7"/>
    <w:rsid w:val="004F01F0"/>
    <w:rsid w:val="004F0924"/>
    <w:rsid w:val="004F299F"/>
    <w:rsid w:val="004F36C0"/>
    <w:rsid w:val="004F38B9"/>
    <w:rsid w:val="004F6C64"/>
    <w:rsid w:val="004F7929"/>
    <w:rsid w:val="0050023C"/>
    <w:rsid w:val="00501DCE"/>
    <w:rsid w:val="00504E11"/>
    <w:rsid w:val="005078C2"/>
    <w:rsid w:val="00510CAB"/>
    <w:rsid w:val="00511D94"/>
    <w:rsid w:val="00512031"/>
    <w:rsid w:val="00512E42"/>
    <w:rsid w:val="005157AD"/>
    <w:rsid w:val="00517081"/>
    <w:rsid w:val="005214B2"/>
    <w:rsid w:val="00521D88"/>
    <w:rsid w:val="005263C2"/>
    <w:rsid w:val="00526BC8"/>
    <w:rsid w:val="00526DAA"/>
    <w:rsid w:val="005274E5"/>
    <w:rsid w:val="005306CD"/>
    <w:rsid w:val="00533876"/>
    <w:rsid w:val="005364DC"/>
    <w:rsid w:val="00541E6D"/>
    <w:rsid w:val="00542F95"/>
    <w:rsid w:val="00543A23"/>
    <w:rsid w:val="00544957"/>
    <w:rsid w:val="00545A81"/>
    <w:rsid w:val="00545D04"/>
    <w:rsid w:val="00547F63"/>
    <w:rsid w:val="00552383"/>
    <w:rsid w:val="005566CC"/>
    <w:rsid w:val="00556BDF"/>
    <w:rsid w:val="005607FE"/>
    <w:rsid w:val="00562690"/>
    <w:rsid w:val="00563990"/>
    <w:rsid w:val="005653C1"/>
    <w:rsid w:val="00565CEB"/>
    <w:rsid w:val="00570539"/>
    <w:rsid w:val="00570F23"/>
    <w:rsid w:val="005711D5"/>
    <w:rsid w:val="00571F5D"/>
    <w:rsid w:val="0057308B"/>
    <w:rsid w:val="0057460F"/>
    <w:rsid w:val="0057475F"/>
    <w:rsid w:val="00574E47"/>
    <w:rsid w:val="00575C1D"/>
    <w:rsid w:val="005773D4"/>
    <w:rsid w:val="0058052A"/>
    <w:rsid w:val="00580ED9"/>
    <w:rsid w:val="0058187D"/>
    <w:rsid w:val="00583A05"/>
    <w:rsid w:val="005875B5"/>
    <w:rsid w:val="00590763"/>
    <w:rsid w:val="005908ED"/>
    <w:rsid w:val="00590BFA"/>
    <w:rsid w:val="00590CB8"/>
    <w:rsid w:val="00591744"/>
    <w:rsid w:val="005917AC"/>
    <w:rsid w:val="005965AA"/>
    <w:rsid w:val="005A31E8"/>
    <w:rsid w:val="005A337A"/>
    <w:rsid w:val="005A3549"/>
    <w:rsid w:val="005A5AA2"/>
    <w:rsid w:val="005A7D0A"/>
    <w:rsid w:val="005B2C6C"/>
    <w:rsid w:val="005B334A"/>
    <w:rsid w:val="005B5A97"/>
    <w:rsid w:val="005B607D"/>
    <w:rsid w:val="005C0385"/>
    <w:rsid w:val="005C2202"/>
    <w:rsid w:val="005C3547"/>
    <w:rsid w:val="005C3726"/>
    <w:rsid w:val="005C60C3"/>
    <w:rsid w:val="005C6195"/>
    <w:rsid w:val="005C7CBD"/>
    <w:rsid w:val="005D0C2A"/>
    <w:rsid w:val="005D4077"/>
    <w:rsid w:val="005D47A0"/>
    <w:rsid w:val="005D4ADC"/>
    <w:rsid w:val="005D5BF2"/>
    <w:rsid w:val="005D5EF6"/>
    <w:rsid w:val="005E1357"/>
    <w:rsid w:val="005E26CF"/>
    <w:rsid w:val="005E26D9"/>
    <w:rsid w:val="005E2C76"/>
    <w:rsid w:val="005E74AE"/>
    <w:rsid w:val="005E7AF4"/>
    <w:rsid w:val="005E7BF6"/>
    <w:rsid w:val="005F0AB9"/>
    <w:rsid w:val="005F0BF3"/>
    <w:rsid w:val="005F163C"/>
    <w:rsid w:val="005F3776"/>
    <w:rsid w:val="005F49EB"/>
    <w:rsid w:val="006004D2"/>
    <w:rsid w:val="00600E6F"/>
    <w:rsid w:val="00601E13"/>
    <w:rsid w:val="00603044"/>
    <w:rsid w:val="00605F0F"/>
    <w:rsid w:val="00607D9B"/>
    <w:rsid w:val="0061007F"/>
    <w:rsid w:val="00610415"/>
    <w:rsid w:val="006108D3"/>
    <w:rsid w:val="00611610"/>
    <w:rsid w:val="0061161D"/>
    <w:rsid w:val="00612151"/>
    <w:rsid w:val="00612CB6"/>
    <w:rsid w:val="0061439E"/>
    <w:rsid w:val="00617834"/>
    <w:rsid w:val="00617C8E"/>
    <w:rsid w:val="00620ED8"/>
    <w:rsid w:val="006216AF"/>
    <w:rsid w:val="00623209"/>
    <w:rsid w:val="00624E05"/>
    <w:rsid w:val="006255E8"/>
    <w:rsid w:val="00627C4F"/>
    <w:rsid w:val="00630439"/>
    <w:rsid w:val="00630BD6"/>
    <w:rsid w:val="00630C2E"/>
    <w:rsid w:val="00632CBE"/>
    <w:rsid w:val="006343A9"/>
    <w:rsid w:val="00634764"/>
    <w:rsid w:val="006347A4"/>
    <w:rsid w:val="00640542"/>
    <w:rsid w:val="00641996"/>
    <w:rsid w:val="00641AE0"/>
    <w:rsid w:val="0064266D"/>
    <w:rsid w:val="006435B9"/>
    <w:rsid w:val="00647E76"/>
    <w:rsid w:val="00660195"/>
    <w:rsid w:val="006613E8"/>
    <w:rsid w:val="00661573"/>
    <w:rsid w:val="00662E99"/>
    <w:rsid w:val="00663BF4"/>
    <w:rsid w:val="00664653"/>
    <w:rsid w:val="00664C0A"/>
    <w:rsid w:val="00664FD7"/>
    <w:rsid w:val="0066752E"/>
    <w:rsid w:val="00667E54"/>
    <w:rsid w:val="00670BF6"/>
    <w:rsid w:val="00670E21"/>
    <w:rsid w:val="0067110E"/>
    <w:rsid w:val="0067420C"/>
    <w:rsid w:val="00675002"/>
    <w:rsid w:val="00680D3D"/>
    <w:rsid w:val="00682049"/>
    <w:rsid w:val="00682A18"/>
    <w:rsid w:val="00683A9B"/>
    <w:rsid w:val="006840BF"/>
    <w:rsid w:val="00684865"/>
    <w:rsid w:val="0068494C"/>
    <w:rsid w:val="00690A93"/>
    <w:rsid w:val="00692217"/>
    <w:rsid w:val="00692956"/>
    <w:rsid w:val="00695F38"/>
    <w:rsid w:val="00696C11"/>
    <w:rsid w:val="006A1679"/>
    <w:rsid w:val="006A380E"/>
    <w:rsid w:val="006A391D"/>
    <w:rsid w:val="006A3C71"/>
    <w:rsid w:val="006A43C9"/>
    <w:rsid w:val="006A7191"/>
    <w:rsid w:val="006B0452"/>
    <w:rsid w:val="006B3A33"/>
    <w:rsid w:val="006B416C"/>
    <w:rsid w:val="006B6EE7"/>
    <w:rsid w:val="006B77C7"/>
    <w:rsid w:val="006C104A"/>
    <w:rsid w:val="006C1D9A"/>
    <w:rsid w:val="006D041F"/>
    <w:rsid w:val="006D0623"/>
    <w:rsid w:val="006D0BBD"/>
    <w:rsid w:val="006D1AE8"/>
    <w:rsid w:val="006D6177"/>
    <w:rsid w:val="006E0D2E"/>
    <w:rsid w:val="006E1E80"/>
    <w:rsid w:val="006E5DEE"/>
    <w:rsid w:val="006E6AEC"/>
    <w:rsid w:val="006F3486"/>
    <w:rsid w:val="006F4BBE"/>
    <w:rsid w:val="006F7D45"/>
    <w:rsid w:val="0070074B"/>
    <w:rsid w:val="00700FA0"/>
    <w:rsid w:val="00702879"/>
    <w:rsid w:val="00702BFB"/>
    <w:rsid w:val="00702D7A"/>
    <w:rsid w:val="00703447"/>
    <w:rsid w:val="00703E97"/>
    <w:rsid w:val="00704262"/>
    <w:rsid w:val="00704513"/>
    <w:rsid w:val="00704C44"/>
    <w:rsid w:val="0070540F"/>
    <w:rsid w:val="0071100C"/>
    <w:rsid w:val="007122B5"/>
    <w:rsid w:val="007137FA"/>
    <w:rsid w:val="00714F9C"/>
    <w:rsid w:val="007176ED"/>
    <w:rsid w:val="00721C2F"/>
    <w:rsid w:val="007240AF"/>
    <w:rsid w:val="0072496E"/>
    <w:rsid w:val="00725029"/>
    <w:rsid w:val="007307E9"/>
    <w:rsid w:val="00731B72"/>
    <w:rsid w:val="00734D4F"/>
    <w:rsid w:val="0073618C"/>
    <w:rsid w:val="00740B69"/>
    <w:rsid w:val="007411E1"/>
    <w:rsid w:val="00741F2F"/>
    <w:rsid w:val="007423AF"/>
    <w:rsid w:val="007427EF"/>
    <w:rsid w:val="00744442"/>
    <w:rsid w:val="00747B43"/>
    <w:rsid w:val="00747F5E"/>
    <w:rsid w:val="00750D53"/>
    <w:rsid w:val="007512DC"/>
    <w:rsid w:val="0075211D"/>
    <w:rsid w:val="00752E50"/>
    <w:rsid w:val="00753718"/>
    <w:rsid w:val="00760D70"/>
    <w:rsid w:val="00761AE8"/>
    <w:rsid w:val="00765BEC"/>
    <w:rsid w:val="00766141"/>
    <w:rsid w:val="00766EC9"/>
    <w:rsid w:val="00767E2C"/>
    <w:rsid w:val="007704B6"/>
    <w:rsid w:val="00772BC0"/>
    <w:rsid w:val="0077539A"/>
    <w:rsid w:val="00775A2B"/>
    <w:rsid w:val="00776569"/>
    <w:rsid w:val="007773E9"/>
    <w:rsid w:val="007800CD"/>
    <w:rsid w:val="007808CC"/>
    <w:rsid w:val="00782305"/>
    <w:rsid w:val="007835E1"/>
    <w:rsid w:val="00783C5C"/>
    <w:rsid w:val="00784112"/>
    <w:rsid w:val="00784C3E"/>
    <w:rsid w:val="00784FA8"/>
    <w:rsid w:val="007855AA"/>
    <w:rsid w:val="007857BB"/>
    <w:rsid w:val="0078607A"/>
    <w:rsid w:val="00786A0B"/>
    <w:rsid w:val="00787A57"/>
    <w:rsid w:val="00787F65"/>
    <w:rsid w:val="0079069D"/>
    <w:rsid w:val="00792749"/>
    <w:rsid w:val="00793427"/>
    <w:rsid w:val="007942AB"/>
    <w:rsid w:val="00795989"/>
    <w:rsid w:val="00796443"/>
    <w:rsid w:val="007A062F"/>
    <w:rsid w:val="007A3B25"/>
    <w:rsid w:val="007A43DE"/>
    <w:rsid w:val="007A566C"/>
    <w:rsid w:val="007A5E2A"/>
    <w:rsid w:val="007A642D"/>
    <w:rsid w:val="007A7D0A"/>
    <w:rsid w:val="007B00B8"/>
    <w:rsid w:val="007B0716"/>
    <w:rsid w:val="007B1EF3"/>
    <w:rsid w:val="007B2D93"/>
    <w:rsid w:val="007B3414"/>
    <w:rsid w:val="007B3942"/>
    <w:rsid w:val="007B620E"/>
    <w:rsid w:val="007B6B94"/>
    <w:rsid w:val="007C0A50"/>
    <w:rsid w:val="007C0CD6"/>
    <w:rsid w:val="007C2443"/>
    <w:rsid w:val="007C5668"/>
    <w:rsid w:val="007D030E"/>
    <w:rsid w:val="007D205A"/>
    <w:rsid w:val="007D234A"/>
    <w:rsid w:val="007D4F8B"/>
    <w:rsid w:val="007D5A39"/>
    <w:rsid w:val="007D70DF"/>
    <w:rsid w:val="007E057A"/>
    <w:rsid w:val="007E062C"/>
    <w:rsid w:val="007E11F2"/>
    <w:rsid w:val="007E1858"/>
    <w:rsid w:val="007E1BCE"/>
    <w:rsid w:val="007E1F2E"/>
    <w:rsid w:val="007E3170"/>
    <w:rsid w:val="007E4096"/>
    <w:rsid w:val="007E4E18"/>
    <w:rsid w:val="007E5029"/>
    <w:rsid w:val="007E67C0"/>
    <w:rsid w:val="007E7251"/>
    <w:rsid w:val="007F0840"/>
    <w:rsid w:val="007F166A"/>
    <w:rsid w:val="007F180C"/>
    <w:rsid w:val="00801294"/>
    <w:rsid w:val="0080217C"/>
    <w:rsid w:val="00802BB6"/>
    <w:rsid w:val="00804AF0"/>
    <w:rsid w:val="00806AF0"/>
    <w:rsid w:val="00810425"/>
    <w:rsid w:val="0081159D"/>
    <w:rsid w:val="00813C61"/>
    <w:rsid w:val="008148B3"/>
    <w:rsid w:val="00815255"/>
    <w:rsid w:val="0082089A"/>
    <w:rsid w:val="00821FBE"/>
    <w:rsid w:val="008229EF"/>
    <w:rsid w:val="00826264"/>
    <w:rsid w:val="00826A6D"/>
    <w:rsid w:val="00827B16"/>
    <w:rsid w:val="00831F2E"/>
    <w:rsid w:val="0083345D"/>
    <w:rsid w:val="008339A4"/>
    <w:rsid w:val="00833A39"/>
    <w:rsid w:val="00833B84"/>
    <w:rsid w:val="00834780"/>
    <w:rsid w:val="00834C72"/>
    <w:rsid w:val="00834F4D"/>
    <w:rsid w:val="008351FA"/>
    <w:rsid w:val="008359B2"/>
    <w:rsid w:val="00835B4F"/>
    <w:rsid w:val="00840DB3"/>
    <w:rsid w:val="00843174"/>
    <w:rsid w:val="0084644C"/>
    <w:rsid w:val="00847B70"/>
    <w:rsid w:val="0085049C"/>
    <w:rsid w:val="008509F6"/>
    <w:rsid w:val="00850BC6"/>
    <w:rsid w:val="00851E8B"/>
    <w:rsid w:val="00856956"/>
    <w:rsid w:val="00856C3F"/>
    <w:rsid w:val="008575F1"/>
    <w:rsid w:val="008578D3"/>
    <w:rsid w:val="008613B5"/>
    <w:rsid w:val="008649BA"/>
    <w:rsid w:val="00865C59"/>
    <w:rsid w:val="008660C7"/>
    <w:rsid w:val="0086636C"/>
    <w:rsid w:val="008667F7"/>
    <w:rsid w:val="008668CB"/>
    <w:rsid w:val="00866B6C"/>
    <w:rsid w:val="00867DEE"/>
    <w:rsid w:val="00870177"/>
    <w:rsid w:val="008710BA"/>
    <w:rsid w:val="00872B4B"/>
    <w:rsid w:val="00873070"/>
    <w:rsid w:val="00873359"/>
    <w:rsid w:val="008746FF"/>
    <w:rsid w:val="00874D8A"/>
    <w:rsid w:val="00876041"/>
    <w:rsid w:val="00876954"/>
    <w:rsid w:val="0088040F"/>
    <w:rsid w:val="0088161C"/>
    <w:rsid w:val="00883118"/>
    <w:rsid w:val="00883F2F"/>
    <w:rsid w:val="00884D3F"/>
    <w:rsid w:val="00885FD9"/>
    <w:rsid w:val="00887467"/>
    <w:rsid w:val="00892A98"/>
    <w:rsid w:val="008934BB"/>
    <w:rsid w:val="00894860"/>
    <w:rsid w:val="00895002"/>
    <w:rsid w:val="0089520E"/>
    <w:rsid w:val="008953BA"/>
    <w:rsid w:val="00897F27"/>
    <w:rsid w:val="008A1B78"/>
    <w:rsid w:val="008A226E"/>
    <w:rsid w:val="008A2376"/>
    <w:rsid w:val="008A29AD"/>
    <w:rsid w:val="008A3BDF"/>
    <w:rsid w:val="008A4151"/>
    <w:rsid w:val="008A42F7"/>
    <w:rsid w:val="008A5A0E"/>
    <w:rsid w:val="008A661A"/>
    <w:rsid w:val="008A6B70"/>
    <w:rsid w:val="008B1454"/>
    <w:rsid w:val="008B2173"/>
    <w:rsid w:val="008B3874"/>
    <w:rsid w:val="008B3DEF"/>
    <w:rsid w:val="008B3EED"/>
    <w:rsid w:val="008B610C"/>
    <w:rsid w:val="008B6D41"/>
    <w:rsid w:val="008C3073"/>
    <w:rsid w:val="008C4AC1"/>
    <w:rsid w:val="008C5FEA"/>
    <w:rsid w:val="008D4182"/>
    <w:rsid w:val="008D55B0"/>
    <w:rsid w:val="008D579D"/>
    <w:rsid w:val="008D5E24"/>
    <w:rsid w:val="008D697C"/>
    <w:rsid w:val="008D75D6"/>
    <w:rsid w:val="008E32C1"/>
    <w:rsid w:val="008E33E3"/>
    <w:rsid w:val="008E33F8"/>
    <w:rsid w:val="008E37F1"/>
    <w:rsid w:val="008E4694"/>
    <w:rsid w:val="008E4778"/>
    <w:rsid w:val="008E5726"/>
    <w:rsid w:val="008E6F36"/>
    <w:rsid w:val="008F27B3"/>
    <w:rsid w:val="008F3D6A"/>
    <w:rsid w:val="00901055"/>
    <w:rsid w:val="00901B29"/>
    <w:rsid w:val="00903915"/>
    <w:rsid w:val="0090601F"/>
    <w:rsid w:val="009075F2"/>
    <w:rsid w:val="00910C2C"/>
    <w:rsid w:val="00911298"/>
    <w:rsid w:val="0091201D"/>
    <w:rsid w:val="00912109"/>
    <w:rsid w:val="0091352D"/>
    <w:rsid w:val="00914398"/>
    <w:rsid w:val="00920217"/>
    <w:rsid w:val="00920529"/>
    <w:rsid w:val="00920896"/>
    <w:rsid w:val="009232A7"/>
    <w:rsid w:val="009239C4"/>
    <w:rsid w:val="00923B70"/>
    <w:rsid w:val="00923D6B"/>
    <w:rsid w:val="00923EC2"/>
    <w:rsid w:val="00924EFE"/>
    <w:rsid w:val="00925F61"/>
    <w:rsid w:val="0093291B"/>
    <w:rsid w:val="0093427A"/>
    <w:rsid w:val="009346D8"/>
    <w:rsid w:val="00937AFB"/>
    <w:rsid w:val="00937D9B"/>
    <w:rsid w:val="00940152"/>
    <w:rsid w:val="009405B0"/>
    <w:rsid w:val="00940B55"/>
    <w:rsid w:val="009420F5"/>
    <w:rsid w:val="009424A8"/>
    <w:rsid w:val="00942D0D"/>
    <w:rsid w:val="00944876"/>
    <w:rsid w:val="009456B5"/>
    <w:rsid w:val="0094691F"/>
    <w:rsid w:val="00946B14"/>
    <w:rsid w:val="009470F4"/>
    <w:rsid w:val="009508B6"/>
    <w:rsid w:val="0095120C"/>
    <w:rsid w:val="009514BB"/>
    <w:rsid w:val="00951A23"/>
    <w:rsid w:val="00952341"/>
    <w:rsid w:val="009546DA"/>
    <w:rsid w:val="0095599C"/>
    <w:rsid w:val="009569D0"/>
    <w:rsid w:val="00960A9A"/>
    <w:rsid w:val="00960C68"/>
    <w:rsid w:val="0096163E"/>
    <w:rsid w:val="00961C8F"/>
    <w:rsid w:val="00962A87"/>
    <w:rsid w:val="00963432"/>
    <w:rsid w:val="00965CEE"/>
    <w:rsid w:val="00967974"/>
    <w:rsid w:val="0097038E"/>
    <w:rsid w:val="009705B0"/>
    <w:rsid w:val="00971A4D"/>
    <w:rsid w:val="00972406"/>
    <w:rsid w:val="00972BE3"/>
    <w:rsid w:val="009748C4"/>
    <w:rsid w:val="00977A57"/>
    <w:rsid w:val="00983299"/>
    <w:rsid w:val="00983FA6"/>
    <w:rsid w:val="0098402D"/>
    <w:rsid w:val="00984F1F"/>
    <w:rsid w:val="00986877"/>
    <w:rsid w:val="00990A6B"/>
    <w:rsid w:val="00990F49"/>
    <w:rsid w:val="00991055"/>
    <w:rsid w:val="009910A7"/>
    <w:rsid w:val="009912EF"/>
    <w:rsid w:val="00991442"/>
    <w:rsid w:val="00991C95"/>
    <w:rsid w:val="00992418"/>
    <w:rsid w:val="00993FAA"/>
    <w:rsid w:val="009944FA"/>
    <w:rsid w:val="0099478A"/>
    <w:rsid w:val="00995240"/>
    <w:rsid w:val="00997AE5"/>
    <w:rsid w:val="00997B4E"/>
    <w:rsid w:val="009A0B75"/>
    <w:rsid w:val="009A0E79"/>
    <w:rsid w:val="009A2886"/>
    <w:rsid w:val="009A3224"/>
    <w:rsid w:val="009A3A6D"/>
    <w:rsid w:val="009A407A"/>
    <w:rsid w:val="009A4B2D"/>
    <w:rsid w:val="009A5D37"/>
    <w:rsid w:val="009B00A3"/>
    <w:rsid w:val="009B2FE7"/>
    <w:rsid w:val="009B5ADF"/>
    <w:rsid w:val="009B7376"/>
    <w:rsid w:val="009C0121"/>
    <w:rsid w:val="009C0F50"/>
    <w:rsid w:val="009C11CF"/>
    <w:rsid w:val="009C2D4F"/>
    <w:rsid w:val="009C3155"/>
    <w:rsid w:val="009C374D"/>
    <w:rsid w:val="009C4012"/>
    <w:rsid w:val="009C5C8A"/>
    <w:rsid w:val="009D0FDB"/>
    <w:rsid w:val="009D244D"/>
    <w:rsid w:val="009D2A8D"/>
    <w:rsid w:val="009D2B14"/>
    <w:rsid w:val="009D3F8D"/>
    <w:rsid w:val="009D4433"/>
    <w:rsid w:val="009D4504"/>
    <w:rsid w:val="009D7472"/>
    <w:rsid w:val="009E308C"/>
    <w:rsid w:val="009E460F"/>
    <w:rsid w:val="009E4771"/>
    <w:rsid w:val="009E588B"/>
    <w:rsid w:val="009E663A"/>
    <w:rsid w:val="009E7401"/>
    <w:rsid w:val="009F0FE0"/>
    <w:rsid w:val="009F1B55"/>
    <w:rsid w:val="009F2313"/>
    <w:rsid w:val="009F4F0B"/>
    <w:rsid w:val="009F50DB"/>
    <w:rsid w:val="009F5C0B"/>
    <w:rsid w:val="009F7FE8"/>
    <w:rsid w:val="00A00C1C"/>
    <w:rsid w:val="00A01AE1"/>
    <w:rsid w:val="00A02947"/>
    <w:rsid w:val="00A02D78"/>
    <w:rsid w:val="00A077D1"/>
    <w:rsid w:val="00A10121"/>
    <w:rsid w:val="00A125CC"/>
    <w:rsid w:val="00A16844"/>
    <w:rsid w:val="00A1734C"/>
    <w:rsid w:val="00A2085A"/>
    <w:rsid w:val="00A22481"/>
    <w:rsid w:val="00A23261"/>
    <w:rsid w:val="00A23C70"/>
    <w:rsid w:val="00A2465F"/>
    <w:rsid w:val="00A2632C"/>
    <w:rsid w:val="00A268FC"/>
    <w:rsid w:val="00A307B3"/>
    <w:rsid w:val="00A31C4E"/>
    <w:rsid w:val="00A3253A"/>
    <w:rsid w:val="00A33AB2"/>
    <w:rsid w:val="00A3534F"/>
    <w:rsid w:val="00A35695"/>
    <w:rsid w:val="00A36422"/>
    <w:rsid w:val="00A3657E"/>
    <w:rsid w:val="00A372BF"/>
    <w:rsid w:val="00A3787E"/>
    <w:rsid w:val="00A37D2D"/>
    <w:rsid w:val="00A42C72"/>
    <w:rsid w:val="00A4405C"/>
    <w:rsid w:val="00A441BA"/>
    <w:rsid w:val="00A44ECB"/>
    <w:rsid w:val="00A45DE3"/>
    <w:rsid w:val="00A4718C"/>
    <w:rsid w:val="00A47788"/>
    <w:rsid w:val="00A5118F"/>
    <w:rsid w:val="00A52481"/>
    <w:rsid w:val="00A539FB"/>
    <w:rsid w:val="00A545A5"/>
    <w:rsid w:val="00A54761"/>
    <w:rsid w:val="00A55778"/>
    <w:rsid w:val="00A61C77"/>
    <w:rsid w:val="00A6215B"/>
    <w:rsid w:val="00A63228"/>
    <w:rsid w:val="00A63A51"/>
    <w:rsid w:val="00A718D6"/>
    <w:rsid w:val="00A73363"/>
    <w:rsid w:val="00A7359D"/>
    <w:rsid w:val="00A73B18"/>
    <w:rsid w:val="00A759F8"/>
    <w:rsid w:val="00A77393"/>
    <w:rsid w:val="00A77B93"/>
    <w:rsid w:val="00A77CEC"/>
    <w:rsid w:val="00A809CD"/>
    <w:rsid w:val="00A837C0"/>
    <w:rsid w:val="00A847D0"/>
    <w:rsid w:val="00A849F5"/>
    <w:rsid w:val="00A86A26"/>
    <w:rsid w:val="00A875AF"/>
    <w:rsid w:val="00A90645"/>
    <w:rsid w:val="00A91070"/>
    <w:rsid w:val="00A91332"/>
    <w:rsid w:val="00A929A2"/>
    <w:rsid w:val="00A92D2D"/>
    <w:rsid w:val="00A93994"/>
    <w:rsid w:val="00A95DDF"/>
    <w:rsid w:val="00AA05B7"/>
    <w:rsid w:val="00AA15F9"/>
    <w:rsid w:val="00AA2149"/>
    <w:rsid w:val="00AA2ED5"/>
    <w:rsid w:val="00AA3230"/>
    <w:rsid w:val="00AA37F6"/>
    <w:rsid w:val="00AA5ADD"/>
    <w:rsid w:val="00AA768A"/>
    <w:rsid w:val="00AA7EE7"/>
    <w:rsid w:val="00AB24D1"/>
    <w:rsid w:val="00AB2C43"/>
    <w:rsid w:val="00AB3606"/>
    <w:rsid w:val="00AB6773"/>
    <w:rsid w:val="00AC16FD"/>
    <w:rsid w:val="00AC555D"/>
    <w:rsid w:val="00AC659A"/>
    <w:rsid w:val="00AC66D2"/>
    <w:rsid w:val="00AC7D72"/>
    <w:rsid w:val="00AD0B09"/>
    <w:rsid w:val="00AD15DB"/>
    <w:rsid w:val="00AD25BF"/>
    <w:rsid w:val="00AD2CF6"/>
    <w:rsid w:val="00AD3839"/>
    <w:rsid w:val="00AD3B75"/>
    <w:rsid w:val="00AD443B"/>
    <w:rsid w:val="00AD4808"/>
    <w:rsid w:val="00AD56B0"/>
    <w:rsid w:val="00AD67BD"/>
    <w:rsid w:val="00AD7621"/>
    <w:rsid w:val="00AD7943"/>
    <w:rsid w:val="00AD7F84"/>
    <w:rsid w:val="00AE0455"/>
    <w:rsid w:val="00AE0746"/>
    <w:rsid w:val="00AE143B"/>
    <w:rsid w:val="00AE16E9"/>
    <w:rsid w:val="00AE1C6A"/>
    <w:rsid w:val="00AE3ABA"/>
    <w:rsid w:val="00AE4873"/>
    <w:rsid w:val="00AE78AB"/>
    <w:rsid w:val="00AF1122"/>
    <w:rsid w:val="00AF2109"/>
    <w:rsid w:val="00AF2DB8"/>
    <w:rsid w:val="00AF52A4"/>
    <w:rsid w:val="00AF5338"/>
    <w:rsid w:val="00AF66DB"/>
    <w:rsid w:val="00AF72A2"/>
    <w:rsid w:val="00AF748F"/>
    <w:rsid w:val="00B03776"/>
    <w:rsid w:val="00B045CD"/>
    <w:rsid w:val="00B04C29"/>
    <w:rsid w:val="00B05A33"/>
    <w:rsid w:val="00B060A4"/>
    <w:rsid w:val="00B061D3"/>
    <w:rsid w:val="00B10978"/>
    <w:rsid w:val="00B14409"/>
    <w:rsid w:val="00B14AFB"/>
    <w:rsid w:val="00B14EBC"/>
    <w:rsid w:val="00B17613"/>
    <w:rsid w:val="00B176F2"/>
    <w:rsid w:val="00B17B62"/>
    <w:rsid w:val="00B2108A"/>
    <w:rsid w:val="00B2110A"/>
    <w:rsid w:val="00B231EB"/>
    <w:rsid w:val="00B23492"/>
    <w:rsid w:val="00B23675"/>
    <w:rsid w:val="00B2618E"/>
    <w:rsid w:val="00B26C61"/>
    <w:rsid w:val="00B30051"/>
    <w:rsid w:val="00B30D2C"/>
    <w:rsid w:val="00B312A6"/>
    <w:rsid w:val="00B327A1"/>
    <w:rsid w:val="00B33487"/>
    <w:rsid w:val="00B3470D"/>
    <w:rsid w:val="00B363E4"/>
    <w:rsid w:val="00B36FBA"/>
    <w:rsid w:val="00B41B68"/>
    <w:rsid w:val="00B426ED"/>
    <w:rsid w:val="00B42DA7"/>
    <w:rsid w:val="00B447BC"/>
    <w:rsid w:val="00B44940"/>
    <w:rsid w:val="00B50229"/>
    <w:rsid w:val="00B5069E"/>
    <w:rsid w:val="00B51BE2"/>
    <w:rsid w:val="00B54048"/>
    <w:rsid w:val="00B54872"/>
    <w:rsid w:val="00B567CF"/>
    <w:rsid w:val="00B568FC"/>
    <w:rsid w:val="00B56975"/>
    <w:rsid w:val="00B575B7"/>
    <w:rsid w:val="00B602A3"/>
    <w:rsid w:val="00B62D5A"/>
    <w:rsid w:val="00B6415A"/>
    <w:rsid w:val="00B64D9E"/>
    <w:rsid w:val="00B64DB6"/>
    <w:rsid w:val="00B64F6E"/>
    <w:rsid w:val="00B656E1"/>
    <w:rsid w:val="00B66125"/>
    <w:rsid w:val="00B66D96"/>
    <w:rsid w:val="00B7021D"/>
    <w:rsid w:val="00B71649"/>
    <w:rsid w:val="00B728B6"/>
    <w:rsid w:val="00B737C6"/>
    <w:rsid w:val="00B73FAC"/>
    <w:rsid w:val="00B80263"/>
    <w:rsid w:val="00B87090"/>
    <w:rsid w:val="00B87D87"/>
    <w:rsid w:val="00B910FF"/>
    <w:rsid w:val="00B9291D"/>
    <w:rsid w:val="00B937FD"/>
    <w:rsid w:val="00B94506"/>
    <w:rsid w:val="00B96A3B"/>
    <w:rsid w:val="00BA1817"/>
    <w:rsid w:val="00BA1B05"/>
    <w:rsid w:val="00BA2171"/>
    <w:rsid w:val="00BA33F0"/>
    <w:rsid w:val="00BA470B"/>
    <w:rsid w:val="00BA5484"/>
    <w:rsid w:val="00BA6F53"/>
    <w:rsid w:val="00BA7567"/>
    <w:rsid w:val="00BA7ECE"/>
    <w:rsid w:val="00BB2A99"/>
    <w:rsid w:val="00BB4505"/>
    <w:rsid w:val="00BB4D82"/>
    <w:rsid w:val="00BB61BF"/>
    <w:rsid w:val="00BB6DC5"/>
    <w:rsid w:val="00BB72CE"/>
    <w:rsid w:val="00BC0810"/>
    <w:rsid w:val="00BC1090"/>
    <w:rsid w:val="00BC12D3"/>
    <w:rsid w:val="00BC3F6D"/>
    <w:rsid w:val="00BC43F8"/>
    <w:rsid w:val="00BC5E26"/>
    <w:rsid w:val="00BC6DAC"/>
    <w:rsid w:val="00BC6F53"/>
    <w:rsid w:val="00BD06D2"/>
    <w:rsid w:val="00BD2539"/>
    <w:rsid w:val="00BD2543"/>
    <w:rsid w:val="00BD4B2F"/>
    <w:rsid w:val="00BD57E0"/>
    <w:rsid w:val="00BD5E17"/>
    <w:rsid w:val="00BD6D7C"/>
    <w:rsid w:val="00BE01C6"/>
    <w:rsid w:val="00BE142A"/>
    <w:rsid w:val="00BE17AA"/>
    <w:rsid w:val="00BE1B8D"/>
    <w:rsid w:val="00BE2056"/>
    <w:rsid w:val="00BE465C"/>
    <w:rsid w:val="00BE50B8"/>
    <w:rsid w:val="00BE5859"/>
    <w:rsid w:val="00BE6DCA"/>
    <w:rsid w:val="00BF24D8"/>
    <w:rsid w:val="00BF2A18"/>
    <w:rsid w:val="00BF6169"/>
    <w:rsid w:val="00BF7FCA"/>
    <w:rsid w:val="00C009D0"/>
    <w:rsid w:val="00C0148C"/>
    <w:rsid w:val="00C017FD"/>
    <w:rsid w:val="00C019AA"/>
    <w:rsid w:val="00C02276"/>
    <w:rsid w:val="00C0270A"/>
    <w:rsid w:val="00C03BBA"/>
    <w:rsid w:val="00C04730"/>
    <w:rsid w:val="00C04C40"/>
    <w:rsid w:val="00C04D1D"/>
    <w:rsid w:val="00C05D2F"/>
    <w:rsid w:val="00C06946"/>
    <w:rsid w:val="00C1075B"/>
    <w:rsid w:val="00C10AE0"/>
    <w:rsid w:val="00C13237"/>
    <w:rsid w:val="00C154DB"/>
    <w:rsid w:val="00C15E79"/>
    <w:rsid w:val="00C1724C"/>
    <w:rsid w:val="00C21E73"/>
    <w:rsid w:val="00C230EC"/>
    <w:rsid w:val="00C2325A"/>
    <w:rsid w:val="00C23B67"/>
    <w:rsid w:val="00C2439D"/>
    <w:rsid w:val="00C24A75"/>
    <w:rsid w:val="00C24D6A"/>
    <w:rsid w:val="00C2684B"/>
    <w:rsid w:val="00C3211F"/>
    <w:rsid w:val="00C32FD0"/>
    <w:rsid w:val="00C33CD2"/>
    <w:rsid w:val="00C35C88"/>
    <w:rsid w:val="00C36B2A"/>
    <w:rsid w:val="00C40582"/>
    <w:rsid w:val="00C4306D"/>
    <w:rsid w:val="00C432B6"/>
    <w:rsid w:val="00C43735"/>
    <w:rsid w:val="00C442FD"/>
    <w:rsid w:val="00C44928"/>
    <w:rsid w:val="00C454C6"/>
    <w:rsid w:val="00C45CF5"/>
    <w:rsid w:val="00C477B3"/>
    <w:rsid w:val="00C5122C"/>
    <w:rsid w:val="00C53382"/>
    <w:rsid w:val="00C54C13"/>
    <w:rsid w:val="00C54D9D"/>
    <w:rsid w:val="00C55D09"/>
    <w:rsid w:val="00C56C2F"/>
    <w:rsid w:val="00C57B18"/>
    <w:rsid w:val="00C6093D"/>
    <w:rsid w:val="00C60A62"/>
    <w:rsid w:val="00C618BD"/>
    <w:rsid w:val="00C63035"/>
    <w:rsid w:val="00C64A0C"/>
    <w:rsid w:val="00C6528B"/>
    <w:rsid w:val="00C72642"/>
    <w:rsid w:val="00C72AA8"/>
    <w:rsid w:val="00C72B16"/>
    <w:rsid w:val="00C72BE9"/>
    <w:rsid w:val="00C73B7F"/>
    <w:rsid w:val="00C73C39"/>
    <w:rsid w:val="00C74299"/>
    <w:rsid w:val="00C80ABE"/>
    <w:rsid w:val="00C83071"/>
    <w:rsid w:val="00C83CEC"/>
    <w:rsid w:val="00C8639F"/>
    <w:rsid w:val="00C87731"/>
    <w:rsid w:val="00C90526"/>
    <w:rsid w:val="00C909CC"/>
    <w:rsid w:val="00C9306B"/>
    <w:rsid w:val="00C93ABA"/>
    <w:rsid w:val="00C949C5"/>
    <w:rsid w:val="00C959DE"/>
    <w:rsid w:val="00C96E8E"/>
    <w:rsid w:val="00CA1B86"/>
    <w:rsid w:val="00CA2A23"/>
    <w:rsid w:val="00CA4FA6"/>
    <w:rsid w:val="00CA7269"/>
    <w:rsid w:val="00CB113D"/>
    <w:rsid w:val="00CB3469"/>
    <w:rsid w:val="00CB3A6B"/>
    <w:rsid w:val="00CB44DB"/>
    <w:rsid w:val="00CB5F0E"/>
    <w:rsid w:val="00CB6078"/>
    <w:rsid w:val="00CB7BFF"/>
    <w:rsid w:val="00CC0427"/>
    <w:rsid w:val="00CC1D7F"/>
    <w:rsid w:val="00CC20A6"/>
    <w:rsid w:val="00CC2AB2"/>
    <w:rsid w:val="00CC3D91"/>
    <w:rsid w:val="00CC4DD2"/>
    <w:rsid w:val="00CC6B03"/>
    <w:rsid w:val="00CD1185"/>
    <w:rsid w:val="00CD1E75"/>
    <w:rsid w:val="00CD2368"/>
    <w:rsid w:val="00CD6DAA"/>
    <w:rsid w:val="00CE015C"/>
    <w:rsid w:val="00CE28D4"/>
    <w:rsid w:val="00CE4429"/>
    <w:rsid w:val="00CE443F"/>
    <w:rsid w:val="00CE5335"/>
    <w:rsid w:val="00CE55C2"/>
    <w:rsid w:val="00CE7249"/>
    <w:rsid w:val="00CE767B"/>
    <w:rsid w:val="00CF0F67"/>
    <w:rsid w:val="00CF1253"/>
    <w:rsid w:val="00CF2232"/>
    <w:rsid w:val="00CF2752"/>
    <w:rsid w:val="00CF6075"/>
    <w:rsid w:val="00D002E2"/>
    <w:rsid w:val="00D01214"/>
    <w:rsid w:val="00D01C7A"/>
    <w:rsid w:val="00D03254"/>
    <w:rsid w:val="00D04EB1"/>
    <w:rsid w:val="00D054E2"/>
    <w:rsid w:val="00D10226"/>
    <w:rsid w:val="00D10FDF"/>
    <w:rsid w:val="00D110AD"/>
    <w:rsid w:val="00D11479"/>
    <w:rsid w:val="00D122F0"/>
    <w:rsid w:val="00D12A93"/>
    <w:rsid w:val="00D140FD"/>
    <w:rsid w:val="00D159D3"/>
    <w:rsid w:val="00D17932"/>
    <w:rsid w:val="00D2164D"/>
    <w:rsid w:val="00D218D7"/>
    <w:rsid w:val="00D2323D"/>
    <w:rsid w:val="00D23BA4"/>
    <w:rsid w:val="00D25038"/>
    <w:rsid w:val="00D318F0"/>
    <w:rsid w:val="00D31D37"/>
    <w:rsid w:val="00D33E36"/>
    <w:rsid w:val="00D33F44"/>
    <w:rsid w:val="00D3738E"/>
    <w:rsid w:val="00D37C24"/>
    <w:rsid w:val="00D44E16"/>
    <w:rsid w:val="00D45CFE"/>
    <w:rsid w:val="00D46AD1"/>
    <w:rsid w:val="00D50D9C"/>
    <w:rsid w:val="00D5126F"/>
    <w:rsid w:val="00D52817"/>
    <w:rsid w:val="00D52CE5"/>
    <w:rsid w:val="00D54BEA"/>
    <w:rsid w:val="00D54CDE"/>
    <w:rsid w:val="00D560BF"/>
    <w:rsid w:val="00D56F63"/>
    <w:rsid w:val="00D60555"/>
    <w:rsid w:val="00D60BB0"/>
    <w:rsid w:val="00D61946"/>
    <w:rsid w:val="00D64BBC"/>
    <w:rsid w:val="00D64D67"/>
    <w:rsid w:val="00D65375"/>
    <w:rsid w:val="00D663B8"/>
    <w:rsid w:val="00D66EDC"/>
    <w:rsid w:val="00D718CF"/>
    <w:rsid w:val="00D72E51"/>
    <w:rsid w:val="00D73FA1"/>
    <w:rsid w:val="00D745CE"/>
    <w:rsid w:val="00D74F25"/>
    <w:rsid w:val="00D77475"/>
    <w:rsid w:val="00D77B1A"/>
    <w:rsid w:val="00D80459"/>
    <w:rsid w:val="00D812C5"/>
    <w:rsid w:val="00D82390"/>
    <w:rsid w:val="00D82804"/>
    <w:rsid w:val="00D84180"/>
    <w:rsid w:val="00D8485F"/>
    <w:rsid w:val="00D84D72"/>
    <w:rsid w:val="00D867CF"/>
    <w:rsid w:val="00D8707C"/>
    <w:rsid w:val="00D87FF6"/>
    <w:rsid w:val="00D917D0"/>
    <w:rsid w:val="00D91D24"/>
    <w:rsid w:val="00D937EE"/>
    <w:rsid w:val="00D95D73"/>
    <w:rsid w:val="00D97747"/>
    <w:rsid w:val="00D979DF"/>
    <w:rsid w:val="00D97CE2"/>
    <w:rsid w:val="00DA3916"/>
    <w:rsid w:val="00DA44DC"/>
    <w:rsid w:val="00DA52BD"/>
    <w:rsid w:val="00DA58B1"/>
    <w:rsid w:val="00DA60FC"/>
    <w:rsid w:val="00DA6777"/>
    <w:rsid w:val="00DB1A8C"/>
    <w:rsid w:val="00DB4FAC"/>
    <w:rsid w:val="00DB7373"/>
    <w:rsid w:val="00DC1CFD"/>
    <w:rsid w:val="00DC2D80"/>
    <w:rsid w:val="00DC5C2F"/>
    <w:rsid w:val="00DD216F"/>
    <w:rsid w:val="00DD2F3D"/>
    <w:rsid w:val="00DD3E06"/>
    <w:rsid w:val="00DD4DFD"/>
    <w:rsid w:val="00DD550F"/>
    <w:rsid w:val="00DD636D"/>
    <w:rsid w:val="00DD67C5"/>
    <w:rsid w:val="00DD782C"/>
    <w:rsid w:val="00DD78B4"/>
    <w:rsid w:val="00DE259A"/>
    <w:rsid w:val="00DE3F44"/>
    <w:rsid w:val="00DE42BD"/>
    <w:rsid w:val="00DE4635"/>
    <w:rsid w:val="00DE4E16"/>
    <w:rsid w:val="00DE5EF6"/>
    <w:rsid w:val="00DE62C7"/>
    <w:rsid w:val="00DE6440"/>
    <w:rsid w:val="00DE6F97"/>
    <w:rsid w:val="00DF28CF"/>
    <w:rsid w:val="00DF5005"/>
    <w:rsid w:val="00DF5617"/>
    <w:rsid w:val="00DF573B"/>
    <w:rsid w:val="00DF5F76"/>
    <w:rsid w:val="00DF6EDE"/>
    <w:rsid w:val="00E00117"/>
    <w:rsid w:val="00E01380"/>
    <w:rsid w:val="00E01568"/>
    <w:rsid w:val="00E029FC"/>
    <w:rsid w:val="00E02A62"/>
    <w:rsid w:val="00E067F3"/>
    <w:rsid w:val="00E07309"/>
    <w:rsid w:val="00E07786"/>
    <w:rsid w:val="00E10500"/>
    <w:rsid w:val="00E11CB3"/>
    <w:rsid w:val="00E12877"/>
    <w:rsid w:val="00E12AD5"/>
    <w:rsid w:val="00E140DC"/>
    <w:rsid w:val="00E1428E"/>
    <w:rsid w:val="00E164E6"/>
    <w:rsid w:val="00E16A1A"/>
    <w:rsid w:val="00E17570"/>
    <w:rsid w:val="00E17775"/>
    <w:rsid w:val="00E177A0"/>
    <w:rsid w:val="00E205F6"/>
    <w:rsid w:val="00E22E55"/>
    <w:rsid w:val="00E23E56"/>
    <w:rsid w:val="00E2432B"/>
    <w:rsid w:val="00E26655"/>
    <w:rsid w:val="00E26EEF"/>
    <w:rsid w:val="00E277CC"/>
    <w:rsid w:val="00E31773"/>
    <w:rsid w:val="00E3226D"/>
    <w:rsid w:val="00E33B25"/>
    <w:rsid w:val="00E344BD"/>
    <w:rsid w:val="00E35AEB"/>
    <w:rsid w:val="00E37BDB"/>
    <w:rsid w:val="00E41226"/>
    <w:rsid w:val="00E415BA"/>
    <w:rsid w:val="00E41911"/>
    <w:rsid w:val="00E451C9"/>
    <w:rsid w:val="00E4669D"/>
    <w:rsid w:val="00E470EB"/>
    <w:rsid w:val="00E47336"/>
    <w:rsid w:val="00E51A85"/>
    <w:rsid w:val="00E522C8"/>
    <w:rsid w:val="00E5434E"/>
    <w:rsid w:val="00E55446"/>
    <w:rsid w:val="00E56D43"/>
    <w:rsid w:val="00E56EFD"/>
    <w:rsid w:val="00E56F7F"/>
    <w:rsid w:val="00E575DE"/>
    <w:rsid w:val="00E60004"/>
    <w:rsid w:val="00E60C25"/>
    <w:rsid w:val="00E6163B"/>
    <w:rsid w:val="00E6387C"/>
    <w:rsid w:val="00E63CF3"/>
    <w:rsid w:val="00E63D2C"/>
    <w:rsid w:val="00E64684"/>
    <w:rsid w:val="00E653BC"/>
    <w:rsid w:val="00E66D6F"/>
    <w:rsid w:val="00E67210"/>
    <w:rsid w:val="00E7195E"/>
    <w:rsid w:val="00E71FD7"/>
    <w:rsid w:val="00E725B8"/>
    <w:rsid w:val="00E7266B"/>
    <w:rsid w:val="00E7269F"/>
    <w:rsid w:val="00E727D0"/>
    <w:rsid w:val="00E72D2A"/>
    <w:rsid w:val="00E73D48"/>
    <w:rsid w:val="00E73DBE"/>
    <w:rsid w:val="00E7576A"/>
    <w:rsid w:val="00E7731D"/>
    <w:rsid w:val="00E80DE5"/>
    <w:rsid w:val="00E82757"/>
    <w:rsid w:val="00E84817"/>
    <w:rsid w:val="00E85361"/>
    <w:rsid w:val="00E87345"/>
    <w:rsid w:val="00E90B0E"/>
    <w:rsid w:val="00E91B13"/>
    <w:rsid w:val="00E92669"/>
    <w:rsid w:val="00E9324A"/>
    <w:rsid w:val="00E93942"/>
    <w:rsid w:val="00E93D14"/>
    <w:rsid w:val="00E94593"/>
    <w:rsid w:val="00E94CC2"/>
    <w:rsid w:val="00E9509E"/>
    <w:rsid w:val="00E9642D"/>
    <w:rsid w:val="00E96E1C"/>
    <w:rsid w:val="00EA0775"/>
    <w:rsid w:val="00EA2139"/>
    <w:rsid w:val="00EA4EDF"/>
    <w:rsid w:val="00EB0BF8"/>
    <w:rsid w:val="00EB39C2"/>
    <w:rsid w:val="00EC3369"/>
    <w:rsid w:val="00EC3F45"/>
    <w:rsid w:val="00ED5499"/>
    <w:rsid w:val="00ED7143"/>
    <w:rsid w:val="00ED748A"/>
    <w:rsid w:val="00EE0FEB"/>
    <w:rsid w:val="00EE1C47"/>
    <w:rsid w:val="00EE2B50"/>
    <w:rsid w:val="00EE4410"/>
    <w:rsid w:val="00EE796A"/>
    <w:rsid w:val="00EE7CBC"/>
    <w:rsid w:val="00EE7EB3"/>
    <w:rsid w:val="00EF28C3"/>
    <w:rsid w:val="00EF372E"/>
    <w:rsid w:val="00EF461F"/>
    <w:rsid w:val="00F01394"/>
    <w:rsid w:val="00F02AA6"/>
    <w:rsid w:val="00F02C0A"/>
    <w:rsid w:val="00F03447"/>
    <w:rsid w:val="00F03A0C"/>
    <w:rsid w:val="00F03E04"/>
    <w:rsid w:val="00F05A8A"/>
    <w:rsid w:val="00F05F13"/>
    <w:rsid w:val="00F06E1C"/>
    <w:rsid w:val="00F07012"/>
    <w:rsid w:val="00F07520"/>
    <w:rsid w:val="00F12350"/>
    <w:rsid w:val="00F1276F"/>
    <w:rsid w:val="00F13CB3"/>
    <w:rsid w:val="00F13DFE"/>
    <w:rsid w:val="00F16916"/>
    <w:rsid w:val="00F20046"/>
    <w:rsid w:val="00F20B9D"/>
    <w:rsid w:val="00F25891"/>
    <w:rsid w:val="00F25FBD"/>
    <w:rsid w:val="00F271B7"/>
    <w:rsid w:val="00F31763"/>
    <w:rsid w:val="00F31C77"/>
    <w:rsid w:val="00F32DBD"/>
    <w:rsid w:val="00F33559"/>
    <w:rsid w:val="00F35D4B"/>
    <w:rsid w:val="00F37187"/>
    <w:rsid w:val="00F37680"/>
    <w:rsid w:val="00F41228"/>
    <w:rsid w:val="00F41FEA"/>
    <w:rsid w:val="00F439A8"/>
    <w:rsid w:val="00F43B87"/>
    <w:rsid w:val="00F44409"/>
    <w:rsid w:val="00F44AB5"/>
    <w:rsid w:val="00F5244D"/>
    <w:rsid w:val="00F52591"/>
    <w:rsid w:val="00F57172"/>
    <w:rsid w:val="00F60C71"/>
    <w:rsid w:val="00F61C89"/>
    <w:rsid w:val="00F639FE"/>
    <w:rsid w:val="00F63C1A"/>
    <w:rsid w:val="00F644F5"/>
    <w:rsid w:val="00F64C67"/>
    <w:rsid w:val="00F64E6E"/>
    <w:rsid w:val="00F73188"/>
    <w:rsid w:val="00F7737C"/>
    <w:rsid w:val="00F77797"/>
    <w:rsid w:val="00F80FE7"/>
    <w:rsid w:val="00F810DB"/>
    <w:rsid w:val="00F83BAD"/>
    <w:rsid w:val="00F83E9E"/>
    <w:rsid w:val="00F85E93"/>
    <w:rsid w:val="00F90283"/>
    <w:rsid w:val="00F94A2A"/>
    <w:rsid w:val="00F964B6"/>
    <w:rsid w:val="00FA0C2C"/>
    <w:rsid w:val="00FA0D92"/>
    <w:rsid w:val="00FA17D2"/>
    <w:rsid w:val="00FA1875"/>
    <w:rsid w:val="00FA22A1"/>
    <w:rsid w:val="00FA366F"/>
    <w:rsid w:val="00FA568F"/>
    <w:rsid w:val="00FA5693"/>
    <w:rsid w:val="00FA5731"/>
    <w:rsid w:val="00FB217E"/>
    <w:rsid w:val="00FB3C56"/>
    <w:rsid w:val="00FB43C2"/>
    <w:rsid w:val="00FB7FAF"/>
    <w:rsid w:val="00FC0F4C"/>
    <w:rsid w:val="00FC1205"/>
    <w:rsid w:val="00FC26EA"/>
    <w:rsid w:val="00FC34DD"/>
    <w:rsid w:val="00FC395E"/>
    <w:rsid w:val="00FC3DCA"/>
    <w:rsid w:val="00FC51CD"/>
    <w:rsid w:val="00FC57D4"/>
    <w:rsid w:val="00FC6A3E"/>
    <w:rsid w:val="00FC6AD3"/>
    <w:rsid w:val="00FC6D16"/>
    <w:rsid w:val="00FD089D"/>
    <w:rsid w:val="00FD0CFF"/>
    <w:rsid w:val="00FD2285"/>
    <w:rsid w:val="00FD628F"/>
    <w:rsid w:val="00FD6F7F"/>
    <w:rsid w:val="00FE06F8"/>
    <w:rsid w:val="00FE1A49"/>
    <w:rsid w:val="00FE23EC"/>
    <w:rsid w:val="00FE388C"/>
    <w:rsid w:val="00FE4D64"/>
    <w:rsid w:val="00FE5B83"/>
    <w:rsid w:val="00FE69EE"/>
    <w:rsid w:val="00FE7224"/>
    <w:rsid w:val="00FE7E1B"/>
    <w:rsid w:val="00FF0CA9"/>
    <w:rsid w:val="00FF2A7E"/>
    <w:rsid w:val="00FF3C01"/>
    <w:rsid w:val="00FF4FC9"/>
    <w:rsid w:val="00FF56F1"/>
    <w:rsid w:val="00FF5F0A"/>
    <w:rsid w:val="00FF7ED9"/>
    <w:rsid w:val="03697D97"/>
    <w:rsid w:val="04A22A7A"/>
    <w:rsid w:val="0ADA7946"/>
    <w:rsid w:val="0B0B2E13"/>
    <w:rsid w:val="15F933C9"/>
    <w:rsid w:val="228F099E"/>
    <w:rsid w:val="2469448C"/>
    <w:rsid w:val="248E2154"/>
    <w:rsid w:val="2E8E37F2"/>
    <w:rsid w:val="339B0012"/>
    <w:rsid w:val="35ED41BC"/>
    <w:rsid w:val="37385714"/>
    <w:rsid w:val="37EA44AD"/>
    <w:rsid w:val="3B0E5C23"/>
    <w:rsid w:val="3CF336BB"/>
    <w:rsid w:val="3ED4601C"/>
    <w:rsid w:val="41982B79"/>
    <w:rsid w:val="4B47219D"/>
    <w:rsid w:val="4F624D46"/>
    <w:rsid w:val="51333BC8"/>
    <w:rsid w:val="524D342A"/>
    <w:rsid w:val="57B46874"/>
    <w:rsid w:val="5FD54C20"/>
    <w:rsid w:val="602678C9"/>
    <w:rsid w:val="697E795A"/>
    <w:rsid w:val="7C712F64"/>
    <w:rsid w:val="7D533B7E"/>
    <w:rsid w:val="7FFE1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仿宋_GB2312" w:hAnsi="Times New Roman" w:eastAsia="仿宋_GB2312" w:cs="Times New Roman"/>
      <w:sz w:val="34"/>
      <w:szCs w:val="34"/>
      <w:lang w:val="en-US" w:eastAsia="zh-CN" w:bidi="ar-SA"/>
    </w:rPr>
  </w:style>
  <w:style w:type="paragraph" w:styleId="2">
    <w:name w:val="heading 1"/>
    <w:basedOn w:val="1"/>
    <w:next w:val="1"/>
    <w:link w:val="23"/>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32"/>
    <w:qFormat/>
    <w:uiPriority w:val="0"/>
    <w:pPr>
      <w:keepNext/>
      <w:keepLines/>
      <w:autoSpaceDE/>
      <w:autoSpaceDN/>
      <w:adjustRightInd/>
      <w:spacing w:before="260" w:after="260" w:line="416" w:lineRule="auto"/>
      <w:jc w:val="both"/>
      <w:outlineLvl w:val="2"/>
    </w:pPr>
    <w:rPr>
      <w:rFonts w:ascii="Times New Roman" w:eastAsia="宋体"/>
      <w:b/>
      <w:bCs/>
      <w:kern w:val="2"/>
      <w:sz w:val="32"/>
      <w:szCs w:val="32"/>
    </w:rPr>
  </w:style>
  <w:style w:type="paragraph" w:styleId="4">
    <w:name w:val="heading 5"/>
    <w:basedOn w:val="1"/>
    <w:next w:val="1"/>
    <w:qFormat/>
    <w:uiPriority w:val="0"/>
    <w:pPr>
      <w:keepNext/>
      <w:keepLines/>
      <w:spacing w:before="280" w:after="290" w:line="374" w:lineRule="auto"/>
      <w:outlineLvl w:val="4"/>
    </w:pPr>
    <w:rPr>
      <w:rFonts w:hAnsi="宋体" w:cs="宋体"/>
      <w:b/>
      <w:bCs/>
      <w:sz w:val="28"/>
      <w:szCs w:val="28"/>
    </w:rPr>
  </w:style>
  <w:style w:type="paragraph" w:styleId="5">
    <w:name w:val="heading 6"/>
    <w:basedOn w:val="1"/>
    <w:next w:val="1"/>
    <w:qFormat/>
    <w:uiPriority w:val="0"/>
    <w:pPr>
      <w:keepNext/>
      <w:keepLines/>
      <w:spacing w:before="240" w:after="64" w:line="319" w:lineRule="auto"/>
      <w:outlineLvl w:val="5"/>
    </w:pPr>
    <w:rPr>
      <w:rFonts w:ascii="Arial" w:hAnsi="Arial" w:eastAsia="黑体"/>
      <w:b/>
      <w:bCs/>
      <w:sz w:val="24"/>
      <w:szCs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6">
    <w:name w:val="Document Map"/>
    <w:basedOn w:val="1"/>
    <w:link w:val="27"/>
    <w:qFormat/>
    <w:uiPriority w:val="0"/>
    <w:rPr>
      <w:rFonts w:ascii="宋体" w:eastAsia="宋体"/>
      <w:sz w:val="18"/>
      <w:szCs w:val="18"/>
    </w:rPr>
  </w:style>
  <w:style w:type="paragraph" w:styleId="7">
    <w:name w:val="annotation text"/>
    <w:basedOn w:val="1"/>
    <w:link w:val="34"/>
    <w:qFormat/>
    <w:uiPriority w:val="0"/>
  </w:style>
  <w:style w:type="paragraph" w:styleId="8">
    <w:name w:val="Body Text"/>
    <w:basedOn w:val="1"/>
    <w:qFormat/>
    <w:uiPriority w:val="0"/>
    <w:pPr>
      <w:autoSpaceDE/>
      <w:autoSpaceDN/>
      <w:spacing w:after="120" w:line="312" w:lineRule="atLeast"/>
      <w:jc w:val="both"/>
      <w:textAlignment w:val="baseline"/>
    </w:pPr>
    <w:rPr>
      <w:rFonts w:ascii="Times New Roman" w:eastAsia="创艺简仿宋"/>
      <w:sz w:val="24"/>
      <w:szCs w:val="20"/>
      <w:u w:val="single"/>
    </w:rPr>
  </w:style>
  <w:style w:type="paragraph" w:styleId="9">
    <w:name w:val="Body Text Indent"/>
    <w:basedOn w:val="1"/>
    <w:link w:val="26"/>
    <w:qFormat/>
    <w:uiPriority w:val="0"/>
    <w:pPr>
      <w:spacing w:after="120"/>
      <w:ind w:left="420" w:leftChars="200"/>
    </w:pPr>
  </w:style>
  <w:style w:type="paragraph" w:styleId="10">
    <w:name w:val="Plain Text"/>
    <w:basedOn w:val="1"/>
    <w:qFormat/>
    <w:uiPriority w:val="0"/>
    <w:pPr>
      <w:autoSpaceDE/>
      <w:autoSpaceDN/>
      <w:adjustRightInd/>
      <w:jc w:val="both"/>
    </w:pPr>
    <w:rPr>
      <w:rFonts w:ascii="宋体" w:hAnsi="Courier New" w:eastAsia="宋体"/>
      <w:kern w:val="2"/>
      <w:sz w:val="21"/>
      <w:szCs w:val="20"/>
    </w:rPr>
  </w:style>
  <w:style w:type="paragraph" w:styleId="11">
    <w:name w:val="Balloon Text"/>
    <w:basedOn w:val="1"/>
    <w:semiHidden/>
    <w:qFormat/>
    <w:uiPriority w:val="0"/>
    <w:rPr>
      <w:sz w:val="18"/>
      <w:szCs w:val="18"/>
    </w:rPr>
  </w:style>
  <w:style w:type="paragraph" w:styleId="12">
    <w:name w:val="footer"/>
    <w:basedOn w:val="1"/>
    <w:link w:val="25"/>
    <w:qFormat/>
    <w:uiPriority w:val="99"/>
    <w:pPr>
      <w:tabs>
        <w:tab w:val="center" w:pos="4153"/>
        <w:tab w:val="right" w:pos="8306"/>
      </w:tabs>
      <w:snapToGrid w:val="0"/>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Normal (Web)"/>
    <w:basedOn w:val="1"/>
    <w:qFormat/>
    <w:uiPriority w:val="0"/>
    <w:pPr>
      <w:widowControl/>
      <w:autoSpaceDE/>
      <w:autoSpaceDN/>
      <w:adjustRightInd/>
      <w:spacing w:before="100" w:beforeAutospacing="1" w:after="100" w:afterAutospacing="1"/>
    </w:pPr>
    <w:rPr>
      <w:rFonts w:ascii="宋体" w:hAnsi="宋体" w:eastAsia="宋体" w:cs="宋体"/>
      <w:sz w:val="24"/>
      <w:szCs w:val="24"/>
    </w:rPr>
  </w:style>
  <w:style w:type="paragraph" w:styleId="16">
    <w:name w:val="annotation subject"/>
    <w:basedOn w:val="7"/>
    <w:next w:val="7"/>
    <w:link w:val="31"/>
    <w:qFormat/>
    <w:uiPriority w:val="0"/>
    <w:rPr>
      <w:b/>
      <w:bCs/>
    </w:rPr>
  </w:style>
  <w:style w:type="table" w:styleId="18">
    <w:name w:val="Table Grid"/>
    <w:basedOn w:val="17"/>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0">
    <w:name w:val="page number"/>
    <w:basedOn w:val="19"/>
    <w:qFormat/>
    <w:uiPriority w:val="0"/>
  </w:style>
  <w:style w:type="character" w:styleId="21">
    <w:name w:val="Hyperlink"/>
    <w:qFormat/>
    <w:uiPriority w:val="99"/>
    <w:rPr>
      <w:color w:val="0000FF"/>
      <w:u w:val="single"/>
    </w:rPr>
  </w:style>
  <w:style w:type="character" w:styleId="22">
    <w:name w:val="annotation reference"/>
    <w:qFormat/>
    <w:uiPriority w:val="0"/>
    <w:rPr>
      <w:sz w:val="21"/>
      <w:szCs w:val="21"/>
    </w:rPr>
  </w:style>
  <w:style w:type="character" w:customStyle="1" w:styleId="23">
    <w:name w:val="标题 1 字符"/>
    <w:link w:val="2"/>
    <w:qFormat/>
    <w:uiPriority w:val="0"/>
    <w:rPr>
      <w:rFonts w:ascii="仿宋_GB2312" w:eastAsia="仿宋_GB2312"/>
      <w:b/>
      <w:bCs/>
      <w:kern w:val="44"/>
      <w:sz w:val="44"/>
      <w:szCs w:val="44"/>
      <w:lang w:val="en-US" w:eastAsia="zh-CN" w:bidi="ar-SA"/>
    </w:rPr>
  </w:style>
  <w:style w:type="character" w:customStyle="1" w:styleId="24">
    <w:name w:val="Char Char1"/>
    <w:qFormat/>
    <w:uiPriority w:val="0"/>
    <w:rPr>
      <w:b/>
      <w:kern w:val="44"/>
      <w:sz w:val="44"/>
      <w:szCs w:val="24"/>
    </w:rPr>
  </w:style>
  <w:style w:type="character" w:customStyle="1" w:styleId="25">
    <w:name w:val="页脚 字符"/>
    <w:link w:val="12"/>
    <w:qFormat/>
    <w:uiPriority w:val="99"/>
    <w:rPr>
      <w:rFonts w:ascii="仿宋_GB2312" w:eastAsia="仿宋_GB2312"/>
      <w:sz w:val="18"/>
      <w:szCs w:val="18"/>
    </w:rPr>
  </w:style>
  <w:style w:type="character" w:customStyle="1" w:styleId="26">
    <w:name w:val="正文文本缩进 字符"/>
    <w:link w:val="9"/>
    <w:qFormat/>
    <w:uiPriority w:val="0"/>
    <w:rPr>
      <w:rFonts w:ascii="仿宋_GB2312" w:eastAsia="仿宋_GB2312"/>
      <w:sz w:val="34"/>
      <w:szCs w:val="34"/>
    </w:rPr>
  </w:style>
  <w:style w:type="character" w:customStyle="1" w:styleId="27">
    <w:name w:val="文档结构图 字符"/>
    <w:link w:val="6"/>
    <w:qFormat/>
    <w:uiPriority w:val="0"/>
    <w:rPr>
      <w:rFonts w:ascii="宋体"/>
      <w:sz w:val="18"/>
      <w:szCs w:val="18"/>
    </w:rPr>
  </w:style>
  <w:style w:type="character" w:customStyle="1" w:styleId="28">
    <w:name w:val="样式2-标题1 Char"/>
    <w:link w:val="29"/>
    <w:qFormat/>
    <w:uiPriority w:val="0"/>
    <w:rPr>
      <w:rFonts w:ascii="楷体_GB2312" w:eastAsia="楷体_GB2312"/>
      <w:b/>
      <w:sz w:val="28"/>
      <w:szCs w:val="34"/>
    </w:rPr>
  </w:style>
  <w:style w:type="paragraph" w:customStyle="1" w:styleId="29">
    <w:name w:val="样式2-标题1"/>
    <w:basedOn w:val="30"/>
    <w:link w:val="28"/>
    <w:qFormat/>
    <w:uiPriority w:val="0"/>
    <w:pPr>
      <w:spacing w:before="100" w:beforeLines="100"/>
      <w:outlineLvl w:val="0"/>
    </w:pPr>
    <w:rPr>
      <w:b/>
      <w:sz w:val="28"/>
    </w:rPr>
  </w:style>
  <w:style w:type="paragraph" w:customStyle="1" w:styleId="30">
    <w:name w:val="样式1-正文"/>
    <w:basedOn w:val="1"/>
    <w:link w:val="33"/>
    <w:qFormat/>
    <w:uiPriority w:val="0"/>
    <w:pPr>
      <w:snapToGrid w:val="0"/>
      <w:spacing w:before="50" w:beforeLines="50" w:line="360" w:lineRule="auto"/>
    </w:pPr>
    <w:rPr>
      <w:rFonts w:ascii="楷体_GB2312" w:eastAsia="楷体_GB2312"/>
      <w:sz w:val="24"/>
    </w:rPr>
  </w:style>
  <w:style w:type="character" w:customStyle="1" w:styleId="31">
    <w:name w:val="批注主题 字符"/>
    <w:link w:val="16"/>
    <w:qFormat/>
    <w:uiPriority w:val="0"/>
    <w:rPr>
      <w:rFonts w:ascii="仿宋_GB2312" w:eastAsia="仿宋_GB2312"/>
      <w:b/>
      <w:bCs/>
      <w:sz w:val="34"/>
      <w:szCs w:val="34"/>
    </w:rPr>
  </w:style>
  <w:style w:type="character" w:customStyle="1" w:styleId="32">
    <w:name w:val="标题 3 字符"/>
    <w:link w:val="3"/>
    <w:qFormat/>
    <w:uiPriority w:val="0"/>
    <w:rPr>
      <w:rFonts w:eastAsia="宋体"/>
      <w:b/>
      <w:bCs/>
      <w:kern w:val="2"/>
      <w:sz w:val="32"/>
      <w:szCs w:val="32"/>
      <w:lang w:val="en-US" w:eastAsia="zh-CN" w:bidi="ar-SA"/>
    </w:rPr>
  </w:style>
  <w:style w:type="character" w:customStyle="1" w:styleId="33">
    <w:name w:val="样式1-正文 Char"/>
    <w:link w:val="30"/>
    <w:qFormat/>
    <w:uiPriority w:val="0"/>
    <w:rPr>
      <w:rFonts w:ascii="楷体_GB2312" w:eastAsia="楷体_GB2312"/>
      <w:sz w:val="24"/>
      <w:szCs w:val="34"/>
    </w:rPr>
  </w:style>
  <w:style w:type="character" w:customStyle="1" w:styleId="34">
    <w:name w:val="批注文字 字符"/>
    <w:link w:val="7"/>
    <w:qFormat/>
    <w:uiPriority w:val="0"/>
    <w:rPr>
      <w:rFonts w:ascii="仿宋_GB2312" w:eastAsia="仿宋_GB2312"/>
      <w:sz w:val="34"/>
      <w:szCs w:val="34"/>
    </w:rPr>
  </w:style>
  <w:style w:type="paragraph" w:customStyle="1" w:styleId="35">
    <w:name w:val="修订1"/>
    <w:semiHidden/>
    <w:qFormat/>
    <w:uiPriority w:val="99"/>
    <w:rPr>
      <w:rFonts w:ascii="仿宋_GB2312" w:hAnsi="Times New Roman" w:eastAsia="仿宋_GB2312" w:cs="Times New Roman"/>
      <w:sz w:val="34"/>
      <w:szCs w:val="34"/>
      <w:lang w:val="en-US" w:eastAsia="zh-CN" w:bidi="ar-SA"/>
    </w:rPr>
  </w:style>
  <w:style w:type="paragraph" w:customStyle="1" w:styleId="36">
    <w:name w:val="Char"/>
    <w:basedOn w:val="1"/>
    <w:qFormat/>
    <w:uiPriority w:val="0"/>
    <w:pPr>
      <w:widowControl/>
      <w:numPr>
        <w:ilvl w:val="0"/>
        <w:numId w:val="1"/>
      </w:numPr>
      <w:autoSpaceDE/>
      <w:autoSpaceDN/>
      <w:adjustRightInd/>
      <w:spacing w:after="160" w:line="240" w:lineRule="exact"/>
    </w:pPr>
    <w:rPr>
      <w:rFonts w:ascii="Verdana" w:hAnsi="Verdana" w:eastAsia="宋体"/>
      <w:sz w:val="21"/>
      <w:szCs w:val="20"/>
      <w:lang w:eastAsia="en-US"/>
    </w:rPr>
  </w:style>
  <w:style w:type="paragraph" w:customStyle="1" w:styleId="37">
    <w:name w:val="Char1"/>
    <w:basedOn w:val="1"/>
    <w:qFormat/>
    <w:uiPriority w:val="0"/>
    <w:pPr>
      <w:widowControl/>
      <w:tabs>
        <w:tab w:val="left" w:pos="360"/>
      </w:tabs>
      <w:autoSpaceDE/>
      <w:autoSpaceDN/>
      <w:adjustRightInd/>
      <w:spacing w:after="160" w:line="240" w:lineRule="exact"/>
    </w:pPr>
    <w:rPr>
      <w:rFonts w:ascii="Verdana" w:hAnsi="Verdana" w:eastAsia="宋体"/>
      <w:sz w:val="21"/>
      <w:szCs w:val="20"/>
      <w:lang w:eastAsia="en-US"/>
    </w:rPr>
  </w:style>
  <w:style w:type="paragraph" w:styleId="38">
    <w:name w:val="List Paragraph"/>
    <w:basedOn w:val="1"/>
    <w:qFormat/>
    <w:uiPriority w:val="0"/>
    <w:pPr>
      <w:ind w:firstLine="420" w:firstLineChars="200"/>
    </w:pPr>
  </w:style>
  <w:style w:type="paragraph" w:customStyle="1" w:styleId="39">
    <w:name w:val="修订2"/>
    <w:hidden/>
    <w:semiHidden/>
    <w:uiPriority w:val="99"/>
    <w:rPr>
      <w:rFonts w:ascii="仿宋_GB2312" w:hAnsi="Times New Roman" w:eastAsia="仿宋_GB2312" w:cs="Times New Roman"/>
      <w:sz w:val="34"/>
      <w:szCs w:val="34"/>
      <w:lang w:val="en-US" w:eastAsia="zh-CN" w:bidi="ar-SA"/>
    </w:rPr>
  </w:style>
  <w:style w:type="paragraph" w:customStyle="1" w:styleId="40">
    <w:name w:val="Revision"/>
    <w:hidden/>
    <w:semiHidden/>
    <w:uiPriority w:val="99"/>
    <w:rPr>
      <w:rFonts w:ascii="仿宋_GB2312" w:hAnsi="Times New Roman" w:eastAsia="仿宋_GB2312" w:cs="Times New Roman"/>
      <w:sz w:val="34"/>
      <w:szCs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AA2EC7-66AB-4379-8CFE-06DF1168DD2E}">
  <ds:schemaRefs/>
</ds:datastoreItem>
</file>

<file path=docProps/app.xml><?xml version="1.0" encoding="utf-8"?>
<Properties xmlns="http://schemas.openxmlformats.org/officeDocument/2006/extended-properties" xmlns:vt="http://schemas.openxmlformats.org/officeDocument/2006/docPropsVTypes">
  <Template>Normal</Template>
  <Pages>68</Pages>
  <Words>6062</Words>
  <Characters>34559</Characters>
  <Lines>287</Lines>
  <Paragraphs>81</Paragraphs>
  <TotalTime>7</TotalTime>
  <ScaleCrop>false</ScaleCrop>
  <LinksUpToDate>false</LinksUpToDate>
  <CharactersWithSpaces>40540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2023-05-02T02:47:00Z</dcterms:created>
  <dc:creator>李颖</dc:creator>
  <cp:lastModifiedBy>Gdzb</cp:lastModifiedBy>
  <cp:lastPrinted>2018-11-21T01:50:00Z</cp:lastPrinted>
  <dcterms:modified xsi:type="dcterms:W3CDTF">2023-05-04T07:06:12Z</dcterms:modified>
  <dc:title>招标编号：12-GP</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C02DDDD186EC4171A7C01BD26F2FC0BE_12</vt:lpwstr>
  </property>
</Properties>
</file>